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3720"/>
          <w:tab w:val="center" w:pos="4419"/>
        </w:tabs>
        <w:spacing w:line="36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2">
      <w:pPr>
        <w:tabs>
          <w:tab w:val="left" w:pos="0"/>
          <w:tab w:val="left" w:pos="3720"/>
          <w:tab w:val="center" w:pos="4419"/>
        </w:tabs>
        <w:spacing w:line="36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ÍNDICE</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03">
      <w:pPr>
        <w:tabs>
          <w:tab w:val="left" w:pos="0"/>
          <w:tab w:val="left" w:pos="3720"/>
          <w:tab w:val="center" w:pos="4419"/>
        </w:tabs>
        <w:spacing w:line="360" w:lineRule="auto"/>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4">
      <w:pPr>
        <w:keepNext w:val="1"/>
        <w:keepLines w:val="1"/>
        <w:tabs>
          <w:tab w:val="left" w:pos="0"/>
        </w:tabs>
        <w:rPr>
          <w:rFonts w:ascii="Palatino Linotype" w:cs="Palatino Linotype" w:eastAsia="Palatino Linotype" w:hAnsi="Palatino Linotype"/>
          <w:b w:val="1"/>
          <w:color w:val="00000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ANTECEDENTES</w:t>
            </w:r>
          </w:hyperlink>
          <w:hyperlink w:anchor="_heading=h.gjdgx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znysh7">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CONSIDERANDO</w:t>
            </w:r>
          </w:hyperlink>
          <w:hyperlink w:anchor="_heading=h.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et92p0">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PRIMERO. De la competencia.</w:t>
            </w:r>
          </w:hyperlink>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tyjcwt">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SEGUNDO. De la oportunidad y procedencia.</w:t>
            </w:r>
          </w:hyperlink>
          <w:hyperlink w:anchor="_heading=h.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dy6vkm">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I. De la interposición del recurso.</w:t>
            </w:r>
          </w:hyperlink>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t3h5sf">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II. Del nombre como requisito innecesario para la tramitación del recurso.</w:t>
            </w:r>
          </w:hyperlink>
          <w:hyperlink w:anchor="_heading=h.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d34og8">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III. De la determinación sobre la procedibilidad del recurso.</w:t>
            </w:r>
          </w:hyperlink>
          <w:hyperlink w:anchor="_heading=h.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s8eyo1">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TERCERO. Del planteamiento de la </w:t>
            </w:r>
          </w:hyperlink>
          <w:hyperlink w:anchor="_heading=h.2s8eyo1">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Litis.</w:t>
            </w:r>
          </w:hyperlink>
          <w:hyperlink w:anchor="_heading=h.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7dp8vu">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CUARTO. Estudio y resolución del asunto.</w:t>
            </w:r>
          </w:hyperlink>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rdcrjn">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I. De la competencia del Sujeto Obligado para poseer, generar o administrar la información.</w:t>
            </w:r>
          </w:hyperlink>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lnxbz9">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QUINTO. De la decisión.</w:t>
            </w:r>
          </w:hyperlink>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ksv4uv">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 E S O L U T I V O S</w:t>
            </w:r>
          </w:hyperlink>
          <w:hyperlink w:anchor="_heading=h.1ksv4u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11">
          <w:pPr>
            <w:tabs>
              <w:tab w:val="left" w:pos="0"/>
            </w:tabs>
            <w:rPr>
              <w:rFonts w:ascii="Palatino Linotype" w:cs="Palatino Linotype" w:eastAsia="Palatino Linotype" w:hAnsi="Palatino Linotype"/>
              <w:b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tabs>
          <w:tab w:val="left" w:pos="3465"/>
        </w:tabs>
        <w:spacing w:after="360" w:before="240"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3">
      <w:pPr>
        <w:tabs>
          <w:tab w:val="left" w:pos="3465"/>
        </w:tabs>
        <w:spacing w:after="360" w:before="240"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4">
      <w:pPr>
        <w:tabs>
          <w:tab w:val="left" w:pos="3465"/>
        </w:tabs>
        <w:spacing w:after="360" w:before="240"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5">
      <w:pPr>
        <w:tabs>
          <w:tab w:val="left" w:pos="3465"/>
        </w:tabs>
        <w:spacing w:after="360" w:before="240"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6">
      <w:pPr>
        <w:tabs>
          <w:tab w:val="left" w:pos="3465"/>
        </w:tabs>
        <w:spacing w:after="360" w:before="240"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7">
      <w:pPr>
        <w:tabs>
          <w:tab w:val="left" w:pos="3465"/>
        </w:tabs>
        <w:spacing w:after="36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Resolución del Pleno del Instituto de Transparencia, Acceso a la Información Pública y Protección de Datos Personales del Estado de México y Municipios, con domicilio en Metepec, Estado de México; de cinco (05) de octubre de dos mil veintiuno.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VISTO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el expediente electrónico formado con motivo del recurso de revisión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03598/INFOEM/IP/RR/2021,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promovido por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XXXXXXXXXXXXXXXXXXXXXXXXXXXXXX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su calidad de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en contra de la respuesta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Instituto de Salud del Estado de México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lo sucesivo el</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 procede a dictar la presente resolución, con base en los siguientes: </w:t>
      </w:r>
    </w:p>
    <w:p w:rsidR="00000000" w:rsidDel="00000000" w:rsidP="00000000" w:rsidRDefault="00000000" w:rsidRPr="00000000" w14:paraId="00000019">
      <w:pPr>
        <w:pStyle w:val="Heading1"/>
        <w:spacing w:line="360" w:lineRule="auto"/>
        <w:jc w:val="center"/>
        <w:rPr>
          <w:rFonts w:ascii="Palatino Linotype" w:cs="Palatino Linotype" w:eastAsia="Palatino Linotype" w:hAnsi="Palatino Linotype"/>
          <w:b w:val="1"/>
          <w:color w:val="000000"/>
          <w:sz w:val="24"/>
          <w:szCs w:val="24"/>
        </w:rPr>
      </w:pPr>
      <w:bookmarkStart w:colFirst="0" w:colLast="0" w:name="_heading=h.gjdgxs" w:id="0"/>
      <w:bookmarkEnd w:id="0"/>
      <w:r w:rsidDel="00000000" w:rsidR="00000000" w:rsidRPr="00000000">
        <w:rPr>
          <w:rFonts w:ascii="Palatino Linotype" w:cs="Palatino Linotype" w:eastAsia="Palatino Linotype" w:hAnsi="Palatino Linotype"/>
          <w:b w:val="1"/>
          <w:color w:val="000000"/>
          <w:sz w:val="24"/>
          <w:szCs w:val="24"/>
          <w:rtl w:val="0"/>
        </w:rPr>
        <w:t xml:space="preserve">ANTECEDENTES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26"/>
        </w:tabs>
        <w:spacing w:after="240" w:before="24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siete (07) de junio de dos mil veintiuno, el particular presentó</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 través del Sistema de Acceso a la Información Mexiquense</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(SAIMEX),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la solicitud de información pública registrada con el número</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00351/ISEM/IP/2021,</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mediante la cual requirió:</w:t>
      </w:r>
    </w:p>
    <w:p w:rsidR="00000000" w:rsidDel="00000000" w:rsidP="00000000" w:rsidRDefault="00000000" w:rsidRPr="00000000" w14:paraId="0000001B">
      <w:pPr>
        <w:tabs>
          <w:tab w:val="left" w:pos="426"/>
        </w:tabs>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C">
      <w:pPr>
        <w:spacing w:line="360"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“Deseo saber el nombre de las personas vacunadas en Toluca, Estado de México y que vacuna se han puesto.” </w:t>
      </w:r>
      <w:r w:rsidDel="00000000" w:rsidR="00000000" w:rsidRPr="00000000">
        <w:rPr>
          <w:rFonts w:ascii="Palatino Linotype" w:cs="Palatino Linotype" w:eastAsia="Palatino Linotype" w:hAnsi="Palatino Linotype"/>
          <w:color w:val="000000"/>
          <w:rtl w:val="0"/>
        </w:rPr>
        <w:t xml:space="preserve">(Sic).</w:t>
      </w:r>
    </w:p>
    <w:p w:rsidR="00000000" w:rsidDel="00000000" w:rsidP="00000000" w:rsidRDefault="00000000" w:rsidRPr="00000000" w14:paraId="0000001D">
      <w:pPr>
        <w:spacing w:line="360" w:lineRule="auto"/>
        <w:ind w:left="567" w:right="567" w:firstLine="0"/>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26"/>
        </w:tabs>
        <w:spacing w:after="0" w:before="24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 hace constar que el entonces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SOLICITANTE</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señaló como modalidad de entrega de la información</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 través del SAIMEX</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26"/>
        </w:tabs>
        <w:spacing w:after="24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veintiocho (28) de junio de dos mil veintiuno,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dio respuesta a la solicitud de información en los siguientes términos:</w:t>
      </w:r>
    </w:p>
    <w:p w:rsidR="00000000" w:rsidDel="00000000" w:rsidP="00000000" w:rsidRDefault="00000000" w:rsidRPr="00000000" w14:paraId="00000021">
      <w:pPr>
        <w:tabs>
          <w:tab w:val="left" w:pos="426"/>
        </w:tabs>
        <w:spacing w:after="0" w:before="240"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2">
      <w:pPr>
        <w:spacing w:line="360" w:lineRule="auto"/>
        <w:ind w:left="567" w:right="567" w:firstLine="0"/>
        <w:jc w:val="right"/>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“Metepec, México a 28 de Junio de 2021</w:t>
      </w:r>
    </w:p>
    <w:p w:rsidR="00000000" w:rsidDel="00000000" w:rsidP="00000000" w:rsidRDefault="00000000" w:rsidRPr="00000000" w14:paraId="00000023">
      <w:pPr>
        <w:spacing w:line="360" w:lineRule="auto"/>
        <w:ind w:left="567" w:right="567" w:firstLine="0"/>
        <w:jc w:val="right"/>
        <w:rPr>
          <w:rFonts w:ascii="Palatino Linotype" w:cs="Palatino Linotype" w:eastAsia="Palatino Linotype" w:hAnsi="Palatino Linotype"/>
          <w:i w:val="1"/>
          <w:color w:val="000000"/>
        </w:rPr>
      </w:pPr>
      <w:bookmarkStart w:colFirst="0" w:colLast="0" w:name="_heading=h.30j0zll" w:id="1"/>
      <w:bookmarkEnd w:id="1"/>
      <w:r w:rsidDel="00000000" w:rsidR="00000000" w:rsidRPr="00000000">
        <w:rPr>
          <w:rFonts w:ascii="Palatino Linotype" w:cs="Palatino Linotype" w:eastAsia="Palatino Linotype" w:hAnsi="Palatino Linotype"/>
          <w:i w:val="1"/>
          <w:color w:val="000000"/>
          <w:rtl w:val="0"/>
        </w:rPr>
        <w:t xml:space="preserve">Nombre del solicitante: </w:t>
      </w:r>
      <w:r w:rsidDel="00000000" w:rsidR="00000000" w:rsidRPr="00000000">
        <w:rPr>
          <w:rFonts w:ascii="Palatino Linotype" w:cs="Palatino Linotype" w:eastAsia="Palatino Linotype" w:hAnsi="Palatino Linotype"/>
          <w:b w:val="1"/>
          <w:i w:val="1"/>
          <w:color w:val="000000"/>
          <w:rtl w:val="0"/>
        </w:rPr>
        <w:t xml:space="preserve">XXXXXXXXXXXXXXXXXXXXXXXXXXXXXX</w:t>
      </w:r>
      <w:r w:rsidDel="00000000" w:rsidR="00000000" w:rsidRPr="00000000">
        <w:rPr>
          <w:rtl w:val="0"/>
        </w:rPr>
      </w:r>
    </w:p>
    <w:p w:rsidR="00000000" w:rsidDel="00000000" w:rsidP="00000000" w:rsidRDefault="00000000" w:rsidRPr="00000000" w14:paraId="00000024">
      <w:pPr>
        <w:spacing w:line="360" w:lineRule="auto"/>
        <w:ind w:left="567" w:right="567" w:firstLine="0"/>
        <w:jc w:val="right"/>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Folio de la solicitud: 00351/ISEM/IP/2021</w:t>
      </w:r>
    </w:p>
    <w:p w:rsidR="00000000" w:rsidDel="00000000" w:rsidP="00000000" w:rsidRDefault="00000000" w:rsidRPr="00000000" w14:paraId="00000025">
      <w:pPr>
        <w:spacing w:line="360" w:lineRule="auto"/>
        <w:ind w:left="567" w:right="567" w:firstLine="0"/>
        <w:jc w:val="right"/>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26">
      <w:pPr>
        <w:spacing w:line="360" w:lineRule="auto"/>
        <w:ind w:left="567" w:right="567"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En respuesta a la solicitud recibida, nos permitimos hacer de su conocimiento que con fundamento en el artículo 53, Fracciones: II, V y VI de la Ley de Transparencia y Acceso a la Información Pública del Estado de México y Municipios, le contestamos que:</w:t>
      </w:r>
    </w:p>
    <w:p w:rsidR="00000000" w:rsidDel="00000000" w:rsidP="00000000" w:rsidRDefault="00000000" w:rsidRPr="00000000" w14:paraId="00000027">
      <w:pPr>
        <w:spacing w:line="360" w:lineRule="auto"/>
        <w:ind w:left="567" w:right="567" w:firstLine="0"/>
        <w:jc w:val="right"/>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28">
      <w:pPr>
        <w:spacing w:line="360" w:lineRule="auto"/>
        <w:ind w:left="567" w:right="567" w:firstLine="0"/>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Se da atención a su solicitud.</w:t>
      </w:r>
    </w:p>
    <w:p w:rsidR="00000000" w:rsidDel="00000000" w:rsidP="00000000" w:rsidRDefault="00000000" w:rsidRPr="00000000" w14:paraId="00000029">
      <w:pPr>
        <w:spacing w:line="360" w:lineRule="auto"/>
        <w:ind w:left="567" w:right="567" w:firstLine="0"/>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ATENTAMENTE</w:t>
      </w:r>
    </w:p>
    <w:p w:rsidR="00000000" w:rsidDel="00000000" w:rsidP="00000000" w:rsidRDefault="00000000" w:rsidRPr="00000000" w14:paraId="0000002A">
      <w:pPr>
        <w:spacing w:line="360" w:lineRule="auto"/>
        <w:ind w:left="567" w:right="567" w:firstLine="0"/>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LIC. ELOINA SILVETTE DÍAZ GUTIÉRREZ.” (Sic)</w:t>
      </w:r>
    </w:p>
    <w:p w:rsidR="00000000" w:rsidDel="00000000" w:rsidP="00000000" w:rsidRDefault="00000000" w:rsidRPr="00000000" w14:paraId="0000002B">
      <w:pPr>
        <w:spacing w:after="240" w:line="360" w:lineRule="auto"/>
        <w:ind w:left="851"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426"/>
        </w:tabs>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Asimismo,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adjuntó a su respuesta el archivo electrónico que se describe a continuación:</w:t>
      </w:r>
    </w:p>
    <w:p w:rsidR="00000000" w:rsidDel="00000000" w:rsidP="00000000" w:rsidRDefault="00000000" w:rsidRPr="00000000" w14:paraId="0000002D">
      <w:pPr>
        <w:tabs>
          <w:tab w:val="left" w:pos="284"/>
          <w:tab w:val="left" w:pos="426"/>
        </w:tabs>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E">
      <w:pPr>
        <w:tabs>
          <w:tab w:val="left" w:pos="851"/>
        </w:tabs>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color w:val="000000"/>
          <w:rtl w:val="0"/>
        </w:rPr>
        <w:t xml:space="preserve">“</w:t>
      </w:r>
      <w:r w:rsidDel="00000000" w:rsidR="00000000" w:rsidRPr="00000000">
        <w:rPr>
          <w:rFonts w:ascii="Palatino Linotype" w:cs="Palatino Linotype" w:eastAsia="Palatino Linotype" w:hAnsi="Palatino Linotype"/>
          <w:b w:val="1"/>
          <w:color w:val="000000"/>
          <w:rtl w:val="0"/>
        </w:rPr>
        <w:t xml:space="preserve">280621_sol 00351 saimex 2021.docx</w:t>
      </w:r>
      <w:r w:rsidDel="00000000" w:rsidR="00000000" w:rsidRPr="00000000">
        <w:rPr>
          <w:rFonts w:ascii="Palatino Linotype" w:cs="Palatino Linotype" w:eastAsia="Palatino Linotype" w:hAnsi="Palatino Linotype"/>
          <w:b w:val="1"/>
          <w:i w:val="1"/>
          <w:color w:val="000000"/>
          <w:rtl w:val="0"/>
        </w:rPr>
        <w:t xml:space="preserve">”</w:t>
      </w:r>
      <w:r w:rsidDel="00000000" w:rsidR="00000000" w:rsidRPr="00000000">
        <w:rPr>
          <w:rFonts w:ascii="Palatino Linotype" w:cs="Palatino Linotype" w:eastAsia="Palatino Linotype" w:hAnsi="Palatino Linotype"/>
          <w:color w:val="000000"/>
          <w:rtl w:val="0"/>
        </w:rPr>
        <w:t xml:space="preserve">: Documentos electrónico que en una (01) hoja contiene el oficio </w:t>
      </w:r>
      <w:r w:rsidDel="00000000" w:rsidR="00000000" w:rsidRPr="00000000">
        <w:rPr>
          <w:rFonts w:ascii="Palatino Linotype" w:cs="Palatino Linotype" w:eastAsia="Palatino Linotype" w:hAnsi="Palatino Linotype"/>
          <w:b w:val="1"/>
          <w:color w:val="000000"/>
          <w:rtl w:val="0"/>
        </w:rPr>
        <w:t xml:space="preserve">00351</w:t>
        <w:tab/>
        <w:t xml:space="preserve">ISEM</w:t>
        <w:tab/>
        <w:t xml:space="preserve">IP</w:t>
        <w:tab/>
        <w:t xml:space="preserve">2021, </w:t>
      </w:r>
      <w:r w:rsidDel="00000000" w:rsidR="00000000" w:rsidRPr="00000000">
        <w:rPr>
          <w:rFonts w:ascii="Palatino Linotype" w:cs="Palatino Linotype" w:eastAsia="Palatino Linotype" w:hAnsi="Palatino Linotype"/>
          <w:color w:val="000000"/>
          <w:rtl w:val="0"/>
        </w:rPr>
        <w:t xml:space="preserve">de fecha (28) veintiocho de junio de 2021 , dirigido al solicitante y suscrito por el Titular de la Unidad de Transparencia del instituto de Salud del Estado de México, mediante el cual se refiere medularmente que </w:t>
      </w:r>
      <w:r w:rsidDel="00000000" w:rsidR="00000000" w:rsidRPr="00000000">
        <w:rPr>
          <w:rFonts w:ascii="Palatino Linotype" w:cs="Palatino Linotype" w:eastAsia="Palatino Linotype" w:hAnsi="Palatino Linotype"/>
          <w:i w:val="1"/>
          <w:color w:val="000000"/>
          <w:rtl w:val="0"/>
        </w:rPr>
        <w:t xml:space="preserve">“…</w:t>
      </w:r>
      <w:r w:rsidDel="00000000" w:rsidR="00000000" w:rsidRPr="00000000">
        <w:rPr>
          <w:rFonts w:ascii="Palatino Linotype" w:cs="Palatino Linotype" w:eastAsia="Palatino Linotype" w:hAnsi="Palatino Linotype"/>
          <w:i w:val="1"/>
          <w:rtl w:val="0"/>
        </w:rPr>
        <w:t xml:space="preserve"> por tal razón, refiere a usted lo siguiente: “En relación a la información solicitada comento a usted que la misma es improcedente: La Ley General de Transparencia y Acceso a la Información Pública, así como la Ley Federal de Transparencia y Acceso a la Información Pública, en sus artículos 116 y 113 fracción I, respectivamente, consideran que información confidencial “es la que contiene datos personales concernientes a una persona identificada o identificable… no estará sujeta a temporalidad alguna y sólo podrán tener acceso a ella los titulares de la misma, sus representantes y los servidores públicos facultados para ello”. A su vez, la Ley General de Protección de Datos Personales en Posesión de Sujetos Obligados en su artículo 2, fracción IX, establece que se entenderá como datos personales los siguientes: Cualquier información concerniente a una persona física identificada o identificable. Se considera que una persona es identificable cuando su identidad pueda determinarse directa o indirectamente a través de cualquier información.</w:t>
      </w:r>
    </w:p>
    <w:p w:rsidR="00000000" w:rsidDel="00000000" w:rsidP="00000000" w:rsidRDefault="00000000" w:rsidRPr="00000000" w14:paraId="0000002F">
      <w:pPr>
        <w:tabs>
          <w:tab w:val="left" w:pos="851"/>
        </w:tabs>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 su vez, en las Resoluciones RRA 1774/18 y RRA 1780/18 emitidas por la INAI, señaló que el nombre es uno de los atributos de la personalidad y la manifestación principal del derecho subjetivo a la identidad, en virtud de que hace a una persona física identificada e identificable, y que dar publicidad al mismo vulneraría su ámbito de privacidad, por lo que es un dato personal que encuadra dentro de la fracción I del artículo 113 de ley federal de la Ley Federal de Transparencia y Acceso a la Información Pública.”</w:t>
      </w:r>
    </w:p>
    <w:p w:rsidR="00000000" w:rsidDel="00000000" w:rsidP="00000000" w:rsidRDefault="00000000" w:rsidRPr="00000000" w14:paraId="00000030">
      <w:pPr>
        <w:tabs>
          <w:tab w:val="left" w:pos="851"/>
        </w:tabs>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No obstante a lo anterior, con respecto a las estadísticas de vacunación en el Estado de México, comento que la información solicitada, se encuentra disponible en la página: </w:t>
      </w:r>
    </w:p>
    <w:p w:rsidR="00000000" w:rsidDel="00000000" w:rsidP="00000000" w:rsidRDefault="00000000" w:rsidRPr="00000000" w14:paraId="00000031">
      <w:pPr>
        <w:tabs>
          <w:tab w:val="left" w:pos="851"/>
        </w:tabs>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http://www.dgis.salud.gob.mx/contenidos/basesdedatos/BD_Cubos_gobmx.html</w:t>
      </w:r>
    </w:p>
    <w:p w:rsidR="00000000" w:rsidDel="00000000" w:rsidP="00000000" w:rsidRDefault="00000000" w:rsidRPr="00000000" w14:paraId="00000032">
      <w:pPr>
        <w:tabs>
          <w:tab w:val="left" w:pos="851"/>
        </w:tabs>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Cubos dinámicos – Gob Cubos dinámicos Configuración: Video tutorial Manual de usuario 2020 Guía de instalación Requisitos para utilizarlos: Equipo con procesador Intel o compatible (Pentium 133 MHz o superior, Pentium PRO, Pentium II, Pentium III, Pentium 4 o superior).</w:t>
      </w:r>
    </w:p>
    <w:p w:rsidR="00000000" w:rsidDel="00000000" w:rsidP="00000000" w:rsidRDefault="00000000" w:rsidRPr="00000000" w14:paraId="00000033">
      <w:pPr>
        <w:tabs>
          <w:tab w:val="left" w:pos="851"/>
        </w:tabs>
        <w:spacing w:line="360" w:lineRule="auto"/>
        <w:ind w:left="567" w:right="616"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www.dgis.salud.gob.mx, en el ícono de Servicios Otorgados, donde podrá realizar la consulta por año y entidad federativa</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i w:val="1"/>
          <w:color w:val="000000"/>
          <w:rtl w:val="0"/>
        </w:rPr>
        <w:t xml:space="preserve">.”  </w:t>
      </w:r>
      <w:r w:rsidDel="00000000" w:rsidR="00000000" w:rsidRPr="00000000">
        <w:rPr>
          <w:rtl w:val="0"/>
        </w:rPr>
      </w:r>
    </w:p>
    <w:p w:rsidR="00000000" w:rsidDel="00000000" w:rsidP="00000000" w:rsidRDefault="00000000" w:rsidRPr="00000000" w14:paraId="00000034">
      <w:pPr>
        <w:tabs>
          <w:tab w:val="left" w:pos="284"/>
          <w:tab w:val="left" w:pos="426"/>
        </w:tabs>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0"/>
          <w:tab w:val="left" w:pos="426"/>
        </w:tabs>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Derivado de la respuesta emitida por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el uno (01) de julio de dos mil veintiuno, el particular interpuso el recurso de revisión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03598/INFOEM/IP/RR/2021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impugnación en la que refirió lo siguiente:</w:t>
      </w:r>
    </w:p>
    <w:p w:rsidR="00000000" w:rsidDel="00000000" w:rsidP="00000000" w:rsidRDefault="00000000" w:rsidRPr="00000000" w14:paraId="00000036">
      <w:pPr>
        <w:tabs>
          <w:tab w:val="left" w:pos="426"/>
        </w:tabs>
        <w:spacing w:line="360" w:lineRule="auto"/>
        <w:ind w:left="284"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7">
      <w:pPr>
        <w:numPr>
          <w:ilvl w:val="0"/>
          <w:numId w:val="4"/>
        </w:numPr>
        <w:tabs>
          <w:tab w:val="left" w:pos="426"/>
        </w:tabs>
        <w:spacing w:line="360" w:lineRule="auto"/>
        <w:ind w:left="709" w:right="616" w:hanging="142.00000000000003"/>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Acto impugnado:</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i w:val="1"/>
          <w:color w:val="000000"/>
          <w:rtl w:val="0"/>
        </w:rPr>
        <w:t xml:space="preserve">“Respuesta”</w:t>
      </w:r>
      <w:r w:rsidDel="00000000" w:rsidR="00000000" w:rsidRPr="00000000">
        <w:rPr>
          <w:rFonts w:ascii="Palatino Linotype" w:cs="Palatino Linotype" w:eastAsia="Palatino Linotype" w:hAnsi="Palatino Linotype"/>
          <w:color w:val="000000"/>
          <w:rtl w:val="0"/>
        </w:rPr>
        <w:t xml:space="preserve"> (Sic).</w:t>
      </w:r>
    </w:p>
    <w:p w:rsidR="00000000" w:rsidDel="00000000" w:rsidP="00000000" w:rsidRDefault="00000000" w:rsidRPr="00000000" w14:paraId="00000038">
      <w:pPr>
        <w:tabs>
          <w:tab w:val="left" w:pos="0"/>
        </w:tabs>
        <w:spacing w:line="360" w:lineRule="auto"/>
        <w:ind w:left="709" w:right="616" w:hanging="142.00000000000003"/>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9">
      <w:pPr>
        <w:numPr>
          <w:ilvl w:val="0"/>
          <w:numId w:val="4"/>
        </w:numPr>
        <w:tabs>
          <w:tab w:val="left" w:pos="0"/>
        </w:tabs>
        <w:spacing w:line="360" w:lineRule="auto"/>
        <w:ind w:left="709" w:right="616" w:hanging="283"/>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Razones o motivos de inconformidad:</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i w:val="1"/>
          <w:color w:val="000000"/>
          <w:rtl w:val="0"/>
        </w:rPr>
        <w:t xml:space="preserve">“Si bien es cierto que los nombres los hacen identiflicables como personas físicas, entonces cómo es posible que no se entregue un contol ya que ni si quiera la persona fisica puede comprobar que ya está vacunada si de hecho cualqier persona que e haya registrado tiene la opción de tner la hoja de registro.” </w:t>
      </w:r>
      <w:r w:rsidDel="00000000" w:rsidR="00000000" w:rsidRPr="00000000">
        <w:rPr>
          <w:rFonts w:ascii="Palatino Linotype" w:cs="Palatino Linotype" w:eastAsia="Palatino Linotype" w:hAnsi="Palatino Linotype"/>
          <w:color w:val="000000"/>
          <w:rtl w:val="0"/>
        </w:rPr>
        <w:t xml:space="preserve">(Sic).</w:t>
      </w:r>
    </w:p>
    <w:p w:rsidR="00000000" w:rsidDel="00000000" w:rsidP="00000000" w:rsidRDefault="00000000" w:rsidRPr="00000000" w14:paraId="0000003A">
      <w:pPr>
        <w:tabs>
          <w:tab w:val="left" w:pos="426"/>
        </w:tabs>
        <w:spacing w:line="360" w:lineRule="auto"/>
        <w:ind w:left="284"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26"/>
        </w:tabs>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 registró el recurso de revisión bajo el número de expediente al rubro indicado, asimismo, con fundamento en lo dispuesto por el artículo 185 fracción I de la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Ley de Transparencia y Acceso a la Información Pública del Estado de México y Municipios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 turnó al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Comisionado Javier Martínez Cruz,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 el objeto de su análisis.</w:t>
      </w:r>
    </w:p>
    <w:p w:rsidR="00000000" w:rsidDel="00000000" w:rsidP="00000000" w:rsidRDefault="00000000" w:rsidRPr="00000000" w14:paraId="0000003C">
      <w:pPr>
        <w:tabs>
          <w:tab w:val="left" w:pos="426"/>
        </w:tabs>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26"/>
        </w:tabs>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Comisionado Javier Martínez Cruz</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con fundamento en lo dispuesto por el artículo 185 fracción II de la ley de la materia, a través del acuerdo de admisión de seis (06) de julio de dos mil veintiuno, puso a disposición de las partes el expediente electrónico vía Sistema de Acceso a la Información Mexiquense a efecto de que en un plazo máximo de siete días manifestaran lo que a su derecho convinieran, ofrecieran pruebas y alegatos según corresponda a los casos concretos, de esta forma para que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presentara el informe justificado procedente.</w:t>
      </w:r>
    </w:p>
    <w:p w:rsidR="00000000" w:rsidDel="00000000" w:rsidP="00000000" w:rsidRDefault="00000000" w:rsidRPr="00000000" w14:paraId="0000003E">
      <w:pPr>
        <w:tabs>
          <w:tab w:val="left" w:pos="426"/>
        </w:tabs>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26"/>
        </w:tabs>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fecha diez (10) de agosto de dos mil veintiuno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realizó entrega de un documentos en calidad de informe justificado, mismos que fueron puestos a disposición del particular mediante acuerdo de fecha veintisiete (27) de agosto de dos mil veintiuno, no obstante y afecto de que no exista opacidad se describe a continuación: </w:t>
      </w:r>
    </w:p>
    <w:p w:rsidR="00000000" w:rsidDel="00000000" w:rsidP="00000000" w:rsidRDefault="00000000" w:rsidRPr="00000000" w14:paraId="00000040">
      <w:pPr>
        <w:tabs>
          <w:tab w:val="left" w:pos="426"/>
        </w:tabs>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360" w:lineRule="auto"/>
        <w:ind w:left="720" w:right="616"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“Respuesta 3598 Recurso de Infonformidad Nombre de vacunados.pdf:</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Documento electrónico que en dos (02) hojas, contiene una “Tarjeta Informativa” suscrita por el Subdirector de Epidemiologia y dirigida al Director de los Servicios de Salud, mediante el cual se refiere que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reitero a usted que su solicitud mediante la que requiere “saber el nombre de las personas vacunadas en Toluca” es improcedente, toda vez que La Ley General de Transparencia y Acceso a la Información Pública, así como la Ley Federal de Transparencia y Acceso a la Información Pública, en sus artículos 116 y 113 fracción I, respectivamente, consideran que información confidencial “es la que contiene datos personales concernientes a una persona identificada o identificable… no estará sujeta a temporalidad alguna y sólo podrán tener acceso a ella los titulares de la misma, sus representantes y los servidores públicos facultados para ello”. A su vez, la Ley General de Protección de Datos Personales en Posesión de Sujetos Obligados en su artículo 2, fracción IX, establece que se entenderá como datos personales los siguientes: Cualquier información concerniente a una persona física identificada o identificable. Se considera que una persona es identificable cuando su identidad pueda determinarse directa o indirectamente a través de cualquier información. A su vez, en las Resoluciones RRA 1774/18 y RRA 1780/18 emitidas por la INAI, señaló que el nombre es uno de los atributos de la personalidad y la manifestación principal del derecho subjetivo a la identidad, en virtud de que hace a una persona física identificada e identificable, y que dar publicidad al mismo vulneraría su ámbito de privacidad, por lo que es un dato personal que encuadra dentro de la fracción I del artículo 113 de ley federal de la Ley Federal de Transparencia y Acceso a la Información Pública” (Sic)</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360" w:lineRule="auto"/>
        <w:ind w:left="720" w:right="61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26"/>
        </w:tabs>
        <w:spacing w:after="0" w:before="0" w:line="360" w:lineRule="auto"/>
        <w:ind w:left="0" w:right="0" w:firstLine="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Finalmente, el veintitrés (23) de agosto de dos mil veintiuno, en la Segunda Sesión Extraordinaria, el Pleno de este Órgano Garante aprobó el returno del recurso de revisión que se trata, a la Ponencia de la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Comisionada María del Rosario Mejía Ayala</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4">
      <w:pPr>
        <w:tabs>
          <w:tab w:val="left" w:pos="426"/>
        </w:tabs>
        <w:spacing w:line="360" w:lineRule="auto"/>
        <w:ind w:right="616"/>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26"/>
        </w:tabs>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las cosas la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Comisionada María del Rosario Mejía Ayala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decretó el cierre de instrucción mediante acuerdo de fecha siete (07) de septiembre de dos mil veintiuno. </w:t>
      </w:r>
    </w:p>
    <w:p w:rsidR="00000000" w:rsidDel="00000000" w:rsidP="00000000" w:rsidRDefault="00000000" w:rsidRPr="00000000" w14:paraId="00000046">
      <w:pPr>
        <w:spacing w:line="360" w:lineRule="auto"/>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26"/>
        </w:tabs>
        <w:spacing w:after="0" w:before="0" w:line="360" w:lineRule="auto"/>
        <w:ind w:left="0" w:right="0" w:firstLine="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Finalmente, el catorce (14) de septiembre 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r w:rsidDel="00000000" w:rsidR="00000000" w:rsidRPr="00000000">
        <w:rPr>
          <w:rtl w:val="0"/>
        </w:rPr>
      </w:r>
    </w:p>
    <w:p w:rsidR="00000000" w:rsidDel="00000000" w:rsidP="00000000" w:rsidRDefault="00000000" w:rsidRPr="00000000" w14:paraId="00000048">
      <w:pPr>
        <w:tabs>
          <w:tab w:val="left" w:pos="426"/>
        </w:tabs>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9">
      <w:pPr>
        <w:pStyle w:val="Heading1"/>
        <w:spacing w:line="360" w:lineRule="auto"/>
        <w:jc w:val="center"/>
        <w:rPr>
          <w:rFonts w:ascii="Palatino Linotype" w:cs="Palatino Linotype" w:eastAsia="Palatino Linotype" w:hAnsi="Palatino Linotype"/>
          <w:b w:val="1"/>
          <w:color w:val="000000"/>
          <w:sz w:val="24"/>
          <w:szCs w:val="24"/>
        </w:rPr>
      </w:pPr>
      <w:bookmarkStart w:colFirst="0" w:colLast="0" w:name="_heading=h.3znysh7" w:id="3"/>
      <w:bookmarkEnd w:id="3"/>
      <w:r w:rsidDel="00000000" w:rsidR="00000000" w:rsidRPr="00000000">
        <w:rPr>
          <w:rFonts w:ascii="Palatino Linotype" w:cs="Palatino Linotype" w:eastAsia="Palatino Linotype" w:hAnsi="Palatino Linotype"/>
          <w:b w:val="1"/>
          <w:color w:val="000000"/>
          <w:sz w:val="24"/>
          <w:szCs w:val="24"/>
          <w:rtl w:val="0"/>
        </w:rPr>
        <w:t xml:space="preserve">CONSIDERANDO</w:t>
      </w:r>
    </w:p>
    <w:p w:rsidR="00000000" w:rsidDel="00000000" w:rsidP="00000000" w:rsidRDefault="00000000" w:rsidRPr="00000000" w14:paraId="0000004A">
      <w:pPr>
        <w:spacing w:line="360" w:lineRule="auto"/>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B">
      <w:pPr>
        <w:pStyle w:val="Heading1"/>
        <w:spacing w:line="360" w:lineRule="auto"/>
        <w:rPr>
          <w:rFonts w:ascii="Palatino Linotype" w:cs="Palatino Linotype" w:eastAsia="Palatino Linotype" w:hAnsi="Palatino Linotype"/>
          <w:b w:val="1"/>
          <w:color w:val="000000"/>
          <w:sz w:val="24"/>
          <w:szCs w:val="24"/>
        </w:rPr>
      </w:pPr>
      <w:bookmarkStart w:colFirst="0" w:colLast="0" w:name="_heading=h.2et92p0" w:id="4"/>
      <w:bookmarkEnd w:id="4"/>
      <w:r w:rsidDel="00000000" w:rsidR="00000000" w:rsidRPr="00000000">
        <w:rPr>
          <w:rFonts w:ascii="Palatino Linotype" w:cs="Palatino Linotype" w:eastAsia="Palatino Linotype" w:hAnsi="Palatino Linotype"/>
          <w:b w:val="1"/>
          <w:color w:val="000000"/>
          <w:sz w:val="24"/>
          <w:szCs w:val="24"/>
          <w:rtl w:val="0"/>
        </w:rPr>
        <w:t xml:space="preserve">PRIMERO. De la competencia.</w:t>
      </w:r>
    </w:p>
    <w:p w:rsidR="00000000" w:rsidDel="00000000" w:rsidP="00000000" w:rsidRDefault="00000000" w:rsidRPr="00000000" w14:paraId="0000004C">
      <w:pPr>
        <w:spacing w:line="360"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D">
      <w:pPr>
        <w:numPr>
          <w:ilvl w:val="0"/>
          <w:numId w:val="3"/>
        </w:numPr>
        <w:tabs>
          <w:tab w:val="left" w:pos="0"/>
        </w:tabs>
        <w:spacing w:after="160" w:line="36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Del="00000000" w:rsidR="00000000" w:rsidRPr="00000000">
        <w:rPr>
          <w:rFonts w:ascii="Palatino Linotype" w:cs="Palatino Linotype" w:eastAsia="Palatino Linotype" w:hAnsi="Palatino Linotype"/>
          <w:b w:val="1"/>
          <w:rtl w:val="0"/>
        </w:rPr>
        <w:t xml:space="preserve">Constitución Política de los Estados Unidos Mexicanos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color w:val="222222"/>
          <w:highlight w:val="white"/>
          <w:rtl w:val="0"/>
        </w:rPr>
        <w:t xml:space="preserve">5, párrafos trigésimo, trigésimo primero, y trigésimo segundo fracciones I, II, III, IV y V </w:t>
      </w:r>
      <w:r w:rsidDel="00000000" w:rsidR="00000000" w:rsidRPr="00000000">
        <w:rPr>
          <w:rFonts w:ascii="Palatino Linotype" w:cs="Palatino Linotype" w:eastAsia="Palatino Linotype" w:hAnsi="Palatino Linotype"/>
          <w:rtl w:val="0"/>
        </w:rPr>
        <w:t xml:space="preserve">de la </w:t>
      </w:r>
      <w:r w:rsidDel="00000000" w:rsidR="00000000" w:rsidRPr="00000000">
        <w:rPr>
          <w:rFonts w:ascii="Palatino Linotype" w:cs="Palatino Linotype" w:eastAsia="Palatino Linotype" w:hAnsi="Palatino Linotype"/>
          <w:b w:val="1"/>
          <w:rtl w:val="0"/>
        </w:rPr>
        <w:t xml:space="preserve">Constitución Política del Estado Libre y Soberano de México</w:t>
      </w:r>
      <w:r w:rsidDel="00000000" w:rsidR="00000000" w:rsidRPr="00000000">
        <w:rPr>
          <w:rFonts w:ascii="Palatino Linotype" w:cs="Palatino Linotype" w:eastAsia="Palatino Linotype" w:hAnsi="Palatino Linotype"/>
          <w:rtl w:val="0"/>
        </w:rPr>
        <w:t xml:space="preserve">; artículos 1, 2 fracción II, 13, 29, 36 fracciones I y II, 176, 178, 179, 181 párrafo tercero y 185 de la </w:t>
      </w:r>
      <w:r w:rsidDel="00000000" w:rsidR="00000000" w:rsidRPr="00000000">
        <w:rPr>
          <w:rFonts w:ascii="Palatino Linotype" w:cs="Palatino Linotype" w:eastAsia="Palatino Linotype" w:hAnsi="Palatino Linotype"/>
          <w:b w:val="1"/>
          <w:rtl w:val="0"/>
        </w:rPr>
        <w:t xml:space="preserve">Ley de Transparencia y Acceso a la Información Pública del Estado de México y Municipios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7, 9 fracciones I y XXIV, y 11</w:t>
      </w:r>
      <w:r w:rsidDel="00000000" w:rsidR="00000000" w:rsidRPr="00000000">
        <w:rPr>
          <w:rFonts w:ascii="Palatino Linotype" w:cs="Palatino Linotype" w:eastAsia="Palatino Linotype" w:hAnsi="Palatino Linotype"/>
          <w:rtl w:val="0"/>
        </w:rPr>
        <w:t xml:space="preserve"> del </w:t>
      </w:r>
      <w:r w:rsidDel="00000000" w:rsidR="00000000" w:rsidRPr="00000000">
        <w:rPr>
          <w:rFonts w:ascii="Palatino Linotype" w:cs="Palatino Linotype" w:eastAsia="Palatino Linotype" w:hAnsi="Palatino Linotype"/>
          <w:b w:val="1"/>
          <w:rtl w:val="0"/>
        </w:rPr>
        <w:t xml:space="preserve">Reglamento Interior del Instituto de Transparencia, Acceso a la Información Pública y Protección de Datos Personales del Estado de México y Municipios.</w:t>
      </w:r>
      <w:r w:rsidDel="00000000" w:rsidR="00000000" w:rsidRPr="00000000">
        <w:rPr>
          <w:rtl w:val="0"/>
        </w:rPr>
      </w:r>
    </w:p>
    <w:p w:rsidR="00000000" w:rsidDel="00000000" w:rsidP="00000000" w:rsidRDefault="00000000" w:rsidRPr="00000000" w14:paraId="0000004E">
      <w:pPr>
        <w:pStyle w:val="Heading1"/>
        <w:spacing w:line="360" w:lineRule="auto"/>
        <w:rPr>
          <w:rFonts w:ascii="Palatino Linotype" w:cs="Palatino Linotype" w:eastAsia="Palatino Linotype" w:hAnsi="Palatino Linotype"/>
          <w:b w:val="1"/>
          <w:color w:val="000000"/>
          <w:sz w:val="24"/>
          <w:szCs w:val="24"/>
        </w:rPr>
      </w:pPr>
      <w:bookmarkStart w:colFirst="0" w:colLast="0" w:name="_heading=h.tyjcwt" w:id="5"/>
      <w:bookmarkEnd w:id="5"/>
      <w:r w:rsidDel="00000000" w:rsidR="00000000" w:rsidRPr="00000000">
        <w:rPr>
          <w:rFonts w:ascii="Palatino Linotype" w:cs="Palatino Linotype" w:eastAsia="Palatino Linotype" w:hAnsi="Palatino Linotype"/>
          <w:b w:val="1"/>
          <w:color w:val="000000"/>
          <w:sz w:val="24"/>
          <w:szCs w:val="24"/>
          <w:rtl w:val="0"/>
        </w:rPr>
        <w:t xml:space="preserve">SEGUNDO. De la oportunidad y procedencia.</w:t>
      </w:r>
    </w:p>
    <w:p w:rsidR="00000000" w:rsidDel="00000000" w:rsidP="00000000" w:rsidRDefault="00000000" w:rsidRPr="00000000" w14:paraId="0000004F">
      <w:pPr>
        <w:keepNext w:val="1"/>
        <w:keepLines w:val="1"/>
        <w:tabs>
          <w:tab w:val="left" w:pos="0"/>
        </w:tabs>
        <w:spacing w:line="36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50">
      <w:pPr>
        <w:pStyle w:val="Heading1"/>
        <w:spacing w:line="360" w:lineRule="auto"/>
        <w:rPr>
          <w:rFonts w:ascii="Palatino Linotype" w:cs="Palatino Linotype" w:eastAsia="Palatino Linotype" w:hAnsi="Palatino Linotype"/>
          <w:b w:val="1"/>
          <w:color w:val="000000"/>
          <w:sz w:val="24"/>
          <w:szCs w:val="24"/>
        </w:rPr>
      </w:pPr>
      <w:bookmarkStart w:colFirst="0" w:colLast="0" w:name="_heading=h.3dy6vkm" w:id="6"/>
      <w:bookmarkEnd w:id="6"/>
      <w:r w:rsidDel="00000000" w:rsidR="00000000" w:rsidRPr="00000000">
        <w:rPr>
          <w:rFonts w:ascii="Palatino Linotype" w:cs="Palatino Linotype" w:eastAsia="Palatino Linotype" w:hAnsi="Palatino Linotype"/>
          <w:b w:val="1"/>
          <w:color w:val="000000"/>
          <w:sz w:val="24"/>
          <w:szCs w:val="24"/>
          <w:rtl w:val="0"/>
        </w:rPr>
        <w:t xml:space="preserve">I. De la interposición del recurso. </w:t>
      </w:r>
    </w:p>
    <w:p w:rsidR="00000000" w:rsidDel="00000000" w:rsidP="00000000" w:rsidRDefault="00000000" w:rsidRPr="00000000" w14:paraId="00000051">
      <w:pPr>
        <w:keepNext w:val="1"/>
        <w:keepLines w:val="1"/>
        <w:tabs>
          <w:tab w:val="left" w:pos="0"/>
        </w:tabs>
        <w:spacing w:line="360" w:lineRule="auto"/>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0" w:right="4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medio de impugnación fue presentado a través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SAIMEX,</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en el formato previamente aprobado para tal efecto y dentro del plazo legal de quince días hábiles otorgados; para el caso en particular es de señalar que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entregó respuesta el día veintiocho (28) de junio de dos mil veintiuno, el plazo para interponer el recurso de revisión trascurrió del veintinueve (29) al veintinueve  de junio al dos (02) de agosto de dos mil veintiuno, por lo que si el particular interpuso recurso de revisión el uno (01) de junio de dos mil veintiuno se encuentra dentro del periodo establecido por la Ley. </w:t>
      </w:r>
    </w:p>
    <w:p w:rsidR="00000000" w:rsidDel="00000000" w:rsidP="00000000" w:rsidRDefault="00000000" w:rsidRPr="00000000" w14:paraId="00000053">
      <w:pPr>
        <w:pStyle w:val="Heading1"/>
        <w:spacing w:line="360" w:lineRule="auto"/>
        <w:rPr>
          <w:rFonts w:ascii="Palatino Linotype" w:cs="Palatino Linotype" w:eastAsia="Palatino Linotype" w:hAnsi="Palatino Linotype"/>
          <w:b w:val="1"/>
          <w:color w:val="000000"/>
          <w:sz w:val="24"/>
          <w:szCs w:val="24"/>
        </w:rPr>
      </w:pPr>
      <w:bookmarkStart w:colFirst="0" w:colLast="0" w:name="_heading=h.1t3h5sf" w:id="7"/>
      <w:bookmarkEnd w:id="7"/>
      <w:r w:rsidDel="00000000" w:rsidR="00000000" w:rsidRPr="00000000">
        <w:rPr>
          <w:rFonts w:ascii="Palatino Linotype" w:cs="Palatino Linotype" w:eastAsia="Palatino Linotype" w:hAnsi="Palatino Linotype"/>
          <w:b w:val="1"/>
          <w:color w:val="000000"/>
          <w:sz w:val="24"/>
          <w:szCs w:val="24"/>
          <w:rtl w:val="0"/>
        </w:rPr>
        <w:t xml:space="preserve">II. Del nombre como requisito innecesario para la tramitación del recurso. </w:t>
      </w:r>
    </w:p>
    <w:p w:rsidR="00000000" w:rsidDel="00000000" w:rsidP="00000000" w:rsidRDefault="00000000" w:rsidRPr="00000000" w14:paraId="00000054">
      <w:pPr>
        <w:tabs>
          <w:tab w:val="left" w:pos="426"/>
        </w:tabs>
        <w:spacing w:line="360" w:lineRule="auto"/>
        <w:ind w:right="49"/>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26"/>
        </w:tabs>
        <w:spacing w:after="160" w:before="0" w:line="360" w:lineRule="auto"/>
        <w:ind w:left="0" w:right="49" w:firstLine="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otro lado, de la revisión a los expedientes electrónicos contenidos en el sistema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SAIMEX,</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se desprende que la parte solicitante, en ejercicio de su derecho de acceso a la información pública en los expedientes acumulados que se revisan, tanto en la solicitud de información como en el recurso de revisión,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no señaló su nombre completo, ni se tiene certeza sobre su identidad</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r w:rsidDel="00000000" w:rsidR="00000000" w:rsidRPr="00000000">
        <w:rPr>
          <w:rtl w:val="0"/>
        </w:rPr>
      </w:r>
    </w:p>
    <w:p w:rsidR="00000000" w:rsidDel="00000000" w:rsidP="00000000" w:rsidRDefault="00000000" w:rsidRPr="00000000" w14:paraId="00000056">
      <w:pPr>
        <w:tabs>
          <w:tab w:val="left" w:pos="426"/>
        </w:tabs>
        <w:spacing w:line="360" w:lineRule="auto"/>
        <w:ind w:right="49"/>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57">
      <w:pPr>
        <w:numPr>
          <w:ilvl w:val="0"/>
          <w:numId w:val="3"/>
        </w:numPr>
        <w:tabs>
          <w:tab w:val="left" w:pos="426"/>
        </w:tabs>
        <w:spacing w:after="0" w:line="360" w:lineRule="auto"/>
        <w:ind w:left="0" w:right="49"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Esto es así, ya que de conformidad con los artículos 6, apartado A, fracciones III y IV de la </w:t>
      </w:r>
      <w:r w:rsidDel="00000000" w:rsidR="00000000" w:rsidRPr="00000000">
        <w:rPr>
          <w:rFonts w:ascii="Palatino Linotype" w:cs="Palatino Linotype" w:eastAsia="Palatino Linotype" w:hAnsi="Palatino Linotype"/>
          <w:b w:val="1"/>
          <w:rtl w:val="0"/>
        </w:rPr>
        <w:t xml:space="preserve">Constitución Política de los Estados Unidos Mexicanos</w:t>
      </w:r>
      <w:r w:rsidDel="00000000" w:rsidR="00000000" w:rsidRPr="00000000">
        <w:rPr>
          <w:rFonts w:ascii="Palatino Linotype" w:cs="Palatino Linotype" w:eastAsia="Palatino Linotype" w:hAnsi="Palatino Linotype"/>
          <w:rtl w:val="0"/>
        </w:rPr>
        <w:t xml:space="preserve">; 5, párrafos trigésimo, trigésimo primero y trigésimo segundo, fracciones III, IV y V, de la </w:t>
      </w:r>
      <w:r w:rsidDel="00000000" w:rsidR="00000000" w:rsidRPr="00000000">
        <w:rPr>
          <w:rFonts w:ascii="Palatino Linotype" w:cs="Palatino Linotype" w:eastAsia="Palatino Linotype" w:hAnsi="Palatino Linotype"/>
          <w:b w:val="1"/>
          <w:rtl w:val="0"/>
        </w:rPr>
        <w:t xml:space="preserve">Constitución Política del Estado Libre y Soberano de México</w:t>
      </w:r>
      <w:r w:rsidDel="00000000" w:rsidR="00000000" w:rsidRPr="00000000">
        <w:rPr>
          <w:rFonts w:ascii="Palatino Linotype" w:cs="Palatino Linotype" w:eastAsia="Palatino Linotype" w:hAnsi="Palatino Linotype"/>
          <w:rtl w:val="0"/>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r w:rsidDel="00000000" w:rsidR="00000000" w:rsidRPr="00000000">
        <w:rPr>
          <w:rtl w:val="0"/>
        </w:rPr>
      </w:r>
    </w:p>
    <w:p w:rsidR="00000000" w:rsidDel="00000000" w:rsidP="00000000" w:rsidRDefault="00000000" w:rsidRPr="00000000" w14:paraId="00000058">
      <w:pPr>
        <w:tabs>
          <w:tab w:val="left" w:pos="426"/>
        </w:tabs>
        <w:spacing w:line="360" w:lineRule="auto"/>
        <w:ind w:right="49"/>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59">
      <w:pPr>
        <w:numPr>
          <w:ilvl w:val="0"/>
          <w:numId w:val="3"/>
        </w:numPr>
        <w:tabs>
          <w:tab w:val="left" w:pos="426"/>
        </w:tabs>
        <w:spacing w:after="0" w:line="360" w:lineRule="auto"/>
        <w:ind w:left="0" w:right="49"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Del="00000000" w:rsidR="00000000" w:rsidRPr="00000000">
        <w:rPr>
          <w:rtl w:val="0"/>
        </w:rPr>
      </w:r>
    </w:p>
    <w:p w:rsidR="00000000" w:rsidDel="00000000" w:rsidP="00000000" w:rsidRDefault="00000000" w:rsidRPr="00000000" w14:paraId="0000005A">
      <w:pPr>
        <w:tabs>
          <w:tab w:val="left" w:pos="426"/>
        </w:tabs>
        <w:spacing w:line="360" w:lineRule="auto"/>
        <w:ind w:right="49"/>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5B">
      <w:pPr>
        <w:numPr>
          <w:ilvl w:val="0"/>
          <w:numId w:val="3"/>
        </w:numPr>
        <w:tabs>
          <w:tab w:val="left" w:pos="426"/>
        </w:tabs>
        <w:spacing w:after="0" w:line="360" w:lineRule="auto"/>
        <w:ind w:left="0" w:right="49"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Asimismo, como lo establece la Convención Americana, en su artículo 13, el derecho de acceso a la información es un derecho humano universal y, en consecuencia, toda persona tiene derecho a solicitar acceso a la información.</w:t>
      </w:r>
      <w:r w:rsidDel="00000000" w:rsidR="00000000" w:rsidRPr="00000000">
        <w:rPr>
          <w:rtl w:val="0"/>
        </w:rPr>
      </w:r>
    </w:p>
    <w:p w:rsidR="00000000" w:rsidDel="00000000" w:rsidP="00000000" w:rsidRDefault="00000000" w:rsidRPr="00000000" w14:paraId="0000005C">
      <w:pPr>
        <w:tabs>
          <w:tab w:val="left" w:pos="426"/>
        </w:tabs>
        <w:spacing w:line="360" w:lineRule="auto"/>
        <w:ind w:right="49"/>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5D">
      <w:pPr>
        <w:numPr>
          <w:ilvl w:val="0"/>
          <w:numId w:val="3"/>
        </w:numPr>
        <w:tabs>
          <w:tab w:val="left" w:pos="426"/>
        </w:tabs>
        <w:spacing w:after="0" w:line="360" w:lineRule="auto"/>
        <w:ind w:left="0" w:right="49"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r w:rsidDel="00000000" w:rsidR="00000000" w:rsidRPr="00000000">
        <w:rPr>
          <w:rtl w:val="0"/>
        </w:rPr>
      </w:r>
    </w:p>
    <w:p w:rsidR="00000000" w:rsidDel="00000000" w:rsidP="00000000" w:rsidRDefault="00000000" w:rsidRPr="00000000" w14:paraId="0000005E">
      <w:pPr>
        <w:tabs>
          <w:tab w:val="left" w:pos="426"/>
        </w:tabs>
        <w:spacing w:line="360" w:lineRule="auto"/>
        <w:ind w:right="49"/>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5F">
      <w:pPr>
        <w:numPr>
          <w:ilvl w:val="0"/>
          <w:numId w:val="3"/>
        </w:numPr>
        <w:tabs>
          <w:tab w:val="left" w:pos="426"/>
        </w:tabs>
        <w:spacing w:after="160" w:line="360" w:lineRule="auto"/>
        <w:ind w:left="0" w:right="49"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Por lo tanto, el nombre de la </w:t>
      </w:r>
      <w:r w:rsidDel="00000000" w:rsidR="00000000" w:rsidRPr="00000000">
        <w:rPr>
          <w:rFonts w:ascii="Palatino Linotype" w:cs="Palatino Linotype" w:eastAsia="Palatino Linotype" w:hAnsi="Palatino Linotype"/>
          <w:b w:val="1"/>
          <w:rtl w:val="0"/>
        </w:rPr>
        <w:t xml:space="preserve">SOLICITANTE</w:t>
      </w:r>
      <w:r w:rsidDel="00000000" w:rsidR="00000000" w:rsidRPr="00000000">
        <w:rPr>
          <w:rFonts w:ascii="Palatino Linotype" w:cs="Palatino Linotype" w:eastAsia="Palatino Linotype" w:hAnsi="Palatino Linotype"/>
          <w:rtl w:val="0"/>
        </w:rPr>
        <w:t xml:space="preserve"> y subsecuente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r w:rsidDel="00000000" w:rsidR="00000000" w:rsidRPr="00000000">
        <w:rPr>
          <w:rtl w:val="0"/>
        </w:rPr>
      </w:r>
    </w:p>
    <w:p w:rsidR="00000000" w:rsidDel="00000000" w:rsidP="00000000" w:rsidRDefault="00000000" w:rsidRPr="00000000" w14:paraId="00000060">
      <w:pPr>
        <w:pStyle w:val="Heading1"/>
        <w:spacing w:line="360" w:lineRule="auto"/>
        <w:rPr>
          <w:rFonts w:ascii="Palatino Linotype" w:cs="Palatino Linotype" w:eastAsia="Palatino Linotype" w:hAnsi="Palatino Linotype"/>
          <w:b w:val="1"/>
          <w:color w:val="000000"/>
          <w:sz w:val="24"/>
          <w:szCs w:val="24"/>
        </w:rPr>
      </w:pPr>
      <w:bookmarkStart w:colFirst="0" w:colLast="0" w:name="_heading=h.4d34og8" w:id="8"/>
      <w:bookmarkEnd w:id="8"/>
      <w:r w:rsidDel="00000000" w:rsidR="00000000" w:rsidRPr="00000000">
        <w:rPr>
          <w:rFonts w:ascii="Palatino Linotype" w:cs="Palatino Linotype" w:eastAsia="Palatino Linotype" w:hAnsi="Palatino Linotype"/>
          <w:b w:val="1"/>
          <w:color w:val="000000"/>
          <w:sz w:val="24"/>
          <w:szCs w:val="24"/>
          <w:rtl w:val="0"/>
        </w:rPr>
        <w:t xml:space="preserve">III. De la determinación sobre la procedibilidad del recurso. </w:t>
      </w:r>
    </w:p>
    <w:p w:rsidR="00000000" w:rsidDel="00000000" w:rsidP="00000000" w:rsidRDefault="00000000" w:rsidRPr="00000000" w14:paraId="00000061">
      <w:pPr>
        <w:spacing w:line="360"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0" w:right="4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00000" w:rsidDel="00000000" w:rsidP="00000000" w:rsidRDefault="00000000" w:rsidRPr="00000000" w14:paraId="00000063">
      <w:pPr>
        <w:pStyle w:val="Heading1"/>
        <w:spacing w:line="360" w:lineRule="auto"/>
        <w:rPr>
          <w:rFonts w:ascii="Palatino Linotype" w:cs="Palatino Linotype" w:eastAsia="Palatino Linotype" w:hAnsi="Palatino Linotype"/>
          <w:sz w:val="24"/>
          <w:szCs w:val="24"/>
        </w:rPr>
      </w:pPr>
      <w:bookmarkStart w:colFirst="0" w:colLast="0" w:name="_heading=h.2s8eyo1" w:id="9"/>
      <w:bookmarkEnd w:id="9"/>
      <w:r w:rsidDel="00000000" w:rsidR="00000000" w:rsidRPr="00000000">
        <w:rPr>
          <w:rFonts w:ascii="Palatino Linotype" w:cs="Palatino Linotype" w:eastAsia="Palatino Linotype" w:hAnsi="Palatino Linotype"/>
          <w:b w:val="1"/>
          <w:color w:val="000000"/>
          <w:sz w:val="24"/>
          <w:szCs w:val="24"/>
          <w:rtl w:val="0"/>
        </w:rPr>
        <w:t xml:space="preserve">TERCERO. Del planteamiento de la </w:t>
      </w:r>
      <w:r w:rsidDel="00000000" w:rsidR="00000000" w:rsidRPr="00000000">
        <w:rPr>
          <w:rFonts w:ascii="Palatino Linotype" w:cs="Palatino Linotype" w:eastAsia="Palatino Linotype" w:hAnsi="Palatino Linotype"/>
          <w:b w:val="1"/>
          <w:i w:val="1"/>
          <w:color w:val="000000"/>
          <w:sz w:val="24"/>
          <w:szCs w:val="24"/>
          <w:rtl w:val="0"/>
        </w:rPr>
        <w:t xml:space="preserve">Litis.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recurso revisión tiene como finalidad reparar cualquier posible afectación al derecho de acceso a la información pública en términos del Título Octavo de la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Ley de Transparencia y Acceso a la Información Pública del Estado de México y Municipios</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y determinar la confirmación; revocación o modificación; desechamiento o sobreseimiento; y en su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caso ordenar la entrega de la información,</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respecto a las respuestas o falta de ellas de los Sujetos Obligados.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las constancias en el expediente al rubro indicado, se desprende que el particular solicitó acceso a información relacionada con el nombre de las personas vacunadas en el Ayuntamiento de Toluca  y en tipo de vacuna empleada, requerimiento, al que se respondió refiriendo la imposibilidad de otorgar la información debido a que corresponde a información confidencial susceptible de clasificarse, situación por la que la particular se inconforma e interpone el presente recurso de revisión, argumentado como razones o motivos de inconformidad la clasificación de la información solicitada.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ese sentido, el agravio del recurrente consiste en que la respuesta proporcionada por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no garantizo el principio contenido en el artículo 11 de la Ley de Transparencia y Acceso a la Información Pública del Estado de México y Municipios, el cual señala que en la generación, publicación y entrega de información está sujeta a aun régimen reducido de restricciones.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que de este modo, el presente recurso de revisión se circunscribe a determinar si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al referir la imposibilidad para atender la solicitud de información, vulnera el derecho de acceso a la información accionado por el particular actualizando la causal de procedencia prevista en el artículo 179 fracción XIII de la Ley de Transparencia y Acceso a la Información del Estado de México y Municipios.</w:t>
      </w:r>
      <w:r w:rsidDel="00000000" w:rsidR="00000000" w:rsidRPr="00000000">
        <w:rPr>
          <w:rtl w:val="0"/>
        </w:rPr>
      </w:r>
    </w:p>
    <w:p w:rsidR="00000000" w:rsidDel="00000000" w:rsidP="00000000" w:rsidRDefault="00000000" w:rsidRPr="00000000" w14:paraId="0000006B">
      <w:pPr>
        <w:pStyle w:val="Heading1"/>
        <w:spacing w:line="360" w:lineRule="auto"/>
        <w:rPr>
          <w:rFonts w:ascii="Palatino Linotype" w:cs="Palatino Linotype" w:eastAsia="Palatino Linotype" w:hAnsi="Palatino Linotype"/>
          <w:b w:val="1"/>
          <w:color w:val="000000"/>
          <w:sz w:val="24"/>
          <w:szCs w:val="24"/>
        </w:rPr>
      </w:pPr>
      <w:bookmarkStart w:colFirst="0" w:colLast="0" w:name="_heading=h.17dp8vu" w:id="10"/>
      <w:bookmarkEnd w:id="10"/>
      <w:r w:rsidDel="00000000" w:rsidR="00000000" w:rsidRPr="00000000">
        <w:rPr>
          <w:rFonts w:ascii="Palatino Linotype" w:cs="Palatino Linotype" w:eastAsia="Palatino Linotype" w:hAnsi="Palatino Linotype"/>
          <w:b w:val="1"/>
          <w:color w:val="000000"/>
          <w:sz w:val="24"/>
          <w:szCs w:val="24"/>
          <w:rtl w:val="0"/>
        </w:rPr>
        <w:t xml:space="preserve">CUARTO. Estudio y resolución del asunto.</w:t>
      </w:r>
    </w:p>
    <w:p w:rsidR="00000000" w:rsidDel="00000000" w:rsidP="00000000" w:rsidRDefault="00000000" w:rsidRPr="00000000" w14:paraId="0000006C">
      <w:pPr>
        <w:pStyle w:val="Heading2"/>
        <w:spacing w:line="36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D">
      <w:pPr>
        <w:pStyle w:val="Heading2"/>
        <w:spacing w:line="360" w:lineRule="auto"/>
        <w:rPr>
          <w:rFonts w:ascii="Palatino Linotype" w:cs="Palatino Linotype" w:eastAsia="Palatino Linotype" w:hAnsi="Palatino Linotype"/>
          <w:b w:val="1"/>
          <w:color w:val="000000"/>
          <w:sz w:val="24"/>
          <w:szCs w:val="24"/>
        </w:rPr>
      </w:pPr>
      <w:bookmarkStart w:colFirst="0" w:colLast="0" w:name="_heading=h.3rdcrjn" w:id="11"/>
      <w:bookmarkEnd w:id="11"/>
      <w:r w:rsidDel="00000000" w:rsidR="00000000" w:rsidRPr="00000000">
        <w:rPr>
          <w:rFonts w:ascii="Palatino Linotype" w:cs="Palatino Linotype" w:eastAsia="Palatino Linotype" w:hAnsi="Palatino Linotype"/>
          <w:b w:val="1"/>
          <w:color w:val="000000"/>
          <w:sz w:val="24"/>
          <w:szCs w:val="24"/>
          <w:rtl w:val="0"/>
        </w:rPr>
        <w:t xml:space="preserve">I. De la competencia del Sujeto Obligado para poseer, generar o administrar la información. </w:t>
      </w:r>
    </w:p>
    <w:p w:rsidR="00000000" w:rsidDel="00000000" w:rsidP="00000000" w:rsidRDefault="00000000" w:rsidRPr="00000000" w14:paraId="0000006E">
      <w:pPr>
        <w:spacing w:line="360"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Ley de Transparencia y Acceso a la Información Pública del Estado de México y Municipios</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0" w:before="0" w:line="360" w:lineRule="auto"/>
        <w:ind w:left="0"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ese sentido, del análisis efectuado a los requerimientos realizados por el particular se advierte la procedencia del recurso de revisión, toda vez que se actualizaron las hipótesis previstas en las fracciones II y XIII, del artículo 179 de la Ley de Transparencia y Acceso a la Información Pública del Estado de México y Municipios, que a la letra indican:</w:t>
      </w:r>
      <w:r w:rsidDel="00000000" w:rsidR="00000000" w:rsidRPr="00000000">
        <w:rPr>
          <w:rtl w:val="0"/>
        </w:rPr>
      </w:r>
    </w:p>
    <w:p w:rsidR="00000000" w:rsidDel="00000000" w:rsidP="00000000" w:rsidRDefault="00000000" w:rsidRPr="00000000" w14:paraId="00000074">
      <w:pPr>
        <w:spacing w:after="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5">
      <w:pPr>
        <w:spacing w:line="360" w:lineRule="auto"/>
        <w:ind w:left="709" w:right="70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179.</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El recurso de revisión</w:t>
      </w:r>
      <w:r w:rsidDel="00000000" w:rsidR="00000000" w:rsidRPr="00000000">
        <w:rPr>
          <w:rFonts w:ascii="Palatino Linotype" w:cs="Palatino Linotype" w:eastAsia="Palatino Linotype" w:hAnsi="Palatino Linotype"/>
          <w:i w:val="1"/>
          <w:rtl w:val="0"/>
        </w:rPr>
        <w:t xml:space="preserve"> es un medio de protección que la Ley otorga a los particulares, para hacer valer su derecho de acceso a la información pública, y </w:t>
      </w:r>
      <w:r w:rsidDel="00000000" w:rsidR="00000000" w:rsidRPr="00000000">
        <w:rPr>
          <w:rFonts w:ascii="Palatino Linotype" w:cs="Palatino Linotype" w:eastAsia="Palatino Linotype" w:hAnsi="Palatino Linotype"/>
          <w:b w:val="1"/>
          <w:i w:val="1"/>
          <w:rtl w:val="0"/>
        </w:rPr>
        <w:t xml:space="preserve">procederá en contra de las siguientes causas</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76">
      <w:pPr>
        <w:spacing w:line="360" w:lineRule="auto"/>
        <w:ind w:left="709" w:right="709"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77">
      <w:pPr>
        <w:tabs>
          <w:tab w:val="left" w:pos="1276"/>
        </w:tabs>
        <w:spacing w:line="360" w:lineRule="auto"/>
        <w:ind w:left="709" w:right="70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78">
      <w:pPr>
        <w:tabs>
          <w:tab w:val="left" w:pos="1276"/>
        </w:tabs>
        <w:spacing w:line="360" w:lineRule="auto"/>
        <w:ind w:left="709" w:right="709"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79">
      <w:pPr>
        <w:tabs>
          <w:tab w:val="left" w:pos="1276"/>
        </w:tabs>
        <w:spacing w:line="360" w:lineRule="auto"/>
        <w:ind w:left="709" w:right="70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XIII.</w:t>
        <w:tab/>
      </w:r>
      <w:r w:rsidDel="00000000" w:rsidR="00000000" w:rsidRPr="00000000">
        <w:rPr>
          <w:rFonts w:ascii="Palatino Linotype" w:cs="Palatino Linotype" w:eastAsia="Palatino Linotype" w:hAnsi="Palatino Linotype"/>
          <w:b w:val="1"/>
          <w:i w:val="1"/>
          <w:rtl w:val="0"/>
        </w:rPr>
        <w:t xml:space="preserve">La</w:t>
      </w:r>
      <w:r w:rsidDel="00000000" w:rsidR="00000000" w:rsidRPr="00000000">
        <w:rPr>
          <w:rFonts w:ascii="Palatino Linotype" w:cs="Palatino Linotype" w:eastAsia="Palatino Linotype" w:hAnsi="Palatino Linotype"/>
          <w:i w:val="1"/>
          <w:rtl w:val="0"/>
        </w:rPr>
        <w:t xml:space="preserve"> falta, </w:t>
      </w:r>
      <w:r w:rsidDel="00000000" w:rsidR="00000000" w:rsidRPr="00000000">
        <w:rPr>
          <w:rFonts w:ascii="Palatino Linotype" w:cs="Palatino Linotype" w:eastAsia="Palatino Linotype" w:hAnsi="Palatino Linotype"/>
          <w:b w:val="1"/>
          <w:i w:val="1"/>
          <w:rtl w:val="0"/>
        </w:rPr>
        <w:t xml:space="preserve">deficiencia o insuficiencia de la fundamentación y/o motivación en la respuesta</w:t>
      </w:r>
      <w:r w:rsidDel="00000000" w:rsidR="00000000" w:rsidRPr="00000000">
        <w:rPr>
          <w:rFonts w:ascii="Palatino Linotype" w:cs="Palatino Linotype" w:eastAsia="Palatino Linotype" w:hAnsi="Palatino Linotype"/>
          <w:i w:val="1"/>
          <w:rtl w:val="0"/>
        </w:rPr>
        <w:t xml:space="preserve">; y</w:t>
      </w:r>
    </w:p>
    <w:p w:rsidR="00000000" w:rsidDel="00000000" w:rsidP="00000000" w:rsidRDefault="00000000" w:rsidRPr="00000000" w14:paraId="0000007A">
      <w:pPr>
        <w:tabs>
          <w:tab w:val="left" w:pos="1276"/>
        </w:tabs>
        <w:spacing w:line="360" w:lineRule="auto"/>
        <w:ind w:right="709"/>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7B">
      <w:pPr>
        <w:tabs>
          <w:tab w:val="left" w:pos="1276"/>
        </w:tabs>
        <w:spacing w:line="360" w:lineRule="auto"/>
        <w:ind w:left="709" w:right="709"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7C">
      <w:pPr>
        <w:spacing w:line="360" w:lineRule="auto"/>
        <w:ind w:left="709" w:right="70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(Énfasis añadido)</w:t>
      </w:r>
    </w:p>
    <w:p w:rsidR="00000000" w:rsidDel="00000000" w:rsidP="00000000" w:rsidRDefault="00000000" w:rsidRPr="00000000" w14:paraId="0000007D">
      <w:pPr>
        <w:spacing w:line="360" w:lineRule="auto"/>
        <w:ind w:right="70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36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Para ilustrar dicha actualización, debemos recordar que el hoy</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la solicitud de acceso a la información pública, requirió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vía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SAIMEX</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lo siguiente: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spacing w:after="360" w:before="240" w:line="360" w:lineRule="auto"/>
        <w:ind w:left="567" w:right="616"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“Deseo saber el nombre de las personas vacunadas en Toluca, Estado de México y que vacuna se han puesto.” (Sic)</w:t>
      </w:r>
    </w:p>
    <w:p w:rsidR="00000000" w:rsidDel="00000000" w:rsidP="00000000" w:rsidRDefault="00000000" w:rsidRPr="00000000" w14:paraId="0000008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36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respuesta a las solicitudes de acceso a la información pública, el</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SUJETO OBIGADO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indicó que no era posible poner a disposición  la información solicitada en los siguientes términos: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0" w:line="360" w:lineRule="auto"/>
        <w:ind w:left="567" w:right="616"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“Asimismo, en el artículo 163 de la Ley de Transparencia y Acceso a la Información Pública del Estado de México y Municipios; y de conformidad con lo expuesto en el Manual General de Organización del Instituto de Salud del Estado de México (ISEM), la Dirección de Servicios de Salud, tiene por objetivo: “Planear, coordinar y controlar el cumplimiento de los programas y acciones en materia de prevención, detección y control de enfermedades, promoción de la salud prevención de adicciones, vigilancia y control epidemiológico y atención médica de primero, segundo y tercer nivel, que coadyuven al mejoramiento de la atención que se proporciona a la población abierta de la entidad”, por tal razón, refiere a usted lo siguiente: “En relación a la información solicitada comento a usted que la misma es improcedente: La Ley General de Transparencia y Acceso a la Información Pública, así como la Ley Federal de Transparencia y Acceso a la Información Pública, en sus artículos 116 y 113 fracción I, respectivamente, consideran que información confidencial “es la que contiene datos personales concernientes a una persona identificada o identificable… no estará sujeta a temporalidad alguna y sólo podrán tener acceso a ella los titulares de la misma, sus representantes y los servidores públicos facultados para ello”. A su vez, la Ley General de Protección de Datos Personales en Posesión de Sujetos Obligados en su artículo 2, fracción IX, establece que se entenderá como datos personales los siguientes: Cualquier información concerniente a una persona física identificada o identificable. Se considera que una persona es identificable cuando su identidad pueda determinarse directa o indirectamente a través de cualquier información.” (Sic)</w:t>
      </w:r>
    </w:p>
    <w:p w:rsidR="00000000" w:rsidDel="00000000" w:rsidP="00000000" w:rsidRDefault="00000000" w:rsidRPr="00000000" w14:paraId="00000084">
      <w:pPr>
        <w:widowControl w:val="0"/>
        <w:numPr>
          <w:ilvl w:val="0"/>
          <w:numId w:val="3"/>
        </w:numPr>
        <w:spacing w:after="240" w:line="36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se observa que, el Sujeto Obligado pretende la clasificación de la información solicitada, no obstante, es pertinente referir que el 24 de marzo 2020, se publicó en el Diario Oficial de la Federación, el "</w:t>
      </w:r>
      <w:r w:rsidDel="00000000" w:rsidR="00000000" w:rsidRPr="00000000">
        <w:rPr>
          <w:rFonts w:ascii="Palatino Linotype" w:cs="Palatino Linotype" w:eastAsia="Palatino Linotype" w:hAnsi="Palatino Linotype"/>
          <w:i w:val="1"/>
          <w:rtl w:val="0"/>
        </w:rPr>
        <w:t xml:space="preserve">Acuerdo por el que se establecen las medidas preventivas que se deberán implementar para la mitigación y control de los riesgos para la salud que implica la enfermedad por el virus SARS-CoV-2 (COVID-19)"</w:t>
      </w:r>
      <w:r w:rsidDel="00000000" w:rsidR="00000000" w:rsidRPr="00000000">
        <w:rPr>
          <w:rFonts w:ascii="Palatino Linotype" w:cs="Palatino Linotype" w:eastAsia="Palatino Linotype" w:hAnsi="Palatino Linotype"/>
          <w:i w:val="1"/>
          <w:vertAlign w:val="superscript"/>
        </w:rPr>
        <w:footnoteReference w:customMarkFollows="0" w:id="0"/>
      </w:r>
      <w:r w:rsidDel="00000000" w:rsidR="00000000" w:rsidRPr="00000000">
        <w:rPr>
          <w:rFonts w:ascii="Palatino Linotype" w:cs="Palatino Linotype" w:eastAsia="Palatino Linotype" w:hAnsi="Palatino Linotype"/>
          <w:rtl w:val="0"/>
        </w:rPr>
        <w:t xml:space="preserve">, mismas que fueron sancionadas por el Presidente de la República, mediante Decreto publicado en el mencionado medio oficial de difusión en la misma fecha.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426"/>
        </w:tabs>
        <w:spacing w:after="36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ese mismo sentido, en fecha ocho (08) de enero de dos mil veintiuno, se publicó en el Diario Oficial de la Federación, el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“Acuerdo por el que se da a conocer el medio de difusión de la Política Nacional de Vacunación contra el virus SARS-CoV-2 para la prevención de la COVID-19 en México”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 mismo que refiere que “</w:t>
      </w:r>
      <w:r w:rsidDel="00000000" w:rsidR="00000000" w:rsidRPr="00000000">
        <w:rPr>
          <w:rFonts w:ascii="Palatino Linotype" w:cs="Palatino Linotype" w:eastAsia="Palatino Linotype" w:hAnsi="Palatino Linotype"/>
          <w:b w:val="0"/>
          <w:i w:val="1"/>
          <w:smallCaps w:val="0"/>
          <w:strike w:val="0"/>
          <w:color w:val="2f2f2f"/>
          <w:sz w:val="24"/>
          <w:szCs w:val="24"/>
          <w:u w:val="none"/>
          <w:shd w:fill="auto" w:val="clear"/>
          <w:vertAlign w:val="baseline"/>
          <w:rtl w:val="0"/>
        </w:rPr>
        <w:t xml:space="preserve">el Estado mexicano debe procurar el abasto y la distribución oportuna y gratuita, así como la disponibilidad de los insumos necesarios para las acciones de vacunación, y que en el caso de las acciones relativas a la mitigación y control de la enfermedad grave de atención prioritaria generada por el virus SARS-CoV-2 (COVID-19), ha resuelto que su aplicación sea universal” (Sic)</w:t>
      </w:r>
      <w:r w:rsidDel="00000000" w:rsidR="00000000" w:rsidRPr="00000000">
        <w:rPr>
          <w:rtl w:val="0"/>
        </w:rPr>
      </w:r>
    </w:p>
    <w:p w:rsidR="00000000" w:rsidDel="00000000" w:rsidP="00000000" w:rsidRDefault="00000000" w:rsidRPr="00000000" w14:paraId="00000087">
      <w:pPr>
        <w:widowControl w:val="0"/>
        <w:numPr>
          <w:ilvl w:val="0"/>
          <w:numId w:val="3"/>
        </w:numPr>
        <w:spacing w:after="0" w:before="360" w:line="36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contexto, el veintiuno (21) de enero de dos mil veintiuno, se publicó en el Diario Oficial de la Federación el </w:t>
      </w:r>
      <w:r w:rsidDel="00000000" w:rsidR="00000000" w:rsidRPr="00000000">
        <w:rPr>
          <w:rFonts w:ascii="Palatino Linotype" w:cs="Palatino Linotype" w:eastAsia="Palatino Linotype" w:hAnsi="Palatino Linotype"/>
          <w:i w:val="1"/>
          <w:rtl w:val="0"/>
        </w:rPr>
        <w:t xml:space="preserve">Acuerdo por el que se establecen brigadas especiales, como una acción extraordinaria en materia de salubridad general, para llevar a cabo la vacunación como medida para la mitigación y control de la enfermedad COVID-19, en todo el territorio nacional</w:t>
      </w:r>
      <w:r w:rsidDel="00000000" w:rsidR="00000000" w:rsidRPr="00000000">
        <w:rPr>
          <w:rFonts w:ascii="Palatino Linotype" w:cs="Palatino Linotype" w:eastAsia="Palatino Linotype" w:hAnsi="Palatino Linotype"/>
          <w:i w:val="1"/>
          <w:vertAlign w:val="superscript"/>
        </w:rPr>
        <w:footnoteReference w:customMarkFollows="0" w:id="1"/>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rtl w:val="0"/>
        </w:rPr>
        <w:t xml:space="preserve">publicado en el Diario Oficial de la Federación el veintiuno de enero de dos mil veintiuno, mismo que tiene por objeto establecer las brigadas, como una acción extraordinaria en materia de salubridad general, para para la estrategia operativa que se implemente a nivel federal, para llevar a cabo la vacunación como medida para la mitigación y control de la enfermedad COVID-19, en todo el territorio nacional, en ese sentido, este Órgano Garante advierte que el programa de vacunación resulta ser una estrategia nacional para combatir la pandemia causada por el Virus SARSR-COV-2, por lo que invariablemente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pudiera contar con la información solicitada.  </w:t>
      </w:r>
    </w:p>
    <w:p w:rsidR="00000000" w:rsidDel="00000000" w:rsidP="00000000" w:rsidRDefault="00000000" w:rsidRPr="00000000" w14:paraId="00000088">
      <w:pPr>
        <w:widowControl w:val="0"/>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9">
      <w:pPr>
        <w:widowControl w:val="0"/>
        <w:numPr>
          <w:ilvl w:val="0"/>
          <w:numId w:val="3"/>
        </w:numPr>
        <w:spacing w:after="0" w:before="0" w:line="36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Apuntado lo anterior, es necesario citar, que el artículo 167</w:t>
      </w:r>
      <w:r w:rsidDel="00000000" w:rsidR="00000000" w:rsidRPr="00000000">
        <w:rPr>
          <w:rFonts w:ascii="Palatino Linotype" w:cs="Palatino Linotype" w:eastAsia="Palatino Linotype" w:hAnsi="Palatino Linotype"/>
          <w:b w:val="1"/>
          <w:rtl w:val="0"/>
        </w:rPr>
        <w:t xml:space="preserve"> de la Transparencia y Acceso a la Información Pública del Estado de México y Municipios </w:t>
      </w:r>
      <w:r w:rsidDel="00000000" w:rsidR="00000000" w:rsidRPr="00000000">
        <w:rPr>
          <w:rFonts w:ascii="Palatino Linotype" w:cs="Palatino Linotype" w:eastAsia="Palatino Linotype" w:hAnsi="Palatino Linotype"/>
          <w:rtl w:val="0"/>
        </w:rPr>
        <w:t xml:space="preserve">dispone el procedimiento que se debe observar en los casos en que las Unidades de Transparencia determinen la notoria incompetencia, respecto a la información solicitada.</w:t>
      </w:r>
    </w:p>
    <w:p w:rsidR="00000000" w:rsidDel="00000000" w:rsidP="00000000" w:rsidRDefault="00000000" w:rsidRPr="00000000" w14:paraId="0000008A">
      <w:pPr>
        <w:spacing w:line="360" w:lineRule="auto"/>
        <w:ind w:left="39" w:right="17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B">
      <w:pPr>
        <w:spacing w:line="360" w:lineRule="auto"/>
        <w:ind w:left="567" w:right="56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167. </w:t>
      </w:r>
      <w:r w:rsidDel="00000000" w:rsidR="00000000" w:rsidRPr="00000000">
        <w:rPr>
          <w:rFonts w:ascii="Palatino Linotype" w:cs="Palatino Linotype" w:eastAsia="Palatino Linotype" w:hAnsi="Palatino Linotype"/>
          <w:i w:val="1"/>
          <w:rtl w:val="0"/>
        </w:rPr>
        <w:t xml:space="preserve">Cuando las </w:t>
      </w:r>
      <w:r w:rsidDel="00000000" w:rsidR="00000000" w:rsidRPr="00000000">
        <w:rPr>
          <w:rFonts w:ascii="Palatino Linotype" w:cs="Palatino Linotype" w:eastAsia="Palatino Linotype" w:hAnsi="Palatino Linotype"/>
          <w:b w:val="1"/>
          <w:i w:val="1"/>
          <w:rtl w:val="0"/>
        </w:rPr>
        <w:t xml:space="preserve">unidades de transparencia determinen la notoria incompetencia por parte de los sujetos obligado</w:t>
      </w:r>
      <w:r w:rsidDel="00000000" w:rsidR="00000000" w:rsidRPr="00000000">
        <w:rPr>
          <w:rFonts w:ascii="Palatino Linotype" w:cs="Palatino Linotype" w:eastAsia="Palatino Linotype" w:hAnsi="Palatino Linotype"/>
          <w:i w:val="1"/>
          <w:rtl w:val="0"/>
        </w:rPr>
        <w:t xml:space="preserve">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000000" w:rsidDel="00000000" w:rsidP="00000000" w:rsidRDefault="00000000" w:rsidRPr="00000000" w14:paraId="0000008C">
      <w:pPr>
        <w:spacing w:line="360" w:lineRule="auto"/>
        <w:ind w:right="567"/>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8D">
      <w:pPr>
        <w:spacing w:line="360" w:lineRule="auto"/>
        <w:ind w:left="567" w:right="56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(Énfasis añadido)</w:t>
      </w:r>
    </w:p>
    <w:p w:rsidR="00000000" w:rsidDel="00000000" w:rsidP="00000000" w:rsidRDefault="00000000" w:rsidRPr="00000000" w14:paraId="0000008E">
      <w:pPr>
        <w:spacing w:line="360" w:lineRule="auto"/>
        <w:ind w:left="34" w:right="36"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pos="426"/>
        </w:tabs>
        <w:spacing w:after="120" w:before="240" w:line="360" w:lineRule="auto"/>
        <w:ind w:left="0" w:right="4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ese sentido, de la revisión al expediente electrónico radicado en el Sistema de Acceso a la Información Mexiquense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(SAIMEX)</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se advierte que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no realizó pronunciamiento respecto de la incompetencia para contar con la información solicitada, en ese sentido, dicha incompetencia tiene que ser aprobada por el Comité de Transparencia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en términos del numeral 49 fracciones I y II de la Ley de la Materia, que literalmente señala:</w:t>
      </w:r>
    </w:p>
    <w:p w:rsidR="00000000" w:rsidDel="00000000" w:rsidP="00000000" w:rsidRDefault="00000000" w:rsidRPr="00000000" w14:paraId="00000090">
      <w:pPr>
        <w:shd w:fill="ffffff" w:val="clear"/>
        <w:tabs>
          <w:tab w:val="left" w:pos="426"/>
        </w:tabs>
        <w:spacing w:after="0" w:before="240" w:line="360" w:lineRule="auto"/>
        <w:ind w:right="49"/>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91">
      <w:pPr>
        <w:tabs>
          <w:tab w:val="left" w:pos="8080"/>
        </w:tabs>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49.</w:t>
      </w:r>
      <w:r w:rsidDel="00000000" w:rsidR="00000000" w:rsidRPr="00000000">
        <w:rPr>
          <w:rFonts w:ascii="Palatino Linotype" w:cs="Palatino Linotype" w:eastAsia="Palatino Linotype" w:hAnsi="Palatino Linotype"/>
          <w:i w:val="1"/>
          <w:rtl w:val="0"/>
        </w:rPr>
        <w:t xml:space="preserve"> Los Comités de Transparencia tendrán las siguientes atribuciones: </w:t>
      </w:r>
    </w:p>
    <w:p w:rsidR="00000000" w:rsidDel="00000000" w:rsidP="00000000" w:rsidRDefault="00000000" w:rsidRPr="00000000" w14:paraId="00000092">
      <w:pPr>
        <w:tabs>
          <w:tab w:val="left" w:pos="8080"/>
        </w:tabs>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rsidR="00000000" w:rsidDel="00000000" w:rsidP="00000000" w:rsidRDefault="00000000" w:rsidRPr="00000000" w14:paraId="00000093">
      <w:pPr>
        <w:tabs>
          <w:tab w:val="left" w:pos="8080"/>
        </w:tabs>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 </w:t>
      </w:r>
      <w:r w:rsidDel="00000000" w:rsidR="00000000" w:rsidRPr="00000000">
        <w:rPr>
          <w:rFonts w:ascii="Palatino Linotype" w:cs="Palatino Linotype" w:eastAsia="Palatino Linotype" w:hAnsi="Palatino Linotype"/>
          <w:b w:val="1"/>
          <w:i w:val="1"/>
          <w:rtl w:val="0"/>
        </w:rPr>
        <w:t xml:space="preserve">Confirmar, modificar o revocar las determinaciones que en materia de</w:t>
      </w:r>
      <w:r w:rsidDel="00000000" w:rsidR="00000000" w:rsidRPr="00000000">
        <w:rPr>
          <w:rFonts w:ascii="Palatino Linotype" w:cs="Palatino Linotype" w:eastAsia="Palatino Linotype" w:hAnsi="Palatino Linotype"/>
          <w:i w:val="1"/>
          <w:rtl w:val="0"/>
        </w:rPr>
        <w:t xml:space="preserve"> ampliación del plazo de respuesta, clasificación de la información y declaración de inexistencia o de </w:t>
      </w:r>
      <w:r w:rsidDel="00000000" w:rsidR="00000000" w:rsidRPr="00000000">
        <w:rPr>
          <w:rFonts w:ascii="Palatino Linotype" w:cs="Palatino Linotype" w:eastAsia="Palatino Linotype" w:hAnsi="Palatino Linotype"/>
          <w:b w:val="1"/>
          <w:i w:val="1"/>
          <w:rtl w:val="0"/>
        </w:rPr>
        <w:t xml:space="preserve">incompetencia realicen los titulares de las áreas de los sujetos obligados;</w:t>
      </w:r>
      <w:r w:rsidDel="00000000" w:rsidR="00000000" w:rsidRPr="00000000">
        <w:rPr>
          <w:rtl w:val="0"/>
        </w:rPr>
      </w:r>
    </w:p>
    <w:p w:rsidR="00000000" w:rsidDel="00000000" w:rsidP="00000000" w:rsidRDefault="00000000" w:rsidRPr="00000000" w14:paraId="00000094">
      <w:pPr>
        <w:tabs>
          <w:tab w:val="left" w:pos="8080"/>
        </w:tabs>
        <w:spacing w:line="360"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95">
      <w:pPr>
        <w:tabs>
          <w:tab w:val="left" w:pos="8080"/>
        </w:tabs>
        <w:spacing w:line="360" w:lineRule="auto"/>
        <w:ind w:left="567" w:right="616" w:firstLine="0"/>
        <w:jc w:val="both"/>
        <w:rPr>
          <w:rFonts w:ascii="Palatino Linotype" w:cs="Palatino Linotype" w:eastAsia="Palatino Linotype" w:hAnsi="Palatino Linotype"/>
          <w:i w:val="1"/>
          <w:sz w:val="16"/>
          <w:szCs w:val="16"/>
        </w:rPr>
      </w:pPr>
      <w:r w:rsidDel="00000000" w:rsidR="00000000" w:rsidRPr="00000000">
        <w:rPr>
          <w:rtl w:val="0"/>
        </w:rPr>
      </w:r>
    </w:p>
    <w:p w:rsidR="00000000" w:rsidDel="00000000" w:rsidP="00000000" w:rsidRDefault="00000000" w:rsidRPr="00000000" w14:paraId="00000096">
      <w:pPr>
        <w:tabs>
          <w:tab w:val="left" w:pos="8080"/>
        </w:tabs>
        <w:spacing w:line="360" w:lineRule="auto"/>
        <w:ind w:left="567" w:right="616"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(Énfasis añadido)</w:t>
      </w:r>
    </w:p>
    <w:p w:rsidR="00000000" w:rsidDel="00000000" w:rsidP="00000000" w:rsidRDefault="00000000" w:rsidRPr="00000000" w14:paraId="00000097">
      <w:pPr>
        <w:tabs>
          <w:tab w:val="left" w:pos="8080"/>
        </w:tabs>
        <w:spacing w:after="0" w:line="360" w:lineRule="auto"/>
        <w:ind w:left="567" w:right="616"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8">
      <w:pPr>
        <w:numPr>
          <w:ilvl w:val="0"/>
          <w:numId w:val="3"/>
        </w:numPr>
        <w:shd w:fill="ffffff" w:val="clear"/>
        <w:tabs>
          <w:tab w:val="left" w:pos="426"/>
        </w:tabs>
        <w:spacing w:after="0" w:before="0" w:line="360" w:lineRule="auto"/>
        <w:ind w:left="0" w:right="49"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Razón por la cual es procedente ordenar que el Comité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emita el Acuerdo mediante el cual se declare la incompetencia del Instituto de Salud del Estado de México para poseer, generar o administrar la información solicitada.</w:t>
      </w:r>
      <w:r w:rsidDel="00000000" w:rsidR="00000000" w:rsidRPr="00000000">
        <w:rPr>
          <w:rtl w:val="0"/>
        </w:rPr>
      </w:r>
    </w:p>
    <w:p w:rsidR="00000000" w:rsidDel="00000000" w:rsidP="00000000" w:rsidRDefault="00000000" w:rsidRPr="00000000" w14:paraId="00000099">
      <w:pPr>
        <w:shd w:fill="ffffff" w:val="clear"/>
        <w:tabs>
          <w:tab w:val="left" w:pos="426"/>
        </w:tabs>
        <w:spacing w:after="0" w:before="0" w:line="360" w:lineRule="auto"/>
        <w:ind w:right="49"/>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9A">
      <w:pPr>
        <w:numPr>
          <w:ilvl w:val="0"/>
          <w:numId w:val="3"/>
        </w:numPr>
        <w:tabs>
          <w:tab w:val="left" w:pos="426"/>
        </w:tabs>
        <w:spacing w:after="0" w:before="0" w:line="36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efecto, si bien el</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Sujeto Obligado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no tiene competencia para administrar, generar o poseer la información solicitada, en virtud de poseerla otro u otros Sujetos Obligados de orden federal, también lo es que, dicha incompetencia debe de ser confirmada, modificada o revocada por el Comité de Transparencia en términos del precepto legal referido.</w:t>
      </w:r>
    </w:p>
    <w:p w:rsidR="00000000" w:rsidDel="00000000" w:rsidP="00000000" w:rsidRDefault="00000000" w:rsidRPr="00000000" w14:paraId="0000009B">
      <w:pPr>
        <w:tabs>
          <w:tab w:val="left" w:pos="426"/>
        </w:tabs>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C">
      <w:pPr>
        <w:numPr>
          <w:ilvl w:val="0"/>
          <w:numId w:val="3"/>
        </w:numPr>
        <w:tabs>
          <w:tab w:val="left" w:pos="426"/>
        </w:tabs>
        <w:spacing w:after="0" w:before="0" w:line="36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mediante el cual se establezca que la información no se encuentra en sus archivos.</w:t>
      </w:r>
    </w:p>
    <w:p w:rsidR="00000000" w:rsidDel="00000000" w:rsidP="00000000" w:rsidRDefault="00000000" w:rsidRPr="00000000" w14:paraId="0000009D">
      <w:pPr>
        <w:tabs>
          <w:tab w:val="left" w:pos="426"/>
        </w:tabs>
        <w:spacing w:after="0" w:lineRule="auto"/>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E">
      <w:pPr>
        <w:numPr>
          <w:ilvl w:val="0"/>
          <w:numId w:val="3"/>
        </w:numPr>
        <w:tabs>
          <w:tab w:val="left" w:pos="426"/>
        </w:tabs>
        <w:spacing w:after="0" w:before="0" w:line="36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robustecer lo anterior, el artículo 195 de la Ley de Transparencia y Acceso a la Información Pública del Estado de México y Municipios refiere que </w:t>
      </w:r>
      <w:r w:rsidDel="00000000" w:rsidR="00000000" w:rsidRPr="00000000">
        <w:rPr>
          <w:rFonts w:ascii="Palatino Linotype" w:cs="Palatino Linotype" w:eastAsia="Palatino Linotype" w:hAnsi="Palatino Linotype"/>
          <w:i w:val="1"/>
          <w:rtl w:val="0"/>
        </w:rPr>
        <w:t xml:space="preserve">en la tramitación del recurso de revisión se aplicarán supletoriamente las disposiciones contenidas en el Código de Procedimientos Administrativos del Estado de México, </w:t>
      </w:r>
      <w:r w:rsidDel="00000000" w:rsidR="00000000" w:rsidRPr="00000000">
        <w:rPr>
          <w:rFonts w:ascii="Palatino Linotype" w:cs="Palatino Linotype" w:eastAsia="Palatino Linotype" w:hAnsi="Palatino Linotype"/>
          <w:rtl w:val="0"/>
        </w:rPr>
        <w:t xml:space="preserve">luego entonces, en razón de que derivado de las manifestaciones vertidas por el Sujeto Obligado, se ordenará la entrega de un acuerdo emitido por el Comité de Transparencia mediante el que exponga la incompetencia relativa  a la información que le fue requerida.</w:t>
      </w:r>
    </w:p>
    <w:p w:rsidR="00000000" w:rsidDel="00000000" w:rsidP="00000000" w:rsidRDefault="00000000" w:rsidRPr="00000000" w14:paraId="0000009F">
      <w:pPr>
        <w:tabs>
          <w:tab w:val="left" w:pos="426"/>
        </w:tabs>
        <w:spacing w:after="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0">
      <w:pPr>
        <w:numPr>
          <w:ilvl w:val="0"/>
          <w:numId w:val="3"/>
        </w:numPr>
        <w:tabs>
          <w:tab w:val="left" w:pos="426"/>
        </w:tabs>
        <w:spacing w:after="0" w:before="0" w:line="36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se constituirá como</w:t>
      </w:r>
      <w:r w:rsidDel="00000000" w:rsidR="00000000" w:rsidRPr="00000000">
        <w:rPr>
          <w:rFonts w:ascii="Palatino Linotype" w:cs="Palatino Linotype" w:eastAsia="Palatino Linotype" w:hAnsi="Palatino Linotype"/>
          <w:b w:val="1"/>
          <w:color w:val="263238"/>
          <w:rtl w:val="0"/>
        </w:rPr>
        <w:t xml:space="preserve"> una confesión expresa</w:t>
      </w:r>
      <w:r w:rsidDel="00000000" w:rsidR="00000000" w:rsidRPr="00000000">
        <w:rPr>
          <w:rFonts w:ascii="Palatino Linotype" w:cs="Palatino Linotype" w:eastAsia="Palatino Linotype" w:hAnsi="Palatino Linotype"/>
          <w:color w:val="263238"/>
          <w:rtl w:val="0"/>
        </w:rPr>
        <w:t xml:space="preserve"> en </w:t>
      </w:r>
      <w:r w:rsidDel="00000000" w:rsidR="00000000" w:rsidRPr="00000000">
        <w:rPr>
          <w:rFonts w:ascii="Palatino Linotype" w:cs="Palatino Linotype" w:eastAsia="Palatino Linotype" w:hAnsi="Palatino Linotype"/>
          <w:rtl w:val="0"/>
        </w:rPr>
        <w:t xml:space="preserve">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rsidR="00000000" w:rsidDel="00000000" w:rsidP="00000000" w:rsidRDefault="00000000" w:rsidRPr="00000000" w14:paraId="000000A1">
      <w:pPr>
        <w:tabs>
          <w:tab w:val="left" w:pos="426"/>
        </w:tabs>
        <w:spacing w:after="0" w:lineRule="auto"/>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2">
      <w:pPr>
        <w:numPr>
          <w:ilvl w:val="0"/>
          <w:numId w:val="3"/>
        </w:numPr>
        <w:tabs>
          <w:tab w:val="left" w:pos="426"/>
        </w:tabs>
        <w:spacing w:after="0" w:before="0" w:line="36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además, que si en actos futuros se demuestra lo contrario, podría ser utilizado como medio probatorio. </w:t>
      </w:r>
    </w:p>
    <w:p w:rsidR="00000000" w:rsidDel="00000000" w:rsidP="00000000" w:rsidRDefault="00000000" w:rsidRPr="00000000" w14:paraId="000000A3">
      <w:pPr>
        <w:numPr>
          <w:ilvl w:val="0"/>
          <w:numId w:val="3"/>
        </w:numPr>
        <w:tabs>
          <w:tab w:val="left" w:pos="426"/>
        </w:tabs>
        <w:spacing w:after="0" w:before="0" w:line="360" w:lineRule="auto"/>
        <w:ind w:left="0"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Así, con la finalidad de brindar certeza al particular, como se ha dicho anteriormente, es dable ordenar el </w:t>
      </w:r>
      <w:r w:rsidDel="00000000" w:rsidR="00000000" w:rsidRPr="00000000">
        <w:rPr>
          <w:rFonts w:ascii="Palatino Linotype" w:cs="Palatino Linotype" w:eastAsia="Palatino Linotype" w:hAnsi="Palatino Linotype"/>
          <w:b w:val="1"/>
          <w:rtl w:val="0"/>
        </w:rPr>
        <w:t xml:space="preserve">acuerdo que emita el Comité de Transparencia en el que confirme la declaración de incompetencia del SUJETO OBLIGADO respecto de la información solicitada. </w:t>
      </w:r>
    </w:p>
    <w:p w:rsidR="00000000" w:rsidDel="00000000" w:rsidP="00000000" w:rsidRDefault="00000000" w:rsidRPr="00000000" w14:paraId="000000A4">
      <w:pPr>
        <w:ind w:left="708" w:firstLine="0"/>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A5">
      <w:pPr>
        <w:numPr>
          <w:ilvl w:val="0"/>
          <w:numId w:val="3"/>
        </w:numPr>
        <w:spacing w:line="360" w:lineRule="auto"/>
        <w:ind w:left="0" w:right="4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color w:val="000000"/>
          <w:rtl w:val="0"/>
        </w:rPr>
        <w:t xml:space="preserve">Finalmente, se dejan a salvo los derechos del </w:t>
      </w:r>
      <w:r w:rsidDel="00000000" w:rsidR="00000000" w:rsidRPr="00000000">
        <w:rPr>
          <w:rFonts w:ascii="Palatino Linotype" w:cs="Palatino Linotype" w:eastAsia="Palatino Linotype" w:hAnsi="Palatino Linotype"/>
          <w:b w:val="1"/>
          <w:color w:val="000000"/>
          <w:rtl w:val="0"/>
        </w:rPr>
        <w:t xml:space="preserve">RECURRENTE</w:t>
      </w:r>
      <w:r w:rsidDel="00000000" w:rsidR="00000000" w:rsidRPr="00000000">
        <w:rPr>
          <w:rFonts w:ascii="Palatino Linotype" w:cs="Palatino Linotype" w:eastAsia="Palatino Linotype" w:hAnsi="Palatino Linotype"/>
          <w:color w:val="000000"/>
          <w:rtl w:val="0"/>
        </w:rPr>
        <w:t xml:space="preserve"> para que de estimarlo pertinente, realice las solicitudes de información correspondientes a las autoridades de salud de orden federal a través de la Plataforma Nacional de Transparencia. </w:t>
      </w:r>
      <w:r w:rsidDel="00000000" w:rsidR="00000000" w:rsidRPr="00000000">
        <w:rPr>
          <w:rtl w:val="0"/>
        </w:rPr>
      </w:r>
    </w:p>
    <w:p w:rsidR="00000000" w:rsidDel="00000000" w:rsidP="00000000" w:rsidRDefault="00000000" w:rsidRPr="00000000" w14:paraId="000000A6">
      <w:pPr>
        <w:keepNext w:val="1"/>
        <w:keepLines w:val="1"/>
        <w:spacing w:before="40" w:line="360" w:lineRule="auto"/>
        <w:rPr>
          <w:rFonts w:ascii="Palatino Linotype" w:cs="Palatino Linotype" w:eastAsia="Palatino Linotype" w:hAnsi="Palatino Linotype"/>
          <w:b w:val="1"/>
          <w:color w:val="000000"/>
        </w:rPr>
      </w:pPr>
      <w:bookmarkStart w:colFirst="0" w:colLast="0" w:name="_heading=h.26in1rg" w:id="12"/>
      <w:bookmarkEnd w:id="12"/>
      <w:r w:rsidDel="00000000" w:rsidR="00000000" w:rsidRPr="00000000">
        <w:rPr>
          <w:rtl w:val="0"/>
        </w:rPr>
      </w:r>
    </w:p>
    <w:p w:rsidR="00000000" w:rsidDel="00000000" w:rsidP="00000000" w:rsidRDefault="00000000" w:rsidRPr="00000000" w14:paraId="000000A7">
      <w:pPr>
        <w:keepNext w:val="1"/>
        <w:keepLines w:val="1"/>
        <w:spacing w:before="40" w:line="360" w:lineRule="auto"/>
        <w:rPr>
          <w:rFonts w:ascii="Palatino Linotype" w:cs="Palatino Linotype" w:eastAsia="Palatino Linotype" w:hAnsi="Palatino Linotype"/>
          <w:b w:val="1"/>
          <w:color w:val="000000"/>
        </w:rPr>
      </w:pPr>
      <w:bookmarkStart w:colFirst="0" w:colLast="0" w:name="_heading=h.lnxbz9" w:id="13"/>
      <w:bookmarkEnd w:id="13"/>
      <w:r w:rsidDel="00000000" w:rsidR="00000000" w:rsidRPr="00000000">
        <w:rPr>
          <w:rFonts w:ascii="Palatino Linotype" w:cs="Palatino Linotype" w:eastAsia="Palatino Linotype" w:hAnsi="Palatino Linotype"/>
          <w:b w:val="1"/>
          <w:color w:val="000000"/>
          <w:rtl w:val="0"/>
        </w:rPr>
        <w:t xml:space="preserve">QUINTO. De la decisión. </w:t>
      </w:r>
    </w:p>
    <w:p w:rsidR="00000000" w:rsidDel="00000000" w:rsidP="00000000" w:rsidRDefault="00000000" w:rsidRPr="00000000" w14:paraId="000000A8">
      <w:pPr>
        <w:keepNext w:val="1"/>
        <w:keepLines w:val="1"/>
        <w:spacing w:before="40" w:line="360" w:lineRule="auto"/>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0" w:right="4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Dado que el ente recurrido no atendió la solicitud de información</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00207/SSALUD/IP/2021</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conformidad con las formalidades que establece el artículo 167 la Ley de Transparencia Estatal.  Con fundamento en el artículo 186, fracción III, este Instituto considera procedente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REVOCAR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la respuesta otorgada por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Instituto de Salud del Estado de México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y se ordena se  ponga a disposición de la parte Recurrente, el Acuerdo que emita el Comité de Transparencia en el que confirme la declaración de incompetencia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respecto de la información solicitada.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360" w:lineRule="auto"/>
        <w:ind w:left="0" w:right="4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0" w:right="4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anteriormente expuesto y fundado, este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ÓRGANO GARANTE</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emite los siguientes:</w:t>
      </w:r>
    </w:p>
    <w:p w:rsidR="00000000" w:rsidDel="00000000" w:rsidP="00000000" w:rsidRDefault="00000000" w:rsidRPr="00000000" w14:paraId="000000AC">
      <w:pPr>
        <w:spacing w:after="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D">
      <w:pPr>
        <w:spacing w:after="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E">
      <w:pPr>
        <w:spacing w:after="16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F">
      <w:pPr>
        <w:pStyle w:val="Heading1"/>
        <w:spacing w:line="360" w:lineRule="auto"/>
        <w:jc w:val="center"/>
        <w:rPr>
          <w:rFonts w:ascii="Palatino Linotype" w:cs="Palatino Linotype" w:eastAsia="Palatino Linotype" w:hAnsi="Palatino Linotype"/>
          <w:b w:val="1"/>
          <w:color w:val="000000"/>
          <w:sz w:val="24"/>
          <w:szCs w:val="24"/>
        </w:rPr>
      </w:pPr>
      <w:bookmarkStart w:colFirst="0" w:colLast="0" w:name="_heading=h.1ksv4uv" w:id="15"/>
      <w:bookmarkEnd w:id="15"/>
      <w:r w:rsidDel="00000000" w:rsidR="00000000" w:rsidRPr="00000000">
        <w:rPr>
          <w:rFonts w:ascii="Palatino Linotype" w:cs="Palatino Linotype" w:eastAsia="Palatino Linotype" w:hAnsi="Palatino Linotype"/>
          <w:b w:val="1"/>
          <w:color w:val="000000"/>
          <w:sz w:val="24"/>
          <w:szCs w:val="24"/>
          <w:rtl w:val="0"/>
        </w:rPr>
        <w:t xml:space="preserve">R E S O L U T I V O S</w:t>
      </w:r>
    </w:p>
    <w:p w:rsidR="00000000" w:rsidDel="00000000" w:rsidP="00000000" w:rsidRDefault="00000000" w:rsidRPr="00000000" w14:paraId="000000B0">
      <w:pPr>
        <w:tabs>
          <w:tab w:val="left" w:pos="426"/>
        </w:tabs>
        <w:spacing w:line="360" w:lineRule="auto"/>
        <w:ind w:right="51"/>
        <w:jc w:val="center"/>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B1">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Resultan parcialmente fundadas las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razones y motivos de inconformidad hechos valer en el recurso de revisión </w:t>
      </w:r>
      <w:r w:rsidDel="00000000" w:rsidR="00000000" w:rsidRPr="00000000">
        <w:rPr>
          <w:rFonts w:ascii="Palatino Linotype" w:cs="Palatino Linotype" w:eastAsia="Palatino Linotype" w:hAnsi="Palatino Linotype"/>
          <w:b w:val="1"/>
          <w:rtl w:val="0"/>
        </w:rPr>
        <w:t xml:space="preserve">03598/INFOEM/IP/RR/2021, </w:t>
      </w:r>
      <w:r w:rsidDel="00000000" w:rsidR="00000000" w:rsidRPr="00000000">
        <w:rPr>
          <w:rFonts w:ascii="Palatino Linotype" w:cs="Palatino Linotype" w:eastAsia="Palatino Linotype" w:hAnsi="Palatino Linotype"/>
          <w:rtl w:val="0"/>
        </w:rPr>
        <w:t xml:space="preserve">en términos del </w:t>
      </w:r>
      <w:r w:rsidDel="00000000" w:rsidR="00000000" w:rsidRPr="00000000">
        <w:rPr>
          <w:rFonts w:ascii="Palatino Linotype" w:cs="Palatino Linotype" w:eastAsia="Palatino Linotype" w:hAnsi="Palatino Linotype"/>
          <w:b w:val="1"/>
          <w:rtl w:val="0"/>
        </w:rPr>
        <w:t xml:space="preserve">Considerando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CUARTO </w:t>
      </w:r>
      <w:r w:rsidDel="00000000" w:rsidR="00000000" w:rsidRPr="00000000">
        <w:rPr>
          <w:rFonts w:ascii="Palatino Linotype" w:cs="Palatino Linotype" w:eastAsia="Palatino Linotype" w:hAnsi="Palatino Linotype"/>
          <w:rtl w:val="0"/>
        </w:rPr>
        <w:t xml:space="preserve">de la presente resolución.</w:t>
      </w:r>
    </w:p>
    <w:p w:rsidR="00000000" w:rsidDel="00000000" w:rsidP="00000000" w:rsidRDefault="00000000" w:rsidRPr="00000000" w14:paraId="000000B2">
      <w:pPr>
        <w:spacing w:before="240" w:line="360" w:lineRule="auto"/>
        <w:jc w:val="both"/>
        <w:rPr>
          <w:rFonts w:ascii="Palatino Linotype" w:cs="Palatino Linotype" w:eastAsia="Palatino Linotype" w:hAnsi="Palatino Linotype"/>
          <w:color w:val="000000"/>
        </w:rPr>
      </w:pPr>
      <w:bookmarkStart w:colFirst="0" w:colLast="0" w:name="_heading=h.44sinio" w:id="16"/>
      <w:bookmarkEnd w:id="16"/>
      <w:r w:rsidDel="00000000" w:rsidR="00000000" w:rsidRPr="00000000">
        <w:rPr>
          <w:rFonts w:ascii="Palatino Linotype" w:cs="Palatino Linotype" w:eastAsia="Palatino Linotype" w:hAnsi="Palatino Linotype"/>
          <w:b w:val="1"/>
          <w:rtl w:val="0"/>
        </w:rPr>
        <w:t xml:space="preserve">SEGUNDO.</w:t>
      </w:r>
      <w:r w:rsidDel="00000000" w:rsidR="00000000" w:rsidRPr="00000000">
        <w:rPr>
          <w:rFonts w:ascii="Palatino Linotype" w:cs="Palatino Linotype" w:eastAsia="Palatino Linotype" w:hAnsi="Palatino Linotype"/>
          <w:b w:val="1"/>
          <w:color w:val="366091"/>
          <w:rtl w:val="0"/>
        </w:rPr>
        <w:t xml:space="preserve"> </w:t>
      </w:r>
      <w:r w:rsidDel="00000000" w:rsidR="00000000" w:rsidRPr="00000000">
        <w:rPr>
          <w:rFonts w:ascii="Palatino Linotype" w:cs="Palatino Linotype" w:eastAsia="Palatino Linotype" w:hAnsi="Palatino Linotype"/>
          <w:rtl w:val="0"/>
        </w:rPr>
        <w:t xml:space="preserve">Se</w:t>
      </w:r>
      <w:r w:rsidDel="00000000" w:rsidR="00000000" w:rsidRPr="00000000">
        <w:rPr>
          <w:rFonts w:ascii="Palatino Linotype" w:cs="Palatino Linotype" w:eastAsia="Palatino Linotype" w:hAnsi="Palatino Linotype"/>
          <w:b w:val="1"/>
          <w:rtl w:val="0"/>
        </w:rPr>
        <w:t xml:space="preserve"> REVOCA </w:t>
      </w:r>
      <w:r w:rsidDel="00000000" w:rsidR="00000000" w:rsidRPr="00000000">
        <w:rPr>
          <w:rFonts w:ascii="Palatino Linotype" w:cs="Palatino Linotype" w:eastAsia="Palatino Linotype" w:hAnsi="Palatino Linotype"/>
          <w:rtl w:val="0"/>
        </w:rPr>
        <w:t xml:space="preserve">respuesta emitida por el </w:t>
      </w:r>
      <w:r w:rsidDel="00000000" w:rsidR="00000000" w:rsidRPr="00000000">
        <w:rPr>
          <w:rFonts w:ascii="Palatino Linotype" w:cs="Palatino Linotype" w:eastAsia="Palatino Linotype" w:hAnsi="Palatino Linotype"/>
          <w:b w:val="1"/>
          <w:rtl w:val="0"/>
        </w:rPr>
        <w:t xml:space="preserve">Instituto de Salud del Estado de México </w:t>
      </w:r>
      <w:r w:rsidDel="00000000" w:rsidR="00000000" w:rsidRPr="00000000">
        <w:rPr>
          <w:rFonts w:ascii="Palatino Linotype" w:cs="Palatino Linotype" w:eastAsia="Palatino Linotype" w:hAnsi="Palatino Linotype"/>
          <w:rtl w:val="0"/>
        </w:rPr>
        <w:t xml:space="preserve">y se</w:t>
      </w:r>
      <w:r w:rsidDel="00000000" w:rsidR="00000000" w:rsidRPr="00000000">
        <w:rPr>
          <w:rFonts w:ascii="Palatino Linotype" w:cs="Palatino Linotype" w:eastAsia="Palatino Linotype" w:hAnsi="Palatino Linotype"/>
          <w:b w:val="1"/>
          <w:rtl w:val="0"/>
        </w:rPr>
        <w:t xml:space="preserve"> ORDENA </w:t>
      </w:r>
      <w:r w:rsidDel="00000000" w:rsidR="00000000" w:rsidRPr="00000000">
        <w:rPr>
          <w:rFonts w:ascii="Palatino Linotype" w:cs="Palatino Linotype" w:eastAsia="Palatino Linotype" w:hAnsi="Palatino Linotype"/>
          <w:rtl w:val="0"/>
        </w:rPr>
        <w:t xml:space="preserve">entregar vía Sistema de Acceso a la Información Mexiquense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rtl w:val="0"/>
        </w:rPr>
        <w:t xml:space="preserve">,</w:t>
      </w:r>
      <w:r w:rsidDel="00000000" w:rsidR="00000000" w:rsidRPr="00000000">
        <w:rPr>
          <w:rFonts w:ascii="Palatino Linotype" w:cs="Palatino Linotype" w:eastAsia="Palatino Linotype" w:hAnsi="Palatino Linotype"/>
          <w:color w:val="000000"/>
          <w:rtl w:val="0"/>
        </w:rPr>
        <w:t xml:space="preserve"> lo siguiente:</w:t>
      </w:r>
    </w:p>
    <w:p w:rsidR="00000000" w:rsidDel="00000000" w:rsidP="00000000" w:rsidRDefault="00000000" w:rsidRPr="00000000" w14:paraId="000000B3">
      <w:pPr>
        <w:spacing w:after="0" w:before="240"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B4">
      <w:pPr>
        <w:numPr>
          <w:ilvl w:val="0"/>
          <w:numId w:val="2"/>
        </w:numPr>
        <w:spacing w:after="0" w:before="0" w:line="360" w:lineRule="auto"/>
        <w:ind w:left="851" w:right="850" w:hanging="284"/>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Acuerdo que emita el Comité de Transparencia en el que confirme la declaratoria de incompetencia del SUJETO OBLIGADO respecto de la información solicitada.  </w:t>
      </w:r>
    </w:p>
    <w:p w:rsidR="00000000" w:rsidDel="00000000" w:rsidP="00000000" w:rsidRDefault="00000000" w:rsidRPr="00000000" w14:paraId="000000B5">
      <w:pPr>
        <w:tabs>
          <w:tab w:val="left" w:pos="709"/>
        </w:tabs>
        <w:spacing w:after="0" w:line="360" w:lineRule="auto"/>
        <w:ind w:left="720" w:right="709"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B6">
      <w:pPr>
        <w:shd w:fill="ffffff" w:val="clear"/>
        <w:spacing w:before="0" w:line="360" w:lineRule="auto"/>
        <w:ind w:right="49"/>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b w:val="1"/>
          <w:color w:val="222222"/>
          <w:rtl w:val="0"/>
        </w:rPr>
        <w:t xml:space="preserve">TERCERO. </w:t>
      </w:r>
      <w:r w:rsidDel="00000000" w:rsidR="00000000" w:rsidRPr="00000000">
        <w:rPr>
          <w:rFonts w:ascii="Palatino Linotype" w:cs="Palatino Linotype" w:eastAsia="Palatino Linotype" w:hAnsi="Palatino Linotype"/>
          <w:color w:val="222222"/>
          <w:rtl w:val="0"/>
        </w:rPr>
        <w:t xml:space="preserve">Notifíquese</w:t>
      </w:r>
      <w:r w:rsidDel="00000000" w:rsidR="00000000" w:rsidRPr="00000000">
        <w:rPr>
          <w:rFonts w:ascii="Palatino Linotype" w:cs="Palatino Linotype" w:eastAsia="Palatino Linotype" w:hAnsi="Palatino Linotype"/>
          <w:b w:val="1"/>
          <w:color w:val="222222"/>
          <w:rtl w:val="0"/>
        </w:rPr>
        <w:t xml:space="preserve"> </w:t>
      </w:r>
      <w:r w:rsidDel="00000000" w:rsidR="00000000" w:rsidRPr="00000000">
        <w:rPr>
          <w:rFonts w:ascii="Palatino Linotype" w:cs="Palatino Linotype" w:eastAsia="Palatino Linotype" w:hAnsi="Palatino Linotype"/>
          <w:color w:val="222222"/>
          <w:rtl w:val="0"/>
        </w:rPr>
        <w:t xml:space="preserve">al Titular de la Unidad de Transparencia del </w:t>
      </w:r>
      <w:r w:rsidDel="00000000" w:rsidR="00000000" w:rsidRPr="00000000">
        <w:rPr>
          <w:rFonts w:ascii="Palatino Linotype" w:cs="Palatino Linotype" w:eastAsia="Palatino Linotype" w:hAnsi="Palatino Linotype"/>
          <w:b w:val="1"/>
          <w:color w:val="222222"/>
          <w:rtl w:val="0"/>
        </w:rPr>
        <w:t xml:space="preserve">SUJETO OBLIGADO</w:t>
      </w:r>
      <w:r w:rsidDel="00000000" w:rsidR="00000000" w:rsidRPr="00000000">
        <w:rPr>
          <w:rFonts w:ascii="Palatino Linotype" w:cs="Palatino Linotype" w:eastAsia="Palatino Linotype" w:hAnsi="Palatino Linotype"/>
          <w:color w:val="222222"/>
          <w:rtl w:val="0"/>
        </w:rPr>
        <w:t xml:space="preserve">,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rsidR="00000000" w:rsidDel="00000000" w:rsidP="00000000" w:rsidRDefault="00000000" w:rsidRPr="00000000" w14:paraId="000000B7">
      <w:pPr>
        <w:shd w:fill="ffffff" w:val="clear"/>
        <w:spacing w:before="240" w:line="360" w:lineRule="auto"/>
        <w:ind w:right="49"/>
        <w:jc w:val="both"/>
        <w:rPr>
          <w:rFonts w:ascii="Palatino Linotype" w:cs="Palatino Linotype" w:eastAsia="Palatino Linotype" w:hAnsi="Palatino Linotype"/>
          <w:color w:val="222222"/>
        </w:rPr>
      </w:pPr>
      <w:r w:rsidDel="00000000" w:rsidR="00000000" w:rsidRPr="00000000">
        <w:rPr>
          <w:rtl w:val="0"/>
        </w:rPr>
      </w:r>
    </w:p>
    <w:p w:rsidR="00000000" w:rsidDel="00000000" w:rsidP="00000000" w:rsidRDefault="00000000" w:rsidRPr="00000000" w14:paraId="000000B8">
      <w:pPr>
        <w:shd w:fill="ffffff" w:val="clear"/>
        <w:spacing w:line="360" w:lineRule="auto"/>
        <w:jc w:val="both"/>
        <w:rPr>
          <w:rFonts w:ascii="Palatino Linotype" w:cs="Palatino Linotype" w:eastAsia="Palatino Linotype" w:hAnsi="Palatino Linotype"/>
          <w:color w:val="000000"/>
          <w:highlight w:val="white"/>
        </w:rPr>
      </w:pPr>
      <w:r w:rsidDel="00000000" w:rsidR="00000000" w:rsidRPr="00000000">
        <w:rPr>
          <w:rFonts w:ascii="Palatino Linotype" w:cs="Palatino Linotype" w:eastAsia="Palatino Linotype" w:hAnsi="Palatino Linotype"/>
          <w:b w:val="1"/>
          <w:color w:val="000000"/>
          <w:rtl w:val="0"/>
        </w:rPr>
        <w:t xml:space="preserve">CUARTO.</w:t>
      </w:r>
      <w:r w:rsidDel="00000000" w:rsidR="00000000" w:rsidRPr="00000000">
        <w:rPr>
          <w:rFonts w:ascii="Palatino Linotype" w:cs="Palatino Linotype" w:eastAsia="Palatino Linotype" w:hAnsi="Palatino Linotype"/>
          <w:color w:val="000000"/>
          <w:rtl w:val="0"/>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Del="00000000" w:rsidR="00000000" w:rsidRPr="00000000">
        <w:rPr>
          <w:rtl w:val="0"/>
        </w:rPr>
      </w:r>
    </w:p>
    <w:p w:rsidR="00000000" w:rsidDel="00000000" w:rsidP="00000000" w:rsidRDefault="00000000" w:rsidRPr="00000000" w14:paraId="000000B9">
      <w:pPr>
        <w:spacing w:line="360"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A">
      <w:pPr>
        <w:shd w:fill="ffffff" w:val="clea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rtl w:val="0"/>
        </w:rPr>
        <w:t xml:space="preserve">QUINTO. </w:t>
      </w:r>
      <w:r w:rsidDel="00000000" w:rsidR="00000000" w:rsidRPr="00000000">
        <w:rPr>
          <w:rFonts w:ascii="Palatino Linotype" w:cs="Palatino Linotype" w:eastAsia="Palatino Linotype" w:hAnsi="Palatino Linotype"/>
          <w:b w:val="1"/>
          <w:color w:val="222222"/>
          <w:rtl w:val="0"/>
        </w:rPr>
        <w:t xml:space="preserve">Notifíquese </w:t>
      </w:r>
      <w:r w:rsidDel="00000000" w:rsidR="00000000" w:rsidRPr="00000000">
        <w:rPr>
          <w:rFonts w:ascii="Palatino Linotype" w:cs="Palatino Linotype" w:eastAsia="Palatino Linotype" w:hAnsi="Palatino Linotype"/>
          <w:color w:val="222222"/>
          <w:rtl w:val="0"/>
        </w:rPr>
        <w:t xml:space="preserve">al </w:t>
      </w:r>
      <w:r w:rsidDel="00000000" w:rsidR="00000000" w:rsidRPr="00000000">
        <w:rPr>
          <w:rFonts w:ascii="Palatino Linotype" w:cs="Palatino Linotype" w:eastAsia="Palatino Linotype" w:hAnsi="Palatino Linotype"/>
          <w:b w:val="1"/>
          <w:color w:val="222222"/>
          <w:rtl w:val="0"/>
        </w:rPr>
        <w:t xml:space="preserve">RECURRENTE</w:t>
      </w:r>
      <w:r w:rsidDel="00000000" w:rsidR="00000000" w:rsidRPr="00000000">
        <w:rPr>
          <w:rFonts w:ascii="Palatino Linotype" w:cs="Palatino Linotype" w:eastAsia="Palatino Linotype" w:hAnsi="Palatino Linotype"/>
          <w:color w:val="222222"/>
          <w:rtl w:val="0"/>
        </w:rPr>
        <w:t xml:space="preserve"> </w:t>
      </w:r>
      <w:r w:rsidDel="00000000" w:rsidR="00000000" w:rsidRPr="00000000">
        <w:rPr>
          <w:rFonts w:ascii="Palatino Linotype" w:cs="Palatino Linotype" w:eastAsia="Palatino Linotype" w:hAnsi="Palatino Linotype"/>
          <w:rtl w:val="0"/>
        </w:rPr>
        <w:t xml:space="preserve">la presente resolución.</w:t>
      </w:r>
      <w:r w:rsidDel="00000000" w:rsidR="00000000" w:rsidRPr="00000000">
        <w:rPr>
          <w:rtl w:val="0"/>
        </w:rPr>
      </w:r>
    </w:p>
    <w:p w:rsidR="00000000" w:rsidDel="00000000" w:rsidP="00000000" w:rsidRDefault="00000000" w:rsidRPr="00000000" w14:paraId="000000BB">
      <w:pPr>
        <w:spacing w:after="36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color w:val="000000"/>
          <w:rtl w:val="0"/>
        </w:rPr>
        <w:t xml:space="preserve">SEXTO. </w:t>
      </w:r>
      <w:r w:rsidDel="00000000" w:rsidR="00000000" w:rsidRPr="00000000">
        <w:rPr>
          <w:rFonts w:ascii="Palatino Linotype" w:cs="Palatino Linotype" w:eastAsia="Palatino Linotype" w:hAnsi="Palatino Linotype"/>
          <w:color w:val="000000"/>
          <w:rtl w:val="0"/>
        </w:rPr>
        <w:t xml:space="preserve">Se hace del conocimiento del </w:t>
      </w:r>
      <w:r w:rsidDel="00000000" w:rsidR="00000000" w:rsidRPr="00000000">
        <w:rPr>
          <w:rFonts w:ascii="Palatino Linotype" w:cs="Palatino Linotype" w:eastAsia="Palatino Linotype" w:hAnsi="Palatino Linotype"/>
          <w:b w:val="1"/>
          <w:color w:val="000000"/>
          <w:rtl w:val="0"/>
        </w:rPr>
        <w:t xml:space="preserve">RECURRENTE </w:t>
      </w:r>
      <w:r w:rsidDel="00000000" w:rsidR="00000000" w:rsidRPr="00000000">
        <w:rPr>
          <w:rFonts w:ascii="Palatino Linotype" w:cs="Palatino Linotype" w:eastAsia="Palatino Linotype" w:hAnsi="Palatino Linotype"/>
          <w:color w:val="000000"/>
          <w:rtl w:val="0"/>
        </w:rPr>
        <w:t xml:space="preserve">que, </w:t>
      </w:r>
      <w:r w:rsidDel="00000000" w:rsidR="00000000" w:rsidRPr="00000000">
        <w:rPr>
          <w:rFonts w:ascii="Palatino Linotype" w:cs="Palatino Linotype" w:eastAsia="Palatino Linotype" w:hAnsi="Palatino Linotype"/>
          <w:rtl w:val="0"/>
        </w:rPr>
        <w:t xml:space="preserve">de conformidad con lo establecido en el artículo 196 de la Ley de Transparencia y Acceso a la Información Pública del Estado de México y Municipios, </w:t>
      </w:r>
      <w:r w:rsidDel="00000000" w:rsidR="00000000" w:rsidRPr="00000000">
        <w:rPr>
          <w:rFonts w:ascii="Palatino Linotype" w:cs="Palatino Linotype" w:eastAsia="Palatino Linotype" w:hAnsi="Palatino Linotype"/>
          <w:color w:val="000000"/>
          <w:rtl w:val="0"/>
        </w:rPr>
        <w:t xml:space="preserve">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Del="00000000" w:rsidR="00000000" w:rsidRPr="00000000">
        <w:rPr>
          <w:rFonts w:ascii="Palatino Linotype" w:cs="Palatino Linotype" w:eastAsia="Palatino Linotype" w:hAnsi="Palatino Linotype"/>
          <w:rtl w:val="0"/>
        </w:rPr>
        <w:t xml:space="preserve">, o bien, vía juicio de amparo en los términos de las leyes aplicables.</w:t>
      </w:r>
      <w:r w:rsidDel="00000000" w:rsidR="00000000" w:rsidRPr="00000000">
        <w:rPr>
          <w:rFonts w:ascii="Palatino Linotype" w:cs="Palatino Linotype" w:eastAsia="Palatino Linotype" w:hAnsi="Palatino Linotype"/>
          <w:color w:val="000000"/>
          <w:highlight w:val="white"/>
          <w:rtl w:val="0"/>
        </w:rPr>
        <w:t xml:space="preserve"> </w:t>
      </w:r>
      <w:r w:rsidDel="00000000" w:rsidR="00000000" w:rsidRPr="00000000">
        <w:rPr>
          <w:rtl w:val="0"/>
        </w:rPr>
      </w:r>
    </w:p>
    <w:p w:rsidR="00000000" w:rsidDel="00000000" w:rsidP="00000000" w:rsidRDefault="00000000" w:rsidRPr="00000000" w14:paraId="000000BC">
      <w:pPr>
        <w:spacing w:after="240" w:before="240" w:line="360" w:lineRule="auto"/>
        <w:ind w:firstLine="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DÍA (06) DE OCTUBRE DE DOS MIL VEINTIUNO, ANTE EL SECRETARIO TÉCNICO DEL PLENO ALEXIS TAPIA RAMÍREZ.</w:t>
      </w:r>
    </w:p>
    <w:p w:rsidR="00000000" w:rsidDel="00000000" w:rsidP="00000000" w:rsidRDefault="00000000" w:rsidRPr="00000000" w14:paraId="000000BD">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BE">
      <w:pPr>
        <w:spacing w:line="360" w:lineRule="auto"/>
        <w:rPr>
          <w:rFonts w:ascii="Palatino Linotype" w:cs="Palatino Linotype" w:eastAsia="Palatino Linotype" w:hAnsi="Palatino Linotype"/>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17" w:top="1417"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Verdana"/>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Palatino Linotype" w:cs="Palatino Linotype" w:eastAsia="Palatino Linotype" w:hAnsi="Palatino Linotype"/>
            <w:b w:val="0"/>
            <w:i w:val="0"/>
            <w:smallCaps w:val="0"/>
            <w:strike w:val="0"/>
            <w:color w:val="0000ff"/>
            <w:sz w:val="20"/>
            <w:szCs w:val="20"/>
            <w:u w:val="single"/>
            <w:shd w:fill="auto" w:val="clear"/>
            <w:vertAlign w:val="baseline"/>
            <w:rtl w:val="0"/>
          </w:rPr>
          <w:t xml:space="preserve">https://www.dof.gob.mx/nota_detalle.php?codigo=5590339&amp;fecha=24/03/2020</w:t>
        </w:r>
      </w:hyperlink>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 </w:t>
      </w:r>
      <w:hyperlink r:id="rId2">
        <w:r w:rsidDel="00000000" w:rsidR="00000000" w:rsidRPr="00000000">
          <w:rPr>
            <w:rFonts w:ascii="Palatino Linotype" w:cs="Palatino Linotype" w:eastAsia="Palatino Linotype" w:hAnsi="Palatino Linotype"/>
            <w:b w:val="0"/>
            <w:i w:val="0"/>
            <w:smallCaps w:val="0"/>
            <w:strike w:val="0"/>
            <w:color w:val="0000ff"/>
            <w:sz w:val="20"/>
            <w:szCs w:val="20"/>
            <w:u w:val="single"/>
            <w:shd w:fill="auto" w:val="clear"/>
            <w:vertAlign w:val="baseline"/>
            <w:rtl w:val="0"/>
          </w:rPr>
          <w:t xml:space="preserve">http://www.dof.gob.mx/nota_detalle.php?codigo=5610149&amp;fecha=21/01/2021</w:t>
        </w:r>
      </w:hyperlink>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-353059</wp:posOffset>
          </wp:positionV>
          <wp:extent cx="7635875" cy="9943465"/>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875" cy="9943465"/>
                  </a:xfrm>
                  <a:prstGeom prst="rect"/>
                  <a:ln/>
                </pic:spPr>
              </pic:pic>
            </a:graphicData>
          </a:graphic>
        </wp:anchor>
      </w:drawing>
    </w:r>
  </w:p>
  <w:tbl>
    <w:tblPr>
      <w:tblStyle w:val="Table1"/>
      <w:tblW w:w="6669.000000000001" w:type="dxa"/>
      <w:jc w:val="left"/>
      <w:tblInd w:w="3256.0" w:type="dxa"/>
      <w:tblLayout w:type="fixed"/>
      <w:tblLook w:val="0400"/>
    </w:tblPr>
    <w:tblGrid>
      <w:gridCol w:w="2693"/>
      <w:gridCol w:w="3976"/>
      <w:tblGridChange w:id="0">
        <w:tblGrid>
          <w:gridCol w:w="2693"/>
          <w:gridCol w:w="3976"/>
        </w:tblGrid>
      </w:tblGridChange>
    </w:tblGrid>
    <w:tr>
      <w:trPr>
        <w:cantSplit w:val="0"/>
        <w:trHeight w:val="277" w:hRule="atLeast"/>
        <w:tblHeader w:val="0"/>
      </w:trPr>
      <w:tc>
        <w:tcPr>
          <w:vAlign w:val="center"/>
        </w:tcPr>
        <w:p w:rsidR="00000000" w:rsidDel="00000000" w:rsidP="00000000" w:rsidRDefault="00000000" w:rsidRPr="00000000" w14:paraId="000000C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Recurso de Revisión:</w:t>
          </w:r>
        </w:p>
      </w:tc>
      <w:tc>
        <w:tcPr>
          <w:vAlign w:val="center"/>
        </w:tcPr>
        <w:p w:rsidR="00000000" w:rsidDel="00000000" w:rsidP="00000000" w:rsidRDefault="00000000" w:rsidRPr="00000000" w14:paraId="000000C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03598/INFOEM/IP/RR/2021</w:t>
          </w:r>
        </w:p>
      </w:tc>
    </w:tr>
    <w:tr>
      <w:trPr>
        <w:cantSplit w:val="0"/>
        <w:tblHeader w:val="0"/>
      </w:trPr>
      <w:tc>
        <w:tcPr>
          <w:vAlign w:val="center"/>
        </w:tcPr>
        <w:p w:rsidR="00000000" w:rsidDel="00000000" w:rsidP="00000000" w:rsidRDefault="00000000" w:rsidRPr="00000000" w14:paraId="000000C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Recurrente:</w:t>
          </w:r>
        </w:p>
      </w:tc>
      <w:tc>
        <w:tcPr>
          <w:vAlign w:val="center"/>
        </w:tcPr>
        <w:p w:rsidR="00000000" w:rsidDel="00000000" w:rsidP="00000000" w:rsidRDefault="00000000" w:rsidRPr="00000000" w14:paraId="000000C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XXXXXXXXXXXXXXXXXXXXXXXXXXXXXX</w:t>
          </w:r>
        </w:p>
      </w:tc>
    </w:tr>
    <w:tr>
      <w:trPr>
        <w:cantSplit w:val="0"/>
        <w:trHeight w:val="228" w:hRule="atLeast"/>
        <w:tblHeader w:val="0"/>
      </w:trPr>
      <w:tc>
        <w:tcPr>
          <w:vAlign w:val="center"/>
        </w:tcPr>
        <w:p w:rsidR="00000000" w:rsidDel="00000000" w:rsidP="00000000" w:rsidRDefault="00000000" w:rsidRPr="00000000" w14:paraId="000000C6">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Sujeto Obligado:</w:t>
          </w:r>
        </w:p>
      </w:tc>
      <w:tc>
        <w:tcPr>
          <w:vAlign w:val="center"/>
        </w:tcPr>
        <w:p w:rsidR="00000000" w:rsidDel="00000000" w:rsidP="00000000" w:rsidRDefault="00000000" w:rsidRPr="00000000" w14:paraId="000000C7">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Instituto de Salud del Estado de México</w:t>
          </w:r>
        </w:p>
      </w:tc>
    </w:tr>
    <w:tr>
      <w:trPr>
        <w:cantSplit w:val="0"/>
        <w:tblHeader w:val="0"/>
      </w:trPr>
      <w:tc>
        <w:tcPr>
          <w:vAlign w:val="center"/>
        </w:tcPr>
        <w:p w:rsidR="00000000" w:rsidDel="00000000" w:rsidP="00000000" w:rsidRDefault="00000000" w:rsidRPr="00000000" w14:paraId="000000C8">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Comisionada Ponente:</w:t>
          </w:r>
        </w:p>
      </w:tc>
      <w:tc>
        <w:tcPr>
          <w:vAlign w:val="center"/>
        </w:tcPr>
        <w:p w:rsidR="00000000" w:rsidDel="00000000" w:rsidP="00000000" w:rsidRDefault="00000000" w:rsidRPr="00000000" w14:paraId="000000C9">
          <w:pPr>
            <w:ind w:right="-533"/>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María del Rosario Mejía Ayala</w:t>
          </w:r>
        </w:p>
      </w:tc>
    </w:tr>
  </w:tb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6447.0" w:type="dxa"/>
      <w:jc w:val="left"/>
      <w:tblInd w:w="3539.0" w:type="dxa"/>
      <w:tblLayout w:type="fixed"/>
      <w:tblLook w:val="0400"/>
    </w:tblPr>
    <w:tblGrid>
      <w:gridCol w:w="2760"/>
      <w:gridCol w:w="3687"/>
      <w:tblGridChange w:id="0">
        <w:tblGrid>
          <w:gridCol w:w="2760"/>
          <w:gridCol w:w="3687"/>
        </w:tblGrid>
      </w:tblGridChange>
    </w:tblGrid>
    <w:tr>
      <w:trPr>
        <w:cantSplit w:val="0"/>
        <w:tblHeader w:val="0"/>
      </w:trPr>
      <w:tc>
        <w:tcPr>
          <w:vAlign w:val="center"/>
        </w:tcPr>
        <w:p w:rsidR="00000000" w:rsidDel="00000000" w:rsidP="00000000" w:rsidRDefault="00000000" w:rsidRPr="00000000" w14:paraId="000000C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0CD">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03598/INFOEM/IP/RR/2021</w:t>
          </w:r>
        </w:p>
      </w:tc>
    </w:tr>
    <w:tr>
      <w:trPr>
        <w:cantSplit w:val="0"/>
        <w:trHeight w:val="228" w:hRule="atLeast"/>
        <w:tblHeader w:val="0"/>
      </w:trPr>
      <w:tc>
        <w:tcPr>
          <w:vAlign w:val="center"/>
        </w:tcPr>
        <w:p w:rsidR="00000000" w:rsidDel="00000000" w:rsidP="00000000" w:rsidRDefault="00000000" w:rsidRPr="00000000" w14:paraId="000000CE">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vAlign w:val="center"/>
        </w:tcPr>
        <w:p w:rsidR="00000000" w:rsidDel="00000000" w:rsidP="00000000" w:rsidRDefault="00000000" w:rsidRPr="00000000" w14:paraId="000000CF">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Instituto de Salud del Estado de México </w:t>
          </w:r>
        </w:p>
      </w:tc>
    </w:tr>
    <w:tr>
      <w:trPr>
        <w:cantSplit w:val="0"/>
        <w:tblHeader w:val="0"/>
      </w:trPr>
      <w:tc>
        <w:tcPr>
          <w:vAlign w:val="center"/>
        </w:tcPr>
        <w:p w:rsidR="00000000" w:rsidDel="00000000" w:rsidP="00000000" w:rsidRDefault="00000000" w:rsidRPr="00000000" w14:paraId="000000D0">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Comisionado ponente:</w:t>
          </w:r>
        </w:p>
      </w:tc>
      <w:tc>
        <w:tcPr>
          <w:vAlign w:val="center"/>
        </w:tcPr>
        <w:p w:rsidR="00000000" w:rsidDel="00000000" w:rsidP="00000000" w:rsidRDefault="00000000" w:rsidRPr="00000000" w14:paraId="000000D1">
          <w:pPr>
            <w:ind w:right="-533"/>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María del Rosario Mejía Ayala  </w:t>
          </w:r>
        </w:p>
      </w:tc>
    </w:tr>
  </w:tbl>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-913129</wp:posOffset>
          </wp:positionV>
          <wp:extent cx="7635875" cy="9943465"/>
          <wp:effectExtent b="0" l="0" r="0" t="0"/>
          <wp:wrapNone/>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875" cy="9943465"/>
                  </a:xfrm>
                  <a:prstGeom prst="rect"/>
                  <a:ln/>
                </pic:spPr>
              </pic:pic>
            </a:graphicData>
          </a:graphic>
        </wp:anchor>
      </w:drawing>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80F8C"/>
    <w:rPr>
      <w:rFonts w:ascii="Times New Roman" w:cs="Times New Roman" w:eastAsia="Times New Roman" w:hAnsi="Times New Roman"/>
      <w:lang w:val="es-ES"/>
    </w:rPr>
  </w:style>
  <w:style w:type="paragraph" w:styleId="Ttulo1">
    <w:name w:val="heading 1"/>
    <w:basedOn w:val="Normal"/>
    <w:next w:val="Normal"/>
    <w:link w:val="Ttulo1Car"/>
    <w:uiPriority w:val="9"/>
    <w:qFormat w:val="1"/>
    <w:rsid w:val="007F61DA"/>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ar"/>
    <w:uiPriority w:val="9"/>
    <w:unhideWhenUsed w:val="1"/>
    <w:qFormat w:val="1"/>
    <w:rsid w:val="004A6EFE"/>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9D4854"/>
    <w:rPr>
      <w:rFonts w:ascii="Times New Roman" w:cs="Times New Roman" w:eastAsia="Times New Roman" w:hAnsi="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9D4854"/>
    <w:pPr>
      <w:ind w:left="708"/>
    </w:pPr>
  </w:style>
  <w:style w:type="table" w:styleId="Tablaconcuadrcula">
    <w:name w:val="Table Grid"/>
    <w:basedOn w:val="Tablanormal"/>
    <w:uiPriority w:val="59"/>
    <w:rsid w:val="00AB3F5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AB3F5E"/>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eastAsia="en-US"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qFormat w:val="1"/>
    <w:rsid w:val="00AB3F5E"/>
    <w:rPr>
      <w:vertAlign w:val="superscript"/>
    </w:rPr>
  </w:style>
  <w:style w:type="character" w:styleId="Ttulo2Car" w:customStyle="1">
    <w:name w:val="Título 2 Car"/>
    <w:basedOn w:val="Fuentedeprrafopredeter"/>
    <w:link w:val="Ttulo2"/>
    <w:uiPriority w:val="9"/>
    <w:rsid w:val="004A6EFE"/>
    <w:rPr>
      <w:rFonts w:asciiTheme="majorHAnsi" w:cstheme="majorBidi" w:eastAsiaTheme="majorEastAsia" w:hAnsiTheme="majorHAnsi"/>
      <w:color w:val="365f91" w:themeColor="accent1" w:themeShade="0000BF"/>
      <w:sz w:val="26"/>
      <w:szCs w:val="26"/>
      <w:lang w:val="es-ES"/>
    </w:rPr>
  </w:style>
  <w:style w:type="character" w:styleId="apple-converted-space" w:customStyle="1">
    <w:name w:val="apple-converted-space"/>
    <w:basedOn w:val="Fuentedeprrafopredeter"/>
    <w:rsid w:val="00A5404F"/>
  </w:style>
  <w:style w:type="character" w:styleId="normaltextrun" w:customStyle="1">
    <w:name w:val="normaltextrun"/>
    <w:basedOn w:val="Fuentedeprrafopredeter"/>
    <w:rsid w:val="00355B75"/>
  </w:style>
  <w:style w:type="paragraph" w:styleId="paragraph" w:customStyle="1">
    <w:name w:val="paragraph"/>
    <w:basedOn w:val="Normal"/>
    <w:rsid w:val="00355B75"/>
    <w:pPr>
      <w:spacing w:after="100" w:afterAutospacing="1" w:before="100" w:beforeAutospacing="1"/>
    </w:pPr>
    <w:rPr>
      <w:lang w:eastAsia="es-MX" w:val="es-MX"/>
    </w:rPr>
  </w:style>
  <w:style w:type="character" w:styleId="eop" w:customStyle="1">
    <w:name w:val="eop"/>
    <w:basedOn w:val="Fuentedeprrafopredeter"/>
    <w:rsid w:val="00355B75"/>
  </w:style>
  <w:style w:type="character" w:styleId="Hipervnculo">
    <w:name w:val="Hyperlink"/>
    <w:basedOn w:val="Fuentedeprrafopredeter"/>
    <w:uiPriority w:val="99"/>
    <w:unhideWhenUsed w:val="1"/>
    <w:rsid w:val="00623EA3"/>
    <w:rPr>
      <w:color w:val="0000ff" w:themeColor="hyperlink"/>
      <w:u w:val="single"/>
    </w:rPr>
  </w:style>
  <w:style w:type="character" w:styleId="nacep" w:customStyle="1">
    <w:name w:val="n_acep"/>
    <w:basedOn w:val="Fuentedeprrafopredeter"/>
    <w:rsid w:val="00585C24"/>
  </w:style>
  <w:style w:type="paragraph" w:styleId="Texto" w:customStyle="1">
    <w:name w:val="Texto"/>
    <w:basedOn w:val="Normal"/>
    <w:link w:val="TextoCar"/>
    <w:qFormat w:val="1"/>
    <w:rsid w:val="009573BD"/>
    <w:pPr>
      <w:spacing w:after="101" w:line="216" w:lineRule="exact"/>
      <w:ind w:firstLine="288"/>
      <w:jc w:val="both"/>
    </w:pPr>
    <w:rPr>
      <w:rFonts w:ascii="Arial" w:cs="Arial" w:hAnsi="Arial"/>
      <w:sz w:val="18"/>
      <w:szCs w:val="20"/>
    </w:rPr>
  </w:style>
  <w:style w:type="character" w:styleId="TextoCar" w:customStyle="1">
    <w:name w:val="Texto Car"/>
    <w:link w:val="Texto"/>
    <w:locked w:val="1"/>
    <w:rsid w:val="009573BD"/>
    <w:rPr>
      <w:rFonts w:ascii="Arial" w:cs="Arial" w:eastAsia="Times New Roman" w:hAnsi="Arial"/>
      <w:sz w:val="18"/>
      <w:szCs w:val="20"/>
      <w:lang w:val="es-ES"/>
    </w:rPr>
  </w:style>
  <w:style w:type="character" w:styleId="Ttulo1Car" w:customStyle="1">
    <w:name w:val="Título 1 Car"/>
    <w:basedOn w:val="Fuentedeprrafopredeter"/>
    <w:link w:val="Ttulo1"/>
    <w:uiPriority w:val="9"/>
    <w:rsid w:val="007F61DA"/>
    <w:rPr>
      <w:rFonts w:asciiTheme="majorHAnsi" w:cstheme="majorBidi" w:eastAsiaTheme="majorEastAsia" w:hAnsiTheme="majorHAnsi"/>
      <w:color w:val="365f91" w:themeColor="accent1" w:themeShade="0000BF"/>
      <w:sz w:val="32"/>
      <w:szCs w:val="32"/>
      <w:lang w:val="es-ES"/>
    </w:rPr>
  </w:style>
  <w:style w:type="paragraph" w:styleId="Default" w:customStyle="1">
    <w:name w:val="Default"/>
    <w:rsid w:val="00DF0D44"/>
    <w:pPr>
      <w:autoSpaceDE w:val="0"/>
      <w:autoSpaceDN w:val="0"/>
      <w:adjustRightInd w:val="0"/>
    </w:pPr>
    <w:rPr>
      <w:rFonts w:ascii="Arial" w:cs="Arial" w:hAnsi="Arial"/>
      <w:color w:val="000000"/>
      <w:lang w:val="es-MX"/>
    </w:rPr>
  </w:style>
  <w:style w:type="paragraph" w:styleId="Sinespaciado">
    <w:name w:val="No Spacing"/>
    <w:aliases w:val="Francesa"/>
    <w:link w:val="SinespaciadoCar"/>
    <w:uiPriority w:val="1"/>
    <w:qFormat w:val="1"/>
    <w:rsid w:val="00932CFF"/>
    <w:rPr>
      <w:rFonts w:ascii="Times New Roman" w:cs="Times New Roman" w:eastAsia="Times New Roman" w:hAnsi="Times New Roman"/>
      <w:lang w:val="es-MX"/>
    </w:rPr>
  </w:style>
  <w:style w:type="character" w:styleId="Textoennegrita">
    <w:name w:val="Strong"/>
    <w:uiPriority w:val="22"/>
    <w:qFormat w:val="1"/>
    <w:rsid w:val="00932CFF"/>
    <w:rPr>
      <w:b w:val="1"/>
      <w:bCs w:val="1"/>
    </w:rPr>
  </w:style>
  <w:style w:type="character" w:styleId="SinespaciadoCar" w:customStyle="1">
    <w:name w:val="Sin espaciado Car"/>
    <w:aliases w:val="Francesa Car"/>
    <w:link w:val="Sinespaciado"/>
    <w:uiPriority w:val="1"/>
    <w:locked w:val="1"/>
    <w:rsid w:val="00932CFF"/>
    <w:rPr>
      <w:rFonts w:ascii="Times New Roman" w:cs="Times New Roman" w:eastAsia="Times New Roman" w:hAnsi="Times New Roman"/>
      <w:lang w:val="es-MX"/>
    </w:rPr>
  </w:style>
  <w:style w:type="paragraph" w:styleId="NormalWeb">
    <w:name w:val="Normal (Web)"/>
    <w:basedOn w:val="Normal"/>
    <w:uiPriority w:val="99"/>
    <w:unhideWhenUsed w:val="1"/>
    <w:rsid w:val="00444919"/>
    <w:pPr>
      <w:spacing w:after="100" w:afterAutospacing="1" w:before="100" w:beforeAutospacing="1"/>
    </w:pPr>
    <w:rPr>
      <w:lang w:eastAsia="es-MX" w:val="es-MX"/>
    </w:rPr>
  </w:style>
  <w:style w:type="paragraph" w:styleId="Textoindependiente">
    <w:name w:val="Body Text"/>
    <w:basedOn w:val="Normal"/>
    <w:link w:val="TextoindependienteCar"/>
    <w:uiPriority w:val="1"/>
    <w:qFormat w:val="1"/>
    <w:rsid w:val="00446C36"/>
    <w:pPr>
      <w:widowControl w:val="0"/>
      <w:autoSpaceDE w:val="0"/>
      <w:autoSpaceDN w:val="0"/>
      <w:adjustRightInd w:val="0"/>
      <w:ind w:left="112"/>
    </w:pPr>
    <w:rPr>
      <w:rFonts w:eastAsiaTheme="minorEastAsia"/>
      <w:sz w:val="25"/>
      <w:szCs w:val="25"/>
      <w:lang w:eastAsia="es-MX" w:val="es-MX"/>
    </w:rPr>
  </w:style>
  <w:style w:type="character" w:styleId="TextoindependienteCar" w:customStyle="1">
    <w:name w:val="Texto independiente Car"/>
    <w:basedOn w:val="Fuentedeprrafopredeter"/>
    <w:link w:val="Textoindependiente"/>
    <w:uiPriority w:val="1"/>
    <w:rsid w:val="00446C36"/>
    <w:rPr>
      <w:rFonts w:ascii="Times New Roman" w:cs="Times New Roman" w:hAnsi="Times New Roman"/>
      <w:sz w:val="25"/>
      <w:szCs w:val="25"/>
      <w:lang w:eastAsia="es-MX" w:val="es-MX"/>
    </w:rPr>
  </w:style>
  <w:style w:type="paragraph" w:styleId="Textosinformato">
    <w:name w:val="Plain Text"/>
    <w:basedOn w:val="Normal"/>
    <w:link w:val="TextosinformatoCar"/>
    <w:unhideWhenUsed w:val="1"/>
    <w:rsid w:val="006F1806"/>
    <w:rPr>
      <w:rFonts w:ascii="Courier New" w:hAnsi="Courier New"/>
      <w:sz w:val="20"/>
      <w:szCs w:val="20"/>
    </w:rPr>
  </w:style>
  <w:style w:type="character" w:styleId="TextosinformatoCar" w:customStyle="1">
    <w:name w:val="Texto sin formato Car"/>
    <w:basedOn w:val="Fuentedeprrafopredeter"/>
    <w:link w:val="Textosinformato"/>
    <w:rsid w:val="006F1806"/>
    <w:rPr>
      <w:rFonts w:ascii="Courier New" w:cs="Times New Roman" w:eastAsia="Times New Roman" w:hAnsi="Courier New"/>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laconcuadrcula211" w:customStyle="1">
    <w:name w:val="Tabla con cuadrícula211"/>
    <w:basedOn w:val="Tablanormal"/>
    <w:next w:val="Tablaconcuadrcula"/>
    <w:uiPriority w:val="39"/>
    <w:rsid w:val="006E011A"/>
    <w:rPr>
      <w:rFonts w:eastAsia="Calibr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fasis">
    <w:name w:val="Emphasis"/>
    <w:basedOn w:val="Fuentedeprrafopredeter"/>
    <w:uiPriority w:val="20"/>
    <w:qFormat w:val="1"/>
    <w:rsid w:val="00CB703A"/>
    <w:rPr>
      <w:i w:val="1"/>
      <w:iCs w:val="1"/>
    </w:rPr>
  </w:style>
  <w:style w:type="table" w:styleId="Tablaconcuadrcula2111" w:customStyle="1">
    <w:name w:val="Tabla con cuadrícula2111"/>
    <w:basedOn w:val="Tablanormal"/>
    <w:next w:val="Tablaconcuadrcula"/>
    <w:uiPriority w:val="39"/>
    <w:rsid w:val="00EA0165"/>
    <w:rPr>
      <w:rFonts w:eastAsia="Calibr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1" w:customStyle="1">
    <w:name w:val="Tabla con cuadrícula111"/>
    <w:basedOn w:val="Tablanormal"/>
    <w:next w:val="Tablaconcuadrcula"/>
    <w:uiPriority w:val="59"/>
    <w:rsid w:val="00EA0165"/>
    <w:rPr>
      <w:rFonts w:eastAsia="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DC1">
    <w:name w:val="toc 1"/>
    <w:basedOn w:val="Normal"/>
    <w:next w:val="Normal"/>
    <w:autoRedefine w:val="1"/>
    <w:uiPriority w:val="39"/>
    <w:unhideWhenUsed w:val="1"/>
    <w:rsid w:val="00EB23EF"/>
    <w:pPr>
      <w:spacing w:after="100"/>
    </w:pPr>
  </w:style>
  <w:style w:type="paragraph" w:styleId="TDC2">
    <w:name w:val="toc 2"/>
    <w:basedOn w:val="Normal"/>
    <w:next w:val="Normal"/>
    <w:autoRedefine w:val="1"/>
    <w:uiPriority w:val="39"/>
    <w:unhideWhenUsed w:val="1"/>
    <w:rsid w:val="00EB23EF"/>
    <w:pPr>
      <w:spacing w:after="100"/>
      <w:ind w:left="240"/>
    </w:pPr>
  </w:style>
  <w:style w:type="table" w:styleId="Tablaconcuadrcula7" w:customStyle="1">
    <w:name w:val="Tabla con cuadrícula7"/>
    <w:basedOn w:val="Tablanormal"/>
    <w:next w:val="Tablaconcuadrcula"/>
    <w:uiPriority w:val="39"/>
    <w:rsid w:val="002F02DA"/>
    <w:rPr>
      <w:rFonts w:eastAsia="MS Minch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DB1" w:customStyle="1">
    <w:name w:val="ADB1"/>
    <w:basedOn w:val="Normal"/>
    <w:next w:val="Textonotapie"/>
    <w:uiPriority w:val="99"/>
    <w:unhideWhenUsed w:val="1"/>
    <w:qFormat w:val="1"/>
    <w:rsid w:val="001F52B5"/>
    <w:rPr>
      <w:rFonts w:ascii="Calibri" w:eastAsia="Cambria" w:hAnsi="Calibri"/>
      <w:sz w:val="20"/>
      <w:szCs w:val="20"/>
      <w:lang w:eastAsia="en-US" w:val="es-MX"/>
    </w:rPr>
  </w:style>
  <w:style w:type="table" w:styleId="Tablaconcuadrcula71" w:customStyle="1">
    <w:name w:val="Tabla con cuadrícula71"/>
    <w:basedOn w:val="Tablanormal"/>
    <w:next w:val="Tablaconcuadrcula"/>
    <w:uiPriority w:val="39"/>
    <w:rsid w:val="00D764AE"/>
    <w:rPr>
      <w:rFonts w:eastAsia="MS Minch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dof.gob.mx/nota_detalle.php?codigo=5590339&amp;fecha=24/03/2020" TargetMode="External"/><Relationship Id="rId2" Type="http://schemas.openxmlformats.org/officeDocument/2006/relationships/hyperlink" Target="http://www.dof.gob.mx/nota_detalle.php?codigo=5610149&amp;fecha=21/01/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sWOx3KSezlRukzskEkaQG4B5dA==">AMUW2mXb2z0OI3SU9A4VU1fnD5pyYdhpMTG+UnqXGL1DkttfZ6aLHFEPriSDhXNoW7POiwXOD0JZpMvJNrmN0n3cjcbv0RzID1BUo9jLRR+76u5ZLTfYECOSW5gT0UdYMxXGKtoYjEQ0rgz2qiW1TOI7o36miQpjeLGD0sIKlreIJiDvJ5fFB7KTMtpZwlmQSqQSEsxiAiOC63v6dAEItCNmoipje4gSJK/mBfurt1GGZYf+xZtKLoZZMMmAdHGGx8Pgi/GX0FXQ2KMSBKkCSCg5vzn7fm442DD+8gxgi+f94SQTjjbUxGuudtH/wNLbFRLCzq11BF7gBN0VJgr0IiDzY5YsFg+XVh22u11y5oJ+s0MIadPJi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2021-10-07T18:04:00Z</dcterms:created>
  <dc:creator>iMac</dc:creator>
</cp:coreProperties>
</file>