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B7B20" w14:textId="77777777" w:rsidR="00855F17" w:rsidRPr="00FE2E33" w:rsidRDefault="00855F17" w:rsidP="00855F17">
      <w:pPr>
        <w:spacing w:before="240" w:after="240" w:line="360" w:lineRule="auto"/>
        <w:jc w:val="center"/>
        <w:rPr>
          <w:rFonts w:ascii="Palatino Linotype" w:hAnsi="Palatino Linotype"/>
          <w:b/>
        </w:rPr>
      </w:pPr>
      <w:r w:rsidRPr="00FE2E33">
        <w:rPr>
          <w:rFonts w:ascii="Palatino Linotype" w:hAnsi="Palatino Linotype"/>
          <w:b/>
        </w:rPr>
        <w:t>RESUMEN</w:t>
      </w:r>
    </w:p>
    <w:p w14:paraId="05DF446F" w14:textId="333E0950" w:rsidR="00855F17" w:rsidRPr="00FE2E33" w:rsidRDefault="00855F17" w:rsidP="00855F17">
      <w:pPr>
        <w:spacing w:before="240" w:after="240" w:line="360" w:lineRule="auto"/>
        <w:jc w:val="both"/>
        <w:rPr>
          <w:rFonts w:ascii="Palatino Linotype" w:hAnsi="Palatino Linotype"/>
        </w:rPr>
      </w:pPr>
      <w:r w:rsidRPr="00FE2E33">
        <w:rPr>
          <w:rFonts w:ascii="Palatino Linotype" w:hAnsi="Palatino Linotype"/>
          <w:b/>
        </w:rPr>
        <w:t xml:space="preserve">Tema: </w:t>
      </w:r>
      <w:r w:rsidRPr="00FE2E33">
        <w:rPr>
          <w:rFonts w:ascii="Palatino Linotype" w:hAnsi="Palatino Linotype"/>
        </w:rPr>
        <w:t>Actualización de la causal de sobreseimiento de la fracción</w:t>
      </w:r>
      <w:r w:rsidR="005E0C3A" w:rsidRPr="00FE2E33">
        <w:rPr>
          <w:rFonts w:ascii="Palatino Linotype" w:hAnsi="Palatino Linotype"/>
        </w:rPr>
        <w:t xml:space="preserve"> III</w:t>
      </w:r>
      <w:r w:rsidRPr="00FE2E33">
        <w:rPr>
          <w:rFonts w:ascii="Palatino Linotype" w:hAnsi="Palatino Linotype"/>
        </w:rPr>
        <w:t xml:space="preserve"> del artículo 192 de la Ley de Transparencia y Acceso a la Información Pública del Estado de México y Municipios, por </w:t>
      </w:r>
      <w:r w:rsidR="003B6293" w:rsidRPr="00FE2E33">
        <w:rPr>
          <w:rFonts w:ascii="Palatino Linotype" w:hAnsi="Palatino Linotype"/>
        </w:rPr>
        <w:t>modificar el sujeto obligado su respuesta y quedar sin materia.</w:t>
      </w:r>
    </w:p>
    <w:p w14:paraId="21D84A27" w14:textId="13BCCE83" w:rsidR="003B6293" w:rsidRPr="00FE2E33" w:rsidRDefault="00855F17" w:rsidP="003B6293">
      <w:pPr>
        <w:spacing w:before="240" w:after="240" w:line="360" w:lineRule="auto"/>
        <w:jc w:val="both"/>
        <w:rPr>
          <w:rFonts w:ascii="Palatino Linotype" w:hAnsi="Palatino Linotype"/>
          <w:color w:val="000000"/>
        </w:rPr>
      </w:pPr>
      <w:r w:rsidRPr="00FE2E33">
        <w:rPr>
          <w:rFonts w:ascii="Palatino Linotype" w:hAnsi="Palatino Linotype"/>
          <w:b/>
        </w:rPr>
        <w:t xml:space="preserve">El caso: </w:t>
      </w:r>
      <w:r w:rsidRPr="00FE2E33">
        <w:rPr>
          <w:rFonts w:ascii="Palatino Linotype" w:hAnsi="Palatino Linotype"/>
        </w:rPr>
        <w:t>Un particular solicitó se le proporcionara</w:t>
      </w:r>
      <w:r w:rsidR="003B6293" w:rsidRPr="00FE2E33">
        <w:rPr>
          <w:rFonts w:ascii="Palatino Linotype" w:hAnsi="Palatino Linotype"/>
        </w:rPr>
        <w:t xml:space="preserve"> la siguiente información: (a) </w:t>
      </w:r>
      <w:r w:rsidR="003B6293" w:rsidRPr="00FE2E33">
        <w:rPr>
          <w:rFonts w:ascii="Palatino Linotype" w:hAnsi="Palatino Linotype"/>
          <w:color w:val="000000"/>
        </w:rPr>
        <w:t>Convenio Laboral firmado entre el Sindicato de Maestros al Servicio del Estado de México y el Gobierno del Estado de México del año dos mil veinte; y, (b) el último Reglamento de las Condiciones Generales de Trabajo entre el Sindicato antes mencionado y el Gobierno del Estado de México.</w:t>
      </w:r>
    </w:p>
    <w:p w14:paraId="4D4B279E" w14:textId="61761303" w:rsidR="003B6293" w:rsidRPr="00FE2E33" w:rsidRDefault="003B6293" w:rsidP="003B6293">
      <w:pPr>
        <w:spacing w:before="240" w:after="240" w:line="360" w:lineRule="auto"/>
        <w:jc w:val="both"/>
        <w:rPr>
          <w:rFonts w:ascii="Palatino Linotype" w:hAnsi="Palatino Linotype"/>
        </w:rPr>
      </w:pPr>
      <w:r w:rsidRPr="00FE2E33">
        <w:rPr>
          <w:rFonts w:ascii="Palatino Linotype" w:hAnsi="Palatino Linotype"/>
        </w:rPr>
        <w:t xml:space="preserve">El sujeto obligado en su respuesta proporcionó la información identificada con el inciso a), posteriormente en su informe justificado remitió la información solicitada identificada con el inciso b), por lo que se tiene por colmada la </w:t>
      </w:r>
      <w:r w:rsidR="008C57F7" w:rsidRPr="00FE2E33">
        <w:rPr>
          <w:rFonts w:ascii="Palatino Linotype" w:hAnsi="Palatino Linotype"/>
        </w:rPr>
        <w:t>solicitud de información, por lo que al modificarse el acto, queda sin materia el presente recurso de revisión.</w:t>
      </w:r>
    </w:p>
    <w:p w14:paraId="5DD0CE88" w14:textId="667C291E" w:rsidR="00855F17" w:rsidRPr="00FE2E33" w:rsidRDefault="00855F17" w:rsidP="00855F17">
      <w:pPr>
        <w:pStyle w:val="Prrafodelista"/>
        <w:tabs>
          <w:tab w:val="left" w:pos="426"/>
        </w:tabs>
        <w:spacing w:before="240" w:after="240" w:line="360" w:lineRule="auto"/>
        <w:ind w:left="0" w:right="49"/>
        <w:jc w:val="both"/>
        <w:rPr>
          <w:rFonts w:ascii="Palatino Linotype" w:hAnsi="Palatino Linotype"/>
          <w:color w:val="000000" w:themeColor="text1"/>
        </w:rPr>
      </w:pPr>
      <w:r w:rsidRPr="00FE2E33">
        <w:rPr>
          <w:rFonts w:ascii="Palatino Linotype" w:hAnsi="Palatino Linotype"/>
          <w:b/>
        </w:rPr>
        <w:t xml:space="preserve">Propuesta: </w:t>
      </w:r>
      <w:r w:rsidRPr="00FE2E33">
        <w:rPr>
          <w:rFonts w:ascii="Palatino Linotype" w:hAnsi="Palatino Linotype"/>
        </w:rPr>
        <w:t>Se actualiza la causal de sobreseimiento de la fracción</w:t>
      </w:r>
      <w:r w:rsidR="003B6293" w:rsidRPr="00FE2E33">
        <w:rPr>
          <w:rFonts w:ascii="Palatino Linotype" w:hAnsi="Palatino Linotype"/>
        </w:rPr>
        <w:t xml:space="preserve"> III</w:t>
      </w:r>
      <w:r w:rsidRPr="00FE2E33">
        <w:rPr>
          <w:rFonts w:ascii="Palatino Linotype" w:hAnsi="Palatino Linotype"/>
        </w:rPr>
        <w:t xml:space="preserve"> del artículo 192 </w:t>
      </w:r>
      <w:r w:rsidRPr="00FE2E33">
        <w:rPr>
          <w:rFonts w:ascii="Palatino Linotype" w:eastAsia="MS Mincho" w:hAnsi="Palatino Linotype" w:cs="Times New Roman"/>
          <w:color w:val="000000" w:themeColor="text1"/>
        </w:rPr>
        <w:t xml:space="preserve">de la Ley de Transparencia y Acceso a la Información Pública del Estado de México y Municipios que establece que procede el sobreseimiento cuando </w:t>
      </w:r>
      <w:r w:rsidR="003B6293" w:rsidRPr="00FE2E33">
        <w:rPr>
          <w:rFonts w:ascii="Palatino Linotype" w:eastAsia="MS Mincho" w:hAnsi="Palatino Linotype" w:cs="Times New Roman"/>
          <w:color w:val="000000" w:themeColor="text1"/>
        </w:rPr>
        <w:t xml:space="preserve">el sujeto obligado modifique el acto de tal manera que el recurso de revisión quede sin materia, </w:t>
      </w:r>
      <w:r w:rsidRPr="00FE2E33">
        <w:rPr>
          <w:rFonts w:ascii="Palatino Linotype" w:eastAsia="MS Mincho" w:hAnsi="Palatino Linotype"/>
          <w:color w:val="000000" w:themeColor="text1"/>
        </w:rPr>
        <w:t xml:space="preserve">por lo que en el caso en particular, en virtud de que lo solicitado por el hoy Recurrente fue </w:t>
      </w:r>
      <w:r w:rsidR="003B6293" w:rsidRPr="00FE2E33">
        <w:rPr>
          <w:rFonts w:ascii="Palatino Linotype" w:eastAsia="MS Mincho" w:hAnsi="Palatino Linotype"/>
          <w:color w:val="000000" w:themeColor="text1"/>
        </w:rPr>
        <w:lastRenderedPageBreak/>
        <w:t xml:space="preserve">remitido en la respuesta y complementada mediante el informe justificado, </w:t>
      </w:r>
      <w:r w:rsidRPr="00FE2E33">
        <w:rPr>
          <w:rFonts w:ascii="Palatino Linotype" w:eastAsia="MS Mincho" w:hAnsi="Palatino Linotype" w:cs="Times New Roman"/>
          <w:color w:val="000000" w:themeColor="text1"/>
        </w:rPr>
        <w:t>trae como consecuencia que el medio de impugnación se sobresea.</w:t>
      </w:r>
    </w:p>
    <w:p w14:paraId="2E901C09" w14:textId="77777777" w:rsidR="00855F17" w:rsidRPr="00FE2E33" w:rsidRDefault="00855F17" w:rsidP="00855F17">
      <w:pPr>
        <w:spacing w:line="360" w:lineRule="auto"/>
        <w:jc w:val="both"/>
        <w:rPr>
          <w:rFonts w:ascii="Palatino Linotype" w:hAnsi="Palatino Linotype"/>
          <w:b/>
        </w:rPr>
      </w:pPr>
      <w:r w:rsidRPr="00FE2E33">
        <w:rPr>
          <w:rFonts w:ascii="Palatino Linotype" w:hAnsi="Palatino Linotype"/>
          <w:b/>
        </w:rPr>
        <w:t xml:space="preserve">Puntos resolutivos: </w:t>
      </w:r>
    </w:p>
    <w:p w14:paraId="5201CEBC" w14:textId="77777777" w:rsidR="005E0C3A" w:rsidRPr="00FE2E33" w:rsidRDefault="005E0C3A" w:rsidP="005E0C3A">
      <w:pPr>
        <w:rPr>
          <w:rFonts w:ascii="Palatino Linotype" w:hAnsi="Palatino Linotype"/>
        </w:rPr>
      </w:pPr>
    </w:p>
    <w:p w14:paraId="2A64E9A0" w14:textId="77777777" w:rsidR="005E0C3A" w:rsidRPr="00FE2E33" w:rsidRDefault="005E0C3A" w:rsidP="005E0C3A">
      <w:pPr>
        <w:pStyle w:val="Sinespaciado"/>
        <w:spacing w:line="276" w:lineRule="auto"/>
        <w:ind w:left="720"/>
        <w:jc w:val="both"/>
        <w:rPr>
          <w:rFonts w:ascii="Palatino Linotype" w:hAnsi="Palatino Linotype"/>
          <w:i/>
          <w:sz w:val="22"/>
          <w:szCs w:val="22"/>
        </w:rPr>
      </w:pPr>
      <w:r w:rsidRPr="00FE2E33">
        <w:rPr>
          <w:rFonts w:ascii="Palatino Linotype" w:hAnsi="Palatino Linotype"/>
          <w:b/>
          <w:i/>
          <w:sz w:val="22"/>
          <w:szCs w:val="22"/>
        </w:rPr>
        <w:t xml:space="preserve">PRIMERO. </w:t>
      </w:r>
      <w:r w:rsidRPr="00FE2E33">
        <w:rPr>
          <w:rFonts w:ascii="Palatino Linotype" w:hAnsi="Palatino Linotype"/>
          <w:i/>
          <w:sz w:val="22"/>
          <w:szCs w:val="22"/>
        </w:rPr>
        <w:t xml:space="preserve">Se </w:t>
      </w:r>
      <w:r w:rsidRPr="00FE2E33">
        <w:rPr>
          <w:rFonts w:ascii="Palatino Linotype" w:hAnsi="Palatino Linotype"/>
          <w:b/>
          <w:i/>
          <w:sz w:val="22"/>
          <w:szCs w:val="22"/>
        </w:rPr>
        <w:t>SOBRESEE</w:t>
      </w:r>
      <w:r w:rsidRPr="00FE2E33">
        <w:rPr>
          <w:rFonts w:ascii="Palatino Linotype" w:hAnsi="Palatino Linotype"/>
          <w:i/>
          <w:sz w:val="22"/>
          <w:szCs w:val="22"/>
        </w:rPr>
        <w:t xml:space="preserve"> el recurso de revisión número </w:t>
      </w:r>
      <w:r w:rsidRPr="00FE2E33">
        <w:rPr>
          <w:rFonts w:ascii="Palatino Linotype" w:hAnsi="Palatino Linotype"/>
          <w:b/>
          <w:i/>
          <w:sz w:val="22"/>
          <w:szCs w:val="22"/>
        </w:rPr>
        <w:t>0433/INFOEM/IP/RR/2021</w:t>
      </w:r>
      <w:r w:rsidRPr="00FE2E33">
        <w:rPr>
          <w:rFonts w:ascii="Palatino Linotype" w:hAnsi="Palatino Linotype"/>
          <w:i/>
          <w:sz w:val="22"/>
          <w:szCs w:val="22"/>
        </w:rPr>
        <w:t xml:space="preserve">, porque al </w:t>
      </w:r>
      <w:r w:rsidRPr="00FE2E33">
        <w:rPr>
          <w:rFonts w:ascii="Palatino Linotype" w:hAnsi="Palatino Linotype"/>
          <w:b/>
          <w:i/>
          <w:sz w:val="22"/>
          <w:szCs w:val="22"/>
        </w:rPr>
        <w:t>modificar la respuesta a través del informe justificado y atender lo solicitado</w:t>
      </w:r>
      <w:r w:rsidRPr="00FE2E33">
        <w:rPr>
          <w:rFonts w:ascii="Palatino Linotype" w:hAnsi="Palatino Linotype"/>
          <w:i/>
          <w:sz w:val="22"/>
          <w:szCs w:val="22"/>
        </w:rPr>
        <w:t xml:space="preserve"> en términos del Considerando </w:t>
      </w:r>
      <w:r w:rsidRPr="00FE2E33">
        <w:rPr>
          <w:rFonts w:ascii="Palatino Linotype" w:hAnsi="Palatino Linotype"/>
          <w:b/>
          <w:i/>
          <w:sz w:val="22"/>
          <w:szCs w:val="22"/>
        </w:rPr>
        <w:t>CUARTO</w:t>
      </w:r>
      <w:r w:rsidRPr="00FE2E33">
        <w:rPr>
          <w:rFonts w:ascii="Palatino Linotype" w:hAnsi="Palatino Linotype"/>
          <w:i/>
          <w:sz w:val="22"/>
          <w:szCs w:val="22"/>
        </w:rPr>
        <w:t xml:space="preserve"> de la presente resolución.</w:t>
      </w:r>
    </w:p>
    <w:p w14:paraId="7C63651B" w14:textId="77777777" w:rsidR="005E0C3A" w:rsidRPr="00FE2E33" w:rsidRDefault="005E0C3A" w:rsidP="005E0C3A">
      <w:pPr>
        <w:pStyle w:val="Sinespaciado"/>
        <w:spacing w:line="276" w:lineRule="auto"/>
        <w:ind w:left="720"/>
        <w:jc w:val="both"/>
        <w:rPr>
          <w:rFonts w:ascii="Palatino Linotype" w:hAnsi="Palatino Linotype"/>
          <w:i/>
          <w:sz w:val="22"/>
          <w:szCs w:val="22"/>
        </w:rPr>
      </w:pPr>
    </w:p>
    <w:p w14:paraId="0C2AAFAD" w14:textId="77777777" w:rsidR="005E0C3A" w:rsidRPr="00FE2E33" w:rsidRDefault="005E0C3A" w:rsidP="005E0C3A">
      <w:pPr>
        <w:pStyle w:val="Sinespaciado"/>
        <w:spacing w:line="276" w:lineRule="auto"/>
        <w:ind w:left="720"/>
        <w:jc w:val="both"/>
        <w:rPr>
          <w:rFonts w:ascii="Palatino Linotype" w:eastAsia="Calibri" w:hAnsi="Palatino Linotype" w:cs="Arial"/>
          <w:b/>
          <w:bCs/>
          <w:i/>
          <w:sz w:val="22"/>
          <w:szCs w:val="22"/>
          <w:lang w:val="es-ES"/>
        </w:rPr>
      </w:pPr>
      <w:r w:rsidRPr="00FE2E33">
        <w:rPr>
          <w:rFonts w:ascii="Palatino Linotype" w:eastAsia="Calibri" w:hAnsi="Palatino Linotype" w:cs="Arial"/>
          <w:b/>
          <w:bCs/>
          <w:i/>
          <w:sz w:val="22"/>
          <w:szCs w:val="22"/>
          <w:lang w:val="es-ES"/>
        </w:rPr>
        <w:t xml:space="preserve">SEGUNDO. REMÍTASE </w:t>
      </w:r>
      <w:r w:rsidRPr="00FE2E33">
        <w:rPr>
          <w:rFonts w:ascii="Palatino Linotype" w:eastAsia="Calibri" w:hAnsi="Palatino Linotype" w:cs="Arial"/>
          <w:bCs/>
          <w:i/>
          <w:sz w:val="22"/>
          <w:szCs w:val="22"/>
          <w:lang w:val="es-ES"/>
        </w:rPr>
        <w:t xml:space="preserve">a través del Sistema de Acceso a la Información Mexiquense </w:t>
      </w:r>
      <w:r w:rsidRPr="00FE2E33">
        <w:rPr>
          <w:rFonts w:ascii="Palatino Linotype" w:eastAsia="Calibri" w:hAnsi="Palatino Linotype" w:cs="Arial"/>
          <w:b/>
          <w:bCs/>
          <w:i/>
          <w:sz w:val="22"/>
          <w:szCs w:val="22"/>
          <w:lang w:val="es-ES"/>
        </w:rPr>
        <w:t xml:space="preserve">(SAIMEX) </w:t>
      </w:r>
      <w:r w:rsidRPr="00FE2E33">
        <w:rPr>
          <w:rFonts w:ascii="Palatino Linotype" w:eastAsia="Calibri" w:hAnsi="Palatino Linotype" w:cs="Arial"/>
          <w:bCs/>
          <w:i/>
          <w:sz w:val="22"/>
          <w:szCs w:val="22"/>
          <w:lang w:val="es-ES"/>
        </w:rPr>
        <w:t>la presente resolución al Titular de la Unidad de Transparencia del</w:t>
      </w:r>
      <w:r w:rsidRPr="00FE2E33">
        <w:rPr>
          <w:rFonts w:ascii="Palatino Linotype" w:eastAsia="Calibri" w:hAnsi="Palatino Linotype" w:cs="Arial"/>
          <w:b/>
          <w:bCs/>
          <w:i/>
          <w:sz w:val="22"/>
          <w:szCs w:val="22"/>
          <w:lang w:val="es-ES"/>
        </w:rPr>
        <w:t xml:space="preserve"> SUJETO OBLIGADO. </w:t>
      </w:r>
    </w:p>
    <w:p w14:paraId="5CA244DB" w14:textId="77777777" w:rsidR="005E0C3A" w:rsidRPr="00FE2E33" w:rsidRDefault="005E0C3A" w:rsidP="005E0C3A">
      <w:pPr>
        <w:pStyle w:val="Sinespaciado"/>
        <w:spacing w:line="276" w:lineRule="auto"/>
        <w:ind w:left="720"/>
        <w:jc w:val="both"/>
        <w:rPr>
          <w:rFonts w:ascii="Palatino Linotype" w:eastAsia="Palatino Linotype" w:hAnsi="Palatino Linotype" w:cs="Palatino Linotype"/>
          <w:b/>
          <w:i/>
          <w:sz w:val="22"/>
          <w:szCs w:val="22"/>
        </w:rPr>
      </w:pPr>
    </w:p>
    <w:p w14:paraId="58386A90" w14:textId="77777777" w:rsidR="005E0C3A" w:rsidRPr="00FE2E33" w:rsidRDefault="005E0C3A" w:rsidP="005E0C3A">
      <w:pPr>
        <w:pStyle w:val="Sinespaciado"/>
        <w:spacing w:line="276" w:lineRule="auto"/>
        <w:ind w:left="720"/>
        <w:jc w:val="both"/>
        <w:rPr>
          <w:rFonts w:ascii="Palatino Linotype" w:eastAsia="Times New Roman" w:hAnsi="Palatino Linotype" w:cs="Times New Roman"/>
          <w:i/>
          <w:sz w:val="22"/>
          <w:szCs w:val="22"/>
          <w:lang w:val="es-ES" w:eastAsia="es-MX"/>
        </w:rPr>
      </w:pPr>
      <w:r w:rsidRPr="00FE2E33">
        <w:rPr>
          <w:rFonts w:ascii="Palatino Linotype" w:eastAsia="Times New Roman" w:hAnsi="Palatino Linotype" w:cs="Arial"/>
          <w:b/>
          <w:i/>
          <w:sz w:val="22"/>
          <w:szCs w:val="22"/>
        </w:rPr>
        <w:t xml:space="preserve">TERCERO. </w:t>
      </w:r>
      <w:r w:rsidRPr="00FE2E33">
        <w:rPr>
          <w:rFonts w:ascii="Palatino Linotype" w:eastAsia="Times New Roman" w:hAnsi="Palatino Linotype" w:cs="Times New Roman"/>
          <w:b/>
          <w:bCs/>
          <w:i/>
          <w:sz w:val="22"/>
          <w:szCs w:val="22"/>
          <w:lang w:val="es-ES"/>
        </w:rPr>
        <w:t xml:space="preserve">Notifíquese </w:t>
      </w:r>
      <w:r w:rsidRPr="00FE2E33">
        <w:rPr>
          <w:rFonts w:ascii="Palatino Linotype" w:eastAsia="Times New Roman" w:hAnsi="Palatino Linotype" w:cs="Times New Roman"/>
          <w:bCs/>
          <w:i/>
          <w:sz w:val="22"/>
          <w:szCs w:val="22"/>
          <w:lang w:val="es-ES"/>
        </w:rPr>
        <w:t xml:space="preserve">al </w:t>
      </w:r>
      <w:r w:rsidRPr="00FE2E33">
        <w:rPr>
          <w:rFonts w:ascii="Palatino Linotype" w:eastAsia="Times New Roman" w:hAnsi="Palatino Linotype" w:cs="Times New Roman"/>
          <w:b/>
          <w:bCs/>
          <w:i/>
          <w:sz w:val="22"/>
          <w:szCs w:val="22"/>
          <w:lang w:val="es-ES"/>
        </w:rPr>
        <w:t>RECURRENTE</w:t>
      </w:r>
      <w:r w:rsidRPr="00FE2E33">
        <w:rPr>
          <w:rFonts w:ascii="Palatino Linotype" w:eastAsia="Times New Roman" w:hAnsi="Palatino Linotype" w:cs="Times New Roman"/>
          <w:bCs/>
          <w:i/>
          <w:sz w:val="22"/>
          <w:szCs w:val="22"/>
          <w:lang w:val="es-ES"/>
        </w:rPr>
        <w:t xml:space="preserve"> </w:t>
      </w:r>
      <w:r w:rsidRPr="00FE2E33">
        <w:rPr>
          <w:rFonts w:ascii="Palatino Linotype" w:hAnsi="Palatino Linotype"/>
          <w:i/>
          <w:sz w:val="22"/>
          <w:szCs w:val="22"/>
        </w:rPr>
        <w:t>la</w:t>
      </w:r>
      <w:r w:rsidRPr="00FE2E33">
        <w:rPr>
          <w:rFonts w:ascii="Palatino Linotype" w:eastAsia="Times New Roman" w:hAnsi="Palatino Linotype" w:cs="Times New Roman"/>
          <w:i/>
          <w:sz w:val="22"/>
          <w:szCs w:val="22"/>
          <w:lang w:val="es-ES" w:eastAsia="es-MX"/>
        </w:rPr>
        <w:t xml:space="preserve"> presente resolución.</w:t>
      </w:r>
    </w:p>
    <w:p w14:paraId="075CEA76" w14:textId="77777777" w:rsidR="005E0C3A" w:rsidRPr="00FE2E33" w:rsidRDefault="005E0C3A" w:rsidP="005E0C3A">
      <w:pPr>
        <w:pStyle w:val="Sinespaciado"/>
        <w:spacing w:line="276" w:lineRule="auto"/>
        <w:ind w:left="720"/>
        <w:jc w:val="both"/>
        <w:rPr>
          <w:rFonts w:ascii="Palatino Linotype" w:eastAsia="Times New Roman" w:hAnsi="Palatino Linotype" w:cs="Times New Roman"/>
          <w:i/>
          <w:sz w:val="22"/>
          <w:szCs w:val="22"/>
          <w:lang w:val="es-ES" w:eastAsia="es-MX"/>
        </w:rPr>
      </w:pPr>
    </w:p>
    <w:p w14:paraId="129B63AC" w14:textId="77777777" w:rsidR="005E0C3A" w:rsidRPr="00FE2E33" w:rsidRDefault="005E0C3A" w:rsidP="005E0C3A">
      <w:pPr>
        <w:shd w:val="clear" w:color="auto" w:fill="FFFFFF"/>
        <w:spacing w:line="276" w:lineRule="auto"/>
        <w:ind w:left="720"/>
        <w:jc w:val="both"/>
        <w:rPr>
          <w:rFonts w:ascii="Palatino Linotype" w:eastAsia="MS Mincho" w:hAnsi="Palatino Linotype"/>
          <w:i/>
          <w:sz w:val="22"/>
          <w:szCs w:val="22"/>
          <w:lang w:val="es-ES"/>
        </w:rPr>
      </w:pPr>
      <w:r w:rsidRPr="00FE2E33">
        <w:rPr>
          <w:rFonts w:ascii="Palatino Linotype" w:eastAsia="MS Mincho" w:hAnsi="Palatino Linotype"/>
          <w:b/>
          <w:i/>
          <w:sz w:val="22"/>
          <w:szCs w:val="22"/>
        </w:rPr>
        <w:t>CUARTO.</w:t>
      </w:r>
      <w:r w:rsidRPr="00FE2E33">
        <w:rPr>
          <w:rFonts w:ascii="Palatino Linotype" w:eastAsia="MS Mincho" w:hAnsi="Palatino Linotype"/>
          <w:i/>
          <w:sz w:val="22"/>
          <w:szCs w:val="22"/>
        </w:rPr>
        <w:t xml:space="preserve"> </w:t>
      </w:r>
      <w:r w:rsidRPr="00FE2E33">
        <w:rPr>
          <w:rFonts w:ascii="Palatino Linotype" w:eastAsia="MS Mincho" w:hAnsi="Palatino Linotype"/>
          <w:i/>
          <w:sz w:val="22"/>
          <w:szCs w:val="22"/>
          <w:lang w:val="es-ES"/>
        </w:rPr>
        <w:t xml:space="preserve">Se hace del conocimiento del </w:t>
      </w:r>
      <w:r w:rsidRPr="00FE2E33">
        <w:rPr>
          <w:rFonts w:ascii="Palatino Linotype" w:eastAsia="MS Mincho" w:hAnsi="Palatino Linotype"/>
          <w:b/>
          <w:i/>
          <w:sz w:val="22"/>
          <w:szCs w:val="22"/>
          <w:lang w:val="es-ES"/>
        </w:rPr>
        <w:t>RECURRENTE</w:t>
      </w:r>
      <w:r w:rsidRPr="00FE2E33">
        <w:rPr>
          <w:rFonts w:ascii="Palatino Linotype" w:eastAsia="MS Mincho" w:hAnsi="Palatino Linotype"/>
          <w:i/>
          <w:sz w:val="22"/>
          <w:szCs w:val="22"/>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2E33">
        <w:rPr>
          <w:rFonts w:ascii="Palatino Linotype" w:eastAsia="MS Mincho" w:hAnsi="Palatino Linotype"/>
          <w:bCs/>
          <w:i/>
          <w:sz w:val="22"/>
          <w:szCs w:val="22"/>
          <w:lang w:val="es-ES"/>
        </w:rPr>
        <w:t>vía juicio de amparo</w:t>
      </w:r>
      <w:r w:rsidRPr="00FE2E33">
        <w:rPr>
          <w:rFonts w:ascii="Palatino Linotype" w:eastAsia="MS Mincho" w:hAnsi="Palatino Linotype"/>
          <w:i/>
          <w:sz w:val="22"/>
          <w:szCs w:val="22"/>
          <w:lang w:val="es-ES"/>
        </w:rPr>
        <w:t> en los términos de las leyes aplicables.</w:t>
      </w:r>
    </w:p>
    <w:p w14:paraId="195B07EF" w14:textId="77777777" w:rsidR="00855F17" w:rsidRPr="00FE2E33" w:rsidRDefault="00855F17" w:rsidP="00855F17">
      <w:pPr>
        <w:spacing w:before="240" w:after="240" w:line="360" w:lineRule="auto"/>
        <w:jc w:val="both"/>
        <w:rPr>
          <w:rFonts w:ascii="Palatino Linotype" w:hAnsi="Palatino Linotype"/>
          <w:b/>
          <w:lang w:val="es-ES"/>
        </w:rPr>
      </w:pPr>
    </w:p>
    <w:p w14:paraId="78E35729" w14:textId="344A12D9" w:rsidR="004D040A" w:rsidRPr="00FE2E33" w:rsidRDefault="004D040A" w:rsidP="00857175">
      <w:pPr>
        <w:tabs>
          <w:tab w:val="left" w:pos="567"/>
        </w:tabs>
        <w:spacing w:line="360" w:lineRule="auto"/>
        <w:jc w:val="both"/>
        <w:rPr>
          <w:rFonts w:ascii="Palatino Linotype" w:hAnsi="Palatino Linotype"/>
          <w:b/>
          <w:lang w:val="es-ES"/>
        </w:rPr>
      </w:pPr>
    </w:p>
    <w:p w14:paraId="18C1DF28" w14:textId="609AD094" w:rsidR="00855F17" w:rsidRPr="00FE2E33" w:rsidRDefault="00855F17" w:rsidP="00857175">
      <w:pPr>
        <w:tabs>
          <w:tab w:val="left" w:pos="567"/>
        </w:tabs>
        <w:spacing w:line="360" w:lineRule="auto"/>
        <w:jc w:val="both"/>
        <w:rPr>
          <w:rFonts w:ascii="Palatino Linotype" w:hAnsi="Palatino Linotype"/>
          <w:b/>
        </w:rPr>
      </w:pPr>
    </w:p>
    <w:p w14:paraId="2E40AFCF" w14:textId="09C452CE" w:rsidR="00855F17" w:rsidRPr="00FE2E33" w:rsidRDefault="00855F17" w:rsidP="00857175">
      <w:pPr>
        <w:tabs>
          <w:tab w:val="left" w:pos="567"/>
        </w:tabs>
        <w:spacing w:line="360" w:lineRule="auto"/>
        <w:jc w:val="both"/>
        <w:rPr>
          <w:rFonts w:ascii="Palatino Linotype" w:hAnsi="Palatino Linotype"/>
          <w:b/>
        </w:rPr>
      </w:pPr>
    </w:p>
    <w:p w14:paraId="4BA94DDA" w14:textId="391C73B2" w:rsidR="008C57F7" w:rsidRPr="00FE2E33" w:rsidRDefault="008C57F7" w:rsidP="00857175">
      <w:pPr>
        <w:tabs>
          <w:tab w:val="left" w:pos="567"/>
        </w:tabs>
        <w:spacing w:line="360" w:lineRule="auto"/>
        <w:jc w:val="both"/>
        <w:rPr>
          <w:rFonts w:ascii="Palatino Linotype" w:hAnsi="Palatino Linotype"/>
          <w:b/>
        </w:rPr>
      </w:pPr>
    </w:p>
    <w:p w14:paraId="138F42CB" w14:textId="7A021207" w:rsidR="008C57F7" w:rsidRPr="00FE2E33" w:rsidRDefault="008C57F7" w:rsidP="00857175">
      <w:pPr>
        <w:tabs>
          <w:tab w:val="left" w:pos="567"/>
        </w:tabs>
        <w:spacing w:line="360" w:lineRule="auto"/>
        <w:jc w:val="both"/>
        <w:rPr>
          <w:rFonts w:ascii="Palatino Linotype" w:hAnsi="Palatino Linotype"/>
          <w:b/>
        </w:rPr>
      </w:pPr>
    </w:p>
    <w:p w14:paraId="3C7A7DCB" w14:textId="77777777" w:rsidR="008C57F7" w:rsidRPr="00FE2E33" w:rsidRDefault="008C57F7" w:rsidP="00857175">
      <w:pPr>
        <w:tabs>
          <w:tab w:val="left" w:pos="567"/>
        </w:tabs>
        <w:spacing w:line="360" w:lineRule="auto"/>
        <w:jc w:val="both"/>
        <w:rPr>
          <w:rFonts w:ascii="Palatino Linotype" w:hAnsi="Palatino Linotype"/>
          <w:b/>
        </w:rPr>
      </w:pPr>
    </w:p>
    <w:p w14:paraId="1CF59F42" w14:textId="2A7FF00D" w:rsidR="00855F17" w:rsidRPr="00FE2E33" w:rsidRDefault="00855F17" w:rsidP="00855F17">
      <w:pPr>
        <w:tabs>
          <w:tab w:val="left" w:pos="567"/>
        </w:tabs>
        <w:spacing w:line="360" w:lineRule="auto"/>
        <w:jc w:val="center"/>
        <w:rPr>
          <w:rFonts w:ascii="Palatino Linotype" w:hAnsi="Palatino Linotype"/>
          <w:b/>
        </w:rPr>
      </w:pPr>
      <w:r w:rsidRPr="00FE2E33">
        <w:rPr>
          <w:rFonts w:ascii="Palatino Linotype" w:hAnsi="Palatino Linotype"/>
          <w:b/>
        </w:rPr>
        <w:lastRenderedPageBreak/>
        <w:t>LÍNEAS ARGUMENTATIVAS</w:t>
      </w:r>
    </w:p>
    <w:p w14:paraId="24D7ACDD" w14:textId="77777777" w:rsidR="007C2415" w:rsidRPr="00FE2E33" w:rsidRDefault="007C2415" w:rsidP="00857175">
      <w:pPr>
        <w:tabs>
          <w:tab w:val="left" w:pos="567"/>
        </w:tabs>
        <w:spacing w:line="360" w:lineRule="auto"/>
        <w:jc w:val="both"/>
        <w:rPr>
          <w:rFonts w:ascii="Palatino Linotype" w:hAnsi="Palatino Linotype"/>
          <w:lang w:eastAsia="es-MX"/>
        </w:rPr>
      </w:pPr>
    </w:p>
    <w:p w14:paraId="010F5050" w14:textId="77777777" w:rsidR="007C2415" w:rsidRPr="00FE2E33" w:rsidRDefault="007C2415" w:rsidP="00857175">
      <w:pPr>
        <w:spacing w:line="360" w:lineRule="auto"/>
        <w:jc w:val="both"/>
        <w:rPr>
          <w:rFonts w:ascii="Palatino Linotype" w:hAnsi="Palatino Linotype" w:cs="Arial"/>
        </w:rPr>
      </w:pPr>
      <w:r w:rsidRPr="00FE2E33">
        <w:rPr>
          <w:rFonts w:ascii="Palatino Linotype" w:hAnsi="Palatino Linotype" w:cs="Arial"/>
          <w:b/>
        </w:rPr>
        <w:t>MODIFICACIÓN DEL ACTO IMPUGNADO, SOBRESEIMIENTO DEL RECURSO POR</w:t>
      </w:r>
      <w:r w:rsidRPr="00FE2E33">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4388BF1D" w14:textId="77777777" w:rsidR="007C2415" w:rsidRPr="00FE2E33" w:rsidRDefault="007C2415" w:rsidP="00857175">
      <w:pPr>
        <w:tabs>
          <w:tab w:val="left" w:pos="567"/>
        </w:tabs>
        <w:spacing w:line="360" w:lineRule="auto"/>
        <w:jc w:val="both"/>
        <w:rPr>
          <w:rFonts w:ascii="Palatino Linotype" w:eastAsia="Calibri" w:hAnsi="Palatino Linotype"/>
          <w:b/>
        </w:rPr>
      </w:pPr>
    </w:p>
    <w:p w14:paraId="7018A243" w14:textId="77777777" w:rsidR="007C2415" w:rsidRPr="00FE2E33" w:rsidRDefault="007C2415" w:rsidP="00857175">
      <w:pPr>
        <w:tabs>
          <w:tab w:val="left" w:pos="567"/>
        </w:tabs>
        <w:spacing w:line="360" w:lineRule="auto"/>
        <w:jc w:val="both"/>
        <w:rPr>
          <w:rFonts w:ascii="Palatino Linotype" w:eastAsia="Calibri" w:hAnsi="Palatino Linotype"/>
        </w:rPr>
      </w:pPr>
      <w:r w:rsidRPr="00FE2E33">
        <w:rPr>
          <w:rFonts w:ascii="Palatino Linotype" w:eastAsia="Calibri" w:hAnsi="Palatino Linotype"/>
          <w:b/>
        </w:rPr>
        <w:t xml:space="preserve">SOBRESEIMIENTO, RAZONES PARA SU ACTUALIZACIÓN. </w:t>
      </w:r>
      <w:r w:rsidRPr="00FE2E33">
        <w:rPr>
          <w:rFonts w:ascii="Palatino Linotype" w:eastAsia="Calibri" w:hAnsi="Palatino Linotype"/>
        </w:rPr>
        <w:t xml:space="preserve">Para que se actualice el sobreseimiento de un recurso de revisión, el </w:t>
      </w:r>
      <w:r w:rsidRPr="00FE2E33">
        <w:rPr>
          <w:rFonts w:ascii="Palatino Linotype" w:eastAsia="Calibri" w:hAnsi="Palatino Linotype"/>
          <w:b/>
        </w:rPr>
        <w:t>SUJETO OBLIGADO</w:t>
      </w:r>
      <w:r w:rsidRPr="00FE2E33">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545F21AB" w14:textId="040F1642" w:rsidR="00AA2EAA" w:rsidRPr="00FE2E33" w:rsidRDefault="00AA2EAA" w:rsidP="00857175">
      <w:pPr>
        <w:tabs>
          <w:tab w:val="left" w:pos="567"/>
        </w:tabs>
        <w:spacing w:line="360" w:lineRule="auto"/>
        <w:jc w:val="both"/>
        <w:rPr>
          <w:rFonts w:ascii="Palatino Linotype" w:eastAsia="Calibri" w:hAnsi="Palatino Linotype"/>
        </w:rPr>
      </w:pPr>
    </w:p>
    <w:p w14:paraId="51D5838B" w14:textId="072453BA" w:rsidR="00855F17" w:rsidRPr="00FE2E33" w:rsidRDefault="00855F17" w:rsidP="00857175">
      <w:pPr>
        <w:tabs>
          <w:tab w:val="left" w:pos="567"/>
        </w:tabs>
        <w:spacing w:line="360" w:lineRule="auto"/>
        <w:jc w:val="both"/>
        <w:rPr>
          <w:rFonts w:ascii="Palatino Linotype" w:eastAsia="Calibri" w:hAnsi="Palatino Linotype"/>
        </w:rPr>
      </w:pPr>
    </w:p>
    <w:p w14:paraId="17ACAD16" w14:textId="5678E667" w:rsidR="00855F17" w:rsidRPr="00FE2E33" w:rsidRDefault="00855F17" w:rsidP="00857175">
      <w:pPr>
        <w:tabs>
          <w:tab w:val="left" w:pos="567"/>
        </w:tabs>
        <w:spacing w:line="360" w:lineRule="auto"/>
        <w:jc w:val="both"/>
        <w:rPr>
          <w:rFonts w:ascii="Palatino Linotype" w:eastAsia="Calibri" w:hAnsi="Palatino Linotype"/>
        </w:rPr>
      </w:pPr>
    </w:p>
    <w:p w14:paraId="772BED35" w14:textId="6B380AC1" w:rsidR="00855F17" w:rsidRPr="00FE2E33" w:rsidRDefault="00855F17" w:rsidP="00857175">
      <w:pPr>
        <w:tabs>
          <w:tab w:val="left" w:pos="567"/>
        </w:tabs>
        <w:spacing w:line="360" w:lineRule="auto"/>
        <w:jc w:val="both"/>
        <w:rPr>
          <w:rFonts w:ascii="Palatino Linotype" w:eastAsia="Calibri" w:hAnsi="Palatino Linotype"/>
        </w:rPr>
      </w:pPr>
    </w:p>
    <w:p w14:paraId="60017BBB" w14:textId="33F4AB3F" w:rsidR="00855F17" w:rsidRPr="00FE2E33" w:rsidRDefault="00855F17" w:rsidP="00857175">
      <w:pPr>
        <w:tabs>
          <w:tab w:val="left" w:pos="567"/>
        </w:tabs>
        <w:spacing w:line="360" w:lineRule="auto"/>
        <w:jc w:val="both"/>
        <w:rPr>
          <w:rFonts w:ascii="Palatino Linotype" w:eastAsia="Calibri" w:hAnsi="Palatino Linotype"/>
        </w:rPr>
      </w:pPr>
    </w:p>
    <w:p w14:paraId="4C5A6275" w14:textId="428002C9" w:rsidR="00855F17" w:rsidRPr="00FE2E33" w:rsidRDefault="00855F17" w:rsidP="00857175">
      <w:pPr>
        <w:tabs>
          <w:tab w:val="left" w:pos="567"/>
        </w:tabs>
        <w:spacing w:line="360" w:lineRule="auto"/>
        <w:jc w:val="both"/>
        <w:rPr>
          <w:rFonts w:ascii="Palatino Linotype" w:eastAsia="Calibri" w:hAnsi="Palatino Linotype"/>
        </w:rPr>
      </w:pPr>
    </w:p>
    <w:p w14:paraId="15833922" w14:textId="77777777" w:rsidR="00855F17" w:rsidRPr="00FE2E33" w:rsidRDefault="00855F17" w:rsidP="00855F17">
      <w:pPr>
        <w:spacing w:line="360" w:lineRule="auto"/>
        <w:jc w:val="center"/>
        <w:rPr>
          <w:rFonts w:ascii="Palatino Linotype" w:hAnsi="Palatino Linotype"/>
          <w:b/>
          <w:u w:val="single"/>
        </w:rPr>
      </w:pPr>
    </w:p>
    <w:p w14:paraId="6633835F" w14:textId="77777777" w:rsidR="00855F17" w:rsidRPr="00FE2E33" w:rsidRDefault="00855F17" w:rsidP="00855F17">
      <w:pPr>
        <w:spacing w:line="360" w:lineRule="auto"/>
        <w:jc w:val="center"/>
        <w:rPr>
          <w:rFonts w:ascii="Palatino Linotype" w:hAnsi="Palatino Linotype"/>
          <w:b/>
          <w:u w:val="single"/>
        </w:rPr>
      </w:pPr>
      <w:r w:rsidRPr="00FE2E33">
        <w:rPr>
          <w:rFonts w:ascii="Palatino Linotype" w:hAnsi="Palatino Linotype"/>
          <w:b/>
          <w:u w:val="single"/>
        </w:rPr>
        <w:t>ÍNDICE</w:t>
      </w:r>
    </w:p>
    <w:sdt>
      <w:sdtPr>
        <w:rPr>
          <w:rFonts w:ascii="Times New Roman" w:eastAsia="Times New Roman" w:hAnsi="Times New Roman" w:cs="Times New Roman"/>
          <w:lang w:val="es-ES" w:eastAsia="es-ES_tradnl"/>
        </w:rPr>
        <w:id w:val="-1745014556"/>
        <w:docPartObj>
          <w:docPartGallery w:val="Table of Contents"/>
          <w:docPartUnique/>
        </w:docPartObj>
      </w:sdtPr>
      <w:sdtEndPr>
        <w:rPr>
          <w:rFonts w:ascii="Palatino Linotype" w:hAnsi="Palatino Linotype"/>
          <w:b/>
          <w:bCs/>
        </w:rPr>
      </w:sdtEndPr>
      <w:sdtContent>
        <w:p w14:paraId="6143D24A" w14:textId="77777777" w:rsidR="00855F17" w:rsidRPr="00FE2E33" w:rsidRDefault="00855F17" w:rsidP="00855F17">
          <w:pPr>
            <w:pStyle w:val="TDC1"/>
            <w:rPr>
              <w:rFonts w:ascii="Palatino Linotype" w:hAnsi="Palatino Linotype"/>
              <w:b/>
              <w:noProof/>
              <w:lang w:val="es-MX" w:eastAsia="es-MX"/>
            </w:rPr>
          </w:pPr>
          <w:r w:rsidRPr="00FE2E33">
            <w:rPr>
              <w:rFonts w:ascii="Palatino Linotype" w:eastAsiaTheme="majorEastAsia" w:hAnsi="Palatino Linotype" w:cstheme="majorBidi"/>
              <w:b/>
              <w:lang w:val="es-MX" w:eastAsia="es-MX"/>
            </w:rPr>
            <w:fldChar w:fldCharType="begin"/>
          </w:r>
          <w:r w:rsidRPr="00FE2E33">
            <w:rPr>
              <w:rFonts w:ascii="Palatino Linotype" w:hAnsi="Palatino Linotype"/>
              <w:b/>
            </w:rPr>
            <w:instrText xml:space="preserve"> TOC \o "1-3" \h \z \u </w:instrText>
          </w:r>
          <w:r w:rsidRPr="00FE2E33">
            <w:rPr>
              <w:rFonts w:ascii="Palatino Linotype" w:eastAsiaTheme="majorEastAsia" w:hAnsi="Palatino Linotype" w:cstheme="majorBidi"/>
              <w:b/>
              <w:lang w:val="es-MX" w:eastAsia="es-MX"/>
            </w:rPr>
            <w:fldChar w:fldCharType="separate"/>
          </w:r>
          <w:hyperlink w:anchor="_Toc34157661" w:history="1">
            <w:r w:rsidRPr="00FE2E33">
              <w:rPr>
                <w:rStyle w:val="Hipervnculo"/>
                <w:rFonts w:ascii="Palatino Linotype" w:hAnsi="Palatino Linotype"/>
                <w:b/>
                <w:noProof/>
                <w:color w:val="auto"/>
              </w:rPr>
              <w:t>ANTECEDENTES</w:t>
            </w:r>
            <w:r w:rsidRPr="00FE2E33">
              <w:rPr>
                <w:rFonts w:ascii="Palatino Linotype" w:hAnsi="Palatino Linotype"/>
                <w:b/>
                <w:noProof/>
                <w:webHidden/>
              </w:rPr>
              <w:tab/>
            </w:r>
            <w:r w:rsidRPr="00FE2E33">
              <w:rPr>
                <w:rFonts w:ascii="Palatino Linotype" w:hAnsi="Palatino Linotype"/>
                <w:b/>
                <w:noProof/>
                <w:webHidden/>
              </w:rPr>
              <w:fldChar w:fldCharType="begin"/>
            </w:r>
            <w:r w:rsidRPr="00FE2E33">
              <w:rPr>
                <w:rFonts w:ascii="Palatino Linotype" w:hAnsi="Palatino Linotype"/>
                <w:b/>
                <w:noProof/>
                <w:webHidden/>
              </w:rPr>
              <w:instrText xml:space="preserve"> PAGEREF _Toc34157661 \h </w:instrText>
            </w:r>
            <w:r w:rsidRPr="00FE2E33">
              <w:rPr>
                <w:rFonts w:ascii="Palatino Linotype" w:hAnsi="Palatino Linotype"/>
                <w:b/>
                <w:noProof/>
                <w:webHidden/>
              </w:rPr>
            </w:r>
            <w:r w:rsidRPr="00FE2E33">
              <w:rPr>
                <w:rFonts w:ascii="Palatino Linotype" w:hAnsi="Palatino Linotype"/>
                <w:b/>
                <w:noProof/>
                <w:webHidden/>
              </w:rPr>
              <w:fldChar w:fldCharType="separate"/>
            </w:r>
            <w:r w:rsidRPr="00FE2E33">
              <w:rPr>
                <w:rFonts w:ascii="Palatino Linotype" w:hAnsi="Palatino Linotype"/>
                <w:b/>
                <w:noProof/>
                <w:webHidden/>
              </w:rPr>
              <w:t>3</w:t>
            </w:r>
            <w:r w:rsidRPr="00FE2E33">
              <w:rPr>
                <w:rFonts w:ascii="Palatino Linotype" w:hAnsi="Palatino Linotype"/>
                <w:b/>
                <w:noProof/>
                <w:webHidden/>
              </w:rPr>
              <w:fldChar w:fldCharType="end"/>
            </w:r>
          </w:hyperlink>
        </w:p>
        <w:p w14:paraId="01E7479D" w14:textId="77777777" w:rsidR="00855F17" w:rsidRPr="00FE2E33" w:rsidRDefault="00431B5D" w:rsidP="00855F17">
          <w:pPr>
            <w:pStyle w:val="TDC1"/>
            <w:rPr>
              <w:rFonts w:ascii="Palatino Linotype" w:hAnsi="Palatino Linotype"/>
              <w:b/>
              <w:noProof/>
              <w:lang w:val="es-MX" w:eastAsia="es-MX"/>
            </w:rPr>
          </w:pPr>
          <w:hyperlink w:anchor="_Toc34157664" w:history="1">
            <w:r w:rsidR="00855F17" w:rsidRPr="00FE2E33">
              <w:rPr>
                <w:rStyle w:val="Hipervnculo"/>
                <w:rFonts w:ascii="Palatino Linotype" w:hAnsi="Palatino Linotype"/>
                <w:b/>
                <w:noProof/>
                <w:color w:val="auto"/>
              </w:rPr>
              <w:t>CONSIDERANDO</w:t>
            </w:r>
            <w:r w:rsidR="00855F17" w:rsidRPr="00FE2E33">
              <w:rPr>
                <w:rFonts w:ascii="Palatino Linotype" w:hAnsi="Palatino Linotype"/>
                <w:b/>
                <w:noProof/>
                <w:webHidden/>
              </w:rPr>
              <w:tab/>
            </w:r>
            <w:r w:rsidR="00855F17" w:rsidRPr="00FE2E33">
              <w:rPr>
                <w:rFonts w:ascii="Palatino Linotype" w:hAnsi="Palatino Linotype"/>
                <w:b/>
                <w:noProof/>
                <w:webHidden/>
              </w:rPr>
              <w:fldChar w:fldCharType="begin"/>
            </w:r>
            <w:r w:rsidR="00855F17" w:rsidRPr="00FE2E33">
              <w:rPr>
                <w:rFonts w:ascii="Palatino Linotype" w:hAnsi="Palatino Linotype"/>
                <w:b/>
                <w:noProof/>
                <w:webHidden/>
              </w:rPr>
              <w:instrText xml:space="preserve"> PAGEREF _Toc34157664 \h </w:instrText>
            </w:r>
            <w:r w:rsidR="00855F17" w:rsidRPr="00FE2E33">
              <w:rPr>
                <w:rFonts w:ascii="Palatino Linotype" w:hAnsi="Palatino Linotype"/>
                <w:b/>
                <w:noProof/>
                <w:webHidden/>
              </w:rPr>
            </w:r>
            <w:r w:rsidR="00855F17" w:rsidRPr="00FE2E33">
              <w:rPr>
                <w:rFonts w:ascii="Palatino Linotype" w:hAnsi="Palatino Linotype"/>
                <w:b/>
                <w:noProof/>
                <w:webHidden/>
              </w:rPr>
              <w:fldChar w:fldCharType="separate"/>
            </w:r>
            <w:r w:rsidR="00855F17" w:rsidRPr="00FE2E33">
              <w:rPr>
                <w:rFonts w:ascii="Palatino Linotype" w:hAnsi="Palatino Linotype"/>
                <w:b/>
                <w:noProof/>
                <w:webHidden/>
              </w:rPr>
              <w:t>7</w:t>
            </w:r>
            <w:r w:rsidR="00855F17" w:rsidRPr="00FE2E33">
              <w:rPr>
                <w:rFonts w:ascii="Palatino Linotype" w:hAnsi="Palatino Linotype"/>
                <w:b/>
                <w:noProof/>
                <w:webHidden/>
              </w:rPr>
              <w:fldChar w:fldCharType="end"/>
            </w:r>
          </w:hyperlink>
        </w:p>
        <w:p w14:paraId="20B306A3" w14:textId="77777777" w:rsidR="00855F17" w:rsidRPr="00FE2E33" w:rsidRDefault="00431B5D" w:rsidP="00855F17">
          <w:pPr>
            <w:pStyle w:val="TDC2"/>
            <w:ind w:firstLine="0"/>
            <w:rPr>
              <w:rFonts w:ascii="Palatino Linotype" w:hAnsi="Palatino Linotype"/>
              <w:b/>
              <w:noProof/>
              <w:lang w:val="es-MX" w:eastAsia="es-MX"/>
            </w:rPr>
          </w:pPr>
          <w:hyperlink w:anchor="_Toc34157665" w:history="1">
            <w:r w:rsidR="00855F17" w:rsidRPr="00FE2E33">
              <w:rPr>
                <w:rStyle w:val="Hipervnculo"/>
                <w:rFonts w:ascii="Palatino Linotype" w:hAnsi="Palatino Linotype"/>
                <w:b/>
                <w:noProof/>
                <w:color w:val="auto"/>
              </w:rPr>
              <w:t>PRIMERO. De la competencia</w:t>
            </w:r>
            <w:r w:rsidR="00855F17" w:rsidRPr="00FE2E33">
              <w:rPr>
                <w:rFonts w:ascii="Palatino Linotype" w:hAnsi="Palatino Linotype"/>
                <w:b/>
                <w:noProof/>
                <w:webHidden/>
              </w:rPr>
              <w:tab/>
            </w:r>
            <w:r w:rsidR="00855F17" w:rsidRPr="00FE2E33">
              <w:rPr>
                <w:rFonts w:ascii="Palatino Linotype" w:hAnsi="Palatino Linotype"/>
                <w:b/>
                <w:noProof/>
                <w:webHidden/>
              </w:rPr>
              <w:fldChar w:fldCharType="begin"/>
            </w:r>
            <w:r w:rsidR="00855F17" w:rsidRPr="00FE2E33">
              <w:rPr>
                <w:rFonts w:ascii="Palatino Linotype" w:hAnsi="Palatino Linotype"/>
                <w:b/>
                <w:noProof/>
                <w:webHidden/>
              </w:rPr>
              <w:instrText xml:space="preserve"> PAGEREF _Toc34157665 \h </w:instrText>
            </w:r>
            <w:r w:rsidR="00855F17" w:rsidRPr="00FE2E33">
              <w:rPr>
                <w:rFonts w:ascii="Palatino Linotype" w:hAnsi="Palatino Linotype"/>
                <w:b/>
                <w:noProof/>
                <w:webHidden/>
              </w:rPr>
            </w:r>
            <w:r w:rsidR="00855F17" w:rsidRPr="00FE2E33">
              <w:rPr>
                <w:rFonts w:ascii="Palatino Linotype" w:hAnsi="Palatino Linotype"/>
                <w:b/>
                <w:noProof/>
                <w:webHidden/>
              </w:rPr>
              <w:fldChar w:fldCharType="separate"/>
            </w:r>
            <w:r w:rsidR="00855F17" w:rsidRPr="00FE2E33">
              <w:rPr>
                <w:rFonts w:ascii="Palatino Linotype" w:hAnsi="Palatino Linotype"/>
                <w:b/>
                <w:noProof/>
                <w:webHidden/>
              </w:rPr>
              <w:t>7</w:t>
            </w:r>
            <w:r w:rsidR="00855F17" w:rsidRPr="00FE2E33">
              <w:rPr>
                <w:rFonts w:ascii="Palatino Linotype" w:hAnsi="Palatino Linotype"/>
                <w:b/>
                <w:noProof/>
                <w:webHidden/>
              </w:rPr>
              <w:fldChar w:fldCharType="end"/>
            </w:r>
          </w:hyperlink>
        </w:p>
        <w:p w14:paraId="0F126254" w14:textId="77777777" w:rsidR="00855F17" w:rsidRPr="00FE2E33" w:rsidRDefault="00431B5D" w:rsidP="00855F17">
          <w:pPr>
            <w:pStyle w:val="TDC2"/>
            <w:ind w:firstLine="0"/>
            <w:rPr>
              <w:rFonts w:ascii="Palatino Linotype" w:hAnsi="Palatino Linotype"/>
              <w:b/>
              <w:noProof/>
              <w:lang w:val="es-MX" w:eastAsia="es-MX"/>
            </w:rPr>
          </w:pPr>
          <w:hyperlink w:anchor="_Toc34157666" w:history="1">
            <w:r w:rsidR="00855F17" w:rsidRPr="00FE2E33">
              <w:rPr>
                <w:rStyle w:val="Hipervnculo"/>
                <w:rFonts w:ascii="Palatino Linotype" w:hAnsi="Palatino Linotype"/>
                <w:b/>
                <w:noProof/>
                <w:color w:val="auto"/>
              </w:rPr>
              <w:t>SEGUNDO. De la oportunidad y procedencia</w:t>
            </w:r>
            <w:r w:rsidR="00855F17" w:rsidRPr="00FE2E33">
              <w:rPr>
                <w:rFonts w:ascii="Palatino Linotype" w:hAnsi="Palatino Linotype"/>
                <w:b/>
                <w:noProof/>
                <w:webHidden/>
              </w:rPr>
              <w:tab/>
            </w:r>
            <w:r w:rsidR="00855F17" w:rsidRPr="00FE2E33">
              <w:rPr>
                <w:rFonts w:ascii="Palatino Linotype" w:hAnsi="Palatino Linotype"/>
                <w:b/>
                <w:noProof/>
                <w:webHidden/>
              </w:rPr>
              <w:fldChar w:fldCharType="begin"/>
            </w:r>
            <w:r w:rsidR="00855F17" w:rsidRPr="00FE2E33">
              <w:rPr>
                <w:rFonts w:ascii="Palatino Linotype" w:hAnsi="Palatino Linotype"/>
                <w:b/>
                <w:noProof/>
                <w:webHidden/>
              </w:rPr>
              <w:instrText xml:space="preserve"> PAGEREF _Toc34157666 \h </w:instrText>
            </w:r>
            <w:r w:rsidR="00855F17" w:rsidRPr="00FE2E33">
              <w:rPr>
                <w:rFonts w:ascii="Palatino Linotype" w:hAnsi="Palatino Linotype"/>
                <w:b/>
                <w:noProof/>
                <w:webHidden/>
              </w:rPr>
            </w:r>
            <w:r w:rsidR="00855F17" w:rsidRPr="00FE2E33">
              <w:rPr>
                <w:rFonts w:ascii="Palatino Linotype" w:hAnsi="Palatino Linotype"/>
                <w:b/>
                <w:noProof/>
                <w:webHidden/>
              </w:rPr>
              <w:fldChar w:fldCharType="separate"/>
            </w:r>
            <w:r w:rsidR="00855F17" w:rsidRPr="00FE2E33">
              <w:rPr>
                <w:rFonts w:ascii="Palatino Linotype" w:hAnsi="Palatino Linotype"/>
                <w:b/>
                <w:noProof/>
                <w:webHidden/>
              </w:rPr>
              <w:t>8</w:t>
            </w:r>
            <w:r w:rsidR="00855F17" w:rsidRPr="00FE2E33">
              <w:rPr>
                <w:rFonts w:ascii="Palatino Linotype" w:hAnsi="Palatino Linotype"/>
                <w:b/>
                <w:noProof/>
                <w:webHidden/>
              </w:rPr>
              <w:fldChar w:fldCharType="end"/>
            </w:r>
          </w:hyperlink>
        </w:p>
        <w:p w14:paraId="4F52E317" w14:textId="77777777" w:rsidR="00855F17" w:rsidRPr="00FE2E33" w:rsidRDefault="00431B5D" w:rsidP="00855F17">
          <w:pPr>
            <w:pStyle w:val="TDC1"/>
            <w:rPr>
              <w:rFonts w:ascii="Palatino Linotype" w:hAnsi="Palatino Linotype"/>
              <w:b/>
              <w:noProof/>
            </w:rPr>
          </w:pPr>
          <w:hyperlink w:anchor="_Toc34157667" w:history="1">
            <w:r w:rsidR="00855F17" w:rsidRPr="00FE2E33">
              <w:rPr>
                <w:rStyle w:val="Hipervnculo"/>
                <w:rFonts w:ascii="Palatino Linotype" w:hAnsi="Palatino Linotype"/>
                <w:b/>
                <w:noProof/>
                <w:color w:val="auto"/>
              </w:rPr>
              <w:t>TERCERO. Del previo especial pronunciamiento .</w:t>
            </w:r>
            <w:r w:rsidR="00855F17" w:rsidRPr="00FE2E33">
              <w:rPr>
                <w:rFonts w:ascii="Palatino Linotype" w:hAnsi="Palatino Linotype"/>
                <w:b/>
                <w:noProof/>
                <w:webHidden/>
              </w:rPr>
              <w:tab/>
            </w:r>
            <w:r w:rsidR="00855F17" w:rsidRPr="00FE2E33">
              <w:rPr>
                <w:rFonts w:ascii="Palatino Linotype" w:hAnsi="Palatino Linotype"/>
                <w:b/>
                <w:noProof/>
                <w:webHidden/>
              </w:rPr>
              <w:fldChar w:fldCharType="begin"/>
            </w:r>
            <w:r w:rsidR="00855F17" w:rsidRPr="00FE2E33">
              <w:rPr>
                <w:rFonts w:ascii="Palatino Linotype" w:hAnsi="Palatino Linotype"/>
                <w:b/>
                <w:noProof/>
                <w:webHidden/>
              </w:rPr>
              <w:instrText xml:space="preserve"> PAGEREF _Toc34157667 \h </w:instrText>
            </w:r>
            <w:r w:rsidR="00855F17" w:rsidRPr="00FE2E33">
              <w:rPr>
                <w:rFonts w:ascii="Palatino Linotype" w:hAnsi="Palatino Linotype"/>
                <w:b/>
                <w:noProof/>
                <w:webHidden/>
              </w:rPr>
            </w:r>
            <w:r w:rsidR="00855F17" w:rsidRPr="00FE2E33">
              <w:rPr>
                <w:rFonts w:ascii="Palatino Linotype" w:hAnsi="Palatino Linotype"/>
                <w:b/>
                <w:noProof/>
                <w:webHidden/>
              </w:rPr>
              <w:fldChar w:fldCharType="separate"/>
            </w:r>
            <w:r w:rsidR="00855F17" w:rsidRPr="00FE2E33">
              <w:rPr>
                <w:rFonts w:ascii="Palatino Linotype" w:hAnsi="Palatino Linotype"/>
                <w:b/>
                <w:noProof/>
                <w:webHidden/>
              </w:rPr>
              <w:t>10</w:t>
            </w:r>
            <w:r w:rsidR="00855F17" w:rsidRPr="00FE2E33">
              <w:rPr>
                <w:rFonts w:ascii="Palatino Linotype" w:hAnsi="Palatino Linotype"/>
                <w:b/>
                <w:noProof/>
                <w:webHidden/>
              </w:rPr>
              <w:fldChar w:fldCharType="end"/>
            </w:r>
          </w:hyperlink>
        </w:p>
        <w:p w14:paraId="39DEDA7F" w14:textId="77777777" w:rsidR="00855F17" w:rsidRPr="00FE2E33" w:rsidRDefault="00855F17" w:rsidP="00855F17">
          <w:pPr>
            <w:pStyle w:val="TDC2"/>
            <w:ind w:firstLine="0"/>
            <w:rPr>
              <w:rFonts w:ascii="Palatino Linotype" w:hAnsi="Palatino Linotype"/>
              <w:b/>
              <w:noProof/>
              <w:sz w:val="22"/>
              <w:szCs w:val="22"/>
              <w:lang w:val="es-MX" w:eastAsia="es-MX"/>
            </w:rPr>
          </w:pPr>
          <w:r w:rsidRPr="00FE2E33">
            <w:rPr>
              <w:rFonts w:ascii="Palatino Linotype" w:hAnsi="Palatino Linotype"/>
              <w:b/>
            </w:rPr>
            <w:t>CUARTO</w:t>
          </w:r>
          <w:hyperlink w:anchor="_Toc52452642" w:history="1">
            <w:r w:rsidRPr="00FE2E33">
              <w:rPr>
                <w:rStyle w:val="Hipervnculo"/>
                <w:rFonts w:ascii="Palatino Linotype" w:hAnsi="Palatino Linotype"/>
                <w:b/>
                <w:bCs/>
                <w:noProof/>
              </w:rPr>
              <w:t>. De las causales del sobreseimiento.</w:t>
            </w:r>
            <w:r w:rsidRPr="00FE2E33">
              <w:rPr>
                <w:rFonts w:ascii="Palatino Linotype" w:hAnsi="Palatino Linotype"/>
                <w:b/>
                <w:noProof/>
                <w:webHidden/>
              </w:rPr>
              <w:tab/>
            </w:r>
            <w:r w:rsidRPr="00FE2E33">
              <w:rPr>
                <w:rFonts w:ascii="Palatino Linotype" w:hAnsi="Palatino Linotype"/>
                <w:b/>
                <w:noProof/>
                <w:webHidden/>
              </w:rPr>
              <w:fldChar w:fldCharType="begin"/>
            </w:r>
            <w:r w:rsidRPr="00FE2E33">
              <w:rPr>
                <w:rFonts w:ascii="Palatino Linotype" w:hAnsi="Palatino Linotype"/>
                <w:b/>
                <w:noProof/>
                <w:webHidden/>
              </w:rPr>
              <w:instrText xml:space="preserve"> PAGEREF _Toc52452642 \h </w:instrText>
            </w:r>
            <w:r w:rsidRPr="00FE2E33">
              <w:rPr>
                <w:rFonts w:ascii="Palatino Linotype" w:hAnsi="Palatino Linotype"/>
                <w:b/>
                <w:noProof/>
                <w:webHidden/>
              </w:rPr>
            </w:r>
            <w:r w:rsidRPr="00FE2E33">
              <w:rPr>
                <w:rFonts w:ascii="Palatino Linotype" w:hAnsi="Palatino Linotype"/>
                <w:b/>
                <w:noProof/>
                <w:webHidden/>
              </w:rPr>
              <w:fldChar w:fldCharType="separate"/>
            </w:r>
            <w:r w:rsidRPr="00FE2E33">
              <w:rPr>
                <w:rFonts w:ascii="Palatino Linotype" w:hAnsi="Palatino Linotype"/>
                <w:b/>
                <w:noProof/>
                <w:webHidden/>
              </w:rPr>
              <w:t>13</w:t>
            </w:r>
            <w:r w:rsidRPr="00FE2E33">
              <w:rPr>
                <w:rFonts w:ascii="Palatino Linotype" w:hAnsi="Palatino Linotype"/>
                <w:b/>
                <w:noProof/>
                <w:webHidden/>
              </w:rPr>
              <w:fldChar w:fldCharType="end"/>
            </w:r>
          </w:hyperlink>
        </w:p>
        <w:p w14:paraId="35711E9E" w14:textId="77777777" w:rsidR="00855F17" w:rsidRPr="00FE2E33" w:rsidRDefault="00431B5D" w:rsidP="00855F17">
          <w:pPr>
            <w:pStyle w:val="TDC1"/>
            <w:rPr>
              <w:rFonts w:ascii="Palatino Linotype" w:hAnsi="Palatino Linotype"/>
              <w:b/>
              <w:noProof/>
              <w:lang w:val="es-MX" w:eastAsia="es-MX"/>
            </w:rPr>
          </w:pPr>
          <w:hyperlink w:anchor="_Toc34157669" w:history="1">
            <w:r w:rsidR="00855F17" w:rsidRPr="00FE2E33">
              <w:rPr>
                <w:rStyle w:val="Hipervnculo"/>
                <w:rFonts w:ascii="Palatino Linotype" w:hAnsi="Palatino Linotype"/>
                <w:b/>
                <w:noProof/>
                <w:color w:val="auto"/>
              </w:rPr>
              <w:t>R E S O L U T I V O S</w:t>
            </w:r>
            <w:r w:rsidR="00855F17" w:rsidRPr="00FE2E33">
              <w:rPr>
                <w:rFonts w:ascii="Palatino Linotype" w:hAnsi="Palatino Linotype"/>
                <w:b/>
                <w:noProof/>
                <w:webHidden/>
              </w:rPr>
              <w:tab/>
            </w:r>
            <w:r w:rsidR="00855F17" w:rsidRPr="00FE2E33">
              <w:rPr>
                <w:rFonts w:ascii="Palatino Linotype" w:hAnsi="Palatino Linotype"/>
                <w:b/>
                <w:noProof/>
                <w:webHidden/>
              </w:rPr>
              <w:fldChar w:fldCharType="begin"/>
            </w:r>
            <w:r w:rsidR="00855F17" w:rsidRPr="00FE2E33">
              <w:rPr>
                <w:rFonts w:ascii="Palatino Linotype" w:hAnsi="Palatino Linotype"/>
                <w:b/>
                <w:noProof/>
                <w:webHidden/>
              </w:rPr>
              <w:instrText xml:space="preserve"> PAGEREF _Toc34157669 \h </w:instrText>
            </w:r>
            <w:r w:rsidR="00855F17" w:rsidRPr="00FE2E33">
              <w:rPr>
                <w:rFonts w:ascii="Palatino Linotype" w:hAnsi="Palatino Linotype"/>
                <w:b/>
                <w:noProof/>
                <w:webHidden/>
              </w:rPr>
            </w:r>
            <w:r w:rsidR="00855F17" w:rsidRPr="00FE2E33">
              <w:rPr>
                <w:rFonts w:ascii="Palatino Linotype" w:hAnsi="Palatino Linotype"/>
                <w:b/>
                <w:noProof/>
                <w:webHidden/>
              </w:rPr>
              <w:fldChar w:fldCharType="separate"/>
            </w:r>
            <w:r w:rsidR="00855F17" w:rsidRPr="00FE2E33">
              <w:rPr>
                <w:rFonts w:ascii="Palatino Linotype" w:hAnsi="Palatino Linotype"/>
                <w:b/>
                <w:noProof/>
                <w:webHidden/>
              </w:rPr>
              <w:t>30</w:t>
            </w:r>
            <w:r w:rsidR="00855F17" w:rsidRPr="00FE2E33">
              <w:rPr>
                <w:rFonts w:ascii="Palatino Linotype" w:hAnsi="Palatino Linotype"/>
                <w:b/>
                <w:noProof/>
                <w:webHidden/>
              </w:rPr>
              <w:fldChar w:fldCharType="end"/>
            </w:r>
          </w:hyperlink>
        </w:p>
        <w:p w14:paraId="4FB05D21" w14:textId="77777777" w:rsidR="00855F17" w:rsidRPr="00FE2E33" w:rsidRDefault="00855F17" w:rsidP="00855F17">
          <w:pPr>
            <w:spacing w:line="360" w:lineRule="auto"/>
            <w:jc w:val="both"/>
            <w:rPr>
              <w:rFonts w:ascii="Palatino Linotype" w:hAnsi="Palatino Linotype"/>
              <w:b/>
            </w:rPr>
          </w:pPr>
          <w:r w:rsidRPr="00FE2E33">
            <w:rPr>
              <w:rFonts w:ascii="Palatino Linotype" w:hAnsi="Palatino Linotype"/>
              <w:b/>
              <w:bCs/>
              <w:lang w:val="es-ES"/>
            </w:rPr>
            <w:fldChar w:fldCharType="end"/>
          </w:r>
        </w:p>
      </w:sdtContent>
    </w:sdt>
    <w:p w14:paraId="3BF18AA3" w14:textId="77777777" w:rsidR="00855F17" w:rsidRPr="00FE2E33" w:rsidRDefault="00855F17" w:rsidP="00855F17">
      <w:pPr>
        <w:tabs>
          <w:tab w:val="left" w:pos="3465"/>
        </w:tabs>
        <w:spacing w:before="240" w:after="360" w:line="360" w:lineRule="auto"/>
        <w:jc w:val="both"/>
        <w:rPr>
          <w:rFonts w:ascii="Palatino Linotype" w:hAnsi="Palatino Linotype"/>
        </w:rPr>
      </w:pPr>
    </w:p>
    <w:p w14:paraId="2774C704" w14:textId="77777777" w:rsidR="00855F17" w:rsidRPr="00FE2E33" w:rsidRDefault="00855F17" w:rsidP="00857175">
      <w:pPr>
        <w:tabs>
          <w:tab w:val="left" w:pos="567"/>
        </w:tabs>
        <w:spacing w:line="360" w:lineRule="auto"/>
        <w:jc w:val="both"/>
        <w:rPr>
          <w:rFonts w:ascii="Palatino Linotype" w:eastAsia="Calibri" w:hAnsi="Palatino Linotype"/>
        </w:rPr>
      </w:pPr>
    </w:p>
    <w:p w14:paraId="232845CF" w14:textId="77777777" w:rsidR="00A56EAE" w:rsidRPr="00FE2E33" w:rsidRDefault="00A56EAE" w:rsidP="00857175">
      <w:pPr>
        <w:tabs>
          <w:tab w:val="left" w:pos="3465"/>
        </w:tabs>
        <w:spacing w:before="240" w:after="360" w:line="360" w:lineRule="auto"/>
        <w:jc w:val="both"/>
        <w:rPr>
          <w:rFonts w:ascii="Palatino Linotype" w:hAnsi="Palatino Linotype"/>
        </w:rPr>
      </w:pPr>
    </w:p>
    <w:p w14:paraId="71A2433F" w14:textId="77777777" w:rsidR="004D040A" w:rsidRPr="00FE2E33" w:rsidRDefault="004D040A" w:rsidP="00857175">
      <w:pPr>
        <w:tabs>
          <w:tab w:val="left" w:pos="3465"/>
        </w:tabs>
        <w:spacing w:before="240" w:after="360" w:line="360" w:lineRule="auto"/>
        <w:jc w:val="both"/>
        <w:rPr>
          <w:rFonts w:ascii="Palatino Linotype" w:hAnsi="Palatino Linotype"/>
        </w:rPr>
      </w:pPr>
    </w:p>
    <w:p w14:paraId="73F7F940" w14:textId="7A760503" w:rsidR="00662C69" w:rsidRPr="00FE2E33" w:rsidRDefault="009B11D6" w:rsidP="00857175">
      <w:pPr>
        <w:tabs>
          <w:tab w:val="left" w:pos="3465"/>
        </w:tabs>
        <w:spacing w:before="240" w:after="360" w:line="360" w:lineRule="auto"/>
        <w:jc w:val="both"/>
        <w:rPr>
          <w:rFonts w:ascii="Palatino Linotype" w:hAnsi="Palatino Linotype"/>
        </w:rPr>
      </w:pPr>
      <w:r w:rsidRPr="00FE2E33">
        <w:rPr>
          <w:rFonts w:ascii="Palatino Linotype" w:hAnsi="Palatino Linotype"/>
        </w:rPr>
        <w:lastRenderedPageBreak/>
        <w:t>R</w:t>
      </w:r>
      <w:r w:rsidR="00662C69" w:rsidRPr="00FE2E33">
        <w:rPr>
          <w:rFonts w:ascii="Palatino Linotype" w:hAnsi="Palatino Linotype"/>
        </w:rPr>
        <w:t>esolución del Pleno del Instituto de Transparencia, Acceso a la Información Pública y Protección de Datos Personales del Estado de México y Mun</w:t>
      </w:r>
      <w:r w:rsidR="000D5A1D" w:rsidRPr="00FE2E33">
        <w:rPr>
          <w:rFonts w:ascii="Palatino Linotype" w:hAnsi="Palatino Linotype"/>
        </w:rPr>
        <w:t>icipios, con</w:t>
      </w:r>
      <w:r w:rsidR="00662C69" w:rsidRPr="00FE2E33">
        <w:rPr>
          <w:rFonts w:ascii="Palatino Linotype" w:hAnsi="Palatino Linotype"/>
        </w:rPr>
        <w:t xml:space="preserve"> </w:t>
      </w:r>
      <w:r w:rsidR="00485DB6" w:rsidRPr="00FE2E33">
        <w:rPr>
          <w:rFonts w:ascii="Palatino Linotype" w:hAnsi="Palatino Linotype"/>
        </w:rPr>
        <w:t xml:space="preserve">domicilio </w:t>
      </w:r>
      <w:r w:rsidR="00662C69" w:rsidRPr="00FE2E33">
        <w:rPr>
          <w:rFonts w:ascii="Palatino Linotype" w:hAnsi="Palatino Linotype"/>
        </w:rPr>
        <w:t xml:space="preserve">en </w:t>
      </w:r>
      <w:r w:rsidR="00AC22B5" w:rsidRPr="00FE2E33">
        <w:rPr>
          <w:rFonts w:ascii="Palatino Linotype" w:hAnsi="Palatino Linotype"/>
        </w:rPr>
        <w:t>Metepec</w:t>
      </w:r>
      <w:r w:rsidR="00662C69" w:rsidRPr="00FE2E33">
        <w:rPr>
          <w:rFonts w:ascii="Palatino Linotype" w:hAnsi="Palatino Linotype"/>
        </w:rPr>
        <w:t xml:space="preserve">, Estado de México; de </w:t>
      </w:r>
      <w:r w:rsidR="000D5A1D" w:rsidRPr="00FE2E33">
        <w:rPr>
          <w:rFonts w:ascii="Palatino Linotype" w:hAnsi="Palatino Linotype"/>
        </w:rPr>
        <w:t xml:space="preserve">fecha </w:t>
      </w:r>
      <w:r w:rsidR="00855F17" w:rsidRPr="00FE2E33">
        <w:rPr>
          <w:rFonts w:ascii="Palatino Linotype" w:hAnsi="Palatino Linotype"/>
        </w:rPr>
        <w:t xml:space="preserve">veinticuatro </w:t>
      </w:r>
      <w:r w:rsidR="00A56EAE" w:rsidRPr="00FE2E33">
        <w:rPr>
          <w:rFonts w:ascii="Palatino Linotype" w:hAnsi="Palatino Linotype"/>
        </w:rPr>
        <w:t>(</w:t>
      </w:r>
      <w:r w:rsidR="00855F17" w:rsidRPr="00FE2E33">
        <w:rPr>
          <w:rFonts w:ascii="Palatino Linotype" w:hAnsi="Palatino Linotype"/>
        </w:rPr>
        <w:t>24</w:t>
      </w:r>
      <w:r w:rsidR="00A56EAE" w:rsidRPr="00FE2E33">
        <w:rPr>
          <w:rFonts w:ascii="Palatino Linotype" w:hAnsi="Palatino Linotype"/>
        </w:rPr>
        <w:t xml:space="preserve">) de </w:t>
      </w:r>
      <w:r w:rsidR="00330E2D" w:rsidRPr="00FE2E33">
        <w:rPr>
          <w:rFonts w:ascii="Palatino Linotype" w:hAnsi="Palatino Linotype"/>
        </w:rPr>
        <w:t xml:space="preserve">marzo </w:t>
      </w:r>
      <w:r w:rsidR="00A56EAE" w:rsidRPr="00FE2E33">
        <w:rPr>
          <w:rFonts w:ascii="Palatino Linotype" w:hAnsi="Palatino Linotype"/>
        </w:rPr>
        <w:t xml:space="preserve">de </w:t>
      </w:r>
      <w:r w:rsidR="00662C69" w:rsidRPr="00FE2E33">
        <w:rPr>
          <w:rFonts w:ascii="Palatino Linotype" w:hAnsi="Palatino Linotype"/>
        </w:rPr>
        <w:t xml:space="preserve">dos mil </w:t>
      </w:r>
      <w:r w:rsidR="00330E2D" w:rsidRPr="00FE2E33">
        <w:rPr>
          <w:rFonts w:ascii="Palatino Linotype" w:hAnsi="Palatino Linotype"/>
        </w:rPr>
        <w:t>veintiuno</w:t>
      </w:r>
      <w:r w:rsidR="00662C69" w:rsidRPr="00FE2E33">
        <w:rPr>
          <w:rFonts w:ascii="Palatino Linotype" w:hAnsi="Palatino Linotype"/>
        </w:rPr>
        <w:t>.</w:t>
      </w:r>
    </w:p>
    <w:p w14:paraId="548BA910" w14:textId="1ACA1B98" w:rsidR="00F854D7" w:rsidRPr="00FE2E33" w:rsidRDefault="00662C69" w:rsidP="00857175">
      <w:pPr>
        <w:spacing w:before="240" w:after="360" w:line="360" w:lineRule="auto"/>
        <w:jc w:val="both"/>
        <w:rPr>
          <w:rFonts w:ascii="Palatino Linotype" w:hAnsi="Palatino Linotype"/>
          <w:b/>
        </w:rPr>
      </w:pPr>
      <w:r w:rsidRPr="00FE2E33">
        <w:rPr>
          <w:rFonts w:ascii="Palatino Linotype" w:hAnsi="Palatino Linotype"/>
          <w:b/>
        </w:rPr>
        <w:t>VISTO</w:t>
      </w:r>
      <w:r w:rsidRPr="00FE2E33">
        <w:rPr>
          <w:rFonts w:ascii="Palatino Linotype" w:hAnsi="Palatino Linotype"/>
        </w:rPr>
        <w:t xml:space="preserve"> el expediente electrónico for</w:t>
      </w:r>
      <w:r w:rsidR="00D37494" w:rsidRPr="00FE2E33">
        <w:rPr>
          <w:rFonts w:ascii="Palatino Linotype" w:hAnsi="Palatino Linotype"/>
        </w:rPr>
        <w:t>mado con motivo del</w:t>
      </w:r>
      <w:r w:rsidRPr="00FE2E33">
        <w:rPr>
          <w:rFonts w:ascii="Palatino Linotype" w:hAnsi="Palatino Linotype"/>
        </w:rPr>
        <w:t xml:space="preserve"> recurso de revisión </w:t>
      </w:r>
      <w:r w:rsidR="00330E2D" w:rsidRPr="00FE2E33">
        <w:rPr>
          <w:rFonts w:ascii="Palatino Linotype" w:hAnsi="Palatino Linotype"/>
          <w:b/>
        </w:rPr>
        <w:t>00433/INFOEM/IP/RR/2021</w:t>
      </w:r>
      <w:r w:rsidR="004F3DEB" w:rsidRPr="00FE2E33">
        <w:rPr>
          <w:rFonts w:ascii="Palatino Linotype" w:hAnsi="Palatino Linotype"/>
          <w:b/>
        </w:rPr>
        <w:t>,</w:t>
      </w:r>
      <w:r w:rsidR="00335BFE" w:rsidRPr="00FE2E33">
        <w:rPr>
          <w:rFonts w:ascii="Palatino Linotype" w:hAnsi="Palatino Linotype" w:cs="Arial"/>
          <w:b/>
          <w:bCs/>
        </w:rPr>
        <w:t xml:space="preserve"> </w:t>
      </w:r>
      <w:r w:rsidR="00330E2D" w:rsidRPr="00FE2E33">
        <w:rPr>
          <w:rFonts w:ascii="Palatino Linotype" w:hAnsi="Palatino Linotype"/>
        </w:rPr>
        <w:t xml:space="preserve">promovido por </w:t>
      </w:r>
      <w:r w:rsidR="00431B5D" w:rsidRPr="00431B5D">
        <w:rPr>
          <w:rFonts w:ascii="Palatino Linotype" w:hAnsi="Palatino Linotype"/>
          <w:b/>
          <w:highlight w:val="black"/>
        </w:rPr>
        <w:t>---------------------------------</w:t>
      </w:r>
      <w:r w:rsidR="00330E2D" w:rsidRPr="00FE2E33">
        <w:rPr>
          <w:rFonts w:ascii="Palatino Linotype" w:hAnsi="Palatino Linotype"/>
        </w:rPr>
        <w:t xml:space="preserve">, a quien </w:t>
      </w:r>
      <w:r w:rsidR="00A05D06" w:rsidRPr="00FE2E33">
        <w:rPr>
          <w:rFonts w:ascii="Palatino Linotype" w:hAnsi="Palatino Linotype"/>
        </w:rPr>
        <w:t xml:space="preserve">en </w:t>
      </w:r>
      <w:r w:rsidR="00E64EAF" w:rsidRPr="00FE2E33">
        <w:rPr>
          <w:rFonts w:ascii="Palatino Linotype" w:hAnsi="Palatino Linotype"/>
        </w:rPr>
        <w:t>lo sucesivo</w:t>
      </w:r>
      <w:r w:rsidR="00A05D06" w:rsidRPr="00FE2E33">
        <w:rPr>
          <w:rFonts w:ascii="Palatino Linotype" w:hAnsi="Palatino Linotype"/>
        </w:rPr>
        <w:t xml:space="preserve"> se </w:t>
      </w:r>
      <w:r w:rsidR="007521DE" w:rsidRPr="00FE2E33">
        <w:rPr>
          <w:rFonts w:ascii="Palatino Linotype" w:hAnsi="Palatino Linotype"/>
        </w:rPr>
        <w:t xml:space="preserve">le </w:t>
      </w:r>
      <w:r w:rsidR="00A05D06" w:rsidRPr="00FE2E33">
        <w:rPr>
          <w:rFonts w:ascii="Palatino Linotype" w:hAnsi="Palatino Linotype"/>
        </w:rPr>
        <w:t>identificará como</w:t>
      </w:r>
      <w:r w:rsidR="00FF0139" w:rsidRPr="00FE2E33">
        <w:rPr>
          <w:rFonts w:ascii="Palatino Linotype" w:hAnsi="Palatino Linotype"/>
        </w:rPr>
        <w:t xml:space="preserve"> </w:t>
      </w:r>
      <w:r w:rsidR="0051659D" w:rsidRPr="00FE2E33">
        <w:rPr>
          <w:rFonts w:ascii="Palatino Linotype" w:hAnsi="Palatino Linotype"/>
        </w:rPr>
        <w:t>e</w:t>
      </w:r>
      <w:r w:rsidR="0064508B" w:rsidRPr="00FE2E33">
        <w:rPr>
          <w:rFonts w:ascii="Palatino Linotype" w:hAnsi="Palatino Linotype"/>
        </w:rPr>
        <w:t>l</w:t>
      </w:r>
      <w:r w:rsidR="0004427A" w:rsidRPr="00FE2E33">
        <w:rPr>
          <w:rFonts w:ascii="Palatino Linotype" w:hAnsi="Palatino Linotype"/>
          <w:b/>
        </w:rPr>
        <w:t xml:space="preserve"> </w:t>
      </w:r>
      <w:r w:rsidRPr="00FE2E33">
        <w:rPr>
          <w:rFonts w:ascii="Palatino Linotype" w:hAnsi="Palatino Linotype" w:cs="Arial"/>
          <w:b/>
        </w:rPr>
        <w:t>RECURRENTE</w:t>
      </w:r>
      <w:r w:rsidRPr="00FE2E33">
        <w:rPr>
          <w:rFonts w:ascii="Palatino Linotype" w:hAnsi="Palatino Linotype" w:cs="Arial"/>
        </w:rPr>
        <w:t xml:space="preserve">, en contra </w:t>
      </w:r>
      <w:r w:rsidR="000D5A1D" w:rsidRPr="00FE2E33">
        <w:rPr>
          <w:rFonts w:ascii="Palatino Linotype" w:hAnsi="Palatino Linotype" w:cs="Arial"/>
        </w:rPr>
        <w:t xml:space="preserve">de </w:t>
      </w:r>
      <w:r w:rsidR="00843908" w:rsidRPr="00FE2E33">
        <w:rPr>
          <w:rFonts w:ascii="Palatino Linotype" w:hAnsi="Palatino Linotype" w:cs="Arial"/>
        </w:rPr>
        <w:t>la respuesta d</w:t>
      </w:r>
      <w:r w:rsidR="008F2163" w:rsidRPr="00FE2E33">
        <w:rPr>
          <w:rFonts w:ascii="Palatino Linotype" w:hAnsi="Palatino Linotype" w:cs="Arial"/>
        </w:rPr>
        <w:t xml:space="preserve">el </w:t>
      </w:r>
      <w:r w:rsidR="00330E2D" w:rsidRPr="00FE2E33">
        <w:rPr>
          <w:rFonts w:ascii="Palatino Linotype" w:hAnsi="Palatino Linotype" w:cs="Arial"/>
          <w:b/>
        </w:rPr>
        <w:t>Tribunal Estatal de Conciliación y Arbitraje</w:t>
      </w:r>
      <w:r w:rsidR="004F3DEB" w:rsidRPr="00FE2E33">
        <w:rPr>
          <w:rFonts w:ascii="Palatino Linotype" w:hAnsi="Palatino Linotype" w:cs="Arial"/>
          <w:b/>
        </w:rPr>
        <w:t>,</w:t>
      </w:r>
      <w:r w:rsidR="0036073F" w:rsidRPr="00FE2E33">
        <w:rPr>
          <w:rFonts w:ascii="Palatino Linotype" w:hAnsi="Palatino Linotype"/>
          <w:b/>
        </w:rPr>
        <w:t xml:space="preserve"> </w:t>
      </w:r>
      <w:r w:rsidR="00F378CB" w:rsidRPr="00FE2E33">
        <w:rPr>
          <w:rFonts w:ascii="Palatino Linotype" w:hAnsi="Palatino Linotype"/>
        </w:rPr>
        <w:t xml:space="preserve">en lo sucesivo </w:t>
      </w:r>
      <w:r w:rsidR="0081425E" w:rsidRPr="00FE2E33">
        <w:rPr>
          <w:rFonts w:ascii="Palatino Linotype" w:hAnsi="Palatino Linotype"/>
        </w:rPr>
        <w:t>e</w:t>
      </w:r>
      <w:r w:rsidRPr="00FE2E33">
        <w:rPr>
          <w:rFonts w:ascii="Palatino Linotype" w:hAnsi="Palatino Linotype"/>
        </w:rPr>
        <w:t>l</w:t>
      </w:r>
      <w:r w:rsidRPr="00FE2E33">
        <w:rPr>
          <w:rFonts w:ascii="Palatino Linotype" w:hAnsi="Palatino Linotype"/>
          <w:b/>
        </w:rPr>
        <w:t xml:space="preserve"> SUJETO OBLIGADO</w:t>
      </w:r>
      <w:r w:rsidR="00F854D7" w:rsidRPr="00FE2E33">
        <w:rPr>
          <w:rFonts w:ascii="Palatino Linotype" w:hAnsi="Palatino Linotype"/>
          <w:b/>
        </w:rPr>
        <w:t xml:space="preserve">; </w:t>
      </w:r>
      <w:r w:rsidR="00F854D7" w:rsidRPr="00FE2E33">
        <w:rPr>
          <w:rFonts w:ascii="Palatino Linotype" w:hAnsi="Palatino Linotype"/>
        </w:rPr>
        <w:t xml:space="preserve">se procede a dictar la presente resolución, con base en los siguientes: </w:t>
      </w:r>
    </w:p>
    <w:p w14:paraId="769E1410" w14:textId="5740327F" w:rsidR="00587366" w:rsidRPr="00FE2E33" w:rsidRDefault="00662C69" w:rsidP="00857175">
      <w:pPr>
        <w:pStyle w:val="Ttulo1"/>
        <w:spacing w:line="360" w:lineRule="auto"/>
        <w:jc w:val="center"/>
        <w:rPr>
          <w:b/>
          <w:szCs w:val="24"/>
        </w:rPr>
      </w:pPr>
      <w:bookmarkStart w:id="0" w:name="_Toc461555884"/>
      <w:bookmarkStart w:id="1" w:name="_Toc466371847"/>
      <w:bookmarkStart w:id="2" w:name="_Toc66395995"/>
      <w:r w:rsidRPr="00FE2E33">
        <w:rPr>
          <w:b/>
          <w:szCs w:val="24"/>
        </w:rPr>
        <w:t>ANTECEDENTES</w:t>
      </w:r>
      <w:bookmarkEnd w:id="0"/>
      <w:bookmarkEnd w:id="1"/>
      <w:bookmarkEnd w:id="2"/>
    </w:p>
    <w:p w14:paraId="056CC9CF" w14:textId="33D54DA1" w:rsidR="004512AB" w:rsidRPr="00FE2E33" w:rsidRDefault="00D9392E" w:rsidP="003618D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E2E33">
        <w:rPr>
          <w:rFonts w:ascii="Palatino Linotype" w:eastAsia="Calibri" w:hAnsi="Palatino Linotype" w:cs="Arial"/>
          <w:lang w:val="es-ES"/>
        </w:rPr>
        <w:t xml:space="preserve">El día </w:t>
      </w:r>
      <w:r w:rsidR="00330E2D" w:rsidRPr="00FE2E33">
        <w:rPr>
          <w:rFonts w:ascii="Palatino Linotype" w:eastAsia="Calibri" w:hAnsi="Palatino Linotype" w:cs="Arial"/>
          <w:lang w:val="es-ES"/>
        </w:rPr>
        <w:t>tres</w:t>
      </w:r>
      <w:r w:rsidR="00525972" w:rsidRPr="00FE2E33">
        <w:rPr>
          <w:rFonts w:ascii="Palatino Linotype" w:eastAsia="Calibri" w:hAnsi="Palatino Linotype" w:cs="Arial"/>
          <w:lang w:val="es-ES"/>
        </w:rPr>
        <w:t xml:space="preserve"> </w:t>
      </w:r>
      <w:r w:rsidRPr="00FE2E33">
        <w:rPr>
          <w:rFonts w:ascii="Palatino Linotype" w:eastAsia="Calibri" w:hAnsi="Palatino Linotype" w:cs="Arial"/>
          <w:lang w:val="es-ES"/>
        </w:rPr>
        <w:t xml:space="preserve"> (</w:t>
      </w:r>
      <w:r w:rsidR="00330E2D" w:rsidRPr="00FE2E33">
        <w:rPr>
          <w:rFonts w:ascii="Palatino Linotype" w:eastAsia="Calibri" w:hAnsi="Palatino Linotype" w:cs="Arial"/>
          <w:lang w:val="es-ES"/>
        </w:rPr>
        <w:t>03</w:t>
      </w:r>
      <w:r w:rsidRPr="00FE2E33">
        <w:rPr>
          <w:rFonts w:ascii="Palatino Linotype" w:eastAsia="Calibri" w:hAnsi="Palatino Linotype" w:cs="Arial"/>
          <w:lang w:val="es-ES"/>
        </w:rPr>
        <w:t xml:space="preserve">) de </w:t>
      </w:r>
      <w:r w:rsidR="00330E2D" w:rsidRPr="00FE2E33">
        <w:rPr>
          <w:rFonts w:ascii="Palatino Linotype" w:eastAsia="Calibri" w:hAnsi="Palatino Linotype" w:cs="Arial"/>
          <w:lang w:val="es-ES"/>
        </w:rPr>
        <w:t>febrero de dos mil veintiuno</w:t>
      </w:r>
      <w:r w:rsidRPr="00FE2E33">
        <w:rPr>
          <w:rFonts w:ascii="Palatino Linotype" w:hAnsi="Palatino Linotype"/>
          <w:b/>
        </w:rPr>
        <w:t xml:space="preserve">, </w:t>
      </w:r>
      <w:r w:rsidRPr="00FE2E33">
        <w:rPr>
          <w:rFonts w:ascii="Palatino Linotype" w:eastAsia="Calibri" w:hAnsi="Palatino Linotype" w:cs="Arial"/>
          <w:lang w:val="es-ES"/>
        </w:rPr>
        <w:t>se presentó</w:t>
      </w:r>
      <w:r w:rsidR="00223D1A" w:rsidRPr="00FE2E33">
        <w:rPr>
          <w:rFonts w:ascii="Palatino Linotype" w:eastAsia="Calibri" w:hAnsi="Palatino Linotype" w:cs="Arial"/>
          <w:lang w:val="es-ES"/>
        </w:rPr>
        <w:t xml:space="preserve"> ante </w:t>
      </w:r>
      <w:r w:rsidR="0081425E" w:rsidRPr="00FE2E33">
        <w:rPr>
          <w:rFonts w:ascii="Palatino Linotype" w:eastAsia="Calibri" w:hAnsi="Palatino Linotype" w:cs="Arial"/>
          <w:lang w:val="es-ES"/>
        </w:rPr>
        <w:t>e</w:t>
      </w:r>
      <w:r w:rsidRPr="00FE2E33">
        <w:rPr>
          <w:rFonts w:ascii="Palatino Linotype" w:eastAsia="Calibri" w:hAnsi="Palatino Linotype" w:cs="Arial"/>
          <w:lang w:val="es-ES"/>
        </w:rPr>
        <w:t xml:space="preserve">l </w:t>
      </w:r>
      <w:r w:rsidRPr="00FE2E33">
        <w:rPr>
          <w:rFonts w:ascii="Palatino Linotype" w:eastAsia="Calibri" w:hAnsi="Palatino Linotype" w:cs="Arial"/>
          <w:b/>
          <w:lang w:val="es-ES"/>
        </w:rPr>
        <w:t>SUJETO OBLIGADO</w:t>
      </w:r>
      <w:r w:rsidRPr="00FE2E33">
        <w:rPr>
          <w:rFonts w:ascii="Palatino Linotype" w:eastAsia="Calibri" w:hAnsi="Palatino Linotype" w:cs="Arial"/>
        </w:rPr>
        <w:t xml:space="preserve"> vía </w:t>
      </w:r>
      <w:r w:rsidR="00DA3F4B" w:rsidRPr="00FE2E33">
        <w:rPr>
          <w:rFonts w:ascii="Palatino Linotype" w:eastAsia="Calibri" w:hAnsi="Palatino Linotype" w:cs="Arial"/>
          <w:lang w:val="es-ES"/>
        </w:rPr>
        <w:t>SAIMEX</w:t>
      </w:r>
      <w:r w:rsidRPr="00FE2E33">
        <w:rPr>
          <w:rFonts w:ascii="Palatino Linotype" w:eastAsia="Calibri" w:hAnsi="Palatino Linotype" w:cs="Arial"/>
          <w:lang w:val="es-ES"/>
        </w:rPr>
        <w:t>, la solicitud de información pública registrad</w:t>
      </w:r>
      <w:r w:rsidR="0081425E" w:rsidRPr="00FE2E33">
        <w:rPr>
          <w:rFonts w:ascii="Palatino Linotype" w:eastAsia="Calibri" w:hAnsi="Palatino Linotype" w:cs="Arial"/>
          <w:lang w:val="es-ES"/>
        </w:rPr>
        <w:t>a</w:t>
      </w:r>
      <w:r w:rsidRPr="00FE2E33">
        <w:rPr>
          <w:rFonts w:ascii="Palatino Linotype" w:eastAsia="Calibri" w:hAnsi="Palatino Linotype" w:cs="Arial"/>
          <w:lang w:val="es-ES"/>
        </w:rPr>
        <w:t xml:space="preserve"> con </w:t>
      </w:r>
      <w:r w:rsidR="0081425E" w:rsidRPr="00FE2E33">
        <w:rPr>
          <w:rFonts w:ascii="Palatino Linotype" w:eastAsia="Calibri" w:hAnsi="Palatino Linotype" w:cs="Arial"/>
          <w:lang w:val="es-ES"/>
        </w:rPr>
        <w:t>e</w:t>
      </w:r>
      <w:r w:rsidRPr="00FE2E33">
        <w:rPr>
          <w:rFonts w:ascii="Palatino Linotype" w:eastAsia="Calibri" w:hAnsi="Palatino Linotype" w:cs="Arial"/>
          <w:lang w:val="es-ES"/>
        </w:rPr>
        <w:t>l</w:t>
      </w:r>
      <w:r w:rsidR="0081425E" w:rsidRPr="00FE2E33">
        <w:rPr>
          <w:rFonts w:ascii="Palatino Linotype" w:eastAsia="Calibri" w:hAnsi="Palatino Linotype" w:cs="Arial"/>
          <w:lang w:val="es-ES"/>
        </w:rPr>
        <w:t xml:space="preserve"> número</w:t>
      </w:r>
      <w:r w:rsidR="004D71C0" w:rsidRPr="00FE2E33">
        <w:rPr>
          <w:rFonts w:ascii="Palatino Linotype" w:hAnsi="Palatino Linotype"/>
          <w:b/>
          <w:bCs/>
          <w:color w:val="000000" w:themeColor="text1"/>
        </w:rPr>
        <w:t xml:space="preserve"> </w:t>
      </w:r>
      <w:r w:rsidR="00330E2D" w:rsidRPr="00FE2E33">
        <w:rPr>
          <w:rFonts w:ascii="Palatino Linotype" w:hAnsi="Palatino Linotype"/>
          <w:b/>
          <w:bCs/>
        </w:rPr>
        <w:t>00001/TRIECA/IP/2021</w:t>
      </w:r>
      <w:r w:rsidR="008F2163" w:rsidRPr="00FE2E33">
        <w:rPr>
          <w:rFonts w:ascii="Palatino Linotype" w:eastAsia="Calibri" w:hAnsi="Palatino Linotype" w:cs="Arial"/>
          <w:color w:val="000000" w:themeColor="text1"/>
        </w:rPr>
        <w:t xml:space="preserve"> </w:t>
      </w:r>
      <w:r w:rsidRPr="00FE2E33">
        <w:rPr>
          <w:rFonts w:ascii="Palatino Linotype" w:eastAsia="Calibri" w:hAnsi="Palatino Linotype" w:cs="Arial"/>
          <w:lang w:val="es-ES"/>
        </w:rPr>
        <w:t xml:space="preserve">mediante la cual </w:t>
      </w:r>
      <w:r w:rsidR="00A133FA" w:rsidRPr="00FE2E33">
        <w:rPr>
          <w:rFonts w:ascii="Palatino Linotype" w:eastAsia="Calibri" w:hAnsi="Palatino Linotype" w:cs="Arial"/>
          <w:lang w:val="es-ES"/>
        </w:rPr>
        <w:t xml:space="preserve">se </w:t>
      </w:r>
      <w:r w:rsidRPr="00FE2E33">
        <w:rPr>
          <w:rFonts w:ascii="Palatino Linotype" w:eastAsia="Calibri" w:hAnsi="Palatino Linotype" w:cs="Arial"/>
          <w:lang w:val="es-ES"/>
        </w:rPr>
        <w:t>solicitó</w:t>
      </w:r>
      <w:r w:rsidR="00A16B32" w:rsidRPr="00FE2E33">
        <w:rPr>
          <w:rFonts w:ascii="Palatino Linotype" w:eastAsia="Calibri" w:hAnsi="Palatino Linotype" w:cs="Arial"/>
          <w:lang w:val="es-ES"/>
        </w:rPr>
        <w:t xml:space="preserve"> </w:t>
      </w:r>
      <w:r w:rsidR="00646BEE" w:rsidRPr="00FE2E33">
        <w:rPr>
          <w:rFonts w:ascii="Palatino Linotype" w:eastAsia="Calibri" w:hAnsi="Palatino Linotype" w:cs="Arial"/>
          <w:lang w:val="es-ES"/>
        </w:rPr>
        <w:t>la</w:t>
      </w:r>
      <w:r w:rsidR="00A16B32" w:rsidRPr="00FE2E33">
        <w:rPr>
          <w:rFonts w:ascii="Palatino Linotype" w:eastAsia="Calibri" w:hAnsi="Palatino Linotype" w:cs="Arial"/>
          <w:lang w:val="es-ES"/>
        </w:rPr>
        <w:t xml:space="preserve"> siguiente</w:t>
      </w:r>
      <w:r w:rsidR="00646BEE" w:rsidRPr="00FE2E33">
        <w:rPr>
          <w:rFonts w:ascii="Palatino Linotype" w:eastAsia="Calibri" w:hAnsi="Palatino Linotype" w:cs="Arial"/>
          <w:lang w:val="es-ES"/>
        </w:rPr>
        <w:t xml:space="preserve"> información</w:t>
      </w:r>
      <w:r w:rsidRPr="00FE2E33">
        <w:rPr>
          <w:rFonts w:ascii="Palatino Linotype" w:eastAsia="Calibri" w:hAnsi="Palatino Linotype" w:cs="Arial"/>
          <w:lang w:val="es-ES"/>
        </w:rPr>
        <w:t>:</w:t>
      </w:r>
    </w:p>
    <w:p w14:paraId="27CCF7BC" w14:textId="09A2A75F" w:rsidR="004512AB" w:rsidRPr="00FE2E33" w:rsidRDefault="004512AB" w:rsidP="00857175">
      <w:pPr>
        <w:spacing w:line="360" w:lineRule="auto"/>
        <w:ind w:left="630"/>
        <w:jc w:val="both"/>
        <w:rPr>
          <w:rFonts w:ascii="Palatino Linotype" w:hAnsi="Palatino Linotype"/>
          <w:b/>
          <w:i/>
          <w:sz w:val="22"/>
          <w:szCs w:val="22"/>
        </w:rPr>
      </w:pPr>
      <w:r w:rsidRPr="00FE2E33">
        <w:rPr>
          <w:rFonts w:ascii="Palatino Linotype" w:eastAsia="Calibri" w:hAnsi="Palatino Linotype" w:cs="Arial"/>
          <w:i/>
          <w:sz w:val="22"/>
          <w:szCs w:val="22"/>
          <w:lang w:val="es-ES"/>
        </w:rPr>
        <w:t>“</w:t>
      </w:r>
      <w:r w:rsidR="00330E2D" w:rsidRPr="00FE2E33">
        <w:rPr>
          <w:rFonts w:ascii="Palatino Linotype" w:hAnsi="Palatino Linotype"/>
          <w:i/>
          <w:color w:val="000000"/>
        </w:rPr>
        <w:t xml:space="preserve">Convenio Laboral firmado entre el Sindicato de Maestros al Servicio del Estado de México y el Gobierno del Estado de México del año dos mil veinte, </w:t>
      </w:r>
      <w:proofErr w:type="spellStart"/>
      <w:r w:rsidR="00330E2D" w:rsidRPr="00FE2E33">
        <w:rPr>
          <w:rFonts w:ascii="Palatino Linotype" w:hAnsi="Palatino Linotype"/>
          <w:i/>
          <w:color w:val="000000"/>
        </w:rPr>
        <w:t>asi</w:t>
      </w:r>
      <w:proofErr w:type="spellEnd"/>
      <w:r w:rsidR="00330E2D" w:rsidRPr="00FE2E33">
        <w:rPr>
          <w:rFonts w:ascii="Palatino Linotype" w:hAnsi="Palatino Linotype"/>
          <w:i/>
          <w:color w:val="000000"/>
        </w:rPr>
        <w:t xml:space="preserve"> como el último Reglamento de las Condiciones Generales de Trabajo entre el Sindicato antes mencionado y el Gobierno del Estado de México</w:t>
      </w:r>
      <w:r w:rsidR="00330E2D" w:rsidRPr="00FE2E33">
        <w:rPr>
          <w:rFonts w:ascii="Verdana" w:hAnsi="Verdana"/>
          <w:color w:val="000000"/>
          <w:sz w:val="14"/>
          <w:szCs w:val="14"/>
        </w:rPr>
        <w:t>.</w:t>
      </w:r>
      <w:r w:rsidR="005A6B49" w:rsidRPr="00FE2E33">
        <w:rPr>
          <w:rFonts w:ascii="Palatino Linotype" w:hAnsi="Palatino Linotype"/>
          <w:b/>
          <w:i/>
          <w:color w:val="000000"/>
          <w:sz w:val="22"/>
          <w:szCs w:val="22"/>
        </w:rPr>
        <w:t>”</w:t>
      </w:r>
      <w:r w:rsidR="008F2163" w:rsidRPr="00FE2E33">
        <w:rPr>
          <w:rFonts w:ascii="Palatino Linotype" w:hAnsi="Palatino Linotype"/>
          <w:b/>
          <w:i/>
          <w:sz w:val="22"/>
          <w:szCs w:val="22"/>
        </w:rPr>
        <w:t xml:space="preserve"> </w:t>
      </w:r>
      <w:r w:rsidR="008F2163" w:rsidRPr="00FE2E33">
        <w:rPr>
          <w:rFonts w:ascii="Palatino Linotype" w:hAnsi="Palatino Linotype"/>
          <w:sz w:val="22"/>
          <w:szCs w:val="22"/>
        </w:rPr>
        <w:t>(SIC.)</w:t>
      </w:r>
    </w:p>
    <w:p w14:paraId="3986AF97" w14:textId="77777777" w:rsidR="004512AB" w:rsidRPr="00FE2E33" w:rsidRDefault="004512AB" w:rsidP="00857175">
      <w:pPr>
        <w:pStyle w:val="Prrafodelista"/>
        <w:spacing w:line="360" w:lineRule="auto"/>
        <w:ind w:left="851" w:right="34"/>
        <w:jc w:val="both"/>
        <w:rPr>
          <w:rFonts w:ascii="Palatino Linotype" w:hAnsi="Palatino Linotype"/>
        </w:rPr>
      </w:pPr>
    </w:p>
    <w:p w14:paraId="66D521F1" w14:textId="5FF36EB0" w:rsidR="00525972" w:rsidRPr="00FE2E33" w:rsidRDefault="00BC2CF8" w:rsidP="003618D7">
      <w:pPr>
        <w:pStyle w:val="Prrafodelista"/>
        <w:numPr>
          <w:ilvl w:val="0"/>
          <w:numId w:val="2"/>
        </w:numPr>
        <w:spacing w:line="360" w:lineRule="auto"/>
        <w:ind w:left="851" w:right="34"/>
        <w:jc w:val="both"/>
        <w:rPr>
          <w:rFonts w:ascii="Palatino Linotype" w:hAnsi="Palatino Linotype"/>
        </w:rPr>
      </w:pPr>
      <w:r w:rsidRPr="00FE2E33">
        <w:rPr>
          <w:rFonts w:ascii="Palatino Linotype" w:eastAsia="Times New Roman" w:hAnsi="Palatino Linotype" w:cs="Arial"/>
          <w:lang w:val="es-ES"/>
        </w:rPr>
        <w:t>Se eligió como modalidad de entrega de la información</w:t>
      </w:r>
      <w:r w:rsidRPr="00FE2E33">
        <w:rPr>
          <w:rFonts w:ascii="Palatino Linotype" w:hAnsi="Palatino Linotype"/>
        </w:rPr>
        <w:t xml:space="preserve">: </w:t>
      </w:r>
      <w:r w:rsidR="008F2163" w:rsidRPr="00FE2E33">
        <w:rPr>
          <w:rFonts w:ascii="Palatino Linotype" w:hAnsi="Palatino Linotype"/>
        </w:rPr>
        <w:t>Vía SAIMEX</w:t>
      </w:r>
      <w:r w:rsidR="005A6B49" w:rsidRPr="00FE2E33">
        <w:rPr>
          <w:rFonts w:ascii="Palatino Linotype" w:hAnsi="Palatino Linotype"/>
        </w:rPr>
        <w:t>.</w:t>
      </w:r>
    </w:p>
    <w:p w14:paraId="18EA4715" w14:textId="77777777" w:rsidR="00F21903" w:rsidRPr="00FE2E33" w:rsidRDefault="00F21903" w:rsidP="00857175">
      <w:pPr>
        <w:pStyle w:val="Prrafodelista"/>
        <w:spacing w:line="360" w:lineRule="auto"/>
        <w:ind w:left="851" w:right="34"/>
        <w:jc w:val="both"/>
        <w:rPr>
          <w:rFonts w:ascii="Palatino Linotype" w:hAnsi="Palatino Linotype"/>
        </w:rPr>
      </w:pPr>
    </w:p>
    <w:p w14:paraId="165CE476" w14:textId="2636C26E" w:rsidR="00103B7F" w:rsidRPr="00FE2E33" w:rsidRDefault="004512AB" w:rsidP="003618D7">
      <w:pPr>
        <w:pStyle w:val="Prrafodelista"/>
        <w:numPr>
          <w:ilvl w:val="0"/>
          <w:numId w:val="1"/>
        </w:numPr>
        <w:tabs>
          <w:tab w:val="left" w:pos="0"/>
        </w:tabs>
        <w:spacing w:line="360" w:lineRule="auto"/>
        <w:ind w:left="0" w:right="49" w:firstLine="0"/>
        <w:jc w:val="both"/>
        <w:rPr>
          <w:rFonts w:ascii="Palatino Linotype" w:hAnsi="Palatino Linotype"/>
          <w:noProof/>
        </w:rPr>
      </w:pPr>
      <w:r w:rsidRPr="00FE2E33">
        <w:rPr>
          <w:rFonts w:ascii="Palatino Linotype" w:hAnsi="Palatino Linotype" w:cs="Arial"/>
          <w:color w:val="000000" w:themeColor="text1"/>
        </w:rPr>
        <w:lastRenderedPageBreak/>
        <w:t>El día</w:t>
      </w:r>
      <w:r w:rsidR="007F76E9" w:rsidRPr="00FE2E33">
        <w:rPr>
          <w:rFonts w:ascii="Palatino Linotype" w:hAnsi="Palatino Linotype" w:cs="Arial"/>
          <w:color w:val="000000" w:themeColor="text1"/>
        </w:rPr>
        <w:t xml:space="preserve"> </w:t>
      </w:r>
      <w:r w:rsidR="009C6E90" w:rsidRPr="00FE2E33">
        <w:rPr>
          <w:rFonts w:ascii="Palatino Linotype" w:hAnsi="Palatino Linotype" w:cs="Arial"/>
          <w:color w:val="000000" w:themeColor="text1"/>
        </w:rPr>
        <w:t>diecisiete</w:t>
      </w:r>
      <w:r w:rsidR="00F21903" w:rsidRPr="00FE2E33">
        <w:rPr>
          <w:rFonts w:ascii="Palatino Linotype" w:hAnsi="Palatino Linotype" w:cs="Arial"/>
          <w:color w:val="000000" w:themeColor="text1"/>
        </w:rPr>
        <w:t xml:space="preserve"> </w:t>
      </w:r>
      <w:r w:rsidR="007F76E9" w:rsidRPr="00FE2E33">
        <w:rPr>
          <w:rFonts w:ascii="Palatino Linotype" w:hAnsi="Palatino Linotype" w:cs="Arial"/>
          <w:color w:val="000000" w:themeColor="text1"/>
        </w:rPr>
        <w:t>(</w:t>
      </w:r>
      <w:r w:rsidR="009C6E90" w:rsidRPr="00FE2E33">
        <w:rPr>
          <w:rFonts w:ascii="Palatino Linotype" w:hAnsi="Palatino Linotype" w:cs="Arial"/>
          <w:color w:val="000000" w:themeColor="text1"/>
        </w:rPr>
        <w:t>17</w:t>
      </w:r>
      <w:r w:rsidR="007F76E9" w:rsidRPr="00FE2E33">
        <w:rPr>
          <w:rFonts w:ascii="Palatino Linotype" w:hAnsi="Palatino Linotype" w:cs="Arial"/>
          <w:color w:val="000000" w:themeColor="text1"/>
        </w:rPr>
        <w:t xml:space="preserve">) </w:t>
      </w:r>
      <w:r w:rsidR="00C90ADB" w:rsidRPr="00FE2E33">
        <w:rPr>
          <w:rFonts w:ascii="Palatino Linotype" w:hAnsi="Palatino Linotype" w:cs="Arial"/>
          <w:color w:val="000000" w:themeColor="text1"/>
        </w:rPr>
        <w:t xml:space="preserve">de </w:t>
      </w:r>
      <w:r w:rsidR="009C6E90" w:rsidRPr="00FE2E33">
        <w:rPr>
          <w:rFonts w:ascii="Palatino Linotype" w:hAnsi="Palatino Linotype" w:cs="Arial"/>
          <w:color w:val="000000" w:themeColor="text1"/>
        </w:rPr>
        <w:t>febrero de dos mil veintiuno</w:t>
      </w:r>
      <w:r w:rsidR="00C90ADB" w:rsidRPr="00FE2E33">
        <w:rPr>
          <w:rFonts w:ascii="Palatino Linotype" w:hAnsi="Palatino Linotype" w:cs="Arial"/>
          <w:color w:val="000000" w:themeColor="text1"/>
        </w:rPr>
        <w:t xml:space="preserve">, el </w:t>
      </w:r>
      <w:r w:rsidR="00C90ADB" w:rsidRPr="00FE2E33">
        <w:rPr>
          <w:rFonts w:ascii="Palatino Linotype" w:hAnsi="Palatino Linotype" w:cs="Arial"/>
          <w:b/>
          <w:color w:val="000000" w:themeColor="text1"/>
        </w:rPr>
        <w:t>SUJETO OBLIGADO,</w:t>
      </w:r>
      <w:r w:rsidR="00C90ADB" w:rsidRPr="00FE2E33">
        <w:rPr>
          <w:rFonts w:ascii="Palatino Linotype" w:hAnsi="Palatino Linotype" w:cs="Arial"/>
          <w:color w:val="000000" w:themeColor="text1"/>
        </w:rPr>
        <w:t xml:space="preserve"> dio respuesta a </w:t>
      </w:r>
      <w:r w:rsidR="007F76E9" w:rsidRPr="00FE2E33">
        <w:rPr>
          <w:rFonts w:ascii="Palatino Linotype" w:hAnsi="Palatino Linotype" w:cs="Arial"/>
          <w:color w:val="000000" w:themeColor="text1"/>
        </w:rPr>
        <w:t>la</w:t>
      </w:r>
      <w:r w:rsidRPr="00FE2E33">
        <w:rPr>
          <w:rFonts w:ascii="Palatino Linotype" w:hAnsi="Palatino Linotype" w:cs="Arial"/>
          <w:color w:val="000000" w:themeColor="text1"/>
        </w:rPr>
        <w:t xml:space="preserve"> solicitud</w:t>
      </w:r>
      <w:r w:rsidR="007F76E9" w:rsidRPr="00FE2E33">
        <w:rPr>
          <w:rFonts w:ascii="Palatino Linotype" w:hAnsi="Palatino Linotype" w:cs="Arial"/>
          <w:color w:val="000000" w:themeColor="text1"/>
        </w:rPr>
        <w:t xml:space="preserve"> de información, a </w:t>
      </w:r>
      <w:r w:rsidR="00C90ADB" w:rsidRPr="00FE2E33">
        <w:rPr>
          <w:rFonts w:ascii="Palatino Linotype" w:hAnsi="Palatino Linotype" w:cs="Arial"/>
          <w:color w:val="000000" w:themeColor="text1"/>
        </w:rPr>
        <w:t xml:space="preserve">través </w:t>
      </w:r>
      <w:r w:rsidR="007F76E9" w:rsidRPr="00FE2E33">
        <w:rPr>
          <w:rFonts w:ascii="Palatino Linotype" w:hAnsi="Palatino Linotype" w:cs="Arial"/>
          <w:color w:val="000000" w:themeColor="text1"/>
        </w:rPr>
        <w:t>de</w:t>
      </w:r>
      <w:r w:rsidR="00330E2D" w:rsidRPr="00FE2E33">
        <w:rPr>
          <w:rFonts w:ascii="Palatino Linotype" w:hAnsi="Palatino Linotype" w:cs="Arial"/>
          <w:color w:val="000000" w:themeColor="text1"/>
        </w:rPr>
        <w:t>l</w:t>
      </w:r>
      <w:r w:rsidR="00A967EB" w:rsidRPr="00FE2E33">
        <w:rPr>
          <w:rFonts w:ascii="Palatino Linotype" w:hAnsi="Palatino Linotype" w:cs="Arial"/>
          <w:color w:val="000000" w:themeColor="text1"/>
        </w:rPr>
        <w:t xml:space="preserve"> </w:t>
      </w:r>
      <w:r w:rsidR="00E86BA5" w:rsidRPr="00FE2E33">
        <w:rPr>
          <w:rFonts w:ascii="Palatino Linotype" w:hAnsi="Palatino Linotype" w:cs="Arial"/>
          <w:color w:val="000000" w:themeColor="text1"/>
        </w:rPr>
        <w:t>archivo</w:t>
      </w:r>
      <w:r w:rsidR="00FA4835" w:rsidRPr="00FE2E33">
        <w:rPr>
          <w:rFonts w:ascii="Palatino Linotype" w:hAnsi="Palatino Linotype" w:cs="Arial"/>
          <w:color w:val="000000" w:themeColor="text1"/>
        </w:rPr>
        <w:t xml:space="preserve"> electrónico</w:t>
      </w:r>
      <w:r w:rsidR="00330E2D" w:rsidRPr="00FE2E33">
        <w:rPr>
          <w:rFonts w:ascii="Palatino Linotype" w:hAnsi="Palatino Linotype" w:cs="Arial"/>
          <w:color w:val="000000" w:themeColor="text1"/>
        </w:rPr>
        <w:t xml:space="preserve"> denominado </w:t>
      </w:r>
      <w:r w:rsidR="00330E2D" w:rsidRPr="00FE2E33">
        <w:rPr>
          <w:rFonts w:ascii="Palatino Linotype" w:hAnsi="Palatino Linotype"/>
          <w:i/>
        </w:rPr>
        <w:t>“</w:t>
      </w:r>
      <w:hyperlink r:id="rId8" w:tgtFrame="_blank" w:history="1">
        <w:r w:rsidR="00330E2D" w:rsidRPr="00FE2E33">
          <w:rPr>
            <w:rStyle w:val="Hipervnculo"/>
            <w:rFonts w:ascii="Palatino Linotype" w:hAnsi="Palatino Linotype" w:cs="Arial"/>
            <w:b/>
            <w:bCs/>
            <w:i/>
            <w:color w:val="auto"/>
            <w:u w:val="none"/>
          </w:rPr>
          <w:t>convenios.PDF</w:t>
        </w:r>
      </w:hyperlink>
      <w:r w:rsidR="00C27525" w:rsidRPr="00FE2E33">
        <w:rPr>
          <w:rFonts w:ascii="Palatino Linotype" w:hAnsi="Palatino Linotype" w:cs="Arial"/>
          <w:i/>
        </w:rPr>
        <w:t>”,</w:t>
      </w:r>
      <w:r w:rsidR="00857175" w:rsidRPr="00FE2E33">
        <w:rPr>
          <w:rFonts w:ascii="Palatino Linotype" w:hAnsi="Palatino Linotype" w:cs="Arial"/>
          <w:i/>
        </w:rPr>
        <w:t xml:space="preserve"> </w:t>
      </w:r>
      <w:r w:rsidR="00857175" w:rsidRPr="00FE2E33">
        <w:rPr>
          <w:rFonts w:ascii="Palatino Linotype" w:hAnsi="Palatino Linotype" w:cs="Arial"/>
        </w:rPr>
        <w:t>constante de treinta y ocho (38),</w:t>
      </w:r>
      <w:r w:rsidR="00C27525" w:rsidRPr="00FE2E33">
        <w:rPr>
          <w:rFonts w:ascii="Palatino Linotype" w:hAnsi="Palatino Linotype" w:cs="Arial"/>
        </w:rPr>
        <w:t xml:space="preserve"> </w:t>
      </w:r>
      <w:r w:rsidR="00E86BA5" w:rsidRPr="00FE2E33">
        <w:rPr>
          <w:rFonts w:ascii="Palatino Linotype" w:hAnsi="Palatino Linotype" w:cs="Arial"/>
          <w:color w:val="000000" w:themeColor="text1"/>
          <w:lang w:val="es-MX"/>
        </w:rPr>
        <w:t xml:space="preserve">cuyo contenido corresponde al </w:t>
      </w:r>
      <w:r w:rsidR="00C80C1E" w:rsidRPr="00FE2E33">
        <w:rPr>
          <w:rFonts w:ascii="Palatino Linotype" w:hAnsi="Palatino Linotype" w:cs="Arial"/>
          <w:b/>
          <w:i/>
          <w:color w:val="000000" w:themeColor="text1"/>
          <w:lang w:val="es-MX"/>
        </w:rPr>
        <w:t>Convenio de Sueldo</w:t>
      </w:r>
      <w:r w:rsidR="00863C06" w:rsidRPr="00FE2E33">
        <w:rPr>
          <w:rFonts w:ascii="Palatino Linotype" w:hAnsi="Palatino Linotype" w:cs="Arial"/>
          <w:b/>
          <w:i/>
          <w:color w:val="000000" w:themeColor="text1"/>
          <w:lang w:val="es-MX"/>
        </w:rPr>
        <w:t>s</w:t>
      </w:r>
      <w:r w:rsidR="00C80C1E" w:rsidRPr="00FE2E33">
        <w:rPr>
          <w:rFonts w:ascii="Palatino Linotype" w:hAnsi="Palatino Linotype" w:cs="Arial"/>
          <w:b/>
          <w:i/>
          <w:color w:val="000000" w:themeColor="text1"/>
          <w:lang w:val="es-MX"/>
        </w:rPr>
        <w:t xml:space="preserve"> y Prestaciones SMSEM 2020</w:t>
      </w:r>
      <w:r w:rsidR="00C80C1E" w:rsidRPr="00FE2E33">
        <w:rPr>
          <w:rFonts w:ascii="Palatino Linotype" w:hAnsi="Palatino Linotype" w:cs="Arial"/>
          <w:color w:val="000000" w:themeColor="text1"/>
          <w:lang w:val="es-MX"/>
        </w:rPr>
        <w:t xml:space="preserve">, signado y ratificado en </w:t>
      </w:r>
      <w:r w:rsidR="00BD58CA" w:rsidRPr="00FE2E33">
        <w:rPr>
          <w:rFonts w:ascii="Palatino Linotype" w:hAnsi="Palatino Linotype" w:cs="Arial"/>
          <w:color w:val="000000" w:themeColor="text1"/>
          <w:lang w:val="es-MX"/>
        </w:rPr>
        <w:t xml:space="preserve">fecha </w:t>
      </w:r>
      <w:r w:rsidR="00C80C1E" w:rsidRPr="00FE2E33">
        <w:rPr>
          <w:rFonts w:ascii="Palatino Linotype" w:hAnsi="Palatino Linotype" w:cs="Arial"/>
          <w:color w:val="000000" w:themeColor="text1"/>
          <w:lang w:val="es-MX"/>
        </w:rPr>
        <w:t>seis (0</w:t>
      </w:r>
      <w:r w:rsidR="00BD58CA" w:rsidRPr="00FE2E33">
        <w:rPr>
          <w:rFonts w:ascii="Palatino Linotype" w:hAnsi="Palatino Linotype" w:cs="Arial"/>
          <w:color w:val="000000" w:themeColor="text1"/>
          <w:lang w:val="es-MX"/>
        </w:rPr>
        <w:t>6</w:t>
      </w:r>
      <w:r w:rsidR="00A967EB" w:rsidRPr="00FE2E33">
        <w:rPr>
          <w:rFonts w:ascii="Palatino Linotype" w:hAnsi="Palatino Linotype" w:cs="Arial"/>
          <w:color w:val="000000" w:themeColor="text1"/>
          <w:lang w:val="es-MX"/>
        </w:rPr>
        <w:t xml:space="preserve">) de </w:t>
      </w:r>
      <w:r w:rsidR="00C80C1E" w:rsidRPr="00FE2E33">
        <w:rPr>
          <w:rFonts w:ascii="Palatino Linotype" w:hAnsi="Palatino Linotype" w:cs="Arial"/>
          <w:color w:val="000000" w:themeColor="text1"/>
          <w:lang w:val="es-MX"/>
        </w:rPr>
        <w:t>agosto</w:t>
      </w:r>
      <w:r w:rsidR="009C6E90" w:rsidRPr="00FE2E33">
        <w:rPr>
          <w:rFonts w:ascii="Palatino Linotype" w:hAnsi="Palatino Linotype" w:cs="Arial"/>
          <w:color w:val="000000" w:themeColor="text1"/>
          <w:lang w:val="es-MX"/>
        </w:rPr>
        <w:t xml:space="preserve"> de dos mil veinte; </w:t>
      </w:r>
      <w:r w:rsidR="00C27525" w:rsidRPr="00FE2E33">
        <w:rPr>
          <w:rFonts w:ascii="Palatino Linotype" w:hAnsi="Palatino Linotype" w:cs="Arial"/>
          <w:color w:val="000000" w:themeColor="text1"/>
          <w:lang w:val="es-MX"/>
        </w:rPr>
        <w:t>celebrado, por una parte, el Poder Ejecutivo del Estado de México, por conducto del Titular de la Secretaria de</w:t>
      </w:r>
      <w:r w:rsidR="00AF55B0" w:rsidRPr="00FE2E33">
        <w:rPr>
          <w:rFonts w:ascii="Palatino Linotype" w:hAnsi="Palatino Linotype" w:cs="Arial"/>
          <w:color w:val="000000" w:themeColor="text1"/>
          <w:lang w:val="es-MX"/>
        </w:rPr>
        <w:t xml:space="preserve"> Finanzas, denominado “</w:t>
      </w:r>
      <w:r w:rsidR="00AF55B0" w:rsidRPr="00FE2E33">
        <w:rPr>
          <w:rFonts w:ascii="Palatino Linotype" w:hAnsi="Palatino Linotype" w:cs="Arial"/>
          <w:i/>
          <w:color w:val="000000" w:themeColor="text1"/>
          <w:lang w:val="es-MX"/>
        </w:rPr>
        <w:t>EL GOBIERNO</w:t>
      </w:r>
      <w:r w:rsidR="00AF55B0" w:rsidRPr="00FE2E33">
        <w:rPr>
          <w:rFonts w:ascii="Palatino Linotype" w:hAnsi="Palatino Linotype" w:cs="Arial"/>
          <w:color w:val="000000" w:themeColor="text1"/>
          <w:lang w:val="es-MX"/>
        </w:rPr>
        <w:t xml:space="preserve">” </w:t>
      </w:r>
      <w:r w:rsidR="00C27525" w:rsidRPr="00FE2E33">
        <w:rPr>
          <w:rFonts w:ascii="Palatino Linotype" w:hAnsi="Palatino Linotype" w:cs="Arial"/>
          <w:color w:val="000000" w:themeColor="text1"/>
          <w:lang w:val="es-MX"/>
        </w:rPr>
        <w:t xml:space="preserve">y por otra parte, </w:t>
      </w:r>
      <w:r w:rsidR="00863C06" w:rsidRPr="00FE2E33">
        <w:rPr>
          <w:rFonts w:ascii="Palatino Linotype" w:hAnsi="Palatino Linotype" w:cs="Arial"/>
          <w:color w:val="000000" w:themeColor="text1"/>
          <w:lang w:val="es-MX"/>
        </w:rPr>
        <w:t>e</w:t>
      </w:r>
      <w:r w:rsidR="00C27525" w:rsidRPr="00FE2E33">
        <w:rPr>
          <w:rFonts w:ascii="Palatino Linotype" w:hAnsi="Palatino Linotype" w:cs="Arial"/>
          <w:color w:val="000000" w:themeColor="text1"/>
          <w:lang w:val="es-MX"/>
        </w:rPr>
        <w:t xml:space="preserve">l Sindicato de Maestros al Servicio del Estado de México, representado por el Comité Ejecutivo Estatal, </w:t>
      </w:r>
      <w:r w:rsidR="00AF55B0" w:rsidRPr="00FE2E33">
        <w:rPr>
          <w:rFonts w:ascii="Palatino Linotype" w:hAnsi="Palatino Linotype" w:cs="Arial"/>
          <w:color w:val="000000" w:themeColor="text1"/>
          <w:lang w:val="es-MX"/>
        </w:rPr>
        <w:t xml:space="preserve">denominado </w:t>
      </w:r>
      <w:r w:rsidR="00AF55B0" w:rsidRPr="00FE2E33">
        <w:rPr>
          <w:rFonts w:ascii="Palatino Linotype" w:hAnsi="Palatino Linotype" w:cs="Arial"/>
          <w:i/>
          <w:color w:val="000000" w:themeColor="text1"/>
          <w:lang w:val="es-MX"/>
        </w:rPr>
        <w:t>“EL SINDICATO”</w:t>
      </w:r>
      <w:r w:rsidR="00855F17" w:rsidRPr="00FE2E33">
        <w:rPr>
          <w:rFonts w:ascii="Palatino Linotype" w:hAnsi="Palatino Linotype" w:cs="Arial"/>
          <w:color w:val="000000" w:themeColor="text1"/>
          <w:lang w:val="es-MX"/>
        </w:rPr>
        <w:t xml:space="preserve">, </w:t>
      </w:r>
      <w:r w:rsidR="00FC0249" w:rsidRPr="00FE2E33">
        <w:rPr>
          <w:rFonts w:ascii="Palatino Linotype" w:hAnsi="Palatino Linotype" w:cs="Arial"/>
          <w:color w:val="000000" w:themeColor="text1"/>
          <w:lang w:val="es-MX"/>
        </w:rPr>
        <w:t>el cual</w:t>
      </w:r>
      <w:r w:rsidR="00855F17" w:rsidRPr="00FE2E33">
        <w:rPr>
          <w:rFonts w:ascii="Palatino Linotype" w:hAnsi="Palatino Linotype"/>
        </w:rPr>
        <w:t xml:space="preserve"> no se inserta por ser del conocimiento de las partes y ser motivo de análisis más adelante.</w:t>
      </w:r>
    </w:p>
    <w:p w14:paraId="2593136C" w14:textId="77777777" w:rsidR="00103B7F" w:rsidRPr="00FE2E33" w:rsidRDefault="00103B7F" w:rsidP="00103B7F">
      <w:pPr>
        <w:tabs>
          <w:tab w:val="left" w:pos="0"/>
        </w:tabs>
        <w:spacing w:line="360" w:lineRule="auto"/>
        <w:ind w:right="49"/>
        <w:jc w:val="both"/>
        <w:rPr>
          <w:rFonts w:ascii="Palatino Linotype" w:eastAsiaTheme="minorEastAsia" w:hAnsi="Palatino Linotype" w:cs="Arial"/>
          <w:i/>
          <w:color w:val="000000" w:themeColor="text1"/>
          <w:lang w:val="es-ES_tradnl"/>
        </w:rPr>
      </w:pPr>
    </w:p>
    <w:p w14:paraId="291853E4" w14:textId="77777777" w:rsidR="00855F17" w:rsidRPr="00FE2E33" w:rsidRDefault="00CB3448" w:rsidP="003618D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E2E33">
        <w:rPr>
          <w:rFonts w:ascii="Palatino Linotype" w:eastAsia="Times New Roman" w:hAnsi="Palatino Linotype" w:cs="Arial"/>
          <w:color w:val="000000" w:themeColor="text1"/>
          <w:lang w:val="es-ES"/>
        </w:rPr>
        <w:t xml:space="preserve">En fecha </w:t>
      </w:r>
      <w:r w:rsidR="00CD31A5" w:rsidRPr="00FE2E33">
        <w:rPr>
          <w:rFonts w:ascii="Palatino Linotype" w:eastAsia="Times New Roman" w:hAnsi="Palatino Linotype" w:cs="Arial"/>
          <w:color w:val="000000" w:themeColor="text1"/>
          <w:lang w:val="es-ES"/>
        </w:rPr>
        <w:t>diecisiete</w:t>
      </w:r>
      <w:r w:rsidR="00715488" w:rsidRPr="00FE2E33">
        <w:rPr>
          <w:rFonts w:ascii="Palatino Linotype" w:eastAsia="Times New Roman" w:hAnsi="Palatino Linotype" w:cs="Arial"/>
          <w:color w:val="000000" w:themeColor="text1"/>
          <w:lang w:val="es-ES"/>
        </w:rPr>
        <w:t xml:space="preserve"> </w:t>
      </w:r>
      <w:r w:rsidRPr="00FE2E33">
        <w:rPr>
          <w:rFonts w:ascii="Palatino Linotype" w:eastAsia="Times New Roman" w:hAnsi="Palatino Linotype" w:cs="Arial"/>
          <w:color w:val="000000" w:themeColor="text1"/>
          <w:lang w:val="es-ES"/>
        </w:rPr>
        <w:t>(</w:t>
      </w:r>
      <w:r w:rsidR="00CD31A5" w:rsidRPr="00FE2E33">
        <w:rPr>
          <w:rFonts w:ascii="Palatino Linotype" w:eastAsia="Times New Roman" w:hAnsi="Palatino Linotype" w:cs="Arial"/>
          <w:color w:val="000000" w:themeColor="text1"/>
          <w:lang w:val="es-ES"/>
        </w:rPr>
        <w:t>17</w:t>
      </w:r>
      <w:r w:rsidR="00DA3F4B" w:rsidRPr="00FE2E33">
        <w:rPr>
          <w:rFonts w:ascii="Palatino Linotype" w:eastAsia="Times New Roman" w:hAnsi="Palatino Linotype" w:cs="Arial"/>
          <w:color w:val="000000" w:themeColor="text1"/>
          <w:lang w:val="es-ES"/>
        </w:rPr>
        <w:t xml:space="preserve">) de </w:t>
      </w:r>
      <w:r w:rsidR="00CD31A5" w:rsidRPr="00FE2E33">
        <w:rPr>
          <w:rFonts w:ascii="Palatino Linotype" w:eastAsia="Times New Roman" w:hAnsi="Palatino Linotype" w:cs="Arial"/>
          <w:color w:val="000000" w:themeColor="text1"/>
          <w:lang w:val="es-ES"/>
        </w:rPr>
        <w:t>febrero</w:t>
      </w:r>
      <w:r w:rsidRPr="00FE2E33">
        <w:rPr>
          <w:rFonts w:ascii="Palatino Linotype" w:eastAsia="Times New Roman" w:hAnsi="Palatino Linotype" w:cs="Arial"/>
          <w:color w:val="000000" w:themeColor="text1"/>
          <w:lang w:val="es-ES"/>
        </w:rPr>
        <w:t xml:space="preserve"> de</w:t>
      </w:r>
      <w:r w:rsidR="00C965D0" w:rsidRPr="00FE2E33">
        <w:rPr>
          <w:rFonts w:ascii="Palatino Linotype" w:eastAsia="Times New Roman" w:hAnsi="Palatino Linotype" w:cs="Arial"/>
          <w:color w:val="000000" w:themeColor="text1"/>
          <w:lang w:val="es-ES"/>
        </w:rPr>
        <w:t xml:space="preserve"> dos mil ve</w:t>
      </w:r>
      <w:r w:rsidR="00CD31A5" w:rsidRPr="00FE2E33">
        <w:rPr>
          <w:rFonts w:ascii="Palatino Linotype" w:eastAsia="Times New Roman" w:hAnsi="Palatino Linotype" w:cs="Arial"/>
          <w:color w:val="000000" w:themeColor="text1"/>
          <w:lang w:val="es-ES"/>
        </w:rPr>
        <w:t>intiuno</w:t>
      </w:r>
      <w:r w:rsidRPr="00FE2E33">
        <w:rPr>
          <w:rFonts w:ascii="Palatino Linotype" w:eastAsia="Times New Roman" w:hAnsi="Palatino Linotype" w:cs="Arial"/>
          <w:color w:val="000000" w:themeColor="text1"/>
          <w:lang w:val="es-ES"/>
        </w:rPr>
        <w:t>, el particular interpuso el recurso de revisión en contra de la</w:t>
      </w:r>
      <w:r w:rsidR="00372AE1" w:rsidRPr="00FE2E33">
        <w:rPr>
          <w:rFonts w:ascii="Palatino Linotype" w:eastAsia="Times New Roman" w:hAnsi="Palatino Linotype" w:cs="Arial"/>
          <w:color w:val="000000" w:themeColor="text1"/>
          <w:lang w:val="es-ES"/>
        </w:rPr>
        <w:t xml:space="preserve"> </w:t>
      </w:r>
      <w:r w:rsidRPr="00FE2E33">
        <w:rPr>
          <w:rFonts w:ascii="Palatino Linotype" w:eastAsia="Times New Roman" w:hAnsi="Palatino Linotype" w:cs="Arial"/>
          <w:color w:val="000000" w:themeColor="text1"/>
          <w:lang w:val="es-ES"/>
        </w:rPr>
        <w:t>respuesta</w:t>
      </w:r>
      <w:r w:rsidR="00CD6BD3" w:rsidRPr="00FE2E33">
        <w:rPr>
          <w:rFonts w:ascii="Palatino Linotype" w:eastAsia="Times New Roman" w:hAnsi="Palatino Linotype" w:cs="Arial"/>
          <w:color w:val="000000" w:themeColor="text1"/>
          <w:lang w:val="es-ES"/>
        </w:rPr>
        <w:t xml:space="preserve">, </w:t>
      </w:r>
      <w:r w:rsidR="00646C7D" w:rsidRPr="00FE2E33">
        <w:rPr>
          <w:rFonts w:ascii="Palatino Linotype" w:eastAsia="Times New Roman" w:hAnsi="Palatino Linotype" w:cs="Arial"/>
          <w:color w:val="000000" w:themeColor="text1"/>
          <w:lang w:val="es-ES"/>
        </w:rPr>
        <w:t>señalando como</w:t>
      </w:r>
      <w:r w:rsidRPr="00FE2E33">
        <w:rPr>
          <w:rFonts w:ascii="Palatino Linotype" w:eastAsia="Times New Roman" w:hAnsi="Palatino Linotype" w:cs="Arial"/>
          <w:color w:val="000000" w:themeColor="text1"/>
          <w:lang w:val="es-ES"/>
        </w:rPr>
        <w:t>:</w:t>
      </w:r>
    </w:p>
    <w:p w14:paraId="716CFC8E" w14:textId="77777777" w:rsidR="00855F17" w:rsidRPr="00FE2E33" w:rsidRDefault="00855F17" w:rsidP="00855F17">
      <w:pPr>
        <w:pStyle w:val="Prrafodelista"/>
        <w:rPr>
          <w:rStyle w:val="Ttulo2Car"/>
          <w:rFonts w:ascii="Palatino Linotype" w:hAnsi="Palatino Linotype"/>
          <w:b/>
          <w:color w:val="auto"/>
          <w:sz w:val="24"/>
          <w:szCs w:val="24"/>
        </w:rPr>
      </w:pPr>
    </w:p>
    <w:p w14:paraId="7D21C433" w14:textId="77777777" w:rsidR="00855F17" w:rsidRPr="00FE2E33" w:rsidRDefault="00855F17" w:rsidP="003618D7">
      <w:pPr>
        <w:pStyle w:val="Prrafodelista"/>
        <w:numPr>
          <w:ilvl w:val="0"/>
          <w:numId w:val="6"/>
        </w:numPr>
        <w:tabs>
          <w:tab w:val="left" w:pos="0"/>
        </w:tabs>
        <w:spacing w:line="360" w:lineRule="auto"/>
        <w:ind w:right="49"/>
        <w:jc w:val="both"/>
        <w:rPr>
          <w:rFonts w:ascii="Palatino Linotype" w:hAnsi="Palatino Linotype" w:cs="Arial"/>
          <w:i/>
          <w:color w:val="000000" w:themeColor="text1"/>
        </w:rPr>
      </w:pPr>
      <w:r w:rsidRPr="00FE2E33">
        <w:rPr>
          <w:rStyle w:val="Ttulo2Car"/>
          <w:rFonts w:ascii="Palatino Linotype" w:hAnsi="Palatino Linotype"/>
          <w:b/>
          <w:color w:val="auto"/>
          <w:sz w:val="24"/>
          <w:szCs w:val="24"/>
        </w:rPr>
        <w:t>Acto impugnado</w:t>
      </w:r>
      <w:r w:rsidRPr="00FE2E33">
        <w:rPr>
          <w:rStyle w:val="Ttulo2Car"/>
          <w:rFonts w:ascii="Palatino Linotype" w:hAnsi="Palatino Linotype"/>
          <w:b/>
          <w:color w:val="000000" w:themeColor="text1"/>
          <w:sz w:val="24"/>
          <w:szCs w:val="24"/>
        </w:rPr>
        <w:t xml:space="preserve">: </w:t>
      </w:r>
      <w:r w:rsidRPr="00FE2E33">
        <w:rPr>
          <w:rStyle w:val="Ttulo2Car"/>
          <w:rFonts w:ascii="Palatino Linotype" w:hAnsi="Palatino Linotype"/>
          <w:i/>
          <w:color w:val="000000" w:themeColor="text1"/>
          <w:sz w:val="22"/>
          <w:szCs w:val="22"/>
        </w:rPr>
        <w:t>“</w:t>
      </w:r>
      <w:r w:rsidRPr="00FE2E33">
        <w:rPr>
          <w:rFonts w:ascii="Palatino Linotype" w:eastAsia="Times New Roman" w:hAnsi="Palatino Linotype" w:cs="Times New Roman"/>
          <w:i/>
          <w:color w:val="000000"/>
          <w:sz w:val="22"/>
          <w:szCs w:val="22"/>
          <w:lang w:val="es-US" w:eastAsia="es-ES_tradnl"/>
        </w:rPr>
        <w:t>La contestación de la información</w:t>
      </w:r>
      <w:r w:rsidRPr="00FE2E33">
        <w:rPr>
          <w:rFonts w:ascii="Palatino Linotype" w:hAnsi="Palatino Linotype"/>
          <w:i/>
          <w:color w:val="000000" w:themeColor="text1"/>
          <w:sz w:val="22"/>
          <w:szCs w:val="22"/>
        </w:rPr>
        <w:t>”</w:t>
      </w:r>
      <w:r w:rsidRPr="00FE2E33">
        <w:rPr>
          <w:rFonts w:ascii="Palatino Linotype" w:hAnsi="Palatino Linotype"/>
          <w:i/>
          <w:color w:val="000000" w:themeColor="text1"/>
        </w:rPr>
        <w:t xml:space="preserve"> </w:t>
      </w: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471908127"/>
      <w:bookmarkStart w:id="15" w:name="_Toc491791301"/>
      <w:bookmarkStart w:id="16" w:name="_Toc496726171"/>
      <w:bookmarkStart w:id="17" w:name="_Toc497242135"/>
      <w:bookmarkStart w:id="18" w:name="_Toc497292518"/>
      <w:bookmarkStart w:id="19" w:name="_Toc498503717"/>
      <w:bookmarkStart w:id="20" w:name="_Toc499568661"/>
      <w:bookmarkStart w:id="21" w:name="_Toc499568694"/>
      <w:bookmarkStart w:id="22" w:name="_Toc499665453"/>
      <w:bookmarkStart w:id="23" w:name="_Toc499729820"/>
      <w:bookmarkStart w:id="24" w:name="_Toc499835025"/>
      <w:bookmarkStart w:id="25" w:name="_Toc499835836"/>
      <w:bookmarkStart w:id="26" w:name="_Toc499835859"/>
      <w:bookmarkStart w:id="27" w:name="_Toc500264538"/>
      <w:bookmarkStart w:id="28" w:name="_Toc503290276"/>
      <w:bookmarkStart w:id="29" w:name="_Toc524009638"/>
      <w:bookmarkStart w:id="30" w:name="_Toc524009673"/>
      <w:bookmarkStart w:id="31" w:name="_Toc524602721"/>
      <w:bookmarkStart w:id="32" w:name="_Toc526365280"/>
      <w:bookmarkStart w:id="33" w:name="_Toc526365338"/>
      <w:bookmarkStart w:id="34" w:name="_Toc530067665"/>
      <w:bookmarkStart w:id="35" w:name="_Toc530067693"/>
      <w:bookmarkStart w:id="36" w:name="_Toc530067940"/>
      <w:bookmarkStart w:id="37" w:name="_Toc530590421"/>
      <w:bookmarkStart w:id="38" w:name="_Toc530593952"/>
      <w:bookmarkStart w:id="39" w:name="_Toc531190249"/>
      <w:bookmarkStart w:id="40" w:name="_Toc531190296"/>
      <w:bookmarkStart w:id="41" w:name="_Toc534908209"/>
      <w:bookmarkStart w:id="42" w:name="_Toc534909345"/>
      <w:bookmarkStart w:id="43" w:name="_Toc535353306"/>
      <w:bookmarkStart w:id="44" w:name="_Toc535353792"/>
      <w:bookmarkStart w:id="45" w:name="_Toc18436352"/>
      <w:bookmarkStart w:id="46" w:name="_Toc18436386"/>
      <w:bookmarkStart w:id="47" w:name="_Toc18513478"/>
      <w:bookmarkStart w:id="48" w:name="_Toc18513504"/>
      <w:bookmarkStart w:id="49" w:name="_Toc18606802"/>
      <w:bookmarkStart w:id="50" w:name="_Toc19723537"/>
      <w:bookmarkStart w:id="51" w:name="_Toc20322796"/>
      <w:bookmarkStart w:id="52" w:name="_Toc20323053"/>
      <w:bookmarkStart w:id="53" w:name="_Toc20323182"/>
      <w:bookmarkStart w:id="54" w:name="_Toc20420592"/>
      <w:bookmarkStart w:id="55" w:name="_Toc20421580"/>
      <w:bookmarkStart w:id="56" w:name="_Toc21027317"/>
      <w:bookmarkStart w:id="57" w:name="_Toc22660653"/>
      <w:bookmarkStart w:id="58" w:name="_Toc22811624"/>
      <w:bookmarkStart w:id="59" w:name="_Toc26436016"/>
      <w:bookmarkStart w:id="60" w:name="_Toc57728228"/>
      <w:bookmarkStart w:id="61" w:name="_Toc66395997"/>
      <w:r w:rsidRPr="00FE2E33">
        <w:rPr>
          <w:rFonts w:ascii="Palatino Linotype" w:hAnsi="Palatino Linotype"/>
          <w:i/>
          <w:color w:val="000000" w:themeColor="text1"/>
        </w:rPr>
        <w:t>(Sic)</w:t>
      </w:r>
    </w:p>
    <w:p w14:paraId="1370D908" w14:textId="77777777" w:rsidR="00855F17" w:rsidRPr="00FE2E33" w:rsidRDefault="00855F17" w:rsidP="00855F17">
      <w:pPr>
        <w:pStyle w:val="Prrafodelista"/>
        <w:tabs>
          <w:tab w:val="left" w:pos="0"/>
        </w:tabs>
        <w:spacing w:line="360" w:lineRule="auto"/>
        <w:ind w:right="49"/>
        <w:jc w:val="both"/>
        <w:rPr>
          <w:rFonts w:ascii="Palatino Linotype" w:hAnsi="Palatino Linotype" w:cs="Arial"/>
          <w:i/>
          <w:color w:val="000000" w:themeColor="text1"/>
        </w:rPr>
      </w:pPr>
    </w:p>
    <w:p w14:paraId="6B42CF29" w14:textId="77777777" w:rsidR="00855F17" w:rsidRPr="00FE2E33" w:rsidRDefault="00855F17" w:rsidP="003618D7">
      <w:pPr>
        <w:pStyle w:val="Prrafodelista"/>
        <w:numPr>
          <w:ilvl w:val="0"/>
          <w:numId w:val="6"/>
        </w:numPr>
        <w:tabs>
          <w:tab w:val="left" w:pos="0"/>
        </w:tabs>
        <w:spacing w:line="360" w:lineRule="auto"/>
        <w:ind w:right="49"/>
        <w:jc w:val="both"/>
        <w:rPr>
          <w:rFonts w:ascii="Palatino Linotype" w:hAnsi="Palatino Linotype" w:cs="Arial"/>
          <w:i/>
          <w:color w:val="000000" w:themeColor="text1"/>
        </w:rPr>
      </w:pPr>
      <w:r w:rsidRPr="00FE2E33">
        <w:rPr>
          <w:rStyle w:val="Ttulo2Car"/>
          <w:rFonts w:ascii="Palatino Linotype" w:hAnsi="Palatino Linotype"/>
          <w:b/>
          <w:color w:val="000000" w:themeColor="text1"/>
          <w:sz w:val="24"/>
          <w:szCs w:val="24"/>
        </w:rPr>
        <w:t>Razones o Motivos de inconformidad:</w:t>
      </w:r>
      <w:bookmarkEnd w:id="3"/>
      <w:r w:rsidRPr="00FE2E33">
        <w:rPr>
          <w:rFonts w:ascii="Palatino Linotype" w:hAnsi="Palatino Linotype"/>
          <w:b/>
          <w:color w:val="000000" w:themeColor="text1"/>
        </w:rPr>
        <w:t xml:space="preserve"> </w:t>
      </w:r>
      <w:r w:rsidRPr="00FE2E33">
        <w:rPr>
          <w:rFonts w:ascii="Palatino Linotype" w:hAnsi="Palatino Linotype"/>
          <w:i/>
          <w:color w:val="000000" w:themeColor="text1"/>
        </w:rPr>
        <w:t>“</w:t>
      </w:r>
      <w:r w:rsidRPr="00FE2E33">
        <w:rPr>
          <w:rFonts w:ascii="Palatino Linotype" w:eastAsia="Times New Roman" w:hAnsi="Palatino Linotype" w:cs="Times New Roman"/>
          <w:i/>
          <w:color w:val="000000"/>
          <w:lang w:val="es-US" w:eastAsia="es-ES_tradnl"/>
        </w:rPr>
        <w:t>Solamente me enviaron dos convenios, son el mismo convenio de prestaciones y falta el REGLAMENTO.”</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E2E33">
        <w:rPr>
          <w:rFonts w:ascii="Palatino Linotype" w:eastAsia="Times New Roman" w:hAnsi="Palatino Linotype" w:cs="Times New Roman"/>
          <w:i/>
          <w:color w:val="000000"/>
          <w:lang w:val="es-US" w:eastAsia="es-ES_tradnl"/>
        </w:rPr>
        <w:t xml:space="preserve"> (Sic)</w:t>
      </w:r>
    </w:p>
    <w:p w14:paraId="694F497D" w14:textId="21C339A5" w:rsidR="00855F17" w:rsidRPr="00FE2E33" w:rsidRDefault="00855F17" w:rsidP="00855F17">
      <w:pPr>
        <w:pStyle w:val="Prrafodelista"/>
        <w:rPr>
          <w:rFonts w:ascii="Palatino Linotype" w:eastAsia="Calibri" w:hAnsi="Palatino Linotype" w:cs="Arial"/>
          <w:lang w:val="es-ES"/>
        </w:rPr>
      </w:pPr>
    </w:p>
    <w:p w14:paraId="742603CE" w14:textId="456DC730" w:rsidR="00855F17" w:rsidRPr="00FE2E33" w:rsidRDefault="00FC0249"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cs="Arial"/>
          <w:bCs/>
        </w:rPr>
        <w:t xml:space="preserve">Con fundamento en lo dispuesto por el </w:t>
      </w:r>
      <w:r w:rsidRPr="00FE2E33">
        <w:rPr>
          <w:rFonts w:ascii="Palatino Linotype" w:eastAsia="Calibri" w:hAnsi="Palatino Linotype" w:cs="Arial"/>
          <w:lang w:val="es-ES"/>
        </w:rPr>
        <w:t xml:space="preserve">artículo 185 fracción I de la </w:t>
      </w:r>
      <w:r w:rsidRPr="00FE2E33">
        <w:rPr>
          <w:rFonts w:ascii="Palatino Linotype" w:eastAsia="Calibri" w:hAnsi="Palatino Linotype" w:cs="Arial"/>
          <w:b/>
          <w:lang w:val="es-ES"/>
        </w:rPr>
        <w:t xml:space="preserve">Ley de Transparencia y Acceso a la Información Pública del Estado de México y </w:t>
      </w:r>
      <w:r w:rsidRPr="00FE2E33">
        <w:rPr>
          <w:rFonts w:ascii="Palatino Linotype" w:eastAsia="Calibri" w:hAnsi="Palatino Linotype" w:cs="Arial"/>
          <w:b/>
          <w:lang w:val="es-ES"/>
        </w:rPr>
        <w:lastRenderedPageBreak/>
        <w:t xml:space="preserve">Municipios </w:t>
      </w:r>
      <w:r w:rsidRPr="00FE2E33">
        <w:rPr>
          <w:rFonts w:ascii="Palatino Linotype" w:hAnsi="Palatino Linotype" w:cs="Arial"/>
          <w:lang w:val="es-ES"/>
        </w:rPr>
        <w:t xml:space="preserve">se turnó al </w:t>
      </w:r>
      <w:r w:rsidRPr="00FE2E33">
        <w:rPr>
          <w:rFonts w:ascii="Palatino Linotype" w:hAnsi="Palatino Linotype" w:cs="Arial"/>
          <w:b/>
          <w:lang w:val="es-ES"/>
        </w:rPr>
        <w:t xml:space="preserve">Comisionado José Guadalupe Luna Hernández </w:t>
      </w:r>
      <w:r w:rsidRPr="00FE2E33">
        <w:rPr>
          <w:rFonts w:ascii="Palatino Linotype" w:hAnsi="Palatino Linotype" w:cs="Arial"/>
          <w:lang w:val="es-ES"/>
        </w:rPr>
        <w:t xml:space="preserve">con el objeto de </w:t>
      </w:r>
      <w:r w:rsidRPr="00FE2E33">
        <w:rPr>
          <w:rFonts w:ascii="Palatino Linotype" w:hAnsi="Palatino Linotype" w:cs="Arial"/>
        </w:rPr>
        <w:t>su análisis.</w:t>
      </w:r>
    </w:p>
    <w:p w14:paraId="1F7F65A4"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28D08D28" w14:textId="3BB2722C" w:rsidR="00FC0249" w:rsidRPr="00FE2E33" w:rsidRDefault="00034A1F"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eastAsia="Calibri" w:hAnsi="Palatino Linotype" w:cs="Arial"/>
          <w:lang w:val="es-ES"/>
        </w:rPr>
        <w:t>El Comisionado Ponente con fundamento en lo dispuesto por el artículo 185 fracción II de la</w:t>
      </w:r>
      <w:r w:rsidR="003364ED" w:rsidRPr="00FE2E33">
        <w:rPr>
          <w:rFonts w:ascii="Palatino Linotype" w:eastAsia="Calibri" w:hAnsi="Palatino Linotype" w:cs="Arial"/>
          <w:lang w:val="es-ES"/>
        </w:rPr>
        <w:t xml:space="preserve"> ley de la materia, a través de</w:t>
      </w:r>
      <w:r w:rsidRPr="00FE2E33">
        <w:rPr>
          <w:rFonts w:ascii="Palatino Linotype" w:eastAsia="Calibri" w:hAnsi="Palatino Linotype" w:cs="Arial"/>
          <w:lang w:val="es-ES"/>
        </w:rPr>
        <w:t xml:space="preserve">l acuerdo de admisión de fecha </w:t>
      </w:r>
      <w:r w:rsidR="003E110D" w:rsidRPr="00FE2E33">
        <w:rPr>
          <w:rFonts w:ascii="Palatino Linotype" w:eastAsia="Calibri" w:hAnsi="Palatino Linotype" w:cs="Arial"/>
          <w:lang w:val="es-ES"/>
        </w:rPr>
        <w:t>veintidós (22</w:t>
      </w:r>
      <w:r w:rsidR="004F6AFC" w:rsidRPr="00FE2E33">
        <w:rPr>
          <w:rFonts w:ascii="Palatino Linotype" w:eastAsia="Calibri" w:hAnsi="Palatino Linotype" w:cs="Arial"/>
          <w:lang w:val="es-ES"/>
        </w:rPr>
        <w:t xml:space="preserve">) de </w:t>
      </w:r>
      <w:r w:rsidR="003E110D" w:rsidRPr="00FE2E33">
        <w:rPr>
          <w:rFonts w:ascii="Palatino Linotype" w:eastAsia="Calibri" w:hAnsi="Palatino Linotype" w:cs="Arial"/>
          <w:lang w:val="es-ES"/>
        </w:rPr>
        <w:t>febrero</w:t>
      </w:r>
      <w:r w:rsidR="004F6AFC" w:rsidRPr="00FE2E33">
        <w:rPr>
          <w:rFonts w:ascii="Palatino Linotype" w:eastAsia="Calibri" w:hAnsi="Palatino Linotype" w:cs="Arial"/>
          <w:lang w:val="es-ES"/>
        </w:rPr>
        <w:t xml:space="preserve"> </w:t>
      </w:r>
      <w:r w:rsidR="003E110D" w:rsidRPr="00FE2E33">
        <w:rPr>
          <w:rFonts w:ascii="Palatino Linotype" w:eastAsia="Calibri" w:hAnsi="Palatino Linotype" w:cs="Arial"/>
          <w:lang w:val="es-ES"/>
        </w:rPr>
        <w:t>de</w:t>
      </w:r>
      <w:r w:rsidRPr="00FE2E33">
        <w:rPr>
          <w:rFonts w:ascii="Palatino Linotype" w:eastAsia="Calibri" w:hAnsi="Palatino Linotype" w:cs="Arial"/>
          <w:lang w:val="es-ES"/>
        </w:rPr>
        <w:t xml:space="preserve"> </w:t>
      </w:r>
      <w:r w:rsidR="003E110D" w:rsidRPr="00FE2E33">
        <w:rPr>
          <w:rFonts w:ascii="Palatino Linotype" w:eastAsia="Calibri" w:hAnsi="Palatino Linotype" w:cs="Arial"/>
          <w:lang w:val="es-ES"/>
        </w:rPr>
        <w:t>dos mil veintiuno</w:t>
      </w:r>
      <w:r w:rsidRPr="00FE2E33">
        <w:rPr>
          <w:rFonts w:ascii="Palatino Linotype" w:eastAsia="Calibri" w:hAnsi="Palatino Linotype" w:cs="Arial"/>
          <w:lang w:val="es-ES"/>
        </w:rPr>
        <w:t xml:space="preserve">, puso a disposición de las partes </w:t>
      </w:r>
      <w:r w:rsidR="00C93405" w:rsidRPr="00FE2E33">
        <w:rPr>
          <w:rFonts w:ascii="Palatino Linotype" w:eastAsia="Calibri" w:hAnsi="Palatino Linotype" w:cs="Arial"/>
          <w:lang w:val="es-ES"/>
        </w:rPr>
        <w:t>e</w:t>
      </w:r>
      <w:r w:rsidRPr="00FE2E33">
        <w:rPr>
          <w:rFonts w:ascii="Palatino Linotype" w:eastAsia="Calibri" w:hAnsi="Palatino Linotype" w:cs="Arial"/>
          <w:lang w:val="es-ES"/>
        </w:rPr>
        <w:t xml:space="preserve">l expediente electrónico </w:t>
      </w:r>
      <w:r w:rsidRPr="00FE2E33">
        <w:rPr>
          <w:rFonts w:ascii="Palatino Linotype" w:eastAsia="Calibri" w:hAnsi="Palatino Linotype" w:cs="Arial"/>
        </w:rPr>
        <w:t xml:space="preserve">vía </w:t>
      </w:r>
      <w:r w:rsidRPr="00FE2E33">
        <w:rPr>
          <w:rFonts w:ascii="Palatino Linotype" w:eastAsia="Calibri" w:hAnsi="Palatino Linotype" w:cs="Arial"/>
          <w:b/>
          <w:lang w:val="es-ES"/>
        </w:rPr>
        <w:t xml:space="preserve">SAIMEX </w:t>
      </w:r>
      <w:r w:rsidRPr="00FE2E33">
        <w:rPr>
          <w:rFonts w:ascii="Palatino Linotype" w:eastAsia="Calibri" w:hAnsi="Palatino Linotype" w:cs="Arial"/>
          <w:lang w:val="es-ES"/>
        </w:rPr>
        <w:t>a efecto de que en un plazo máximo de siete días manifestaran</w:t>
      </w:r>
      <w:r w:rsidR="005E77E6" w:rsidRPr="00FE2E33">
        <w:rPr>
          <w:rFonts w:ascii="Palatino Linotype" w:eastAsia="Calibri" w:hAnsi="Palatino Linotype" w:cs="Arial"/>
          <w:lang w:val="es-ES"/>
        </w:rPr>
        <w:t xml:space="preserve"> lo que a su derecho conviniera</w:t>
      </w:r>
      <w:r w:rsidRPr="00FE2E33">
        <w:rPr>
          <w:rFonts w:ascii="Palatino Linotype" w:eastAsia="Calibri" w:hAnsi="Palatino Linotype" w:cs="Arial"/>
          <w:lang w:val="es-ES"/>
        </w:rPr>
        <w:t xml:space="preserve">, ofrecieran pruebas y alegatos según corresponda a los casos concretos, </w:t>
      </w:r>
      <w:r w:rsidR="00FA448D" w:rsidRPr="00FE2E33">
        <w:rPr>
          <w:rFonts w:ascii="Palatino Linotype" w:eastAsia="Calibri" w:hAnsi="Palatino Linotype" w:cs="Arial"/>
          <w:lang w:val="es-ES"/>
        </w:rPr>
        <w:t>y</w:t>
      </w:r>
      <w:r w:rsidRPr="00FE2E33">
        <w:rPr>
          <w:rFonts w:ascii="Palatino Linotype" w:eastAsia="Calibri" w:hAnsi="Palatino Linotype" w:cs="Arial"/>
          <w:lang w:val="es-ES"/>
        </w:rPr>
        <w:t xml:space="preserve"> el </w:t>
      </w:r>
      <w:r w:rsidRPr="00FE2E33">
        <w:rPr>
          <w:rFonts w:ascii="Palatino Linotype" w:eastAsia="Calibri" w:hAnsi="Palatino Linotype" w:cs="Arial"/>
          <w:b/>
          <w:lang w:val="es-ES"/>
        </w:rPr>
        <w:t>SUJETO OBLIGADO</w:t>
      </w:r>
      <w:r w:rsidRPr="00FE2E33">
        <w:rPr>
          <w:rFonts w:ascii="Palatino Linotype" w:eastAsia="Calibri" w:hAnsi="Palatino Linotype" w:cs="Arial"/>
          <w:lang w:val="es-ES"/>
        </w:rPr>
        <w:t xml:space="preserve"> presentará el Informe Justificado procedente.</w:t>
      </w:r>
    </w:p>
    <w:p w14:paraId="47D2DBD3"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21ECCD0F" w14:textId="77777777" w:rsidR="00FC0249" w:rsidRPr="00FE2E33" w:rsidRDefault="00FB0E32" w:rsidP="003618D7">
      <w:pPr>
        <w:pStyle w:val="Prrafodelista"/>
        <w:numPr>
          <w:ilvl w:val="0"/>
          <w:numId w:val="1"/>
        </w:numPr>
        <w:tabs>
          <w:tab w:val="left" w:pos="0"/>
        </w:tabs>
        <w:spacing w:line="360" w:lineRule="auto"/>
        <w:ind w:left="0" w:right="49" w:firstLine="0"/>
        <w:jc w:val="both"/>
        <w:rPr>
          <w:rFonts w:ascii="Palatino Linotype" w:hAnsi="Palatino Linotype"/>
          <w:noProof/>
        </w:rPr>
      </w:pPr>
      <w:r w:rsidRPr="00FE2E33">
        <w:rPr>
          <w:rFonts w:ascii="Palatino Linotype" w:hAnsi="Palatino Linotype" w:cs="Arial"/>
        </w:rPr>
        <w:t xml:space="preserve">El </w:t>
      </w:r>
      <w:r w:rsidRPr="00FE2E33">
        <w:rPr>
          <w:rFonts w:ascii="Palatino Linotype" w:hAnsi="Palatino Linotype" w:cs="Arial"/>
          <w:b/>
        </w:rPr>
        <w:t>SUJETO OBLIGADO</w:t>
      </w:r>
      <w:r w:rsidRPr="00FE2E33">
        <w:rPr>
          <w:rFonts w:ascii="Palatino Linotype" w:hAnsi="Palatino Linotype" w:cs="Arial"/>
        </w:rPr>
        <w:t xml:space="preserve"> en fecha </w:t>
      </w:r>
      <w:r w:rsidR="003E110D" w:rsidRPr="00FE2E33">
        <w:rPr>
          <w:rFonts w:ascii="Palatino Linotype" w:hAnsi="Palatino Linotype" w:cs="Arial"/>
        </w:rPr>
        <w:t>veinticuatro (24</w:t>
      </w:r>
      <w:r w:rsidRPr="00FE2E33">
        <w:rPr>
          <w:rFonts w:ascii="Palatino Linotype" w:hAnsi="Palatino Linotype" w:cs="Arial"/>
        </w:rPr>
        <w:t xml:space="preserve">) de </w:t>
      </w:r>
      <w:r w:rsidR="003E110D" w:rsidRPr="00FE2E33">
        <w:rPr>
          <w:rFonts w:ascii="Palatino Linotype" w:hAnsi="Palatino Linotype" w:cs="Arial"/>
        </w:rPr>
        <w:t>febrero de dos mil veintiuno</w:t>
      </w:r>
      <w:r w:rsidRPr="00FE2E33">
        <w:rPr>
          <w:rFonts w:ascii="Palatino Linotype" w:hAnsi="Palatino Linotype" w:cs="Arial"/>
        </w:rPr>
        <w:t xml:space="preserve">, </w:t>
      </w:r>
      <w:r w:rsidR="00D178DC" w:rsidRPr="00FE2E33">
        <w:rPr>
          <w:rFonts w:ascii="Palatino Linotype" w:hAnsi="Palatino Linotype" w:cs="Arial"/>
        </w:rPr>
        <w:t>rindió su Informe Justificado a través del Sistema de Acceso a la Información (SAIMEX) manifestando lo siguiente: “</w:t>
      </w:r>
      <w:r w:rsidR="00D178DC" w:rsidRPr="00FE2E33">
        <w:rPr>
          <w:rFonts w:ascii="Palatino Linotype" w:hAnsi="Palatino Linotype" w:cs="Arial"/>
          <w:i/>
        </w:rPr>
        <w:t>Estimado solicitante por error humano se le adjunto el documento duplicado y no el reglamento pero se adjunta la información correspondiente. Reciba usted un cordial saludo</w:t>
      </w:r>
      <w:r w:rsidR="00D178DC" w:rsidRPr="00FE2E33">
        <w:rPr>
          <w:rFonts w:ascii="Palatino Linotype" w:hAnsi="Palatino Linotype" w:cs="Arial"/>
        </w:rPr>
        <w:t>” (SIC.), para lo cual adjuntó el</w:t>
      </w:r>
      <w:r w:rsidR="006851C1" w:rsidRPr="00FE2E33">
        <w:rPr>
          <w:rFonts w:ascii="Palatino Linotype" w:hAnsi="Palatino Linotype" w:cs="Arial"/>
        </w:rPr>
        <w:t xml:space="preserve"> archivo electrónico denominado </w:t>
      </w:r>
      <w:r w:rsidR="00A56EAE" w:rsidRPr="00FE2E33">
        <w:rPr>
          <w:rFonts w:ascii="Palatino Linotype" w:hAnsi="Palatino Linotype" w:cs="Arial"/>
          <w:i/>
        </w:rPr>
        <w:t>“</w:t>
      </w:r>
      <w:hyperlink r:id="rId9" w:history="1">
        <w:r w:rsidR="00DE2C66" w:rsidRPr="00FE2E33">
          <w:rPr>
            <w:rStyle w:val="Hipervnculo"/>
            <w:rFonts w:ascii="Palatino Linotype" w:hAnsi="Palatino Linotype" w:cs="Arial"/>
            <w:b/>
            <w:bCs/>
            <w:i/>
            <w:color w:val="auto"/>
            <w:u w:val="none"/>
          </w:rPr>
          <w:t>REGLAMENTO.PDF</w:t>
        </w:r>
      </w:hyperlink>
      <w:r w:rsidR="00A56EAE" w:rsidRPr="00FE2E33">
        <w:rPr>
          <w:rFonts w:ascii="Palatino Linotype" w:hAnsi="Palatino Linotype" w:cs="Arial"/>
          <w:b/>
          <w:bCs/>
          <w:i/>
        </w:rPr>
        <w:t>”</w:t>
      </w:r>
      <w:r w:rsidRPr="00FE2E33">
        <w:rPr>
          <w:rFonts w:ascii="Palatino Linotype" w:hAnsi="Palatino Linotype" w:cs="Arial"/>
          <w:i/>
        </w:rPr>
        <w:t>,</w:t>
      </w:r>
      <w:r w:rsidR="00DE2C66" w:rsidRPr="00FE2E33">
        <w:rPr>
          <w:rFonts w:ascii="Palatino Linotype" w:hAnsi="Palatino Linotype" w:cs="Arial"/>
        </w:rPr>
        <w:t xml:space="preserve"> constante de setenta y seis (76</w:t>
      </w:r>
      <w:r w:rsidR="00E522DC" w:rsidRPr="00FE2E33">
        <w:rPr>
          <w:rFonts w:ascii="Palatino Linotype" w:hAnsi="Palatino Linotype" w:cs="Arial"/>
        </w:rPr>
        <w:t xml:space="preserve">) fojas, </w:t>
      </w:r>
      <w:r w:rsidR="00DE2C66" w:rsidRPr="00FE2E33">
        <w:rPr>
          <w:rFonts w:ascii="Palatino Linotype" w:hAnsi="Palatino Linotype" w:cs="Arial"/>
        </w:rPr>
        <w:t>cuyo contenido corresponde al “</w:t>
      </w:r>
      <w:r w:rsidR="00DE2C66" w:rsidRPr="00FE2E33">
        <w:rPr>
          <w:rFonts w:ascii="Palatino Linotype" w:hAnsi="Palatino Linotype" w:cs="Arial"/>
          <w:b/>
          <w:i/>
        </w:rPr>
        <w:t>REGLAMENTO DE CONDICIONES GENERALES DE TRABAJO DE LOS SERVIDORES PÚBLICOS DOCENTES DEL SUBSISTEMA EDUCATIVO ESTATAL</w:t>
      </w:r>
      <w:r w:rsidR="00DE2C66" w:rsidRPr="00FE2E33">
        <w:rPr>
          <w:rFonts w:ascii="Palatino Linotype" w:hAnsi="Palatino Linotype" w:cs="Arial"/>
        </w:rPr>
        <w:t xml:space="preserve">”, </w:t>
      </w:r>
      <w:r w:rsidR="003E7BDC" w:rsidRPr="00FE2E33">
        <w:rPr>
          <w:rFonts w:ascii="Palatino Linotype" w:hAnsi="Palatino Linotype" w:cs="Arial"/>
        </w:rPr>
        <w:t>cotejado por el Licenciado Gabriel M. Ezeta Moll</w:t>
      </w:r>
      <w:r w:rsidR="00FB139B" w:rsidRPr="00FE2E33">
        <w:rPr>
          <w:rFonts w:ascii="Palatino Linotype" w:hAnsi="Palatino Linotype" w:cs="Arial"/>
        </w:rPr>
        <w:t>,</w:t>
      </w:r>
      <w:r w:rsidR="003E7BDC" w:rsidRPr="00FE2E33">
        <w:rPr>
          <w:rFonts w:ascii="Palatino Linotype" w:hAnsi="Palatino Linotype" w:cs="Arial"/>
        </w:rPr>
        <w:t xml:space="preserve"> Notario Público número ochenta y dos del Estado de México con Residencia en Toluca, Estado de México, </w:t>
      </w:r>
      <w:r w:rsidR="00FB139B" w:rsidRPr="00FE2E33">
        <w:rPr>
          <w:rFonts w:ascii="Palatino Linotype" w:hAnsi="Palatino Linotype" w:cs="Arial"/>
        </w:rPr>
        <w:t>quien expidió</w:t>
      </w:r>
      <w:r w:rsidR="003E7BDC" w:rsidRPr="00FE2E33">
        <w:rPr>
          <w:rFonts w:ascii="Palatino Linotype" w:hAnsi="Palatino Linotype" w:cs="Arial"/>
        </w:rPr>
        <w:t xml:space="preserve"> copia certificada bajo el </w:t>
      </w:r>
      <w:r w:rsidR="003E7BDC" w:rsidRPr="00FE2E33">
        <w:rPr>
          <w:rFonts w:ascii="Palatino Linotype" w:hAnsi="Palatino Linotype" w:cs="Arial"/>
        </w:rPr>
        <w:lastRenderedPageBreak/>
        <w:t>número 67, 695 del libro 26 de cotejos de fecha primero (01) de julio de dos mil diecinueve</w:t>
      </w:r>
      <w:r w:rsidR="00FC0249" w:rsidRPr="00FE2E33">
        <w:rPr>
          <w:rFonts w:ascii="Palatino Linotype" w:hAnsi="Palatino Linotype" w:cs="Arial"/>
        </w:rPr>
        <w:t xml:space="preserve">; </w:t>
      </w:r>
      <w:r w:rsidR="00FC0249" w:rsidRPr="00FE2E33">
        <w:rPr>
          <w:rFonts w:ascii="Palatino Linotype" w:hAnsi="Palatino Linotype" w:cs="Arial"/>
          <w:color w:val="000000" w:themeColor="text1"/>
          <w:lang w:val="es-MX"/>
        </w:rPr>
        <w:t>el cual</w:t>
      </w:r>
      <w:r w:rsidR="00FC0249" w:rsidRPr="00FE2E33">
        <w:rPr>
          <w:rFonts w:ascii="Palatino Linotype" w:hAnsi="Palatino Linotype"/>
        </w:rPr>
        <w:t xml:space="preserve"> no se inserta por ser del conocimiento de las partes y ser motivo de análisis más adelante.</w:t>
      </w:r>
    </w:p>
    <w:p w14:paraId="6DD122E4" w14:textId="0B346E41"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rPr>
        <w:t>En fecha veinticinco (25) de febrero de dos mil veintiuno, el informe justificado fue puesto a disposición del particular; sin embargo, éste no realizó manifestaciones que a su derecho convinieran y asistieran.</w:t>
      </w:r>
    </w:p>
    <w:p w14:paraId="75767CF7"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1622C798" w14:textId="77777777"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rPr>
        <w:t>El Comisionado Ponente decreto el cierre de instrucción mediante acuerdo de fecha cinco (05) de marzo de dos mil veintiuno, por lo que se</w:t>
      </w:r>
      <w:r w:rsidRPr="00FE2E33">
        <w:rPr>
          <w:rFonts w:ascii="Palatino Linotype" w:hAnsi="Palatino Linotype" w:cs="Arial"/>
        </w:rPr>
        <w:t xml:space="preserve"> ordenó turnar el expediente a resolución, por lo que no habiendo más que hacer constar, y - - - - - - </w:t>
      </w:r>
    </w:p>
    <w:p w14:paraId="5903A08A" w14:textId="77777777" w:rsidR="00FC0249" w:rsidRPr="00FE2E33" w:rsidRDefault="00FC0249" w:rsidP="00FC0249">
      <w:pPr>
        <w:pStyle w:val="Ttulo1"/>
        <w:tabs>
          <w:tab w:val="left" w:pos="567"/>
        </w:tabs>
        <w:spacing w:line="360" w:lineRule="auto"/>
        <w:jc w:val="center"/>
        <w:rPr>
          <w:b/>
          <w:szCs w:val="24"/>
        </w:rPr>
      </w:pPr>
      <w:bookmarkStart w:id="62" w:name="_Toc48841664"/>
      <w:bookmarkStart w:id="63" w:name="_Toc58504397"/>
      <w:bookmarkStart w:id="64" w:name="_Toc66360921"/>
      <w:bookmarkStart w:id="65" w:name="_Toc66395998"/>
      <w:r w:rsidRPr="00FE2E33">
        <w:rPr>
          <w:b/>
          <w:szCs w:val="24"/>
        </w:rPr>
        <w:t>CONSIDERANDO</w:t>
      </w:r>
      <w:bookmarkEnd w:id="62"/>
      <w:bookmarkEnd w:id="63"/>
      <w:bookmarkEnd w:id="64"/>
      <w:bookmarkEnd w:id="65"/>
    </w:p>
    <w:p w14:paraId="7B32A545" w14:textId="77777777" w:rsidR="00FC0249" w:rsidRPr="00FE2E33" w:rsidRDefault="00FC0249" w:rsidP="00FC0249">
      <w:pPr>
        <w:pStyle w:val="Ttulo1"/>
        <w:tabs>
          <w:tab w:val="left" w:pos="567"/>
        </w:tabs>
        <w:spacing w:line="360" w:lineRule="auto"/>
        <w:jc w:val="both"/>
        <w:rPr>
          <w:b/>
          <w:bCs/>
          <w:spacing w:val="60"/>
        </w:rPr>
      </w:pPr>
      <w:bookmarkStart w:id="66" w:name="_Toc48841665"/>
      <w:bookmarkStart w:id="67" w:name="_Toc58504398"/>
      <w:bookmarkStart w:id="68" w:name="_Toc66360922"/>
      <w:bookmarkStart w:id="69" w:name="_Toc66395999"/>
      <w:r w:rsidRPr="00FE2E33">
        <w:rPr>
          <w:b/>
        </w:rPr>
        <w:t>PRIMERO. De la competencia</w:t>
      </w:r>
      <w:bookmarkEnd w:id="66"/>
      <w:bookmarkEnd w:id="67"/>
      <w:bookmarkEnd w:id="68"/>
      <w:bookmarkEnd w:id="69"/>
    </w:p>
    <w:p w14:paraId="09FD6475" w14:textId="77777777" w:rsidR="00FC0249" w:rsidRPr="00FE2E33" w:rsidRDefault="00FC0249" w:rsidP="00FC0249">
      <w:pPr>
        <w:pStyle w:val="Prrafodelista"/>
        <w:rPr>
          <w:rFonts w:ascii="Palatino Linotype" w:eastAsia="Calibri" w:hAnsi="Palatino Linotype"/>
          <w:lang w:val="es-ES"/>
        </w:rPr>
      </w:pPr>
    </w:p>
    <w:p w14:paraId="5F008A8D" w14:textId="7A211413"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2E33">
        <w:rPr>
          <w:rFonts w:ascii="Palatino Linotype" w:eastAsia="Calibri" w:hAnsi="Palatino Linotype"/>
          <w:b/>
          <w:lang w:val="es-ES"/>
        </w:rPr>
        <w:t>Constitución Política de los Estados Unidos Mexicanos</w:t>
      </w:r>
      <w:r w:rsidRPr="00FE2E33">
        <w:rPr>
          <w:rFonts w:ascii="Palatino Linotype" w:eastAsia="Calibri" w:hAnsi="Palatino Linotype"/>
          <w:lang w:val="es-ES"/>
        </w:rPr>
        <w:t xml:space="preserve">; 5, párrafos </w:t>
      </w:r>
      <w:r w:rsidRPr="00FE2E33">
        <w:rPr>
          <w:rFonts w:ascii="Palatino Linotype" w:eastAsia="Calibri" w:hAnsi="Palatino Linotype"/>
          <w:color w:val="000000" w:themeColor="text1"/>
          <w:lang w:val="es-ES"/>
        </w:rPr>
        <w:t xml:space="preserve">vigésimo segundo, vigésimo tercero y vigésimo cuarto </w:t>
      </w:r>
      <w:r w:rsidRPr="00FE2E33">
        <w:rPr>
          <w:rFonts w:ascii="Palatino Linotype" w:eastAsia="Calibri" w:hAnsi="Palatino Linotype"/>
          <w:lang w:val="es-ES"/>
        </w:rPr>
        <w:t xml:space="preserve">fracciones IV y V de la </w:t>
      </w:r>
      <w:r w:rsidRPr="00FE2E33">
        <w:rPr>
          <w:rFonts w:ascii="Palatino Linotype" w:eastAsia="Calibri" w:hAnsi="Palatino Linotype"/>
          <w:b/>
          <w:lang w:val="es-ES"/>
        </w:rPr>
        <w:t>Constitución Política del Estado Libre y Soberano de México</w:t>
      </w:r>
      <w:r w:rsidRPr="00FE2E33">
        <w:rPr>
          <w:rFonts w:ascii="Palatino Linotype" w:eastAsia="Calibri" w:hAnsi="Palatino Linotype"/>
          <w:lang w:val="es-ES"/>
        </w:rPr>
        <w:t xml:space="preserve">; artículos 1, 2 fracción II, 13, 29, 36 fracciones I y II, 176, 178, 179, 181 párrafo tercero y 185 </w:t>
      </w:r>
      <w:r w:rsidRPr="00FE2E33">
        <w:rPr>
          <w:rFonts w:ascii="Palatino Linotype" w:eastAsia="Calibri" w:hAnsi="Palatino Linotype" w:cs="Arial"/>
          <w:lang w:val="es-ES"/>
        </w:rPr>
        <w:t xml:space="preserve">de la </w:t>
      </w:r>
      <w:r w:rsidRPr="00FE2E33">
        <w:rPr>
          <w:rFonts w:ascii="Palatino Linotype" w:eastAsia="Calibri" w:hAnsi="Palatino Linotype" w:cs="Arial"/>
          <w:b/>
          <w:lang w:val="es-ES"/>
        </w:rPr>
        <w:lastRenderedPageBreak/>
        <w:t>Ley de Transparencia y Acceso a la Información Pública del Estado de México y Municipios</w:t>
      </w:r>
      <w:r w:rsidRPr="00FE2E33">
        <w:rPr>
          <w:rFonts w:ascii="Palatino Linotype" w:eastAsia="Calibri" w:hAnsi="Palatino Linotype" w:cs="Arial"/>
          <w:lang w:val="es-ES"/>
        </w:rPr>
        <w:t xml:space="preserve">; y 10, 7, 9 fracciones I y XXIV, y 11 del </w:t>
      </w:r>
      <w:r w:rsidRPr="00FE2E3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E2E33">
        <w:rPr>
          <w:rFonts w:ascii="Palatino Linotype" w:hAnsi="Palatino Linotype"/>
        </w:rPr>
        <w:t>.</w:t>
      </w:r>
    </w:p>
    <w:p w14:paraId="620C0C2B"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7678EF27" w14:textId="033BC3C9" w:rsidR="00FC0249" w:rsidRPr="00FE2E33" w:rsidRDefault="00FC0249" w:rsidP="00FC0249">
      <w:pPr>
        <w:pStyle w:val="Ttulo1"/>
        <w:tabs>
          <w:tab w:val="left" w:pos="567"/>
        </w:tabs>
        <w:spacing w:before="0" w:line="360" w:lineRule="auto"/>
        <w:jc w:val="both"/>
        <w:rPr>
          <w:b/>
        </w:rPr>
      </w:pPr>
      <w:bookmarkStart w:id="70" w:name="_Toc48841666"/>
      <w:bookmarkStart w:id="71" w:name="_Toc58504399"/>
      <w:bookmarkStart w:id="72" w:name="_Toc66360923"/>
      <w:bookmarkStart w:id="73" w:name="_Toc66396000"/>
      <w:r w:rsidRPr="00FE2E33">
        <w:rPr>
          <w:b/>
        </w:rPr>
        <w:t>SEGUNDO. De la oportunidad y procedencia.</w:t>
      </w:r>
      <w:bookmarkEnd w:id="70"/>
      <w:bookmarkEnd w:id="71"/>
      <w:bookmarkEnd w:id="72"/>
      <w:bookmarkEnd w:id="73"/>
    </w:p>
    <w:p w14:paraId="4138CB03" w14:textId="3AD0FC58"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eastAsia="Calibri" w:hAnsi="Palatino Linotype" w:cs="Arial"/>
        </w:rPr>
        <w:t>El medio de impugnación fue presentado a través del Sistema de Acceso a la Información Mexiquense (SAIMEX)</w:t>
      </w:r>
      <w:r w:rsidRPr="00FE2E33">
        <w:rPr>
          <w:rFonts w:ascii="Palatino Linotype" w:eastAsia="Calibri" w:hAnsi="Palatino Linotype" w:cs="Arial"/>
          <w:b/>
        </w:rPr>
        <w:t>,</w:t>
      </w:r>
      <w:r w:rsidRPr="00FE2E33">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E2E33">
        <w:rPr>
          <w:rFonts w:ascii="Palatino Linotype" w:eastAsia="Calibri" w:hAnsi="Palatino Linotype" w:cs="Arial"/>
          <w:b/>
        </w:rPr>
        <w:t>SUJETO OBLIGADO</w:t>
      </w:r>
      <w:r w:rsidRPr="00FE2E33">
        <w:rPr>
          <w:rFonts w:ascii="Palatino Linotype" w:eastAsia="Calibri" w:hAnsi="Palatino Linotype" w:cs="Arial"/>
        </w:rPr>
        <w:t xml:space="preserve"> entregó respuesta el </w:t>
      </w:r>
      <w:r w:rsidR="00804CF9" w:rsidRPr="00FE2E33">
        <w:rPr>
          <w:rFonts w:ascii="Palatino Linotype" w:eastAsia="Calibri" w:hAnsi="Palatino Linotype" w:cs="Arial"/>
        </w:rPr>
        <w:t>diecisiete</w:t>
      </w:r>
      <w:r w:rsidRPr="00FE2E33">
        <w:rPr>
          <w:rFonts w:ascii="Palatino Linotype" w:eastAsia="Calibri" w:hAnsi="Palatino Linotype" w:cs="Arial"/>
        </w:rPr>
        <w:t xml:space="preserve"> </w:t>
      </w:r>
      <w:r w:rsidR="00804CF9" w:rsidRPr="00FE2E33">
        <w:rPr>
          <w:rFonts w:ascii="Palatino Linotype" w:eastAsia="Calibri" w:hAnsi="Palatino Linotype" w:cs="Arial"/>
        </w:rPr>
        <w:t>(17</w:t>
      </w:r>
      <w:r w:rsidRPr="00FE2E33">
        <w:rPr>
          <w:rFonts w:ascii="Palatino Linotype" w:eastAsia="Calibri" w:hAnsi="Palatino Linotype" w:cs="Arial"/>
        </w:rPr>
        <w:t xml:space="preserve">) de febrero </w:t>
      </w:r>
      <w:r w:rsidRPr="00FE2E33">
        <w:rPr>
          <w:rFonts w:ascii="Palatino Linotype" w:hAnsi="Palatino Linotype"/>
        </w:rPr>
        <w:t>de dos mil veintiuno</w:t>
      </w:r>
      <w:r w:rsidRPr="00FE2E33">
        <w:rPr>
          <w:rFonts w:ascii="Palatino Linotype" w:eastAsia="Calibri" w:hAnsi="Palatino Linotype" w:cs="Arial"/>
        </w:rPr>
        <w:t xml:space="preserve">, siendo ese mismo día </w:t>
      </w:r>
      <w:r w:rsidRPr="00FE2E33">
        <w:rPr>
          <w:rFonts w:ascii="Palatino Linotype" w:hAnsi="Palatino Linotype" w:cs="Arial"/>
        </w:rPr>
        <w:t xml:space="preserve">que el </w:t>
      </w:r>
      <w:r w:rsidRPr="00FE2E33">
        <w:rPr>
          <w:rFonts w:ascii="Palatino Linotype" w:hAnsi="Palatino Linotype" w:cs="Arial"/>
          <w:b/>
        </w:rPr>
        <w:t>RECURRENTE</w:t>
      </w:r>
      <w:r w:rsidRPr="00FE2E33">
        <w:rPr>
          <w:rFonts w:ascii="Palatino Linotype" w:hAnsi="Palatino Linotype" w:cs="Arial"/>
        </w:rPr>
        <w:t xml:space="preserve"> presentó su inconformidad, por lo que el medio de impugnación </w:t>
      </w:r>
      <w:r w:rsidRPr="00FE2E33">
        <w:rPr>
          <w:rFonts w:ascii="Palatino Linotype" w:hAnsi="Palatino Linotype" w:cs="Arial"/>
          <w:color w:val="000000" w:themeColor="text1"/>
        </w:rPr>
        <w:t xml:space="preserve">se encuentra dentro de los márgenes temporales previstos en el artículo 178 de la </w:t>
      </w:r>
      <w:r w:rsidRPr="00FE2E33">
        <w:rPr>
          <w:rFonts w:ascii="Palatino Linotype" w:hAnsi="Palatino Linotype" w:cs="Arial"/>
          <w:b/>
          <w:color w:val="000000" w:themeColor="text1"/>
        </w:rPr>
        <w:t>Ley de Transparencia y Acceso a la Información Pública del Estado de México y Municipios.</w:t>
      </w:r>
    </w:p>
    <w:p w14:paraId="7E6D9607"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5F605AB3" w14:textId="77777777"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846085" w14:textId="0B1FA06C" w:rsidR="00FC0249" w:rsidRPr="00FE2E33" w:rsidRDefault="00FC0249" w:rsidP="00FC0249">
      <w:pPr>
        <w:pStyle w:val="Ttulo2"/>
        <w:spacing w:before="0" w:line="360" w:lineRule="auto"/>
        <w:jc w:val="both"/>
        <w:rPr>
          <w:rFonts w:ascii="Palatino Linotype" w:hAnsi="Palatino Linotype"/>
          <w:b/>
          <w:color w:val="000000" w:themeColor="text1"/>
          <w:sz w:val="24"/>
          <w:szCs w:val="24"/>
        </w:rPr>
      </w:pPr>
      <w:bookmarkStart w:id="74" w:name="_Toc33809642"/>
      <w:bookmarkStart w:id="75" w:name="_Toc58504400"/>
      <w:bookmarkStart w:id="76" w:name="_Toc66360924"/>
      <w:bookmarkStart w:id="77" w:name="_Toc66396001"/>
      <w:r w:rsidRPr="00FE2E33">
        <w:rPr>
          <w:rFonts w:ascii="Palatino Linotype" w:hAnsi="Palatino Linotype"/>
          <w:b/>
          <w:color w:val="000000" w:themeColor="text1"/>
          <w:sz w:val="24"/>
          <w:szCs w:val="24"/>
        </w:rPr>
        <w:lastRenderedPageBreak/>
        <w:t>TERCERO. Previo y especial pronunciamiento</w:t>
      </w:r>
      <w:bookmarkEnd w:id="74"/>
      <w:bookmarkEnd w:id="75"/>
      <w:bookmarkEnd w:id="76"/>
      <w:bookmarkEnd w:id="77"/>
      <w:r w:rsidRPr="00FE2E33">
        <w:rPr>
          <w:rFonts w:ascii="Palatino Linotype" w:hAnsi="Palatino Linotype"/>
          <w:b/>
          <w:color w:val="000000" w:themeColor="text1"/>
          <w:sz w:val="24"/>
          <w:szCs w:val="24"/>
        </w:rPr>
        <w:t>.</w:t>
      </w:r>
    </w:p>
    <w:p w14:paraId="55E3B4F5" w14:textId="6DAC74E0"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 xml:space="preserve">Ahora bien, desde que inició, la crisis generada por el virus </w:t>
      </w:r>
      <w:r w:rsidRPr="00FE2E33">
        <w:rPr>
          <w:rFonts w:ascii="Palatino Linotype" w:hAnsi="Palatino Linotype"/>
          <w:b/>
          <w:lang w:val="es-ES"/>
        </w:rPr>
        <w:t>SARS-Cov-2 -  COVID-19</w:t>
      </w:r>
      <w:r w:rsidRPr="00FE2E33">
        <w:rPr>
          <w:rFonts w:ascii="Palatino Linotype" w:hAnsi="Palatino Linotype"/>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C0CA818"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79953F5B" w14:textId="5C9957CA"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1C9CDA2"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322E8C15" w14:textId="0364A661"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w:t>
      </w:r>
      <w:r w:rsidRPr="00FE2E33">
        <w:rPr>
          <w:rFonts w:ascii="Palatino Linotype" w:hAnsi="Palatino Linotype"/>
          <w:lang w:val="es-ES"/>
        </w:rPr>
        <w:lastRenderedPageBreak/>
        <w:t>estos procedimientos, mientras el país y el estado enfrentaban las condiciones de semáforo rojo sanitario.</w:t>
      </w:r>
    </w:p>
    <w:p w14:paraId="474F7E20"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04D98786" w14:textId="30158FFB"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64162E8"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1EF2D081" w14:textId="42DE8D48"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w:t>
      </w:r>
      <w:r w:rsidRPr="00FE2E33">
        <w:rPr>
          <w:rFonts w:ascii="Palatino Linotype" w:hAnsi="Palatino Linotype"/>
          <w:lang w:val="es-ES"/>
        </w:rPr>
        <w:lastRenderedPageBreak/>
        <w:t>ocurrió tanto en el sector público como en el privado, incluso, el propio Congreso de la Unión, recientemente aprobó la reforma al artículo 311 y la adición del capítulo XII Bis a la Ley del Federal del Trabajo en materia de teletrabajo.</w:t>
      </w:r>
    </w:p>
    <w:p w14:paraId="6EDEDEF1"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0D98D52A" w14:textId="032904E9"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57AE1890"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57697CD9" w14:textId="3F33B0C3"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w:t>
      </w:r>
      <w:r w:rsidRPr="00FE2E33">
        <w:rPr>
          <w:rFonts w:ascii="Palatino Linotype" w:hAnsi="Palatino Linotype"/>
          <w:lang w:val="es-ES"/>
        </w:rPr>
        <w:lastRenderedPageBreak/>
        <w:t>los derechos, en el contexto actual de pandemia adquiere una mayor importancia ya que estas herramientas tecnológicas permiten que la atención de estos procedimientos sea compatible con la modalidad de trabajo a distancia o trabajo en casa.</w:t>
      </w:r>
    </w:p>
    <w:p w14:paraId="3D11035B"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0B4F05FA" w14:textId="1FE3B582"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DB712B1"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015A79BD" w14:textId="04A4B0BF"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S</w:t>
      </w:r>
      <w:r w:rsidR="00FC0249" w:rsidRPr="00FE2E33">
        <w:rPr>
          <w:rFonts w:ascii="Palatino Linotype" w:hAnsi="Palatino Linotype"/>
          <w:lang w:val="es-ES"/>
        </w:rPr>
        <w:t>i</w:t>
      </w:r>
      <w:r w:rsidRPr="00FE2E33">
        <w:rPr>
          <w:rFonts w:ascii="Palatino Linotype" w:hAnsi="Palatino Linotype"/>
          <w:lang w:val="es-ES"/>
        </w:rPr>
        <w:t xml:space="preserve">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FE2E33">
        <w:rPr>
          <w:rFonts w:ascii="Palatino Linotype" w:hAnsi="Palatino Linotype"/>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D1D493B" w14:textId="77777777" w:rsidR="00FC0249" w:rsidRPr="00FE2E33" w:rsidRDefault="00FC0249" w:rsidP="00FC0249">
      <w:pPr>
        <w:autoSpaceDE w:val="0"/>
        <w:autoSpaceDN w:val="0"/>
        <w:adjustRightInd w:val="0"/>
        <w:spacing w:before="240" w:after="240" w:line="360" w:lineRule="auto"/>
        <w:contextualSpacing/>
        <w:jc w:val="both"/>
        <w:rPr>
          <w:rFonts w:ascii="Palatino Linotype" w:hAnsi="Palatino Linotype" w:cs="Arial"/>
          <w:i/>
        </w:rPr>
      </w:pPr>
    </w:p>
    <w:p w14:paraId="072A7768" w14:textId="77777777"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t>Po</w:t>
      </w:r>
      <w:r w:rsidR="00FC0249" w:rsidRPr="00FE2E33">
        <w:rPr>
          <w:rFonts w:ascii="Palatino Linotype" w:hAnsi="Palatino Linotype"/>
          <w:lang w:val="es-ES"/>
        </w:rPr>
        <w:t>r</w:t>
      </w:r>
      <w:r w:rsidRPr="00FE2E33">
        <w:rPr>
          <w:rFonts w:ascii="Palatino Linotype" w:hAnsi="Palatino Linotype"/>
          <w:lang w:val="es-ES"/>
        </w:rPr>
        <w:t xml:space="preserve">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333746A" w14:textId="77777777" w:rsidR="00FC0249" w:rsidRPr="00FE2E33" w:rsidRDefault="00FC0249" w:rsidP="00FC0249">
      <w:pPr>
        <w:pStyle w:val="Prrafodelista"/>
        <w:rPr>
          <w:rFonts w:ascii="Palatino Linotype" w:hAnsi="Palatino Linotype"/>
          <w:lang w:val="es-ES"/>
        </w:rPr>
      </w:pPr>
    </w:p>
    <w:p w14:paraId="476F1D42" w14:textId="77777777" w:rsidR="00FC0249" w:rsidRPr="00FE2E33" w:rsidRDefault="00FB139B"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8" w:name="_Toc466371865"/>
      <w:bookmarkStart w:id="79" w:name="_Toc466377653"/>
    </w:p>
    <w:p w14:paraId="16BE7399" w14:textId="77777777" w:rsidR="00FC0249" w:rsidRPr="00FE2E33" w:rsidRDefault="00FC0249" w:rsidP="00FC0249">
      <w:pPr>
        <w:pStyle w:val="Ttulo1"/>
        <w:spacing w:before="0" w:line="360" w:lineRule="auto"/>
        <w:rPr>
          <w:b/>
          <w:szCs w:val="24"/>
        </w:rPr>
      </w:pPr>
      <w:bookmarkStart w:id="80" w:name="_Toc495427545"/>
      <w:bookmarkStart w:id="81" w:name="_Toc19116878"/>
      <w:bookmarkStart w:id="82" w:name="_Toc35266381"/>
      <w:r w:rsidRPr="00FE2E33">
        <w:rPr>
          <w:b/>
          <w:color w:val="000000" w:themeColor="text1"/>
          <w:szCs w:val="24"/>
        </w:rPr>
        <w:t xml:space="preserve">CUARTO. </w:t>
      </w:r>
      <w:r w:rsidRPr="00FE2E33">
        <w:rPr>
          <w:b/>
          <w:szCs w:val="24"/>
        </w:rPr>
        <w:t>De las causales del sobreseimiento.</w:t>
      </w:r>
      <w:bookmarkEnd w:id="80"/>
      <w:bookmarkEnd w:id="81"/>
      <w:bookmarkEnd w:id="82"/>
    </w:p>
    <w:p w14:paraId="0CC25834" w14:textId="77777777" w:rsidR="00FC0249" w:rsidRPr="00FE2E33" w:rsidRDefault="00FC0249" w:rsidP="00FC0249">
      <w:pPr>
        <w:pStyle w:val="Prrafodelista"/>
        <w:rPr>
          <w:rFonts w:ascii="Palatino Linotype" w:hAnsi="Palatino Linotype" w:cs="Arial"/>
          <w:lang w:val="es-MX"/>
        </w:rPr>
      </w:pPr>
    </w:p>
    <w:p w14:paraId="59BDE824" w14:textId="77777777" w:rsidR="00FC0249"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FE2E33">
        <w:rPr>
          <w:rFonts w:ascii="Palatino Linotype" w:eastAsia="Calibri" w:hAnsi="Palatino Linotype" w:cs="Arial"/>
        </w:rPr>
        <w:t>Transparencia, Acceso a la Información Pública del Estado de México y Municipios</w:t>
      </w:r>
      <w:r w:rsidRPr="00FE2E33">
        <w:rPr>
          <w:rFonts w:ascii="Palatino Linotype" w:hAnsi="Palatino Linotype" w:cs="Arial"/>
        </w:rPr>
        <w:t xml:space="preserve">, y determinar la confirmación; revocación o modificación; </w:t>
      </w:r>
      <w:proofErr w:type="spellStart"/>
      <w:r w:rsidRPr="00FE2E33">
        <w:rPr>
          <w:rFonts w:ascii="Palatino Linotype" w:hAnsi="Palatino Linotype" w:cs="Arial"/>
        </w:rPr>
        <w:t>desechamiento</w:t>
      </w:r>
      <w:proofErr w:type="spellEnd"/>
      <w:r w:rsidRPr="00FE2E33">
        <w:rPr>
          <w:rFonts w:ascii="Palatino Linotype" w:hAnsi="Palatino Linotype" w:cs="Arial"/>
        </w:rPr>
        <w:t xml:space="preserve"> o sobreseimiento; y en su caso ordenar la entrega de la información con respecto a la respuesta emitida por el </w:t>
      </w:r>
      <w:r w:rsidRPr="00FE2E33">
        <w:rPr>
          <w:rFonts w:ascii="Palatino Linotype" w:hAnsi="Palatino Linotype" w:cs="Arial"/>
          <w:b/>
        </w:rPr>
        <w:t>Sujeto</w:t>
      </w:r>
      <w:r w:rsidRPr="00FE2E33">
        <w:rPr>
          <w:rFonts w:ascii="Palatino Linotype" w:hAnsi="Palatino Linotype" w:cs="Arial"/>
        </w:rPr>
        <w:t xml:space="preserve"> </w:t>
      </w:r>
      <w:r w:rsidRPr="00FE2E33">
        <w:rPr>
          <w:rFonts w:ascii="Palatino Linotype" w:hAnsi="Palatino Linotype" w:cs="Arial"/>
          <w:b/>
        </w:rPr>
        <w:t>Obligado</w:t>
      </w:r>
      <w:r w:rsidRPr="00FE2E33">
        <w:rPr>
          <w:rFonts w:ascii="Palatino Linotype" w:hAnsi="Palatino Linotype" w:cs="Arial"/>
        </w:rPr>
        <w:t>.</w:t>
      </w:r>
    </w:p>
    <w:p w14:paraId="29540CE0" w14:textId="60C34E88" w:rsidR="00FC0249"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FE2E33">
        <w:rPr>
          <w:rFonts w:ascii="Palatino Linotype" w:eastAsia="Calibri" w:hAnsi="Palatino Linotype" w:cs="Arial"/>
          <w:color w:val="000000" w:themeColor="text1"/>
        </w:rPr>
        <w:lastRenderedPageBreak/>
        <w:t xml:space="preserve">Ahora bien, del caso concreto y derivado del razonamiento lógico-jurídico de las constancias que obran en el expediente electrónico al rubro indicado, </w:t>
      </w:r>
      <w:r w:rsidRPr="00FE2E33">
        <w:rPr>
          <w:rFonts w:ascii="Palatino Linotype" w:hAnsi="Palatino Linotype" w:cs="Arial"/>
        </w:rPr>
        <w:t>el hoy</w:t>
      </w:r>
      <w:r w:rsidRPr="00FE2E33">
        <w:rPr>
          <w:rFonts w:ascii="Palatino Linotype" w:hAnsi="Palatino Linotype" w:cs="Arial"/>
          <w:b/>
        </w:rPr>
        <w:t xml:space="preserve"> RECURRENTE </w:t>
      </w:r>
      <w:r w:rsidRPr="00FE2E33">
        <w:rPr>
          <w:rFonts w:ascii="Palatino Linotype" w:hAnsi="Palatino Linotype"/>
        </w:rPr>
        <w:t>en la solicitud de acceso a la información pública, requirió del</w:t>
      </w:r>
      <w:r w:rsidRPr="00FE2E33">
        <w:rPr>
          <w:rFonts w:ascii="Palatino Linotype" w:hAnsi="Palatino Linotype" w:cs="Arial"/>
        </w:rPr>
        <w:t xml:space="preserve"> </w:t>
      </w:r>
      <w:r w:rsidRPr="00FE2E33">
        <w:rPr>
          <w:rFonts w:ascii="Palatino Linotype" w:hAnsi="Palatino Linotype" w:cs="Arial"/>
          <w:b/>
        </w:rPr>
        <w:t>SUJETO OBLIGADO</w:t>
      </w:r>
      <w:r w:rsidRPr="00FE2E33">
        <w:rPr>
          <w:rFonts w:ascii="Palatino Linotype" w:hAnsi="Palatino Linotype" w:cs="Arial"/>
        </w:rPr>
        <w:t xml:space="preserve">, vía </w:t>
      </w:r>
      <w:r w:rsidRPr="00FE2E33">
        <w:rPr>
          <w:rFonts w:ascii="Palatino Linotype" w:hAnsi="Palatino Linotype" w:cs="Arial"/>
          <w:b/>
        </w:rPr>
        <w:t>EL SAIMEX</w:t>
      </w:r>
      <w:r w:rsidRPr="00FE2E33">
        <w:rPr>
          <w:rFonts w:ascii="Palatino Linotype" w:hAnsi="Palatino Linotype" w:cs="Arial"/>
        </w:rPr>
        <w:t>,</w:t>
      </w:r>
      <w:r w:rsidRPr="00FE2E33">
        <w:rPr>
          <w:rFonts w:ascii="Palatino Linotype" w:hAnsi="Palatino Linotype"/>
        </w:rPr>
        <w:t xml:space="preserve"> la información que a continuación se desagrega:</w:t>
      </w:r>
    </w:p>
    <w:p w14:paraId="7F6A20CC" w14:textId="3785CC7D" w:rsidR="00863C06" w:rsidRPr="00FE2E33" w:rsidRDefault="00863C06" w:rsidP="003618D7">
      <w:pPr>
        <w:pStyle w:val="Prrafodelista"/>
        <w:numPr>
          <w:ilvl w:val="0"/>
          <w:numId w:val="7"/>
        </w:numPr>
        <w:spacing w:line="360" w:lineRule="auto"/>
        <w:jc w:val="both"/>
        <w:rPr>
          <w:rFonts w:ascii="Palatino Linotype" w:hAnsi="Palatino Linotype"/>
          <w:b/>
        </w:rPr>
      </w:pPr>
      <w:r w:rsidRPr="00FE2E33">
        <w:rPr>
          <w:rFonts w:ascii="Palatino Linotype" w:hAnsi="Palatino Linotype"/>
          <w:color w:val="000000"/>
        </w:rPr>
        <w:t>Convenio Laboral firmado entre el Sindicato de Maestros al Servicio del Estado de México y el Gobierno del Estado de México del año dos mil veinte</w:t>
      </w:r>
      <w:r w:rsidR="00514DDF" w:rsidRPr="00FE2E33">
        <w:rPr>
          <w:rFonts w:ascii="Palatino Linotype" w:hAnsi="Palatino Linotype"/>
          <w:color w:val="000000"/>
        </w:rPr>
        <w:t>.</w:t>
      </w:r>
    </w:p>
    <w:p w14:paraId="219E24B1" w14:textId="01621DC7" w:rsidR="00863C06" w:rsidRPr="00FE2E33" w:rsidRDefault="00863C06" w:rsidP="003618D7">
      <w:pPr>
        <w:pStyle w:val="Prrafodelista"/>
        <w:numPr>
          <w:ilvl w:val="0"/>
          <w:numId w:val="7"/>
        </w:numPr>
        <w:spacing w:line="360" w:lineRule="auto"/>
        <w:jc w:val="both"/>
        <w:rPr>
          <w:rFonts w:ascii="Palatino Linotype" w:hAnsi="Palatino Linotype"/>
          <w:b/>
        </w:rPr>
      </w:pPr>
      <w:r w:rsidRPr="00FE2E33">
        <w:rPr>
          <w:rFonts w:ascii="Palatino Linotype" w:hAnsi="Palatino Linotype"/>
          <w:color w:val="000000"/>
        </w:rPr>
        <w:t>El último Reglamento de las Condiciones Generales de Trabajo entre el Sindicato antes mencionado y el Gobierno del Estado de México.</w:t>
      </w:r>
    </w:p>
    <w:p w14:paraId="13E05EB6" w14:textId="77777777" w:rsidR="00863C06" w:rsidRPr="00FE2E33" w:rsidRDefault="00863C06" w:rsidP="00FC0249">
      <w:pPr>
        <w:autoSpaceDE w:val="0"/>
        <w:autoSpaceDN w:val="0"/>
        <w:adjustRightInd w:val="0"/>
        <w:spacing w:before="240" w:after="240" w:line="360" w:lineRule="auto"/>
        <w:contextualSpacing/>
        <w:jc w:val="both"/>
        <w:rPr>
          <w:rFonts w:ascii="Palatino Linotype" w:hAnsi="Palatino Linotype" w:cs="Arial"/>
          <w:i/>
        </w:rPr>
      </w:pPr>
    </w:p>
    <w:p w14:paraId="0D2782D4" w14:textId="558B34D0"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Theme="minorEastAsia" w:hAnsi="Palatino Linotype" w:cs="Arial"/>
          <w:color w:val="000000"/>
          <w:lang w:val="es-ES_tradnl" w:eastAsia="es-ES"/>
        </w:rPr>
      </w:pPr>
      <w:r w:rsidRPr="00FE2E33">
        <w:rPr>
          <w:rFonts w:ascii="Palatino Linotype" w:hAnsi="Palatino Linotype" w:cs="Arial"/>
        </w:rPr>
        <w:t xml:space="preserve">Al respecto, el </w:t>
      </w:r>
      <w:r w:rsidRPr="00FE2E33">
        <w:rPr>
          <w:rFonts w:ascii="Palatino Linotype" w:hAnsi="Palatino Linotype" w:cs="Arial"/>
          <w:b/>
        </w:rPr>
        <w:t xml:space="preserve">SUJETO OBLIGADO </w:t>
      </w:r>
      <w:r w:rsidRPr="00FE2E33">
        <w:rPr>
          <w:rFonts w:ascii="Palatino Linotype" w:hAnsi="Palatino Linotype" w:cs="Arial"/>
        </w:rPr>
        <w:t xml:space="preserve">adjuntó </w:t>
      </w:r>
      <w:r w:rsidR="00863C06" w:rsidRPr="00FE2E33">
        <w:rPr>
          <w:rFonts w:ascii="Palatino Linotype" w:eastAsiaTheme="minorEastAsia" w:hAnsi="Palatino Linotype" w:cs="Arial"/>
          <w:color w:val="000000"/>
          <w:lang w:eastAsia="es-ES"/>
        </w:rPr>
        <w:t xml:space="preserve">el </w:t>
      </w:r>
      <w:r w:rsidR="00863C06" w:rsidRPr="00FE2E33">
        <w:rPr>
          <w:rFonts w:ascii="Palatino Linotype" w:hAnsi="Palatino Linotype" w:cs="Arial"/>
          <w:b/>
          <w:color w:val="000000" w:themeColor="text1"/>
          <w:lang w:val="es-MX"/>
        </w:rPr>
        <w:t>Convenio de Sueldos y Prestaciones SMSEM 2020</w:t>
      </w:r>
      <w:r w:rsidR="00863C06" w:rsidRPr="00FE2E33">
        <w:rPr>
          <w:rFonts w:ascii="Palatino Linotype" w:hAnsi="Palatino Linotype" w:cs="Arial"/>
          <w:color w:val="000000" w:themeColor="text1"/>
          <w:lang w:val="es-MX"/>
        </w:rPr>
        <w:t>, signado y ratificado en fecha seis (06) de agosto de dos mil veinte; celebrado, por una parte el Poder Ejecutivo del Estado de México, por conducto del Titular de la Secretaria de Finanzas, denominado “EL GOBIERNO” y por otra parte, el Sindicato de Maestros al Servicio del Estado de México, representado por el Comité Ejecutivo Estatal, denominado “EL SINDICATO”.</w:t>
      </w:r>
    </w:p>
    <w:p w14:paraId="13D69DC3" w14:textId="77777777" w:rsidR="00863C06" w:rsidRPr="00FE2E33" w:rsidRDefault="00863C06" w:rsidP="00863C06">
      <w:pPr>
        <w:autoSpaceDE w:val="0"/>
        <w:autoSpaceDN w:val="0"/>
        <w:adjustRightInd w:val="0"/>
        <w:spacing w:before="240" w:after="240" w:line="360" w:lineRule="auto"/>
        <w:contextualSpacing/>
        <w:jc w:val="both"/>
        <w:rPr>
          <w:rFonts w:ascii="Arial" w:eastAsiaTheme="minorEastAsia" w:hAnsi="Arial" w:cs="Arial"/>
          <w:color w:val="000000"/>
          <w:sz w:val="22"/>
          <w:szCs w:val="22"/>
          <w:lang w:val="es-ES_tradnl" w:eastAsia="es-ES"/>
        </w:rPr>
      </w:pPr>
    </w:p>
    <w:p w14:paraId="4B39261F" w14:textId="1EE14F1A" w:rsidR="00FC0249"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Arial" w:eastAsiaTheme="minorEastAsia" w:hAnsi="Arial" w:cs="Arial"/>
          <w:color w:val="000000"/>
          <w:sz w:val="22"/>
          <w:szCs w:val="22"/>
          <w:lang w:val="es-ES_tradnl" w:eastAsia="es-ES"/>
        </w:rPr>
      </w:pPr>
      <w:r w:rsidRPr="00FE2E33">
        <w:rPr>
          <w:rFonts w:ascii="Palatino Linotype" w:hAnsi="Palatino Linotype" w:cs="Arial"/>
        </w:rPr>
        <w:t xml:space="preserve">Inconforme con la respuesta, el </w:t>
      </w:r>
      <w:r w:rsidRPr="00FE2E33">
        <w:rPr>
          <w:rFonts w:ascii="Palatino Linotype" w:hAnsi="Palatino Linotype" w:cs="Arial"/>
          <w:b/>
        </w:rPr>
        <w:t>RECURRENTE</w:t>
      </w:r>
      <w:r w:rsidRPr="00FE2E33">
        <w:rPr>
          <w:rFonts w:ascii="Palatino Linotype" w:hAnsi="Palatino Linotype" w:cs="Arial"/>
        </w:rPr>
        <w:t xml:space="preserve"> interpuso el recurso de mérito, en el que manifestó lo siguiente: </w:t>
      </w:r>
      <w:r w:rsidR="00863C06" w:rsidRPr="00FE2E33">
        <w:rPr>
          <w:rFonts w:ascii="Palatino Linotype" w:hAnsi="Palatino Linotype"/>
          <w:i/>
          <w:color w:val="000000" w:themeColor="text1"/>
        </w:rPr>
        <w:t>“</w:t>
      </w:r>
      <w:r w:rsidR="00863C06" w:rsidRPr="00FE2E33">
        <w:rPr>
          <w:rFonts w:ascii="Palatino Linotype" w:hAnsi="Palatino Linotype"/>
          <w:i/>
          <w:color w:val="000000"/>
        </w:rPr>
        <w:t>Solamente me enviaron dos convenios, son el mismo convenio de prestaciones y falta el REGLAMENTO.” (Sic).</w:t>
      </w:r>
    </w:p>
    <w:p w14:paraId="40C0D67E" w14:textId="1D5DD10A"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hAnsi="Palatino Linotype" w:cs="Arial"/>
          <w:lang w:eastAsia="es-MX"/>
        </w:rPr>
        <w:lastRenderedPageBreak/>
        <w:t xml:space="preserve">Posteriormente, el </w:t>
      </w:r>
      <w:r w:rsidRPr="00FE2E33">
        <w:rPr>
          <w:rFonts w:ascii="Palatino Linotype" w:hAnsi="Palatino Linotype" w:cs="Arial"/>
          <w:b/>
          <w:lang w:eastAsia="es-MX"/>
        </w:rPr>
        <w:t xml:space="preserve">SUJETO OBLIGADO </w:t>
      </w:r>
      <w:r w:rsidRPr="00FE2E33">
        <w:rPr>
          <w:rFonts w:ascii="Palatino Linotype" w:hAnsi="Palatino Linotype" w:cs="Arial"/>
        </w:rPr>
        <w:t xml:space="preserve">remitió </w:t>
      </w:r>
      <w:r w:rsidR="00863C06" w:rsidRPr="00FE2E33">
        <w:rPr>
          <w:rFonts w:ascii="Palatino Linotype" w:hAnsi="Palatino Linotype" w:cs="Arial"/>
        </w:rPr>
        <w:t xml:space="preserve">adjunto a su </w:t>
      </w:r>
      <w:r w:rsidRPr="00FE2E33">
        <w:rPr>
          <w:rFonts w:ascii="Palatino Linotype" w:hAnsi="Palatino Linotype" w:cs="Arial"/>
        </w:rPr>
        <w:t>Informe</w:t>
      </w:r>
      <w:r w:rsidRPr="00FE2E33">
        <w:rPr>
          <w:rFonts w:ascii="Palatino Linotype" w:hAnsi="Palatino Linotype" w:cs="Arial"/>
          <w:lang w:eastAsia="es-MX"/>
        </w:rPr>
        <w:t xml:space="preserve"> Justificado, mismo que fue puesto a la vista del hoy</w:t>
      </w:r>
      <w:r w:rsidRPr="00FE2E33">
        <w:rPr>
          <w:rFonts w:ascii="Palatino Linotype" w:hAnsi="Palatino Linotype" w:cs="Arial"/>
          <w:b/>
          <w:lang w:eastAsia="es-MX"/>
        </w:rPr>
        <w:t xml:space="preserve"> RECURRENTE</w:t>
      </w:r>
      <w:r w:rsidR="00863C06" w:rsidRPr="00FE2E33">
        <w:rPr>
          <w:rFonts w:ascii="Palatino Linotype" w:hAnsi="Palatino Linotype" w:cs="Arial"/>
          <w:b/>
          <w:lang w:eastAsia="es-MX"/>
        </w:rPr>
        <w:t xml:space="preserve">, </w:t>
      </w:r>
      <w:r w:rsidRPr="00FE2E33">
        <w:rPr>
          <w:rFonts w:ascii="Palatino Linotype" w:hAnsi="Palatino Linotype" w:cs="Arial"/>
          <w:b/>
          <w:lang w:eastAsia="es-MX"/>
        </w:rPr>
        <w:t xml:space="preserve"> </w:t>
      </w:r>
      <w:r w:rsidR="00863C06" w:rsidRPr="00FE2E33">
        <w:rPr>
          <w:rFonts w:ascii="Palatino Linotype" w:eastAsia="Calibri" w:hAnsi="Palatino Linotype" w:cs="Arial"/>
        </w:rPr>
        <w:t xml:space="preserve">el </w:t>
      </w:r>
      <w:r w:rsidR="00863C06" w:rsidRPr="00FE2E33">
        <w:rPr>
          <w:rFonts w:ascii="Palatino Linotype" w:hAnsi="Palatino Linotype" w:cs="Arial"/>
        </w:rPr>
        <w:t>“</w:t>
      </w:r>
      <w:r w:rsidR="00863C06" w:rsidRPr="00FE2E33">
        <w:rPr>
          <w:rFonts w:ascii="Palatino Linotype" w:hAnsi="Palatino Linotype" w:cs="Arial"/>
          <w:b/>
          <w:i/>
        </w:rPr>
        <w:t>REGLAMENTO DE CONDICIONES GENERALES DE TRABAJO DE LOS SERVIDORES PÚBLICOS DOCENTES DEL SUBSISTEMA EDUCATIVO ESTATAL</w:t>
      </w:r>
      <w:r w:rsidR="00863C06" w:rsidRPr="00FE2E33">
        <w:rPr>
          <w:rFonts w:ascii="Palatino Linotype" w:hAnsi="Palatino Linotype" w:cs="Arial"/>
        </w:rPr>
        <w:t>”, cotejado por el Licenciado Gabriel M. Ezeta Moll, Notario Público número ochenta y dos del Estado de México con Residencia en Toluca, Estado de México, quien expidió copia certificada bajo el número 67, 695 del libro 26 de cotejos de fecha primero (01) de julio de dos mil diecinueve</w:t>
      </w:r>
      <w:r w:rsidR="00514DDF" w:rsidRPr="00FE2E33">
        <w:rPr>
          <w:rFonts w:ascii="Palatino Linotype" w:hAnsi="Palatino Linotype" w:cs="Arial"/>
        </w:rPr>
        <w:t>.</w:t>
      </w:r>
    </w:p>
    <w:p w14:paraId="0A94108E" w14:textId="77777777" w:rsidR="00863C06" w:rsidRPr="00FE2E33" w:rsidRDefault="00863C06" w:rsidP="00FC0249">
      <w:pPr>
        <w:autoSpaceDE w:val="0"/>
        <w:autoSpaceDN w:val="0"/>
        <w:adjustRightInd w:val="0"/>
        <w:spacing w:before="240" w:after="240" w:line="360" w:lineRule="auto"/>
        <w:contextualSpacing/>
        <w:jc w:val="both"/>
        <w:rPr>
          <w:rFonts w:ascii="Palatino Linotype" w:eastAsia="Calibri" w:hAnsi="Palatino Linotype" w:cs="Arial"/>
        </w:rPr>
      </w:pPr>
    </w:p>
    <w:p w14:paraId="226D3522" w14:textId="2BD6CBC4" w:rsidR="00514DDF"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cs="Arial"/>
        </w:rPr>
        <w:t xml:space="preserve">Atento a lo anterior, este Instituto </w:t>
      </w:r>
      <w:r w:rsidRPr="00FE2E33">
        <w:rPr>
          <w:rFonts w:ascii="Palatino Linotype" w:hAnsi="Palatino Linotype"/>
        </w:rPr>
        <w:t xml:space="preserve">precisa que se obvia el análisis de la competencia por parte del </w:t>
      </w:r>
      <w:r w:rsidRPr="00FE2E33">
        <w:rPr>
          <w:rFonts w:ascii="Palatino Linotype" w:hAnsi="Palatino Linotype"/>
          <w:b/>
        </w:rPr>
        <w:t>SUJETO OBLIGADO</w:t>
      </w:r>
      <w:r w:rsidRPr="00FE2E33">
        <w:rPr>
          <w:rFonts w:ascii="Palatino Linotype" w:hAnsi="Palatino Linotype"/>
        </w:rPr>
        <w:t xml:space="preserve">, para generar, administrar o poseer la información solicitada, dado que éste ha asumido la misma, en razón de que en su respuesta </w:t>
      </w:r>
      <w:r w:rsidR="00514DDF" w:rsidRPr="00FE2E33">
        <w:rPr>
          <w:rFonts w:ascii="Palatino Linotype" w:hAnsi="Palatino Linotype"/>
        </w:rPr>
        <w:t xml:space="preserve">proporcionó lo relativo al inciso a) de la solicitud de información, relativo al </w:t>
      </w:r>
      <w:r w:rsidR="00514DDF" w:rsidRPr="00FE2E33">
        <w:rPr>
          <w:rFonts w:ascii="Palatino Linotype" w:hAnsi="Palatino Linotype"/>
          <w:color w:val="000000"/>
        </w:rPr>
        <w:t>Convenio Laboral firmado entre el Sindicato de Maestros al Servicio del Estado de México y el Gobierno del Estado de México del año dos mil veinte.</w:t>
      </w:r>
    </w:p>
    <w:p w14:paraId="6A53F425"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4C86D1FF" w14:textId="77777777"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hAnsi="Palatino Linotype"/>
        </w:rPr>
        <w:t xml:space="preserve">En efecto, el hecho de que </w:t>
      </w:r>
      <w:r w:rsidRPr="00FE2E33">
        <w:rPr>
          <w:rFonts w:ascii="Palatino Linotype" w:hAnsi="Palatino Linotype"/>
          <w:b/>
        </w:rPr>
        <w:t>EL SUJETO OBLIGADO</w:t>
      </w:r>
      <w:r w:rsidRPr="00FE2E3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6B33015F" w14:textId="1EC87C45" w:rsidR="00863C06" w:rsidRPr="00FE2E33" w:rsidRDefault="00863C06" w:rsidP="00863C06">
      <w:pPr>
        <w:pStyle w:val="Prrafodelista"/>
        <w:rPr>
          <w:rFonts w:ascii="Palatino Linotype" w:hAnsi="Palatino Linotype"/>
        </w:rPr>
      </w:pPr>
    </w:p>
    <w:p w14:paraId="2AD0F81C" w14:textId="77777777" w:rsidR="00863C06" w:rsidRPr="00FE2E33" w:rsidRDefault="00863C06" w:rsidP="00863C06">
      <w:pPr>
        <w:pStyle w:val="Prrafodelista"/>
        <w:rPr>
          <w:rFonts w:ascii="Palatino Linotype" w:hAnsi="Palatino Linotype"/>
        </w:rPr>
      </w:pPr>
    </w:p>
    <w:p w14:paraId="2DCB0AE9" w14:textId="30C9EA33" w:rsidR="00863C06" w:rsidRPr="00FE2E33" w:rsidRDefault="00863C06" w:rsidP="00863C06">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r w:rsidRPr="00FE2E33">
        <w:rPr>
          <w:rFonts w:ascii="Palatino Linotype" w:hAnsi="Palatino Linotype" w:cs="Arial"/>
          <w:i/>
          <w:sz w:val="22"/>
          <w:szCs w:val="22"/>
        </w:rPr>
        <w:t>“</w:t>
      </w:r>
      <w:r w:rsidRPr="00FE2E33">
        <w:rPr>
          <w:rFonts w:ascii="Palatino Linotype" w:hAnsi="Palatino Linotype" w:cs="Arial"/>
          <w:b/>
          <w:i/>
          <w:sz w:val="22"/>
          <w:szCs w:val="22"/>
        </w:rPr>
        <w:t>Artículo 12.</w:t>
      </w:r>
      <w:r w:rsidRPr="00FE2E3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D2A6145" w14:textId="77777777" w:rsidR="00514DDF" w:rsidRPr="00FE2E33" w:rsidRDefault="00514DDF" w:rsidP="00863C06">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p>
    <w:p w14:paraId="616E6416" w14:textId="77777777" w:rsidR="00863C06" w:rsidRPr="00FE2E33" w:rsidRDefault="00863C06" w:rsidP="00863C06">
      <w:pPr>
        <w:spacing w:before="100" w:beforeAutospacing="1" w:after="100" w:afterAutospacing="1"/>
        <w:ind w:left="851" w:right="902"/>
        <w:contextualSpacing/>
        <w:jc w:val="both"/>
        <w:rPr>
          <w:rFonts w:ascii="Palatino Linotype" w:hAnsi="Palatino Linotype" w:cs="Arial"/>
          <w:i/>
          <w:sz w:val="22"/>
          <w:szCs w:val="22"/>
        </w:rPr>
      </w:pPr>
      <w:r w:rsidRPr="00FE2E33">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A69E845" w14:textId="77777777" w:rsidR="00863C06" w:rsidRPr="00FE2E33" w:rsidRDefault="00863C06" w:rsidP="00863C06">
      <w:pPr>
        <w:pStyle w:val="Prrafodelista"/>
        <w:rPr>
          <w:rFonts w:ascii="Palatino Linotype" w:hAnsi="Palatino Linotype"/>
        </w:rPr>
      </w:pPr>
    </w:p>
    <w:p w14:paraId="7EF572EE" w14:textId="4C285E2F"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hAnsi="Palatino Linotype"/>
        </w:rPr>
        <w:t xml:space="preserve">Así, el estudio de la naturaleza jurídica de la información pública solicitada, tiene por objeto determinar si ésta la genera, posee o administra </w:t>
      </w:r>
      <w:r w:rsidRPr="00FE2E33">
        <w:rPr>
          <w:rFonts w:ascii="Palatino Linotype" w:hAnsi="Palatino Linotype"/>
          <w:b/>
        </w:rPr>
        <w:t>EL SUJETO OBLIGADO</w:t>
      </w:r>
      <w:r w:rsidRPr="00FE2E33">
        <w:rPr>
          <w:rFonts w:ascii="Palatino Linotype" w:hAnsi="Palatino Linotype"/>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w:t>
      </w:r>
      <w:r w:rsidR="00514DDF" w:rsidRPr="00FE2E33">
        <w:rPr>
          <w:rFonts w:ascii="Palatino Linotype" w:hAnsi="Palatino Linotype"/>
        </w:rPr>
        <w:t>citado.</w:t>
      </w:r>
    </w:p>
    <w:p w14:paraId="24F5140E"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251EFB0B" w14:textId="0EB86184"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hAnsi="Palatino Linotype" w:cs="Arial"/>
        </w:rPr>
        <w:t>Por ello, se procede al análisis de la información entregada tanto en su  respuesta como en su informe justificado, con la finalidad de determinar si se colmó o no el derecho de acceso a la información del particular, lo siguiente:</w:t>
      </w:r>
    </w:p>
    <w:p w14:paraId="56593C73" w14:textId="77777777" w:rsidR="00514DDF" w:rsidRPr="00FE2E33" w:rsidRDefault="00514DDF" w:rsidP="00514DDF">
      <w:pPr>
        <w:pStyle w:val="Prrafodelista"/>
        <w:rPr>
          <w:rFonts w:ascii="Palatino Linotype" w:eastAsia="Calibri" w:hAnsi="Palatino Linotype" w:cs="Arial"/>
        </w:rPr>
      </w:pPr>
    </w:p>
    <w:tbl>
      <w:tblPr>
        <w:tblStyle w:val="Tablaconcuadrcula"/>
        <w:tblW w:w="0" w:type="auto"/>
        <w:tblLook w:val="04A0" w:firstRow="1" w:lastRow="0" w:firstColumn="1" w:lastColumn="0" w:noHBand="0" w:noVBand="1"/>
      </w:tblPr>
      <w:tblGrid>
        <w:gridCol w:w="2207"/>
        <w:gridCol w:w="2828"/>
        <w:gridCol w:w="2684"/>
        <w:gridCol w:w="1109"/>
      </w:tblGrid>
      <w:tr w:rsidR="00514DDF" w:rsidRPr="00FE2E33" w14:paraId="534A8AAB" w14:textId="77777777" w:rsidTr="00514DDF">
        <w:tc>
          <w:tcPr>
            <w:tcW w:w="2207" w:type="dxa"/>
          </w:tcPr>
          <w:p w14:paraId="773E4D3F" w14:textId="3206A3D3"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r w:rsidRPr="00FE2E33">
              <w:rPr>
                <w:rFonts w:ascii="Palatino Linotype" w:eastAsia="Calibri" w:hAnsi="Palatino Linotype" w:cs="Arial"/>
                <w:b/>
                <w:sz w:val="20"/>
                <w:szCs w:val="20"/>
              </w:rPr>
              <w:lastRenderedPageBreak/>
              <w:t>Solicitud de información</w:t>
            </w:r>
          </w:p>
        </w:tc>
        <w:tc>
          <w:tcPr>
            <w:tcW w:w="2828" w:type="dxa"/>
          </w:tcPr>
          <w:p w14:paraId="676A3EFD" w14:textId="77777777"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p>
          <w:p w14:paraId="2C266824" w14:textId="52E2F1FC"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r w:rsidRPr="00FE2E33">
              <w:rPr>
                <w:rFonts w:ascii="Palatino Linotype" w:eastAsia="Calibri" w:hAnsi="Palatino Linotype" w:cs="Arial"/>
                <w:b/>
                <w:sz w:val="20"/>
                <w:szCs w:val="20"/>
              </w:rPr>
              <w:t>Respuesta</w:t>
            </w:r>
          </w:p>
        </w:tc>
        <w:tc>
          <w:tcPr>
            <w:tcW w:w="2684" w:type="dxa"/>
          </w:tcPr>
          <w:p w14:paraId="6DFBAB89" w14:textId="77777777"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p>
          <w:p w14:paraId="58760977" w14:textId="71FF6612"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r w:rsidRPr="00FE2E33">
              <w:rPr>
                <w:rFonts w:ascii="Palatino Linotype" w:eastAsia="Calibri" w:hAnsi="Palatino Linotype" w:cs="Arial"/>
                <w:b/>
                <w:sz w:val="20"/>
                <w:szCs w:val="20"/>
              </w:rPr>
              <w:t>Informe justificado</w:t>
            </w:r>
          </w:p>
        </w:tc>
        <w:tc>
          <w:tcPr>
            <w:tcW w:w="1109" w:type="dxa"/>
          </w:tcPr>
          <w:p w14:paraId="4355F2A5" w14:textId="2FB42860"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r w:rsidRPr="00FE2E33">
              <w:rPr>
                <w:rFonts w:ascii="Palatino Linotype" w:eastAsia="Calibri" w:hAnsi="Palatino Linotype" w:cs="Arial"/>
                <w:b/>
                <w:sz w:val="20"/>
                <w:szCs w:val="20"/>
              </w:rPr>
              <w:t>Colma lo solicitado</w:t>
            </w:r>
          </w:p>
        </w:tc>
      </w:tr>
      <w:tr w:rsidR="00514DDF" w:rsidRPr="00FE2E33" w14:paraId="069CA4F7" w14:textId="77777777" w:rsidTr="00514DDF">
        <w:tc>
          <w:tcPr>
            <w:tcW w:w="2207" w:type="dxa"/>
          </w:tcPr>
          <w:p w14:paraId="03279B8E" w14:textId="77777777" w:rsidR="00514DDF" w:rsidRPr="00FE2E33" w:rsidRDefault="00514DDF" w:rsidP="00514DDF">
            <w:pPr>
              <w:pStyle w:val="Prrafodelista"/>
              <w:spacing w:line="276" w:lineRule="auto"/>
              <w:ind w:left="-24"/>
              <w:jc w:val="both"/>
              <w:rPr>
                <w:rFonts w:ascii="Palatino Linotype" w:hAnsi="Palatino Linotype"/>
                <w:color w:val="000000"/>
                <w:sz w:val="20"/>
                <w:szCs w:val="20"/>
              </w:rPr>
            </w:pPr>
          </w:p>
          <w:p w14:paraId="6DB69D15" w14:textId="0D11E916" w:rsidR="00514DDF" w:rsidRPr="00FE2E33" w:rsidRDefault="00514DDF" w:rsidP="00514DDF">
            <w:pPr>
              <w:pStyle w:val="Prrafodelista"/>
              <w:spacing w:line="276" w:lineRule="auto"/>
              <w:ind w:left="-24"/>
              <w:jc w:val="both"/>
              <w:rPr>
                <w:rFonts w:ascii="Palatino Linotype" w:hAnsi="Palatino Linotype"/>
                <w:b/>
                <w:sz w:val="20"/>
                <w:szCs w:val="20"/>
              </w:rPr>
            </w:pPr>
            <w:r w:rsidRPr="00FE2E33">
              <w:rPr>
                <w:rFonts w:ascii="Palatino Linotype" w:hAnsi="Palatino Linotype"/>
                <w:color w:val="000000"/>
                <w:sz w:val="20"/>
                <w:szCs w:val="20"/>
              </w:rPr>
              <w:t>Convenio Laboral firmado entre el Sindicato de Maestros al Servicio del Estado de México y el Gobierno del Estado de México del año dos mil veinte.</w:t>
            </w:r>
          </w:p>
        </w:tc>
        <w:tc>
          <w:tcPr>
            <w:tcW w:w="2828" w:type="dxa"/>
          </w:tcPr>
          <w:p w14:paraId="11B51C1A" w14:textId="0A3A6C58"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r w:rsidRPr="00FE2E33">
              <w:rPr>
                <w:rFonts w:ascii="Palatino Linotype" w:hAnsi="Palatino Linotype" w:cs="Arial"/>
                <w:b/>
                <w:color w:val="000000" w:themeColor="text1"/>
                <w:sz w:val="20"/>
                <w:szCs w:val="20"/>
                <w:lang w:val="es-MX"/>
              </w:rPr>
              <w:t>Convenio de Sueldos y Prestaciones SMSEM 2020</w:t>
            </w:r>
            <w:r w:rsidRPr="00FE2E33">
              <w:rPr>
                <w:rFonts w:ascii="Palatino Linotype" w:hAnsi="Palatino Linotype" w:cs="Arial"/>
                <w:color w:val="000000" w:themeColor="text1"/>
                <w:sz w:val="20"/>
                <w:szCs w:val="20"/>
                <w:lang w:val="es-MX"/>
              </w:rPr>
              <w:t>, signado y ratificado en fecha seis (06) de agosto de dos mil veinte; celebrado, por una parte el Poder Ejecutivo del Estado de México, por conducto del Titular de la Secretaria de Finanzas, denominado “EL GOBIERNO” y por otra parte, el Sindicato de Maestros al Servicio del Estado de México, representado por el Comité Ejecutivo Estatal, denominado “EL SINDICATO”.</w:t>
            </w:r>
          </w:p>
        </w:tc>
        <w:tc>
          <w:tcPr>
            <w:tcW w:w="2684" w:type="dxa"/>
          </w:tcPr>
          <w:p w14:paraId="6C03D374"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tc>
        <w:tc>
          <w:tcPr>
            <w:tcW w:w="1109" w:type="dxa"/>
          </w:tcPr>
          <w:p w14:paraId="5F2E0E1B"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208C380E"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008A73D6"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11E9DE3C"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04E973EF"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3262D08F"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3E0F4BEC"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1A2999FF"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72DECDB9"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224D1E6F" w14:textId="77777777"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p>
          <w:p w14:paraId="69D40A51" w14:textId="68871C14" w:rsidR="00514DDF" w:rsidRPr="00FE2E33" w:rsidRDefault="00514DDF" w:rsidP="00514DDF">
            <w:pPr>
              <w:autoSpaceDE w:val="0"/>
              <w:autoSpaceDN w:val="0"/>
              <w:adjustRightInd w:val="0"/>
              <w:spacing w:before="240" w:after="240" w:line="276" w:lineRule="auto"/>
              <w:contextualSpacing/>
              <w:jc w:val="center"/>
              <w:rPr>
                <w:rFonts w:ascii="Palatino Linotype" w:eastAsia="Calibri" w:hAnsi="Palatino Linotype" w:cs="Arial"/>
                <w:b/>
                <w:sz w:val="20"/>
                <w:szCs w:val="20"/>
              </w:rPr>
            </w:pPr>
            <w:r w:rsidRPr="00FE2E33">
              <w:rPr>
                <w:rFonts w:ascii="Palatino Linotype" w:eastAsia="Calibri" w:hAnsi="Palatino Linotype" w:cs="Arial"/>
                <w:b/>
                <w:sz w:val="20"/>
                <w:szCs w:val="20"/>
              </w:rPr>
              <w:t>SI</w:t>
            </w:r>
          </w:p>
        </w:tc>
      </w:tr>
      <w:tr w:rsidR="00514DDF" w:rsidRPr="00FE2E33" w14:paraId="03E533DA" w14:textId="77777777" w:rsidTr="00514DDF">
        <w:tc>
          <w:tcPr>
            <w:tcW w:w="2207" w:type="dxa"/>
          </w:tcPr>
          <w:p w14:paraId="42713B8C" w14:textId="1E461538" w:rsidR="00514DDF" w:rsidRPr="00FE2E33" w:rsidRDefault="00514DDF" w:rsidP="00514DDF">
            <w:pPr>
              <w:pStyle w:val="Prrafodelista"/>
              <w:spacing w:line="276" w:lineRule="auto"/>
              <w:ind w:left="-24"/>
              <w:jc w:val="both"/>
              <w:rPr>
                <w:rFonts w:ascii="Palatino Linotype" w:hAnsi="Palatino Linotype"/>
                <w:b/>
                <w:sz w:val="20"/>
                <w:szCs w:val="20"/>
              </w:rPr>
            </w:pPr>
            <w:r w:rsidRPr="00FE2E33">
              <w:rPr>
                <w:rFonts w:ascii="Palatino Linotype" w:hAnsi="Palatino Linotype"/>
                <w:color w:val="000000"/>
                <w:sz w:val="20"/>
                <w:szCs w:val="20"/>
              </w:rPr>
              <w:t>El último Reglamento de las Condiciones Generales de Trabajo entre el Sindicato antes mencionado y el Gobierno del Estado de México.</w:t>
            </w:r>
          </w:p>
        </w:tc>
        <w:tc>
          <w:tcPr>
            <w:tcW w:w="2828" w:type="dxa"/>
          </w:tcPr>
          <w:p w14:paraId="0D063CF5" w14:textId="39B17A06"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r w:rsidRPr="00FE2E33">
              <w:rPr>
                <w:rFonts w:ascii="Palatino Linotype" w:eastAsia="Calibri" w:hAnsi="Palatino Linotype" w:cs="Arial"/>
                <w:sz w:val="20"/>
                <w:szCs w:val="20"/>
              </w:rPr>
              <w:t>No existe pronunciamiento.</w:t>
            </w:r>
          </w:p>
        </w:tc>
        <w:tc>
          <w:tcPr>
            <w:tcW w:w="2684" w:type="dxa"/>
          </w:tcPr>
          <w:p w14:paraId="435D4757" w14:textId="4502D134"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r w:rsidRPr="00FE2E33">
              <w:rPr>
                <w:rFonts w:ascii="Palatino Linotype" w:hAnsi="Palatino Linotype" w:cs="Arial"/>
                <w:sz w:val="20"/>
                <w:szCs w:val="20"/>
              </w:rPr>
              <w:t>“</w:t>
            </w:r>
            <w:r w:rsidRPr="00FE2E33">
              <w:rPr>
                <w:rFonts w:ascii="Palatino Linotype" w:hAnsi="Palatino Linotype" w:cs="Arial"/>
                <w:b/>
                <w:i/>
                <w:sz w:val="20"/>
                <w:szCs w:val="20"/>
              </w:rPr>
              <w:t>REGLAMENTO DE CONDICIONES GENERALES DE TRABAJO DE LOS SERVIDORES PÚBLICOS DOCENTES DEL SUBSISTEMA EDUCATIVO ESTATAL</w:t>
            </w:r>
            <w:r w:rsidRPr="00FE2E33">
              <w:rPr>
                <w:rFonts w:ascii="Palatino Linotype" w:hAnsi="Palatino Linotype" w:cs="Arial"/>
                <w:sz w:val="20"/>
                <w:szCs w:val="20"/>
              </w:rPr>
              <w:t xml:space="preserve">”, cotejado por el Licenciado Gabriel M. Ezeta Moll, Notario Público número ochenta y dos del Estado de México con Residencia en Toluca, Estado de México, </w:t>
            </w:r>
            <w:r w:rsidRPr="00FE2E33">
              <w:rPr>
                <w:rFonts w:ascii="Palatino Linotype" w:hAnsi="Palatino Linotype" w:cs="Arial"/>
                <w:sz w:val="20"/>
                <w:szCs w:val="20"/>
              </w:rPr>
              <w:lastRenderedPageBreak/>
              <w:t>quien expidió copia certificada bajo el número 67, 695 del libro 26 de cotejos de fecha primero (01) de julio de dos mil diecinueve</w:t>
            </w:r>
          </w:p>
        </w:tc>
        <w:tc>
          <w:tcPr>
            <w:tcW w:w="1109" w:type="dxa"/>
          </w:tcPr>
          <w:p w14:paraId="6C86A141" w14:textId="6B02CF31" w:rsidR="00514DDF" w:rsidRPr="00FE2E33" w:rsidRDefault="00514DDF" w:rsidP="00514DDF">
            <w:pPr>
              <w:autoSpaceDE w:val="0"/>
              <w:autoSpaceDN w:val="0"/>
              <w:adjustRightInd w:val="0"/>
              <w:spacing w:before="240" w:after="240" w:line="276" w:lineRule="auto"/>
              <w:contextualSpacing/>
              <w:jc w:val="both"/>
              <w:rPr>
                <w:rFonts w:ascii="Palatino Linotype" w:eastAsia="Calibri" w:hAnsi="Palatino Linotype" w:cs="Arial"/>
                <w:sz w:val="20"/>
                <w:szCs w:val="20"/>
              </w:rPr>
            </w:pPr>
            <w:r w:rsidRPr="00FE2E33">
              <w:rPr>
                <w:rFonts w:ascii="Palatino Linotype" w:eastAsia="Calibri" w:hAnsi="Palatino Linotype" w:cs="Arial"/>
                <w:sz w:val="20"/>
                <w:szCs w:val="20"/>
              </w:rPr>
              <w:lastRenderedPageBreak/>
              <w:t>SI</w:t>
            </w:r>
          </w:p>
        </w:tc>
      </w:tr>
    </w:tbl>
    <w:p w14:paraId="217617E1"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7627C214" w14:textId="3870EF7B"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MS Mincho" w:hAnsi="Palatino Linotype"/>
        </w:rPr>
        <w:t xml:space="preserve">Por todo lo anterior, se </w:t>
      </w:r>
      <w:r w:rsidRPr="00FE2E33">
        <w:rPr>
          <w:rFonts w:ascii="Palatino Linotype" w:hAnsi="Palatino Linotype"/>
        </w:rPr>
        <w:t xml:space="preserve">advierte que la información remitida mediante informe justificado, complementa la respuesta otorgada en un primer momento, ya que se remitió lo solicitado por el hoy </w:t>
      </w:r>
      <w:r w:rsidRPr="00FE2E33">
        <w:rPr>
          <w:rFonts w:ascii="Palatino Linotype" w:hAnsi="Palatino Linotype"/>
          <w:b/>
        </w:rPr>
        <w:t>RECURRENTE</w:t>
      </w:r>
      <w:r w:rsidRPr="00FE2E33">
        <w:rPr>
          <w:rFonts w:ascii="Palatino Linotype" w:hAnsi="Palatino Linotype"/>
          <w:color w:val="000000"/>
        </w:rPr>
        <w:t xml:space="preserve">; </w:t>
      </w:r>
      <w:r w:rsidRPr="00FE2E33">
        <w:rPr>
          <w:rFonts w:ascii="Palatino Linotype" w:hAnsi="Palatino Linotype"/>
        </w:rPr>
        <w:t xml:space="preserve">aunado a ello, cabe precisar que este Órgano Garante no está facultado para pronunciarse sobre la veracidad de la información que los </w:t>
      </w:r>
      <w:r w:rsidRPr="00FE2E33">
        <w:rPr>
          <w:rFonts w:ascii="Palatino Linotype" w:hAnsi="Palatino Linotype"/>
          <w:b/>
          <w:bCs/>
        </w:rPr>
        <w:t xml:space="preserve">Sujetos Obligados </w:t>
      </w:r>
      <w:r w:rsidRPr="00FE2E33">
        <w:rPr>
          <w:rFonts w:ascii="Palatino Linotype" w:hAnsi="Palatino Linotype"/>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5FA00425"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00B35892" w14:textId="14ED659C"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Por lo que hace a las causas de sobreseimiento contenidas en la fracción III del artículo 192 de la </w:t>
      </w:r>
      <w:r w:rsidRPr="00FE2E33">
        <w:rPr>
          <w:rFonts w:ascii="Palatino Linotype" w:eastAsia="Calibri" w:hAnsi="Palatino Linotype"/>
          <w:b/>
        </w:rPr>
        <w:t>Ley de Transparencia y Acceso a la Información Pública del Estado de México y Municipios</w:t>
      </w:r>
      <w:r w:rsidRPr="00FE2E33">
        <w:rPr>
          <w:rFonts w:ascii="Palatino Linotype" w:eastAsia="Calibri" w:hAnsi="Palatino Linotype"/>
        </w:rPr>
        <w:t xml:space="preserve">, es oportuno señalar que estos requisitos privilegian la existencia de elementos de fondo, tales como el desistimiento o fallecimiento del </w:t>
      </w:r>
      <w:r w:rsidRPr="00FE2E33">
        <w:rPr>
          <w:rFonts w:ascii="Palatino Linotype" w:eastAsia="Calibri" w:hAnsi="Palatino Linotype"/>
          <w:b/>
        </w:rPr>
        <w:t>RECURRENTE</w:t>
      </w:r>
      <w:r w:rsidRPr="00FE2E33">
        <w:rPr>
          <w:rFonts w:ascii="Palatino Linotype" w:eastAsia="Calibri" w:hAnsi="Palatino Linotype"/>
        </w:rPr>
        <w:t xml:space="preserve"> o que el </w:t>
      </w:r>
      <w:r w:rsidRPr="00FE2E33">
        <w:rPr>
          <w:rFonts w:ascii="Palatino Linotype" w:eastAsia="Calibri" w:hAnsi="Palatino Linotype"/>
          <w:b/>
        </w:rPr>
        <w:t>Sujeto Obligado</w:t>
      </w:r>
      <w:r w:rsidRPr="00FE2E33">
        <w:rPr>
          <w:rFonts w:ascii="Palatino Linotype" w:eastAsia="Calibri" w:hAnsi="Palatino Linotype"/>
        </w:rPr>
        <w:t xml:space="preserve"> </w:t>
      </w:r>
      <w:r w:rsidRPr="00FE2E33">
        <w:rPr>
          <w:rFonts w:ascii="Palatino Linotype" w:eastAsia="Calibri" w:hAnsi="Palatino Linotype"/>
          <w:b/>
          <w:u w:val="single"/>
        </w:rPr>
        <w:t>modifique o revoque el acto</w:t>
      </w:r>
      <w:r w:rsidRPr="00FE2E33">
        <w:rPr>
          <w:rFonts w:ascii="Palatino Linotype" w:eastAsia="Calibri" w:hAnsi="Palatino Linotype"/>
        </w:rPr>
        <w:t xml:space="preserve">; de ahí que la actualización de alguno de éstos trae como consecuencia que el </w:t>
      </w:r>
      <w:r w:rsidRPr="00FE2E33">
        <w:rPr>
          <w:rFonts w:ascii="Palatino Linotype" w:eastAsia="Calibri" w:hAnsi="Palatino Linotype"/>
        </w:rPr>
        <w:lastRenderedPageBreak/>
        <w:t>medio de impugnación se concluya sin que se analice el objeto de estudio planteado, es decir se sobresea.</w:t>
      </w:r>
    </w:p>
    <w:p w14:paraId="725FC0F3" w14:textId="777777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560D2DD2" w14:textId="52A3A37C"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FE2E33">
        <w:rPr>
          <w:rFonts w:ascii="Palatino Linotype" w:eastAsia="Calibri" w:hAnsi="Palatino Linotype"/>
          <w:b/>
        </w:rPr>
        <w:t>Sujeto Obligado</w:t>
      </w:r>
      <w:r w:rsidRPr="00FE2E33">
        <w:rPr>
          <w:rFonts w:ascii="Palatino Linotype" w:eastAsia="Calibri" w:hAnsi="Palatino Linotype"/>
        </w:rPr>
        <w:t>:</w:t>
      </w:r>
    </w:p>
    <w:p w14:paraId="3F46D27F" w14:textId="77777777" w:rsidR="00863C06" w:rsidRPr="00FE2E33" w:rsidRDefault="00863C06" w:rsidP="00863C06">
      <w:pPr>
        <w:pStyle w:val="Prrafodelista"/>
        <w:spacing w:line="360" w:lineRule="auto"/>
        <w:ind w:left="0"/>
        <w:jc w:val="both"/>
        <w:rPr>
          <w:rFonts w:ascii="Palatino Linotype" w:eastAsia="Calibri" w:hAnsi="Palatino Linotype" w:cs="Times New Roman"/>
          <w:lang w:val="es-ES"/>
        </w:rPr>
      </w:pPr>
    </w:p>
    <w:p w14:paraId="1B06205D" w14:textId="77777777" w:rsidR="00863C06" w:rsidRPr="00FE2E33" w:rsidRDefault="00863C06" w:rsidP="003618D7">
      <w:pPr>
        <w:numPr>
          <w:ilvl w:val="0"/>
          <w:numId w:val="4"/>
        </w:numPr>
        <w:spacing w:line="360" w:lineRule="auto"/>
        <w:ind w:left="567" w:right="616" w:firstLine="0"/>
        <w:contextualSpacing/>
        <w:jc w:val="both"/>
        <w:rPr>
          <w:rFonts w:ascii="Palatino Linotype" w:hAnsi="Palatino Linotype" w:cs="Arial"/>
        </w:rPr>
      </w:pPr>
      <w:r w:rsidRPr="00FE2E33">
        <w:rPr>
          <w:rFonts w:ascii="Palatino Linotype" w:hAnsi="Palatino Linotype" w:cs="Arial"/>
          <w:b/>
        </w:rPr>
        <w:t>Modifique el acto impugnado:</w:t>
      </w:r>
      <w:r w:rsidRPr="00FE2E33">
        <w:rPr>
          <w:rFonts w:ascii="Palatino Linotype" w:hAnsi="Palatino Linotype" w:cs="Arial"/>
        </w:rPr>
        <w:t xml:space="preserve"> Se actualiza cuando el </w:t>
      </w:r>
      <w:r w:rsidRPr="00FE2E33">
        <w:rPr>
          <w:rFonts w:ascii="Palatino Linotype" w:hAnsi="Palatino Linotype" w:cs="Arial"/>
          <w:b/>
        </w:rPr>
        <w:t>Sujeto Obligado</w:t>
      </w:r>
      <w:r w:rsidRPr="00FE2E3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5145B89" w14:textId="77777777" w:rsidR="00863C06" w:rsidRPr="00FE2E33" w:rsidRDefault="00863C06" w:rsidP="00863C06">
      <w:pPr>
        <w:spacing w:line="360" w:lineRule="auto"/>
        <w:ind w:left="1068" w:right="616"/>
        <w:contextualSpacing/>
        <w:jc w:val="both"/>
        <w:rPr>
          <w:rFonts w:ascii="Palatino Linotype" w:hAnsi="Palatino Linotype" w:cs="Arial"/>
        </w:rPr>
      </w:pPr>
    </w:p>
    <w:p w14:paraId="0908891D" w14:textId="77777777" w:rsidR="00863C06" w:rsidRPr="00FE2E33" w:rsidRDefault="00863C06" w:rsidP="003618D7">
      <w:pPr>
        <w:numPr>
          <w:ilvl w:val="0"/>
          <w:numId w:val="4"/>
        </w:numPr>
        <w:spacing w:line="360" w:lineRule="auto"/>
        <w:ind w:left="567" w:right="616" w:firstLine="0"/>
        <w:contextualSpacing/>
        <w:jc w:val="both"/>
        <w:rPr>
          <w:rFonts w:ascii="Palatino Linotype" w:hAnsi="Palatino Linotype" w:cs="Arial"/>
        </w:rPr>
      </w:pPr>
      <w:r w:rsidRPr="00FE2E33">
        <w:rPr>
          <w:rFonts w:ascii="Palatino Linotype" w:hAnsi="Palatino Linotype" w:cs="Arial"/>
          <w:b/>
        </w:rPr>
        <w:t>Revoque el acto impugnado:</w:t>
      </w:r>
      <w:r w:rsidRPr="00FE2E33">
        <w:rPr>
          <w:rFonts w:ascii="Palatino Linotype" w:hAnsi="Palatino Linotype" w:cs="Arial"/>
        </w:rPr>
        <w:t xml:space="preserve"> En este supuesto, el </w:t>
      </w:r>
      <w:r w:rsidRPr="00FE2E33">
        <w:rPr>
          <w:rFonts w:ascii="Palatino Linotype" w:hAnsi="Palatino Linotype" w:cs="Arial"/>
          <w:b/>
        </w:rPr>
        <w:t>Sujeto Obligado</w:t>
      </w:r>
      <w:r w:rsidRPr="00FE2E33">
        <w:rPr>
          <w:rFonts w:ascii="Palatino Linotype" w:hAnsi="Palatino Linotype" w:cs="Arial"/>
        </w:rPr>
        <w:t xml:space="preserve"> deja sin efectos la primera respuesta y en su lugar emite otra que satisfaga lo solicitado por el particular en un primer momento.</w:t>
      </w:r>
    </w:p>
    <w:p w14:paraId="6942B5D6" w14:textId="777777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3AC9399F" w14:textId="77777777"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23E7BED" w14:textId="4874CC11"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lastRenderedPageBreak/>
        <w:t xml:space="preserve">En el presente asunto, este Pleno advierte que el </w:t>
      </w:r>
      <w:r w:rsidRPr="00FE2E33">
        <w:rPr>
          <w:rFonts w:ascii="Palatino Linotype" w:eastAsia="Calibri" w:hAnsi="Palatino Linotype"/>
          <w:b/>
        </w:rPr>
        <w:t>Sujeto Obligado</w:t>
      </w:r>
      <w:r w:rsidRPr="00FE2E33">
        <w:rPr>
          <w:rFonts w:ascii="Palatino Linotype" w:eastAsia="Calibri" w:hAnsi="Palatino Linotype"/>
        </w:rPr>
        <w:t xml:space="preserve"> con la información enviada a través del informe de justificación, </w:t>
      </w:r>
      <w:r w:rsidRPr="00FE2E33">
        <w:rPr>
          <w:rFonts w:ascii="Palatino Linotype" w:eastAsia="Calibri" w:hAnsi="Palatino Linotype"/>
          <w:b/>
        </w:rPr>
        <w:t>modificó</w:t>
      </w:r>
      <w:r w:rsidRPr="00FE2E33">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p>
    <w:p w14:paraId="43C58BFB"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7EF8CBA5" w14:textId="0C97F3EE"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lang w:val="es-ES"/>
        </w:rPr>
        <w:t xml:space="preserve"> </w:t>
      </w:r>
      <w:r w:rsidRPr="00FE2E33">
        <w:rPr>
          <w:rFonts w:ascii="Palatino Linotype" w:eastAsia="Calibri" w:hAnsi="Palatino Linotype"/>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E2E33">
        <w:rPr>
          <w:rFonts w:ascii="Palatino Linotype" w:eastAsia="Calibri" w:hAnsi="Palatino Linotype"/>
          <w:b/>
        </w:rPr>
        <w:t>Sujetos Obligados</w:t>
      </w:r>
      <w:r w:rsidRPr="00FE2E33">
        <w:rPr>
          <w:rFonts w:ascii="Palatino Linotype" w:eastAsia="Calibri" w:hAnsi="Palatino Linotype"/>
        </w:rPr>
        <w:t xml:space="preserve"> o la negativa de entrega de la misma, derivada de la solicitud de información pública.</w:t>
      </w:r>
    </w:p>
    <w:p w14:paraId="3C759979"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345BAFC9" w14:textId="7FF2F409"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De este modo, cuando el </w:t>
      </w:r>
      <w:r w:rsidRPr="00FE2E33">
        <w:rPr>
          <w:rFonts w:ascii="Palatino Linotype" w:eastAsia="Calibri" w:hAnsi="Palatino Linotype"/>
          <w:b/>
        </w:rPr>
        <w:t>Sujeto Obligado</w:t>
      </w:r>
      <w:r w:rsidRPr="00FE2E33">
        <w:rPr>
          <w:rFonts w:ascii="Palatino Linotype" w:eastAsia="Calibri" w:hAnsi="Palatino Linotype"/>
        </w:rPr>
        <w:t>,</w:t>
      </w:r>
      <w:r w:rsidRPr="00FE2E33">
        <w:rPr>
          <w:rFonts w:ascii="Palatino Linotype" w:eastAsia="Calibri" w:hAnsi="Palatino Linotype"/>
          <w:b/>
        </w:rPr>
        <w:t xml:space="preserve"> </w:t>
      </w:r>
      <w:r w:rsidRPr="00FE2E33">
        <w:rPr>
          <w:rFonts w:ascii="Palatino Linotype" w:eastAsia="Calibri" w:hAnsi="Palatino Linotype"/>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26890544" w14:textId="77777777" w:rsidR="00514DDF" w:rsidRPr="00FE2E33" w:rsidRDefault="00514DDF" w:rsidP="00514DDF">
      <w:pPr>
        <w:autoSpaceDE w:val="0"/>
        <w:autoSpaceDN w:val="0"/>
        <w:adjustRightInd w:val="0"/>
        <w:spacing w:before="240" w:after="240" w:line="360" w:lineRule="auto"/>
        <w:contextualSpacing/>
        <w:jc w:val="both"/>
        <w:rPr>
          <w:rFonts w:ascii="Palatino Linotype" w:eastAsia="Calibri" w:hAnsi="Palatino Linotype" w:cs="Arial"/>
        </w:rPr>
      </w:pPr>
    </w:p>
    <w:p w14:paraId="7D39D63C" w14:textId="3E94CAEA"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Sirve de sustento a lo anterior la siguiente jurisprudencia por contradicción, cuyo rubro, texto y datos de identificación son los siguientes:</w:t>
      </w:r>
    </w:p>
    <w:p w14:paraId="4C48224B" w14:textId="77777777" w:rsidR="00863C06" w:rsidRPr="00FE2E33" w:rsidRDefault="00863C06" w:rsidP="00863C06">
      <w:pPr>
        <w:pStyle w:val="Prrafodelista"/>
        <w:spacing w:line="276" w:lineRule="auto"/>
        <w:ind w:left="567" w:right="616"/>
        <w:jc w:val="both"/>
        <w:rPr>
          <w:rFonts w:ascii="Palatino Linotype" w:eastAsia="Calibri" w:hAnsi="Palatino Linotype" w:cs="Times New Roman"/>
          <w:i/>
        </w:rPr>
      </w:pPr>
      <w:r w:rsidRPr="00FE2E33">
        <w:rPr>
          <w:rFonts w:ascii="Palatino Linotype" w:eastAsia="Calibri" w:hAnsi="Palatino Linotype" w:cs="Times New Roman"/>
          <w:b/>
          <w:i/>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E2E33">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B04A55A" w14:textId="777777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4EC3454C" w14:textId="4F8CA346"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La anterior jurisprudencia resulta aplicable al presente asunto, en dos aspectos:</w:t>
      </w:r>
    </w:p>
    <w:p w14:paraId="66DDC933" w14:textId="77777777" w:rsidR="00863C06" w:rsidRPr="00FE2E33" w:rsidRDefault="00863C06" w:rsidP="003618D7">
      <w:pPr>
        <w:pStyle w:val="Prrafodelista"/>
        <w:numPr>
          <w:ilvl w:val="0"/>
          <w:numId w:val="5"/>
        </w:numPr>
        <w:spacing w:line="360" w:lineRule="auto"/>
        <w:ind w:left="567" w:right="616" w:firstLine="0"/>
        <w:jc w:val="both"/>
        <w:rPr>
          <w:rFonts w:ascii="Palatino Linotype" w:eastAsia="Calibri" w:hAnsi="Palatino Linotype" w:cs="Times New Roman"/>
          <w:i/>
          <w:iCs/>
        </w:rPr>
      </w:pPr>
      <w:r w:rsidRPr="00FE2E33">
        <w:rPr>
          <w:rFonts w:ascii="Palatino Linotype" w:eastAsia="Calibri" w:hAnsi="Palatino Linotype" w:cs="Times New Roman"/>
          <w:b/>
          <w:i/>
          <w:iCs/>
        </w:rPr>
        <w:lastRenderedPageBreak/>
        <w:t>La cesación de los efectos perniciosos del acto de autoridad:</w:t>
      </w:r>
      <w:r w:rsidRPr="00FE2E33">
        <w:rPr>
          <w:rFonts w:ascii="Palatino Linotype" w:eastAsia="Calibri" w:hAnsi="Palatino Linotype" w:cs="Times New Roman"/>
          <w:i/>
          <w:iCs/>
        </w:rPr>
        <w:t xml:space="preserve"> Al respecto, la Ley de Transparencia contempla la figura jurídica del sobreseimiento cuando el </w:t>
      </w:r>
      <w:r w:rsidRPr="00FE2E33">
        <w:rPr>
          <w:rFonts w:ascii="Palatino Linotype" w:eastAsia="Calibri" w:hAnsi="Palatino Linotype" w:cs="Times New Roman"/>
          <w:b/>
          <w:i/>
          <w:iCs/>
        </w:rPr>
        <w:t>SUJETO OBLIGADO</w:t>
      </w:r>
      <w:r w:rsidRPr="00FE2E33">
        <w:rPr>
          <w:rFonts w:ascii="Palatino Linotype" w:eastAsia="Calibri" w:hAnsi="Palatino Linotype" w:cs="Times New Roman"/>
          <w:i/>
          <w:iCs/>
        </w:rPr>
        <w:t xml:space="preserve"> de motu proprio modifica o revoca de tal manera el acto motivo de la impugnación que lo deja sin materia; es decir, cesan los efectos de éste y el derecho de acceso a la información pública se encuentra satisfecho.</w:t>
      </w:r>
    </w:p>
    <w:p w14:paraId="657CA2FC" w14:textId="77777777" w:rsidR="00863C06" w:rsidRPr="00FE2E33" w:rsidRDefault="00863C06" w:rsidP="00863C06">
      <w:pPr>
        <w:pStyle w:val="Prrafodelista"/>
        <w:spacing w:line="360" w:lineRule="auto"/>
        <w:ind w:left="567" w:right="616"/>
        <w:rPr>
          <w:rFonts w:ascii="Palatino Linotype" w:eastAsia="Calibri" w:hAnsi="Palatino Linotype" w:cs="Times New Roman"/>
          <w:i/>
          <w:iCs/>
        </w:rPr>
      </w:pPr>
    </w:p>
    <w:p w14:paraId="11723EBE" w14:textId="728F9840" w:rsidR="00863C06" w:rsidRPr="00FE2E33" w:rsidRDefault="00863C06" w:rsidP="003618D7">
      <w:pPr>
        <w:pStyle w:val="Prrafodelista"/>
        <w:numPr>
          <w:ilvl w:val="0"/>
          <w:numId w:val="5"/>
        </w:numPr>
        <w:spacing w:line="360" w:lineRule="auto"/>
        <w:ind w:left="567" w:right="616" w:firstLine="0"/>
        <w:jc w:val="both"/>
        <w:rPr>
          <w:rFonts w:ascii="Palatino Linotype" w:eastAsia="Calibri" w:hAnsi="Palatino Linotype" w:cs="Times New Roman"/>
          <w:i/>
          <w:iCs/>
        </w:rPr>
      </w:pPr>
      <w:r w:rsidRPr="00FE2E33">
        <w:rPr>
          <w:rFonts w:ascii="Palatino Linotype" w:eastAsia="Calibri" w:hAnsi="Palatino Linotype" w:cs="Times New Roman"/>
          <w:b/>
          <w:i/>
          <w:iCs/>
        </w:rPr>
        <w:t>El momento procesal para modificar el acto impugnado:</w:t>
      </w:r>
      <w:r w:rsidRPr="00FE2E33">
        <w:rPr>
          <w:rFonts w:ascii="Palatino Linotype" w:eastAsia="Calibri" w:hAnsi="Palatino Linotype" w:cs="Times New Roman"/>
          <w:i/>
          <w:iCs/>
        </w:rPr>
        <w:t xml:space="preserve"> Para que se actualice el sobreseimiento de un recurso de revisión, el </w:t>
      </w:r>
      <w:r w:rsidRPr="00FE2E33">
        <w:rPr>
          <w:rFonts w:ascii="Palatino Linotype" w:eastAsia="Calibri" w:hAnsi="Palatino Linotype" w:cs="Times New Roman"/>
          <w:b/>
          <w:i/>
          <w:iCs/>
        </w:rPr>
        <w:t>SUJETO OBLIGADO</w:t>
      </w:r>
      <w:r w:rsidRPr="00FE2E33">
        <w:rPr>
          <w:rFonts w:ascii="Palatino Linotype" w:eastAsia="Calibri" w:hAnsi="Palatino Linotype" w:cs="Times New Roman"/>
          <w:i/>
          <w:iCs/>
        </w:rPr>
        <w:t xml:space="preserve"> puede entregar o completar la información al momento de rendir su informe de justificación o </w:t>
      </w:r>
      <w:r w:rsidRPr="00FE2E33">
        <w:rPr>
          <w:rFonts w:ascii="Palatino Linotype" w:eastAsia="Calibri" w:hAnsi="Palatino Linotype" w:cs="Times New Roman"/>
          <w:b/>
          <w:i/>
          <w:iCs/>
          <w:u w:val="single"/>
        </w:rPr>
        <w:t>posteriormente</w:t>
      </w:r>
      <w:r w:rsidRPr="00FE2E33">
        <w:rPr>
          <w:rFonts w:ascii="Palatino Linotype" w:eastAsia="Calibri" w:hAnsi="Palatino Linotype" w:cs="Times New Roman"/>
          <w:i/>
          <w:iCs/>
        </w:rPr>
        <w:t xml:space="preserve"> a éste, siempre y cuando el Pleno del Instituto no haya dictado resolución definitiva.</w:t>
      </w:r>
    </w:p>
    <w:p w14:paraId="78CFBF9C" w14:textId="54F6B137"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Además, de acuerdo con el procesalista Niceto Alcalá-Zamora y Castillo en su obra </w:t>
      </w:r>
      <w:r w:rsidRPr="00FE2E33">
        <w:rPr>
          <w:rFonts w:ascii="Palatino Linotype" w:eastAsia="Calibri" w:hAnsi="Palatino Linotype"/>
          <w:i/>
        </w:rPr>
        <w:t>“Cuestiones de Terminología Procesal”</w:t>
      </w:r>
      <w:r w:rsidRPr="00FE2E33">
        <w:rPr>
          <w:rFonts w:ascii="Palatino Linotype" w:eastAsia="Calibri" w:hAnsi="Palatino Linotype"/>
        </w:rPr>
        <w:t xml:space="preserve">, el sobreseimiento es </w:t>
      </w:r>
      <w:r w:rsidRPr="00FE2E33">
        <w:rPr>
          <w:rFonts w:ascii="Palatino Linotype" w:eastAsia="Calibri" w:hAnsi="Palatino Linotype"/>
          <w:i/>
        </w:rPr>
        <w:t>“... una resolución en forma de auto, que produce la suspensión indefinida del procedimiento penal, o que pone fin al proceso, impidiendo en ambos casos, mientras subsista, la apertura del plenario o que en él se pronuncie sentencia...”.</w:t>
      </w:r>
    </w:p>
    <w:p w14:paraId="16F97A67" w14:textId="777777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2195C63F" w14:textId="77777777"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Eduardo Pallares, en su artículo </w:t>
      </w:r>
      <w:r w:rsidRPr="00FE2E33">
        <w:rPr>
          <w:rFonts w:ascii="Palatino Linotype" w:eastAsia="Calibri" w:hAnsi="Palatino Linotype"/>
          <w:i/>
        </w:rPr>
        <w:t>“La caducidad y el sobreseimiento en el amparo”</w:t>
      </w:r>
      <w:r w:rsidRPr="00FE2E33">
        <w:rPr>
          <w:rFonts w:ascii="Palatino Linotype" w:eastAsia="Calibri" w:hAnsi="Palatino Linotype"/>
        </w:rPr>
        <w:t xml:space="preserve">, cita la definición de Aguilera Paz, aduciendo que se </w:t>
      </w:r>
      <w:r w:rsidRPr="00FE2E33">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FE2E33">
        <w:rPr>
          <w:rFonts w:ascii="Palatino Linotype" w:eastAsia="Calibri" w:hAnsi="Palatino Linotype"/>
        </w:rPr>
        <w:t xml:space="preserve">. Asimismo, señala que existe el sobreseimiento provisional y el </w:t>
      </w:r>
      <w:r w:rsidRPr="00FE2E33">
        <w:rPr>
          <w:rFonts w:ascii="Palatino Linotype" w:eastAsia="Calibri" w:hAnsi="Palatino Linotype"/>
        </w:rPr>
        <w:lastRenderedPageBreak/>
        <w:t>definitivo</w:t>
      </w:r>
      <w:r w:rsidRPr="00FE2E33">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14:paraId="09E32ADE" w14:textId="77777777" w:rsidR="00863C06" w:rsidRPr="00FE2E33" w:rsidRDefault="00863C06" w:rsidP="00863C06">
      <w:pPr>
        <w:pStyle w:val="Prrafodelista"/>
        <w:rPr>
          <w:rFonts w:ascii="Palatino Linotype" w:eastAsia="Calibri" w:hAnsi="Palatino Linotype"/>
        </w:rPr>
      </w:pPr>
    </w:p>
    <w:p w14:paraId="6E067DED" w14:textId="565905C8"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Cabe señalar, que como se refirió en párrafos anteriores, </w:t>
      </w:r>
      <w:r w:rsidRPr="00FE2E33">
        <w:rPr>
          <w:rFonts w:ascii="Palatino Linotype" w:eastAsia="Calibri" w:hAnsi="Palatino Linotype"/>
          <w:b/>
        </w:rPr>
        <w:t>este Órgano Garante no está facultado para pronunciarse sobre la veracidad de la información</w:t>
      </w:r>
      <w:r w:rsidRPr="00FE2E33">
        <w:rPr>
          <w:rFonts w:ascii="Palatino Linotype" w:eastAsia="Calibri" w:hAnsi="Palatino Linotype"/>
        </w:rPr>
        <w:t xml:space="preserve"> que los </w:t>
      </w:r>
      <w:r w:rsidRPr="00FE2E33">
        <w:rPr>
          <w:rFonts w:ascii="Palatino Linotype" w:eastAsia="Calibri" w:hAnsi="Palatino Linotype"/>
          <w:b/>
        </w:rPr>
        <w:t>Sujetos Obligados</w:t>
      </w:r>
      <w:r w:rsidRPr="00FE2E33">
        <w:rPr>
          <w:rFonts w:ascii="Palatino Linotype" w:eastAsia="Calibri" w:hAnsi="Palatino Linotype"/>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0A19DE2B" w14:textId="77777777" w:rsidR="00863C06" w:rsidRPr="00FE2E33" w:rsidRDefault="00863C06" w:rsidP="00863C06">
      <w:pPr>
        <w:pStyle w:val="Prrafodelista"/>
        <w:spacing w:line="276" w:lineRule="auto"/>
        <w:ind w:left="567" w:right="616"/>
        <w:jc w:val="both"/>
        <w:rPr>
          <w:rFonts w:ascii="Palatino Linotype" w:eastAsia="Calibri" w:hAnsi="Palatino Linotype" w:cs="Times New Roman"/>
          <w:iCs/>
        </w:rPr>
      </w:pPr>
      <w:r w:rsidRPr="00FE2E33">
        <w:rPr>
          <w:rFonts w:ascii="Palatino Linotype" w:eastAsia="Calibri" w:hAnsi="Palatino Linotype" w:cs="Times New Roman"/>
          <w:b/>
          <w:i/>
        </w:rPr>
        <w:t>EL INSTITUTO FEDERAL DE ACCESO A LA INFORMACIÓN Y PROTECCIÓN DE DATOS NO CUENTA CON FACULTADES PARA PRONUNCIARSE RESPECTO DE LA VERACIDAD DE LOS DOCUMENTOS PROPORCIONADOS POR LOS SUJETOS OBLIGADOS.</w:t>
      </w:r>
      <w:r w:rsidRPr="00FE2E33">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w:t>
      </w:r>
      <w:r w:rsidRPr="00FE2E33">
        <w:rPr>
          <w:rFonts w:ascii="Palatino Linotype" w:eastAsia="Calibri" w:hAnsi="Palatino Linotype" w:cs="Times New Roman"/>
          <w:i/>
        </w:rPr>
        <w:lastRenderedPageBreak/>
        <w:t>una causal que permita al Instituto Federal de Acceso a la Información y Protección de Datos conocer, vía recurso revisión, al respecto</w:t>
      </w:r>
      <w:r w:rsidRPr="00FE2E33">
        <w:rPr>
          <w:rFonts w:ascii="Palatino Linotype" w:eastAsia="Calibri" w:hAnsi="Palatino Linotype" w:cs="Times New Roman"/>
          <w:iCs/>
        </w:rPr>
        <w:t>.</w:t>
      </w:r>
    </w:p>
    <w:p w14:paraId="1FA04621" w14:textId="77777777" w:rsidR="00863C06" w:rsidRPr="00FE2E33" w:rsidRDefault="00863C06" w:rsidP="00863C06">
      <w:pPr>
        <w:pStyle w:val="Prrafodelista"/>
        <w:rPr>
          <w:rFonts w:ascii="Palatino Linotype" w:eastAsia="Calibri" w:hAnsi="Palatino Linotype"/>
        </w:rPr>
      </w:pPr>
    </w:p>
    <w:p w14:paraId="65B9E7DC" w14:textId="2800C348"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Asimismo, el artículo 4 de la </w:t>
      </w:r>
      <w:r w:rsidRPr="00FE2E33">
        <w:rPr>
          <w:rFonts w:ascii="Palatino Linotype" w:eastAsia="Calibri" w:hAnsi="Palatino Linotype"/>
          <w:b/>
        </w:rPr>
        <w:t>Ley de Transparencia y Acceso a la Información Pública del Estado de México y Municipios</w:t>
      </w:r>
      <w:r w:rsidRPr="00FE2E33">
        <w:rPr>
          <w:rFonts w:ascii="Palatino Linotype" w:eastAsia="Calibri" w:hAnsi="Palatino Linotype"/>
        </w:rPr>
        <w:t xml:space="preserve"> establece que la información pública generada, administrada o en posesión de los </w:t>
      </w:r>
      <w:r w:rsidRPr="00FE2E33">
        <w:rPr>
          <w:rFonts w:ascii="Palatino Linotype" w:eastAsia="Calibri" w:hAnsi="Palatino Linotype"/>
          <w:b/>
        </w:rPr>
        <w:t>Sujetos Obligados</w:t>
      </w:r>
      <w:r w:rsidRPr="00FE2E33">
        <w:rPr>
          <w:rFonts w:ascii="Palatino Linotype" w:eastAsia="Calibri" w:hAnsi="Palatino Linotype"/>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0506B43" w14:textId="682FB5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0951850E" w14:textId="6D394B6C" w:rsidR="00863C06" w:rsidRPr="00FE2E33" w:rsidRDefault="00863C06" w:rsidP="00514DDF">
      <w:pPr>
        <w:pStyle w:val="Prrafodelista"/>
        <w:spacing w:line="276" w:lineRule="auto"/>
        <w:ind w:left="567" w:right="567"/>
        <w:jc w:val="both"/>
        <w:rPr>
          <w:rFonts w:ascii="Palatino Linotype" w:eastAsia="Calibri" w:hAnsi="Palatino Linotype" w:cs="Times New Roman"/>
          <w:i/>
        </w:rPr>
      </w:pPr>
      <w:r w:rsidRPr="00FE2E33">
        <w:rPr>
          <w:rFonts w:ascii="Palatino Linotype" w:eastAsia="Calibri" w:hAnsi="Palatino Linotype" w:cs="Times New Roman"/>
          <w:i/>
        </w:rPr>
        <w:t>“</w:t>
      </w:r>
      <w:r w:rsidRPr="00FE2E33">
        <w:rPr>
          <w:rFonts w:ascii="Palatino Linotype" w:eastAsia="Calibri" w:hAnsi="Palatino Linotype" w:cs="Times New Roman"/>
          <w:b/>
          <w:i/>
        </w:rPr>
        <w:t>Artículo 4.</w:t>
      </w:r>
      <w:r w:rsidRPr="00FE2E33">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3908268E" w14:textId="08BBE05E"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lastRenderedPageBreak/>
        <w:t xml:space="preserve">Numerales que compelen al </w:t>
      </w:r>
      <w:r w:rsidRPr="00FE2E33">
        <w:rPr>
          <w:rFonts w:ascii="Palatino Linotype" w:eastAsia="Calibri" w:hAnsi="Palatino Linotype"/>
          <w:b/>
        </w:rPr>
        <w:t>Sujeto Obligado</w:t>
      </w:r>
      <w:r w:rsidRPr="00FE2E33">
        <w:rPr>
          <w:rFonts w:ascii="Palatino Linotype" w:eastAsia="Calibri" w:hAnsi="Palatino Linotype"/>
        </w:rPr>
        <w:t xml:space="preserve"> a apegarse en todo momento a los criterios ya expuestos, impidiendo a este Órgano Colegiado cuestionar la veracidad de la información.</w:t>
      </w:r>
    </w:p>
    <w:p w14:paraId="2A9B3444" w14:textId="777777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74459C55" w14:textId="77777777"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2D8B5E08" w14:textId="77777777" w:rsidR="00863C06" w:rsidRPr="00FE2E33" w:rsidRDefault="00863C06" w:rsidP="00863C06">
      <w:pPr>
        <w:pStyle w:val="Prrafodelista"/>
        <w:rPr>
          <w:rFonts w:ascii="Palatino Linotype" w:eastAsia="Calibri" w:hAnsi="Palatino Linotype"/>
        </w:rPr>
      </w:pPr>
    </w:p>
    <w:p w14:paraId="49BA1F12" w14:textId="4835B7B5" w:rsidR="00863C06"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rPr>
        <w:t xml:space="preserve">Por lo que para que se actualice el sobreseimiento de un recurso de revisión, el </w:t>
      </w:r>
      <w:r w:rsidRPr="00FE2E33">
        <w:rPr>
          <w:rFonts w:ascii="Palatino Linotype" w:eastAsia="Calibri" w:hAnsi="Palatino Linotype"/>
          <w:b/>
        </w:rPr>
        <w:t>Sujeto Obligado</w:t>
      </w:r>
      <w:r w:rsidRPr="00FE2E33">
        <w:rPr>
          <w:rFonts w:ascii="Palatino Linotype" w:eastAsia="Calibri"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4FD56DEC" w14:textId="77777777" w:rsidR="00863C06" w:rsidRPr="00FE2E33" w:rsidRDefault="00863C06" w:rsidP="00863C06">
      <w:pPr>
        <w:autoSpaceDE w:val="0"/>
        <w:autoSpaceDN w:val="0"/>
        <w:adjustRightInd w:val="0"/>
        <w:spacing w:before="240" w:after="240" w:line="360" w:lineRule="auto"/>
        <w:contextualSpacing/>
        <w:jc w:val="both"/>
        <w:rPr>
          <w:rFonts w:ascii="Palatino Linotype" w:eastAsia="Calibri" w:hAnsi="Palatino Linotype" w:cs="Arial"/>
        </w:rPr>
      </w:pPr>
    </w:p>
    <w:p w14:paraId="2FC9A04D" w14:textId="46DBD8AB" w:rsidR="00E92805" w:rsidRPr="00FE2E33" w:rsidRDefault="00E92805" w:rsidP="003618D7">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FE2E33">
        <w:rPr>
          <w:rFonts w:ascii="Palatino Linotype" w:eastAsia="Calibri" w:hAnsi="Palatino Linotype"/>
          <w:lang w:val="es-CO"/>
        </w:rPr>
        <w:t xml:space="preserve">Bajo ese tenor y en términos del artículo 186 fracción I este Pleno determina el </w:t>
      </w:r>
      <w:r w:rsidRPr="00FE2E33">
        <w:rPr>
          <w:rFonts w:ascii="Palatino Linotype" w:eastAsia="Calibri" w:hAnsi="Palatino Linotype"/>
          <w:b/>
          <w:lang w:val="es-CO"/>
        </w:rPr>
        <w:t xml:space="preserve">SOBRESEIMIENTO </w:t>
      </w:r>
      <w:r w:rsidRPr="00FE2E33">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65177712" w14:textId="77777777" w:rsidR="00E92805" w:rsidRPr="00FE2E33" w:rsidRDefault="00E92805" w:rsidP="00E92805">
      <w:pPr>
        <w:pStyle w:val="Prrafodelista"/>
        <w:spacing w:line="360" w:lineRule="auto"/>
        <w:ind w:left="0"/>
        <w:jc w:val="both"/>
        <w:rPr>
          <w:rFonts w:ascii="Palatino Linotype" w:hAnsi="Palatino Linotype"/>
        </w:rPr>
      </w:pPr>
    </w:p>
    <w:p w14:paraId="503FEA38" w14:textId="77777777" w:rsidR="00E92805" w:rsidRPr="00FE2E33" w:rsidRDefault="00E92805" w:rsidP="00E92805">
      <w:pPr>
        <w:pStyle w:val="Ttulo1"/>
        <w:spacing w:before="0" w:line="360" w:lineRule="auto"/>
        <w:jc w:val="center"/>
        <w:rPr>
          <w:b/>
          <w:color w:val="000000" w:themeColor="text1"/>
          <w:szCs w:val="24"/>
        </w:rPr>
      </w:pPr>
      <w:bookmarkStart w:id="83" w:name="_Toc495427547"/>
      <w:bookmarkStart w:id="84" w:name="_Toc535405813"/>
      <w:bookmarkStart w:id="85" w:name="_Toc8750067"/>
      <w:bookmarkStart w:id="86" w:name="_Toc35266382"/>
      <w:r w:rsidRPr="00FE2E33">
        <w:rPr>
          <w:b/>
          <w:color w:val="000000" w:themeColor="text1"/>
          <w:szCs w:val="24"/>
        </w:rPr>
        <w:lastRenderedPageBreak/>
        <w:t>R E S O L U T I V O S</w:t>
      </w:r>
      <w:bookmarkEnd w:id="83"/>
      <w:bookmarkEnd w:id="84"/>
      <w:bookmarkEnd w:id="85"/>
      <w:bookmarkEnd w:id="86"/>
    </w:p>
    <w:p w14:paraId="3F0949C6" w14:textId="77777777" w:rsidR="00E92805" w:rsidRPr="00FE2E33" w:rsidRDefault="00E92805" w:rsidP="00E92805">
      <w:pPr>
        <w:rPr>
          <w:rFonts w:ascii="Palatino Linotype" w:hAnsi="Palatino Linotype"/>
        </w:rPr>
      </w:pPr>
    </w:p>
    <w:p w14:paraId="62600C31" w14:textId="1145F772" w:rsidR="00E92805" w:rsidRPr="00FE2E33" w:rsidRDefault="00E92805" w:rsidP="00E92805">
      <w:pPr>
        <w:pStyle w:val="Sinespaciado"/>
        <w:spacing w:line="360" w:lineRule="auto"/>
        <w:jc w:val="both"/>
        <w:rPr>
          <w:rFonts w:ascii="Palatino Linotype" w:hAnsi="Palatino Linotype"/>
        </w:rPr>
      </w:pPr>
      <w:r w:rsidRPr="00FE2E33">
        <w:rPr>
          <w:rFonts w:ascii="Palatino Linotype" w:hAnsi="Palatino Linotype"/>
          <w:b/>
        </w:rPr>
        <w:t xml:space="preserve">PRIMERO. </w:t>
      </w:r>
      <w:r w:rsidRPr="00FE2E33">
        <w:rPr>
          <w:rFonts w:ascii="Palatino Linotype" w:hAnsi="Palatino Linotype"/>
        </w:rPr>
        <w:t xml:space="preserve">Se </w:t>
      </w:r>
      <w:r w:rsidRPr="00FE2E33">
        <w:rPr>
          <w:rFonts w:ascii="Palatino Linotype" w:hAnsi="Palatino Linotype"/>
          <w:b/>
        </w:rPr>
        <w:t>SOBRESEE</w:t>
      </w:r>
      <w:r w:rsidRPr="00FE2E33">
        <w:rPr>
          <w:rFonts w:ascii="Palatino Linotype" w:hAnsi="Palatino Linotype"/>
        </w:rPr>
        <w:t xml:space="preserve"> el recurso de revisión número </w:t>
      </w:r>
      <w:r w:rsidRPr="00FE2E33">
        <w:rPr>
          <w:rFonts w:ascii="Palatino Linotype" w:hAnsi="Palatino Linotype"/>
          <w:b/>
        </w:rPr>
        <w:t>0</w:t>
      </w:r>
      <w:r w:rsidR="00514DDF" w:rsidRPr="00FE2E33">
        <w:rPr>
          <w:rFonts w:ascii="Palatino Linotype" w:hAnsi="Palatino Linotype"/>
          <w:b/>
        </w:rPr>
        <w:t>433</w:t>
      </w:r>
      <w:r w:rsidRPr="00FE2E33">
        <w:rPr>
          <w:rFonts w:ascii="Palatino Linotype" w:hAnsi="Palatino Linotype"/>
          <w:b/>
        </w:rPr>
        <w:t>/INFOEM/IP/RR/202</w:t>
      </w:r>
      <w:r w:rsidR="00514DDF" w:rsidRPr="00FE2E33">
        <w:rPr>
          <w:rFonts w:ascii="Palatino Linotype" w:hAnsi="Palatino Linotype"/>
          <w:b/>
        </w:rPr>
        <w:t>1</w:t>
      </w:r>
      <w:r w:rsidRPr="00FE2E33">
        <w:rPr>
          <w:rFonts w:ascii="Palatino Linotype" w:hAnsi="Palatino Linotype"/>
        </w:rPr>
        <w:t xml:space="preserve">, porque al </w:t>
      </w:r>
      <w:r w:rsidRPr="00FE2E33">
        <w:rPr>
          <w:rFonts w:ascii="Palatino Linotype" w:hAnsi="Palatino Linotype"/>
          <w:b/>
        </w:rPr>
        <w:t>modificar la respuesta a través del informe justificado y atender lo solicitado</w:t>
      </w:r>
      <w:r w:rsidRPr="00FE2E33">
        <w:rPr>
          <w:rFonts w:ascii="Palatino Linotype" w:hAnsi="Palatino Linotype"/>
        </w:rPr>
        <w:t xml:space="preserve"> en términos del Considerando </w:t>
      </w:r>
      <w:r w:rsidR="00514DDF" w:rsidRPr="00FE2E33">
        <w:rPr>
          <w:rFonts w:ascii="Palatino Linotype" w:hAnsi="Palatino Linotype"/>
          <w:b/>
        </w:rPr>
        <w:t>CUARTO</w:t>
      </w:r>
      <w:r w:rsidRPr="00FE2E33">
        <w:rPr>
          <w:rFonts w:ascii="Palatino Linotype" w:hAnsi="Palatino Linotype"/>
        </w:rPr>
        <w:t xml:space="preserve"> de la presente resolución.</w:t>
      </w:r>
    </w:p>
    <w:p w14:paraId="19C096C9" w14:textId="77777777" w:rsidR="00E92805" w:rsidRPr="00FE2E33" w:rsidRDefault="00E92805" w:rsidP="00E92805">
      <w:pPr>
        <w:pStyle w:val="Sinespaciado"/>
        <w:spacing w:line="360" w:lineRule="auto"/>
        <w:jc w:val="both"/>
        <w:rPr>
          <w:rFonts w:ascii="Palatino Linotype" w:hAnsi="Palatino Linotype"/>
        </w:rPr>
      </w:pPr>
    </w:p>
    <w:p w14:paraId="0C654E7A" w14:textId="77777777" w:rsidR="00E92805" w:rsidRPr="00FE2E33" w:rsidRDefault="00E92805" w:rsidP="00E92805">
      <w:pPr>
        <w:pStyle w:val="Sinespaciado"/>
        <w:spacing w:line="360" w:lineRule="auto"/>
        <w:jc w:val="both"/>
        <w:rPr>
          <w:rFonts w:ascii="Palatino Linotype" w:eastAsia="Calibri" w:hAnsi="Palatino Linotype" w:cs="Arial"/>
          <w:b/>
          <w:bCs/>
          <w:lang w:val="es-ES"/>
        </w:rPr>
      </w:pPr>
      <w:r w:rsidRPr="00FE2E33">
        <w:rPr>
          <w:rFonts w:ascii="Palatino Linotype" w:eastAsia="Calibri" w:hAnsi="Palatino Linotype" w:cs="Arial"/>
          <w:b/>
          <w:bCs/>
          <w:lang w:val="es-ES"/>
        </w:rPr>
        <w:t xml:space="preserve">SEGUNDO. REMÍTASE </w:t>
      </w:r>
      <w:r w:rsidRPr="00FE2E33">
        <w:rPr>
          <w:rFonts w:ascii="Palatino Linotype" w:eastAsia="Calibri" w:hAnsi="Palatino Linotype" w:cs="Arial"/>
          <w:bCs/>
          <w:lang w:val="es-ES"/>
        </w:rPr>
        <w:t xml:space="preserve">a través del Sistema de Acceso a la Información Mexiquense </w:t>
      </w:r>
      <w:r w:rsidRPr="00FE2E33">
        <w:rPr>
          <w:rFonts w:ascii="Palatino Linotype" w:eastAsia="Calibri" w:hAnsi="Palatino Linotype" w:cs="Arial"/>
          <w:b/>
          <w:bCs/>
          <w:lang w:val="es-ES"/>
        </w:rPr>
        <w:t xml:space="preserve">(SAIMEX) </w:t>
      </w:r>
      <w:r w:rsidRPr="00FE2E33">
        <w:rPr>
          <w:rFonts w:ascii="Palatino Linotype" w:eastAsia="Calibri" w:hAnsi="Palatino Linotype" w:cs="Arial"/>
          <w:bCs/>
          <w:lang w:val="es-ES"/>
        </w:rPr>
        <w:t>la presente resolución al Titular de la Unidad de Transparencia del</w:t>
      </w:r>
      <w:r w:rsidRPr="00FE2E33">
        <w:rPr>
          <w:rFonts w:ascii="Palatino Linotype" w:eastAsia="Calibri" w:hAnsi="Palatino Linotype" w:cs="Arial"/>
          <w:b/>
          <w:bCs/>
          <w:lang w:val="es-ES"/>
        </w:rPr>
        <w:t xml:space="preserve"> SUJETO OBLIGADO. </w:t>
      </w:r>
    </w:p>
    <w:p w14:paraId="25804D4D" w14:textId="77777777" w:rsidR="00E92805" w:rsidRPr="00FE2E33" w:rsidRDefault="00E92805" w:rsidP="00E92805">
      <w:pPr>
        <w:pStyle w:val="Sinespaciado"/>
        <w:spacing w:line="360" w:lineRule="auto"/>
        <w:jc w:val="both"/>
        <w:rPr>
          <w:rFonts w:ascii="Palatino Linotype" w:eastAsia="Palatino Linotype" w:hAnsi="Palatino Linotype" w:cs="Palatino Linotype"/>
          <w:b/>
        </w:rPr>
      </w:pPr>
    </w:p>
    <w:p w14:paraId="4622588A" w14:textId="77777777" w:rsidR="00E92805" w:rsidRPr="00FE2E33" w:rsidRDefault="00E92805" w:rsidP="00E92805">
      <w:pPr>
        <w:pStyle w:val="Sinespaciado"/>
        <w:spacing w:line="360" w:lineRule="auto"/>
        <w:jc w:val="both"/>
        <w:rPr>
          <w:rFonts w:ascii="Palatino Linotype" w:eastAsia="Times New Roman" w:hAnsi="Palatino Linotype" w:cs="Times New Roman"/>
          <w:lang w:val="es-ES" w:eastAsia="es-MX"/>
        </w:rPr>
      </w:pPr>
      <w:r w:rsidRPr="00FE2E33">
        <w:rPr>
          <w:rFonts w:ascii="Palatino Linotype" w:eastAsia="Times New Roman" w:hAnsi="Palatino Linotype" w:cs="Arial"/>
          <w:b/>
        </w:rPr>
        <w:t xml:space="preserve">TERCERO. </w:t>
      </w:r>
      <w:r w:rsidRPr="00FE2E33">
        <w:rPr>
          <w:rFonts w:ascii="Palatino Linotype" w:eastAsia="Times New Roman" w:hAnsi="Palatino Linotype" w:cs="Times New Roman"/>
          <w:b/>
          <w:bCs/>
          <w:lang w:val="es-ES"/>
        </w:rPr>
        <w:t xml:space="preserve">Notifíquese </w:t>
      </w:r>
      <w:r w:rsidRPr="00FE2E33">
        <w:rPr>
          <w:rFonts w:ascii="Palatino Linotype" w:eastAsia="Times New Roman" w:hAnsi="Palatino Linotype" w:cs="Times New Roman"/>
          <w:bCs/>
          <w:lang w:val="es-ES"/>
        </w:rPr>
        <w:t xml:space="preserve">al </w:t>
      </w:r>
      <w:r w:rsidRPr="00FE2E33">
        <w:rPr>
          <w:rFonts w:ascii="Palatino Linotype" w:eastAsia="Times New Roman" w:hAnsi="Palatino Linotype" w:cs="Times New Roman"/>
          <w:b/>
          <w:bCs/>
          <w:lang w:val="es-ES"/>
        </w:rPr>
        <w:t>RECURRENTE</w:t>
      </w:r>
      <w:r w:rsidRPr="00FE2E33">
        <w:rPr>
          <w:rFonts w:ascii="Palatino Linotype" w:eastAsia="Times New Roman" w:hAnsi="Palatino Linotype" w:cs="Times New Roman"/>
          <w:bCs/>
          <w:lang w:val="es-ES"/>
        </w:rPr>
        <w:t xml:space="preserve"> </w:t>
      </w:r>
      <w:r w:rsidRPr="00FE2E33">
        <w:rPr>
          <w:rFonts w:ascii="Palatino Linotype" w:hAnsi="Palatino Linotype"/>
        </w:rPr>
        <w:t>la</w:t>
      </w:r>
      <w:r w:rsidRPr="00FE2E33">
        <w:rPr>
          <w:rFonts w:ascii="Palatino Linotype" w:eastAsia="Times New Roman" w:hAnsi="Palatino Linotype" w:cs="Times New Roman"/>
          <w:lang w:val="es-ES" w:eastAsia="es-MX"/>
        </w:rPr>
        <w:t xml:space="preserve"> presente resolución.</w:t>
      </w:r>
    </w:p>
    <w:p w14:paraId="2EAB909B" w14:textId="77777777" w:rsidR="00E92805" w:rsidRPr="00FE2E33" w:rsidRDefault="00E92805" w:rsidP="00E92805">
      <w:pPr>
        <w:pStyle w:val="Sinespaciado"/>
        <w:spacing w:line="360" w:lineRule="auto"/>
        <w:jc w:val="both"/>
        <w:rPr>
          <w:rFonts w:ascii="Palatino Linotype" w:eastAsia="Times New Roman" w:hAnsi="Palatino Linotype" w:cs="Times New Roman"/>
          <w:lang w:val="es-ES" w:eastAsia="es-MX"/>
        </w:rPr>
      </w:pPr>
    </w:p>
    <w:p w14:paraId="06D7686C" w14:textId="77777777" w:rsidR="00E92805" w:rsidRPr="00FE2E33" w:rsidRDefault="00E92805" w:rsidP="00E92805">
      <w:pPr>
        <w:shd w:val="clear" w:color="auto" w:fill="FFFFFF"/>
        <w:spacing w:line="360" w:lineRule="auto"/>
        <w:jc w:val="both"/>
        <w:rPr>
          <w:rFonts w:ascii="Palatino Linotype" w:eastAsia="MS Mincho" w:hAnsi="Palatino Linotype"/>
          <w:lang w:val="es-ES"/>
        </w:rPr>
      </w:pPr>
      <w:r w:rsidRPr="00FE2E33">
        <w:rPr>
          <w:rFonts w:ascii="Palatino Linotype" w:eastAsia="MS Mincho" w:hAnsi="Palatino Linotype"/>
          <w:b/>
        </w:rPr>
        <w:t>CUARTO.</w:t>
      </w:r>
      <w:r w:rsidRPr="00FE2E33">
        <w:rPr>
          <w:rFonts w:ascii="Palatino Linotype" w:eastAsia="MS Mincho" w:hAnsi="Palatino Linotype"/>
        </w:rPr>
        <w:t xml:space="preserve"> </w:t>
      </w:r>
      <w:r w:rsidRPr="00FE2E33">
        <w:rPr>
          <w:rFonts w:ascii="Palatino Linotype" w:eastAsia="MS Mincho" w:hAnsi="Palatino Linotype"/>
          <w:lang w:val="es-ES"/>
        </w:rPr>
        <w:t xml:space="preserve">Se hace del conocimiento del </w:t>
      </w:r>
      <w:r w:rsidRPr="00FE2E33">
        <w:rPr>
          <w:rFonts w:ascii="Palatino Linotype" w:eastAsia="MS Mincho" w:hAnsi="Palatino Linotype"/>
          <w:b/>
          <w:lang w:val="es-ES"/>
        </w:rPr>
        <w:t>RECURRENTE</w:t>
      </w:r>
      <w:r w:rsidRPr="00FE2E33">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2E33">
        <w:rPr>
          <w:rFonts w:ascii="Palatino Linotype" w:eastAsia="MS Mincho" w:hAnsi="Palatino Linotype"/>
          <w:bCs/>
          <w:lang w:val="es-ES"/>
        </w:rPr>
        <w:t>vía juicio de amparo</w:t>
      </w:r>
      <w:r w:rsidRPr="00FE2E33">
        <w:rPr>
          <w:rFonts w:ascii="Palatino Linotype" w:eastAsia="MS Mincho" w:hAnsi="Palatino Linotype"/>
          <w:lang w:val="es-ES"/>
        </w:rPr>
        <w:t> en los términos de las leyes aplicables.</w:t>
      </w:r>
    </w:p>
    <w:p w14:paraId="10CDB01C" w14:textId="77777777" w:rsidR="00E92805" w:rsidRPr="00FE2E33" w:rsidRDefault="00E92805" w:rsidP="00E92805">
      <w:pPr>
        <w:shd w:val="clear" w:color="auto" w:fill="FFFFFF"/>
        <w:spacing w:line="360" w:lineRule="auto"/>
        <w:jc w:val="both"/>
        <w:rPr>
          <w:rFonts w:ascii="Palatino Linotype" w:eastAsia="MS Mincho" w:hAnsi="Palatino Linotype"/>
          <w:lang w:val="es-ES"/>
        </w:rPr>
      </w:pPr>
    </w:p>
    <w:p w14:paraId="3DE9D07A" w14:textId="5998CAAD" w:rsidR="00E92805" w:rsidRPr="00FE2E33" w:rsidRDefault="00E92805" w:rsidP="00E92805">
      <w:pPr>
        <w:spacing w:line="360" w:lineRule="auto"/>
        <w:ind w:right="49"/>
        <w:jc w:val="both"/>
        <w:rPr>
          <w:rFonts w:ascii="Palatino Linotype" w:eastAsiaTheme="minorEastAsia" w:hAnsi="Palatino Linotype" w:cs="Arial"/>
          <w:lang w:val="es-ES_tradnl" w:eastAsia="es-ES"/>
        </w:rPr>
      </w:pPr>
      <w:r w:rsidRPr="00FE2E33">
        <w:rPr>
          <w:rFonts w:ascii="Palatino Linotype" w:eastAsiaTheme="minorEastAsia" w:hAnsi="Palatino Linotype" w:cs="Arial"/>
          <w:lang w:val="es-ES_tradnl" w:eastAsia="es-ES"/>
        </w:rPr>
        <w:t>ASÍ LO RESUELVE, POR UNANIMIDAD DE VOTOS, EL PLENO DEL</w:t>
      </w:r>
      <w:r w:rsidRPr="00FE2E33">
        <w:rPr>
          <w:rFonts w:ascii="Palatino Linotype" w:eastAsia="Arial Unicode MS" w:hAnsi="Palatino Linotype" w:cs="Arial"/>
          <w:lang w:val="es-ES_tradnl" w:eastAsia="es-ES"/>
        </w:rPr>
        <w:t xml:space="preserve"> INSTITUTO DE TRANSPARENCIA, ACCESO A LA INFORMACIÓN PÚBLICA Y PROTECCIÓN DE DATOS PERSONALES DEL ESTADO DE MÉXICO Y </w:t>
      </w:r>
      <w:r w:rsidRPr="00FE2E33">
        <w:rPr>
          <w:rFonts w:ascii="Palatino Linotype" w:eastAsia="Arial Unicode MS" w:hAnsi="Palatino Linotype" w:cs="Arial"/>
          <w:lang w:val="es-ES_tradnl" w:eastAsia="es-ES"/>
        </w:rPr>
        <w:lastRenderedPageBreak/>
        <w:t>MUNICIPIOS</w:t>
      </w:r>
      <w:r w:rsidRPr="00FE2E33">
        <w:rPr>
          <w:rFonts w:ascii="Palatino Linotype" w:eastAsiaTheme="minorEastAsia" w:hAnsi="Palatino Linotype" w:cs="Arial"/>
          <w:lang w:val="es-ES_tradnl" w:eastAsia="es-ES"/>
        </w:rPr>
        <w:t xml:space="preserve">, CONFORMADO POR LOS COMISIONADOS ZULEMA MARTÍNEZ SÁNCHEZ; EVA ABAID YAPUR; JOSÉ GUADALUPE LUNA HERNÁNDEZ; JAVIER MARTÍNEZ CRUZ Y LUIS GUSTAVO PARRA NORIEGA; EN LA </w:t>
      </w:r>
      <w:r w:rsidR="00514DDF" w:rsidRPr="00FE2E33">
        <w:rPr>
          <w:rFonts w:ascii="Palatino Linotype" w:eastAsiaTheme="minorEastAsia" w:hAnsi="Palatino Linotype" w:cs="Arial"/>
          <w:lang w:val="es-ES_tradnl" w:eastAsia="es-ES"/>
        </w:rPr>
        <w:t xml:space="preserve">DÉCIMA </w:t>
      </w:r>
      <w:r w:rsidRPr="00FE2E33">
        <w:rPr>
          <w:rFonts w:ascii="Palatino Linotype" w:eastAsiaTheme="minorEastAsia" w:hAnsi="Palatino Linotype" w:cs="Arial"/>
          <w:lang w:val="es-ES_tradnl" w:eastAsia="es-ES"/>
        </w:rPr>
        <w:t>SESIÓN ORDINARIA CELEBRADA EL VEINT</w:t>
      </w:r>
      <w:r w:rsidR="00514DDF" w:rsidRPr="00FE2E33">
        <w:rPr>
          <w:rFonts w:ascii="Palatino Linotype" w:eastAsiaTheme="minorEastAsia" w:hAnsi="Palatino Linotype" w:cs="Arial"/>
          <w:lang w:val="es-ES_tradnl" w:eastAsia="es-ES"/>
        </w:rPr>
        <w:t xml:space="preserve">ICUATRO </w:t>
      </w:r>
      <w:r w:rsidRPr="00FE2E33">
        <w:rPr>
          <w:rFonts w:ascii="Palatino Linotype" w:eastAsiaTheme="minorEastAsia" w:hAnsi="Palatino Linotype" w:cs="Arial"/>
          <w:lang w:val="es-ES_tradnl" w:eastAsia="es-ES"/>
        </w:rPr>
        <w:t xml:space="preserve">DE </w:t>
      </w:r>
      <w:r w:rsidR="00514DDF" w:rsidRPr="00FE2E33">
        <w:rPr>
          <w:rFonts w:ascii="Palatino Linotype" w:eastAsiaTheme="minorEastAsia" w:hAnsi="Palatino Linotype" w:cs="Arial"/>
          <w:lang w:val="es-ES_tradnl" w:eastAsia="es-ES"/>
        </w:rPr>
        <w:t xml:space="preserve">MARZO </w:t>
      </w:r>
      <w:r w:rsidRPr="00FE2E33">
        <w:rPr>
          <w:rFonts w:ascii="Palatino Linotype" w:eastAsiaTheme="minorEastAsia" w:hAnsi="Palatino Linotype" w:cs="Arial"/>
          <w:lang w:val="es-ES_tradnl" w:eastAsia="es-ES"/>
        </w:rPr>
        <w:t xml:space="preserve">DE DOS MIL VEINTIUNO, ANTE EL SECRETARIO TÉCNICO DEL PLENO, </w:t>
      </w:r>
      <w:r w:rsidRPr="00FE2E33">
        <w:rPr>
          <w:rFonts w:ascii="Palatino Linotype" w:eastAsiaTheme="minorEastAsia" w:hAnsi="Palatino Linotype"/>
          <w:lang w:val="es-ES_tradnl" w:eastAsia="es-ES"/>
        </w:rPr>
        <w:t>ALEXIS TAPIA RAMÍREZ</w:t>
      </w:r>
      <w:r w:rsidRPr="00FE2E33">
        <w:rPr>
          <w:rFonts w:ascii="Palatino Linotype" w:eastAsiaTheme="minorEastAsia" w:hAnsi="Palatino Linotype" w:cs="Arial"/>
          <w:lang w:val="es-ES_tradnl" w:eastAsia="es-ES"/>
        </w:rPr>
        <w:t xml:space="preserve">. </w:t>
      </w:r>
    </w:p>
    <w:p w14:paraId="4DEFBBE6" w14:textId="3C35FAFC" w:rsidR="00E92805" w:rsidRPr="00FE2E33" w:rsidRDefault="00FE2E33" w:rsidP="00E92805">
      <w:pPr>
        <w:spacing w:line="360" w:lineRule="auto"/>
        <w:ind w:right="49"/>
        <w:jc w:val="both"/>
        <w:rPr>
          <w:rFonts w:ascii="Palatino Linotype" w:eastAsiaTheme="minorEastAsia" w:hAnsi="Palatino Linotype" w:cs="Arial"/>
          <w:lang w:val="es-ES_tradnl" w:eastAsia="es-ES"/>
        </w:rPr>
      </w:pPr>
      <w:r>
        <w:rPr>
          <w:rFonts w:ascii="Palatino Linotype" w:eastAsiaTheme="minorEastAsia" w:hAnsi="Palatino Linotype" w:cs="Arial"/>
          <w:noProof/>
          <w:lang w:val="es-MX" w:eastAsia="es-MX"/>
        </w:rPr>
        <mc:AlternateContent>
          <mc:Choice Requires="wps">
            <w:drawing>
              <wp:anchor distT="0" distB="0" distL="114300" distR="114300" simplePos="0" relativeHeight="251659264" behindDoc="0" locked="0" layoutInCell="1" allowOverlap="1" wp14:anchorId="7DEA699D" wp14:editId="154FB601">
                <wp:simplePos x="0" y="0"/>
                <wp:positionH relativeFrom="column">
                  <wp:posOffset>24764</wp:posOffset>
                </wp:positionH>
                <wp:positionV relativeFrom="paragraph">
                  <wp:posOffset>89534</wp:posOffset>
                </wp:positionV>
                <wp:extent cx="5572125" cy="54768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72125" cy="5476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AF048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7.05pt" to="440.7pt,4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" strokecolor="#4f81bd [3204]" strokeweight="2pt">
                <v:shadow on="t" color="black" opacity="24903f" origin=",.5" offset="0,.55556mm"/>
              </v:line>
            </w:pict>
          </mc:Fallback>
        </mc:AlternateContent>
      </w:r>
    </w:p>
    <w:bookmarkEnd w:id="78"/>
    <w:bookmarkEnd w:id="79"/>
    <w:p w14:paraId="33F3937D" w14:textId="77777777" w:rsidR="00E92805" w:rsidRPr="00722988" w:rsidRDefault="00E92805" w:rsidP="00E92805">
      <w:pPr>
        <w:pStyle w:val="Prrafodelista"/>
        <w:spacing w:before="240" w:after="240" w:line="360" w:lineRule="auto"/>
        <w:ind w:left="0"/>
        <w:jc w:val="both"/>
      </w:pPr>
    </w:p>
    <w:p w14:paraId="179CE660" w14:textId="77777777" w:rsidR="00FB139B" w:rsidRPr="00E0252A" w:rsidRDefault="00FB139B" w:rsidP="00857175">
      <w:pPr>
        <w:spacing w:before="240" w:after="240" w:line="360" w:lineRule="auto"/>
        <w:jc w:val="both"/>
        <w:rPr>
          <w:rFonts w:ascii="Palatino Linotype" w:hAnsi="Palatino Linotype"/>
          <w:lang w:val="es-ES_tradnl"/>
        </w:rPr>
      </w:pPr>
    </w:p>
    <w:p w14:paraId="7661B065" w14:textId="77777777" w:rsidR="00E92805" w:rsidRPr="00722988" w:rsidRDefault="00E92805" w:rsidP="00E92805">
      <w:pPr>
        <w:pStyle w:val="Prrafodelista"/>
        <w:spacing w:before="240" w:after="240" w:line="360" w:lineRule="auto"/>
        <w:ind w:left="0"/>
        <w:jc w:val="both"/>
      </w:pPr>
    </w:p>
    <w:p w14:paraId="6DC6F29F" w14:textId="77777777" w:rsidR="00E92805" w:rsidRPr="00E92805" w:rsidRDefault="00E92805" w:rsidP="00E92805">
      <w:pPr>
        <w:rPr>
          <w:lang w:val="es-ES_tradnl" w:eastAsia="es-ES"/>
        </w:rPr>
      </w:pPr>
    </w:p>
    <w:p w14:paraId="0E3B647C" w14:textId="77777777" w:rsidR="00E92805" w:rsidRPr="00E92805" w:rsidRDefault="00E92805" w:rsidP="00E92805">
      <w:pPr>
        <w:rPr>
          <w:lang w:val="es-ES_tradnl" w:eastAsia="es-ES"/>
        </w:rPr>
      </w:pPr>
    </w:p>
    <w:p w14:paraId="26DEC5A2" w14:textId="178A9DF3" w:rsidR="00E92805" w:rsidRDefault="00E92805" w:rsidP="00E92805">
      <w:pPr>
        <w:rPr>
          <w:lang w:val="es-ES_tradnl" w:eastAsia="es-ES"/>
        </w:rPr>
      </w:pPr>
    </w:p>
    <w:p w14:paraId="3BDA2FE5" w14:textId="47BA1D5B" w:rsidR="00FE2E33" w:rsidRDefault="00E92805" w:rsidP="00E92805">
      <w:pPr>
        <w:tabs>
          <w:tab w:val="left" w:pos="2937"/>
        </w:tabs>
        <w:rPr>
          <w:lang w:val="es-ES_tradnl" w:eastAsia="es-ES"/>
        </w:rPr>
      </w:pPr>
      <w:r>
        <w:rPr>
          <w:lang w:val="es-ES_tradnl" w:eastAsia="es-ES"/>
        </w:rPr>
        <w:tab/>
      </w:r>
    </w:p>
    <w:p w14:paraId="4A04FB68" w14:textId="77777777" w:rsidR="00FE2E33" w:rsidRDefault="00FE2E33">
      <w:pPr>
        <w:rPr>
          <w:lang w:val="es-ES_tradnl" w:eastAsia="es-ES"/>
        </w:rPr>
      </w:pPr>
      <w:r>
        <w:rPr>
          <w:lang w:val="es-ES_tradnl" w:eastAsia="es-ES"/>
        </w:rPr>
        <w:br w:type="page"/>
      </w:r>
      <w:bookmarkStart w:id="87" w:name="_GoBack"/>
      <w:bookmarkEnd w:id="87"/>
    </w:p>
    <w:p w14:paraId="360A6464" w14:textId="77777777" w:rsidR="00BB5CA9" w:rsidRPr="00E92805" w:rsidRDefault="00BB5CA9" w:rsidP="00E92805">
      <w:pPr>
        <w:tabs>
          <w:tab w:val="left" w:pos="2937"/>
        </w:tabs>
        <w:rPr>
          <w:lang w:val="es-ES_tradnl" w:eastAsia="es-ES"/>
        </w:rPr>
      </w:pPr>
    </w:p>
    <w:sectPr w:rsidR="00BB5CA9" w:rsidRPr="00E92805"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6E72D" w14:textId="77777777" w:rsidR="00BD0440" w:rsidRDefault="00BD0440" w:rsidP="00587366">
      <w:r>
        <w:separator/>
      </w:r>
    </w:p>
  </w:endnote>
  <w:endnote w:type="continuationSeparator" w:id="0">
    <w:p w14:paraId="3600A263" w14:textId="77777777" w:rsidR="00BD0440" w:rsidRDefault="00BD044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512AB" w:rsidRPr="00883450" w:rsidRDefault="004512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2E33">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2E33">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4512AB" w:rsidRDefault="004512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4512AB" w:rsidRPr="00883450" w:rsidRDefault="004512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2E3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2E33" w:rsidRPr="00FE2E33">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4512AB" w:rsidRPr="00883450" w:rsidRDefault="004512A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9120A" w14:textId="77777777" w:rsidR="00BD0440" w:rsidRDefault="00BD0440" w:rsidP="00587366">
      <w:r>
        <w:separator/>
      </w:r>
    </w:p>
  </w:footnote>
  <w:footnote w:type="continuationSeparator" w:id="0">
    <w:p w14:paraId="1540F36D" w14:textId="77777777" w:rsidR="00BD0440" w:rsidRDefault="00BD0440"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ACCC" w14:textId="7E3DAAA8" w:rsidR="00FE2E33" w:rsidRDefault="00431B5D">
    <w:pPr>
      <w:pStyle w:val="Encabezado"/>
    </w:pPr>
    <w:r>
      <w:rPr>
        <w:noProof/>
        <w:lang w:val="es-MX" w:eastAsia="es-MX"/>
      </w:rPr>
      <w:pict w14:anchorId="1EC8E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239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B837A15" w:rsidR="004512AB" w:rsidRDefault="00431B5D" w:rsidP="001C6012">
    <w:pPr>
      <w:pStyle w:val="Encabezado"/>
      <w:tabs>
        <w:tab w:val="clear" w:pos="4252"/>
        <w:tab w:val="clear" w:pos="8504"/>
        <w:tab w:val="left" w:pos="8460"/>
      </w:tabs>
    </w:pPr>
    <w:r>
      <w:rPr>
        <w:noProof/>
        <w:lang w:val="es-MX" w:eastAsia="es-MX"/>
      </w:rPr>
      <w:pict w14:anchorId="1DEF4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239861" o:spid="_x0000_s2051" type="#_x0000_t75" style="position:absolute;margin-left:-102.65pt;margin-top:-144.7pt;width:609.4pt;height:793.75pt;z-index:-251656192;mso-position-horizontal-relative:margin;mso-position-vertical-relative:margin" o:allowincell="f">
          <v:imagedata r:id="rId1" o:title="resolución"/>
          <w10:wrap anchorx="margin" anchory="margin"/>
        </v:shape>
      </w:pict>
    </w:r>
    <w:r w:rsidR="004512AB">
      <w:tab/>
    </w:r>
  </w:p>
  <w:p w14:paraId="64F5F23E" w14:textId="390690E5" w:rsidR="004512AB" w:rsidRDefault="004512A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512AB" w:rsidRPr="00674A46" w14:paraId="07F2896E" w14:textId="77777777" w:rsidTr="0081485A">
      <w:trPr>
        <w:trHeight w:val="138"/>
        <w:jc w:val="right"/>
      </w:trPr>
      <w:tc>
        <w:tcPr>
          <w:tcW w:w="4253" w:type="dxa"/>
          <w:vAlign w:val="center"/>
        </w:tcPr>
        <w:p w14:paraId="4A5B1974" w14:textId="3B2AB4E0"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0B230A0" w:rsidR="004512AB" w:rsidRPr="00674A46" w:rsidRDefault="008F2163" w:rsidP="0051659D">
          <w:pPr>
            <w:pStyle w:val="Encabezado"/>
            <w:rPr>
              <w:rFonts w:ascii="Palatino Linotype" w:hAnsi="Palatino Linotype"/>
              <w:b/>
              <w:sz w:val="22"/>
              <w:szCs w:val="22"/>
            </w:rPr>
          </w:pPr>
          <w:r w:rsidRPr="008F2163">
            <w:rPr>
              <w:rFonts w:ascii="Palatino Linotype" w:hAnsi="Palatino Linotype" w:cs="Arial"/>
              <w:b/>
              <w:bCs/>
              <w:sz w:val="22"/>
              <w:szCs w:val="22"/>
              <w:lang w:eastAsia="es-MX"/>
            </w:rPr>
            <w:t>04</w:t>
          </w:r>
          <w:r w:rsidR="00855F17">
            <w:rPr>
              <w:rFonts w:ascii="Palatino Linotype" w:hAnsi="Palatino Linotype" w:cs="Arial"/>
              <w:b/>
              <w:bCs/>
              <w:sz w:val="22"/>
              <w:szCs w:val="22"/>
              <w:lang w:eastAsia="es-MX"/>
            </w:rPr>
            <w:t>33</w:t>
          </w:r>
          <w:r w:rsidRPr="008F2163">
            <w:rPr>
              <w:rFonts w:ascii="Palatino Linotype" w:hAnsi="Palatino Linotype" w:cs="Arial"/>
              <w:b/>
              <w:bCs/>
              <w:sz w:val="22"/>
              <w:szCs w:val="22"/>
              <w:lang w:eastAsia="es-MX"/>
            </w:rPr>
            <w:t>/INFOEM/IP/RR/202</w:t>
          </w:r>
          <w:r w:rsidR="00855F17">
            <w:rPr>
              <w:rFonts w:ascii="Palatino Linotype" w:hAnsi="Palatino Linotype" w:cs="Arial"/>
              <w:b/>
              <w:bCs/>
              <w:sz w:val="22"/>
              <w:szCs w:val="22"/>
              <w:lang w:eastAsia="es-MX"/>
            </w:rPr>
            <w:t>1</w:t>
          </w:r>
        </w:p>
      </w:tc>
    </w:tr>
    <w:tr w:rsidR="004512AB" w:rsidRPr="00674A46" w14:paraId="1B5D8690" w14:textId="77777777" w:rsidTr="0081485A">
      <w:trPr>
        <w:trHeight w:val="233"/>
        <w:jc w:val="right"/>
      </w:trPr>
      <w:tc>
        <w:tcPr>
          <w:tcW w:w="4253" w:type="dxa"/>
          <w:vAlign w:val="center"/>
        </w:tcPr>
        <w:p w14:paraId="3903F2C6" w14:textId="22D569F8"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AC8B7D1" w:rsidR="004512AB" w:rsidRPr="00B75F20" w:rsidRDefault="00855F17" w:rsidP="00926F75">
          <w:pPr>
            <w:pStyle w:val="Encabezado"/>
            <w:jc w:val="both"/>
            <w:rPr>
              <w:rFonts w:ascii="Palatino Linotype" w:hAnsi="Palatino Linotype"/>
              <w:b/>
              <w:sz w:val="22"/>
              <w:szCs w:val="22"/>
            </w:rPr>
          </w:pPr>
          <w:r>
            <w:rPr>
              <w:rFonts w:ascii="Palatino Linotype" w:hAnsi="Palatino Linotype"/>
              <w:b/>
              <w:bCs/>
              <w:color w:val="000000"/>
              <w:sz w:val="22"/>
              <w:szCs w:val="22"/>
            </w:rPr>
            <w:t>Tribunal Estatal de Conciliación y Arbitraje</w:t>
          </w:r>
        </w:p>
      </w:tc>
    </w:tr>
    <w:tr w:rsidR="004512AB" w:rsidRPr="00674A46" w14:paraId="095EB01B" w14:textId="77777777" w:rsidTr="0081485A">
      <w:trPr>
        <w:trHeight w:val="321"/>
        <w:jc w:val="right"/>
      </w:trPr>
      <w:tc>
        <w:tcPr>
          <w:tcW w:w="4253" w:type="dxa"/>
          <w:vAlign w:val="center"/>
        </w:tcPr>
        <w:p w14:paraId="6E000A51" w14:textId="25DCC1C7"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512AB" w:rsidRDefault="004512AB"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340E7489" w:rsidR="004512AB" w:rsidRDefault="00431B5D" w:rsidP="00472C41">
    <w:pPr>
      <w:pStyle w:val="Encabezado"/>
      <w:tabs>
        <w:tab w:val="clear" w:pos="4252"/>
        <w:tab w:val="clear" w:pos="8504"/>
        <w:tab w:val="left" w:pos="3103"/>
      </w:tabs>
    </w:pPr>
    <w:r>
      <w:rPr>
        <w:noProof/>
        <w:lang w:val="es-MX" w:eastAsia="es-MX"/>
      </w:rPr>
      <w:pict w14:anchorId="29996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239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512A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12AB" w:rsidRPr="00674A46" w14:paraId="0A3256F2" w14:textId="77777777" w:rsidTr="006E6B65">
      <w:trPr>
        <w:trHeight w:val="138"/>
        <w:jc w:val="right"/>
      </w:trPr>
      <w:tc>
        <w:tcPr>
          <w:tcW w:w="3261" w:type="dxa"/>
          <w:vAlign w:val="center"/>
        </w:tcPr>
        <w:p w14:paraId="3D80769D" w14:textId="2AEA72B1" w:rsidR="008F2163" w:rsidRPr="00674A46" w:rsidRDefault="004512AB" w:rsidP="008F2163">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4ECA4AC" w:rsidR="004512AB" w:rsidRPr="00674A46" w:rsidRDefault="00D85782" w:rsidP="006D7F3D">
          <w:pPr>
            <w:pStyle w:val="Encabezado"/>
            <w:rPr>
              <w:rFonts w:ascii="Palatino Linotype" w:hAnsi="Palatino Linotype"/>
              <w:b/>
              <w:sz w:val="22"/>
              <w:szCs w:val="22"/>
            </w:rPr>
          </w:pPr>
          <w:r w:rsidRPr="00D85782">
            <w:rPr>
              <w:rFonts w:ascii="Palatino Linotype" w:hAnsi="Palatino Linotype" w:cs="Arial"/>
              <w:b/>
              <w:bCs/>
              <w:sz w:val="22"/>
              <w:szCs w:val="22"/>
              <w:lang w:eastAsia="es-MX"/>
            </w:rPr>
            <w:t>0</w:t>
          </w:r>
          <w:r w:rsidR="00855F17">
            <w:rPr>
              <w:rFonts w:ascii="Palatino Linotype" w:hAnsi="Palatino Linotype" w:cs="Arial"/>
              <w:b/>
              <w:bCs/>
              <w:sz w:val="22"/>
              <w:szCs w:val="22"/>
              <w:lang w:eastAsia="es-MX"/>
            </w:rPr>
            <w:t>0433</w:t>
          </w:r>
          <w:r w:rsidRPr="00D85782">
            <w:rPr>
              <w:rFonts w:ascii="Palatino Linotype" w:hAnsi="Palatino Linotype" w:cs="Arial"/>
              <w:b/>
              <w:bCs/>
              <w:sz w:val="22"/>
              <w:szCs w:val="22"/>
              <w:lang w:eastAsia="es-MX"/>
            </w:rPr>
            <w:t>/INFOEM/IP/RR/202</w:t>
          </w:r>
          <w:r w:rsidR="00855F17">
            <w:rPr>
              <w:rFonts w:ascii="Palatino Linotype" w:hAnsi="Palatino Linotype" w:cs="Arial"/>
              <w:b/>
              <w:bCs/>
              <w:sz w:val="22"/>
              <w:szCs w:val="22"/>
              <w:lang w:eastAsia="es-MX"/>
            </w:rPr>
            <w:t>1</w:t>
          </w:r>
        </w:p>
      </w:tc>
    </w:tr>
    <w:tr w:rsidR="004512AB" w:rsidRPr="00B75F20" w14:paraId="128C8B3C" w14:textId="77777777" w:rsidTr="008F2163">
      <w:trPr>
        <w:trHeight w:val="80"/>
        <w:jc w:val="right"/>
      </w:trPr>
      <w:tc>
        <w:tcPr>
          <w:tcW w:w="3261" w:type="dxa"/>
          <w:vAlign w:val="center"/>
        </w:tcPr>
        <w:p w14:paraId="483E3371" w14:textId="047B089D" w:rsidR="00855F17" w:rsidRPr="00674A46" w:rsidRDefault="00855F17" w:rsidP="008F2163">
          <w:pPr>
            <w:rPr>
              <w:rFonts w:ascii="Palatino Linotype" w:hAnsi="Palatino Linotype"/>
              <w:b/>
              <w:sz w:val="22"/>
              <w:szCs w:val="22"/>
            </w:rPr>
          </w:pPr>
          <w:r>
            <w:rPr>
              <w:rFonts w:ascii="Palatino Linotype" w:hAnsi="Palatino Linotype"/>
              <w:b/>
              <w:sz w:val="22"/>
              <w:szCs w:val="22"/>
            </w:rPr>
            <w:t>RECURRENTE:</w:t>
          </w:r>
        </w:p>
      </w:tc>
      <w:tc>
        <w:tcPr>
          <w:tcW w:w="4111" w:type="dxa"/>
        </w:tcPr>
        <w:p w14:paraId="1548525E" w14:textId="3495A594" w:rsidR="004512AB" w:rsidRPr="00B75F20" w:rsidRDefault="00431B5D" w:rsidP="009B42A1">
          <w:pPr>
            <w:pStyle w:val="Encabezado"/>
            <w:tabs>
              <w:tab w:val="clear" w:pos="4252"/>
              <w:tab w:val="clear" w:pos="8504"/>
              <w:tab w:val="left" w:pos="521"/>
            </w:tabs>
            <w:rPr>
              <w:rFonts w:ascii="Palatino Linotype" w:hAnsi="Palatino Linotype"/>
              <w:b/>
              <w:sz w:val="22"/>
              <w:szCs w:val="22"/>
            </w:rPr>
          </w:pPr>
          <w:r w:rsidRPr="00431B5D">
            <w:rPr>
              <w:rFonts w:ascii="Palatino Linotype" w:hAnsi="Palatino Linotype"/>
              <w:b/>
              <w:sz w:val="22"/>
              <w:szCs w:val="22"/>
              <w:highlight w:val="black"/>
            </w:rPr>
            <w:t>----------------------------------</w:t>
          </w:r>
        </w:p>
      </w:tc>
    </w:tr>
    <w:tr w:rsidR="004512AB" w:rsidRPr="00674A46" w14:paraId="41BE0704" w14:textId="77777777" w:rsidTr="006E6B65">
      <w:trPr>
        <w:trHeight w:val="321"/>
        <w:jc w:val="right"/>
      </w:trPr>
      <w:tc>
        <w:tcPr>
          <w:tcW w:w="3261" w:type="dxa"/>
          <w:vAlign w:val="center"/>
        </w:tcPr>
        <w:p w14:paraId="34C64148" w14:textId="10C6C8A9" w:rsidR="004512AB" w:rsidRPr="00674A46" w:rsidRDefault="004512AB" w:rsidP="008F2163">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35CF35F" w:rsidR="004512AB" w:rsidRPr="00674A46" w:rsidRDefault="00855F17" w:rsidP="005C3414">
          <w:pPr>
            <w:pStyle w:val="Encabezado"/>
            <w:jc w:val="both"/>
            <w:rPr>
              <w:rFonts w:ascii="Palatino Linotype" w:hAnsi="Palatino Linotype"/>
              <w:b/>
              <w:sz w:val="22"/>
              <w:szCs w:val="22"/>
            </w:rPr>
          </w:pPr>
          <w:r>
            <w:rPr>
              <w:rFonts w:ascii="Palatino Linotype" w:hAnsi="Palatino Linotype"/>
              <w:b/>
              <w:bCs/>
              <w:color w:val="000000"/>
              <w:sz w:val="22"/>
              <w:szCs w:val="22"/>
            </w:rPr>
            <w:t>Tribunal Estatal de Conciliación y Arbitraje</w:t>
          </w:r>
        </w:p>
      </w:tc>
    </w:tr>
    <w:tr w:rsidR="004512AB" w:rsidRPr="00674A46" w14:paraId="0C8B6193" w14:textId="77777777" w:rsidTr="006E6B65">
      <w:trPr>
        <w:trHeight w:val="321"/>
        <w:jc w:val="right"/>
      </w:trPr>
      <w:tc>
        <w:tcPr>
          <w:tcW w:w="3261" w:type="dxa"/>
          <w:vAlign w:val="center"/>
        </w:tcPr>
        <w:p w14:paraId="321FFAFF" w14:textId="40E5A67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512AB" w:rsidRDefault="004512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96A7BD7"/>
    <w:multiLevelType w:val="hybridMultilevel"/>
    <w:tmpl w:val="895E8594"/>
    <w:lvl w:ilvl="0" w:tplc="3F46CEA0">
      <w:start w:val="1"/>
      <w:numFmt w:val="lowerLetter"/>
      <w:lvlText w:val="%1)"/>
      <w:lvlJc w:val="left"/>
      <w:pPr>
        <w:ind w:left="990" w:hanging="360"/>
      </w:pPr>
      <w:rPr>
        <w:rFonts w:eastAsia="Calibri" w:cs="Arial" w:hint="default"/>
        <w:b w:val="0"/>
      </w:rPr>
    </w:lvl>
    <w:lvl w:ilvl="1" w:tplc="040A0019" w:tentative="1">
      <w:start w:val="1"/>
      <w:numFmt w:val="lowerLetter"/>
      <w:lvlText w:val="%2."/>
      <w:lvlJc w:val="left"/>
      <w:pPr>
        <w:ind w:left="1710" w:hanging="360"/>
      </w:pPr>
    </w:lvl>
    <w:lvl w:ilvl="2" w:tplc="040A001B" w:tentative="1">
      <w:start w:val="1"/>
      <w:numFmt w:val="lowerRoman"/>
      <w:lvlText w:val="%3."/>
      <w:lvlJc w:val="right"/>
      <w:pPr>
        <w:ind w:left="2430" w:hanging="180"/>
      </w:pPr>
    </w:lvl>
    <w:lvl w:ilvl="3" w:tplc="040A000F" w:tentative="1">
      <w:start w:val="1"/>
      <w:numFmt w:val="decimal"/>
      <w:lvlText w:val="%4."/>
      <w:lvlJc w:val="left"/>
      <w:pPr>
        <w:ind w:left="3150" w:hanging="360"/>
      </w:pPr>
    </w:lvl>
    <w:lvl w:ilvl="4" w:tplc="040A0019" w:tentative="1">
      <w:start w:val="1"/>
      <w:numFmt w:val="lowerLetter"/>
      <w:lvlText w:val="%5."/>
      <w:lvlJc w:val="left"/>
      <w:pPr>
        <w:ind w:left="3870" w:hanging="360"/>
      </w:pPr>
    </w:lvl>
    <w:lvl w:ilvl="5" w:tplc="040A001B" w:tentative="1">
      <w:start w:val="1"/>
      <w:numFmt w:val="lowerRoman"/>
      <w:lvlText w:val="%6."/>
      <w:lvlJc w:val="right"/>
      <w:pPr>
        <w:ind w:left="4590" w:hanging="180"/>
      </w:pPr>
    </w:lvl>
    <w:lvl w:ilvl="6" w:tplc="040A000F" w:tentative="1">
      <w:start w:val="1"/>
      <w:numFmt w:val="decimal"/>
      <w:lvlText w:val="%7."/>
      <w:lvlJc w:val="left"/>
      <w:pPr>
        <w:ind w:left="5310" w:hanging="360"/>
      </w:pPr>
    </w:lvl>
    <w:lvl w:ilvl="7" w:tplc="040A0019" w:tentative="1">
      <w:start w:val="1"/>
      <w:numFmt w:val="lowerLetter"/>
      <w:lvlText w:val="%8."/>
      <w:lvlJc w:val="left"/>
      <w:pPr>
        <w:ind w:left="6030" w:hanging="360"/>
      </w:pPr>
    </w:lvl>
    <w:lvl w:ilvl="8" w:tplc="040A001B" w:tentative="1">
      <w:start w:val="1"/>
      <w:numFmt w:val="lowerRoman"/>
      <w:lvlText w:val="%9."/>
      <w:lvlJc w:val="right"/>
      <w:pPr>
        <w:ind w:left="6750" w:hanging="180"/>
      </w:pPr>
    </w:lvl>
  </w:abstractNum>
  <w:abstractNum w:abstractNumId="2" w15:restartNumberingAfterBreak="0">
    <w:nsid w:val="2BA8008A"/>
    <w:multiLevelType w:val="hybridMultilevel"/>
    <w:tmpl w:val="14BE23D8"/>
    <w:lvl w:ilvl="0" w:tplc="DB7E0A8C">
      <w:start w:val="1"/>
      <w:numFmt w:val="lowerLetter"/>
      <w:lvlText w:val="%1)"/>
      <w:lvlJc w:val="left"/>
      <w:pPr>
        <w:ind w:left="720" w:hanging="360"/>
      </w:pPr>
      <w:rPr>
        <w:rFonts w:eastAsiaTheme="majorEastAsia" w:cstheme="majorBidi" w:hint="default"/>
        <w:b/>
        <w:i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828254CC"/>
    <w:lvl w:ilvl="0" w:tplc="1C8A5F06">
      <w:start w:val="1"/>
      <w:numFmt w:val="decimal"/>
      <w:lvlText w:val="%1."/>
      <w:lvlJc w:val="left"/>
      <w:pPr>
        <w:ind w:left="65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AF3DB4"/>
    <w:multiLevelType w:val="hybridMultilevel"/>
    <w:tmpl w:val="DE4A4F1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3CA2"/>
    <w:rsid w:val="000800AC"/>
    <w:rsid w:val="00080F9E"/>
    <w:rsid w:val="0008230A"/>
    <w:rsid w:val="00082D11"/>
    <w:rsid w:val="00082F81"/>
    <w:rsid w:val="0008542A"/>
    <w:rsid w:val="00086D80"/>
    <w:rsid w:val="000878AA"/>
    <w:rsid w:val="00090D6F"/>
    <w:rsid w:val="00093A9A"/>
    <w:rsid w:val="00093E38"/>
    <w:rsid w:val="00094B9B"/>
    <w:rsid w:val="000950AA"/>
    <w:rsid w:val="00095114"/>
    <w:rsid w:val="000959B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3B7F"/>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2F77"/>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2FA7"/>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57374"/>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246"/>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0E2D"/>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57EA0"/>
    <w:rsid w:val="003606B9"/>
    <w:rsid w:val="0036073F"/>
    <w:rsid w:val="003612FA"/>
    <w:rsid w:val="00361595"/>
    <w:rsid w:val="003618D7"/>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293"/>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110D"/>
    <w:rsid w:val="003E2663"/>
    <w:rsid w:val="003E5E39"/>
    <w:rsid w:val="003E6679"/>
    <w:rsid w:val="003E6D0F"/>
    <w:rsid w:val="003E712E"/>
    <w:rsid w:val="003E7BDC"/>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1B5D"/>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4B32"/>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2A5"/>
    <w:rsid w:val="004C0A9B"/>
    <w:rsid w:val="004C0B60"/>
    <w:rsid w:val="004C20F2"/>
    <w:rsid w:val="004C251E"/>
    <w:rsid w:val="004C33A5"/>
    <w:rsid w:val="004C3F25"/>
    <w:rsid w:val="004C4A6E"/>
    <w:rsid w:val="004C525E"/>
    <w:rsid w:val="004C67E2"/>
    <w:rsid w:val="004C7301"/>
    <w:rsid w:val="004C7A27"/>
    <w:rsid w:val="004D040A"/>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4DDF"/>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B01D9"/>
    <w:rsid w:val="005B1351"/>
    <w:rsid w:val="005B169C"/>
    <w:rsid w:val="005B2DD1"/>
    <w:rsid w:val="005B39B9"/>
    <w:rsid w:val="005B3A49"/>
    <w:rsid w:val="005B5C9F"/>
    <w:rsid w:val="005B6ADF"/>
    <w:rsid w:val="005B773D"/>
    <w:rsid w:val="005B79EA"/>
    <w:rsid w:val="005B7C5D"/>
    <w:rsid w:val="005C06D2"/>
    <w:rsid w:val="005C178C"/>
    <w:rsid w:val="005C1A74"/>
    <w:rsid w:val="005C3294"/>
    <w:rsid w:val="005C3414"/>
    <w:rsid w:val="005C347F"/>
    <w:rsid w:val="005C3C00"/>
    <w:rsid w:val="005C3CF9"/>
    <w:rsid w:val="005C5713"/>
    <w:rsid w:val="005C60A3"/>
    <w:rsid w:val="005C6F55"/>
    <w:rsid w:val="005C7AB3"/>
    <w:rsid w:val="005D2079"/>
    <w:rsid w:val="005D27DD"/>
    <w:rsid w:val="005D3493"/>
    <w:rsid w:val="005D3DD3"/>
    <w:rsid w:val="005D4601"/>
    <w:rsid w:val="005D622E"/>
    <w:rsid w:val="005D7A17"/>
    <w:rsid w:val="005E0C3A"/>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31C6"/>
    <w:rsid w:val="00634476"/>
    <w:rsid w:val="006349FE"/>
    <w:rsid w:val="00635EBF"/>
    <w:rsid w:val="0063650E"/>
    <w:rsid w:val="00637580"/>
    <w:rsid w:val="00637624"/>
    <w:rsid w:val="00640146"/>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1C1"/>
    <w:rsid w:val="00685689"/>
    <w:rsid w:val="0068594B"/>
    <w:rsid w:val="00686206"/>
    <w:rsid w:val="0068628C"/>
    <w:rsid w:val="00686B04"/>
    <w:rsid w:val="00686CF0"/>
    <w:rsid w:val="00687D53"/>
    <w:rsid w:val="00687DDB"/>
    <w:rsid w:val="006901FA"/>
    <w:rsid w:val="00690ED0"/>
    <w:rsid w:val="00691384"/>
    <w:rsid w:val="00693427"/>
    <w:rsid w:val="006945DE"/>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C7A0F"/>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4DF4"/>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31BA"/>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77F7"/>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2415"/>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4CF9"/>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5F17"/>
    <w:rsid w:val="008560F4"/>
    <w:rsid w:val="00856B0A"/>
    <w:rsid w:val="00857175"/>
    <w:rsid w:val="00857D29"/>
    <w:rsid w:val="00860A1E"/>
    <w:rsid w:val="00860FE6"/>
    <w:rsid w:val="00861622"/>
    <w:rsid w:val="0086256E"/>
    <w:rsid w:val="008628FF"/>
    <w:rsid w:val="008632C8"/>
    <w:rsid w:val="00863C06"/>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A"/>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54A"/>
    <w:rsid w:val="008B5AB4"/>
    <w:rsid w:val="008B7FFE"/>
    <w:rsid w:val="008C0446"/>
    <w:rsid w:val="008C10D7"/>
    <w:rsid w:val="008C1DF4"/>
    <w:rsid w:val="008C22E9"/>
    <w:rsid w:val="008C2B3C"/>
    <w:rsid w:val="008C41A7"/>
    <w:rsid w:val="008C57F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2163"/>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2A50"/>
    <w:rsid w:val="009C3701"/>
    <w:rsid w:val="009C6373"/>
    <w:rsid w:val="009C6E90"/>
    <w:rsid w:val="009D2384"/>
    <w:rsid w:val="009D3240"/>
    <w:rsid w:val="009D3A6E"/>
    <w:rsid w:val="009D4C7C"/>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6388"/>
    <w:rsid w:val="00A56EAE"/>
    <w:rsid w:val="00A572BC"/>
    <w:rsid w:val="00A574DE"/>
    <w:rsid w:val="00A61049"/>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204"/>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134F"/>
    <w:rsid w:val="00AC22B5"/>
    <w:rsid w:val="00AC37C3"/>
    <w:rsid w:val="00AC3924"/>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012D"/>
    <w:rsid w:val="00AF1F04"/>
    <w:rsid w:val="00AF3D59"/>
    <w:rsid w:val="00AF55B0"/>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57EBA"/>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9C2"/>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5B61"/>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440"/>
    <w:rsid w:val="00BD1076"/>
    <w:rsid w:val="00BD1B67"/>
    <w:rsid w:val="00BD335B"/>
    <w:rsid w:val="00BD33B6"/>
    <w:rsid w:val="00BD39BA"/>
    <w:rsid w:val="00BD3D7F"/>
    <w:rsid w:val="00BD4097"/>
    <w:rsid w:val="00BD4E41"/>
    <w:rsid w:val="00BD4F5D"/>
    <w:rsid w:val="00BD58CA"/>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525"/>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656"/>
    <w:rsid w:val="00C75A73"/>
    <w:rsid w:val="00C75D27"/>
    <w:rsid w:val="00C7703D"/>
    <w:rsid w:val="00C77598"/>
    <w:rsid w:val="00C77C19"/>
    <w:rsid w:val="00C80034"/>
    <w:rsid w:val="00C80BCE"/>
    <w:rsid w:val="00C80C1E"/>
    <w:rsid w:val="00C82032"/>
    <w:rsid w:val="00C83EA7"/>
    <w:rsid w:val="00C84559"/>
    <w:rsid w:val="00C8486C"/>
    <w:rsid w:val="00C85EC8"/>
    <w:rsid w:val="00C862C4"/>
    <w:rsid w:val="00C869B2"/>
    <w:rsid w:val="00C86B34"/>
    <w:rsid w:val="00C870F6"/>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31A5"/>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8DC"/>
    <w:rsid w:val="00D17C3D"/>
    <w:rsid w:val="00D225CB"/>
    <w:rsid w:val="00D240B5"/>
    <w:rsid w:val="00D25A9F"/>
    <w:rsid w:val="00D26101"/>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782"/>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2C66"/>
    <w:rsid w:val="00DE347A"/>
    <w:rsid w:val="00DE3A31"/>
    <w:rsid w:val="00DE7DDA"/>
    <w:rsid w:val="00DE7E44"/>
    <w:rsid w:val="00DF09E6"/>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673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54B0"/>
    <w:rsid w:val="00E37290"/>
    <w:rsid w:val="00E37A8D"/>
    <w:rsid w:val="00E42F84"/>
    <w:rsid w:val="00E43ABE"/>
    <w:rsid w:val="00E43DA5"/>
    <w:rsid w:val="00E445BD"/>
    <w:rsid w:val="00E45726"/>
    <w:rsid w:val="00E457C2"/>
    <w:rsid w:val="00E47A5F"/>
    <w:rsid w:val="00E507A5"/>
    <w:rsid w:val="00E50F87"/>
    <w:rsid w:val="00E51DFC"/>
    <w:rsid w:val="00E51E1E"/>
    <w:rsid w:val="00E522DC"/>
    <w:rsid w:val="00E528D2"/>
    <w:rsid w:val="00E54E89"/>
    <w:rsid w:val="00E561D7"/>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0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759"/>
    <w:rsid w:val="00ED29ED"/>
    <w:rsid w:val="00ED4587"/>
    <w:rsid w:val="00ED512E"/>
    <w:rsid w:val="00ED5477"/>
    <w:rsid w:val="00ED5AF4"/>
    <w:rsid w:val="00ED687C"/>
    <w:rsid w:val="00ED7401"/>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07F30"/>
    <w:rsid w:val="00F10319"/>
    <w:rsid w:val="00F10D6B"/>
    <w:rsid w:val="00F126D9"/>
    <w:rsid w:val="00F12CDC"/>
    <w:rsid w:val="00F13E45"/>
    <w:rsid w:val="00F147C6"/>
    <w:rsid w:val="00F15162"/>
    <w:rsid w:val="00F15D5F"/>
    <w:rsid w:val="00F160E5"/>
    <w:rsid w:val="00F16381"/>
    <w:rsid w:val="00F21705"/>
    <w:rsid w:val="00F21903"/>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8D6"/>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0B"/>
    <w:rsid w:val="00FA4835"/>
    <w:rsid w:val="00FA5AE3"/>
    <w:rsid w:val="00FA73DD"/>
    <w:rsid w:val="00FB0E32"/>
    <w:rsid w:val="00FB139B"/>
    <w:rsid w:val="00FB13C2"/>
    <w:rsid w:val="00FB1677"/>
    <w:rsid w:val="00FB1953"/>
    <w:rsid w:val="00FB380D"/>
    <w:rsid w:val="00FB76C5"/>
    <w:rsid w:val="00FC0249"/>
    <w:rsid w:val="00FC026A"/>
    <w:rsid w:val="00FC214C"/>
    <w:rsid w:val="00FC2414"/>
    <w:rsid w:val="00FC2479"/>
    <w:rsid w:val="00FC2C4D"/>
    <w:rsid w:val="00FC3245"/>
    <w:rsid w:val="00FC35FD"/>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2E33"/>
    <w:rsid w:val="00FE3280"/>
    <w:rsid w:val="00FE3AFE"/>
    <w:rsid w:val="00FE4790"/>
    <w:rsid w:val="00FE49E3"/>
    <w:rsid w:val="00FE4E1B"/>
    <w:rsid w:val="00FE6019"/>
    <w:rsid w:val="00FE7904"/>
    <w:rsid w:val="00FE79C6"/>
    <w:rsid w:val="00FF0139"/>
    <w:rsid w:val="00FF0AD1"/>
    <w:rsid w:val="00FF1A04"/>
    <w:rsid w:val="00FF1C4A"/>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FFFE8A14-BDCF-7746-AB62-CA1D4F1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EBF"/>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5F17"/>
    <w:pPr>
      <w:tabs>
        <w:tab w:val="left" w:pos="440"/>
        <w:tab w:val="right" w:leader="dot" w:pos="8828"/>
      </w:tabs>
      <w:spacing w:after="100" w:line="360" w:lineRule="auto"/>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855F17"/>
    <w:pPr>
      <w:tabs>
        <w:tab w:val="right" w:leader="dot" w:pos="9676"/>
      </w:tabs>
      <w:spacing w:after="100" w:line="480" w:lineRule="auto"/>
      <w:ind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3"/>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370501725">
      <w:bodyDiv w:val="1"/>
      <w:marLeft w:val="0"/>
      <w:marRight w:val="0"/>
      <w:marTop w:val="0"/>
      <w:marBottom w:val="0"/>
      <w:divBdr>
        <w:top w:val="none" w:sz="0" w:space="0" w:color="auto"/>
        <w:left w:val="none" w:sz="0" w:space="0" w:color="auto"/>
        <w:bottom w:val="none" w:sz="0" w:space="0" w:color="auto"/>
        <w:right w:val="none" w:sz="0" w:space="0" w:color="auto"/>
      </w:divBdr>
    </w:div>
    <w:div w:id="40811914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45092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04727000">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1759514">
      <w:bodyDiv w:val="1"/>
      <w:marLeft w:val="0"/>
      <w:marRight w:val="0"/>
      <w:marTop w:val="0"/>
      <w:marBottom w:val="0"/>
      <w:divBdr>
        <w:top w:val="none" w:sz="0" w:space="0" w:color="auto"/>
        <w:left w:val="none" w:sz="0" w:space="0" w:color="auto"/>
        <w:bottom w:val="none" w:sz="0" w:space="0" w:color="auto"/>
        <w:right w:val="none" w:sz="0" w:space="0" w:color="auto"/>
      </w:divBdr>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54831077">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53885431">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8226.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07266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261D-59C9-47FF-8635-286646F9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5774</Words>
  <Characters>31759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2019-01-16T02:59:00Z</cp:lastPrinted>
  <dcterms:created xsi:type="dcterms:W3CDTF">2021-03-19T02:23:00Z</dcterms:created>
  <dcterms:modified xsi:type="dcterms:W3CDTF">2021-05-07T03:20:00Z</dcterms:modified>
</cp:coreProperties>
</file>