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653A3" w14:textId="542A287C" w:rsidR="005000AA" w:rsidRPr="00624AAD" w:rsidRDefault="005000AA" w:rsidP="005000AA">
      <w:pPr>
        <w:spacing w:before="240" w:after="240" w:line="360" w:lineRule="auto"/>
        <w:jc w:val="center"/>
        <w:rPr>
          <w:rFonts w:ascii="Palatino Linotype" w:hAnsi="Palatino Linotype"/>
          <w:sz w:val="24"/>
          <w:szCs w:val="24"/>
        </w:rPr>
      </w:pPr>
      <w:bookmarkStart w:id="0" w:name="_GoBack"/>
      <w:bookmarkEnd w:id="0"/>
      <w:r w:rsidRPr="00624AAD">
        <w:rPr>
          <w:rFonts w:ascii="Palatino Linotype" w:hAnsi="Palatino Linotype"/>
          <w:b/>
          <w:sz w:val="24"/>
          <w:szCs w:val="24"/>
        </w:rPr>
        <w:t>Índice</w:t>
      </w:r>
      <w:r w:rsidRPr="00624AAD">
        <w:rPr>
          <w:rFonts w:ascii="Palatino Linotype" w:hAnsi="Palatino Linotype"/>
          <w:sz w:val="24"/>
          <w:szCs w:val="24"/>
        </w:rPr>
        <w:t>.</w:t>
      </w:r>
      <w:r w:rsidR="00791665">
        <w:rPr>
          <w:rFonts w:ascii="Palatino Linotype" w:hAnsi="Palatino Linotype"/>
          <w:sz w:val="24"/>
          <w:szCs w:val="24"/>
        </w:rPr>
        <w:t xml:space="preserve"> </w:t>
      </w:r>
    </w:p>
    <w:sdt>
      <w:sdtPr>
        <w:rPr>
          <w:rFonts w:ascii="Times New Roman" w:eastAsiaTheme="minorEastAsia" w:hAnsi="Times New Roman" w:cstheme="minorBidi"/>
          <w:b w:val="0"/>
          <w:sz w:val="20"/>
          <w:szCs w:val="24"/>
          <w:lang w:val="es-ES" w:eastAsia="es-ES"/>
        </w:rPr>
        <w:id w:val="1703668029"/>
        <w:docPartObj>
          <w:docPartGallery w:val="Table of Contents"/>
          <w:docPartUnique/>
        </w:docPartObj>
      </w:sdtPr>
      <w:sdtEndPr>
        <w:rPr>
          <w:rFonts w:eastAsia="Times New Roman" w:cs="Times New Roman"/>
        </w:rPr>
      </w:sdtEndPr>
      <w:sdtContent>
        <w:p w14:paraId="533358D9" w14:textId="77777777" w:rsidR="005000AA" w:rsidRPr="00624AAD" w:rsidRDefault="005000AA" w:rsidP="00380BDB">
          <w:pPr>
            <w:pStyle w:val="TtulodeTDC"/>
            <w:spacing w:line="276" w:lineRule="auto"/>
            <w:rPr>
              <w:szCs w:val="24"/>
            </w:rPr>
          </w:pPr>
        </w:p>
        <w:p w14:paraId="31324191" w14:textId="77777777" w:rsidR="009A323E" w:rsidRPr="009A323E" w:rsidRDefault="005000AA" w:rsidP="009A323E">
          <w:pPr>
            <w:pStyle w:val="TDC1"/>
            <w:spacing w:line="276" w:lineRule="auto"/>
            <w:rPr>
              <w:rFonts w:asciiTheme="minorHAnsi" w:hAnsiTheme="minorHAnsi"/>
              <w:b w:val="0"/>
              <w:bCs w:val="0"/>
              <w:sz w:val="22"/>
              <w:szCs w:val="22"/>
              <w:lang w:val="es-MX" w:eastAsia="es-MX"/>
            </w:rPr>
          </w:pPr>
          <w:r w:rsidRPr="00624AAD">
            <w:rPr>
              <w:b w:val="0"/>
            </w:rPr>
            <w:fldChar w:fldCharType="begin"/>
          </w:r>
          <w:r w:rsidRPr="00624AAD">
            <w:rPr>
              <w:b w:val="0"/>
            </w:rPr>
            <w:instrText xml:space="preserve"> TOC \o "1-3" \h \z \u </w:instrText>
          </w:r>
          <w:r w:rsidRPr="00624AAD">
            <w:rPr>
              <w:b w:val="0"/>
            </w:rPr>
            <w:fldChar w:fldCharType="separate"/>
          </w:r>
          <w:hyperlink w:anchor="_Toc85735106" w:history="1">
            <w:r w:rsidR="009A323E" w:rsidRPr="009A323E">
              <w:rPr>
                <w:rStyle w:val="Hipervnculo"/>
              </w:rPr>
              <w:t>ANTECEDENTES</w:t>
            </w:r>
            <w:r w:rsidR="009A323E" w:rsidRPr="009A323E">
              <w:rPr>
                <w:webHidden/>
              </w:rPr>
              <w:tab/>
            </w:r>
            <w:r w:rsidR="009A323E" w:rsidRPr="009A323E">
              <w:rPr>
                <w:webHidden/>
              </w:rPr>
              <w:fldChar w:fldCharType="begin"/>
            </w:r>
            <w:r w:rsidR="009A323E" w:rsidRPr="009A323E">
              <w:rPr>
                <w:webHidden/>
              </w:rPr>
              <w:instrText xml:space="preserve"> PAGEREF _Toc85735106 \h </w:instrText>
            </w:r>
            <w:r w:rsidR="009A323E" w:rsidRPr="009A323E">
              <w:rPr>
                <w:webHidden/>
              </w:rPr>
            </w:r>
            <w:r w:rsidR="009A323E" w:rsidRPr="009A323E">
              <w:rPr>
                <w:webHidden/>
              </w:rPr>
              <w:fldChar w:fldCharType="separate"/>
            </w:r>
            <w:r w:rsidR="009A323E" w:rsidRPr="009A323E">
              <w:rPr>
                <w:webHidden/>
              </w:rPr>
              <w:t>2</w:t>
            </w:r>
            <w:r w:rsidR="009A323E" w:rsidRPr="009A323E">
              <w:rPr>
                <w:webHidden/>
              </w:rPr>
              <w:fldChar w:fldCharType="end"/>
            </w:r>
          </w:hyperlink>
        </w:p>
        <w:p w14:paraId="700A308A" w14:textId="77777777" w:rsidR="009A323E" w:rsidRPr="009A323E" w:rsidRDefault="00DB7290" w:rsidP="009A323E">
          <w:pPr>
            <w:pStyle w:val="TDC1"/>
            <w:spacing w:line="276" w:lineRule="auto"/>
            <w:rPr>
              <w:rFonts w:asciiTheme="minorHAnsi" w:hAnsiTheme="minorHAnsi"/>
              <w:b w:val="0"/>
              <w:bCs w:val="0"/>
              <w:sz w:val="22"/>
              <w:szCs w:val="22"/>
              <w:lang w:val="es-MX" w:eastAsia="es-MX"/>
            </w:rPr>
          </w:pPr>
          <w:hyperlink w:anchor="_Toc85735107" w:history="1">
            <w:r w:rsidR="009A323E" w:rsidRPr="009A323E">
              <w:rPr>
                <w:rStyle w:val="Hipervnculo"/>
              </w:rPr>
              <w:t>CONSIDERANDO</w:t>
            </w:r>
            <w:r w:rsidR="009A323E" w:rsidRPr="009A323E">
              <w:rPr>
                <w:webHidden/>
              </w:rPr>
              <w:tab/>
            </w:r>
            <w:r w:rsidR="009A323E" w:rsidRPr="009A323E">
              <w:rPr>
                <w:webHidden/>
              </w:rPr>
              <w:fldChar w:fldCharType="begin"/>
            </w:r>
            <w:r w:rsidR="009A323E" w:rsidRPr="009A323E">
              <w:rPr>
                <w:webHidden/>
              </w:rPr>
              <w:instrText xml:space="preserve"> PAGEREF _Toc85735107 \h </w:instrText>
            </w:r>
            <w:r w:rsidR="009A323E" w:rsidRPr="009A323E">
              <w:rPr>
                <w:webHidden/>
              </w:rPr>
            </w:r>
            <w:r w:rsidR="009A323E" w:rsidRPr="009A323E">
              <w:rPr>
                <w:webHidden/>
              </w:rPr>
              <w:fldChar w:fldCharType="separate"/>
            </w:r>
            <w:r w:rsidR="009A323E" w:rsidRPr="009A323E">
              <w:rPr>
                <w:webHidden/>
              </w:rPr>
              <w:t>6</w:t>
            </w:r>
            <w:r w:rsidR="009A323E" w:rsidRPr="009A323E">
              <w:rPr>
                <w:webHidden/>
              </w:rPr>
              <w:fldChar w:fldCharType="end"/>
            </w:r>
          </w:hyperlink>
        </w:p>
        <w:p w14:paraId="51F5084E" w14:textId="77777777" w:rsidR="009A323E" w:rsidRPr="009A323E" w:rsidRDefault="00DB7290" w:rsidP="009A323E">
          <w:pPr>
            <w:pStyle w:val="TDC2"/>
            <w:spacing w:line="276" w:lineRule="auto"/>
            <w:rPr>
              <w:noProof/>
              <w:sz w:val="22"/>
              <w:szCs w:val="22"/>
              <w:lang w:val="es-MX" w:eastAsia="es-MX"/>
            </w:rPr>
          </w:pPr>
          <w:hyperlink w:anchor="_Toc85735108" w:history="1">
            <w:r w:rsidR="009A323E" w:rsidRPr="009A323E">
              <w:rPr>
                <w:rStyle w:val="Hipervnculo"/>
                <w:rFonts w:ascii="Palatino Linotype" w:hAnsi="Palatino Linotype"/>
                <w:b/>
                <w:noProof/>
              </w:rPr>
              <w:t>PRIMERO. De la competencia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_Toc85735108 \h </w:instrText>
            </w:r>
            <w:r w:rsidR="009A323E" w:rsidRPr="009A323E">
              <w:rPr>
                <w:noProof/>
                <w:webHidden/>
              </w:rPr>
            </w:r>
            <w:r w:rsidR="009A323E" w:rsidRPr="009A323E">
              <w:rPr>
                <w:noProof/>
                <w:webHidden/>
              </w:rPr>
              <w:fldChar w:fldCharType="separate"/>
            </w:r>
            <w:r w:rsidR="009A323E" w:rsidRPr="009A323E">
              <w:rPr>
                <w:noProof/>
                <w:webHidden/>
              </w:rPr>
              <w:t>7</w:t>
            </w:r>
            <w:r w:rsidR="009A323E" w:rsidRPr="009A323E">
              <w:rPr>
                <w:noProof/>
                <w:webHidden/>
              </w:rPr>
              <w:fldChar w:fldCharType="end"/>
            </w:r>
          </w:hyperlink>
        </w:p>
        <w:p w14:paraId="404C8103" w14:textId="77777777" w:rsidR="009A323E" w:rsidRPr="009A323E" w:rsidRDefault="00DB7290" w:rsidP="009A323E">
          <w:pPr>
            <w:pStyle w:val="TDC2"/>
            <w:spacing w:line="276" w:lineRule="auto"/>
            <w:rPr>
              <w:noProof/>
              <w:sz w:val="22"/>
              <w:szCs w:val="22"/>
              <w:lang w:val="es-MX" w:eastAsia="es-MX"/>
            </w:rPr>
          </w:pPr>
          <w:hyperlink w:anchor="_Toc85735109" w:history="1">
            <w:r w:rsidR="009A323E" w:rsidRPr="009A323E">
              <w:rPr>
                <w:rStyle w:val="Hipervnculo"/>
                <w:rFonts w:ascii="Palatino Linotype" w:hAnsi="Palatino Linotype"/>
                <w:b/>
                <w:noProof/>
              </w:rPr>
              <w:t>SEGUNDO. De la oportunidad y procedencia.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_Toc85735109 \h </w:instrText>
            </w:r>
            <w:r w:rsidR="009A323E" w:rsidRPr="009A323E">
              <w:rPr>
                <w:noProof/>
                <w:webHidden/>
              </w:rPr>
            </w:r>
            <w:r w:rsidR="009A323E" w:rsidRPr="009A323E">
              <w:rPr>
                <w:noProof/>
                <w:webHidden/>
              </w:rPr>
              <w:fldChar w:fldCharType="separate"/>
            </w:r>
            <w:r w:rsidR="009A323E" w:rsidRPr="009A323E">
              <w:rPr>
                <w:noProof/>
                <w:webHidden/>
              </w:rPr>
              <w:t>8</w:t>
            </w:r>
            <w:r w:rsidR="009A323E" w:rsidRPr="009A323E">
              <w:rPr>
                <w:noProof/>
                <w:webHidden/>
              </w:rPr>
              <w:fldChar w:fldCharType="end"/>
            </w:r>
          </w:hyperlink>
        </w:p>
        <w:p w14:paraId="51FE206A" w14:textId="77777777" w:rsidR="009A323E" w:rsidRPr="009A323E" w:rsidRDefault="00DB7290" w:rsidP="009A323E">
          <w:pPr>
            <w:pStyle w:val="TDC1"/>
            <w:spacing w:line="276" w:lineRule="auto"/>
            <w:rPr>
              <w:rFonts w:asciiTheme="minorHAnsi" w:hAnsiTheme="minorHAnsi"/>
              <w:b w:val="0"/>
              <w:bCs w:val="0"/>
              <w:sz w:val="22"/>
              <w:szCs w:val="22"/>
              <w:lang w:val="es-MX" w:eastAsia="es-MX"/>
            </w:rPr>
          </w:pPr>
          <w:hyperlink w:anchor="_Toc85735110" w:history="1">
            <w:r w:rsidR="009A323E" w:rsidRPr="009A323E">
              <w:rPr>
                <w:rStyle w:val="Hipervnculo"/>
              </w:rPr>
              <w:t>TERCERO. Planteamiento de la Litis</w:t>
            </w:r>
            <w:r w:rsidR="009A323E" w:rsidRPr="009A323E">
              <w:rPr>
                <w:webHidden/>
              </w:rPr>
              <w:tab/>
            </w:r>
            <w:r w:rsidR="009A323E" w:rsidRPr="009A323E">
              <w:rPr>
                <w:webHidden/>
              </w:rPr>
              <w:fldChar w:fldCharType="begin"/>
            </w:r>
            <w:r w:rsidR="009A323E" w:rsidRPr="009A323E">
              <w:rPr>
                <w:webHidden/>
              </w:rPr>
              <w:instrText xml:space="preserve"> PAGEREF _Toc85735110 \h </w:instrText>
            </w:r>
            <w:r w:rsidR="009A323E" w:rsidRPr="009A323E">
              <w:rPr>
                <w:webHidden/>
              </w:rPr>
            </w:r>
            <w:r w:rsidR="009A323E" w:rsidRPr="009A323E">
              <w:rPr>
                <w:webHidden/>
              </w:rPr>
              <w:fldChar w:fldCharType="separate"/>
            </w:r>
            <w:r w:rsidR="009A323E" w:rsidRPr="009A323E">
              <w:rPr>
                <w:webHidden/>
              </w:rPr>
              <w:t>8</w:t>
            </w:r>
            <w:r w:rsidR="009A323E" w:rsidRPr="009A323E">
              <w:rPr>
                <w:webHidden/>
              </w:rPr>
              <w:fldChar w:fldCharType="end"/>
            </w:r>
          </w:hyperlink>
        </w:p>
        <w:p w14:paraId="1D2E518F" w14:textId="77777777" w:rsidR="009A323E" w:rsidRPr="009A323E" w:rsidRDefault="00DB7290" w:rsidP="009A323E">
          <w:pPr>
            <w:pStyle w:val="TDC1"/>
            <w:spacing w:line="276" w:lineRule="auto"/>
            <w:rPr>
              <w:rFonts w:asciiTheme="minorHAnsi" w:hAnsiTheme="minorHAnsi"/>
              <w:b w:val="0"/>
              <w:bCs w:val="0"/>
              <w:sz w:val="22"/>
              <w:szCs w:val="22"/>
              <w:lang w:val="es-MX" w:eastAsia="es-MX"/>
            </w:rPr>
          </w:pPr>
          <w:hyperlink w:anchor="_Toc85735111" w:history="1">
            <w:r w:rsidR="009A323E" w:rsidRPr="009A323E">
              <w:rPr>
                <w:rStyle w:val="Hipervnculo"/>
              </w:rPr>
              <w:t>CUARTO. Estudio y resolución del asunto</w:t>
            </w:r>
            <w:r w:rsidR="009A323E" w:rsidRPr="009A323E">
              <w:rPr>
                <w:webHidden/>
              </w:rPr>
              <w:tab/>
            </w:r>
            <w:r w:rsidR="009A323E" w:rsidRPr="009A323E">
              <w:rPr>
                <w:webHidden/>
              </w:rPr>
              <w:fldChar w:fldCharType="begin"/>
            </w:r>
            <w:r w:rsidR="009A323E" w:rsidRPr="009A323E">
              <w:rPr>
                <w:webHidden/>
              </w:rPr>
              <w:instrText xml:space="preserve"> PAGEREF _Toc85735111 \h </w:instrText>
            </w:r>
            <w:r w:rsidR="009A323E" w:rsidRPr="009A323E">
              <w:rPr>
                <w:webHidden/>
              </w:rPr>
            </w:r>
            <w:r w:rsidR="009A323E" w:rsidRPr="009A323E">
              <w:rPr>
                <w:webHidden/>
              </w:rPr>
              <w:fldChar w:fldCharType="separate"/>
            </w:r>
            <w:r w:rsidR="009A323E" w:rsidRPr="009A323E">
              <w:rPr>
                <w:webHidden/>
              </w:rPr>
              <w:t>9</w:t>
            </w:r>
            <w:r w:rsidR="009A323E" w:rsidRPr="009A323E">
              <w:rPr>
                <w:webHidden/>
              </w:rPr>
              <w:fldChar w:fldCharType="end"/>
            </w:r>
          </w:hyperlink>
        </w:p>
        <w:p w14:paraId="14FBA6A1" w14:textId="77777777" w:rsidR="009A323E" w:rsidRPr="009A323E" w:rsidRDefault="00DB7290" w:rsidP="009A323E">
          <w:pPr>
            <w:pStyle w:val="TDC2"/>
            <w:spacing w:line="276" w:lineRule="auto"/>
            <w:rPr>
              <w:noProof/>
              <w:sz w:val="22"/>
              <w:szCs w:val="22"/>
              <w:lang w:val="es-MX" w:eastAsia="es-MX"/>
            </w:rPr>
          </w:pPr>
          <w:hyperlink w:anchor="_Toc85735112" w:history="1">
            <w:r w:rsidR="009A323E" w:rsidRPr="009A323E">
              <w:rPr>
                <w:rStyle w:val="Hipervnculo"/>
                <w:rFonts w:ascii="Palatino Linotype" w:hAnsi="Palatino Linotype"/>
                <w:b/>
                <w:noProof/>
              </w:rPr>
              <w:t>A.</w:t>
            </w:r>
            <w:r w:rsidR="009A323E" w:rsidRPr="009A323E">
              <w:rPr>
                <w:noProof/>
                <w:sz w:val="22"/>
                <w:szCs w:val="22"/>
                <w:lang w:val="es-MX" w:eastAsia="es-MX"/>
              </w:rPr>
              <w:tab/>
            </w:r>
            <w:r w:rsidR="009A323E" w:rsidRPr="009A323E">
              <w:rPr>
                <w:rStyle w:val="Hipervnculo"/>
                <w:rFonts w:ascii="Palatino Linotype" w:hAnsi="Palatino Linotype"/>
                <w:b/>
                <w:noProof/>
              </w:rPr>
              <w:t>El derecho de acceso a la información.</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_Toc85735112 \h </w:instrText>
            </w:r>
            <w:r w:rsidR="009A323E" w:rsidRPr="009A323E">
              <w:rPr>
                <w:noProof/>
                <w:webHidden/>
              </w:rPr>
            </w:r>
            <w:r w:rsidR="009A323E" w:rsidRPr="009A323E">
              <w:rPr>
                <w:noProof/>
                <w:webHidden/>
              </w:rPr>
              <w:fldChar w:fldCharType="separate"/>
            </w:r>
            <w:r w:rsidR="009A323E" w:rsidRPr="009A323E">
              <w:rPr>
                <w:noProof/>
                <w:webHidden/>
              </w:rPr>
              <w:t>9</w:t>
            </w:r>
            <w:r w:rsidR="009A323E" w:rsidRPr="009A323E">
              <w:rPr>
                <w:noProof/>
                <w:webHidden/>
              </w:rPr>
              <w:fldChar w:fldCharType="end"/>
            </w:r>
          </w:hyperlink>
        </w:p>
        <w:p w14:paraId="15343380" w14:textId="77777777" w:rsidR="009A323E" w:rsidRPr="009A323E" w:rsidRDefault="00DB7290" w:rsidP="009A323E">
          <w:pPr>
            <w:pStyle w:val="TDC2"/>
            <w:spacing w:line="276" w:lineRule="auto"/>
            <w:rPr>
              <w:noProof/>
              <w:sz w:val="22"/>
              <w:szCs w:val="22"/>
              <w:lang w:val="es-MX" w:eastAsia="es-MX"/>
            </w:rPr>
          </w:pPr>
          <w:hyperlink w:anchor="_Toc85735113" w:history="1">
            <w:r w:rsidR="009A323E" w:rsidRPr="009A323E">
              <w:rPr>
                <w:rStyle w:val="Hipervnculo"/>
                <w:rFonts w:ascii="Palatino Linotype" w:hAnsi="Palatino Linotype"/>
                <w:b/>
                <w:noProof/>
              </w:rPr>
              <w:t>B.</w:t>
            </w:r>
            <w:r w:rsidR="009A323E" w:rsidRPr="009A323E">
              <w:rPr>
                <w:noProof/>
                <w:sz w:val="22"/>
                <w:szCs w:val="22"/>
                <w:lang w:val="es-MX" w:eastAsia="es-MX"/>
              </w:rPr>
              <w:tab/>
            </w:r>
            <w:r w:rsidR="009A323E" w:rsidRPr="009A323E">
              <w:rPr>
                <w:rStyle w:val="Hipervnculo"/>
                <w:rFonts w:ascii="Palatino Linotype" w:hAnsi="Palatino Linotype"/>
                <w:b/>
                <w:noProof/>
              </w:rPr>
              <w:t>Fuente Obligacional.</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_Toc85735113 \h </w:instrText>
            </w:r>
            <w:r w:rsidR="009A323E" w:rsidRPr="009A323E">
              <w:rPr>
                <w:noProof/>
                <w:webHidden/>
              </w:rPr>
            </w:r>
            <w:r w:rsidR="009A323E" w:rsidRPr="009A323E">
              <w:rPr>
                <w:noProof/>
                <w:webHidden/>
              </w:rPr>
              <w:fldChar w:fldCharType="separate"/>
            </w:r>
            <w:r w:rsidR="009A323E" w:rsidRPr="009A323E">
              <w:rPr>
                <w:noProof/>
                <w:webHidden/>
              </w:rPr>
              <w:t>16</w:t>
            </w:r>
            <w:r w:rsidR="009A323E" w:rsidRPr="009A323E">
              <w:rPr>
                <w:noProof/>
                <w:webHidden/>
              </w:rPr>
              <w:fldChar w:fldCharType="end"/>
            </w:r>
          </w:hyperlink>
        </w:p>
        <w:p w14:paraId="0EA87425" w14:textId="77777777" w:rsidR="009A323E" w:rsidRPr="009A323E" w:rsidRDefault="00DB7290" w:rsidP="009A323E">
          <w:pPr>
            <w:pStyle w:val="TDC3"/>
            <w:spacing w:line="276" w:lineRule="auto"/>
            <w:rPr>
              <w:noProof/>
              <w:sz w:val="22"/>
              <w:szCs w:val="22"/>
              <w:lang w:val="es-MX" w:eastAsia="es-MX"/>
            </w:rPr>
          </w:pPr>
          <w:hyperlink w:anchor="_Toc85735114" w:history="1">
            <w:r w:rsidR="009A323E" w:rsidRPr="009A323E">
              <w:rPr>
                <w:rStyle w:val="Hipervnculo"/>
                <w:rFonts w:ascii="Palatino Linotype" w:hAnsi="Palatino Linotype"/>
                <w:b/>
                <w:noProof/>
              </w:rPr>
              <w:t>I.</w:t>
            </w:r>
            <w:r w:rsidR="009A323E" w:rsidRPr="009A323E">
              <w:rPr>
                <w:noProof/>
                <w:sz w:val="22"/>
                <w:szCs w:val="22"/>
                <w:lang w:val="es-MX" w:eastAsia="es-MX"/>
              </w:rPr>
              <w:tab/>
            </w:r>
            <w:r w:rsidR="009A323E" w:rsidRPr="009A323E">
              <w:rPr>
                <w:rStyle w:val="Hipervnculo"/>
                <w:rFonts w:ascii="Palatino Linotype" w:hAnsi="Palatino Linotype"/>
                <w:b/>
                <w:noProof/>
              </w:rPr>
              <w:t>De la obligación de transparencia.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_Toc85735114 \h </w:instrText>
            </w:r>
            <w:r w:rsidR="009A323E" w:rsidRPr="009A323E">
              <w:rPr>
                <w:noProof/>
                <w:webHidden/>
              </w:rPr>
            </w:r>
            <w:r w:rsidR="009A323E" w:rsidRPr="009A323E">
              <w:rPr>
                <w:noProof/>
                <w:webHidden/>
              </w:rPr>
              <w:fldChar w:fldCharType="separate"/>
            </w:r>
            <w:r w:rsidR="009A323E" w:rsidRPr="009A323E">
              <w:rPr>
                <w:noProof/>
                <w:webHidden/>
              </w:rPr>
              <w:t>16</w:t>
            </w:r>
            <w:r w:rsidR="009A323E" w:rsidRPr="009A323E">
              <w:rPr>
                <w:noProof/>
                <w:webHidden/>
              </w:rPr>
              <w:fldChar w:fldCharType="end"/>
            </w:r>
          </w:hyperlink>
        </w:p>
        <w:p w14:paraId="6F7C5D38" w14:textId="77777777" w:rsidR="009A323E" w:rsidRPr="009A323E" w:rsidRDefault="00DB7290" w:rsidP="009A323E">
          <w:pPr>
            <w:pStyle w:val="TDC2"/>
            <w:spacing w:line="276" w:lineRule="auto"/>
            <w:rPr>
              <w:noProof/>
              <w:sz w:val="22"/>
              <w:szCs w:val="22"/>
              <w:lang w:val="es-MX" w:eastAsia="es-MX"/>
            </w:rPr>
          </w:pPr>
          <w:hyperlink w:anchor="_Toc85735115" w:history="1">
            <w:r w:rsidR="009A323E" w:rsidRPr="009A323E">
              <w:rPr>
                <w:rStyle w:val="Hipervnculo"/>
                <w:rFonts w:ascii="Palatino Linotype" w:hAnsi="Palatino Linotype"/>
                <w:b/>
                <w:noProof/>
                <w:lang w:eastAsia="en-US"/>
              </w:rPr>
              <w:t>C.</w:t>
            </w:r>
            <w:r w:rsidR="009A323E" w:rsidRPr="009A323E">
              <w:rPr>
                <w:noProof/>
                <w:sz w:val="22"/>
                <w:szCs w:val="22"/>
                <w:lang w:val="es-MX" w:eastAsia="es-MX"/>
              </w:rPr>
              <w:tab/>
            </w:r>
            <w:r w:rsidR="009A323E" w:rsidRPr="009A323E">
              <w:rPr>
                <w:rStyle w:val="Hipervnculo"/>
                <w:rFonts w:ascii="Palatino Linotype" w:hAnsi="Palatino Linotype"/>
                <w:b/>
                <w:noProof/>
              </w:rPr>
              <w:t>De la Clasificación</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_Toc85735115 \h </w:instrText>
            </w:r>
            <w:r w:rsidR="009A323E" w:rsidRPr="009A323E">
              <w:rPr>
                <w:noProof/>
                <w:webHidden/>
              </w:rPr>
            </w:r>
            <w:r w:rsidR="009A323E" w:rsidRPr="009A323E">
              <w:rPr>
                <w:noProof/>
                <w:webHidden/>
              </w:rPr>
              <w:fldChar w:fldCharType="separate"/>
            </w:r>
            <w:r w:rsidR="009A323E" w:rsidRPr="009A323E">
              <w:rPr>
                <w:noProof/>
                <w:webHidden/>
              </w:rPr>
              <w:t>22</w:t>
            </w:r>
            <w:r w:rsidR="009A323E" w:rsidRPr="009A323E">
              <w:rPr>
                <w:noProof/>
                <w:webHidden/>
              </w:rPr>
              <w:fldChar w:fldCharType="end"/>
            </w:r>
          </w:hyperlink>
        </w:p>
        <w:p w14:paraId="11112CE0" w14:textId="77777777" w:rsidR="009A323E" w:rsidRPr="009A323E" w:rsidRDefault="00DB7290" w:rsidP="009A323E">
          <w:pPr>
            <w:pStyle w:val="TDC3"/>
            <w:spacing w:line="276" w:lineRule="auto"/>
            <w:rPr>
              <w:noProof/>
              <w:sz w:val="22"/>
              <w:szCs w:val="22"/>
              <w:lang w:val="es-MX" w:eastAsia="es-MX"/>
            </w:rPr>
          </w:pPr>
          <w:hyperlink w:anchor="_Toc85735116" w:history="1">
            <w:r w:rsidR="009A323E" w:rsidRPr="009A323E">
              <w:rPr>
                <w:rStyle w:val="Hipervnculo"/>
                <w:rFonts w:ascii="Palatino Linotype" w:hAnsi="Palatino Linotype"/>
                <w:b/>
                <w:noProof/>
              </w:rPr>
              <w:t>a) Requisitos previos.</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_Toc85735116 \h </w:instrText>
            </w:r>
            <w:r w:rsidR="009A323E" w:rsidRPr="009A323E">
              <w:rPr>
                <w:noProof/>
                <w:webHidden/>
              </w:rPr>
            </w:r>
            <w:r w:rsidR="009A323E" w:rsidRPr="009A323E">
              <w:rPr>
                <w:noProof/>
                <w:webHidden/>
              </w:rPr>
              <w:fldChar w:fldCharType="separate"/>
            </w:r>
            <w:r w:rsidR="009A323E" w:rsidRPr="009A323E">
              <w:rPr>
                <w:noProof/>
                <w:webHidden/>
              </w:rPr>
              <w:t>28</w:t>
            </w:r>
            <w:r w:rsidR="009A323E" w:rsidRPr="009A323E">
              <w:rPr>
                <w:noProof/>
                <w:webHidden/>
              </w:rPr>
              <w:fldChar w:fldCharType="end"/>
            </w:r>
          </w:hyperlink>
        </w:p>
        <w:p w14:paraId="5AF346D8" w14:textId="77777777" w:rsidR="009A323E" w:rsidRPr="009A323E" w:rsidRDefault="00DB7290" w:rsidP="009A323E">
          <w:pPr>
            <w:pStyle w:val="TDC3"/>
            <w:spacing w:line="276" w:lineRule="auto"/>
            <w:rPr>
              <w:noProof/>
              <w:sz w:val="22"/>
              <w:szCs w:val="22"/>
              <w:lang w:val="es-MX" w:eastAsia="es-MX"/>
            </w:rPr>
          </w:pPr>
          <w:hyperlink w:anchor="_Toc85735117" w:history="1">
            <w:r w:rsidR="009A323E" w:rsidRPr="009A323E">
              <w:rPr>
                <w:rStyle w:val="Hipervnculo"/>
                <w:rFonts w:ascii="Palatino Linotype" w:hAnsi="Palatino Linotype"/>
                <w:b/>
                <w:noProof/>
              </w:rPr>
              <w:t>b) Supuestos de clasificación.</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_Toc85735117 \h </w:instrText>
            </w:r>
            <w:r w:rsidR="009A323E" w:rsidRPr="009A323E">
              <w:rPr>
                <w:noProof/>
                <w:webHidden/>
              </w:rPr>
            </w:r>
            <w:r w:rsidR="009A323E" w:rsidRPr="009A323E">
              <w:rPr>
                <w:noProof/>
                <w:webHidden/>
              </w:rPr>
              <w:fldChar w:fldCharType="separate"/>
            </w:r>
            <w:r w:rsidR="009A323E" w:rsidRPr="009A323E">
              <w:rPr>
                <w:noProof/>
                <w:webHidden/>
              </w:rPr>
              <w:t>29</w:t>
            </w:r>
            <w:r w:rsidR="009A323E" w:rsidRPr="009A323E">
              <w:rPr>
                <w:noProof/>
                <w:webHidden/>
              </w:rPr>
              <w:fldChar w:fldCharType="end"/>
            </w:r>
          </w:hyperlink>
        </w:p>
        <w:p w14:paraId="41F1B285" w14:textId="77777777" w:rsidR="009A323E" w:rsidRPr="009A323E" w:rsidRDefault="00DB7290" w:rsidP="009A323E">
          <w:pPr>
            <w:pStyle w:val="TDC3"/>
            <w:spacing w:line="276" w:lineRule="auto"/>
            <w:rPr>
              <w:noProof/>
              <w:sz w:val="22"/>
              <w:szCs w:val="22"/>
              <w:lang w:val="es-MX" w:eastAsia="es-MX"/>
            </w:rPr>
          </w:pPr>
          <w:hyperlink w:anchor="_Toc85735118" w:history="1">
            <w:r w:rsidR="009A323E" w:rsidRPr="009A323E">
              <w:rPr>
                <w:rStyle w:val="Hipervnculo"/>
                <w:rFonts w:ascii="Palatino Linotype" w:hAnsi="Palatino Linotype"/>
                <w:b/>
                <w:noProof/>
              </w:rPr>
              <w:t>c) La intervención del Comité de Transparencia.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_Toc85735118 \h </w:instrText>
            </w:r>
            <w:r w:rsidR="009A323E" w:rsidRPr="009A323E">
              <w:rPr>
                <w:noProof/>
                <w:webHidden/>
              </w:rPr>
            </w:r>
            <w:r w:rsidR="009A323E" w:rsidRPr="009A323E">
              <w:rPr>
                <w:noProof/>
                <w:webHidden/>
              </w:rPr>
              <w:fldChar w:fldCharType="separate"/>
            </w:r>
            <w:r w:rsidR="009A323E" w:rsidRPr="009A323E">
              <w:rPr>
                <w:noProof/>
                <w:webHidden/>
              </w:rPr>
              <w:t>30</w:t>
            </w:r>
            <w:r w:rsidR="009A323E" w:rsidRPr="009A323E">
              <w:rPr>
                <w:noProof/>
                <w:webHidden/>
              </w:rPr>
              <w:fldChar w:fldCharType="end"/>
            </w:r>
          </w:hyperlink>
        </w:p>
        <w:p w14:paraId="705A814A" w14:textId="77777777" w:rsidR="009A323E" w:rsidRPr="009A323E" w:rsidRDefault="00DB7290" w:rsidP="009A323E">
          <w:pPr>
            <w:pStyle w:val="TDC2"/>
            <w:spacing w:line="276" w:lineRule="auto"/>
            <w:rPr>
              <w:noProof/>
              <w:sz w:val="22"/>
              <w:szCs w:val="22"/>
              <w:lang w:val="es-MX" w:eastAsia="es-MX"/>
            </w:rPr>
          </w:pPr>
          <w:hyperlink w:anchor="_Toc85735119" w:history="1">
            <w:r w:rsidR="009A323E" w:rsidRPr="009A323E">
              <w:rPr>
                <w:rStyle w:val="Hipervnculo"/>
                <w:rFonts w:ascii="Palatino Linotype" w:hAnsi="Palatino Linotype"/>
                <w:b/>
                <w:noProof/>
              </w:rPr>
              <w:t>D.</w:t>
            </w:r>
            <w:r w:rsidR="009A323E" w:rsidRPr="009A323E">
              <w:rPr>
                <w:noProof/>
                <w:sz w:val="22"/>
                <w:szCs w:val="22"/>
                <w:lang w:val="es-MX" w:eastAsia="es-MX"/>
              </w:rPr>
              <w:tab/>
            </w:r>
            <w:r w:rsidR="009A323E" w:rsidRPr="009A323E">
              <w:rPr>
                <w:rStyle w:val="Hipervnculo"/>
                <w:rFonts w:ascii="Palatino Linotype" w:hAnsi="Palatino Linotype"/>
                <w:b/>
                <w:noProof/>
              </w:rPr>
              <w:t>De la confidencialidad.</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_Toc85735119 \h </w:instrText>
            </w:r>
            <w:r w:rsidR="009A323E" w:rsidRPr="009A323E">
              <w:rPr>
                <w:noProof/>
                <w:webHidden/>
              </w:rPr>
            </w:r>
            <w:r w:rsidR="009A323E" w:rsidRPr="009A323E">
              <w:rPr>
                <w:noProof/>
                <w:webHidden/>
              </w:rPr>
              <w:fldChar w:fldCharType="separate"/>
            </w:r>
            <w:r w:rsidR="009A323E" w:rsidRPr="009A323E">
              <w:rPr>
                <w:noProof/>
                <w:webHidden/>
              </w:rPr>
              <w:t>40</w:t>
            </w:r>
            <w:r w:rsidR="009A323E" w:rsidRPr="009A323E">
              <w:rPr>
                <w:noProof/>
                <w:webHidden/>
              </w:rPr>
              <w:fldChar w:fldCharType="end"/>
            </w:r>
          </w:hyperlink>
        </w:p>
        <w:p w14:paraId="5B1EE014" w14:textId="77777777" w:rsidR="009A323E" w:rsidRPr="009A323E" w:rsidRDefault="00DB7290" w:rsidP="009A323E">
          <w:pPr>
            <w:pStyle w:val="TDC2"/>
            <w:spacing w:line="276" w:lineRule="auto"/>
            <w:rPr>
              <w:noProof/>
              <w:sz w:val="22"/>
              <w:szCs w:val="22"/>
              <w:lang w:val="es-MX" w:eastAsia="es-MX"/>
            </w:rPr>
          </w:pPr>
          <w:hyperlink w:anchor="_Toc85735120" w:history="1">
            <w:r w:rsidR="009A323E" w:rsidRPr="009A323E">
              <w:rPr>
                <w:rStyle w:val="Hipervnculo"/>
                <w:rFonts w:ascii="Palatino Linotype" w:hAnsi="Palatino Linotype"/>
                <w:b/>
                <w:noProof/>
              </w:rPr>
              <w:t>E.</w:t>
            </w:r>
            <w:r w:rsidR="009A323E" w:rsidRPr="009A323E">
              <w:rPr>
                <w:noProof/>
                <w:sz w:val="22"/>
                <w:szCs w:val="22"/>
                <w:lang w:val="es-MX" w:eastAsia="es-MX"/>
              </w:rPr>
              <w:tab/>
            </w:r>
            <w:r w:rsidR="009A323E" w:rsidRPr="009A323E">
              <w:rPr>
                <w:rStyle w:val="Hipervnculo"/>
                <w:rFonts w:ascii="Palatino Linotype" w:hAnsi="Palatino Linotype"/>
                <w:b/>
                <w:noProof/>
              </w:rPr>
              <w:t>De la reserva.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_Toc85735120 \h </w:instrText>
            </w:r>
            <w:r w:rsidR="009A323E" w:rsidRPr="009A323E">
              <w:rPr>
                <w:noProof/>
                <w:webHidden/>
              </w:rPr>
            </w:r>
            <w:r w:rsidR="009A323E" w:rsidRPr="009A323E">
              <w:rPr>
                <w:noProof/>
                <w:webHidden/>
              </w:rPr>
              <w:fldChar w:fldCharType="separate"/>
            </w:r>
            <w:r w:rsidR="009A323E" w:rsidRPr="009A323E">
              <w:rPr>
                <w:noProof/>
                <w:webHidden/>
              </w:rPr>
              <w:t>43</w:t>
            </w:r>
            <w:r w:rsidR="009A323E" w:rsidRPr="009A323E">
              <w:rPr>
                <w:noProof/>
                <w:webHidden/>
              </w:rPr>
              <w:fldChar w:fldCharType="end"/>
            </w:r>
          </w:hyperlink>
        </w:p>
        <w:p w14:paraId="4A874432" w14:textId="77777777" w:rsidR="009A323E" w:rsidRPr="009A323E" w:rsidRDefault="00DB7290" w:rsidP="009A323E">
          <w:pPr>
            <w:pStyle w:val="TDC3"/>
            <w:spacing w:line="276" w:lineRule="auto"/>
            <w:rPr>
              <w:noProof/>
              <w:sz w:val="22"/>
              <w:szCs w:val="22"/>
              <w:lang w:val="es-MX" w:eastAsia="es-MX"/>
            </w:rPr>
          </w:pPr>
          <w:hyperlink w:anchor="_Toc85735121" w:history="1">
            <w:r w:rsidR="009A323E" w:rsidRPr="009A323E">
              <w:rPr>
                <w:rStyle w:val="Hipervnculo"/>
                <w:rFonts w:ascii="Palatino Linotype" w:hAnsi="Palatino Linotype"/>
                <w:b/>
                <w:bCs/>
                <w:noProof/>
              </w:rPr>
              <w:t>I. Condiciones especiales de la clasificación de la información como reservada</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_Toc85735121 \h </w:instrText>
            </w:r>
            <w:r w:rsidR="009A323E" w:rsidRPr="009A323E">
              <w:rPr>
                <w:noProof/>
                <w:webHidden/>
              </w:rPr>
            </w:r>
            <w:r w:rsidR="009A323E" w:rsidRPr="009A323E">
              <w:rPr>
                <w:noProof/>
                <w:webHidden/>
              </w:rPr>
              <w:fldChar w:fldCharType="separate"/>
            </w:r>
            <w:r w:rsidR="009A323E" w:rsidRPr="009A323E">
              <w:rPr>
                <w:noProof/>
                <w:webHidden/>
              </w:rPr>
              <w:t>46</w:t>
            </w:r>
            <w:r w:rsidR="009A323E" w:rsidRPr="009A323E">
              <w:rPr>
                <w:noProof/>
                <w:webHidden/>
              </w:rPr>
              <w:fldChar w:fldCharType="end"/>
            </w:r>
          </w:hyperlink>
        </w:p>
        <w:p w14:paraId="424FFF57" w14:textId="77777777" w:rsidR="009A323E" w:rsidRPr="009A323E" w:rsidRDefault="00DB7290" w:rsidP="009A323E">
          <w:pPr>
            <w:pStyle w:val="TDC3"/>
            <w:spacing w:line="276" w:lineRule="auto"/>
            <w:rPr>
              <w:noProof/>
              <w:sz w:val="22"/>
              <w:szCs w:val="22"/>
              <w:lang w:val="es-MX" w:eastAsia="es-MX"/>
            </w:rPr>
          </w:pPr>
          <w:hyperlink w:anchor="_Toc85735122" w:history="1">
            <w:r w:rsidR="009A323E" w:rsidRPr="009A323E">
              <w:rPr>
                <w:rStyle w:val="Hipervnculo"/>
                <w:rFonts w:ascii="Palatino Linotype" w:hAnsi="Palatino Linotype"/>
                <w:b/>
                <w:bCs/>
                <w:noProof/>
              </w:rPr>
              <w:t>II. Lineamientos Generales en materia de Clasificación y desclasificación de la información, así como para la elaboración de versiones públicas.</w:t>
            </w:r>
            <w:r w:rsidR="009A323E" w:rsidRPr="009A323E">
              <w:rPr>
                <w:noProof/>
                <w:webHidden/>
              </w:rPr>
              <w:tab/>
            </w:r>
            <w:r w:rsidR="009A323E" w:rsidRPr="009A323E">
              <w:rPr>
                <w:noProof/>
                <w:webHidden/>
              </w:rPr>
              <w:fldChar w:fldCharType="begin"/>
            </w:r>
            <w:r w:rsidR="009A323E" w:rsidRPr="009A323E">
              <w:rPr>
                <w:noProof/>
                <w:webHidden/>
              </w:rPr>
              <w:instrText xml:space="preserve"> PAGEREF _Toc85735122 \h </w:instrText>
            </w:r>
            <w:r w:rsidR="009A323E" w:rsidRPr="009A323E">
              <w:rPr>
                <w:noProof/>
                <w:webHidden/>
              </w:rPr>
            </w:r>
            <w:r w:rsidR="009A323E" w:rsidRPr="009A323E">
              <w:rPr>
                <w:noProof/>
                <w:webHidden/>
              </w:rPr>
              <w:fldChar w:fldCharType="separate"/>
            </w:r>
            <w:r w:rsidR="009A323E" w:rsidRPr="009A323E">
              <w:rPr>
                <w:noProof/>
                <w:webHidden/>
              </w:rPr>
              <w:t>52</w:t>
            </w:r>
            <w:r w:rsidR="009A323E" w:rsidRPr="009A323E">
              <w:rPr>
                <w:noProof/>
                <w:webHidden/>
              </w:rPr>
              <w:fldChar w:fldCharType="end"/>
            </w:r>
          </w:hyperlink>
        </w:p>
        <w:p w14:paraId="120389E5" w14:textId="77777777" w:rsidR="009A323E" w:rsidRPr="009A323E" w:rsidRDefault="00DB7290" w:rsidP="009A323E">
          <w:pPr>
            <w:pStyle w:val="TDC1"/>
            <w:spacing w:line="276" w:lineRule="auto"/>
            <w:rPr>
              <w:rFonts w:asciiTheme="minorHAnsi" w:hAnsiTheme="minorHAnsi"/>
              <w:b w:val="0"/>
              <w:bCs w:val="0"/>
              <w:sz w:val="22"/>
              <w:szCs w:val="22"/>
              <w:lang w:val="es-MX" w:eastAsia="es-MX"/>
            </w:rPr>
          </w:pPr>
          <w:hyperlink w:anchor="_Toc85735123" w:history="1">
            <w:r w:rsidR="009A323E" w:rsidRPr="009A323E">
              <w:rPr>
                <w:rStyle w:val="Hipervnculo"/>
                <w:rFonts w:eastAsia="Calibri"/>
              </w:rPr>
              <w:t>QUINTO. DECISIÓN.</w:t>
            </w:r>
            <w:r w:rsidR="009A323E" w:rsidRPr="009A323E">
              <w:rPr>
                <w:webHidden/>
              </w:rPr>
              <w:tab/>
            </w:r>
            <w:r w:rsidR="009A323E" w:rsidRPr="009A323E">
              <w:rPr>
                <w:webHidden/>
              </w:rPr>
              <w:fldChar w:fldCharType="begin"/>
            </w:r>
            <w:r w:rsidR="009A323E" w:rsidRPr="009A323E">
              <w:rPr>
                <w:webHidden/>
              </w:rPr>
              <w:instrText xml:space="preserve"> PAGEREF _Toc85735123 \h </w:instrText>
            </w:r>
            <w:r w:rsidR="009A323E" w:rsidRPr="009A323E">
              <w:rPr>
                <w:webHidden/>
              </w:rPr>
            </w:r>
            <w:r w:rsidR="009A323E" w:rsidRPr="009A323E">
              <w:rPr>
                <w:webHidden/>
              </w:rPr>
              <w:fldChar w:fldCharType="separate"/>
            </w:r>
            <w:r w:rsidR="009A323E" w:rsidRPr="009A323E">
              <w:rPr>
                <w:webHidden/>
              </w:rPr>
              <w:t>60</w:t>
            </w:r>
            <w:r w:rsidR="009A323E" w:rsidRPr="009A323E">
              <w:rPr>
                <w:webHidden/>
              </w:rPr>
              <w:fldChar w:fldCharType="end"/>
            </w:r>
          </w:hyperlink>
        </w:p>
        <w:p w14:paraId="2CCDCF23" w14:textId="77777777" w:rsidR="009A323E" w:rsidRPr="009A323E" w:rsidRDefault="00DB7290" w:rsidP="009A323E">
          <w:pPr>
            <w:pStyle w:val="TDC1"/>
            <w:spacing w:line="276" w:lineRule="auto"/>
            <w:rPr>
              <w:rFonts w:asciiTheme="minorHAnsi" w:hAnsiTheme="minorHAnsi"/>
              <w:b w:val="0"/>
              <w:bCs w:val="0"/>
              <w:sz w:val="22"/>
              <w:szCs w:val="22"/>
              <w:lang w:val="es-MX" w:eastAsia="es-MX"/>
            </w:rPr>
          </w:pPr>
          <w:hyperlink w:anchor="_Toc85735124" w:history="1">
            <w:r w:rsidR="009A323E" w:rsidRPr="009A323E">
              <w:rPr>
                <w:rStyle w:val="Hipervnculo"/>
              </w:rPr>
              <w:t>R E S O L U T I V O S</w:t>
            </w:r>
            <w:r w:rsidR="009A323E" w:rsidRPr="009A323E">
              <w:rPr>
                <w:webHidden/>
              </w:rPr>
              <w:tab/>
            </w:r>
            <w:r w:rsidR="009A323E" w:rsidRPr="009A323E">
              <w:rPr>
                <w:webHidden/>
              </w:rPr>
              <w:fldChar w:fldCharType="begin"/>
            </w:r>
            <w:r w:rsidR="009A323E" w:rsidRPr="009A323E">
              <w:rPr>
                <w:webHidden/>
              </w:rPr>
              <w:instrText xml:space="preserve"> PAGEREF _Toc85735124 \h </w:instrText>
            </w:r>
            <w:r w:rsidR="009A323E" w:rsidRPr="009A323E">
              <w:rPr>
                <w:webHidden/>
              </w:rPr>
            </w:r>
            <w:r w:rsidR="009A323E" w:rsidRPr="009A323E">
              <w:rPr>
                <w:webHidden/>
              </w:rPr>
              <w:fldChar w:fldCharType="separate"/>
            </w:r>
            <w:r w:rsidR="009A323E" w:rsidRPr="009A323E">
              <w:rPr>
                <w:webHidden/>
              </w:rPr>
              <w:t>62</w:t>
            </w:r>
            <w:r w:rsidR="009A323E" w:rsidRPr="009A323E">
              <w:rPr>
                <w:webHidden/>
              </w:rPr>
              <w:fldChar w:fldCharType="end"/>
            </w:r>
          </w:hyperlink>
        </w:p>
        <w:p w14:paraId="19723959" w14:textId="77777777" w:rsidR="005000AA" w:rsidRPr="00624AAD" w:rsidRDefault="005000AA" w:rsidP="00380BDB">
          <w:pPr>
            <w:spacing w:line="276" w:lineRule="auto"/>
            <w:rPr>
              <w:rFonts w:ascii="Palatino Linotype" w:hAnsi="Palatino Linotype"/>
              <w:sz w:val="24"/>
              <w:szCs w:val="24"/>
              <w:lang w:val="es-ES_tradnl"/>
            </w:rPr>
          </w:pPr>
          <w:r w:rsidRPr="00624AAD">
            <w:rPr>
              <w:rFonts w:ascii="Palatino Linotype" w:hAnsi="Palatino Linotype"/>
              <w:b/>
              <w:bCs/>
              <w:sz w:val="24"/>
              <w:szCs w:val="24"/>
              <w:lang w:val="es-ES"/>
            </w:rPr>
            <w:fldChar w:fldCharType="end"/>
          </w:r>
        </w:p>
      </w:sdtContent>
    </w:sdt>
    <w:p w14:paraId="560EA861" w14:textId="77777777" w:rsidR="009A323E" w:rsidRDefault="009A323E" w:rsidP="005000AA">
      <w:pPr>
        <w:spacing w:before="240" w:after="240" w:line="360" w:lineRule="auto"/>
        <w:jc w:val="both"/>
        <w:rPr>
          <w:rFonts w:ascii="Palatino Linotype" w:hAnsi="Palatino Linotype"/>
          <w:sz w:val="24"/>
          <w:szCs w:val="24"/>
        </w:rPr>
      </w:pPr>
    </w:p>
    <w:p w14:paraId="43847B78" w14:textId="6599E150"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lastRenderedPageBreak/>
        <w:t xml:space="preserve">Resolución del Pleno del Instituto de Transparencia, Acceso a la Información Pública y Protección de Datos Personales del Estado de México y Municipios, con domicilio en Metepec, Estado de México; de </w:t>
      </w:r>
      <w:r w:rsidR="00BE6E79" w:rsidRPr="00E150A8">
        <w:rPr>
          <w:rFonts w:ascii="Palatino Linotype" w:hAnsi="Palatino Linotype"/>
          <w:sz w:val="24"/>
          <w:szCs w:val="24"/>
        </w:rPr>
        <w:t>veintisiete</w:t>
      </w:r>
      <w:r w:rsidRPr="00E150A8">
        <w:rPr>
          <w:rFonts w:ascii="Palatino Linotype" w:hAnsi="Palatino Linotype"/>
          <w:sz w:val="24"/>
          <w:szCs w:val="24"/>
        </w:rPr>
        <w:t xml:space="preserve"> (</w:t>
      </w:r>
      <w:r w:rsidR="00BE6E79" w:rsidRPr="00E150A8">
        <w:rPr>
          <w:rFonts w:ascii="Palatino Linotype" w:hAnsi="Palatino Linotype"/>
          <w:sz w:val="24"/>
          <w:szCs w:val="24"/>
        </w:rPr>
        <w:t>27) de octubre</w:t>
      </w:r>
      <w:r w:rsidRPr="00E150A8">
        <w:rPr>
          <w:rFonts w:ascii="Palatino Linotype" w:hAnsi="Palatino Linotype"/>
          <w:sz w:val="24"/>
          <w:szCs w:val="24"/>
        </w:rPr>
        <w:t xml:space="preserve"> de dos mil veintiuno.</w:t>
      </w:r>
    </w:p>
    <w:p w14:paraId="4C818016" w14:textId="446E3BAA"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BE6E79">
        <w:rPr>
          <w:rFonts w:ascii="Palatino Linotype" w:hAnsi="Palatino Linotype" w:cs="Arial"/>
          <w:b/>
          <w:bCs/>
          <w:sz w:val="24"/>
          <w:szCs w:val="24"/>
          <w:lang w:eastAsia="es-MX"/>
        </w:rPr>
        <w:t>04438</w:t>
      </w:r>
      <w:r w:rsidRPr="00624AAD">
        <w:rPr>
          <w:rFonts w:ascii="Palatino Linotype" w:hAnsi="Palatino Linotype" w:cs="Arial"/>
          <w:b/>
          <w:bCs/>
          <w:sz w:val="24"/>
          <w:szCs w:val="24"/>
          <w:lang w:eastAsia="es-MX"/>
        </w:rPr>
        <w:t>/INFOEM/IP/RR/2021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BE6E79">
        <w:rPr>
          <w:rFonts w:ascii="Palatino Linotype" w:hAnsi="Palatino Linotype"/>
          <w:sz w:val="24"/>
          <w:szCs w:val="24"/>
        </w:rPr>
        <w:t xml:space="preserve">un </w:t>
      </w:r>
      <w:r w:rsidR="00BE6E79" w:rsidRPr="00BE6E79">
        <w:rPr>
          <w:rFonts w:ascii="Palatino Linotype" w:hAnsi="Palatino Linotype"/>
          <w:b/>
          <w:sz w:val="24"/>
          <w:szCs w:val="24"/>
        </w:rPr>
        <w:t>Usuario del Sistema de Acceso a la Información Mexiquense que no proporcionó su nombre para ser identificado</w:t>
      </w:r>
      <w:r w:rsidR="00BE6E79">
        <w:rPr>
          <w:rFonts w:ascii="Palatino Linotype" w:hAnsi="Palatino Linotype"/>
          <w:sz w:val="24"/>
          <w:szCs w:val="24"/>
        </w:rPr>
        <w:t xml:space="preserve">, </w:t>
      </w:r>
      <w:r w:rsidRPr="00624AAD">
        <w:rPr>
          <w:rFonts w:ascii="Palatino Linotype" w:hAnsi="Palatino Linotype"/>
          <w:sz w:val="24"/>
          <w:szCs w:val="24"/>
        </w:rPr>
        <w:t xml:space="preserve">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respuesta del </w:t>
      </w:r>
      <w:r w:rsidR="00BE6E79" w:rsidRPr="00BE6E79">
        <w:rPr>
          <w:rFonts w:ascii="Palatino Linotype" w:eastAsia="Calibri" w:hAnsi="Palatino Linotype" w:cs="Tahoma"/>
          <w:b/>
          <w:sz w:val="24"/>
          <w:szCs w:val="22"/>
          <w:lang w:eastAsia="en-US"/>
        </w:rPr>
        <w:t>Ayuntamiento de Valle de Chalco</w:t>
      </w:r>
      <w:r w:rsidR="00CC6730">
        <w:rPr>
          <w:rFonts w:ascii="Palatino Linotype" w:eastAsia="Calibri" w:hAnsi="Palatino Linotype" w:cs="Tahoma"/>
          <w:b/>
          <w:sz w:val="24"/>
          <w:szCs w:val="22"/>
          <w:lang w:eastAsia="en-US"/>
        </w:rPr>
        <w:t xml:space="preserve"> Solidaridad</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1" w:name="_Toc85735106"/>
      <w:r w:rsidRPr="00624AAD">
        <w:rPr>
          <w:rFonts w:ascii="Palatino Linotype" w:hAnsi="Palatino Linotype"/>
          <w:b/>
          <w:color w:val="auto"/>
          <w:sz w:val="24"/>
          <w:szCs w:val="24"/>
        </w:rPr>
        <w:t>ANTECEDENTES</w:t>
      </w:r>
      <w:bookmarkEnd w:id="1"/>
    </w:p>
    <w:p w14:paraId="04287D5F" w14:textId="77777777" w:rsidR="005000AA" w:rsidRPr="00624AAD" w:rsidRDefault="005000AA" w:rsidP="005000AA">
      <w:pPr>
        <w:rPr>
          <w:rFonts w:ascii="Palatino Linotype" w:hAnsi="Palatino Linotype"/>
          <w:sz w:val="24"/>
          <w:szCs w:val="24"/>
          <w:lang w:eastAsia="en-US"/>
        </w:rPr>
      </w:pPr>
    </w:p>
    <w:p w14:paraId="205E5E03" w14:textId="0D8DFDE5" w:rsidR="005000AA" w:rsidRPr="00624AAD"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BE6E79">
        <w:rPr>
          <w:rFonts w:ascii="Palatino Linotype" w:eastAsia="Calibri" w:hAnsi="Palatino Linotype" w:cs="Arial"/>
          <w:sz w:val="24"/>
          <w:lang w:val="es-ES"/>
        </w:rPr>
        <w:t>doce</w:t>
      </w:r>
      <w:r w:rsidR="005000AA" w:rsidRPr="00624AAD">
        <w:rPr>
          <w:rFonts w:ascii="Palatino Linotype" w:eastAsia="Calibri" w:hAnsi="Palatino Linotype" w:cs="Arial"/>
          <w:sz w:val="24"/>
          <w:lang w:val="es-ES"/>
        </w:rPr>
        <w:t xml:space="preserve"> (</w:t>
      </w:r>
      <w:r w:rsidR="00BE6E79">
        <w:rPr>
          <w:rFonts w:ascii="Palatino Linotype" w:eastAsia="Calibri" w:hAnsi="Palatino Linotype" w:cs="Arial"/>
          <w:sz w:val="24"/>
          <w:lang w:val="es-ES"/>
        </w:rPr>
        <w:t>12</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BE6E79">
        <w:rPr>
          <w:rFonts w:ascii="Palatino Linotype" w:eastAsia="Calibri" w:hAnsi="Palatino Linotype"/>
          <w:sz w:val="24"/>
          <w:lang w:val="es-ES"/>
        </w:rPr>
        <w:t>agosto</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BE6E79">
        <w:rPr>
          <w:rFonts w:ascii="Palatino Linotype" w:eastAsia="Calibri" w:hAnsi="Palatino Linotype" w:cs="Arial"/>
          <w:b/>
          <w:sz w:val="24"/>
          <w:lang w:val="es-ES"/>
        </w:rPr>
        <w:t>225</w:t>
      </w:r>
      <w:r w:rsidR="00624AAD" w:rsidRPr="00624AAD">
        <w:rPr>
          <w:rFonts w:ascii="Palatino Linotype" w:eastAsia="Calibri" w:hAnsi="Palatino Linotype" w:cs="Arial"/>
          <w:b/>
          <w:sz w:val="24"/>
          <w:lang w:val="es-ES"/>
        </w:rPr>
        <w:t>/</w:t>
      </w:r>
      <w:r w:rsidR="00BE6E79">
        <w:rPr>
          <w:rFonts w:ascii="Palatino Linotype" w:eastAsia="Calibri" w:hAnsi="Palatino Linotype" w:cs="Arial"/>
          <w:b/>
          <w:sz w:val="24"/>
          <w:lang w:val="es-ES"/>
        </w:rPr>
        <w:t>VACHASO</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5F494AEA"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19CBEB32" w14:textId="6461D63B"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BE6E79" w:rsidRPr="00BE6E79">
        <w:rPr>
          <w:rFonts w:ascii="Palatino Linotype" w:hAnsi="Palatino Linotype"/>
          <w:i/>
          <w:sz w:val="24"/>
          <w:szCs w:val="24"/>
          <w:lang w:eastAsia="es-MX"/>
        </w:rPr>
        <w:t>Toda la información referente a su publicación, nombre de los policías que participaron, nombre del afectado https://m.facebook.com/story.php?story_fbid=2955363194679290&amp;id=2370346949847587</w:t>
      </w:r>
      <w:r w:rsidRPr="00624AAD">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0F8EA688"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b/>
          <w:i/>
          <w:sz w:val="24"/>
          <w:lang w:val="es-ES"/>
        </w:rPr>
      </w:pPr>
      <w:r w:rsidRPr="00624AAD">
        <w:rPr>
          <w:rFonts w:ascii="Palatino Linotype" w:eastAsia="Calibri" w:hAnsi="Palatino Linotype"/>
          <w:sz w:val="24"/>
          <w:lang w:val="es-ES"/>
        </w:rPr>
        <w:t xml:space="preserve">El </w:t>
      </w:r>
      <w:r w:rsidR="00F942BD">
        <w:rPr>
          <w:rFonts w:ascii="Palatino Linotype" w:eastAsia="Calibri" w:hAnsi="Palatino Linotype"/>
          <w:sz w:val="24"/>
          <w:lang w:val="es-ES"/>
        </w:rPr>
        <w:t>uno</w:t>
      </w:r>
      <w:r w:rsidRPr="00624AAD">
        <w:rPr>
          <w:rFonts w:ascii="Palatino Linotype" w:eastAsia="Calibri" w:hAnsi="Palatino Linotype"/>
          <w:sz w:val="24"/>
          <w:lang w:val="es-ES"/>
        </w:rPr>
        <w:t xml:space="preserve"> </w:t>
      </w:r>
      <w:r w:rsidRPr="00624AAD">
        <w:rPr>
          <w:rFonts w:ascii="Palatino Linotype" w:eastAsia="Calibri" w:hAnsi="Palatino Linotype" w:cs="Arial"/>
          <w:sz w:val="24"/>
          <w:lang w:val="es-ES"/>
        </w:rPr>
        <w:t>(</w:t>
      </w:r>
      <w:r w:rsidR="00A36BE2">
        <w:rPr>
          <w:rFonts w:ascii="Palatino Linotype" w:eastAsia="Calibri" w:hAnsi="Palatino Linotype" w:cs="Arial"/>
          <w:sz w:val="24"/>
          <w:lang w:val="es-ES"/>
        </w:rPr>
        <w:t>1</w:t>
      </w:r>
      <w:r w:rsidRPr="00624AAD">
        <w:rPr>
          <w:rFonts w:ascii="Palatino Linotype" w:eastAsia="Calibri" w:hAnsi="Palatino Linotype" w:cs="Arial"/>
          <w:sz w:val="24"/>
          <w:lang w:val="es-ES"/>
        </w:rPr>
        <w:t xml:space="preserve">) </w:t>
      </w:r>
      <w:r w:rsidRPr="00624AAD">
        <w:rPr>
          <w:rFonts w:ascii="Palatino Linotype" w:eastAsia="Calibri" w:hAnsi="Palatino Linotype"/>
          <w:sz w:val="24"/>
          <w:lang w:val="es-ES"/>
        </w:rPr>
        <w:t xml:space="preserve">de </w:t>
      </w:r>
      <w:r w:rsidR="00F942BD">
        <w:rPr>
          <w:rFonts w:ascii="Palatino Linotype" w:eastAsia="Calibri" w:hAnsi="Palatino Linotype"/>
          <w:sz w:val="24"/>
          <w:lang w:val="es-ES"/>
        </w:rPr>
        <w:t>septiembre</w:t>
      </w:r>
      <w:r w:rsidRPr="00624AAD">
        <w:rPr>
          <w:rFonts w:ascii="Palatino Linotype" w:eastAsia="Calibri" w:hAnsi="Palatino Linotype"/>
          <w:sz w:val="24"/>
          <w:lang w:val="es-ES"/>
        </w:rPr>
        <w:t xml:space="preserve"> de dos mil veintiuno, el </w:t>
      </w:r>
      <w:r w:rsidRPr="00624AAD">
        <w:rPr>
          <w:rFonts w:ascii="Palatino Linotype" w:eastAsia="Calibri" w:hAnsi="Palatino Linotype" w:cs="Arial"/>
          <w:b/>
          <w:sz w:val="24"/>
          <w:lang w:val="es-AR"/>
        </w:rPr>
        <w:t>SUJETO OBLIGADO</w:t>
      </w:r>
      <w:r w:rsidRPr="00624AAD">
        <w:rPr>
          <w:rFonts w:ascii="Palatino Linotype" w:eastAsia="Calibri" w:hAnsi="Palatino Linotype" w:cs="Arial"/>
          <w:b/>
          <w:i/>
          <w:sz w:val="24"/>
          <w:lang w:val="es-AR"/>
        </w:rPr>
        <w:t xml:space="preserve"> </w:t>
      </w:r>
      <w:r w:rsidRPr="00624AAD">
        <w:rPr>
          <w:rFonts w:ascii="Palatino Linotype" w:hAnsi="Palatino Linotype" w:cs="Arial"/>
          <w:sz w:val="24"/>
          <w:lang w:val="es-ES"/>
        </w:rPr>
        <w:t>dio respuesta a la solicitud de información, en los siguientes términos:</w:t>
      </w:r>
    </w:p>
    <w:p w14:paraId="57BB57FE" w14:textId="77777777" w:rsidR="005000AA" w:rsidRPr="00624AAD" w:rsidRDefault="005000AA" w:rsidP="005000AA">
      <w:pPr>
        <w:pStyle w:val="Prrafodelista"/>
        <w:rPr>
          <w:rFonts w:ascii="Palatino Linotype" w:hAnsi="Palatino Linotype" w:cs="Arial"/>
          <w:sz w:val="24"/>
          <w:lang w:val="es-ES"/>
        </w:rPr>
      </w:pPr>
    </w:p>
    <w:p w14:paraId="303F6A9D" w14:textId="77777777" w:rsidR="00F942BD" w:rsidRPr="00380BDB" w:rsidRDefault="005000AA"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eastAsia="Calibri" w:hAnsi="Palatino Linotype"/>
          <w:i/>
          <w:lang w:val="es-ES"/>
        </w:rPr>
        <w:t>“</w:t>
      </w:r>
      <w:r w:rsidR="00F942BD" w:rsidRPr="00380BDB">
        <w:rPr>
          <w:rFonts w:ascii="Palatino Linotype" w:hAnsi="Palatino Linotype"/>
          <w:i/>
          <w:color w:val="000000"/>
        </w:rPr>
        <w:t>Valle de Chalco Solidaridad, México a 01 de Septiembre de 2021</w:t>
      </w:r>
    </w:p>
    <w:p w14:paraId="0BE9CA3A" w14:textId="77777777" w:rsidR="00F942BD"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Nombre del solicitante:</w:t>
      </w:r>
    </w:p>
    <w:p w14:paraId="22FFC799" w14:textId="77777777" w:rsidR="00F942BD"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Folio de la solicitud: 00225/VACHASO/IP/2021</w:t>
      </w:r>
    </w:p>
    <w:p w14:paraId="4998F8B8" w14:textId="77777777" w:rsidR="00F942BD"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8A9745" w14:textId="77777777" w:rsidR="00F942BD"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 En referencia a toda la información referente a su publicación, nombre de los policías que participaron, nombre del afectado https://m.facebook.com/story.php?story_fbid=2955363194679290&amp;id=2370346949847587 Le informo que es de carácter confidencial y sensible ya que el hecho de dar a conocer dicha información se ponen en riesgo actividades, estrategias de seguridad pública que se tienen consideradas, ya que de revelar esta información está sujeta a ser bloqueadas y se pueden generen obstáculos que afecten dichas actividades, recorridos y vigilancia dentro del territorio Municipal ante ello, deben adoptarse medidas necesarias para que las personas que tengan conocimiento de acciones de seguridad, en el combate a la delincuencia, no divulguen la información de las estrategias de prevención, combate y persecución de delitos. Difundir dicha información implica un riesgo a los intereses de la sociedad en materia de Seguridad Pública, con fundamento en lo dispuesto en los artículos 81 fracción I, II, III, IV y V, de la Ley de Seguridad del Estado de México.</w:t>
      </w:r>
    </w:p>
    <w:p w14:paraId="3BD9DF2C" w14:textId="77777777" w:rsidR="00F942BD"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ATENTAMENTE</w:t>
      </w:r>
    </w:p>
    <w:p w14:paraId="362915EB" w14:textId="30538229" w:rsidR="005000AA" w:rsidRPr="00380BDB" w:rsidRDefault="00F942BD" w:rsidP="00F942BD">
      <w:pPr>
        <w:pStyle w:val="Prrafodelista"/>
        <w:spacing w:before="240" w:after="240" w:line="360" w:lineRule="auto"/>
        <w:ind w:left="567" w:right="567"/>
        <w:jc w:val="both"/>
        <w:rPr>
          <w:rFonts w:ascii="Palatino Linotype" w:hAnsi="Palatino Linotype"/>
          <w:i/>
          <w:color w:val="000000"/>
        </w:rPr>
      </w:pPr>
      <w:r w:rsidRPr="00380BDB">
        <w:rPr>
          <w:rFonts w:ascii="Palatino Linotype" w:hAnsi="Palatino Linotype"/>
          <w:i/>
          <w:color w:val="000000"/>
        </w:rPr>
        <w:t>M. EN D. VALENTÍN GARCÍA RAMÍREZ</w:t>
      </w:r>
      <w:r w:rsidR="005000AA" w:rsidRPr="00380BDB">
        <w:rPr>
          <w:rFonts w:ascii="Palatino Linotype" w:hAnsi="Palatino Linotype"/>
          <w:i/>
          <w:color w:val="000000"/>
        </w:rPr>
        <w:t>” (sic)</w:t>
      </w:r>
    </w:p>
    <w:p w14:paraId="613A96EF" w14:textId="77777777" w:rsidR="005000AA" w:rsidRPr="00624AAD" w:rsidRDefault="005000AA" w:rsidP="005000AA">
      <w:pPr>
        <w:pStyle w:val="Prrafodelista"/>
        <w:spacing w:before="240" w:after="240" w:line="360" w:lineRule="auto"/>
        <w:ind w:left="567" w:right="567"/>
        <w:jc w:val="both"/>
        <w:rPr>
          <w:rFonts w:ascii="Palatino Linotype" w:hAnsi="Palatino Linotype"/>
          <w:i/>
          <w:color w:val="000000"/>
          <w:sz w:val="24"/>
        </w:rPr>
      </w:pPr>
    </w:p>
    <w:p w14:paraId="0FDD08FE" w14:textId="1B956042" w:rsidR="00A36BE2" w:rsidRDefault="00F942BD"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Carta de Respuesta Solicitud 0225.pdf:</w:t>
      </w:r>
      <w:r w:rsidR="005000AA" w:rsidRPr="00624AAD">
        <w:rPr>
          <w:rFonts w:ascii="Palatino Linotype" w:hAnsi="Palatino Linotype"/>
          <w:b/>
          <w:bCs/>
          <w:iCs/>
          <w:color w:val="000000"/>
          <w:sz w:val="24"/>
        </w:rPr>
        <w:t xml:space="preserve"> </w:t>
      </w:r>
      <w:r>
        <w:rPr>
          <w:rFonts w:ascii="Palatino Linotype" w:hAnsi="Palatino Linotype"/>
          <w:b/>
          <w:bCs/>
          <w:iCs/>
          <w:color w:val="000000"/>
          <w:sz w:val="24"/>
        </w:rPr>
        <w:t xml:space="preserve">Documento suscrito </w:t>
      </w:r>
      <w:r w:rsidRPr="00F942BD">
        <w:rPr>
          <w:rFonts w:ascii="Palatino Linotype" w:hAnsi="Palatino Linotype"/>
          <w:bCs/>
          <w:iCs/>
          <w:color w:val="000000"/>
          <w:sz w:val="24"/>
        </w:rPr>
        <w:t>por el Director de Seguridad Pública y Tránsito Municipal</w:t>
      </w:r>
      <w:r>
        <w:rPr>
          <w:rFonts w:ascii="Palatino Linotype" w:hAnsi="Palatino Linotype"/>
          <w:bCs/>
          <w:iCs/>
          <w:color w:val="000000"/>
          <w:sz w:val="24"/>
        </w:rPr>
        <w:t xml:space="preserve"> mediante el cual </w:t>
      </w:r>
      <w:r>
        <w:rPr>
          <w:rFonts w:ascii="Palatino Linotype" w:hAnsi="Palatino Linotype"/>
          <w:bCs/>
          <w:iCs/>
          <w:color w:val="000000"/>
          <w:sz w:val="24"/>
        </w:rPr>
        <w:lastRenderedPageBreak/>
        <w:t>refiere que la información solicitada es de carácter confidencial y sensible ya que hacerlo público pone en riesgo actividades estratégicas de seguridad pública como son recorridos de vigilancia dentro del territorio.</w:t>
      </w:r>
    </w:p>
    <w:p w14:paraId="3D543208" w14:textId="77777777" w:rsidR="00A36BE2" w:rsidRDefault="00A36BE2" w:rsidP="00A36BE2">
      <w:pPr>
        <w:pStyle w:val="Prrafodelista"/>
        <w:spacing w:before="240" w:after="240" w:line="360" w:lineRule="auto"/>
        <w:ind w:left="709" w:right="567"/>
        <w:jc w:val="both"/>
        <w:rPr>
          <w:rFonts w:ascii="Palatino Linotype" w:hAnsi="Palatino Linotype"/>
          <w:b/>
          <w:bCs/>
          <w:iCs/>
          <w:color w:val="000000"/>
          <w:sz w:val="24"/>
        </w:rPr>
      </w:pPr>
    </w:p>
    <w:p w14:paraId="6BF1014C" w14:textId="700E783D" w:rsidR="00F942BD" w:rsidRDefault="00F942BD" w:rsidP="005000AA">
      <w:pPr>
        <w:pStyle w:val="Prrafodelista"/>
        <w:numPr>
          <w:ilvl w:val="0"/>
          <w:numId w:val="18"/>
        </w:numPr>
        <w:spacing w:before="240" w:after="240" w:line="360" w:lineRule="auto"/>
        <w:ind w:left="709" w:right="567"/>
        <w:jc w:val="both"/>
        <w:rPr>
          <w:rFonts w:ascii="Palatino Linotype" w:hAnsi="Palatino Linotype"/>
          <w:b/>
          <w:bCs/>
          <w:iCs/>
          <w:color w:val="000000"/>
          <w:sz w:val="24"/>
        </w:rPr>
      </w:pPr>
      <w:r>
        <w:rPr>
          <w:rFonts w:ascii="Palatino Linotype" w:hAnsi="Palatino Linotype"/>
          <w:b/>
          <w:bCs/>
          <w:iCs/>
          <w:color w:val="000000"/>
          <w:sz w:val="24"/>
        </w:rPr>
        <w:t xml:space="preserve">Oficio Solicitud 0225.pdf: </w:t>
      </w:r>
      <w:r w:rsidRPr="00F942BD">
        <w:rPr>
          <w:rFonts w:ascii="Palatino Linotype" w:hAnsi="Palatino Linotype"/>
          <w:bCs/>
          <w:iCs/>
          <w:color w:val="000000"/>
          <w:sz w:val="24"/>
        </w:rPr>
        <w:t>Oficio CSPYT/VCHS/TRANS/0425/2021 suscrito por el Director de Seguridad Pública y Tránsito Municipal</w:t>
      </w:r>
      <w:r>
        <w:rPr>
          <w:rFonts w:ascii="Palatino Linotype" w:hAnsi="Palatino Linotype"/>
          <w:bCs/>
          <w:iCs/>
          <w:color w:val="000000"/>
          <w:sz w:val="24"/>
        </w:rPr>
        <w:t xml:space="preserve"> mediante el cual contiene la misma información del documento anterior.</w:t>
      </w:r>
    </w:p>
    <w:p w14:paraId="7B976100" w14:textId="77777777" w:rsidR="00F942BD" w:rsidRPr="00F942BD" w:rsidRDefault="00F942BD" w:rsidP="00F942BD">
      <w:pPr>
        <w:pStyle w:val="Prrafodelista"/>
        <w:rPr>
          <w:rFonts w:ascii="Palatino Linotype" w:hAnsi="Palatino Linotype"/>
          <w:b/>
          <w:bCs/>
          <w:iCs/>
          <w:color w:val="000000"/>
          <w:sz w:val="24"/>
        </w:rPr>
      </w:pPr>
    </w:p>
    <w:p w14:paraId="518CDCD9" w14:textId="75E2E1D9" w:rsidR="005000AA" w:rsidRPr="00624AAD" w:rsidRDefault="004E6A3B"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El dos</w:t>
      </w:r>
      <w:r w:rsidR="005000AA" w:rsidRPr="00624AAD">
        <w:rPr>
          <w:rFonts w:ascii="Palatino Linotype" w:eastAsia="Calibri" w:hAnsi="Palatino Linotype" w:cs="Arial"/>
          <w:sz w:val="24"/>
          <w:lang w:val="es-AR"/>
        </w:rPr>
        <w:t xml:space="preserve"> (</w:t>
      </w:r>
      <w:r>
        <w:rPr>
          <w:rFonts w:ascii="Palatino Linotype" w:eastAsia="Calibri" w:hAnsi="Palatino Linotype" w:cs="Arial"/>
          <w:sz w:val="24"/>
          <w:lang w:val="es-AR"/>
        </w:rPr>
        <w:t>2</w:t>
      </w:r>
      <w:r w:rsidR="005000AA" w:rsidRPr="00624AAD">
        <w:rPr>
          <w:rFonts w:ascii="Palatino Linotype" w:eastAsia="Calibri" w:hAnsi="Palatino Linotype" w:cs="Arial"/>
          <w:sz w:val="24"/>
          <w:lang w:val="es-AR"/>
        </w:rPr>
        <w:t xml:space="preserve">) de </w:t>
      </w:r>
      <w:r w:rsidR="00F942BD">
        <w:rPr>
          <w:rFonts w:ascii="Palatino Linotype" w:eastAsia="Calibri" w:hAnsi="Palatino Linotype" w:cs="Arial"/>
          <w:sz w:val="24"/>
          <w:lang w:val="es-AR"/>
        </w:rPr>
        <w:t>septiembre</w:t>
      </w:r>
      <w:r>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2EC3E31B"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F942BD">
        <w:rPr>
          <w:rFonts w:ascii="Palatino Linotype" w:hAnsi="Palatino Linotype"/>
          <w:bCs/>
          <w:i/>
          <w:iCs/>
          <w:sz w:val="24"/>
        </w:rPr>
        <w:t>Negativa</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61E9B64D"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F942BD">
        <w:rPr>
          <w:rFonts w:ascii="Palatino Linotype" w:hAnsi="Palatino Linotype"/>
          <w:i/>
          <w:sz w:val="24"/>
        </w:rPr>
        <w:t>No entregaron nada</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Pr="00624AAD" w:rsidRDefault="005000AA" w:rsidP="005000AA">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7CD2270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F942BD">
        <w:rPr>
          <w:rFonts w:ascii="Palatino Linotype" w:hAnsi="Palatino Linotype" w:cs="Arial"/>
          <w:sz w:val="24"/>
          <w:lang w:val="es-ES"/>
        </w:rPr>
        <w:t xml:space="preserve"> </w:t>
      </w:r>
      <w:r w:rsidRPr="00624AAD">
        <w:rPr>
          <w:rFonts w:ascii="Palatino Linotype" w:hAnsi="Palatino Linotype" w:cs="Arial"/>
          <w:sz w:val="24"/>
          <w:lang w:val="es-ES"/>
        </w:rPr>
        <w:t>l</w:t>
      </w:r>
      <w:r w:rsidR="00F942BD">
        <w:rPr>
          <w:rFonts w:ascii="Palatino Linotype" w:hAnsi="Palatino Linotype" w:cs="Arial"/>
          <w:sz w:val="24"/>
          <w:lang w:val="es-ES"/>
        </w:rPr>
        <w:t>a</w:t>
      </w:r>
      <w:r w:rsidRPr="00624AAD">
        <w:rPr>
          <w:rFonts w:ascii="Palatino Linotype" w:hAnsi="Palatino Linotype" w:cs="Arial"/>
          <w:sz w:val="24"/>
          <w:lang w:val="es-ES"/>
        </w:rPr>
        <w:t xml:space="preserve"> </w:t>
      </w:r>
      <w:r w:rsidR="00F942BD">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F942BD">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6D0B95EC" w:rsidR="005000AA" w:rsidRPr="00624AAD" w:rsidRDefault="005000AA"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624AAD">
        <w:rPr>
          <w:rFonts w:ascii="Palatino Linotype" w:eastAsia="Calibri" w:hAnsi="Palatino Linotype" w:cs="Arial"/>
          <w:sz w:val="24"/>
          <w:lang w:val="es-ES"/>
        </w:rPr>
        <w:t xml:space="preserve">El Comisionado Ponente con fundamento en lo dispuesto por el artículo 185 fracción II de la ley de la materia, a través del acuerdo de admisión de fecha </w:t>
      </w:r>
      <w:r w:rsidR="00F942BD">
        <w:rPr>
          <w:rFonts w:ascii="Palatino Linotype" w:eastAsia="Calibri" w:hAnsi="Palatino Linotype" w:cs="Arial"/>
          <w:sz w:val="24"/>
          <w:lang w:val="es-ES"/>
        </w:rPr>
        <w:t>ocho</w:t>
      </w:r>
      <w:r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F942BD">
        <w:rPr>
          <w:rFonts w:ascii="Palatino Linotype" w:eastAsia="Calibri" w:hAnsi="Palatino Linotype" w:cs="Arial"/>
          <w:sz w:val="24"/>
          <w:lang w:val="es-ES"/>
        </w:rPr>
        <w:t>8</w:t>
      </w:r>
      <w:r w:rsidR="004E6A3B">
        <w:rPr>
          <w:rFonts w:ascii="Palatino Linotype" w:eastAsia="Calibri" w:hAnsi="Palatino Linotype" w:cs="Arial"/>
          <w:sz w:val="24"/>
          <w:lang w:val="es-ES"/>
        </w:rPr>
        <w:t xml:space="preserve">) de </w:t>
      </w:r>
      <w:r w:rsidR="00F942BD">
        <w:rPr>
          <w:rFonts w:ascii="Palatino Linotype" w:eastAsia="Calibri" w:hAnsi="Palatino Linotype" w:cs="Arial"/>
          <w:sz w:val="24"/>
          <w:lang w:val="es-ES"/>
        </w:rPr>
        <w:t>septiembre</w:t>
      </w:r>
      <w:r w:rsidRPr="00624AAD">
        <w:rPr>
          <w:rFonts w:ascii="Palatino Linotype" w:eastAsia="Calibri" w:hAnsi="Palatino Linotype" w:cs="Arial"/>
          <w:sz w:val="24"/>
          <w:lang w:val="es-ES"/>
        </w:rPr>
        <w:t xml:space="preserve"> de dos mil veintiuno, puso a disposición de las partes el expediente </w:t>
      </w:r>
      <w:r w:rsidRPr="00624AAD">
        <w:rPr>
          <w:rFonts w:ascii="Palatino Linotype" w:eastAsia="Calibri" w:hAnsi="Palatino Linotype" w:cs="Arial"/>
          <w:sz w:val="24"/>
          <w:lang w:val="es-ES"/>
        </w:rPr>
        <w:lastRenderedPageBreak/>
        <w:t xml:space="preserve">electrónico </w:t>
      </w:r>
      <w:r w:rsidRPr="00624AAD">
        <w:rPr>
          <w:rFonts w:ascii="Palatino Linotype" w:eastAsia="Calibri" w:hAnsi="Palatino Linotype" w:cs="Arial"/>
          <w:sz w:val="24"/>
        </w:rPr>
        <w:t xml:space="preserve">vía </w:t>
      </w:r>
      <w:r w:rsidRPr="00624AAD">
        <w:rPr>
          <w:rFonts w:ascii="Palatino Linotype" w:eastAsia="Calibri" w:hAnsi="Palatino Linotype" w:cs="Arial"/>
          <w:b/>
          <w:sz w:val="24"/>
          <w:lang w:val="es-ES"/>
        </w:rPr>
        <w:t xml:space="preserve">SAIMEX </w:t>
      </w:r>
      <w:r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624AAD">
        <w:rPr>
          <w:rFonts w:ascii="Palatino Linotype" w:eastAsia="Calibri" w:hAnsi="Palatino Linotype" w:cs="Arial"/>
          <w:b/>
          <w:sz w:val="24"/>
          <w:lang w:val="es-ES"/>
        </w:rPr>
        <w:t>SUJETO OBLIGADO</w:t>
      </w:r>
      <w:r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67962C5B" w14:textId="77777777" w:rsidR="00F942BD" w:rsidRPr="0032618F" w:rsidRDefault="00F942BD" w:rsidP="00F942BD">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hAnsi="Palatino Linotype"/>
          <w:iCs/>
          <w:color w:val="000000"/>
          <w:sz w:val="24"/>
        </w:rPr>
        <w:t>De las constancias que obran en el expediente electr</w:t>
      </w:r>
      <w:r>
        <w:rPr>
          <w:rFonts w:ascii="Palatino Linotype" w:hAnsi="Palatino Linotype"/>
          <w:iCs/>
          <w:color w:val="000000"/>
          <w:sz w:val="24"/>
        </w:rPr>
        <w:t>ónico del SAIMEX se aprecia que, tanto el Sujeto Obligado como la Parte Recurrente fueron omisos en presentar el informe justificado y realizar manifestaciones; se inserta imagen de referencia:</w:t>
      </w:r>
    </w:p>
    <w:p w14:paraId="16995A91" w14:textId="77777777" w:rsidR="00F942BD" w:rsidRDefault="00F942BD" w:rsidP="00F942BD">
      <w:pPr>
        <w:pStyle w:val="Prrafodelista"/>
        <w:spacing w:before="240" w:after="240" w:line="360" w:lineRule="auto"/>
        <w:ind w:left="0"/>
        <w:jc w:val="both"/>
        <w:rPr>
          <w:rFonts w:ascii="Palatino Linotype" w:hAnsi="Palatino Linotype"/>
          <w:i/>
          <w:color w:val="000000"/>
          <w:sz w:val="24"/>
        </w:rPr>
      </w:pPr>
    </w:p>
    <w:p w14:paraId="143424BA" w14:textId="31535156" w:rsidR="00F942BD" w:rsidRDefault="00F942BD" w:rsidP="00F942BD">
      <w:pPr>
        <w:pStyle w:val="Prrafodelista"/>
        <w:spacing w:before="240" w:after="240" w:line="360" w:lineRule="auto"/>
        <w:ind w:left="0"/>
        <w:jc w:val="both"/>
        <w:rPr>
          <w:rFonts w:ascii="Palatino Linotype" w:hAnsi="Palatino Linotype"/>
          <w:i/>
          <w:color w:val="000000"/>
          <w:sz w:val="24"/>
        </w:rPr>
      </w:pPr>
      <w:r>
        <w:rPr>
          <w:noProof/>
          <w:lang w:eastAsia="es-MX"/>
        </w:rPr>
        <w:drawing>
          <wp:inline distT="0" distB="0" distL="0" distR="0" wp14:anchorId="64641B9E" wp14:editId="4A521ABA">
            <wp:extent cx="5700155" cy="14116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26" t="46321" r="7154" b="15804"/>
                    <a:stretch/>
                  </pic:blipFill>
                  <pic:spPr bwMode="auto">
                    <a:xfrm>
                      <a:off x="0" y="0"/>
                      <a:ext cx="5730411" cy="1419185"/>
                    </a:xfrm>
                    <a:prstGeom prst="rect">
                      <a:avLst/>
                    </a:prstGeom>
                    <a:ln>
                      <a:noFill/>
                    </a:ln>
                    <a:extLst>
                      <a:ext uri="{53640926-AAD7-44D8-BBD7-CCE9431645EC}">
                        <a14:shadowObscured xmlns:a14="http://schemas.microsoft.com/office/drawing/2010/main"/>
                      </a:ext>
                    </a:extLst>
                  </pic:spPr>
                </pic:pic>
              </a:graphicData>
            </a:graphic>
          </wp:inline>
        </w:drawing>
      </w:r>
    </w:p>
    <w:p w14:paraId="2F71AF9C" w14:textId="77777777" w:rsidR="00F942BD" w:rsidRPr="00F942BD" w:rsidRDefault="00F942BD" w:rsidP="00F942BD">
      <w:pPr>
        <w:pStyle w:val="Prrafodelista"/>
        <w:spacing w:before="240" w:after="240" w:line="360" w:lineRule="auto"/>
        <w:ind w:left="0"/>
        <w:jc w:val="both"/>
        <w:rPr>
          <w:rFonts w:ascii="Palatino Linotype" w:hAnsi="Palatino Linotype"/>
          <w:i/>
          <w:color w:val="000000"/>
          <w:sz w:val="24"/>
        </w:rPr>
      </w:pPr>
    </w:p>
    <w:p w14:paraId="0498FBD5" w14:textId="77777777" w:rsidR="00F942BD" w:rsidRPr="00A34D56" w:rsidRDefault="00F942BD" w:rsidP="00F942BD">
      <w:pPr>
        <w:pStyle w:val="Prrafodelista"/>
        <w:numPr>
          <w:ilvl w:val="0"/>
          <w:numId w:val="2"/>
        </w:numPr>
        <w:spacing w:line="360" w:lineRule="auto"/>
        <w:ind w:left="0" w:firstLine="0"/>
        <w:jc w:val="both"/>
        <w:rPr>
          <w:rFonts w:ascii="Palatino Linotype" w:hAnsi="Palatino Linotype" w:cs="Arial"/>
          <w:sz w:val="24"/>
        </w:rPr>
      </w:pPr>
      <w:r w:rsidRPr="00A34D56">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C01BB45" w14:textId="77777777" w:rsidR="00F942BD" w:rsidRPr="002152A6" w:rsidRDefault="00F942BD" w:rsidP="00F942BD">
      <w:pPr>
        <w:pStyle w:val="Prrafodelista"/>
        <w:spacing w:line="360" w:lineRule="auto"/>
        <w:ind w:left="0"/>
        <w:jc w:val="both"/>
        <w:rPr>
          <w:rFonts w:ascii="Palatino Linotype" w:hAnsi="Palatino Linotype" w:cs="Arial"/>
        </w:rPr>
      </w:pPr>
    </w:p>
    <w:p w14:paraId="697A3C4D" w14:textId="77777777" w:rsidR="00F942BD" w:rsidRPr="002152A6" w:rsidRDefault="00F942BD" w:rsidP="00F942BD">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w:t>
      </w:r>
      <w:r w:rsidRPr="002152A6">
        <w:rPr>
          <w:rFonts w:ascii="Palatino Linotype" w:hAnsi="Palatino Linotype" w:cs="Arial"/>
          <w:i/>
          <w:iCs/>
          <w:color w:val="222222"/>
          <w:sz w:val="22"/>
          <w:lang w:val="es-ES_tradnl"/>
        </w:rPr>
        <w:lastRenderedPageBreak/>
        <w:t>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11684817" w14:textId="77777777" w:rsidR="00F942BD" w:rsidRPr="002152A6" w:rsidRDefault="00F942BD" w:rsidP="00F942BD">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68A26655" w14:textId="77777777" w:rsidR="00F942BD" w:rsidRPr="00F942BD" w:rsidRDefault="00F942BD" w:rsidP="00F942BD">
      <w:pPr>
        <w:pStyle w:val="Prrafodelista"/>
        <w:numPr>
          <w:ilvl w:val="0"/>
          <w:numId w:val="2"/>
        </w:numPr>
        <w:spacing w:line="360" w:lineRule="auto"/>
        <w:ind w:left="0" w:firstLine="0"/>
        <w:jc w:val="both"/>
        <w:rPr>
          <w:rFonts w:ascii="Palatino Linotype" w:hAnsi="Palatino Linotype" w:cs="Arial"/>
          <w:b/>
          <w:sz w:val="24"/>
          <w:lang w:val="es-ES"/>
        </w:rPr>
      </w:pPr>
      <w:r w:rsidRPr="00A34D56">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A34D56">
        <w:rPr>
          <w:rFonts w:ascii="Palatino Linotype" w:hAnsi="Palatino Linotype" w:cs="Arial"/>
          <w:b/>
          <w:bCs/>
          <w:color w:val="222222"/>
          <w:sz w:val="24"/>
        </w:rPr>
        <w:t>SUJETO OBLIGADO</w:t>
      </w:r>
      <w:r w:rsidRPr="00A34D56">
        <w:rPr>
          <w:rFonts w:ascii="Palatino Linotype" w:hAnsi="Palatino Linotype" w:cs="Arial"/>
          <w:color w:val="222222"/>
          <w:sz w:val="24"/>
        </w:rPr>
        <w:t> pierda la oportunidad de justificar su falta de respuesta y manifestar lo que a su derecho convenga.</w:t>
      </w:r>
    </w:p>
    <w:p w14:paraId="07309B12" w14:textId="77777777" w:rsidR="00F942BD" w:rsidRPr="00A34D56" w:rsidRDefault="00F942BD" w:rsidP="00F942BD">
      <w:pPr>
        <w:pStyle w:val="Prrafodelista"/>
        <w:spacing w:line="360" w:lineRule="auto"/>
        <w:ind w:left="0"/>
        <w:jc w:val="both"/>
        <w:rPr>
          <w:rFonts w:ascii="Palatino Linotype" w:hAnsi="Palatino Linotype" w:cs="Arial"/>
          <w:b/>
          <w:sz w:val="24"/>
          <w:lang w:val="es-ES"/>
        </w:rPr>
      </w:pPr>
    </w:p>
    <w:p w14:paraId="0F89F5CD" w14:textId="7B0429B9" w:rsidR="005000AA" w:rsidRPr="00624AAD" w:rsidRDefault="00F942BD" w:rsidP="005000AA">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El día veintiocho</w:t>
      </w:r>
      <w:r w:rsidR="005000AA" w:rsidRPr="00624AAD">
        <w:rPr>
          <w:rFonts w:ascii="Palatino Linotype" w:eastAsia="Calibri" w:hAnsi="Palatino Linotype" w:cs="Arial"/>
          <w:sz w:val="24"/>
          <w:lang w:val="es-ES"/>
        </w:rPr>
        <w:t xml:space="preserve"> (</w:t>
      </w:r>
      <w:r>
        <w:rPr>
          <w:rFonts w:ascii="Palatino Linotype" w:eastAsia="Calibri" w:hAnsi="Palatino Linotype" w:cs="Arial"/>
          <w:sz w:val="24"/>
          <w:lang w:val="es-ES"/>
        </w:rPr>
        <w:t>28</w:t>
      </w:r>
      <w:r w:rsidR="005000AA" w:rsidRPr="00624AAD">
        <w:rPr>
          <w:rFonts w:ascii="Palatino Linotype" w:eastAsia="Calibri" w:hAnsi="Palatino Linotype" w:cs="Arial"/>
          <w:sz w:val="24"/>
          <w:lang w:val="es-ES"/>
        </w:rPr>
        <w:t xml:space="preserve">) de </w:t>
      </w:r>
      <w:r w:rsidR="00D31521">
        <w:rPr>
          <w:rFonts w:ascii="Palatino Linotype" w:eastAsia="Calibri" w:hAnsi="Palatino Linotype" w:cs="Arial"/>
          <w:sz w:val="24"/>
          <w:lang w:val="es-ES"/>
        </w:rPr>
        <w:t>septiembre</w:t>
      </w:r>
      <w:r w:rsidR="005000AA" w:rsidRPr="00624AAD">
        <w:rPr>
          <w:rFonts w:ascii="Palatino Linotype" w:eastAsia="Calibri" w:hAnsi="Palatino Linotype" w:cs="Arial"/>
          <w:sz w:val="24"/>
          <w:lang w:val="es-ES"/>
        </w:rPr>
        <w:t xml:space="preserve"> de dos mil veintiuno, e</w:t>
      </w:r>
      <w:r w:rsidR="005000AA" w:rsidRPr="00624AAD">
        <w:rPr>
          <w:rFonts w:ascii="Palatino Linotype" w:hAnsi="Palatino Linotype"/>
          <w:sz w:val="24"/>
        </w:rPr>
        <w:t>l Comisionado Ponente decretó el cierre de instrucción</w:t>
      </w:r>
      <w:r w:rsidR="005000AA" w:rsidRPr="00624AAD">
        <w:rPr>
          <w:rFonts w:ascii="Palatino Linotype" w:hAnsi="Palatino Linotype" w:cs="Arial"/>
          <w:sz w:val="24"/>
        </w:rPr>
        <w:t>.</w:t>
      </w:r>
      <w:r w:rsidR="005000AA" w:rsidRPr="00624AAD">
        <w:rPr>
          <w:rFonts w:ascii="Palatino Linotype" w:hAnsi="Palatino Linotype" w:cs="Tahoma"/>
          <w:sz w:val="24"/>
        </w:rPr>
        <w:t xml:space="preserve"> </w:t>
      </w:r>
      <w:r w:rsidR="00380BDB">
        <w:rPr>
          <w:rFonts w:ascii="Palatino Linotype" w:hAnsi="Palatino Linotype" w:cs="Tahoma"/>
          <w:sz w:val="24"/>
        </w:rPr>
        <w:t>En fecha veintidós</w:t>
      </w:r>
      <w:r>
        <w:rPr>
          <w:rFonts w:ascii="Palatino Linotype" w:hAnsi="Palatino Linotype" w:cs="Tahoma"/>
          <w:sz w:val="24"/>
        </w:rPr>
        <w:t xml:space="preserve"> (2</w:t>
      </w:r>
      <w:r w:rsidR="00380BDB">
        <w:rPr>
          <w:rFonts w:ascii="Palatino Linotype" w:hAnsi="Palatino Linotype" w:cs="Tahoma"/>
          <w:sz w:val="24"/>
        </w:rPr>
        <w:t>2</w:t>
      </w:r>
      <w:r>
        <w:rPr>
          <w:rFonts w:ascii="Palatino Linotype" w:hAnsi="Palatino Linotype" w:cs="Tahoma"/>
          <w:sz w:val="24"/>
        </w:rPr>
        <w:t>) de octubre de dos mil veintiuno, se notificó el acuerdo mediante el cual se amplió por un periodo de quince (15) días el plazo para emitir resolución, misma que ahora se pronuncia-----------------------------------------------------------------------------------------------------------------------------------</w:t>
      </w:r>
    </w:p>
    <w:p w14:paraId="3AA783A7" w14:textId="77777777" w:rsidR="005000AA" w:rsidRPr="00624AAD" w:rsidRDefault="005000AA" w:rsidP="005000AA">
      <w:pPr>
        <w:pStyle w:val="Prrafodelista"/>
        <w:spacing w:line="360" w:lineRule="auto"/>
        <w:ind w:left="0"/>
        <w:jc w:val="both"/>
        <w:rPr>
          <w:rFonts w:ascii="Palatino Linotype" w:hAnsi="Palatino Linotype" w:cs="Tahoma"/>
          <w:sz w:val="24"/>
        </w:rPr>
      </w:pP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5" w:name="_Toc85735107"/>
      <w:r w:rsidRPr="00624AAD">
        <w:rPr>
          <w:rFonts w:ascii="Palatino Linotype" w:hAnsi="Palatino Linotype"/>
          <w:b/>
          <w:color w:val="auto"/>
          <w:sz w:val="24"/>
          <w:szCs w:val="24"/>
        </w:rPr>
        <w:lastRenderedPageBreak/>
        <w:t>CONSIDERANDO</w:t>
      </w:r>
      <w:bookmarkEnd w:id="5"/>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5735108"/>
      <w:r w:rsidRPr="00624AAD">
        <w:rPr>
          <w:rFonts w:ascii="Palatino Linotype" w:hAnsi="Palatino Linotype"/>
          <w:b/>
          <w:color w:val="auto"/>
          <w:sz w:val="24"/>
          <w:szCs w:val="24"/>
        </w:rPr>
        <w:t>PRIMERO. De la competencia</w:t>
      </w:r>
      <w:bookmarkEnd w:id="6"/>
    </w:p>
    <w:p w14:paraId="38B24DFE" w14:textId="3BFE7192"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5735109"/>
      <w:r w:rsidRPr="00624AAD">
        <w:rPr>
          <w:rFonts w:ascii="Palatino Linotype" w:hAnsi="Palatino Linotype"/>
          <w:b/>
          <w:color w:val="auto"/>
          <w:sz w:val="24"/>
          <w:szCs w:val="24"/>
        </w:rPr>
        <w:t>SEGUNDO. De la oportunidad y procedencia.</w:t>
      </w:r>
      <w:bookmarkEnd w:id="7"/>
    </w:p>
    <w:p w14:paraId="68EB8895" w14:textId="134E867D"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D31521">
        <w:rPr>
          <w:rFonts w:ascii="Palatino Linotype" w:eastAsia="Calibri" w:hAnsi="Palatino Linotype" w:cs="Arial"/>
          <w:sz w:val="24"/>
        </w:rPr>
        <w:t>doce</w:t>
      </w:r>
      <w:r w:rsidRPr="00624AAD">
        <w:rPr>
          <w:rFonts w:ascii="Palatino Linotype" w:eastAsia="Calibri" w:hAnsi="Palatino Linotype" w:cs="Arial"/>
          <w:sz w:val="24"/>
        </w:rPr>
        <w:t xml:space="preserve"> (</w:t>
      </w:r>
      <w:r w:rsidR="00D31521">
        <w:rPr>
          <w:rFonts w:ascii="Palatino Linotype" w:eastAsia="Calibri" w:hAnsi="Palatino Linotype" w:cs="Arial"/>
          <w:sz w:val="24"/>
        </w:rPr>
        <w:t>12</w:t>
      </w:r>
      <w:r w:rsidRPr="00624AAD">
        <w:rPr>
          <w:rFonts w:ascii="Palatino Linotype" w:eastAsia="Calibri" w:hAnsi="Palatino Linotype" w:cs="Arial"/>
          <w:sz w:val="24"/>
        </w:rPr>
        <w:t>) de ju</w:t>
      </w:r>
      <w:r w:rsidR="00D31521">
        <w:rPr>
          <w:rFonts w:ascii="Palatino Linotype" w:eastAsia="Calibri" w:hAnsi="Palatino Linotype" w:cs="Arial"/>
          <w:sz w:val="24"/>
        </w:rPr>
        <w:t>lio</w:t>
      </w:r>
      <w:r w:rsidRPr="00624AAD">
        <w:rPr>
          <w:rFonts w:ascii="Palatino Linotype" w:eastAsia="Calibri" w:hAnsi="Palatino Linotype" w:cs="Arial"/>
          <w:sz w:val="24"/>
        </w:rPr>
        <w:t xml:space="preserve"> de dos mil veintiuno, </w:t>
      </w:r>
      <w:r w:rsidRPr="00624AAD">
        <w:rPr>
          <w:rFonts w:ascii="Palatino Linotype" w:hAnsi="Palatino Linotype" w:cs="Arial"/>
          <w:sz w:val="24"/>
        </w:rPr>
        <w:t>de tal forma que el plazo para interponer el recur</w:t>
      </w:r>
      <w:r w:rsidR="00D31521">
        <w:rPr>
          <w:rFonts w:ascii="Palatino Linotype" w:hAnsi="Palatino Linotype" w:cs="Arial"/>
          <w:sz w:val="24"/>
        </w:rPr>
        <w:t>so de revisión transcurrió del trece</w:t>
      </w:r>
      <w:r w:rsidRPr="00624AAD">
        <w:rPr>
          <w:rFonts w:ascii="Palatino Linotype" w:hAnsi="Palatino Linotype" w:cs="Arial"/>
          <w:sz w:val="24"/>
        </w:rPr>
        <w:t xml:space="preserve"> (</w:t>
      </w:r>
      <w:r w:rsidR="00D31521">
        <w:rPr>
          <w:rFonts w:ascii="Palatino Linotype" w:hAnsi="Palatino Linotype" w:cs="Arial"/>
          <w:sz w:val="24"/>
        </w:rPr>
        <w:t>13</w:t>
      </w:r>
      <w:r w:rsidRPr="00624AAD">
        <w:rPr>
          <w:rFonts w:ascii="Palatino Linotype" w:hAnsi="Palatino Linotype" w:cs="Arial"/>
          <w:sz w:val="24"/>
        </w:rPr>
        <w:t>) de ju</w:t>
      </w:r>
      <w:r w:rsidR="00D31521">
        <w:rPr>
          <w:rFonts w:ascii="Palatino Linotype" w:hAnsi="Palatino Linotype" w:cs="Arial"/>
          <w:sz w:val="24"/>
        </w:rPr>
        <w:t>lio</w:t>
      </w:r>
      <w:r w:rsidRPr="00624AAD">
        <w:rPr>
          <w:rFonts w:ascii="Palatino Linotype" w:hAnsi="Palatino Linotype" w:cs="Arial"/>
          <w:sz w:val="24"/>
        </w:rPr>
        <w:t xml:space="preserve"> al </w:t>
      </w:r>
      <w:r w:rsidR="00D31521">
        <w:rPr>
          <w:rFonts w:ascii="Palatino Linotype" w:hAnsi="Palatino Linotype" w:cs="Arial"/>
          <w:sz w:val="24"/>
        </w:rPr>
        <w:t>dieciséis</w:t>
      </w:r>
      <w:r w:rsidRPr="00624AAD">
        <w:rPr>
          <w:rFonts w:ascii="Palatino Linotype" w:hAnsi="Palatino Linotype" w:cs="Arial"/>
          <w:sz w:val="24"/>
        </w:rPr>
        <w:t xml:space="preserve"> (</w:t>
      </w:r>
      <w:r w:rsidR="00D31521">
        <w:rPr>
          <w:rFonts w:ascii="Palatino Linotype" w:hAnsi="Palatino Linotype" w:cs="Arial"/>
          <w:sz w:val="24"/>
        </w:rPr>
        <w:t>16</w:t>
      </w:r>
      <w:r w:rsidRPr="00624AAD">
        <w:rPr>
          <w:rFonts w:ascii="Palatino Linotype" w:hAnsi="Palatino Linotype" w:cs="Arial"/>
          <w:sz w:val="24"/>
        </w:rPr>
        <w:t xml:space="preserve">) de </w:t>
      </w:r>
      <w:r w:rsidR="00D31521">
        <w:rPr>
          <w:rFonts w:ascii="Palatino Linotype" w:hAnsi="Palatino Linotype" w:cs="Arial"/>
          <w:sz w:val="24"/>
        </w:rPr>
        <w:t>agosto</w:t>
      </w:r>
      <w:r w:rsidRPr="00624AAD">
        <w:rPr>
          <w:rFonts w:ascii="Palatino Linotype" w:hAnsi="Palatino Linotype" w:cs="Arial"/>
          <w:sz w:val="24"/>
        </w:rPr>
        <w:t xml:space="preserve"> de dos mil veintiuno; en consecuencia, presentó su inconformidad el día </w:t>
      </w:r>
      <w:r w:rsidR="00D31521">
        <w:rPr>
          <w:rFonts w:ascii="Palatino Linotype" w:hAnsi="Palatino Linotype" w:cs="Arial"/>
          <w:sz w:val="24"/>
        </w:rPr>
        <w:t>dos</w:t>
      </w:r>
      <w:r w:rsidRPr="00624AAD">
        <w:rPr>
          <w:rFonts w:ascii="Palatino Linotype" w:hAnsi="Palatino Linotype" w:cs="Arial"/>
          <w:sz w:val="24"/>
        </w:rPr>
        <w:t xml:space="preserve"> </w:t>
      </w:r>
      <w:r w:rsidRPr="00624AAD">
        <w:rPr>
          <w:rFonts w:ascii="Palatino Linotype" w:eastAsia="Calibri" w:hAnsi="Palatino Linotype" w:cs="Arial"/>
          <w:sz w:val="24"/>
        </w:rPr>
        <w:t>(</w:t>
      </w:r>
      <w:r w:rsidR="00D31521">
        <w:rPr>
          <w:rFonts w:ascii="Palatino Linotype" w:eastAsia="Calibri" w:hAnsi="Palatino Linotype" w:cs="Arial"/>
          <w:sz w:val="24"/>
        </w:rPr>
        <w:t>2</w:t>
      </w:r>
      <w:r w:rsidRPr="00624AAD">
        <w:rPr>
          <w:rFonts w:ascii="Palatino Linotype" w:eastAsia="Calibri" w:hAnsi="Palatino Linotype" w:cs="Arial"/>
          <w:sz w:val="24"/>
        </w:rPr>
        <w:t xml:space="preserve">) de </w:t>
      </w:r>
      <w:r w:rsidR="00D31521">
        <w:rPr>
          <w:rFonts w:ascii="Palatino Linotype" w:eastAsia="Calibri" w:hAnsi="Palatino Linotype" w:cs="Arial"/>
          <w:sz w:val="24"/>
        </w:rPr>
        <w:t>agosto</w:t>
      </w:r>
      <w:r w:rsidRPr="00624AAD">
        <w:rPr>
          <w:rFonts w:ascii="Palatino Linotype" w:eastAsia="Calibri" w:hAnsi="Palatino Linotype" w:cs="Arial"/>
          <w:sz w:val="24"/>
        </w:rPr>
        <w:t xml:space="preserve"> de dos mil veintiuno</w:t>
      </w:r>
      <w:r w:rsidRPr="00624AAD">
        <w:rPr>
          <w:rFonts w:ascii="Palatino Linotype" w:hAnsi="Palatino Linotype" w:cs="Arial"/>
          <w:sz w:val="24"/>
        </w:rPr>
        <w:t xml:space="preserve">, por lo que se encuentra dentro de los márgenes temporales </w:t>
      </w:r>
      <w:r w:rsidRPr="00624AAD">
        <w:rPr>
          <w:rFonts w:ascii="Palatino Linotype" w:hAnsi="Palatino Linotype" w:cs="Arial"/>
          <w:sz w:val="24"/>
        </w:rPr>
        <w:lastRenderedPageBreak/>
        <w:t xml:space="preserve">previstos en el artículo 178 de la </w:t>
      </w:r>
      <w:r w:rsidRPr="00624AAD">
        <w:rPr>
          <w:rFonts w:ascii="Palatino Linotype" w:hAnsi="Palatino Linotype" w:cs="Arial"/>
          <w:b/>
          <w:sz w:val="24"/>
        </w:rPr>
        <w:t>Ley de Transparencia y Acceso a la Información Pública del Estado de México y Municipios vigente.</w:t>
      </w:r>
    </w:p>
    <w:p w14:paraId="2EE3B909" w14:textId="77777777" w:rsidR="005000AA" w:rsidRPr="00624AAD" w:rsidRDefault="005000AA" w:rsidP="005000A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Default="005000AA" w:rsidP="005000AA">
      <w:pPr>
        <w:pStyle w:val="Ttulo1"/>
        <w:rPr>
          <w:rFonts w:ascii="Palatino Linotype" w:hAnsi="Palatino Linotype"/>
          <w:b/>
          <w:color w:val="auto"/>
          <w:sz w:val="24"/>
          <w:szCs w:val="24"/>
        </w:rPr>
      </w:pPr>
      <w:bookmarkStart w:id="8" w:name="_Toc85735110"/>
      <w:r w:rsidRPr="00624AAD">
        <w:rPr>
          <w:rFonts w:ascii="Palatino Linotype" w:hAnsi="Palatino Linotype"/>
          <w:b/>
          <w:color w:val="auto"/>
          <w:sz w:val="24"/>
          <w:szCs w:val="24"/>
        </w:rPr>
        <w:t>TERCERO. Planteamiento de la Litis</w:t>
      </w:r>
      <w:bookmarkEnd w:id="8"/>
      <w:r w:rsidRPr="00624AAD">
        <w:rPr>
          <w:rFonts w:ascii="Palatino Linotype" w:hAnsi="Palatino Linotype"/>
          <w:b/>
          <w:color w:val="auto"/>
          <w:sz w:val="24"/>
          <w:szCs w:val="24"/>
        </w:rPr>
        <w:t xml:space="preserve"> </w:t>
      </w:r>
    </w:p>
    <w:p w14:paraId="36F671E1" w14:textId="77777777" w:rsidR="00E150A8" w:rsidRPr="00E150A8" w:rsidRDefault="00E150A8" w:rsidP="00E150A8">
      <w:pPr>
        <w:rPr>
          <w:rFonts w:eastAsia="MS Mincho"/>
        </w:rPr>
      </w:pPr>
    </w:p>
    <w:p w14:paraId="17F8B12C" w14:textId="35224875"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256ED9">
        <w:rPr>
          <w:rFonts w:ascii="Palatino Linotype" w:hAnsi="Palatino Linotype"/>
          <w:bCs/>
          <w:sz w:val="24"/>
        </w:rPr>
        <w:t xml:space="preserve"> el nombre de los policías que participaron en el arresto de dos presuntos delincuentes, así como el nombre de la víctima, tomando como referencia un video de la página de la red social denominada </w:t>
      </w:r>
      <w:r w:rsidR="00256ED9" w:rsidRPr="00256ED9">
        <w:rPr>
          <w:rFonts w:ascii="Palatino Linotype" w:hAnsi="Palatino Linotype"/>
          <w:bCs/>
          <w:i/>
          <w:sz w:val="24"/>
        </w:rPr>
        <w:t>“Facebook”</w:t>
      </w:r>
      <w:r w:rsidRPr="00624AAD">
        <w:rPr>
          <w:rFonts w:ascii="Palatino Linotype" w:hAnsi="Palatino Linotype"/>
          <w:bCs/>
          <w:sz w:val="24"/>
        </w:rPr>
        <w:t xml:space="preserve"> </w:t>
      </w:r>
    </w:p>
    <w:p w14:paraId="3AB1922B" w14:textId="77777777" w:rsidR="005000AA" w:rsidRPr="00624AAD" w:rsidRDefault="005000AA" w:rsidP="005000AA">
      <w:pPr>
        <w:pStyle w:val="Prrafodelista"/>
        <w:spacing w:before="240" w:after="240" w:line="360" w:lineRule="auto"/>
        <w:ind w:left="0" w:right="49"/>
        <w:jc w:val="both"/>
        <w:rPr>
          <w:rFonts w:ascii="Palatino Linotype" w:hAnsi="Palatino Linotype"/>
          <w:i/>
          <w:sz w:val="24"/>
          <w:lang w:eastAsia="es-MX"/>
        </w:rPr>
      </w:pPr>
    </w:p>
    <w:p w14:paraId="56F914DF" w14:textId="515A988B" w:rsidR="005000AA" w:rsidRPr="00624AAD" w:rsidRDefault="00D31521" w:rsidP="005000AA">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El Sujeto Obligado manifestó que e</w:t>
      </w:r>
      <w:r w:rsidR="00256ED9">
        <w:rPr>
          <w:rFonts w:ascii="Palatino Linotype" w:hAnsi="Palatino Linotype"/>
          <w:bCs/>
          <w:sz w:val="24"/>
        </w:rPr>
        <w:t>s información clasificada como confidencial y que no puede ser entregada.</w:t>
      </w:r>
    </w:p>
    <w:p w14:paraId="2CA2960A" w14:textId="77777777" w:rsidR="005000AA" w:rsidRPr="00624AAD" w:rsidRDefault="005000AA" w:rsidP="005000AA">
      <w:pPr>
        <w:pStyle w:val="Prrafodelista"/>
        <w:spacing w:before="240" w:after="240" w:line="360" w:lineRule="auto"/>
        <w:ind w:left="0" w:right="49"/>
        <w:jc w:val="both"/>
        <w:rPr>
          <w:rFonts w:ascii="Palatino Linotype" w:hAnsi="Palatino Linotype"/>
          <w:bCs/>
          <w:sz w:val="24"/>
        </w:rPr>
      </w:pPr>
    </w:p>
    <w:p w14:paraId="7462CE1A" w14:textId="6A1B5534"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bCs/>
          <w:sz w:val="24"/>
        </w:rPr>
      </w:pPr>
      <w:r w:rsidRPr="00624AAD">
        <w:rPr>
          <w:rFonts w:ascii="Palatino Linotype" w:hAnsi="Palatino Linotype"/>
          <w:bCs/>
          <w:sz w:val="24"/>
        </w:rPr>
        <w:t>El recurrente se inconformó por</w:t>
      </w:r>
      <w:r w:rsidR="00256ED9">
        <w:rPr>
          <w:rFonts w:ascii="Palatino Linotype" w:hAnsi="Palatino Linotype"/>
          <w:bCs/>
          <w:sz w:val="24"/>
        </w:rPr>
        <w:t>que no le entregaron la información.</w:t>
      </w:r>
    </w:p>
    <w:p w14:paraId="0D89BECC" w14:textId="77777777" w:rsidR="005000AA" w:rsidRPr="00624AAD" w:rsidRDefault="005000AA" w:rsidP="005000AA">
      <w:pPr>
        <w:pStyle w:val="Prrafodelista"/>
        <w:rPr>
          <w:rFonts w:ascii="Palatino Linotype" w:hAnsi="Palatino Linotype"/>
          <w:bCs/>
          <w:sz w:val="24"/>
        </w:rPr>
      </w:pPr>
    </w:p>
    <w:p w14:paraId="78695B9E" w14:textId="2FA5AE47"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procedencia de las fracciones I y I</w:t>
      </w:r>
      <w:r w:rsidR="00256ED9">
        <w:rPr>
          <w:rFonts w:ascii="Palatino Linotype" w:hAnsi="Palatino Linotype"/>
          <w:sz w:val="24"/>
        </w:rPr>
        <w:t>I</w:t>
      </w:r>
      <w:r w:rsidRPr="00624AAD">
        <w:rPr>
          <w:rFonts w:ascii="Palatino Linotype" w:hAnsi="Palatino Linotype"/>
          <w:sz w:val="24"/>
        </w:rPr>
        <w:t xml:space="preserve"> del artículo 179 de la Ley de Transparencia y Acceso a la Información Pública del Estado de México y Municipios, relativos a la negativa </w:t>
      </w:r>
      <w:r w:rsidR="00971F24">
        <w:rPr>
          <w:rFonts w:ascii="Palatino Linotype" w:hAnsi="Palatino Linotype"/>
          <w:sz w:val="24"/>
        </w:rPr>
        <w:t xml:space="preserve">de la información y la </w:t>
      </w:r>
      <w:r w:rsidR="00256ED9">
        <w:rPr>
          <w:rFonts w:ascii="Palatino Linotype" w:hAnsi="Palatino Linotype"/>
          <w:sz w:val="24"/>
        </w:rPr>
        <w:t>clasificación</w:t>
      </w:r>
      <w:r w:rsidR="00971F24">
        <w:rPr>
          <w:rFonts w:ascii="Palatino Linotype" w:hAnsi="Palatino Linotype"/>
          <w:sz w:val="24"/>
        </w:rPr>
        <w:t>.</w:t>
      </w:r>
      <w:bookmarkStart w:id="9" w:name="_Toc486525253"/>
    </w:p>
    <w:p w14:paraId="5E0E121E" w14:textId="77777777" w:rsidR="00256ED9" w:rsidRPr="00256ED9" w:rsidRDefault="00256ED9" w:rsidP="00256ED9">
      <w:pPr>
        <w:pStyle w:val="Prrafodelista"/>
        <w:rPr>
          <w:rFonts w:ascii="Palatino Linotype" w:hAnsi="Palatino Linotype"/>
          <w:sz w:val="24"/>
        </w:rPr>
      </w:pPr>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10" w:name="_Toc4061675"/>
      <w:bookmarkStart w:id="11" w:name="_Toc3372324"/>
      <w:bookmarkStart w:id="12" w:name="_Toc499201873"/>
      <w:bookmarkStart w:id="13" w:name="_Toc85735111"/>
      <w:bookmarkEnd w:id="9"/>
      <w:r w:rsidRPr="00624AAD">
        <w:rPr>
          <w:rFonts w:ascii="Palatino Linotype" w:hAnsi="Palatino Linotype"/>
          <w:b/>
          <w:color w:val="auto"/>
          <w:sz w:val="24"/>
          <w:szCs w:val="24"/>
        </w:rPr>
        <w:lastRenderedPageBreak/>
        <w:t>CUARTO</w:t>
      </w:r>
      <w:r w:rsidR="005000AA" w:rsidRPr="00624AAD">
        <w:rPr>
          <w:rFonts w:ascii="Palatino Linotype" w:hAnsi="Palatino Linotype"/>
          <w:b/>
          <w:color w:val="auto"/>
          <w:sz w:val="24"/>
          <w:szCs w:val="24"/>
        </w:rPr>
        <w:t>. Estudio y resolución del asunto</w:t>
      </w:r>
      <w:bookmarkEnd w:id="10"/>
      <w:bookmarkEnd w:id="11"/>
      <w:bookmarkEnd w:id="12"/>
      <w:bookmarkEnd w:id="13"/>
    </w:p>
    <w:p w14:paraId="09B5F100" w14:textId="77777777" w:rsidR="005000AA" w:rsidRDefault="005000AA" w:rsidP="005000AA">
      <w:pPr>
        <w:rPr>
          <w:rFonts w:ascii="Palatino Linotype" w:hAnsi="Palatino Linotype"/>
          <w:sz w:val="24"/>
          <w:szCs w:val="24"/>
          <w:lang w:eastAsia="en-US"/>
        </w:rPr>
      </w:pPr>
    </w:p>
    <w:p w14:paraId="1CA44323" w14:textId="77777777" w:rsidR="00671495" w:rsidRPr="00671495" w:rsidRDefault="00671495" w:rsidP="00671495">
      <w:pPr>
        <w:pStyle w:val="Ttulo2"/>
        <w:numPr>
          <w:ilvl w:val="0"/>
          <w:numId w:val="26"/>
        </w:numPr>
        <w:spacing w:line="256" w:lineRule="auto"/>
        <w:rPr>
          <w:rFonts w:ascii="Palatino Linotype" w:hAnsi="Palatino Linotype"/>
          <w:b/>
          <w:color w:val="auto"/>
          <w:sz w:val="28"/>
        </w:rPr>
      </w:pPr>
      <w:bookmarkStart w:id="14" w:name="_Toc9525984"/>
      <w:bookmarkStart w:id="15" w:name="_Toc34936174"/>
      <w:bookmarkStart w:id="16" w:name="_Toc85735112"/>
      <w:r w:rsidRPr="00671495">
        <w:rPr>
          <w:rFonts w:ascii="Palatino Linotype" w:hAnsi="Palatino Linotype"/>
          <w:b/>
          <w:color w:val="auto"/>
          <w:sz w:val="28"/>
        </w:rPr>
        <w:t>El derecho de acceso a la información.</w:t>
      </w:r>
      <w:bookmarkEnd w:id="14"/>
      <w:bookmarkEnd w:id="15"/>
      <w:bookmarkEnd w:id="16"/>
    </w:p>
    <w:p w14:paraId="64B0504F" w14:textId="77777777" w:rsidR="00671495" w:rsidRPr="00671495" w:rsidRDefault="00671495" w:rsidP="00671495">
      <w:pPr>
        <w:rPr>
          <w:sz w:val="22"/>
          <w:lang w:eastAsia="en-US"/>
        </w:rPr>
      </w:pPr>
    </w:p>
    <w:p w14:paraId="5B05C22F" w14:textId="77777777" w:rsidR="00671495" w:rsidRPr="00671495" w:rsidRDefault="00671495" w:rsidP="00671495">
      <w:pPr>
        <w:rPr>
          <w:sz w:val="22"/>
          <w:lang w:eastAsia="en-US"/>
        </w:rPr>
      </w:pPr>
    </w:p>
    <w:p w14:paraId="06F77CF7" w14:textId="77777777" w:rsidR="00671495" w:rsidRPr="00671495" w:rsidRDefault="00671495" w:rsidP="00671495">
      <w:pPr>
        <w:pStyle w:val="Prrafodelista"/>
        <w:numPr>
          <w:ilvl w:val="0"/>
          <w:numId w:val="3"/>
        </w:numPr>
        <w:spacing w:line="360" w:lineRule="auto"/>
        <w:ind w:left="0" w:firstLine="0"/>
        <w:jc w:val="both"/>
        <w:rPr>
          <w:rFonts w:ascii="Palatino Linotype" w:hAnsi="Palatino Linotype"/>
          <w:color w:val="000000"/>
          <w:sz w:val="24"/>
          <w:szCs w:val="22"/>
        </w:rPr>
      </w:pPr>
      <w:r w:rsidRPr="00671495">
        <w:rPr>
          <w:rFonts w:ascii="Palatino Linotype" w:hAnsi="Palatino Linotype"/>
          <w:color w:val="000000"/>
          <w:sz w:val="24"/>
          <w:szCs w:val="22"/>
        </w:rPr>
        <w:t xml:space="preserve">El Derecho que tutela este Órgano Garante es la </w:t>
      </w:r>
      <w:r w:rsidRPr="00671495">
        <w:rPr>
          <w:rFonts w:ascii="Palatino Linotype" w:hAnsi="Palatino Linotype" w:cs="Arial"/>
          <w:color w:val="000000" w:themeColor="text1"/>
          <w:sz w:val="24"/>
          <w:lang w:eastAsia="es-MX"/>
        </w:rPr>
        <w:t xml:space="preserve"> </w:t>
      </w:r>
      <w:r w:rsidRPr="00671495">
        <w:rPr>
          <w:rFonts w:ascii="Palatino Linotype" w:eastAsia="MS Mincho" w:hAnsi="Palatino Linotype"/>
          <w:i/>
          <w:sz w:val="24"/>
        </w:rPr>
        <w:t>igualdad de oportunidades para recibir, buscar e impartir información</w:t>
      </w:r>
      <w:r w:rsidRPr="00671495">
        <w:rPr>
          <w:rStyle w:val="Refdenotaalpie"/>
          <w:rFonts w:ascii="Palatino Linotype" w:eastAsia="MS Mincho" w:hAnsi="Palatino Linotype"/>
          <w:i/>
          <w:sz w:val="24"/>
        </w:rPr>
        <w:footnoteReference w:id="1"/>
      </w:r>
      <w:r w:rsidRPr="00671495">
        <w:rPr>
          <w:rFonts w:ascii="Palatino Linotype" w:eastAsia="MS Mincho" w:hAnsi="Palatino Linotype"/>
          <w:i/>
          <w:sz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71495">
        <w:rPr>
          <w:rStyle w:val="Refdenotaalpie"/>
          <w:rFonts w:ascii="Palatino Linotype" w:eastAsia="MS Mincho" w:hAnsi="Palatino Linotype"/>
          <w:sz w:val="24"/>
        </w:rPr>
        <w:footnoteReference w:id="2"/>
      </w:r>
      <w:r w:rsidRPr="00671495">
        <w:rPr>
          <w:rFonts w:ascii="Palatino Linotype" w:eastAsia="MS Mincho" w:hAnsi="Palatino Linotype"/>
          <w:i/>
          <w:sz w:val="24"/>
        </w:rPr>
        <w:t xml:space="preserve"> </w:t>
      </w:r>
      <w:r w:rsidRPr="00671495">
        <w:rPr>
          <w:rFonts w:ascii="Palatino Linotype" w:eastAsia="MS Mincho" w:hAnsi="Palatino Linotype"/>
          <w:sz w:val="24"/>
        </w:rPr>
        <w:t xml:space="preserve">que se constituye como una herramienta fundamental para </w:t>
      </w:r>
      <w:r w:rsidRPr="00671495">
        <w:rPr>
          <w:rFonts w:ascii="Palatino Linotype" w:eastAsia="MS Mincho" w:hAnsi="Palatino Linotype"/>
          <w:i/>
          <w:sz w:val="24"/>
        </w:rPr>
        <w:t>ejercer control democrático de las gestiones estatales, de forma tal que puedan cuestionar, indagar y considerar si se está dando un adecuado cumplimiento de las funciones públicas,</w:t>
      </w:r>
      <w:r w:rsidRPr="00671495">
        <w:rPr>
          <w:rStyle w:val="Refdenotaalpie"/>
          <w:rFonts w:ascii="Palatino Linotype" w:eastAsia="MS Mincho" w:hAnsi="Palatino Linotype"/>
          <w:i/>
          <w:sz w:val="24"/>
        </w:rPr>
        <w:footnoteReference w:id="3"/>
      </w:r>
      <w:r w:rsidRPr="00671495">
        <w:rPr>
          <w:rFonts w:ascii="Palatino Linotype" w:eastAsia="MS Mincho" w:hAnsi="Palatino Linotype"/>
          <w:sz w:val="24"/>
        </w:rPr>
        <w:t>fomentando</w:t>
      </w:r>
      <w:r w:rsidRPr="00671495">
        <w:rPr>
          <w:rFonts w:ascii="Palatino Linotype" w:eastAsia="MS Mincho" w:hAnsi="Palatino Linotype"/>
          <w:i/>
          <w:sz w:val="24"/>
        </w:rPr>
        <w:t xml:space="preserve"> la transparencia de las actividades estatales y</w:t>
      </w:r>
      <w:r w:rsidRPr="00671495">
        <w:rPr>
          <w:rFonts w:ascii="Palatino Linotype" w:eastAsia="MS Mincho" w:hAnsi="Palatino Linotype"/>
          <w:sz w:val="24"/>
        </w:rPr>
        <w:t xml:space="preserve"> promoviendo</w:t>
      </w:r>
      <w:r w:rsidRPr="00671495">
        <w:rPr>
          <w:rFonts w:ascii="Palatino Linotype" w:eastAsia="MS Mincho" w:hAnsi="Palatino Linotype"/>
          <w:i/>
          <w:sz w:val="24"/>
        </w:rPr>
        <w:t xml:space="preserve"> la responsabilidad de los funcionarios sobre su gestión pública</w:t>
      </w:r>
      <w:r w:rsidRPr="00671495">
        <w:rPr>
          <w:rStyle w:val="Refdenotaalpie"/>
          <w:rFonts w:ascii="Palatino Linotype" w:eastAsia="MS Mincho" w:hAnsi="Palatino Linotype"/>
          <w:i/>
          <w:sz w:val="24"/>
        </w:rPr>
        <w:footnoteReference w:id="4"/>
      </w:r>
      <w:r w:rsidRPr="00671495">
        <w:rPr>
          <w:rFonts w:ascii="Palatino Linotype" w:eastAsia="MS Mincho" w:hAnsi="Palatino Linotype"/>
          <w:i/>
          <w:sz w:val="24"/>
        </w:rPr>
        <w:t xml:space="preserve"> </w:t>
      </w:r>
      <w:r w:rsidRPr="00671495">
        <w:rPr>
          <w:rFonts w:ascii="Palatino Linotype" w:eastAsia="MS Mincho" w:hAnsi="Palatino Linotype"/>
          <w:sz w:val="24"/>
        </w:rPr>
        <w:t>que permite</w:t>
      </w:r>
      <w:r w:rsidRPr="00671495">
        <w:rPr>
          <w:rFonts w:ascii="Palatino Linotype" w:eastAsia="MS Mincho" w:hAnsi="Palatino Linotype"/>
          <w:i/>
          <w:sz w:val="24"/>
        </w:rPr>
        <w:t xml:space="preserve"> saber qué están haciendo los gobiernos por sus pueblos, sin lo cual la verdad languidecería y la participación en el gobierno permanecería fragmentada.</w:t>
      </w:r>
      <w:r w:rsidRPr="00671495">
        <w:rPr>
          <w:rStyle w:val="Refdenotaalpie"/>
          <w:rFonts w:ascii="Palatino Linotype" w:eastAsia="MS Mincho" w:hAnsi="Palatino Linotype"/>
          <w:i/>
          <w:sz w:val="24"/>
        </w:rPr>
        <w:footnoteReference w:id="5"/>
      </w:r>
      <w:r w:rsidRPr="00671495">
        <w:rPr>
          <w:rFonts w:ascii="Palatino Linotype" w:eastAsia="MS Mincho" w:hAnsi="Palatino Linotype"/>
          <w:sz w:val="24"/>
        </w:rPr>
        <w:t xml:space="preserve"> ” </w:t>
      </w:r>
    </w:p>
    <w:p w14:paraId="5F81B4D2" w14:textId="77777777" w:rsidR="00671495" w:rsidRPr="00671495" w:rsidRDefault="00671495" w:rsidP="00671495">
      <w:pPr>
        <w:pStyle w:val="Prrafodelista"/>
        <w:spacing w:line="360" w:lineRule="auto"/>
        <w:ind w:left="0"/>
        <w:jc w:val="both"/>
        <w:rPr>
          <w:rFonts w:ascii="Palatino Linotype" w:hAnsi="Palatino Linotype"/>
          <w:color w:val="000000"/>
          <w:sz w:val="24"/>
          <w:szCs w:val="22"/>
        </w:rPr>
      </w:pPr>
    </w:p>
    <w:p w14:paraId="0E02B2C2" w14:textId="77777777" w:rsidR="00671495" w:rsidRPr="00671495" w:rsidRDefault="00671495" w:rsidP="00671495">
      <w:pPr>
        <w:pStyle w:val="Prrafodelista"/>
        <w:numPr>
          <w:ilvl w:val="0"/>
          <w:numId w:val="3"/>
        </w:numPr>
        <w:spacing w:before="240" w:after="360" w:line="360" w:lineRule="auto"/>
        <w:ind w:left="0" w:firstLine="0"/>
        <w:jc w:val="both"/>
        <w:rPr>
          <w:rFonts w:ascii="Palatino Linotype" w:hAnsi="Palatino Linotype" w:cs="Arial"/>
          <w:i/>
          <w:color w:val="000000" w:themeColor="text1"/>
          <w:sz w:val="24"/>
        </w:rPr>
      </w:pPr>
      <w:r w:rsidRPr="00671495">
        <w:rPr>
          <w:rFonts w:ascii="Palatino Linotype" w:hAnsi="Palatino Linotype" w:cs="Arial"/>
          <w:sz w:val="24"/>
        </w:rPr>
        <w:lastRenderedPageBreak/>
        <w:t xml:space="preserve">Ahora bien para entender los alcances de la información pública se considera importante citar el criterio </w:t>
      </w:r>
      <w:r w:rsidRPr="00671495">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71495">
        <w:rPr>
          <w:rFonts w:ascii="Palatino Linotype" w:hAnsi="Palatino Linotype" w:cs="Arial"/>
          <w:sz w:val="24"/>
        </w:rPr>
        <w:t>cuyo rubro y texto dispone:</w:t>
      </w:r>
    </w:p>
    <w:p w14:paraId="1890877C" w14:textId="77777777" w:rsidR="00671495" w:rsidRPr="00671495" w:rsidRDefault="00671495" w:rsidP="00671495">
      <w:pPr>
        <w:pStyle w:val="Prrafodelista"/>
        <w:autoSpaceDE w:val="0"/>
        <w:autoSpaceDN w:val="0"/>
        <w:adjustRightInd w:val="0"/>
        <w:spacing w:line="360" w:lineRule="auto"/>
        <w:ind w:left="0"/>
        <w:jc w:val="both"/>
        <w:rPr>
          <w:rFonts w:ascii="Palatino Linotype" w:hAnsi="Palatino Linotype" w:cs="Arial"/>
          <w:sz w:val="24"/>
        </w:rPr>
      </w:pPr>
    </w:p>
    <w:p w14:paraId="7BAA4CB3"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b/>
          <w:i/>
          <w:sz w:val="22"/>
          <w:szCs w:val="22"/>
          <w:lang w:eastAsia="es-MX"/>
        </w:rPr>
      </w:pPr>
      <w:r w:rsidRPr="00671495">
        <w:rPr>
          <w:rFonts w:ascii="Palatino Linotype" w:hAnsi="Palatino Linotype" w:cs="Arial"/>
          <w:b/>
          <w:i/>
          <w:sz w:val="22"/>
          <w:szCs w:val="22"/>
          <w:lang w:eastAsia="es-MX"/>
        </w:rPr>
        <w:t>“CRITERIO 0002-11</w:t>
      </w:r>
    </w:p>
    <w:p w14:paraId="4F4D791F"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i/>
          <w:sz w:val="22"/>
          <w:szCs w:val="22"/>
          <w:lang w:eastAsia="es-MX"/>
        </w:rPr>
      </w:pPr>
      <w:r w:rsidRPr="0067149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71495">
        <w:rPr>
          <w:rFonts w:ascii="Palatino Linotype" w:hAnsi="Palatino Linotype" w:cs="Arial"/>
          <w:b/>
          <w:bCs/>
          <w:i/>
          <w:sz w:val="22"/>
          <w:szCs w:val="22"/>
          <w:lang w:eastAsia="es-MX"/>
        </w:rPr>
        <w:t xml:space="preserve">V, XV, Y XVI, </w:t>
      </w:r>
      <w:r w:rsidRPr="00671495">
        <w:rPr>
          <w:rFonts w:ascii="Palatino Linotype" w:hAnsi="Palatino Linotype" w:cs="Arial"/>
          <w:b/>
          <w:i/>
          <w:sz w:val="22"/>
          <w:szCs w:val="22"/>
          <w:lang w:eastAsia="es-MX"/>
        </w:rPr>
        <w:t>3, 4,11 Y 41.</w:t>
      </w:r>
      <w:r w:rsidRPr="0067149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A2C6B1B"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i/>
          <w:sz w:val="22"/>
          <w:szCs w:val="22"/>
          <w:lang w:eastAsia="es-MX"/>
        </w:rPr>
      </w:pPr>
      <w:r w:rsidRPr="00671495">
        <w:rPr>
          <w:rFonts w:ascii="Palatino Linotype" w:hAnsi="Palatino Linotype" w:cs="Arial"/>
          <w:i/>
          <w:sz w:val="22"/>
          <w:szCs w:val="22"/>
          <w:lang w:eastAsia="es-MX"/>
        </w:rPr>
        <w:t>En consecuencia el acceso a la información se refiere a que se cumplan cualquiera de los siguientes tres supuestos:</w:t>
      </w:r>
    </w:p>
    <w:p w14:paraId="4515EAA3"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i/>
          <w:sz w:val="22"/>
          <w:szCs w:val="22"/>
          <w:lang w:eastAsia="es-MX"/>
        </w:rPr>
      </w:pPr>
      <w:r w:rsidRPr="00671495">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4D74468"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i/>
          <w:sz w:val="22"/>
          <w:szCs w:val="22"/>
          <w:lang w:eastAsia="es-MX"/>
        </w:rPr>
      </w:pPr>
      <w:r w:rsidRPr="0067149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016837C8" w14:textId="77777777" w:rsidR="00671495" w:rsidRPr="00671495" w:rsidRDefault="00671495" w:rsidP="00671495">
      <w:pPr>
        <w:spacing w:line="360" w:lineRule="auto"/>
        <w:ind w:left="567" w:right="567"/>
        <w:jc w:val="both"/>
        <w:rPr>
          <w:rFonts w:ascii="Palatino Linotype" w:hAnsi="Palatino Linotype" w:cs="Arial"/>
          <w:i/>
          <w:color w:val="000000" w:themeColor="text1"/>
          <w:sz w:val="22"/>
          <w:szCs w:val="22"/>
        </w:rPr>
      </w:pPr>
      <w:r w:rsidRPr="00671495">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163099A6" w14:textId="77777777" w:rsidR="00671495" w:rsidRPr="00671495" w:rsidRDefault="00671495" w:rsidP="00671495">
      <w:pPr>
        <w:pStyle w:val="Prrafodelista"/>
        <w:tabs>
          <w:tab w:val="left" w:pos="851"/>
        </w:tabs>
        <w:spacing w:line="360" w:lineRule="auto"/>
        <w:ind w:left="0" w:right="49"/>
        <w:jc w:val="both"/>
        <w:rPr>
          <w:rFonts w:ascii="Palatino Linotype" w:hAnsi="Palatino Linotype"/>
          <w:sz w:val="24"/>
          <w:lang w:val="es-ES"/>
        </w:rPr>
      </w:pPr>
    </w:p>
    <w:p w14:paraId="61832C4D" w14:textId="77777777" w:rsidR="00671495" w:rsidRPr="00671495" w:rsidRDefault="00671495" w:rsidP="00671495">
      <w:pPr>
        <w:pStyle w:val="Prrafodelista"/>
        <w:numPr>
          <w:ilvl w:val="0"/>
          <w:numId w:val="3"/>
        </w:numPr>
        <w:tabs>
          <w:tab w:val="left" w:pos="851"/>
        </w:tabs>
        <w:spacing w:before="240" w:after="240" w:line="360" w:lineRule="auto"/>
        <w:ind w:left="0" w:right="49" w:firstLine="0"/>
        <w:jc w:val="both"/>
        <w:rPr>
          <w:rFonts w:ascii="Palatino Linotype" w:hAnsi="Palatino Linotype" w:cs="Arial"/>
          <w:sz w:val="32"/>
          <w:lang w:val="es-ES"/>
        </w:rPr>
      </w:pPr>
      <w:r w:rsidRPr="00671495">
        <w:rPr>
          <w:rFonts w:ascii="Palatino Linotype" w:hAnsi="Palatino Linotype"/>
          <w:sz w:val="24"/>
          <w:lang w:val="es-ES"/>
        </w:rPr>
        <w:lastRenderedPageBreak/>
        <w:t>El derecho de acceso a la información encuentra su materia elemental en los documentos, y la Ley de Transparencia local  nos brinda el siguiente concepto, para darnos un mejor panorama:</w:t>
      </w:r>
    </w:p>
    <w:p w14:paraId="004777C1"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i/>
          <w:sz w:val="28"/>
          <w:lang w:val="es-ES"/>
        </w:rPr>
      </w:pPr>
      <w:r w:rsidRPr="00671495">
        <w:rPr>
          <w:rFonts w:ascii="Palatino Linotype" w:eastAsiaTheme="minorHAnsi" w:hAnsi="Palatino Linotype" w:cs="Bookman Old Style,Bold"/>
          <w:b/>
          <w:bCs/>
          <w:i/>
          <w:sz w:val="22"/>
          <w:lang w:eastAsia="en-US"/>
        </w:rPr>
        <w:t xml:space="preserve">XI. Documento: </w:t>
      </w:r>
      <w:r w:rsidRPr="00671495">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instructivos, notas, memorandos, estadísticas o bien, </w:t>
      </w:r>
      <w:r w:rsidRPr="00671495">
        <w:rPr>
          <w:rFonts w:ascii="Palatino Linotype" w:eastAsiaTheme="minorHAnsi" w:hAnsi="Palatino Linotype" w:cs="Bookman Old Style"/>
          <w:b/>
          <w:i/>
          <w:sz w:val="22"/>
          <w:lang w:eastAsia="en-US"/>
        </w:rPr>
        <w:t>cualquier otro registro</w:t>
      </w:r>
      <w:r w:rsidRPr="00671495">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0C9E6F4" w14:textId="77777777" w:rsidR="00671495" w:rsidRPr="00671495" w:rsidRDefault="00671495" w:rsidP="00671495">
      <w:pPr>
        <w:pStyle w:val="Prrafodelista"/>
        <w:tabs>
          <w:tab w:val="left" w:pos="851"/>
        </w:tabs>
        <w:spacing w:line="360" w:lineRule="auto"/>
        <w:ind w:left="0" w:right="49"/>
        <w:jc w:val="both"/>
        <w:rPr>
          <w:rFonts w:ascii="Palatino Linotype" w:hAnsi="Palatino Linotype"/>
          <w:sz w:val="24"/>
          <w:lang w:val="es-ES"/>
        </w:rPr>
      </w:pPr>
    </w:p>
    <w:p w14:paraId="6CADEF30" w14:textId="77777777" w:rsidR="00671495" w:rsidRPr="00671495" w:rsidRDefault="00671495" w:rsidP="00671495">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671495">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7BDF6C7" w14:textId="77777777" w:rsidR="00671495" w:rsidRPr="00671495" w:rsidRDefault="00671495" w:rsidP="00671495">
      <w:pPr>
        <w:pStyle w:val="Prrafodelista"/>
        <w:spacing w:line="360" w:lineRule="auto"/>
        <w:ind w:left="0"/>
        <w:jc w:val="both"/>
        <w:rPr>
          <w:rFonts w:ascii="Palatino Linotype" w:eastAsia="Calibri" w:hAnsi="Palatino Linotype" w:cs="Arial"/>
          <w:sz w:val="24"/>
        </w:rPr>
      </w:pPr>
    </w:p>
    <w:p w14:paraId="7DB11152" w14:textId="77777777" w:rsidR="00671495" w:rsidRPr="00671495" w:rsidRDefault="00671495" w:rsidP="00671495">
      <w:pPr>
        <w:pStyle w:val="Prrafodelista"/>
        <w:numPr>
          <w:ilvl w:val="0"/>
          <w:numId w:val="3"/>
        </w:numPr>
        <w:spacing w:line="360" w:lineRule="auto"/>
        <w:ind w:left="0" w:firstLine="0"/>
        <w:jc w:val="both"/>
        <w:rPr>
          <w:rFonts w:ascii="Palatino Linotype" w:eastAsia="Calibri" w:hAnsi="Palatino Linotype" w:cs="Arial"/>
          <w:sz w:val="24"/>
        </w:rPr>
      </w:pPr>
      <w:r w:rsidRPr="00671495">
        <w:rPr>
          <w:rFonts w:ascii="Palatino Linotype" w:eastAsia="Calibri" w:hAnsi="Palatino Linotype" w:cs="Arial"/>
          <w:sz w:val="24"/>
        </w:rPr>
        <w:t>E</w:t>
      </w:r>
      <w:r w:rsidRPr="00671495">
        <w:rPr>
          <w:rFonts w:ascii="Palatino Linotype" w:eastAsia="MS Mincho" w:hAnsi="Palatino Linotype"/>
          <w:sz w:val="24"/>
        </w:rPr>
        <w:t xml:space="preserve">l acceso a la información es un derecho humano constitucional y convencionalmente reconocido y para tal efecto </w:t>
      </w:r>
      <w:r w:rsidRPr="00671495">
        <w:rPr>
          <w:rFonts w:ascii="Palatino Linotype" w:eastAsia="Calibri" w:hAnsi="Palatino Linotype"/>
          <w:sz w:val="24"/>
          <w:lang w:val="es-ES"/>
        </w:rPr>
        <w:t xml:space="preserve">el párrafo tercero del artículo primero de la Constitución Política de los Estados Unidos Mexicanos establece el deber de todas las autoridades, </w:t>
      </w:r>
      <w:r w:rsidRPr="00671495">
        <w:rPr>
          <w:rFonts w:ascii="Palatino Linotype" w:eastAsia="Calibri" w:hAnsi="Palatino Linotype"/>
          <w:i/>
          <w:sz w:val="24"/>
          <w:lang w:val="es-ES"/>
        </w:rPr>
        <w:t xml:space="preserve">en el ámbito de sus atribuciones, de promover, respetar, proteger y </w:t>
      </w:r>
      <w:r w:rsidRPr="00671495">
        <w:rPr>
          <w:rFonts w:ascii="Palatino Linotype" w:eastAsia="Calibri" w:hAnsi="Palatino Linotype"/>
          <w:b/>
          <w:i/>
          <w:sz w:val="24"/>
          <w:lang w:val="es-ES"/>
        </w:rPr>
        <w:t>garantizar</w:t>
      </w:r>
      <w:r w:rsidRPr="00671495">
        <w:rPr>
          <w:rFonts w:ascii="Palatino Linotype" w:eastAsia="Calibri" w:hAnsi="Palatino Linotype"/>
          <w:i/>
          <w:sz w:val="24"/>
          <w:lang w:val="es-ES"/>
        </w:rPr>
        <w:t xml:space="preserve"> los derechos humanos. </w:t>
      </w:r>
      <w:r w:rsidRPr="00671495">
        <w:rPr>
          <w:rFonts w:ascii="Palatino Linotype" w:eastAsia="Calibri" w:hAnsi="Palatino Linotype"/>
          <w:sz w:val="24"/>
          <w:lang w:val="es-ES"/>
        </w:rPr>
        <w:t>En cuanto al derecho de acceso a la información, la Ley de Transparencia y Acceso a la Información Pública del Estado de México y Municipios prevé establece que</w:t>
      </w:r>
      <w:r w:rsidRPr="00671495">
        <w:rPr>
          <w:rFonts w:ascii="Palatino Linotype" w:eastAsia="Calibri" w:hAnsi="Palatino Linotype"/>
          <w:b/>
          <w:i/>
          <w:sz w:val="24"/>
          <w:lang w:val="es-ES"/>
        </w:rPr>
        <w:t xml:space="preserve"> e</w:t>
      </w:r>
      <w:r w:rsidRPr="00671495">
        <w:rPr>
          <w:rFonts w:ascii="Palatino Linotype" w:hAnsi="Palatino Linotype"/>
          <w:i/>
          <w:sz w:val="24"/>
        </w:rPr>
        <w:t xml:space="preserve">l procedimiento de acceso a la información es la garantía </w:t>
      </w:r>
      <w:r w:rsidRPr="00671495">
        <w:rPr>
          <w:rFonts w:ascii="Palatino Linotype" w:hAnsi="Palatino Linotype"/>
          <w:i/>
          <w:sz w:val="24"/>
        </w:rPr>
        <w:lastRenderedPageBreak/>
        <w:t>primaria del derecho en cuestión y se rige por los principios de simplicidad, rapidez y gratuidad del procedimiento, auxilio y orientación a los particulares</w:t>
      </w:r>
      <w:r w:rsidRPr="00671495">
        <w:rPr>
          <w:rStyle w:val="Refdenotaalpie"/>
          <w:rFonts w:ascii="Palatino Linotype" w:hAnsi="Palatino Linotype"/>
          <w:i/>
          <w:sz w:val="24"/>
        </w:rPr>
        <w:footnoteReference w:id="6"/>
      </w:r>
      <w:r w:rsidRPr="00671495">
        <w:rPr>
          <w:rFonts w:ascii="Palatino Linotype" w:hAnsi="Palatino Linotype"/>
          <w:i/>
          <w:sz w:val="24"/>
        </w:rPr>
        <w:t xml:space="preserve">, </w:t>
      </w:r>
      <w:r w:rsidRPr="00671495">
        <w:rPr>
          <w:rFonts w:ascii="Palatino Linotype" w:hAnsi="Palatino Linotype"/>
          <w:sz w:val="24"/>
        </w:rPr>
        <w:t>asimismo establece</w:t>
      </w:r>
      <w:r w:rsidRPr="00671495">
        <w:rPr>
          <w:rFonts w:ascii="Palatino Linotype" w:hAnsi="Palatino Linotype"/>
          <w:i/>
          <w:sz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CF27F9D" w14:textId="77777777" w:rsidR="00671495" w:rsidRPr="00671495" w:rsidRDefault="00671495" w:rsidP="00671495">
      <w:pPr>
        <w:pStyle w:val="Prrafodelista"/>
        <w:rPr>
          <w:rFonts w:ascii="Palatino Linotype" w:eastAsia="Calibri" w:hAnsi="Palatino Linotype" w:cs="Arial"/>
          <w:sz w:val="24"/>
        </w:rPr>
      </w:pPr>
    </w:p>
    <w:p w14:paraId="4E165139" w14:textId="77777777" w:rsidR="00671495" w:rsidRPr="00671495" w:rsidRDefault="00671495" w:rsidP="00671495">
      <w:pPr>
        <w:pStyle w:val="Prrafodelista"/>
        <w:numPr>
          <w:ilvl w:val="0"/>
          <w:numId w:val="3"/>
        </w:numPr>
        <w:spacing w:line="360" w:lineRule="auto"/>
        <w:ind w:left="0" w:firstLine="0"/>
        <w:jc w:val="both"/>
        <w:rPr>
          <w:rFonts w:ascii="Palatino Linotype" w:eastAsia="Calibri" w:hAnsi="Palatino Linotype" w:cs="Arial"/>
          <w:sz w:val="24"/>
        </w:rPr>
      </w:pPr>
      <w:r w:rsidRPr="00671495">
        <w:rPr>
          <w:rFonts w:ascii="Palatino Linotype" w:hAnsi="Palatino Linotype"/>
          <w:color w:val="000000" w:themeColor="text1"/>
          <w:sz w:val="24"/>
        </w:rPr>
        <w:t xml:space="preserve">Resulta necesario referir que, el </w:t>
      </w:r>
      <w:r w:rsidRPr="00671495">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71495">
        <w:rPr>
          <w:rFonts w:ascii="Palatino Linotype" w:eastAsia="Calibri" w:hAnsi="Palatino Linotype" w:cs="Arial"/>
          <w:b/>
          <w:sz w:val="24"/>
        </w:rPr>
        <w:t>los Sujetos Obligados deberán documentar todo acto que se derive del ejercicio de sus facultades, competencias o funciones,</w:t>
      </w:r>
      <w:r w:rsidRPr="00671495">
        <w:rPr>
          <w:rFonts w:ascii="Palatino Linotype" w:eastAsia="Calibri" w:hAnsi="Palatino Linotype" w:cs="Arial"/>
          <w:sz w:val="24"/>
        </w:rPr>
        <w:t xml:space="preserve"> considerando desde su origen la eventual publicidad y reutilización de la información que generen, posean o administren.</w:t>
      </w:r>
    </w:p>
    <w:p w14:paraId="4936D179" w14:textId="77777777" w:rsidR="00671495" w:rsidRPr="00671495" w:rsidRDefault="00671495" w:rsidP="00671495">
      <w:pPr>
        <w:pStyle w:val="Prrafodelista"/>
        <w:rPr>
          <w:rFonts w:ascii="Palatino Linotype" w:eastAsia="Calibri" w:hAnsi="Palatino Linotype" w:cs="Arial"/>
          <w:sz w:val="24"/>
        </w:rPr>
      </w:pPr>
    </w:p>
    <w:p w14:paraId="570ED9A9" w14:textId="77777777" w:rsidR="00671495" w:rsidRPr="00671495" w:rsidRDefault="00671495" w:rsidP="00671495">
      <w:pPr>
        <w:pStyle w:val="Prrafodelista"/>
        <w:numPr>
          <w:ilvl w:val="0"/>
          <w:numId w:val="3"/>
        </w:numPr>
        <w:spacing w:line="360" w:lineRule="auto"/>
        <w:ind w:left="0" w:firstLine="0"/>
        <w:jc w:val="both"/>
        <w:rPr>
          <w:rFonts w:ascii="Palatino Linotype" w:eastAsia="Calibri" w:hAnsi="Palatino Linotype" w:cs="Arial"/>
          <w:sz w:val="24"/>
        </w:rPr>
      </w:pPr>
      <w:r w:rsidRPr="00671495">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FC105E7" w14:textId="77777777" w:rsidR="00671495" w:rsidRPr="00671495" w:rsidRDefault="00671495" w:rsidP="00671495">
      <w:pPr>
        <w:pStyle w:val="Prrafodelista"/>
        <w:spacing w:line="360" w:lineRule="auto"/>
        <w:rPr>
          <w:rFonts w:ascii="Palatino Linotype" w:hAnsi="Palatino Linotype" w:cs="Arial"/>
          <w:color w:val="000000"/>
          <w:sz w:val="24"/>
        </w:rPr>
      </w:pPr>
    </w:p>
    <w:p w14:paraId="5B0C6321"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2"/>
        </w:rPr>
      </w:pPr>
      <w:r w:rsidRPr="00671495">
        <w:rPr>
          <w:rFonts w:ascii="Palatino Linotype" w:hAnsi="Palatino Linotype" w:cs="Bookman Old Style,Bold"/>
          <w:b/>
          <w:bCs/>
          <w:i/>
          <w:sz w:val="22"/>
        </w:rPr>
        <w:lastRenderedPageBreak/>
        <w:t xml:space="preserve">Artículo 4. </w:t>
      </w:r>
      <w:r w:rsidRPr="0067149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7C36095"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2"/>
        </w:rPr>
      </w:pPr>
      <w:r w:rsidRPr="00671495">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56352C"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2"/>
        </w:rPr>
      </w:pPr>
      <w:r w:rsidRPr="00671495">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76429F0A"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Arial"/>
          <w:i/>
          <w:color w:val="000000"/>
          <w:sz w:val="28"/>
        </w:rPr>
      </w:pPr>
    </w:p>
    <w:p w14:paraId="74DC3C77"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2"/>
        </w:rPr>
      </w:pPr>
      <w:r w:rsidRPr="00671495">
        <w:rPr>
          <w:rFonts w:ascii="Palatino Linotype" w:hAnsi="Palatino Linotype" w:cs="Bookman Old Style,Bold"/>
          <w:b/>
          <w:bCs/>
          <w:i/>
          <w:sz w:val="22"/>
        </w:rPr>
        <w:t xml:space="preserve">Artículo 12. </w:t>
      </w:r>
      <w:r w:rsidRPr="00671495">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4008888F"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2"/>
        </w:rPr>
      </w:pPr>
    </w:p>
    <w:p w14:paraId="226B9C02"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b/>
          <w:i/>
          <w:sz w:val="22"/>
        </w:rPr>
      </w:pPr>
      <w:r w:rsidRPr="00671495">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71495">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54CCC33" w14:textId="77777777" w:rsidR="00671495" w:rsidRPr="00671495" w:rsidRDefault="00671495" w:rsidP="00671495">
      <w:pPr>
        <w:autoSpaceDE w:val="0"/>
        <w:autoSpaceDN w:val="0"/>
        <w:adjustRightInd w:val="0"/>
        <w:spacing w:line="360" w:lineRule="auto"/>
        <w:ind w:left="567" w:right="567"/>
        <w:jc w:val="both"/>
        <w:rPr>
          <w:rFonts w:ascii="Palatino Linotype" w:hAnsi="Palatino Linotype" w:cs="Bookman Old Style"/>
          <w:i/>
          <w:sz w:val="24"/>
        </w:rPr>
      </w:pPr>
    </w:p>
    <w:p w14:paraId="3E428157" w14:textId="77777777" w:rsidR="00671495" w:rsidRPr="00671495" w:rsidRDefault="00671495" w:rsidP="00671495">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671495">
        <w:rPr>
          <w:rFonts w:ascii="Palatino Linotype" w:hAnsi="Palatino Linotype"/>
          <w:sz w:val="24"/>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71495">
        <w:rPr>
          <w:rStyle w:val="Refdenotaalpie"/>
          <w:rFonts w:ascii="Palatino Linotype" w:hAnsi="Palatino Linotype"/>
          <w:sz w:val="24"/>
          <w:lang w:val="es-ES"/>
        </w:rPr>
        <w:footnoteReference w:id="7"/>
      </w:r>
      <w:r w:rsidRPr="00671495">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868C505" w14:textId="77777777" w:rsidR="00671495" w:rsidRPr="00671495" w:rsidRDefault="00671495" w:rsidP="00671495">
      <w:pPr>
        <w:pStyle w:val="Prrafodelista"/>
        <w:tabs>
          <w:tab w:val="left" w:pos="851"/>
        </w:tabs>
        <w:spacing w:line="360" w:lineRule="auto"/>
        <w:ind w:left="0" w:right="49"/>
        <w:jc w:val="both"/>
        <w:rPr>
          <w:rFonts w:ascii="Palatino Linotype" w:hAnsi="Palatino Linotype"/>
          <w:sz w:val="24"/>
          <w:lang w:val="es-ES"/>
        </w:rPr>
      </w:pPr>
    </w:p>
    <w:p w14:paraId="065AFF33" w14:textId="77777777" w:rsidR="00671495" w:rsidRPr="00671495" w:rsidRDefault="00671495" w:rsidP="00671495">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671495">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BFD0BB6" w14:textId="77777777" w:rsidR="00671495" w:rsidRPr="00671495" w:rsidRDefault="00671495" w:rsidP="00671495">
      <w:pPr>
        <w:pStyle w:val="Prrafodelista"/>
        <w:spacing w:line="360" w:lineRule="auto"/>
        <w:rPr>
          <w:rFonts w:ascii="Palatino Linotype" w:hAnsi="Palatino Linotype"/>
          <w:sz w:val="24"/>
          <w:lang w:val="es-ES"/>
        </w:rPr>
      </w:pPr>
    </w:p>
    <w:p w14:paraId="65B72A32" w14:textId="77777777" w:rsidR="00671495" w:rsidRPr="00671495" w:rsidRDefault="00671495" w:rsidP="00671495">
      <w:pPr>
        <w:pStyle w:val="Prrafodelista"/>
        <w:tabs>
          <w:tab w:val="left" w:pos="851"/>
        </w:tabs>
        <w:spacing w:line="360" w:lineRule="auto"/>
        <w:ind w:left="567" w:right="567"/>
        <w:jc w:val="both"/>
        <w:rPr>
          <w:rFonts w:ascii="Palatino Linotype" w:hAnsi="Palatino Linotype"/>
          <w:i/>
        </w:rPr>
      </w:pPr>
      <w:r w:rsidRPr="00671495">
        <w:rPr>
          <w:rFonts w:ascii="Palatino Linotype" w:hAnsi="Palatino Linotype"/>
          <w:b/>
          <w:i/>
        </w:rPr>
        <w:t>ACCESO A LA INFORMACIÓN. IMPLICACIÓN DEL PRINCIPIO DE MÁXIMA PUBLICIDAD EN EL DERECHO FUNDAMENTAL RELATIVO.</w:t>
      </w:r>
      <w:r w:rsidRPr="0067149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671495">
        <w:rPr>
          <w:rFonts w:ascii="Palatino Linotype" w:hAnsi="Palatino Linotype"/>
          <w:i/>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EDA9B5A" w14:textId="77777777" w:rsidR="00671495" w:rsidRPr="00671495" w:rsidRDefault="00671495" w:rsidP="00671495">
      <w:pPr>
        <w:pStyle w:val="Prrafodelista"/>
        <w:tabs>
          <w:tab w:val="left" w:pos="851"/>
        </w:tabs>
        <w:spacing w:line="360" w:lineRule="auto"/>
        <w:ind w:left="567" w:right="567"/>
        <w:jc w:val="both"/>
        <w:rPr>
          <w:rFonts w:ascii="Palatino Linotype" w:hAnsi="Palatino Linotype"/>
          <w:i/>
        </w:rPr>
      </w:pPr>
    </w:p>
    <w:p w14:paraId="6386A7B5" w14:textId="77777777" w:rsidR="00671495" w:rsidRPr="00671495" w:rsidRDefault="00671495" w:rsidP="00671495">
      <w:pPr>
        <w:pStyle w:val="Prrafodelista"/>
        <w:tabs>
          <w:tab w:val="left" w:pos="851"/>
        </w:tabs>
        <w:spacing w:line="360" w:lineRule="auto"/>
        <w:ind w:left="567" w:right="567"/>
        <w:jc w:val="both"/>
        <w:rPr>
          <w:rFonts w:ascii="Palatino Linotype" w:hAnsi="Palatino Linotype"/>
          <w:i/>
        </w:rPr>
      </w:pPr>
      <w:r w:rsidRPr="00671495">
        <w:rPr>
          <w:rFonts w:ascii="Palatino Linotype" w:hAnsi="Palatino Linotype"/>
          <w:i/>
        </w:rPr>
        <w:t xml:space="preserve">CUARTO TRIBUNAL COLEGIADO EN MATERIA ADMINISTRATIVA DEL PRIMER CIRCUITO. </w:t>
      </w:r>
    </w:p>
    <w:p w14:paraId="3FDCA6B1" w14:textId="77777777" w:rsidR="00671495" w:rsidRPr="00671495" w:rsidRDefault="00671495" w:rsidP="00671495">
      <w:pPr>
        <w:pStyle w:val="Prrafodelista"/>
        <w:tabs>
          <w:tab w:val="left" w:pos="851"/>
        </w:tabs>
        <w:spacing w:line="360" w:lineRule="auto"/>
        <w:ind w:left="567" w:right="567"/>
        <w:jc w:val="both"/>
        <w:rPr>
          <w:rFonts w:ascii="Palatino Linotype" w:hAnsi="Palatino Linotype"/>
          <w:i/>
        </w:rPr>
      </w:pPr>
    </w:p>
    <w:p w14:paraId="0EF3A946" w14:textId="77777777" w:rsidR="00671495" w:rsidRPr="00671495" w:rsidRDefault="00671495" w:rsidP="00671495">
      <w:pPr>
        <w:pStyle w:val="Prrafodelista"/>
        <w:tabs>
          <w:tab w:val="left" w:pos="851"/>
        </w:tabs>
        <w:spacing w:line="360" w:lineRule="auto"/>
        <w:ind w:left="567" w:right="567"/>
        <w:jc w:val="both"/>
        <w:rPr>
          <w:rFonts w:ascii="Palatino Linotype" w:hAnsi="Palatino Linotype"/>
          <w:i/>
          <w:lang w:val="es-ES"/>
        </w:rPr>
      </w:pPr>
      <w:r w:rsidRPr="00671495">
        <w:rPr>
          <w:rFonts w:ascii="Palatino Linotype" w:hAnsi="Palatino Linotype"/>
          <w:i/>
        </w:rPr>
        <w:t>Amparo en revisión 257/2012. Ruth Corona Muñoz. 6 de diciembre de 2012. Unanimidad de votos. Ponente: Jean Claude Tron Petit. Secretaria: Mayra Susana Martínez López.</w:t>
      </w:r>
    </w:p>
    <w:p w14:paraId="34B19528" w14:textId="77777777" w:rsidR="00671495" w:rsidRPr="00671495" w:rsidRDefault="00671495" w:rsidP="00671495">
      <w:pPr>
        <w:pStyle w:val="Prrafodelista"/>
        <w:spacing w:line="360" w:lineRule="auto"/>
        <w:rPr>
          <w:rFonts w:ascii="Palatino Linotype" w:hAnsi="Palatino Linotype"/>
          <w:sz w:val="24"/>
          <w:lang w:val="es-ES"/>
        </w:rPr>
      </w:pPr>
    </w:p>
    <w:p w14:paraId="1BB3F840" w14:textId="77777777" w:rsidR="00671495" w:rsidRPr="00671495" w:rsidRDefault="00671495" w:rsidP="00671495">
      <w:pPr>
        <w:pStyle w:val="Prrafodelista"/>
        <w:numPr>
          <w:ilvl w:val="0"/>
          <w:numId w:val="3"/>
        </w:numPr>
        <w:tabs>
          <w:tab w:val="left" w:pos="851"/>
        </w:tabs>
        <w:spacing w:line="360" w:lineRule="auto"/>
        <w:ind w:left="0" w:right="49" w:firstLine="0"/>
        <w:jc w:val="both"/>
        <w:rPr>
          <w:rFonts w:ascii="Palatino Linotype" w:hAnsi="Palatino Linotype"/>
          <w:sz w:val="24"/>
          <w:lang w:val="es-ES"/>
        </w:rPr>
      </w:pPr>
      <w:r w:rsidRPr="00671495">
        <w:rPr>
          <w:rFonts w:ascii="Palatino Linotype" w:hAnsi="Palatino Linotype"/>
          <w:sz w:val="24"/>
          <w:lang w:val="es-ES"/>
        </w:rPr>
        <w:t xml:space="preserve">Como se ha señalado, los Sujetos Obligados deberán proporcionar toda la información que se encuentre en su posesión, aún y cuando los particulares no señalen un documento en específico al que deseen tener acceso. </w:t>
      </w:r>
    </w:p>
    <w:p w14:paraId="6247651F" w14:textId="77777777" w:rsidR="00671495" w:rsidRPr="00671495" w:rsidRDefault="00671495" w:rsidP="00671495">
      <w:pPr>
        <w:pStyle w:val="Prrafodelista"/>
        <w:tabs>
          <w:tab w:val="left" w:pos="851"/>
        </w:tabs>
        <w:spacing w:line="360" w:lineRule="auto"/>
        <w:ind w:left="0" w:right="49"/>
        <w:jc w:val="both"/>
        <w:rPr>
          <w:rFonts w:ascii="Palatino Linotype" w:hAnsi="Palatino Linotype"/>
          <w:sz w:val="24"/>
          <w:lang w:val="es-ES"/>
        </w:rPr>
      </w:pPr>
    </w:p>
    <w:p w14:paraId="67FF471A" w14:textId="77777777" w:rsidR="00671495" w:rsidRPr="00380BDB" w:rsidRDefault="00671495" w:rsidP="00671495">
      <w:pPr>
        <w:pStyle w:val="Ttulo2"/>
        <w:numPr>
          <w:ilvl w:val="0"/>
          <w:numId w:val="26"/>
        </w:numPr>
        <w:spacing w:line="360" w:lineRule="auto"/>
        <w:rPr>
          <w:rFonts w:ascii="Palatino Linotype" w:hAnsi="Palatino Linotype"/>
          <w:b/>
          <w:color w:val="auto"/>
          <w:sz w:val="24"/>
        </w:rPr>
      </w:pPr>
      <w:bookmarkStart w:id="17" w:name="_Toc23418068"/>
      <w:bookmarkStart w:id="18" w:name="_Toc25251825"/>
      <w:bookmarkStart w:id="19" w:name="_Toc29923834"/>
      <w:bookmarkStart w:id="20" w:name="_Toc34936175"/>
      <w:bookmarkStart w:id="21" w:name="_Toc85735113"/>
      <w:r w:rsidRPr="00380BDB">
        <w:rPr>
          <w:rFonts w:ascii="Palatino Linotype" w:hAnsi="Palatino Linotype"/>
          <w:b/>
          <w:color w:val="auto"/>
          <w:sz w:val="24"/>
        </w:rPr>
        <w:t>Fuente Obligacional.</w:t>
      </w:r>
      <w:bookmarkEnd w:id="17"/>
      <w:bookmarkEnd w:id="18"/>
      <w:bookmarkEnd w:id="19"/>
      <w:bookmarkEnd w:id="20"/>
      <w:bookmarkEnd w:id="21"/>
      <w:r w:rsidRPr="00380BDB">
        <w:rPr>
          <w:rFonts w:ascii="Palatino Linotype" w:hAnsi="Palatino Linotype"/>
          <w:b/>
          <w:color w:val="auto"/>
          <w:sz w:val="24"/>
        </w:rPr>
        <w:t xml:space="preserve"> </w:t>
      </w:r>
    </w:p>
    <w:p w14:paraId="47579F6A" w14:textId="77777777" w:rsidR="00671495" w:rsidRPr="00380BDB" w:rsidRDefault="00671495" w:rsidP="00671495">
      <w:pPr>
        <w:rPr>
          <w:lang w:eastAsia="en-US"/>
        </w:rPr>
      </w:pPr>
    </w:p>
    <w:p w14:paraId="078B7FBA" w14:textId="77777777" w:rsidR="00671495" w:rsidRPr="00380BDB" w:rsidRDefault="00671495" w:rsidP="00671495">
      <w:pPr>
        <w:pStyle w:val="Ttulo3"/>
        <w:numPr>
          <w:ilvl w:val="1"/>
          <w:numId w:val="2"/>
        </w:numPr>
        <w:rPr>
          <w:rFonts w:ascii="Palatino Linotype" w:hAnsi="Palatino Linotype"/>
          <w:b/>
          <w:color w:val="auto"/>
        </w:rPr>
      </w:pPr>
      <w:bookmarkStart w:id="22" w:name="_Toc23418069"/>
      <w:bookmarkStart w:id="23" w:name="_Toc25251826"/>
      <w:bookmarkStart w:id="24" w:name="_Toc29923835"/>
      <w:bookmarkStart w:id="25" w:name="_Toc34936176"/>
      <w:bookmarkStart w:id="26" w:name="_Toc85735114"/>
      <w:r w:rsidRPr="00380BDB">
        <w:rPr>
          <w:rFonts w:ascii="Palatino Linotype" w:hAnsi="Palatino Linotype"/>
          <w:b/>
          <w:color w:val="auto"/>
        </w:rPr>
        <w:t>De la obligación de transparencia.</w:t>
      </w:r>
      <w:bookmarkEnd w:id="22"/>
      <w:bookmarkEnd w:id="23"/>
      <w:bookmarkEnd w:id="24"/>
      <w:bookmarkEnd w:id="25"/>
      <w:bookmarkEnd w:id="26"/>
    </w:p>
    <w:p w14:paraId="0DAFAA5C" w14:textId="77777777" w:rsidR="00671495" w:rsidRPr="00671495" w:rsidRDefault="00671495" w:rsidP="00671495">
      <w:pPr>
        <w:rPr>
          <w:sz w:val="22"/>
        </w:rPr>
      </w:pPr>
    </w:p>
    <w:p w14:paraId="27275035" w14:textId="77777777" w:rsidR="00671495" w:rsidRPr="00671495" w:rsidRDefault="00671495" w:rsidP="00671495">
      <w:pPr>
        <w:rPr>
          <w:sz w:val="22"/>
        </w:rPr>
      </w:pPr>
    </w:p>
    <w:p w14:paraId="2A3CD15B" w14:textId="77777777" w:rsidR="00671495" w:rsidRPr="00671495" w:rsidRDefault="00671495" w:rsidP="00671495">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67149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7A384A33" w14:textId="77777777" w:rsidR="00671495" w:rsidRPr="00671495" w:rsidRDefault="00671495" w:rsidP="00671495">
      <w:pPr>
        <w:spacing w:line="360" w:lineRule="auto"/>
        <w:jc w:val="both"/>
        <w:rPr>
          <w:rFonts w:ascii="Palatino Linotype" w:hAnsi="Palatino Linotype" w:cs="Arial"/>
          <w:sz w:val="22"/>
        </w:rPr>
      </w:pPr>
    </w:p>
    <w:p w14:paraId="5C8384E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“Artículo 6o.</w:t>
      </w:r>
      <w:r w:rsidRPr="0067149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71495">
        <w:rPr>
          <w:rFonts w:ascii="Palatino Linotype" w:hAnsi="Palatino Linotype" w:cs="Arial"/>
          <w:b/>
          <w:i/>
          <w:sz w:val="22"/>
        </w:rPr>
        <w:t>El derecho a la información será garantizado por el Estado.</w:t>
      </w:r>
      <w:r w:rsidRPr="00671495">
        <w:rPr>
          <w:rFonts w:ascii="Palatino Linotype" w:hAnsi="Palatino Linotype" w:cs="Arial"/>
          <w:i/>
          <w:sz w:val="22"/>
        </w:rPr>
        <w:t xml:space="preserve"> </w:t>
      </w:r>
    </w:p>
    <w:p w14:paraId="3C8F88C9" w14:textId="77777777" w:rsidR="00671495" w:rsidRPr="00671495" w:rsidRDefault="00671495" w:rsidP="00671495">
      <w:pPr>
        <w:spacing w:line="360" w:lineRule="auto"/>
        <w:ind w:left="567" w:right="567"/>
        <w:jc w:val="both"/>
        <w:rPr>
          <w:rFonts w:ascii="Palatino Linotype" w:hAnsi="Palatino Linotype" w:cs="Arial"/>
          <w:i/>
          <w:sz w:val="22"/>
        </w:rPr>
      </w:pPr>
    </w:p>
    <w:p w14:paraId="697F573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540DA47" w14:textId="77777777" w:rsidR="00671495" w:rsidRPr="00671495" w:rsidRDefault="00671495" w:rsidP="00671495">
      <w:pPr>
        <w:spacing w:line="360" w:lineRule="auto"/>
        <w:ind w:left="567" w:right="567"/>
        <w:jc w:val="both"/>
        <w:rPr>
          <w:rFonts w:ascii="Palatino Linotype" w:hAnsi="Palatino Linotype" w:cs="Arial"/>
          <w:i/>
          <w:sz w:val="22"/>
        </w:rPr>
      </w:pPr>
    </w:p>
    <w:p w14:paraId="3402A9B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Para efectos de lo dispuesto en el presente artículo se observará lo siguiente:</w:t>
      </w:r>
    </w:p>
    <w:p w14:paraId="653595BD" w14:textId="77777777" w:rsidR="00671495" w:rsidRPr="00671495" w:rsidRDefault="00671495" w:rsidP="00671495">
      <w:pPr>
        <w:spacing w:line="360" w:lineRule="auto"/>
        <w:ind w:left="567" w:right="567"/>
        <w:jc w:val="both"/>
        <w:rPr>
          <w:rFonts w:ascii="Palatino Linotype" w:hAnsi="Palatino Linotype" w:cs="Arial"/>
          <w:i/>
          <w:sz w:val="22"/>
        </w:rPr>
      </w:pPr>
    </w:p>
    <w:p w14:paraId="53BE5FB5"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96A79BF" w14:textId="77777777" w:rsidR="00671495" w:rsidRPr="00671495" w:rsidRDefault="00671495" w:rsidP="00671495">
      <w:pPr>
        <w:spacing w:line="360" w:lineRule="auto"/>
        <w:ind w:left="567" w:right="567"/>
        <w:jc w:val="both"/>
        <w:rPr>
          <w:rFonts w:ascii="Palatino Linotype" w:hAnsi="Palatino Linotype" w:cs="Arial"/>
          <w:b/>
          <w:i/>
          <w:sz w:val="22"/>
        </w:rPr>
      </w:pPr>
    </w:p>
    <w:p w14:paraId="14CD69C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lastRenderedPageBreak/>
        <w:t>I. Toda la información en posesión de</w:t>
      </w:r>
      <w:r w:rsidRPr="00671495">
        <w:rPr>
          <w:rFonts w:ascii="Palatino Linotype" w:hAnsi="Palatino Linotype" w:cs="Arial"/>
          <w:i/>
          <w:sz w:val="22"/>
        </w:rPr>
        <w:t xml:space="preserve"> </w:t>
      </w:r>
      <w:r w:rsidRPr="00671495">
        <w:rPr>
          <w:rFonts w:ascii="Palatino Linotype" w:hAnsi="Palatino Linotype" w:cs="Arial"/>
          <w:b/>
          <w:i/>
          <w:sz w:val="22"/>
        </w:rPr>
        <w:t>cualquier autoridad</w:t>
      </w:r>
      <w:r w:rsidRPr="0067149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71495">
        <w:rPr>
          <w:rFonts w:ascii="Palatino Linotype" w:hAnsi="Palatino Linotype" w:cs="Arial"/>
          <w:b/>
          <w:i/>
          <w:sz w:val="22"/>
        </w:rPr>
        <w:t>es pública</w:t>
      </w:r>
      <w:r w:rsidRPr="0067149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71495">
        <w:rPr>
          <w:rFonts w:ascii="Palatino Linotype" w:hAnsi="Palatino Linotype" w:cs="Arial"/>
          <w:b/>
          <w:i/>
          <w:sz w:val="22"/>
        </w:rPr>
        <w:t>Los sujetos obligados deberán documentar todo acto que derive del ejercicio de sus facultades, competencias o funciones</w:t>
      </w:r>
      <w:r w:rsidRPr="00671495">
        <w:rPr>
          <w:rFonts w:ascii="Palatino Linotype" w:hAnsi="Palatino Linotype" w:cs="Arial"/>
          <w:i/>
          <w:sz w:val="22"/>
        </w:rPr>
        <w:t>, la ley determinará los supuestos específicos bajo los cuales procederá la declaración de inexistencia de la información.</w:t>
      </w:r>
    </w:p>
    <w:p w14:paraId="2760E060" w14:textId="77777777" w:rsidR="00671495" w:rsidRPr="00671495" w:rsidRDefault="00671495" w:rsidP="00671495">
      <w:pPr>
        <w:spacing w:line="360" w:lineRule="auto"/>
        <w:ind w:left="567" w:right="567"/>
        <w:jc w:val="both"/>
        <w:rPr>
          <w:rFonts w:ascii="Palatino Linotype" w:hAnsi="Palatino Linotype" w:cs="Arial"/>
          <w:i/>
          <w:sz w:val="22"/>
        </w:rPr>
      </w:pPr>
    </w:p>
    <w:p w14:paraId="4A8C82DD"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II. La información que se refiere a la vida privada y los datos personales será protegida en los términos y con las excepciones que fijen las leyes.</w:t>
      </w:r>
    </w:p>
    <w:p w14:paraId="0B8536C6" w14:textId="77777777" w:rsidR="00671495" w:rsidRPr="00671495" w:rsidRDefault="00671495" w:rsidP="00671495">
      <w:pPr>
        <w:spacing w:line="360" w:lineRule="auto"/>
        <w:ind w:left="567" w:right="567"/>
        <w:jc w:val="both"/>
        <w:rPr>
          <w:rFonts w:ascii="Palatino Linotype" w:hAnsi="Palatino Linotype" w:cs="Arial"/>
          <w:i/>
          <w:sz w:val="22"/>
        </w:rPr>
      </w:pPr>
    </w:p>
    <w:p w14:paraId="1092FF4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72582D38" w14:textId="77777777" w:rsidR="00671495" w:rsidRPr="00671495" w:rsidRDefault="00671495" w:rsidP="00671495">
      <w:pPr>
        <w:spacing w:line="360" w:lineRule="auto"/>
        <w:ind w:left="567" w:right="567"/>
        <w:jc w:val="both"/>
        <w:rPr>
          <w:rFonts w:ascii="Palatino Linotype" w:hAnsi="Palatino Linotype" w:cs="Arial"/>
          <w:i/>
          <w:sz w:val="22"/>
        </w:rPr>
      </w:pPr>
    </w:p>
    <w:p w14:paraId="3BCBA2CC"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E3143DB" w14:textId="77777777" w:rsidR="00671495" w:rsidRPr="00671495" w:rsidRDefault="00671495" w:rsidP="00671495">
      <w:pPr>
        <w:spacing w:line="360" w:lineRule="auto"/>
        <w:ind w:left="567" w:right="567"/>
        <w:jc w:val="both"/>
        <w:rPr>
          <w:rFonts w:ascii="Palatino Linotype" w:hAnsi="Palatino Linotype" w:cs="Arial"/>
          <w:b/>
          <w:i/>
          <w:sz w:val="22"/>
        </w:rPr>
      </w:pPr>
    </w:p>
    <w:p w14:paraId="1304D093"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V. Los sujetos obligados deberán preservar sus documentos en archivos administrativos actualizados y publicarán, a través de los medios electrónicos disponibles</w:t>
      </w:r>
      <w:r w:rsidRPr="00671495">
        <w:rPr>
          <w:rFonts w:ascii="Palatino Linotype" w:hAnsi="Palatino Linotype" w:cs="Arial"/>
          <w:i/>
          <w:sz w:val="22"/>
        </w:rPr>
        <w:t xml:space="preserve">, la información completa y actualizada sobre el ejercicio de los recursos </w:t>
      </w:r>
      <w:r w:rsidRPr="00671495">
        <w:rPr>
          <w:rFonts w:ascii="Palatino Linotype" w:hAnsi="Palatino Linotype" w:cs="Arial"/>
          <w:i/>
          <w:sz w:val="22"/>
        </w:rPr>
        <w:lastRenderedPageBreak/>
        <w:t>públicos y los indicadores que permitan rendir cuenta del cumplimiento de sus objetivos y de los resultados obtenidos.</w:t>
      </w:r>
    </w:p>
    <w:p w14:paraId="3AC24ABB" w14:textId="77777777" w:rsidR="00671495" w:rsidRPr="00671495" w:rsidRDefault="00671495" w:rsidP="00671495">
      <w:pPr>
        <w:spacing w:line="360" w:lineRule="auto"/>
        <w:ind w:left="567" w:right="567"/>
        <w:jc w:val="both"/>
        <w:rPr>
          <w:rFonts w:ascii="Palatino Linotype" w:hAnsi="Palatino Linotype" w:cs="Arial"/>
          <w:i/>
          <w:sz w:val="22"/>
        </w:rPr>
      </w:pPr>
    </w:p>
    <w:p w14:paraId="4AB9ABA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FFBA0C1" w14:textId="77777777" w:rsidR="00671495" w:rsidRPr="00671495" w:rsidRDefault="00671495" w:rsidP="00671495">
      <w:pPr>
        <w:spacing w:line="360" w:lineRule="auto"/>
        <w:ind w:left="567" w:right="567"/>
        <w:jc w:val="both"/>
        <w:rPr>
          <w:rFonts w:ascii="Palatino Linotype" w:hAnsi="Palatino Linotype" w:cs="Arial"/>
          <w:i/>
          <w:sz w:val="22"/>
        </w:rPr>
      </w:pPr>
    </w:p>
    <w:p w14:paraId="0352D998"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VII. La inobservancia a las disposiciones en materia de acceso a la información pública será sancionada en los términos que dispongan las leyes.</w:t>
      </w:r>
    </w:p>
    <w:p w14:paraId="1C7248A7" w14:textId="77777777" w:rsidR="00671495" w:rsidRPr="00671495" w:rsidRDefault="00671495" w:rsidP="00671495">
      <w:pPr>
        <w:spacing w:line="360" w:lineRule="auto"/>
        <w:ind w:left="567" w:right="567"/>
        <w:jc w:val="both"/>
        <w:rPr>
          <w:rFonts w:ascii="Palatino Linotype" w:hAnsi="Palatino Linotype" w:cs="Arial"/>
          <w:i/>
          <w:sz w:val="22"/>
        </w:rPr>
      </w:pPr>
    </w:p>
    <w:p w14:paraId="6759FD7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25EBEEB"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07CEDF51"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La ley establecerá aquella información que se considere reservada o confidencial.”</w:t>
      </w:r>
    </w:p>
    <w:p w14:paraId="2659E4C5" w14:textId="77777777" w:rsidR="00671495" w:rsidRPr="00671495" w:rsidRDefault="00671495" w:rsidP="00671495">
      <w:pPr>
        <w:spacing w:line="360" w:lineRule="auto"/>
        <w:ind w:left="567" w:right="567"/>
        <w:jc w:val="both"/>
        <w:rPr>
          <w:rFonts w:ascii="Palatino Linotype" w:hAnsi="Palatino Linotype"/>
          <w:i/>
          <w:sz w:val="22"/>
        </w:rPr>
      </w:pPr>
    </w:p>
    <w:p w14:paraId="61AA28D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(Énfasis añadido)</w:t>
      </w:r>
    </w:p>
    <w:p w14:paraId="57ED44B6" w14:textId="77777777" w:rsidR="00671495" w:rsidRPr="00671495" w:rsidRDefault="00671495" w:rsidP="00671495">
      <w:pPr>
        <w:spacing w:line="360" w:lineRule="auto"/>
        <w:ind w:left="709" w:right="757"/>
        <w:jc w:val="both"/>
        <w:rPr>
          <w:rFonts w:ascii="Palatino Linotype" w:hAnsi="Palatino Linotype"/>
          <w:sz w:val="22"/>
        </w:rPr>
      </w:pPr>
    </w:p>
    <w:p w14:paraId="4471EDA8"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Por su parte, la Constitución Política del Estado Libre y Soberano de México, en su artículo 5°, dispone en su parte conducente, lo siguiente:</w:t>
      </w:r>
    </w:p>
    <w:p w14:paraId="49D2B9BC" w14:textId="77777777" w:rsidR="00671495" w:rsidRPr="00671495" w:rsidRDefault="00671495" w:rsidP="00671495">
      <w:pPr>
        <w:spacing w:line="360" w:lineRule="auto"/>
        <w:ind w:left="567" w:right="567"/>
        <w:jc w:val="both"/>
        <w:rPr>
          <w:rFonts w:ascii="Palatino Linotype" w:hAnsi="Palatino Linotype" w:cs="Arial"/>
          <w:b/>
          <w:i/>
          <w:sz w:val="22"/>
        </w:rPr>
      </w:pPr>
      <w:r w:rsidRPr="00671495">
        <w:rPr>
          <w:rFonts w:ascii="Palatino Linotype" w:hAnsi="Palatino Linotype" w:cs="Arial"/>
          <w:b/>
          <w:i/>
          <w:sz w:val="22"/>
        </w:rPr>
        <w:t xml:space="preserve">“Artículo 5. … </w:t>
      </w:r>
    </w:p>
    <w:p w14:paraId="342C3CE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El derecho a la información será garantizado por el Estado</w:t>
      </w:r>
      <w:r w:rsidRPr="00671495">
        <w:rPr>
          <w:rFonts w:ascii="Palatino Linotype" w:hAnsi="Palatino Linotype"/>
          <w:i/>
          <w:sz w:val="22"/>
        </w:rPr>
        <w:t xml:space="preserve">. La ley establecerá las previsiones que permitan asegurar la protección, el respeto y la difusión de este derecho. </w:t>
      </w:r>
    </w:p>
    <w:p w14:paraId="202A7C49"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8EEBFBC" w14:textId="77777777" w:rsidR="00671495" w:rsidRPr="00671495" w:rsidRDefault="00671495" w:rsidP="00671495">
      <w:pPr>
        <w:spacing w:line="360" w:lineRule="auto"/>
        <w:ind w:left="567" w:right="567"/>
        <w:jc w:val="both"/>
        <w:rPr>
          <w:rFonts w:ascii="Palatino Linotype" w:hAnsi="Palatino Linotype"/>
          <w:i/>
          <w:sz w:val="22"/>
        </w:rPr>
      </w:pPr>
    </w:p>
    <w:p w14:paraId="1A3E4027"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Este derecho se regirá por los principios y bases siguientes:</w:t>
      </w:r>
    </w:p>
    <w:p w14:paraId="612FDC20" w14:textId="77777777" w:rsidR="00671495" w:rsidRPr="00671495" w:rsidRDefault="00671495" w:rsidP="00671495">
      <w:pPr>
        <w:spacing w:line="360" w:lineRule="auto"/>
        <w:ind w:left="567" w:right="567"/>
        <w:jc w:val="both"/>
        <w:rPr>
          <w:rFonts w:ascii="Palatino Linotype" w:hAnsi="Palatino Linotype"/>
          <w:b/>
          <w:i/>
          <w:sz w:val="22"/>
        </w:rPr>
      </w:pPr>
    </w:p>
    <w:p w14:paraId="041CAE2A"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 xml:space="preserve">I. Toda la información en posesión </w:t>
      </w:r>
      <w:r w:rsidRPr="0067149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71495">
        <w:rPr>
          <w:rFonts w:ascii="Palatino Linotype" w:hAnsi="Palatino Linotype"/>
          <w:b/>
          <w:i/>
          <w:sz w:val="22"/>
        </w:rPr>
        <w:t>del gobierno y de la administración pública municipal y sus organismos descentralizados</w:t>
      </w:r>
      <w:r w:rsidRPr="0067149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71495">
        <w:rPr>
          <w:rFonts w:ascii="Palatino Linotype" w:hAnsi="Palatino Linotype"/>
          <w:b/>
          <w:i/>
          <w:sz w:val="22"/>
        </w:rPr>
        <w:t>es pública</w:t>
      </w:r>
      <w:r w:rsidRPr="0067149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52425F" w14:textId="77777777" w:rsidR="00671495" w:rsidRPr="00671495" w:rsidRDefault="00671495" w:rsidP="00671495">
      <w:pPr>
        <w:spacing w:line="360" w:lineRule="auto"/>
        <w:ind w:left="567" w:right="567"/>
        <w:jc w:val="both"/>
        <w:rPr>
          <w:rFonts w:ascii="Palatino Linotype" w:hAnsi="Palatino Linotype"/>
          <w:i/>
          <w:sz w:val="22"/>
        </w:rPr>
      </w:pPr>
    </w:p>
    <w:p w14:paraId="7DC90A6E"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4A20896" w14:textId="77777777" w:rsidR="00671495" w:rsidRPr="00671495" w:rsidRDefault="00671495" w:rsidP="00671495">
      <w:pPr>
        <w:spacing w:line="360" w:lineRule="auto"/>
        <w:ind w:left="567" w:right="567"/>
        <w:jc w:val="both"/>
        <w:rPr>
          <w:rFonts w:ascii="Palatino Linotype" w:hAnsi="Palatino Linotype"/>
          <w:i/>
          <w:sz w:val="22"/>
        </w:rPr>
      </w:pPr>
    </w:p>
    <w:p w14:paraId="7730283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0D84FD37" w14:textId="77777777" w:rsidR="00671495" w:rsidRPr="00671495" w:rsidRDefault="00671495" w:rsidP="00671495">
      <w:pPr>
        <w:spacing w:line="360" w:lineRule="auto"/>
        <w:ind w:left="567" w:right="567"/>
        <w:jc w:val="both"/>
        <w:rPr>
          <w:rFonts w:ascii="Palatino Linotype" w:hAnsi="Palatino Linotype"/>
          <w:i/>
          <w:sz w:val="22"/>
        </w:rPr>
      </w:pPr>
    </w:p>
    <w:p w14:paraId="41F2D210"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1B719AAA" w14:textId="77777777" w:rsidR="00671495" w:rsidRPr="00671495" w:rsidRDefault="00671495" w:rsidP="00671495">
      <w:pPr>
        <w:spacing w:line="360" w:lineRule="auto"/>
        <w:ind w:left="567" w:right="567"/>
        <w:jc w:val="both"/>
        <w:rPr>
          <w:rFonts w:ascii="Palatino Linotype" w:hAnsi="Palatino Linotype"/>
          <w:i/>
          <w:sz w:val="22"/>
        </w:rPr>
      </w:pPr>
    </w:p>
    <w:p w14:paraId="70471FFB"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3A2D12C" w14:textId="77777777" w:rsidR="00671495" w:rsidRPr="00671495" w:rsidRDefault="00671495" w:rsidP="00671495">
      <w:pPr>
        <w:spacing w:line="360" w:lineRule="auto"/>
        <w:ind w:left="567" w:right="567"/>
        <w:jc w:val="both"/>
        <w:rPr>
          <w:rFonts w:ascii="Palatino Linotype" w:hAnsi="Palatino Linotype"/>
          <w:b/>
          <w:i/>
          <w:sz w:val="22"/>
        </w:rPr>
      </w:pPr>
    </w:p>
    <w:p w14:paraId="483F81E4"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71495">
        <w:rPr>
          <w:rFonts w:ascii="Palatino Linotype" w:hAnsi="Palatino Linotype"/>
          <w:i/>
          <w:sz w:val="22"/>
        </w:rPr>
        <w:t xml:space="preserve"> y los indicadores que permitan rendir cuenta del cumplimiento de sus objetivos y los resultados obtenidos.</w:t>
      </w:r>
    </w:p>
    <w:p w14:paraId="4766D9E0" w14:textId="77777777" w:rsidR="00671495" w:rsidRPr="00671495" w:rsidRDefault="00671495" w:rsidP="00671495">
      <w:pPr>
        <w:spacing w:line="360" w:lineRule="auto"/>
        <w:ind w:left="567" w:right="567"/>
        <w:jc w:val="both"/>
        <w:rPr>
          <w:rFonts w:ascii="Palatino Linotype" w:hAnsi="Palatino Linotype"/>
          <w:i/>
          <w:sz w:val="22"/>
        </w:rPr>
      </w:pPr>
    </w:p>
    <w:p w14:paraId="4FC13C3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4330F682" w14:textId="77777777" w:rsidR="00671495" w:rsidRPr="00671495" w:rsidRDefault="00671495" w:rsidP="00671495">
      <w:pPr>
        <w:spacing w:line="360" w:lineRule="auto"/>
        <w:ind w:left="567" w:right="567"/>
        <w:jc w:val="both"/>
        <w:rPr>
          <w:rFonts w:ascii="Palatino Linotype" w:hAnsi="Palatino Linotype"/>
          <w:sz w:val="22"/>
        </w:rPr>
      </w:pPr>
    </w:p>
    <w:p w14:paraId="486DA6DA" w14:textId="77777777" w:rsidR="00671495" w:rsidRPr="00671495" w:rsidRDefault="00671495" w:rsidP="00671495">
      <w:pPr>
        <w:spacing w:line="360" w:lineRule="auto"/>
        <w:ind w:left="567" w:right="567"/>
        <w:jc w:val="both"/>
        <w:rPr>
          <w:rFonts w:ascii="Palatino Linotype" w:hAnsi="Palatino Linotype"/>
          <w:sz w:val="22"/>
        </w:rPr>
      </w:pPr>
      <w:r w:rsidRPr="00671495">
        <w:rPr>
          <w:rFonts w:ascii="Palatino Linotype" w:hAnsi="Palatino Linotype"/>
          <w:sz w:val="22"/>
        </w:rPr>
        <w:lastRenderedPageBreak/>
        <w:t>(Énfasis añadido)</w:t>
      </w:r>
    </w:p>
    <w:p w14:paraId="31A6D9EE" w14:textId="77777777" w:rsidR="00671495" w:rsidRPr="00671495" w:rsidRDefault="00671495" w:rsidP="00671495">
      <w:pPr>
        <w:spacing w:line="360" w:lineRule="auto"/>
        <w:ind w:left="567" w:right="567"/>
        <w:jc w:val="both"/>
        <w:rPr>
          <w:rFonts w:ascii="Palatino Linotype" w:hAnsi="Palatino Linotype"/>
          <w:sz w:val="24"/>
        </w:rPr>
      </w:pPr>
    </w:p>
    <w:p w14:paraId="6903460B"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Adicional, tenemos que la Ley de Transparencia y Acceso a la Información Pública del Estado de México y Municipios, prevé en su artículo 23 fracción IV, lo siguiente:</w:t>
      </w:r>
    </w:p>
    <w:p w14:paraId="3DA2F1E2" w14:textId="77777777" w:rsidR="00671495" w:rsidRPr="00671495" w:rsidRDefault="00671495" w:rsidP="00671495">
      <w:pPr>
        <w:spacing w:line="360" w:lineRule="auto"/>
        <w:jc w:val="both"/>
        <w:rPr>
          <w:rFonts w:ascii="Palatino Linotype" w:hAnsi="Palatino Linotype" w:cs="Arial"/>
        </w:rPr>
      </w:pPr>
    </w:p>
    <w:p w14:paraId="2F26356F"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 xml:space="preserve">“Artículo 23. Son sujetos obligados a transparentar y permitir el acceso a su información y </w:t>
      </w:r>
      <w:r w:rsidRPr="00671495">
        <w:rPr>
          <w:rFonts w:ascii="Palatino Linotype" w:hAnsi="Palatino Linotype"/>
          <w:b/>
          <w:i/>
          <w:sz w:val="22"/>
        </w:rPr>
        <w:t>proteger</w:t>
      </w:r>
      <w:r w:rsidRPr="00671495">
        <w:rPr>
          <w:rFonts w:ascii="Palatino Linotype" w:hAnsi="Palatino Linotype" w:cs="Arial"/>
          <w:b/>
          <w:i/>
          <w:sz w:val="22"/>
        </w:rPr>
        <w:t xml:space="preserve"> los datos personales que obren en su poder</w:t>
      </w:r>
      <w:r w:rsidRPr="00671495">
        <w:rPr>
          <w:rFonts w:ascii="Palatino Linotype" w:hAnsi="Palatino Linotype" w:cs="Arial"/>
          <w:i/>
          <w:sz w:val="22"/>
        </w:rPr>
        <w:t>:</w:t>
      </w:r>
    </w:p>
    <w:p w14:paraId="67DC9DFE"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15A5FBBB" w14:textId="77777777" w:rsidR="00671495" w:rsidRPr="00671495" w:rsidRDefault="00671495" w:rsidP="00671495">
      <w:pPr>
        <w:spacing w:line="360" w:lineRule="auto"/>
        <w:ind w:left="567" w:right="567"/>
        <w:jc w:val="both"/>
        <w:rPr>
          <w:rFonts w:ascii="Palatino Linotype" w:hAnsi="Palatino Linotype" w:cs="Arial"/>
          <w:i/>
          <w:sz w:val="22"/>
        </w:rPr>
      </w:pPr>
    </w:p>
    <w:p w14:paraId="1BB70256" w14:textId="77777777" w:rsidR="00671495" w:rsidRPr="00671495" w:rsidRDefault="00671495" w:rsidP="00671495">
      <w:pPr>
        <w:spacing w:line="360" w:lineRule="auto"/>
        <w:ind w:left="567" w:right="567"/>
        <w:jc w:val="both"/>
        <w:rPr>
          <w:rFonts w:ascii="Palatino Linotype" w:hAnsi="Palatino Linotype" w:cs="Arial"/>
          <w:b/>
          <w:i/>
          <w:sz w:val="22"/>
          <w:szCs w:val="22"/>
        </w:rPr>
      </w:pPr>
      <w:r w:rsidRPr="00671495">
        <w:rPr>
          <w:rFonts w:ascii="Palatino Linotype" w:hAnsi="Palatino Linotype" w:cs="Arial"/>
          <w:b/>
          <w:i/>
          <w:sz w:val="22"/>
          <w:szCs w:val="22"/>
        </w:rPr>
        <w:t xml:space="preserve">IV. </w:t>
      </w:r>
      <w:r w:rsidRPr="00671495">
        <w:rPr>
          <w:rFonts w:ascii="Palatino Linotype" w:eastAsiaTheme="minorHAnsi" w:hAnsi="Palatino Linotype" w:cs="Bookman Old Style"/>
          <w:i/>
          <w:sz w:val="22"/>
          <w:szCs w:val="22"/>
          <w:lang w:eastAsia="en-US"/>
        </w:rPr>
        <w:t>Los ayuntamientos y las dependencias, organismos, órganos y entidades de la administración municipal;</w:t>
      </w:r>
    </w:p>
    <w:p w14:paraId="56E16912"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i/>
          <w:sz w:val="22"/>
        </w:rPr>
        <w:t>…</w:t>
      </w:r>
    </w:p>
    <w:p w14:paraId="360133CF" w14:textId="77777777" w:rsidR="00671495" w:rsidRPr="00671495" w:rsidRDefault="00671495" w:rsidP="00671495">
      <w:pPr>
        <w:spacing w:line="360" w:lineRule="auto"/>
        <w:ind w:left="567" w:right="567"/>
        <w:jc w:val="both"/>
        <w:rPr>
          <w:rFonts w:ascii="Palatino Linotype" w:hAnsi="Palatino Linotype"/>
          <w:i/>
          <w:sz w:val="22"/>
        </w:rPr>
      </w:pPr>
      <w:r w:rsidRPr="00671495">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72D6117" w14:textId="77777777" w:rsidR="00671495" w:rsidRPr="00671495" w:rsidRDefault="00671495" w:rsidP="00671495">
      <w:pPr>
        <w:spacing w:line="360" w:lineRule="auto"/>
        <w:ind w:left="567" w:right="567"/>
        <w:jc w:val="both"/>
        <w:rPr>
          <w:rFonts w:ascii="Palatino Linotype" w:hAnsi="Palatino Linotype" w:cs="Arial"/>
          <w:b/>
          <w:i/>
          <w:sz w:val="22"/>
        </w:rPr>
      </w:pPr>
    </w:p>
    <w:p w14:paraId="52F2A7D7" w14:textId="77777777" w:rsidR="00671495" w:rsidRPr="00671495" w:rsidRDefault="00671495" w:rsidP="00671495">
      <w:pPr>
        <w:spacing w:line="360" w:lineRule="auto"/>
        <w:ind w:left="567" w:right="567"/>
        <w:jc w:val="both"/>
        <w:rPr>
          <w:rFonts w:ascii="Palatino Linotype" w:hAnsi="Palatino Linotype" w:cs="Arial"/>
          <w:i/>
          <w:sz w:val="22"/>
        </w:rPr>
      </w:pPr>
      <w:r w:rsidRPr="00671495">
        <w:rPr>
          <w:rFonts w:ascii="Palatino Linotype" w:hAnsi="Palatino Linotype" w:cs="Arial"/>
          <w:b/>
          <w:i/>
          <w:sz w:val="22"/>
        </w:rPr>
        <w:t>Los servidores públicos deberán transparentar sus acciones así como garantizar y respetar el derecho de acceso a la información pública.”</w:t>
      </w:r>
    </w:p>
    <w:p w14:paraId="421DBFF1" w14:textId="77777777" w:rsidR="00671495" w:rsidRPr="00671495" w:rsidRDefault="00671495" w:rsidP="00671495">
      <w:pPr>
        <w:spacing w:line="360" w:lineRule="auto"/>
        <w:ind w:left="567" w:right="567"/>
        <w:jc w:val="both"/>
        <w:rPr>
          <w:rFonts w:ascii="Palatino Linotype" w:hAnsi="Palatino Linotype" w:cs="Arial"/>
          <w:sz w:val="22"/>
        </w:rPr>
      </w:pPr>
    </w:p>
    <w:p w14:paraId="0A595C6B" w14:textId="77777777" w:rsidR="00671495" w:rsidRPr="00671495" w:rsidRDefault="00671495" w:rsidP="00671495">
      <w:pPr>
        <w:spacing w:line="360" w:lineRule="auto"/>
        <w:ind w:left="567" w:right="567"/>
        <w:jc w:val="both"/>
        <w:rPr>
          <w:rFonts w:ascii="Palatino Linotype" w:hAnsi="Palatino Linotype" w:cs="Arial"/>
          <w:sz w:val="22"/>
        </w:rPr>
      </w:pPr>
      <w:r w:rsidRPr="00671495">
        <w:rPr>
          <w:rFonts w:ascii="Palatino Linotype" w:hAnsi="Palatino Linotype" w:cs="Arial"/>
          <w:sz w:val="22"/>
        </w:rPr>
        <w:t>(Énfasis añadido)</w:t>
      </w:r>
    </w:p>
    <w:p w14:paraId="213B1C83" w14:textId="77777777" w:rsidR="00671495" w:rsidRPr="00671495" w:rsidRDefault="00671495" w:rsidP="00671495">
      <w:pPr>
        <w:spacing w:line="360" w:lineRule="auto"/>
        <w:jc w:val="both"/>
        <w:rPr>
          <w:rFonts w:ascii="Palatino Linotype" w:hAnsi="Palatino Linotype" w:cs="Arial"/>
        </w:rPr>
      </w:pPr>
    </w:p>
    <w:p w14:paraId="73C1846F" w14:textId="77777777"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w:t>
      </w:r>
      <w:r w:rsidRPr="00671495">
        <w:rPr>
          <w:rFonts w:ascii="Palatino Linotype" w:hAnsi="Palatino Linotype" w:cs="Arial"/>
          <w:sz w:val="24"/>
        </w:rPr>
        <w:lastRenderedPageBreak/>
        <w:t xml:space="preserve">estatales, de la Ciudad de México, o Municipales, con el fin de que los particulares conozcan toda aquella información que es considerada como pública. </w:t>
      </w:r>
    </w:p>
    <w:p w14:paraId="62029507" w14:textId="77777777" w:rsidR="00671495" w:rsidRPr="00671495" w:rsidRDefault="00671495" w:rsidP="00671495">
      <w:pPr>
        <w:pStyle w:val="Prrafodelista"/>
        <w:spacing w:line="360" w:lineRule="auto"/>
        <w:ind w:left="0"/>
        <w:jc w:val="both"/>
        <w:rPr>
          <w:rFonts w:ascii="Palatino Linotype" w:hAnsi="Palatino Linotype" w:cs="Arial"/>
          <w:sz w:val="24"/>
        </w:rPr>
      </w:pPr>
    </w:p>
    <w:p w14:paraId="181C0D61" w14:textId="43BA9F0A" w:rsidR="00671495" w:rsidRPr="00671495" w:rsidRDefault="00671495" w:rsidP="00671495">
      <w:pPr>
        <w:pStyle w:val="Prrafodelista"/>
        <w:numPr>
          <w:ilvl w:val="0"/>
          <w:numId w:val="2"/>
        </w:numPr>
        <w:spacing w:line="360" w:lineRule="auto"/>
        <w:ind w:left="0" w:firstLine="0"/>
        <w:jc w:val="both"/>
        <w:rPr>
          <w:rFonts w:ascii="Palatino Linotype" w:hAnsi="Palatino Linotype" w:cs="Arial"/>
          <w:sz w:val="24"/>
        </w:rPr>
      </w:pPr>
      <w:r w:rsidRPr="00671495">
        <w:rPr>
          <w:rFonts w:ascii="Palatino Linotype" w:hAnsi="Palatino Linotype" w:cs="Arial"/>
          <w:sz w:val="24"/>
        </w:rPr>
        <w:t>Por lo anterior, es de referir que,</w:t>
      </w:r>
      <w:r w:rsidRPr="00671495">
        <w:rPr>
          <w:rFonts w:ascii="Palatino Linotype" w:hAnsi="Palatino Linotype" w:cs="Arial"/>
          <w:b/>
          <w:sz w:val="24"/>
        </w:rPr>
        <w:t xml:space="preserve"> el </w:t>
      </w:r>
      <w:r w:rsidRPr="00671495">
        <w:rPr>
          <w:rFonts w:ascii="Palatino Linotype" w:hAnsi="Palatino Linotype"/>
          <w:b/>
          <w:bCs/>
          <w:sz w:val="24"/>
          <w:szCs w:val="22"/>
        </w:rPr>
        <w:t xml:space="preserve">Ayuntamiento de </w:t>
      </w:r>
      <w:r>
        <w:rPr>
          <w:rFonts w:ascii="Palatino Linotype" w:hAnsi="Palatino Linotype"/>
          <w:b/>
          <w:bCs/>
          <w:sz w:val="24"/>
          <w:szCs w:val="22"/>
        </w:rPr>
        <w:t>Valle de Chalco Solidaridad</w:t>
      </w:r>
      <w:r w:rsidRPr="0067149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0EDB8230" w14:textId="77777777" w:rsidR="00671495" w:rsidRDefault="00671495" w:rsidP="005000AA">
      <w:pPr>
        <w:rPr>
          <w:rFonts w:ascii="Palatino Linotype" w:hAnsi="Palatino Linotype"/>
          <w:sz w:val="24"/>
          <w:szCs w:val="24"/>
          <w:lang w:eastAsia="en-US"/>
        </w:rPr>
      </w:pPr>
    </w:p>
    <w:p w14:paraId="6C784363" w14:textId="332B42FF" w:rsidR="00DD0FEA" w:rsidRDefault="00671495" w:rsidP="00671495">
      <w:pPr>
        <w:pStyle w:val="Ttulo2"/>
        <w:numPr>
          <w:ilvl w:val="0"/>
          <w:numId w:val="26"/>
        </w:numPr>
        <w:spacing w:line="256" w:lineRule="auto"/>
        <w:rPr>
          <w:rFonts w:ascii="Palatino Linotype" w:hAnsi="Palatino Linotype"/>
          <w:b/>
          <w:color w:val="auto"/>
          <w:sz w:val="24"/>
          <w:szCs w:val="24"/>
          <w:lang w:eastAsia="en-US"/>
        </w:rPr>
      </w:pPr>
      <w:bookmarkStart w:id="27" w:name="_Toc85735115"/>
      <w:bookmarkStart w:id="28" w:name="_Toc34911390"/>
      <w:r>
        <w:rPr>
          <w:rFonts w:ascii="Palatino Linotype" w:hAnsi="Palatino Linotype"/>
          <w:b/>
          <w:color w:val="auto"/>
          <w:sz w:val="24"/>
          <w:szCs w:val="24"/>
        </w:rPr>
        <w:t>De la Clasificación</w:t>
      </w:r>
      <w:bookmarkEnd w:id="27"/>
    </w:p>
    <w:p w14:paraId="140F6EBE" w14:textId="77777777" w:rsidR="005000AA" w:rsidRPr="00624AAD" w:rsidRDefault="005000AA" w:rsidP="005000AA">
      <w:pPr>
        <w:pStyle w:val="Prrafodelista"/>
        <w:rPr>
          <w:rFonts w:ascii="Palatino Linotype" w:hAnsi="Palatino Linotype"/>
          <w:sz w:val="24"/>
        </w:rPr>
      </w:pPr>
    </w:p>
    <w:p w14:paraId="1C1EB83F" w14:textId="742D7ABF" w:rsidR="00B56994" w:rsidRPr="00205934" w:rsidRDefault="00B56994" w:rsidP="00205934">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El acceso a la información pública, al igual que el resto de los derechos humanos, no es un derecho absoluto, la Ley de Transparencia y Acceso a la Información Pública del Estado de México y Muni</w:t>
      </w:r>
      <w:r w:rsidR="00205934">
        <w:rPr>
          <w:rFonts w:ascii="Palatino Linotype" w:eastAsia="MS Mincho" w:hAnsi="Palatino Linotype"/>
          <w:sz w:val="24"/>
        </w:rPr>
        <w:t xml:space="preserve">cipios, en el </w:t>
      </w:r>
      <w:r w:rsidRPr="00205934">
        <w:rPr>
          <w:rFonts w:ascii="Palatino Linotype" w:eastAsia="MS Mincho" w:hAnsi="Palatino Linotype"/>
          <w:sz w:val="24"/>
        </w:rPr>
        <w:t>artículo 11, primer párrafo de la Ley en comento establece lo siguiente:</w:t>
      </w:r>
    </w:p>
    <w:p w14:paraId="65F29CA9" w14:textId="77777777" w:rsidR="00B56994" w:rsidRPr="00B56994" w:rsidRDefault="00B56994" w:rsidP="00B56994">
      <w:pPr>
        <w:pStyle w:val="Prrafodelista"/>
        <w:rPr>
          <w:rFonts w:ascii="Palatino Linotype" w:eastAsia="MS Mincho" w:hAnsi="Palatino Linotype"/>
          <w:sz w:val="24"/>
        </w:rPr>
      </w:pPr>
    </w:p>
    <w:p w14:paraId="5CE21A6E" w14:textId="0A2D9B3E" w:rsidR="00B56994" w:rsidRPr="00B56994" w:rsidRDefault="00B56994" w:rsidP="00B56994">
      <w:pPr>
        <w:spacing w:line="360" w:lineRule="auto"/>
        <w:ind w:left="567" w:right="822"/>
        <w:jc w:val="both"/>
        <w:rPr>
          <w:rFonts w:ascii="Palatino Linotype" w:eastAsia="MS Mincho" w:hAnsi="Palatino Linotype"/>
          <w:i/>
          <w:sz w:val="28"/>
        </w:rPr>
      </w:pPr>
      <w:r w:rsidRPr="00B56994">
        <w:rPr>
          <w:rFonts w:ascii="Palatino Linotype" w:hAnsi="Palatino Linotype"/>
          <w:i/>
          <w:sz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9F53E7C" w14:textId="77777777" w:rsidR="00B56994" w:rsidRPr="00B56994" w:rsidRDefault="00B56994" w:rsidP="00B56994">
      <w:pPr>
        <w:spacing w:line="360" w:lineRule="auto"/>
        <w:jc w:val="both"/>
        <w:rPr>
          <w:rFonts w:ascii="Palatino Linotype" w:eastAsia="MS Mincho" w:hAnsi="Palatino Linotype"/>
          <w:sz w:val="24"/>
        </w:rPr>
      </w:pPr>
    </w:p>
    <w:p w14:paraId="65706C06" w14:textId="0A895190" w:rsidR="00B56994" w:rsidRDefault="00B56994"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El precepto legal citado, refiere que la información que entreguen los sujetos obligados deberá cumplir con una serie de requisitos; sin embargo, también menciona que estará sujeta a un claro régimen de excepciones que deberá estar definido y ser </w:t>
      </w:r>
      <w:r>
        <w:rPr>
          <w:rFonts w:ascii="Palatino Linotype" w:eastAsia="MS Mincho" w:hAnsi="Palatino Linotype"/>
          <w:sz w:val="24"/>
        </w:rPr>
        <w:lastRenderedPageBreak/>
        <w:t>además legítima y estrictamente necesaria en una sociedad democrática.</w:t>
      </w:r>
      <w:r w:rsidR="00205934">
        <w:rPr>
          <w:rFonts w:ascii="Palatino Linotype" w:eastAsia="MS Mincho" w:hAnsi="Palatino Linotype"/>
          <w:sz w:val="24"/>
        </w:rPr>
        <w:t xml:space="preserve"> Por su parte, el artículo 91 del mismo ordenamiento establece lo siguiente:</w:t>
      </w:r>
    </w:p>
    <w:p w14:paraId="2390F164" w14:textId="77777777" w:rsidR="00205934" w:rsidRDefault="00205934" w:rsidP="00205934">
      <w:pPr>
        <w:pStyle w:val="Prrafodelista"/>
        <w:spacing w:line="360" w:lineRule="auto"/>
        <w:ind w:left="0"/>
        <w:jc w:val="both"/>
        <w:rPr>
          <w:rFonts w:ascii="Palatino Linotype" w:eastAsia="MS Mincho" w:hAnsi="Palatino Linotype"/>
          <w:sz w:val="24"/>
        </w:rPr>
      </w:pPr>
    </w:p>
    <w:p w14:paraId="510AB8AF" w14:textId="3A10E1DE" w:rsidR="00205934" w:rsidRPr="00205934" w:rsidRDefault="00205934" w:rsidP="00205934">
      <w:pPr>
        <w:pStyle w:val="Prrafodelista"/>
        <w:spacing w:line="360" w:lineRule="auto"/>
        <w:ind w:left="567" w:right="822"/>
        <w:jc w:val="both"/>
        <w:rPr>
          <w:rFonts w:ascii="Palatino Linotype" w:eastAsia="MS Mincho" w:hAnsi="Palatino Linotype"/>
          <w:i/>
          <w:sz w:val="24"/>
        </w:rPr>
      </w:pPr>
      <w:r w:rsidRPr="00205934">
        <w:rPr>
          <w:rFonts w:ascii="Palatino Linotype" w:hAnsi="Palatino Linotype"/>
          <w:i/>
        </w:rPr>
        <w:t>Artículo 91. El acceso a la información pública será restringido excepcionalmente, cuando ésta sea clasificada como reservada o confidencial.</w:t>
      </w:r>
    </w:p>
    <w:p w14:paraId="376405C0" w14:textId="77777777" w:rsidR="00B56994" w:rsidRDefault="00B56994" w:rsidP="00205934">
      <w:pPr>
        <w:pStyle w:val="Prrafodelista"/>
        <w:spacing w:line="360" w:lineRule="auto"/>
        <w:ind w:left="0"/>
        <w:jc w:val="both"/>
        <w:rPr>
          <w:rFonts w:ascii="Palatino Linotype" w:eastAsia="MS Mincho" w:hAnsi="Palatino Linotype"/>
          <w:sz w:val="24"/>
        </w:rPr>
      </w:pPr>
    </w:p>
    <w:p w14:paraId="79D07581" w14:textId="308432E4" w:rsidR="00205934" w:rsidRDefault="00205934" w:rsidP="00205934">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Es así que, el derecho de acceso a la información será excepcionalmente restringido cuando existan causales de clasificación, ya sea por confidencialidad o reserva, para tal efecto, el Sujeto Obligado deberá de fundar y motivar dicha restricción.</w:t>
      </w:r>
    </w:p>
    <w:p w14:paraId="5919093C" w14:textId="77777777" w:rsidR="00205934" w:rsidRDefault="00205934" w:rsidP="00205934">
      <w:pPr>
        <w:pStyle w:val="Prrafodelista"/>
        <w:spacing w:line="360" w:lineRule="auto"/>
        <w:ind w:left="0"/>
        <w:jc w:val="both"/>
        <w:rPr>
          <w:rFonts w:ascii="Palatino Linotype" w:eastAsia="MS Mincho" w:hAnsi="Palatino Linotype"/>
          <w:sz w:val="24"/>
        </w:rPr>
      </w:pPr>
    </w:p>
    <w:p w14:paraId="10DE9B3B" w14:textId="71D7979D" w:rsidR="006A7A69" w:rsidRDefault="006A7A69"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En el presente asunto en particular, el Sujeto Obligado basó la supuesta clasificación de la información con base a la siguiente normatividad:</w:t>
      </w:r>
    </w:p>
    <w:p w14:paraId="634213F5" w14:textId="77777777" w:rsidR="006A7A69" w:rsidRPr="006A7A69" w:rsidRDefault="006A7A69" w:rsidP="006A7A69">
      <w:pPr>
        <w:pStyle w:val="Prrafodelista"/>
        <w:rPr>
          <w:rFonts w:ascii="Palatino Linotype" w:eastAsia="MS Mincho" w:hAnsi="Palatino Linotype"/>
          <w:sz w:val="24"/>
        </w:rPr>
      </w:pPr>
    </w:p>
    <w:p w14:paraId="620C9A44" w14:textId="043D618C" w:rsidR="006A7A69" w:rsidRDefault="00380BDB" w:rsidP="006A7A69">
      <w:pPr>
        <w:pStyle w:val="Prrafodelista"/>
        <w:spacing w:line="360" w:lineRule="auto"/>
        <w:ind w:left="0"/>
        <w:jc w:val="both"/>
        <w:rPr>
          <w:rFonts w:ascii="Palatino Linotype" w:eastAsia="MS Mincho" w:hAnsi="Palatino Linotype"/>
          <w:sz w:val="24"/>
        </w:rPr>
      </w:pPr>
      <w:r>
        <w:rPr>
          <w:noProof/>
          <w:lang w:eastAsia="es-MX"/>
        </w:rPr>
        <w:lastRenderedPageBreak/>
        <mc:AlternateContent>
          <mc:Choice Requires="wps">
            <w:drawing>
              <wp:anchor distT="0" distB="0" distL="114300" distR="114300" simplePos="0" relativeHeight="251660288" behindDoc="0" locked="0" layoutInCell="1" allowOverlap="1" wp14:anchorId="41D3F5C0" wp14:editId="095A4FC5">
                <wp:simplePos x="0" y="0"/>
                <wp:positionH relativeFrom="column">
                  <wp:posOffset>1553</wp:posOffset>
                </wp:positionH>
                <wp:positionV relativeFrom="paragraph">
                  <wp:posOffset>3395800</wp:posOffset>
                </wp:positionV>
                <wp:extent cx="5677469" cy="2961564"/>
                <wp:effectExtent l="0" t="0" r="19050" b="29845"/>
                <wp:wrapNone/>
                <wp:docPr id="6" name="Conector recto 6"/>
                <wp:cNvGraphicFramePr/>
                <a:graphic xmlns:a="http://schemas.openxmlformats.org/drawingml/2006/main">
                  <a:graphicData uri="http://schemas.microsoft.com/office/word/2010/wordprocessingShape">
                    <wps:wsp>
                      <wps:cNvCnPr/>
                      <wps:spPr>
                        <a:xfrm>
                          <a:off x="0" y="0"/>
                          <a:ext cx="5677469" cy="29615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D73C2"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267.4pt" to="447.15pt,5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" strokecolor="#4472c4 [3204]" strokeweight=".5pt">
                <v:stroke joinstyle="miter"/>
              </v:line>
            </w:pict>
          </mc:Fallback>
        </mc:AlternateContent>
      </w:r>
      <w:r w:rsidR="006A7A69">
        <w:rPr>
          <w:noProof/>
          <w:lang w:eastAsia="es-MX"/>
        </w:rPr>
        <w:drawing>
          <wp:inline distT="0" distB="0" distL="0" distR="0" wp14:anchorId="58DAA5A6" wp14:editId="3F747DFE">
            <wp:extent cx="5593278" cy="3136418"/>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41" t="33086" r="5697" b="22787"/>
                    <a:stretch/>
                  </pic:blipFill>
                  <pic:spPr bwMode="auto">
                    <a:xfrm>
                      <a:off x="0" y="0"/>
                      <a:ext cx="5612104" cy="3146975"/>
                    </a:xfrm>
                    <a:prstGeom prst="rect">
                      <a:avLst/>
                    </a:prstGeom>
                    <a:ln>
                      <a:noFill/>
                    </a:ln>
                    <a:extLst>
                      <a:ext uri="{53640926-AAD7-44D8-BBD7-CCE9431645EC}">
                        <a14:shadowObscured xmlns:a14="http://schemas.microsoft.com/office/drawing/2010/main"/>
                      </a:ext>
                    </a:extLst>
                  </pic:spPr>
                </pic:pic>
              </a:graphicData>
            </a:graphic>
          </wp:inline>
        </w:drawing>
      </w:r>
    </w:p>
    <w:p w14:paraId="71DEB007" w14:textId="185C7A8F" w:rsidR="006A7A69" w:rsidRDefault="006A7A69" w:rsidP="006A7A69">
      <w:pPr>
        <w:pStyle w:val="Prrafodelista"/>
        <w:spacing w:line="360" w:lineRule="auto"/>
        <w:ind w:left="0"/>
        <w:jc w:val="both"/>
        <w:rPr>
          <w:rFonts w:ascii="Palatino Linotype" w:eastAsia="MS Mincho" w:hAnsi="Palatino Linotype"/>
          <w:sz w:val="24"/>
        </w:rPr>
      </w:pPr>
      <w:r>
        <w:rPr>
          <w:noProof/>
          <w:lang w:eastAsia="es-MX"/>
        </w:rPr>
        <w:lastRenderedPageBreak/>
        <w:drawing>
          <wp:inline distT="0" distB="0" distL="0" distR="0" wp14:anchorId="2ED67C58" wp14:editId="67DB3C48">
            <wp:extent cx="5700155" cy="62491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21" t="19116" r="32382" b="9554"/>
                    <a:stretch/>
                  </pic:blipFill>
                  <pic:spPr bwMode="auto">
                    <a:xfrm>
                      <a:off x="0" y="0"/>
                      <a:ext cx="5710550" cy="6260514"/>
                    </a:xfrm>
                    <a:prstGeom prst="rect">
                      <a:avLst/>
                    </a:prstGeom>
                    <a:ln>
                      <a:noFill/>
                    </a:ln>
                    <a:extLst>
                      <a:ext uri="{53640926-AAD7-44D8-BBD7-CCE9431645EC}">
                        <a14:shadowObscured xmlns:a14="http://schemas.microsoft.com/office/drawing/2010/main"/>
                      </a:ext>
                    </a:extLst>
                  </pic:spPr>
                </pic:pic>
              </a:graphicData>
            </a:graphic>
          </wp:inline>
        </w:drawing>
      </w:r>
    </w:p>
    <w:p w14:paraId="0713EEBD" w14:textId="2BABEF05" w:rsidR="006A7A69" w:rsidRDefault="006A7A69" w:rsidP="006A7A69">
      <w:pPr>
        <w:pStyle w:val="Prrafodelista"/>
        <w:spacing w:line="360" w:lineRule="auto"/>
        <w:ind w:left="0"/>
        <w:jc w:val="both"/>
        <w:rPr>
          <w:rFonts w:ascii="Palatino Linotype" w:eastAsia="MS Mincho" w:hAnsi="Palatino Linotype"/>
          <w:sz w:val="24"/>
        </w:rPr>
      </w:pPr>
      <w:r>
        <w:rPr>
          <w:noProof/>
          <w:lang w:eastAsia="es-MX"/>
        </w:rPr>
        <w:lastRenderedPageBreak/>
        <w:drawing>
          <wp:inline distT="0" distB="0" distL="0" distR="0" wp14:anchorId="7DFD6E13" wp14:editId="28DA4A28">
            <wp:extent cx="5676405" cy="162199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10" t="28675" r="16461" b="36765"/>
                    <a:stretch/>
                  </pic:blipFill>
                  <pic:spPr bwMode="auto">
                    <a:xfrm>
                      <a:off x="0" y="0"/>
                      <a:ext cx="5715588" cy="1633189"/>
                    </a:xfrm>
                    <a:prstGeom prst="rect">
                      <a:avLst/>
                    </a:prstGeom>
                    <a:ln>
                      <a:noFill/>
                    </a:ln>
                    <a:extLst>
                      <a:ext uri="{53640926-AAD7-44D8-BBD7-CCE9431645EC}">
                        <a14:shadowObscured xmlns:a14="http://schemas.microsoft.com/office/drawing/2010/main"/>
                      </a:ext>
                    </a:extLst>
                  </pic:spPr>
                </pic:pic>
              </a:graphicData>
            </a:graphic>
          </wp:inline>
        </w:drawing>
      </w:r>
    </w:p>
    <w:p w14:paraId="74139AE0" w14:textId="6830C91B" w:rsidR="006A7A69" w:rsidRPr="006A7A69" w:rsidRDefault="006A7A69" w:rsidP="006A7A69">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Por lo anterior, es necesario hacer de conocimiento al Sujeto Obligado que, </w:t>
      </w:r>
      <w:r w:rsidRPr="006A7A69">
        <w:rPr>
          <w:rFonts w:ascii="Palatino Linotype" w:eastAsia="MS Mincho" w:hAnsi="Palatino Linotype"/>
          <w:sz w:val="24"/>
        </w:rPr>
        <w:t>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Pr="006A7A69">
        <w:rPr>
          <w:rStyle w:val="Refdenotaalpie"/>
          <w:rFonts w:ascii="Palatino Linotype" w:hAnsi="Palatino Linotype"/>
          <w:sz w:val="24"/>
        </w:rPr>
        <w:footnoteReference w:id="8"/>
      </w:r>
      <w:r w:rsidRPr="006A7A69">
        <w:rPr>
          <w:rFonts w:ascii="Palatino Linotype" w:eastAsia="MS Mincho" w:hAnsi="Palatino Linotype"/>
          <w:sz w:val="24"/>
        </w:rPr>
        <w:t xml:space="preserve">. </w:t>
      </w:r>
    </w:p>
    <w:p w14:paraId="2F29781D"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eastAsia="MS Mincho" w:hAnsi="Palatino Linotype"/>
          <w:sz w:val="24"/>
          <w:szCs w:val="24"/>
        </w:rPr>
        <w:lastRenderedPageBreak/>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6A7A69">
        <w:rPr>
          <w:rFonts w:ascii="Palatino Linotype" w:hAnsi="Palatino Linotype"/>
          <w:sz w:val="24"/>
          <w:szCs w:val="24"/>
        </w:rPr>
        <w:t>preservar.</w:t>
      </w:r>
      <w:r w:rsidRPr="006A7A69">
        <w:rPr>
          <w:rStyle w:val="Refdenotaalpie"/>
          <w:rFonts w:ascii="Palatino Linotype" w:hAnsi="Palatino Linotype"/>
          <w:sz w:val="24"/>
          <w:szCs w:val="24"/>
        </w:rPr>
        <w:footnoteReference w:id="9"/>
      </w:r>
      <w:r w:rsidRPr="006A7A69">
        <w:rPr>
          <w:rFonts w:ascii="Palatino Linotype" w:hAnsi="Palatino Linotype"/>
          <w:sz w:val="24"/>
          <w:szCs w:val="24"/>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14:paraId="64F1CA5F"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2AED968C"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eastAsia="MS Mincho" w:hAnsi="Palatino Linotype"/>
          <w:sz w:val="24"/>
          <w:szCs w:val="24"/>
        </w:rPr>
        <w:t xml:space="preserve">Ahora bien, en el presente asunto se observó que el </w:t>
      </w:r>
      <w:r w:rsidRPr="006A7A69">
        <w:rPr>
          <w:rFonts w:ascii="Palatino Linotype" w:eastAsia="MS Mincho" w:hAnsi="Palatino Linotype"/>
          <w:b/>
          <w:sz w:val="24"/>
          <w:szCs w:val="24"/>
        </w:rPr>
        <w:t xml:space="preserve">Sujeto Obligado </w:t>
      </w:r>
      <w:r w:rsidRPr="006A7A69">
        <w:rPr>
          <w:rFonts w:ascii="Palatino Linotype" w:eastAsia="MS Mincho" w:hAnsi="Palatino Linotype"/>
          <w:sz w:val="24"/>
          <w:szCs w:val="24"/>
        </w:rPr>
        <w:t xml:space="preserve">además de pretender clasificar información que por ley es pública, no siguió las formalidades que deben cumplirse, es decir no basta con manifestar que cierta información no puede ser proporcionada por considerarse clasificada, sino que es necesario se realicen una serie de formalidades, entre ellas, proporcionar el Acuerdo de Clasificación que emita el Comité de Transparencia del </w:t>
      </w:r>
      <w:r w:rsidRPr="006A7A69">
        <w:rPr>
          <w:rFonts w:ascii="Palatino Linotype" w:eastAsia="MS Mincho" w:hAnsi="Palatino Linotype"/>
          <w:b/>
          <w:sz w:val="24"/>
          <w:szCs w:val="24"/>
        </w:rPr>
        <w:t xml:space="preserve">Sujeto Obligado </w:t>
      </w:r>
      <w:r w:rsidRPr="006A7A69">
        <w:rPr>
          <w:rFonts w:ascii="Palatino Linotype" w:eastAsia="MS Mincho" w:hAnsi="Palatino Linotype"/>
          <w:sz w:val="24"/>
          <w:szCs w:val="24"/>
        </w:rPr>
        <w:t xml:space="preserve">mediante el cual de manera fundada y motivada confirme la clasificación de la información requerida, es por ello que es menester mencionar lo siguiente: </w:t>
      </w:r>
    </w:p>
    <w:p w14:paraId="77B5523F"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02212F7B" w14:textId="77777777" w:rsidR="006A7A69" w:rsidRPr="00380BDB" w:rsidRDefault="006A7A69" w:rsidP="00DA57BE">
      <w:pPr>
        <w:pStyle w:val="Ttulo3"/>
        <w:rPr>
          <w:rFonts w:ascii="Palatino Linotype" w:hAnsi="Palatino Linotype"/>
          <w:b/>
          <w:color w:val="auto"/>
        </w:rPr>
      </w:pPr>
      <w:bookmarkStart w:id="29" w:name="_Toc4073619"/>
      <w:bookmarkStart w:id="30" w:name="_Toc4078182"/>
      <w:bookmarkStart w:id="31" w:name="_Toc34158053"/>
      <w:bookmarkStart w:id="32" w:name="_Toc34910489"/>
      <w:bookmarkStart w:id="33" w:name="_Toc34936178"/>
      <w:bookmarkStart w:id="34" w:name="_Toc85735116"/>
      <w:r w:rsidRPr="00380BDB">
        <w:rPr>
          <w:rFonts w:ascii="Palatino Linotype" w:hAnsi="Palatino Linotype"/>
          <w:b/>
          <w:color w:val="auto"/>
        </w:rPr>
        <w:t>a) Requisitos previos.</w:t>
      </w:r>
      <w:bookmarkEnd w:id="29"/>
      <w:bookmarkEnd w:id="30"/>
      <w:bookmarkEnd w:id="31"/>
      <w:bookmarkEnd w:id="32"/>
      <w:bookmarkEnd w:id="33"/>
      <w:bookmarkEnd w:id="34"/>
    </w:p>
    <w:p w14:paraId="4E272713"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4F12CFE2"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Los artículos 122 y 100 de la Ley Estatal y la Ley General, respectivamente señalan que los </w:t>
      </w:r>
      <w:r w:rsidRPr="006A7A69">
        <w:rPr>
          <w:rFonts w:ascii="Palatino Linotype" w:eastAsia="MS Mincho" w:hAnsi="Palatino Linotype"/>
          <w:b/>
          <w:sz w:val="24"/>
        </w:rPr>
        <w:t xml:space="preserve">Sujetos Obligados </w:t>
      </w:r>
      <w:r w:rsidRPr="006A7A69">
        <w:rPr>
          <w:rFonts w:ascii="Palatino Linotype" w:eastAsia="MS Mincho" w:hAnsi="Palatino Linotype"/>
          <w:sz w:val="24"/>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6A7A69">
        <w:rPr>
          <w:rFonts w:ascii="Palatino Linotype" w:eastAsia="MS Mincho" w:hAnsi="Palatino Linotype"/>
          <w:b/>
          <w:sz w:val="24"/>
        </w:rPr>
        <w:t>confidencialidad o reserva.</w:t>
      </w:r>
    </w:p>
    <w:p w14:paraId="1FBDE2A0"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52ABDF94"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14:paraId="26AD073C"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56FB53CD"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documentos </w:t>
      </w:r>
      <w:r w:rsidRPr="006A7A69">
        <w:rPr>
          <w:rFonts w:ascii="Palatino Linotype" w:eastAsia="MS Mincho" w:hAnsi="Palatino Linotype"/>
          <w:sz w:val="24"/>
        </w:rPr>
        <w:lastRenderedPageBreak/>
        <w:t xml:space="preserve">de un expediente o área, sin individualizar su análisis y tampoco se puede hacer un acuerdo por cada dato que se vaya a clasificar dentro de un documento con diez datos, por ejemplo, susceptibles de ser clasificados. </w:t>
      </w:r>
    </w:p>
    <w:p w14:paraId="02CAB27F"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352E6F81" w14:textId="77777777" w:rsidR="006A7A69" w:rsidRPr="00DA57BE" w:rsidRDefault="006A7A69" w:rsidP="00DA57BE">
      <w:pPr>
        <w:pStyle w:val="Ttulo3"/>
        <w:rPr>
          <w:rFonts w:ascii="Palatino Linotype" w:hAnsi="Palatino Linotype"/>
          <w:b/>
          <w:color w:val="auto"/>
        </w:rPr>
      </w:pPr>
      <w:bookmarkStart w:id="35" w:name="_Toc34158054"/>
      <w:bookmarkStart w:id="36" w:name="_Toc34910490"/>
      <w:bookmarkStart w:id="37" w:name="_Toc34936179"/>
      <w:bookmarkStart w:id="38" w:name="_Toc85735117"/>
      <w:r w:rsidRPr="00DA57BE">
        <w:rPr>
          <w:rFonts w:ascii="Palatino Linotype" w:hAnsi="Palatino Linotype"/>
          <w:b/>
          <w:color w:val="auto"/>
        </w:rPr>
        <w:t>b) Supuestos de clasificación.</w:t>
      </w:r>
      <w:bookmarkEnd w:id="35"/>
      <w:bookmarkEnd w:id="36"/>
      <w:bookmarkEnd w:id="37"/>
      <w:bookmarkEnd w:id="38"/>
      <w:r w:rsidRPr="00DA57BE">
        <w:rPr>
          <w:rFonts w:ascii="Palatino Linotype" w:hAnsi="Palatino Linotype"/>
          <w:b/>
          <w:color w:val="auto"/>
        </w:rPr>
        <w:t xml:space="preserve"> </w:t>
      </w:r>
    </w:p>
    <w:p w14:paraId="517878A3"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15B8EEB7"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Ahora bien, las disposiciones constitucionales y legales en la materia establecen los dos supuestos generales para clasificar la información: </w:t>
      </w:r>
      <w:r w:rsidRPr="006A7A69">
        <w:rPr>
          <w:rFonts w:ascii="Palatino Linotype" w:eastAsia="MS Mincho" w:hAnsi="Palatino Linotype"/>
          <w:b/>
          <w:sz w:val="24"/>
        </w:rPr>
        <w:t xml:space="preserve">por reserva y por confidencialidad. </w:t>
      </w:r>
      <w:r w:rsidRPr="006A7A69">
        <w:rPr>
          <w:rFonts w:ascii="Palatino Linotype" w:eastAsia="MS Mincho" w:hAnsi="Palatino Linotype"/>
          <w:sz w:val="24"/>
        </w:rPr>
        <w:t xml:space="preserve">Siendo los artículos 140 y 113 de la Ley Estatal y de la Ley General, los que enmarcan los supuestos para que la información pueda considerarse como </w:t>
      </w:r>
      <w:r w:rsidRPr="006A7A69">
        <w:rPr>
          <w:rFonts w:ascii="Palatino Linotype" w:eastAsia="MS Mincho" w:hAnsi="Palatino Linotype"/>
          <w:b/>
          <w:sz w:val="24"/>
        </w:rPr>
        <w:t>reservada</w:t>
      </w:r>
      <w:r w:rsidRPr="006A7A69">
        <w:rPr>
          <w:rFonts w:ascii="Palatino Linotype" w:eastAsia="MS Mincho" w:hAnsi="Palatino Linotype"/>
          <w:sz w:val="24"/>
        </w:rPr>
        <w:t xml:space="preserve">, y los artículos 143 y 116 de la Ley Estatal y de la Ley General, los supuestos para que la información pueda ser clasificada como </w:t>
      </w:r>
      <w:r w:rsidRPr="006A7A69">
        <w:rPr>
          <w:rFonts w:ascii="Palatino Linotype" w:eastAsia="MS Mincho" w:hAnsi="Palatino Linotype"/>
          <w:b/>
          <w:sz w:val="24"/>
        </w:rPr>
        <w:t xml:space="preserve">confidencial. </w:t>
      </w:r>
    </w:p>
    <w:p w14:paraId="72AAB2BA"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19977804"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En el mismo sentido, el artículo 105 de la Ley General y el artículo 130 de la Ley Estatal, establecen medularmente que </w:t>
      </w:r>
      <w:r w:rsidRPr="006A7A69">
        <w:rPr>
          <w:rFonts w:ascii="Palatino Linotype" w:eastAsia="MS Mincho" w:hAnsi="Palatino Linotype"/>
          <w:b/>
          <w:sz w:val="24"/>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14:paraId="62E40166"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60169EFD"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Como consecuencia de lo anterior, el </w:t>
      </w:r>
      <w:r w:rsidRPr="006A7A69">
        <w:rPr>
          <w:rFonts w:ascii="Palatino Linotype" w:eastAsia="MS Mincho" w:hAnsi="Palatino Linotype"/>
          <w:b/>
          <w:sz w:val="24"/>
        </w:rPr>
        <w:t xml:space="preserve">Sujeto Obligado </w:t>
      </w:r>
      <w:r w:rsidRPr="006A7A69">
        <w:rPr>
          <w:rFonts w:ascii="Palatino Linotype" w:eastAsia="MS Mincho" w:hAnsi="Palatino Linotype"/>
          <w:sz w:val="24"/>
        </w:rPr>
        <w:t xml:space="preserve">debe identificar claramente el tipo de información y hacer un juicio de subsunción o encaje, para acreditar que el supuesto de hecho corresponde estrictamente con la hipótesis </w:t>
      </w:r>
      <w:r w:rsidRPr="006A7A69">
        <w:rPr>
          <w:rFonts w:ascii="Palatino Linotype" w:eastAsia="MS Mincho" w:hAnsi="Palatino Linotype"/>
          <w:sz w:val="24"/>
        </w:rPr>
        <w:lastRenderedPageBreak/>
        <w:t xml:space="preserve">jurídica, esto también lo debe realizar el servidor público habilitado y el titular del área que administra la información. </w:t>
      </w:r>
    </w:p>
    <w:p w14:paraId="5EDE3031" w14:textId="77777777" w:rsidR="006A7A69" w:rsidRPr="006A7A69" w:rsidRDefault="006A7A69" w:rsidP="006A7A69">
      <w:pPr>
        <w:spacing w:line="360" w:lineRule="auto"/>
        <w:ind w:right="49"/>
        <w:contextualSpacing/>
        <w:jc w:val="both"/>
        <w:rPr>
          <w:rFonts w:ascii="Palatino Linotype" w:eastAsia="MS Mincho" w:hAnsi="Palatino Linotype"/>
          <w:sz w:val="24"/>
        </w:rPr>
      </w:pPr>
    </w:p>
    <w:p w14:paraId="0CEBB14E"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 xml:space="preserve">Una vez realizado, se remite la información al Titular de la Unidad de Transparencia, con el acuerdo de clasificación correspondiente, para que sea sometido al conocimiento del Comité de Transparencia. </w:t>
      </w:r>
    </w:p>
    <w:p w14:paraId="48FDA738"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7C888A64" w14:textId="1D3221AE" w:rsidR="00DA57BE" w:rsidRDefault="006A7A69" w:rsidP="00DA57BE">
      <w:pPr>
        <w:pStyle w:val="Ttulo3"/>
        <w:rPr>
          <w:rFonts w:ascii="Palatino Linotype" w:hAnsi="Palatino Linotype"/>
          <w:b/>
          <w:color w:val="auto"/>
        </w:rPr>
      </w:pPr>
      <w:bookmarkStart w:id="39" w:name="_Toc34158055"/>
      <w:bookmarkStart w:id="40" w:name="_Toc34910491"/>
      <w:bookmarkStart w:id="41" w:name="_Toc34936180"/>
      <w:bookmarkStart w:id="42" w:name="_Toc85735118"/>
      <w:r w:rsidRPr="00DA57BE">
        <w:rPr>
          <w:rFonts w:ascii="Palatino Linotype" w:hAnsi="Palatino Linotype"/>
          <w:b/>
          <w:color w:val="auto"/>
        </w:rPr>
        <w:t>c) La intervención del Comité de Transparencia.</w:t>
      </w:r>
      <w:bookmarkEnd w:id="39"/>
      <w:bookmarkEnd w:id="40"/>
      <w:bookmarkEnd w:id="41"/>
      <w:bookmarkEnd w:id="42"/>
    </w:p>
    <w:p w14:paraId="5946236C" w14:textId="77777777" w:rsidR="00DA57BE" w:rsidRPr="00DA57BE" w:rsidRDefault="00DA57BE" w:rsidP="00DA57BE">
      <w:pPr>
        <w:rPr>
          <w:rFonts w:eastAsiaTheme="majorEastAsia"/>
          <w:lang w:val="es-ES_tradnl"/>
        </w:rPr>
      </w:pPr>
    </w:p>
    <w:p w14:paraId="4A8C15B5" w14:textId="44BA1DF5" w:rsidR="006A7A69" w:rsidRPr="00DA57BE" w:rsidRDefault="006A7A69" w:rsidP="00380BDB">
      <w:pPr>
        <w:pStyle w:val="Ttulo4"/>
        <w:numPr>
          <w:ilvl w:val="2"/>
          <w:numId w:val="2"/>
        </w:numPr>
        <w:ind w:left="993"/>
        <w:rPr>
          <w:rFonts w:ascii="Palatino Linotype" w:hAnsi="Palatino Linotype"/>
          <w:b/>
          <w:color w:val="auto"/>
        </w:rPr>
      </w:pPr>
      <w:bookmarkStart w:id="43" w:name="_Toc4073623"/>
      <w:bookmarkStart w:id="44" w:name="_Toc4078186"/>
      <w:bookmarkStart w:id="45" w:name="_Toc34158056"/>
      <w:bookmarkStart w:id="46" w:name="_Toc34910492"/>
      <w:bookmarkStart w:id="47" w:name="_Toc34936181"/>
      <w:r w:rsidRPr="00DA57BE">
        <w:rPr>
          <w:rFonts w:ascii="Palatino Linotype" w:hAnsi="Palatino Linotype"/>
          <w:b/>
          <w:color w:val="auto"/>
        </w:rPr>
        <w:t>Formalidades para emitir el acuerdo de clasificación.</w:t>
      </w:r>
      <w:bookmarkEnd w:id="43"/>
      <w:bookmarkEnd w:id="44"/>
      <w:bookmarkEnd w:id="45"/>
      <w:bookmarkEnd w:id="46"/>
      <w:bookmarkEnd w:id="47"/>
    </w:p>
    <w:p w14:paraId="7B29A947"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084FF18C"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eastAsia="MS Mincho" w:hAnsi="Palatino Linotype"/>
          <w:sz w:val="24"/>
          <w:szCs w:val="24"/>
        </w:rPr>
        <w:t xml:space="preserve">El Comité de Transparencia, </w:t>
      </w:r>
      <w:r w:rsidRPr="006A7A69">
        <w:rPr>
          <w:rFonts w:ascii="Palatino Linotype" w:eastAsia="MS Mincho" w:hAnsi="Palatino Linotype" w:cs="Arial"/>
          <w:color w:val="000000"/>
          <w:sz w:val="24"/>
          <w:szCs w:val="24"/>
        </w:rPr>
        <w:t xml:space="preserve">según lo dispuesto en los artículos 128 y 103 de la Ley Estatal y de la Ley General, respectivamente, y </w:t>
      </w:r>
      <w:r w:rsidRPr="006A7A69">
        <w:rPr>
          <w:rFonts w:ascii="Palatino Linotype" w:eastAsia="MS Mincho" w:hAnsi="Palatino Linotype"/>
          <w:color w:val="000000"/>
          <w:sz w:val="24"/>
          <w:szCs w:val="24"/>
        </w:rPr>
        <w:t xml:space="preserve">la fracción III del numeral Segundo de los </w:t>
      </w:r>
      <w:r w:rsidRPr="006A7A69">
        <w:rPr>
          <w:rFonts w:ascii="Palatino Linotype" w:eastAsia="MS Mincho" w:hAnsi="Palatino Linotype" w:cs="Arial"/>
          <w:color w:val="000000"/>
          <w:sz w:val="24"/>
          <w:szCs w:val="24"/>
        </w:rPr>
        <w:t>Lineamientos generales en materia de clasificación y desclasificación de la información, así como para la elaboración de versiones públicas,</w:t>
      </w:r>
      <w:r w:rsidRPr="006A7A69">
        <w:rPr>
          <w:rFonts w:ascii="Palatino Linotype" w:eastAsia="MS Mincho" w:hAnsi="Palatino Linotype"/>
          <w:color w:val="000000"/>
          <w:sz w:val="24"/>
          <w:szCs w:val="24"/>
        </w:rPr>
        <w:t xml:space="preserve"> </w:t>
      </w:r>
      <w:r w:rsidRPr="006A7A69">
        <w:rPr>
          <w:rFonts w:ascii="Palatino Linotype" w:eastAsia="MS Mincho" w:hAnsi="Palatino Linotype" w:cs="Arial"/>
          <w:color w:val="000000"/>
          <w:sz w:val="24"/>
          <w:szCs w:val="24"/>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 </w:t>
      </w:r>
    </w:p>
    <w:p w14:paraId="7DF238EF"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507F280D" w14:textId="77777777" w:rsidR="006A7A69" w:rsidRPr="006A7A69" w:rsidRDefault="006A7A69" w:rsidP="006A7A69">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6A7A69">
        <w:rPr>
          <w:rFonts w:ascii="Palatino Linotype" w:hAnsi="Palatino Linotype" w:cs="Arial"/>
          <w:color w:val="000000" w:themeColor="text1"/>
          <w:sz w:val="24"/>
          <w:szCs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w:t>
      </w:r>
      <w:r w:rsidRPr="006A7A69">
        <w:rPr>
          <w:rFonts w:ascii="Palatino Linotype" w:hAnsi="Palatino Linotype" w:cs="Arial"/>
          <w:color w:val="000000" w:themeColor="text1"/>
          <w:sz w:val="24"/>
          <w:szCs w:val="24"/>
        </w:rPr>
        <w:lastRenderedPageBreak/>
        <w:t>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930650C"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10A14D89"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hAnsi="Palatino Linotype"/>
          <w:color w:val="000000" w:themeColor="text1"/>
          <w:sz w:val="24"/>
          <w:szCs w:val="24"/>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72841E3" w14:textId="77777777" w:rsidR="006A7A69" w:rsidRPr="006A7A69" w:rsidRDefault="006A7A69" w:rsidP="006A7A69">
      <w:pPr>
        <w:pStyle w:val="Prrafodelista"/>
        <w:spacing w:line="360" w:lineRule="auto"/>
        <w:ind w:left="360" w:right="49"/>
        <w:jc w:val="both"/>
        <w:rPr>
          <w:rFonts w:ascii="Palatino Linotype" w:eastAsia="MS Mincho" w:hAnsi="Palatino Linotype"/>
          <w:sz w:val="24"/>
        </w:rPr>
      </w:pPr>
    </w:p>
    <w:p w14:paraId="7E744F05" w14:textId="7F8CF48B" w:rsidR="006A7A69" w:rsidRPr="00DA57BE" w:rsidRDefault="00DA57BE" w:rsidP="00DA57BE">
      <w:pPr>
        <w:pStyle w:val="Ttulo4"/>
        <w:rPr>
          <w:rFonts w:ascii="Palatino Linotype" w:hAnsi="Palatino Linotype"/>
          <w:b/>
          <w:color w:val="auto"/>
        </w:rPr>
      </w:pPr>
      <w:bookmarkStart w:id="48" w:name="_Toc34158057"/>
      <w:bookmarkStart w:id="49" w:name="_Toc34910493"/>
      <w:bookmarkStart w:id="50" w:name="_Toc34936182"/>
      <w:r w:rsidRPr="00DA57BE">
        <w:rPr>
          <w:rFonts w:ascii="Palatino Linotype" w:hAnsi="Palatino Linotype"/>
          <w:b/>
          <w:color w:val="auto"/>
        </w:rPr>
        <w:t xml:space="preserve">ii. </w:t>
      </w:r>
      <w:r w:rsidR="006A7A69" w:rsidRPr="00DA57BE">
        <w:rPr>
          <w:rFonts w:ascii="Palatino Linotype" w:hAnsi="Palatino Linotype"/>
          <w:b/>
          <w:color w:val="auto"/>
        </w:rPr>
        <w:t>Requisitos de fondo del acuerdo de clasificación.</w:t>
      </w:r>
      <w:bookmarkEnd w:id="48"/>
      <w:bookmarkEnd w:id="49"/>
      <w:bookmarkEnd w:id="50"/>
      <w:r w:rsidR="006A7A69" w:rsidRPr="00DA57BE">
        <w:rPr>
          <w:rFonts w:ascii="Palatino Linotype" w:hAnsi="Palatino Linotype"/>
          <w:b/>
          <w:color w:val="auto"/>
        </w:rPr>
        <w:t xml:space="preserve"> </w:t>
      </w:r>
    </w:p>
    <w:p w14:paraId="4F085D70"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0EF57DD0" w14:textId="77777777" w:rsidR="006A7A69" w:rsidRPr="006A7A69" w:rsidRDefault="006A7A69" w:rsidP="006A7A69">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6A7A69">
        <w:rPr>
          <w:rFonts w:ascii="Palatino Linotype" w:hAnsi="Palatino Linotype" w:cs="Arial"/>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w:t>
      </w:r>
      <w:r w:rsidRPr="006A7A69">
        <w:rPr>
          <w:rFonts w:ascii="Palatino Linotype" w:hAnsi="Palatino Linotype" w:cs="Arial"/>
          <w:color w:val="000000" w:themeColor="text1"/>
          <w:sz w:val="24"/>
          <w:szCs w:val="24"/>
        </w:rPr>
        <w:lastRenderedPageBreak/>
        <w:t xml:space="preserve">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AE84C28" w14:textId="77777777" w:rsidR="006A7A69" w:rsidRPr="006A7A69" w:rsidRDefault="006A7A69" w:rsidP="006A7A69">
      <w:pPr>
        <w:spacing w:line="360" w:lineRule="auto"/>
        <w:contextualSpacing/>
        <w:jc w:val="both"/>
        <w:rPr>
          <w:rFonts w:ascii="Palatino Linotype" w:hAnsi="Palatino Linotype"/>
          <w:color w:val="000000" w:themeColor="text1"/>
          <w:sz w:val="24"/>
          <w:szCs w:val="24"/>
          <w:highlight w:val="yellow"/>
        </w:rPr>
      </w:pPr>
    </w:p>
    <w:p w14:paraId="3CBE9231" w14:textId="77777777" w:rsidR="006A7A69" w:rsidRPr="006A7A69" w:rsidRDefault="006A7A69" w:rsidP="006A7A69">
      <w:pPr>
        <w:numPr>
          <w:ilvl w:val="0"/>
          <w:numId w:val="2"/>
        </w:numPr>
        <w:spacing w:line="360" w:lineRule="auto"/>
        <w:ind w:left="0" w:firstLine="0"/>
        <w:contextualSpacing/>
        <w:jc w:val="both"/>
        <w:rPr>
          <w:rFonts w:ascii="Palatino Linotype" w:hAnsi="Palatino Linotype"/>
          <w:color w:val="000000" w:themeColor="text1"/>
          <w:sz w:val="24"/>
          <w:szCs w:val="24"/>
        </w:rPr>
      </w:pPr>
      <w:r w:rsidRPr="006A7A69">
        <w:rPr>
          <w:rFonts w:ascii="Palatino Linotype" w:hAnsi="Palatino Linotype"/>
          <w:color w:val="000000" w:themeColor="text1"/>
          <w:sz w:val="24"/>
          <w:szCs w:val="24"/>
        </w:rPr>
        <w:t xml:space="preserve">De lo anterior, se desprende que para una correcta clasificación total o parcial, esto es, determinar los datos que se suprimen en las versiones públicas, </w:t>
      </w:r>
      <w:r w:rsidRPr="006A7A69">
        <w:rPr>
          <w:rFonts w:ascii="Palatino Linotype" w:hAnsi="Palatino Linotype"/>
          <w:b/>
          <w:color w:val="000000" w:themeColor="text1"/>
          <w:sz w:val="24"/>
          <w:szCs w:val="24"/>
        </w:rPr>
        <w:t>es necesario fundar y motivar</w:t>
      </w:r>
      <w:r w:rsidRPr="006A7A69">
        <w:rPr>
          <w:rFonts w:ascii="Palatino Linotype" w:hAnsi="Palatino Linotype"/>
          <w:color w:val="000000" w:themeColor="text1"/>
          <w:sz w:val="24"/>
          <w:szCs w:val="24"/>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6A7A69">
        <w:rPr>
          <w:rFonts w:ascii="Palatino Linotype" w:hAnsi="Palatino Linotype" w:cs="Arial"/>
          <w:color w:val="000000" w:themeColor="text1"/>
          <w:sz w:val="24"/>
          <w:szCs w:val="24"/>
          <w:lang w:eastAsia="es-MX"/>
        </w:rPr>
        <w:t>entenderse por fundamentación y motivación, lo siguiente:</w:t>
      </w:r>
    </w:p>
    <w:p w14:paraId="75FB3EC9" w14:textId="77777777" w:rsidR="006A7A69" w:rsidRPr="004837B7" w:rsidRDefault="006A7A69" w:rsidP="006A7A69">
      <w:pPr>
        <w:spacing w:line="360" w:lineRule="auto"/>
        <w:ind w:right="618"/>
        <w:contextualSpacing/>
        <w:jc w:val="both"/>
        <w:rPr>
          <w:rFonts w:ascii="Palatino Linotype" w:hAnsi="Palatino Linotype" w:cs="Arial"/>
          <w:color w:val="000000" w:themeColor="text1"/>
          <w:highlight w:val="yellow"/>
        </w:rPr>
      </w:pPr>
    </w:p>
    <w:p w14:paraId="42A48ED2" w14:textId="77777777" w:rsidR="006A7A69" w:rsidRPr="00BA1174" w:rsidRDefault="006A7A69" w:rsidP="006A7A69">
      <w:pPr>
        <w:spacing w:line="360" w:lineRule="auto"/>
        <w:ind w:left="567" w:right="618"/>
        <w:contextualSpacing/>
        <w:jc w:val="both"/>
        <w:rPr>
          <w:rFonts w:ascii="Palatino Linotype" w:hAnsi="Palatino Linotype" w:cs="Arial"/>
          <w:i/>
          <w:color w:val="000000" w:themeColor="text1"/>
          <w:sz w:val="22"/>
        </w:rPr>
      </w:pPr>
      <w:r w:rsidRPr="00BA1174">
        <w:rPr>
          <w:rFonts w:ascii="Palatino Linotype" w:hAnsi="Palatino Linotype" w:cs="Arial"/>
          <w:b/>
          <w:i/>
          <w:color w:val="000000" w:themeColor="text1"/>
          <w:sz w:val="22"/>
        </w:rPr>
        <w:t>FUNDAMENTACIÓN Y MOTIVACIÓN.</w:t>
      </w:r>
      <w:r w:rsidRPr="00BA1174">
        <w:rPr>
          <w:rFonts w:ascii="Palatino Linotype" w:hAnsi="Palatino Linotype" w:cs="Arial"/>
          <w:i/>
          <w:color w:val="000000" w:themeColor="text1"/>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E07D40C" w14:textId="77777777" w:rsidR="006A7A69" w:rsidRPr="00BA1174" w:rsidRDefault="006A7A69" w:rsidP="006A7A69">
      <w:pPr>
        <w:spacing w:line="360" w:lineRule="auto"/>
        <w:ind w:right="618"/>
        <w:contextualSpacing/>
        <w:jc w:val="both"/>
        <w:rPr>
          <w:rFonts w:ascii="Palatino Linotype" w:hAnsi="Palatino Linotype" w:cs="Arial"/>
          <w:i/>
          <w:color w:val="000000" w:themeColor="text1"/>
          <w:sz w:val="22"/>
          <w:highlight w:val="yellow"/>
        </w:rPr>
      </w:pPr>
    </w:p>
    <w:p w14:paraId="4D5EAE52" w14:textId="77777777" w:rsidR="006A7A69" w:rsidRPr="00BA1174" w:rsidRDefault="006A7A69" w:rsidP="006A7A69">
      <w:pPr>
        <w:spacing w:line="360" w:lineRule="auto"/>
        <w:ind w:left="567" w:right="618"/>
        <w:contextualSpacing/>
        <w:jc w:val="both"/>
        <w:rPr>
          <w:rFonts w:ascii="Palatino Linotype" w:hAnsi="Palatino Linotype" w:cs="Arial"/>
          <w:i/>
          <w:color w:val="000000" w:themeColor="text1"/>
          <w:sz w:val="22"/>
        </w:rPr>
      </w:pPr>
      <w:r w:rsidRPr="00BA1174">
        <w:rPr>
          <w:rFonts w:ascii="Palatino Linotype" w:hAnsi="Palatino Linotype" w:cs="Arial"/>
          <w:i/>
          <w:color w:val="000000" w:themeColor="text1"/>
          <w:sz w:val="22"/>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octubre de 1988. </w:t>
      </w:r>
      <w:r w:rsidRPr="00BA1174">
        <w:rPr>
          <w:rFonts w:ascii="Palatino Linotype" w:hAnsi="Palatino Linotype" w:cs="Arial"/>
          <w:i/>
          <w:color w:val="000000" w:themeColor="text1"/>
          <w:sz w:val="22"/>
        </w:rPr>
        <w:lastRenderedPageBreak/>
        <w:t>Unanimidad de votos. Ponente: Arnoldo Nájera Virgen. Secretario: Alejandro Esponda Rincón. Amparo en revisión 333/88. Adilia Romero. 26 de octubre de 1988. Unanimidad de votos. Ponente: Arnoldo Nájera Virgen. Secretario: Enrique Crispín Campos Ramírez. Amparo en revisión 597/95. Emilio Maurer Bretón. 15 de noviembre de 1995. Unanimidad de votos. Ponente: Clementina Ramírez Moguel Goyzueta. Secretario: Gonzalo Carrera Molina. Amparo directo 7/96. Pedro Vicente López Miro. 21 de febrero de 1996. Unanimidad de votos. Ponente: María Eugenia Estela Martínez Cardiel. Secretario: Enrique Baigts Muñoz.</w:t>
      </w:r>
      <w:r w:rsidRPr="00BA1174">
        <w:rPr>
          <w:rFonts w:ascii="Palatino Linotype" w:hAnsi="Palatino Linotype" w:cs="Arial"/>
          <w:i/>
          <w:color w:val="000000" w:themeColor="text1"/>
          <w:sz w:val="22"/>
          <w:vertAlign w:val="superscript"/>
        </w:rPr>
        <w:footnoteReference w:id="10"/>
      </w:r>
    </w:p>
    <w:p w14:paraId="44525116" w14:textId="77777777" w:rsidR="006A7A69" w:rsidRPr="004837B7" w:rsidRDefault="006A7A69" w:rsidP="006A7A69">
      <w:pPr>
        <w:spacing w:line="360" w:lineRule="auto"/>
        <w:ind w:left="567"/>
        <w:contextualSpacing/>
        <w:jc w:val="both"/>
        <w:rPr>
          <w:rFonts w:ascii="Palatino Linotype" w:hAnsi="Palatino Linotype" w:cs="Arial"/>
          <w:color w:val="000000" w:themeColor="text1"/>
          <w:highlight w:val="yellow"/>
          <w:lang w:val="es-ES"/>
        </w:rPr>
      </w:pPr>
    </w:p>
    <w:p w14:paraId="24FD95E8" w14:textId="77777777" w:rsidR="006A7A69" w:rsidRPr="006A7A69" w:rsidRDefault="006A7A69" w:rsidP="006A7A69">
      <w:pPr>
        <w:numPr>
          <w:ilvl w:val="0"/>
          <w:numId w:val="2"/>
        </w:numPr>
        <w:shd w:val="clear" w:color="auto" w:fill="FFFFFF"/>
        <w:spacing w:line="360" w:lineRule="auto"/>
        <w:ind w:left="0" w:firstLine="0"/>
        <w:contextualSpacing/>
        <w:jc w:val="both"/>
        <w:rPr>
          <w:rFonts w:ascii="Palatino Linotype" w:hAnsi="Palatino Linotype" w:cs="Arial"/>
          <w:color w:val="000000" w:themeColor="text1"/>
          <w:sz w:val="24"/>
          <w:szCs w:val="24"/>
          <w:lang w:eastAsia="es-MX"/>
        </w:rPr>
      </w:pPr>
      <w:r w:rsidRPr="006A7A69">
        <w:rPr>
          <w:rFonts w:ascii="Palatino Linotype" w:hAnsi="Palatino Linotype" w:cs="Arial"/>
          <w:color w:val="000000" w:themeColor="text1"/>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6CA1C0" w14:textId="77777777" w:rsidR="006A7A69" w:rsidRPr="006A7A69" w:rsidRDefault="006A7A69" w:rsidP="006A7A69">
      <w:pPr>
        <w:shd w:val="clear" w:color="auto" w:fill="FFFFFF"/>
        <w:spacing w:line="360" w:lineRule="auto"/>
        <w:contextualSpacing/>
        <w:jc w:val="both"/>
        <w:rPr>
          <w:rFonts w:ascii="Palatino Linotype" w:hAnsi="Palatino Linotype" w:cs="Arial"/>
          <w:color w:val="000000" w:themeColor="text1"/>
          <w:sz w:val="24"/>
          <w:szCs w:val="24"/>
          <w:lang w:eastAsia="es-MX"/>
        </w:rPr>
      </w:pPr>
    </w:p>
    <w:p w14:paraId="75860CA0" w14:textId="77777777" w:rsidR="006A7A69" w:rsidRPr="006A7A69" w:rsidRDefault="006A7A69" w:rsidP="006A7A69">
      <w:pPr>
        <w:numPr>
          <w:ilvl w:val="0"/>
          <w:numId w:val="2"/>
        </w:numPr>
        <w:shd w:val="clear" w:color="auto" w:fill="FFFFFF"/>
        <w:spacing w:line="360" w:lineRule="auto"/>
        <w:ind w:left="0" w:firstLine="0"/>
        <w:contextualSpacing/>
        <w:jc w:val="both"/>
        <w:rPr>
          <w:rFonts w:ascii="Palatino Linotype" w:hAnsi="Palatino Linotype" w:cs="Arial"/>
          <w:color w:val="000000" w:themeColor="text1"/>
          <w:sz w:val="24"/>
          <w:szCs w:val="24"/>
          <w:lang w:eastAsia="es-MX"/>
        </w:rPr>
      </w:pPr>
      <w:r w:rsidRPr="006A7A69">
        <w:rPr>
          <w:rFonts w:ascii="Palatino Linotype" w:hAnsi="Palatino Linotype" w:cs="Arial"/>
          <w:color w:val="000000" w:themeColor="text1"/>
          <w:sz w:val="24"/>
          <w:szCs w:val="24"/>
          <w:lang w:eastAsia="es-MX"/>
        </w:rPr>
        <w:t>En ese mismo sentido, el lineamiento trigésimo tercero fracción V de los Lineamientos Generales, precisa que para motivar la clasificación se deben acreditar las circunstancias de tiempo, modo y lugar.</w:t>
      </w:r>
    </w:p>
    <w:p w14:paraId="329F5A13"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264F5FCC"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eastAsia="MS Mincho" w:hAnsi="Palatino Linotype"/>
          <w:sz w:val="24"/>
          <w:szCs w:val="24"/>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w:t>
      </w:r>
      <w:r w:rsidRPr="006A7A69">
        <w:rPr>
          <w:rFonts w:ascii="Palatino Linotype" w:eastAsia="MS Mincho" w:hAnsi="Palatino Linotype"/>
          <w:sz w:val="24"/>
          <w:szCs w:val="24"/>
        </w:rPr>
        <w:lastRenderedPageBreak/>
        <w:t xml:space="preserve">sea considerado </w:t>
      </w:r>
      <w:r w:rsidRPr="006A7A69">
        <w:rPr>
          <w:rFonts w:ascii="Palatino Linotype" w:eastAsia="MS Mincho" w:hAnsi="Palatino Linotype"/>
          <w:b/>
          <w:sz w:val="24"/>
          <w:szCs w:val="24"/>
        </w:rPr>
        <w:t xml:space="preserve">infundado y se proceda a ordenar la desclasificación de la información por el incumplimiento de las formalidades, es decir, por vicios de legalidad o a la reposición del acto. </w:t>
      </w:r>
    </w:p>
    <w:p w14:paraId="4E1AE73B" w14:textId="77777777" w:rsidR="006A7A69" w:rsidRPr="006A7A69" w:rsidRDefault="006A7A69" w:rsidP="006A7A69">
      <w:pPr>
        <w:spacing w:line="360" w:lineRule="auto"/>
        <w:ind w:right="49"/>
        <w:contextualSpacing/>
        <w:jc w:val="both"/>
        <w:rPr>
          <w:rFonts w:ascii="Palatino Linotype" w:eastAsia="MS Mincho" w:hAnsi="Palatino Linotype"/>
          <w:sz w:val="24"/>
          <w:szCs w:val="24"/>
        </w:rPr>
      </w:pPr>
    </w:p>
    <w:p w14:paraId="79259F44"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szCs w:val="24"/>
        </w:rPr>
      </w:pPr>
      <w:r w:rsidRPr="006A7A69">
        <w:rPr>
          <w:rFonts w:ascii="Palatino Linotype" w:eastAsia="MS Mincho" w:hAnsi="Palatino Linotype"/>
          <w:sz w:val="24"/>
          <w:szCs w:val="24"/>
        </w:rPr>
        <w:t xml:space="preserve">Para tratar de ser gráficos y propiciar el mejor entendimiento, se anexa la siguiente tabla: </w:t>
      </w:r>
    </w:p>
    <w:p w14:paraId="335BF5EE" w14:textId="77777777" w:rsidR="006A7A69" w:rsidRDefault="006A7A69" w:rsidP="006A7A69">
      <w:pPr>
        <w:spacing w:line="360" w:lineRule="auto"/>
        <w:ind w:right="49"/>
        <w:contextualSpacing/>
        <w:jc w:val="both"/>
        <w:rPr>
          <w:rFonts w:ascii="Palatino Linotype" w:eastAsia="MS Mincho" w:hAnsi="Palatino Linotype"/>
        </w:rPr>
      </w:pPr>
    </w:p>
    <w:tbl>
      <w:tblPr>
        <w:tblStyle w:val="Tabladecuadrcula6concolores"/>
        <w:tblW w:w="7796" w:type="dxa"/>
        <w:tblInd w:w="421" w:type="dxa"/>
        <w:tblLook w:val="04A0" w:firstRow="1" w:lastRow="0" w:firstColumn="1" w:lastColumn="0" w:noHBand="0" w:noVBand="1"/>
      </w:tblPr>
      <w:tblGrid>
        <w:gridCol w:w="1760"/>
        <w:gridCol w:w="1750"/>
        <w:gridCol w:w="2266"/>
        <w:gridCol w:w="2020"/>
      </w:tblGrid>
      <w:tr w:rsidR="006A7A69" w:rsidRPr="0025787E" w14:paraId="6802D9AA" w14:textId="77777777" w:rsidTr="006F0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69F6799C" w14:textId="77777777" w:rsidR="006A7A69" w:rsidRPr="0025787E" w:rsidRDefault="006A7A69" w:rsidP="006F07D9">
            <w:pPr>
              <w:spacing w:line="360" w:lineRule="auto"/>
              <w:jc w:val="center"/>
              <w:rPr>
                <w:rFonts w:ascii="Palatino Linotype" w:hAnsi="Palatino Linotype"/>
                <w:sz w:val="20"/>
                <w:szCs w:val="20"/>
              </w:rPr>
            </w:pPr>
            <w:r w:rsidRPr="0025787E">
              <w:rPr>
                <w:rFonts w:ascii="Palatino Linotype" w:hAnsi="Palatino Linotype"/>
                <w:sz w:val="20"/>
                <w:szCs w:val="20"/>
              </w:rPr>
              <w:t>Requisitos previos</w:t>
            </w:r>
          </w:p>
        </w:tc>
        <w:tc>
          <w:tcPr>
            <w:tcW w:w="1750" w:type="dxa"/>
          </w:tcPr>
          <w:p w14:paraId="2FA440D2" w14:textId="77777777" w:rsidR="006A7A69" w:rsidRPr="0025787E" w:rsidRDefault="006A7A69" w:rsidP="006F07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Los sujetos obligados determinan que la información actualiza alguno de los supuestos de clasificación:</w:t>
            </w:r>
          </w:p>
        </w:tc>
        <w:tc>
          <w:tcPr>
            <w:tcW w:w="2266" w:type="dxa"/>
          </w:tcPr>
          <w:p w14:paraId="4B578863" w14:textId="77777777" w:rsidR="006A7A69" w:rsidRPr="0025787E" w:rsidRDefault="006A7A69" w:rsidP="006F07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78181E78" w14:textId="77777777" w:rsidR="006A7A69" w:rsidRPr="0025787E" w:rsidRDefault="006A7A69" w:rsidP="006F07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5055DFFF" w14:textId="77777777" w:rsidR="006A7A69" w:rsidRPr="0025787E" w:rsidRDefault="006A7A69" w:rsidP="006F07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14:paraId="097F23F7" w14:textId="77777777" w:rsidR="006A7A69" w:rsidRPr="0025787E" w:rsidRDefault="006A7A69" w:rsidP="006A7A69">
            <w:pPr>
              <w:numPr>
                <w:ilvl w:val="0"/>
                <w:numId w:val="28"/>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Confidencialidad </w:t>
            </w:r>
          </w:p>
          <w:p w14:paraId="6D93648A" w14:textId="77777777" w:rsidR="006A7A69" w:rsidRPr="0025787E" w:rsidRDefault="006A7A69" w:rsidP="006A7A69">
            <w:pPr>
              <w:numPr>
                <w:ilvl w:val="0"/>
                <w:numId w:val="28"/>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Reserva</w:t>
            </w:r>
          </w:p>
        </w:tc>
        <w:tc>
          <w:tcPr>
            <w:tcW w:w="2020" w:type="dxa"/>
          </w:tcPr>
          <w:p w14:paraId="4A84E99C" w14:textId="77777777" w:rsidR="006A7A69" w:rsidRPr="0025787E" w:rsidRDefault="006A7A69" w:rsidP="006F07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630AB2A7"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50654059"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57627E42"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Los titulares de las áreas que administran la información son los que aprueban la clasificación </w:t>
            </w:r>
          </w:p>
        </w:tc>
        <w:tc>
          <w:tcPr>
            <w:tcW w:w="2266" w:type="dxa"/>
          </w:tcPr>
          <w:p w14:paraId="78928157"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14:paraId="2778DEDE"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35A884DA" w14:textId="77777777" w:rsidTr="006F07D9">
        <w:tc>
          <w:tcPr>
            <w:cnfStyle w:val="001000000000" w:firstRow="0" w:lastRow="0" w:firstColumn="1" w:lastColumn="0" w:oddVBand="0" w:evenVBand="0" w:oddHBand="0" w:evenHBand="0" w:firstRowFirstColumn="0" w:firstRowLastColumn="0" w:lastRowFirstColumn="0" w:lastRowLastColumn="0"/>
            <w:tcW w:w="1760" w:type="dxa"/>
            <w:vMerge/>
          </w:tcPr>
          <w:p w14:paraId="2C749FDD"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1125AA0B"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La clasificación de la información se realiza al momento de:</w:t>
            </w:r>
          </w:p>
        </w:tc>
        <w:tc>
          <w:tcPr>
            <w:tcW w:w="2266" w:type="dxa"/>
          </w:tcPr>
          <w:p w14:paraId="6CF929C8" w14:textId="77777777" w:rsidR="006A7A69" w:rsidRPr="0025787E" w:rsidRDefault="006A7A69" w:rsidP="006A7A69">
            <w:pPr>
              <w:numPr>
                <w:ilvl w:val="0"/>
                <w:numId w:val="2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Atender una solicitud</w:t>
            </w:r>
          </w:p>
          <w:p w14:paraId="2DC4C9EE" w14:textId="77777777" w:rsidR="006A7A69" w:rsidRPr="0025787E" w:rsidRDefault="006A7A69" w:rsidP="006A7A69">
            <w:pPr>
              <w:numPr>
                <w:ilvl w:val="0"/>
                <w:numId w:val="2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Por mandato de una autoridad competente</w:t>
            </w:r>
          </w:p>
          <w:p w14:paraId="71837511" w14:textId="77777777" w:rsidR="006A7A69" w:rsidRPr="0025787E" w:rsidRDefault="006A7A69" w:rsidP="006A7A69">
            <w:pPr>
              <w:numPr>
                <w:ilvl w:val="0"/>
                <w:numId w:val="27"/>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lastRenderedPageBreak/>
              <w:t>Para elaborar una versión pública y cumplir una obligación de transparencia</w:t>
            </w:r>
          </w:p>
        </w:tc>
        <w:tc>
          <w:tcPr>
            <w:tcW w:w="2020" w:type="dxa"/>
          </w:tcPr>
          <w:p w14:paraId="5B2F0390"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1210D27D"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1CFD7B5C"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43723BEF"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No se pueden emitir acuerdos de carácter general ni particular</w:t>
            </w:r>
          </w:p>
        </w:tc>
        <w:tc>
          <w:tcPr>
            <w:tcW w:w="2266" w:type="dxa"/>
          </w:tcPr>
          <w:p w14:paraId="10720C8E"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020" w:type="dxa"/>
          </w:tcPr>
          <w:p w14:paraId="02585711"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58EF9F00" w14:textId="77777777" w:rsidTr="006F07D9">
        <w:tc>
          <w:tcPr>
            <w:cnfStyle w:val="001000000000" w:firstRow="0" w:lastRow="0" w:firstColumn="1" w:lastColumn="0" w:oddVBand="0" w:evenVBand="0" w:oddHBand="0" w:evenHBand="0" w:firstRowFirstColumn="0" w:firstRowLastColumn="0" w:lastRowFirstColumn="0" w:lastRowLastColumn="0"/>
            <w:tcW w:w="1760" w:type="dxa"/>
            <w:vMerge w:val="restart"/>
          </w:tcPr>
          <w:p w14:paraId="2A67B871" w14:textId="77777777" w:rsidR="006A7A69" w:rsidRPr="0025787E" w:rsidRDefault="006A7A69" w:rsidP="006F07D9">
            <w:pPr>
              <w:spacing w:line="360" w:lineRule="auto"/>
              <w:jc w:val="both"/>
              <w:rPr>
                <w:rFonts w:ascii="Palatino Linotype" w:hAnsi="Palatino Linotype"/>
                <w:sz w:val="20"/>
                <w:szCs w:val="20"/>
              </w:rPr>
            </w:pPr>
            <w:r w:rsidRPr="0025787E">
              <w:rPr>
                <w:rFonts w:ascii="Palatino Linotype" w:hAnsi="Palatino Linotype"/>
                <w:sz w:val="20"/>
                <w:szCs w:val="20"/>
              </w:rPr>
              <w:t>Supuestos de clasificación</w:t>
            </w:r>
          </w:p>
        </w:tc>
        <w:tc>
          <w:tcPr>
            <w:tcW w:w="1750" w:type="dxa"/>
          </w:tcPr>
          <w:p w14:paraId="681B85EA"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Para clasificar la información como reservada hay</w:t>
            </w:r>
          </w:p>
        </w:tc>
        <w:tc>
          <w:tcPr>
            <w:tcW w:w="2266" w:type="dxa"/>
          </w:tcPr>
          <w:p w14:paraId="02ED4B10" w14:textId="77777777" w:rsidR="006A7A69" w:rsidRPr="0025787E" w:rsidRDefault="006A7A69" w:rsidP="006A7A69">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11 supuestos en la Ley Estatal</w:t>
            </w:r>
          </w:p>
          <w:p w14:paraId="64654B40" w14:textId="77777777" w:rsidR="006A7A69" w:rsidRPr="0025787E" w:rsidRDefault="006A7A69" w:rsidP="006A7A69">
            <w:pPr>
              <w:numPr>
                <w:ilvl w:val="0"/>
                <w:numId w:val="29"/>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13 supuestos en la Ley General</w:t>
            </w:r>
          </w:p>
        </w:tc>
        <w:tc>
          <w:tcPr>
            <w:tcW w:w="2020" w:type="dxa"/>
          </w:tcPr>
          <w:p w14:paraId="1D04B710"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sujeto obligado debe identificar claramente la información que se pretende clasificar y realizar un juicio de subsunción o encaje</w:t>
            </w:r>
          </w:p>
        </w:tc>
      </w:tr>
      <w:tr w:rsidR="006A7A69" w:rsidRPr="0025787E" w14:paraId="2979F523"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7BB3BA0F"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38F5C357"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Para clasificar la información como confidencial hay</w:t>
            </w:r>
          </w:p>
        </w:tc>
        <w:tc>
          <w:tcPr>
            <w:tcW w:w="2266" w:type="dxa"/>
          </w:tcPr>
          <w:p w14:paraId="4753BE0A"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que considerar la definición de dato personal</w:t>
            </w:r>
          </w:p>
        </w:tc>
        <w:tc>
          <w:tcPr>
            <w:tcW w:w="2020" w:type="dxa"/>
          </w:tcPr>
          <w:p w14:paraId="72AE72E0"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1EE8F5F0" w14:textId="77777777" w:rsidTr="006F07D9">
        <w:tc>
          <w:tcPr>
            <w:cnfStyle w:val="001000000000" w:firstRow="0" w:lastRow="0" w:firstColumn="1" w:lastColumn="0" w:oddVBand="0" w:evenVBand="0" w:oddHBand="0" w:evenHBand="0" w:firstRowFirstColumn="0" w:firstRowLastColumn="0" w:lastRowFirstColumn="0" w:lastRowLastColumn="0"/>
            <w:tcW w:w="1760" w:type="dxa"/>
            <w:vMerge/>
          </w:tcPr>
          <w:p w14:paraId="46BDF9A2"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011EA55B"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Estos supuestos se aplican de manera </w:t>
            </w:r>
            <w:r w:rsidRPr="0025787E">
              <w:rPr>
                <w:rFonts w:ascii="Palatino Linotype" w:hAnsi="Palatino Linotype"/>
                <w:sz w:val="20"/>
                <w:szCs w:val="20"/>
              </w:rPr>
              <w:lastRenderedPageBreak/>
              <w:t>restrictiva y estricta, no pueden ampliarse</w:t>
            </w:r>
          </w:p>
        </w:tc>
        <w:tc>
          <w:tcPr>
            <w:tcW w:w="2266" w:type="dxa"/>
          </w:tcPr>
          <w:p w14:paraId="0FBA3DF2"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76E734FE"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41373DAE"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6A2FCB95" w14:textId="77777777" w:rsidR="006A7A69" w:rsidRPr="0025787E" w:rsidRDefault="006A7A69" w:rsidP="006F07D9">
            <w:pPr>
              <w:spacing w:line="360" w:lineRule="auto"/>
              <w:jc w:val="both"/>
              <w:rPr>
                <w:rFonts w:ascii="Palatino Linotype" w:hAnsi="Palatino Linotype"/>
                <w:sz w:val="20"/>
                <w:szCs w:val="20"/>
              </w:rPr>
            </w:pPr>
            <w:r w:rsidRPr="0025787E">
              <w:rPr>
                <w:rFonts w:ascii="Palatino Linotype" w:hAnsi="Palatino Linotype"/>
                <w:sz w:val="20"/>
                <w:szCs w:val="20"/>
              </w:rPr>
              <w:lastRenderedPageBreak/>
              <w:t>Excepciones a la clasificación de reserva</w:t>
            </w:r>
          </w:p>
        </w:tc>
        <w:tc>
          <w:tcPr>
            <w:tcW w:w="1750" w:type="dxa"/>
            <w:vMerge w:val="restart"/>
          </w:tcPr>
          <w:p w14:paraId="46A1F356"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No puede clasificarse como información reservada la concerniente a:</w:t>
            </w:r>
          </w:p>
        </w:tc>
        <w:tc>
          <w:tcPr>
            <w:tcW w:w="2266" w:type="dxa"/>
          </w:tcPr>
          <w:p w14:paraId="4E010CC6"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Actos (probados o en investigación) graves de violaciones a derechos humanos</w:t>
            </w:r>
          </w:p>
        </w:tc>
        <w:tc>
          <w:tcPr>
            <w:tcW w:w="2020" w:type="dxa"/>
          </w:tcPr>
          <w:p w14:paraId="1953DC4D"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6928C319" w14:textId="77777777" w:rsidTr="006F07D9">
        <w:tc>
          <w:tcPr>
            <w:cnfStyle w:val="001000000000" w:firstRow="0" w:lastRow="0" w:firstColumn="1" w:lastColumn="0" w:oddVBand="0" w:evenVBand="0" w:oddHBand="0" w:evenHBand="0" w:firstRowFirstColumn="0" w:firstRowLastColumn="0" w:lastRowFirstColumn="0" w:lastRowLastColumn="0"/>
            <w:tcW w:w="1760" w:type="dxa"/>
            <w:vMerge/>
          </w:tcPr>
          <w:p w14:paraId="7F460F87"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tcPr>
          <w:p w14:paraId="3DCEADA5"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tcPr>
          <w:p w14:paraId="3CE879AB"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Delitos de lessa humanidad</w:t>
            </w:r>
          </w:p>
        </w:tc>
        <w:tc>
          <w:tcPr>
            <w:tcW w:w="2020" w:type="dxa"/>
          </w:tcPr>
          <w:p w14:paraId="3D907016"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6D1B0095"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5BD17E61"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tcPr>
          <w:p w14:paraId="0EEA4973"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14:paraId="4D107E11"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Actos de Corrupción</w:t>
            </w:r>
          </w:p>
        </w:tc>
        <w:tc>
          <w:tcPr>
            <w:tcW w:w="2020" w:type="dxa"/>
          </w:tcPr>
          <w:p w14:paraId="0CC14259"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Los comprendidos en el Título Sexto del Código Penal del Estado</w:t>
            </w:r>
          </w:p>
        </w:tc>
      </w:tr>
      <w:tr w:rsidR="006A7A69" w:rsidRPr="0025787E" w14:paraId="35FB92DE" w14:textId="77777777" w:rsidTr="006F07D9">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tcPr>
          <w:p w14:paraId="3FF2536F" w14:textId="77777777" w:rsidR="006A7A69" w:rsidRPr="00271BEA" w:rsidRDefault="006A7A69" w:rsidP="006F07D9">
            <w:pPr>
              <w:shd w:val="clear" w:color="auto" w:fill="AADAF8"/>
              <w:spacing w:line="360" w:lineRule="auto"/>
              <w:jc w:val="both"/>
              <w:rPr>
                <w:rFonts w:ascii="Palatino Linotype" w:hAnsi="Palatino Linotype"/>
                <w:sz w:val="20"/>
                <w:szCs w:val="20"/>
              </w:rPr>
            </w:pPr>
            <w:r w:rsidRPr="006B6B7B">
              <w:rPr>
                <w:rFonts w:ascii="Palatino Linotype" w:hAnsi="Palatino Linotype"/>
                <w:sz w:val="20"/>
                <w:szCs w:val="20"/>
              </w:rPr>
              <w:t>Participación del Comité de Transparencia</w:t>
            </w:r>
          </w:p>
        </w:tc>
        <w:tc>
          <w:tcPr>
            <w:tcW w:w="1750" w:type="dxa"/>
            <w:vMerge w:val="restart"/>
            <w:shd w:val="clear" w:color="auto" w:fill="auto"/>
          </w:tcPr>
          <w:p w14:paraId="4E77942D"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Formalidades</w:t>
            </w:r>
          </w:p>
        </w:tc>
        <w:tc>
          <w:tcPr>
            <w:tcW w:w="2266" w:type="dxa"/>
          </w:tcPr>
          <w:p w14:paraId="5C7C6DCB"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Comité debe de estar debidamente integrado</w:t>
            </w:r>
          </w:p>
        </w:tc>
        <w:tc>
          <w:tcPr>
            <w:tcW w:w="2020" w:type="dxa"/>
          </w:tcPr>
          <w:p w14:paraId="2C8CF0B8"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7FFA4A45"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14:paraId="0F3E2831"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shd w:val="clear" w:color="auto" w:fill="auto"/>
          </w:tcPr>
          <w:p w14:paraId="5E989599"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14:paraId="1EAFF875"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Comité no aprueba la clasificación, sólo: confirma, modifica o revoca la decisión de las áreas </w:t>
            </w:r>
          </w:p>
        </w:tc>
        <w:tc>
          <w:tcPr>
            <w:tcW w:w="2020" w:type="dxa"/>
          </w:tcPr>
          <w:p w14:paraId="5FDB6D3B"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6ECAC036" w14:textId="77777777" w:rsidTr="006F07D9">
        <w:tc>
          <w:tcPr>
            <w:cnfStyle w:val="001000000000" w:firstRow="0" w:lastRow="0" w:firstColumn="1" w:lastColumn="0" w:oddVBand="0" w:evenVBand="0" w:oddHBand="0" w:evenHBand="0" w:firstRowFirstColumn="0" w:firstRowLastColumn="0" w:lastRowFirstColumn="0" w:lastRowLastColumn="0"/>
            <w:tcW w:w="1760" w:type="dxa"/>
          </w:tcPr>
          <w:p w14:paraId="4000311A" w14:textId="77777777" w:rsidR="006A7A69" w:rsidRPr="0025787E" w:rsidRDefault="006A7A69" w:rsidP="006F07D9">
            <w:pPr>
              <w:spacing w:line="360" w:lineRule="auto"/>
              <w:jc w:val="both"/>
              <w:rPr>
                <w:rFonts w:ascii="Palatino Linotype" w:hAnsi="Palatino Linotype"/>
                <w:sz w:val="20"/>
                <w:szCs w:val="20"/>
              </w:rPr>
            </w:pPr>
            <w:r w:rsidRPr="0025787E">
              <w:rPr>
                <w:rFonts w:ascii="Palatino Linotype" w:hAnsi="Palatino Linotype"/>
                <w:sz w:val="20"/>
                <w:szCs w:val="20"/>
              </w:rPr>
              <w:t>Fondo del acuerdo de clasificación</w:t>
            </w:r>
          </w:p>
        </w:tc>
        <w:tc>
          <w:tcPr>
            <w:tcW w:w="1750" w:type="dxa"/>
          </w:tcPr>
          <w:p w14:paraId="62688BFC"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La carga de la prueba para justificar la restricción </w:t>
            </w:r>
            <w:r w:rsidRPr="0025787E">
              <w:rPr>
                <w:rFonts w:ascii="Palatino Linotype" w:hAnsi="Palatino Linotype"/>
                <w:sz w:val="20"/>
                <w:szCs w:val="20"/>
              </w:rPr>
              <w:lastRenderedPageBreak/>
              <w:t>corresponde al sujeto obligado</w:t>
            </w:r>
          </w:p>
        </w:tc>
        <w:tc>
          <w:tcPr>
            <w:tcW w:w="2266" w:type="dxa"/>
          </w:tcPr>
          <w:p w14:paraId="5FCF1EB5"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lastRenderedPageBreak/>
              <w:t>Deber de fundar y motivar</w:t>
            </w:r>
          </w:p>
        </w:tc>
        <w:tc>
          <w:tcPr>
            <w:tcW w:w="2020" w:type="dxa"/>
          </w:tcPr>
          <w:p w14:paraId="27D9EFA1"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722FA36B" w14:textId="77777777" w:rsidTr="006F07D9">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733CD7D1" w14:textId="77777777" w:rsidR="006A7A69" w:rsidRPr="0025787E" w:rsidRDefault="006A7A69" w:rsidP="006F07D9">
            <w:pPr>
              <w:spacing w:line="360" w:lineRule="auto"/>
              <w:jc w:val="both"/>
              <w:rPr>
                <w:rFonts w:ascii="Palatino Linotype" w:hAnsi="Palatino Linotype"/>
                <w:sz w:val="20"/>
                <w:szCs w:val="20"/>
              </w:rPr>
            </w:pPr>
            <w:r w:rsidRPr="0025787E">
              <w:rPr>
                <w:rFonts w:ascii="Palatino Linotype" w:hAnsi="Palatino Linotype"/>
                <w:sz w:val="20"/>
                <w:szCs w:val="20"/>
              </w:rPr>
              <w:lastRenderedPageBreak/>
              <w:t>Condiciones especiales de la reserva</w:t>
            </w:r>
          </w:p>
        </w:tc>
        <w:tc>
          <w:tcPr>
            <w:tcW w:w="1750" w:type="dxa"/>
            <w:vMerge w:val="restart"/>
          </w:tcPr>
          <w:p w14:paraId="0030650A"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Motivar implica</w:t>
            </w:r>
          </w:p>
          <w:p w14:paraId="5BA0EAB3"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Además se debe aplicar, caso por caso, una prueba de daño.</w:t>
            </w:r>
          </w:p>
        </w:tc>
        <w:tc>
          <w:tcPr>
            <w:tcW w:w="2266" w:type="dxa"/>
            <w:vMerge w:val="restart"/>
          </w:tcPr>
          <w:p w14:paraId="4758CC77"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Señalar las razones, motivos o circunstancias.</w:t>
            </w:r>
          </w:p>
          <w:p w14:paraId="34A8C7A0"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Se deben señalar las razones objetivas y acreditar.</w:t>
            </w:r>
          </w:p>
          <w:p w14:paraId="49FF0929"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14:paraId="580F4109"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*Adquiere la condición especial de ser temporal por un periodo de 5 años con la posibilidad de ampliarse por un periodo igual.</w:t>
            </w:r>
          </w:p>
        </w:tc>
        <w:tc>
          <w:tcPr>
            <w:tcW w:w="2020" w:type="dxa"/>
            <w:vMerge w:val="restart"/>
          </w:tcPr>
          <w:p w14:paraId="5C3ED9A0"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Que entregar la información provoca un riesgo real, demostrable e identificable al interés público o a la seguridad pública</w:t>
            </w:r>
          </w:p>
        </w:tc>
      </w:tr>
      <w:tr w:rsidR="006A7A69" w:rsidRPr="0025787E" w14:paraId="34E36E99" w14:textId="77777777" w:rsidTr="006F07D9">
        <w:trPr>
          <w:trHeight w:val="726"/>
        </w:trPr>
        <w:tc>
          <w:tcPr>
            <w:cnfStyle w:val="001000000000" w:firstRow="0" w:lastRow="0" w:firstColumn="1" w:lastColumn="0" w:oddVBand="0" w:evenVBand="0" w:oddHBand="0" w:evenHBand="0" w:firstRowFirstColumn="0" w:firstRowLastColumn="0" w:lastRowFirstColumn="0" w:lastRowLastColumn="0"/>
            <w:tcW w:w="1760" w:type="dxa"/>
            <w:vMerge/>
          </w:tcPr>
          <w:p w14:paraId="289D26F9"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tcPr>
          <w:p w14:paraId="2FECF5E6"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14:paraId="30A2516C"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vMerge/>
          </w:tcPr>
          <w:p w14:paraId="5E1A600B"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6A7A69" w:rsidRPr="0025787E" w14:paraId="7E6252B0"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14:paraId="1416ACF1"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tcPr>
          <w:p w14:paraId="44F5465C"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vMerge/>
          </w:tcPr>
          <w:p w14:paraId="109902BA"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14:paraId="590A621A"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El riesgo por divulgar es mayor que el interés público de que se difunda  </w:t>
            </w:r>
          </w:p>
        </w:tc>
      </w:tr>
      <w:tr w:rsidR="006A7A69" w:rsidRPr="0025787E" w14:paraId="7409DA39" w14:textId="77777777" w:rsidTr="006F07D9">
        <w:trPr>
          <w:trHeight w:val="1454"/>
        </w:trPr>
        <w:tc>
          <w:tcPr>
            <w:cnfStyle w:val="001000000000" w:firstRow="0" w:lastRow="0" w:firstColumn="1" w:lastColumn="0" w:oddVBand="0" w:evenVBand="0" w:oddHBand="0" w:evenHBand="0" w:firstRowFirstColumn="0" w:firstRowLastColumn="0" w:lastRowFirstColumn="0" w:lastRowLastColumn="0"/>
            <w:tcW w:w="1760" w:type="dxa"/>
            <w:vMerge/>
          </w:tcPr>
          <w:p w14:paraId="1D0B2293" w14:textId="77777777" w:rsidR="006A7A69" w:rsidRPr="0025787E" w:rsidRDefault="006A7A69" w:rsidP="006F07D9">
            <w:pPr>
              <w:spacing w:line="360" w:lineRule="auto"/>
              <w:jc w:val="both"/>
              <w:rPr>
                <w:rFonts w:ascii="Palatino Linotype" w:hAnsi="Palatino Linotype"/>
                <w:sz w:val="20"/>
                <w:szCs w:val="20"/>
              </w:rPr>
            </w:pPr>
          </w:p>
        </w:tc>
        <w:tc>
          <w:tcPr>
            <w:tcW w:w="1750" w:type="dxa"/>
            <w:vMerge/>
          </w:tcPr>
          <w:p w14:paraId="4F3A25F6"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14:paraId="04CF2FEE"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1B6E5D9C"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El principio de proporcionalidad</w:t>
            </w:r>
          </w:p>
        </w:tc>
      </w:tr>
      <w:tr w:rsidR="006A7A69" w:rsidRPr="0025787E" w14:paraId="7A71B808"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14:paraId="3905B185" w14:textId="77777777" w:rsidR="006A7A69" w:rsidRPr="0025787E" w:rsidRDefault="006A7A69" w:rsidP="006F07D9">
            <w:pPr>
              <w:spacing w:line="360" w:lineRule="auto"/>
              <w:jc w:val="both"/>
              <w:rPr>
                <w:rFonts w:ascii="Palatino Linotype" w:hAnsi="Palatino Linotype"/>
                <w:sz w:val="20"/>
                <w:szCs w:val="20"/>
              </w:rPr>
            </w:pPr>
            <w:r w:rsidRPr="0025787E">
              <w:rPr>
                <w:rFonts w:ascii="Palatino Linotype" w:hAnsi="Palatino Linotype"/>
                <w:sz w:val="20"/>
                <w:szCs w:val="20"/>
              </w:rPr>
              <w:t>Condiciones especiales de la confidencialidad</w:t>
            </w:r>
          </w:p>
        </w:tc>
        <w:tc>
          <w:tcPr>
            <w:tcW w:w="1750" w:type="dxa"/>
          </w:tcPr>
          <w:p w14:paraId="2A781C0D"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Para clasificar se debe verificar que no se encuentre en los supuestos del artículo 148 de la ley Estatal </w:t>
            </w:r>
          </w:p>
        </w:tc>
        <w:tc>
          <w:tcPr>
            <w:tcW w:w="2266" w:type="dxa"/>
          </w:tcPr>
          <w:p w14:paraId="5CD8E54E"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 xml:space="preserve">Si se encuentra en los supuestos de dicho artículo se entrega aún sin consentimiento del titular del dato personal </w:t>
            </w:r>
          </w:p>
        </w:tc>
        <w:tc>
          <w:tcPr>
            <w:tcW w:w="2020" w:type="dxa"/>
          </w:tcPr>
          <w:p w14:paraId="07E1BF3A" w14:textId="77777777" w:rsidR="006A7A69" w:rsidRPr="0025787E" w:rsidRDefault="006A7A69" w:rsidP="006F07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6A7A69" w:rsidRPr="0025787E" w14:paraId="5B4A0205" w14:textId="77777777" w:rsidTr="006F07D9">
        <w:trPr>
          <w:trHeight w:val="3404"/>
        </w:trPr>
        <w:tc>
          <w:tcPr>
            <w:cnfStyle w:val="001000000000" w:firstRow="0" w:lastRow="0" w:firstColumn="1" w:lastColumn="0" w:oddVBand="0" w:evenVBand="0" w:oddHBand="0" w:evenHBand="0" w:firstRowFirstColumn="0" w:firstRowLastColumn="0" w:lastRowFirstColumn="0" w:lastRowLastColumn="0"/>
            <w:tcW w:w="1760" w:type="dxa"/>
            <w:vMerge/>
          </w:tcPr>
          <w:p w14:paraId="77AE124C" w14:textId="77777777" w:rsidR="006A7A69" w:rsidRPr="0025787E" w:rsidRDefault="006A7A69" w:rsidP="006F07D9">
            <w:pPr>
              <w:spacing w:line="360" w:lineRule="auto"/>
              <w:jc w:val="both"/>
              <w:rPr>
                <w:rFonts w:ascii="Palatino Linotype" w:hAnsi="Palatino Linotype"/>
                <w:sz w:val="20"/>
                <w:szCs w:val="20"/>
              </w:rPr>
            </w:pPr>
          </w:p>
        </w:tc>
        <w:tc>
          <w:tcPr>
            <w:tcW w:w="1750" w:type="dxa"/>
          </w:tcPr>
          <w:p w14:paraId="6C00F680"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5787E">
              <w:rPr>
                <w:rFonts w:ascii="Palatino Linotype" w:hAnsi="Palatino Linotype"/>
                <w:sz w:val="20"/>
                <w:szCs w:val="20"/>
              </w:rPr>
              <w:t>Si es posible, se debe consultar al titular de los datos para requerir su autorización para entregarlo</w:t>
            </w:r>
          </w:p>
        </w:tc>
        <w:tc>
          <w:tcPr>
            <w:tcW w:w="2266" w:type="dxa"/>
          </w:tcPr>
          <w:p w14:paraId="7BFD874E"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14:paraId="483CB073" w14:textId="77777777" w:rsidR="006A7A69" w:rsidRPr="0025787E" w:rsidRDefault="006A7A69" w:rsidP="006F07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14:paraId="413C5647" w14:textId="77777777" w:rsidR="006A7A69" w:rsidRPr="003F4684" w:rsidRDefault="006A7A69" w:rsidP="006A7A69">
      <w:pPr>
        <w:spacing w:line="360" w:lineRule="auto"/>
        <w:ind w:right="49"/>
        <w:contextualSpacing/>
        <w:jc w:val="both"/>
        <w:rPr>
          <w:rFonts w:ascii="Palatino Linotype" w:eastAsia="MS Mincho" w:hAnsi="Palatino Linotype"/>
        </w:rPr>
      </w:pPr>
    </w:p>
    <w:p w14:paraId="42C6C12D" w14:textId="77777777" w:rsidR="006A7A69" w:rsidRPr="006A7A69" w:rsidRDefault="006A7A69" w:rsidP="006A7A69">
      <w:pPr>
        <w:numPr>
          <w:ilvl w:val="0"/>
          <w:numId w:val="2"/>
        </w:numPr>
        <w:spacing w:line="360" w:lineRule="auto"/>
        <w:ind w:left="0" w:right="49" w:firstLine="0"/>
        <w:contextualSpacing/>
        <w:jc w:val="both"/>
        <w:rPr>
          <w:rFonts w:ascii="Palatino Linotype" w:eastAsia="MS Mincho" w:hAnsi="Palatino Linotype"/>
          <w:sz w:val="24"/>
        </w:rPr>
      </w:pPr>
      <w:r w:rsidRPr="006A7A69">
        <w:rPr>
          <w:rFonts w:ascii="Palatino Linotype" w:eastAsia="MS Mincho" w:hAnsi="Palatino Linotype"/>
          <w:sz w:val="24"/>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14:paraId="5097A565" w14:textId="77777777" w:rsidR="006A7A69" w:rsidRDefault="006A7A69" w:rsidP="006A7A69">
      <w:pPr>
        <w:pStyle w:val="Prrafodelista"/>
        <w:spacing w:line="360" w:lineRule="auto"/>
        <w:ind w:left="0"/>
        <w:jc w:val="both"/>
        <w:rPr>
          <w:rFonts w:ascii="Palatino Linotype" w:eastAsia="MS Mincho" w:hAnsi="Palatino Linotype"/>
          <w:sz w:val="24"/>
        </w:rPr>
      </w:pPr>
    </w:p>
    <w:p w14:paraId="2D7E2715" w14:textId="110D57EA" w:rsidR="006A7A69" w:rsidRDefault="006A7A69"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Lo anterior son los elementos mínimos que debe realizar el Sujeto Obligado para la clasificación de la información, no basta únicamente con referir la normatividad que pudiera ser el fundamento para la clasificación, sino que, se tiene la obligación de motivar, que no es otra cosa más que, encuadrar una situación a una hipótesis jurídica a través de un juicio de subsunción y encaje, de esta forma, la restricción hecha al recurrente quedaría debidamente fundada y motivada. Además, la autoridad en materia de transparencia para sustentar la clasificación mediante un </w:t>
      </w:r>
      <w:r>
        <w:rPr>
          <w:rFonts w:ascii="Palatino Linotype" w:eastAsia="MS Mincho" w:hAnsi="Palatino Linotype"/>
          <w:sz w:val="24"/>
        </w:rPr>
        <w:lastRenderedPageBreak/>
        <w:t>acuerdo, es el Comité de Transparencia, situación que no ocurrió en el presente asunto en particular.</w:t>
      </w:r>
    </w:p>
    <w:p w14:paraId="47F2785C" w14:textId="77777777" w:rsidR="006A7A69" w:rsidRPr="006A7A69" w:rsidRDefault="006A7A69" w:rsidP="006A7A69">
      <w:pPr>
        <w:pStyle w:val="Prrafodelista"/>
        <w:rPr>
          <w:rFonts w:ascii="Palatino Linotype" w:eastAsia="MS Mincho" w:hAnsi="Palatino Linotype"/>
          <w:sz w:val="24"/>
        </w:rPr>
      </w:pPr>
    </w:p>
    <w:p w14:paraId="12603CE8" w14:textId="4DB981DA" w:rsidR="006A7A69" w:rsidRDefault="006A7A69"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En conclusión, el intento de clasificación que realizó el Sujeto Obligado carece de fundamentación, motivación y del correspondiente acuerdo de clasificación emitido por el Comité de Transparencia, por lo que, la respuesta emitida a la solicitud, no sustenta la restricción hecha al particular.</w:t>
      </w:r>
    </w:p>
    <w:p w14:paraId="5BAE10EB" w14:textId="77777777" w:rsidR="006A7A69" w:rsidRDefault="006A7A69" w:rsidP="006A7A69">
      <w:pPr>
        <w:pStyle w:val="Prrafodelista"/>
        <w:spacing w:line="360" w:lineRule="auto"/>
        <w:ind w:left="0"/>
        <w:jc w:val="both"/>
        <w:rPr>
          <w:rFonts w:ascii="Palatino Linotype" w:eastAsia="MS Mincho" w:hAnsi="Palatino Linotype"/>
          <w:sz w:val="24"/>
        </w:rPr>
      </w:pPr>
    </w:p>
    <w:p w14:paraId="4AE2E7D1" w14:textId="0987A4F2" w:rsidR="00C26B6F" w:rsidRPr="00C26B6F" w:rsidRDefault="00C26B6F" w:rsidP="00C26B6F">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N</w:t>
      </w:r>
      <w:r w:rsidRPr="00C26B6F">
        <w:rPr>
          <w:rFonts w:ascii="Palatino Linotype" w:eastAsia="MS Mincho" w:hAnsi="Palatino Linotype"/>
          <w:sz w:val="24"/>
        </w:rPr>
        <w:t xml:space="preserve">o pasa desapercibido que a través de la respuesta, el Sujeto Obligado, en ningún momento niega la existencia de la información, sino por el contrario, al mencionar que esta se encontraba clasificada, asevera su existencia, es por ello que, en el presente caso, no pasa desapercibida la aplicación del criterio 29/10 emitido por el entonces Instituto Federal de Acceso a la Información Pública, el cual estipula que: </w:t>
      </w:r>
    </w:p>
    <w:p w14:paraId="7DE41556" w14:textId="77777777" w:rsidR="00C26B6F" w:rsidRDefault="00C26B6F" w:rsidP="00C26B6F">
      <w:pPr>
        <w:spacing w:line="360" w:lineRule="auto"/>
        <w:ind w:right="49"/>
        <w:contextualSpacing/>
        <w:jc w:val="both"/>
        <w:rPr>
          <w:rFonts w:ascii="Palatino Linotype" w:eastAsia="MS Mincho" w:hAnsi="Palatino Linotype"/>
        </w:rPr>
      </w:pPr>
    </w:p>
    <w:p w14:paraId="32139155" w14:textId="77777777" w:rsidR="00C26B6F" w:rsidRPr="007B4B2F" w:rsidRDefault="00C26B6F" w:rsidP="00C26B6F">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b/>
          <w:i/>
          <w:sz w:val="22"/>
        </w:rPr>
        <w:t>La</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l</w:t>
      </w:r>
      <w:r w:rsidRPr="007B4B2F">
        <w:rPr>
          <w:rFonts w:ascii="Palatino Linotype" w:eastAsia="Arial" w:hAnsi="Palatino Linotype" w:cs="Arial"/>
          <w:b/>
          <w:i/>
          <w:spacing w:val="-1"/>
          <w:sz w:val="22"/>
        </w:rPr>
        <w:t>a</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ifi</w:t>
      </w:r>
      <w:r w:rsidRPr="007B4B2F">
        <w:rPr>
          <w:rFonts w:ascii="Palatino Linotype" w:eastAsia="Arial" w:hAnsi="Palatino Linotype" w:cs="Arial"/>
          <w:b/>
          <w:i/>
          <w:spacing w:val="-1"/>
          <w:sz w:val="22"/>
        </w:rPr>
        <w:t>c</w:t>
      </w:r>
      <w:r w:rsidRPr="007B4B2F">
        <w:rPr>
          <w:rFonts w:ascii="Palatino Linotype" w:eastAsia="Arial" w:hAnsi="Palatino Linotype" w:cs="Arial"/>
          <w:b/>
          <w:i/>
          <w:spacing w:val="1"/>
          <w:sz w:val="22"/>
        </w:rPr>
        <w:t>ac</w:t>
      </w:r>
      <w:r w:rsidRPr="007B4B2F">
        <w:rPr>
          <w:rFonts w:ascii="Palatino Linotype" w:eastAsia="Arial" w:hAnsi="Palatino Linotype" w:cs="Arial"/>
          <w:b/>
          <w:i/>
          <w:sz w:val="22"/>
        </w:rPr>
        <w:t>ión</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 xml:space="preserve">y </w:t>
      </w:r>
      <w:r w:rsidRPr="007B4B2F">
        <w:rPr>
          <w:rFonts w:ascii="Palatino Linotype" w:eastAsia="Arial" w:hAnsi="Palatino Linotype" w:cs="Arial"/>
          <w:b/>
          <w:i/>
          <w:spacing w:val="3"/>
          <w:sz w:val="22"/>
        </w:rPr>
        <w:t>l</w:t>
      </w:r>
      <w:r w:rsidRPr="007B4B2F">
        <w:rPr>
          <w:rFonts w:ascii="Palatino Linotype" w:eastAsia="Arial" w:hAnsi="Palatino Linotype" w:cs="Arial"/>
          <w:b/>
          <w:i/>
          <w:sz w:val="22"/>
        </w:rPr>
        <w:t>a</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in</w:t>
      </w:r>
      <w:r w:rsidRPr="007B4B2F">
        <w:rPr>
          <w:rFonts w:ascii="Palatino Linotype" w:eastAsia="Arial" w:hAnsi="Palatino Linotype" w:cs="Arial"/>
          <w:b/>
          <w:i/>
          <w:spacing w:val="1"/>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i</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ten</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ia</w:t>
      </w:r>
      <w:r w:rsidRPr="007B4B2F">
        <w:rPr>
          <w:rFonts w:ascii="Palatino Linotype" w:eastAsia="Arial" w:hAnsi="Palatino Linotype" w:cs="Arial"/>
          <w:b/>
          <w:i/>
          <w:spacing w:val="8"/>
          <w:sz w:val="22"/>
        </w:rPr>
        <w:t xml:space="preserve"> </w:t>
      </w:r>
      <w:r w:rsidRPr="007B4B2F">
        <w:rPr>
          <w:rFonts w:ascii="Palatino Linotype" w:eastAsia="Arial" w:hAnsi="Palatino Linotype" w:cs="Arial"/>
          <w:b/>
          <w:i/>
          <w:spacing w:val="-3"/>
          <w:sz w:val="22"/>
        </w:rPr>
        <w:t>d</w:t>
      </w:r>
      <w:r w:rsidRPr="007B4B2F">
        <w:rPr>
          <w:rFonts w:ascii="Palatino Linotype" w:eastAsia="Arial" w:hAnsi="Palatino Linotype" w:cs="Arial"/>
          <w:b/>
          <w:i/>
          <w:sz w:val="22"/>
        </w:rPr>
        <w:t>e</w:t>
      </w:r>
      <w:r w:rsidRPr="007B4B2F">
        <w:rPr>
          <w:rFonts w:ascii="Palatino Linotype" w:eastAsia="Arial" w:hAnsi="Palatino Linotype" w:cs="Arial"/>
          <w:b/>
          <w:i/>
          <w:spacing w:val="12"/>
          <w:sz w:val="22"/>
        </w:rPr>
        <w:t xml:space="preserve"> </w:t>
      </w:r>
      <w:r w:rsidRPr="007B4B2F">
        <w:rPr>
          <w:rFonts w:ascii="Palatino Linotype" w:eastAsia="Arial" w:hAnsi="Palatino Linotype" w:cs="Arial"/>
          <w:b/>
          <w:i/>
          <w:sz w:val="22"/>
        </w:rPr>
        <w:t>i</w:t>
      </w:r>
      <w:r w:rsidRPr="007B4B2F">
        <w:rPr>
          <w:rFonts w:ascii="Palatino Linotype" w:eastAsia="Arial" w:hAnsi="Palatino Linotype" w:cs="Arial"/>
          <w:b/>
          <w:i/>
          <w:spacing w:val="-2"/>
          <w:sz w:val="22"/>
        </w:rPr>
        <w:t>n</w:t>
      </w:r>
      <w:r w:rsidRPr="007B4B2F">
        <w:rPr>
          <w:rFonts w:ascii="Palatino Linotype" w:eastAsia="Arial" w:hAnsi="Palatino Linotype" w:cs="Arial"/>
          <w:b/>
          <w:i/>
          <w:sz w:val="22"/>
        </w:rPr>
        <w:t>f</w:t>
      </w:r>
      <w:r w:rsidRPr="007B4B2F">
        <w:rPr>
          <w:rFonts w:ascii="Palatino Linotype" w:eastAsia="Arial" w:hAnsi="Palatino Linotype" w:cs="Arial"/>
          <w:b/>
          <w:i/>
          <w:spacing w:val="-1"/>
          <w:sz w:val="22"/>
        </w:rPr>
        <w:t>o</w:t>
      </w:r>
      <w:r w:rsidRPr="007B4B2F">
        <w:rPr>
          <w:rFonts w:ascii="Palatino Linotype" w:eastAsia="Arial" w:hAnsi="Palatino Linotype" w:cs="Arial"/>
          <w:b/>
          <w:i/>
          <w:sz w:val="22"/>
        </w:rPr>
        <w:t>rm</w:t>
      </w:r>
      <w:r w:rsidRPr="007B4B2F">
        <w:rPr>
          <w:rFonts w:ascii="Palatino Linotype" w:eastAsia="Arial" w:hAnsi="Palatino Linotype" w:cs="Arial"/>
          <w:b/>
          <w:i/>
          <w:spacing w:val="1"/>
          <w:sz w:val="22"/>
        </w:rPr>
        <w:t>ac</w:t>
      </w:r>
      <w:r w:rsidRPr="007B4B2F">
        <w:rPr>
          <w:rFonts w:ascii="Palatino Linotype" w:eastAsia="Arial" w:hAnsi="Palatino Linotype" w:cs="Arial"/>
          <w:b/>
          <w:i/>
          <w:sz w:val="22"/>
        </w:rPr>
        <w:t>ión</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on</w:t>
      </w:r>
      <w:r w:rsidRPr="007B4B2F">
        <w:rPr>
          <w:rFonts w:ascii="Palatino Linotype" w:eastAsia="Arial" w:hAnsi="Palatino Linotype" w:cs="Arial"/>
          <w:b/>
          <w:i/>
          <w:spacing w:val="4"/>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on</w:t>
      </w:r>
      <w:r w:rsidRPr="007B4B2F">
        <w:rPr>
          <w:rFonts w:ascii="Palatino Linotype" w:eastAsia="Arial" w:hAnsi="Palatino Linotype" w:cs="Arial"/>
          <w:b/>
          <w:i/>
          <w:spacing w:val="-2"/>
          <w:sz w:val="22"/>
        </w:rPr>
        <w:t>c</w:t>
      </w:r>
      <w:r w:rsidRPr="007B4B2F">
        <w:rPr>
          <w:rFonts w:ascii="Palatino Linotype" w:eastAsia="Arial" w:hAnsi="Palatino Linotype" w:cs="Arial"/>
          <w:b/>
          <w:i/>
          <w:spacing w:val="1"/>
          <w:sz w:val="22"/>
        </w:rPr>
        <w:t>e</w:t>
      </w:r>
      <w:r w:rsidRPr="007B4B2F">
        <w:rPr>
          <w:rFonts w:ascii="Palatino Linotype" w:eastAsia="Arial" w:hAnsi="Palatino Linotype" w:cs="Arial"/>
          <w:b/>
          <w:i/>
          <w:sz w:val="22"/>
        </w:rPr>
        <w:t>p</w:t>
      </w:r>
      <w:r w:rsidRPr="007B4B2F">
        <w:rPr>
          <w:rFonts w:ascii="Palatino Linotype" w:eastAsia="Arial" w:hAnsi="Palatino Linotype" w:cs="Arial"/>
          <w:b/>
          <w:i/>
          <w:spacing w:val="-1"/>
          <w:sz w:val="22"/>
        </w:rPr>
        <w:t>t</w:t>
      </w:r>
      <w:r w:rsidRPr="007B4B2F">
        <w:rPr>
          <w:rFonts w:ascii="Palatino Linotype" w:eastAsia="Arial" w:hAnsi="Palatino Linotype" w:cs="Arial"/>
          <w:b/>
          <w:i/>
          <w:sz w:val="22"/>
        </w:rPr>
        <w:t>os</w:t>
      </w:r>
      <w:r w:rsidRPr="007B4B2F">
        <w:rPr>
          <w:rFonts w:ascii="Palatino Linotype" w:eastAsia="Arial" w:hAnsi="Palatino Linotype" w:cs="Arial"/>
          <w:b/>
          <w:i/>
          <w:spacing w:val="7"/>
          <w:sz w:val="22"/>
        </w:rPr>
        <w:t xml:space="preserve"> </w:t>
      </w:r>
      <w:r w:rsidRPr="007B4B2F">
        <w:rPr>
          <w:rFonts w:ascii="Palatino Linotype" w:eastAsia="Arial" w:hAnsi="Palatino Linotype" w:cs="Arial"/>
          <w:b/>
          <w:i/>
          <w:sz w:val="22"/>
        </w:rPr>
        <w:t>que</w:t>
      </w:r>
      <w:r w:rsidRPr="007B4B2F">
        <w:rPr>
          <w:rFonts w:ascii="Palatino Linotype" w:eastAsia="Arial" w:hAnsi="Palatino Linotype" w:cs="Arial"/>
          <w:b/>
          <w:i/>
          <w:spacing w:val="10"/>
          <w:sz w:val="22"/>
        </w:rPr>
        <w:t xml:space="preserve"> </w:t>
      </w:r>
      <w:r w:rsidRPr="007B4B2F">
        <w:rPr>
          <w:rFonts w:ascii="Palatino Linotype" w:eastAsia="Arial" w:hAnsi="Palatino Linotype" w:cs="Arial"/>
          <w:b/>
          <w:i/>
          <w:sz w:val="22"/>
        </w:rPr>
        <w:t>no pued</w:t>
      </w:r>
      <w:r w:rsidRPr="007B4B2F">
        <w:rPr>
          <w:rFonts w:ascii="Palatino Linotype" w:eastAsia="Arial" w:hAnsi="Palatino Linotype" w:cs="Arial"/>
          <w:b/>
          <w:i/>
          <w:spacing w:val="1"/>
          <w:sz w:val="22"/>
        </w:rPr>
        <w:t>e</w:t>
      </w:r>
      <w:r w:rsidRPr="007B4B2F">
        <w:rPr>
          <w:rFonts w:ascii="Palatino Linotype" w:eastAsia="Arial" w:hAnsi="Palatino Linotype" w:cs="Arial"/>
          <w:b/>
          <w:i/>
          <w:sz w:val="22"/>
        </w:rPr>
        <w:t>n</w:t>
      </w:r>
      <w:r w:rsidRPr="007B4B2F">
        <w:rPr>
          <w:rFonts w:ascii="Palatino Linotype" w:eastAsia="Arial" w:hAnsi="Palatino Linotype" w:cs="Arial"/>
          <w:b/>
          <w:i/>
          <w:spacing w:val="36"/>
          <w:sz w:val="22"/>
        </w:rPr>
        <w:t xml:space="preserve"> </w:t>
      </w:r>
      <w:r w:rsidRPr="007B4B2F">
        <w:rPr>
          <w:rFonts w:ascii="Palatino Linotype" w:eastAsia="Arial" w:hAnsi="Palatino Linotype" w:cs="Arial"/>
          <w:b/>
          <w:i/>
          <w:spacing w:val="1"/>
          <w:sz w:val="22"/>
        </w:rPr>
        <w:t>c</w:t>
      </w:r>
      <w:r w:rsidRPr="007B4B2F">
        <w:rPr>
          <w:rFonts w:ascii="Palatino Linotype" w:eastAsia="Arial" w:hAnsi="Palatino Linotype" w:cs="Arial"/>
          <w:b/>
          <w:i/>
          <w:sz w:val="22"/>
        </w:rPr>
        <w:t>o</w:t>
      </w:r>
      <w:r w:rsidRPr="007B4B2F">
        <w:rPr>
          <w:rFonts w:ascii="Palatino Linotype" w:eastAsia="Arial" w:hAnsi="Palatino Linotype" w:cs="Arial"/>
          <w:b/>
          <w:i/>
          <w:spacing w:val="-2"/>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i</w:t>
      </w:r>
      <w:r w:rsidRPr="007B4B2F">
        <w:rPr>
          <w:rFonts w:ascii="Palatino Linotype" w:eastAsia="Arial" w:hAnsi="Palatino Linotype" w:cs="Arial"/>
          <w:b/>
          <w:i/>
          <w:spacing w:val="1"/>
          <w:sz w:val="22"/>
        </w:rPr>
        <w:t>s</w:t>
      </w:r>
      <w:r w:rsidRPr="007B4B2F">
        <w:rPr>
          <w:rFonts w:ascii="Palatino Linotype" w:eastAsia="Arial" w:hAnsi="Palatino Linotype" w:cs="Arial"/>
          <w:b/>
          <w:i/>
          <w:sz w:val="22"/>
        </w:rPr>
        <w:t>tir.</w:t>
      </w:r>
      <w:r w:rsidRPr="007B4B2F">
        <w:rPr>
          <w:rFonts w:ascii="Palatino Linotype" w:eastAsia="Arial" w:hAnsi="Palatino Linotype" w:cs="Arial"/>
          <w:b/>
          <w:i/>
          <w:spacing w:val="35"/>
          <w:sz w:val="22"/>
        </w:rPr>
        <w:t xml:space="preserve"> </w:t>
      </w:r>
      <w:r w:rsidRPr="007B4B2F">
        <w:rPr>
          <w:rFonts w:ascii="Palatino Linotype" w:eastAsia="Arial" w:hAnsi="Palatino Linotype" w:cs="Arial"/>
          <w:i/>
          <w:spacing w:val="1"/>
          <w:sz w:val="22"/>
        </w:rPr>
        <w:t>L</w:t>
      </w:r>
      <w:r w:rsidRPr="007B4B2F">
        <w:rPr>
          <w:rFonts w:ascii="Palatino Linotype" w:eastAsia="Arial" w:hAnsi="Palatino Linotype" w:cs="Arial"/>
          <w:i/>
          <w:sz w:val="22"/>
        </w:rPr>
        <w:t>a</w:t>
      </w:r>
      <w:r w:rsidRPr="007B4B2F">
        <w:rPr>
          <w:rFonts w:ascii="Palatino Linotype" w:eastAsia="Arial" w:hAnsi="Palatino Linotype" w:cs="Arial"/>
          <w:i/>
          <w:spacing w:val="25"/>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7"/>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mp</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ca</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ia</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8"/>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5"/>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26"/>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 se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en</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tra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rchi</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au</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ob</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an</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de</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en</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 xml:space="preserve">cia o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f</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lt</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 xml:space="preserve"> pa</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r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icha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z w:val="22"/>
        </w:rPr>
        <w:t>a in</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50"/>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da</w:t>
      </w:r>
      <w:r w:rsidRPr="007B4B2F">
        <w:rPr>
          <w:rFonts w:ascii="Palatino Linotype" w:eastAsia="Arial" w:hAnsi="Palatino Linotype" w:cs="Arial"/>
          <w:i/>
          <w:sz w:val="22"/>
        </w:rPr>
        <w:t>d</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tr</w:t>
      </w:r>
      <w:r w:rsidRPr="007B4B2F">
        <w:rPr>
          <w:rFonts w:ascii="Palatino Linotype" w:eastAsia="Arial" w:hAnsi="Palatino Linotype" w:cs="Arial"/>
          <w:i/>
          <w:spacing w:val="-1"/>
          <w:sz w:val="22"/>
        </w:rPr>
        <w:t>ib</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y</w:t>
      </w:r>
      <w:r w:rsidRPr="007B4B2F">
        <w:rPr>
          <w:rFonts w:ascii="Palatino Linotype" w:eastAsia="Arial" w:hAnsi="Palatino Linotype" w:cs="Arial"/>
          <w:i/>
          <w:sz w:val="22"/>
        </w:rPr>
        <w:t>e</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cit</w:t>
      </w:r>
      <w:r w:rsidRPr="007B4B2F">
        <w:rPr>
          <w:rFonts w:ascii="Palatino Linotype" w:eastAsia="Arial" w:hAnsi="Palatino Linotype" w:cs="Arial"/>
          <w:i/>
          <w:spacing w:val="1"/>
          <w:sz w:val="22"/>
        </w:rPr>
        <w:t>ada</w:t>
      </w:r>
      <w:r w:rsidRPr="007B4B2F">
        <w:rPr>
          <w:rFonts w:ascii="Palatino Linotype" w:eastAsia="Arial" w:hAnsi="Palatino Linotype" w:cs="Arial"/>
          <w:i/>
          <w:sz w:val="22"/>
        </w:rPr>
        <w:t>.</w:t>
      </w:r>
      <w:r w:rsidRPr="007B4B2F">
        <w:rPr>
          <w:rFonts w:ascii="Palatino Linotype" w:eastAsia="Arial" w:hAnsi="Palatino Linotype" w:cs="Arial"/>
          <w:i/>
          <w:spacing w:val="51"/>
          <w:sz w:val="22"/>
        </w:rPr>
        <w:t xml:space="preserve"> </w:t>
      </w:r>
      <w:r w:rsidRPr="007B4B2F">
        <w:rPr>
          <w:rFonts w:ascii="Palatino Linotype" w:eastAsia="Arial" w:hAnsi="Palatino Linotype" w:cs="Arial"/>
          <w:i/>
          <w:spacing w:val="-2"/>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50"/>
          <w:sz w:val="22"/>
        </w:rPr>
        <w:t xml:space="preserve"> </w:t>
      </w:r>
      <w:r w:rsidRPr="007B4B2F">
        <w:rPr>
          <w:rFonts w:ascii="Palatino Linotype" w:eastAsia="Arial" w:hAnsi="Palatino Linotype" w:cs="Arial"/>
          <w:i/>
          <w:sz w:val="22"/>
        </w:rPr>
        <w:t xml:space="preserve">su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 clas</w:t>
      </w:r>
      <w:r w:rsidRPr="007B4B2F">
        <w:rPr>
          <w:rFonts w:ascii="Palatino Linotype" w:eastAsia="Arial" w:hAnsi="Palatino Linotype" w:cs="Arial"/>
          <w:i/>
          <w:spacing w:val="-3"/>
          <w:sz w:val="22"/>
        </w:rPr>
        <w:t>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icaci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 xml:space="preserve">n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rac</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3"/>
          <w:sz w:val="22"/>
        </w:rPr>
        <w:t>í</w:t>
      </w:r>
      <w:r w:rsidRPr="007B4B2F">
        <w:rPr>
          <w:rFonts w:ascii="Palatino Linotype" w:eastAsia="Arial" w:hAnsi="Palatino Linotype" w:cs="Arial"/>
          <w:i/>
          <w:sz w:val="22"/>
        </w:rPr>
        <w:t>stica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ad</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iere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a 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ida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do</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um</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to </w:t>
      </w:r>
      <w:r w:rsidRPr="007B4B2F">
        <w:rPr>
          <w:rFonts w:ascii="Palatino Linotype" w:eastAsia="Arial" w:hAnsi="Palatino Linotype" w:cs="Arial"/>
          <w:i/>
          <w:spacing w:val="1"/>
          <w:sz w:val="22"/>
        </w:rPr>
        <w:t xml:space="preserve"> e</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pe</w:t>
      </w:r>
      <w:r w:rsidRPr="007B4B2F">
        <w:rPr>
          <w:rFonts w:ascii="Palatino Linotype" w:eastAsia="Arial" w:hAnsi="Palatino Linotype" w:cs="Arial"/>
          <w:i/>
          <w:spacing w:val="5"/>
          <w:sz w:val="22"/>
        </w:rPr>
        <w:t>c</w:t>
      </w:r>
      <w:r w:rsidRPr="007B4B2F">
        <w:rPr>
          <w:rFonts w:ascii="Palatino Linotype" w:eastAsia="Arial" w:hAnsi="Palatino Linotype" w:cs="Arial"/>
          <w:i/>
          <w:spacing w:val="-4"/>
          <w:sz w:val="22"/>
        </w:rPr>
        <w:t>í</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ico,  sie</w:t>
      </w:r>
      <w:r w:rsidRPr="007B4B2F">
        <w:rPr>
          <w:rFonts w:ascii="Palatino Linotype" w:eastAsia="Arial" w:hAnsi="Palatino Linotype" w:cs="Arial"/>
          <w:i/>
          <w:spacing w:val="2"/>
          <w:sz w:val="22"/>
        </w:rPr>
        <w:t>m</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 xml:space="preserve">re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se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uen</w:t>
      </w:r>
      <w:r w:rsidRPr="007B4B2F">
        <w:rPr>
          <w:rFonts w:ascii="Palatino Linotype" w:eastAsia="Arial" w:hAnsi="Palatino Linotype" w:cs="Arial"/>
          <w:i/>
          <w:sz w:val="22"/>
        </w:rPr>
        <w:t xml:space="preserve">tre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los s</w:t>
      </w:r>
      <w:r w:rsidRPr="007B4B2F">
        <w:rPr>
          <w:rFonts w:ascii="Palatino Linotype" w:eastAsia="Arial" w:hAnsi="Palatino Linotype" w:cs="Arial"/>
          <w:i/>
          <w:spacing w:val="1"/>
          <w:sz w:val="22"/>
        </w:rPr>
        <w:t>up</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st</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leci</w:t>
      </w:r>
      <w:r w:rsidRPr="007B4B2F">
        <w:rPr>
          <w:rFonts w:ascii="Palatino Linotype" w:eastAsia="Arial" w:hAnsi="Palatino Linotype" w:cs="Arial"/>
          <w:i/>
          <w:spacing w:val="-2"/>
          <w:sz w:val="22"/>
        </w:rPr>
        <w:t>d</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n </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rt</w:t>
      </w:r>
      <w:r w:rsidRPr="007B4B2F">
        <w:rPr>
          <w:rFonts w:ascii="Palatino Linotype" w:eastAsia="Arial" w:hAnsi="Palatino Linotype" w:cs="Arial"/>
          <w:i/>
          <w:spacing w:val="-2"/>
          <w:sz w:val="22"/>
        </w:rPr>
        <w:t>í</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3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y  </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4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L</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y  Fe</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 xml:space="preserve">ral </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s</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cia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y Acc</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so</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ú</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ca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b</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 la</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res</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ada</w:t>
      </w:r>
      <w:r w:rsidRPr="007B4B2F">
        <w:rPr>
          <w:rFonts w:ascii="Palatino Linotype" w:eastAsia="Arial" w:hAnsi="Palatino Linotype" w:cs="Arial"/>
          <w:i/>
          <w:sz w:val="22"/>
        </w:rPr>
        <w:t>,</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z w:val="22"/>
        </w:rPr>
        <w:t>y</w:t>
      </w:r>
      <w:r w:rsidRPr="007B4B2F">
        <w:rPr>
          <w:rFonts w:ascii="Palatino Linotype" w:eastAsia="Arial" w:hAnsi="Palatino Linotype" w:cs="Arial"/>
          <w:i/>
          <w:spacing w:val="1"/>
          <w:sz w:val="22"/>
        </w:rPr>
        <w:t xml:space="preserve"> 1</w:t>
      </w:r>
      <w:r w:rsidRPr="007B4B2F">
        <w:rPr>
          <w:rFonts w:ascii="Palatino Linotype" w:eastAsia="Arial" w:hAnsi="Palatino Linotype" w:cs="Arial"/>
          <w:i/>
          <w:sz w:val="22"/>
        </w:rPr>
        <w:t>8</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o</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rd</w:t>
      </w:r>
      <w:r w:rsidRPr="007B4B2F">
        <w:rPr>
          <w:rFonts w:ascii="Palatino Linotype" w:eastAsia="Arial" w:hAnsi="Palatino Linotype" w:cs="Arial"/>
          <w:i/>
          <w:spacing w:val="1"/>
          <w:sz w:val="22"/>
        </w:rPr>
        <w:t>en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
          <w:sz w:val="22"/>
        </w:rPr>
        <w:t>pa</w:t>
      </w:r>
      <w:r w:rsidRPr="007B4B2F">
        <w:rPr>
          <w:rFonts w:ascii="Palatino Linotype" w:eastAsia="Arial" w:hAnsi="Palatino Linotype" w:cs="Arial"/>
          <w:i/>
          <w:sz w:val="22"/>
        </w:rPr>
        <w:t>ra</w:t>
      </w:r>
      <w:r w:rsidRPr="007B4B2F">
        <w:rPr>
          <w:rFonts w:ascii="Palatino Linotype" w:eastAsia="Arial" w:hAnsi="Palatino Linotype" w:cs="Arial"/>
          <w:i/>
          <w:spacing w:val="1"/>
          <w:sz w:val="22"/>
        </w:rPr>
        <w:t xml:space="preserve"> e</w:t>
      </w:r>
      <w:r w:rsidRPr="007B4B2F">
        <w:rPr>
          <w:rFonts w:ascii="Palatino Linotype" w:eastAsia="Arial" w:hAnsi="Palatino Linotype" w:cs="Arial"/>
          <w:i/>
          <w:sz w:val="22"/>
        </w:rPr>
        <w:t>l</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so</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1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4"/>
          <w:sz w:val="22"/>
        </w:rPr>
        <w:t xml:space="preserve"> </w:t>
      </w:r>
      <w:r w:rsidRPr="007B4B2F">
        <w:rPr>
          <w:rFonts w:ascii="Palatino Linotype" w:eastAsia="Arial" w:hAnsi="Palatino Linotype" w:cs="Arial"/>
          <w:i/>
          <w:spacing w:val="-3"/>
          <w:sz w:val="22"/>
        </w:rPr>
        <w:t>l</w:t>
      </w:r>
      <w:r w:rsidRPr="007B4B2F">
        <w:rPr>
          <w:rFonts w:ascii="Palatino Linotype" w:eastAsia="Arial" w:hAnsi="Palatino Linotype" w:cs="Arial"/>
          <w:i/>
          <w:sz w:val="22"/>
        </w:rPr>
        <w:t>a in</w:t>
      </w:r>
      <w:r w:rsidRPr="007B4B2F">
        <w:rPr>
          <w:rFonts w:ascii="Palatino Linotype" w:eastAsia="Arial" w:hAnsi="Palatino Linotype" w:cs="Arial"/>
          <w:i/>
          <w:spacing w:val="1"/>
          <w:sz w:val="22"/>
        </w:rPr>
        <w:t>fo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on</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id</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c</w:t>
      </w:r>
      <w:r w:rsidRPr="007B4B2F">
        <w:rPr>
          <w:rFonts w:ascii="Palatino Linotype" w:eastAsia="Arial" w:hAnsi="Palatino Linotype" w:cs="Arial"/>
          <w:i/>
          <w:sz w:val="22"/>
        </w:rPr>
        <w:t>ial.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lo</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an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clasi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w:t>
      </w:r>
      <w:r w:rsidRPr="007B4B2F">
        <w:rPr>
          <w:rFonts w:ascii="Palatino Linotype" w:eastAsia="Arial" w:hAnsi="Palatino Linotype" w:cs="Arial"/>
          <w:i/>
          <w:spacing w:val="-3"/>
          <w:sz w:val="22"/>
        </w:rPr>
        <w:t>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ción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y la</w:t>
      </w:r>
      <w:r w:rsidRPr="007B4B2F">
        <w:rPr>
          <w:rFonts w:ascii="Palatino Linotype" w:eastAsia="Arial" w:hAnsi="Palatino Linotype" w:cs="Arial"/>
          <w:i/>
          <w:spacing w:val="2"/>
          <w:sz w:val="22"/>
        </w:rPr>
        <w:t xml:space="preserve"> i</w:t>
      </w:r>
      <w:r w:rsidRPr="007B4B2F">
        <w:rPr>
          <w:rFonts w:ascii="Palatino Linotype" w:eastAsia="Arial" w:hAnsi="Palatino Linotype" w:cs="Arial"/>
          <w:i/>
          <w:spacing w:val="1"/>
          <w:sz w:val="22"/>
        </w:rPr>
        <w:t>ne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 c</w:t>
      </w:r>
      <w:r w:rsidRPr="007B4B2F">
        <w:rPr>
          <w:rFonts w:ascii="Palatino Linotype" w:eastAsia="Arial" w:hAnsi="Palatino Linotype" w:cs="Arial"/>
          <w:i/>
          <w:spacing w:val="1"/>
          <w:sz w:val="22"/>
        </w:rPr>
        <w:t>oe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í</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v</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r</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la clasi</w:t>
      </w:r>
      <w:r w:rsidRPr="007B4B2F">
        <w:rPr>
          <w:rFonts w:ascii="Palatino Linotype" w:eastAsia="Arial" w:hAnsi="Palatino Linotype" w:cs="Arial"/>
          <w:i/>
          <w:spacing w:val="3"/>
          <w:sz w:val="22"/>
        </w:rPr>
        <w:t>f</w:t>
      </w:r>
      <w:r w:rsidRPr="007B4B2F">
        <w:rPr>
          <w:rFonts w:ascii="Palatino Linotype" w:eastAsia="Arial" w:hAnsi="Palatino Linotype" w:cs="Arial"/>
          <w:i/>
          <w:sz w:val="22"/>
        </w:rPr>
        <w:t>icaci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2"/>
          <w:sz w:val="22"/>
        </w:rPr>
        <w:t>n</w:t>
      </w:r>
      <w:r w:rsidRPr="007B4B2F">
        <w:rPr>
          <w:rFonts w:ascii="Palatino Linotype" w:eastAsia="Arial" w:hAnsi="Palatino Linotype" w:cs="Arial"/>
          <w:i/>
          <w:spacing w:val="3"/>
          <w:sz w:val="22"/>
        </w:rPr>
        <w:t>f</w:t>
      </w:r>
      <w:r w:rsidRPr="007B4B2F">
        <w:rPr>
          <w:rFonts w:ascii="Palatino Linotype" w:eastAsia="Arial" w:hAnsi="Palatino Linotype" w:cs="Arial"/>
          <w:i/>
          <w:spacing w:val="1"/>
          <w:sz w:val="22"/>
        </w:rPr>
        <w:t>o</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ma</w:t>
      </w:r>
      <w:r w:rsidRPr="007B4B2F">
        <w:rPr>
          <w:rFonts w:ascii="Palatino Linotype" w:eastAsia="Arial" w:hAnsi="Palatino Linotype" w:cs="Arial"/>
          <w:i/>
          <w:sz w:val="22"/>
        </w:rPr>
        <w:t>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mp</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2"/>
          <w:sz w:val="22"/>
        </w:rPr>
        <w:t>c</w:t>
      </w:r>
      <w:r w:rsidRPr="007B4B2F">
        <w:rPr>
          <w:rFonts w:ascii="Palatino Linotype" w:eastAsia="Arial" w:hAnsi="Palatino Linotype" w:cs="Arial"/>
          <w:i/>
          <w:sz w:val="22"/>
        </w:rPr>
        <w:t xml:space="preserve">a </w:t>
      </w:r>
      <w:r w:rsidRPr="007B4B2F">
        <w:rPr>
          <w:rFonts w:ascii="Palatino Linotype" w:eastAsia="Arial" w:hAnsi="Palatino Linotype" w:cs="Arial"/>
          <w:i/>
          <w:sz w:val="22"/>
        </w:rPr>
        <w:lastRenderedPageBreak/>
        <w:t>in</w:t>
      </w:r>
      <w:r w:rsidRPr="007B4B2F">
        <w:rPr>
          <w:rFonts w:ascii="Palatino Linotype" w:eastAsia="Arial" w:hAnsi="Palatino Linotype" w:cs="Arial"/>
          <w:i/>
          <w:spacing w:val="-2"/>
          <w:sz w:val="22"/>
        </w:rPr>
        <w:t>v</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ab</w:t>
      </w:r>
      <w:r w:rsidRPr="007B4B2F">
        <w:rPr>
          <w:rFonts w:ascii="Palatino Linotype" w:eastAsia="Arial" w:hAnsi="Palatino Linotype" w:cs="Arial"/>
          <w:i/>
          <w:sz w:val="22"/>
        </w:rPr>
        <w:t>le</w:t>
      </w:r>
      <w:r w:rsidRPr="007B4B2F">
        <w:rPr>
          <w:rFonts w:ascii="Palatino Linotype" w:eastAsia="Arial" w:hAnsi="Palatino Linotype" w:cs="Arial"/>
          <w:i/>
          <w:spacing w:val="2"/>
          <w:sz w:val="22"/>
        </w:rPr>
        <w:t>m</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n</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pacing w:val="1"/>
          <w:sz w:val="22"/>
        </w:rPr>
        <w:t>do</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me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to</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do</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en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in</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do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t</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s</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la in</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xist</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cia c</w:t>
      </w:r>
      <w:r w:rsidRPr="007B4B2F">
        <w:rPr>
          <w:rFonts w:ascii="Palatino Linotype" w:eastAsia="Arial" w:hAnsi="Palatino Linotype" w:cs="Arial"/>
          <w:i/>
          <w:spacing w:val="1"/>
          <w:sz w:val="22"/>
        </w:rPr>
        <w:t>on</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l</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v</w:t>
      </w:r>
      <w:r w:rsidRPr="007B4B2F">
        <w:rPr>
          <w:rFonts w:ascii="Palatino Linotype" w:eastAsia="Arial" w:hAnsi="Palatino Linotype" w:cs="Arial"/>
          <w:i/>
          <w:sz w:val="22"/>
        </w:rPr>
        <w:t>a</w:t>
      </w:r>
      <w:r w:rsidRPr="007B4B2F">
        <w:rPr>
          <w:rFonts w:ascii="Palatino Linotype" w:eastAsia="Arial" w:hAnsi="Palatino Linotype" w:cs="Arial"/>
          <w:i/>
          <w:spacing w:val="3"/>
          <w:sz w:val="22"/>
        </w:rPr>
        <w:t xml:space="preserve"> </w:t>
      </w:r>
      <w:r w:rsidRPr="007B4B2F">
        <w:rPr>
          <w:rFonts w:ascii="Palatino Linotype" w:eastAsia="Arial" w:hAnsi="Palatino Linotype" w:cs="Arial"/>
          <w:i/>
          <w:sz w:val="22"/>
        </w:rPr>
        <w:t xml:space="preserve">la </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cia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m</w:t>
      </w:r>
      <w:r w:rsidRPr="007B4B2F">
        <w:rPr>
          <w:rFonts w:ascii="Palatino Linotype" w:eastAsia="Arial" w:hAnsi="Palatino Linotype" w:cs="Arial"/>
          <w:i/>
          <w:sz w:val="22"/>
        </w:rPr>
        <w:t>i</w:t>
      </w:r>
      <w:r w:rsidRPr="007B4B2F">
        <w:rPr>
          <w:rFonts w:ascii="Palatino Linotype" w:eastAsia="Arial" w:hAnsi="Palatino Linotype" w:cs="Arial"/>
          <w:i/>
          <w:spacing w:val="-3"/>
          <w:sz w:val="22"/>
        </w:rPr>
        <w:t>s</w:t>
      </w:r>
      <w:r w:rsidRPr="007B4B2F">
        <w:rPr>
          <w:rFonts w:ascii="Palatino Linotype" w:eastAsia="Arial" w:hAnsi="Palatino Linotype" w:cs="Arial"/>
          <w:i/>
          <w:spacing w:val="1"/>
          <w:sz w:val="22"/>
        </w:rPr>
        <w:t>mo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los </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rchi</w:t>
      </w:r>
      <w:r w:rsidRPr="007B4B2F">
        <w:rPr>
          <w:rFonts w:ascii="Palatino Linotype" w:eastAsia="Arial" w:hAnsi="Palatino Linotype" w:cs="Arial"/>
          <w:i/>
          <w:spacing w:val="-3"/>
          <w:sz w:val="22"/>
        </w:rPr>
        <w:t>v</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 la</w:t>
      </w:r>
      <w:r w:rsidRPr="007B4B2F">
        <w:rPr>
          <w:rFonts w:ascii="Palatino Linotype" w:eastAsia="Arial" w:hAnsi="Palatino Linotype" w:cs="Arial"/>
          <w:i/>
          <w:spacing w:val="1"/>
          <w:sz w:val="22"/>
        </w:rPr>
        <w:t xml:space="preserve"> d</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pe</w:t>
      </w:r>
      <w:r w:rsidRPr="007B4B2F">
        <w:rPr>
          <w:rFonts w:ascii="Palatino Linotype" w:eastAsia="Arial" w:hAnsi="Palatino Linotype" w:cs="Arial"/>
          <w:i/>
          <w:spacing w:val="-1"/>
          <w:sz w:val="22"/>
        </w:rPr>
        <w:t>n</w:t>
      </w:r>
      <w:r w:rsidRPr="007B4B2F">
        <w:rPr>
          <w:rFonts w:ascii="Palatino Linotype" w:eastAsia="Arial" w:hAnsi="Palatino Linotype" w:cs="Arial"/>
          <w:i/>
          <w:spacing w:val="1"/>
          <w:sz w:val="22"/>
        </w:rPr>
        <w:t>den</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z w:val="22"/>
        </w:rPr>
        <w:t>a</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 xml:space="preserve">o </w:t>
      </w:r>
      <w:r w:rsidRPr="007B4B2F">
        <w:rPr>
          <w:rFonts w:ascii="Palatino Linotype" w:eastAsia="Arial" w:hAnsi="Palatino Linotype" w:cs="Arial"/>
          <w:i/>
          <w:spacing w:val="1"/>
          <w:sz w:val="22"/>
        </w:rPr>
        <w:t>en</w:t>
      </w:r>
      <w:r w:rsidRPr="007B4B2F">
        <w:rPr>
          <w:rFonts w:ascii="Palatino Linotype" w:eastAsia="Arial" w:hAnsi="Palatino Linotype" w:cs="Arial"/>
          <w:i/>
          <w:sz w:val="22"/>
        </w:rPr>
        <w:t>t</w:t>
      </w:r>
      <w:r w:rsidRPr="007B4B2F">
        <w:rPr>
          <w:rFonts w:ascii="Palatino Linotype" w:eastAsia="Arial" w:hAnsi="Palatino Linotype" w:cs="Arial"/>
          <w:i/>
          <w:spacing w:val="-2"/>
          <w:sz w:val="22"/>
        </w:rPr>
        <w:t>i</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t</w:t>
      </w:r>
      <w:r w:rsidRPr="007B4B2F">
        <w:rPr>
          <w:rFonts w:ascii="Palatino Linotype" w:eastAsia="Arial" w:hAnsi="Palatino Linotype" w:cs="Arial"/>
          <w:i/>
          <w:sz w:val="22"/>
        </w:rPr>
        <w:t>ra</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w:t>
      </w:r>
    </w:p>
    <w:p w14:paraId="33BB44EB" w14:textId="77777777" w:rsidR="00C26B6F" w:rsidRPr="007B4B2F" w:rsidRDefault="00C26B6F" w:rsidP="00C26B6F">
      <w:pPr>
        <w:spacing w:line="360" w:lineRule="auto"/>
        <w:ind w:left="567" w:right="567"/>
        <w:rPr>
          <w:rFonts w:ascii="Palatino Linotype" w:hAnsi="Palatino Linotype"/>
          <w:i/>
          <w:sz w:val="22"/>
        </w:rPr>
      </w:pPr>
    </w:p>
    <w:p w14:paraId="324FB973" w14:textId="77777777" w:rsidR="00C26B6F" w:rsidRPr="007B4B2F" w:rsidRDefault="00C26B6F" w:rsidP="00C26B6F">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b/>
          <w:i/>
          <w:sz w:val="22"/>
        </w:rPr>
        <w:t>E</w:t>
      </w:r>
      <w:r w:rsidRPr="007B4B2F">
        <w:rPr>
          <w:rFonts w:ascii="Palatino Linotype" w:eastAsia="Arial" w:hAnsi="Palatino Linotype" w:cs="Arial"/>
          <w:b/>
          <w:i/>
          <w:spacing w:val="1"/>
          <w:sz w:val="22"/>
        </w:rPr>
        <w:t>x</w:t>
      </w:r>
      <w:r w:rsidRPr="007B4B2F">
        <w:rPr>
          <w:rFonts w:ascii="Palatino Linotype" w:eastAsia="Arial" w:hAnsi="Palatino Linotype" w:cs="Arial"/>
          <w:b/>
          <w:i/>
          <w:sz w:val="22"/>
        </w:rPr>
        <w:t>pedi</w:t>
      </w:r>
      <w:r w:rsidRPr="007B4B2F">
        <w:rPr>
          <w:rFonts w:ascii="Palatino Linotype" w:eastAsia="Arial" w:hAnsi="Palatino Linotype" w:cs="Arial"/>
          <w:b/>
          <w:i/>
          <w:spacing w:val="1"/>
          <w:sz w:val="22"/>
        </w:rPr>
        <w:t>en</w:t>
      </w:r>
      <w:r w:rsidRPr="007B4B2F">
        <w:rPr>
          <w:rFonts w:ascii="Palatino Linotype" w:eastAsia="Arial" w:hAnsi="Palatino Linotype" w:cs="Arial"/>
          <w:b/>
          <w:i/>
          <w:sz w:val="22"/>
        </w:rPr>
        <w:t>t</w:t>
      </w:r>
      <w:r w:rsidRPr="007B4B2F">
        <w:rPr>
          <w:rFonts w:ascii="Palatino Linotype" w:eastAsia="Arial" w:hAnsi="Palatino Linotype" w:cs="Arial"/>
          <w:b/>
          <w:i/>
          <w:spacing w:val="-1"/>
          <w:sz w:val="22"/>
        </w:rPr>
        <w:t>es</w:t>
      </w:r>
      <w:r w:rsidRPr="007B4B2F">
        <w:rPr>
          <w:rFonts w:ascii="Palatino Linotype" w:eastAsia="Arial" w:hAnsi="Palatino Linotype" w:cs="Arial"/>
          <w:b/>
          <w:i/>
          <w:sz w:val="22"/>
        </w:rPr>
        <w:t>:</w:t>
      </w:r>
    </w:p>
    <w:p w14:paraId="378A2E98" w14:textId="77777777" w:rsidR="00C26B6F" w:rsidRPr="007B4B2F" w:rsidRDefault="00C26B6F" w:rsidP="00C26B6F">
      <w:pPr>
        <w:spacing w:line="360" w:lineRule="auto"/>
        <w:ind w:left="567" w:right="567"/>
        <w:jc w:val="both"/>
        <w:rPr>
          <w:rFonts w:ascii="Palatino Linotype" w:eastAsia="Arial" w:hAnsi="Palatino Linotype" w:cs="Arial"/>
          <w:i/>
          <w:sz w:val="22"/>
        </w:rPr>
      </w:pPr>
      <w:r w:rsidRPr="007B4B2F">
        <w:rPr>
          <w:rFonts w:ascii="Palatino Linotype" w:eastAsia="Arial" w:hAnsi="Palatino Linotype" w:cs="Arial"/>
          <w:i/>
          <w:spacing w:val="1"/>
          <w:sz w:val="22"/>
        </w:rPr>
        <w:t>47</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4</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7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x</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loración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y</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z w:val="22"/>
        </w:rPr>
        <w:t>ro</w:t>
      </w:r>
      <w:r w:rsidRPr="007B4B2F">
        <w:rPr>
          <w:rFonts w:ascii="Palatino Linotype" w:eastAsia="Arial" w:hAnsi="Palatino Linotype" w:cs="Arial"/>
          <w:i/>
          <w:spacing w:val="1"/>
          <w:sz w:val="22"/>
        </w:rPr>
        <w:t>du</w:t>
      </w:r>
      <w:r w:rsidRPr="007B4B2F">
        <w:rPr>
          <w:rFonts w:ascii="Palatino Linotype" w:eastAsia="Arial" w:hAnsi="Palatino Linotype" w:cs="Arial"/>
          <w:i/>
          <w:sz w:val="22"/>
        </w:rPr>
        <w:t>cci</w:t>
      </w:r>
      <w:r w:rsidRPr="007B4B2F">
        <w:rPr>
          <w:rFonts w:ascii="Palatino Linotype" w:eastAsia="Arial" w:hAnsi="Palatino Linotype" w:cs="Arial"/>
          <w:i/>
          <w:spacing w:val="-2"/>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5"/>
          <w:sz w:val="22"/>
        </w:rPr>
        <w:t xml:space="preserve"> </w:t>
      </w:r>
      <w:r w:rsidRPr="007B4B2F">
        <w:rPr>
          <w:rFonts w:ascii="Palatino Linotype" w:eastAsia="Arial" w:hAnsi="Palatino Linotype" w:cs="Arial"/>
          <w:i/>
          <w:sz w:val="22"/>
        </w:rPr>
        <w:t>–</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pacing w:val="-2"/>
          <w:sz w:val="22"/>
        </w:rPr>
        <w:t>J</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n</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Pa</w:t>
      </w:r>
      <w:r w:rsidRPr="007B4B2F">
        <w:rPr>
          <w:rFonts w:ascii="Palatino Linotype" w:eastAsia="Arial" w:hAnsi="Palatino Linotype" w:cs="Arial"/>
          <w:i/>
          <w:spacing w:val="1"/>
          <w:sz w:val="22"/>
        </w:rPr>
        <w:t>b</w:t>
      </w:r>
      <w:r w:rsidRPr="007B4B2F">
        <w:rPr>
          <w:rFonts w:ascii="Palatino Linotype" w:eastAsia="Arial" w:hAnsi="Palatino Linotype" w:cs="Arial"/>
          <w:i/>
          <w:sz w:val="22"/>
        </w:rPr>
        <w:t>lo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r</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 xml:space="preserve">ro </w:t>
      </w:r>
      <w:r w:rsidRPr="007B4B2F">
        <w:rPr>
          <w:rFonts w:ascii="Palatino Linotype" w:eastAsia="Arial" w:hAnsi="Palatino Linotype" w:cs="Arial"/>
          <w:i/>
          <w:spacing w:val="-1"/>
          <w:sz w:val="22"/>
        </w:rPr>
        <w:t>A</w:t>
      </w:r>
      <w:r w:rsidRPr="007B4B2F">
        <w:rPr>
          <w:rFonts w:ascii="Palatino Linotype" w:eastAsia="Arial" w:hAnsi="Palatino Linotype" w:cs="Arial"/>
          <w:i/>
          <w:spacing w:val="1"/>
          <w:sz w:val="22"/>
        </w:rPr>
        <w:t>m</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rán. </w:t>
      </w:r>
      <w:r w:rsidRPr="007B4B2F">
        <w:rPr>
          <w:rFonts w:ascii="Palatino Linotype" w:eastAsia="Arial" w:hAnsi="Palatino Linotype" w:cs="Arial"/>
          <w:i/>
          <w:spacing w:val="1"/>
          <w:sz w:val="22"/>
        </w:rPr>
        <w:t>29</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6</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8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Co</w:t>
      </w:r>
      <w:r w:rsidRPr="007B4B2F">
        <w:rPr>
          <w:rFonts w:ascii="Palatino Linotype" w:eastAsia="Arial" w:hAnsi="Palatino Linotype" w:cs="Arial"/>
          <w:i/>
          <w:spacing w:val="2"/>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n</w:t>
      </w:r>
      <w:r w:rsidRPr="007B4B2F">
        <w:rPr>
          <w:rFonts w:ascii="Palatino Linotype" w:eastAsia="Arial" w:hAnsi="Palatino Linotype" w:cs="Arial"/>
          <w:i/>
          <w:spacing w:val="35"/>
          <w:sz w:val="22"/>
        </w:rPr>
        <w:t xml:space="preserve"> </w:t>
      </w:r>
      <w:r w:rsidRPr="007B4B2F">
        <w:rPr>
          <w:rFonts w:ascii="Palatino Linotype" w:eastAsia="Arial" w:hAnsi="Palatino Linotype" w:cs="Arial"/>
          <w:i/>
          <w:sz w:val="22"/>
        </w:rPr>
        <w:t>Fe</w:t>
      </w:r>
      <w:r w:rsidRPr="007B4B2F">
        <w:rPr>
          <w:rFonts w:ascii="Palatino Linotype" w:eastAsia="Arial" w:hAnsi="Palatino Linotype" w:cs="Arial"/>
          <w:i/>
          <w:spacing w:val="-1"/>
          <w:sz w:val="22"/>
        </w:rPr>
        <w:t>d</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ral</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e</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le</w:t>
      </w:r>
      <w:r w:rsidRPr="007B4B2F">
        <w:rPr>
          <w:rFonts w:ascii="Palatino Linotype" w:eastAsia="Arial" w:hAnsi="Palatino Linotype" w:cs="Arial"/>
          <w:i/>
          <w:spacing w:val="-2"/>
          <w:sz w:val="22"/>
        </w:rPr>
        <w:t>c</w:t>
      </w:r>
      <w:r w:rsidRPr="007B4B2F">
        <w:rPr>
          <w:rFonts w:ascii="Palatino Linotype" w:eastAsia="Arial" w:hAnsi="Palatino Linotype" w:cs="Arial"/>
          <w:i/>
          <w:spacing w:val="-1"/>
          <w:sz w:val="22"/>
        </w:rPr>
        <w:t>o</w:t>
      </w:r>
      <w:r w:rsidRPr="007B4B2F">
        <w:rPr>
          <w:rFonts w:ascii="Palatino Linotype" w:eastAsia="Arial" w:hAnsi="Palatino Linotype" w:cs="Arial"/>
          <w:i/>
          <w:spacing w:val="1"/>
          <w:sz w:val="22"/>
        </w:rPr>
        <w:t>mun</w:t>
      </w:r>
      <w:r w:rsidRPr="007B4B2F">
        <w:rPr>
          <w:rFonts w:ascii="Palatino Linotype" w:eastAsia="Arial" w:hAnsi="Palatino Linotype" w:cs="Arial"/>
          <w:i/>
          <w:sz w:val="22"/>
        </w:rPr>
        <w:t>icac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one</w:t>
      </w:r>
      <w:r w:rsidRPr="007B4B2F">
        <w:rPr>
          <w:rFonts w:ascii="Palatino Linotype" w:eastAsia="Arial" w:hAnsi="Palatino Linotype" w:cs="Arial"/>
          <w:i/>
          <w:sz w:val="22"/>
        </w:rPr>
        <w:t>s</w:t>
      </w:r>
      <w:r w:rsidRPr="007B4B2F">
        <w:rPr>
          <w:rFonts w:ascii="Palatino Linotype" w:eastAsia="Arial" w:hAnsi="Palatino Linotype" w:cs="Arial"/>
          <w:i/>
          <w:spacing w:val="39"/>
          <w:sz w:val="22"/>
        </w:rPr>
        <w:t xml:space="preserve"> </w:t>
      </w:r>
      <w:r w:rsidRPr="007B4B2F">
        <w:rPr>
          <w:rFonts w:ascii="Palatino Linotype" w:eastAsia="Arial" w:hAnsi="Palatino Linotype" w:cs="Arial"/>
          <w:i/>
          <w:sz w:val="22"/>
        </w:rPr>
        <w:t>-</w:t>
      </w:r>
      <w:r w:rsidRPr="007B4B2F">
        <w:rPr>
          <w:rFonts w:ascii="Palatino Linotype" w:eastAsia="Arial" w:hAnsi="Palatino Linotype" w:cs="Arial"/>
          <w:i/>
          <w:spacing w:val="33"/>
          <w:sz w:val="22"/>
        </w:rPr>
        <w:t xml:space="preserve"> </w:t>
      </w:r>
      <w:r w:rsidRPr="007B4B2F">
        <w:rPr>
          <w:rFonts w:ascii="Palatino Linotype" w:eastAsia="Arial" w:hAnsi="Palatino Linotype" w:cs="Arial"/>
          <w:i/>
          <w:sz w:val="22"/>
        </w:rPr>
        <w:t>Alo</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s</w:t>
      </w:r>
      <w:r w:rsidRPr="007B4B2F">
        <w:rPr>
          <w:rFonts w:ascii="Palatino Linotype" w:eastAsia="Arial" w:hAnsi="Palatino Linotype" w:cs="Arial"/>
          <w:i/>
          <w:sz w:val="22"/>
        </w:rPr>
        <w:t>o</w:t>
      </w:r>
      <w:r w:rsidRPr="007B4B2F">
        <w:rPr>
          <w:rFonts w:ascii="Palatino Linotype" w:eastAsia="Arial" w:hAnsi="Palatino Linotype" w:cs="Arial"/>
          <w:i/>
          <w:spacing w:val="34"/>
          <w:sz w:val="22"/>
        </w:rPr>
        <w:t xml:space="preserve"> </w:t>
      </w:r>
      <w:r w:rsidRPr="007B4B2F">
        <w:rPr>
          <w:rFonts w:ascii="Palatino Linotype" w:eastAsia="Arial" w:hAnsi="Palatino Linotype" w:cs="Arial"/>
          <w:i/>
          <w:sz w:val="22"/>
        </w:rPr>
        <w:t>G</w:t>
      </w:r>
      <w:r w:rsidRPr="007B4B2F">
        <w:rPr>
          <w:rFonts w:ascii="Palatino Linotype" w:eastAsia="Arial" w:hAnsi="Palatino Linotype" w:cs="Arial"/>
          <w:i/>
          <w:spacing w:val="-1"/>
          <w:sz w:val="22"/>
        </w:rPr>
        <w:t>ó</w:t>
      </w:r>
      <w:r w:rsidRPr="007B4B2F">
        <w:rPr>
          <w:rFonts w:ascii="Palatino Linotype" w:eastAsia="Arial" w:hAnsi="Palatino Linotype" w:cs="Arial"/>
          <w:i/>
          <w:spacing w:val="1"/>
          <w:sz w:val="22"/>
        </w:rPr>
        <w:t>me</w:t>
      </w:r>
      <w:r w:rsidRPr="007B4B2F">
        <w:rPr>
          <w:rFonts w:ascii="Palatino Linotype" w:eastAsia="Arial" w:hAnsi="Palatino Linotype" w:cs="Arial"/>
          <w:i/>
          <w:sz w:val="22"/>
        </w:rPr>
        <w:t>z</w:t>
      </w:r>
      <w:r w:rsidRPr="007B4B2F">
        <w:rPr>
          <w:rFonts w:ascii="Palatino Linotype" w:eastAsia="Arial" w:hAnsi="Palatino Linotype" w:cs="Arial"/>
          <w:i/>
          <w:spacing w:val="-1"/>
          <w:sz w:val="22"/>
        </w:rPr>
        <w:t>-</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ob</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e</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o  V</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rd</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z</w:t>
      </w:r>
      <w:r w:rsidRPr="007B4B2F">
        <w:rPr>
          <w:rFonts w:ascii="Palatino Linotype" w:eastAsia="Arial" w:hAnsi="Palatino Linotype" w:cs="Arial"/>
          <w:i/>
          <w:sz w:val="22"/>
        </w:rPr>
        <w:t xml:space="preserve">co. </w:t>
      </w:r>
      <w:r w:rsidRPr="007B4B2F">
        <w:rPr>
          <w:rFonts w:ascii="Palatino Linotype" w:eastAsia="Arial" w:hAnsi="Palatino Linotype" w:cs="Arial"/>
          <w:i/>
          <w:spacing w:val="1"/>
          <w:sz w:val="22"/>
        </w:rPr>
        <w:t>47</w:t>
      </w:r>
      <w:r w:rsidRPr="007B4B2F">
        <w:rPr>
          <w:rFonts w:ascii="Palatino Linotype" w:eastAsia="Arial" w:hAnsi="Palatino Linotype" w:cs="Arial"/>
          <w:i/>
          <w:spacing w:val="-1"/>
          <w:sz w:val="22"/>
        </w:rPr>
        <w:t>8</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9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Co</w:t>
      </w:r>
      <w:r w:rsidRPr="007B4B2F">
        <w:rPr>
          <w:rFonts w:ascii="Palatino Linotype" w:eastAsia="Arial" w:hAnsi="Palatino Linotype" w:cs="Arial"/>
          <w:i/>
          <w:spacing w:val="2"/>
          <w:sz w:val="22"/>
        </w:rPr>
        <w:t>m</w:t>
      </w:r>
      <w:r w:rsidRPr="007B4B2F">
        <w:rPr>
          <w:rFonts w:ascii="Palatino Linotype" w:eastAsia="Arial" w:hAnsi="Palatino Linotype" w:cs="Arial"/>
          <w:i/>
          <w:sz w:val="22"/>
        </w:rPr>
        <w:t>is</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ó</w:t>
      </w:r>
      <w:r w:rsidRPr="007B4B2F">
        <w:rPr>
          <w:rFonts w:ascii="Palatino Linotype" w:eastAsia="Arial" w:hAnsi="Palatino Linotype" w:cs="Arial"/>
          <w:i/>
          <w:sz w:val="22"/>
        </w:rPr>
        <w:t xml:space="preserve">n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Naci</w:t>
      </w:r>
      <w:r w:rsidRPr="007B4B2F">
        <w:rPr>
          <w:rFonts w:ascii="Palatino Linotype" w:eastAsia="Arial" w:hAnsi="Palatino Linotype" w:cs="Arial"/>
          <w:i/>
          <w:spacing w:val="-2"/>
          <w:sz w:val="22"/>
        </w:rPr>
        <w:t>o</w:t>
      </w:r>
      <w:r w:rsidRPr="007B4B2F">
        <w:rPr>
          <w:rFonts w:ascii="Palatino Linotype" w:eastAsia="Arial" w:hAnsi="Palatino Linotype" w:cs="Arial"/>
          <w:i/>
          <w:spacing w:val="1"/>
          <w:sz w:val="22"/>
        </w:rPr>
        <w:t>na</w:t>
      </w:r>
      <w:r w:rsidRPr="007B4B2F">
        <w:rPr>
          <w:rFonts w:ascii="Palatino Linotype" w:eastAsia="Arial" w:hAnsi="Palatino Linotype" w:cs="Arial"/>
          <w:i/>
          <w:sz w:val="22"/>
        </w:rPr>
        <w:t xml:space="preserve">l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pacing w:val="1"/>
          <w:sz w:val="22"/>
        </w:rPr>
        <w:t>L</w:t>
      </w:r>
      <w:r w:rsidRPr="007B4B2F">
        <w:rPr>
          <w:rFonts w:ascii="Palatino Linotype" w:eastAsia="Arial" w:hAnsi="Palatino Linotype" w:cs="Arial"/>
          <w:i/>
          <w:sz w:val="22"/>
        </w:rPr>
        <w:t xml:space="preserve">ibros </w:t>
      </w:r>
      <w:r w:rsidRPr="007B4B2F">
        <w:rPr>
          <w:rFonts w:ascii="Palatino Linotype" w:eastAsia="Arial" w:hAnsi="Palatino Linotype" w:cs="Arial"/>
          <w:i/>
          <w:spacing w:val="56"/>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4"/>
          <w:sz w:val="22"/>
        </w:rPr>
        <w:t xml:space="preserve"> </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 xml:space="preserve">to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z w:val="22"/>
        </w:rPr>
        <w:t>Grat</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it</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 xml:space="preserve">s </w:t>
      </w:r>
      <w:r w:rsidRPr="007B4B2F">
        <w:rPr>
          <w:rFonts w:ascii="Palatino Linotype" w:eastAsia="Arial" w:hAnsi="Palatino Linotype" w:cs="Arial"/>
          <w:i/>
          <w:spacing w:val="63"/>
          <w:sz w:val="22"/>
        </w:rPr>
        <w:t xml:space="preserve"> </w:t>
      </w:r>
      <w:r w:rsidRPr="007B4B2F">
        <w:rPr>
          <w:rFonts w:ascii="Palatino Linotype" w:eastAsia="Arial" w:hAnsi="Palatino Linotype" w:cs="Arial"/>
          <w:i/>
          <w:sz w:val="22"/>
        </w:rPr>
        <w:t xml:space="preserve">- </w:t>
      </w:r>
      <w:r w:rsidRPr="007B4B2F">
        <w:rPr>
          <w:rFonts w:ascii="Palatino Linotype" w:eastAsia="Arial" w:hAnsi="Palatino Linotype" w:cs="Arial"/>
          <w:i/>
          <w:spacing w:val="55"/>
          <w:sz w:val="22"/>
        </w:rPr>
        <w:t xml:space="preserve"> </w:t>
      </w:r>
      <w:r w:rsidRPr="007B4B2F">
        <w:rPr>
          <w:rFonts w:ascii="Palatino Linotype" w:eastAsia="Arial" w:hAnsi="Palatino Linotype" w:cs="Arial"/>
          <w:i/>
          <w:sz w:val="22"/>
        </w:rPr>
        <w:t>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in</w:t>
      </w:r>
      <w:r w:rsidRPr="007B4B2F">
        <w:rPr>
          <w:rFonts w:ascii="Palatino Linotype" w:eastAsia="Arial" w:hAnsi="Palatino Linotype" w:cs="Arial"/>
          <w:i/>
          <w:sz w:val="22"/>
        </w:rPr>
        <w:t>e. 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Mar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54</w:t>
      </w:r>
      <w:r w:rsidRPr="007B4B2F">
        <w:rPr>
          <w:rFonts w:ascii="Palatino Linotype" w:eastAsia="Arial" w:hAnsi="Palatino Linotype" w:cs="Arial"/>
          <w:i/>
          <w:spacing w:val="-1"/>
          <w:sz w:val="22"/>
        </w:rPr>
        <w:t>3</w:t>
      </w:r>
      <w:r w:rsidRPr="007B4B2F">
        <w:rPr>
          <w:rFonts w:ascii="Palatino Linotype" w:eastAsia="Arial" w:hAnsi="Palatino Linotype" w:cs="Arial"/>
          <w:i/>
          <w:spacing w:val="1"/>
          <w:sz w:val="22"/>
        </w:rPr>
        <w:t>4</w:t>
      </w:r>
      <w:r w:rsidRPr="007B4B2F">
        <w:rPr>
          <w:rFonts w:ascii="Palatino Linotype" w:eastAsia="Arial" w:hAnsi="Palatino Linotype" w:cs="Arial"/>
          <w:i/>
          <w:sz w:val="22"/>
        </w:rPr>
        <w:t>/</w:t>
      </w:r>
      <w:r w:rsidRPr="007B4B2F">
        <w:rPr>
          <w:rFonts w:ascii="Palatino Linotype" w:eastAsia="Arial" w:hAnsi="Palatino Linotype" w:cs="Arial"/>
          <w:i/>
          <w:spacing w:val="1"/>
          <w:sz w:val="22"/>
        </w:rPr>
        <w:t>0</w:t>
      </w:r>
      <w:r w:rsidRPr="007B4B2F">
        <w:rPr>
          <w:rFonts w:ascii="Palatino Linotype" w:eastAsia="Arial" w:hAnsi="Palatino Linotype" w:cs="Arial"/>
          <w:i/>
          <w:sz w:val="22"/>
        </w:rPr>
        <w:t xml:space="preserve">9      </w:t>
      </w:r>
      <w:r w:rsidRPr="007B4B2F">
        <w:rPr>
          <w:rFonts w:ascii="Palatino Linotype" w:eastAsia="Arial" w:hAnsi="Palatino Linotype" w:cs="Arial"/>
          <w:i/>
          <w:spacing w:val="64"/>
          <w:sz w:val="22"/>
        </w:rPr>
        <w:t xml:space="preserve"> </w:t>
      </w:r>
      <w:r w:rsidRPr="007B4B2F">
        <w:rPr>
          <w:rFonts w:ascii="Palatino Linotype" w:eastAsia="Arial" w:hAnsi="Palatino Linotype" w:cs="Arial"/>
          <w:i/>
          <w:sz w:val="22"/>
        </w:rPr>
        <w:t>A</w:t>
      </w:r>
      <w:r w:rsidRPr="007B4B2F">
        <w:rPr>
          <w:rFonts w:ascii="Palatino Linotype" w:eastAsia="Arial" w:hAnsi="Palatino Linotype" w:cs="Arial"/>
          <w:i/>
          <w:spacing w:val="1"/>
          <w:sz w:val="22"/>
        </w:rPr>
        <w:t>dm</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 xml:space="preserve">istración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P</w:t>
      </w:r>
      <w:r w:rsidRPr="007B4B2F">
        <w:rPr>
          <w:rFonts w:ascii="Palatino Linotype" w:eastAsia="Arial" w:hAnsi="Palatino Linotype" w:cs="Arial"/>
          <w:i/>
          <w:spacing w:val="1"/>
          <w:sz w:val="22"/>
        </w:rPr>
        <w:t>o</w:t>
      </w:r>
      <w:r w:rsidRPr="007B4B2F">
        <w:rPr>
          <w:rFonts w:ascii="Palatino Linotype" w:eastAsia="Arial" w:hAnsi="Palatino Linotype" w:cs="Arial"/>
          <w:i/>
          <w:sz w:val="22"/>
        </w:rPr>
        <w:t>rt</w:t>
      </w:r>
      <w:r w:rsidRPr="007B4B2F">
        <w:rPr>
          <w:rFonts w:ascii="Palatino Linotype" w:eastAsia="Arial" w:hAnsi="Palatino Linotype" w:cs="Arial"/>
          <w:i/>
          <w:spacing w:val="-2"/>
          <w:sz w:val="22"/>
        </w:rPr>
        <w:t>u</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 xml:space="preserve">a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pacing w:val="-2"/>
          <w:sz w:val="22"/>
        </w:rPr>
        <w:t>t</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g</w:t>
      </w:r>
      <w:r w:rsidRPr="007B4B2F">
        <w:rPr>
          <w:rFonts w:ascii="Palatino Linotype" w:eastAsia="Arial" w:hAnsi="Palatino Linotype" w:cs="Arial"/>
          <w:i/>
          <w:sz w:val="22"/>
        </w:rPr>
        <w:t xml:space="preserve">ral </w:t>
      </w:r>
      <w:r w:rsidRPr="007B4B2F">
        <w:rPr>
          <w:rFonts w:ascii="Palatino Linotype" w:eastAsia="Arial" w:hAnsi="Palatino Linotype" w:cs="Arial"/>
          <w:i/>
          <w:spacing w:val="58"/>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7"/>
          <w:sz w:val="22"/>
        </w:rPr>
        <w:t xml:space="preserve"> </w:t>
      </w:r>
      <w:r w:rsidRPr="007B4B2F">
        <w:rPr>
          <w:rFonts w:ascii="Palatino Linotype" w:eastAsia="Arial" w:hAnsi="Palatino Linotype" w:cs="Arial"/>
          <w:i/>
          <w:sz w:val="22"/>
        </w:rPr>
        <w:t>V</w:t>
      </w:r>
      <w:r w:rsidRPr="007B4B2F">
        <w:rPr>
          <w:rFonts w:ascii="Palatino Linotype" w:eastAsia="Arial" w:hAnsi="Palatino Linotype" w:cs="Arial"/>
          <w:i/>
          <w:spacing w:val="1"/>
          <w:sz w:val="22"/>
        </w:rPr>
        <w:t>e</w:t>
      </w:r>
      <w:r w:rsidRPr="007B4B2F">
        <w:rPr>
          <w:rFonts w:ascii="Palatino Linotype" w:eastAsia="Arial" w:hAnsi="Palatino Linotype" w:cs="Arial"/>
          <w:i/>
          <w:spacing w:val="-3"/>
          <w:sz w:val="22"/>
        </w:rPr>
        <w:t>r</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cru</w:t>
      </w:r>
      <w:r w:rsidRPr="007B4B2F">
        <w:rPr>
          <w:rFonts w:ascii="Palatino Linotype" w:eastAsia="Arial" w:hAnsi="Palatino Linotype" w:cs="Arial"/>
          <w:i/>
          <w:spacing w:val="-2"/>
          <w:sz w:val="22"/>
        </w:rPr>
        <w:t>z</w:t>
      </w:r>
      <w:r w:rsidRPr="007B4B2F">
        <w:rPr>
          <w:rFonts w:ascii="Palatino Linotype" w:eastAsia="Arial" w:hAnsi="Palatino Linotype" w:cs="Arial"/>
          <w:i/>
          <w:sz w:val="22"/>
        </w:rPr>
        <w:t xml:space="preserve">,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 </w:t>
      </w:r>
      <w:r w:rsidRPr="007B4B2F">
        <w:rPr>
          <w:rFonts w:ascii="Palatino Linotype" w:eastAsia="Arial" w:hAnsi="Palatino Linotype" w:cs="Arial"/>
          <w:i/>
          <w:spacing w:val="56"/>
          <w:sz w:val="22"/>
        </w:rPr>
        <w:t xml:space="preserve"> </w:t>
      </w:r>
      <w:r w:rsidRPr="007B4B2F">
        <w:rPr>
          <w:rFonts w:ascii="Palatino Linotype" w:eastAsia="Arial" w:hAnsi="Palatino Linotype" w:cs="Arial"/>
          <w:i/>
          <w:spacing w:val="1"/>
          <w:sz w:val="22"/>
        </w:rPr>
        <w:t>d</w:t>
      </w:r>
      <w:r w:rsidRPr="007B4B2F">
        <w:rPr>
          <w:rFonts w:ascii="Palatino Linotype" w:eastAsia="Arial" w:hAnsi="Palatino Linotype" w:cs="Arial"/>
          <w:i/>
          <w:sz w:val="22"/>
        </w:rPr>
        <w:t xml:space="preserve">e </w:t>
      </w:r>
      <w:r w:rsidRPr="007B4B2F">
        <w:rPr>
          <w:rFonts w:ascii="Palatino Linotype" w:eastAsia="Arial" w:hAnsi="Palatino Linotype" w:cs="Arial"/>
          <w:i/>
          <w:spacing w:val="59"/>
          <w:sz w:val="22"/>
        </w:rPr>
        <w:t xml:space="preserve"> </w:t>
      </w:r>
      <w:r w:rsidRPr="007B4B2F">
        <w:rPr>
          <w:rFonts w:ascii="Palatino Linotype" w:eastAsia="Arial" w:hAnsi="Palatino Linotype" w:cs="Arial"/>
          <w:i/>
          <w:sz w:val="22"/>
        </w:rPr>
        <w:t>C</w:t>
      </w:r>
      <w:r w:rsidRPr="007B4B2F">
        <w:rPr>
          <w:rFonts w:ascii="Palatino Linotype" w:eastAsia="Arial" w:hAnsi="Palatino Linotype" w:cs="Arial"/>
          <w:i/>
          <w:spacing w:val="-2"/>
          <w:sz w:val="22"/>
        </w:rPr>
        <w:t>.</w:t>
      </w:r>
      <w:r w:rsidRPr="007B4B2F">
        <w:rPr>
          <w:rFonts w:ascii="Palatino Linotype" w:eastAsia="Arial" w:hAnsi="Palatino Linotype" w:cs="Arial"/>
          <w:i/>
          <w:sz w:val="22"/>
        </w:rPr>
        <w:t xml:space="preserve">V. </w:t>
      </w:r>
      <w:r w:rsidRPr="007B4B2F">
        <w:rPr>
          <w:rFonts w:ascii="Palatino Linotype" w:eastAsia="Arial" w:hAnsi="Palatino Linotype" w:cs="Arial"/>
          <w:i/>
          <w:spacing w:val="65"/>
          <w:sz w:val="22"/>
        </w:rPr>
        <w:t xml:space="preserve"> </w:t>
      </w:r>
      <w:r w:rsidRPr="007B4B2F">
        <w:rPr>
          <w:rFonts w:ascii="Palatino Linotype" w:eastAsia="Arial" w:hAnsi="Palatino Linotype" w:cs="Arial"/>
          <w:i/>
          <w:sz w:val="22"/>
        </w:rPr>
        <w:t>- 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w:t>
      </w:r>
      <w:r w:rsidRPr="007B4B2F">
        <w:rPr>
          <w:rFonts w:ascii="Palatino Linotype" w:eastAsia="Arial" w:hAnsi="Palatino Linotype" w:cs="Arial"/>
          <w:i/>
          <w:spacing w:val="1"/>
          <w:sz w:val="22"/>
        </w:rPr>
        <w:t>ue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pacing w:val="-3"/>
          <w:sz w:val="22"/>
        </w:rPr>
        <w:t>r</w:t>
      </w:r>
      <w:r w:rsidRPr="007B4B2F">
        <w:rPr>
          <w:rFonts w:ascii="Palatino Linotype" w:eastAsia="Arial" w:hAnsi="Palatino Linotype" w:cs="Arial"/>
          <w:i/>
          <w:sz w:val="22"/>
        </w:rPr>
        <w:t>d</w:t>
      </w:r>
      <w:r w:rsidRPr="007B4B2F">
        <w:rPr>
          <w:rFonts w:ascii="Palatino Linotype" w:eastAsia="Arial" w:hAnsi="Palatino Linotype" w:cs="Arial"/>
          <w:i/>
          <w:spacing w:val="-1"/>
          <w:sz w:val="22"/>
        </w:rPr>
        <w:t xml:space="preserve"> M</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 xml:space="preserve">l. </w:t>
      </w:r>
      <w:r w:rsidRPr="007B4B2F">
        <w:rPr>
          <w:rFonts w:ascii="Palatino Linotype" w:eastAsia="Arial" w:hAnsi="Palatino Linotype" w:cs="Arial"/>
          <w:i/>
          <w:spacing w:val="1"/>
          <w:sz w:val="22"/>
        </w:rPr>
        <w:t>384</w:t>
      </w:r>
      <w:r w:rsidRPr="007B4B2F">
        <w:rPr>
          <w:rFonts w:ascii="Palatino Linotype" w:eastAsia="Arial" w:hAnsi="Palatino Linotype" w:cs="Arial"/>
          <w:i/>
          <w:spacing w:val="-2"/>
          <w:sz w:val="22"/>
        </w:rPr>
        <w:t>/</w:t>
      </w:r>
      <w:r w:rsidRPr="007B4B2F">
        <w:rPr>
          <w:rFonts w:ascii="Palatino Linotype" w:eastAsia="Arial" w:hAnsi="Palatino Linotype" w:cs="Arial"/>
          <w:i/>
          <w:spacing w:val="1"/>
          <w:sz w:val="22"/>
        </w:rPr>
        <w:t>1</w:t>
      </w:r>
      <w:r w:rsidRPr="007B4B2F">
        <w:rPr>
          <w:rFonts w:ascii="Palatino Linotype" w:eastAsia="Arial" w:hAnsi="Palatino Linotype" w:cs="Arial"/>
          <w:i/>
          <w:sz w:val="22"/>
        </w:rPr>
        <w:t xml:space="preserve">0        </w:t>
      </w:r>
      <w:r w:rsidRPr="007B4B2F">
        <w:rPr>
          <w:rFonts w:ascii="Palatino Linotype" w:eastAsia="Arial" w:hAnsi="Palatino Linotype" w:cs="Arial"/>
          <w:i/>
          <w:spacing w:val="66"/>
          <w:sz w:val="22"/>
        </w:rPr>
        <w:t xml:space="preserve"> </w:t>
      </w:r>
      <w:r w:rsidRPr="007B4B2F">
        <w:rPr>
          <w:rFonts w:ascii="Palatino Linotype" w:eastAsia="Arial" w:hAnsi="Palatino Linotype" w:cs="Arial"/>
          <w:i/>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stit</w:t>
      </w:r>
      <w:r w:rsidRPr="007B4B2F">
        <w:rPr>
          <w:rFonts w:ascii="Palatino Linotype" w:eastAsia="Arial" w:hAnsi="Palatino Linotype" w:cs="Arial"/>
          <w:i/>
          <w:spacing w:val="1"/>
          <w:sz w:val="22"/>
        </w:rPr>
        <w:t>u</w:t>
      </w:r>
      <w:r w:rsidRPr="007B4B2F">
        <w:rPr>
          <w:rFonts w:ascii="Palatino Linotype" w:eastAsia="Arial" w:hAnsi="Palatino Linotype" w:cs="Arial"/>
          <w:i/>
          <w:spacing w:val="-2"/>
          <w:sz w:val="22"/>
        </w:rPr>
        <w:t>t</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z w:val="22"/>
        </w:rPr>
        <w:t>Me</w:t>
      </w:r>
      <w:r w:rsidRPr="007B4B2F">
        <w:rPr>
          <w:rFonts w:ascii="Palatino Linotype" w:eastAsia="Arial" w:hAnsi="Palatino Linotype" w:cs="Arial"/>
          <w:i/>
          <w:spacing w:val="-2"/>
          <w:sz w:val="22"/>
        </w:rPr>
        <w:t>x</w:t>
      </w:r>
      <w:r w:rsidRPr="007B4B2F">
        <w:rPr>
          <w:rFonts w:ascii="Palatino Linotype" w:eastAsia="Arial" w:hAnsi="Palatino Linotype" w:cs="Arial"/>
          <w:i/>
          <w:sz w:val="22"/>
        </w:rPr>
        <w:t>ica</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o</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de</w:t>
      </w:r>
      <w:r w:rsidRPr="007B4B2F">
        <w:rPr>
          <w:rFonts w:ascii="Palatino Linotype" w:eastAsia="Arial" w:hAnsi="Palatino Linotype" w:cs="Arial"/>
          <w:i/>
          <w:sz w:val="22"/>
        </w:rPr>
        <w:t>l</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S</w:t>
      </w:r>
      <w:r w:rsidRPr="007B4B2F">
        <w:rPr>
          <w:rFonts w:ascii="Palatino Linotype" w:eastAsia="Arial" w:hAnsi="Palatino Linotype" w:cs="Arial"/>
          <w:i/>
          <w:spacing w:val="1"/>
          <w:sz w:val="22"/>
        </w:rPr>
        <w:t>e</w:t>
      </w:r>
      <w:r w:rsidRPr="007B4B2F">
        <w:rPr>
          <w:rFonts w:ascii="Palatino Linotype" w:eastAsia="Arial" w:hAnsi="Palatino Linotype" w:cs="Arial"/>
          <w:i/>
          <w:spacing w:val="-1"/>
          <w:sz w:val="22"/>
        </w:rPr>
        <w:t>g</w:t>
      </w:r>
      <w:r w:rsidRPr="007B4B2F">
        <w:rPr>
          <w:rFonts w:ascii="Palatino Linotype" w:eastAsia="Arial" w:hAnsi="Palatino Linotype" w:cs="Arial"/>
          <w:i/>
          <w:spacing w:val="1"/>
          <w:sz w:val="22"/>
        </w:rPr>
        <w:t>u</w:t>
      </w:r>
      <w:r w:rsidRPr="007B4B2F">
        <w:rPr>
          <w:rFonts w:ascii="Palatino Linotype" w:eastAsia="Arial" w:hAnsi="Palatino Linotype" w:cs="Arial"/>
          <w:i/>
          <w:sz w:val="22"/>
        </w:rPr>
        <w:t xml:space="preserve">ro </w:t>
      </w:r>
      <w:r w:rsidRPr="007B4B2F">
        <w:rPr>
          <w:rFonts w:ascii="Palatino Linotype" w:eastAsia="Arial" w:hAnsi="Palatino Linotype" w:cs="Arial"/>
          <w:i/>
          <w:spacing w:val="1"/>
          <w:sz w:val="22"/>
        </w:rPr>
        <w:t>So</w:t>
      </w:r>
      <w:r w:rsidRPr="007B4B2F">
        <w:rPr>
          <w:rFonts w:ascii="Palatino Linotype" w:eastAsia="Arial" w:hAnsi="Palatino Linotype" w:cs="Arial"/>
          <w:i/>
          <w:sz w:val="22"/>
        </w:rPr>
        <w:t>c</w:t>
      </w:r>
      <w:r w:rsidRPr="007B4B2F">
        <w:rPr>
          <w:rFonts w:ascii="Palatino Linotype" w:eastAsia="Arial" w:hAnsi="Palatino Linotype" w:cs="Arial"/>
          <w:i/>
          <w:spacing w:val="-3"/>
          <w:sz w:val="22"/>
        </w:rPr>
        <w:t>i</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r w:rsidRPr="007B4B2F">
        <w:rPr>
          <w:rFonts w:ascii="Palatino Linotype" w:eastAsia="Arial" w:hAnsi="Palatino Linotype" w:cs="Arial"/>
          <w:i/>
          <w:spacing w:val="5"/>
          <w:sz w:val="22"/>
        </w:rPr>
        <w:t xml:space="preserve"> </w:t>
      </w:r>
      <w:r w:rsidRPr="007B4B2F">
        <w:rPr>
          <w:rFonts w:ascii="Palatino Linotype" w:eastAsia="Arial" w:hAnsi="Palatino Linotype" w:cs="Arial"/>
          <w:i/>
          <w:sz w:val="22"/>
        </w:rPr>
        <w:t>- J</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c</w:t>
      </w:r>
      <w:r w:rsidRPr="007B4B2F">
        <w:rPr>
          <w:rFonts w:ascii="Palatino Linotype" w:eastAsia="Arial" w:hAnsi="Palatino Linotype" w:cs="Arial"/>
          <w:i/>
          <w:spacing w:val="-1"/>
          <w:sz w:val="22"/>
        </w:rPr>
        <w:t>qu</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l</w:t>
      </w:r>
      <w:r w:rsidRPr="007B4B2F">
        <w:rPr>
          <w:rFonts w:ascii="Palatino Linotype" w:eastAsia="Arial" w:hAnsi="Palatino Linotype" w:cs="Arial"/>
          <w:i/>
          <w:spacing w:val="-1"/>
          <w:sz w:val="22"/>
        </w:rPr>
        <w:t>i</w:t>
      </w:r>
      <w:r w:rsidRPr="007B4B2F">
        <w:rPr>
          <w:rFonts w:ascii="Palatino Linotype" w:eastAsia="Arial" w:hAnsi="Palatino Linotype" w:cs="Arial"/>
          <w:i/>
          <w:spacing w:val="1"/>
          <w:sz w:val="22"/>
        </w:rPr>
        <w:t>n</w:t>
      </w:r>
      <w:r w:rsidRPr="007B4B2F">
        <w:rPr>
          <w:rFonts w:ascii="Palatino Linotype" w:eastAsia="Arial" w:hAnsi="Palatino Linotype" w:cs="Arial"/>
          <w:i/>
          <w:sz w:val="22"/>
        </w:rPr>
        <w:t>e</w:t>
      </w:r>
      <w:r w:rsidRPr="007B4B2F">
        <w:rPr>
          <w:rFonts w:ascii="Palatino Linotype" w:eastAsia="Arial" w:hAnsi="Palatino Linotype" w:cs="Arial"/>
          <w:i/>
          <w:spacing w:val="1"/>
          <w:sz w:val="22"/>
        </w:rPr>
        <w:t xml:space="preserve"> </w:t>
      </w:r>
      <w:r w:rsidRPr="007B4B2F">
        <w:rPr>
          <w:rFonts w:ascii="Palatino Linotype" w:eastAsia="Arial" w:hAnsi="Palatino Linotype" w:cs="Arial"/>
          <w:i/>
          <w:spacing w:val="-1"/>
          <w:sz w:val="22"/>
        </w:rPr>
        <w:t>P</w:t>
      </w:r>
      <w:r w:rsidRPr="007B4B2F">
        <w:rPr>
          <w:rFonts w:ascii="Palatino Linotype" w:eastAsia="Arial" w:hAnsi="Palatino Linotype" w:cs="Arial"/>
          <w:i/>
          <w:spacing w:val="1"/>
          <w:sz w:val="22"/>
        </w:rPr>
        <w:t>e</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ha</w:t>
      </w:r>
      <w:r w:rsidRPr="007B4B2F">
        <w:rPr>
          <w:rFonts w:ascii="Palatino Linotype" w:eastAsia="Arial" w:hAnsi="Palatino Linotype" w:cs="Arial"/>
          <w:i/>
          <w:sz w:val="22"/>
        </w:rPr>
        <w:t>rd</w:t>
      </w:r>
      <w:r w:rsidRPr="007B4B2F">
        <w:rPr>
          <w:rFonts w:ascii="Palatino Linotype" w:eastAsia="Arial" w:hAnsi="Palatino Linotype" w:cs="Arial"/>
          <w:i/>
          <w:spacing w:val="-2"/>
          <w:sz w:val="22"/>
        </w:rPr>
        <w:t xml:space="preserve"> </w:t>
      </w:r>
      <w:r w:rsidRPr="007B4B2F">
        <w:rPr>
          <w:rFonts w:ascii="Palatino Linotype" w:eastAsia="Arial" w:hAnsi="Palatino Linotype" w:cs="Arial"/>
          <w:i/>
          <w:sz w:val="22"/>
        </w:rPr>
        <w:t>Mar</w:t>
      </w:r>
      <w:r w:rsidRPr="007B4B2F">
        <w:rPr>
          <w:rFonts w:ascii="Palatino Linotype" w:eastAsia="Arial" w:hAnsi="Palatino Linotype" w:cs="Arial"/>
          <w:i/>
          <w:spacing w:val="-1"/>
          <w:sz w:val="22"/>
        </w:rPr>
        <w:t>i</w:t>
      </w:r>
      <w:r w:rsidRPr="007B4B2F">
        <w:rPr>
          <w:rFonts w:ascii="Palatino Linotype" w:eastAsia="Arial" w:hAnsi="Palatino Linotype" w:cs="Arial"/>
          <w:i/>
          <w:sz w:val="22"/>
        </w:rPr>
        <w:t>sc</w:t>
      </w:r>
      <w:r w:rsidRPr="007B4B2F">
        <w:rPr>
          <w:rFonts w:ascii="Palatino Linotype" w:eastAsia="Arial" w:hAnsi="Palatino Linotype" w:cs="Arial"/>
          <w:i/>
          <w:spacing w:val="1"/>
          <w:sz w:val="22"/>
        </w:rPr>
        <w:t>a</w:t>
      </w:r>
      <w:r w:rsidRPr="007B4B2F">
        <w:rPr>
          <w:rFonts w:ascii="Palatino Linotype" w:eastAsia="Arial" w:hAnsi="Palatino Linotype" w:cs="Arial"/>
          <w:i/>
          <w:sz w:val="22"/>
        </w:rPr>
        <w:t>l</w:t>
      </w:r>
    </w:p>
    <w:p w14:paraId="74D25DC9" w14:textId="77777777" w:rsidR="00C26B6F" w:rsidRDefault="00C26B6F" w:rsidP="00C26B6F">
      <w:pPr>
        <w:pStyle w:val="Prrafodelista"/>
        <w:spacing w:line="360" w:lineRule="auto"/>
        <w:ind w:left="0"/>
        <w:jc w:val="both"/>
        <w:rPr>
          <w:rFonts w:ascii="Palatino Linotype" w:eastAsia="MS Mincho" w:hAnsi="Palatino Linotype"/>
          <w:sz w:val="24"/>
        </w:rPr>
      </w:pPr>
    </w:p>
    <w:p w14:paraId="4F812987" w14:textId="484487B3" w:rsidR="00C26B6F" w:rsidRDefault="00C26B6F"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Ahora bien, lo conducente es verificar si la información solicitada actualiza alguna causal de confidencialidad, tal y como lo hace valer el Sujeto Obligado.</w:t>
      </w:r>
    </w:p>
    <w:p w14:paraId="563AC2EB" w14:textId="77777777" w:rsidR="00DA57BE" w:rsidRDefault="00DA57BE" w:rsidP="00DA57BE">
      <w:pPr>
        <w:pStyle w:val="Prrafodelista"/>
        <w:spacing w:line="360" w:lineRule="auto"/>
        <w:ind w:left="0"/>
        <w:jc w:val="both"/>
        <w:rPr>
          <w:rFonts w:ascii="Palatino Linotype" w:eastAsia="MS Mincho" w:hAnsi="Palatino Linotype"/>
          <w:sz w:val="24"/>
        </w:rPr>
      </w:pPr>
    </w:p>
    <w:p w14:paraId="27549CBF" w14:textId="4E1FB42E" w:rsidR="00DA57BE" w:rsidRPr="00DA57BE" w:rsidRDefault="00DA57BE" w:rsidP="00DA57BE">
      <w:pPr>
        <w:pStyle w:val="Ttulo2"/>
        <w:numPr>
          <w:ilvl w:val="0"/>
          <w:numId w:val="26"/>
        </w:numPr>
        <w:rPr>
          <w:rFonts w:ascii="Palatino Linotype" w:hAnsi="Palatino Linotype"/>
          <w:b/>
          <w:color w:val="auto"/>
          <w:sz w:val="24"/>
        </w:rPr>
      </w:pPr>
      <w:bookmarkStart w:id="51" w:name="_Toc85735119"/>
      <w:r w:rsidRPr="00DA57BE">
        <w:rPr>
          <w:rFonts w:ascii="Palatino Linotype" w:hAnsi="Palatino Linotype"/>
          <w:b/>
          <w:color w:val="auto"/>
          <w:sz w:val="24"/>
        </w:rPr>
        <w:t>De la confidencialidad.</w:t>
      </w:r>
      <w:bookmarkEnd w:id="51"/>
    </w:p>
    <w:p w14:paraId="41251FDF" w14:textId="77777777" w:rsidR="00C26B6F" w:rsidRDefault="00C26B6F" w:rsidP="00C26B6F">
      <w:pPr>
        <w:pStyle w:val="Prrafodelista"/>
        <w:spacing w:line="360" w:lineRule="auto"/>
        <w:ind w:left="0"/>
        <w:jc w:val="both"/>
        <w:rPr>
          <w:rFonts w:ascii="Palatino Linotype" w:eastAsia="MS Mincho" w:hAnsi="Palatino Linotype"/>
          <w:sz w:val="24"/>
        </w:rPr>
      </w:pPr>
    </w:p>
    <w:p w14:paraId="39072D45" w14:textId="326F4760" w:rsidR="00C26B6F" w:rsidRDefault="00C26B6F"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Por lo que corresponde al nombre de la víctima, es necesario precisar que se trata de una persona física ajena al quehacer gubernamental que fue víctima de un hecho constitutivo de delito dentro de las limitaciones territoriales del Municipio de Valle de Chalco Solidaridad y no guarda relación con las funciones propias del Sujeto Obligado.</w:t>
      </w:r>
    </w:p>
    <w:p w14:paraId="06334203" w14:textId="77777777" w:rsidR="00C26B6F" w:rsidRPr="00C26B6F" w:rsidRDefault="00C26B6F" w:rsidP="00C26B6F">
      <w:pPr>
        <w:pStyle w:val="Prrafodelista"/>
        <w:rPr>
          <w:rFonts w:ascii="Palatino Linotype" w:eastAsia="MS Mincho" w:hAnsi="Palatino Linotype"/>
          <w:sz w:val="24"/>
        </w:rPr>
      </w:pPr>
    </w:p>
    <w:p w14:paraId="6184B723" w14:textId="1B79805F" w:rsidR="00C26B6F" w:rsidRDefault="00C26B6F"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Para tal efecto, es necesario traer a contexto lo que dispone el Código Civil del  Estado de México, en su Libro Segundo denominado de las Personas, en cuyo Título </w:t>
      </w:r>
      <w:r>
        <w:rPr>
          <w:rFonts w:ascii="Palatino Linotype" w:eastAsia="MS Mincho" w:hAnsi="Palatino Linotype"/>
          <w:sz w:val="24"/>
        </w:rPr>
        <w:lastRenderedPageBreak/>
        <w:t xml:space="preserve">Segundo establece </w:t>
      </w:r>
      <w:r w:rsidR="00DA57BE">
        <w:rPr>
          <w:rFonts w:ascii="Palatino Linotype" w:eastAsia="MS Mincho" w:hAnsi="Palatino Linotype"/>
          <w:sz w:val="24"/>
        </w:rPr>
        <w:t>los Derechos de la Personalidad, reconociendo como un atributo, entre otros, el nombre, de acuerdo al artículo 2.3, que a la letra señala:</w:t>
      </w:r>
    </w:p>
    <w:p w14:paraId="1F3E6CFE" w14:textId="77777777" w:rsidR="00DA57BE" w:rsidRPr="00DA57BE" w:rsidRDefault="00DA57BE" w:rsidP="00DA57BE">
      <w:pPr>
        <w:pStyle w:val="Prrafodelista"/>
        <w:rPr>
          <w:rFonts w:ascii="Palatino Linotype" w:eastAsia="MS Mincho" w:hAnsi="Palatino Linotype"/>
          <w:sz w:val="24"/>
        </w:rPr>
      </w:pPr>
    </w:p>
    <w:p w14:paraId="23416EC0" w14:textId="77777777" w:rsidR="00DA57BE" w:rsidRPr="00121494" w:rsidRDefault="00DA57BE" w:rsidP="00DA57BE">
      <w:pPr>
        <w:widowControl w:val="0"/>
        <w:autoSpaceDE w:val="0"/>
        <w:autoSpaceDN w:val="0"/>
        <w:adjustRightInd w:val="0"/>
        <w:spacing w:line="360" w:lineRule="auto"/>
        <w:ind w:left="851" w:right="902"/>
        <w:jc w:val="center"/>
        <w:rPr>
          <w:rFonts w:ascii="Palatino Linotype" w:hAnsi="Palatino Linotype"/>
          <w:b/>
          <w:i/>
          <w:sz w:val="22"/>
          <w:szCs w:val="22"/>
        </w:rPr>
      </w:pPr>
      <w:r w:rsidRPr="00121494">
        <w:rPr>
          <w:rFonts w:ascii="Palatino Linotype" w:hAnsi="Palatino Linotype"/>
          <w:b/>
          <w:i/>
          <w:sz w:val="22"/>
          <w:szCs w:val="22"/>
        </w:rPr>
        <w:t>“TITULO SEGUNDO</w:t>
      </w:r>
    </w:p>
    <w:p w14:paraId="204291D8" w14:textId="77777777" w:rsidR="00DA57BE" w:rsidRPr="00121494" w:rsidRDefault="00DA57BE" w:rsidP="00DA57BE">
      <w:pPr>
        <w:widowControl w:val="0"/>
        <w:autoSpaceDE w:val="0"/>
        <w:autoSpaceDN w:val="0"/>
        <w:adjustRightInd w:val="0"/>
        <w:spacing w:line="360" w:lineRule="auto"/>
        <w:ind w:left="851" w:right="902"/>
        <w:jc w:val="center"/>
        <w:rPr>
          <w:rFonts w:ascii="Palatino Linotype" w:hAnsi="Palatino Linotype"/>
          <w:b/>
          <w:i/>
          <w:sz w:val="22"/>
          <w:szCs w:val="22"/>
        </w:rPr>
      </w:pPr>
      <w:r w:rsidRPr="00121494">
        <w:rPr>
          <w:rFonts w:ascii="Palatino Linotype" w:hAnsi="Palatino Linotype"/>
          <w:b/>
          <w:i/>
          <w:sz w:val="22"/>
          <w:szCs w:val="22"/>
        </w:rPr>
        <w:t>De los Derechos de la Personalidad</w:t>
      </w:r>
    </w:p>
    <w:p w14:paraId="34E1D9FF"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b/>
          <w:i/>
          <w:sz w:val="22"/>
          <w:szCs w:val="22"/>
        </w:rPr>
      </w:pPr>
    </w:p>
    <w:p w14:paraId="5774CCE6"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b/>
          <w:i/>
          <w:sz w:val="22"/>
          <w:szCs w:val="22"/>
        </w:rPr>
      </w:pPr>
      <w:r w:rsidRPr="00121494">
        <w:rPr>
          <w:rFonts w:ascii="Palatino Linotype" w:hAnsi="Palatino Linotype"/>
          <w:b/>
          <w:i/>
          <w:sz w:val="22"/>
          <w:szCs w:val="22"/>
        </w:rPr>
        <w:t xml:space="preserve">Atributos de la personalidad </w:t>
      </w:r>
    </w:p>
    <w:p w14:paraId="36E57569"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b/>
          <w:i/>
          <w:sz w:val="22"/>
          <w:szCs w:val="22"/>
        </w:rPr>
      </w:pPr>
    </w:p>
    <w:p w14:paraId="1BD61F87"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sidRPr="00121494">
        <w:rPr>
          <w:rFonts w:ascii="Palatino Linotype" w:hAnsi="Palatino Linotype"/>
          <w:b/>
          <w:i/>
          <w:sz w:val="22"/>
          <w:szCs w:val="22"/>
        </w:rPr>
        <w:t>Artículo 2.3.-</w:t>
      </w:r>
      <w:r w:rsidRPr="00121494">
        <w:rPr>
          <w:rFonts w:ascii="Palatino Linotype" w:hAnsi="Palatino Linotype"/>
          <w:i/>
          <w:sz w:val="22"/>
          <w:szCs w:val="22"/>
        </w:rPr>
        <w:t xml:space="preserve"> Los </w:t>
      </w:r>
      <w:r w:rsidRPr="00121494">
        <w:rPr>
          <w:rFonts w:ascii="Palatino Linotype" w:hAnsi="Palatino Linotype"/>
          <w:b/>
          <w:i/>
          <w:sz w:val="22"/>
          <w:szCs w:val="22"/>
        </w:rPr>
        <w:t>atributos de la personalidad son el nombre</w:t>
      </w:r>
      <w:r w:rsidRPr="00121494">
        <w:rPr>
          <w:rFonts w:ascii="Palatino Linotype" w:hAnsi="Palatino Linotype"/>
          <w:i/>
          <w:sz w:val="22"/>
          <w:szCs w:val="22"/>
        </w:rPr>
        <w:t>, domicilio, estado civil y patrimonio.”</w:t>
      </w:r>
    </w:p>
    <w:p w14:paraId="0084447B"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p>
    <w:p w14:paraId="6D43CC44"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sidRPr="00121494">
        <w:rPr>
          <w:rFonts w:ascii="Palatino Linotype" w:hAnsi="Palatino Linotype"/>
          <w:i/>
          <w:sz w:val="22"/>
          <w:szCs w:val="22"/>
        </w:rPr>
        <w:t>(Énfasis añadido)</w:t>
      </w:r>
    </w:p>
    <w:p w14:paraId="4FB2DA9C" w14:textId="77777777" w:rsidR="00DA57BE" w:rsidRDefault="00DA57BE" w:rsidP="00DA57BE">
      <w:pPr>
        <w:pStyle w:val="Prrafodelista"/>
        <w:spacing w:line="360" w:lineRule="auto"/>
        <w:ind w:left="0"/>
        <w:jc w:val="both"/>
        <w:rPr>
          <w:rFonts w:ascii="Palatino Linotype" w:eastAsia="MS Mincho" w:hAnsi="Palatino Linotype"/>
          <w:sz w:val="24"/>
        </w:rPr>
      </w:pPr>
    </w:p>
    <w:p w14:paraId="6C14C5CD" w14:textId="43D13D28" w:rsidR="00DA57BE" w:rsidRPr="00DA57BE" w:rsidRDefault="00DA57BE" w:rsidP="00DA57BE">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DA57BE">
        <w:rPr>
          <w:rFonts w:ascii="Palatino Linotype" w:hAnsi="Palatino Linotype"/>
          <w:sz w:val="24"/>
        </w:rPr>
        <w:t xml:space="preserve">Aunado a ello, es importante mencionar que la Ley de Protección de Datos Personales en Posesión de los Sujetos Obligados del Estado de México y Municipios, define como datos personales a aquellos concernientes a una persona física que la hacen plenamente identificable, </w:t>
      </w:r>
      <w:r w:rsidRPr="00DA57BE">
        <w:rPr>
          <w:rFonts w:ascii="Palatino Linotype" w:hAnsi="Palatino Linotype"/>
          <w:b/>
          <w:sz w:val="24"/>
        </w:rPr>
        <w:t>como lo es el nombre</w:t>
      </w:r>
      <w:r w:rsidRPr="00DA57BE">
        <w:rPr>
          <w:rFonts w:ascii="Palatino Linotype" w:hAnsi="Palatino Linotype"/>
          <w:sz w:val="24"/>
        </w:rPr>
        <w:t>; sirviendo de sustento la trascripción siguiente:</w:t>
      </w:r>
    </w:p>
    <w:p w14:paraId="73F53537"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sidRPr="00121494">
        <w:rPr>
          <w:rFonts w:ascii="Palatino Linotype" w:hAnsi="Palatino Linotype"/>
          <w:b/>
          <w:i/>
          <w:sz w:val="22"/>
          <w:szCs w:val="22"/>
        </w:rPr>
        <w:t>“Artículo 4</w:t>
      </w:r>
      <w:r w:rsidRPr="00121494">
        <w:rPr>
          <w:rFonts w:ascii="Palatino Linotype" w:hAnsi="Palatino Linotype"/>
          <w:i/>
          <w:sz w:val="22"/>
          <w:szCs w:val="22"/>
        </w:rPr>
        <w:t>. Para los efectos de esta Ley se entenderá por:</w:t>
      </w:r>
    </w:p>
    <w:p w14:paraId="210786FA"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Pr>
          <w:rFonts w:ascii="Palatino Linotype" w:hAnsi="Palatino Linotype"/>
          <w:i/>
          <w:sz w:val="22"/>
          <w:szCs w:val="22"/>
        </w:rPr>
        <w:t>(</w:t>
      </w:r>
      <w:r w:rsidRPr="00121494">
        <w:rPr>
          <w:rFonts w:ascii="Palatino Linotype" w:hAnsi="Palatino Linotype"/>
          <w:i/>
          <w:sz w:val="22"/>
          <w:szCs w:val="22"/>
        </w:rPr>
        <w:t>…</w:t>
      </w:r>
      <w:r>
        <w:rPr>
          <w:rFonts w:ascii="Palatino Linotype" w:hAnsi="Palatino Linotype"/>
          <w:i/>
          <w:sz w:val="22"/>
          <w:szCs w:val="22"/>
        </w:rPr>
        <w:t>)</w:t>
      </w:r>
    </w:p>
    <w:p w14:paraId="38D1F25F"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sidRPr="00121494">
        <w:rPr>
          <w:rFonts w:ascii="Palatino Linotype" w:hAnsi="Palatino Linotype"/>
          <w:b/>
          <w:i/>
          <w:sz w:val="22"/>
          <w:szCs w:val="22"/>
        </w:rPr>
        <w:t>XI. Datos personales:</w:t>
      </w:r>
      <w:r w:rsidRPr="00121494">
        <w:rPr>
          <w:rFonts w:ascii="Palatino Linotype" w:hAnsi="Palatino Linotype"/>
          <w:i/>
          <w:sz w:val="22"/>
          <w:szCs w:val="22"/>
        </w:rPr>
        <w:t xml:space="preserve"> a la </w:t>
      </w:r>
      <w:r w:rsidRPr="00121494">
        <w:rPr>
          <w:rFonts w:ascii="Palatino Linotype" w:hAnsi="Palatino Linotype"/>
          <w:b/>
          <w:i/>
          <w:sz w:val="22"/>
          <w:szCs w:val="22"/>
        </w:rPr>
        <w:t>información concerniente a una persona física</w:t>
      </w:r>
      <w:r w:rsidRPr="00121494">
        <w:rPr>
          <w:rFonts w:ascii="Palatino Linotype" w:hAnsi="Palatino Linotype"/>
          <w:i/>
          <w:sz w:val="22"/>
          <w:szCs w:val="22"/>
        </w:rPr>
        <w:t xml:space="preserve"> o jurídica colectiva identificada o identificable, establecida en cualquier formato o modalidad, y que esté almacenada en los sistemas y bases de datos, </w:t>
      </w:r>
      <w:r w:rsidRPr="00121494">
        <w:rPr>
          <w:rFonts w:ascii="Palatino Linotype" w:hAnsi="Palatino Linotype"/>
          <w:b/>
          <w:i/>
          <w:sz w:val="22"/>
          <w:szCs w:val="22"/>
        </w:rPr>
        <w:t xml:space="preserve">se considerará que una persona es identificable cuando su identidad pueda determinarse </w:t>
      </w:r>
      <w:r w:rsidRPr="00121494">
        <w:rPr>
          <w:rFonts w:ascii="Palatino Linotype" w:hAnsi="Palatino Linotype"/>
          <w:b/>
          <w:i/>
          <w:sz w:val="22"/>
          <w:szCs w:val="22"/>
        </w:rPr>
        <w:lastRenderedPageBreak/>
        <w:t>directa o indirectamente a través de cualquier documento informativo físico o electrónico</w:t>
      </w:r>
      <w:r w:rsidRPr="00121494">
        <w:rPr>
          <w:rFonts w:ascii="Palatino Linotype" w:hAnsi="Palatino Linotype"/>
          <w:i/>
          <w:sz w:val="22"/>
          <w:szCs w:val="22"/>
        </w:rPr>
        <w:t xml:space="preserve">.” </w:t>
      </w:r>
    </w:p>
    <w:p w14:paraId="694C0046"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p>
    <w:p w14:paraId="23B36E80" w14:textId="77777777" w:rsidR="00DA57BE" w:rsidRPr="00121494" w:rsidRDefault="00DA57BE" w:rsidP="00DA57BE">
      <w:pPr>
        <w:widowControl w:val="0"/>
        <w:autoSpaceDE w:val="0"/>
        <w:autoSpaceDN w:val="0"/>
        <w:adjustRightInd w:val="0"/>
        <w:spacing w:line="360" w:lineRule="auto"/>
        <w:ind w:left="851" w:right="902"/>
        <w:jc w:val="both"/>
        <w:rPr>
          <w:rFonts w:ascii="Palatino Linotype" w:hAnsi="Palatino Linotype"/>
          <w:i/>
          <w:sz w:val="22"/>
          <w:szCs w:val="22"/>
        </w:rPr>
      </w:pPr>
      <w:r w:rsidRPr="00121494">
        <w:rPr>
          <w:rFonts w:ascii="Palatino Linotype" w:hAnsi="Palatino Linotype"/>
          <w:i/>
          <w:sz w:val="22"/>
          <w:szCs w:val="22"/>
        </w:rPr>
        <w:t>(Énfasis añadido)</w:t>
      </w:r>
    </w:p>
    <w:p w14:paraId="5581B54A" w14:textId="77777777" w:rsidR="00DA57BE" w:rsidRDefault="00DA57BE" w:rsidP="00DA57BE">
      <w:pPr>
        <w:pStyle w:val="Prrafodelista"/>
        <w:spacing w:line="360" w:lineRule="auto"/>
        <w:ind w:left="0"/>
        <w:jc w:val="both"/>
        <w:rPr>
          <w:rFonts w:ascii="Palatino Linotype" w:eastAsia="MS Mincho" w:hAnsi="Palatino Linotype"/>
          <w:sz w:val="24"/>
        </w:rPr>
      </w:pPr>
    </w:p>
    <w:p w14:paraId="2AE95148" w14:textId="59E39E08" w:rsidR="00DA57BE" w:rsidRPr="00DA57BE" w:rsidRDefault="00DA57BE" w:rsidP="00DA57BE">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Es importante mencionar que, la persona señalada como víctima, no recibe ni ejerce recursos públicos, así como tampoco presta sus servicios a una institución pública, ni realiza actos de autoridad, por lo que su información concerniente a datos personales no están sujetos a publicidad en materia de transparencia y acceso a la información; consecuentemente, el Sujeto Obligado deberá </w:t>
      </w:r>
      <w:r w:rsidRPr="00DA57BE">
        <w:rPr>
          <w:rFonts w:ascii="Palatino Linotype" w:eastAsia="Calibri" w:hAnsi="Palatino Linotype" w:cs="Arial"/>
          <w:sz w:val="24"/>
        </w:rPr>
        <w:t xml:space="preserve">emitir el Acuerdo de Clasificación como Confidencial de la información solicitada; por lo que, </w:t>
      </w:r>
      <w:r w:rsidRPr="00DA57BE">
        <w:rPr>
          <w:rFonts w:ascii="Palatino Linotype" w:hAnsi="Palatino Linotype"/>
          <w:color w:val="000000"/>
          <w:sz w:val="24"/>
        </w:rPr>
        <w:t xml:space="preserve">en términos del artículo 143, fracción I de la Ley de Transparencia y Acceso a la Información Pública del Estado de México y Municipios, deberá proceder a clasificar dicha información </w:t>
      </w:r>
      <w:r w:rsidRPr="00DA57BE">
        <w:rPr>
          <w:rFonts w:ascii="Palatino Linotype" w:hAnsi="Palatino Linotype" w:cs="Arial"/>
          <w:sz w:val="24"/>
        </w:rPr>
        <w:t xml:space="preserve">mediante las formalidades de Ley, es decir, que su Comité de Transparencia emita los Acuerdos de Clasificación correspondiente debidamente fundado y motivado, en </w:t>
      </w:r>
      <w:r w:rsidRPr="00DA57BE">
        <w:rPr>
          <w:rFonts w:ascii="Palatino Linotype" w:hAnsi="Palatino Linotype" w:cs="Arial"/>
          <w:noProof/>
          <w:sz w:val="24"/>
          <w:lang w:eastAsia="es-MX"/>
        </w:rPr>
        <w:t>términos</w:t>
      </w:r>
      <w:r w:rsidRPr="00DA57BE">
        <w:rPr>
          <w:rFonts w:ascii="Palatino Linotype" w:hAnsi="Palatino Linotype" w:cs="Arial"/>
          <w:sz w:val="24"/>
        </w:rPr>
        <w:t xml:space="preserve"> de los numerales 49, fracción VIII y 132, fracción II </w:t>
      </w:r>
      <w:r>
        <w:rPr>
          <w:rFonts w:ascii="Palatino Linotype" w:hAnsi="Palatino Linotype" w:cs="Arial"/>
          <w:sz w:val="24"/>
        </w:rPr>
        <w:t xml:space="preserve">en relación al artículo 143 fracción I </w:t>
      </w:r>
      <w:r w:rsidRPr="00DA57BE">
        <w:rPr>
          <w:rFonts w:ascii="Palatino Linotype" w:hAnsi="Palatino Linotype" w:cs="Arial"/>
          <w:sz w:val="24"/>
        </w:rPr>
        <w:t>de la Ley de Transparencia y Acceso a la Información Pública del Estado de México y Municipios</w:t>
      </w:r>
      <w:r>
        <w:rPr>
          <w:rFonts w:ascii="Palatino Linotype" w:hAnsi="Palatino Linotype" w:cs="Arial"/>
          <w:sz w:val="24"/>
        </w:rPr>
        <w:t xml:space="preserve">, </w:t>
      </w:r>
      <w:r w:rsidRPr="00DA57BE">
        <w:rPr>
          <w:rFonts w:ascii="Palatino Linotype" w:hAnsi="Palatino Linotype" w:cs="Arial"/>
          <w:sz w:val="24"/>
        </w:rPr>
        <w:t>que literalmente expresan:</w:t>
      </w:r>
    </w:p>
    <w:p w14:paraId="0D846BEE" w14:textId="77777777" w:rsidR="00DA57BE" w:rsidRPr="00DA57BE" w:rsidRDefault="00DA57BE" w:rsidP="00DA57BE">
      <w:pPr>
        <w:pStyle w:val="Prrafodelista"/>
        <w:spacing w:line="360" w:lineRule="auto"/>
        <w:ind w:left="0"/>
        <w:jc w:val="both"/>
        <w:rPr>
          <w:rFonts w:ascii="Palatino Linotype" w:eastAsia="MS Mincho" w:hAnsi="Palatino Linotype"/>
          <w:sz w:val="24"/>
        </w:rPr>
      </w:pPr>
    </w:p>
    <w:p w14:paraId="53DFF2E0" w14:textId="77777777" w:rsidR="00DA57BE" w:rsidRDefault="00DA57BE" w:rsidP="00DA57BE">
      <w:pPr>
        <w:spacing w:line="360" w:lineRule="auto"/>
        <w:ind w:left="709" w:right="709"/>
        <w:jc w:val="both"/>
        <w:rPr>
          <w:rFonts w:ascii="Palatino Linotype" w:hAnsi="Palatino Linotype" w:cs="Arial"/>
          <w:b/>
          <w:i/>
          <w:sz w:val="22"/>
          <w:szCs w:val="22"/>
        </w:rPr>
      </w:pPr>
      <w:r w:rsidRPr="00F94BA1">
        <w:rPr>
          <w:rFonts w:ascii="Palatino Linotype" w:hAnsi="Palatino Linotype" w:cs="Arial"/>
          <w:b/>
          <w:i/>
          <w:sz w:val="22"/>
          <w:szCs w:val="22"/>
        </w:rPr>
        <w:t>Ley de Transparencia y Acceso a la Información Pública del Estado de México y Municipios</w:t>
      </w:r>
    </w:p>
    <w:p w14:paraId="51754C4C" w14:textId="77777777" w:rsidR="00DA57BE" w:rsidRPr="00F94BA1" w:rsidRDefault="00DA57BE" w:rsidP="00DA57BE">
      <w:pPr>
        <w:spacing w:line="360" w:lineRule="auto"/>
        <w:ind w:left="709" w:right="709"/>
        <w:jc w:val="both"/>
        <w:rPr>
          <w:rFonts w:ascii="Palatino Linotype" w:hAnsi="Palatino Linotype" w:cs="Arial"/>
          <w:b/>
          <w:i/>
          <w:sz w:val="22"/>
          <w:szCs w:val="22"/>
        </w:rPr>
      </w:pPr>
    </w:p>
    <w:p w14:paraId="1BFCE00B" w14:textId="77777777" w:rsidR="00DA57BE" w:rsidRPr="00F94BA1" w:rsidRDefault="00DA57BE" w:rsidP="00DA57BE">
      <w:pPr>
        <w:autoSpaceDE w:val="0"/>
        <w:autoSpaceDN w:val="0"/>
        <w:adjustRightInd w:val="0"/>
        <w:spacing w:line="360" w:lineRule="auto"/>
        <w:ind w:left="709" w:right="709"/>
        <w:jc w:val="both"/>
        <w:rPr>
          <w:rFonts w:ascii="Palatino Linotype" w:hAnsi="Palatino Linotype" w:cs="Arial"/>
          <w:i/>
          <w:sz w:val="22"/>
          <w:szCs w:val="22"/>
          <w:lang w:eastAsia="es-MX"/>
        </w:rPr>
      </w:pPr>
      <w:r w:rsidRPr="00F94BA1">
        <w:rPr>
          <w:rFonts w:ascii="Palatino Linotype" w:hAnsi="Palatino Linotype" w:cs="Arial"/>
          <w:i/>
          <w:sz w:val="22"/>
          <w:szCs w:val="22"/>
          <w:lang w:eastAsia="es-MX"/>
        </w:rPr>
        <w:t>“</w:t>
      </w:r>
      <w:r w:rsidRPr="00F94BA1">
        <w:rPr>
          <w:rFonts w:ascii="Palatino Linotype" w:hAnsi="Palatino Linotype" w:cs="Arial"/>
          <w:b/>
          <w:i/>
          <w:sz w:val="22"/>
          <w:szCs w:val="22"/>
          <w:lang w:eastAsia="es-MX"/>
        </w:rPr>
        <w:t xml:space="preserve">Artículo 49. </w:t>
      </w:r>
      <w:r w:rsidRPr="00F94BA1">
        <w:rPr>
          <w:rFonts w:ascii="Palatino Linotype" w:hAnsi="Palatino Linotype" w:cs="Arial"/>
          <w:i/>
          <w:sz w:val="22"/>
          <w:szCs w:val="22"/>
          <w:lang w:eastAsia="es-MX"/>
        </w:rPr>
        <w:t xml:space="preserve">Los </w:t>
      </w:r>
      <w:r w:rsidRPr="00F94BA1">
        <w:rPr>
          <w:rFonts w:ascii="Palatino Linotype" w:hAnsi="Palatino Linotype" w:cs="Arial"/>
          <w:i/>
          <w:sz w:val="22"/>
          <w:szCs w:val="22"/>
        </w:rPr>
        <w:t>Comités</w:t>
      </w:r>
      <w:r w:rsidRPr="00F94BA1">
        <w:rPr>
          <w:rFonts w:ascii="Palatino Linotype" w:hAnsi="Palatino Linotype" w:cs="Arial"/>
          <w:i/>
          <w:sz w:val="22"/>
          <w:szCs w:val="22"/>
          <w:lang w:eastAsia="es-MX"/>
        </w:rPr>
        <w:t xml:space="preserve"> de Transparencia </w:t>
      </w:r>
      <w:r w:rsidRPr="00F94BA1">
        <w:rPr>
          <w:rFonts w:ascii="Palatino Linotype" w:hAnsi="Palatino Linotype"/>
          <w:i/>
          <w:sz w:val="22"/>
          <w:szCs w:val="22"/>
        </w:rPr>
        <w:t>tendrán</w:t>
      </w:r>
      <w:r w:rsidRPr="00F94BA1">
        <w:rPr>
          <w:rFonts w:ascii="Palatino Linotype" w:hAnsi="Palatino Linotype" w:cs="Arial"/>
          <w:i/>
          <w:sz w:val="22"/>
          <w:szCs w:val="22"/>
          <w:lang w:eastAsia="es-MX"/>
        </w:rPr>
        <w:t xml:space="preserve"> las siguientes atribuciones:</w:t>
      </w:r>
    </w:p>
    <w:p w14:paraId="4F2BD711" w14:textId="77777777" w:rsidR="00DA57BE" w:rsidRPr="00F94BA1" w:rsidRDefault="00DA57BE" w:rsidP="00DA57BE">
      <w:pPr>
        <w:autoSpaceDE w:val="0"/>
        <w:autoSpaceDN w:val="0"/>
        <w:adjustRightInd w:val="0"/>
        <w:spacing w:line="360" w:lineRule="auto"/>
        <w:ind w:left="709" w:right="709"/>
        <w:jc w:val="both"/>
        <w:rPr>
          <w:rFonts w:ascii="Palatino Linotype" w:hAnsi="Palatino Linotype" w:cs="Arial"/>
          <w:i/>
          <w:sz w:val="22"/>
          <w:szCs w:val="22"/>
          <w:lang w:eastAsia="es-MX"/>
        </w:rPr>
      </w:pPr>
      <w:r w:rsidRPr="00F94BA1">
        <w:rPr>
          <w:rFonts w:ascii="Palatino Linotype" w:hAnsi="Palatino Linotype" w:cs="Arial"/>
          <w:b/>
          <w:i/>
          <w:sz w:val="22"/>
          <w:szCs w:val="22"/>
          <w:lang w:eastAsia="es-MX"/>
        </w:rPr>
        <w:t>VIII.</w:t>
      </w:r>
      <w:r w:rsidRPr="00F94BA1">
        <w:rPr>
          <w:rFonts w:ascii="Palatino Linotype" w:hAnsi="Palatino Linotype" w:cs="Arial"/>
          <w:i/>
          <w:sz w:val="22"/>
          <w:szCs w:val="22"/>
          <w:lang w:eastAsia="es-MX"/>
        </w:rPr>
        <w:t xml:space="preserve"> </w:t>
      </w:r>
      <w:r w:rsidRPr="00F94BA1">
        <w:rPr>
          <w:rFonts w:ascii="Palatino Linotype" w:hAnsi="Palatino Linotype" w:cs="Arial"/>
          <w:b/>
          <w:i/>
          <w:sz w:val="22"/>
          <w:szCs w:val="22"/>
          <w:lang w:eastAsia="es-MX"/>
        </w:rPr>
        <w:t>Aprobar</w:t>
      </w:r>
      <w:r w:rsidRPr="00F94BA1">
        <w:rPr>
          <w:rFonts w:ascii="Palatino Linotype" w:hAnsi="Palatino Linotype" w:cs="Arial"/>
          <w:i/>
          <w:sz w:val="22"/>
          <w:szCs w:val="22"/>
          <w:lang w:eastAsia="es-MX"/>
        </w:rPr>
        <w:t xml:space="preserve">, </w:t>
      </w:r>
      <w:r w:rsidRPr="00F94BA1">
        <w:rPr>
          <w:rFonts w:ascii="Palatino Linotype" w:hAnsi="Palatino Linotype" w:cs="Arial"/>
          <w:i/>
          <w:sz w:val="22"/>
          <w:szCs w:val="22"/>
        </w:rPr>
        <w:t>modificar</w:t>
      </w:r>
      <w:r w:rsidRPr="00F94BA1">
        <w:rPr>
          <w:rFonts w:ascii="Palatino Linotype" w:hAnsi="Palatino Linotype" w:cs="Arial"/>
          <w:i/>
          <w:sz w:val="22"/>
          <w:szCs w:val="22"/>
          <w:lang w:eastAsia="es-MX"/>
        </w:rPr>
        <w:t xml:space="preserve"> o revocar </w:t>
      </w:r>
      <w:r w:rsidRPr="00F94BA1">
        <w:rPr>
          <w:rFonts w:ascii="Palatino Linotype" w:hAnsi="Palatino Linotype" w:cs="Arial"/>
          <w:b/>
          <w:i/>
          <w:sz w:val="22"/>
          <w:szCs w:val="22"/>
          <w:lang w:eastAsia="es-MX"/>
        </w:rPr>
        <w:t>la clasificación de la información</w:t>
      </w:r>
      <w:r w:rsidRPr="00F94BA1">
        <w:rPr>
          <w:rFonts w:ascii="Palatino Linotype" w:hAnsi="Palatino Linotype" w:cs="Arial"/>
          <w:i/>
          <w:sz w:val="22"/>
          <w:szCs w:val="22"/>
          <w:lang w:eastAsia="es-MX"/>
        </w:rPr>
        <w:t>;</w:t>
      </w:r>
    </w:p>
    <w:p w14:paraId="5FE6958B" w14:textId="77777777" w:rsidR="00DA57BE" w:rsidRPr="00F94BA1" w:rsidRDefault="00DA57BE" w:rsidP="00DA57BE">
      <w:pPr>
        <w:autoSpaceDE w:val="0"/>
        <w:autoSpaceDN w:val="0"/>
        <w:adjustRightInd w:val="0"/>
        <w:spacing w:line="360" w:lineRule="auto"/>
        <w:ind w:left="709" w:right="709"/>
        <w:jc w:val="both"/>
        <w:rPr>
          <w:rFonts w:ascii="Palatino Linotype" w:hAnsi="Palatino Linotype" w:cs="Arial"/>
          <w:i/>
          <w:sz w:val="22"/>
          <w:szCs w:val="22"/>
          <w:lang w:eastAsia="es-MX"/>
        </w:rPr>
      </w:pPr>
      <w:r w:rsidRPr="00F94BA1">
        <w:rPr>
          <w:rFonts w:ascii="Palatino Linotype" w:hAnsi="Palatino Linotype" w:cs="Arial"/>
          <w:b/>
          <w:i/>
          <w:sz w:val="22"/>
          <w:szCs w:val="22"/>
          <w:lang w:eastAsia="es-MX"/>
        </w:rPr>
        <w:lastRenderedPageBreak/>
        <w:t>Artículo 132.</w:t>
      </w:r>
      <w:r w:rsidRPr="00F94BA1">
        <w:rPr>
          <w:rFonts w:ascii="Palatino Linotype" w:hAnsi="Palatino Linotype" w:cs="Arial"/>
          <w:i/>
          <w:sz w:val="22"/>
          <w:szCs w:val="22"/>
          <w:lang w:eastAsia="es-MX"/>
        </w:rPr>
        <w:t xml:space="preserve"> La clasificación de la información se llevará a cabo en el momento en que:</w:t>
      </w:r>
    </w:p>
    <w:p w14:paraId="2C03E4B1" w14:textId="77777777" w:rsidR="00DA57BE" w:rsidRPr="00F94BA1" w:rsidRDefault="00DA57BE" w:rsidP="00DA57BE">
      <w:pPr>
        <w:autoSpaceDE w:val="0"/>
        <w:autoSpaceDN w:val="0"/>
        <w:adjustRightInd w:val="0"/>
        <w:spacing w:line="360" w:lineRule="auto"/>
        <w:ind w:left="709" w:right="709"/>
        <w:jc w:val="both"/>
        <w:rPr>
          <w:rFonts w:ascii="Palatino Linotype" w:hAnsi="Palatino Linotype" w:cs="Arial"/>
          <w:i/>
          <w:sz w:val="22"/>
          <w:szCs w:val="22"/>
          <w:lang w:eastAsia="es-MX"/>
        </w:rPr>
      </w:pPr>
      <w:r w:rsidRPr="00F94BA1">
        <w:rPr>
          <w:rFonts w:ascii="Palatino Linotype" w:hAnsi="Palatino Linotype" w:cs="Arial"/>
          <w:i/>
          <w:sz w:val="22"/>
          <w:szCs w:val="22"/>
          <w:lang w:eastAsia="es-MX"/>
        </w:rPr>
        <w:t>[…]</w:t>
      </w:r>
    </w:p>
    <w:p w14:paraId="2C69230F" w14:textId="77777777" w:rsidR="00DA57BE" w:rsidRPr="00F94BA1" w:rsidRDefault="00DA57BE" w:rsidP="00DA57BE">
      <w:pPr>
        <w:autoSpaceDE w:val="0"/>
        <w:autoSpaceDN w:val="0"/>
        <w:adjustRightInd w:val="0"/>
        <w:spacing w:line="360" w:lineRule="auto"/>
        <w:ind w:left="709" w:right="709"/>
        <w:jc w:val="both"/>
        <w:rPr>
          <w:rFonts w:ascii="Palatino Linotype" w:hAnsi="Palatino Linotype" w:cs="Arial"/>
          <w:i/>
          <w:sz w:val="22"/>
          <w:szCs w:val="22"/>
          <w:lang w:eastAsia="es-MX"/>
        </w:rPr>
      </w:pPr>
      <w:r w:rsidRPr="00F94BA1">
        <w:rPr>
          <w:rFonts w:ascii="Palatino Linotype" w:hAnsi="Palatino Linotype" w:cs="Arial"/>
          <w:b/>
          <w:i/>
          <w:sz w:val="22"/>
          <w:szCs w:val="22"/>
          <w:lang w:eastAsia="es-MX"/>
        </w:rPr>
        <w:t>II.</w:t>
      </w:r>
      <w:r w:rsidRPr="00F94BA1">
        <w:rPr>
          <w:rFonts w:ascii="Palatino Linotype" w:hAnsi="Palatino Linotype" w:cs="Arial"/>
          <w:i/>
          <w:sz w:val="22"/>
          <w:szCs w:val="22"/>
          <w:lang w:eastAsia="es-MX"/>
        </w:rPr>
        <w:t xml:space="preserve"> </w:t>
      </w:r>
      <w:r w:rsidRPr="00F94BA1">
        <w:rPr>
          <w:rFonts w:ascii="Palatino Linotype" w:hAnsi="Palatino Linotype" w:cs="Arial"/>
          <w:b/>
          <w:i/>
          <w:sz w:val="22"/>
          <w:szCs w:val="22"/>
          <w:lang w:eastAsia="es-MX"/>
        </w:rPr>
        <w:t>Se determine mediante resolución de autoridad competente</w:t>
      </w:r>
      <w:r w:rsidRPr="00F94BA1">
        <w:rPr>
          <w:rFonts w:ascii="Palatino Linotype" w:hAnsi="Palatino Linotype" w:cs="Arial"/>
          <w:i/>
          <w:sz w:val="22"/>
          <w:szCs w:val="22"/>
          <w:lang w:eastAsia="es-MX"/>
        </w:rPr>
        <w:t>; o</w:t>
      </w:r>
    </w:p>
    <w:p w14:paraId="5872B83C" w14:textId="77777777" w:rsidR="00DA57BE" w:rsidRPr="00F94BA1" w:rsidRDefault="00DA57BE" w:rsidP="00DA57BE">
      <w:pPr>
        <w:spacing w:line="360" w:lineRule="auto"/>
        <w:ind w:left="709" w:right="709"/>
        <w:jc w:val="both"/>
        <w:rPr>
          <w:rFonts w:ascii="Palatino Linotype" w:hAnsi="Palatino Linotype" w:cs="Arial"/>
          <w:b/>
          <w:i/>
          <w:sz w:val="22"/>
          <w:szCs w:val="22"/>
          <w:lang w:eastAsia="es-MX"/>
        </w:rPr>
      </w:pPr>
    </w:p>
    <w:p w14:paraId="4630259D" w14:textId="52EBEAEF" w:rsidR="00DA57BE" w:rsidRPr="00DA57BE" w:rsidRDefault="00DA57BE" w:rsidP="00DA57BE">
      <w:pPr>
        <w:pStyle w:val="Prrafodelista"/>
        <w:spacing w:line="360" w:lineRule="auto"/>
        <w:ind w:left="567" w:right="822"/>
        <w:jc w:val="center"/>
        <w:rPr>
          <w:rFonts w:ascii="Palatino Linotype" w:hAnsi="Palatino Linotype"/>
          <w:i/>
        </w:rPr>
      </w:pPr>
      <w:r w:rsidRPr="00DA57BE">
        <w:rPr>
          <w:rFonts w:ascii="Palatino Linotype" w:hAnsi="Palatino Linotype"/>
          <w:i/>
        </w:rPr>
        <w:t>Capítulo III</w:t>
      </w:r>
    </w:p>
    <w:p w14:paraId="1DA4087E" w14:textId="3FA0A3AC" w:rsidR="00DA57BE" w:rsidRPr="00DA57BE" w:rsidRDefault="00DA57BE" w:rsidP="00DA57BE">
      <w:pPr>
        <w:pStyle w:val="Prrafodelista"/>
        <w:spacing w:line="360" w:lineRule="auto"/>
        <w:ind w:left="567" w:right="822"/>
        <w:jc w:val="center"/>
        <w:rPr>
          <w:rFonts w:ascii="Palatino Linotype" w:hAnsi="Palatino Linotype"/>
          <w:i/>
        </w:rPr>
      </w:pPr>
      <w:r w:rsidRPr="00DA57BE">
        <w:rPr>
          <w:rFonts w:ascii="Palatino Linotype" w:hAnsi="Palatino Linotype"/>
          <w:i/>
        </w:rPr>
        <w:t>De la Información Confidencial</w:t>
      </w:r>
    </w:p>
    <w:p w14:paraId="1E633814" w14:textId="38E6886A" w:rsidR="00DA57BE" w:rsidRPr="00DA57BE" w:rsidRDefault="00DA57BE" w:rsidP="00DA57BE">
      <w:pPr>
        <w:pStyle w:val="Prrafodelista"/>
        <w:spacing w:line="360" w:lineRule="auto"/>
        <w:ind w:left="567" w:right="822"/>
        <w:jc w:val="both"/>
        <w:rPr>
          <w:rFonts w:ascii="Palatino Linotype" w:eastAsia="MS Mincho" w:hAnsi="Palatino Linotype"/>
          <w:i/>
          <w:sz w:val="24"/>
        </w:rPr>
      </w:pPr>
      <w:r w:rsidRPr="00DA57BE">
        <w:rPr>
          <w:rFonts w:ascii="Palatino Linotype" w:hAnsi="Palatino Linotype"/>
          <w:b/>
          <w:i/>
        </w:rPr>
        <w:t>Artículo 143.</w:t>
      </w:r>
      <w:r w:rsidRPr="00DA57BE">
        <w:rPr>
          <w:rFonts w:ascii="Palatino Linotype" w:hAnsi="Palatino Linotype"/>
          <w:i/>
        </w:rPr>
        <w:t xml:space="preserve">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w:t>
      </w:r>
    </w:p>
    <w:p w14:paraId="5F6B1AA0" w14:textId="77777777" w:rsidR="00DA57BE" w:rsidRDefault="00DA57BE" w:rsidP="00DA57BE">
      <w:pPr>
        <w:pStyle w:val="Prrafodelista"/>
        <w:spacing w:line="360" w:lineRule="auto"/>
        <w:ind w:left="0"/>
        <w:jc w:val="both"/>
        <w:rPr>
          <w:rFonts w:ascii="Palatino Linotype" w:eastAsia="MS Mincho" w:hAnsi="Palatino Linotype"/>
          <w:sz w:val="24"/>
        </w:rPr>
      </w:pPr>
    </w:p>
    <w:p w14:paraId="6474D3C8" w14:textId="38EC2456" w:rsidR="00DA57BE" w:rsidRDefault="00DA57BE"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Es así que, el Sujeto Obligado, a través de su Comité de Transparencia deberá emitir el acuerdo que clasifique como información confidencial el nombre de la persona señalada como víctima en la dirección electrónica señalada en respuesta.</w:t>
      </w:r>
    </w:p>
    <w:p w14:paraId="70ED8EEC" w14:textId="77777777" w:rsidR="00DA57BE" w:rsidRDefault="00DA57BE" w:rsidP="00DA57BE">
      <w:pPr>
        <w:pStyle w:val="Prrafodelista"/>
        <w:spacing w:line="360" w:lineRule="auto"/>
        <w:ind w:left="0"/>
        <w:jc w:val="both"/>
        <w:rPr>
          <w:rFonts w:ascii="Palatino Linotype" w:eastAsia="MS Mincho" w:hAnsi="Palatino Linotype"/>
          <w:sz w:val="24"/>
        </w:rPr>
      </w:pPr>
    </w:p>
    <w:p w14:paraId="6490E9D2" w14:textId="4EF58B36" w:rsidR="00DA57BE" w:rsidRPr="00DA57BE" w:rsidRDefault="00DA57BE" w:rsidP="00DA57BE">
      <w:pPr>
        <w:pStyle w:val="Ttulo2"/>
        <w:numPr>
          <w:ilvl w:val="0"/>
          <w:numId w:val="26"/>
        </w:numPr>
        <w:rPr>
          <w:rFonts w:ascii="Palatino Linotype" w:hAnsi="Palatino Linotype"/>
          <w:b/>
        </w:rPr>
      </w:pPr>
      <w:bookmarkStart w:id="52" w:name="_Toc85735120"/>
      <w:r w:rsidRPr="00DA57BE">
        <w:rPr>
          <w:rFonts w:ascii="Palatino Linotype" w:hAnsi="Palatino Linotype"/>
          <w:b/>
          <w:color w:val="auto"/>
          <w:sz w:val="24"/>
        </w:rPr>
        <w:t>De la reserva.</w:t>
      </w:r>
      <w:bookmarkEnd w:id="52"/>
    </w:p>
    <w:p w14:paraId="6D3CC244" w14:textId="77777777" w:rsidR="00DA57BE" w:rsidRPr="00DA57BE" w:rsidRDefault="00DA57BE" w:rsidP="00DA57BE">
      <w:pPr>
        <w:rPr>
          <w:rFonts w:eastAsia="MS Mincho"/>
        </w:rPr>
      </w:pPr>
    </w:p>
    <w:p w14:paraId="26670152" w14:textId="57FFE791" w:rsidR="00DA57BE" w:rsidRDefault="00062CA2"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t xml:space="preserve">Por lo que corresponde a la información relativa a los nombres de los policías que intervinieron para la detención de los presuntos responsables de los hechos constitutivos de delito, </w:t>
      </w:r>
    </w:p>
    <w:p w14:paraId="58AA6D12" w14:textId="77777777" w:rsidR="00DA57BE" w:rsidRDefault="00DA57BE" w:rsidP="00062CA2">
      <w:pPr>
        <w:pStyle w:val="Prrafodelista"/>
        <w:spacing w:line="360" w:lineRule="auto"/>
        <w:ind w:left="0"/>
        <w:jc w:val="both"/>
        <w:rPr>
          <w:rFonts w:ascii="Palatino Linotype" w:eastAsia="MS Mincho" w:hAnsi="Palatino Linotype"/>
          <w:sz w:val="24"/>
        </w:rPr>
      </w:pPr>
    </w:p>
    <w:p w14:paraId="7B95ED12" w14:textId="77777777" w:rsidR="00062CA2" w:rsidRPr="00062CA2" w:rsidRDefault="00062CA2" w:rsidP="00062CA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062CA2">
        <w:rPr>
          <w:rFonts w:ascii="Palatino Linotype" w:hAnsi="Palatino Linotype" w:cs="Arial"/>
          <w:color w:val="000000" w:themeColor="text1"/>
          <w:sz w:val="24"/>
        </w:rPr>
        <w:t>Los artículos 140 y 113 de la Ley Estatal y de la Ley General, respectivamente, señalan los supuestos para que una información pueda considerarse como reservada, que son los siguientes:</w:t>
      </w:r>
    </w:p>
    <w:p w14:paraId="41B4B81C" w14:textId="77777777" w:rsidR="00062CA2" w:rsidRPr="00AF7502" w:rsidRDefault="00062CA2" w:rsidP="00062CA2">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678"/>
        <w:gridCol w:w="3969"/>
      </w:tblGrid>
      <w:tr w:rsidR="00062CA2" w:rsidRPr="00AF7502" w14:paraId="41A7FB14" w14:textId="77777777" w:rsidTr="006F0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D07EBA7" w14:textId="77777777" w:rsidR="00062CA2" w:rsidRPr="00062CA2" w:rsidRDefault="00062CA2" w:rsidP="006F07D9">
            <w:pPr>
              <w:autoSpaceDE w:val="0"/>
              <w:autoSpaceDN w:val="0"/>
              <w:adjustRightInd w:val="0"/>
              <w:jc w:val="center"/>
              <w:rPr>
                <w:rFonts w:ascii="Palatino Linotype" w:hAnsi="Palatino Linotype"/>
                <w:color w:val="000000" w:themeColor="text1"/>
                <w:sz w:val="20"/>
                <w:szCs w:val="16"/>
              </w:rPr>
            </w:pPr>
            <w:r w:rsidRPr="00062CA2">
              <w:rPr>
                <w:rFonts w:ascii="Palatino Linotype" w:hAnsi="Palatino Linotype" w:cs="Gill Sans,Bold"/>
                <w:color w:val="000000" w:themeColor="text1"/>
                <w:sz w:val="20"/>
                <w:szCs w:val="16"/>
              </w:rPr>
              <w:lastRenderedPageBreak/>
              <w:t>LEY ESTATAL</w:t>
            </w:r>
          </w:p>
        </w:tc>
        <w:tc>
          <w:tcPr>
            <w:tcW w:w="3969" w:type="dxa"/>
          </w:tcPr>
          <w:p w14:paraId="43E84B92" w14:textId="77777777" w:rsidR="00062CA2" w:rsidRPr="00062CA2" w:rsidRDefault="00062CA2" w:rsidP="006F07D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rPr>
            </w:pPr>
            <w:r w:rsidRPr="00062CA2">
              <w:rPr>
                <w:rFonts w:ascii="Palatino Linotype" w:hAnsi="Palatino Linotype"/>
                <w:color w:val="000000" w:themeColor="text1"/>
                <w:sz w:val="20"/>
                <w:szCs w:val="16"/>
              </w:rPr>
              <w:t>LEY GENERAL</w:t>
            </w:r>
          </w:p>
        </w:tc>
      </w:tr>
      <w:tr w:rsidR="00062CA2" w:rsidRPr="00AF7502" w14:paraId="7EAE4C4A"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457FC57"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I. Comprometa la seguridad pública y cuente con un propósito genuino y un efecto demostrable;</w:t>
            </w:r>
          </w:p>
          <w:p w14:paraId="1E7879C9" w14:textId="77777777" w:rsidR="00062CA2" w:rsidRPr="00062CA2" w:rsidRDefault="00062CA2" w:rsidP="006F07D9">
            <w:pPr>
              <w:jc w:val="both"/>
              <w:rPr>
                <w:rFonts w:ascii="Palatino Linotype" w:hAnsi="Palatino Linotype"/>
                <w:color w:val="000000" w:themeColor="text1"/>
                <w:sz w:val="20"/>
                <w:szCs w:val="16"/>
              </w:rPr>
            </w:pPr>
          </w:p>
        </w:tc>
        <w:tc>
          <w:tcPr>
            <w:tcW w:w="3969" w:type="dxa"/>
          </w:tcPr>
          <w:p w14:paraId="0EE4E83E"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I.</w:t>
            </w:r>
            <w:r w:rsidRPr="00062CA2">
              <w:rPr>
                <w:rFonts w:ascii="Palatino Linotype" w:hAnsi="Palatino Linotype"/>
                <w:color w:val="000000" w:themeColor="text1"/>
                <w:sz w:val="20"/>
                <w:szCs w:val="16"/>
                <w:lang w:val="es-ES"/>
              </w:rPr>
              <w:tab/>
              <w:t>Comprometa la seguridad nacional, la seguridad pública o la defensa nacional y cuente con un propósito genuino y un efecto demostrable;</w:t>
            </w:r>
          </w:p>
        </w:tc>
      </w:tr>
      <w:tr w:rsidR="00062CA2" w:rsidRPr="00AF7502" w14:paraId="3D54AA73"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7FB1B4CE"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II. Pueda menoscabar la conducción de las negociaciones y relaciones internacionales;</w:t>
            </w:r>
          </w:p>
        </w:tc>
        <w:tc>
          <w:tcPr>
            <w:tcW w:w="3969" w:type="dxa"/>
          </w:tcPr>
          <w:p w14:paraId="5F7241D6"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II.</w:t>
            </w:r>
            <w:r w:rsidRPr="00062CA2">
              <w:rPr>
                <w:rFonts w:ascii="Palatino Linotype" w:hAnsi="Palatino Linotype"/>
                <w:color w:val="000000" w:themeColor="text1"/>
                <w:sz w:val="20"/>
                <w:szCs w:val="16"/>
                <w:lang w:val="es-ES"/>
              </w:rPr>
              <w:tab/>
              <w:t>Pueda menoscabar la conducción de las negociaciones y relaciones internacionales;</w:t>
            </w:r>
          </w:p>
        </w:tc>
      </w:tr>
      <w:tr w:rsidR="00062CA2" w:rsidRPr="00AF7502" w14:paraId="7514EA3C"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41BD358"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69" w:type="dxa"/>
          </w:tcPr>
          <w:p w14:paraId="6A87C171"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III.</w:t>
            </w:r>
            <w:r w:rsidRPr="00062CA2">
              <w:rPr>
                <w:rFonts w:ascii="Palatino Linotype" w:hAnsi="Palatino Linotype"/>
                <w:color w:val="000000" w:themeColor="text1"/>
                <w:sz w:val="20"/>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062CA2" w:rsidRPr="00AF7502" w14:paraId="5D6604D0"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3E6AE600"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p>
        </w:tc>
        <w:tc>
          <w:tcPr>
            <w:tcW w:w="3969" w:type="dxa"/>
          </w:tcPr>
          <w:p w14:paraId="26065E8D"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IV.</w:t>
            </w:r>
            <w:r w:rsidRPr="00062CA2">
              <w:rPr>
                <w:rFonts w:ascii="Palatino Linotype" w:hAnsi="Palatino Linotype"/>
                <w:color w:val="000000" w:themeColor="text1"/>
                <w:sz w:val="20"/>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062CA2" w:rsidRPr="00AF7502" w14:paraId="17CE4479"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DD3853E"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IV. Ponga en riesgo la vida, la seguridad o la salud de una persona física;</w:t>
            </w:r>
          </w:p>
        </w:tc>
        <w:tc>
          <w:tcPr>
            <w:tcW w:w="3969" w:type="dxa"/>
          </w:tcPr>
          <w:p w14:paraId="26AB61A8"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V.</w:t>
            </w:r>
            <w:r w:rsidRPr="00062CA2">
              <w:rPr>
                <w:rFonts w:ascii="Palatino Linotype" w:hAnsi="Palatino Linotype"/>
                <w:color w:val="000000" w:themeColor="text1"/>
                <w:sz w:val="20"/>
                <w:szCs w:val="16"/>
                <w:lang w:val="es-ES"/>
              </w:rPr>
              <w:tab/>
              <w:t>Pueda poner en riesgo la vida, seguridad o salud de una persona física;</w:t>
            </w:r>
          </w:p>
        </w:tc>
      </w:tr>
      <w:tr w:rsidR="00062CA2" w:rsidRPr="00AF7502" w14:paraId="64761BBC"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5F2592A6"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V. Aquella cuya divulgación obstruya o pueda causar un serio perjuicio a:</w:t>
            </w:r>
          </w:p>
          <w:p w14:paraId="3F77C917"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p>
          <w:p w14:paraId="716A4893"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1. Las actividades de fiscalización, verificación, inspección, comprobación y auditoría sobre el cumplimiento de las Leyes; o</w:t>
            </w:r>
          </w:p>
          <w:p w14:paraId="156F2BB6"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p>
          <w:p w14:paraId="64ECA5C7"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2. La recaudación de las contribuciones.</w:t>
            </w:r>
          </w:p>
        </w:tc>
        <w:tc>
          <w:tcPr>
            <w:tcW w:w="3969" w:type="dxa"/>
          </w:tcPr>
          <w:p w14:paraId="65A0BA21"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VI.</w:t>
            </w:r>
            <w:r w:rsidRPr="00062CA2">
              <w:rPr>
                <w:rFonts w:ascii="Palatino Linotype" w:hAnsi="Palatino Linotype"/>
                <w:color w:val="000000" w:themeColor="text1"/>
                <w:sz w:val="20"/>
                <w:szCs w:val="16"/>
                <w:lang w:val="es-ES"/>
              </w:rPr>
              <w:tab/>
              <w:t>Obstruya las actividades de verificación, inspección y auditoría relativas al cumplimiento de las leyes o afecte la recaudación de contribuciones;</w:t>
            </w:r>
          </w:p>
          <w:p w14:paraId="621160F9"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p>
          <w:p w14:paraId="4FC21A41"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rPr>
            </w:pPr>
          </w:p>
        </w:tc>
      </w:tr>
      <w:tr w:rsidR="00062CA2" w:rsidRPr="00AF7502" w14:paraId="6FE3AA90"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212D942"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 xml:space="preserve">VI. Pueda causar daño u obstruya la prevención o persecución de los delitos, altere el proceso de investigación de las carpetas de investigación, </w:t>
            </w:r>
            <w:r w:rsidRPr="00062CA2">
              <w:rPr>
                <w:rFonts w:ascii="Palatino Linotype" w:hAnsi="Palatino Linotype" w:cs="Arial"/>
                <w:color w:val="000000" w:themeColor="text1"/>
                <w:sz w:val="20"/>
                <w:szCs w:val="16"/>
              </w:rPr>
              <w:lastRenderedPageBreak/>
              <w:t>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69" w:type="dxa"/>
          </w:tcPr>
          <w:p w14:paraId="48258A46"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lastRenderedPageBreak/>
              <w:t>VII.</w:t>
            </w:r>
            <w:r w:rsidRPr="00062CA2">
              <w:rPr>
                <w:rFonts w:ascii="Palatino Linotype" w:hAnsi="Palatino Linotype"/>
                <w:color w:val="000000" w:themeColor="text1"/>
                <w:sz w:val="20"/>
                <w:szCs w:val="16"/>
                <w:lang w:val="es-ES"/>
              </w:rPr>
              <w:tab/>
              <w:t>Obstruya la prevención o persecución de los delitos;</w:t>
            </w:r>
          </w:p>
          <w:p w14:paraId="63367C57"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p>
          <w:p w14:paraId="3C4CF870"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rPr>
            </w:pPr>
          </w:p>
        </w:tc>
      </w:tr>
      <w:tr w:rsidR="00062CA2" w:rsidRPr="00AF7502" w14:paraId="42227CEB"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0C135A44"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3969" w:type="dxa"/>
          </w:tcPr>
          <w:p w14:paraId="5D7A913B"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VIII.</w:t>
            </w:r>
            <w:r w:rsidRPr="00062CA2">
              <w:rPr>
                <w:rFonts w:ascii="Palatino Linotype" w:hAnsi="Palatino Linotype"/>
                <w:color w:val="000000" w:themeColor="text1"/>
                <w:sz w:val="20"/>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062CA2" w:rsidRPr="00AF7502" w14:paraId="3B1DE5E6"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01F2035"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p>
        </w:tc>
        <w:tc>
          <w:tcPr>
            <w:tcW w:w="3969" w:type="dxa"/>
          </w:tcPr>
          <w:p w14:paraId="05236D1F"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IX.</w:t>
            </w:r>
            <w:r w:rsidRPr="00062CA2">
              <w:rPr>
                <w:rFonts w:ascii="Palatino Linotype" w:hAnsi="Palatino Linotype"/>
                <w:color w:val="000000" w:themeColor="text1"/>
                <w:sz w:val="20"/>
                <w:szCs w:val="16"/>
                <w:lang w:val="es-ES"/>
              </w:rPr>
              <w:tab/>
              <w:t>Obstruya los procedimientos para fincar responsabilidad a los Servidores Públicos, en tanto no se haya dictado la resolución administrativa;</w:t>
            </w:r>
          </w:p>
        </w:tc>
      </w:tr>
      <w:tr w:rsidR="00062CA2" w:rsidRPr="00AF7502" w14:paraId="744C1C40"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050985C5"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p>
        </w:tc>
        <w:tc>
          <w:tcPr>
            <w:tcW w:w="3969" w:type="dxa"/>
          </w:tcPr>
          <w:p w14:paraId="595D888B"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X.</w:t>
            </w:r>
            <w:r w:rsidRPr="00062CA2">
              <w:rPr>
                <w:rFonts w:ascii="Palatino Linotype" w:hAnsi="Palatino Linotype"/>
                <w:color w:val="000000" w:themeColor="text1"/>
                <w:sz w:val="20"/>
                <w:szCs w:val="16"/>
                <w:lang w:val="es-ES"/>
              </w:rPr>
              <w:tab/>
              <w:t>Afecte los derechos del debido proceso;</w:t>
            </w:r>
          </w:p>
        </w:tc>
      </w:tr>
      <w:tr w:rsidR="00062CA2" w:rsidRPr="00AF7502" w14:paraId="028E7B2C"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26E4C8B3"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VIII. Vulnere la conducción de los expedientes judiciales o de los procedimientos administrativos seguidos en forma de juicio, en tanto no hayan quedado firmes;</w:t>
            </w:r>
          </w:p>
        </w:tc>
        <w:tc>
          <w:tcPr>
            <w:tcW w:w="3969" w:type="dxa"/>
          </w:tcPr>
          <w:p w14:paraId="31F441D6"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XI.</w:t>
            </w:r>
            <w:r w:rsidRPr="00062CA2">
              <w:rPr>
                <w:rFonts w:ascii="Palatino Linotype" w:hAnsi="Palatino Linotype"/>
                <w:color w:val="000000" w:themeColor="text1"/>
                <w:sz w:val="20"/>
                <w:szCs w:val="16"/>
                <w:lang w:val="es-ES"/>
              </w:rPr>
              <w:tab/>
              <w:t>Vulnere la conducción de los Expedientes judiciales o de los procedimientos administrativos seguidos en forma de juicio, en tanto no hayan causado estado;</w:t>
            </w:r>
          </w:p>
        </w:tc>
      </w:tr>
      <w:tr w:rsidR="00062CA2" w:rsidRPr="00AF7502" w14:paraId="7E1D5137"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2F1804F4"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IX. Se encuentre contenida dentro de las investigaciones de hechos que la Ley señale como delitos y se tramiten ante el Ministerio Público;</w:t>
            </w:r>
          </w:p>
        </w:tc>
        <w:tc>
          <w:tcPr>
            <w:tcW w:w="3969" w:type="dxa"/>
          </w:tcPr>
          <w:p w14:paraId="4782C070"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XII.</w:t>
            </w:r>
            <w:r w:rsidRPr="00062CA2">
              <w:rPr>
                <w:rFonts w:ascii="Palatino Linotype" w:hAnsi="Palatino Linotype"/>
                <w:color w:val="000000" w:themeColor="text1"/>
                <w:sz w:val="20"/>
                <w:szCs w:val="16"/>
                <w:lang w:val="es-ES"/>
              </w:rPr>
              <w:tab/>
              <w:t>Se encuentre contenida dentro de las investigaciones de hechos que la ley señale como delitos y se tramiten ante el Ministerio Público, y</w:t>
            </w:r>
          </w:p>
        </w:tc>
      </w:tr>
      <w:tr w:rsidR="00062CA2" w:rsidRPr="00AF7502" w14:paraId="187A2391" w14:textId="77777777" w:rsidTr="006F0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5C1A497" w14:textId="77777777" w:rsidR="00062CA2" w:rsidRPr="00062CA2" w:rsidRDefault="00062CA2" w:rsidP="006F07D9">
            <w:pPr>
              <w:autoSpaceDE w:val="0"/>
              <w:autoSpaceDN w:val="0"/>
              <w:adjustRightInd w:val="0"/>
              <w:ind w:left="-108"/>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0D40734" w14:textId="77777777" w:rsidR="00062CA2" w:rsidRPr="00062CA2" w:rsidRDefault="00062CA2" w:rsidP="006F07D9">
            <w:pPr>
              <w:autoSpaceDE w:val="0"/>
              <w:autoSpaceDN w:val="0"/>
              <w:adjustRightInd w:val="0"/>
              <w:jc w:val="both"/>
              <w:rPr>
                <w:rFonts w:ascii="Palatino Linotype" w:hAnsi="Palatino Linotype" w:cs="Arial"/>
                <w:color w:val="000000" w:themeColor="text1"/>
                <w:sz w:val="20"/>
                <w:szCs w:val="16"/>
              </w:rPr>
            </w:pPr>
            <w:r w:rsidRPr="00062CA2">
              <w:rPr>
                <w:rFonts w:ascii="Palatino Linotype" w:hAnsi="Palatino Linotype" w:cs="Arial"/>
                <w:color w:val="000000" w:themeColor="text1"/>
                <w:sz w:val="20"/>
                <w:szCs w:val="16"/>
              </w:rPr>
              <w:t xml:space="preserve">Cuando se trate de información sobre estudios y proyectos cuya divulgación pueda causar daños al interés del Estado o suponga un riesgo para su </w:t>
            </w:r>
            <w:r w:rsidRPr="00062CA2">
              <w:rPr>
                <w:rFonts w:ascii="Palatino Linotype" w:hAnsi="Palatino Linotype" w:cs="Arial"/>
                <w:color w:val="000000" w:themeColor="text1"/>
                <w:sz w:val="20"/>
                <w:szCs w:val="16"/>
              </w:rPr>
              <w:lastRenderedPageBreak/>
              <w:t>realización, siempre que esté directamente relacionado con procesos o procedimientos administrativos o judiciales que no hayan quedado firmes; y</w:t>
            </w:r>
          </w:p>
        </w:tc>
        <w:tc>
          <w:tcPr>
            <w:tcW w:w="3969" w:type="dxa"/>
          </w:tcPr>
          <w:p w14:paraId="51252145" w14:textId="77777777" w:rsidR="00062CA2" w:rsidRPr="00062CA2" w:rsidRDefault="00062CA2" w:rsidP="006F07D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16"/>
              </w:rPr>
            </w:pPr>
          </w:p>
        </w:tc>
      </w:tr>
      <w:tr w:rsidR="00062CA2" w:rsidRPr="00AF7502" w14:paraId="33822527" w14:textId="77777777" w:rsidTr="006F07D9">
        <w:tc>
          <w:tcPr>
            <w:cnfStyle w:val="001000000000" w:firstRow="0" w:lastRow="0" w:firstColumn="1" w:lastColumn="0" w:oddVBand="0" w:evenVBand="0" w:oddHBand="0" w:evenHBand="0" w:firstRowFirstColumn="0" w:firstRowLastColumn="0" w:lastRowFirstColumn="0" w:lastRowLastColumn="0"/>
            <w:tcW w:w="4678" w:type="dxa"/>
          </w:tcPr>
          <w:p w14:paraId="20B340CD" w14:textId="77777777" w:rsidR="00062CA2" w:rsidRPr="00062CA2" w:rsidRDefault="00062CA2" w:rsidP="006F07D9">
            <w:pPr>
              <w:jc w:val="both"/>
              <w:rPr>
                <w:rFonts w:ascii="Palatino Linotype" w:hAnsi="Palatino Linotype"/>
                <w:color w:val="000000" w:themeColor="text1"/>
                <w:sz w:val="20"/>
                <w:szCs w:val="16"/>
              </w:rPr>
            </w:pPr>
            <w:r w:rsidRPr="00062CA2">
              <w:rPr>
                <w:rFonts w:ascii="Palatino Linotype" w:hAnsi="Palatino Linotype" w:cs="Arial"/>
                <w:color w:val="000000" w:themeColor="text1"/>
                <w:sz w:val="20"/>
                <w:szCs w:val="16"/>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3969" w:type="dxa"/>
          </w:tcPr>
          <w:p w14:paraId="17C9CB1F" w14:textId="77777777" w:rsidR="00062CA2" w:rsidRPr="00062CA2" w:rsidRDefault="00062CA2" w:rsidP="006F07D9">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16"/>
                <w:lang w:val="es-ES"/>
              </w:rPr>
            </w:pPr>
            <w:r w:rsidRPr="00062CA2">
              <w:rPr>
                <w:rFonts w:ascii="Palatino Linotype" w:hAnsi="Palatino Linotype"/>
                <w:color w:val="000000" w:themeColor="text1"/>
                <w:sz w:val="20"/>
                <w:szCs w:val="16"/>
                <w:lang w:val="es-ES"/>
              </w:rPr>
              <w:t>XIII.</w:t>
            </w:r>
            <w:r w:rsidRPr="00062CA2">
              <w:rPr>
                <w:rFonts w:ascii="Palatino Linotype" w:hAnsi="Palatino Linotype"/>
                <w:color w:val="000000" w:themeColor="text1"/>
                <w:sz w:val="20"/>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2D8082F" w14:textId="77777777" w:rsidR="00062CA2" w:rsidRPr="00AF7502" w:rsidRDefault="00062CA2" w:rsidP="00062CA2">
      <w:pPr>
        <w:spacing w:line="360" w:lineRule="auto"/>
        <w:jc w:val="both"/>
        <w:rPr>
          <w:rFonts w:ascii="Palatino Linotype" w:hAnsi="Palatino Linotype" w:cs="Arial"/>
          <w:color w:val="000000" w:themeColor="text1"/>
        </w:rPr>
      </w:pPr>
    </w:p>
    <w:p w14:paraId="54BEC3B2"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Se debe identificar claramente el tipo de información y hacer un juicio de subsunción o encaje</w:t>
      </w:r>
      <w:r w:rsidRPr="00AF7502">
        <w:rPr>
          <w:rFonts w:ascii="Palatino Linotype" w:hAnsi="Palatino Linotype" w:cs="Arial"/>
          <w:color w:val="000000" w:themeColor="text1"/>
          <w:sz w:val="24"/>
          <w:vertAlign w:val="superscript"/>
        </w:rPr>
        <w:footnoteReference w:id="11"/>
      </w:r>
      <w:r w:rsidRPr="00AF7502">
        <w:rPr>
          <w:rFonts w:ascii="Palatino Linotype" w:hAnsi="Palatino Linotype" w:cs="Arial"/>
          <w:color w:val="000000" w:themeColor="text1"/>
          <w:sz w:val="24"/>
        </w:rPr>
        <w:t xml:space="preserve"> para acreditar que el supuesto de hecho corresponde estrictamente con la hipótesis jurídica. </w:t>
      </w:r>
    </w:p>
    <w:p w14:paraId="58655C25" w14:textId="77777777" w:rsidR="00062CA2" w:rsidRPr="00AF7502" w:rsidRDefault="00062CA2" w:rsidP="00062CA2">
      <w:pPr>
        <w:pStyle w:val="Ttulo3"/>
        <w:rPr>
          <w:rFonts w:ascii="Palatino Linotype" w:hAnsi="Palatino Linotype"/>
          <w:b/>
          <w:bCs/>
          <w:color w:val="auto"/>
        </w:rPr>
      </w:pPr>
      <w:bookmarkStart w:id="53" w:name="_Toc85735121"/>
      <w:r w:rsidRPr="00AF7502">
        <w:rPr>
          <w:rFonts w:ascii="Palatino Linotype" w:hAnsi="Palatino Linotype"/>
          <w:b/>
          <w:bCs/>
          <w:color w:val="auto"/>
        </w:rPr>
        <w:t>I. Condiciones especiales de la clasificación de la información como reservada</w:t>
      </w:r>
      <w:bookmarkEnd w:id="53"/>
      <w:r w:rsidRPr="00AF7502">
        <w:rPr>
          <w:rFonts w:ascii="Palatino Linotype" w:hAnsi="Palatino Linotype"/>
          <w:b/>
          <w:bCs/>
          <w:color w:val="auto"/>
        </w:rPr>
        <w:t xml:space="preserve"> </w:t>
      </w:r>
    </w:p>
    <w:p w14:paraId="438CD819" w14:textId="77777777" w:rsidR="00062CA2" w:rsidRPr="00AF7502" w:rsidRDefault="00062CA2" w:rsidP="00062CA2">
      <w:pPr>
        <w:spacing w:line="360" w:lineRule="auto"/>
        <w:contextualSpacing/>
        <w:jc w:val="both"/>
        <w:rPr>
          <w:rFonts w:ascii="Palatino Linotype" w:hAnsi="Palatino Linotype" w:cs="Arial"/>
          <w:b/>
          <w:color w:val="000000" w:themeColor="text1"/>
        </w:rPr>
      </w:pPr>
    </w:p>
    <w:p w14:paraId="0D4B1D10" w14:textId="77777777" w:rsidR="00062CA2" w:rsidRPr="00AF7502" w:rsidRDefault="00062CA2" w:rsidP="00062CA2">
      <w:pPr>
        <w:pStyle w:val="Prrafodelista"/>
        <w:numPr>
          <w:ilvl w:val="3"/>
          <w:numId w:val="2"/>
        </w:numPr>
        <w:ind w:left="851"/>
        <w:rPr>
          <w:rFonts w:ascii="Palatino Linotype" w:eastAsiaTheme="majorEastAsia" w:hAnsi="Palatino Linotype" w:cstheme="majorBidi"/>
          <w:b/>
          <w:color w:val="000000" w:themeColor="text1"/>
        </w:rPr>
      </w:pPr>
      <w:r w:rsidRPr="00AF7502">
        <w:rPr>
          <w:rFonts w:ascii="Palatino Linotype" w:eastAsiaTheme="majorEastAsia" w:hAnsi="Palatino Linotype" w:cstheme="majorBidi"/>
          <w:b/>
          <w:color w:val="000000" w:themeColor="text1"/>
        </w:rPr>
        <w:t>La fundamentación específica.</w:t>
      </w:r>
    </w:p>
    <w:p w14:paraId="15A6AA75" w14:textId="77777777" w:rsidR="00062CA2" w:rsidRPr="00AF7502" w:rsidRDefault="00062CA2" w:rsidP="00062CA2">
      <w:pPr>
        <w:rPr>
          <w:rFonts w:ascii="Palatino Linotype" w:eastAsiaTheme="majorEastAsia" w:hAnsi="Palatino Linotype" w:cstheme="majorBidi"/>
          <w:b/>
          <w:color w:val="000000" w:themeColor="text1"/>
        </w:rPr>
      </w:pPr>
    </w:p>
    <w:p w14:paraId="35E61476"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s="Arial"/>
          <w:color w:val="000000" w:themeColor="text1"/>
          <w:sz w:val="24"/>
        </w:rPr>
      </w:pPr>
      <w:r w:rsidRPr="00AF7502">
        <w:rPr>
          <w:rFonts w:ascii="Palatino Linotype" w:hAnsi="Palatino Linotype" w:cs="Arial"/>
          <w:color w:val="000000" w:themeColor="text1"/>
          <w:sz w:val="24"/>
        </w:rPr>
        <w:t xml:space="preserve">Los artículos 128 segundo párrafo y 103 segundo párrafo de las leyes estatal y general, respectivamente, señalan que, en el caso de la información reservada, se debe </w:t>
      </w:r>
      <w:r w:rsidRPr="00AF7502">
        <w:rPr>
          <w:rFonts w:ascii="Palatino Linotype" w:hAnsi="Palatino Linotype" w:cs="Arial"/>
          <w:color w:val="000000" w:themeColor="text1"/>
          <w:sz w:val="24"/>
        </w:rPr>
        <w:lastRenderedPageBreak/>
        <w:t>de señalar las razones, motivos o circunstancias especiales que llevan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w:t>
      </w:r>
    </w:p>
    <w:p w14:paraId="56ABB10E" w14:textId="77777777" w:rsidR="00062CA2" w:rsidRPr="00AF7502" w:rsidRDefault="00062CA2" w:rsidP="00062CA2">
      <w:pPr>
        <w:spacing w:line="360" w:lineRule="auto"/>
        <w:contextualSpacing/>
        <w:jc w:val="both"/>
        <w:rPr>
          <w:rFonts w:ascii="Palatino Linotype" w:hAnsi="Palatino Linotype" w:cs="Arial"/>
          <w:b/>
          <w:color w:val="000000" w:themeColor="text1"/>
        </w:rPr>
      </w:pPr>
    </w:p>
    <w:p w14:paraId="13B45D26" w14:textId="77777777" w:rsidR="00062CA2" w:rsidRPr="00062CA2" w:rsidRDefault="00062CA2" w:rsidP="00062CA2">
      <w:pPr>
        <w:ind w:left="709"/>
        <w:rPr>
          <w:rFonts w:ascii="Palatino Linotype" w:eastAsiaTheme="majorEastAsia" w:hAnsi="Palatino Linotype" w:cstheme="majorBidi"/>
          <w:b/>
          <w:color w:val="000000" w:themeColor="text1"/>
          <w:sz w:val="24"/>
        </w:rPr>
      </w:pPr>
      <w:r w:rsidRPr="00062CA2">
        <w:rPr>
          <w:rFonts w:ascii="Palatino Linotype" w:eastAsiaTheme="majorEastAsia" w:hAnsi="Palatino Linotype" w:cstheme="majorBidi"/>
          <w:b/>
          <w:color w:val="000000" w:themeColor="text1"/>
          <w:sz w:val="24"/>
        </w:rPr>
        <w:t>b) La prueba de daño.</w:t>
      </w:r>
    </w:p>
    <w:p w14:paraId="09664656" w14:textId="77777777" w:rsidR="00062CA2" w:rsidRPr="00AF7502" w:rsidRDefault="00062CA2" w:rsidP="00062CA2">
      <w:pPr>
        <w:spacing w:line="360" w:lineRule="auto"/>
        <w:contextualSpacing/>
        <w:jc w:val="both"/>
        <w:rPr>
          <w:rFonts w:ascii="Palatino Linotype" w:hAnsi="Palatino Linotype"/>
          <w:color w:val="000000" w:themeColor="text1"/>
        </w:rPr>
      </w:pPr>
    </w:p>
    <w:p w14:paraId="33A50851"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D3CD24E" w14:textId="77777777" w:rsidR="00062CA2" w:rsidRPr="00AF7502" w:rsidRDefault="00062CA2" w:rsidP="00062CA2">
      <w:pPr>
        <w:spacing w:line="360" w:lineRule="auto"/>
        <w:contextualSpacing/>
        <w:jc w:val="both"/>
        <w:rPr>
          <w:rFonts w:ascii="Palatino Linotype" w:hAnsi="Palatino Linotype"/>
          <w:color w:val="000000" w:themeColor="text1"/>
          <w:sz w:val="24"/>
        </w:rPr>
      </w:pPr>
    </w:p>
    <w:p w14:paraId="015CF419"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Para aplicar la prueba de daño, se deberán de precisar las razones objetivas por las que la apertura genera una afectación, acreditando que:</w:t>
      </w:r>
    </w:p>
    <w:p w14:paraId="660D1CED" w14:textId="77777777" w:rsidR="00062CA2" w:rsidRPr="00AF7502" w:rsidRDefault="00062CA2" w:rsidP="00062CA2">
      <w:pPr>
        <w:spacing w:line="360" w:lineRule="auto"/>
        <w:contextualSpacing/>
        <w:jc w:val="both"/>
        <w:rPr>
          <w:rFonts w:ascii="Palatino Linotype" w:hAnsi="Palatino Linotype"/>
          <w:color w:val="000000" w:themeColor="text1"/>
          <w:sz w:val="24"/>
        </w:rPr>
      </w:pPr>
    </w:p>
    <w:p w14:paraId="201B92A2" w14:textId="77777777" w:rsidR="00062CA2" w:rsidRPr="00AF7502" w:rsidRDefault="00062CA2" w:rsidP="00062CA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 </w:t>
      </w:r>
      <w:r w:rsidRPr="00AF7502">
        <w:rPr>
          <w:rFonts w:ascii="Palatino Linotype" w:hAnsi="Palatino Linotype" w:cs="Bookman Old Style"/>
          <w:i/>
          <w:color w:val="000000" w:themeColor="text1"/>
          <w:sz w:val="24"/>
        </w:rPr>
        <w:t xml:space="preserve">La divulgación de la información representa un riesgo real, demostrable e </w:t>
      </w:r>
      <w:r w:rsidRPr="00AF7502">
        <w:rPr>
          <w:rFonts w:ascii="Palatino Linotype" w:hAnsi="Palatino Linotype" w:cs="Bookman Old Style"/>
          <w:i/>
          <w:color w:val="000000" w:themeColor="text1"/>
          <w:sz w:val="24"/>
        </w:rPr>
        <w:lastRenderedPageBreak/>
        <w:t xml:space="preserve">identificable del perjuicio significativo al interés público o a la seguridad pública; </w:t>
      </w:r>
    </w:p>
    <w:p w14:paraId="5CD50A52" w14:textId="77777777" w:rsidR="00062CA2" w:rsidRPr="00AF7502" w:rsidRDefault="00062CA2" w:rsidP="00062CA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 </w:t>
      </w:r>
      <w:r w:rsidRPr="00AF7502">
        <w:rPr>
          <w:rFonts w:ascii="Palatino Linotype" w:hAnsi="Palatino Linotype" w:cs="Bookman Old Style"/>
          <w:i/>
          <w:color w:val="000000" w:themeColor="text1"/>
          <w:sz w:val="24"/>
        </w:rPr>
        <w:t xml:space="preserve">El riesgo de perjuicio que supondría la divulgación supera el interés público general de que se difunda; y </w:t>
      </w:r>
    </w:p>
    <w:p w14:paraId="73F9D1D7" w14:textId="77777777" w:rsidR="00062CA2" w:rsidRPr="00AF7502" w:rsidRDefault="00062CA2" w:rsidP="00062CA2">
      <w:pPr>
        <w:widowControl w:val="0"/>
        <w:autoSpaceDE w:val="0"/>
        <w:autoSpaceDN w:val="0"/>
        <w:adjustRightInd w:val="0"/>
        <w:spacing w:after="240" w:line="360" w:lineRule="auto"/>
        <w:ind w:left="567" w:right="616"/>
        <w:jc w:val="both"/>
        <w:rPr>
          <w:rFonts w:ascii="Palatino Linotype" w:hAnsi="Palatino Linotype" w:cs="Times"/>
          <w:i/>
          <w:color w:val="000000" w:themeColor="text1"/>
          <w:sz w:val="24"/>
        </w:rPr>
      </w:pPr>
      <w:r w:rsidRPr="00AF7502">
        <w:rPr>
          <w:rFonts w:ascii="Palatino Linotype" w:hAnsi="Palatino Linotype" w:cs="Bookman Old Style"/>
          <w:bCs/>
          <w:i/>
          <w:color w:val="000000" w:themeColor="text1"/>
          <w:sz w:val="24"/>
        </w:rPr>
        <w:t xml:space="preserve">III. </w:t>
      </w:r>
      <w:r w:rsidRPr="00AF7502">
        <w:rPr>
          <w:rFonts w:ascii="Palatino Linotype" w:hAnsi="Palatino Linotype" w:cs="Bookman Old Style"/>
          <w:i/>
          <w:color w:val="000000" w:themeColor="text1"/>
          <w:sz w:val="24"/>
        </w:rPr>
        <w:t xml:space="preserve">La limitación se adecua al principio de proporcionalidad y representa el medio menos restrictivo disponible para evitar el perjuicio. </w:t>
      </w:r>
    </w:p>
    <w:p w14:paraId="51F40E14" w14:textId="77777777" w:rsidR="00062CA2" w:rsidRPr="00AF7502" w:rsidRDefault="00062CA2" w:rsidP="00062CA2">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olor w:val="000000" w:themeColor="text1"/>
          <w:sz w:val="24"/>
          <w:lang w:eastAsia="es-ES_tradnl"/>
        </w:rPr>
      </w:pPr>
      <w:r w:rsidRPr="00AF7502">
        <w:rPr>
          <w:rFonts w:ascii="Palatino Linotype" w:hAnsi="Palatino Linotype"/>
          <w:color w:val="000000" w:themeColor="text1"/>
          <w:sz w:val="24"/>
          <w:lang w:eastAsia="es-ES_tradnl"/>
        </w:rPr>
        <w:t>Sobre el primer supuesto consideremos que según el diccionario del español jurídico, por riesgo podemos entender “la contingencia o proximidad de un daño”,</w:t>
      </w:r>
      <w:r w:rsidRPr="00AF7502">
        <w:rPr>
          <w:rFonts w:ascii="Palatino Linotype" w:hAnsi="Palatino Linotype"/>
          <w:color w:val="000000" w:themeColor="text1"/>
          <w:sz w:val="24"/>
          <w:vertAlign w:val="superscript"/>
          <w:lang w:eastAsia="es-ES_tradnl"/>
        </w:rPr>
        <w:footnoteReference w:id="12"/>
      </w:r>
      <w:r w:rsidRPr="00AF7502">
        <w:rPr>
          <w:rFonts w:ascii="Palatino Linotype" w:hAnsi="Palatino Linotype"/>
          <w:color w:val="000000" w:themeColor="text1"/>
          <w:sz w:val="24"/>
          <w:lang w:eastAsia="es-ES_tradnl"/>
        </w:rPr>
        <w:t xml:space="preserve"> mientras que el daño es considerado como un “perjuicio o lesión”</w:t>
      </w:r>
      <w:r w:rsidRPr="00AF7502">
        <w:rPr>
          <w:rFonts w:ascii="Palatino Linotype" w:hAnsi="Palatino Linotype"/>
          <w:color w:val="000000" w:themeColor="text1"/>
          <w:sz w:val="24"/>
          <w:vertAlign w:val="superscript"/>
          <w:lang w:eastAsia="es-ES_tradnl"/>
        </w:rPr>
        <w:footnoteReference w:id="13"/>
      </w:r>
      <w:r w:rsidRPr="00AF7502">
        <w:rPr>
          <w:rFonts w:ascii="Palatino Linotype" w:hAnsi="Palatino Linotype"/>
          <w:color w:val="000000" w:themeColor="text1"/>
          <w:sz w:val="24"/>
          <w:lang w:eastAsia="es-ES_tradnl"/>
        </w:rPr>
        <w:t>, mientras que según el Diccionario de la Lengua Española, lo real es</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lo “</w:t>
      </w:r>
      <w:r w:rsidRPr="00AF7502">
        <w:rPr>
          <w:rFonts w:ascii="Palatino Linotype" w:hAnsi="Palatino Linotype"/>
          <w:color w:val="000000" w:themeColor="text1"/>
          <w:sz w:val="24"/>
          <w:lang w:eastAsia="es-ES_tradnl"/>
        </w:rPr>
        <w:t>(que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tiene</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existencia</w:t>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w:t>
      </w:r>
      <w:r w:rsidRPr="00AF7502">
        <w:rPr>
          <w:rFonts w:ascii="Palatino Linotype" w:hAnsi="Palatino Linotype"/>
          <w:color w:val="000000" w:themeColor="text1"/>
          <w:sz w:val="24"/>
          <w:lang w:eastAsia="es-ES_tradnl"/>
        </w:rPr>
        <w:t>objetiva”,</w:t>
      </w:r>
      <w:r w:rsidRPr="00AF7502">
        <w:rPr>
          <w:rFonts w:ascii="Palatino Linotype" w:hAnsi="Palatino Linotype"/>
          <w:color w:val="000000" w:themeColor="text1"/>
          <w:sz w:val="24"/>
          <w:vertAlign w:val="superscript"/>
          <w:lang w:eastAsia="es-ES_tradnl"/>
        </w:rPr>
        <w:footnoteReference w:id="14"/>
      </w:r>
      <w:r w:rsidRPr="00AF7502">
        <w:rPr>
          <w:rFonts w:ascii="Palatino Linotype" w:hAnsi="Palatino Linotype"/>
          <w:color w:val="000000" w:themeColor="text1"/>
          <w:sz w:val="24"/>
          <w:lang w:eastAsia="es-ES_tradnl"/>
        </w:rPr>
        <w:t xml:space="preserve"> </w:t>
      </w:r>
      <w:r w:rsidRPr="00AF7502">
        <w:rPr>
          <w:rFonts w:ascii="Palatino Linotype" w:eastAsia="Arial Unicode MS" w:hAnsi="Palatino Linotype" w:cs="Arial Unicode MS"/>
          <w:color w:val="000000" w:themeColor="text1"/>
          <w:spacing w:val="4"/>
          <w:sz w:val="24"/>
          <w:shd w:val="clear" w:color="auto" w:fill="FFFFFF"/>
          <w:lang w:eastAsia="es-ES_tradnl"/>
        </w:rPr>
        <w:t>mientras que lo demostrables es, según la misma fuente, aquello que se puede demostrar,</w:t>
      </w:r>
      <w:r w:rsidRPr="00AF7502">
        <w:rPr>
          <w:rFonts w:ascii="Palatino Linotype" w:eastAsia="Arial Unicode MS" w:hAnsi="Palatino Linotype" w:cs="Arial Unicode MS"/>
          <w:color w:val="000000" w:themeColor="text1"/>
          <w:spacing w:val="4"/>
          <w:sz w:val="24"/>
          <w:shd w:val="clear" w:color="auto" w:fill="FFFFFF"/>
          <w:vertAlign w:val="superscript"/>
          <w:lang w:eastAsia="es-ES_tradnl"/>
        </w:rPr>
        <w:footnoteReference w:id="15"/>
      </w:r>
      <w:r w:rsidRPr="00AF7502">
        <w:rPr>
          <w:rFonts w:ascii="Palatino Linotype" w:eastAsia="Arial Unicode MS" w:hAnsi="Palatino Linotype" w:cs="Arial Unicode MS"/>
          <w:color w:val="000000" w:themeColor="text1"/>
          <w:spacing w:val="4"/>
          <w:sz w:val="24"/>
          <w:shd w:val="clear" w:color="auto" w:fill="FFFFFF"/>
          <w:lang w:eastAsia="es-ES_tradnl"/>
        </w:rPr>
        <w:t xml:space="preserve"> es decir, </w:t>
      </w:r>
      <w:r w:rsidRPr="00AF7502">
        <w:rPr>
          <w:rFonts w:ascii="Palatino Linotype" w:hAnsi="Palatino Linotype"/>
          <w:color w:val="000000" w:themeColor="text1"/>
          <w:sz w:val="24"/>
        </w:rPr>
        <w:t xml:space="preserve">“(manifestar, declarar. Probar, sirviéndose de cualquier género de demostración, </w:t>
      </w:r>
      <w:hyperlink r:id="rId13" w:anchor="6nAyKjE" w:history="1">
        <w:r w:rsidRPr="00AF7502">
          <w:rPr>
            <w:rFonts w:ascii="Palatino Linotype" w:hAnsi="Palatino Linotype"/>
            <w:color w:val="000000" w:themeColor="text1"/>
            <w:sz w:val="24"/>
          </w:rPr>
          <w:t>enseñar</w:t>
        </w:r>
      </w:hyperlink>
      <w:r w:rsidRPr="00AF7502">
        <w:rPr>
          <w:rFonts w:ascii="Palatino Linotype" w:hAnsi="Palatino Linotype"/>
          <w:color w:val="000000" w:themeColor="text1"/>
          <w:sz w:val="24"/>
        </w:rPr>
        <w:t xml:space="preserve"> mostrar o exponer algo)”.</w:t>
      </w:r>
      <w:r w:rsidRPr="00AF7502">
        <w:rPr>
          <w:rFonts w:ascii="Palatino Linotype" w:hAnsi="Palatino Linotype"/>
          <w:color w:val="000000" w:themeColor="text1"/>
          <w:sz w:val="24"/>
          <w:vertAlign w:val="superscript"/>
        </w:rPr>
        <w:footnoteReference w:id="16"/>
      </w:r>
      <w:r w:rsidRPr="00AF7502">
        <w:rPr>
          <w:rFonts w:ascii="Palatino Linotype" w:hAnsi="Palatino Linotype"/>
          <w:color w:val="000000" w:themeColor="text1"/>
          <w:sz w:val="24"/>
        </w:rPr>
        <w:t xml:space="preserve"> Mientras que lo identificable es lo que puede ser identificado,</w:t>
      </w:r>
      <w:r w:rsidRPr="00AF7502">
        <w:rPr>
          <w:rFonts w:ascii="Palatino Linotype" w:hAnsi="Palatino Linotype"/>
          <w:color w:val="000000" w:themeColor="text1"/>
          <w:sz w:val="24"/>
          <w:vertAlign w:val="superscript"/>
        </w:rPr>
        <w:footnoteReference w:id="17"/>
      </w:r>
      <w:r w:rsidRPr="00AF7502">
        <w:rPr>
          <w:rFonts w:ascii="Palatino Linotype" w:hAnsi="Palatino Linotype"/>
          <w:color w:val="000000" w:themeColor="text1"/>
          <w:sz w:val="24"/>
        </w:rPr>
        <w:t xml:space="preserve"> esto es,</w:t>
      </w:r>
      <w:r w:rsidRPr="00AF7502">
        <w:rPr>
          <w:rFonts w:ascii="Palatino Linotype" w:hAnsi="Palatino Linotype"/>
          <w:color w:val="000000" w:themeColor="text1"/>
          <w:sz w:val="24"/>
          <w:lang w:eastAsia="es-ES_tradnl"/>
        </w:rPr>
        <w:t xml:space="preserve"> “(dar los datos necesarios para ser reconocido”.</w:t>
      </w:r>
      <w:r w:rsidRPr="00AF7502">
        <w:rPr>
          <w:rFonts w:ascii="Palatino Linotype" w:hAnsi="Palatino Linotype"/>
          <w:color w:val="000000" w:themeColor="text1"/>
          <w:sz w:val="24"/>
          <w:vertAlign w:val="superscript"/>
          <w:lang w:eastAsia="es-ES_tradnl"/>
        </w:rPr>
        <w:footnoteReference w:id="18"/>
      </w:r>
    </w:p>
    <w:p w14:paraId="1ACD018A" w14:textId="77777777" w:rsidR="00062CA2" w:rsidRPr="00AF7502" w:rsidRDefault="00062CA2" w:rsidP="00062CA2">
      <w:p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sz w:val="24"/>
          <w:lang w:eastAsia="es-ES_tradnl"/>
        </w:rPr>
      </w:pPr>
    </w:p>
    <w:p w14:paraId="45C0D0AB"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111F92E" w14:textId="77777777" w:rsidR="00062CA2" w:rsidRPr="00AF7502" w:rsidRDefault="00062CA2" w:rsidP="00062CA2">
      <w:pPr>
        <w:spacing w:line="360" w:lineRule="auto"/>
        <w:contextualSpacing/>
        <w:jc w:val="both"/>
        <w:rPr>
          <w:rFonts w:ascii="Palatino Linotype" w:hAnsi="Palatino Linotype"/>
          <w:color w:val="000000" w:themeColor="text1"/>
          <w:sz w:val="24"/>
        </w:rPr>
      </w:pPr>
    </w:p>
    <w:p w14:paraId="79911101"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Identificado ese riesgo, se debe demostrar que el mismo supera el interés público general porque se difunda dicha información. </w:t>
      </w:r>
    </w:p>
    <w:p w14:paraId="4D465583" w14:textId="77777777" w:rsidR="00062CA2" w:rsidRPr="00AF7502" w:rsidRDefault="00062CA2" w:rsidP="00062CA2">
      <w:pPr>
        <w:spacing w:line="360" w:lineRule="auto"/>
        <w:contextualSpacing/>
        <w:jc w:val="both"/>
        <w:rPr>
          <w:rFonts w:ascii="Palatino Linotype" w:hAnsi="Palatino Linotype"/>
          <w:color w:val="000000" w:themeColor="text1"/>
          <w:sz w:val="24"/>
        </w:rPr>
      </w:pPr>
    </w:p>
    <w:p w14:paraId="1E4B7010"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Y, por último,  que la limitación es acorde con el principio de proporcionalidad, para ello, se sugiere emplear los tres juicios propuestos por la Corte Constitucional Colombiana</w:t>
      </w:r>
      <w:r w:rsidRPr="00AF7502">
        <w:rPr>
          <w:rFonts w:ascii="Palatino Linotype" w:hAnsi="Palatino Linotype"/>
          <w:color w:val="000000" w:themeColor="text1"/>
          <w:sz w:val="24"/>
          <w:vertAlign w:val="superscript"/>
        </w:rPr>
        <w:footnoteReference w:id="19"/>
      </w:r>
      <w:r w:rsidRPr="00AF7502">
        <w:rPr>
          <w:rFonts w:ascii="Palatino Linotype" w:hAnsi="Palatino Linotype"/>
          <w:color w:val="000000" w:themeColor="text1"/>
          <w:sz w:val="24"/>
        </w:rPr>
        <w:t xml:space="preserve">, siguiendo el principio de ponderación propuesto por el Tribunal </w:t>
      </w:r>
      <w:r w:rsidRPr="00AF7502">
        <w:rPr>
          <w:rFonts w:ascii="Palatino Linotype" w:hAnsi="Palatino Linotype"/>
          <w:color w:val="000000" w:themeColor="text1"/>
          <w:sz w:val="24"/>
        </w:rPr>
        <w:lastRenderedPageBreak/>
        <w:t>Constitucional Alemán,</w:t>
      </w:r>
      <w:r w:rsidRPr="00AF7502">
        <w:rPr>
          <w:rFonts w:ascii="Palatino Linotype" w:hAnsi="Palatino Linotype"/>
          <w:color w:val="000000" w:themeColor="text1"/>
          <w:sz w:val="24"/>
          <w:vertAlign w:val="superscript"/>
        </w:rPr>
        <w:footnoteReference w:id="20"/>
      </w:r>
      <w:r w:rsidRPr="00AF7502">
        <w:rPr>
          <w:rFonts w:ascii="Palatino Linotype" w:hAnsi="Palatino Linotype"/>
          <w:color w:val="000000" w:themeColor="text1"/>
          <w:sz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F16D7C0" w14:textId="77777777" w:rsidR="00062CA2" w:rsidRPr="00AF7502" w:rsidRDefault="00062CA2" w:rsidP="00062CA2">
      <w:pPr>
        <w:pStyle w:val="Prrafodelista"/>
        <w:keepNext/>
        <w:keepLines/>
        <w:pBdr>
          <w:top w:val="nil"/>
          <w:left w:val="nil"/>
          <w:bottom w:val="nil"/>
          <w:right w:val="nil"/>
          <w:between w:val="nil"/>
          <w:bar w:val="nil"/>
        </w:pBdr>
        <w:spacing w:before="240"/>
        <w:ind w:left="851" w:hanging="567"/>
        <w:rPr>
          <w:rFonts w:ascii="Palatino Linotype" w:eastAsiaTheme="majorEastAsia" w:hAnsi="Palatino Linotype" w:cstheme="majorBidi"/>
          <w:b/>
          <w:color w:val="000000" w:themeColor="text1"/>
        </w:rPr>
      </w:pPr>
      <w:r w:rsidRPr="00AF7502">
        <w:rPr>
          <w:rFonts w:ascii="Palatino Linotype" w:eastAsiaTheme="majorEastAsia" w:hAnsi="Palatino Linotype" w:cstheme="majorBidi"/>
          <w:b/>
          <w:color w:val="000000" w:themeColor="text1"/>
        </w:rPr>
        <w:t>c) La clasificación de la información reservada debe ser de manera temporal.</w:t>
      </w:r>
    </w:p>
    <w:p w14:paraId="3A5FB498" w14:textId="77777777" w:rsidR="00062CA2" w:rsidRPr="00AF7502" w:rsidRDefault="00062CA2" w:rsidP="00062CA2">
      <w:pPr>
        <w:spacing w:line="360" w:lineRule="auto"/>
        <w:jc w:val="both"/>
        <w:rPr>
          <w:rFonts w:ascii="Palatino Linotype" w:hAnsi="Palatino Linotype"/>
          <w:b/>
          <w:color w:val="000000" w:themeColor="text1"/>
        </w:rPr>
      </w:pPr>
    </w:p>
    <w:p w14:paraId="04A00EE1"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B67712F" w14:textId="77777777" w:rsidR="00062CA2" w:rsidRPr="00AF7502" w:rsidRDefault="00062CA2" w:rsidP="00062CA2">
      <w:pPr>
        <w:spacing w:line="360" w:lineRule="auto"/>
        <w:contextualSpacing/>
        <w:jc w:val="both"/>
        <w:rPr>
          <w:rFonts w:ascii="Palatino Linotype" w:hAnsi="Palatino Linotype"/>
          <w:color w:val="000000" w:themeColor="text1"/>
          <w:sz w:val="24"/>
        </w:rPr>
      </w:pPr>
    </w:p>
    <w:p w14:paraId="1A6DC855"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La temporalidad de la clasificación de la información se encuentra señalada en el artículo 125 de la Ley Estatal y en el 101 de la Ley General, artículos que contemplan que dicha información podrá permanecer con tal carácter </w:t>
      </w:r>
      <w:r w:rsidRPr="00AF7502">
        <w:rPr>
          <w:rFonts w:ascii="Palatino Linotype" w:hAnsi="Palatino Linotype"/>
          <w:b/>
          <w:color w:val="000000" w:themeColor="text1"/>
          <w:sz w:val="24"/>
        </w:rPr>
        <w:t>hasta por un periodo de cinco años,</w:t>
      </w:r>
      <w:r w:rsidRPr="00AF7502">
        <w:rPr>
          <w:rFonts w:ascii="Palatino Linotype" w:hAnsi="Palatino Linotype"/>
          <w:color w:val="000000" w:themeColor="text1"/>
          <w:sz w:val="24"/>
        </w:rPr>
        <w:t xml:space="preserve"> contados a partir de su clasificación, salvo que antes del cumplimiento del periodo de restricción, dejaran de existir los motivos de su reserva. </w:t>
      </w:r>
    </w:p>
    <w:p w14:paraId="00AB1776" w14:textId="77777777" w:rsidR="00062CA2" w:rsidRPr="00AF7502" w:rsidRDefault="00062CA2" w:rsidP="00062CA2">
      <w:pPr>
        <w:contextualSpacing/>
        <w:rPr>
          <w:rFonts w:ascii="Palatino Linotype" w:hAnsi="Palatino Linotype"/>
          <w:color w:val="000000" w:themeColor="text1"/>
          <w:sz w:val="24"/>
        </w:rPr>
      </w:pPr>
    </w:p>
    <w:p w14:paraId="3EAFAE48"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 xml:space="preserve">Ahora bien, los titulares de las áreas tienen la alta responsabilidad de determinar que el plazo de reserva sea el estrictamente necesario para proteger la información mientras subsistan las causas que dieron origen a la clasificación, </w:t>
      </w:r>
      <w:r w:rsidRPr="00AF7502">
        <w:rPr>
          <w:rFonts w:ascii="Palatino Linotype" w:hAnsi="Palatino Linotype"/>
          <w:color w:val="000000" w:themeColor="text1"/>
          <w:sz w:val="24"/>
        </w:rPr>
        <w:lastRenderedPageBreak/>
        <w:t>salvaguardando el interés público protegido y tomarán en cuenta las razones que justifican el periodo de reserva establecido.</w:t>
      </w:r>
    </w:p>
    <w:p w14:paraId="74BDE4A2" w14:textId="77777777" w:rsidR="00062CA2" w:rsidRPr="00AF7502" w:rsidRDefault="00062CA2" w:rsidP="00062CA2">
      <w:pPr>
        <w:contextualSpacing/>
        <w:rPr>
          <w:rFonts w:ascii="Palatino Linotype" w:hAnsi="Palatino Linotype"/>
          <w:b/>
          <w:color w:val="000000" w:themeColor="text1"/>
          <w:sz w:val="24"/>
        </w:rPr>
      </w:pPr>
    </w:p>
    <w:p w14:paraId="33F91669"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De</w:t>
      </w:r>
      <w:r w:rsidRPr="00AF7502">
        <w:rPr>
          <w:rFonts w:ascii="Palatino Linotype" w:hAnsi="Palatino Linotype"/>
          <w:b/>
          <w:color w:val="000000" w:themeColor="text1"/>
          <w:sz w:val="24"/>
        </w:rPr>
        <w:t xml:space="preserve"> </w:t>
      </w:r>
      <w:r w:rsidRPr="00AF7502">
        <w:rPr>
          <w:rFonts w:ascii="Palatino Linotype" w:hAnsi="Palatino Linotype"/>
          <w:color w:val="000000" w:themeColor="text1"/>
          <w:sz w:val="24"/>
        </w:rPr>
        <w:t xml:space="preserve">manera excepcional </w:t>
      </w:r>
      <w:r w:rsidRPr="00AF7502">
        <w:rPr>
          <w:rFonts w:ascii="Palatino Linotype" w:hAnsi="Palatino Linotype"/>
          <w:b/>
          <w:color w:val="000000" w:themeColor="text1"/>
          <w:sz w:val="24"/>
        </w:rPr>
        <w:t>los sujetos obligados</w:t>
      </w:r>
      <w:r w:rsidRPr="00AF7502">
        <w:rPr>
          <w:rFonts w:ascii="Palatino Linotype" w:hAnsi="Palatino Linotype"/>
          <w:color w:val="000000" w:themeColor="text1"/>
          <w:sz w:val="24"/>
        </w:rPr>
        <w:t xml:space="preserve"> con la aprobación de su Comité de Transparencia, </w:t>
      </w:r>
      <w:r w:rsidRPr="00AF7502">
        <w:rPr>
          <w:rFonts w:ascii="Palatino Linotype" w:hAnsi="Palatino Linotype"/>
          <w:b/>
          <w:color w:val="000000" w:themeColor="text1"/>
          <w:sz w:val="24"/>
        </w:rPr>
        <w:t>podrán ampliar el periodo de reserva hasta por un plazo de cinco años adicionales y por una sola vez</w:t>
      </w:r>
      <w:r w:rsidRPr="00AF7502">
        <w:rPr>
          <w:rFonts w:ascii="Palatino Linotype" w:hAnsi="Palatino Linotype"/>
          <w:color w:val="000000" w:themeColor="text1"/>
          <w:sz w:val="24"/>
        </w:rPr>
        <w:t xml:space="preserve">, siempre y cuando justifiquen que subsisten las causas que dieron origen a su clasificación, mediante la aplicación de una prueba de daño. </w:t>
      </w:r>
    </w:p>
    <w:p w14:paraId="75DD81D9" w14:textId="77777777" w:rsidR="00062CA2" w:rsidRPr="00AF7502" w:rsidRDefault="00062CA2" w:rsidP="00062CA2">
      <w:pPr>
        <w:contextualSpacing/>
        <w:rPr>
          <w:rFonts w:ascii="Palatino Linotype" w:hAnsi="Palatino Linotype"/>
          <w:color w:val="000000" w:themeColor="text1"/>
          <w:sz w:val="24"/>
        </w:rPr>
      </w:pPr>
    </w:p>
    <w:p w14:paraId="4DCB5B84" w14:textId="77777777" w:rsidR="00062CA2" w:rsidRPr="00AF7502" w:rsidRDefault="00062CA2" w:rsidP="00062CA2">
      <w:pPr>
        <w:numPr>
          <w:ilvl w:val="0"/>
          <w:numId w:val="2"/>
        </w:numPr>
        <w:spacing w:after="160" w:line="360" w:lineRule="auto"/>
        <w:ind w:left="0" w:firstLine="0"/>
        <w:contextualSpacing/>
        <w:jc w:val="both"/>
        <w:rPr>
          <w:rFonts w:ascii="Palatino Linotype" w:hAnsi="Palatino Linotype"/>
          <w:color w:val="000000" w:themeColor="text1"/>
          <w:sz w:val="24"/>
        </w:rPr>
      </w:pPr>
      <w:r w:rsidRPr="00AF7502">
        <w:rPr>
          <w:rFonts w:ascii="Palatino Linotype" w:hAnsi="Palatino Linotype"/>
          <w:color w:val="000000" w:themeColor="text1"/>
          <w:sz w:val="24"/>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D82B032" w14:textId="77777777" w:rsidR="00062CA2" w:rsidRPr="00AF7502" w:rsidRDefault="00062CA2" w:rsidP="00062CA2">
      <w:pPr>
        <w:shd w:val="clear" w:color="auto" w:fill="FFFFFF"/>
        <w:spacing w:before="240" w:afterAutospacing="1" w:line="360" w:lineRule="auto"/>
        <w:contextualSpacing/>
        <w:jc w:val="both"/>
        <w:textAlignment w:val="baseline"/>
        <w:rPr>
          <w:rFonts w:ascii="Palatino Linotype" w:hAnsi="Palatino Linotype"/>
          <w:color w:val="000000" w:themeColor="text1"/>
          <w:sz w:val="24"/>
        </w:rPr>
      </w:pPr>
    </w:p>
    <w:p w14:paraId="69AE2E73" w14:textId="77777777" w:rsidR="00062CA2" w:rsidRPr="00AF7502" w:rsidRDefault="00062CA2" w:rsidP="00062CA2">
      <w:pPr>
        <w:numPr>
          <w:ilvl w:val="0"/>
          <w:numId w:val="2"/>
        </w:numPr>
        <w:shd w:val="clear" w:color="auto" w:fill="FFFFFF"/>
        <w:spacing w:before="240" w:after="160" w:afterAutospacing="1" w:line="360" w:lineRule="auto"/>
        <w:ind w:left="0" w:firstLine="0"/>
        <w:contextualSpacing/>
        <w:jc w:val="both"/>
        <w:textAlignment w:val="baseline"/>
        <w:rPr>
          <w:rFonts w:ascii="Palatino Linotype" w:hAnsi="Palatino Linotype" w:cs="Arial"/>
          <w:color w:val="000000" w:themeColor="text1"/>
          <w:sz w:val="24"/>
          <w:lang w:eastAsia="es-MX"/>
        </w:rPr>
      </w:pPr>
      <w:r w:rsidRPr="00AF7502">
        <w:rPr>
          <w:rFonts w:ascii="Palatino Linotype" w:hAnsi="Palatino Linotype"/>
          <w:color w:val="000000" w:themeColor="text1"/>
          <w:sz w:val="24"/>
        </w:rPr>
        <w:t xml:space="preserve">Los elementos que brevemente se han señalado son todos los que deben de integrar el proceso de clasificación total o parcial de la información para, especialmente, responder a las solicitudes. La falta de cualquiera de ellos puede provocar que el acto que limita o restringe el acceso a la información sea considerada infundado y se proceda a ordenar la desclasificación de la información por el </w:t>
      </w:r>
      <w:r w:rsidRPr="00AF7502">
        <w:rPr>
          <w:rFonts w:ascii="Palatino Linotype" w:hAnsi="Palatino Linotype"/>
          <w:color w:val="000000" w:themeColor="text1"/>
          <w:sz w:val="24"/>
        </w:rPr>
        <w:lastRenderedPageBreak/>
        <w:t xml:space="preserve">incumplimiento de las formalidades, es decir, por vicios de legalidad o a la reposición del acto.  </w:t>
      </w:r>
    </w:p>
    <w:p w14:paraId="5A38EC22" w14:textId="77777777" w:rsidR="00062CA2" w:rsidRPr="00AF7502" w:rsidRDefault="00062CA2" w:rsidP="00062CA2">
      <w:pPr>
        <w:shd w:val="clear" w:color="auto" w:fill="FFFFFF"/>
        <w:spacing w:before="240" w:line="360" w:lineRule="auto"/>
        <w:contextualSpacing/>
        <w:jc w:val="both"/>
        <w:rPr>
          <w:rFonts w:ascii="Palatino Linotype" w:hAnsi="Palatino Linotype" w:cs="Arial"/>
          <w:color w:val="000000" w:themeColor="text1"/>
          <w:lang w:eastAsia="es-MX"/>
        </w:rPr>
      </w:pPr>
    </w:p>
    <w:p w14:paraId="54C7C5F1" w14:textId="77777777" w:rsidR="00062CA2" w:rsidRPr="00AF7502" w:rsidRDefault="00062CA2" w:rsidP="006F07D9">
      <w:pPr>
        <w:pStyle w:val="Ttulo3"/>
        <w:ind w:left="142"/>
        <w:rPr>
          <w:rFonts w:ascii="Palatino Linotype" w:eastAsiaTheme="minorEastAsia" w:hAnsi="Palatino Linotype"/>
          <w:b/>
          <w:bCs/>
          <w:color w:val="auto"/>
        </w:rPr>
      </w:pPr>
      <w:bookmarkStart w:id="54" w:name="_Toc85735122"/>
      <w:r w:rsidRPr="00AF7502">
        <w:rPr>
          <w:rFonts w:ascii="Palatino Linotype" w:eastAsiaTheme="minorEastAsia" w:hAnsi="Palatino Linotype"/>
          <w:b/>
          <w:bCs/>
          <w:color w:val="auto"/>
        </w:rPr>
        <w:t>II. Lineamientos Generales en materia de Clasificación y desclasificación de la información, así como para la elaboración de versiones públicas.</w:t>
      </w:r>
      <w:bookmarkEnd w:id="54"/>
    </w:p>
    <w:p w14:paraId="0F01967B" w14:textId="77777777" w:rsidR="00062CA2" w:rsidRPr="00AF7502" w:rsidRDefault="00062CA2" w:rsidP="00062CA2">
      <w:pPr>
        <w:pStyle w:val="Prrafodelista"/>
        <w:rPr>
          <w:rFonts w:ascii="Palatino Linotype" w:eastAsia="Calibri" w:hAnsi="Palatino Linotype" w:cs="Arial"/>
        </w:rPr>
      </w:pPr>
    </w:p>
    <w:p w14:paraId="4AF69DB0" w14:textId="77777777" w:rsidR="00062CA2" w:rsidRPr="00AF7502" w:rsidRDefault="00062CA2" w:rsidP="00062CA2">
      <w:pPr>
        <w:pStyle w:val="Prrafodelista"/>
        <w:numPr>
          <w:ilvl w:val="0"/>
          <w:numId w:val="2"/>
        </w:numPr>
        <w:spacing w:line="360" w:lineRule="auto"/>
        <w:ind w:left="0" w:firstLine="0"/>
        <w:jc w:val="both"/>
        <w:rPr>
          <w:rFonts w:ascii="Palatino Linotype" w:hAnsi="Palatino Linotype" w:cs="Arial"/>
          <w:sz w:val="24"/>
        </w:rPr>
      </w:pPr>
      <w:r w:rsidRPr="00AF7502">
        <w:rPr>
          <w:rFonts w:ascii="Palatino Linotype" w:hAnsi="Palatino Linotype"/>
          <w:color w:val="000000" w:themeColor="text1"/>
          <w:sz w:val="24"/>
        </w:rPr>
        <w:t xml:space="preserve">Para aplicar la prueba de daño, es necesario traer a contexto </w:t>
      </w:r>
      <w:r w:rsidRPr="00AF7502">
        <w:rPr>
          <w:rFonts w:ascii="Palatino Linotype" w:hAnsi="Palatino Linotype" w:cs="Arial"/>
          <w:sz w:val="24"/>
        </w:rPr>
        <w:t xml:space="preserve">los </w:t>
      </w:r>
      <w:r w:rsidRPr="00AF7502">
        <w:rPr>
          <w:rFonts w:ascii="Palatino Linotype" w:hAnsi="Palatino Linotype"/>
          <w:sz w:val="24"/>
        </w:rPr>
        <w:t>Lineamientos Generales en materia de clasificación y desclasificación de la información, así como para la elaboración de versiones públicas.</w:t>
      </w:r>
      <w:r w:rsidRPr="00AF7502">
        <w:rPr>
          <w:rStyle w:val="Refdenotaalpie"/>
          <w:rFonts w:ascii="Palatino Linotype" w:hAnsi="Palatino Linotype"/>
          <w:sz w:val="24"/>
        </w:rPr>
        <w:footnoteReference w:id="21"/>
      </w:r>
    </w:p>
    <w:p w14:paraId="720C3AD5" w14:textId="77777777" w:rsidR="00062CA2" w:rsidRPr="00AF7502" w:rsidRDefault="00062CA2" w:rsidP="00062CA2">
      <w:pPr>
        <w:pStyle w:val="Prrafodelista"/>
        <w:spacing w:line="360" w:lineRule="auto"/>
        <w:ind w:left="0"/>
        <w:jc w:val="both"/>
        <w:rPr>
          <w:rFonts w:ascii="Palatino Linotype" w:hAnsi="Palatino Linotype" w:cs="Arial"/>
        </w:rPr>
      </w:pPr>
    </w:p>
    <w:p w14:paraId="5A39EBAC" w14:textId="77777777" w:rsidR="00062CA2" w:rsidRPr="006F07D9" w:rsidRDefault="00062CA2" w:rsidP="00062CA2">
      <w:pPr>
        <w:spacing w:line="360" w:lineRule="auto"/>
        <w:ind w:left="567" w:right="616"/>
        <w:jc w:val="center"/>
        <w:rPr>
          <w:rFonts w:ascii="Palatino Linotype" w:hAnsi="Palatino Linotype"/>
          <w:b/>
          <w:bCs/>
          <w:i/>
          <w:iCs/>
          <w:sz w:val="22"/>
        </w:rPr>
      </w:pPr>
      <w:r w:rsidRPr="006F07D9">
        <w:rPr>
          <w:rFonts w:ascii="Palatino Linotype" w:hAnsi="Palatino Linotype"/>
          <w:b/>
          <w:bCs/>
          <w:i/>
          <w:iCs/>
          <w:sz w:val="22"/>
        </w:rPr>
        <w:t>TÍTULO SEXTO</w:t>
      </w:r>
    </w:p>
    <w:p w14:paraId="7B130DB5" w14:textId="77777777" w:rsidR="00062CA2" w:rsidRPr="006F07D9" w:rsidRDefault="00062CA2" w:rsidP="00062CA2">
      <w:pPr>
        <w:spacing w:line="360" w:lineRule="auto"/>
        <w:ind w:left="567" w:right="616"/>
        <w:jc w:val="center"/>
        <w:rPr>
          <w:rFonts w:ascii="Palatino Linotype" w:hAnsi="Palatino Linotype"/>
          <w:b/>
          <w:bCs/>
          <w:i/>
          <w:iCs/>
          <w:sz w:val="22"/>
        </w:rPr>
      </w:pPr>
      <w:r w:rsidRPr="006F07D9">
        <w:rPr>
          <w:rFonts w:ascii="Palatino Linotype" w:hAnsi="Palatino Linotype"/>
          <w:b/>
          <w:bCs/>
          <w:i/>
          <w:iCs/>
          <w:sz w:val="22"/>
        </w:rPr>
        <w:t>INFORMACIÓN CLASIFICADA</w:t>
      </w:r>
    </w:p>
    <w:p w14:paraId="2501CBFF" w14:textId="77777777" w:rsidR="00062CA2" w:rsidRPr="006F07D9" w:rsidRDefault="00062CA2" w:rsidP="00062CA2">
      <w:pPr>
        <w:spacing w:line="360" w:lineRule="auto"/>
        <w:ind w:left="567" w:right="616"/>
        <w:jc w:val="center"/>
        <w:rPr>
          <w:rFonts w:ascii="Palatino Linotype" w:hAnsi="Palatino Linotype"/>
          <w:b/>
          <w:bCs/>
          <w:i/>
          <w:iCs/>
          <w:sz w:val="22"/>
        </w:rPr>
      </w:pPr>
      <w:r w:rsidRPr="006F07D9">
        <w:rPr>
          <w:rFonts w:ascii="Palatino Linotype" w:hAnsi="Palatino Linotype"/>
          <w:b/>
          <w:bCs/>
          <w:i/>
          <w:iCs/>
          <w:sz w:val="22"/>
        </w:rPr>
        <w:t>Capítulo I</w:t>
      </w:r>
    </w:p>
    <w:p w14:paraId="50FBB733" w14:textId="77777777" w:rsidR="00062CA2" w:rsidRPr="006F07D9" w:rsidRDefault="00062CA2" w:rsidP="00062CA2">
      <w:pPr>
        <w:spacing w:line="360" w:lineRule="auto"/>
        <w:ind w:left="567" w:right="616"/>
        <w:jc w:val="center"/>
        <w:rPr>
          <w:rFonts w:ascii="Palatino Linotype" w:hAnsi="Palatino Linotype"/>
          <w:b/>
          <w:bCs/>
          <w:i/>
          <w:iCs/>
          <w:sz w:val="22"/>
        </w:rPr>
      </w:pPr>
      <w:r w:rsidRPr="006F07D9">
        <w:rPr>
          <w:rFonts w:ascii="Palatino Linotype" w:hAnsi="Palatino Linotype"/>
          <w:b/>
          <w:bCs/>
          <w:i/>
          <w:iCs/>
          <w:sz w:val="22"/>
        </w:rPr>
        <w:t>De las disposiciones generales de la clasificación y desclasificación de la información</w:t>
      </w:r>
    </w:p>
    <w:p w14:paraId="63AFF6E4" w14:textId="77777777" w:rsidR="00062CA2" w:rsidRPr="006F07D9" w:rsidRDefault="00062CA2" w:rsidP="00062CA2">
      <w:pPr>
        <w:spacing w:line="360" w:lineRule="auto"/>
        <w:ind w:left="567" w:right="616"/>
        <w:jc w:val="center"/>
        <w:rPr>
          <w:rFonts w:ascii="Palatino Linotype" w:hAnsi="Palatino Linotype"/>
          <w:i/>
          <w:iCs/>
          <w:sz w:val="22"/>
        </w:rPr>
      </w:pPr>
    </w:p>
    <w:p w14:paraId="709F8116" w14:textId="77777777" w:rsidR="00062CA2" w:rsidRPr="006F07D9" w:rsidRDefault="00062CA2" w:rsidP="00062CA2">
      <w:pPr>
        <w:spacing w:line="360" w:lineRule="auto"/>
        <w:ind w:left="567" w:right="616"/>
        <w:jc w:val="both"/>
        <w:rPr>
          <w:rFonts w:ascii="Palatino Linotype" w:hAnsi="Palatino Linotype"/>
          <w:i/>
          <w:iCs/>
          <w:sz w:val="22"/>
        </w:rPr>
      </w:pPr>
      <w:r w:rsidRPr="006F07D9">
        <w:rPr>
          <w:rFonts w:ascii="Palatino Linotype" w:hAnsi="Palatino Linotype"/>
          <w:i/>
          <w:iCs/>
          <w:sz w:val="22"/>
        </w:rPr>
        <w:t>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3228174A" w14:textId="77777777" w:rsidR="00062CA2" w:rsidRPr="006F07D9" w:rsidRDefault="00062CA2" w:rsidP="00062CA2">
      <w:pPr>
        <w:spacing w:line="360" w:lineRule="auto"/>
        <w:ind w:left="567" w:right="616"/>
        <w:jc w:val="both"/>
        <w:rPr>
          <w:rFonts w:ascii="Palatino Linotype" w:hAnsi="Palatino Linotype"/>
          <w:i/>
          <w:iCs/>
          <w:sz w:val="22"/>
        </w:rPr>
      </w:pPr>
    </w:p>
    <w:p w14:paraId="471233BF" w14:textId="77777777" w:rsidR="00062CA2" w:rsidRPr="006F07D9" w:rsidRDefault="00062CA2" w:rsidP="00062CA2">
      <w:pPr>
        <w:shd w:val="clear" w:color="auto" w:fill="FFFFFF"/>
        <w:spacing w:line="360" w:lineRule="auto"/>
        <w:ind w:left="567" w:right="616"/>
        <w:jc w:val="center"/>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CAPÍTULO V</w:t>
      </w:r>
    </w:p>
    <w:p w14:paraId="2057F344" w14:textId="77777777" w:rsidR="00062CA2" w:rsidRPr="006F07D9" w:rsidRDefault="00062CA2" w:rsidP="00062CA2">
      <w:pPr>
        <w:shd w:val="clear" w:color="auto" w:fill="FFFFFF"/>
        <w:spacing w:line="360" w:lineRule="auto"/>
        <w:ind w:left="567" w:right="616"/>
        <w:jc w:val="center"/>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lastRenderedPageBreak/>
        <w:t>DE LA INFORMACIÓN RESERVADA</w:t>
      </w:r>
    </w:p>
    <w:p w14:paraId="691C391D" w14:textId="77777777" w:rsidR="00062CA2" w:rsidRPr="006F07D9" w:rsidRDefault="00062CA2" w:rsidP="00062CA2">
      <w:pPr>
        <w:spacing w:line="360" w:lineRule="auto"/>
        <w:ind w:left="567" w:right="616"/>
        <w:jc w:val="both"/>
        <w:rPr>
          <w:rFonts w:ascii="Palatino Linotype" w:hAnsi="Palatino Linotype"/>
          <w:i/>
          <w:iCs/>
          <w:sz w:val="22"/>
        </w:rPr>
      </w:pPr>
    </w:p>
    <w:p w14:paraId="7AC7FD53"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Trigésimo tercero. </w:t>
      </w:r>
      <w:r w:rsidRPr="006F07D9">
        <w:rPr>
          <w:rFonts w:ascii="Palatino Linotype" w:hAnsi="Palatino Linotype" w:cs="Helvetica"/>
          <w:i/>
          <w:iCs/>
          <w:color w:val="2F2F2F"/>
          <w:sz w:val="22"/>
          <w:lang w:eastAsia="es-MX"/>
        </w:rPr>
        <w:t>Para la aplicación de la prueba de daño a la que hace referencia el artículo 104 de la Ley General, los sujetos obligados atenderán lo siguiente:</w:t>
      </w:r>
    </w:p>
    <w:p w14:paraId="654E59A7"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I.</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9D2494B"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II.</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63526BC1"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III.</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Se debe de acreditar el vínculo entre la difusión de la información y la afectación del interés jurídico tutelado de que se trate;</w:t>
      </w:r>
    </w:p>
    <w:p w14:paraId="6BFCBD14"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IV.</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Precisar las razones objetivas por las que la apertura de la información generaría una afectación, a través de los elementos de un riesgo real, demostrable e identificable;</w:t>
      </w:r>
    </w:p>
    <w:p w14:paraId="59EE8CAB" w14:textId="77777777" w:rsidR="00062CA2" w:rsidRPr="006F07D9" w:rsidRDefault="00062CA2" w:rsidP="00062CA2">
      <w:pPr>
        <w:shd w:val="clear" w:color="auto" w:fill="FFFFFF"/>
        <w:spacing w:after="82" w:line="360" w:lineRule="auto"/>
        <w:ind w:left="567" w:right="616"/>
        <w:jc w:val="both"/>
        <w:rPr>
          <w:rFonts w:ascii="Palatino Linotype" w:hAnsi="Palatino Linotype" w:cs="Arial"/>
          <w:i/>
          <w:iCs/>
          <w:color w:val="2F2F2F"/>
          <w:sz w:val="22"/>
          <w:lang w:eastAsia="es-MX"/>
        </w:rPr>
      </w:pPr>
      <w:r w:rsidRPr="006F07D9">
        <w:rPr>
          <w:rFonts w:ascii="Palatino Linotype" w:hAnsi="Palatino Linotype" w:cs="Helvetica"/>
          <w:b/>
          <w:bCs/>
          <w:i/>
          <w:iCs/>
          <w:color w:val="2F2F2F"/>
          <w:sz w:val="22"/>
          <w:lang w:eastAsia="es-MX"/>
        </w:rPr>
        <w:t>V.</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En la motivación de la clasificación, el sujeto obligado deberá acreditar las circunstancias de modo, tiempo y lugar del daño, y</w:t>
      </w:r>
    </w:p>
    <w:p w14:paraId="2F97653F" w14:textId="77777777" w:rsidR="00062CA2" w:rsidRDefault="00062CA2" w:rsidP="00062CA2">
      <w:pPr>
        <w:shd w:val="clear" w:color="auto" w:fill="FFFFFF"/>
        <w:spacing w:after="82" w:line="360" w:lineRule="auto"/>
        <w:ind w:left="567" w:right="616"/>
        <w:jc w:val="both"/>
        <w:rPr>
          <w:rFonts w:ascii="Palatino Linotype" w:hAnsi="Palatino Linotype" w:cs="Helvetica"/>
          <w:i/>
          <w:iCs/>
          <w:color w:val="2F2F2F"/>
          <w:sz w:val="22"/>
          <w:lang w:eastAsia="es-MX"/>
        </w:rPr>
      </w:pPr>
      <w:r w:rsidRPr="006F07D9">
        <w:rPr>
          <w:rFonts w:ascii="Palatino Linotype" w:hAnsi="Palatino Linotype" w:cs="Helvetica"/>
          <w:b/>
          <w:bCs/>
          <w:i/>
          <w:iCs/>
          <w:color w:val="2F2F2F"/>
          <w:sz w:val="22"/>
          <w:lang w:eastAsia="es-MX"/>
        </w:rPr>
        <w:t>VI.</w:t>
      </w:r>
      <w:r w:rsidRPr="006F07D9">
        <w:rPr>
          <w:rFonts w:ascii="Palatino Linotype" w:hAnsi="Palatino Linotype" w:cs="Arial"/>
          <w:i/>
          <w:iCs/>
          <w:color w:val="2F2F2F"/>
          <w:sz w:val="22"/>
          <w:lang w:eastAsia="es-MX"/>
        </w:rPr>
        <w:t>      </w:t>
      </w:r>
      <w:r w:rsidRPr="006F07D9">
        <w:rPr>
          <w:rFonts w:ascii="Palatino Linotype" w:hAnsi="Palatino Linotype" w:cs="Helvetica"/>
          <w:i/>
          <w:iCs/>
          <w:color w:val="2F2F2F"/>
          <w:sz w:val="22"/>
          <w:lang w:eastAsia="es-MX"/>
        </w:rPr>
        <w:t>Deberán elegir la opción de excepción al acceso a la información que menos lo restrinja, la cual será adecuada y proporcional para la protección del interés público, y deberá interferir lo menos</w:t>
      </w:r>
      <w:r w:rsidRPr="006F07D9">
        <w:rPr>
          <w:rFonts w:ascii="Palatino Linotype" w:hAnsi="Palatino Linotype" w:cs="Arial"/>
          <w:i/>
          <w:iCs/>
          <w:color w:val="2F2F2F"/>
          <w:sz w:val="22"/>
          <w:lang w:eastAsia="es-MX"/>
        </w:rPr>
        <w:t xml:space="preserve"> </w:t>
      </w:r>
      <w:r w:rsidRPr="006F07D9">
        <w:rPr>
          <w:rFonts w:ascii="Palatino Linotype" w:hAnsi="Palatino Linotype" w:cs="Helvetica"/>
          <w:i/>
          <w:iCs/>
          <w:color w:val="2F2F2F"/>
          <w:sz w:val="22"/>
          <w:lang w:eastAsia="es-MX"/>
        </w:rPr>
        <w:t>posible en el ejercicio efectivo del derecho de acceso a la información.</w:t>
      </w:r>
    </w:p>
    <w:p w14:paraId="5A4D8B0C" w14:textId="77777777" w:rsidR="006F07D9" w:rsidRPr="006F07D9" w:rsidRDefault="006F07D9" w:rsidP="00062CA2">
      <w:pPr>
        <w:shd w:val="clear" w:color="auto" w:fill="FFFFFF"/>
        <w:spacing w:after="82" w:line="360" w:lineRule="auto"/>
        <w:ind w:left="567" w:right="616"/>
        <w:jc w:val="both"/>
        <w:rPr>
          <w:rFonts w:ascii="Palatino Linotype" w:hAnsi="Palatino Linotype" w:cs="Arial"/>
          <w:i/>
          <w:iCs/>
          <w:color w:val="2F2F2F"/>
          <w:sz w:val="22"/>
          <w:lang w:eastAsia="es-MX"/>
        </w:rPr>
      </w:pPr>
    </w:p>
    <w:p w14:paraId="5E13F5A8" w14:textId="77777777" w:rsidR="00062CA2" w:rsidRPr="00AF7502" w:rsidRDefault="00062CA2" w:rsidP="00062CA2">
      <w:pPr>
        <w:pStyle w:val="Ttulo4"/>
        <w:numPr>
          <w:ilvl w:val="0"/>
          <w:numId w:val="24"/>
        </w:numPr>
        <w:jc w:val="both"/>
        <w:rPr>
          <w:rFonts w:ascii="Palatino Linotype" w:eastAsiaTheme="minorEastAsia" w:hAnsi="Palatino Linotype"/>
          <w:i w:val="0"/>
          <w:iCs w:val="0"/>
          <w:sz w:val="22"/>
          <w:szCs w:val="22"/>
        </w:rPr>
      </w:pPr>
      <w:r w:rsidRPr="00AF7502">
        <w:rPr>
          <w:rFonts w:ascii="Palatino Linotype" w:eastAsia="Times New Roman" w:hAnsi="Palatino Linotype" w:cs="Helvetica"/>
          <w:b/>
          <w:bCs/>
          <w:i w:val="0"/>
          <w:iCs w:val="0"/>
          <w:color w:val="2F2F2F"/>
          <w:sz w:val="22"/>
          <w:szCs w:val="22"/>
          <w:lang w:eastAsia="es-MX"/>
        </w:rPr>
        <w:lastRenderedPageBreak/>
        <w:t>Actualización de la causal de reserva de la información</w:t>
      </w:r>
    </w:p>
    <w:p w14:paraId="3EC40AB8" w14:textId="77777777" w:rsidR="00062CA2" w:rsidRPr="00AF7502" w:rsidRDefault="00062CA2" w:rsidP="00062CA2">
      <w:pPr>
        <w:pStyle w:val="Prrafodelista"/>
        <w:spacing w:before="240" w:after="240" w:line="360" w:lineRule="auto"/>
        <w:ind w:left="0" w:right="49"/>
        <w:jc w:val="both"/>
        <w:rPr>
          <w:rFonts w:ascii="Palatino Linotype" w:hAnsi="Palatino Linotype" w:cs="Bookman Old Style"/>
        </w:rPr>
      </w:pPr>
    </w:p>
    <w:p w14:paraId="01DC02C6" w14:textId="77777777" w:rsidR="00062CA2" w:rsidRPr="00AF7502" w:rsidRDefault="00062CA2" w:rsidP="00062CA2">
      <w:pPr>
        <w:pStyle w:val="Prrafodelista"/>
        <w:numPr>
          <w:ilvl w:val="0"/>
          <w:numId w:val="2"/>
        </w:numPr>
        <w:spacing w:before="240" w:after="240" w:line="360" w:lineRule="auto"/>
        <w:ind w:left="0" w:right="49" w:firstLine="0"/>
        <w:jc w:val="both"/>
        <w:rPr>
          <w:rFonts w:ascii="Palatino Linotype" w:hAnsi="Palatino Linotype" w:cs="Bookman Old Style"/>
        </w:rPr>
      </w:pPr>
      <w:r w:rsidRPr="00AF7502">
        <w:rPr>
          <w:rFonts w:ascii="Palatino Linotype" w:eastAsia="Calibri" w:hAnsi="Palatino Linotype" w:cs="Arial"/>
          <w:sz w:val="24"/>
        </w:rPr>
        <w:t xml:space="preserve">El artículo 113, fracción V </w:t>
      </w:r>
      <w:r w:rsidRPr="00AF7502">
        <w:rPr>
          <w:rFonts w:ascii="Palatino Linotype" w:hAnsi="Palatino Linotype"/>
          <w:color w:val="000000" w:themeColor="text1"/>
          <w:sz w:val="24"/>
        </w:rPr>
        <w:t>de la Ley General de Transparencia y Acceso a la Información Pública</w:t>
      </w:r>
      <w:r w:rsidRPr="00AF7502">
        <w:rPr>
          <w:rFonts w:ascii="Palatino Linotype" w:eastAsia="Calibri" w:hAnsi="Palatino Linotype" w:cs="Arial"/>
          <w:sz w:val="24"/>
        </w:rPr>
        <w:t xml:space="preserve">, así como el artículo 140, fracción IV, de la Ley de Transparencia y Acceso a la Información Pública del Estado de México y Municipios, </w:t>
      </w:r>
      <w:r w:rsidRPr="00AF7502">
        <w:rPr>
          <w:rFonts w:ascii="Palatino Linotype" w:hAnsi="Palatino Linotype" w:cs="Arial"/>
          <w:sz w:val="24"/>
        </w:rPr>
        <w:t>Municipios, en relación con el Lineamiento Vigésimo Tercero de los Lineamientos Generales en Materia de Clasificación, Desclasificación de la Información, así como para la Elaboración de Versiones Públicas establecen lo siguiente:</w:t>
      </w:r>
    </w:p>
    <w:p w14:paraId="706315CE" w14:textId="77777777" w:rsidR="00062CA2" w:rsidRPr="006F07D9" w:rsidRDefault="00062CA2" w:rsidP="00062CA2">
      <w:pPr>
        <w:spacing w:line="360" w:lineRule="auto"/>
        <w:ind w:left="567" w:right="567"/>
        <w:jc w:val="both"/>
        <w:rPr>
          <w:rFonts w:ascii="Palatino Linotype" w:hAnsi="Palatino Linotype"/>
          <w:b/>
          <w:bCs/>
          <w:i/>
          <w:iCs/>
          <w:sz w:val="22"/>
          <w:szCs w:val="22"/>
        </w:rPr>
      </w:pPr>
      <w:r w:rsidRPr="006F07D9">
        <w:rPr>
          <w:rFonts w:ascii="Palatino Linotype" w:hAnsi="Palatino Linotype"/>
          <w:b/>
          <w:bCs/>
          <w:i/>
          <w:iCs/>
          <w:color w:val="000000" w:themeColor="text1"/>
          <w:sz w:val="22"/>
          <w:szCs w:val="22"/>
        </w:rPr>
        <w:t>Ley General de Transparencia y Acceso a la Información Pública</w:t>
      </w:r>
      <w:r w:rsidRPr="006F07D9">
        <w:rPr>
          <w:rFonts w:ascii="Palatino Linotype" w:hAnsi="Palatino Linotype"/>
          <w:b/>
          <w:bCs/>
          <w:i/>
          <w:iCs/>
          <w:sz w:val="22"/>
          <w:szCs w:val="22"/>
        </w:rPr>
        <w:t xml:space="preserve"> </w:t>
      </w:r>
    </w:p>
    <w:p w14:paraId="244882AA" w14:textId="77777777" w:rsidR="00062CA2" w:rsidRPr="006F07D9" w:rsidRDefault="00062CA2" w:rsidP="00062CA2">
      <w:pPr>
        <w:spacing w:line="360" w:lineRule="auto"/>
        <w:ind w:left="567" w:right="567"/>
        <w:jc w:val="center"/>
        <w:rPr>
          <w:rFonts w:ascii="Palatino Linotype" w:hAnsi="Palatino Linotype"/>
          <w:i/>
          <w:iCs/>
          <w:sz w:val="22"/>
          <w:szCs w:val="22"/>
        </w:rPr>
      </w:pPr>
      <w:r w:rsidRPr="006F07D9">
        <w:rPr>
          <w:rFonts w:ascii="Palatino Linotype" w:hAnsi="Palatino Linotype"/>
          <w:i/>
          <w:iCs/>
          <w:sz w:val="22"/>
          <w:szCs w:val="22"/>
        </w:rPr>
        <w:t>Capítulo II</w:t>
      </w:r>
    </w:p>
    <w:p w14:paraId="0CC983DC" w14:textId="77777777" w:rsidR="00062CA2" w:rsidRPr="006F07D9" w:rsidRDefault="00062CA2" w:rsidP="00062CA2">
      <w:pPr>
        <w:spacing w:line="360" w:lineRule="auto"/>
        <w:ind w:left="567" w:right="567"/>
        <w:jc w:val="center"/>
        <w:rPr>
          <w:rFonts w:ascii="Palatino Linotype" w:hAnsi="Palatino Linotype"/>
          <w:i/>
          <w:iCs/>
          <w:sz w:val="22"/>
          <w:szCs w:val="22"/>
        </w:rPr>
      </w:pPr>
      <w:r w:rsidRPr="006F07D9">
        <w:rPr>
          <w:rFonts w:ascii="Palatino Linotype" w:hAnsi="Palatino Linotype"/>
          <w:i/>
          <w:iCs/>
          <w:sz w:val="22"/>
          <w:szCs w:val="22"/>
        </w:rPr>
        <w:t>De la Información Reservada</w:t>
      </w:r>
    </w:p>
    <w:p w14:paraId="29D44911" w14:textId="77777777" w:rsidR="00062CA2" w:rsidRPr="006F07D9" w:rsidRDefault="00062CA2" w:rsidP="00062CA2">
      <w:pPr>
        <w:spacing w:line="360" w:lineRule="auto"/>
        <w:ind w:left="567" w:right="567"/>
        <w:jc w:val="both"/>
        <w:rPr>
          <w:rFonts w:ascii="Palatino Linotype" w:hAnsi="Palatino Linotype" w:cs="Arial"/>
          <w:i/>
          <w:iCs/>
          <w:sz w:val="22"/>
          <w:szCs w:val="22"/>
        </w:rPr>
      </w:pPr>
      <w:r w:rsidRPr="006F07D9">
        <w:rPr>
          <w:rFonts w:ascii="Palatino Linotype" w:hAnsi="Palatino Linotype"/>
          <w:i/>
          <w:iCs/>
          <w:sz w:val="22"/>
          <w:szCs w:val="22"/>
        </w:rPr>
        <w:t>Artículo 113. Como información reservada podrá clasificarse aquella cuya publicación:</w:t>
      </w:r>
    </w:p>
    <w:p w14:paraId="5003E937" w14:textId="77777777" w:rsidR="00062CA2" w:rsidRPr="006F07D9" w:rsidRDefault="00062CA2" w:rsidP="00062CA2">
      <w:pPr>
        <w:spacing w:line="360" w:lineRule="auto"/>
        <w:ind w:left="567" w:right="567"/>
        <w:jc w:val="both"/>
        <w:rPr>
          <w:rFonts w:ascii="Palatino Linotype" w:hAnsi="Palatino Linotype" w:cs="Arial"/>
          <w:i/>
          <w:iCs/>
          <w:sz w:val="22"/>
          <w:szCs w:val="22"/>
        </w:rPr>
      </w:pPr>
      <w:r w:rsidRPr="006F07D9">
        <w:rPr>
          <w:rFonts w:ascii="Palatino Linotype" w:hAnsi="Palatino Linotype" w:cs="Arial"/>
          <w:i/>
          <w:iCs/>
          <w:sz w:val="22"/>
          <w:szCs w:val="22"/>
        </w:rPr>
        <w:t>…</w:t>
      </w:r>
    </w:p>
    <w:p w14:paraId="4116CD3B" w14:textId="77777777" w:rsidR="00062CA2" w:rsidRPr="006F07D9" w:rsidRDefault="00062CA2" w:rsidP="00062CA2">
      <w:pPr>
        <w:spacing w:line="360" w:lineRule="auto"/>
        <w:ind w:left="567" w:right="567"/>
        <w:jc w:val="both"/>
        <w:rPr>
          <w:rFonts w:ascii="Palatino Linotype" w:hAnsi="Palatino Linotype"/>
          <w:i/>
          <w:iCs/>
          <w:sz w:val="22"/>
          <w:szCs w:val="22"/>
        </w:rPr>
      </w:pPr>
      <w:r w:rsidRPr="006F07D9">
        <w:rPr>
          <w:rFonts w:ascii="Palatino Linotype" w:hAnsi="Palatino Linotype"/>
          <w:i/>
          <w:iCs/>
          <w:sz w:val="22"/>
          <w:szCs w:val="22"/>
        </w:rPr>
        <w:t>V. Pueda poner en riesgo la vida, seguridad o salud de una persona física;</w:t>
      </w:r>
    </w:p>
    <w:p w14:paraId="76D10F9A" w14:textId="0958CD1D" w:rsidR="006F07D9" w:rsidRPr="006F07D9" w:rsidRDefault="006F07D9" w:rsidP="00062CA2">
      <w:pPr>
        <w:spacing w:line="360" w:lineRule="auto"/>
        <w:ind w:left="567" w:right="567"/>
        <w:jc w:val="both"/>
        <w:rPr>
          <w:rFonts w:ascii="Palatino Linotype" w:hAnsi="Palatino Linotype"/>
          <w:i/>
          <w:iCs/>
          <w:sz w:val="22"/>
          <w:szCs w:val="22"/>
        </w:rPr>
      </w:pPr>
      <w:r w:rsidRPr="006F07D9">
        <w:rPr>
          <w:rFonts w:ascii="Palatino Linotype" w:hAnsi="Palatino Linotype"/>
          <w:i/>
          <w:iCs/>
          <w:sz w:val="22"/>
          <w:szCs w:val="22"/>
        </w:rPr>
        <w:t>…</w:t>
      </w:r>
    </w:p>
    <w:p w14:paraId="6A90B9CF" w14:textId="4D353469" w:rsidR="006F07D9" w:rsidRPr="006F07D9" w:rsidRDefault="006F07D9" w:rsidP="006F07D9">
      <w:pPr>
        <w:spacing w:line="360" w:lineRule="auto"/>
        <w:ind w:left="567" w:right="567"/>
        <w:jc w:val="both"/>
        <w:rPr>
          <w:rFonts w:ascii="Palatino Linotype" w:hAnsi="Palatino Linotype"/>
          <w:i/>
          <w:sz w:val="22"/>
          <w:szCs w:val="22"/>
        </w:rPr>
      </w:pPr>
      <w:r w:rsidRPr="006F07D9">
        <w:rPr>
          <w:rFonts w:ascii="Palatino Linotype" w:hAnsi="Palatino Linotype"/>
          <w:i/>
          <w:sz w:val="22"/>
          <w:szCs w:val="22"/>
        </w:rPr>
        <w:t>VII. Obstruya la prevención o persecución de los delitos;</w:t>
      </w:r>
    </w:p>
    <w:p w14:paraId="22CC19A4" w14:textId="77777777" w:rsidR="00062CA2" w:rsidRPr="006F07D9" w:rsidRDefault="00062CA2" w:rsidP="00062CA2">
      <w:pPr>
        <w:spacing w:line="360" w:lineRule="auto"/>
        <w:ind w:left="567" w:right="567"/>
        <w:jc w:val="both"/>
        <w:rPr>
          <w:rFonts w:ascii="Palatino Linotype" w:hAnsi="Palatino Linotype"/>
          <w:i/>
          <w:iCs/>
          <w:sz w:val="22"/>
          <w:szCs w:val="22"/>
        </w:rPr>
      </w:pPr>
      <w:r w:rsidRPr="006F07D9">
        <w:rPr>
          <w:rFonts w:ascii="Palatino Linotype" w:hAnsi="Palatino Linotype"/>
          <w:i/>
          <w:iCs/>
          <w:sz w:val="22"/>
          <w:szCs w:val="22"/>
        </w:rPr>
        <w:t>…</w:t>
      </w:r>
    </w:p>
    <w:p w14:paraId="0D287471" w14:textId="135EF6C5" w:rsidR="006F07D9" w:rsidRPr="006F07D9" w:rsidRDefault="006F07D9" w:rsidP="00062CA2">
      <w:pPr>
        <w:spacing w:line="360" w:lineRule="auto"/>
        <w:ind w:left="567" w:right="567"/>
        <w:jc w:val="both"/>
        <w:rPr>
          <w:rFonts w:ascii="Palatino Linotype" w:hAnsi="Palatino Linotype"/>
          <w:i/>
          <w:sz w:val="22"/>
          <w:szCs w:val="22"/>
        </w:rPr>
      </w:pPr>
      <w:r w:rsidRPr="006F07D9">
        <w:rPr>
          <w:rFonts w:ascii="Palatino Linotype" w:hAnsi="Palatino Linotype"/>
          <w:i/>
          <w:sz w:val="22"/>
          <w:szCs w:val="22"/>
        </w:rPr>
        <w:t>XII. Se encuentre contenida dentro de las investigaciones de hechos que la ley señale como delitos y se tramiten ante el Ministerio Público, y</w:t>
      </w:r>
    </w:p>
    <w:p w14:paraId="3D2DAF05" w14:textId="77777777" w:rsidR="006F07D9" w:rsidRPr="00AF7502" w:rsidRDefault="006F07D9" w:rsidP="00062CA2">
      <w:pPr>
        <w:spacing w:line="360" w:lineRule="auto"/>
        <w:ind w:left="567" w:right="567"/>
        <w:jc w:val="both"/>
        <w:rPr>
          <w:rFonts w:ascii="Palatino Linotype" w:hAnsi="Palatino Linotype"/>
          <w:i/>
          <w:iCs/>
          <w:sz w:val="22"/>
          <w:szCs w:val="22"/>
        </w:rPr>
      </w:pPr>
    </w:p>
    <w:p w14:paraId="0B006DD1" w14:textId="77777777" w:rsidR="00062CA2" w:rsidRPr="00AF7502" w:rsidRDefault="00062CA2" w:rsidP="00062CA2">
      <w:pPr>
        <w:pStyle w:val="Prrafodelista"/>
        <w:widowControl w:val="0"/>
        <w:autoSpaceDE w:val="0"/>
        <w:autoSpaceDN w:val="0"/>
        <w:adjustRightInd w:val="0"/>
        <w:spacing w:before="360" w:after="240" w:line="276" w:lineRule="auto"/>
        <w:ind w:left="567" w:right="567"/>
        <w:jc w:val="center"/>
        <w:rPr>
          <w:rFonts w:ascii="Palatino Linotype" w:hAnsi="Palatino Linotype"/>
          <w:b/>
          <w:i/>
        </w:rPr>
      </w:pPr>
      <w:r w:rsidRPr="00AF7502">
        <w:rPr>
          <w:rFonts w:ascii="Palatino Linotype" w:hAnsi="Palatino Linotype"/>
          <w:b/>
          <w:i/>
        </w:rPr>
        <w:t>LEY DE TRANSPARENCIA Y ACCESO A LA INFORMACIÓN PÚBLICA DEL ESTADO DE MÉXICO Y MUNICIPIOS</w:t>
      </w:r>
    </w:p>
    <w:p w14:paraId="18CE9F12" w14:textId="774033FB" w:rsidR="006F07D9" w:rsidRPr="006F07D9" w:rsidRDefault="00062CA2" w:rsidP="006F07D9">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AF7502">
        <w:rPr>
          <w:rFonts w:ascii="Palatino Linotype" w:hAnsi="Palatino Linotype"/>
          <w:i/>
        </w:rPr>
        <w:t>“</w:t>
      </w:r>
      <w:r w:rsidRPr="00AF7502">
        <w:rPr>
          <w:rFonts w:ascii="Palatino Linotype" w:hAnsi="Palatino Linotype"/>
          <w:b/>
          <w:i/>
        </w:rPr>
        <w:t>Artículo 140.</w:t>
      </w:r>
      <w:r w:rsidRPr="00AF7502">
        <w:rPr>
          <w:rFonts w:ascii="Palatino Linotype" w:hAnsi="Palatino Linotype"/>
          <w:i/>
        </w:rPr>
        <w:t xml:space="preserve"> </w:t>
      </w:r>
      <w:r w:rsidRPr="00AF7502">
        <w:rPr>
          <w:rFonts w:ascii="Palatino Linotype" w:hAnsi="Palatino Linotype"/>
          <w:b/>
          <w:i/>
        </w:rPr>
        <w:t>El acceso a la información pública será restringido</w:t>
      </w:r>
      <w:r w:rsidRPr="00AF7502">
        <w:rPr>
          <w:rFonts w:ascii="Palatino Linotype" w:hAnsi="Palatino Linotype"/>
          <w:i/>
        </w:rPr>
        <w:t xml:space="preserve"> excepcionalmente, </w:t>
      </w:r>
      <w:r w:rsidRPr="00AF7502">
        <w:rPr>
          <w:rFonts w:ascii="Palatino Linotype" w:hAnsi="Palatino Linotype"/>
          <w:b/>
          <w:i/>
        </w:rPr>
        <w:t>cuando</w:t>
      </w:r>
      <w:r w:rsidRPr="00AF7502">
        <w:rPr>
          <w:rFonts w:ascii="Palatino Linotype" w:hAnsi="Palatino Linotype"/>
          <w:i/>
        </w:rPr>
        <w:t xml:space="preserve"> por razones de interés público, </w:t>
      </w:r>
      <w:r w:rsidRPr="00AF7502">
        <w:rPr>
          <w:rFonts w:ascii="Palatino Linotype" w:hAnsi="Palatino Linotype"/>
          <w:b/>
          <w:i/>
        </w:rPr>
        <w:t xml:space="preserve">ésta sea </w:t>
      </w:r>
      <w:r w:rsidRPr="00AF7502">
        <w:rPr>
          <w:rFonts w:ascii="Palatino Linotype" w:hAnsi="Palatino Linotype"/>
          <w:b/>
          <w:i/>
          <w:u w:val="single"/>
        </w:rPr>
        <w:t>clasificada como reservada</w:t>
      </w:r>
      <w:r w:rsidRPr="00AF7502">
        <w:rPr>
          <w:rFonts w:ascii="Palatino Linotype" w:hAnsi="Palatino Linotype"/>
          <w:b/>
          <w:i/>
        </w:rPr>
        <w:t xml:space="preserve">, conforme </w:t>
      </w:r>
      <w:r w:rsidRPr="00AF7502">
        <w:rPr>
          <w:rFonts w:ascii="Palatino Linotype" w:hAnsi="Palatino Linotype"/>
          <w:b/>
          <w:i/>
        </w:rPr>
        <w:lastRenderedPageBreak/>
        <w:t>a los criterios siguientes</w:t>
      </w:r>
      <w:r w:rsidRPr="00AF7502">
        <w:rPr>
          <w:rFonts w:ascii="Palatino Linotype" w:hAnsi="Palatino Linotype"/>
          <w:i/>
        </w:rPr>
        <w:t>:</w:t>
      </w:r>
    </w:p>
    <w:p w14:paraId="48B531F4" w14:textId="69CA2F24" w:rsidR="00062CA2" w:rsidRPr="00AF7502" w:rsidRDefault="006F07D9"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Pr>
          <w:rFonts w:ascii="Palatino Linotype" w:hAnsi="Palatino Linotype"/>
          <w:i/>
        </w:rPr>
        <w:t>…</w:t>
      </w:r>
    </w:p>
    <w:p w14:paraId="6A4A37ED" w14:textId="77777777" w:rsidR="00062CA2" w:rsidRPr="006F07D9" w:rsidRDefault="00062CA2"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6F07D9">
        <w:rPr>
          <w:rFonts w:ascii="Palatino Linotype" w:hAnsi="Palatino Linotype"/>
          <w:b/>
          <w:i/>
        </w:rPr>
        <w:t>IV.  Ponga en riesgo la vida, la seguridad o la salud de una persona física;</w:t>
      </w:r>
      <w:r w:rsidRPr="006F07D9">
        <w:rPr>
          <w:rFonts w:ascii="Palatino Linotype" w:hAnsi="Palatino Linotype"/>
          <w:i/>
        </w:rPr>
        <w:t>”</w:t>
      </w:r>
    </w:p>
    <w:p w14:paraId="362FE132" w14:textId="0C2E85BF" w:rsidR="006F07D9" w:rsidRPr="006F07D9" w:rsidRDefault="006F07D9"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6F07D9">
        <w:rPr>
          <w:rFonts w:ascii="Palatino Linotype" w:hAnsi="Palatino Linotype"/>
          <w:b/>
          <w:i/>
        </w:rPr>
        <w:t>…</w:t>
      </w:r>
    </w:p>
    <w:p w14:paraId="0C7F77C2" w14:textId="551588D9" w:rsidR="006F07D9" w:rsidRPr="006F07D9" w:rsidRDefault="006F07D9"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6F07D9">
        <w:rPr>
          <w:rFonts w:ascii="Palatino Linotype" w:hAnsi="Palatino Linotype"/>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7D7AC5F" w14:textId="123E6FC3" w:rsidR="006F07D9" w:rsidRPr="006F07D9" w:rsidRDefault="006F07D9" w:rsidP="006F07D9">
      <w:pPr>
        <w:pStyle w:val="Prrafodelista"/>
        <w:widowControl w:val="0"/>
        <w:autoSpaceDE w:val="0"/>
        <w:autoSpaceDN w:val="0"/>
        <w:adjustRightInd w:val="0"/>
        <w:spacing w:before="360" w:after="240" w:line="276" w:lineRule="auto"/>
        <w:ind w:left="1416" w:right="567" w:hanging="849"/>
        <w:jc w:val="both"/>
        <w:rPr>
          <w:rFonts w:ascii="Palatino Linotype" w:hAnsi="Palatino Linotype"/>
          <w:i/>
        </w:rPr>
      </w:pPr>
      <w:r w:rsidRPr="006F07D9">
        <w:rPr>
          <w:rFonts w:ascii="Palatino Linotype" w:hAnsi="Palatino Linotype"/>
          <w:i/>
        </w:rPr>
        <w:t>…</w:t>
      </w:r>
    </w:p>
    <w:p w14:paraId="005257E5" w14:textId="125D9B40" w:rsidR="006F07D9" w:rsidRPr="006F07D9" w:rsidRDefault="006F07D9"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r w:rsidRPr="006F07D9">
        <w:rPr>
          <w:rFonts w:ascii="Palatino Linotype" w:hAnsi="Palatino Linotype"/>
          <w:i/>
        </w:rPr>
        <w:t>IX. Se encuentre contenida dentro de las investigaciones de hechos que la Ley señale como delitos y se tramiten ante el Ministerio Público;</w:t>
      </w:r>
    </w:p>
    <w:p w14:paraId="41F6E5B8" w14:textId="77777777" w:rsidR="006F07D9" w:rsidRPr="00AF7502" w:rsidRDefault="006F07D9"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p>
    <w:p w14:paraId="3C507A94" w14:textId="77777777" w:rsidR="00062CA2" w:rsidRPr="00AF7502" w:rsidRDefault="00062CA2" w:rsidP="00062CA2">
      <w:pPr>
        <w:pStyle w:val="Prrafodelista"/>
        <w:widowControl w:val="0"/>
        <w:autoSpaceDE w:val="0"/>
        <w:autoSpaceDN w:val="0"/>
        <w:adjustRightInd w:val="0"/>
        <w:spacing w:before="360" w:after="240" w:line="276" w:lineRule="auto"/>
        <w:ind w:left="567" w:right="567"/>
        <w:jc w:val="both"/>
        <w:rPr>
          <w:rFonts w:ascii="Palatino Linotype" w:hAnsi="Palatino Linotype"/>
          <w:i/>
        </w:rPr>
      </w:pPr>
    </w:p>
    <w:p w14:paraId="767B66CA" w14:textId="77777777" w:rsidR="00062CA2" w:rsidRPr="00AF7502" w:rsidRDefault="00062CA2" w:rsidP="00062CA2">
      <w:pPr>
        <w:pStyle w:val="Prrafodelista"/>
        <w:widowControl w:val="0"/>
        <w:autoSpaceDE w:val="0"/>
        <w:autoSpaceDN w:val="0"/>
        <w:adjustRightInd w:val="0"/>
        <w:spacing w:before="360" w:after="240" w:line="276" w:lineRule="auto"/>
        <w:ind w:left="567" w:right="567"/>
        <w:jc w:val="center"/>
        <w:rPr>
          <w:rFonts w:ascii="Palatino Linotype" w:hAnsi="Palatino Linotype" w:cs="Arial"/>
          <w:b/>
          <w:i/>
        </w:rPr>
      </w:pPr>
      <w:r w:rsidRPr="00AF7502">
        <w:rPr>
          <w:rFonts w:ascii="Palatino Linotype" w:hAnsi="Palatino Linotype" w:cs="Arial"/>
          <w:b/>
          <w:i/>
        </w:rPr>
        <w:t>LINEAMIENTOS GENERALES EN MATERIA DE CLASIFICACIÓN, DESCLASIFICACIÓN DE LA INFORMACIÓN, ASÍ COMO PARA LA ELABORACIÓN DE VERSIONES PÚBLICAS</w:t>
      </w:r>
    </w:p>
    <w:p w14:paraId="77234A37" w14:textId="77777777" w:rsidR="00062CA2" w:rsidRDefault="00062CA2" w:rsidP="00062CA2">
      <w:pPr>
        <w:pStyle w:val="Prrafodelista"/>
        <w:widowControl w:val="0"/>
        <w:autoSpaceDE w:val="0"/>
        <w:autoSpaceDN w:val="0"/>
        <w:adjustRightInd w:val="0"/>
        <w:spacing w:before="360" w:after="240" w:line="276" w:lineRule="auto"/>
        <w:ind w:left="567" w:right="567"/>
        <w:jc w:val="both"/>
        <w:rPr>
          <w:rFonts w:ascii="Palatino Linotype" w:hAnsi="Palatino Linotype" w:cs="Arial"/>
          <w:bCs/>
          <w:i/>
        </w:rPr>
      </w:pPr>
      <w:r w:rsidRPr="00AF7502">
        <w:rPr>
          <w:rFonts w:ascii="Palatino Linotype" w:hAnsi="Palatino Linotype" w:cs="Arial"/>
          <w:i/>
        </w:rPr>
        <w:t>“</w:t>
      </w:r>
      <w:r w:rsidRPr="00AF7502">
        <w:rPr>
          <w:rFonts w:ascii="Palatino Linotype" w:hAnsi="Palatino Linotype" w:cs="Arial"/>
          <w:b/>
          <w:i/>
        </w:rPr>
        <w:t xml:space="preserve">Vigésimo tercero. </w:t>
      </w:r>
      <w:r w:rsidRPr="00AF7502">
        <w:rPr>
          <w:rFonts w:ascii="Palatino Linotype" w:hAnsi="Palatino Linotype" w:cs="Arial"/>
          <w:bCs/>
          <w:i/>
        </w:rPr>
        <w:t>Para clasificar la información como reservada, de conformidad con el artículo 113, fracción V de la Ley General, será necesario acreditar un vínculo, entre la persona física y la información que pueda poner en riesgo su vida, seguridad o salud.”</w:t>
      </w:r>
    </w:p>
    <w:p w14:paraId="78C8F0D5" w14:textId="03DC95D1" w:rsidR="006F07D9" w:rsidRPr="006F07D9" w:rsidRDefault="006F07D9" w:rsidP="00656A7B">
      <w:pPr>
        <w:pStyle w:val="Prrafodelista"/>
        <w:widowControl w:val="0"/>
        <w:autoSpaceDE w:val="0"/>
        <w:autoSpaceDN w:val="0"/>
        <w:adjustRightInd w:val="0"/>
        <w:spacing w:before="360" w:after="240" w:line="276" w:lineRule="auto"/>
        <w:ind w:left="567" w:right="567"/>
        <w:jc w:val="both"/>
        <w:rPr>
          <w:rFonts w:ascii="Palatino Linotype" w:hAnsi="Palatino Linotype" w:cs="Arial"/>
          <w:bCs/>
          <w:i/>
          <w:szCs w:val="22"/>
        </w:rPr>
      </w:pPr>
      <w:r w:rsidRPr="006F07D9">
        <w:rPr>
          <w:rFonts w:ascii="Palatino Linotype" w:hAnsi="Palatino Linotype" w:cs="Arial"/>
          <w:bCs/>
          <w:i/>
          <w:szCs w:val="22"/>
        </w:rPr>
        <w:t>…</w:t>
      </w:r>
    </w:p>
    <w:p w14:paraId="0D0F7749" w14:textId="77777777"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b/>
          <w:bCs/>
          <w:i/>
          <w:color w:val="2F2F2F"/>
          <w:sz w:val="22"/>
          <w:szCs w:val="22"/>
          <w:lang w:eastAsia="es-MX"/>
        </w:rPr>
        <w:t>Vigésimo sexto.</w:t>
      </w:r>
      <w:r w:rsidRPr="006F07D9">
        <w:rPr>
          <w:rFonts w:ascii="Palatino Linotype" w:hAnsi="Palatino Linotype" w:cs="Helvetica"/>
          <w:i/>
          <w:color w:val="2F2F2F"/>
          <w:sz w:val="22"/>
          <w:szCs w:val="22"/>
          <w:lang w:eastAsia="es-MX"/>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255FE0CC" w14:textId="77777777"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i/>
          <w:color w:val="2F2F2F"/>
          <w:sz w:val="22"/>
          <w:szCs w:val="22"/>
          <w:lang w:eastAsia="es-MX"/>
        </w:rPr>
        <w:t>Para que se verifique el supuesto de reserva, cuando se cause un perjuicio a las actividades de persecución de los delitos, deben de actualizarse los siguientes elementos:</w:t>
      </w:r>
    </w:p>
    <w:p w14:paraId="6A3FAB34" w14:textId="77777777"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Arial"/>
          <w:i/>
          <w:color w:val="2F2F2F"/>
          <w:sz w:val="22"/>
          <w:szCs w:val="22"/>
          <w:lang w:eastAsia="es-MX"/>
        </w:rPr>
        <w:t> </w:t>
      </w:r>
    </w:p>
    <w:p w14:paraId="2797D377" w14:textId="77777777"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b/>
          <w:bCs/>
          <w:i/>
          <w:color w:val="2F2F2F"/>
          <w:sz w:val="22"/>
          <w:szCs w:val="22"/>
          <w:lang w:eastAsia="es-MX"/>
        </w:rPr>
        <w:t>I.</w:t>
      </w:r>
      <w:r w:rsidRPr="006F07D9">
        <w:rPr>
          <w:rFonts w:ascii="Palatino Linotype" w:hAnsi="Palatino Linotype" w:cs="Arial"/>
          <w:i/>
          <w:color w:val="2F2F2F"/>
          <w:sz w:val="22"/>
          <w:szCs w:val="22"/>
          <w:lang w:eastAsia="es-MX"/>
        </w:rPr>
        <w:t>        </w:t>
      </w:r>
      <w:r w:rsidRPr="006F07D9">
        <w:rPr>
          <w:rFonts w:ascii="Palatino Linotype" w:hAnsi="Palatino Linotype" w:cs="Helvetica"/>
          <w:i/>
          <w:color w:val="2F2F2F"/>
          <w:sz w:val="22"/>
          <w:szCs w:val="22"/>
          <w:lang w:eastAsia="es-MX"/>
        </w:rPr>
        <w:t>La existencia de un proceso penal en sustanciación o una carpeta de investigación en trámite;</w:t>
      </w:r>
    </w:p>
    <w:p w14:paraId="06985373" w14:textId="77777777"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b/>
          <w:bCs/>
          <w:i/>
          <w:color w:val="2F2F2F"/>
          <w:sz w:val="22"/>
          <w:szCs w:val="22"/>
          <w:lang w:eastAsia="es-MX"/>
        </w:rPr>
        <w:t>II.</w:t>
      </w:r>
      <w:r w:rsidRPr="006F07D9">
        <w:rPr>
          <w:rFonts w:ascii="Palatino Linotype" w:hAnsi="Palatino Linotype" w:cs="Arial"/>
          <w:i/>
          <w:color w:val="2F2F2F"/>
          <w:sz w:val="22"/>
          <w:szCs w:val="22"/>
          <w:lang w:eastAsia="es-MX"/>
        </w:rPr>
        <w:t>       </w:t>
      </w:r>
      <w:r w:rsidRPr="006F07D9">
        <w:rPr>
          <w:rFonts w:ascii="Palatino Linotype" w:hAnsi="Palatino Linotype" w:cs="Helvetica"/>
          <w:i/>
          <w:color w:val="2F2F2F"/>
          <w:sz w:val="22"/>
          <w:szCs w:val="22"/>
          <w:lang w:eastAsia="es-MX"/>
        </w:rPr>
        <w:t>Que se acredite el vínculo que existe entre la información solicitada y la carpeta de investigación, o el proceso penal, según sea el caso, y</w:t>
      </w:r>
    </w:p>
    <w:p w14:paraId="1CC626BD" w14:textId="77777777" w:rsidR="006F07D9" w:rsidRPr="006F07D9" w:rsidRDefault="006F07D9" w:rsidP="00656A7B">
      <w:pPr>
        <w:shd w:val="clear" w:color="auto" w:fill="FFFFFF"/>
        <w:ind w:left="567" w:right="567"/>
        <w:jc w:val="both"/>
        <w:rPr>
          <w:rFonts w:ascii="Palatino Linotype" w:hAnsi="Palatino Linotype" w:cs="Helvetica"/>
          <w:i/>
          <w:color w:val="2F2F2F"/>
          <w:sz w:val="22"/>
          <w:szCs w:val="22"/>
          <w:lang w:eastAsia="es-MX"/>
        </w:rPr>
      </w:pPr>
      <w:r w:rsidRPr="006F07D9">
        <w:rPr>
          <w:rFonts w:ascii="Palatino Linotype" w:hAnsi="Palatino Linotype" w:cs="Helvetica"/>
          <w:b/>
          <w:bCs/>
          <w:i/>
          <w:color w:val="2F2F2F"/>
          <w:sz w:val="22"/>
          <w:szCs w:val="22"/>
          <w:lang w:eastAsia="es-MX"/>
        </w:rPr>
        <w:lastRenderedPageBreak/>
        <w:t>III.</w:t>
      </w:r>
      <w:r w:rsidRPr="006F07D9">
        <w:rPr>
          <w:rFonts w:ascii="Palatino Linotype" w:hAnsi="Palatino Linotype" w:cs="Arial"/>
          <w:i/>
          <w:color w:val="2F2F2F"/>
          <w:sz w:val="22"/>
          <w:szCs w:val="22"/>
          <w:lang w:eastAsia="es-MX"/>
        </w:rPr>
        <w:t>      </w:t>
      </w:r>
      <w:r w:rsidRPr="006F07D9">
        <w:rPr>
          <w:rFonts w:ascii="Palatino Linotype" w:hAnsi="Palatino Linotype" w:cs="Helvetica"/>
          <w:i/>
          <w:color w:val="2F2F2F"/>
          <w:sz w:val="22"/>
          <w:szCs w:val="22"/>
          <w:lang w:eastAsia="es-MX"/>
        </w:rPr>
        <w:t>Que la difusión de la información pueda impedir u obstruir las funciones que ejerce el Ministerio Público o su equivalente durante la etapa de investigación o ante los tribunales judiciales con motivo del ejercicio de la acción penal.</w:t>
      </w:r>
    </w:p>
    <w:p w14:paraId="6BE8A53C" w14:textId="4DF6A31C"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b/>
          <w:bCs/>
          <w:i/>
          <w:color w:val="2F2F2F"/>
          <w:sz w:val="22"/>
          <w:szCs w:val="22"/>
          <w:lang w:eastAsia="es-MX"/>
        </w:rPr>
        <w:t>…</w:t>
      </w:r>
    </w:p>
    <w:p w14:paraId="09DC378D" w14:textId="3DF042E9" w:rsidR="006F07D9" w:rsidRPr="006F07D9" w:rsidRDefault="006F07D9" w:rsidP="00656A7B">
      <w:pPr>
        <w:shd w:val="clear" w:color="auto" w:fill="FFFFFF"/>
        <w:ind w:left="567" w:right="567"/>
        <w:jc w:val="both"/>
        <w:rPr>
          <w:rFonts w:ascii="Palatino Linotype" w:hAnsi="Palatino Linotype" w:cs="Arial"/>
          <w:i/>
          <w:color w:val="2F2F2F"/>
          <w:sz w:val="22"/>
          <w:szCs w:val="22"/>
          <w:lang w:eastAsia="es-MX"/>
        </w:rPr>
      </w:pPr>
      <w:r w:rsidRPr="006F07D9">
        <w:rPr>
          <w:rFonts w:ascii="Palatino Linotype" w:hAnsi="Palatino Linotype" w:cs="Helvetica"/>
          <w:b/>
          <w:bCs/>
          <w:i/>
          <w:color w:val="2F2F2F"/>
          <w:sz w:val="22"/>
          <w:szCs w:val="22"/>
          <w:shd w:val="clear" w:color="auto" w:fill="FFFFFF"/>
        </w:rPr>
        <w:t>Trigésimo primero.</w:t>
      </w:r>
      <w:r w:rsidRPr="006F07D9">
        <w:rPr>
          <w:rFonts w:ascii="Palatino Linotype" w:hAnsi="Palatino Linotype" w:cs="Helvetica"/>
          <w:i/>
          <w:color w:val="2F2F2F"/>
          <w:sz w:val="22"/>
          <w:szCs w:val="22"/>
          <w:shd w:val="clear" w:color="auto" w:fill="FFFFFF"/>
        </w:rPr>
        <w:t> De conformidad con el artículo 113, fracción XII de la Ley General, podrá considerarse como información reservada, aquella que forme parte de las averiguaciones previas o carpetas de investigación que resulte de la etapa de investigación, durante la cual, de conformidad con la normativa en materia penal, el Ministerio Público o su equivalente reúne indicios para el esclarecimiento de los hechos y, en su caso, los datos de prueba para sustentar el ejercicio o no de la acción penal, la acusación contra el imputado y la reparación del daño.</w:t>
      </w:r>
    </w:p>
    <w:p w14:paraId="503B7F03" w14:textId="77777777" w:rsidR="00062CA2" w:rsidRDefault="00062CA2" w:rsidP="00062CA2">
      <w:pPr>
        <w:pStyle w:val="Prrafodelista"/>
        <w:spacing w:before="240" w:after="240" w:line="360" w:lineRule="auto"/>
        <w:ind w:left="0" w:right="49"/>
        <w:jc w:val="both"/>
        <w:rPr>
          <w:rFonts w:ascii="Palatino Linotype" w:hAnsi="Palatino Linotype" w:cs="Bookman Old Style"/>
          <w:sz w:val="24"/>
        </w:rPr>
      </w:pPr>
    </w:p>
    <w:p w14:paraId="2DD6A80C" w14:textId="77777777" w:rsidR="00656A7B" w:rsidRPr="00656A7B" w:rsidRDefault="00062CA2"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AF7502">
        <w:rPr>
          <w:rFonts w:ascii="Palatino Linotype" w:hAnsi="Palatino Linotype" w:cs="Bookman Old Style"/>
          <w:sz w:val="24"/>
        </w:rPr>
        <w:t xml:space="preserve">Es así que, la información solicitada actualiza una causal de clasificación como información reservada, en el sentido de que, la publicidad de los </w:t>
      </w:r>
      <w:r w:rsidR="00656A7B">
        <w:rPr>
          <w:rFonts w:ascii="Palatino Linotype" w:hAnsi="Palatino Linotype" w:cs="Bookman Old Style"/>
          <w:sz w:val="24"/>
        </w:rPr>
        <w:t xml:space="preserve">nombres de los policías </w:t>
      </w:r>
      <w:r w:rsidR="00656A7B" w:rsidRPr="00656A7B">
        <w:rPr>
          <w:rFonts w:ascii="Palatino Linotype" w:eastAsia="Calibri" w:hAnsi="Palatino Linotype" w:cs="Tahoma"/>
          <w:bCs/>
          <w:sz w:val="24"/>
          <w:lang w:val="es-ES"/>
        </w:rPr>
        <w:t xml:space="preserve">pone en riesgo sus vidas y seguridad, ya que se pueden ser identificarles, provocando que algún afectado por las labores que realizan y utilice la información para amenazar, intimidar o extorsionar al integrante y en una sociedad prevalece el derecho absoluto a la vida y a la seguridad ya que son presupuestos para que se pueda acceder a otros derechos. </w:t>
      </w:r>
    </w:p>
    <w:p w14:paraId="6B29B15F" w14:textId="77777777" w:rsidR="00656A7B" w:rsidRDefault="00656A7B" w:rsidP="00656A7B">
      <w:pPr>
        <w:pStyle w:val="Prrafodelista"/>
        <w:spacing w:before="240" w:after="240" w:line="360" w:lineRule="auto"/>
        <w:ind w:left="0" w:right="49"/>
        <w:jc w:val="both"/>
        <w:rPr>
          <w:rFonts w:ascii="Palatino Linotype" w:hAnsi="Palatino Linotype" w:cs="Bookman Old Style"/>
          <w:sz w:val="24"/>
        </w:rPr>
      </w:pPr>
    </w:p>
    <w:p w14:paraId="38F01F88" w14:textId="77777777" w:rsidR="00656A7B" w:rsidRDefault="00656A7B"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656A7B">
        <w:rPr>
          <w:rFonts w:ascii="Palatino Linotype" w:eastAsia="Calibri" w:hAnsi="Palatino Linotype" w:cs="Tahoma"/>
          <w:bCs/>
          <w:sz w:val="24"/>
          <w:lang w:val="es-E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w:t>
      </w:r>
      <w:r w:rsidRPr="00656A7B">
        <w:rPr>
          <w:rFonts w:ascii="Palatino Linotype" w:eastAsia="Calibri" w:hAnsi="Palatino Linotype" w:cs="Tahoma"/>
          <w:bCs/>
          <w:sz w:val="24"/>
          <w:lang w:val="es-ES"/>
        </w:rPr>
        <w:lastRenderedPageBreak/>
        <w:t xml:space="preserve">fundamental, por lo que se debe proteger a quienes trabajan y ayudan al logro de la seguridad pública. </w:t>
      </w:r>
    </w:p>
    <w:p w14:paraId="02E5AD97" w14:textId="77777777" w:rsidR="00656A7B" w:rsidRPr="00656A7B" w:rsidRDefault="00656A7B" w:rsidP="00656A7B">
      <w:pPr>
        <w:pStyle w:val="Prrafodelista"/>
        <w:rPr>
          <w:rFonts w:ascii="Palatino Linotype" w:eastAsia="Calibri" w:hAnsi="Palatino Linotype" w:cs="Tahoma"/>
          <w:bCs/>
          <w:sz w:val="24"/>
          <w:lang w:val="es-ES"/>
        </w:rPr>
      </w:pPr>
    </w:p>
    <w:p w14:paraId="5307F714" w14:textId="6EF688A9" w:rsidR="00656A7B" w:rsidRPr="00656A7B" w:rsidRDefault="00656A7B"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656A7B">
        <w:rPr>
          <w:rFonts w:ascii="Palatino Linotype" w:eastAsia="Calibri" w:hAnsi="Palatino Linotype" w:cs="Tahoma"/>
          <w:bCs/>
          <w:sz w:val="24"/>
          <w:lang w:val="es-E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679BBDB1" w14:textId="77777777" w:rsidR="00656A7B" w:rsidRPr="00656A7B" w:rsidRDefault="00656A7B" w:rsidP="00656A7B">
      <w:pPr>
        <w:pStyle w:val="Prrafodelista"/>
        <w:rPr>
          <w:rFonts w:ascii="Palatino Linotype" w:hAnsi="Palatino Linotype" w:cs="Bookman Old Style"/>
          <w:sz w:val="24"/>
        </w:rPr>
      </w:pPr>
    </w:p>
    <w:p w14:paraId="739E9899" w14:textId="77777777" w:rsidR="00656A7B" w:rsidRPr="00656A7B" w:rsidRDefault="00656A7B"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656A7B">
        <w:rPr>
          <w:rFonts w:ascii="Palatino Linotype" w:eastAsia="Calibri" w:hAnsi="Palatino Linotype" w:cs="Tahoma"/>
          <w:bCs/>
          <w:sz w:val="24"/>
          <w:lang w:val="es-E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9B71FC9" w14:textId="77777777" w:rsidR="00656A7B" w:rsidRPr="00656A7B" w:rsidRDefault="00656A7B" w:rsidP="00656A7B">
      <w:pPr>
        <w:pStyle w:val="Prrafodelista"/>
        <w:rPr>
          <w:rFonts w:ascii="Palatino Linotype" w:hAnsi="Palatino Linotype" w:cs="Bookman Old Style"/>
          <w:sz w:val="24"/>
        </w:rPr>
      </w:pPr>
    </w:p>
    <w:p w14:paraId="105496AA" w14:textId="77777777" w:rsidR="00656A7B" w:rsidRPr="00656A7B" w:rsidRDefault="00656A7B"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656A7B">
        <w:rPr>
          <w:rFonts w:ascii="Palatino Linotype" w:eastAsia="MS Mincho" w:hAnsi="Palatino Linotype" w:cs="Arial"/>
          <w:sz w:val="24"/>
          <w:lang w:val="es-ES_tradnl"/>
        </w:rPr>
        <w:t xml:space="preserve">Al respecto, cabe hacer mención que el artículo 81 fracción III de la Ley de Seguridad del Estado de México, establece lo siguiente: </w:t>
      </w:r>
    </w:p>
    <w:p w14:paraId="1824C40A" w14:textId="77777777" w:rsidR="00656A7B" w:rsidRPr="009B3943" w:rsidRDefault="00656A7B" w:rsidP="00656A7B">
      <w:pPr>
        <w:pStyle w:val="Prrafodelista"/>
        <w:spacing w:line="360" w:lineRule="auto"/>
        <w:ind w:right="851"/>
        <w:jc w:val="both"/>
        <w:rPr>
          <w:rFonts w:ascii="Palatino Linotype" w:eastAsia="MS Mincho" w:hAnsi="Palatino Linotype" w:cs="Arial"/>
          <w:i/>
          <w:sz w:val="24"/>
          <w:lang w:val="es-ES_tradnl"/>
        </w:rPr>
      </w:pPr>
    </w:p>
    <w:p w14:paraId="558163A9" w14:textId="77777777" w:rsidR="00656A7B" w:rsidRPr="009B3943" w:rsidRDefault="00656A7B" w:rsidP="00656A7B">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i/>
          <w:lang w:val="es-ES_tradnl"/>
        </w:rPr>
        <w:lastRenderedPageBreak/>
        <w:t>“</w:t>
      </w:r>
      <w:r w:rsidRPr="009B3943">
        <w:rPr>
          <w:rFonts w:ascii="Palatino Linotype" w:eastAsia="MS Mincho" w:hAnsi="Palatino Linotype" w:cs="Arial"/>
          <w:b/>
          <w:i/>
          <w:lang w:val="es-ES_tradnl"/>
        </w:rPr>
        <w:t>Artículo 81.-</w:t>
      </w:r>
      <w:r w:rsidRPr="009B3943">
        <w:rPr>
          <w:rFonts w:ascii="Palatino Linotype" w:eastAsia="MS Mincho" w:hAnsi="Palatino Linotype" w:cs="Arial"/>
          <w:i/>
          <w:lang w:val="es-ES_tradnl"/>
        </w:rPr>
        <w:t xml:space="preserve"> </w:t>
      </w:r>
      <w:r w:rsidRPr="009B3943">
        <w:rPr>
          <w:rFonts w:ascii="Palatino Linotype" w:eastAsia="MS Mincho" w:hAnsi="Palatino Linotype" w:cs="Arial"/>
          <w:b/>
          <w:i/>
          <w:lang w:val="es-ES_tradnl"/>
        </w:rPr>
        <w:t xml:space="preserve">Toda información para la seguridad pública generada o en poder de Instituciones de Seguridad Pública o de cualquier instancia del Sistema Estatal debe registrarse, clasificarse y tratarse de conformidad con las disposiciones aplicables. </w:t>
      </w:r>
      <w:r w:rsidRPr="009B3943">
        <w:rPr>
          <w:rFonts w:ascii="Palatino Linotype" w:eastAsia="MS Mincho" w:hAnsi="Palatino Linotype" w:cs="Arial"/>
          <w:b/>
          <w:i/>
          <w:u w:val="single"/>
          <w:lang w:val="es-ES_tradnl"/>
        </w:rPr>
        <w:t>No obstante lo anterior, esta información se considerará reservada</w:t>
      </w:r>
      <w:r w:rsidRPr="009B3943">
        <w:rPr>
          <w:rFonts w:ascii="Palatino Linotype" w:eastAsia="MS Mincho" w:hAnsi="Palatino Linotype" w:cs="Arial"/>
          <w:i/>
          <w:lang w:val="es-ES_tradnl"/>
        </w:rPr>
        <w:t xml:space="preserve"> en los casos siguientes:</w:t>
      </w:r>
    </w:p>
    <w:p w14:paraId="5FD934CB" w14:textId="77777777" w:rsidR="00656A7B" w:rsidRPr="009B3943" w:rsidRDefault="00656A7B" w:rsidP="00656A7B">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i/>
          <w:lang w:val="es-ES_tradnl"/>
        </w:rPr>
        <w:t>…</w:t>
      </w:r>
    </w:p>
    <w:p w14:paraId="2ACB26E4" w14:textId="77777777" w:rsidR="00656A7B" w:rsidRPr="009B3943" w:rsidRDefault="00656A7B" w:rsidP="00656A7B">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b/>
          <w:i/>
          <w:lang w:val="es-ES_tradnl"/>
        </w:rPr>
        <w:t>III.</w:t>
      </w:r>
      <w:r w:rsidRPr="009B3943">
        <w:rPr>
          <w:rFonts w:ascii="Palatino Linotype" w:eastAsia="MS Mincho" w:hAnsi="Palatino Linotype" w:cs="Arial"/>
          <w:i/>
          <w:lang w:val="es-ES_tradnl"/>
        </w:rPr>
        <w:t xml:space="preserve"> </w:t>
      </w:r>
      <w:r w:rsidRPr="009B3943">
        <w:rPr>
          <w:rFonts w:ascii="Palatino Linotype" w:eastAsia="MS Mincho" w:hAnsi="Palatino Linotype" w:cs="Arial"/>
          <w:b/>
          <w:i/>
          <w:u w:val="single"/>
          <w:lang w:val="es-ES_tradnl"/>
        </w:rPr>
        <w:t>La relativa a servidores públicos miembros de las instituciones de seguridad pública, cuya revelación pueda poner en riesgo su vida e integridad física con motivo de sus funciones;</w:t>
      </w:r>
      <w:r w:rsidRPr="009B3943">
        <w:rPr>
          <w:rFonts w:ascii="Palatino Linotype" w:eastAsia="MS Mincho" w:hAnsi="Palatino Linotype" w:cs="Arial"/>
          <w:i/>
          <w:lang w:val="es-ES_tradnl"/>
        </w:rPr>
        <w:t>”</w:t>
      </w:r>
    </w:p>
    <w:p w14:paraId="4E9FB5D2" w14:textId="77777777" w:rsidR="00656A7B" w:rsidRPr="009B3943" w:rsidRDefault="00656A7B" w:rsidP="00656A7B">
      <w:pPr>
        <w:pStyle w:val="Prrafodelista"/>
        <w:spacing w:line="360" w:lineRule="auto"/>
        <w:ind w:right="851"/>
        <w:jc w:val="both"/>
        <w:rPr>
          <w:rFonts w:ascii="Palatino Linotype" w:eastAsia="MS Mincho" w:hAnsi="Palatino Linotype" w:cs="Arial"/>
          <w:lang w:val="es-ES_tradnl"/>
        </w:rPr>
      </w:pPr>
      <w:r w:rsidRPr="009B3943">
        <w:rPr>
          <w:rFonts w:ascii="Palatino Linotype" w:eastAsia="MS Mincho" w:hAnsi="Palatino Linotype" w:cs="Arial"/>
          <w:lang w:val="es-ES_tradnl"/>
        </w:rPr>
        <w:t>(Énfasis añadido)</w:t>
      </w:r>
    </w:p>
    <w:p w14:paraId="600F0D95" w14:textId="77777777" w:rsidR="00656A7B" w:rsidRPr="009B3943" w:rsidRDefault="00656A7B" w:rsidP="00656A7B">
      <w:pPr>
        <w:pStyle w:val="Prrafodelista"/>
        <w:spacing w:line="360" w:lineRule="auto"/>
        <w:ind w:left="0"/>
        <w:jc w:val="both"/>
        <w:rPr>
          <w:rFonts w:ascii="Palatino Linotype" w:eastAsia="MS Mincho" w:hAnsi="Palatino Linotype" w:cs="Arial"/>
        </w:rPr>
      </w:pPr>
    </w:p>
    <w:p w14:paraId="3C88F43B" w14:textId="00DC289E" w:rsidR="00656A7B" w:rsidRPr="009B3943" w:rsidRDefault="00656A7B" w:rsidP="00656A7B">
      <w:pPr>
        <w:pStyle w:val="Prrafodelista"/>
        <w:numPr>
          <w:ilvl w:val="0"/>
          <w:numId w:val="2"/>
        </w:numPr>
        <w:spacing w:line="360" w:lineRule="auto"/>
        <w:ind w:left="0" w:firstLine="0"/>
        <w:jc w:val="both"/>
        <w:rPr>
          <w:rFonts w:ascii="Palatino Linotype" w:eastAsia="MS Mincho" w:hAnsi="Palatino Linotype" w:cs="Arial"/>
          <w:sz w:val="24"/>
        </w:rPr>
      </w:pPr>
      <w:r w:rsidRPr="009B3943">
        <w:rPr>
          <w:rFonts w:ascii="Palatino Linotype" w:hAnsi="Palatino Linotype" w:cs="Arial"/>
          <w:sz w:val="24"/>
        </w:rPr>
        <w:t>Argumento que se fortalece con lo estipulado en el criterio número 6-09, del Instituto Nacional de Transparencia, Acceso a la Información y Protección de Datos Personales, antes (INAI)</w:t>
      </w:r>
      <w:r w:rsidRPr="009B3943">
        <w:rPr>
          <w:rStyle w:val="Textoennegrita"/>
          <w:rFonts w:ascii="Palatino Linotype" w:hAnsi="Palatino Linotype" w:cs="Arial"/>
          <w:sz w:val="24"/>
        </w:rPr>
        <w:t xml:space="preserve">, </w:t>
      </w:r>
      <w:r w:rsidRPr="009B3943">
        <w:rPr>
          <w:rFonts w:ascii="Palatino Linotype" w:hAnsi="Palatino Linotype" w:cs="Arial"/>
          <w:sz w:val="24"/>
        </w:rPr>
        <w:t xml:space="preserve">el cual refiere: </w:t>
      </w:r>
    </w:p>
    <w:p w14:paraId="6D0E52DF" w14:textId="77777777" w:rsidR="00656A7B" w:rsidRPr="009B3943" w:rsidRDefault="00656A7B" w:rsidP="00656A7B">
      <w:pPr>
        <w:spacing w:line="360" w:lineRule="auto"/>
        <w:jc w:val="both"/>
        <w:rPr>
          <w:rFonts w:ascii="Palatino Linotype" w:hAnsi="Palatino Linotype" w:cs="Arial"/>
          <w:sz w:val="28"/>
        </w:rPr>
      </w:pPr>
    </w:p>
    <w:p w14:paraId="598E343D" w14:textId="77777777" w:rsidR="00656A7B" w:rsidRPr="009B3943" w:rsidRDefault="00656A7B" w:rsidP="00656A7B">
      <w:pPr>
        <w:pStyle w:val="Prrafodelista"/>
        <w:autoSpaceDE w:val="0"/>
        <w:autoSpaceDN w:val="0"/>
        <w:adjustRightInd w:val="0"/>
        <w:spacing w:line="360" w:lineRule="auto"/>
        <w:ind w:right="567"/>
        <w:jc w:val="both"/>
        <w:rPr>
          <w:rFonts w:ascii="Palatino Linotype" w:hAnsi="Palatino Linotype" w:cs="Arial"/>
          <w:i/>
        </w:rPr>
      </w:pPr>
      <w:r w:rsidRPr="009B3943">
        <w:rPr>
          <w:rFonts w:ascii="Palatino Linotype" w:hAnsi="Palatino Linotype" w:cs="Arial"/>
          <w:b/>
          <w:bCs/>
          <w:i/>
        </w:rPr>
        <w:t>“Criterio 6-09</w:t>
      </w:r>
    </w:p>
    <w:p w14:paraId="3F76F27C" w14:textId="77777777" w:rsidR="00656A7B" w:rsidRPr="009B3943" w:rsidRDefault="00656A7B" w:rsidP="00656A7B">
      <w:pPr>
        <w:pStyle w:val="Prrafodelista"/>
        <w:autoSpaceDE w:val="0"/>
        <w:autoSpaceDN w:val="0"/>
        <w:adjustRightInd w:val="0"/>
        <w:spacing w:line="360" w:lineRule="auto"/>
        <w:ind w:right="567"/>
        <w:jc w:val="both"/>
        <w:rPr>
          <w:rFonts w:ascii="Palatino Linotype" w:hAnsi="Palatino Linotype" w:cs="Arial"/>
          <w:i/>
        </w:rPr>
      </w:pPr>
      <w:r w:rsidRPr="009B3943">
        <w:rPr>
          <w:rFonts w:ascii="Palatino Linotype" w:hAnsi="Palatino Linotype" w:cs="Arial"/>
          <w:b/>
          <w:bCs/>
          <w:i/>
        </w:rPr>
        <w:t xml:space="preserve">Nombres de servidores públicos dedicados a actividades en materia de seguridad, por excepción pueden considerarse información reservada. </w:t>
      </w:r>
      <w:r w:rsidRPr="009B3943">
        <w:rPr>
          <w:rFonts w:ascii="Palatino Linotype" w:hAnsi="Palatino Linotype" w:cs="Arial"/>
          <w:bCs/>
          <w:i/>
        </w:rPr>
        <w:t xml:space="preserve">De conformidad con el artículo 7, fracciones I y III de la Ley Federal de Transparencia y Acceso a la Información Pública Gubernamental </w:t>
      </w:r>
      <w:r w:rsidRPr="009B3943">
        <w:rPr>
          <w:rFonts w:ascii="Palatino Linotype" w:hAnsi="Palatino Linotype" w:cs="Arial"/>
          <w:b/>
          <w:bCs/>
          <w:i/>
          <w:u w:val="single"/>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9B3943">
        <w:rPr>
          <w:rFonts w:ascii="Palatino Linotype" w:hAnsi="Palatino Linotype" w:cs="Arial"/>
          <w:bCs/>
          <w:i/>
        </w:rPr>
        <w:t xml:space="preserve">. En este sentido, se debe señalar que existen funciones a cargo de servidores públicos, </w:t>
      </w:r>
      <w:r w:rsidRPr="009B3943">
        <w:rPr>
          <w:rFonts w:ascii="Palatino Linotype" w:hAnsi="Palatino Linotype" w:cs="Arial"/>
          <w:bCs/>
          <w:i/>
        </w:rPr>
        <w:lastRenderedPageBreak/>
        <w:t xml:space="preserve">tendientes a garantizar de manera directa la seguridad nacional y pública, a través de acciones preventivas y correctivas encaminadas a combatir a la delincuencia en sus diferentes manifestaciones. Así, es pertinente señalar que en </w:t>
      </w:r>
      <w:r w:rsidRPr="009B3943">
        <w:rPr>
          <w:rFonts w:ascii="Palatino Linotype" w:hAnsi="Palatino Linotype" w:cs="Arial"/>
          <w:b/>
          <w:bCs/>
          <w:i/>
          <w:u w:val="single"/>
        </w:rPr>
        <w:t>el artículo 13, fracción I de la ley de referencia se establece que podrá clasificarse aquella información cuya difusión pueda comprometer la seguridad nacional y pública</w:t>
      </w:r>
      <w:r w:rsidRPr="009B3943">
        <w:rPr>
          <w:rFonts w:ascii="Palatino Linotype" w:hAnsi="Palatino Linotype" w:cs="Arial"/>
          <w:bCs/>
          <w:i/>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9B3943">
        <w:rPr>
          <w:rFonts w:ascii="Palatino Linotype" w:hAnsi="Palatino Linotype" w:cs="Arial"/>
          <w:b/>
          <w:bCs/>
          <w:i/>
          <w:u w:val="single"/>
        </w:rPr>
        <w:t>por lo que la reserva de la relación de los nombres y las funciones que desempeñan los servidores públicos que prestan sus servicios en áreas de seguridad nacional o pública</w:t>
      </w:r>
      <w:r w:rsidRPr="009B3943">
        <w:rPr>
          <w:rFonts w:ascii="Palatino Linotype" w:hAnsi="Palatino Linotype" w:cs="Arial"/>
          <w:bCs/>
          <w:i/>
        </w:rPr>
        <w:t>, puede llegar a constituirse en un componente fundamental en el esfuerzo que realiza el Estado Mexicano para garantizar la seguridad del país en sus diferentes vertientes</w:t>
      </w:r>
      <w:r w:rsidRPr="009B3943">
        <w:rPr>
          <w:rFonts w:ascii="Palatino Linotype" w:hAnsi="Palatino Linotype" w:cs="Arial"/>
          <w:i/>
        </w:rPr>
        <w:t>” (Sic)</w:t>
      </w:r>
    </w:p>
    <w:p w14:paraId="51414F38" w14:textId="77777777" w:rsidR="00656A7B" w:rsidRPr="009B3943" w:rsidRDefault="00656A7B" w:rsidP="00656A7B">
      <w:pPr>
        <w:pStyle w:val="Prrafodelista"/>
        <w:tabs>
          <w:tab w:val="left" w:pos="3583"/>
        </w:tabs>
        <w:autoSpaceDE w:val="0"/>
        <w:autoSpaceDN w:val="0"/>
        <w:adjustRightInd w:val="0"/>
        <w:spacing w:line="360" w:lineRule="auto"/>
        <w:ind w:right="567"/>
        <w:jc w:val="both"/>
        <w:rPr>
          <w:rFonts w:ascii="Palatino Linotype" w:hAnsi="Palatino Linotype" w:cs="Arial"/>
        </w:rPr>
      </w:pPr>
      <w:r w:rsidRPr="009B3943">
        <w:rPr>
          <w:rFonts w:ascii="Palatino Linotype" w:hAnsi="Palatino Linotype" w:cs="Arial"/>
        </w:rPr>
        <w:t>(Énfasis añadido).</w:t>
      </w:r>
    </w:p>
    <w:p w14:paraId="3DF2F5F9" w14:textId="77777777" w:rsidR="00656A7B" w:rsidRDefault="00656A7B" w:rsidP="00656A7B">
      <w:pPr>
        <w:pStyle w:val="Prrafodelista"/>
        <w:spacing w:before="240" w:after="240" w:line="360" w:lineRule="auto"/>
        <w:ind w:left="0" w:right="49"/>
        <w:jc w:val="both"/>
        <w:rPr>
          <w:rFonts w:ascii="Palatino Linotype" w:hAnsi="Palatino Linotype" w:cs="Bookman Old Style"/>
          <w:sz w:val="24"/>
        </w:rPr>
      </w:pPr>
    </w:p>
    <w:p w14:paraId="24926A6F" w14:textId="02BD1EEE" w:rsidR="00656A7B" w:rsidRPr="00656A7B" w:rsidRDefault="00656A7B" w:rsidP="00656A7B">
      <w:pPr>
        <w:pStyle w:val="Prrafodelista"/>
        <w:numPr>
          <w:ilvl w:val="0"/>
          <w:numId w:val="2"/>
        </w:numPr>
        <w:spacing w:before="240" w:after="240" w:line="360" w:lineRule="auto"/>
        <w:ind w:left="0" w:right="49" w:firstLine="0"/>
        <w:jc w:val="both"/>
        <w:rPr>
          <w:rFonts w:ascii="Palatino Linotype" w:hAnsi="Palatino Linotype" w:cs="Bookman Old Style"/>
          <w:sz w:val="24"/>
        </w:rPr>
      </w:pPr>
      <w:r w:rsidRPr="00656A7B">
        <w:rPr>
          <w:rFonts w:ascii="Palatino Linotype" w:hAnsi="Palatino Linotype" w:cs="Bookman Old Style"/>
          <w:sz w:val="24"/>
        </w:rPr>
        <w:t xml:space="preserve">Aunado al riesgo que existe </w:t>
      </w:r>
      <w:r w:rsidRPr="00656A7B">
        <w:rPr>
          <w:rFonts w:ascii="Palatino Linotype" w:hAnsi="Palatino Linotype"/>
          <w:iCs/>
          <w:sz w:val="24"/>
        </w:rPr>
        <w:t xml:space="preserve">a la vida, seguridad o salud de los policías, no debe pasar desapercibido que, </w:t>
      </w:r>
      <w:r w:rsidRPr="00656A7B">
        <w:rPr>
          <w:rFonts w:ascii="Palatino Linotype" w:eastAsia="Calibri" w:hAnsi="Palatino Linotype" w:cs="Tahoma"/>
          <w:bCs/>
          <w:sz w:val="24"/>
          <w:lang w:val="es-ES"/>
        </w:rPr>
        <w:t>al tratarse de una actuación que realizada en el ejercicio de sus funciones, los miembros de la policía que tuvieron participación, ahora forman parte de la respectiva carpeta de investigación, toda vez que debieron acudir al ministerio público para presentar a los detenidos y rendir su declaraci</w:t>
      </w:r>
      <w:r>
        <w:rPr>
          <w:rFonts w:ascii="Palatino Linotype" w:eastAsia="Calibri" w:hAnsi="Palatino Linotype" w:cs="Tahoma"/>
          <w:bCs/>
          <w:sz w:val="24"/>
          <w:lang w:val="es-ES"/>
        </w:rPr>
        <w:t>ón correspondiente, esto es que, de manera directa o indirecta, los nombres de los policías se encuentra contenido en las investigaciones de hechos que la ley señala como delitos y se encuentra en trámite ante un agente del Ministerio Público.</w:t>
      </w:r>
    </w:p>
    <w:p w14:paraId="2C79C2CC" w14:textId="77777777" w:rsidR="00656A7B" w:rsidRDefault="00656A7B" w:rsidP="00656A7B">
      <w:pPr>
        <w:pStyle w:val="Prrafodelista"/>
        <w:spacing w:before="240" w:after="240" w:line="360" w:lineRule="auto"/>
        <w:ind w:left="0" w:right="49"/>
        <w:jc w:val="both"/>
        <w:rPr>
          <w:rFonts w:ascii="Palatino Linotype" w:hAnsi="Palatino Linotype" w:cs="Bookman Old Style"/>
          <w:sz w:val="24"/>
        </w:rPr>
      </w:pPr>
    </w:p>
    <w:p w14:paraId="57035E51" w14:textId="2066E626" w:rsidR="00F16EA7" w:rsidRDefault="00F16EA7" w:rsidP="00DD0FEA">
      <w:pPr>
        <w:pStyle w:val="Prrafodelista"/>
        <w:numPr>
          <w:ilvl w:val="0"/>
          <w:numId w:val="2"/>
        </w:numPr>
        <w:spacing w:line="360" w:lineRule="auto"/>
        <w:ind w:left="0" w:firstLine="0"/>
        <w:jc w:val="both"/>
        <w:rPr>
          <w:rFonts w:ascii="Palatino Linotype" w:eastAsia="MS Mincho" w:hAnsi="Palatino Linotype"/>
          <w:sz w:val="24"/>
        </w:rPr>
      </w:pPr>
      <w:r>
        <w:rPr>
          <w:rFonts w:ascii="Palatino Linotype" w:eastAsia="MS Mincho" w:hAnsi="Palatino Linotype"/>
          <w:sz w:val="24"/>
        </w:rPr>
        <w:lastRenderedPageBreak/>
        <w:t>En consecuencia, el Sujeto Obligado, a través de su comité de Transparencia debe emitir el acuerdo mediante el cual se clasifique como información reservada el nombre de los policías que intervinieron en el hecho constitutivo de delito contenido en la dirección electrónica proporcionada por el Recurrente.</w:t>
      </w:r>
    </w:p>
    <w:p w14:paraId="2CF73DC6" w14:textId="57196AC0" w:rsidR="005000AA" w:rsidRPr="00624AAD" w:rsidRDefault="00F16EA7" w:rsidP="00DB2180">
      <w:pPr>
        <w:pStyle w:val="Ttulo1"/>
        <w:rPr>
          <w:rFonts w:ascii="Palatino Linotype" w:eastAsia="Calibri" w:hAnsi="Palatino Linotype"/>
          <w:b/>
          <w:color w:val="auto"/>
          <w:sz w:val="24"/>
          <w:szCs w:val="24"/>
        </w:rPr>
      </w:pPr>
      <w:bookmarkStart w:id="55" w:name="_Toc85735123"/>
      <w:r>
        <w:rPr>
          <w:rFonts w:ascii="Palatino Linotype" w:eastAsia="Calibri" w:hAnsi="Palatino Linotype"/>
          <w:b/>
          <w:color w:val="auto"/>
          <w:sz w:val="24"/>
          <w:szCs w:val="24"/>
        </w:rPr>
        <w:t>QUINTO</w:t>
      </w:r>
      <w:r w:rsidR="00CC4C0B">
        <w:rPr>
          <w:rFonts w:ascii="Palatino Linotype" w:eastAsia="Calibri" w:hAnsi="Palatino Linotype"/>
          <w:b/>
          <w:color w:val="auto"/>
          <w:sz w:val="24"/>
          <w:szCs w:val="24"/>
        </w:rPr>
        <w:t xml:space="preserve">. </w:t>
      </w:r>
      <w:r w:rsidR="005000AA" w:rsidRPr="00624AAD">
        <w:rPr>
          <w:rFonts w:ascii="Palatino Linotype" w:eastAsia="Calibri" w:hAnsi="Palatino Linotype"/>
          <w:b/>
          <w:color w:val="auto"/>
          <w:sz w:val="24"/>
          <w:szCs w:val="24"/>
        </w:rPr>
        <w:t>DECISIÓN.</w:t>
      </w:r>
      <w:bookmarkEnd w:id="55"/>
    </w:p>
    <w:p w14:paraId="24099BD0" w14:textId="77777777" w:rsidR="005000AA" w:rsidRPr="00624AAD" w:rsidRDefault="005000AA" w:rsidP="005000AA">
      <w:pPr>
        <w:pStyle w:val="Prrafodelista"/>
        <w:rPr>
          <w:rFonts w:ascii="Palatino Linotype" w:eastAsia="Calibri" w:hAnsi="Palatino Linotype" w:cs="Arial"/>
          <w:sz w:val="24"/>
        </w:rPr>
      </w:pPr>
    </w:p>
    <w:p w14:paraId="4C7E9486" w14:textId="42CCB150" w:rsidR="00C6187E" w:rsidRDefault="006C6AD3"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En este caso, el derecho de acceso a la información accionado por el particular, debe ser restringido porque la información a la que desea tener acceso</w:t>
      </w:r>
      <w:r w:rsidR="00C6187E">
        <w:rPr>
          <w:rFonts w:ascii="Palatino Linotype" w:eastAsia="Calibri" w:hAnsi="Palatino Linotype" w:cs="Arial"/>
          <w:sz w:val="24"/>
        </w:rPr>
        <w:t>, relativo al nombre de una persona física ajena al quehacer gubernamental y, más, si es en su calidad de víctima de un hecho constitutivo de delito, es considerada información clasificada como confidencial, porque revelar esta información, identifica y hace identificable al titular del dato personal.</w:t>
      </w:r>
    </w:p>
    <w:p w14:paraId="4770713B" w14:textId="77777777" w:rsidR="00C6187E" w:rsidRDefault="00C6187E" w:rsidP="00C6187E">
      <w:pPr>
        <w:pStyle w:val="Prrafodelista"/>
        <w:tabs>
          <w:tab w:val="left" w:pos="567"/>
        </w:tabs>
        <w:spacing w:line="360" w:lineRule="auto"/>
        <w:ind w:left="0"/>
        <w:jc w:val="both"/>
        <w:rPr>
          <w:rFonts w:ascii="Palatino Linotype" w:eastAsia="Calibri" w:hAnsi="Palatino Linotype" w:cs="Arial"/>
          <w:sz w:val="24"/>
        </w:rPr>
      </w:pPr>
    </w:p>
    <w:p w14:paraId="5CDB3376" w14:textId="512A333A" w:rsidR="00C6187E" w:rsidRDefault="00C6187E"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Del mismo modo, la restricción al derecho del recurrente se encuentra por lo que corresponde al nombre de los policías que participaron en la detención de los presuntos responsables del hecho constitutivo de delito, toda vez que, aún y cuando se trata de servidores públicos, su nombre debe ser clasificado como información reservada, esto es porque se trata de personal operativo y la divulgación de la información puede poner en riesgo la vida, integridad o su salud, asimismo, al haber participado en la detención de los presuntos responsables de un delito, ahora ya forman parte de la carpeta de investigación, lo que actualiza una causal más para su clasificación.</w:t>
      </w:r>
    </w:p>
    <w:p w14:paraId="5AFC26F6" w14:textId="77777777" w:rsidR="00C6187E" w:rsidRPr="00C6187E" w:rsidRDefault="00C6187E" w:rsidP="00C6187E">
      <w:pPr>
        <w:pStyle w:val="Prrafodelista"/>
        <w:rPr>
          <w:rFonts w:ascii="Palatino Linotype" w:eastAsia="Calibri" w:hAnsi="Palatino Linotype" w:cs="Arial"/>
          <w:sz w:val="24"/>
        </w:rPr>
      </w:pPr>
    </w:p>
    <w:p w14:paraId="3FF2A385" w14:textId="023667DA" w:rsidR="00C6187E" w:rsidRDefault="00C6187E"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lastRenderedPageBreak/>
        <w:t>La respuesta que emitió el Sujeto Obligado no satisface los requerimientos del particular, porque si bien es cierto, se trata de información clasificada, pero también lo es que, para que la restricción se realice conforme a lo que establece la normatividad en materia, debe mediar un acuerdo emitido por el Comité de Transparencia mediante el cual se funde y motive dicha clasificación, este último es un elemento indispensable que omitió el Sujeto Obligado, por lo que, lo conducente es MODIFICAR la respuesta y ordenar la entrega de los acuerdos correspondientes.</w:t>
      </w:r>
    </w:p>
    <w:p w14:paraId="4570D6A3" w14:textId="77777777" w:rsidR="00C6187E" w:rsidRPr="00C6187E" w:rsidRDefault="00C6187E" w:rsidP="00C6187E">
      <w:pPr>
        <w:pStyle w:val="Prrafodelista"/>
        <w:rPr>
          <w:rFonts w:ascii="Palatino Linotype" w:eastAsia="Calibri" w:hAnsi="Palatino Linotype" w:cs="Arial"/>
          <w:sz w:val="24"/>
        </w:rPr>
      </w:pPr>
    </w:p>
    <w:bookmarkEnd w:id="28"/>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4234D360" w14:textId="706A7547" w:rsidR="00BE6E79" w:rsidRDefault="002475C7" w:rsidP="005000AA">
      <w:pPr>
        <w:tabs>
          <w:tab w:val="left" w:pos="567"/>
        </w:tabs>
        <w:spacing w:line="360" w:lineRule="auto"/>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F2213FD" wp14:editId="0ED8231F">
                <wp:simplePos x="0" y="0"/>
                <wp:positionH relativeFrom="column">
                  <wp:posOffset>12898</wp:posOffset>
                </wp:positionH>
                <wp:positionV relativeFrom="paragraph">
                  <wp:posOffset>88792</wp:posOffset>
                </wp:positionV>
                <wp:extent cx="5664530" cy="4156363"/>
                <wp:effectExtent l="0" t="0" r="31750" b="34925"/>
                <wp:wrapNone/>
                <wp:docPr id="5" name="Conector recto 5"/>
                <wp:cNvGraphicFramePr/>
                <a:graphic xmlns:a="http://schemas.openxmlformats.org/drawingml/2006/main">
                  <a:graphicData uri="http://schemas.microsoft.com/office/word/2010/wordprocessingShape">
                    <wps:wsp>
                      <wps:cNvCnPr/>
                      <wps:spPr>
                        <a:xfrm>
                          <a:off x="0" y="0"/>
                          <a:ext cx="5664530" cy="4156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9D814"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7pt" to="447.0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" strokecolor="#4472c4 [3204]" strokeweight=".5pt">
                <v:stroke joinstyle="miter"/>
              </v:line>
            </w:pict>
          </mc:Fallback>
        </mc:AlternateContent>
      </w:r>
    </w:p>
    <w:p w14:paraId="7F9DECB4" w14:textId="77777777" w:rsidR="00BE6E79" w:rsidRDefault="00BE6E79" w:rsidP="005000AA">
      <w:pPr>
        <w:tabs>
          <w:tab w:val="left" w:pos="567"/>
        </w:tabs>
        <w:spacing w:line="360" w:lineRule="auto"/>
        <w:jc w:val="both"/>
        <w:rPr>
          <w:rFonts w:ascii="Palatino Linotype" w:eastAsia="Calibri" w:hAnsi="Palatino Linotype" w:cs="Arial"/>
          <w:sz w:val="24"/>
          <w:szCs w:val="24"/>
        </w:rPr>
      </w:pPr>
    </w:p>
    <w:p w14:paraId="2767CFE1"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549EA901"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65C66307"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06D1F151"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3F2367E0"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121C41DD"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611765D8" w14:textId="77777777" w:rsidR="002475C7" w:rsidRDefault="002475C7" w:rsidP="005000AA">
      <w:pPr>
        <w:tabs>
          <w:tab w:val="left" w:pos="567"/>
        </w:tabs>
        <w:spacing w:line="360" w:lineRule="auto"/>
        <w:jc w:val="both"/>
        <w:rPr>
          <w:rFonts w:ascii="Palatino Linotype" w:eastAsia="Calibri" w:hAnsi="Palatino Linotype" w:cs="Arial"/>
          <w:sz w:val="24"/>
          <w:szCs w:val="24"/>
        </w:rPr>
      </w:pP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56" w:name="_Toc4061692"/>
      <w:bookmarkStart w:id="57" w:name="_Toc486525261"/>
      <w:bookmarkStart w:id="58" w:name="_Toc445745148"/>
      <w:bookmarkStart w:id="59" w:name="_Toc447699324"/>
      <w:bookmarkStart w:id="60" w:name="_Toc85735124"/>
      <w:r w:rsidRPr="00624AAD">
        <w:rPr>
          <w:rFonts w:ascii="Palatino Linotype" w:hAnsi="Palatino Linotype"/>
          <w:b/>
          <w:color w:val="auto"/>
          <w:sz w:val="24"/>
          <w:szCs w:val="24"/>
        </w:rPr>
        <w:lastRenderedPageBreak/>
        <w:t>R E S O L U T I V O S</w:t>
      </w:r>
      <w:bookmarkEnd w:id="56"/>
      <w:bookmarkEnd w:id="57"/>
      <w:bookmarkEnd w:id="58"/>
      <w:bookmarkEnd w:id="59"/>
      <w:bookmarkEnd w:id="60"/>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326A6824" w14:textId="132348B4" w:rsidR="00806ABD" w:rsidRPr="000D77A7" w:rsidRDefault="00806ABD" w:rsidP="00806ABD">
      <w:pPr>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PRIMERO. </w:t>
      </w:r>
      <w:r w:rsidRPr="000D77A7">
        <w:rPr>
          <w:rFonts w:ascii="Palatino Linotype" w:hAnsi="Palatino Linotype" w:cs="Arial"/>
          <w:sz w:val="24"/>
          <w:szCs w:val="24"/>
        </w:rPr>
        <w:t xml:space="preserve">Resultan </w:t>
      </w:r>
      <w:r w:rsidR="00CC6730">
        <w:rPr>
          <w:rFonts w:ascii="Palatino Linotype" w:hAnsi="Palatino Linotype" w:cs="Arial"/>
          <w:sz w:val="24"/>
          <w:szCs w:val="24"/>
        </w:rPr>
        <w:t xml:space="preserve">parcialmente </w:t>
      </w:r>
      <w:r w:rsidRPr="000D77A7">
        <w:rPr>
          <w:rFonts w:ascii="Palatino Linotype" w:hAnsi="Palatino Linotype" w:cs="Arial"/>
          <w:sz w:val="24"/>
          <w:szCs w:val="24"/>
        </w:rPr>
        <w:t>fundadas las</w:t>
      </w:r>
      <w:r w:rsidRPr="000D77A7">
        <w:rPr>
          <w:rFonts w:ascii="Palatino Linotype" w:hAnsi="Palatino Linotype" w:cs="Arial"/>
          <w:b/>
          <w:sz w:val="24"/>
          <w:szCs w:val="24"/>
        </w:rPr>
        <w:t xml:space="preserve"> </w:t>
      </w:r>
      <w:r w:rsidRPr="000D77A7">
        <w:rPr>
          <w:rFonts w:ascii="Palatino Linotype" w:hAnsi="Palatino Linotype" w:cs="Arial"/>
          <w:sz w:val="24"/>
          <w:szCs w:val="24"/>
          <w:lang w:val="es-ES"/>
        </w:rPr>
        <w:t xml:space="preserve">razones o motivos de inconformidad hechos valer </w:t>
      </w:r>
      <w:r w:rsidRPr="000D77A7">
        <w:rPr>
          <w:rFonts w:ascii="Palatino Linotype" w:eastAsia="Calibri" w:hAnsi="Palatino Linotype" w:cs="Arial"/>
          <w:sz w:val="24"/>
          <w:szCs w:val="24"/>
          <w:lang w:val="es-ES"/>
        </w:rPr>
        <w:t xml:space="preserve">en el recurso de revisión </w:t>
      </w:r>
      <w:r w:rsidRPr="004A2825">
        <w:rPr>
          <w:rFonts w:ascii="Palatino Linotype" w:eastAsia="Calibri" w:hAnsi="Palatino Linotype" w:cs="Tahoma"/>
          <w:b/>
          <w:bCs/>
          <w:sz w:val="24"/>
          <w:szCs w:val="22"/>
          <w:lang w:eastAsia="en-US"/>
        </w:rPr>
        <w:t>0</w:t>
      </w:r>
      <w:r w:rsidR="00BE6E79">
        <w:rPr>
          <w:rFonts w:ascii="Palatino Linotype" w:eastAsia="Calibri" w:hAnsi="Palatino Linotype" w:cs="Tahoma"/>
          <w:b/>
          <w:bCs/>
          <w:sz w:val="24"/>
          <w:szCs w:val="22"/>
          <w:lang w:eastAsia="en-US"/>
        </w:rPr>
        <w:t>4438</w:t>
      </w:r>
      <w:r w:rsidRPr="004A2825">
        <w:rPr>
          <w:rFonts w:ascii="Palatino Linotype" w:eastAsia="Calibri" w:hAnsi="Palatino Linotype" w:cs="Tahoma"/>
          <w:b/>
          <w:bCs/>
          <w:sz w:val="24"/>
          <w:szCs w:val="22"/>
          <w:lang w:eastAsia="en-US"/>
        </w:rPr>
        <w:t>/INFOEM/IP/RR/2021</w:t>
      </w:r>
      <w:r w:rsidRPr="000D77A7">
        <w:rPr>
          <w:rFonts w:ascii="Palatino Linotype" w:hAnsi="Palatino Linotype" w:cs="Arial"/>
          <w:b/>
          <w:bCs/>
          <w:sz w:val="24"/>
          <w:szCs w:val="24"/>
        </w:rPr>
        <w:t xml:space="preserve">, </w:t>
      </w:r>
      <w:r w:rsidRPr="000D77A7">
        <w:rPr>
          <w:rFonts w:ascii="Palatino Linotype" w:hAnsi="Palatino Linotype" w:cs="Arial"/>
          <w:bCs/>
          <w:sz w:val="24"/>
          <w:szCs w:val="24"/>
        </w:rPr>
        <w:t xml:space="preserve">en términos del considerando </w:t>
      </w:r>
      <w:r w:rsidRPr="000D77A7">
        <w:rPr>
          <w:rFonts w:ascii="Palatino Linotype" w:hAnsi="Palatino Linotype" w:cs="Arial"/>
          <w:b/>
          <w:bCs/>
          <w:sz w:val="24"/>
          <w:szCs w:val="24"/>
        </w:rPr>
        <w:t>CUARTO</w:t>
      </w:r>
      <w:r w:rsidRPr="000D77A7">
        <w:rPr>
          <w:rFonts w:ascii="Palatino Linotype" w:hAnsi="Palatino Linotype" w:cs="Arial"/>
          <w:bCs/>
          <w:sz w:val="24"/>
          <w:szCs w:val="24"/>
        </w:rPr>
        <w:t xml:space="preserve"> de la presente resolución.</w:t>
      </w:r>
    </w:p>
    <w:p w14:paraId="372A0DBD" w14:textId="789ED232" w:rsidR="00806ABD" w:rsidRPr="000D77A7" w:rsidRDefault="00806ABD" w:rsidP="00806ABD">
      <w:pPr>
        <w:spacing w:before="240" w:after="240" w:line="360" w:lineRule="auto"/>
        <w:jc w:val="both"/>
        <w:rPr>
          <w:rFonts w:ascii="Palatino Linotype" w:hAnsi="Palatino Linotype" w:cs="Arial"/>
          <w:sz w:val="24"/>
          <w:szCs w:val="24"/>
          <w:lang w:val="es-ES"/>
        </w:rPr>
      </w:pPr>
      <w:r w:rsidRPr="000D77A7">
        <w:rPr>
          <w:rFonts w:ascii="Palatino Linotype" w:hAnsi="Palatino Linotype"/>
          <w:b/>
          <w:sz w:val="24"/>
          <w:szCs w:val="24"/>
        </w:rPr>
        <w:t>SEGUNDO.</w:t>
      </w:r>
      <w:r w:rsidRPr="000D77A7">
        <w:rPr>
          <w:rStyle w:val="Ttulo2Car"/>
          <w:rFonts w:ascii="Palatino Linotype" w:hAnsi="Palatino Linotype"/>
          <w:b/>
          <w:sz w:val="24"/>
          <w:szCs w:val="24"/>
        </w:rPr>
        <w:t xml:space="preserve"> </w:t>
      </w:r>
      <w:r w:rsidRPr="000D77A7">
        <w:rPr>
          <w:rFonts w:ascii="Palatino Linotype" w:eastAsia="Calibri" w:hAnsi="Palatino Linotype" w:cs="Arial"/>
          <w:sz w:val="24"/>
          <w:szCs w:val="24"/>
          <w:lang w:val="es-ES"/>
        </w:rPr>
        <w:t xml:space="preserve">Se </w:t>
      </w:r>
      <w:r w:rsidR="00CC6730" w:rsidRPr="00CC6730">
        <w:rPr>
          <w:rFonts w:ascii="Palatino Linotype" w:eastAsia="Calibri" w:hAnsi="Palatino Linotype" w:cs="Arial"/>
          <w:b/>
          <w:sz w:val="24"/>
          <w:szCs w:val="24"/>
          <w:lang w:val="es-ES"/>
        </w:rPr>
        <w:t>MODIFICA</w:t>
      </w:r>
      <w:r w:rsidR="00CC6730">
        <w:rPr>
          <w:rFonts w:ascii="Palatino Linotype" w:eastAsia="Calibri" w:hAnsi="Palatino Linotype" w:cs="Arial"/>
          <w:sz w:val="24"/>
          <w:szCs w:val="24"/>
          <w:lang w:val="es-ES"/>
        </w:rPr>
        <w:t xml:space="preserve"> </w:t>
      </w:r>
      <w:r w:rsidRPr="000D77A7">
        <w:rPr>
          <w:rFonts w:ascii="Palatino Linotype" w:eastAsia="Calibri" w:hAnsi="Palatino Linotype" w:cs="Arial"/>
          <w:sz w:val="24"/>
          <w:szCs w:val="24"/>
          <w:lang w:val="es-ES"/>
        </w:rPr>
        <w:t xml:space="preserve">la respuesta emitida por el </w:t>
      </w:r>
      <w:r w:rsidR="00BE6E79" w:rsidRPr="00BE6E79">
        <w:rPr>
          <w:rFonts w:ascii="Palatino Linotype" w:eastAsia="Calibri" w:hAnsi="Palatino Linotype" w:cs="Tahoma"/>
          <w:b/>
          <w:sz w:val="24"/>
          <w:szCs w:val="22"/>
          <w:lang w:eastAsia="en-US"/>
        </w:rPr>
        <w:t>Ayuntamiento de Valle de Chalco</w:t>
      </w:r>
      <w:r w:rsidR="00CC6730">
        <w:rPr>
          <w:rFonts w:ascii="Palatino Linotype" w:eastAsia="Calibri" w:hAnsi="Palatino Linotype" w:cs="Tahoma"/>
          <w:b/>
          <w:sz w:val="24"/>
          <w:szCs w:val="22"/>
          <w:lang w:eastAsia="en-US"/>
        </w:rPr>
        <w:t xml:space="preserve"> Solidaridad</w:t>
      </w:r>
      <w:r w:rsidRPr="00806ABD">
        <w:rPr>
          <w:rFonts w:ascii="Palatino Linotype" w:eastAsia="Calibri" w:hAnsi="Palatino Linotype" w:cs="Arial"/>
          <w:b/>
          <w:sz w:val="24"/>
          <w:szCs w:val="24"/>
          <w:lang w:val="es-ES"/>
        </w:rPr>
        <w:t xml:space="preserve"> </w:t>
      </w:r>
      <w:r w:rsidRPr="000D77A7">
        <w:rPr>
          <w:rFonts w:ascii="Palatino Linotype" w:eastAsia="Calibri" w:hAnsi="Palatino Linotype" w:cs="Arial"/>
          <w:sz w:val="24"/>
          <w:szCs w:val="24"/>
          <w:lang w:val="es-ES"/>
        </w:rPr>
        <w:t xml:space="preserve">y se </w:t>
      </w:r>
      <w:r w:rsidRPr="000D77A7">
        <w:rPr>
          <w:rFonts w:ascii="Palatino Linotype" w:eastAsia="Calibri" w:hAnsi="Palatino Linotype" w:cs="Arial"/>
          <w:b/>
          <w:bCs/>
          <w:sz w:val="24"/>
          <w:szCs w:val="24"/>
          <w:lang w:val="es-ES"/>
        </w:rPr>
        <w:t>ORDENA</w:t>
      </w:r>
      <w:r w:rsidRPr="000D77A7">
        <w:rPr>
          <w:rFonts w:ascii="Palatino Linotype" w:eastAsia="Calibri" w:hAnsi="Palatino Linotype" w:cs="Arial"/>
          <w:sz w:val="24"/>
          <w:szCs w:val="24"/>
          <w:lang w:val="es-ES"/>
        </w:rPr>
        <w:t xml:space="preserve"> entregar, vía </w:t>
      </w:r>
      <w:r w:rsidRPr="000D77A7">
        <w:rPr>
          <w:rFonts w:ascii="Palatino Linotype" w:hAnsi="Palatino Linotype" w:cs="Arial"/>
          <w:bCs/>
          <w:sz w:val="24"/>
          <w:szCs w:val="24"/>
          <w:lang w:val="es-ES"/>
        </w:rPr>
        <w:t>Sistema de Acceso a la Información Mexiquense</w:t>
      </w:r>
      <w:r w:rsidRPr="000D77A7">
        <w:rPr>
          <w:rFonts w:ascii="Palatino Linotype" w:hAnsi="Palatino Linotype" w:cs="Arial"/>
          <w:b/>
          <w:sz w:val="24"/>
          <w:szCs w:val="24"/>
          <w:lang w:val="es-ES"/>
        </w:rPr>
        <w:t xml:space="preserve"> (SAIMEX)</w:t>
      </w:r>
      <w:r w:rsidRPr="000D77A7">
        <w:rPr>
          <w:rFonts w:ascii="Palatino Linotype" w:hAnsi="Palatino Linotype" w:cs="Arial"/>
          <w:sz w:val="24"/>
          <w:szCs w:val="24"/>
          <w:lang w:val="es-ES"/>
        </w:rPr>
        <w:t xml:space="preserve">, </w:t>
      </w:r>
      <w:r w:rsidR="00256ED9">
        <w:rPr>
          <w:rFonts w:ascii="Palatino Linotype" w:hAnsi="Palatino Linotype" w:cs="Arial"/>
          <w:sz w:val="24"/>
          <w:szCs w:val="24"/>
          <w:lang w:val="es-ES"/>
        </w:rPr>
        <w:t>lo</w:t>
      </w:r>
      <w:r w:rsidRPr="000D77A7">
        <w:rPr>
          <w:rFonts w:ascii="Palatino Linotype" w:hAnsi="Palatino Linotype" w:cs="Arial"/>
          <w:sz w:val="24"/>
          <w:szCs w:val="24"/>
          <w:lang w:val="es-ES"/>
        </w:rPr>
        <w:t xml:space="preserve"> siguiente:</w:t>
      </w:r>
    </w:p>
    <w:p w14:paraId="7A063B2B" w14:textId="17E71D44" w:rsidR="00F16EA7" w:rsidRPr="00F16EA7" w:rsidRDefault="00256ED9" w:rsidP="00F16EA7">
      <w:pPr>
        <w:pStyle w:val="Prrafodelista"/>
        <w:numPr>
          <w:ilvl w:val="0"/>
          <w:numId w:val="16"/>
        </w:numPr>
        <w:spacing w:before="240" w:after="240" w:line="360" w:lineRule="auto"/>
        <w:ind w:left="426" w:right="49" w:hanging="567"/>
        <w:jc w:val="both"/>
        <w:rPr>
          <w:rFonts w:ascii="Palatino Linotype" w:hAnsi="Palatino Linotype" w:cs="Arial"/>
          <w:b/>
          <w:bCs/>
          <w:sz w:val="24"/>
        </w:rPr>
      </w:pPr>
      <w:r>
        <w:rPr>
          <w:rFonts w:ascii="Palatino Linotype" w:hAnsi="Palatino Linotype" w:cs="Arial"/>
          <w:b/>
          <w:sz w:val="24"/>
        </w:rPr>
        <w:t>Acuerdo emitido por el Comité de Transparencia mediante el cual se clasifique como</w:t>
      </w:r>
      <w:r w:rsidR="00CC6730">
        <w:rPr>
          <w:rFonts w:ascii="Palatino Linotype" w:hAnsi="Palatino Linotype" w:cs="Arial"/>
          <w:b/>
          <w:sz w:val="24"/>
        </w:rPr>
        <w:t xml:space="preserve"> información</w:t>
      </w:r>
      <w:r>
        <w:rPr>
          <w:rFonts w:ascii="Palatino Linotype" w:hAnsi="Palatino Linotype" w:cs="Arial"/>
          <w:b/>
          <w:sz w:val="24"/>
        </w:rPr>
        <w:t xml:space="preserve"> confidencial,</w:t>
      </w:r>
      <w:r w:rsidR="00CC6730">
        <w:rPr>
          <w:rFonts w:ascii="Palatino Linotype" w:hAnsi="Palatino Linotype" w:cs="Arial"/>
          <w:b/>
          <w:sz w:val="24"/>
        </w:rPr>
        <w:t xml:space="preserve"> e</w:t>
      </w:r>
      <w:r>
        <w:rPr>
          <w:rFonts w:ascii="Palatino Linotype" w:hAnsi="Palatino Linotype" w:cs="Arial"/>
          <w:b/>
          <w:sz w:val="24"/>
        </w:rPr>
        <w:t xml:space="preserve">l nombre de la víctima </w:t>
      </w:r>
      <w:r w:rsidR="00F16EA7">
        <w:rPr>
          <w:rFonts w:ascii="Palatino Linotype" w:hAnsi="Palatino Linotype" w:cs="Arial"/>
          <w:b/>
          <w:sz w:val="24"/>
        </w:rPr>
        <w:t>del hecho constitutivo de delito contenido en el sitio electrónico señalado en la solicitud; y</w:t>
      </w:r>
    </w:p>
    <w:p w14:paraId="47150C5F" w14:textId="77777777" w:rsidR="00F16EA7" w:rsidRPr="00FC1EEB" w:rsidRDefault="00F16EA7" w:rsidP="00F16EA7">
      <w:pPr>
        <w:pStyle w:val="Prrafodelista"/>
        <w:spacing w:before="240" w:after="240" w:line="360" w:lineRule="auto"/>
        <w:ind w:left="426" w:right="49"/>
        <w:jc w:val="both"/>
        <w:rPr>
          <w:rFonts w:ascii="Palatino Linotype" w:hAnsi="Palatino Linotype" w:cs="Arial"/>
          <w:b/>
          <w:bCs/>
          <w:sz w:val="24"/>
        </w:rPr>
      </w:pPr>
    </w:p>
    <w:p w14:paraId="0DB043BA" w14:textId="26D33DBB" w:rsidR="00E155D8" w:rsidRPr="00FC1EEB" w:rsidRDefault="00E155D8" w:rsidP="00F16EA7">
      <w:pPr>
        <w:pStyle w:val="Prrafodelista"/>
        <w:numPr>
          <w:ilvl w:val="0"/>
          <w:numId w:val="16"/>
        </w:numPr>
        <w:spacing w:before="240" w:after="240" w:line="360" w:lineRule="auto"/>
        <w:ind w:left="426" w:right="49" w:hanging="567"/>
        <w:jc w:val="both"/>
        <w:rPr>
          <w:rFonts w:ascii="Palatino Linotype" w:hAnsi="Palatino Linotype" w:cs="Arial"/>
          <w:b/>
          <w:bCs/>
          <w:sz w:val="24"/>
        </w:rPr>
      </w:pPr>
      <w:r w:rsidRPr="00FC1EEB">
        <w:rPr>
          <w:rFonts w:ascii="Palatino Linotype" w:hAnsi="Palatino Linotype" w:cs="Arial"/>
          <w:b/>
          <w:sz w:val="24"/>
        </w:rPr>
        <w:t>Acuerdo emitido por el Comité de Transparencia mediante el cu</w:t>
      </w:r>
      <w:r w:rsidR="00CC6730">
        <w:rPr>
          <w:rFonts w:ascii="Palatino Linotype" w:hAnsi="Palatino Linotype" w:cs="Arial"/>
          <w:b/>
          <w:sz w:val="24"/>
        </w:rPr>
        <w:t xml:space="preserve">al se clasifique como </w:t>
      </w:r>
      <w:r w:rsidR="004B63BD">
        <w:rPr>
          <w:rFonts w:ascii="Palatino Linotype" w:hAnsi="Palatino Linotype" w:cs="Arial"/>
          <w:b/>
          <w:sz w:val="24"/>
        </w:rPr>
        <w:t xml:space="preserve">información </w:t>
      </w:r>
      <w:r w:rsidR="00CC6730">
        <w:rPr>
          <w:rFonts w:ascii="Palatino Linotype" w:hAnsi="Palatino Linotype" w:cs="Arial"/>
          <w:b/>
          <w:sz w:val="24"/>
        </w:rPr>
        <w:t>reservada</w:t>
      </w:r>
      <w:r w:rsidR="004B63BD">
        <w:rPr>
          <w:rFonts w:ascii="Palatino Linotype" w:hAnsi="Palatino Linotype" w:cs="Arial"/>
          <w:b/>
          <w:sz w:val="24"/>
        </w:rPr>
        <w:t xml:space="preserve"> los</w:t>
      </w:r>
      <w:r w:rsidR="00256ED9">
        <w:rPr>
          <w:rFonts w:ascii="Palatino Linotype" w:hAnsi="Palatino Linotype" w:cs="Arial"/>
          <w:b/>
          <w:sz w:val="24"/>
        </w:rPr>
        <w:t xml:space="preserve"> nombres de los policías que </w:t>
      </w:r>
      <w:r w:rsidR="00F16EA7">
        <w:rPr>
          <w:rFonts w:ascii="Palatino Linotype" w:hAnsi="Palatino Linotype" w:cs="Arial"/>
          <w:b/>
          <w:sz w:val="24"/>
        </w:rPr>
        <w:t>actuaron como primeros respondientes</w:t>
      </w:r>
      <w:r w:rsidR="00256ED9">
        <w:rPr>
          <w:rFonts w:ascii="Palatino Linotype" w:hAnsi="Palatino Linotype" w:cs="Arial"/>
          <w:b/>
          <w:sz w:val="24"/>
        </w:rPr>
        <w:t xml:space="preserve"> </w:t>
      </w:r>
      <w:r w:rsidR="00F16EA7">
        <w:rPr>
          <w:rFonts w:ascii="Palatino Linotype" w:hAnsi="Palatino Linotype" w:cs="Arial"/>
          <w:b/>
          <w:sz w:val="24"/>
        </w:rPr>
        <w:t xml:space="preserve">del </w:t>
      </w:r>
      <w:r w:rsidR="00256ED9">
        <w:rPr>
          <w:rFonts w:ascii="Palatino Linotype" w:hAnsi="Palatino Linotype" w:cs="Arial"/>
          <w:b/>
          <w:sz w:val="24"/>
        </w:rPr>
        <w:t xml:space="preserve">hecho </w:t>
      </w:r>
      <w:r w:rsidR="00F16EA7">
        <w:rPr>
          <w:rFonts w:ascii="Palatino Linotype" w:hAnsi="Palatino Linotype" w:cs="Arial"/>
          <w:b/>
          <w:sz w:val="24"/>
        </w:rPr>
        <w:t>constitutivo de delito</w:t>
      </w:r>
      <w:r w:rsidR="00256ED9">
        <w:rPr>
          <w:rFonts w:ascii="Palatino Linotype" w:hAnsi="Palatino Linotype" w:cs="Arial"/>
          <w:b/>
          <w:sz w:val="24"/>
        </w:rPr>
        <w:t xml:space="preserve"> contenido en el sitio electrónico señalado en la solicitud.</w:t>
      </w:r>
    </w:p>
    <w:p w14:paraId="48791022"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r w:rsidRPr="000D77A7">
        <w:rPr>
          <w:rFonts w:ascii="Palatino Linotype" w:eastAsia="Palatino Linotype" w:hAnsi="Palatino Linotype" w:cs="Palatino Linotype"/>
          <w:b/>
          <w:sz w:val="24"/>
          <w:szCs w:val="24"/>
        </w:rPr>
        <w:t xml:space="preserve">TERCERO. Notifíquese </w:t>
      </w:r>
      <w:r w:rsidRPr="000D77A7">
        <w:rPr>
          <w:rFonts w:ascii="Palatino Linotype" w:eastAsia="Palatino Linotype" w:hAnsi="Palatino Linotype" w:cs="Palatino Linotype"/>
          <w:sz w:val="24"/>
          <w:szCs w:val="24"/>
        </w:rPr>
        <w:t xml:space="preserve">al Titular de la Unidad de Transparencia del </w:t>
      </w:r>
      <w:r w:rsidRPr="000D77A7">
        <w:rPr>
          <w:rFonts w:ascii="Palatino Linotype" w:eastAsia="Palatino Linotype" w:hAnsi="Palatino Linotype" w:cs="Palatino Linotype"/>
          <w:b/>
          <w:sz w:val="24"/>
          <w:szCs w:val="24"/>
        </w:rPr>
        <w:t>SUJETO OBLIGADO</w:t>
      </w:r>
      <w:r w:rsidRPr="000D77A7">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0D77A7">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676CB90C" w14:textId="77777777" w:rsidR="00806ABD" w:rsidRPr="000D77A7" w:rsidRDefault="00806ABD" w:rsidP="00806ABD">
      <w:pPr>
        <w:tabs>
          <w:tab w:val="left" w:pos="8080"/>
        </w:tabs>
        <w:spacing w:line="360" w:lineRule="auto"/>
        <w:ind w:right="49"/>
        <w:contextualSpacing/>
        <w:jc w:val="both"/>
        <w:rPr>
          <w:rFonts w:ascii="Palatino Linotype" w:hAnsi="Palatino Linotype"/>
          <w:color w:val="222222"/>
          <w:sz w:val="24"/>
          <w:szCs w:val="24"/>
          <w:shd w:val="clear" w:color="auto" w:fill="FFFFFF"/>
        </w:rPr>
      </w:pPr>
    </w:p>
    <w:p w14:paraId="5103F340" w14:textId="77777777" w:rsidR="00806ABD" w:rsidRPr="000D77A7" w:rsidRDefault="00806ABD" w:rsidP="00806ABD">
      <w:pPr>
        <w:spacing w:line="360" w:lineRule="auto"/>
        <w:jc w:val="both"/>
        <w:rPr>
          <w:rFonts w:ascii="Palatino Linotype" w:eastAsia="Calibri" w:hAnsi="Palatino Linotype" w:cs="Arial"/>
          <w:bCs/>
          <w:sz w:val="24"/>
          <w:szCs w:val="24"/>
        </w:rPr>
      </w:pPr>
      <w:r w:rsidRPr="000D77A7">
        <w:rPr>
          <w:rFonts w:ascii="Palatino Linotype" w:hAnsi="Palatino Linotype" w:cs="Arial"/>
          <w:b/>
          <w:sz w:val="24"/>
          <w:szCs w:val="24"/>
        </w:rPr>
        <w:t xml:space="preserve">CUARTO. </w:t>
      </w:r>
      <w:r w:rsidRPr="000D77A7">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F97BBB0" w14:textId="77777777" w:rsidR="00806ABD" w:rsidRPr="000D77A7" w:rsidRDefault="00806ABD" w:rsidP="00806ABD">
      <w:pPr>
        <w:tabs>
          <w:tab w:val="left" w:pos="8080"/>
        </w:tabs>
        <w:spacing w:line="360" w:lineRule="auto"/>
        <w:ind w:right="49"/>
        <w:contextualSpacing/>
        <w:jc w:val="both"/>
        <w:rPr>
          <w:rFonts w:ascii="Palatino Linotype" w:eastAsia="Palatino Linotype" w:hAnsi="Palatino Linotype" w:cs="Palatino Linotype"/>
          <w:b/>
          <w:sz w:val="24"/>
          <w:szCs w:val="24"/>
        </w:rPr>
      </w:pPr>
    </w:p>
    <w:p w14:paraId="1B0815D2" w14:textId="478D1DF3" w:rsidR="00806ABD" w:rsidRPr="000D77A7" w:rsidRDefault="00806ABD" w:rsidP="00806ABD">
      <w:pPr>
        <w:shd w:val="clear" w:color="auto" w:fill="FFFFFF"/>
        <w:spacing w:line="360" w:lineRule="auto"/>
        <w:jc w:val="both"/>
        <w:rPr>
          <w:rFonts w:ascii="Palatino Linotype" w:hAnsi="Palatino Linotype"/>
          <w:sz w:val="24"/>
          <w:szCs w:val="24"/>
        </w:rPr>
      </w:pPr>
      <w:r w:rsidRPr="000D77A7">
        <w:rPr>
          <w:rFonts w:ascii="Palatino Linotype" w:hAnsi="Palatino Linotype" w:cs="Arial"/>
          <w:b/>
          <w:sz w:val="24"/>
          <w:szCs w:val="24"/>
        </w:rPr>
        <w:t xml:space="preserve">QUINTO. </w:t>
      </w:r>
      <w:r w:rsidRPr="000D77A7">
        <w:rPr>
          <w:rFonts w:ascii="Palatino Linotype" w:hAnsi="Palatino Linotype"/>
          <w:b/>
          <w:bCs/>
          <w:color w:val="222222"/>
          <w:sz w:val="24"/>
          <w:szCs w:val="24"/>
          <w:lang w:val="es-ES"/>
        </w:rPr>
        <w:t xml:space="preserve">Notifíquese </w:t>
      </w:r>
      <w:r w:rsidRPr="000D77A7">
        <w:rPr>
          <w:rFonts w:ascii="Palatino Linotype" w:hAnsi="Palatino Linotype"/>
          <w:color w:val="222222"/>
          <w:sz w:val="24"/>
          <w:szCs w:val="24"/>
          <w:lang w:val="es-ES"/>
        </w:rPr>
        <w:t>a</w:t>
      </w:r>
      <w:r>
        <w:rPr>
          <w:rFonts w:ascii="Palatino Linotype" w:hAnsi="Palatino Linotype"/>
          <w:color w:val="222222"/>
          <w:sz w:val="24"/>
          <w:szCs w:val="24"/>
          <w:lang w:val="es-ES"/>
        </w:rPr>
        <w:t xml:space="preserve">l </w:t>
      </w:r>
      <w:r w:rsidRPr="00806ABD">
        <w:rPr>
          <w:rFonts w:ascii="Palatino Linotype" w:hAnsi="Palatino Linotype"/>
          <w:b/>
          <w:color w:val="222222"/>
          <w:sz w:val="24"/>
          <w:szCs w:val="24"/>
          <w:lang w:val="es-ES"/>
        </w:rPr>
        <w:t>RECURRENTE</w:t>
      </w:r>
      <w:r w:rsidRPr="000D77A7">
        <w:rPr>
          <w:rFonts w:ascii="Palatino Linotype" w:hAnsi="Palatino Linotype"/>
          <w:sz w:val="24"/>
          <w:szCs w:val="24"/>
        </w:rPr>
        <w:t xml:space="preserve"> la presente resolución.</w:t>
      </w:r>
    </w:p>
    <w:p w14:paraId="2039ECB0" w14:textId="77777777" w:rsidR="00806ABD" w:rsidRPr="000D77A7" w:rsidRDefault="00806ABD" w:rsidP="00806ABD">
      <w:pPr>
        <w:shd w:val="clear" w:color="auto" w:fill="FFFFFF"/>
        <w:spacing w:line="360" w:lineRule="auto"/>
        <w:jc w:val="both"/>
        <w:rPr>
          <w:rFonts w:ascii="Palatino Linotype" w:hAnsi="Palatino Linotype"/>
          <w:sz w:val="24"/>
          <w:szCs w:val="24"/>
        </w:rPr>
      </w:pPr>
    </w:p>
    <w:p w14:paraId="2B538C75" w14:textId="1A82B73C" w:rsidR="002A5191" w:rsidRPr="002A5191" w:rsidRDefault="00806ABD" w:rsidP="002A5191">
      <w:pPr>
        <w:spacing w:line="360" w:lineRule="auto"/>
        <w:jc w:val="both"/>
        <w:rPr>
          <w:rFonts w:ascii="Palatino Linotype" w:eastAsia="MS Mincho" w:hAnsi="Palatino Linotype"/>
          <w:sz w:val="24"/>
          <w:szCs w:val="24"/>
          <w:lang w:val="es-ES"/>
        </w:rPr>
      </w:pPr>
      <w:r w:rsidRPr="000D77A7">
        <w:rPr>
          <w:rFonts w:ascii="Palatino Linotype" w:eastAsia="MS Mincho" w:hAnsi="Palatino Linotype"/>
          <w:b/>
          <w:sz w:val="24"/>
          <w:szCs w:val="24"/>
        </w:rPr>
        <w:t>SEXTO.</w:t>
      </w:r>
      <w:r w:rsidRPr="000D77A7">
        <w:rPr>
          <w:rFonts w:ascii="Palatino Linotype" w:eastAsia="MS Mincho" w:hAnsi="Palatino Linotype"/>
          <w:sz w:val="24"/>
          <w:szCs w:val="24"/>
        </w:rPr>
        <w:t xml:space="preserve"> </w:t>
      </w:r>
      <w:r w:rsidRPr="002A5191">
        <w:rPr>
          <w:rFonts w:ascii="Palatino Linotype" w:eastAsia="MS Mincho" w:hAnsi="Palatino Linotype"/>
          <w:sz w:val="24"/>
          <w:szCs w:val="24"/>
          <w:lang w:val="es-ES"/>
        </w:rPr>
        <w:t xml:space="preserve">Se hace del conocimiento del </w:t>
      </w:r>
      <w:r w:rsidRPr="002A5191">
        <w:rPr>
          <w:rFonts w:ascii="Palatino Linotype" w:eastAsia="MS Mincho" w:hAnsi="Palatino Linotype"/>
          <w:b/>
          <w:sz w:val="24"/>
          <w:szCs w:val="24"/>
          <w:lang w:val="es-ES"/>
        </w:rPr>
        <w:t>RECURRENTE</w:t>
      </w:r>
      <w:r w:rsidRPr="002A5191">
        <w:rPr>
          <w:rFonts w:ascii="Palatino Linotype" w:eastAsia="MS Mincho" w:hAnsi="Palatino Linotype"/>
          <w:sz w:val="24"/>
          <w:szCs w:val="24"/>
          <w:lang w:val="es-ES"/>
        </w:rPr>
        <w:t xml:space="preserve"> que, de conformidad con lo establecido en el artículo 196 de la Ley de Transparencia y Acceso a la Información Pública del</w:t>
      </w:r>
      <w:r w:rsidR="002A5191" w:rsidRPr="002A5191">
        <w:rPr>
          <w:rFonts w:ascii="Palatino Linotype" w:eastAsia="MS Mincho" w:hAnsi="Palatino Linotype"/>
          <w:sz w:val="24"/>
          <w:szCs w:val="24"/>
          <w:lang w:val="es-ES"/>
        </w:rPr>
        <w:t xml:space="preserve"> Estado de México y Municipios </w:t>
      </w:r>
      <w:r w:rsidR="002A5191" w:rsidRPr="00FC1EEB">
        <w:rPr>
          <w:rFonts w:ascii="Palatino Linotype" w:eastAsia="MS Mincho" w:hAnsi="Palatino Linotype"/>
          <w:sz w:val="24"/>
          <w:szCs w:val="24"/>
          <w:lang w:val="es-ES"/>
        </w:rPr>
        <w:t xml:space="preserve">y </w:t>
      </w:r>
      <w:r w:rsidR="002A5191" w:rsidRPr="00FC1EEB">
        <w:rPr>
          <w:rFonts w:ascii="Palatino Linotype" w:hAnsi="Palatino Linotype"/>
          <w:color w:val="000000"/>
          <w:sz w:val="24"/>
          <w:szCs w:val="24"/>
          <w:shd w:val="clear" w:color="auto" w:fill="FFFFFF"/>
        </w:rPr>
        <w:t>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2A5191" w:rsidRPr="00FC1EEB">
        <w:rPr>
          <w:rFonts w:ascii="Palatino Linotype" w:hAnsi="Palatino Linotype"/>
          <w:color w:val="222222"/>
          <w:sz w:val="24"/>
          <w:szCs w:val="24"/>
          <w:shd w:val="clear" w:color="auto" w:fill="FFFFFF"/>
          <w:lang w:val="es-ES"/>
        </w:rPr>
        <w:t>, o bien, vía juicio de amparo en los términos de las leyes aplicables.</w:t>
      </w:r>
    </w:p>
    <w:p w14:paraId="335C0AA3" w14:textId="5AFC96D7" w:rsidR="005000AA" w:rsidRPr="00380BDB" w:rsidRDefault="005000AA" w:rsidP="005000AA">
      <w:pPr>
        <w:spacing w:before="240" w:after="240" w:line="360" w:lineRule="auto"/>
        <w:ind w:firstLine="1"/>
        <w:jc w:val="both"/>
        <w:rPr>
          <w:rFonts w:ascii="Palatino Linotype" w:hAnsi="Palatino Linotype"/>
          <w:sz w:val="24"/>
          <w:szCs w:val="24"/>
        </w:rPr>
      </w:pPr>
      <w:r w:rsidRPr="00380BDB">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E62560">
        <w:rPr>
          <w:rFonts w:ascii="Palatino Linotype" w:hAnsi="Palatino Linotype"/>
          <w:sz w:val="24"/>
          <w:szCs w:val="24"/>
        </w:rPr>
        <w:t>NEZ; LUIS GUSTAVO PARRA NORIEGA EMITIENDO VOTO PARTICULAR</w:t>
      </w:r>
      <w:r w:rsidRPr="00380BDB">
        <w:rPr>
          <w:rFonts w:ascii="Palatino Linotype" w:hAnsi="Palatino Linotype"/>
          <w:sz w:val="24"/>
          <w:szCs w:val="24"/>
        </w:rPr>
        <w:t xml:space="preserve"> Y GUADALUPE RAMÍREZ PEÑA EN LA </w:t>
      </w:r>
      <w:r w:rsidR="00CC6730" w:rsidRPr="00380BDB">
        <w:rPr>
          <w:rFonts w:ascii="Palatino Linotype" w:hAnsi="Palatino Linotype"/>
          <w:sz w:val="24"/>
          <w:szCs w:val="24"/>
        </w:rPr>
        <w:t>TRIGÉSIMA OCTAVA</w:t>
      </w:r>
      <w:r w:rsidR="00DF54E4" w:rsidRPr="00380BDB">
        <w:rPr>
          <w:rFonts w:ascii="Palatino Linotype" w:hAnsi="Palatino Linotype"/>
          <w:sz w:val="24"/>
          <w:szCs w:val="24"/>
        </w:rPr>
        <w:t xml:space="preserve"> </w:t>
      </w:r>
      <w:r w:rsidRPr="00380BDB">
        <w:rPr>
          <w:rFonts w:ascii="Palatino Linotype" w:hAnsi="Palatino Linotype"/>
          <w:sz w:val="24"/>
          <w:szCs w:val="24"/>
        </w:rPr>
        <w:t xml:space="preserve">SESIÓN ORDINARIA CELEBRADA </w:t>
      </w:r>
      <w:r w:rsidRPr="00380BDB">
        <w:rPr>
          <w:rFonts w:ascii="Palatino Linotype" w:hAnsi="Palatino Linotype"/>
          <w:sz w:val="24"/>
          <w:szCs w:val="24"/>
        </w:rPr>
        <w:lastRenderedPageBreak/>
        <w:t>EL VEINTI</w:t>
      </w:r>
      <w:r w:rsidR="00380BDB" w:rsidRPr="00380BDB">
        <w:rPr>
          <w:rFonts w:ascii="Palatino Linotype" w:hAnsi="Palatino Linotype"/>
          <w:sz w:val="24"/>
          <w:szCs w:val="24"/>
        </w:rPr>
        <w:t>SIETE</w:t>
      </w:r>
      <w:r w:rsidRPr="00380BDB">
        <w:rPr>
          <w:rFonts w:ascii="Palatino Linotype" w:hAnsi="Palatino Linotype"/>
          <w:sz w:val="24"/>
          <w:szCs w:val="24"/>
        </w:rPr>
        <w:t xml:space="preserve"> DE </w:t>
      </w:r>
      <w:r w:rsidR="00380BDB" w:rsidRPr="00380BDB">
        <w:rPr>
          <w:rFonts w:ascii="Palatino Linotype" w:hAnsi="Palatino Linotype"/>
          <w:sz w:val="24"/>
          <w:szCs w:val="24"/>
        </w:rPr>
        <w:t>OCTUBRE</w:t>
      </w:r>
      <w:r w:rsidRPr="00380BDB">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4"/>
      <w:headerReference w:type="default" r:id="rId15"/>
      <w:footerReference w:type="default" r:id="rId16"/>
      <w:headerReference w:type="first" r:id="rId17"/>
      <w:footerReference w:type="first" r:id="rId18"/>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AEAE9" w14:textId="77777777" w:rsidR="00DB7290" w:rsidRDefault="00DB7290">
      <w:r>
        <w:separator/>
      </w:r>
    </w:p>
  </w:endnote>
  <w:endnote w:type="continuationSeparator" w:id="0">
    <w:p w14:paraId="36B83ABE" w14:textId="77777777" w:rsidR="00DB7290" w:rsidRDefault="00DB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6F07D9" w:rsidRDefault="006F07D9">
            <w:pPr>
              <w:pStyle w:val="Piedepgina"/>
              <w:jc w:val="right"/>
            </w:pPr>
          </w:p>
          <w:p w14:paraId="1F7A191C" w14:textId="2A69F491" w:rsidR="006F07D9" w:rsidRDefault="006F07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65C0">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65C0">
              <w:rPr>
                <w:b/>
                <w:bCs/>
                <w:noProof/>
              </w:rPr>
              <w:t>65</w:t>
            </w:r>
            <w:r>
              <w:rPr>
                <w:b/>
                <w:bCs/>
                <w:sz w:val="24"/>
                <w:szCs w:val="24"/>
              </w:rPr>
              <w:fldChar w:fldCharType="end"/>
            </w:r>
          </w:p>
        </w:sdtContent>
      </w:sdt>
    </w:sdtContent>
  </w:sdt>
  <w:p w14:paraId="2A221972" w14:textId="77777777" w:rsidR="006F07D9" w:rsidRDefault="006F07D9">
    <w:pPr>
      <w:pStyle w:val="Piedepgina"/>
    </w:pPr>
  </w:p>
  <w:p w14:paraId="1D6FF208" w14:textId="77777777" w:rsidR="006F07D9" w:rsidRDefault="006F07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6F07D9" w:rsidRDefault="006F07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165C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165C0">
              <w:rPr>
                <w:b/>
                <w:bCs/>
                <w:noProof/>
              </w:rPr>
              <w:t>49</w:t>
            </w:r>
            <w:r>
              <w:rPr>
                <w:b/>
                <w:bCs/>
                <w:sz w:val="24"/>
                <w:szCs w:val="24"/>
              </w:rPr>
              <w:fldChar w:fldCharType="end"/>
            </w:r>
          </w:p>
        </w:sdtContent>
      </w:sdt>
    </w:sdtContent>
  </w:sdt>
  <w:p w14:paraId="2D12AEB2" w14:textId="77777777" w:rsidR="006F07D9" w:rsidRDefault="006F07D9">
    <w:pPr>
      <w:pStyle w:val="Piedepgina"/>
    </w:pPr>
  </w:p>
  <w:p w14:paraId="54227169" w14:textId="77777777" w:rsidR="006F07D9" w:rsidRDefault="006F07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4ACA0" w14:textId="77777777" w:rsidR="00DB7290" w:rsidRDefault="00DB7290">
      <w:r>
        <w:separator/>
      </w:r>
    </w:p>
  </w:footnote>
  <w:footnote w:type="continuationSeparator" w:id="0">
    <w:p w14:paraId="605EEF0E" w14:textId="77777777" w:rsidR="00DB7290" w:rsidRDefault="00DB7290">
      <w:r>
        <w:continuationSeparator/>
      </w:r>
    </w:p>
  </w:footnote>
  <w:footnote w:id="1">
    <w:p w14:paraId="073A01EE" w14:textId="77777777" w:rsidR="006F07D9" w:rsidRDefault="006F07D9" w:rsidP="00671495">
      <w:pPr>
        <w:pStyle w:val="Textonotapie"/>
      </w:pPr>
      <w:r>
        <w:rPr>
          <w:rStyle w:val="Refdenotaalpie"/>
        </w:rPr>
        <w:footnoteRef/>
      </w:r>
      <w:r>
        <w:t xml:space="preserve"> Convención Americana sobre Derechos Humanos. Artículo 13.</w:t>
      </w:r>
    </w:p>
  </w:footnote>
  <w:footnote w:id="2">
    <w:p w14:paraId="5768CA12" w14:textId="77777777" w:rsidR="006F07D9" w:rsidRDefault="006F07D9" w:rsidP="00671495">
      <w:pPr>
        <w:pStyle w:val="Textonotapie"/>
      </w:pPr>
      <w:r>
        <w:rPr>
          <w:rStyle w:val="Refdenotaalpie"/>
        </w:rPr>
        <w:footnoteRef/>
      </w:r>
      <w:r>
        <w:t xml:space="preserve"> Constitución Política de los Estados Unidos Mexicanos. Artículo sexto, sección A, Fracción I.</w:t>
      </w:r>
    </w:p>
  </w:footnote>
  <w:footnote w:id="3">
    <w:p w14:paraId="6A1D00BC" w14:textId="77777777" w:rsidR="006F07D9" w:rsidRDefault="006F07D9" w:rsidP="0067149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5B21139" w14:textId="77777777" w:rsidR="006F07D9" w:rsidRDefault="006F07D9" w:rsidP="00671495">
      <w:pPr>
        <w:pStyle w:val="Textonotapie"/>
      </w:pPr>
      <w:r>
        <w:rPr>
          <w:rStyle w:val="Refdenotaalpie"/>
        </w:rPr>
        <w:footnoteRef/>
      </w:r>
      <w:r>
        <w:t xml:space="preserve"> Ibídem. Párr. 87.</w:t>
      </w:r>
    </w:p>
  </w:footnote>
  <w:footnote w:id="5">
    <w:p w14:paraId="4B4BAB3F" w14:textId="77777777" w:rsidR="006F07D9" w:rsidRDefault="006F07D9" w:rsidP="0067149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14:paraId="30F56D53" w14:textId="77777777" w:rsidR="006F07D9" w:rsidRDefault="006F07D9" w:rsidP="00671495">
      <w:pPr>
        <w:pStyle w:val="Textonotapie"/>
      </w:pPr>
      <w:r>
        <w:rPr>
          <w:rStyle w:val="Refdenotaalpie"/>
        </w:rPr>
        <w:footnoteRef/>
      </w:r>
      <w:r>
        <w:t xml:space="preserve"> Artículo 150. Ley de Transparencia y Acceso a la Información Pública del Estado de México y Municipios.</w:t>
      </w:r>
    </w:p>
    <w:p w14:paraId="526FD009" w14:textId="77777777" w:rsidR="006F07D9" w:rsidRDefault="006F07D9" w:rsidP="00671495">
      <w:pPr>
        <w:pStyle w:val="Textonotapie"/>
      </w:pPr>
      <w:r>
        <w:t>Artículo 151. Ibídem.</w:t>
      </w:r>
    </w:p>
  </w:footnote>
  <w:footnote w:id="7">
    <w:p w14:paraId="268CBCAB" w14:textId="77777777" w:rsidR="006F07D9" w:rsidRDefault="006F07D9" w:rsidP="00671495">
      <w:pPr>
        <w:pStyle w:val="Textonotapie"/>
      </w:pPr>
      <w:r>
        <w:rPr>
          <w:rStyle w:val="Refdenotaalpie"/>
        </w:rPr>
        <w:footnoteRef/>
      </w:r>
      <w:r>
        <w:t xml:space="preserve"> Ley de Transparencia y Acceso a la Información Pública del Estado de México y Municipios. Artículo 9. …</w:t>
      </w:r>
    </w:p>
    <w:p w14:paraId="002EA5F8" w14:textId="77777777" w:rsidR="006F07D9" w:rsidRDefault="006F07D9" w:rsidP="00671495">
      <w:pPr>
        <w:pStyle w:val="Textonotapie"/>
      </w:pPr>
      <w:r>
        <w:t>II. Eficacia: Obligación del Instituto para tutelar, de manera efectiva, el derecho de acceso a la información;</w:t>
      </w:r>
    </w:p>
    <w:p w14:paraId="18A1D744" w14:textId="77777777" w:rsidR="006F07D9" w:rsidRDefault="006F07D9" w:rsidP="00671495">
      <w:pPr>
        <w:pStyle w:val="Textonotapie"/>
      </w:pPr>
      <w:r>
        <w:t xml:space="preserve">… </w:t>
      </w:r>
    </w:p>
  </w:footnote>
  <w:footnote w:id="8">
    <w:p w14:paraId="5DEDBDF4" w14:textId="77777777" w:rsidR="006F07D9" w:rsidRDefault="006F07D9" w:rsidP="006A7A6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49D14FB" w14:textId="77777777" w:rsidR="006F07D9" w:rsidRPr="00266430" w:rsidRDefault="006F07D9" w:rsidP="006A7A69">
      <w:pPr>
        <w:pStyle w:val="Textonotapie"/>
        <w:jc w:val="both"/>
      </w:pPr>
      <w:r w:rsidRPr="00266430">
        <w:t xml:space="preserve">1a./J. 2/2012 (9a.). Primera Sala. Décima Época. Semanario Judicial de la Federación y su Gaceta. Libro V, Febrero de 2012, Pág. 533.  </w:t>
      </w:r>
    </w:p>
  </w:footnote>
  <w:footnote w:id="9">
    <w:p w14:paraId="193AA4C6" w14:textId="77777777" w:rsidR="006F07D9" w:rsidRPr="00A870EF" w:rsidRDefault="006F07D9" w:rsidP="006A7A6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79CFED42" w14:textId="77777777" w:rsidR="006F07D9" w:rsidRPr="0037004E" w:rsidRDefault="006F07D9" w:rsidP="006A7A6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38CDF90F" w14:textId="77777777" w:rsidR="006F07D9" w:rsidRDefault="006F07D9" w:rsidP="006A7A69">
      <w:pPr>
        <w:pStyle w:val="Textonotapie"/>
      </w:pPr>
    </w:p>
  </w:footnote>
  <w:footnote w:id="11">
    <w:p w14:paraId="026F5C47" w14:textId="77777777" w:rsidR="006F07D9" w:rsidRDefault="006F07D9" w:rsidP="00062CA2">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33AFCB" w14:textId="77777777" w:rsidR="006F07D9" w:rsidRDefault="006F07D9" w:rsidP="00062CA2">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AEBA15E" w14:textId="77777777" w:rsidR="006F07D9" w:rsidRPr="001E1F95" w:rsidRDefault="006F07D9" w:rsidP="00062CA2">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14:paraId="2C9A5A79" w14:textId="77777777" w:rsidR="006F07D9" w:rsidRPr="00ED2A04" w:rsidRDefault="006F07D9" w:rsidP="00062CA2">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3">
    <w:p w14:paraId="388D9B8D" w14:textId="77777777" w:rsidR="006F07D9" w:rsidRPr="00ED2A04" w:rsidRDefault="006F07D9" w:rsidP="00062CA2">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4">
    <w:p w14:paraId="2B954C46" w14:textId="77777777" w:rsidR="006F07D9" w:rsidRPr="000406A4" w:rsidRDefault="006F07D9" w:rsidP="00062CA2">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5">
    <w:p w14:paraId="199BE5B6" w14:textId="77777777" w:rsidR="006F07D9" w:rsidRPr="000406A4" w:rsidRDefault="006F07D9" w:rsidP="00062CA2">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6">
    <w:p w14:paraId="0CC82726" w14:textId="77777777" w:rsidR="006F07D9" w:rsidRPr="000406A4" w:rsidRDefault="006F07D9" w:rsidP="00062CA2">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7">
    <w:p w14:paraId="7592A0D6" w14:textId="77777777" w:rsidR="006F07D9" w:rsidRPr="000406A4" w:rsidRDefault="006F07D9" w:rsidP="00062CA2">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18">
    <w:p w14:paraId="15312F40" w14:textId="77777777" w:rsidR="006F07D9" w:rsidRPr="000406A4" w:rsidRDefault="006F07D9" w:rsidP="00062CA2">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19">
    <w:p w14:paraId="1AEE6752" w14:textId="77777777" w:rsidR="006F07D9" w:rsidRPr="00042E67" w:rsidRDefault="006F07D9" w:rsidP="00062CA2">
      <w:pPr>
        <w:jc w:val="both"/>
        <w:rPr>
          <w:color w:val="000000" w:themeColor="text1"/>
          <w:lang w:eastAsia="es-ES_tradnl"/>
        </w:rPr>
      </w:pPr>
      <w:r>
        <w:rPr>
          <w:rStyle w:val="Refdenotaalpie"/>
        </w:rPr>
        <w:footnoteRef/>
      </w:r>
      <w:r>
        <w:t xml:space="preserve"> </w:t>
      </w:r>
      <w:r>
        <w:rPr>
          <w:lang w:val="es-ES"/>
        </w:rPr>
        <w:t>“</w:t>
      </w:r>
      <w:r w:rsidRPr="00042E67">
        <w:rPr>
          <w:color w:val="000000" w:themeColor="text1"/>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color w:val="000000" w:themeColor="text1"/>
          <w:lang w:eastAsia="es-ES_tradnl"/>
        </w:rPr>
        <w:t>Caso</w:t>
      </w:r>
      <w:r w:rsidRPr="00042E67">
        <w:rPr>
          <w:color w:val="000000" w:themeColor="text1"/>
          <w:lang w:eastAsia="es-ES_tradnl"/>
        </w:rPr>
        <w:t xml:space="preserve"> Gonzales Lluy y otros contra Ecuador. Excepciones preliminares, fondo, reparaciones y costas. Sentencia del 01 de septiembre de 2015. Párr. 256. </w:t>
      </w:r>
    </w:p>
  </w:footnote>
  <w:footnote w:id="20">
    <w:p w14:paraId="46FE69B0" w14:textId="77777777" w:rsidR="006F07D9" w:rsidRPr="00A4142C" w:rsidRDefault="006F07D9" w:rsidP="00062CA2">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21">
    <w:p w14:paraId="292967EB" w14:textId="77777777" w:rsidR="006F07D9" w:rsidRDefault="006F07D9" w:rsidP="00062CA2">
      <w:pPr>
        <w:pStyle w:val="Textonotapie"/>
      </w:pPr>
      <w:r>
        <w:rPr>
          <w:rStyle w:val="Refdenotaalpie"/>
        </w:rPr>
        <w:footnoteRef/>
      </w:r>
      <w:r>
        <w:t xml:space="preserve"> </w:t>
      </w:r>
      <w:hyperlink r:id="rId9" w:history="1">
        <w:r w:rsidRPr="00495724">
          <w:rPr>
            <w:rStyle w:val="Hipervnculo"/>
          </w:rPr>
          <w:t>https://www.dof.gob.mx/nota_detalle.php?codigo=5433280&amp;fecha=15/04/2016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6F07D9" w:rsidRDefault="00DB7290">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6F07D9" w:rsidRDefault="006F07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6F07D9" w14:paraId="6255E3A4" w14:textId="77777777" w:rsidTr="00814079">
      <w:trPr>
        <w:trHeight w:val="1435"/>
      </w:trPr>
      <w:tc>
        <w:tcPr>
          <w:tcW w:w="1843" w:type="dxa"/>
          <w:shd w:val="clear" w:color="auto" w:fill="auto"/>
        </w:tcPr>
        <w:p w14:paraId="3E05202F" w14:textId="4A7C9DF8" w:rsidR="006F07D9" w:rsidRDefault="006F07D9">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6F07D9" w:rsidRDefault="006F07D9"/>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6F07D9" w14:paraId="727F90BF" w14:textId="77777777" w:rsidTr="00483482">
            <w:trPr>
              <w:trHeight w:val="338"/>
            </w:trPr>
            <w:tc>
              <w:tcPr>
                <w:tcW w:w="2551" w:type="dxa"/>
              </w:tcPr>
              <w:p w14:paraId="23087CD5" w14:textId="77777777" w:rsidR="006F07D9" w:rsidRDefault="006F07D9">
                <w:pPr>
                  <w:tabs>
                    <w:tab w:val="right" w:pos="8838"/>
                  </w:tabs>
                  <w:ind w:right="-105"/>
                  <w:rPr>
                    <w:rFonts w:ascii="Palatino Linotype" w:eastAsia="Calibri" w:hAnsi="Palatino Linotype" w:cs="Tahoma"/>
                    <w:b/>
                    <w:sz w:val="22"/>
                    <w:szCs w:val="22"/>
                    <w:lang w:eastAsia="en-US"/>
                  </w:rPr>
                </w:pPr>
              </w:p>
              <w:p w14:paraId="410A3741" w14:textId="535C9D39" w:rsidR="006F07D9" w:rsidRDefault="006F07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6F07D9" w:rsidRDefault="006F07D9" w:rsidP="00427B6E">
                <w:pPr>
                  <w:tabs>
                    <w:tab w:val="right" w:pos="8838"/>
                  </w:tabs>
                  <w:ind w:right="-105" w:hanging="101"/>
                  <w:jc w:val="both"/>
                  <w:rPr>
                    <w:rFonts w:ascii="Palatino Linotype" w:eastAsia="Calibri" w:hAnsi="Palatino Linotype" w:cs="Tahoma"/>
                    <w:bCs/>
                    <w:sz w:val="22"/>
                    <w:szCs w:val="22"/>
                    <w:lang w:eastAsia="en-US"/>
                  </w:rPr>
                </w:pPr>
              </w:p>
              <w:p w14:paraId="3FF69A05" w14:textId="125B9A4B" w:rsidR="006F07D9" w:rsidRDefault="006F07D9" w:rsidP="00BE6E79">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04438/INFOEM/IP/RR/2021 </w:t>
                </w:r>
              </w:p>
            </w:tc>
          </w:tr>
          <w:tr w:rsidR="006F07D9" w14:paraId="1389436A" w14:textId="4EB800AC" w:rsidTr="00483482">
            <w:trPr>
              <w:trHeight w:val="283"/>
            </w:trPr>
            <w:tc>
              <w:tcPr>
                <w:tcW w:w="2551" w:type="dxa"/>
              </w:tcPr>
              <w:p w14:paraId="22E0F4E9" w14:textId="77777777" w:rsidR="006F07D9" w:rsidRDefault="006F07D9">
                <w:pPr>
                  <w:tabs>
                    <w:tab w:val="right" w:pos="8838"/>
                  </w:tabs>
                  <w:ind w:right="-105"/>
                  <w:rPr>
                    <w:rFonts w:ascii="Palatino Linotype" w:eastAsia="Calibri" w:hAnsi="Palatino Linotype" w:cs="Tahoma"/>
                    <w:b/>
                    <w:sz w:val="22"/>
                    <w:szCs w:val="22"/>
                    <w:lang w:eastAsia="en-US"/>
                  </w:rPr>
                </w:pPr>
                <w:bookmarkStart w:id="61" w:name="_Hlk33010189"/>
                <w:r>
                  <w:rPr>
                    <w:rFonts w:ascii="Palatino Linotype" w:eastAsia="Calibri" w:hAnsi="Palatino Linotype" w:cs="Tahoma"/>
                    <w:b/>
                    <w:sz w:val="22"/>
                    <w:szCs w:val="22"/>
                    <w:lang w:eastAsia="en-US"/>
                  </w:rPr>
                  <w:t>Sujeto Obligado:</w:t>
                </w:r>
              </w:p>
            </w:tc>
            <w:tc>
              <w:tcPr>
                <w:tcW w:w="4544" w:type="dxa"/>
              </w:tcPr>
              <w:p w14:paraId="2B205C7F" w14:textId="4DEA72CD" w:rsidR="006F07D9" w:rsidRPr="00A8015B" w:rsidRDefault="006F07D9" w:rsidP="00806ABD">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Ayuntamiento de Valle de Chalco Solidaridad</w:t>
                </w:r>
              </w:p>
            </w:tc>
          </w:tr>
          <w:bookmarkEnd w:id="61"/>
          <w:tr w:rsidR="006F07D9" w14:paraId="28CCE4E5" w14:textId="77777777" w:rsidTr="00483482">
            <w:trPr>
              <w:trHeight w:val="283"/>
            </w:trPr>
            <w:tc>
              <w:tcPr>
                <w:tcW w:w="2551" w:type="dxa"/>
              </w:tcPr>
              <w:p w14:paraId="13EBF3BB" w14:textId="77777777" w:rsidR="006F07D9" w:rsidRDefault="006F07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544" w:type="dxa"/>
              </w:tcPr>
              <w:p w14:paraId="5DF20594" w14:textId="1A6CDEA4" w:rsidR="006F07D9" w:rsidRDefault="006F07D9"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6F07D9" w:rsidRDefault="006F07D9">
          <w:pPr>
            <w:tabs>
              <w:tab w:val="right" w:pos="8838"/>
            </w:tabs>
            <w:ind w:left="-28"/>
            <w:jc w:val="both"/>
            <w:rPr>
              <w:rFonts w:ascii="Arial" w:eastAsia="Calibri" w:hAnsi="Arial" w:cs="Arial"/>
              <w:b/>
              <w:sz w:val="22"/>
              <w:szCs w:val="22"/>
              <w:lang w:eastAsia="en-US"/>
            </w:rPr>
          </w:pPr>
        </w:p>
      </w:tc>
    </w:tr>
  </w:tbl>
  <w:p w14:paraId="07EF2D29" w14:textId="1620A8B4" w:rsidR="006F07D9" w:rsidRDefault="00DB7290"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6F07D9" w:rsidRDefault="006F07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6F07D9" w14:paraId="61517A1D" w14:textId="77777777" w:rsidTr="003A6126">
      <w:trPr>
        <w:trHeight w:val="1435"/>
      </w:trPr>
      <w:tc>
        <w:tcPr>
          <w:tcW w:w="1560" w:type="dxa"/>
          <w:shd w:val="clear" w:color="auto" w:fill="auto"/>
        </w:tcPr>
        <w:p w14:paraId="4B74E846" w14:textId="1E0D62B9" w:rsidR="006F07D9" w:rsidRDefault="006F07D9">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6F07D9" w14:paraId="7F59E1EF" w14:textId="77777777" w:rsidTr="00483482">
            <w:trPr>
              <w:trHeight w:val="144"/>
            </w:trPr>
            <w:tc>
              <w:tcPr>
                <w:tcW w:w="2444" w:type="dxa"/>
              </w:tcPr>
              <w:p w14:paraId="5EFF942E" w14:textId="77777777" w:rsidR="006F07D9" w:rsidRDefault="006F07D9" w:rsidP="000D485D">
                <w:pPr>
                  <w:tabs>
                    <w:tab w:val="right" w:pos="8838"/>
                  </w:tabs>
                  <w:ind w:left="-74" w:right="-105"/>
                  <w:rPr>
                    <w:rFonts w:ascii="Palatino Linotype" w:eastAsia="Calibri" w:hAnsi="Palatino Linotype" w:cs="Tahoma"/>
                    <w:b/>
                    <w:sz w:val="22"/>
                    <w:szCs w:val="22"/>
                    <w:lang w:eastAsia="en-US"/>
                  </w:rPr>
                </w:pPr>
                <w:bookmarkStart w:id="62" w:name="_Hlk12526980"/>
                <w:r>
                  <w:rPr>
                    <w:rFonts w:ascii="Palatino Linotype" w:eastAsia="Calibri" w:hAnsi="Palatino Linotype" w:cs="Tahoma"/>
                    <w:b/>
                    <w:sz w:val="22"/>
                    <w:szCs w:val="22"/>
                    <w:lang w:eastAsia="en-US"/>
                  </w:rPr>
                  <w:t>Recurso de Revisión:</w:t>
                </w:r>
              </w:p>
            </w:tc>
            <w:tc>
              <w:tcPr>
                <w:tcW w:w="4646" w:type="dxa"/>
              </w:tcPr>
              <w:p w14:paraId="0DE47EE2" w14:textId="677CAC1B" w:rsidR="006F07D9" w:rsidRDefault="006F07D9" w:rsidP="00BE6E79">
                <w:pPr>
                  <w:tabs>
                    <w:tab w:val="right" w:pos="8838"/>
                  </w:tabs>
                  <w:ind w:left="-3"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04438/INFOEM/IP/RR/2021</w:t>
                </w:r>
              </w:p>
            </w:tc>
            <w:tc>
              <w:tcPr>
                <w:tcW w:w="3402" w:type="dxa"/>
              </w:tcPr>
              <w:p w14:paraId="11E4533C" w14:textId="3B21362A" w:rsidR="006F07D9" w:rsidRDefault="006F07D9">
                <w:pPr>
                  <w:tabs>
                    <w:tab w:val="right" w:pos="8838"/>
                  </w:tabs>
                  <w:ind w:left="-74" w:right="-105"/>
                  <w:jc w:val="both"/>
                  <w:rPr>
                    <w:rFonts w:ascii="Palatino Linotype" w:eastAsia="Calibri" w:hAnsi="Palatino Linotype" w:cs="Tahoma"/>
                    <w:bCs/>
                    <w:sz w:val="22"/>
                    <w:szCs w:val="22"/>
                    <w:lang w:eastAsia="en-US"/>
                  </w:rPr>
                </w:pPr>
              </w:p>
            </w:tc>
          </w:tr>
          <w:tr w:rsidR="006F07D9" w14:paraId="3FC4FA7D" w14:textId="77777777" w:rsidTr="00483482">
            <w:trPr>
              <w:trHeight w:val="144"/>
            </w:trPr>
            <w:tc>
              <w:tcPr>
                <w:tcW w:w="2444" w:type="dxa"/>
              </w:tcPr>
              <w:p w14:paraId="363D966B" w14:textId="77777777" w:rsidR="006F07D9" w:rsidRDefault="006F07D9" w:rsidP="000D485D">
                <w:pPr>
                  <w:tabs>
                    <w:tab w:val="right" w:pos="8838"/>
                  </w:tabs>
                  <w:ind w:left="-74" w:right="-105"/>
                  <w:rPr>
                    <w:rFonts w:ascii="Palatino Linotype" w:eastAsia="Calibri" w:hAnsi="Palatino Linotype" w:cs="Tahoma"/>
                    <w:b/>
                    <w:sz w:val="22"/>
                    <w:szCs w:val="22"/>
                    <w:lang w:eastAsia="en-US"/>
                  </w:rPr>
                </w:pPr>
                <w:bookmarkStart w:id="63" w:name="_Hlk10641523"/>
                <w:bookmarkEnd w:id="62"/>
                <w:r>
                  <w:rPr>
                    <w:rFonts w:ascii="Palatino Linotype" w:eastAsia="Calibri" w:hAnsi="Palatino Linotype" w:cs="Tahoma"/>
                    <w:b/>
                    <w:sz w:val="22"/>
                    <w:szCs w:val="22"/>
                    <w:lang w:eastAsia="en-US"/>
                  </w:rPr>
                  <w:t>Recurrente:</w:t>
                </w:r>
              </w:p>
            </w:tc>
            <w:tc>
              <w:tcPr>
                <w:tcW w:w="4646" w:type="dxa"/>
              </w:tcPr>
              <w:p w14:paraId="73C065CD" w14:textId="7DC9FE3F" w:rsidR="006F07D9" w:rsidRPr="000A7E5D" w:rsidRDefault="006F07D9"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6F07D9" w:rsidRDefault="006F07D9" w:rsidP="003037E1">
                <w:pPr>
                  <w:tabs>
                    <w:tab w:val="left" w:pos="3122"/>
                    <w:tab w:val="right" w:pos="8838"/>
                  </w:tabs>
                  <w:ind w:right="-105"/>
                  <w:jc w:val="both"/>
                  <w:rPr>
                    <w:rFonts w:ascii="Palatino Linotype" w:eastAsia="Calibri" w:hAnsi="Palatino Linotype" w:cs="Tahoma"/>
                    <w:sz w:val="22"/>
                    <w:szCs w:val="22"/>
                    <w:lang w:eastAsia="en-US"/>
                  </w:rPr>
                </w:pPr>
              </w:p>
            </w:tc>
          </w:tr>
          <w:bookmarkEnd w:id="63"/>
          <w:tr w:rsidR="006F07D9" w14:paraId="4D832A43" w14:textId="77777777" w:rsidTr="00483482">
            <w:trPr>
              <w:trHeight w:val="283"/>
            </w:trPr>
            <w:tc>
              <w:tcPr>
                <w:tcW w:w="2444" w:type="dxa"/>
              </w:tcPr>
              <w:p w14:paraId="02CA5CB0" w14:textId="77777777" w:rsidR="006F07D9" w:rsidRDefault="006F07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5E353602" w:rsidR="006F07D9" w:rsidRDefault="006F07D9" w:rsidP="00DB2180">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Valle de Chalco Solidaridad</w:t>
                </w:r>
              </w:p>
            </w:tc>
            <w:tc>
              <w:tcPr>
                <w:tcW w:w="3402" w:type="dxa"/>
              </w:tcPr>
              <w:p w14:paraId="00F18B8C" w14:textId="77777777" w:rsidR="006F07D9" w:rsidRDefault="006F07D9">
                <w:pPr>
                  <w:tabs>
                    <w:tab w:val="left" w:pos="2834"/>
                    <w:tab w:val="right" w:pos="8838"/>
                  </w:tabs>
                  <w:ind w:left="-74" w:right="-105"/>
                  <w:jc w:val="both"/>
                  <w:rPr>
                    <w:rFonts w:ascii="Palatino Linotype" w:eastAsia="Calibri" w:hAnsi="Palatino Linotype" w:cs="Tahoma"/>
                    <w:sz w:val="22"/>
                    <w:szCs w:val="22"/>
                    <w:lang w:eastAsia="en-US"/>
                  </w:rPr>
                </w:pPr>
              </w:p>
            </w:tc>
          </w:tr>
          <w:tr w:rsidR="006F07D9" w14:paraId="7BC74D7A" w14:textId="77777777" w:rsidTr="00483482">
            <w:trPr>
              <w:trHeight w:val="283"/>
            </w:trPr>
            <w:tc>
              <w:tcPr>
                <w:tcW w:w="2444" w:type="dxa"/>
              </w:tcPr>
              <w:p w14:paraId="3BF93338" w14:textId="77777777" w:rsidR="006F07D9" w:rsidRDefault="006F07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Comisionado Ponente:</w:t>
                </w:r>
              </w:p>
            </w:tc>
            <w:tc>
              <w:tcPr>
                <w:tcW w:w="4646" w:type="dxa"/>
              </w:tcPr>
              <w:p w14:paraId="3589422E" w14:textId="64278750" w:rsidR="006F07D9" w:rsidRPr="003037E1" w:rsidRDefault="006F07D9"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6F07D9" w:rsidRDefault="006F07D9">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6F07D9" w:rsidRDefault="006F07D9">
          <w:pPr>
            <w:tabs>
              <w:tab w:val="right" w:pos="8838"/>
            </w:tabs>
            <w:ind w:left="-28"/>
            <w:jc w:val="both"/>
            <w:rPr>
              <w:rFonts w:ascii="Arial" w:eastAsia="Calibri" w:hAnsi="Arial" w:cs="Arial"/>
              <w:b/>
              <w:sz w:val="22"/>
              <w:szCs w:val="22"/>
              <w:lang w:eastAsia="en-US"/>
            </w:rPr>
          </w:pPr>
        </w:p>
      </w:tc>
    </w:tr>
  </w:tbl>
  <w:p w14:paraId="5F654A99" w14:textId="6CB7D4AE" w:rsidR="006F07D9" w:rsidRDefault="00DB7290"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7">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8"/>
  </w:num>
  <w:num w:numId="7">
    <w:abstractNumId w:val="1"/>
  </w:num>
  <w:num w:numId="8">
    <w:abstractNumId w:val="9"/>
  </w:num>
  <w:num w:numId="9">
    <w:abstractNumId w:val="19"/>
  </w:num>
  <w:num w:numId="10">
    <w:abstractNumId w:val="30"/>
  </w:num>
  <w:num w:numId="11">
    <w:abstractNumId w:val="28"/>
  </w:num>
  <w:num w:numId="12">
    <w:abstractNumId w:val="22"/>
  </w:num>
  <w:num w:numId="13">
    <w:abstractNumId w:val="10"/>
  </w:num>
  <w:num w:numId="14">
    <w:abstractNumId w:val="4"/>
  </w:num>
  <w:num w:numId="15">
    <w:abstractNumId w:val="18"/>
  </w:num>
  <w:num w:numId="16">
    <w:abstractNumId w:val="17"/>
  </w:num>
  <w:num w:numId="17">
    <w:abstractNumId w:val="5"/>
  </w:num>
  <w:num w:numId="18">
    <w:abstractNumId w:val="16"/>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4"/>
  </w:num>
  <w:num w:numId="23">
    <w:abstractNumId w:val="29"/>
  </w:num>
  <w:num w:numId="24">
    <w:abstractNumId w:val="15"/>
  </w:num>
  <w:num w:numId="25">
    <w:abstractNumId w:val="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0"/>
  </w:num>
  <w:num w:numId="29">
    <w:abstractNumId w:val="7"/>
  </w:num>
  <w:num w:numId="30">
    <w:abstractNumId w:val="11"/>
  </w:num>
  <w:num w:numId="31">
    <w:abstractNumId w:val="25"/>
  </w:num>
  <w:num w:numId="32">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485A"/>
    <w:rsid w:val="000048DD"/>
    <w:rsid w:val="00006543"/>
    <w:rsid w:val="00006BB1"/>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76AB"/>
    <w:rsid w:val="000F7A45"/>
    <w:rsid w:val="000F7FD8"/>
    <w:rsid w:val="00100BAC"/>
    <w:rsid w:val="001011E4"/>
    <w:rsid w:val="001017B7"/>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89B"/>
    <w:rsid w:val="00194CDF"/>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934"/>
    <w:rsid w:val="00205F0B"/>
    <w:rsid w:val="002060B4"/>
    <w:rsid w:val="0020681A"/>
    <w:rsid w:val="00207736"/>
    <w:rsid w:val="00207CD6"/>
    <w:rsid w:val="00210A50"/>
    <w:rsid w:val="002122CB"/>
    <w:rsid w:val="00212460"/>
    <w:rsid w:val="002127CA"/>
    <w:rsid w:val="002127E0"/>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A0B"/>
    <w:rsid w:val="003014A1"/>
    <w:rsid w:val="00301F46"/>
    <w:rsid w:val="003026E8"/>
    <w:rsid w:val="003037E1"/>
    <w:rsid w:val="00303CAD"/>
    <w:rsid w:val="00303CD6"/>
    <w:rsid w:val="00303E71"/>
    <w:rsid w:val="00304E7C"/>
    <w:rsid w:val="00306418"/>
    <w:rsid w:val="003074B3"/>
    <w:rsid w:val="003100F3"/>
    <w:rsid w:val="003107D9"/>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30AC"/>
    <w:rsid w:val="005130CC"/>
    <w:rsid w:val="005165C0"/>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F7D"/>
    <w:rsid w:val="00646100"/>
    <w:rsid w:val="006476CA"/>
    <w:rsid w:val="006544EC"/>
    <w:rsid w:val="006552AE"/>
    <w:rsid w:val="00655773"/>
    <w:rsid w:val="00656364"/>
    <w:rsid w:val="006563CA"/>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6B7B"/>
    <w:rsid w:val="006B72E4"/>
    <w:rsid w:val="006B7584"/>
    <w:rsid w:val="006B77E2"/>
    <w:rsid w:val="006C10C0"/>
    <w:rsid w:val="006C1136"/>
    <w:rsid w:val="006C1B1D"/>
    <w:rsid w:val="006C32BB"/>
    <w:rsid w:val="006C3747"/>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508A0"/>
    <w:rsid w:val="00953EDC"/>
    <w:rsid w:val="00953FF0"/>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2035C"/>
    <w:rsid w:val="00A2054B"/>
    <w:rsid w:val="00A228D6"/>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52AC"/>
    <w:rsid w:val="00A854FF"/>
    <w:rsid w:val="00A86DF4"/>
    <w:rsid w:val="00A86E30"/>
    <w:rsid w:val="00A87035"/>
    <w:rsid w:val="00A8745D"/>
    <w:rsid w:val="00A90573"/>
    <w:rsid w:val="00A908D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2079"/>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9A0"/>
    <w:rsid w:val="00BB515F"/>
    <w:rsid w:val="00BB532B"/>
    <w:rsid w:val="00BB545D"/>
    <w:rsid w:val="00BC0924"/>
    <w:rsid w:val="00BC1FA5"/>
    <w:rsid w:val="00BC2592"/>
    <w:rsid w:val="00BC2C0C"/>
    <w:rsid w:val="00BC4DAC"/>
    <w:rsid w:val="00BC732A"/>
    <w:rsid w:val="00BC758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730"/>
    <w:rsid w:val="00CC69E7"/>
    <w:rsid w:val="00CC6C08"/>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731"/>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7BE"/>
    <w:rsid w:val="00DA5DCA"/>
    <w:rsid w:val="00DA7095"/>
    <w:rsid w:val="00DA70B4"/>
    <w:rsid w:val="00DA7BA0"/>
    <w:rsid w:val="00DB2180"/>
    <w:rsid w:val="00DB42F5"/>
    <w:rsid w:val="00DB469A"/>
    <w:rsid w:val="00DB4B8A"/>
    <w:rsid w:val="00DB52C3"/>
    <w:rsid w:val="00DB5454"/>
    <w:rsid w:val="00DB5DA3"/>
    <w:rsid w:val="00DB7290"/>
    <w:rsid w:val="00DB7E5F"/>
    <w:rsid w:val="00DC10B0"/>
    <w:rsid w:val="00DC1246"/>
    <w:rsid w:val="00DC1594"/>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0A8"/>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F9B"/>
    <w:rsid w:val="00E533BD"/>
    <w:rsid w:val="00E53706"/>
    <w:rsid w:val="00E56FE1"/>
    <w:rsid w:val="00E57CE2"/>
    <w:rsid w:val="00E60E5A"/>
    <w:rsid w:val="00E617BD"/>
    <w:rsid w:val="00E61CA8"/>
    <w:rsid w:val="00E61E05"/>
    <w:rsid w:val="00E62560"/>
    <w:rsid w:val="00E64BD9"/>
    <w:rsid w:val="00E6519C"/>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le.rae.es/?id=FdI00Or"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 Id="rId9"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4BA09B-080D-424A-A165-50EC6E87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12793</Words>
  <Characters>70364</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2021-08-18T17:12:00Z</cp:lastPrinted>
  <dcterms:created xsi:type="dcterms:W3CDTF">2021-10-29T19:26:00Z</dcterms:created>
  <dcterms:modified xsi:type="dcterms:W3CDTF">2021-10-29T19:26:00Z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