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77777777"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880F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90AFC" w:rsidRPr="00880FBC">
        <w:rPr>
          <w:rFonts w:ascii="Palatino Linotype" w:eastAsia="Times New Roman" w:hAnsi="Palatino Linotype" w:cs="Arial"/>
          <w:color w:val="000000"/>
          <w:sz w:val="24"/>
          <w:szCs w:val="24"/>
          <w:lang w:eastAsia="es-MX"/>
        </w:rPr>
        <w:t>ocho</w:t>
      </w:r>
      <w:r w:rsidR="00675390" w:rsidRPr="00880FBC">
        <w:rPr>
          <w:rFonts w:ascii="Palatino Linotype" w:eastAsia="Times New Roman" w:hAnsi="Palatino Linotype" w:cs="Arial"/>
          <w:color w:val="000000"/>
          <w:sz w:val="24"/>
          <w:szCs w:val="24"/>
          <w:lang w:eastAsia="es-MX"/>
        </w:rPr>
        <w:t xml:space="preserve"> de septiembre de dos mil veintiuno.</w:t>
      </w:r>
      <w:r w:rsidR="00675390">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1DFD70C" w14:textId="08E67E1D" w:rsidR="000C666C" w:rsidRPr="000C666C" w:rsidRDefault="00B433C9" w:rsidP="00B433C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675390">
        <w:rPr>
          <w:rFonts w:ascii="Palatino Linotype" w:hAnsi="Palatino Linotype" w:cs="Arial"/>
          <w:b/>
          <w:bCs/>
          <w:sz w:val="24"/>
          <w:lang w:eastAsia="es-MX"/>
        </w:rPr>
        <w:t>037</w:t>
      </w:r>
      <w:r w:rsidR="000C666C">
        <w:rPr>
          <w:rFonts w:ascii="Palatino Linotype" w:hAnsi="Palatino Linotype" w:cs="Arial"/>
          <w:b/>
          <w:bCs/>
          <w:sz w:val="24"/>
          <w:lang w:eastAsia="es-MX"/>
        </w:rPr>
        <w:t>2</w:t>
      </w:r>
      <w:r w:rsidR="00675390">
        <w:rPr>
          <w:rFonts w:ascii="Palatino Linotype" w:hAnsi="Palatino Linotype" w:cs="Arial"/>
          <w:b/>
          <w:bCs/>
          <w:sz w:val="24"/>
          <w:lang w:eastAsia="es-MX"/>
        </w:rPr>
        <w:t>0/INFOEM/IP/RR/2021</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0C666C">
        <w:rPr>
          <w:rFonts w:ascii="Palatino Linotype" w:hAnsi="Palatino Linotype" w:cs="Arial"/>
          <w:sz w:val="24"/>
          <w:szCs w:val="24"/>
        </w:rPr>
        <w:t xml:space="preserve">el </w:t>
      </w:r>
      <w:r w:rsidR="000C666C">
        <w:rPr>
          <w:rFonts w:ascii="Palatino Linotype" w:hAnsi="Palatino Linotype" w:cs="Arial"/>
          <w:b/>
          <w:bCs/>
          <w:sz w:val="24"/>
          <w:szCs w:val="24"/>
        </w:rPr>
        <w:t xml:space="preserve">C. </w:t>
      </w:r>
      <w:r w:rsidR="000F236C">
        <w:rPr>
          <w:rFonts w:ascii="Palatino Linotype" w:hAnsi="Palatino Linotype" w:cs="Arial"/>
          <w:b/>
          <w:bCs/>
          <w:sz w:val="24"/>
          <w:szCs w:val="24"/>
        </w:rPr>
        <w:t>XXXXXXXXXXXXXXX</w:t>
      </w:r>
      <w:r w:rsidR="000C666C">
        <w:rPr>
          <w:rFonts w:ascii="Palatino Linotype" w:hAnsi="Palatino Linotype" w:cs="Arial"/>
          <w:b/>
          <w:bCs/>
          <w:sz w:val="24"/>
          <w:szCs w:val="24"/>
        </w:rPr>
        <w:t xml:space="preserve">, </w:t>
      </w:r>
      <w:r w:rsidR="000C666C">
        <w:rPr>
          <w:rFonts w:ascii="Palatino Linotype" w:hAnsi="Palatino Linotype" w:cs="Arial"/>
          <w:sz w:val="24"/>
          <w:szCs w:val="24"/>
        </w:rPr>
        <w:t xml:space="preserve">en lo sucesivo </w:t>
      </w:r>
      <w:r w:rsidR="000C666C">
        <w:rPr>
          <w:rFonts w:ascii="Palatino Linotype" w:hAnsi="Palatino Linotype" w:cs="Arial"/>
          <w:b/>
          <w:bCs/>
          <w:sz w:val="24"/>
          <w:szCs w:val="24"/>
        </w:rPr>
        <w:t xml:space="preserve">El Recurrente, </w:t>
      </w:r>
      <w:r w:rsidR="000C666C">
        <w:rPr>
          <w:rFonts w:ascii="Palatino Linotype" w:hAnsi="Palatino Linotype" w:cs="Arial"/>
          <w:sz w:val="24"/>
          <w:szCs w:val="24"/>
        </w:rPr>
        <w:t xml:space="preserve">en contra de la respuesta de la </w:t>
      </w:r>
      <w:r w:rsidR="000C666C">
        <w:rPr>
          <w:rFonts w:ascii="Palatino Linotype" w:hAnsi="Palatino Linotype" w:cs="Arial"/>
          <w:b/>
          <w:bCs/>
          <w:sz w:val="24"/>
          <w:szCs w:val="24"/>
        </w:rPr>
        <w:t xml:space="preserve">Universidad Autónoma del Estado de México, </w:t>
      </w:r>
      <w:r w:rsidR="000C666C">
        <w:rPr>
          <w:rFonts w:ascii="Palatino Linotype" w:hAnsi="Palatino Linotype" w:cs="Arial"/>
          <w:sz w:val="24"/>
          <w:szCs w:val="24"/>
        </w:rPr>
        <w:t xml:space="preserve">en lo subsecuente </w:t>
      </w:r>
      <w:r w:rsidR="000C666C">
        <w:rPr>
          <w:rFonts w:ascii="Palatino Linotype" w:hAnsi="Palatino Linotype" w:cs="Arial"/>
          <w:b/>
          <w:bCs/>
          <w:sz w:val="24"/>
          <w:szCs w:val="24"/>
        </w:rPr>
        <w:t xml:space="preserve">El Sujeto Obligado, </w:t>
      </w:r>
      <w:r w:rsidR="000C666C">
        <w:rPr>
          <w:rFonts w:ascii="Palatino Linotype" w:hAnsi="Palatino Linotype" w:cs="Arial"/>
          <w:sz w:val="24"/>
          <w:szCs w:val="24"/>
        </w:rPr>
        <w:t xml:space="preserve">se procede a dictar la presente resolución. </w:t>
      </w:r>
    </w:p>
    <w:p w14:paraId="3C116A92" w14:textId="77777777" w:rsidR="000C666C" w:rsidRDefault="000C666C" w:rsidP="00B433C9">
      <w:pPr>
        <w:spacing w:before="240" w:after="240" w:line="360" w:lineRule="auto"/>
        <w:jc w:val="center"/>
        <w:rPr>
          <w:rFonts w:ascii="Palatino Linotype" w:hAnsi="Palatino Linotype"/>
          <w:b/>
          <w:sz w:val="28"/>
        </w:rPr>
      </w:pPr>
    </w:p>
    <w:p w14:paraId="11244050" w14:textId="2D233E15"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6C3FEB3"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CD206C0" w14:textId="63FF1488" w:rsidR="000C666C" w:rsidRPr="000C666C"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0C666C">
        <w:rPr>
          <w:rFonts w:ascii="Palatino Linotype" w:hAnsi="Palatino Linotype" w:cs="Arial"/>
          <w:sz w:val="24"/>
        </w:rPr>
        <w:t xml:space="preserve">veintiuno de junio de dos mil veintiuno, </w:t>
      </w:r>
      <w:r w:rsidR="000C666C">
        <w:rPr>
          <w:rFonts w:ascii="Palatino Linotype" w:hAnsi="Palatino Linotype" w:cs="Arial"/>
          <w:b/>
          <w:bCs/>
          <w:sz w:val="24"/>
        </w:rPr>
        <w:t xml:space="preserve">El Recurrente, </w:t>
      </w:r>
      <w:r w:rsidR="000C666C">
        <w:rPr>
          <w:rFonts w:ascii="Palatino Linotype" w:hAnsi="Palatino Linotype" w:cs="Arial"/>
          <w:sz w:val="24"/>
        </w:rPr>
        <w:t xml:space="preserve">presentó a través del </w:t>
      </w:r>
      <w:r w:rsidR="00CE0E72">
        <w:rPr>
          <w:rFonts w:ascii="Palatino Linotype" w:hAnsi="Palatino Linotype" w:cs="Arial"/>
          <w:sz w:val="24"/>
        </w:rPr>
        <w:t>Sistema de Acceso a la Información Mexiquense (</w:t>
      </w:r>
      <w:r w:rsidR="00CE0E72">
        <w:rPr>
          <w:rFonts w:ascii="Palatino Linotype" w:hAnsi="Palatino Linotype" w:cs="Arial"/>
          <w:b/>
          <w:sz w:val="24"/>
        </w:rPr>
        <w:t>SAIMEX)</w:t>
      </w:r>
      <w:r w:rsidR="00CE0E72">
        <w:rPr>
          <w:rFonts w:ascii="Palatino Linotype" w:hAnsi="Palatino Linotype" w:cs="Arial"/>
          <w:sz w:val="24"/>
        </w:rPr>
        <w:t xml:space="preserve"> ante </w:t>
      </w:r>
      <w:r w:rsidR="00CE0E72">
        <w:rPr>
          <w:rFonts w:ascii="Palatino Linotype" w:hAnsi="Palatino Linotype" w:cs="Arial"/>
          <w:b/>
          <w:sz w:val="24"/>
        </w:rPr>
        <w:t>El Sujeto Obligado</w:t>
      </w:r>
      <w:r w:rsidR="00CE0E72">
        <w:rPr>
          <w:rFonts w:ascii="Palatino Linotype" w:hAnsi="Palatino Linotype" w:cs="Arial"/>
          <w:sz w:val="24"/>
        </w:rPr>
        <w:t xml:space="preserve">, solicitud de acceso a la información pública, registrada bajo el número de expediente </w:t>
      </w:r>
      <w:r w:rsidR="000C666C">
        <w:rPr>
          <w:rFonts w:ascii="Palatino Linotype" w:hAnsi="Palatino Linotype" w:cs="Arial"/>
          <w:b/>
          <w:bCs/>
          <w:sz w:val="24"/>
        </w:rPr>
        <w:t xml:space="preserve">00324/UAEM/IP/2021, </w:t>
      </w:r>
      <w:r w:rsidR="000C666C">
        <w:rPr>
          <w:rFonts w:ascii="Palatino Linotype" w:hAnsi="Palatino Linotype" w:cs="Arial"/>
          <w:sz w:val="24"/>
        </w:rPr>
        <w:t xml:space="preserve">mediante la cual solicitó información en el tenor siguiente: </w:t>
      </w:r>
    </w:p>
    <w:p w14:paraId="1324E985" w14:textId="69E05BC2" w:rsidR="000C666C" w:rsidRPr="000C666C" w:rsidRDefault="000C666C" w:rsidP="000C666C">
      <w:pPr>
        <w:pStyle w:val="INFOEM"/>
        <w:rPr>
          <w:rFonts w:cs="Arial"/>
          <w:b/>
          <w:bCs/>
          <w:sz w:val="24"/>
        </w:rPr>
      </w:pPr>
      <w:r>
        <w:t xml:space="preserve">“Documentos oficiales en los que se registraron los lineamientos y criterios para la </w:t>
      </w:r>
      <w:r w:rsidRPr="00AC3D45">
        <w:rPr>
          <w:b/>
          <w:u w:val="single"/>
        </w:rPr>
        <w:t>asignación directa</w:t>
      </w:r>
      <w:r>
        <w:t xml:space="preserve"> de venta de vehículos, durante la enajenación de vehículos realizada en el año 2014.” </w:t>
      </w:r>
      <w:r>
        <w:rPr>
          <w:b/>
          <w:bCs/>
        </w:rPr>
        <w:t xml:space="preserve">[Sic] </w:t>
      </w:r>
    </w:p>
    <w:p w14:paraId="2501F49F"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lastRenderedPageBreak/>
        <w:t xml:space="preserve">Modalidad de entrega: </w:t>
      </w:r>
      <w:r>
        <w:rPr>
          <w:rFonts w:ascii="Palatino Linotype" w:hAnsi="Palatino Linotype" w:cs="Arial"/>
          <w:sz w:val="24"/>
        </w:rPr>
        <w:t xml:space="preserve">A través del SAIMEX. </w:t>
      </w:r>
    </w:p>
    <w:p w14:paraId="5712361A" w14:textId="77777777" w:rsidR="00CE0E72" w:rsidRPr="008B1AD9" w:rsidRDefault="00CE0E72" w:rsidP="00B433C9">
      <w:pPr>
        <w:spacing w:before="240" w:line="360" w:lineRule="auto"/>
        <w:jc w:val="both"/>
        <w:rPr>
          <w:rFonts w:ascii="Palatino Linotype" w:hAnsi="Palatino Linotype" w:cs="Arial"/>
          <w:sz w:val="24"/>
        </w:rPr>
      </w:pPr>
    </w:p>
    <w:p w14:paraId="743FE4C4" w14:textId="499007AC" w:rsidR="00B433C9" w:rsidRDefault="000C666C"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0383C7F1" w14:textId="6C68B016" w:rsidR="000C666C"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día </w:t>
      </w:r>
      <w:r w:rsidR="000C666C">
        <w:rPr>
          <w:rFonts w:ascii="Palatino Linotype" w:hAnsi="Palatino Linotype" w:cs="Arial"/>
          <w:sz w:val="24"/>
          <w:szCs w:val="24"/>
        </w:rPr>
        <w:t xml:space="preserve">doce de julio de los corrientes, </w:t>
      </w:r>
      <w:r w:rsidR="000C666C">
        <w:rPr>
          <w:rFonts w:ascii="Palatino Linotype" w:hAnsi="Palatino Linotype" w:cs="Arial"/>
          <w:b/>
          <w:bCs/>
          <w:sz w:val="24"/>
          <w:szCs w:val="24"/>
        </w:rPr>
        <w:t xml:space="preserve">El Sujeto Obligado </w:t>
      </w:r>
      <w:r w:rsidR="000C666C">
        <w:rPr>
          <w:rFonts w:ascii="Palatino Linotype" w:hAnsi="Palatino Linotype" w:cs="Arial"/>
          <w:sz w:val="24"/>
          <w:szCs w:val="24"/>
        </w:rPr>
        <w:t xml:space="preserve">dio respuesta a la solicitud de información en los siguientes términos: </w:t>
      </w:r>
    </w:p>
    <w:p w14:paraId="07382EDC" w14:textId="1B3C4814" w:rsidR="000C666C" w:rsidRPr="000C666C" w:rsidRDefault="000C666C" w:rsidP="000C666C">
      <w:pPr>
        <w:pStyle w:val="INFOEM"/>
      </w:pPr>
      <w:r w:rsidRPr="000C666C">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72A5F99C" w14:textId="5A3189A5" w:rsidR="000C666C" w:rsidRPr="000C666C" w:rsidRDefault="000C666C" w:rsidP="000C666C">
      <w:pPr>
        <w:pStyle w:val="INFOEM"/>
        <w:rPr>
          <w:b/>
          <w:bCs/>
        </w:rPr>
      </w:pPr>
      <w:r w:rsidRPr="000C666C">
        <w:t xml:space="preserve">En respuesta a la solicitud de acceso a la información pública con número de folio 0324/UAEM/IP/2021,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w:t>
      </w:r>
      <w:r w:rsidRPr="000C666C">
        <w:rPr>
          <w:b/>
          <w:bCs/>
          <w:u w:val="single"/>
        </w:rPr>
        <w:t>hacemos de su conocimiento que en archivo electrónico adjunto encontrará la información solicitada.</w:t>
      </w:r>
      <w:r w:rsidRPr="000C666C">
        <w:t xml:space="preserve"> Finalmente se hace de su conocimiento que de conformidad con los artículos 176, 177, 178 y demás relativos y aplicables de la Ley de Transparencia, Acceso a la Información Pública </w:t>
      </w:r>
      <w:r w:rsidRPr="000C666C">
        <w:lastRenderedPageBreak/>
        <w:t xml:space="preserve">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w:t>
      </w:r>
      <w:hyperlink r:id="rId8" w:history="1">
        <w:r w:rsidRPr="000E21D8">
          <w:rPr>
            <w:rStyle w:val="Hipervnculo"/>
          </w:rPr>
          <w:t>transparencia@uaemex.mx</w:t>
        </w:r>
      </w:hyperlink>
      <w:r>
        <w:t xml:space="preserve">” </w:t>
      </w:r>
      <w:r>
        <w:rPr>
          <w:b/>
          <w:bCs/>
        </w:rPr>
        <w:t xml:space="preserve">[Sic] </w:t>
      </w:r>
    </w:p>
    <w:p w14:paraId="3BC7F977" w14:textId="7C0709A8" w:rsidR="000C666C" w:rsidRPr="000C666C" w:rsidRDefault="000C666C"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bCs/>
          <w:sz w:val="24"/>
          <w:szCs w:val="24"/>
        </w:rPr>
        <w:t xml:space="preserve">“BASES SUBASTA PUBLICA SP-001-2014350 (1)(1).pdf” </w:t>
      </w:r>
      <w:r>
        <w:rPr>
          <w:rFonts w:ascii="Palatino Linotype" w:hAnsi="Palatino Linotype" w:cs="Arial"/>
          <w:sz w:val="24"/>
          <w:szCs w:val="24"/>
        </w:rPr>
        <w:t xml:space="preserve">y </w:t>
      </w:r>
      <w:r>
        <w:rPr>
          <w:rFonts w:ascii="Palatino Linotype" w:hAnsi="Palatino Linotype" w:cs="Arial"/>
          <w:b/>
          <w:bCs/>
          <w:sz w:val="24"/>
          <w:szCs w:val="24"/>
        </w:rPr>
        <w:t xml:space="preserve">“Cedula de evaluación 003242021.docx”, </w:t>
      </w:r>
      <w:r>
        <w:rPr>
          <w:rFonts w:ascii="Palatino Linotype" w:hAnsi="Palatino Linotype" w:cs="Arial"/>
          <w:sz w:val="24"/>
          <w:szCs w:val="24"/>
        </w:rPr>
        <w:t xml:space="preserve">mismos que se tienen por reproducidos en virtud de que serán materia de análisis en el considerando respectivo. </w:t>
      </w:r>
    </w:p>
    <w:p w14:paraId="3F99B112" w14:textId="77777777" w:rsidR="000C666C" w:rsidRDefault="000C666C" w:rsidP="00B433C9">
      <w:pPr>
        <w:spacing w:before="240" w:line="360" w:lineRule="auto"/>
        <w:jc w:val="both"/>
        <w:rPr>
          <w:rFonts w:ascii="Palatino Linotype" w:hAnsi="Palatino Linotype" w:cs="Arial"/>
          <w:sz w:val="24"/>
          <w:szCs w:val="24"/>
        </w:rPr>
      </w:pPr>
    </w:p>
    <w:p w14:paraId="087D134D" w14:textId="3E9D2D89" w:rsidR="00B433C9" w:rsidRDefault="0071487C"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2D8D751F" w14:textId="18BF27F7" w:rsidR="0071487C" w:rsidRPr="0071487C"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 xml:space="preserve">El Sujeto Obligado, </w:t>
      </w:r>
      <w:r w:rsidR="0071487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71487C">
        <w:rPr>
          <w:rFonts w:ascii="Palatino Linotype" w:hAnsi="Palatino Linotype" w:cs="Arial"/>
          <w:sz w:val="24"/>
          <w:szCs w:val="24"/>
        </w:rPr>
        <w:t xml:space="preserve">doce de julio del presente, el cual fue registrado en el sistema electrónico con el expediente número </w:t>
      </w:r>
      <w:r w:rsidR="0071487C">
        <w:rPr>
          <w:rFonts w:ascii="Palatino Linotype" w:hAnsi="Palatino Linotype" w:cs="Arial"/>
          <w:b/>
          <w:bCs/>
          <w:sz w:val="24"/>
          <w:szCs w:val="24"/>
        </w:rPr>
        <w:t xml:space="preserve">03720/INFOEM/IP/RR/2021, </w:t>
      </w:r>
      <w:r w:rsidR="0071487C">
        <w:rPr>
          <w:rFonts w:ascii="Palatino Linotype" w:hAnsi="Palatino Linotype" w:cs="Arial"/>
          <w:sz w:val="24"/>
          <w:szCs w:val="24"/>
        </w:rPr>
        <w:t xml:space="preserve">en el cual arguye las siguientes manifestaciones: </w:t>
      </w:r>
    </w:p>
    <w:p w14:paraId="3CF50515"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ED0C8FA" w14:textId="25C182BA" w:rsidR="00B433C9" w:rsidRPr="00712E3A" w:rsidRDefault="00B433C9" w:rsidP="00576D51">
      <w:pPr>
        <w:pStyle w:val="INFOEM"/>
        <w:rPr>
          <w:rFonts w:cs="Arial"/>
          <w:b/>
        </w:rPr>
      </w:pPr>
      <w:r w:rsidRPr="0071487C">
        <w:t>“</w:t>
      </w:r>
      <w:r w:rsidR="0071487C" w:rsidRPr="0071487C">
        <w:t xml:space="preserve">Se solicitaron los documentos oficiales en los que se registraron los lineamientos y criterios para la asignación directa de venta de vehículos, durante la enajenación de vehículos realizada en el año 2014. </w:t>
      </w:r>
      <w:r w:rsidR="0071487C" w:rsidRPr="0071487C">
        <w:rPr>
          <w:b/>
          <w:bCs/>
          <w:u w:val="single"/>
        </w:rPr>
        <w:t>Como respuesta la UAEM envío un documento que se refiere a la modalidad de subasta pública y no de asignación directa.</w:t>
      </w:r>
      <w:r w:rsidRPr="0071487C">
        <w:rPr>
          <w:b/>
          <w:bCs/>
          <w:u w:val="single"/>
        </w:rPr>
        <w:t>”</w:t>
      </w:r>
      <w:r w:rsidRPr="00712E3A">
        <w:rPr>
          <w:rFonts w:cs="Arial"/>
        </w:rPr>
        <w:t xml:space="preserve"> </w:t>
      </w:r>
      <w:r w:rsidRPr="00712E3A">
        <w:rPr>
          <w:rFonts w:cs="Arial"/>
          <w:b/>
        </w:rPr>
        <w:t>[Sic]</w:t>
      </w:r>
    </w:p>
    <w:p w14:paraId="7FB77606"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3C37B9AB" w14:textId="5A746599" w:rsidR="00B433C9" w:rsidRPr="00712E3A" w:rsidRDefault="00B433C9" w:rsidP="00576D51">
      <w:pPr>
        <w:pStyle w:val="INFOEM"/>
        <w:rPr>
          <w:rFonts w:cs="Arial"/>
        </w:rPr>
      </w:pPr>
      <w:r w:rsidRPr="002173B1">
        <w:rPr>
          <w:b/>
          <w:u w:val="single"/>
        </w:rPr>
        <w:t>“</w:t>
      </w:r>
      <w:r w:rsidR="0071487C" w:rsidRPr="002173B1">
        <w:rPr>
          <w:b/>
          <w:u w:val="single"/>
        </w:rPr>
        <w:t>Existen dos modalidades que se usaron durante la desincorporación de vehículos en la UAEM en el año 2014, uno fue mediante subasta pública y otro mediante la asignación directa.</w:t>
      </w:r>
      <w:r w:rsidR="0071487C" w:rsidRPr="0071487C">
        <w:t xml:space="preserve"> </w:t>
      </w:r>
      <w:r w:rsidR="0071487C" w:rsidRPr="00AC3D45">
        <w:rPr>
          <w:b/>
          <w:u w:val="single"/>
        </w:rPr>
        <w:t xml:space="preserve">Entonces el documento que me entrega la UAEM corresponde a las bases de la subasta pública, en la que no se contiene la información solicitada. </w:t>
      </w:r>
      <w:r w:rsidR="0071487C" w:rsidRPr="0071487C">
        <w:t xml:space="preserve">En consecuencia veo vulnerado mi derecho al acceso de información </w:t>
      </w:r>
      <w:proofErr w:type="spellStart"/>
      <w:proofErr w:type="gramStart"/>
      <w:r w:rsidR="0071487C" w:rsidRPr="0071487C">
        <w:t>publica</w:t>
      </w:r>
      <w:proofErr w:type="spellEnd"/>
      <w:proofErr w:type="gramEnd"/>
      <w:r w:rsidR="0071487C" w:rsidRPr="0071487C">
        <w:t xml:space="preserve">, que en este caso obra en poder de la Universidad Autónoma del Estado de México. Solicito que mediante la presente impugnación el </w:t>
      </w:r>
      <w:proofErr w:type="spellStart"/>
      <w:r w:rsidR="0071487C" w:rsidRPr="0071487C">
        <w:t>infoem</w:t>
      </w:r>
      <w:proofErr w:type="spellEnd"/>
      <w:r w:rsidR="0071487C" w:rsidRPr="0071487C">
        <w:t xml:space="preserve"> pueda revertir el daño que me causa la UAEM.</w:t>
      </w:r>
      <w:r w:rsidRPr="0071487C">
        <w:t>”</w:t>
      </w:r>
      <w:r w:rsidRPr="00712E3A">
        <w:rPr>
          <w:rFonts w:cs="Arial"/>
        </w:rPr>
        <w:t xml:space="preserve"> </w:t>
      </w:r>
      <w:r w:rsidRPr="00576D51">
        <w:rPr>
          <w:rFonts w:cs="Arial"/>
          <w:b/>
        </w:rPr>
        <w:t>[Sic]</w:t>
      </w:r>
    </w:p>
    <w:p w14:paraId="3120AEA6" w14:textId="5388B5A7" w:rsidR="00C36ED4" w:rsidRPr="00C36ED4" w:rsidRDefault="00C36ED4" w:rsidP="00C36ED4">
      <w:pPr>
        <w:spacing w:line="360" w:lineRule="auto"/>
        <w:jc w:val="both"/>
        <w:rPr>
          <w:rFonts w:ascii="Palatino Linotype" w:hAnsi="Palatino Linotype" w:cs="Arial"/>
          <w:sz w:val="24"/>
          <w:szCs w:val="24"/>
        </w:rPr>
      </w:pPr>
      <w:r>
        <w:rPr>
          <w:rFonts w:ascii="Palatino Linotype" w:hAnsi="Palatino Linotype" w:cs="Arial"/>
          <w:sz w:val="24"/>
          <w:szCs w:val="24"/>
        </w:rPr>
        <w:t xml:space="preserve">Adicionalmente, el particular adjuntó el documento electrónico </w:t>
      </w:r>
      <w:r>
        <w:rPr>
          <w:rFonts w:ascii="Palatino Linotype" w:hAnsi="Palatino Linotype" w:cs="Arial"/>
          <w:b/>
          <w:bCs/>
          <w:sz w:val="24"/>
          <w:szCs w:val="24"/>
        </w:rPr>
        <w:t xml:space="preserve">“BASES SUBASTA PUBLICA SP-001-2014350 (1)(1).pdf”, </w:t>
      </w:r>
      <w:r>
        <w:rPr>
          <w:rFonts w:ascii="Palatino Linotype" w:hAnsi="Palatino Linotype" w:cs="Arial"/>
          <w:bCs/>
          <w:sz w:val="24"/>
          <w:szCs w:val="24"/>
        </w:rPr>
        <w:t xml:space="preserve">remitido por </w:t>
      </w:r>
      <w:r>
        <w:rPr>
          <w:rFonts w:ascii="Palatino Linotype" w:hAnsi="Palatino Linotype" w:cs="Arial"/>
          <w:b/>
          <w:bCs/>
          <w:sz w:val="24"/>
          <w:szCs w:val="24"/>
        </w:rPr>
        <w:t xml:space="preserve">El Sujeto Obligado </w:t>
      </w:r>
      <w:r>
        <w:rPr>
          <w:rFonts w:ascii="Palatino Linotype" w:hAnsi="Palatino Linotype" w:cs="Arial"/>
          <w:bCs/>
          <w:sz w:val="24"/>
          <w:szCs w:val="24"/>
        </w:rPr>
        <w:t xml:space="preserve">mediante respuesta primigenia. </w:t>
      </w:r>
    </w:p>
    <w:p w14:paraId="4DD8E175" w14:textId="77777777" w:rsidR="00C36ED4" w:rsidRDefault="00C36ED4" w:rsidP="00C36ED4">
      <w:pPr>
        <w:spacing w:line="360" w:lineRule="auto"/>
        <w:ind w:right="851"/>
        <w:jc w:val="both"/>
        <w:rPr>
          <w:rFonts w:ascii="Palatino Linotype" w:hAnsi="Palatino Linotype" w:cs="Arial"/>
          <w:i/>
        </w:rPr>
      </w:pPr>
    </w:p>
    <w:p w14:paraId="1F62F175" w14:textId="6304A05E" w:rsidR="00B433C9" w:rsidRDefault="0071487C"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31D5D485" w14:textId="73A4587C"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 la Comisionada</w:t>
      </w:r>
      <w:r w:rsidR="00576D51">
        <w:rPr>
          <w:rFonts w:ascii="Palatino Linotype" w:hAnsi="Palatino Linotype" w:cs="Arial"/>
          <w:sz w:val="24"/>
          <w:szCs w:val="24"/>
        </w:rPr>
        <w:t xml:space="preserve"> </w:t>
      </w:r>
      <w:r w:rsidR="0040673A">
        <w:rPr>
          <w:rFonts w:ascii="Palatino Linotype" w:hAnsi="Palatino Linotype" w:cs="Arial"/>
          <w:b/>
          <w:sz w:val="24"/>
          <w:szCs w:val="24"/>
        </w:rPr>
        <w:t>Zulema Martínez Sánchez</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1487C">
        <w:rPr>
          <w:rFonts w:ascii="Palatino Linotype" w:hAnsi="Palatino Linotype" w:cs="Arial"/>
          <w:sz w:val="24"/>
          <w:szCs w:val="24"/>
        </w:rPr>
        <w:t xml:space="preserve"> dieciséis de julio 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Default="00712E3A" w:rsidP="00B433C9">
      <w:pPr>
        <w:spacing w:before="240" w:line="360" w:lineRule="auto"/>
        <w:jc w:val="both"/>
        <w:rPr>
          <w:rFonts w:ascii="Palatino Linotype" w:hAnsi="Palatino Linotype" w:cs="Arial"/>
          <w:sz w:val="24"/>
          <w:szCs w:val="24"/>
        </w:rPr>
      </w:pPr>
    </w:p>
    <w:p w14:paraId="7CB15C1B" w14:textId="33C3FEEC" w:rsidR="00B433C9" w:rsidRDefault="0071487C"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7C254E7C" w14:textId="0432245D" w:rsidR="0071487C" w:rsidRDefault="00712E3A" w:rsidP="00712E3A">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en fecha </w:t>
      </w:r>
      <w:r w:rsidR="0071487C">
        <w:rPr>
          <w:rFonts w:ascii="Palatino Linotype" w:hAnsi="Palatino Linotype" w:cs="Arial"/>
          <w:sz w:val="24"/>
          <w:szCs w:val="24"/>
        </w:rPr>
        <w:t xml:space="preserve">nueve de agosto del presente, mismo que se puso a la vista del </w:t>
      </w:r>
      <w:r w:rsidR="0071487C">
        <w:rPr>
          <w:rFonts w:ascii="Palatino Linotype" w:hAnsi="Palatino Linotype" w:cs="Arial"/>
          <w:b/>
          <w:bCs/>
          <w:sz w:val="24"/>
          <w:szCs w:val="24"/>
        </w:rPr>
        <w:t xml:space="preserve">Recurrente </w:t>
      </w:r>
      <w:r w:rsidR="0071487C">
        <w:rPr>
          <w:rFonts w:ascii="Palatino Linotype" w:hAnsi="Palatino Linotype" w:cs="Arial"/>
          <w:sz w:val="24"/>
          <w:szCs w:val="24"/>
        </w:rPr>
        <w:t xml:space="preserve">el diecinueve de agosto del año en curso. </w:t>
      </w:r>
    </w:p>
    <w:p w14:paraId="12A9B398" w14:textId="68B1E65D" w:rsidR="0071487C" w:rsidRPr="0071487C" w:rsidRDefault="0071487C"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Recurrente </w:t>
      </w:r>
      <w:r>
        <w:rPr>
          <w:rFonts w:ascii="Palatino Linotype" w:hAnsi="Palatino Linotype" w:cs="Arial"/>
          <w:sz w:val="24"/>
          <w:szCs w:val="24"/>
        </w:rPr>
        <w:t xml:space="preserve">rindió las manifestaciones estimadas pertinentes en fecha veinte de agosto de dos mil veintiuno. </w:t>
      </w:r>
    </w:p>
    <w:p w14:paraId="755ECF62" w14:textId="0A4F290A" w:rsidR="00FC16E9" w:rsidRDefault="0071487C" w:rsidP="00FC16E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el cierre de instrucción con fecha veintiséis de agosto del presente, en términos del </w:t>
      </w:r>
      <w:r w:rsidR="00FC16E9" w:rsidRPr="00D05C83">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r w:rsidR="00FC16E9">
        <w:rPr>
          <w:rFonts w:ascii="Palatino Linotype" w:hAnsi="Palatino Linotype" w:cs="Arial"/>
          <w:sz w:val="24"/>
          <w:szCs w:val="24"/>
        </w:rPr>
        <w:t xml:space="preserve"> </w:t>
      </w:r>
    </w:p>
    <w:p w14:paraId="5146E2BA" w14:textId="77777777" w:rsidR="00FC16E9" w:rsidRDefault="00FC16E9" w:rsidP="00FC16E9">
      <w:pPr>
        <w:spacing w:before="240" w:line="360" w:lineRule="auto"/>
        <w:jc w:val="both"/>
        <w:rPr>
          <w:rFonts w:ascii="Palatino Linotype" w:hAnsi="Palatino Linotype" w:cs="Arial"/>
          <w:sz w:val="24"/>
          <w:szCs w:val="24"/>
        </w:rPr>
      </w:pPr>
      <w:r>
        <w:rPr>
          <w:rFonts w:ascii="Palatino Linotype" w:hAnsi="Palatino Linotype" w:cs="Arial"/>
          <w:sz w:val="24"/>
          <w:szCs w:val="24"/>
        </w:rPr>
        <w:t>.</w:t>
      </w:r>
    </w:p>
    <w:p w14:paraId="2774EACA" w14:textId="6A7FA8FA" w:rsidR="007E4FA1" w:rsidRDefault="0071487C" w:rsidP="007E4FA1">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7E4FA1" w:rsidRPr="008551ED">
        <w:rPr>
          <w:rFonts w:ascii="Palatino Linotype" w:hAnsi="Palatino Linotype" w:cs="Arial"/>
          <w:b/>
          <w:sz w:val="24"/>
          <w:szCs w:val="24"/>
        </w:rPr>
        <w:t>.</w:t>
      </w:r>
      <w:r w:rsidR="007E4FA1">
        <w:rPr>
          <w:rFonts w:ascii="Palatino Linotype" w:hAnsi="Palatino Linotype" w:cs="Arial"/>
          <w:b/>
          <w:sz w:val="24"/>
          <w:szCs w:val="24"/>
        </w:rPr>
        <w:t xml:space="preserve"> </w:t>
      </w:r>
      <w:r w:rsidR="007E4FA1">
        <w:rPr>
          <w:rFonts w:ascii="Palatino Linotype" w:hAnsi="Palatino Linotype" w:cs="Arial"/>
          <w:b/>
          <w:sz w:val="28"/>
          <w:szCs w:val="28"/>
        </w:rPr>
        <w:t>Del returno del recurso de revisión 037</w:t>
      </w:r>
      <w:r>
        <w:rPr>
          <w:rFonts w:ascii="Palatino Linotype" w:hAnsi="Palatino Linotype" w:cs="Arial"/>
          <w:b/>
          <w:sz w:val="28"/>
          <w:szCs w:val="28"/>
        </w:rPr>
        <w:t>2</w:t>
      </w:r>
      <w:r w:rsidR="007E4FA1">
        <w:rPr>
          <w:rFonts w:ascii="Palatino Linotype" w:hAnsi="Palatino Linotype" w:cs="Arial"/>
          <w:b/>
          <w:sz w:val="28"/>
          <w:szCs w:val="28"/>
        </w:rPr>
        <w:t>0/INFOEM/IP/RR/2021</w:t>
      </w:r>
    </w:p>
    <w:p w14:paraId="4B600C77" w14:textId="28FC5E35" w:rsidR="007E4FA1" w:rsidRPr="001F0693" w:rsidRDefault="00C36ED4" w:rsidP="007E4FA1">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72928" behindDoc="0" locked="0" layoutInCell="1" allowOverlap="1" wp14:anchorId="74B6EDA5" wp14:editId="42C91851">
                <wp:simplePos x="0" y="0"/>
                <wp:positionH relativeFrom="column">
                  <wp:posOffset>-191135</wp:posOffset>
                </wp:positionH>
                <wp:positionV relativeFrom="paragraph">
                  <wp:posOffset>1377315</wp:posOffset>
                </wp:positionV>
                <wp:extent cx="6076950" cy="1098550"/>
                <wp:effectExtent l="0" t="0" r="19050" b="25400"/>
                <wp:wrapNone/>
                <wp:docPr id="26" name="Conector recto 26"/>
                <wp:cNvGraphicFramePr/>
                <a:graphic xmlns:a="http://schemas.openxmlformats.org/drawingml/2006/main">
                  <a:graphicData uri="http://schemas.microsoft.com/office/word/2010/wordprocessingShape">
                    <wps:wsp>
                      <wps:cNvCnPr/>
                      <wps:spPr>
                        <a:xfrm>
                          <a:off x="0" y="0"/>
                          <a:ext cx="6076950" cy="1098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2B17C5" id="Conector recto 26"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15.05pt,108.45pt" to="463.45pt,1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" strokecolor="#5b9bd5 [3204]" strokeweight=".5pt">
                <v:stroke joinstyle="miter"/>
              </v:line>
            </w:pict>
          </mc:Fallback>
        </mc:AlternateContent>
      </w:r>
      <w:r w:rsidR="007E4FA1">
        <w:rPr>
          <w:rFonts w:ascii="Palatino Linotype" w:hAnsi="Palatino Linotype" w:cs="Arial"/>
          <w:sz w:val="24"/>
          <w:szCs w:val="24"/>
        </w:rPr>
        <w:t xml:space="preserve">En fecha veintitrés de agosto de dos mil veintiuno por acuerdo del Pleno de este Órgano Garante, en la Segunda Sesión Extraordinaria fue returnado el recurso de revisión </w:t>
      </w:r>
      <w:r w:rsidR="007E4FA1">
        <w:rPr>
          <w:rFonts w:ascii="Palatino Linotype" w:hAnsi="Palatino Linotype" w:cs="Arial"/>
          <w:b/>
          <w:sz w:val="24"/>
          <w:szCs w:val="24"/>
        </w:rPr>
        <w:t>037</w:t>
      </w:r>
      <w:r w:rsidR="0071487C">
        <w:rPr>
          <w:rFonts w:ascii="Palatino Linotype" w:hAnsi="Palatino Linotype" w:cs="Arial"/>
          <w:b/>
          <w:sz w:val="24"/>
          <w:szCs w:val="24"/>
        </w:rPr>
        <w:t>2</w:t>
      </w:r>
      <w:r w:rsidR="007E4FA1">
        <w:rPr>
          <w:rFonts w:ascii="Palatino Linotype" w:hAnsi="Palatino Linotype" w:cs="Arial"/>
          <w:b/>
          <w:sz w:val="24"/>
          <w:szCs w:val="24"/>
        </w:rPr>
        <w:t xml:space="preserve">0/INFOEM/IP/RR/2021, </w:t>
      </w:r>
      <w:r w:rsidR="007E4FA1">
        <w:rPr>
          <w:rFonts w:ascii="Palatino Linotype" w:hAnsi="Palatino Linotype" w:cs="Arial"/>
          <w:sz w:val="24"/>
          <w:szCs w:val="24"/>
        </w:rPr>
        <w:t xml:space="preserve">al Comisionado José Martínez Vilchis para su resolución y presentación al Pleno. </w:t>
      </w:r>
    </w:p>
    <w:p w14:paraId="3ECB1D34" w14:textId="77777777" w:rsidR="00712E3A" w:rsidRDefault="00712E3A" w:rsidP="003A6975">
      <w:pPr>
        <w:spacing w:before="240" w:line="360" w:lineRule="auto"/>
        <w:jc w:val="both"/>
        <w:rPr>
          <w:rFonts w:ascii="Palatino Linotype" w:hAnsi="Palatino Linotype" w:cs="Arial"/>
          <w:sz w:val="24"/>
          <w:szCs w:val="24"/>
        </w:rPr>
      </w:pPr>
    </w:p>
    <w:p w14:paraId="7F440A1E" w14:textId="77777777" w:rsidR="00C36ED4" w:rsidRDefault="00C36ED4" w:rsidP="003A6975">
      <w:pPr>
        <w:spacing w:before="240" w:line="360" w:lineRule="auto"/>
        <w:jc w:val="both"/>
        <w:rPr>
          <w:rFonts w:ascii="Palatino Linotype" w:hAnsi="Palatino Linotype" w:cs="Arial"/>
          <w:sz w:val="24"/>
          <w:szCs w:val="24"/>
        </w:rPr>
      </w:pPr>
    </w:p>
    <w:p w14:paraId="112C23EB"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56AA18C"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A876970" w14:textId="77777777" w:rsidR="00216AFC" w:rsidRDefault="00216AFC" w:rsidP="00216AFC">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4D82DB0" w14:textId="77777777" w:rsidR="007E4FA1" w:rsidRDefault="007E4FA1" w:rsidP="007E4FA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45DAC08" w14:textId="77777777" w:rsidR="007E4FA1" w:rsidRDefault="007E4FA1" w:rsidP="003A6975">
      <w:pPr>
        <w:spacing w:before="240" w:line="360" w:lineRule="auto"/>
        <w:jc w:val="both"/>
        <w:rPr>
          <w:rFonts w:ascii="Palatino Linotype" w:hAnsi="Palatino Linotype" w:cs="Arial"/>
          <w:sz w:val="24"/>
          <w:szCs w:val="24"/>
        </w:rPr>
      </w:pPr>
    </w:p>
    <w:p w14:paraId="389D6262"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D41B47"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C2725D2"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4E2B784"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791304FD" w14:textId="77777777" w:rsidR="0071487C" w:rsidRDefault="0071487C" w:rsidP="0071487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w:t>
      </w:r>
      <w:r>
        <w:rPr>
          <w:rFonts w:ascii="Palatino Linotype" w:hAnsi="Palatino Linotype" w:cs="Arial"/>
          <w:sz w:val="24"/>
          <w:szCs w:val="24"/>
        </w:rPr>
        <w:lastRenderedPageBreak/>
        <w:t xml:space="preserve">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69B35F16" w14:textId="77777777" w:rsidR="0071487C" w:rsidRDefault="0071487C" w:rsidP="0071487C">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2153AE87" w14:textId="77777777" w:rsidR="0071487C" w:rsidRDefault="0071487C" w:rsidP="0071487C">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225B3B39" w14:textId="77777777" w:rsidR="0071487C" w:rsidRDefault="0071487C" w:rsidP="0071487C">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20FBCCCE" w14:textId="77777777" w:rsidR="0071487C" w:rsidRDefault="0071487C" w:rsidP="0071487C">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76ECBF2B" w14:textId="77777777" w:rsidR="0071487C" w:rsidRDefault="0071487C" w:rsidP="0071487C">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736EC7A2" w14:textId="77777777" w:rsidR="0071487C" w:rsidRDefault="0071487C" w:rsidP="0071487C">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7BED8B28" w14:textId="77777777" w:rsidR="0071487C" w:rsidRDefault="0071487C" w:rsidP="0071487C">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630080BB" w14:textId="77777777" w:rsidR="0071487C" w:rsidRDefault="0071487C" w:rsidP="0071487C">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255761DF" w14:textId="77777777" w:rsidR="0071487C" w:rsidRDefault="0071487C" w:rsidP="0071487C">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24527CFB" w14:textId="77777777" w:rsidR="0071487C" w:rsidRDefault="0071487C" w:rsidP="0071487C">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10"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sobreseimiento que impiden abordar el estudio de fondo del asunto en el </w:t>
      </w:r>
      <w:r>
        <w:rPr>
          <w:rFonts w:ascii="Palatino Linotype" w:hAnsi="Palatino Linotype"/>
          <w:b/>
          <w:i/>
          <w:sz w:val="22"/>
          <w:szCs w:val="22"/>
          <w:u w:val="single"/>
        </w:rPr>
        <w:lastRenderedPageBreak/>
        <w:t>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2"/>
          <w:szCs w:val="22"/>
        </w:rPr>
        <w:t>concesoria</w:t>
      </w:r>
      <w:proofErr w:type="spellEnd"/>
      <w:r>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B918247" w14:textId="77777777" w:rsidR="0071487C" w:rsidRDefault="0071487C" w:rsidP="0071487C">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683F9025" w14:textId="77777777" w:rsidR="0071487C" w:rsidRDefault="0071487C" w:rsidP="0071487C">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443/2011. Marcos Adán Uribe </w:t>
      </w:r>
      <w:proofErr w:type="spellStart"/>
      <w:r>
        <w:rPr>
          <w:rFonts w:ascii="Palatino Linotype" w:eastAsia="Times New Roman" w:hAnsi="Palatino Linotype" w:cs="Times New Roman"/>
          <w:i/>
          <w:color w:val="444444"/>
          <w:lang w:eastAsia="es-MX"/>
        </w:rPr>
        <w:t>Bañales</w:t>
      </w:r>
      <w:proofErr w:type="spellEnd"/>
      <w:r>
        <w:rPr>
          <w:rFonts w:ascii="Palatino Linotype" w:eastAsia="Times New Roman" w:hAnsi="Palatino Linotype" w:cs="Times New Roman"/>
          <w:i/>
          <w:color w:val="444444"/>
          <w:lang w:eastAsia="es-MX"/>
        </w:rPr>
        <w:t>. 28 de octubre de 2011. Unanimidad de votos. Ponente: Jesús de Ávila Huerta. Secretario: Rogelio Zamora Menchaca.</w:t>
      </w:r>
    </w:p>
    <w:p w14:paraId="6989B7AD" w14:textId="77777777" w:rsidR="0071487C" w:rsidRPr="00044D01" w:rsidRDefault="0071487C" w:rsidP="0071487C">
      <w:pPr>
        <w:spacing w:before="240" w:line="360" w:lineRule="auto"/>
        <w:ind w:left="851" w:right="851"/>
        <w:jc w:val="both"/>
        <w:rPr>
          <w:rFonts w:ascii="Palatino Linotype" w:eastAsia="Times New Roman" w:hAnsi="Palatino Linotype" w:cs="Times New Roman"/>
          <w:b/>
          <w:bCs/>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w:t>
      </w:r>
      <w:proofErr w:type="spellStart"/>
      <w:r>
        <w:rPr>
          <w:rFonts w:ascii="Palatino Linotype" w:eastAsia="Times New Roman" w:hAnsi="Palatino Linotype" w:cs="Times New Roman"/>
          <w:i/>
          <w:color w:val="444444"/>
          <w:lang w:eastAsia="es-MX"/>
        </w:rPr>
        <w:t>Vidal</w:t>
      </w:r>
      <w:proofErr w:type="spellEnd"/>
      <w:r>
        <w:rPr>
          <w:rFonts w:ascii="Palatino Linotype" w:eastAsia="Times New Roman" w:hAnsi="Palatino Linotype" w:cs="Times New Roman"/>
          <w:i/>
          <w:color w:val="444444"/>
          <w:lang w:eastAsia="es-MX"/>
        </w:rPr>
        <w:t xml:space="preserve">.” </w:t>
      </w:r>
      <w:r>
        <w:rPr>
          <w:rFonts w:ascii="Palatino Linotype" w:eastAsia="Times New Roman" w:hAnsi="Palatino Linotype" w:cs="Times New Roman"/>
          <w:b/>
          <w:bCs/>
          <w:i/>
          <w:color w:val="444444"/>
          <w:lang w:eastAsia="es-MX"/>
        </w:rPr>
        <w:t>[Sic]</w:t>
      </w:r>
    </w:p>
    <w:p w14:paraId="635858B0" w14:textId="77777777" w:rsidR="0071487C" w:rsidRDefault="0071487C" w:rsidP="0071487C">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4F4F46E8" w14:textId="77777777" w:rsidR="0071487C" w:rsidRDefault="0071487C" w:rsidP="0071487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2F600C7F" w14:textId="77777777" w:rsidR="0071487C" w:rsidRDefault="0071487C" w:rsidP="0071487C">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12CC324A" w14:textId="77777777" w:rsidR="0071487C" w:rsidRDefault="0071487C" w:rsidP="0071487C">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3EB205AB" w14:textId="77777777" w:rsidR="0071487C" w:rsidRDefault="0071487C" w:rsidP="0071487C">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4E904138" w14:textId="77777777" w:rsidR="0071487C" w:rsidRDefault="0071487C" w:rsidP="0071487C">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0F22E1DB" w14:textId="77777777" w:rsidR="0071487C" w:rsidRDefault="0071487C" w:rsidP="0071487C">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483F403C" w14:textId="77777777" w:rsidR="0071487C" w:rsidRDefault="0071487C" w:rsidP="0071487C">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3D90280C" w14:textId="77777777" w:rsidR="0071487C" w:rsidRDefault="0071487C" w:rsidP="0071487C">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5E5D1D90" w14:textId="77777777" w:rsidR="0071487C" w:rsidRDefault="0071487C" w:rsidP="0071487C">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354408E9" w14:textId="77777777" w:rsidR="0071487C" w:rsidRDefault="0071487C" w:rsidP="0071487C">
      <w:pPr>
        <w:autoSpaceDE w:val="0"/>
        <w:autoSpaceDN w:val="0"/>
        <w:adjustRightInd w:val="0"/>
        <w:spacing w:after="0" w:line="360" w:lineRule="auto"/>
        <w:jc w:val="both"/>
        <w:rPr>
          <w:rFonts w:ascii="Palatino Linotype" w:hAnsi="Palatino Linotype" w:cs="Arial"/>
          <w:sz w:val="24"/>
          <w:szCs w:val="24"/>
        </w:rPr>
      </w:pPr>
    </w:p>
    <w:p w14:paraId="0E16A631" w14:textId="77777777" w:rsidR="0071487C" w:rsidRDefault="0071487C" w:rsidP="0071487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w:t>
      </w:r>
    </w:p>
    <w:p w14:paraId="15F26D96" w14:textId="77777777" w:rsidR="0071487C" w:rsidRDefault="0071487C" w:rsidP="0071487C">
      <w:pPr>
        <w:autoSpaceDE w:val="0"/>
        <w:autoSpaceDN w:val="0"/>
        <w:adjustRightInd w:val="0"/>
        <w:spacing w:after="0" w:line="360" w:lineRule="auto"/>
        <w:jc w:val="both"/>
        <w:rPr>
          <w:rFonts w:ascii="Palatino Linotype" w:hAnsi="Palatino Linotype" w:cs="Arial"/>
          <w:sz w:val="24"/>
          <w:szCs w:val="24"/>
          <w:highlight w:val="yellow"/>
        </w:rPr>
      </w:pPr>
    </w:p>
    <w:p w14:paraId="1062C76C" w14:textId="77777777" w:rsidR="0071487C" w:rsidRDefault="0071487C" w:rsidP="0071487C">
      <w:pPr>
        <w:pStyle w:val="Prrafodelista"/>
        <w:numPr>
          <w:ilvl w:val="0"/>
          <w:numId w:val="7"/>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388928FE" w14:textId="77777777" w:rsidR="0071487C" w:rsidRDefault="0071487C" w:rsidP="0071487C">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00F658F1" w14:textId="2BD7565D" w:rsidR="0071487C" w:rsidRDefault="0071487C" w:rsidP="0071487C">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0F236C">
        <w:rPr>
          <w:rFonts w:ascii="Palatino Linotype" w:hAnsi="Palatino Linotype" w:cs="Arial"/>
          <w:b/>
          <w:sz w:val="24"/>
        </w:rPr>
        <w:t>XXXXX</w:t>
      </w:r>
      <w:r w:rsidR="00DC2AC2">
        <w:rPr>
          <w:rFonts w:ascii="Palatino Linotype" w:hAnsi="Palatino Linotype" w:cs="Arial"/>
          <w:b/>
          <w:sz w:val="24"/>
        </w:rPr>
        <w:t xml:space="preserve"> </w:t>
      </w:r>
      <w:r w:rsidR="000F236C">
        <w:rPr>
          <w:rFonts w:ascii="Palatino Linotype" w:hAnsi="Palatino Linotype" w:cs="Arial"/>
          <w:b/>
          <w:sz w:val="24"/>
        </w:rPr>
        <w:t>XXXXXXXXXXXXX</w:t>
      </w:r>
      <w:r>
        <w:rPr>
          <w:rFonts w:ascii="Palatino Linotype" w:hAnsi="Palatino Linotype" w:cs="Arial"/>
          <w:sz w:val="24"/>
        </w:rPr>
        <w:t>, del cual no se colige que corresponda al nombre de una persona.</w:t>
      </w:r>
    </w:p>
    <w:p w14:paraId="05BEBFAA" w14:textId="77777777" w:rsidR="0071487C" w:rsidRDefault="0071487C" w:rsidP="0071487C">
      <w:pPr>
        <w:autoSpaceDE w:val="0"/>
        <w:autoSpaceDN w:val="0"/>
        <w:adjustRightInd w:val="0"/>
        <w:spacing w:after="0" w:line="360" w:lineRule="auto"/>
        <w:jc w:val="both"/>
        <w:rPr>
          <w:rFonts w:ascii="Palatino Linotype" w:hAnsi="Palatino Linotype" w:cs="Arial"/>
          <w:sz w:val="24"/>
          <w:szCs w:val="24"/>
        </w:rPr>
      </w:pPr>
    </w:p>
    <w:p w14:paraId="01CB9363" w14:textId="77777777" w:rsidR="0071487C" w:rsidRDefault="0071487C" w:rsidP="0071487C">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79E1E588" w14:textId="77777777" w:rsidR="0071487C" w:rsidRDefault="0071487C" w:rsidP="0071487C">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6A2F858C" w14:textId="77777777" w:rsidR="0071487C" w:rsidRDefault="0071487C" w:rsidP="0071487C">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3C2343F8" w14:textId="77777777" w:rsidR="0071487C" w:rsidRDefault="0071487C" w:rsidP="0071487C">
      <w:pPr>
        <w:spacing w:before="240" w:line="360" w:lineRule="auto"/>
        <w:ind w:left="851" w:right="851"/>
        <w:jc w:val="both"/>
        <w:rPr>
          <w:rFonts w:ascii="Palatino Linotype" w:hAnsi="Palatino Linotype"/>
          <w:b/>
          <w:i/>
        </w:rPr>
      </w:pPr>
      <w:r>
        <w:rPr>
          <w:rFonts w:ascii="Palatino Linotype" w:hAnsi="Palatino Linotype"/>
          <w:b/>
          <w:i/>
        </w:rPr>
        <w:lastRenderedPageBreak/>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2FF36174" w14:textId="77777777" w:rsidR="0071487C" w:rsidRDefault="0071487C" w:rsidP="0071487C">
      <w:pPr>
        <w:spacing w:before="240" w:line="360" w:lineRule="auto"/>
        <w:ind w:left="851" w:right="851"/>
        <w:rPr>
          <w:rFonts w:ascii="Palatino Linotype" w:hAnsi="Palatino Linotype"/>
          <w:i/>
        </w:rPr>
      </w:pPr>
      <w:r>
        <w:rPr>
          <w:rFonts w:ascii="Palatino Linotype" w:hAnsi="Palatino Linotype"/>
          <w:b/>
          <w:i/>
        </w:rPr>
        <w:t>(…)” [Sic]</w:t>
      </w:r>
    </w:p>
    <w:p w14:paraId="26EE693F" w14:textId="77777777" w:rsidR="0071487C" w:rsidRDefault="0071487C" w:rsidP="0071487C">
      <w:pPr>
        <w:pStyle w:val="Prrafodelista"/>
        <w:widowControl w:val="0"/>
        <w:autoSpaceDE w:val="0"/>
        <w:autoSpaceDN w:val="0"/>
        <w:adjustRightInd w:val="0"/>
        <w:ind w:left="0"/>
        <w:jc w:val="both"/>
        <w:rPr>
          <w:rFonts w:ascii="Palatino Linotype" w:hAnsi="Palatino Linotype"/>
          <w:highlight w:val="yellow"/>
        </w:rPr>
      </w:pPr>
    </w:p>
    <w:p w14:paraId="23486204" w14:textId="4D9BC8B9" w:rsidR="0071487C" w:rsidRDefault="0071487C" w:rsidP="0071487C">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0F236C">
        <w:rPr>
          <w:rFonts w:ascii="Palatino Linotype" w:hAnsi="Palatino Linotype" w:cs="Arial"/>
          <w:b/>
          <w:bCs/>
        </w:rPr>
        <w:t>XXXXXXXXXXXXXXXXXXX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2AE4FBE9" w14:textId="77777777" w:rsidR="0071487C" w:rsidRDefault="0071487C" w:rsidP="0071487C">
      <w:pPr>
        <w:pStyle w:val="Prrafodelista"/>
        <w:widowControl w:val="0"/>
        <w:autoSpaceDE w:val="0"/>
        <w:autoSpaceDN w:val="0"/>
        <w:adjustRightInd w:val="0"/>
        <w:spacing w:line="360" w:lineRule="auto"/>
        <w:ind w:left="0"/>
        <w:jc w:val="both"/>
        <w:rPr>
          <w:rFonts w:ascii="Palatino Linotype" w:hAnsi="Palatino Linotype"/>
        </w:rPr>
      </w:pPr>
    </w:p>
    <w:p w14:paraId="2DA0E5EC" w14:textId="77777777" w:rsidR="0071487C" w:rsidRDefault="0071487C" w:rsidP="0071487C">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0A16521" w14:textId="77777777" w:rsidR="0071487C" w:rsidRDefault="0071487C" w:rsidP="0071487C">
      <w:pPr>
        <w:pStyle w:val="Prrafodelista"/>
        <w:widowControl w:val="0"/>
        <w:autoSpaceDE w:val="0"/>
        <w:autoSpaceDN w:val="0"/>
        <w:adjustRightInd w:val="0"/>
        <w:ind w:left="0"/>
        <w:jc w:val="both"/>
        <w:rPr>
          <w:rFonts w:ascii="Palatino Linotype" w:hAnsi="Palatino Linotype"/>
          <w:highlight w:val="yellow"/>
        </w:rPr>
      </w:pPr>
    </w:p>
    <w:p w14:paraId="1AB16707" w14:textId="77777777" w:rsidR="0071487C" w:rsidRDefault="0071487C" w:rsidP="0071487C">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w:t>
      </w:r>
      <w:r>
        <w:rPr>
          <w:rFonts w:ascii="Palatino Linotype" w:hAnsi="Palatino Linotype"/>
        </w:rPr>
        <w:lastRenderedPageBreak/>
        <w:t xml:space="preserve">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2CA2853" w14:textId="77777777" w:rsidR="0071487C" w:rsidRDefault="0071487C" w:rsidP="0071487C">
      <w:pPr>
        <w:pStyle w:val="Prrafodelista"/>
        <w:widowControl w:val="0"/>
        <w:autoSpaceDE w:val="0"/>
        <w:autoSpaceDN w:val="0"/>
        <w:adjustRightInd w:val="0"/>
        <w:spacing w:line="360" w:lineRule="auto"/>
        <w:ind w:left="0"/>
        <w:jc w:val="both"/>
        <w:rPr>
          <w:rFonts w:ascii="Palatino Linotype" w:hAnsi="Palatino Linotype"/>
        </w:rPr>
      </w:pPr>
    </w:p>
    <w:p w14:paraId="4079B525" w14:textId="77777777" w:rsidR="0071487C" w:rsidRDefault="0071487C" w:rsidP="0071487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675EBAE1" w14:textId="77777777" w:rsidR="00DC2AC2" w:rsidRDefault="00DC2AC2" w:rsidP="002C498D">
      <w:pPr>
        <w:tabs>
          <w:tab w:val="left" w:pos="709"/>
        </w:tabs>
        <w:spacing w:before="240" w:line="360" w:lineRule="auto"/>
        <w:ind w:right="51"/>
        <w:jc w:val="both"/>
        <w:rPr>
          <w:rFonts w:ascii="Palatino Linotype" w:hAnsi="Palatino Linotype"/>
          <w:b/>
          <w:sz w:val="28"/>
          <w:szCs w:val="28"/>
        </w:rPr>
      </w:pPr>
    </w:p>
    <w:p w14:paraId="661A540E" w14:textId="5EFB3CF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1B178E9B"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1C68AE6"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8CB9B67"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615B660"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0279A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021ABD"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7C8B666"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6A0A5D11"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AA13250"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0513F870"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A2E9E34"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9780F9A"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DFB5133"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D66EB98"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068E66F"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235CFD5A"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170350B" w14:textId="77777777" w:rsidR="0062497C" w:rsidRPr="006E4CCA" w:rsidRDefault="0062497C" w:rsidP="0062497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8AFCE8D" w14:textId="77777777" w:rsidR="004D54E3" w:rsidRDefault="004D54E3" w:rsidP="0062497C">
      <w:pPr>
        <w:pStyle w:val="Sinespaciado"/>
        <w:spacing w:line="360" w:lineRule="auto"/>
        <w:jc w:val="both"/>
        <w:rPr>
          <w:rFonts w:ascii="Palatino Linotype" w:hAnsi="Palatino Linotype"/>
        </w:rPr>
      </w:pPr>
    </w:p>
    <w:p w14:paraId="5B93ABBF" w14:textId="77777777" w:rsidR="00393D5B" w:rsidRDefault="00393D5B" w:rsidP="0062497C">
      <w:pPr>
        <w:pStyle w:val="Sinespaciado"/>
        <w:spacing w:line="360" w:lineRule="auto"/>
        <w:jc w:val="both"/>
        <w:rPr>
          <w:rFonts w:ascii="Palatino Linotype" w:hAnsi="Palatino Linotype"/>
        </w:rPr>
      </w:pPr>
    </w:p>
    <w:p w14:paraId="4387D377" w14:textId="2E6D755F" w:rsidR="00DC2AC2" w:rsidRDefault="007E4FA1" w:rsidP="00266AE6">
      <w:pPr>
        <w:pStyle w:val="Sinespaciado"/>
        <w:spacing w:line="360" w:lineRule="auto"/>
        <w:jc w:val="both"/>
        <w:rPr>
          <w:rFonts w:ascii="Palatino Linotype" w:hAnsi="Palatino Linotype"/>
        </w:rPr>
      </w:pPr>
      <w:r>
        <w:rPr>
          <w:rFonts w:ascii="Palatino Linotype" w:hAnsi="Palatino Linotype"/>
        </w:rPr>
        <w:t xml:space="preserve">Una vez sentado lo anterior, de una interpretación armónica a la solicitud de información </w:t>
      </w:r>
      <w:r w:rsidR="00DC2AC2">
        <w:rPr>
          <w:rFonts w:ascii="Palatino Linotype" w:hAnsi="Palatino Linotype"/>
          <w:b/>
          <w:bCs/>
        </w:rPr>
        <w:t>00324/UAEM/IP/2021</w:t>
      </w:r>
      <w:r w:rsidR="00DC2AC2">
        <w:rPr>
          <w:rFonts w:ascii="Palatino Linotype" w:hAnsi="Palatino Linotype"/>
        </w:rPr>
        <w:t xml:space="preserve">, es procedente mencionar que fue formulado un requerimiento en los siguientes términos: </w:t>
      </w:r>
    </w:p>
    <w:p w14:paraId="383C7915" w14:textId="6279A193" w:rsidR="00DC2AC2" w:rsidRPr="00DC2AC2" w:rsidRDefault="00DC2AC2" w:rsidP="00DC2AC2">
      <w:pPr>
        <w:pStyle w:val="Sinespaciado"/>
        <w:numPr>
          <w:ilvl w:val="0"/>
          <w:numId w:val="8"/>
        </w:numPr>
        <w:spacing w:line="360" w:lineRule="auto"/>
        <w:jc w:val="both"/>
        <w:rPr>
          <w:rFonts w:ascii="Palatino Linotype" w:hAnsi="Palatino Linotype"/>
        </w:rPr>
      </w:pPr>
      <w:r>
        <w:rPr>
          <w:rFonts w:ascii="Palatino Linotype" w:hAnsi="Palatino Linotype"/>
        </w:rPr>
        <w:t xml:space="preserve">El o los documentos en los que se registraron los lineamientos y criterios para la </w:t>
      </w:r>
      <w:r w:rsidRPr="00C36ED4">
        <w:rPr>
          <w:rFonts w:ascii="Palatino Linotype" w:hAnsi="Palatino Linotype"/>
          <w:b/>
          <w:u w:val="single"/>
        </w:rPr>
        <w:t>asignación directa</w:t>
      </w:r>
      <w:r>
        <w:rPr>
          <w:rFonts w:ascii="Palatino Linotype" w:hAnsi="Palatino Linotype"/>
        </w:rPr>
        <w:t xml:space="preserve"> de vehículos, durante la enajenación de vehículos realizada en el año 2014. </w:t>
      </w:r>
    </w:p>
    <w:p w14:paraId="39D4C228" w14:textId="77777777" w:rsidR="00DC2AC2" w:rsidRDefault="00DC2AC2" w:rsidP="00266AE6">
      <w:pPr>
        <w:pStyle w:val="Sinespaciado"/>
        <w:spacing w:line="360" w:lineRule="auto"/>
        <w:jc w:val="both"/>
        <w:rPr>
          <w:rFonts w:ascii="Palatino Linotype" w:hAnsi="Palatino Linotype"/>
        </w:rPr>
      </w:pPr>
    </w:p>
    <w:p w14:paraId="738997DE" w14:textId="759B9FFC" w:rsidR="00DC2AC2" w:rsidRDefault="00825B4E" w:rsidP="00266AE6">
      <w:pPr>
        <w:pStyle w:val="Sinespaciado"/>
        <w:spacing w:line="360" w:lineRule="auto"/>
        <w:jc w:val="both"/>
        <w:rPr>
          <w:rFonts w:ascii="Palatino Linotype" w:hAnsi="Palatino Linotype"/>
        </w:rPr>
      </w:pPr>
      <w:r>
        <w:rPr>
          <w:rFonts w:ascii="Palatino Linotype" w:hAnsi="Palatino Linotype"/>
        </w:rPr>
        <w:t xml:space="preserve">Una vez sentado lo anterior, en atención al requerimiento formulado por el particular, resulta de nuestro más amplio interés </w:t>
      </w:r>
      <w:r w:rsidR="000A5544">
        <w:rPr>
          <w:rFonts w:ascii="Palatino Linotype" w:hAnsi="Palatino Linotype"/>
        </w:rPr>
        <w:t xml:space="preserve">el artículo 5, décimo primer párrafo de la Constitución Política del Estado Libre y Soberano de México, así como </w:t>
      </w:r>
      <w:r>
        <w:rPr>
          <w:rFonts w:ascii="Palatino Linotype" w:hAnsi="Palatino Linotype"/>
        </w:rPr>
        <w:t xml:space="preserve">los </w:t>
      </w:r>
      <w:r w:rsidR="000A5544">
        <w:rPr>
          <w:rFonts w:ascii="Palatino Linotype" w:hAnsi="Palatino Linotype"/>
        </w:rPr>
        <w:t>numerales</w:t>
      </w:r>
      <w:r>
        <w:rPr>
          <w:rFonts w:ascii="Palatino Linotype" w:hAnsi="Palatino Linotype"/>
        </w:rPr>
        <w:t xml:space="preserve"> </w:t>
      </w:r>
      <w:r w:rsidR="000A5544">
        <w:rPr>
          <w:rFonts w:ascii="Palatino Linotype" w:hAnsi="Palatino Linotype"/>
        </w:rPr>
        <w:t xml:space="preserve">21, fracción IX, 35 y 36 de la Ley de la Universidad Autónoma del Estado de México, porciones normativas que disponen a la literalidad lo siguiente: </w:t>
      </w:r>
    </w:p>
    <w:p w14:paraId="0D668AAB" w14:textId="4BC8E23A" w:rsidR="007E4FA1" w:rsidRPr="000A5544" w:rsidRDefault="000A5544" w:rsidP="000A5544">
      <w:pPr>
        <w:pStyle w:val="INFOEM"/>
        <w:jc w:val="center"/>
        <w:rPr>
          <w:b/>
          <w:bCs/>
        </w:rPr>
      </w:pPr>
      <w:r>
        <w:rPr>
          <w:b/>
          <w:bCs/>
        </w:rPr>
        <w:t>Constitución Política del Estado Libre y Soberano de México</w:t>
      </w:r>
    </w:p>
    <w:p w14:paraId="41268418" w14:textId="38FDD6C3" w:rsidR="00F84371" w:rsidRDefault="00F84371" w:rsidP="00605B10">
      <w:pPr>
        <w:pStyle w:val="INFOEM"/>
      </w:pPr>
      <w:r>
        <w:t>“Artículo 5.- (…)</w:t>
      </w:r>
    </w:p>
    <w:p w14:paraId="289E5B92" w14:textId="46A8353E" w:rsidR="00F84371" w:rsidRDefault="00F84371" w:rsidP="00605B10">
      <w:pPr>
        <w:pStyle w:val="INFOEM"/>
      </w:pPr>
      <w:r>
        <w:lastRenderedPageBreak/>
        <w:t>La Universidad Autónoma del Estado de México es un órgano público descentralizado del Estado de México, contará con personalidad jurídica y patrimonio propios; se encontrará dotada de plena autonomía en su régimen interior en todo lo concerniente a sus aspectos académicos, técnicos, de gobierno, administrativos y económicos. Tendrá por fines impartir la educación media superior y superior; llevar a cabo la investigación humanística, científica y tecnológica; difundir y extender los avances del humanismo, la ciencia, la tecnología, el arte y otras manifestaciones de la cultura, conforme a lo dispuesto en la facción VII del artículo 3º de la Constitución Política de los Estado Unidos Mexicanos.</w:t>
      </w:r>
    </w:p>
    <w:p w14:paraId="3E0F6D61" w14:textId="0AE5605F" w:rsidR="00F84371" w:rsidRPr="00F84371" w:rsidRDefault="00F84371" w:rsidP="00605B10">
      <w:pPr>
        <w:pStyle w:val="INFOEM"/>
        <w:rPr>
          <w:rStyle w:val="markedcontent"/>
          <w:b/>
          <w:bCs/>
        </w:rPr>
      </w:pPr>
      <w:r>
        <w:t xml:space="preserve">(…)” </w:t>
      </w:r>
      <w:r>
        <w:rPr>
          <w:b/>
          <w:bCs/>
        </w:rPr>
        <w:t xml:space="preserve">[Sic] </w:t>
      </w:r>
    </w:p>
    <w:p w14:paraId="731854DC" w14:textId="77777777" w:rsidR="00F84371" w:rsidRDefault="00F84371" w:rsidP="00605B10">
      <w:pPr>
        <w:pStyle w:val="INFOEM"/>
        <w:rPr>
          <w:rStyle w:val="markedcontent"/>
        </w:rPr>
      </w:pPr>
    </w:p>
    <w:p w14:paraId="4DBE28DB" w14:textId="5C83F887" w:rsidR="00F84371" w:rsidRPr="00F84371" w:rsidRDefault="00F84371" w:rsidP="00F84371">
      <w:pPr>
        <w:pStyle w:val="INFOEM"/>
        <w:jc w:val="center"/>
        <w:rPr>
          <w:rStyle w:val="markedcontent"/>
          <w:b/>
          <w:bCs/>
        </w:rPr>
      </w:pPr>
      <w:r>
        <w:rPr>
          <w:rStyle w:val="markedcontent"/>
          <w:b/>
          <w:bCs/>
        </w:rPr>
        <w:t>Ley de la Universidad Autónoma del Estado de México</w:t>
      </w:r>
    </w:p>
    <w:p w14:paraId="64109954" w14:textId="077C7C6D" w:rsidR="00DC2AC2" w:rsidRPr="00605B10" w:rsidRDefault="000A5544" w:rsidP="00605B10">
      <w:pPr>
        <w:pStyle w:val="INFOEM"/>
        <w:rPr>
          <w:rStyle w:val="markedcontent"/>
        </w:rPr>
      </w:pPr>
      <w:r>
        <w:rPr>
          <w:rStyle w:val="markedcontent"/>
        </w:rPr>
        <w:t>“</w:t>
      </w:r>
      <w:r w:rsidR="00825B4E" w:rsidRPr="00605B10">
        <w:rPr>
          <w:rStyle w:val="markedcontent"/>
        </w:rPr>
        <w:t>ARTÍCULO 21.- El Consejo Universitario tiene las siguientes facultades:</w:t>
      </w:r>
    </w:p>
    <w:p w14:paraId="7BCBB8FB" w14:textId="46670BC3" w:rsidR="00825B4E" w:rsidRPr="00605B10" w:rsidRDefault="00825B4E" w:rsidP="00605B10">
      <w:pPr>
        <w:pStyle w:val="INFOEM"/>
        <w:rPr>
          <w:rStyle w:val="markedcontent"/>
        </w:rPr>
      </w:pPr>
      <w:r w:rsidRPr="00605B10">
        <w:rPr>
          <w:rStyle w:val="markedcontent"/>
        </w:rPr>
        <w:t>(…)</w:t>
      </w:r>
    </w:p>
    <w:p w14:paraId="7A3B1BB7" w14:textId="0D0C8D55" w:rsidR="00825B4E" w:rsidRPr="00605B10" w:rsidRDefault="00825B4E" w:rsidP="00605B10">
      <w:pPr>
        <w:pStyle w:val="INFOEM"/>
        <w:rPr>
          <w:rStyle w:val="markedcontent"/>
        </w:rPr>
      </w:pPr>
      <w:r w:rsidRPr="00605B10">
        <w:rPr>
          <w:rStyle w:val="markedcontent"/>
        </w:rPr>
        <w:t xml:space="preserve">IX. Vigilar la preservación y conservación del patrimonio universitario, así como, conocer y resolver sobre actos que asignen, dispongan o graven sus </w:t>
      </w:r>
      <w:r w:rsidRPr="00605B10">
        <w:rPr>
          <w:rStyle w:val="highlight"/>
        </w:rPr>
        <w:t>biene</w:t>
      </w:r>
      <w:r w:rsidRPr="00605B10">
        <w:rPr>
          <w:rStyle w:val="markedcontent"/>
        </w:rPr>
        <w:t>s.</w:t>
      </w:r>
    </w:p>
    <w:p w14:paraId="119D5E7A" w14:textId="4FCB5331" w:rsidR="00605B10" w:rsidRPr="00605B10" w:rsidRDefault="00605B10" w:rsidP="00605B10">
      <w:pPr>
        <w:pStyle w:val="INFOEM"/>
        <w:rPr>
          <w:rStyle w:val="markedcontent"/>
        </w:rPr>
      </w:pPr>
      <w:r w:rsidRPr="00605B10">
        <w:rPr>
          <w:rStyle w:val="markedcontent"/>
        </w:rPr>
        <w:t>(…)</w:t>
      </w:r>
    </w:p>
    <w:p w14:paraId="1D1738B1" w14:textId="4CB9827D" w:rsidR="00605B10" w:rsidRDefault="00605B10" w:rsidP="00605B10">
      <w:pPr>
        <w:pStyle w:val="INFOEM"/>
        <w:rPr>
          <w:rStyle w:val="markedcontent"/>
        </w:rPr>
      </w:pPr>
      <w:r w:rsidRPr="00605B10">
        <w:rPr>
          <w:rStyle w:val="markedcontent"/>
        </w:rPr>
        <w:t>ARTÍCULO 35.- El patrimonio de la Universidad está destinado al cumplimiento de su objeto y</w:t>
      </w:r>
      <w:r>
        <w:rPr>
          <w:rStyle w:val="markedcontent"/>
        </w:rPr>
        <w:t xml:space="preserve"> </w:t>
      </w:r>
      <w:r w:rsidRPr="00605B10">
        <w:rPr>
          <w:rStyle w:val="markedcontent"/>
        </w:rPr>
        <w:t xml:space="preserve">fines, sin otra limitante que lo previsto en esta Ley. Es deber de la Universidad su preservación, administración e incremento, sin otra limitación que </w:t>
      </w:r>
      <w:r w:rsidRPr="00605B10">
        <w:rPr>
          <w:rStyle w:val="markedcontent"/>
        </w:rPr>
        <w:lastRenderedPageBreak/>
        <w:t xml:space="preserve">la naturaleza de los </w:t>
      </w:r>
      <w:r w:rsidRPr="00605B10">
        <w:rPr>
          <w:rStyle w:val="highlight"/>
        </w:rPr>
        <w:t>biene</w:t>
      </w:r>
      <w:r w:rsidRPr="00605B10">
        <w:rPr>
          <w:rStyle w:val="markedcontent"/>
        </w:rPr>
        <w:t xml:space="preserve">s, el régimen jurídico que les es aplicable y la observancia de la reglamentación universitaria expedida para tal efecto. </w:t>
      </w:r>
      <w:r>
        <w:rPr>
          <w:rStyle w:val="markedcontent"/>
        </w:rPr>
        <w:t xml:space="preserve"> </w:t>
      </w:r>
    </w:p>
    <w:p w14:paraId="46436AEC" w14:textId="50A7B437" w:rsidR="00605B10" w:rsidRPr="00605B10" w:rsidRDefault="00605B10" w:rsidP="00605B10">
      <w:pPr>
        <w:pStyle w:val="INFOEM"/>
        <w:rPr>
          <w:rStyle w:val="markedcontent"/>
        </w:rPr>
      </w:pPr>
      <w:r w:rsidRPr="00605B10">
        <w:rPr>
          <w:rStyle w:val="markedcontent"/>
        </w:rPr>
        <w:t>El patrimonio de la Universidad se constituye con el conjunto de bienes, ingresos, derechos y</w:t>
      </w:r>
      <w:r w:rsidR="000A5544">
        <w:rPr>
          <w:rStyle w:val="markedcontent"/>
        </w:rPr>
        <w:t xml:space="preserve"> </w:t>
      </w:r>
      <w:r w:rsidRPr="00605B10">
        <w:rPr>
          <w:rStyle w:val="markedcontent"/>
        </w:rPr>
        <w:t>obligaciones con que actualmente cuenta, y todo aquello que se integre bajo cualquier título.</w:t>
      </w:r>
    </w:p>
    <w:p w14:paraId="26F15EB2" w14:textId="77777777" w:rsidR="000A5544" w:rsidRDefault="000A5544" w:rsidP="000A5544">
      <w:pPr>
        <w:pStyle w:val="INFOEM"/>
        <w:rPr>
          <w:rStyle w:val="markedcontent"/>
        </w:rPr>
      </w:pPr>
      <w:r>
        <w:rPr>
          <w:rStyle w:val="markedcontent"/>
        </w:rPr>
        <w:t>A</w:t>
      </w:r>
      <w:r w:rsidR="00605B10" w:rsidRPr="00605B10">
        <w:rPr>
          <w:rStyle w:val="markedcontent"/>
        </w:rPr>
        <w:t>RTÍCULO 36.- El patrimonio universitario, conforme al destino que se le asigne, se integra por:</w:t>
      </w:r>
    </w:p>
    <w:p w14:paraId="45BEC2FC" w14:textId="77777777" w:rsidR="000A5544" w:rsidRDefault="00605B10" w:rsidP="000A5544">
      <w:pPr>
        <w:pStyle w:val="INFOEM"/>
        <w:rPr>
          <w:rStyle w:val="markedcontent"/>
        </w:rPr>
      </w:pPr>
      <w:r w:rsidRPr="00605B10">
        <w:rPr>
          <w:rStyle w:val="markedcontent"/>
        </w:rPr>
        <w:t xml:space="preserve">I. </w:t>
      </w:r>
      <w:r w:rsidRPr="000A5544">
        <w:rPr>
          <w:rStyle w:val="markedcontent"/>
          <w:b/>
          <w:bCs/>
          <w:u w:val="single"/>
        </w:rPr>
        <w:t xml:space="preserve">Bienes al uso o servicio de la Universidad, que son aquellos directamente afectos a la </w:t>
      </w:r>
      <w:r w:rsidR="000A5544" w:rsidRPr="000A5544">
        <w:rPr>
          <w:rStyle w:val="markedcontent"/>
          <w:b/>
          <w:bCs/>
          <w:u w:val="single"/>
        </w:rPr>
        <w:t>realización de</w:t>
      </w:r>
      <w:r w:rsidRPr="000A5544">
        <w:rPr>
          <w:rStyle w:val="markedcontent"/>
          <w:b/>
          <w:bCs/>
          <w:u w:val="single"/>
        </w:rPr>
        <w:t xml:space="preserve"> los servicios docentes, de investigación, extensión y administración universitaria, además de los que, por su naturaleza o destino, coadyuven en la realización del objeto y fines de la institución. </w:t>
      </w:r>
      <w:r w:rsidRPr="000A5544">
        <w:rPr>
          <w:b/>
          <w:bCs/>
          <w:u w:val="single"/>
        </w:rPr>
        <w:br/>
      </w:r>
      <w:r w:rsidRPr="00605B10">
        <w:rPr>
          <w:rStyle w:val="markedcontent"/>
        </w:rPr>
        <w:t xml:space="preserve">II. Patrimonio cultural de la Universidad, que se constituye por el acervo de bienes relativos a los conocimientos y valores de carácter humanístico, científico, tecnológico, histórico, artístico y de otras manifestaciones de la cultura, que sean producto de la sociedad y sus comunidades, así como por aquellos cuyas características lo preserven y enriquezcan. </w:t>
      </w:r>
    </w:p>
    <w:p w14:paraId="0758E7B9" w14:textId="6D9E3994" w:rsidR="00605B10" w:rsidRPr="00F84371" w:rsidRDefault="00605B10" w:rsidP="000A5544">
      <w:pPr>
        <w:pStyle w:val="INFOEM"/>
        <w:rPr>
          <w:rStyle w:val="markedcontent"/>
          <w:b/>
          <w:bCs/>
        </w:rPr>
      </w:pPr>
      <w:r w:rsidRPr="00605B10">
        <w:rPr>
          <w:rStyle w:val="markedcontent"/>
        </w:rPr>
        <w:t>III. Recursos financieros de la Universidad, que son los ingresos que percibe en forma ordinaria o extraordinaria mediante subsidios, inversiones y participaciones: derechos, rentas, productos y aprovechamientos: créditos, valores y empréstitos; donaciones; cuotas; recursos provenientes de fuentes alternas de financiamiento y demás medios que se determinen.</w:t>
      </w:r>
      <w:r w:rsidR="00F84371">
        <w:rPr>
          <w:rStyle w:val="markedcontent"/>
        </w:rPr>
        <w:t xml:space="preserve">” </w:t>
      </w:r>
      <w:r w:rsidR="00F84371">
        <w:rPr>
          <w:rStyle w:val="markedcontent"/>
          <w:b/>
          <w:bCs/>
        </w:rPr>
        <w:t xml:space="preserve">[Sic] </w:t>
      </w:r>
    </w:p>
    <w:p w14:paraId="0FFCDD0C" w14:textId="6A13E3F1" w:rsidR="000A5544" w:rsidRDefault="000A5544" w:rsidP="00F84371">
      <w:pPr>
        <w:pStyle w:val="INFOEM"/>
        <w:ind w:left="0"/>
      </w:pPr>
    </w:p>
    <w:p w14:paraId="117D7246" w14:textId="176F600A" w:rsidR="005D5EFB" w:rsidRDefault="00F84371" w:rsidP="00F84371">
      <w:pPr>
        <w:pStyle w:val="INFOEM"/>
        <w:ind w:left="0" w:right="72"/>
        <w:rPr>
          <w:i w:val="0"/>
          <w:iCs/>
          <w:sz w:val="24"/>
          <w:szCs w:val="24"/>
        </w:rPr>
      </w:pPr>
      <w:r>
        <w:rPr>
          <w:i w:val="0"/>
          <w:iCs/>
          <w:sz w:val="24"/>
          <w:szCs w:val="24"/>
        </w:rPr>
        <w:lastRenderedPageBreak/>
        <w:t xml:space="preserve">De ahí que deba arribarse a la premisa de que </w:t>
      </w:r>
      <w:r w:rsidR="002173B1">
        <w:rPr>
          <w:i w:val="0"/>
          <w:iCs/>
          <w:sz w:val="24"/>
          <w:szCs w:val="24"/>
        </w:rPr>
        <w:t xml:space="preserve">por mandato constitucional </w:t>
      </w:r>
      <w:r>
        <w:rPr>
          <w:b/>
          <w:bCs/>
          <w:i w:val="0"/>
          <w:iCs/>
          <w:sz w:val="24"/>
          <w:szCs w:val="24"/>
        </w:rPr>
        <w:t>El Sujeto Obligado</w:t>
      </w:r>
      <w:r w:rsidR="002173B1">
        <w:rPr>
          <w:b/>
          <w:bCs/>
          <w:i w:val="0"/>
          <w:iCs/>
          <w:sz w:val="24"/>
          <w:szCs w:val="24"/>
        </w:rPr>
        <w:t xml:space="preserve"> </w:t>
      </w:r>
      <w:r>
        <w:rPr>
          <w:b/>
          <w:bCs/>
          <w:i w:val="0"/>
          <w:iCs/>
          <w:sz w:val="24"/>
          <w:szCs w:val="24"/>
        </w:rPr>
        <w:t xml:space="preserve"> </w:t>
      </w:r>
      <w:r>
        <w:rPr>
          <w:i w:val="0"/>
          <w:iCs/>
          <w:sz w:val="24"/>
          <w:szCs w:val="24"/>
        </w:rPr>
        <w:t xml:space="preserve">es un órgano público descentralizado del Estado de México, con personalidad jurídica y cuyo patrimonio se divide </w:t>
      </w:r>
      <w:r w:rsidR="005D5EFB">
        <w:rPr>
          <w:i w:val="0"/>
          <w:iCs/>
          <w:sz w:val="24"/>
          <w:szCs w:val="24"/>
        </w:rPr>
        <w:t xml:space="preserve">en cultural, financiero </w:t>
      </w:r>
      <w:r w:rsidR="005D5EFB" w:rsidRPr="00303BAD">
        <w:rPr>
          <w:b/>
          <w:i w:val="0"/>
          <w:iCs/>
          <w:sz w:val="24"/>
          <w:szCs w:val="24"/>
          <w:u w:val="single"/>
        </w:rPr>
        <w:t xml:space="preserve">o de uso o servicio de la Universidad, </w:t>
      </w:r>
      <w:r w:rsidR="005D5EFB">
        <w:rPr>
          <w:i w:val="0"/>
          <w:iCs/>
          <w:sz w:val="24"/>
          <w:szCs w:val="24"/>
        </w:rPr>
        <w:t xml:space="preserve">resultando de nuestro más amplio interés este último. </w:t>
      </w:r>
    </w:p>
    <w:p w14:paraId="181C7416" w14:textId="38AB1F76" w:rsidR="00F84371" w:rsidRDefault="00F84371" w:rsidP="00F84371">
      <w:pPr>
        <w:pStyle w:val="INFOEM"/>
        <w:ind w:left="0" w:right="72"/>
        <w:rPr>
          <w:i w:val="0"/>
          <w:iCs/>
          <w:sz w:val="24"/>
          <w:szCs w:val="24"/>
        </w:rPr>
      </w:pPr>
      <w:r>
        <w:rPr>
          <w:i w:val="0"/>
          <w:iCs/>
          <w:sz w:val="24"/>
          <w:szCs w:val="24"/>
        </w:rPr>
        <w:t xml:space="preserve"> </w:t>
      </w:r>
      <w:r w:rsidR="00AA061F">
        <w:rPr>
          <w:i w:val="0"/>
          <w:iCs/>
          <w:sz w:val="24"/>
          <w:szCs w:val="24"/>
        </w:rPr>
        <w:t xml:space="preserve">De forma complementaria, en alusión al requerimiento formulado por el particular, resulta oportuno traer a colación las siguientes imágenes ilustrativas, correspondientes al organigrama del </w:t>
      </w:r>
      <w:r w:rsidR="00AA061F">
        <w:rPr>
          <w:b/>
          <w:bCs/>
          <w:i w:val="0"/>
          <w:iCs/>
          <w:sz w:val="24"/>
          <w:szCs w:val="24"/>
        </w:rPr>
        <w:t xml:space="preserve">Sujeto Obligado, </w:t>
      </w:r>
      <w:r w:rsidR="00AA061F">
        <w:rPr>
          <w:i w:val="0"/>
          <w:iCs/>
          <w:sz w:val="24"/>
          <w:szCs w:val="24"/>
        </w:rPr>
        <w:t xml:space="preserve">susceptible de ser consultado en la siguiente dirección electrónica: </w:t>
      </w:r>
    </w:p>
    <w:p w14:paraId="2FC709E3" w14:textId="11E431F2" w:rsidR="00AA061F" w:rsidRPr="00AA061F" w:rsidRDefault="002173B1" w:rsidP="00F84371">
      <w:pPr>
        <w:pStyle w:val="INFOEM"/>
        <w:ind w:left="0" w:right="72"/>
        <w:rPr>
          <w:i w:val="0"/>
          <w:iCs/>
          <w:sz w:val="24"/>
          <w:szCs w:val="24"/>
        </w:rPr>
      </w:pPr>
      <w:r>
        <w:rPr>
          <w:i w:val="0"/>
          <w:iCs/>
          <w:noProof/>
          <w:sz w:val="24"/>
          <w:szCs w:val="24"/>
          <w:lang w:eastAsia="es-MX"/>
        </w:rPr>
        <w:drawing>
          <wp:anchor distT="0" distB="0" distL="114300" distR="114300" simplePos="0" relativeHeight="251760640" behindDoc="0" locked="0" layoutInCell="1" allowOverlap="1" wp14:anchorId="4C8E1C08" wp14:editId="175D0AB8">
            <wp:simplePos x="0" y="0"/>
            <wp:positionH relativeFrom="page">
              <wp:posOffset>1006475</wp:posOffset>
            </wp:positionH>
            <wp:positionV relativeFrom="paragraph">
              <wp:posOffset>678180</wp:posOffset>
            </wp:positionV>
            <wp:extent cx="5758815" cy="3586480"/>
            <wp:effectExtent l="19050" t="19050" r="13335" b="13970"/>
            <wp:wrapThrough wrapText="bothSides">
              <wp:wrapPolygon edited="0">
                <wp:start x="-71" y="-115"/>
                <wp:lineTo x="-71" y="21569"/>
                <wp:lineTo x="21579" y="21569"/>
                <wp:lineTo x="21579" y="-115"/>
                <wp:lineTo x="-71" y="-115"/>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815" cy="35864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12" w:history="1">
        <w:r w:rsidR="006C5355" w:rsidRPr="000E21D8">
          <w:rPr>
            <w:rStyle w:val="Hipervnculo"/>
            <w:i w:val="0"/>
            <w:iCs/>
            <w:sz w:val="24"/>
            <w:szCs w:val="24"/>
          </w:rPr>
          <w:t>http://transparencia.uaemex.mx/usuario/estOrg.php</w:t>
        </w:r>
      </w:hyperlink>
      <w:r w:rsidR="006C5355">
        <w:rPr>
          <w:i w:val="0"/>
          <w:iCs/>
          <w:sz w:val="24"/>
          <w:szCs w:val="24"/>
        </w:rPr>
        <w:t xml:space="preserve"> </w:t>
      </w:r>
    </w:p>
    <w:p w14:paraId="626468DB" w14:textId="7694D6C2" w:rsidR="00AA061F" w:rsidRDefault="00AA061F" w:rsidP="00F84371">
      <w:pPr>
        <w:pStyle w:val="INFOEM"/>
        <w:ind w:left="0" w:right="72"/>
        <w:rPr>
          <w:i w:val="0"/>
          <w:iCs/>
          <w:sz w:val="24"/>
          <w:szCs w:val="24"/>
        </w:rPr>
      </w:pPr>
    </w:p>
    <w:p w14:paraId="45B108D0" w14:textId="217B6EF9" w:rsidR="005D6EC6" w:rsidRDefault="002173B1" w:rsidP="00F84371">
      <w:pPr>
        <w:pStyle w:val="INFOEM"/>
        <w:ind w:left="0" w:right="72"/>
        <w:rPr>
          <w:i w:val="0"/>
          <w:iCs/>
          <w:sz w:val="24"/>
          <w:szCs w:val="24"/>
        </w:rPr>
      </w:pPr>
      <w:r>
        <w:rPr>
          <w:i w:val="0"/>
          <w:iCs/>
          <w:noProof/>
          <w:sz w:val="24"/>
          <w:szCs w:val="24"/>
          <w:lang w:eastAsia="es-MX"/>
        </w:rPr>
        <w:lastRenderedPageBreak/>
        <w:drawing>
          <wp:anchor distT="0" distB="0" distL="114300" distR="114300" simplePos="0" relativeHeight="251774976" behindDoc="0" locked="0" layoutInCell="1" allowOverlap="1" wp14:anchorId="6B0747BE" wp14:editId="12C230DF">
            <wp:simplePos x="0" y="0"/>
            <wp:positionH relativeFrom="column">
              <wp:posOffset>-139065</wp:posOffset>
            </wp:positionH>
            <wp:positionV relativeFrom="paragraph">
              <wp:posOffset>106045</wp:posOffset>
            </wp:positionV>
            <wp:extent cx="1704975" cy="1323975"/>
            <wp:effectExtent l="19050" t="19050" r="28575" b="28575"/>
            <wp:wrapThrough wrapText="bothSides">
              <wp:wrapPolygon edited="0">
                <wp:start x="-241" y="-311"/>
                <wp:lineTo x="-241" y="21755"/>
                <wp:lineTo x="21721" y="21755"/>
                <wp:lineTo x="21721" y="-311"/>
                <wp:lineTo x="-241" y="-311"/>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975" cy="13239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iCs/>
          <w:noProof/>
          <w:sz w:val="24"/>
          <w:szCs w:val="24"/>
          <w:lang w:eastAsia="es-MX"/>
        </w:rPr>
        <w:drawing>
          <wp:anchor distT="0" distB="0" distL="114300" distR="114300" simplePos="0" relativeHeight="251776000" behindDoc="0" locked="0" layoutInCell="1" allowOverlap="1" wp14:anchorId="7E758279" wp14:editId="38C5AE73">
            <wp:simplePos x="0" y="0"/>
            <wp:positionH relativeFrom="column">
              <wp:posOffset>1870075</wp:posOffset>
            </wp:positionH>
            <wp:positionV relativeFrom="paragraph">
              <wp:posOffset>108585</wp:posOffset>
            </wp:positionV>
            <wp:extent cx="1704975" cy="1343025"/>
            <wp:effectExtent l="19050" t="19050" r="28575" b="28575"/>
            <wp:wrapThrough wrapText="bothSides">
              <wp:wrapPolygon edited="0">
                <wp:start x="-241" y="-306"/>
                <wp:lineTo x="-241" y="21753"/>
                <wp:lineTo x="21721" y="21753"/>
                <wp:lineTo x="21721" y="-306"/>
                <wp:lineTo x="-241" y="-306"/>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4975" cy="13430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iCs/>
          <w:noProof/>
          <w:sz w:val="24"/>
          <w:szCs w:val="24"/>
          <w:lang w:eastAsia="es-MX"/>
        </w:rPr>
        <w:drawing>
          <wp:anchor distT="0" distB="0" distL="114300" distR="114300" simplePos="0" relativeHeight="251777024" behindDoc="0" locked="0" layoutInCell="1" allowOverlap="1" wp14:anchorId="1B192056" wp14:editId="61E8BDC9">
            <wp:simplePos x="0" y="0"/>
            <wp:positionH relativeFrom="column">
              <wp:posOffset>3847199</wp:posOffset>
            </wp:positionH>
            <wp:positionV relativeFrom="paragraph">
              <wp:posOffset>105868</wp:posOffset>
            </wp:positionV>
            <wp:extent cx="1704975" cy="1343025"/>
            <wp:effectExtent l="19050" t="19050" r="28575" b="28575"/>
            <wp:wrapThrough wrapText="bothSides">
              <wp:wrapPolygon edited="0">
                <wp:start x="-241" y="-306"/>
                <wp:lineTo x="-241" y="21753"/>
                <wp:lineTo x="21721" y="21753"/>
                <wp:lineTo x="21721" y="-306"/>
                <wp:lineTo x="-241" y="-306"/>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4975" cy="13430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D4B0F5D" w14:textId="3EADBE0E" w:rsidR="00AA061F" w:rsidRDefault="002D4307" w:rsidP="00F84371">
      <w:pPr>
        <w:pStyle w:val="INFOEM"/>
        <w:ind w:left="0" w:right="72"/>
        <w:rPr>
          <w:i w:val="0"/>
          <w:iCs/>
          <w:sz w:val="24"/>
          <w:szCs w:val="24"/>
        </w:rPr>
      </w:pPr>
      <w:r>
        <w:rPr>
          <w:i w:val="0"/>
          <w:iCs/>
          <w:sz w:val="24"/>
          <w:szCs w:val="24"/>
        </w:rPr>
        <w:t xml:space="preserve">De lo expuesto con anterioridad, se desprende que </w:t>
      </w:r>
      <w:r>
        <w:rPr>
          <w:b/>
          <w:i w:val="0"/>
          <w:iCs/>
          <w:sz w:val="24"/>
          <w:szCs w:val="24"/>
        </w:rPr>
        <w:t xml:space="preserve">El Sujeto Obligado </w:t>
      </w:r>
      <w:r>
        <w:rPr>
          <w:i w:val="0"/>
          <w:iCs/>
          <w:sz w:val="24"/>
          <w:szCs w:val="24"/>
        </w:rPr>
        <w:t xml:space="preserve">se auxilia de diversas Direcciones, Departamentos y Órganos para cumplir con sus fines y objetivos, resultando de nuestro interés la </w:t>
      </w:r>
      <w:r w:rsidR="00474B7D">
        <w:rPr>
          <w:i w:val="0"/>
          <w:iCs/>
          <w:sz w:val="24"/>
          <w:szCs w:val="24"/>
        </w:rPr>
        <w:t xml:space="preserve">Secretaría de Administración, </w:t>
      </w:r>
      <w:r w:rsidR="00303BAD">
        <w:rPr>
          <w:i w:val="0"/>
          <w:iCs/>
          <w:sz w:val="24"/>
          <w:szCs w:val="24"/>
        </w:rPr>
        <w:t xml:space="preserve">la Dirección de Recursos Materiales y Servicios Generales, así como </w:t>
      </w:r>
      <w:r w:rsidR="00474B7D">
        <w:rPr>
          <w:i w:val="0"/>
          <w:iCs/>
          <w:sz w:val="24"/>
          <w:szCs w:val="24"/>
        </w:rPr>
        <w:t xml:space="preserve">el Departamento de Procesos de Contratación </w:t>
      </w:r>
      <w:r w:rsidR="00303BAD">
        <w:rPr>
          <w:i w:val="0"/>
          <w:iCs/>
          <w:sz w:val="24"/>
          <w:szCs w:val="24"/>
        </w:rPr>
        <w:t xml:space="preserve">y Seguimiento de Adquisiciones. </w:t>
      </w:r>
      <w:r w:rsidR="00474B7D">
        <w:rPr>
          <w:i w:val="0"/>
          <w:iCs/>
          <w:sz w:val="24"/>
          <w:szCs w:val="24"/>
        </w:rPr>
        <w:t>En este</w:t>
      </w:r>
      <w:r w:rsidR="005D6EC6">
        <w:rPr>
          <w:i w:val="0"/>
          <w:iCs/>
          <w:sz w:val="24"/>
          <w:szCs w:val="24"/>
        </w:rPr>
        <w:t xml:space="preserve"> tenor, resultan aplicables diversos apartados del Manual de Organización de la Secretaría de Administración, cuyo contenido literal es el siguiente: </w:t>
      </w:r>
    </w:p>
    <w:p w14:paraId="2FFFF46C" w14:textId="64E29EB5" w:rsidR="00474B7D" w:rsidRPr="005D6EC6" w:rsidRDefault="005D6EC6" w:rsidP="003F22C5">
      <w:pPr>
        <w:pStyle w:val="INFOEM"/>
        <w:rPr>
          <w:b/>
        </w:rPr>
      </w:pPr>
      <w:r w:rsidRPr="005D6EC6">
        <w:rPr>
          <w:b/>
        </w:rPr>
        <w:t xml:space="preserve"> </w:t>
      </w:r>
      <w:r w:rsidR="003F22C5" w:rsidRPr="005D6EC6">
        <w:rPr>
          <w:b/>
        </w:rPr>
        <w:t>“</w:t>
      </w:r>
      <w:r w:rsidR="00474B7D" w:rsidRPr="005D6EC6">
        <w:rPr>
          <w:b/>
        </w:rPr>
        <w:t xml:space="preserve">SECRETARÍA DE ADMINISTRACIÓN </w:t>
      </w:r>
    </w:p>
    <w:p w14:paraId="72CB22F9" w14:textId="03A02475" w:rsidR="00474B7D" w:rsidRPr="003F22C5" w:rsidRDefault="00474B7D" w:rsidP="003F22C5">
      <w:pPr>
        <w:pStyle w:val="INFOEM"/>
      </w:pPr>
      <w:r w:rsidRPr="003F22C5">
        <w:t xml:space="preserve">OBJETIVO: Contribuir al logro de los objetivos institucionales a través de la adecuada planeación, operación, suministro y control de los recursos materiales, financieros y técnicos, así como del personal necesario para dar respuestas efectivas a las demandas de la comunidad universitaria. </w:t>
      </w:r>
    </w:p>
    <w:p w14:paraId="2730A963" w14:textId="76099A66" w:rsidR="00AA061F" w:rsidRPr="003F22C5" w:rsidRDefault="00474B7D" w:rsidP="003F22C5">
      <w:pPr>
        <w:pStyle w:val="INFOEM"/>
      </w:pPr>
      <w:r w:rsidRPr="003F22C5">
        <w:t>FUNCIONES:</w:t>
      </w:r>
    </w:p>
    <w:p w14:paraId="69752347" w14:textId="26117E6B" w:rsidR="00474B7D" w:rsidRPr="003F22C5" w:rsidRDefault="00474B7D" w:rsidP="003F22C5">
      <w:pPr>
        <w:pStyle w:val="INFOEM"/>
      </w:pPr>
      <w:r w:rsidRPr="003F22C5">
        <w:t>(…)</w:t>
      </w:r>
    </w:p>
    <w:p w14:paraId="2786904B" w14:textId="68DB6478" w:rsidR="00474B7D" w:rsidRPr="003F22C5" w:rsidRDefault="00474B7D" w:rsidP="003F22C5">
      <w:pPr>
        <w:pStyle w:val="INFOEM"/>
        <w:numPr>
          <w:ilvl w:val="0"/>
          <w:numId w:val="10"/>
        </w:numPr>
        <w:ind w:left="1134"/>
        <w:rPr>
          <w:b/>
          <w:u w:val="single"/>
        </w:rPr>
      </w:pPr>
      <w:r w:rsidRPr="003F22C5">
        <w:rPr>
          <w:b/>
          <w:u w:val="single"/>
        </w:rPr>
        <w:lastRenderedPageBreak/>
        <w:t>Autorizar, supervisar y en su caso intervenir en la adquisición de bienes muebles y contratación de servicios que requieran los diferentes espacios universitarios.</w:t>
      </w:r>
    </w:p>
    <w:p w14:paraId="53BC307F" w14:textId="43AA3DE3" w:rsidR="00474B7D" w:rsidRPr="003F22C5" w:rsidRDefault="00474B7D" w:rsidP="003F22C5">
      <w:pPr>
        <w:pStyle w:val="INFOEM"/>
        <w:numPr>
          <w:ilvl w:val="0"/>
          <w:numId w:val="10"/>
        </w:numPr>
        <w:ind w:left="1134"/>
        <w:rPr>
          <w:b/>
          <w:u w:val="single"/>
        </w:rPr>
      </w:pPr>
      <w:r w:rsidRPr="003F22C5">
        <w:rPr>
          <w:b/>
          <w:u w:val="single"/>
        </w:rPr>
        <w:t>Regular las operaciones que realicen los espacios universitarios, relativas a la adquisición de bienes muebles e inmuebles, enajenación, arrendamiento y contratación de servicios.</w:t>
      </w:r>
    </w:p>
    <w:p w14:paraId="082B832D" w14:textId="055E92FA" w:rsidR="00474B7D" w:rsidRPr="003F22C5" w:rsidRDefault="00474B7D" w:rsidP="003F22C5">
      <w:pPr>
        <w:pStyle w:val="INFOEM"/>
        <w:numPr>
          <w:ilvl w:val="0"/>
          <w:numId w:val="10"/>
        </w:numPr>
        <w:ind w:left="1134"/>
      </w:pPr>
      <w:r w:rsidRPr="003F22C5">
        <w:t>Coordinar la adquisición de bienes y contratación de obras o servicios, en atención a la normatividad, cuando ésta se efectúa con cargo a fondos provenientes de acuerdos o convenios</w:t>
      </w:r>
      <w:r w:rsidR="003F22C5">
        <w:rPr>
          <w:b/>
        </w:rPr>
        <w:t xml:space="preserve"> </w:t>
      </w:r>
    </w:p>
    <w:p w14:paraId="7DEB40C8" w14:textId="718B0643" w:rsidR="003F22C5" w:rsidRDefault="003F22C5" w:rsidP="003F22C5">
      <w:pPr>
        <w:pStyle w:val="INFOEM"/>
      </w:pPr>
      <w:r>
        <w:t>(…)</w:t>
      </w:r>
    </w:p>
    <w:p w14:paraId="2122170B" w14:textId="77777777" w:rsidR="005D6EC6" w:rsidRDefault="005D6EC6" w:rsidP="003F22C5">
      <w:pPr>
        <w:pStyle w:val="INFOEM"/>
      </w:pPr>
    </w:p>
    <w:p w14:paraId="65C65FA9" w14:textId="77777777" w:rsidR="003F22C5" w:rsidRPr="005D6EC6" w:rsidRDefault="003F22C5" w:rsidP="003F22C5">
      <w:pPr>
        <w:pStyle w:val="INFOEM"/>
        <w:rPr>
          <w:b/>
          <w:u w:val="single"/>
        </w:rPr>
      </w:pPr>
      <w:r w:rsidRPr="005D6EC6">
        <w:rPr>
          <w:b/>
          <w:u w:val="single"/>
        </w:rPr>
        <w:t xml:space="preserve">DIRECCIÓN DE RECURSOS MATERIALES Y SERVICIOS GENERALES </w:t>
      </w:r>
    </w:p>
    <w:p w14:paraId="7D7C3A7D" w14:textId="0650CFA2" w:rsidR="003F22C5" w:rsidRDefault="003F22C5" w:rsidP="003F22C5">
      <w:pPr>
        <w:pStyle w:val="INFOEM"/>
      </w:pPr>
      <w:r>
        <w:t>OBJETIVO: Suministrar con eficacia, eficiencia, imparcialidad y honradez los bienes y/o contratación de servicios solicitados por los espacios académicos y dependencias de la Universidad, con el fin de coadyuvar en el cumplimiento de sus funciones, realizando las adquisiciones, arrendamientos y contratación de servicios, tanto con recursos provenientes del fondo de operación genérico como de fondos específicos, asegurando con ello las mejores condiciones económicas para la Universidad, en cuanto a precio, calidad, tiempo de entrega y financiamiento.</w:t>
      </w:r>
    </w:p>
    <w:p w14:paraId="239E038E" w14:textId="06509370" w:rsidR="003F22C5" w:rsidRDefault="003F22C5" w:rsidP="003F22C5">
      <w:pPr>
        <w:pStyle w:val="INFOEM"/>
      </w:pPr>
      <w:r>
        <w:t>FUNCIONES:</w:t>
      </w:r>
    </w:p>
    <w:p w14:paraId="5C34D5E6" w14:textId="42582F9F" w:rsidR="003F22C5" w:rsidRDefault="003F22C5" w:rsidP="003F22C5">
      <w:pPr>
        <w:pStyle w:val="INFOEM"/>
      </w:pPr>
      <w:r>
        <w:lastRenderedPageBreak/>
        <w:t>- Organizar y controlar la programación y presupuestación de las adquisiciones, arrendamientos y contratación de servicios que realice la Universidad, a través de las diferentes modalidades de adquisición, como son: Licitación Pública, Licitación Pública Federal, Invitación Restringida, Invitación a Cuando menos 3 Personas, Adjudicación Directa y Compra Directa, de acuerdo al monto establecido para cada una de ellas y conforme al marco jurídico vigente en la materia.</w:t>
      </w:r>
    </w:p>
    <w:p w14:paraId="7FC2D860" w14:textId="12AC2877" w:rsidR="003F22C5" w:rsidRDefault="003F22C5" w:rsidP="003F22C5">
      <w:pPr>
        <w:pStyle w:val="INFOEM"/>
      </w:pPr>
      <w:r>
        <w:t>(…)</w:t>
      </w:r>
    </w:p>
    <w:p w14:paraId="71990730" w14:textId="40FC11B2" w:rsidR="003F22C5" w:rsidRPr="005D6EC6" w:rsidRDefault="005D6EC6" w:rsidP="003F22C5">
      <w:pPr>
        <w:pStyle w:val="INFOEM"/>
      </w:pPr>
      <w:r>
        <w:t xml:space="preserve">- </w:t>
      </w:r>
      <w:r w:rsidR="003F22C5" w:rsidRPr="005D6EC6">
        <w:rPr>
          <w:b/>
          <w:u w:val="single"/>
        </w:rPr>
        <w:t>Fungir como Secretario ante el Comité de Adquisiciones, Arrendamientos y Servicios, sometiendo a consideración de este Órgano los procesos de adquisición a realizarse dentro de la Universidad.</w:t>
      </w:r>
      <w:r>
        <w:rPr>
          <w:b/>
          <w:u w:val="single"/>
        </w:rPr>
        <w:t xml:space="preserve">” </w:t>
      </w:r>
      <w:r w:rsidRPr="005D6EC6">
        <w:rPr>
          <w:b/>
          <w:u w:val="single"/>
        </w:rPr>
        <w:t>[Sic]</w:t>
      </w:r>
      <w:r w:rsidRPr="005D6EC6">
        <w:t xml:space="preserve"> </w:t>
      </w:r>
    </w:p>
    <w:p w14:paraId="333A42A1" w14:textId="5D1ADDD9" w:rsidR="00DC2AC2" w:rsidRDefault="00DC2AC2" w:rsidP="00266AE6">
      <w:pPr>
        <w:pStyle w:val="Sinespaciado"/>
        <w:spacing w:line="360" w:lineRule="auto"/>
        <w:jc w:val="both"/>
        <w:rPr>
          <w:rFonts w:ascii="Palatino Linotype" w:hAnsi="Palatino Linotype"/>
        </w:rPr>
      </w:pPr>
    </w:p>
    <w:p w14:paraId="213FBB39" w14:textId="06CA538E" w:rsidR="005D6EC6" w:rsidRPr="00303BAD" w:rsidRDefault="00A37095" w:rsidP="00266AE6">
      <w:pPr>
        <w:pStyle w:val="Sinespaciado"/>
        <w:spacing w:line="360" w:lineRule="auto"/>
        <w:jc w:val="both"/>
        <w:rPr>
          <w:rFonts w:ascii="Palatino Linotype" w:hAnsi="Palatino Linotype"/>
        </w:rPr>
      </w:pPr>
      <w:r>
        <w:rPr>
          <w:rFonts w:ascii="Palatino Linotype" w:hAnsi="Palatino Linotype"/>
        </w:rPr>
        <w:t xml:space="preserve">Bajo este contexto, a toda luz se desprende que </w:t>
      </w:r>
      <w:r w:rsidR="005D6EC6">
        <w:rPr>
          <w:rFonts w:ascii="Palatino Linotype" w:hAnsi="Palatino Linotype"/>
        </w:rPr>
        <w:t xml:space="preserve">la Secretaría de Administración, </w:t>
      </w:r>
      <w:r w:rsidR="00303BAD">
        <w:rPr>
          <w:rFonts w:ascii="Palatino Linotype" w:hAnsi="Palatino Linotype"/>
        </w:rPr>
        <w:t xml:space="preserve">la Dirección de Recursos Materiales y Servicios Generales, así como </w:t>
      </w:r>
      <w:r w:rsidR="005D6EC6">
        <w:rPr>
          <w:rFonts w:ascii="Palatino Linotype" w:hAnsi="Palatino Linotype"/>
        </w:rPr>
        <w:t xml:space="preserve">el Departamento de Procesos de Contratación y Seguimiento de Adquisiciones, organizan y controlan las adquisiciones, arrendamientos, contrataciones, </w:t>
      </w:r>
      <w:r w:rsidR="005D6EC6" w:rsidRPr="00303BAD">
        <w:rPr>
          <w:rFonts w:ascii="Palatino Linotype" w:hAnsi="Palatino Linotype"/>
        </w:rPr>
        <w:t xml:space="preserve">así como la enajenación de bienes muebles e inmuebles. </w:t>
      </w:r>
    </w:p>
    <w:p w14:paraId="3926F536" w14:textId="77777777" w:rsidR="00A37095" w:rsidRPr="00F00446" w:rsidRDefault="00A37095" w:rsidP="00266AE6">
      <w:pPr>
        <w:pStyle w:val="Sinespaciado"/>
        <w:spacing w:line="360" w:lineRule="auto"/>
        <w:jc w:val="both"/>
        <w:rPr>
          <w:rFonts w:ascii="Palatino Linotype" w:hAnsi="Palatino Linotype"/>
          <w:b/>
          <w:u w:val="single"/>
        </w:rPr>
      </w:pPr>
    </w:p>
    <w:p w14:paraId="70634111" w14:textId="5F7EE334" w:rsidR="00A37095" w:rsidRPr="00303BAD" w:rsidRDefault="00F00446" w:rsidP="00266AE6">
      <w:pPr>
        <w:pStyle w:val="Sinespaciado"/>
        <w:spacing w:line="360" w:lineRule="auto"/>
        <w:jc w:val="both"/>
        <w:rPr>
          <w:rFonts w:ascii="Palatino Linotype" w:hAnsi="Palatino Linotype"/>
        </w:rPr>
      </w:pPr>
      <w:r>
        <w:rPr>
          <w:rFonts w:ascii="Palatino Linotype" w:hAnsi="Palatino Linotype"/>
        </w:rPr>
        <w:t xml:space="preserve">A mayor abundamiento, es menester señalar que las enajenaciones de bienes muebles e inmuebles se realizarán por regla general a través de subasta pública, </w:t>
      </w:r>
      <w:r w:rsidR="00032A15">
        <w:rPr>
          <w:rFonts w:ascii="Palatino Linotype" w:hAnsi="Palatino Linotype"/>
        </w:rPr>
        <w:t>previa convocatoria en donde se deberán de establecer los mismos requisitos y condiciones para todos los participantes,</w:t>
      </w:r>
      <w:r w:rsidR="00A37095">
        <w:rPr>
          <w:rFonts w:ascii="Palatino Linotype" w:hAnsi="Palatino Linotype"/>
        </w:rPr>
        <w:t xml:space="preserve"> </w:t>
      </w:r>
      <w:r w:rsidR="00A37095" w:rsidRPr="00303BAD">
        <w:rPr>
          <w:rFonts w:ascii="Palatino Linotype" w:hAnsi="Palatino Linotype"/>
        </w:rPr>
        <w:t>asimismo, dicha regla general encuentra diversas excepciones que conducen a la asignación directa.</w:t>
      </w:r>
    </w:p>
    <w:p w14:paraId="3F49A475" w14:textId="77777777" w:rsidR="00A37095" w:rsidRDefault="00A37095" w:rsidP="00266AE6">
      <w:pPr>
        <w:pStyle w:val="Sinespaciado"/>
        <w:spacing w:line="360" w:lineRule="auto"/>
        <w:jc w:val="both"/>
        <w:rPr>
          <w:rFonts w:ascii="Palatino Linotype" w:hAnsi="Palatino Linotype"/>
        </w:rPr>
      </w:pPr>
    </w:p>
    <w:p w14:paraId="29A917F8" w14:textId="39897A12" w:rsidR="00032A15" w:rsidRDefault="00A37095" w:rsidP="00266AE6">
      <w:pPr>
        <w:pStyle w:val="Sinespaciado"/>
        <w:spacing w:line="360" w:lineRule="auto"/>
        <w:jc w:val="both"/>
        <w:rPr>
          <w:rFonts w:ascii="Palatino Linotype" w:hAnsi="Palatino Linotype"/>
        </w:rPr>
      </w:pPr>
      <w:r>
        <w:rPr>
          <w:rFonts w:ascii="Palatino Linotype" w:hAnsi="Palatino Linotype"/>
        </w:rPr>
        <w:lastRenderedPageBreak/>
        <w:t xml:space="preserve">En este tenor, </w:t>
      </w:r>
      <w:r w:rsidR="00032A15">
        <w:rPr>
          <w:rFonts w:ascii="Palatino Linotype" w:hAnsi="Palatino Linotype"/>
        </w:rPr>
        <w:t>sirve</w:t>
      </w:r>
      <w:r w:rsidR="0093199C">
        <w:rPr>
          <w:rFonts w:ascii="Palatino Linotype" w:hAnsi="Palatino Linotype"/>
        </w:rPr>
        <w:t>n</w:t>
      </w:r>
      <w:r w:rsidR="00032A15">
        <w:rPr>
          <w:rFonts w:ascii="Palatino Linotype" w:hAnsi="Palatino Linotype"/>
        </w:rPr>
        <w:t xml:space="preserve"> de sustento los numerales </w:t>
      </w:r>
      <w:r w:rsidR="0093199C">
        <w:rPr>
          <w:rFonts w:ascii="Palatino Linotype" w:hAnsi="Palatino Linotype"/>
        </w:rPr>
        <w:t xml:space="preserve">54, 55, 56, 58, 62 y 64 de la Ley de Contratación Pública del Estado de México, porciones normativas que disponen a la literalidad lo siguiente: </w:t>
      </w:r>
    </w:p>
    <w:p w14:paraId="5734DDBC" w14:textId="69A61B8E" w:rsidR="0093199C" w:rsidRPr="00303BAD" w:rsidRDefault="0093199C" w:rsidP="0093199C">
      <w:pPr>
        <w:pStyle w:val="Citas"/>
        <w:rPr>
          <w:b/>
          <w:u w:val="single"/>
        </w:rPr>
      </w:pPr>
      <w:r w:rsidRPr="00303BAD">
        <w:rPr>
          <w:b/>
          <w:u w:val="single"/>
        </w:rPr>
        <w:t>“Artículo 54.- Las enajenaciones de bienes muebles e inmuebles del Estado y de los municipios se realizarán a través de subasta pública.</w:t>
      </w:r>
    </w:p>
    <w:p w14:paraId="4C019C99" w14:textId="77777777" w:rsidR="0093199C" w:rsidRPr="00C36ED4" w:rsidRDefault="0093199C" w:rsidP="0093199C">
      <w:pPr>
        <w:pStyle w:val="Citas"/>
        <w:rPr>
          <w:b/>
          <w:u w:val="single"/>
        </w:rPr>
      </w:pPr>
      <w:r w:rsidRPr="00C36ED4">
        <w:rPr>
          <w:b/>
          <w:u w:val="single"/>
        </w:rPr>
        <w:t xml:space="preserve">Artículo 55.- Quedan exceptuadas de la disposición establecida en el artículo anterior, las operaciones siguientes: </w:t>
      </w:r>
    </w:p>
    <w:p w14:paraId="073871DE" w14:textId="77777777" w:rsidR="0093199C" w:rsidRDefault="0093199C" w:rsidP="0093199C">
      <w:pPr>
        <w:pStyle w:val="Citas"/>
      </w:pPr>
      <w:r>
        <w:t xml:space="preserve">I. La transmisión de dominio de bienes muebles e inmuebles a favor de los gobiernos federal, estatales y municipales. </w:t>
      </w:r>
    </w:p>
    <w:p w14:paraId="013DC5B2" w14:textId="77777777" w:rsidR="0093199C" w:rsidRDefault="0093199C" w:rsidP="0093199C">
      <w:pPr>
        <w:pStyle w:val="Citas"/>
      </w:pPr>
      <w:r>
        <w:t>II. La transmisión de dominio a favor de entidades que tengan a su cargo desarrollar programas de interés social para atender necesidades colectivas.</w:t>
      </w:r>
    </w:p>
    <w:p w14:paraId="5EEFCAFE" w14:textId="77777777" w:rsidR="0093199C" w:rsidRDefault="0093199C" w:rsidP="0093199C">
      <w:pPr>
        <w:pStyle w:val="Citas"/>
      </w:pPr>
      <w:r w:rsidRPr="0093199C">
        <w:t xml:space="preserve"> </w:t>
      </w:r>
      <w:r>
        <w:t>III. La permuta para satisfacer necesidades públicas.</w:t>
      </w:r>
    </w:p>
    <w:p w14:paraId="26EF83A5" w14:textId="77777777" w:rsidR="0093199C" w:rsidRDefault="0093199C" w:rsidP="0093199C">
      <w:pPr>
        <w:pStyle w:val="Citas"/>
      </w:pPr>
      <w:r>
        <w:t xml:space="preserve"> IV. La donación en favor de asociaciones e instituciones privadas que realicen actividades de interés social y no persigan fines de lucro. </w:t>
      </w:r>
    </w:p>
    <w:p w14:paraId="2BECC8E9" w14:textId="77777777" w:rsidR="0093199C" w:rsidRDefault="0093199C" w:rsidP="0093199C">
      <w:pPr>
        <w:pStyle w:val="Citas"/>
      </w:pPr>
      <w:r>
        <w:t xml:space="preserve">V. La enajenación de bienes muebles e inmuebles, para la creación, fomento o conservación de una empresa que beneficie a la colectividad. </w:t>
      </w:r>
    </w:p>
    <w:p w14:paraId="159314B3" w14:textId="77777777" w:rsidR="0093199C" w:rsidRDefault="0093199C" w:rsidP="0093199C">
      <w:pPr>
        <w:pStyle w:val="Citas"/>
      </w:pPr>
      <w:r>
        <w:t xml:space="preserve">VI. La donación de bienes en cumplimiento de programas sociales o de acciones de apoyo a la comunidad. </w:t>
      </w:r>
    </w:p>
    <w:p w14:paraId="4828ADD6" w14:textId="77777777" w:rsidR="0093199C" w:rsidRDefault="0093199C" w:rsidP="0093199C">
      <w:pPr>
        <w:pStyle w:val="Citas"/>
      </w:pPr>
      <w:r>
        <w:t xml:space="preserve">VII. La transmisión de dominio de inmuebles que realicen las entidades, en cumplimiento de su objeto, cuando así lo dispongan las leyes. </w:t>
      </w:r>
    </w:p>
    <w:p w14:paraId="6A411FCE" w14:textId="77777777" w:rsidR="0093199C" w:rsidRDefault="0093199C" w:rsidP="0093199C">
      <w:pPr>
        <w:pStyle w:val="Citas"/>
      </w:pPr>
      <w:r>
        <w:lastRenderedPageBreak/>
        <w:t>VIII. La transmisión de dominio de bienes muebles e inmuebles, derivada de los procedimientos de liquidación de las entidades.</w:t>
      </w:r>
    </w:p>
    <w:p w14:paraId="1BA47345" w14:textId="77777777" w:rsidR="0093199C" w:rsidRDefault="0093199C" w:rsidP="0093199C">
      <w:pPr>
        <w:pStyle w:val="Citas"/>
      </w:pPr>
      <w:r>
        <w:t xml:space="preserve"> IX. Las enajenaciones a título oneroso que realicen el Estado y los municipios, por conducto de terceros, en términos del reglamento de esta Ley. </w:t>
      </w:r>
    </w:p>
    <w:p w14:paraId="490CE724" w14:textId="77777777" w:rsidR="0093199C" w:rsidRDefault="0093199C" w:rsidP="0093199C">
      <w:pPr>
        <w:pStyle w:val="Citas"/>
      </w:pPr>
      <w:r>
        <w:t xml:space="preserve">X. La transmisión de dominio de bienes muebles e inmuebles en cumplimiento de sentencias dictadas por tribunales federales y estatales. </w:t>
      </w:r>
    </w:p>
    <w:p w14:paraId="247C0302" w14:textId="0F0C29D8" w:rsidR="0093199C" w:rsidRDefault="0093199C" w:rsidP="0093199C">
      <w:pPr>
        <w:pStyle w:val="Citas"/>
      </w:pPr>
      <w:r>
        <w:t>XI. La dación en pago por concepto de indemnización, en los términos previstos por la Ley de Expropiación para el Estado de México. XII. El importe de la enajenación no rebase los montos establecidos en el Presupuesto de Egresos del Gobierno del Estado del ejercicio correspondiente. XIII. Las demás que señalen otras disposiciones legales.</w:t>
      </w:r>
    </w:p>
    <w:p w14:paraId="7E973ABB" w14:textId="222B4F10" w:rsidR="00032A15" w:rsidRDefault="00032A15" w:rsidP="0093199C">
      <w:pPr>
        <w:pStyle w:val="Citas"/>
      </w:pPr>
      <w:r>
        <w:t xml:space="preserve">Artículo 56.- En el procedimiento de subasta pública de bienes muebles e inmuebles deberán establecerse los mismos requisitos y condiciones para todos los participantes. </w:t>
      </w:r>
    </w:p>
    <w:p w14:paraId="64476392" w14:textId="0AB5125F" w:rsidR="00032A15" w:rsidRDefault="00032A15" w:rsidP="0093199C">
      <w:pPr>
        <w:pStyle w:val="Citas"/>
      </w:pPr>
      <w:r>
        <w:t>Toda persona que satisfaga los requisitos de la convocatoria y de las bases de la subasta pública tendrá derecho a presentar posturas. La Secretaría, las entidades, los tribunales administrativos y los ayuntamientos proporcionarán a los interesados igual acceso a la información relacionada con la subasta.</w:t>
      </w:r>
    </w:p>
    <w:p w14:paraId="260BD181" w14:textId="77777777" w:rsidR="0093199C" w:rsidRDefault="00032A15" w:rsidP="0093199C">
      <w:pPr>
        <w:pStyle w:val="Citas"/>
      </w:pPr>
      <w:r>
        <w:t xml:space="preserve">Artículo 58.- Las convocatorias públicas podrán referirse a la celebración de una o más subastas públicas, se publicarán por una sola vez, cuando menos en uno de los diarios de mayor circulación en la capital del Estado y en uno de los diarios de mayor circulación nacional, así como a través del COMPRAMEX y contendrán: </w:t>
      </w:r>
    </w:p>
    <w:p w14:paraId="3EDFB803" w14:textId="77777777" w:rsidR="0093199C" w:rsidRDefault="00032A15" w:rsidP="0093199C">
      <w:pPr>
        <w:pStyle w:val="Citas"/>
      </w:pPr>
      <w:r>
        <w:t>I. El nombre de la convocante.</w:t>
      </w:r>
    </w:p>
    <w:p w14:paraId="79A9F136" w14:textId="77777777" w:rsidR="0093199C" w:rsidRDefault="00032A15" w:rsidP="0093199C">
      <w:pPr>
        <w:pStyle w:val="Citas"/>
      </w:pPr>
      <w:r>
        <w:lastRenderedPageBreak/>
        <w:t xml:space="preserve"> II. La descripción genérica de los bienes muebles e inmuebles.</w:t>
      </w:r>
    </w:p>
    <w:p w14:paraId="5F61609F" w14:textId="77777777" w:rsidR="0093199C" w:rsidRDefault="00032A15" w:rsidP="0093199C">
      <w:pPr>
        <w:pStyle w:val="Citas"/>
      </w:pPr>
      <w:r>
        <w:t xml:space="preserve"> III. El valor de los bienes que servirá de base para la subasta.</w:t>
      </w:r>
    </w:p>
    <w:p w14:paraId="436E0092" w14:textId="77777777" w:rsidR="0093199C" w:rsidRDefault="00032A15" w:rsidP="0093199C">
      <w:pPr>
        <w:pStyle w:val="Citas"/>
      </w:pPr>
      <w:r>
        <w:t xml:space="preserve"> IV. La indicación de los lugares, fechas, horarios y medios electrónicos en los que los interesados podrán obtener las bases de subasta pública, así como su costo y forma de pago.</w:t>
      </w:r>
    </w:p>
    <w:p w14:paraId="46501534" w14:textId="77777777" w:rsidR="0093199C" w:rsidRDefault="00032A15" w:rsidP="0093199C">
      <w:pPr>
        <w:pStyle w:val="Citas"/>
      </w:pPr>
      <w:r>
        <w:t xml:space="preserve"> V. La fecha, hora y lugar para la celebración de la visita de inspección y de la junta aclaratoria. </w:t>
      </w:r>
    </w:p>
    <w:p w14:paraId="00707379" w14:textId="77777777" w:rsidR="0093199C" w:rsidRDefault="00032A15" w:rsidP="0093199C">
      <w:pPr>
        <w:pStyle w:val="Citas"/>
      </w:pPr>
      <w:r>
        <w:t xml:space="preserve">VI. La fecha, hora y lugar de celebración del acto de subasta. </w:t>
      </w:r>
    </w:p>
    <w:p w14:paraId="33315F39" w14:textId="77777777" w:rsidR="0093199C" w:rsidRDefault="00032A15" w:rsidP="0093199C">
      <w:pPr>
        <w:pStyle w:val="Citas"/>
      </w:pPr>
      <w:r>
        <w:t xml:space="preserve">VII. La indicación de las personas que estén impedidas a participar, conforme a las disposiciones de esta Ley. </w:t>
      </w:r>
    </w:p>
    <w:p w14:paraId="21C3D16D" w14:textId="081ED9EA" w:rsidR="00032A15" w:rsidRDefault="00032A15" w:rsidP="0093199C">
      <w:pPr>
        <w:pStyle w:val="Citas"/>
      </w:pPr>
      <w:r>
        <w:t>VIII. La garantía que deberá otorgarse para asegurar la seriedad de la postura. Los demás requisitos generales que deberán cumplir los interesados, según las características de los bienes.</w:t>
      </w:r>
    </w:p>
    <w:p w14:paraId="7045FFF6" w14:textId="3E79246B" w:rsidR="00032A15" w:rsidRDefault="0093199C" w:rsidP="0093199C">
      <w:pPr>
        <w:pStyle w:val="Citas"/>
      </w:pPr>
      <w:r>
        <w:t>Artículo 62.- La Secretaría, las entidades, los tribunales administrativos y los ayuntamientos procederán a declarar desierta la subasta pública, cuando no reciban propuesta alguna o las presentadas no reúnan los requisitos exigidos en las bases.</w:t>
      </w:r>
    </w:p>
    <w:p w14:paraId="4876E540" w14:textId="1E9F0FFB" w:rsidR="0093199C" w:rsidRPr="0093199C" w:rsidRDefault="0093199C" w:rsidP="0093199C">
      <w:pPr>
        <w:pStyle w:val="Citas"/>
        <w:rPr>
          <w:b/>
        </w:rPr>
      </w:pPr>
      <w:r w:rsidRPr="0093199C">
        <w:rPr>
          <w:b/>
          <w:u w:val="single"/>
        </w:rPr>
        <w:t>Artículo 64.- La Secretaría, las entidades, los tribunales administrativos y los ayuntamientos podrán enajenar bienes mediante adjudicación directa en términos del reglamento de esta Ley, cuando se hubiere declarado desierto un procedimiento de subasta pública.”</w:t>
      </w:r>
      <w:r>
        <w:t xml:space="preserve"> </w:t>
      </w:r>
      <w:r>
        <w:rPr>
          <w:b/>
        </w:rPr>
        <w:t xml:space="preserve">[Sic] </w:t>
      </w:r>
    </w:p>
    <w:p w14:paraId="18AF207F" w14:textId="77777777" w:rsidR="00032A15" w:rsidRDefault="00032A15" w:rsidP="00266AE6">
      <w:pPr>
        <w:pStyle w:val="Sinespaciado"/>
        <w:spacing w:line="360" w:lineRule="auto"/>
        <w:jc w:val="both"/>
        <w:rPr>
          <w:rFonts w:ascii="Palatino Linotype" w:hAnsi="Palatino Linotype"/>
        </w:rPr>
      </w:pPr>
    </w:p>
    <w:p w14:paraId="13D32FDE" w14:textId="77777777" w:rsidR="00FE77E7" w:rsidRPr="00AA7EDD" w:rsidRDefault="00FE77E7" w:rsidP="00FE77E7">
      <w:pPr>
        <w:pStyle w:val="Sinespaciado"/>
        <w:spacing w:line="360" w:lineRule="auto"/>
        <w:jc w:val="both"/>
        <w:rPr>
          <w:rFonts w:ascii="Palatino Linotype" w:hAnsi="Palatino Linotype"/>
        </w:rPr>
      </w:pPr>
      <w:r>
        <w:rPr>
          <w:rFonts w:ascii="Palatino Linotype" w:hAnsi="Palatino Linotype"/>
        </w:rPr>
        <w:lastRenderedPageBreak/>
        <w:t xml:space="preserve">De ahí que deba arribarse a la premisa de que la información requerida es susceptible de ser generada, poseída y administrada por </w:t>
      </w:r>
      <w:r>
        <w:rPr>
          <w:rFonts w:ascii="Palatino Linotype" w:hAnsi="Palatino Linotype"/>
          <w:b/>
        </w:rPr>
        <w:t xml:space="preserve">El Sujeto Obligado. </w:t>
      </w:r>
      <w:r>
        <w:rPr>
          <w:rFonts w:ascii="Palatino Linotype" w:hAnsi="Palatino Linotype"/>
        </w:rPr>
        <w:t xml:space="preserve">Así las cosas, es óbice mencionar que la información requerida estriba parcialmente dentro de las obligaciones de transparencia común, robustece lo anterior los artículos 24, fracción XII y 92, fracción XXIX de la Ley de Transparencia y Acceso a la Información Pública del Estado de México y Municipios, normatividad invocada cuyo contenido literal es el siguiente: </w:t>
      </w:r>
    </w:p>
    <w:p w14:paraId="27E020DB"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5C5936CA" w14:textId="77777777" w:rsidR="00FE77E7" w:rsidRPr="00E66BD3" w:rsidRDefault="00FE77E7" w:rsidP="00FE77E7">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6597DD4A"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E114E08" w14:textId="77777777" w:rsidR="00FE77E7" w:rsidRPr="00E66BD3" w:rsidRDefault="00FE77E7" w:rsidP="00FE77E7">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48EB3CD5" w14:textId="77777777" w:rsidR="00FE77E7" w:rsidRPr="00303BAD" w:rsidRDefault="00FE77E7" w:rsidP="00FE77E7">
      <w:pPr>
        <w:spacing w:before="240" w:line="360" w:lineRule="auto"/>
        <w:ind w:left="851" w:right="851"/>
        <w:jc w:val="both"/>
        <w:rPr>
          <w:rFonts w:ascii="Palatino Linotype" w:hAnsi="Palatino Linotype"/>
          <w:i/>
        </w:rPr>
      </w:pPr>
      <w:r w:rsidRPr="00303BAD">
        <w:rPr>
          <w:rFonts w:ascii="Palatino Linotype" w:hAnsi="Palatino Linotype"/>
          <w:i/>
        </w:rPr>
        <w:lastRenderedPageBreak/>
        <w:t xml:space="preserve">a) De licitaciones públicas o procedimientos de invitación restringida: </w:t>
      </w:r>
    </w:p>
    <w:p w14:paraId="03898C80"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1) La convocatoria o invitación emitida, así como los fundamentos legales aplicados para llevarla a cabo; </w:t>
      </w:r>
    </w:p>
    <w:p w14:paraId="4EDFCB2A"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7A81DABA"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62B114EB"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3E7C653F"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4544EE9D"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0082D6E1" w14:textId="77777777" w:rsidR="00FE77E7" w:rsidRPr="00303BAD" w:rsidRDefault="00FE77E7" w:rsidP="00FE77E7">
      <w:pPr>
        <w:spacing w:before="240" w:line="360" w:lineRule="auto"/>
        <w:ind w:left="851" w:right="851"/>
        <w:jc w:val="both"/>
        <w:rPr>
          <w:rFonts w:ascii="Palatino Linotype" w:hAnsi="Palatino Linotype"/>
          <w:i/>
        </w:rPr>
      </w:pPr>
      <w:r w:rsidRPr="00303BAD">
        <w:rPr>
          <w:rFonts w:ascii="Palatino Linotype" w:hAnsi="Palatino Linotype"/>
          <w:i/>
        </w:rPr>
        <w:t xml:space="preserve">7) El contrato y, en su caso, sus anexos; </w:t>
      </w:r>
    </w:p>
    <w:p w14:paraId="367A210C"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0652A2C1"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2B3A7971" w14:textId="77777777" w:rsidR="00FE77E7" w:rsidRPr="00303BAD"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w:t>
      </w:r>
      <w:r w:rsidRPr="00303BAD">
        <w:rPr>
          <w:rFonts w:ascii="Palatino Linotype" w:hAnsi="Palatino Linotype"/>
          <w:i/>
        </w:rPr>
        <w:t xml:space="preserve">como el tipo de fondo de participación o aportación respectiva; </w:t>
      </w:r>
    </w:p>
    <w:p w14:paraId="7D51A7C8" w14:textId="77777777" w:rsidR="00FE77E7" w:rsidRPr="00303BAD" w:rsidRDefault="00FE77E7" w:rsidP="00FE77E7">
      <w:pPr>
        <w:spacing w:before="240" w:line="360" w:lineRule="auto"/>
        <w:ind w:left="851" w:right="851"/>
        <w:jc w:val="both"/>
        <w:rPr>
          <w:rFonts w:ascii="Palatino Linotype" w:hAnsi="Palatino Linotype"/>
          <w:i/>
        </w:rPr>
      </w:pPr>
      <w:r w:rsidRPr="00303BAD">
        <w:rPr>
          <w:rFonts w:ascii="Palatino Linotype" w:hAnsi="Palatino Linotype"/>
          <w:i/>
        </w:rPr>
        <w:t>11) Los convenios modificatorios que, en su caso, sean firmados, precisando el objeto y la fecha de celebración;</w:t>
      </w:r>
    </w:p>
    <w:p w14:paraId="409EABA7"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222BF339"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14) El finiquito. </w:t>
      </w:r>
    </w:p>
    <w:p w14:paraId="0B1E851D" w14:textId="77777777" w:rsidR="00FE77E7" w:rsidRPr="00303BAD" w:rsidRDefault="00FE77E7" w:rsidP="00FE77E7">
      <w:pPr>
        <w:spacing w:before="240" w:line="360" w:lineRule="auto"/>
        <w:ind w:left="851" w:right="851"/>
        <w:jc w:val="both"/>
        <w:rPr>
          <w:rFonts w:ascii="Palatino Linotype" w:hAnsi="Palatino Linotype"/>
          <w:b/>
          <w:i/>
          <w:u w:val="single"/>
        </w:rPr>
      </w:pPr>
      <w:r w:rsidRPr="00303BAD">
        <w:rPr>
          <w:rFonts w:ascii="Palatino Linotype" w:hAnsi="Palatino Linotype"/>
          <w:b/>
          <w:i/>
          <w:u w:val="single"/>
        </w:rPr>
        <w:t xml:space="preserve">b) De las adjudicaciones directas: </w:t>
      </w:r>
    </w:p>
    <w:p w14:paraId="2CE54DE0"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73E967E2"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5C433D50"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1A941BC7" w14:textId="77777777" w:rsidR="00FE77E7" w:rsidRPr="00303BAD" w:rsidRDefault="00FE77E7" w:rsidP="00FE77E7">
      <w:pPr>
        <w:spacing w:before="240" w:line="360" w:lineRule="auto"/>
        <w:ind w:left="851" w:right="851"/>
        <w:jc w:val="both"/>
        <w:rPr>
          <w:rFonts w:ascii="Palatino Linotype" w:hAnsi="Palatino Linotype"/>
          <w:i/>
        </w:rPr>
      </w:pPr>
      <w:r w:rsidRPr="00303BAD">
        <w:rPr>
          <w:rFonts w:ascii="Palatino Linotype" w:hAnsi="Palatino Linotype"/>
          <w:i/>
        </w:rPr>
        <w:t xml:space="preserve">4) En su caso, las cotizaciones consideradas, especificando los nombres de los proveedores y sus montos; </w:t>
      </w:r>
    </w:p>
    <w:p w14:paraId="3EFA627B"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26A0E393"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05473E8B"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7) El número, fecha, el monto del contrato y el plazo de entrega o de ejecución de los servicios u obra; </w:t>
      </w:r>
    </w:p>
    <w:p w14:paraId="1937208F"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72E8BB0E"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655CEF43" w14:textId="77777777" w:rsidR="00FE77E7" w:rsidRPr="00E66BD3" w:rsidRDefault="00FE77E7" w:rsidP="00FE77E7">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3953BBD3" w14:textId="77777777" w:rsidR="00FE77E7" w:rsidRDefault="00FE77E7" w:rsidP="00FE77E7">
      <w:pPr>
        <w:spacing w:before="240" w:line="360" w:lineRule="auto"/>
        <w:ind w:left="851" w:right="851"/>
        <w:jc w:val="both"/>
        <w:rPr>
          <w:rFonts w:ascii="Palatino Linotype" w:hAnsi="Palatino Linotype"/>
          <w:i/>
        </w:rPr>
      </w:pPr>
      <w:r>
        <w:rPr>
          <w:rFonts w:ascii="Palatino Linotype" w:hAnsi="Palatino Linotype"/>
          <w:i/>
        </w:rPr>
        <w:t>11) El finiquito.</w:t>
      </w:r>
    </w:p>
    <w:p w14:paraId="5C59695D" w14:textId="77777777" w:rsidR="00FE77E7" w:rsidRPr="00264588" w:rsidRDefault="00FE77E7" w:rsidP="00FE77E7">
      <w:pPr>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6D2BFB36" w14:textId="59A0D0F8" w:rsidR="00FE77E7" w:rsidRDefault="00FE77E7" w:rsidP="00FE77E7">
      <w:pPr>
        <w:pStyle w:val="infoemcitas"/>
        <w:tabs>
          <w:tab w:val="left" w:pos="7655"/>
        </w:tabs>
        <w:ind w:left="0" w:right="0"/>
        <w:rPr>
          <w:i w:val="0"/>
          <w:sz w:val="24"/>
          <w:szCs w:val="24"/>
        </w:rPr>
      </w:pPr>
    </w:p>
    <w:p w14:paraId="4B512C12" w14:textId="6C57A351" w:rsidR="00FE77E7" w:rsidRPr="00303BAD" w:rsidRDefault="00FE77E7" w:rsidP="00FE77E7">
      <w:pPr>
        <w:pStyle w:val="infoemcitas"/>
        <w:tabs>
          <w:tab w:val="left" w:pos="7655"/>
        </w:tabs>
        <w:ind w:left="0" w:right="0"/>
        <w:rPr>
          <w:i w:val="0"/>
          <w:sz w:val="24"/>
          <w:szCs w:val="24"/>
        </w:rPr>
      </w:pPr>
      <w:r w:rsidRPr="00303BAD">
        <w:rPr>
          <w:i w:val="0"/>
          <w:sz w:val="24"/>
          <w:szCs w:val="24"/>
        </w:rPr>
        <w:lastRenderedPageBreak/>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04148649" w14:textId="0C49DF48" w:rsidR="00FE77E7" w:rsidRPr="00303BAD" w:rsidRDefault="004E2CAA" w:rsidP="00FE77E7">
      <w:pPr>
        <w:pStyle w:val="Prrafodelista"/>
        <w:autoSpaceDE w:val="0"/>
        <w:autoSpaceDN w:val="0"/>
        <w:adjustRightInd w:val="0"/>
        <w:spacing w:before="240" w:after="160" w:line="360" w:lineRule="auto"/>
        <w:ind w:left="0"/>
        <w:jc w:val="both"/>
        <w:rPr>
          <w:rFonts w:ascii="Palatino Linotype" w:hAnsi="Palatino Linotype"/>
          <w:bCs/>
        </w:rPr>
      </w:pPr>
      <w:hyperlink r:id="rId16" w:history="1">
        <w:r w:rsidR="00FE77E7" w:rsidRPr="00303BAD">
          <w:rPr>
            <w:rStyle w:val="Hipervnculo"/>
            <w:rFonts w:ascii="Palatino Linotype" w:hAnsi="Palatino Linotype"/>
            <w:bCs/>
          </w:rPr>
          <w:t>https://www.infoem.org.mx/es/contenido/transparencia/directorio-de-sujetos-obligados</w:t>
        </w:r>
      </w:hyperlink>
      <w:r w:rsidR="00FE77E7" w:rsidRPr="00303BAD">
        <w:rPr>
          <w:rFonts w:ascii="Palatino Linotype" w:hAnsi="Palatino Linotype"/>
          <w:bCs/>
        </w:rPr>
        <w:t xml:space="preserve"> </w:t>
      </w:r>
    </w:p>
    <w:p w14:paraId="0C4ED433" w14:textId="5330FFF4" w:rsidR="00FE77E7" w:rsidRPr="00303BAD" w:rsidRDefault="00FE77E7" w:rsidP="00FE77E7">
      <w:pPr>
        <w:autoSpaceDE w:val="0"/>
        <w:autoSpaceDN w:val="0"/>
        <w:adjustRightInd w:val="0"/>
        <w:spacing w:before="240" w:line="360" w:lineRule="auto"/>
        <w:ind w:right="851"/>
        <w:jc w:val="both"/>
        <w:rPr>
          <w:rFonts w:ascii="Palatino Linotype" w:hAnsi="Palatino Linotype"/>
          <w:b/>
          <w:i/>
          <w:sz w:val="24"/>
          <w:szCs w:val="24"/>
        </w:rPr>
      </w:pPr>
      <w:r w:rsidRPr="00303BAD">
        <w:rPr>
          <w:rFonts w:ascii="Palatino Linotype" w:hAnsi="Palatino Linotype"/>
          <w:bCs/>
          <w:sz w:val="24"/>
          <w:szCs w:val="24"/>
        </w:rPr>
        <w:t>Sirven de sustento las siguientes imágenes ilustrativas:</w:t>
      </w:r>
    </w:p>
    <w:p w14:paraId="472F5D34" w14:textId="5323985E" w:rsidR="00FE77E7" w:rsidRDefault="00303BAD" w:rsidP="007E319E">
      <w:pPr>
        <w:autoSpaceDE w:val="0"/>
        <w:autoSpaceDN w:val="0"/>
        <w:adjustRightInd w:val="0"/>
        <w:spacing w:before="240" w:line="360" w:lineRule="auto"/>
        <w:ind w:right="851"/>
        <w:jc w:val="both"/>
        <w:rPr>
          <w:rFonts w:ascii="Palatino Linotype" w:hAnsi="Palatino Linotype"/>
          <w:b/>
          <w:i/>
        </w:rPr>
      </w:pPr>
      <w:r>
        <w:rPr>
          <w:rFonts w:ascii="Palatino Linotype" w:eastAsia="MS Mincho" w:hAnsi="Palatino Linotype" w:cs="Tahoma"/>
          <w:noProof/>
          <w:sz w:val="24"/>
          <w:szCs w:val="24"/>
          <w:lang w:eastAsia="es-MX"/>
        </w:rPr>
        <w:drawing>
          <wp:anchor distT="0" distB="0" distL="114300" distR="114300" simplePos="0" relativeHeight="251770880" behindDoc="0" locked="0" layoutInCell="1" allowOverlap="1" wp14:anchorId="4DB2ADD0" wp14:editId="0A2454A7">
            <wp:simplePos x="0" y="0"/>
            <wp:positionH relativeFrom="column">
              <wp:posOffset>16510</wp:posOffset>
            </wp:positionH>
            <wp:positionV relativeFrom="paragraph">
              <wp:posOffset>318080</wp:posOffset>
            </wp:positionV>
            <wp:extent cx="5743575" cy="3580130"/>
            <wp:effectExtent l="19050" t="19050" r="28575" b="20320"/>
            <wp:wrapThrough wrapText="bothSides">
              <wp:wrapPolygon edited="0">
                <wp:start x="-72" y="-115"/>
                <wp:lineTo x="-72" y="21608"/>
                <wp:lineTo x="21636" y="21608"/>
                <wp:lineTo x="21636" y="-115"/>
                <wp:lineTo x="-72" y="-115"/>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3575" cy="35801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F1761F6" w14:textId="0737743F" w:rsidR="00FE77E7" w:rsidRDefault="00303BAD" w:rsidP="007E319E">
      <w:pPr>
        <w:autoSpaceDE w:val="0"/>
        <w:autoSpaceDN w:val="0"/>
        <w:adjustRightInd w:val="0"/>
        <w:spacing w:before="240" w:line="360" w:lineRule="auto"/>
        <w:ind w:right="851"/>
        <w:jc w:val="both"/>
        <w:rPr>
          <w:rFonts w:ascii="Palatino Linotype" w:hAnsi="Palatino Linotype"/>
          <w:b/>
          <w:i/>
        </w:rPr>
      </w:pPr>
      <w:r>
        <w:rPr>
          <w:rFonts w:ascii="Palatino Linotype" w:hAnsi="Palatino Linotype"/>
          <w:b/>
          <w:i/>
          <w:noProof/>
          <w:lang w:eastAsia="es-MX"/>
        </w:rPr>
        <mc:AlternateContent>
          <mc:Choice Requires="wps">
            <w:drawing>
              <wp:anchor distT="0" distB="0" distL="114300" distR="114300" simplePos="0" relativeHeight="251778048" behindDoc="0" locked="0" layoutInCell="1" allowOverlap="1" wp14:anchorId="75733A59" wp14:editId="6E78E582">
                <wp:simplePos x="0" y="0"/>
                <wp:positionH relativeFrom="column">
                  <wp:posOffset>-133930</wp:posOffset>
                </wp:positionH>
                <wp:positionV relativeFrom="paragraph">
                  <wp:posOffset>3750420</wp:posOffset>
                </wp:positionV>
                <wp:extent cx="6130456" cy="946206"/>
                <wp:effectExtent l="0" t="0" r="22860" b="25400"/>
                <wp:wrapNone/>
                <wp:docPr id="8" name="Conector recto 8"/>
                <wp:cNvGraphicFramePr/>
                <a:graphic xmlns:a="http://schemas.openxmlformats.org/drawingml/2006/main">
                  <a:graphicData uri="http://schemas.microsoft.com/office/word/2010/wordprocessingShape">
                    <wps:wsp>
                      <wps:cNvCnPr/>
                      <wps:spPr>
                        <a:xfrm>
                          <a:off x="0" y="0"/>
                          <a:ext cx="6130456" cy="9462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339167" id="Conector recto 8"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0.55pt,295.3pt" to="472.15pt,3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" strokecolor="#5b9bd5 [3204]" strokeweight=".5pt">
                <v:stroke joinstyle="miter"/>
              </v:line>
            </w:pict>
          </mc:Fallback>
        </mc:AlternateContent>
      </w:r>
    </w:p>
    <w:p w14:paraId="29272EB4" w14:textId="5881090E" w:rsidR="00FE77E7" w:rsidRDefault="00FE77E7" w:rsidP="007E319E">
      <w:pPr>
        <w:spacing w:line="360" w:lineRule="auto"/>
        <w:contextualSpacing/>
        <w:jc w:val="both"/>
        <w:rPr>
          <w:rFonts w:ascii="Palatino Linotype" w:eastAsia="MS Mincho" w:hAnsi="Palatino Linotype" w:cs="Tahoma"/>
          <w:sz w:val="24"/>
          <w:szCs w:val="24"/>
        </w:rPr>
      </w:pPr>
    </w:p>
    <w:p w14:paraId="2C90F143" w14:textId="77777777" w:rsidR="00303BAD" w:rsidRDefault="00303BAD" w:rsidP="00C16DFC">
      <w:pPr>
        <w:pStyle w:val="Prrafodelista"/>
        <w:tabs>
          <w:tab w:val="left" w:pos="2460"/>
        </w:tabs>
        <w:autoSpaceDE w:val="0"/>
        <w:autoSpaceDN w:val="0"/>
        <w:adjustRightInd w:val="0"/>
        <w:spacing w:before="240" w:after="160" w:line="360" w:lineRule="auto"/>
        <w:ind w:left="0"/>
        <w:jc w:val="both"/>
        <w:rPr>
          <w:rFonts w:ascii="Palatino Linotype" w:hAnsi="Palatino Linotype"/>
          <w:bCs/>
        </w:rPr>
      </w:pPr>
      <w:r>
        <w:rPr>
          <w:rFonts w:ascii="Palatino Linotype" w:eastAsia="MS Mincho" w:hAnsi="Palatino Linotype" w:cs="Tahoma"/>
          <w:noProof/>
          <w:lang w:val="es-MX" w:eastAsia="es-MX"/>
        </w:rPr>
        <w:lastRenderedPageBreak/>
        <w:drawing>
          <wp:anchor distT="0" distB="0" distL="114300" distR="114300" simplePos="0" relativeHeight="251771904" behindDoc="0" locked="0" layoutInCell="1" allowOverlap="1" wp14:anchorId="1879762B" wp14:editId="07EF1388">
            <wp:simplePos x="0" y="0"/>
            <wp:positionH relativeFrom="column">
              <wp:posOffset>-39260</wp:posOffset>
            </wp:positionH>
            <wp:positionV relativeFrom="paragraph">
              <wp:posOffset>19602</wp:posOffset>
            </wp:positionV>
            <wp:extent cx="5760720" cy="3580130"/>
            <wp:effectExtent l="19050" t="19050" r="11430" b="20320"/>
            <wp:wrapThrough wrapText="bothSides">
              <wp:wrapPolygon edited="0">
                <wp:start x="-71" y="-115"/>
                <wp:lineTo x="-71" y="21608"/>
                <wp:lineTo x="21571" y="21608"/>
                <wp:lineTo x="21571" y="-115"/>
                <wp:lineTo x="-71" y="-115"/>
              </wp:wrapPolygon>
            </wp:wrapThrough>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5801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7BEA9D5" w14:textId="5230606F" w:rsidR="00C16DFC" w:rsidRPr="00E17B3E" w:rsidRDefault="00C16DFC" w:rsidP="00C16DFC">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sidRPr="00E17B3E">
        <w:rPr>
          <w:rFonts w:ascii="Palatino Linotype" w:hAnsi="Palatino Linotype"/>
          <w:bCs/>
        </w:rPr>
        <w:t xml:space="preserve">Con base en lo anteriormente expuesto, se arriba a la conclusión de que la esfera competencial del </w:t>
      </w:r>
      <w:r w:rsidRPr="00E17B3E">
        <w:rPr>
          <w:rFonts w:ascii="Palatino Linotype" w:hAnsi="Palatino Linotype"/>
          <w:b/>
        </w:rPr>
        <w:t xml:space="preserve">Sujeto Obligado </w:t>
      </w:r>
      <w:r w:rsidRPr="00E17B3E">
        <w:rPr>
          <w:rFonts w:ascii="Palatino Linotype" w:hAnsi="Palatino Linotype"/>
          <w:bCs/>
        </w:rPr>
        <w:t>lo constriñe a generar, poseer y administrar la información requerida</w:t>
      </w:r>
      <w:r w:rsidR="00AC3D45">
        <w:rPr>
          <w:rFonts w:ascii="Palatino Linotype" w:hAnsi="Palatino Linotype"/>
          <w:bCs/>
        </w:rPr>
        <w:t>.</w:t>
      </w:r>
    </w:p>
    <w:p w14:paraId="68863FB8" w14:textId="2D0A8CAC" w:rsidR="00C16DFC" w:rsidRDefault="00C16DFC" w:rsidP="00C16DFC">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w:t>
      </w:r>
      <w:r>
        <w:rPr>
          <w:rFonts w:ascii="Palatino Linotype" w:hAnsi="Palatino Linotype" w:cs="Arial"/>
          <w:lang w:eastAsia="es-MX"/>
        </w:rPr>
        <w:t>segundo</w:t>
      </w:r>
      <w:r w:rsidRPr="00E17B3E">
        <w:rPr>
          <w:rFonts w:ascii="Palatino Linotype" w:hAnsi="Palatino Linotype" w:cs="Arial"/>
          <w:lang w:eastAsia="es-MX"/>
        </w:rPr>
        <w:t xml:space="preserve">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 xml:space="preserve">rindió su respuesta, adjuntando para tal efecto los siguientes soportes documentales: </w:t>
      </w:r>
    </w:p>
    <w:p w14:paraId="6FDB64E2" w14:textId="77777777" w:rsidR="007D55E5" w:rsidRPr="007D55E5" w:rsidRDefault="00C16DFC" w:rsidP="007D55E5">
      <w:pPr>
        <w:pStyle w:val="Prrafodelista"/>
        <w:numPr>
          <w:ilvl w:val="0"/>
          <w:numId w:val="11"/>
        </w:numPr>
        <w:autoSpaceDE w:val="0"/>
        <w:autoSpaceDN w:val="0"/>
        <w:adjustRightInd w:val="0"/>
        <w:spacing w:before="240" w:after="160" w:line="360" w:lineRule="auto"/>
        <w:jc w:val="both"/>
        <w:rPr>
          <w:rFonts w:ascii="Palatino Linotype" w:hAnsi="Palatino Linotype" w:cs="Arial"/>
          <w:b/>
          <w:bCs/>
          <w:lang w:eastAsia="es-MX"/>
        </w:rPr>
      </w:pPr>
      <w:r>
        <w:rPr>
          <w:rFonts w:ascii="Palatino Linotype" w:hAnsi="Palatino Linotype" w:cs="Arial"/>
          <w:b/>
          <w:bCs/>
          <w:lang w:eastAsia="es-MX"/>
        </w:rPr>
        <w:t>“</w:t>
      </w:r>
      <w:r w:rsidR="007D55E5">
        <w:rPr>
          <w:rFonts w:ascii="Palatino Linotype" w:hAnsi="Palatino Linotype" w:cs="Arial"/>
          <w:b/>
          <w:bCs/>
          <w:lang w:eastAsia="es-MX"/>
        </w:rPr>
        <w:t xml:space="preserve">BASES SUBASTA PUBLICA SP-001-2014350 (1)(1).pdf”: </w:t>
      </w:r>
      <w:r w:rsidR="007D55E5">
        <w:rPr>
          <w:rFonts w:ascii="Palatino Linotype" w:hAnsi="Palatino Linotype" w:cs="Arial"/>
          <w:bCs/>
          <w:lang w:eastAsia="es-MX"/>
        </w:rPr>
        <w:t xml:space="preserve">Bases de la subasta pública número 001/2014 (SP-001-2014) para la enajenación desincorporados </w:t>
      </w:r>
      <w:r w:rsidR="007D55E5">
        <w:rPr>
          <w:rFonts w:ascii="Palatino Linotype" w:hAnsi="Palatino Linotype" w:cs="Arial"/>
          <w:bCs/>
          <w:lang w:eastAsia="es-MX"/>
        </w:rPr>
        <w:lastRenderedPageBreak/>
        <w:t xml:space="preserve">del patrimonio universitario, de fecha cinco de marzo de dos mil catorce, refleja los siguientes apartados: </w:t>
      </w:r>
    </w:p>
    <w:p w14:paraId="5454920F" w14:textId="4A76FE35" w:rsidR="007D55E5" w:rsidRDefault="007D55E5" w:rsidP="007D55E5">
      <w:pPr>
        <w:pStyle w:val="Prrafodelista"/>
        <w:autoSpaceDE w:val="0"/>
        <w:autoSpaceDN w:val="0"/>
        <w:adjustRightInd w:val="0"/>
        <w:spacing w:before="240" w:after="160" w:line="360" w:lineRule="auto"/>
        <w:ind w:left="720"/>
        <w:jc w:val="both"/>
        <w:rPr>
          <w:rFonts w:ascii="Palatino Linotype" w:hAnsi="Palatino Linotype" w:cs="Arial"/>
          <w:bCs/>
          <w:lang w:eastAsia="es-MX"/>
        </w:rPr>
      </w:pPr>
      <w:r>
        <w:rPr>
          <w:rFonts w:ascii="Palatino Linotype" w:hAnsi="Palatino Linotype" w:cs="Arial"/>
          <w:bCs/>
          <w:lang w:eastAsia="es-MX"/>
        </w:rPr>
        <w:t>1.- Descripción especifica de los bienes a subastar</w:t>
      </w:r>
    </w:p>
    <w:p w14:paraId="237E9716" w14:textId="61F43DAD" w:rsidR="007D55E5" w:rsidRDefault="007D55E5" w:rsidP="007D55E5">
      <w:pPr>
        <w:pStyle w:val="Prrafodelista"/>
        <w:autoSpaceDE w:val="0"/>
        <w:autoSpaceDN w:val="0"/>
        <w:adjustRightInd w:val="0"/>
        <w:spacing w:before="240" w:after="160" w:line="360" w:lineRule="auto"/>
        <w:ind w:left="720"/>
        <w:jc w:val="both"/>
        <w:rPr>
          <w:rFonts w:ascii="Palatino Linotype" w:hAnsi="Palatino Linotype" w:cs="Arial"/>
          <w:bCs/>
          <w:lang w:eastAsia="es-MX"/>
        </w:rPr>
      </w:pPr>
      <w:r>
        <w:rPr>
          <w:rFonts w:ascii="Palatino Linotype" w:hAnsi="Palatino Linotype" w:cs="Arial"/>
          <w:bCs/>
          <w:lang w:eastAsia="es-MX"/>
        </w:rPr>
        <w:t>2.- Precio base de los bienes a subastar</w:t>
      </w:r>
    </w:p>
    <w:p w14:paraId="7B46B0A9" w14:textId="744D7A8D" w:rsidR="007D55E5" w:rsidRDefault="007D55E5" w:rsidP="007D55E5">
      <w:pPr>
        <w:pStyle w:val="Prrafodelista"/>
        <w:autoSpaceDE w:val="0"/>
        <w:autoSpaceDN w:val="0"/>
        <w:adjustRightInd w:val="0"/>
        <w:spacing w:before="240" w:after="160" w:line="360" w:lineRule="auto"/>
        <w:ind w:left="720"/>
        <w:jc w:val="both"/>
        <w:rPr>
          <w:rFonts w:ascii="Palatino Linotype" w:hAnsi="Palatino Linotype" w:cs="Arial"/>
          <w:bCs/>
          <w:lang w:eastAsia="es-MX"/>
        </w:rPr>
      </w:pPr>
      <w:r>
        <w:rPr>
          <w:rFonts w:ascii="Palatino Linotype" w:hAnsi="Palatino Linotype" w:cs="Arial"/>
          <w:bCs/>
          <w:lang w:eastAsia="es-MX"/>
        </w:rPr>
        <w:t>3.- Fecha y hora de visita física al lugar donde se encuentran los bienes</w:t>
      </w:r>
    </w:p>
    <w:p w14:paraId="11DA070F" w14:textId="7EFC22E6" w:rsidR="007D55E5" w:rsidRDefault="007D55E5" w:rsidP="007D55E5">
      <w:pPr>
        <w:pStyle w:val="Prrafodelista"/>
        <w:autoSpaceDE w:val="0"/>
        <w:autoSpaceDN w:val="0"/>
        <w:adjustRightInd w:val="0"/>
        <w:spacing w:before="240" w:after="160" w:line="360" w:lineRule="auto"/>
        <w:ind w:left="720"/>
        <w:jc w:val="both"/>
        <w:rPr>
          <w:rFonts w:ascii="Palatino Linotype" w:hAnsi="Palatino Linotype" w:cs="Arial"/>
          <w:bCs/>
          <w:lang w:eastAsia="es-MX"/>
        </w:rPr>
      </w:pPr>
      <w:r>
        <w:rPr>
          <w:rFonts w:ascii="Palatino Linotype" w:hAnsi="Palatino Linotype" w:cs="Arial"/>
          <w:bCs/>
          <w:lang w:eastAsia="es-MX"/>
        </w:rPr>
        <w:t>4.- Fecha, hora y lugar de la junta de aclaraciones</w:t>
      </w:r>
    </w:p>
    <w:p w14:paraId="71630678" w14:textId="4EF6E93B" w:rsidR="007D55E5" w:rsidRDefault="007D55E5" w:rsidP="007D55E5">
      <w:pPr>
        <w:pStyle w:val="Prrafodelista"/>
        <w:autoSpaceDE w:val="0"/>
        <w:autoSpaceDN w:val="0"/>
        <w:adjustRightInd w:val="0"/>
        <w:spacing w:before="240" w:after="160" w:line="360" w:lineRule="auto"/>
        <w:ind w:left="720"/>
        <w:jc w:val="both"/>
        <w:rPr>
          <w:rFonts w:ascii="Palatino Linotype" w:hAnsi="Palatino Linotype" w:cs="Arial"/>
          <w:bCs/>
          <w:lang w:eastAsia="es-MX"/>
        </w:rPr>
      </w:pPr>
      <w:r>
        <w:rPr>
          <w:rFonts w:ascii="Palatino Linotype" w:hAnsi="Palatino Linotype" w:cs="Arial"/>
          <w:bCs/>
          <w:lang w:eastAsia="es-MX"/>
        </w:rPr>
        <w:t>5.- Fecha, hora y lugar de registro de los participantes</w:t>
      </w:r>
    </w:p>
    <w:p w14:paraId="5555930B" w14:textId="5E033537" w:rsidR="007D55E5" w:rsidRDefault="007D55E5" w:rsidP="007D55E5">
      <w:pPr>
        <w:pStyle w:val="Prrafodelista"/>
        <w:autoSpaceDE w:val="0"/>
        <w:autoSpaceDN w:val="0"/>
        <w:adjustRightInd w:val="0"/>
        <w:spacing w:before="240" w:after="160" w:line="360" w:lineRule="auto"/>
        <w:ind w:left="720"/>
        <w:jc w:val="both"/>
        <w:rPr>
          <w:rFonts w:ascii="Palatino Linotype" w:hAnsi="Palatino Linotype" w:cs="Arial"/>
          <w:bCs/>
          <w:lang w:eastAsia="es-MX"/>
        </w:rPr>
      </w:pPr>
      <w:r>
        <w:rPr>
          <w:rFonts w:ascii="Palatino Linotype" w:hAnsi="Palatino Linotype" w:cs="Arial"/>
          <w:bCs/>
          <w:lang w:eastAsia="es-MX"/>
        </w:rPr>
        <w:t xml:space="preserve">6.- Documentos a exhibir (Comprobación capacidad legal y de ser integrante de la comunidad universitaria; Escrito de ausencia de impedimentos; Recibo de compra de bases; Constancia de inspección de bienes muebles; Escrito de proposición; Garantía de seriedad de la proposición; </w:t>
      </w:r>
      <w:r w:rsidR="00E572AD">
        <w:rPr>
          <w:rFonts w:ascii="Palatino Linotype" w:hAnsi="Palatino Linotype" w:cs="Arial"/>
          <w:bCs/>
          <w:lang w:eastAsia="es-MX"/>
        </w:rPr>
        <w:t>Sostenimiento de la Oferta)</w:t>
      </w:r>
    </w:p>
    <w:p w14:paraId="3C1D7764" w14:textId="469D8EB1" w:rsidR="00E572AD" w:rsidRDefault="00E572AD" w:rsidP="007D55E5">
      <w:pPr>
        <w:pStyle w:val="Prrafodelista"/>
        <w:autoSpaceDE w:val="0"/>
        <w:autoSpaceDN w:val="0"/>
        <w:adjustRightInd w:val="0"/>
        <w:spacing w:before="240" w:after="160" w:line="360" w:lineRule="auto"/>
        <w:ind w:left="720"/>
        <w:jc w:val="both"/>
        <w:rPr>
          <w:rFonts w:ascii="Palatino Linotype" w:hAnsi="Palatino Linotype" w:cs="Arial"/>
          <w:bCs/>
          <w:lang w:eastAsia="es-MX"/>
        </w:rPr>
      </w:pPr>
      <w:r>
        <w:rPr>
          <w:rFonts w:ascii="Palatino Linotype" w:hAnsi="Palatino Linotype" w:cs="Arial"/>
          <w:bCs/>
          <w:lang w:eastAsia="es-MX"/>
        </w:rPr>
        <w:t>7.- Formato y firma de la propuesta</w:t>
      </w:r>
    </w:p>
    <w:p w14:paraId="25780940" w14:textId="6B94F3F8" w:rsidR="00E572AD" w:rsidRDefault="00E572AD" w:rsidP="007D55E5">
      <w:pPr>
        <w:pStyle w:val="Prrafodelista"/>
        <w:autoSpaceDE w:val="0"/>
        <w:autoSpaceDN w:val="0"/>
        <w:adjustRightInd w:val="0"/>
        <w:spacing w:before="240" w:after="160" w:line="360" w:lineRule="auto"/>
        <w:ind w:left="720"/>
        <w:jc w:val="both"/>
        <w:rPr>
          <w:rFonts w:ascii="Palatino Linotype" w:hAnsi="Palatino Linotype" w:cs="Arial"/>
          <w:bCs/>
          <w:lang w:eastAsia="es-MX"/>
        </w:rPr>
      </w:pPr>
      <w:r>
        <w:rPr>
          <w:rFonts w:ascii="Palatino Linotype" w:hAnsi="Palatino Linotype" w:cs="Arial"/>
          <w:bCs/>
          <w:lang w:eastAsia="es-MX"/>
        </w:rPr>
        <w:t>8.- Fecha, hora y lugar en que se llevará a cabo la subasta pública</w:t>
      </w:r>
    </w:p>
    <w:p w14:paraId="4C605725" w14:textId="4D3037A0" w:rsidR="00E572AD" w:rsidRDefault="00E572AD" w:rsidP="007D55E5">
      <w:pPr>
        <w:pStyle w:val="Prrafodelista"/>
        <w:autoSpaceDE w:val="0"/>
        <w:autoSpaceDN w:val="0"/>
        <w:adjustRightInd w:val="0"/>
        <w:spacing w:before="240" w:after="160" w:line="360" w:lineRule="auto"/>
        <w:ind w:left="720"/>
        <w:jc w:val="both"/>
        <w:rPr>
          <w:rFonts w:ascii="Palatino Linotype" w:hAnsi="Palatino Linotype" w:cs="Arial"/>
          <w:bCs/>
          <w:lang w:eastAsia="es-MX"/>
        </w:rPr>
      </w:pPr>
      <w:r>
        <w:rPr>
          <w:rFonts w:ascii="Palatino Linotype" w:hAnsi="Palatino Linotype" w:cs="Arial"/>
          <w:bCs/>
          <w:lang w:eastAsia="es-MX"/>
        </w:rPr>
        <w:t>9.- Información relativa a las garantías que deberán exhibirse</w:t>
      </w:r>
    </w:p>
    <w:p w14:paraId="549AAEC9" w14:textId="4ECFE9CC" w:rsidR="00E572AD" w:rsidRDefault="00E572AD" w:rsidP="007D55E5">
      <w:pPr>
        <w:pStyle w:val="Prrafodelista"/>
        <w:autoSpaceDE w:val="0"/>
        <w:autoSpaceDN w:val="0"/>
        <w:adjustRightInd w:val="0"/>
        <w:spacing w:before="240" w:after="160" w:line="360" w:lineRule="auto"/>
        <w:ind w:left="720"/>
        <w:jc w:val="both"/>
        <w:rPr>
          <w:rFonts w:ascii="Palatino Linotype" w:hAnsi="Palatino Linotype" w:cs="Arial"/>
          <w:bCs/>
          <w:lang w:eastAsia="es-MX"/>
        </w:rPr>
      </w:pPr>
      <w:r>
        <w:rPr>
          <w:rFonts w:ascii="Palatino Linotype" w:hAnsi="Palatino Linotype" w:cs="Arial"/>
          <w:bCs/>
          <w:lang w:eastAsia="es-MX"/>
        </w:rPr>
        <w:t xml:space="preserve">10.- Fecha, hora y lugar para la presentación, apertura y evaluación de posturas, emisión del dictamen y fallo de adjudicación. </w:t>
      </w:r>
    </w:p>
    <w:p w14:paraId="015902E0" w14:textId="58CFD797" w:rsidR="00E572AD" w:rsidRDefault="00E572AD" w:rsidP="007D55E5">
      <w:pPr>
        <w:pStyle w:val="Prrafodelista"/>
        <w:autoSpaceDE w:val="0"/>
        <w:autoSpaceDN w:val="0"/>
        <w:adjustRightInd w:val="0"/>
        <w:spacing w:before="240" w:after="160" w:line="360" w:lineRule="auto"/>
        <w:ind w:left="720"/>
        <w:jc w:val="both"/>
        <w:rPr>
          <w:rFonts w:ascii="Palatino Linotype" w:hAnsi="Palatino Linotype" w:cs="Arial"/>
          <w:bCs/>
          <w:lang w:eastAsia="es-MX"/>
        </w:rPr>
      </w:pPr>
      <w:r>
        <w:rPr>
          <w:rFonts w:ascii="Palatino Linotype" w:hAnsi="Palatino Linotype" w:cs="Arial"/>
          <w:bCs/>
          <w:lang w:eastAsia="es-MX"/>
        </w:rPr>
        <w:t>11.- Causales de desechamiento de las Propuestas</w:t>
      </w:r>
    </w:p>
    <w:p w14:paraId="259B7B24" w14:textId="1A0EE47C" w:rsidR="00E572AD" w:rsidRDefault="00E572AD" w:rsidP="007D55E5">
      <w:pPr>
        <w:pStyle w:val="Prrafodelista"/>
        <w:autoSpaceDE w:val="0"/>
        <w:autoSpaceDN w:val="0"/>
        <w:adjustRightInd w:val="0"/>
        <w:spacing w:before="240" w:after="160" w:line="360" w:lineRule="auto"/>
        <w:ind w:left="720"/>
        <w:jc w:val="both"/>
        <w:rPr>
          <w:rFonts w:ascii="Palatino Linotype" w:hAnsi="Palatino Linotype" w:cs="Arial"/>
          <w:bCs/>
          <w:lang w:eastAsia="es-MX"/>
        </w:rPr>
      </w:pPr>
      <w:r>
        <w:rPr>
          <w:rFonts w:ascii="Palatino Linotype" w:hAnsi="Palatino Linotype" w:cs="Arial"/>
          <w:bCs/>
          <w:lang w:eastAsia="es-MX"/>
        </w:rPr>
        <w:lastRenderedPageBreak/>
        <w:t>12.- Criterios para adjudicar la subasta</w:t>
      </w:r>
    </w:p>
    <w:p w14:paraId="519346C5" w14:textId="6A28C71F" w:rsidR="00E572AD" w:rsidRDefault="00E572AD" w:rsidP="007D55E5">
      <w:pPr>
        <w:pStyle w:val="Prrafodelista"/>
        <w:autoSpaceDE w:val="0"/>
        <w:autoSpaceDN w:val="0"/>
        <w:adjustRightInd w:val="0"/>
        <w:spacing w:before="240" w:after="160" w:line="360" w:lineRule="auto"/>
        <w:ind w:left="720"/>
        <w:jc w:val="both"/>
        <w:rPr>
          <w:rFonts w:ascii="Palatino Linotype" w:hAnsi="Palatino Linotype" w:cs="Arial"/>
          <w:bCs/>
          <w:lang w:eastAsia="es-MX"/>
        </w:rPr>
      </w:pPr>
      <w:r>
        <w:rPr>
          <w:rFonts w:ascii="Palatino Linotype" w:hAnsi="Palatino Linotype" w:cs="Arial"/>
          <w:bCs/>
          <w:lang w:eastAsia="es-MX"/>
        </w:rPr>
        <w:t>13.- Devolución de garantías de seriedad</w:t>
      </w:r>
    </w:p>
    <w:p w14:paraId="7BA0FD77" w14:textId="0459CE28" w:rsidR="00E572AD" w:rsidRDefault="00E572AD" w:rsidP="007D55E5">
      <w:pPr>
        <w:pStyle w:val="Prrafodelista"/>
        <w:autoSpaceDE w:val="0"/>
        <w:autoSpaceDN w:val="0"/>
        <w:adjustRightInd w:val="0"/>
        <w:spacing w:before="240" w:after="160" w:line="360" w:lineRule="auto"/>
        <w:ind w:left="720"/>
        <w:jc w:val="both"/>
        <w:rPr>
          <w:rFonts w:ascii="Palatino Linotype" w:hAnsi="Palatino Linotype" w:cs="Arial"/>
          <w:bCs/>
          <w:lang w:eastAsia="es-MX"/>
        </w:rPr>
      </w:pPr>
      <w:r>
        <w:rPr>
          <w:rFonts w:ascii="Palatino Linotype" w:hAnsi="Palatino Linotype" w:cs="Arial"/>
          <w:bCs/>
          <w:lang w:eastAsia="es-MX"/>
        </w:rPr>
        <w:t>14.- Celebración de contrato y pago</w:t>
      </w:r>
    </w:p>
    <w:p w14:paraId="21C45767" w14:textId="6139A4B4" w:rsidR="00E572AD" w:rsidRDefault="00E572AD" w:rsidP="007D55E5">
      <w:pPr>
        <w:pStyle w:val="Prrafodelista"/>
        <w:autoSpaceDE w:val="0"/>
        <w:autoSpaceDN w:val="0"/>
        <w:adjustRightInd w:val="0"/>
        <w:spacing w:before="240" w:after="160" w:line="360" w:lineRule="auto"/>
        <w:ind w:left="720"/>
        <w:jc w:val="both"/>
        <w:rPr>
          <w:rFonts w:ascii="Palatino Linotype" w:hAnsi="Palatino Linotype" w:cs="Arial"/>
          <w:bCs/>
          <w:lang w:eastAsia="es-MX"/>
        </w:rPr>
      </w:pPr>
      <w:r>
        <w:rPr>
          <w:rFonts w:ascii="Palatino Linotype" w:hAnsi="Palatino Linotype" w:cs="Arial"/>
          <w:bCs/>
          <w:lang w:eastAsia="es-MX"/>
        </w:rPr>
        <w:t>15.- No formalización del contrato</w:t>
      </w:r>
    </w:p>
    <w:p w14:paraId="22733760" w14:textId="77777777" w:rsidR="00303BAD" w:rsidRDefault="00303BAD" w:rsidP="00E572AD">
      <w:pPr>
        <w:autoSpaceDE w:val="0"/>
        <w:autoSpaceDN w:val="0"/>
        <w:adjustRightInd w:val="0"/>
        <w:spacing w:before="240" w:line="360" w:lineRule="auto"/>
        <w:jc w:val="both"/>
        <w:rPr>
          <w:rFonts w:ascii="Palatino Linotype" w:hAnsi="Palatino Linotype" w:cs="Arial"/>
          <w:b/>
          <w:bCs/>
          <w:sz w:val="24"/>
          <w:szCs w:val="24"/>
          <w:lang w:eastAsia="es-MX"/>
        </w:rPr>
      </w:pPr>
    </w:p>
    <w:p w14:paraId="0E7608BB" w14:textId="5BD03685" w:rsidR="00E572AD" w:rsidRPr="00952028" w:rsidRDefault="00E572AD" w:rsidP="00E572AD">
      <w:pPr>
        <w:autoSpaceDE w:val="0"/>
        <w:autoSpaceDN w:val="0"/>
        <w:adjustRightInd w:val="0"/>
        <w:spacing w:before="240" w:line="360" w:lineRule="auto"/>
        <w:jc w:val="both"/>
        <w:rPr>
          <w:rFonts w:ascii="Palatino Linotype" w:hAnsi="Palatino Linotype" w:cs="Arial"/>
          <w:bCs/>
          <w:sz w:val="24"/>
          <w:szCs w:val="24"/>
          <w:lang w:eastAsia="es-MX"/>
        </w:rPr>
      </w:pPr>
      <w:r w:rsidRPr="00952028">
        <w:rPr>
          <w:rFonts w:ascii="Palatino Linotype" w:hAnsi="Palatino Linotype" w:cs="Arial"/>
          <w:b/>
          <w:bCs/>
          <w:sz w:val="24"/>
          <w:szCs w:val="24"/>
          <w:lang w:eastAsia="es-MX"/>
        </w:rPr>
        <w:t>b) “</w:t>
      </w:r>
      <w:r w:rsidR="00D03E71" w:rsidRPr="00952028">
        <w:rPr>
          <w:rFonts w:ascii="Palatino Linotype" w:hAnsi="Palatino Linotype" w:cs="Arial"/>
          <w:b/>
          <w:bCs/>
          <w:sz w:val="24"/>
          <w:szCs w:val="24"/>
          <w:lang w:eastAsia="es-MX"/>
        </w:rPr>
        <w:t xml:space="preserve">Cedula de evaluación 003242021.docx”: </w:t>
      </w:r>
      <w:r w:rsidR="00952028" w:rsidRPr="00952028">
        <w:rPr>
          <w:rFonts w:ascii="Palatino Linotype" w:hAnsi="Palatino Linotype" w:cs="Arial"/>
          <w:bCs/>
          <w:sz w:val="24"/>
          <w:szCs w:val="24"/>
          <w:lang w:eastAsia="es-MX"/>
        </w:rPr>
        <w:t xml:space="preserve">Cédula de Evaluación del Servicio para Usuarios Virtuales con Solicitud de Información Pública, consistente en una foja. </w:t>
      </w:r>
    </w:p>
    <w:p w14:paraId="5F377958" w14:textId="0A9821A3" w:rsidR="00FE77E7" w:rsidRDefault="00FE77E7" w:rsidP="007E319E">
      <w:pPr>
        <w:spacing w:line="360" w:lineRule="auto"/>
        <w:contextualSpacing/>
        <w:jc w:val="both"/>
        <w:rPr>
          <w:rFonts w:ascii="Palatino Linotype" w:eastAsia="MS Mincho" w:hAnsi="Palatino Linotype" w:cs="Tahoma"/>
          <w:sz w:val="24"/>
          <w:szCs w:val="24"/>
        </w:rPr>
      </w:pPr>
    </w:p>
    <w:p w14:paraId="541CDED2" w14:textId="26A41A17" w:rsidR="00845083" w:rsidRDefault="00952028" w:rsidP="007E319E">
      <w:pPr>
        <w:spacing w:line="360" w:lineRule="auto"/>
        <w:contextualSpacing/>
        <w:jc w:val="both"/>
        <w:rPr>
          <w:rFonts w:ascii="Palatino Linotype" w:eastAsia="MS Mincho" w:hAnsi="Palatino Linotype" w:cs="Times New Roman"/>
          <w:sz w:val="24"/>
          <w:szCs w:val="24"/>
        </w:rPr>
      </w:pPr>
      <w:r>
        <w:rPr>
          <w:rFonts w:ascii="Palatino Linotype" w:eastAsia="MS Mincho" w:hAnsi="Palatino Linotype" w:cs="Tahoma"/>
          <w:sz w:val="24"/>
          <w:szCs w:val="24"/>
        </w:rPr>
        <w:t xml:space="preserve">Inconforme con la respuesta del </w:t>
      </w:r>
      <w:r>
        <w:rPr>
          <w:rFonts w:ascii="Palatino Linotype" w:eastAsia="MS Mincho" w:hAnsi="Palatino Linotype" w:cs="Tahoma"/>
          <w:b/>
          <w:sz w:val="24"/>
          <w:szCs w:val="24"/>
        </w:rPr>
        <w:t xml:space="preserve">Sujeto Obligado, El Recurrente </w:t>
      </w:r>
      <w:r>
        <w:rPr>
          <w:rFonts w:ascii="Palatino Linotype" w:eastAsia="MS Mincho" w:hAnsi="Palatino Linotype" w:cs="Tahoma"/>
          <w:sz w:val="24"/>
          <w:szCs w:val="24"/>
        </w:rPr>
        <w:t xml:space="preserve">interpuso recurso de revisión en fecha doce de julio, admitiéndose el dieciséis de julio, ambos de dos mil veintiuno. </w:t>
      </w:r>
      <w:r w:rsidR="006C66E4">
        <w:rPr>
          <w:rFonts w:ascii="Palatino Linotype" w:eastAsia="MS Mincho" w:hAnsi="Palatino Linotype" w:cs="Times New Roman"/>
          <w:sz w:val="24"/>
          <w:szCs w:val="24"/>
        </w:rPr>
        <w:t xml:space="preserve">Señalando como razones o motivos de inconformidad: </w:t>
      </w:r>
    </w:p>
    <w:p w14:paraId="0CBF4674" w14:textId="4B76C197" w:rsidR="00C77977" w:rsidRPr="00952028" w:rsidRDefault="00952028" w:rsidP="00952028">
      <w:pPr>
        <w:pStyle w:val="Citas"/>
        <w:rPr>
          <w:rFonts w:eastAsia="MS Mincho" w:cs="Times New Roman"/>
          <w:b/>
          <w:sz w:val="24"/>
          <w:szCs w:val="24"/>
        </w:rPr>
      </w:pPr>
      <w:r w:rsidRPr="00952028">
        <w:rPr>
          <w:b/>
          <w:u w:val="single"/>
        </w:rPr>
        <w:t xml:space="preserve">“Existen dos modalidades que se usaron durante la desincorporación de vehículos en la UAEM en el año 2014, uno fue mediante subasta pública y otro mediante la asignación directa. Entonces el documento que me entrega la UAEM corresponde a las bases de la subasta pública, en la que no se contiene la información solicitada. </w:t>
      </w:r>
      <w:r>
        <w:t xml:space="preserve">En consecuencia veo vulnerado mi derecho al acceso de información </w:t>
      </w:r>
      <w:proofErr w:type="spellStart"/>
      <w:proofErr w:type="gramStart"/>
      <w:r>
        <w:t>publica</w:t>
      </w:r>
      <w:proofErr w:type="spellEnd"/>
      <w:proofErr w:type="gramEnd"/>
      <w:r>
        <w:t xml:space="preserve">, que en este caso obra en poder de la Universidad Autónoma del Estado de México. Solicito que mediante la presente impugnación el </w:t>
      </w:r>
      <w:proofErr w:type="spellStart"/>
      <w:r>
        <w:t>infoem</w:t>
      </w:r>
      <w:proofErr w:type="spellEnd"/>
      <w:r>
        <w:t xml:space="preserve"> pueda revertir el daño que me causa la UAEM” </w:t>
      </w:r>
      <w:r>
        <w:rPr>
          <w:b/>
        </w:rPr>
        <w:t xml:space="preserve">[Sic] </w:t>
      </w:r>
    </w:p>
    <w:p w14:paraId="0089A506" w14:textId="77777777" w:rsidR="00952028" w:rsidRDefault="00952028" w:rsidP="007E319E">
      <w:pPr>
        <w:spacing w:line="360" w:lineRule="auto"/>
        <w:contextualSpacing/>
        <w:jc w:val="both"/>
        <w:rPr>
          <w:rFonts w:ascii="Palatino Linotype" w:eastAsia="MS Mincho" w:hAnsi="Palatino Linotype" w:cs="Times New Roman"/>
          <w:sz w:val="24"/>
          <w:szCs w:val="24"/>
        </w:rPr>
      </w:pPr>
    </w:p>
    <w:p w14:paraId="7D07DD33" w14:textId="77777777" w:rsidR="00AC3D45" w:rsidRPr="00C36ED4" w:rsidRDefault="00AC3D45" w:rsidP="00AC3D45">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Adicionalmente, el particular adjuntó el documento electrónico </w:t>
      </w:r>
      <w:r>
        <w:rPr>
          <w:rFonts w:ascii="Palatino Linotype" w:hAnsi="Palatino Linotype" w:cs="Arial"/>
          <w:b/>
          <w:bCs/>
          <w:sz w:val="24"/>
          <w:szCs w:val="24"/>
        </w:rPr>
        <w:t xml:space="preserve">“BASES SUBASTA PUBLICA SP-001-2014350 (1)(1).pdf”, </w:t>
      </w:r>
      <w:r>
        <w:rPr>
          <w:rFonts w:ascii="Palatino Linotype" w:hAnsi="Palatino Linotype" w:cs="Arial"/>
          <w:bCs/>
          <w:sz w:val="24"/>
          <w:szCs w:val="24"/>
        </w:rPr>
        <w:t xml:space="preserve">remitido por </w:t>
      </w:r>
      <w:r>
        <w:rPr>
          <w:rFonts w:ascii="Palatino Linotype" w:hAnsi="Palatino Linotype" w:cs="Arial"/>
          <w:b/>
          <w:bCs/>
          <w:sz w:val="24"/>
          <w:szCs w:val="24"/>
        </w:rPr>
        <w:t xml:space="preserve">El Sujeto Obligado </w:t>
      </w:r>
      <w:r>
        <w:rPr>
          <w:rFonts w:ascii="Palatino Linotype" w:hAnsi="Palatino Linotype" w:cs="Arial"/>
          <w:bCs/>
          <w:sz w:val="24"/>
          <w:szCs w:val="24"/>
        </w:rPr>
        <w:t xml:space="preserve">mediante respuesta primigenia. </w:t>
      </w:r>
    </w:p>
    <w:p w14:paraId="12EA1701" w14:textId="74A94E30" w:rsidR="00952028" w:rsidRDefault="00952028" w:rsidP="00952028">
      <w:pPr>
        <w:spacing w:before="240" w:line="360" w:lineRule="auto"/>
        <w:ind w:right="72"/>
        <w:jc w:val="both"/>
        <w:rPr>
          <w:rFonts w:ascii="Palatino Linotype" w:hAnsi="Palatino Linotype" w:cs="Arial"/>
          <w:sz w:val="24"/>
          <w:szCs w:val="24"/>
        </w:rPr>
      </w:pPr>
      <w:r w:rsidRPr="00BA3625">
        <w:rPr>
          <w:rFonts w:ascii="Palatino Linotype" w:hAnsi="Palatino Linotype" w:cs="Arial"/>
          <w:sz w:val="24"/>
          <w:szCs w:val="24"/>
        </w:rPr>
        <w:t xml:space="preserve">En este contexto, </w:t>
      </w:r>
      <w:r>
        <w:rPr>
          <w:rFonts w:ascii="Palatino Linotype" w:hAnsi="Palatino Linotype" w:cs="Arial"/>
          <w:sz w:val="24"/>
          <w:szCs w:val="24"/>
        </w:rPr>
        <w:t xml:space="preserve">a toda luz se actualiza la causal de procedencia inmersa en el numeral 179, fracción VI de la Ley de Transparencia local, porción normativa que dispone a la literalidad lo siguiente: </w:t>
      </w:r>
    </w:p>
    <w:p w14:paraId="4D6C7AF4" w14:textId="77777777" w:rsidR="00952028" w:rsidRDefault="00952028" w:rsidP="00952028">
      <w:pPr>
        <w:pStyle w:val="Citas"/>
      </w:pPr>
      <w:r>
        <w:t>“Artículo 179. El recurso de revisión es un medio de protección que la Ley otorga a los particulares, para hacer valer su derecho de acceso a la información pública, y procederá en contra de las siguientes causas:</w:t>
      </w:r>
    </w:p>
    <w:p w14:paraId="422290B0" w14:textId="77777777" w:rsidR="00952028" w:rsidRDefault="00952028" w:rsidP="00952028">
      <w:pPr>
        <w:pStyle w:val="Citas"/>
      </w:pPr>
      <w:r>
        <w:t xml:space="preserve">(…) </w:t>
      </w:r>
    </w:p>
    <w:p w14:paraId="3B8C814A" w14:textId="431577CB" w:rsidR="00952028" w:rsidRPr="00C36ED4" w:rsidRDefault="00952028" w:rsidP="00952028">
      <w:pPr>
        <w:pStyle w:val="Citas"/>
        <w:rPr>
          <w:b/>
          <w:u w:val="single"/>
        </w:rPr>
      </w:pPr>
      <w:r w:rsidRPr="00C36ED4">
        <w:rPr>
          <w:b/>
          <w:u w:val="single"/>
        </w:rPr>
        <w:t>VI. La entrega de información que no corresponda con lo solicitado;</w:t>
      </w:r>
    </w:p>
    <w:p w14:paraId="10C38E6F" w14:textId="7F67F5E9" w:rsidR="00C36ED4" w:rsidRPr="00C36ED4" w:rsidRDefault="00C36ED4" w:rsidP="00952028">
      <w:pPr>
        <w:pStyle w:val="Citas"/>
        <w:rPr>
          <w:rFonts w:eastAsia="MS Mincho" w:cs="Times New Roman"/>
          <w:b/>
          <w:sz w:val="24"/>
          <w:szCs w:val="24"/>
        </w:rPr>
      </w:pPr>
      <w:r>
        <w:t xml:space="preserve">(…)” </w:t>
      </w:r>
      <w:r>
        <w:rPr>
          <w:b/>
        </w:rPr>
        <w:t xml:space="preserve">[Sic] </w:t>
      </w:r>
    </w:p>
    <w:p w14:paraId="25ED930D" w14:textId="77777777" w:rsidR="00952028" w:rsidRDefault="00952028" w:rsidP="007E319E">
      <w:pPr>
        <w:spacing w:line="360" w:lineRule="auto"/>
        <w:contextualSpacing/>
        <w:jc w:val="both"/>
        <w:rPr>
          <w:rFonts w:ascii="Palatino Linotype" w:eastAsia="MS Mincho" w:hAnsi="Palatino Linotype" w:cs="Times New Roman"/>
          <w:sz w:val="24"/>
          <w:szCs w:val="24"/>
        </w:rPr>
      </w:pPr>
    </w:p>
    <w:p w14:paraId="62F887EB" w14:textId="77777777" w:rsidR="00C36ED4" w:rsidRPr="004E5FE3" w:rsidRDefault="00C36ED4" w:rsidP="00C36ED4">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 informe justificado en los siguientes términos: </w:t>
      </w:r>
    </w:p>
    <w:p w14:paraId="5251EB8C" w14:textId="19825803" w:rsidR="00C36ED4" w:rsidRPr="00997D10" w:rsidRDefault="00C36ED4" w:rsidP="00C36ED4">
      <w:pPr>
        <w:pStyle w:val="Prrafodelista"/>
        <w:numPr>
          <w:ilvl w:val="0"/>
          <w:numId w:val="12"/>
        </w:numPr>
        <w:spacing w:line="360" w:lineRule="auto"/>
        <w:contextualSpacing/>
        <w:jc w:val="both"/>
        <w:rPr>
          <w:rFonts w:ascii="Palatino Linotype" w:eastAsia="MS Mincho" w:hAnsi="Palatino Linotype"/>
          <w:b/>
        </w:rPr>
      </w:pPr>
      <w:r>
        <w:rPr>
          <w:rFonts w:ascii="Palatino Linotype" w:eastAsia="MS Mincho" w:hAnsi="Palatino Linotype"/>
          <w:b/>
        </w:rPr>
        <w:t>“</w:t>
      </w:r>
      <w:r w:rsidR="00997D10">
        <w:rPr>
          <w:rFonts w:ascii="Palatino Linotype" w:eastAsia="MS Mincho" w:hAnsi="Palatino Linotype"/>
          <w:b/>
        </w:rPr>
        <w:t xml:space="preserve">bases RR3720_08092021170549.PDF”: </w:t>
      </w:r>
      <w:r w:rsidR="00997D10">
        <w:rPr>
          <w:rFonts w:ascii="Palatino Linotype" w:hAnsi="Palatino Linotype" w:cs="Arial"/>
          <w:bCs/>
          <w:lang w:eastAsia="es-MX"/>
        </w:rPr>
        <w:t xml:space="preserve">Bases de la subasta pública número 001/2014 (SP-001-2014) para la enajenación desincorporados del patrimonio universitario, de fecha cinco de marzo de dos mil catorce, cuyo contenido fue descrito con antelación. </w:t>
      </w:r>
    </w:p>
    <w:p w14:paraId="46949A9F" w14:textId="77777777" w:rsidR="002714F3" w:rsidRPr="002714F3" w:rsidRDefault="00997D10" w:rsidP="00C36ED4">
      <w:pPr>
        <w:pStyle w:val="Prrafodelista"/>
        <w:numPr>
          <w:ilvl w:val="0"/>
          <w:numId w:val="12"/>
        </w:numPr>
        <w:spacing w:line="360" w:lineRule="auto"/>
        <w:contextualSpacing/>
        <w:jc w:val="both"/>
        <w:rPr>
          <w:rFonts w:ascii="Palatino Linotype" w:eastAsia="MS Mincho" w:hAnsi="Palatino Linotype"/>
          <w:b/>
        </w:rPr>
      </w:pPr>
      <w:r>
        <w:rPr>
          <w:rFonts w:ascii="Palatino Linotype" w:eastAsia="MS Mincho" w:hAnsi="Palatino Linotype"/>
          <w:b/>
        </w:rPr>
        <w:lastRenderedPageBreak/>
        <w:t>“</w:t>
      </w:r>
      <w:r w:rsidR="002714F3">
        <w:rPr>
          <w:rFonts w:ascii="Palatino Linotype" w:eastAsia="MS Mincho" w:hAnsi="Palatino Linotype"/>
          <w:b/>
        </w:rPr>
        <w:t xml:space="preserve">_CONTESTACIÓN_._9_08_21.pdf”: </w:t>
      </w:r>
      <w:r w:rsidR="002714F3">
        <w:rPr>
          <w:rFonts w:ascii="Palatino Linotype" w:eastAsia="MS Mincho" w:hAnsi="Palatino Linotype"/>
        </w:rPr>
        <w:t xml:space="preserve">Oficio </w:t>
      </w:r>
      <w:r w:rsidR="002714F3">
        <w:rPr>
          <w:rFonts w:ascii="Palatino Linotype" w:eastAsia="MS Mincho" w:hAnsi="Palatino Linotype"/>
          <w:b/>
        </w:rPr>
        <w:t xml:space="preserve">DRM/17182/2021 </w:t>
      </w:r>
      <w:r w:rsidR="002714F3">
        <w:rPr>
          <w:rFonts w:ascii="Palatino Linotype" w:eastAsia="MS Mincho" w:hAnsi="Palatino Linotype"/>
        </w:rPr>
        <w:t xml:space="preserve">rubricado por el Director de Recursos Materiales y dirigido al Director de Transparencia Universitaria, en lo medular resulta de nuestro interés el siguiente extracto: </w:t>
      </w:r>
    </w:p>
    <w:p w14:paraId="7B575CB6" w14:textId="5AD92475" w:rsidR="002714F3" w:rsidRPr="00BB4A1A" w:rsidRDefault="002714F3" w:rsidP="00BB4A1A">
      <w:pPr>
        <w:pStyle w:val="INFOEM"/>
      </w:pPr>
      <w:r w:rsidRPr="00BB4A1A">
        <w:t>“(…) se hace de su conocimiento que no se ubicaron los lineamientos y criterios para la asignación directa de venta de vehículos, durante la enajenación de vehículos realizada en el año 2014, toda vez que no fueron generados, en este sentido se remiten nuevamente las “BASES DE LA SUBASTA PÚBLICA (número 001/2014 (SP-001-2014) información que se entregó en atención a la solicitud de acceso primigenia…</w:t>
      </w:r>
    </w:p>
    <w:p w14:paraId="575888ED" w14:textId="0A515F2A" w:rsidR="002714F3" w:rsidRPr="00BB4A1A" w:rsidRDefault="002714F3" w:rsidP="00BB4A1A">
      <w:pPr>
        <w:pStyle w:val="INFOEM"/>
      </w:pPr>
      <w:r w:rsidRPr="00BB4A1A">
        <w:t>(…)</w:t>
      </w:r>
    </w:p>
    <w:p w14:paraId="6EBC8D58" w14:textId="5B5AF0E1" w:rsidR="002714F3" w:rsidRPr="00BB4A1A" w:rsidRDefault="002714F3" w:rsidP="00BB4A1A">
      <w:pPr>
        <w:pStyle w:val="INFOEM"/>
        <w:rPr>
          <w:b/>
        </w:rPr>
      </w:pPr>
      <w:r w:rsidRPr="00BB4A1A">
        <w:rPr>
          <w:b/>
          <w:u w:val="single"/>
        </w:rPr>
        <w:t>Por tal motivo solicito al Comité de Trasparencia de la Universidad Autónoma del Estado de México se confirme la Inexistencia de la información relativa a los lineamientos y criterios para la asignación directa de venta de vehículos, durante la enajenación de vehículos realizada en el año 2014, en virtud de que esa información, en el supuesto sin conceder de haber sido generada, no obra en los archivos físicos ni electrónicos de esta Dirección.</w:t>
      </w:r>
      <w:r w:rsidR="00BB4A1A">
        <w:rPr>
          <w:b/>
          <w:u w:val="single"/>
        </w:rPr>
        <w:t xml:space="preserve">” </w:t>
      </w:r>
      <w:r w:rsidR="00BB4A1A">
        <w:rPr>
          <w:b/>
        </w:rPr>
        <w:t xml:space="preserve">[Sic] </w:t>
      </w:r>
    </w:p>
    <w:p w14:paraId="4091193F" w14:textId="1D25B733" w:rsidR="00997D10" w:rsidRPr="00BB4A1A" w:rsidRDefault="00BB4A1A" w:rsidP="00C36ED4">
      <w:pPr>
        <w:pStyle w:val="Prrafodelista"/>
        <w:numPr>
          <w:ilvl w:val="0"/>
          <w:numId w:val="12"/>
        </w:numPr>
        <w:spacing w:line="360" w:lineRule="auto"/>
        <w:contextualSpacing/>
        <w:jc w:val="both"/>
        <w:rPr>
          <w:rFonts w:ascii="Palatino Linotype" w:eastAsia="MS Mincho" w:hAnsi="Palatino Linotype"/>
          <w:b/>
        </w:rPr>
      </w:pPr>
      <w:r>
        <w:rPr>
          <w:rFonts w:ascii="Palatino Linotype" w:eastAsia="MS Mincho" w:hAnsi="Palatino Linotype"/>
          <w:b/>
        </w:rPr>
        <w:t xml:space="preserve">“UAEM CI INI 005 2021.pdf”: </w:t>
      </w:r>
      <w:r>
        <w:rPr>
          <w:rFonts w:ascii="Palatino Linotype" w:eastAsia="MS Mincho" w:hAnsi="Palatino Linotype"/>
        </w:rPr>
        <w:t xml:space="preserve">Acuerdo UAEM/CI/ININ/0005/2021 que emite el Comité de Transparencia de la Universidad Autónoma del Estado de México </w:t>
      </w:r>
      <w:r w:rsidR="00CB5283">
        <w:rPr>
          <w:rFonts w:ascii="Palatino Linotype" w:eastAsia="MS Mincho" w:hAnsi="Palatino Linotype"/>
        </w:rPr>
        <w:t xml:space="preserve">en fecha cinco de agosto del presente, </w:t>
      </w:r>
      <w:r>
        <w:rPr>
          <w:rFonts w:ascii="Palatino Linotype" w:eastAsia="MS Mincho" w:hAnsi="Palatino Linotype"/>
        </w:rPr>
        <w:t xml:space="preserve">para confirmar la inexistencia de información, expone diversos antecedentes, resultando de nuestro interés el siguiente extracto: </w:t>
      </w:r>
    </w:p>
    <w:p w14:paraId="04711CE9" w14:textId="46BB079B" w:rsidR="00BB4A1A" w:rsidRDefault="00BB4A1A" w:rsidP="00BB4A1A">
      <w:pPr>
        <w:pStyle w:val="Prrafodelista"/>
        <w:spacing w:line="360" w:lineRule="auto"/>
        <w:ind w:left="720"/>
        <w:contextualSpacing/>
        <w:jc w:val="both"/>
        <w:rPr>
          <w:rFonts w:ascii="Palatino Linotype" w:eastAsia="MS Mincho" w:hAnsi="Palatino Linotype"/>
          <w:b/>
          <w:i/>
        </w:rPr>
      </w:pPr>
      <w:r>
        <w:rPr>
          <w:rFonts w:ascii="Palatino Linotype" w:eastAsia="MS Mincho" w:hAnsi="Palatino Linotype"/>
          <w:b/>
          <w:i/>
        </w:rPr>
        <w:lastRenderedPageBreak/>
        <w:t>“</w:t>
      </w:r>
      <w:r>
        <w:rPr>
          <w:rFonts w:ascii="Palatino Linotype" w:eastAsia="MS Mincho" w:hAnsi="Palatino Linotype"/>
          <w:i/>
        </w:rPr>
        <w:t xml:space="preserve">Para el caso que nos ocupa se notifica al solicitante a través de la Unidad de Transparencia que la información que es de su interés en este momento </w:t>
      </w:r>
      <w:r w:rsidRPr="00303BAD">
        <w:rPr>
          <w:rFonts w:ascii="Palatino Linotype" w:eastAsia="MS Mincho" w:hAnsi="Palatino Linotype"/>
          <w:b/>
          <w:i/>
          <w:u w:val="single"/>
        </w:rPr>
        <w:t>no es materialmente posible que se genere o se reponga toda vez que se información que no se localizó, en razón de que han prescrito sus valores administrativos, fiscales, contables y no cuentan con valores históricos”</w:t>
      </w:r>
      <w:r>
        <w:rPr>
          <w:rFonts w:ascii="Palatino Linotype" w:eastAsia="MS Mincho" w:hAnsi="Palatino Linotype"/>
          <w:i/>
        </w:rPr>
        <w:t xml:space="preserve"> </w:t>
      </w:r>
      <w:r>
        <w:rPr>
          <w:rFonts w:ascii="Palatino Linotype" w:eastAsia="MS Mincho" w:hAnsi="Palatino Linotype"/>
          <w:b/>
          <w:i/>
        </w:rPr>
        <w:t>[Sic]</w:t>
      </w:r>
    </w:p>
    <w:p w14:paraId="43F3A027" w14:textId="77777777" w:rsidR="00CB5283" w:rsidRDefault="00CB5283" w:rsidP="00BB4A1A">
      <w:pPr>
        <w:pStyle w:val="Prrafodelista"/>
        <w:spacing w:line="360" w:lineRule="auto"/>
        <w:ind w:left="720"/>
        <w:contextualSpacing/>
        <w:jc w:val="both"/>
        <w:rPr>
          <w:rFonts w:ascii="Palatino Linotype" w:eastAsia="MS Mincho" w:hAnsi="Palatino Linotype"/>
          <w:b/>
          <w:i/>
        </w:rPr>
      </w:pPr>
    </w:p>
    <w:p w14:paraId="5D327D24" w14:textId="495E78B5" w:rsidR="00BB4A1A" w:rsidRPr="00C36ED4" w:rsidRDefault="00CB5283" w:rsidP="00C36ED4">
      <w:pPr>
        <w:pStyle w:val="Prrafodelista"/>
        <w:numPr>
          <w:ilvl w:val="0"/>
          <w:numId w:val="12"/>
        </w:numPr>
        <w:spacing w:line="360" w:lineRule="auto"/>
        <w:contextualSpacing/>
        <w:jc w:val="both"/>
        <w:rPr>
          <w:rFonts w:ascii="Palatino Linotype" w:eastAsia="MS Mincho" w:hAnsi="Palatino Linotype"/>
          <w:b/>
        </w:rPr>
      </w:pPr>
      <w:r>
        <w:rPr>
          <w:rFonts w:ascii="Palatino Linotype" w:eastAsia="MS Mincho" w:hAnsi="Palatino Linotype"/>
          <w:b/>
        </w:rPr>
        <w:t xml:space="preserve">“RR3720_08092021170452.PDF”: </w:t>
      </w:r>
      <w:r>
        <w:rPr>
          <w:rFonts w:ascii="Palatino Linotype" w:eastAsia="MS Mincho" w:hAnsi="Palatino Linotype"/>
        </w:rPr>
        <w:t xml:space="preserve">Informe justificado signado por el Director de Transparencia Universitaria y dirigido a la Comisionada Ponente, en lo medular </w:t>
      </w:r>
      <w:r w:rsidR="00264F52">
        <w:rPr>
          <w:rFonts w:ascii="Palatino Linotype" w:eastAsia="MS Mincho" w:hAnsi="Palatino Linotype"/>
        </w:rPr>
        <w:t xml:space="preserve">expone diversos antecedentes e insiste en que la única información que obra en sus archivos -subasta pública- fue remitida mediante respuesta primigenia, en contraste, con relación a la asignación directa, remite acuerdo de inexistencia. </w:t>
      </w:r>
    </w:p>
    <w:p w14:paraId="262F215B" w14:textId="77777777" w:rsidR="00952028" w:rsidRDefault="00952028" w:rsidP="007E319E">
      <w:pPr>
        <w:spacing w:line="360" w:lineRule="auto"/>
        <w:contextualSpacing/>
        <w:jc w:val="both"/>
        <w:rPr>
          <w:rFonts w:ascii="Palatino Linotype" w:eastAsia="MS Mincho" w:hAnsi="Palatino Linotype" w:cs="Times New Roman"/>
          <w:sz w:val="24"/>
          <w:szCs w:val="24"/>
        </w:rPr>
      </w:pPr>
    </w:p>
    <w:p w14:paraId="31BDF8AC" w14:textId="644AA208" w:rsidR="00AC3D45" w:rsidRDefault="00AC3D45" w:rsidP="007E319E">
      <w:pPr>
        <w:spacing w:line="360" w:lineRule="auto"/>
        <w:contextualSpacing/>
        <w:jc w:val="both"/>
        <w:rPr>
          <w:rFonts w:ascii="Palatino Linotype" w:eastAsia="MS Mincho" w:hAnsi="Palatino Linotype" w:cs="Times New Roman"/>
          <w:sz w:val="24"/>
          <w:szCs w:val="24"/>
        </w:rPr>
      </w:pPr>
      <w:r>
        <w:rPr>
          <w:rFonts w:ascii="Palatino Linotype" w:eastAsia="MS Mincho" w:hAnsi="Palatino Linotype" w:cs="Times New Roman"/>
          <w:sz w:val="24"/>
          <w:szCs w:val="24"/>
        </w:rPr>
        <w:t xml:space="preserve">En contraste, en etapa de manifestaciones, </w:t>
      </w:r>
      <w:r>
        <w:rPr>
          <w:rFonts w:ascii="Palatino Linotype" w:eastAsia="MS Mincho" w:hAnsi="Palatino Linotype" w:cs="Times New Roman"/>
          <w:b/>
          <w:sz w:val="24"/>
          <w:szCs w:val="24"/>
        </w:rPr>
        <w:t xml:space="preserve">El Recurrente </w:t>
      </w:r>
      <w:r>
        <w:rPr>
          <w:rFonts w:ascii="Palatino Linotype" w:eastAsia="MS Mincho" w:hAnsi="Palatino Linotype" w:cs="Times New Roman"/>
          <w:sz w:val="24"/>
          <w:szCs w:val="24"/>
        </w:rPr>
        <w:t xml:space="preserve">adjuntó lo siguiente: </w:t>
      </w:r>
    </w:p>
    <w:p w14:paraId="181477F5" w14:textId="009B3C23" w:rsidR="00AC3D45" w:rsidRPr="00AC3D45" w:rsidRDefault="00AC3D45" w:rsidP="00AC3D45">
      <w:pPr>
        <w:pStyle w:val="Prrafodelista"/>
        <w:numPr>
          <w:ilvl w:val="0"/>
          <w:numId w:val="17"/>
        </w:numPr>
        <w:spacing w:line="360" w:lineRule="auto"/>
        <w:contextualSpacing/>
        <w:jc w:val="both"/>
        <w:rPr>
          <w:rFonts w:ascii="Palatino Linotype" w:eastAsia="MS Mincho" w:hAnsi="Palatino Linotype"/>
          <w:b/>
        </w:rPr>
      </w:pPr>
      <w:r>
        <w:rPr>
          <w:rFonts w:ascii="Palatino Linotype" w:eastAsia="MS Mincho" w:hAnsi="Palatino Linotype"/>
          <w:b/>
        </w:rPr>
        <w:t xml:space="preserve">“En su respuesta la UAEM refiere que no encontró la información solicitada y la declara inexistente.docx”: </w:t>
      </w:r>
      <w:r w:rsidR="001434B9">
        <w:rPr>
          <w:rFonts w:ascii="Palatino Linotype" w:eastAsia="MS Mincho" w:hAnsi="Palatino Linotype"/>
        </w:rPr>
        <w:t xml:space="preserve">Escrito libre encauzado a combatir la declaratoria de inexistencia de información del </w:t>
      </w:r>
      <w:r w:rsidR="001434B9">
        <w:rPr>
          <w:rFonts w:ascii="Palatino Linotype" w:eastAsia="MS Mincho" w:hAnsi="Palatino Linotype"/>
          <w:b/>
        </w:rPr>
        <w:t xml:space="preserve">Sujeto Obligado, </w:t>
      </w:r>
      <w:r w:rsidR="001434B9">
        <w:rPr>
          <w:rFonts w:ascii="Palatino Linotype" w:eastAsia="MS Mincho" w:hAnsi="Palatino Linotype"/>
        </w:rPr>
        <w:t xml:space="preserve">consistente en </w:t>
      </w:r>
      <w:r w:rsidR="001434B9">
        <w:rPr>
          <w:rFonts w:ascii="Palatino Linotype" w:eastAsia="MS Mincho" w:hAnsi="Palatino Linotype"/>
          <w:b/>
        </w:rPr>
        <w:t xml:space="preserve">1 –una- </w:t>
      </w:r>
      <w:r w:rsidR="001434B9">
        <w:rPr>
          <w:rFonts w:ascii="Palatino Linotype" w:eastAsia="MS Mincho" w:hAnsi="Palatino Linotype"/>
        </w:rPr>
        <w:t xml:space="preserve">foja. </w:t>
      </w:r>
    </w:p>
    <w:p w14:paraId="5FF99DCC" w14:textId="77777777" w:rsidR="00AC3D45" w:rsidRDefault="00AC3D45" w:rsidP="007E319E">
      <w:pPr>
        <w:spacing w:line="360" w:lineRule="auto"/>
        <w:contextualSpacing/>
        <w:jc w:val="both"/>
        <w:rPr>
          <w:rFonts w:ascii="Palatino Linotype" w:eastAsia="MS Mincho" w:hAnsi="Palatino Linotype" w:cs="Times New Roman"/>
          <w:sz w:val="24"/>
          <w:szCs w:val="24"/>
        </w:rPr>
      </w:pPr>
    </w:p>
    <w:p w14:paraId="358A1FBF" w14:textId="77777777" w:rsidR="00AC3D45" w:rsidRDefault="00AC3D45" w:rsidP="007E319E">
      <w:pPr>
        <w:spacing w:line="360" w:lineRule="auto"/>
        <w:contextualSpacing/>
        <w:jc w:val="both"/>
        <w:rPr>
          <w:rFonts w:ascii="Palatino Linotype" w:eastAsia="MS Mincho" w:hAnsi="Palatino Linotype" w:cs="Times New Roman"/>
          <w:sz w:val="24"/>
          <w:szCs w:val="24"/>
        </w:rPr>
      </w:pPr>
    </w:p>
    <w:p w14:paraId="31BA0451" w14:textId="77777777" w:rsidR="00B14039" w:rsidRPr="00616623" w:rsidRDefault="00B14039" w:rsidP="00B14039">
      <w:pPr>
        <w:spacing w:before="240" w:line="360" w:lineRule="auto"/>
        <w:jc w:val="both"/>
        <w:rPr>
          <w:rFonts w:ascii="Palatino Linotype" w:hAnsi="Palatino Linotype"/>
          <w:bCs/>
          <w:sz w:val="24"/>
          <w:szCs w:val="24"/>
        </w:rPr>
      </w:pPr>
      <w:r w:rsidRPr="00616623">
        <w:rPr>
          <w:rFonts w:ascii="Palatino Linotype" w:hAnsi="Palatino Linotype"/>
          <w:bCs/>
          <w:sz w:val="24"/>
          <w:szCs w:val="24"/>
        </w:rPr>
        <w:t xml:space="preserve">De ahí que deba arribarse a las siguientes consideraciones: </w:t>
      </w:r>
    </w:p>
    <w:p w14:paraId="7629A755" w14:textId="09FA10D9" w:rsidR="00264F52" w:rsidRPr="00616623" w:rsidRDefault="00B14039" w:rsidP="00C870F5">
      <w:pPr>
        <w:pStyle w:val="Prrafodelista"/>
        <w:numPr>
          <w:ilvl w:val="0"/>
          <w:numId w:val="13"/>
        </w:numPr>
        <w:spacing w:line="360" w:lineRule="auto"/>
        <w:contextualSpacing/>
        <w:jc w:val="both"/>
        <w:rPr>
          <w:rFonts w:ascii="Palatino Linotype" w:hAnsi="Palatino Linotype"/>
        </w:rPr>
      </w:pPr>
      <w:r w:rsidRPr="00616623">
        <w:rPr>
          <w:rFonts w:ascii="Palatino Linotype" w:hAnsi="Palatino Linotype"/>
          <w:bCs/>
        </w:rPr>
        <w:t xml:space="preserve">A través del derecho de acceso a la información pública fue requerido </w:t>
      </w:r>
      <w:r w:rsidR="00264F52" w:rsidRPr="00616623">
        <w:rPr>
          <w:rFonts w:ascii="Palatino Linotype" w:hAnsi="Palatino Linotype"/>
        </w:rPr>
        <w:t xml:space="preserve">el o los documentos en los que se registraron los lineamientos y criterios para la </w:t>
      </w:r>
      <w:r w:rsidR="00264F52" w:rsidRPr="00616623">
        <w:rPr>
          <w:rFonts w:ascii="Palatino Linotype" w:hAnsi="Palatino Linotype"/>
          <w:b/>
          <w:u w:val="single"/>
        </w:rPr>
        <w:lastRenderedPageBreak/>
        <w:t>asignación directa</w:t>
      </w:r>
      <w:r w:rsidR="00264F52" w:rsidRPr="00616623">
        <w:rPr>
          <w:rFonts w:ascii="Palatino Linotype" w:hAnsi="Palatino Linotype"/>
        </w:rPr>
        <w:t xml:space="preserve"> de vehículos, durante la enajenación de vehículos realizada en el año 2014. </w:t>
      </w:r>
    </w:p>
    <w:p w14:paraId="5964F979" w14:textId="0206E2F6" w:rsidR="00264F52" w:rsidRPr="00616623" w:rsidRDefault="00B14039" w:rsidP="00C870F5">
      <w:pPr>
        <w:pStyle w:val="Prrafodelista"/>
        <w:numPr>
          <w:ilvl w:val="0"/>
          <w:numId w:val="13"/>
        </w:numPr>
        <w:spacing w:line="360" w:lineRule="auto"/>
        <w:contextualSpacing/>
        <w:jc w:val="both"/>
        <w:rPr>
          <w:rFonts w:ascii="Palatino Linotype" w:eastAsia="MS Mincho" w:hAnsi="Palatino Linotype"/>
        </w:rPr>
      </w:pPr>
      <w:r w:rsidRPr="00616623">
        <w:rPr>
          <w:rFonts w:ascii="Palatino Linotype" w:eastAsia="MS Mincho" w:hAnsi="Palatino Linotype"/>
        </w:rPr>
        <w:t xml:space="preserve">De una interpretación sistemática a </w:t>
      </w:r>
      <w:r w:rsidR="00264F52" w:rsidRPr="00616623">
        <w:rPr>
          <w:rFonts w:ascii="Palatino Linotype" w:eastAsia="MS Mincho" w:hAnsi="Palatino Linotype"/>
        </w:rPr>
        <w:t>diversos apartados del Manual de Organización de la Secretaría de Administración, se desprende que el Secretario de Administración, el D</w:t>
      </w:r>
      <w:r w:rsidR="0097286A" w:rsidRPr="00616623">
        <w:rPr>
          <w:rFonts w:ascii="Palatino Linotype" w:eastAsia="MS Mincho" w:hAnsi="Palatino Linotype"/>
        </w:rPr>
        <w:t>irector</w:t>
      </w:r>
      <w:r w:rsidR="00264F52" w:rsidRPr="00616623">
        <w:rPr>
          <w:rFonts w:ascii="Palatino Linotype" w:eastAsia="MS Mincho" w:hAnsi="Palatino Linotype"/>
        </w:rPr>
        <w:t xml:space="preserve"> de Recursos Materiales y Servicios Generales, así como el Jefe del Departamento de Procesos de Contratación y Seguimiento de Adquisiciones, fungen como los sujetos habilitados competentes para atender la solicitud de información. </w:t>
      </w:r>
    </w:p>
    <w:p w14:paraId="5F67E90F" w14:textId="593A732C" w:rsidR="0097286A" w:rsidRPr="00616623" w:rsidRDefault="00EF697A" w:rsidP="00C870F5">
      <w:pPr>
        <w:pStyle w:val="Prrafodelista"/>
        <w:numPr>
          <w:ilvl w:val="0"/>
          <w:numId w:val="13"/>
        </w:numPr>
        <w:spacing w:line="360" w:lineRule="auto"/>
        <w:contextualSpacing/>
        <w:jc w:val="both"/>
        <w:rPr>
          <w:rFonts w:ascii="Palatino Linotype" w:eastAsia="MS Mincho" w:hAnsi="Palatino Linotype"/>
          <w:b/>
          <w:u w:val="single"/>
        </w:rPr>
      </w:pPr>
      <w:r w:rsidRPr="00616623">
        <w:rPr>
          <w:rFonts w:ascii="Palatino Linotype" w:eastAsia="MS Mincho" w:hAnsi="Palatino Linotype"/>
        </w:rPr>
        <w:t xml:space="preserve">Mediante respuesta, </w:t>
      </w:r>
      <w:r w:rsidRPr="00616623">
        <w:rPr>
          <w:rFonts w:ascii="Palatino Linotype" w:eastAsia="MS Mincho" w:hAnsi="Palatino Linotype"/>
          <w:b/>
        </w:rPr>
        <w:t xml:space="preserve">El Sujeto Obligado </w:t>
      </w:r>
      <w:r w:rsidRPr="00616623">
        <w:rPr>
          <w:rFonts w:ascii="Palatino Linotype" w:eastAsia="MS Mincho" w:hAnsi="Palatino Linotype"/>
        </w:rPr>
        <w:t xml:space="preserve">se limitó a </w:t>
      </w:r>
      <w:r w:rsidR="0097286A" w:rsidRPr="00616623">
        <w:rPr>
          <w:rFonts w:ascii="Palatino Linotype" w:eastAsia="MS Mincho" w:hAnsi="Palatino Linotype"/>
        </w:rPr>
        <w:t xml:space="preserve">remitir las </w:t>
      </w:r>
      <w:r w:rsidR="0097286A" w:rsidRPr="00616623">
        <w:rPr>
          <w:rFonts w:ascii="Palatino Linotype" w:hAnsi="Palatino Linotype" w:cs="Arial"/>
          <w:b/>
          <w:bCs/>
          <w:u w:val="single"/>
          <w:lang w:eastAsia="es-MX"/>
        </w:rPr>
        <w:t>bases de la subasta pública</w:t>
      </w:r>
      <w:r w:rsidR="0097286A" w:rsidRPr="00616623">
        <w:rPr>
          <w:rFonts w:ascii="Palatino Linotype" w:hAnsi="Palatino Linotype" w:cs="Arial"/>
          <w:bCs/>
          <w:lang w:eastAsia="es-MX"/>
        </w:rPr>
        <w:t xml:space="preserve"> número 001/2014 (SP-001-2014) para la enajenación desincorporados del patrimonio universitario, de fecha cinco de marzo de dos mil catorce, no obstante, de una interpretación gramatical y literal es posible advertir que </w:t>
      </w:r>
      <w:r w:rsidR="0097286A" w:rsidRPr="00616623">
        <w:rPr>
          <w:rFonts w:ascii="Palatino Linotype" w:hAnsi="Palatino Linotype" w:cs="Arial"/>
          <w:b/>
          <w:bCs/>
          <w:lang w:eastAsia="es-MX"/>
        </w:rPr>
        <w:t xml:space="preserve">El Recurrente </w:t>
      </w:r>
      <w:r w:rsidR="0097286A" w:rsidRPr="00616623">
        <w:rPr>
          <w:rFonts w:ascii="Palatino Linotype" w:hAnsi="Palatino Linotype" w:cs="Arial"/>
          <w:bCs/>
          <w:lang w:eastAsia="es-MX"/>
        </w:rPr>
        <w:t xml:space="preserve">requirió la información relativa a la </w:t>
      </w:r>
      <w:r w:rsidR="0097286A" w:rsidRPr="00616623">
        <w:rPr>
          <w:rFonts w:ascii="Palatino Linotype" w:hAnsi="Palatino Linotype" w:cs="Arial"/>
          <w:b/>
          <w:bCs/>
          <w:u w:val="single"/>
          <w:lang w:eastAsia="es-MX"/>
        </w:rPr>
        <w:t xml:space="preserve">asignación directa. </w:t>
      </w:r>
    </w:p>
    <w:p w14:paraId="435C619E" w14:textId="77777777" w:rsidR="0097286A" w:rsidRPr="00616623" w:rsidRDefault="0097286A" w:rsidP="00C870F5">
      <w:pPr>
        <w:pStyle w:val="Prrafodelista"/>
        <w:numPr>
          <w:ilvl w:val="0"/>
          <w:numId w:val="13"/>
        </w:numPr>
        <w:spacing w:line="360" w:lineRule="auto"/>
        <w:contextualSpacing/>
        <w:jc w:val="both"/>
        <w:rPr>
          <w:rFonts w:ascii="Palatino Linotype" w:eastAsia="MS Mincho" w:hAnsi="Palatino Linotype"/>
        </w:rPr>
      </w:pPr>
      <w:r w:rsidRPr="00616623">
        <w:rPr>
          <w:rFonts w:ascii="Palatino Linotype" w:eastAsia="MS Mincho" w:hAnsi="Palatino Linotype"/>
        </w:rPr>
        <w:t xml:space="preserve">Asimismo, en etapa de manifestaciones, </w:t>
      </w:r>
      <w:r w:rsidRPr="00616623">
        <w:rPr>
          <w:rFonts w:ascii="Palatino Linotype" w:eastAsia="MS Mincho" w:hAnsi="Palatino Linotype"/>
          <w:b/>
        </w:rPr>
        <w:t xml:space="preserve">El Sujeto Obligado </w:t>
      </w:r>
      <w:r w:rsidRPr="00616623">
        <w:rPr>
          <w:rFonts w:ascii="Palatino Linotype" w:eastAsia="MS Mincho" w:hAnsi="Palatino Linotype"/>
        </w:rPr>
        <w:t>señaló que en sus archivos únicamente obra la información relativa a subasta pública. En consecuencia, remite declaratoria de inexistencia por cuanto hace a la asignación directa del multi referido procedimiento de enajenación de bienes.</w:t>
      </w:r>
    </w:p>
    <w:p w14:paraId="32615453" w14:textId="783B9D71" w:rsidR="0097286A" w:rsidRPr="00616623" w:rsidRDefault="00C870F5" w:rsidP="00C870F5">
      <w:pPr>
        <w:pStyle w:val="Prrafodelista"/>
        <w:numPr>
          <w:ilvl w:val="0"/>
          <w:numId w:val="13"/>
        </w:numPr>
        <w:spacing w:line="360" w:lineRule="auto"/>
        <w:contextualSpacing/>
        <w:jc w:val="both"/>
        <w:rPr>
          <w:rFonts w:ascii="Palatino Linotype" w:eastAsia="MS Mincho" w:hAnsi="Palatino Linotype"/>
        </w:rPr>
      </w:pPr>
      <w:r w:rsidRPr="00616623">
        <w:rPr>
          <w:rFonts w:ascii="Palatino Linotype" w:eastAsia="MS Mincho" w:hAnsi="Palatino Linotype"/>
        </w:rPr>
        <w:t>De igual forma,</w:t>
      </w:r>
      <w:r w:rsidR="0097286A" w:rsidRPr="00616623">
        <w:rPr>
          <w:rFonts w:ascii="Palatino Linotype" w:eastAsia="MS Mincho" w:hAnsi="Palatino Linotype"/>
        </w:rPr>
        <w:t xml:space="preserve"> en términos del numeral 49, fracción II de la Ley de Transparencia local, la declaración de inexistencia es una facultad reservada al Comité de Transparencia que en esencia, detalla las razones por las cuales no se encuentra disponible información que debiera de obrar en los archivos del </w:t>
      </w:r>
      <w:r w:rsidR="0097286A" w:rsidRPr="00616623">
        <w:rPr>
          <w:rFonts w:ascii="Palatino Linotype" w:eastAsia="MS Mincho" w:hAnsi="Palatino Linotype"/>
          <w:b/>
        </w:rPr>
        <w:t xml:space="preserve">Sujeto Obligado. </w:t>
      </w:r>
    </w:p>
    <w:p w14:paraId="64EE4DDA" w14:textId="66C129AB" w:rsidR="0097286A" w:rsidRPr="00616623" w:rsidRDefault="00C870F5" w:rsidP="00C870F5">
      <w:pPr>
        <w:pStyle w:val="Prrafodelista"/>
        <w:numPr>
          <w:ilvl w:val="0"/>
          <w:numId w:val="13"/>
        </w:numPr>
        <w:spacing w:line="360" w:lineRule="auto"/>
        <w:contextualSpacing/>
        <w:jc w:val="both"/>
        <w:rPr>
          <w:rFonts w:ascii="Palatino Linotype" w:eastAsia="MS Mincho" w:hAnsi="Palatino Linotype"/>
          <w:b/>
          <w:u w:val="single"/>
        </w:rPr>
      </w:pPr>
      <w:r w:rsidRPr="00616623">
        <w:rPr>
          <w:rFonts w:ascii="Palatino Linotype" w:eastAsia="MS Mincho" w:hAnsi="Palatino Linotype"/>
          <w:b/>
          <w:u w:val="single"/>
        </w:rPr>
        <w:lastRenderedPageBreak/>
        <w:t xml:space="preserve">Finalmente, el acuerdo del Comité de Transparencia que sustenta la declaración de inexistencia no cumple con los elementos de validez necesarios para su subsistencia, al carecer de firmas autógrafas de sus integrantes. </w:t>
      </w:r>
    </w:p>
    <w:p w14:paraId="44F78549" w14:textId="77777777" w:rsidR="00C870F5" w:rsidRPr="00616623" w:rsidRDefault="00C870F5" w:rsidP="00C870F5">
      <w:pPr>
        <w:pStyle w:val="Prrafodelista"/>
        <w:spacing w:line="360" w:lineRule="auto"/>
        <w:ind w:left="720"/>
        <w:contextualSpacing/>
        <w:jc w:val="both"/>
        <w:rPr>
          <w:rFonts w:ascii="Palatino Linotype" w:eastAsia="MS Mincho" w:hAnsi="Palatino Linotype"/>
        </w:rPr>
      </w:pPr>
    </w:p>
    <w:p w14:paraId="4C911630" w14:textId="77777777" w:rsidR="00C870F5" w:rsidRPr="00616623" w:rsidRDefault="00C870F5" w:rsidP="00C870F5">
      <w:pPr>
        <w:pStyle w:val="Sinespaciado"/>
        <w:spacing w:line="360" w:lineRule="auto"/>
        <w:jc w:val="both"/>
        <w:rPr>
          <w:rFonts w:ascii="Palatino Linotype" w:hAnsi="Palatino Linotype"/>
          <w:b/>
          <w:u w:val="single"/>
        </w:rPr>
      </w:pPr>
      <w:r w:rsidRPr="00616623">
        <w:rPr>
          <w:rFonts w:ascii="Palatino Linotype" w:hAnsi="Palatino Linotype"/>
        </w:rPr>
        <w:t xml:space="preserve">Con base en lo anteriormente expuesto, resulta procedente ordenar la entrega de la siguiente información: </w:t>
      </w:r>
    </w:p>
    <w:p w14:paraId="2E1E7C50" w14:textId="572B9B63" w:rsidR="00C870F5" w:rsidRPr="004E1477" w:rsidRDefault="00C870F5" w:rsidP="00A014B0">
      <w:pPr>
        <w:pStyle w:val="Prrafodelista"/>
        <w:numPr>
          <w:ilvl w:val="0"/>
          <w:numId w:val="14"/>
        </w:numPr>
        <w:spacing w:line="360" w:lineRule="auto"/>
        <w:contextualSpacing/>
        <w:jc w:val="both"/>
        <w:rPr>
          <w:rFonts w:ascii="Palatino Linotype" w:hAnsi="Palatino Linotype"/>
          <w:highlight w:val="yellow"/>
        </w:rPr>
      </w:pPr>
      <w:r w:rsidRPr="00616623">
        <w:rPr>
          <w:rFonts w:ascii="Palatino Linotype" w:eastAsia="MS Mincho" w:hAnsi="Palatino Linotype"/>
        </w:rPr>
        <w:t>Acuerdo emitido por el Comité de Transparencia en donde se apruebe la declaración de inexistencia respecto de</w:t>
      </w:r>
      <w:r w:rsidRPr="00616623">
        <w:rPr>
          <w:rFonts w:ascii="Palatino Linotype" w:hAnsi="Palatino Linotype"/>
        </w:rPr>
        <w:t xml:space="preserve">l o los documentos en los que se registraron los lineamientos y criterios para la asignación directa de vehículos, durante la enajenación de vehículos realizada en el año 2014. </w:t>
      </w:r>
    </w:p>
    <w:p w14:paraId="1D8A3739" w14:textId="77777777" w:rsidR="00226ED0" w:rsidRDefault="00226ED0" w:rsidP="00226ED0">
      <w:pPr>
        <w:spacing w:line="360" w:lineRule="auto"/>
        <w:contextualSpacing/>
        <w:jc w:val="both"/>
        <w:rPr>
          <w:rFonts w:ascii="Palatino Linotype" w:eastAsia="MS Mincho" w:hAnsi="Palatino Linotype"/>
        </w:rPr>
      </w:pPr>
    </w:p>
    <w:p w14:paraId="6304D95C" w14:textId="77777777" w:rsidR="00226ED0" w:rsidRPr="00C3271D" w:rsidRDefault="00226ED0" w:rsidP="00226ED0">
      <w:pPr>
        <w:pStyle w:val="Prrafodelista"/>
        <w:numPr>
          <w:ilvl w:val="0"/>
          <w:numId w:val="15"/>
        </w:numPr>
        <w:tabs>
          <w:tab w:val="left" w:pos="709"/>
        </w:tabs>
        <w:spacing w:line="360" w:lineRule="auto"/>
        <w:jc w:val="both"/>
        <w:rPr>
          <w:rFonts w:ascii="Palatino Linotype" w:hAnsi="Palatino Linotype"/>
          <w:sz w:val="28"/>
        </w:rPr>
      </w:pPr>
      <w:r>
        <w:rPr>
          <w:rFonts w:ascii="Palatino Linotype" w:hAnsi="Palatino Linotype"/>
          <w:b/>
          <w:sz w:val="28"/>
        </w:rPr>
        <w:t>De la declaratoria de inexistencia</w:t>
      </w:r>
    </w:p>
    <w:p w14:paraId="4C137E1B" w14:textId="77777777" w:rsidR="00226ED0" w:rsidRDefault="00226ED0" w:rsidP="00226ED0">
      <w:pPr>
        <w:tabs>
          <w:tab w:val="left" w:pos="709"/>
        </w:tabs>
        <w:spacing w:after="0" w:line="360" w:lineRule="auto"/>
        <w:jc w:val="both"/>
        <w:rPr>
          <w:rFonts w:ascii="Palatino Linotype" w:hAnsi="Palatino Linotype"/>
          <w:sz w:val="24"/>
          <w:szCs w:val="24"/>
        </w:rPr>
      </w:pPr>
    </w:p>
    <w:p w14:paraId="22D9A9ED" w14:textId="377214B3" w:rsidR="00226ED0" w:rsidRDefault="00226ED0" w:rsidP="00226ED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w:t>
      </w:r>
      <w:r w:rsidR="00422E0C">
        <w:rPr>
          <w:rFonts w:ascii="Palatino Linotype" w:hAnsi="Palatino Linotype"/>
          <w:sz w:val="24"/>
          <w:szCs w:val="24"/>
        </w:rPr>
        <w:t>conforme a lo expuesto con anterioridad</w:t>
      </w:r>
      <w:r>
        <w:rPr>
          <w:rFonts w:ascii="Palatino Linotype" w:hAnsi="Palatino Linotype"/>
          <w:sz w:val="24"/>
          <w:szCs w:val="24"/>
        </w:rPr>
        <w:t xml:space="preserve"> </w:t>
      </w:r>
      <w:r>
        <w:rPr>
          <w:rFonts w:ascii="Palatino Linotype" w:hAnsi="Palatino Linotype"/>
          <w:b/>
          <w:sz w:val="24"/>
          <w:szCs w:val="24"/>
        </w:rPr>
        <w:t>El</w:t>
      </w:r>
      <w:r>
        <w:rPr>
          <w:rFonts w:ascii="Palatino Linotype" w:hAnsi="Palatino Linotype"/>
          <w:sz w:val="24"/>
          <w:szCs w:val="24"/>
        </w:rPr>
        <w:t xml:space="preserve"> </w:t>
      </w:r>
      <w:r>
        <w:rPr>
          <w:rFonts w:ascii="Palatino Linotype" w:hAnsi="Palatino Linotype"/>
          <w:b/>
          <w:sz w:val="24"/>
          <w:szCs w:val="24"/>
        </w:rPr>
        <w:t>Sujeto Obligado</w:t>
      </w:r>
      <w:r>
        <w:rPr>
          <w:rFonts w:ascii="Palatino Linotype" w:hAnsi="Palatino Linotype"/>
          <w:sz w:val="24"/>
          <w:szCs w:val="24"/>
        </w:rPr>
        <w:t xml:space="preserve"> deberá elaborar el acuerdo que contenga la declaratoria de la inexistencia de la información.</w:t>
      </w:r>
    </w:p>
    <w:p w14:paraId="1358B3F4" w14:textId="77777777" w:rsidR="00226ED0" w:rsidRDefault="00226ED0" w:rsidP="00226ED0">
      <w:pPr>
        <w:tabs>
          <w:tab w:val="left" w:pos="709"/>
        </w:tabs>
        <w:spacing w:after="0" w:line="360" w:lineRule="auto"/>
        <w:jc w:val="both"/>
        <w:rPr>
          <w:rFonts w:ascii="Palatino Linotype" w:hAnsi="Palatino Linotype"/>
          <w:sz w:val="24"/>
          <w:szCs w:val="24"/>
        </w:rPr>
      </w:pPr>
    </w:p>
    <w:p w14:paraId="4CFC5CB9" w14:textId="77777777" w:rsidR="00226ED0" w:rsidRDefault="00226ED0" w:rsidP="00226ED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14:paraId="6765E1BB" w14:textId="77777777" w:rsidR="00226ED0" w:rsidRPr="00A975A3" w:rsidRDefault="00226ED0" w:rsidP="00226ED0">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lastRenderedPageBreak/>
        <w:t>“Artículo 19.</w:t>
      </w:r>
      <w:r>
        <w:rPr>
          <w:rFonts w:ascii="Palatino Linotype" w:hAnsi="Palatino Linotype"/>
          <w:b/>
          <w:bCs/>
          <w:i/>
          <w:iCs/>
          <w:szCs w:val="24"/>
        </w:rPr>
        <w:t xml:space="preserve"> </w:t>
      </w:r>
      <w:r w:rsidRPr="00F50EBD">
        <w:rPr>
          <w:rFonts w:ascii="Palatino Linotype" w:hAnsi="Palatino Linotype"/>
          <w:b/>
          <w:i/>
          <w:iCs/>
          <w:szCs w:val="24"/>
          <w:u w:val="single"/>
        </w:rPr>
        <w:t>Se presume que la información debe existir si se refiere a las facultades, competencias y funciones que los ordenamientos jurídicos aplicables otorgan a los sujetos obligados.</w:t>
      </w:r>
      <w:r w:rsidRPr="00A975A3">
        <w:rPr>
          <w:rFonts w:ascii="Palatino Linotype" w:hAnsi="Palatino Linotype"/>
          <w:i/>
          <w:iCs/>
          <w:szCs w:val="24"/>
          <w:u w:val="single"/>
        </w:rPr>
        <w:t> </w:t>
      </w:r>
    </w:p>
    <w:p w14:paraId="4A91C2D6" w14:textId="77777777" w:rsidR="00226ED0" w:rsidRPr="00F50EBD" w:rsidRDefault="00226ED0" w:rsidP="00226ED0">
      <w:pPr>
        <w:tabs>
          <w:tab w:val="left" w:pos="709"/>
        </w:tabs>
        <w:spacing w:before="240" w:line="360" w:lineRule="auto"/>
        <w:ind w:left="851" w:right="851"/>
        <w:jc w:val="both"/>
        <w:rPr>
          <w:rFonts w:ascii="Palatino Linotype" w:hAnsi="Palatino Linotype"/>
          <w:b/>
          <w:i/>
          <w:szCs w:val="24"/>
        </w:rPr>
      </w:pPr>
      <w:r w:rsidRPr="00F50EBD">
        <w:rPr>
          <w:rFonts w:ascii="Palatino Linotype" w:hAnsi="Palatino Linotype"/>
          <w:b/>
          <w:i/>
          <w:iCs/>
          <w:szCs w:val="24"/>
        </w:rPr>
        <w:t>(…)</w:t>
      </w:r>
    </w:p>
    <w:p w14:paraId="54EC67E7" w14:textId="77777777" w:rsidR="00226ED0" w:rsidRPr="00A975A3" w:rsidRDefault="00226ED0" w:rsidP="00226ED0">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F50EBD">
        <w:rPr>
          <w:rFonts w:ascii="Palatino Linotype" w:hAnsi="Palatino Linotype"/>
          <w:b/>
          <w:i/>
          <w:iCs/>
          <w:szCs w:val="24"/>
          <w:u w:val="single"/>
        </w:rPr>
        <w:t>el Comité de transparencia deberá emitir un acuerdo de inexistencia, debidamente fundado y motivado, en el que detalle las razones del por qué no obra en sus archivos.</w:t>
      </w:r>
    </w:p>
    <w:p w14:paraId="0C5AF2CC" w14:textId="77777777" w:rsidR="00226ED0" w:rsidRPr="00A975A3" w:rsidRDefault="00226ED0" w:rsidP="00226ED0">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F50EBD">
        <w:rPr>
          <w:rFonts w:ascii="Palatino Linotype" w:hAnsi="Palatino Linotype"/>
          <w:b/>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1821227A" w14:textId="77777777" w:rsidR="00226ED0" w:rsidRPr="00A975A3" w:rsidRDefault="00226ED0" w:rsidP="00226ED0">
      <w:pPr>
        <w:tabs>
          <w:tab w:val="left" w:pos="709"/>
        </w:tabs>
        <w:spacing w:before="240" w:line="360" w:lineRule="auto"/>
        <w:ind w:left="851" w:right="851"/>
        <w:jc w:val="both"/>
        <w:rPr>
          <w:rFonts w:ascii="Palatino Linotype" w:hAnsi="Palatino Linotype"/>
          <w:i/>
          <w:szCs w:val="24"/>
        </w:rPr>
      </w:pPr>
      <w:r w:rsidRPr="00F50EBD">
        <w:rPr>
          <w:rFonts w:ascii="Palatino Linotype" w:hAnsi="Palatino Linotype"/>
          <w:b/>
          <w:i/>
          <w:szCs w:val="24"/>
        </w:rPr>
        <w:t>II.</w:t>
      </w:r>
      <w:r>
        <w:rPr>
          <w:rFonts w:ascii="Palatino Linotype" w:hAnsi="Palatino Linotype"/>
          <w:i/>
          <w:szCs w:val="24"/>
        </w:rPr>
        <w:t xml:space="preserve">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w:t>
      </w:r>
      <w:r w:rsidRPr="00F50EBD">
        <w:rPr>
          <w:rFonts w:ascii="Palatino Linotype" w:hAnsi="Palatino Linotype"/>
          <w:b/>
          <w:i/>
          <w:szCs w:val="24"/>
          <w:u w:val="single"/>
        </w:rPr>
        <w:t>y declaración de inexistencia</w:t>
      </w:r>
      <w:r w:rsidRPr="00A975A3">
        <w:rPr>
          <w:rFonts w:ascii="Palatino Linotype" w:hAnsi="Palatino Linotype"/>
          <w:i/>
          <w:szCs w:val="24"/>
          <w:u w:val="single"/>
        </w:rPr>
        <w:t xml:space="preserve"> </w:t>
      </w:r>
      <w:r w:rsidRPr="00A975A3">
        <w:rPr>
          <w:rFonts w:ascii="Palatino Linotype" w:hAnsi="Palatino Linotype"/>
          <w:i/>
          <w:szCs w:val="24"/>
        </w:rPr>
        <w:t>o de incompetencia realicen los titulares de las áreas de los sujetos obligados;</w:t>
      </w:r>
    </w:p>
    <w:p w14:paraId="4A3455CC" w14:textId="77777777" w:rsidR="00226ED0" w:rsidRPr="00F50EBD" w:rsidRDefault="00226ED0" w:rsidP="00226ED0">
      <w:pPr>
        <w:tabs>
          <w:tab w:val="left" w:pos="709"/>
        </w:tabs>
        <w:spacing w:before="240" w:line="360" w:lineRule="auto"/>
        <w:ind w:left="851" w:right="851"/>
        <w:jc w:val="both"/>
        <w:rPr>
          <w:rFonts w:ascii="Palatino Linotype" w:hAnsi="Palatino Linotype"/>
          <w:b/>
          <w:i/>
          <w:szCs w:val="24"/>
        </w:rPr>
      </w:pPr>
      <w:r w:rsidRPr="00F50EBD">
        <w:rPr>
          <w:rFonts w:ascii="Palatino Linotype" w:hAnsi="Palatino Linotype"/>
          <w:b/>
          <w:i/>
          <w:szCs w:val="24"/>
        </w:rPr>
        <w:t xml:space="preserve">XIII. </w:t>
      </w:r>
      <w:r w:rsidRPr="00F50EBD">
        <w:rPr>
          <w:rFonts w:ascii="Palatino Linotype" w:hAnsi="Palatino Linotype"/>
          <w:b/>
          <w:i/>
          <w:szCs w:val="24"/>
          <w:u w:val="single"/>
        </w:rPr>
        <w:t>Dictaminar las declaratorias de inexistencia de la información que les remitan las unidades administrativas y resolver en consecuencia</w:t>
      </w:r>
      <w:r w:rsidRPr="00F50EBD">
        <w:rPr>
          <w:rFonts w:ascii="Palatino Linotype" w:hAnsi="Palatino Linotype"/>
          <w:b/>
          <w:i/>
          <w:szCs w:val="24"/>
        </w:rPr>
        <w:t>;</w:t>
      </w:r>
    </w:p>
    <w:p w14:paraId="54CC44C8" w14:textId="77777777" w:rsidR="00226ED0" w:rsidRPr="002F227A" w:rsidRDefault="00226ED0" w:rsidP="00226ED0">
      <w:pPr>
        <w:tabs>
          <w:tab w:val="left" w:pos="709"/>
        </w:tabs>
        <w:spacing w:before="240" w:line="360" w:lineRule="auto"/>
        <w:ind w:left="851" w:right="851"/>
        <w:jc w:val="both"/>
        <w:rPr>
          <w:rFonts w:ascii="Palatino Linotype" w:hAnsi="Palatino Linotype"/>
          <w:i/>
          <w:szCs w:val="24"/>
        </w:rPr>
      </w:pPr>
      <w:r>
        <w:rPr>
          <w:rFonts w:ascii="Palatino Linotype" w:hAnsi="Palatino Linotype"/>
          <w:b/>
          <w:i/>
          <w:szCs w:val="24"/>
        </w:rPr>
        <w:t xml:space="preserve">Artículo 169. </w:t>
      </w:r>
      <w:r>
        <w:rPr>
          <w:rFonts w:ascii="Palatino Linotype" w:hAnsi="Palatino Linotype"/>
          <w:i/>
          <w:szCs w:val="24"/>
        </w:rPr>
        <w:t>Cuando la información no se encuentre en los archivos del sujeto obligado, el Comité de Transparencia:</w:t>
      </w:r>
    </w:p>
    <w:p w14:paraId="3B77860C" w14:textId="77777777" w:rsidR="00226ED0" w:rsidRPr="002F227A" w:rsidRDefault="00226ED0" w:rsidP="00226ED0">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 </w:t>
      </w:r>
      <w:r w:rsidRPr="002F227A">
        <w:rPr>
          <w:rFonts w:ascii="Palatino Linotype" w:hAnsi="Palatino Linotype"/>
          <w:i/>
          <w:szCs w:val="24"/>
        </w:rPr>
        <w:t>Analizará el caso y tomará las medidas necesarias para localizar la información;</w:t>
      </w:r>
    </w:p>
    <w:p w14:paraId="735E4895" w14:textId="77777777" w:rsidR="00226ED0" w:rsidRPr="002F227A" w:rsidRDefault="00226ED0" w:rsidP="00226ED0">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II. </w:t>
      </w:r>
      <w:r w:rsidRPr="002F227A">
        <w:rPr>
          <w:rFonts w:ascii="Palatino Linotype" w:hAnsi="Palatino Linotype"/>
          <w:b/>
          <w:i/>
          <w:szCs w:val="24"/>
          <w:u w:val="single"/>
        </w:rPr>
        <w:t>Expedirá una resolución que confirme la inexistencia del documento;</w:t>
      </w:r>
    </w:p>
    <w:p w14:paraId="03136E40" w14:textId="77777777" w:rsidR="00226ED0" w:rsidRPr="002F227A" w:rsidRDefault="00226ED0" w:rsidP="00226ED0">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III. </w:t>
      </w:r>
      <w:r w:rsidRPr="002F227A">
        <w:rPr>
          <w:rFonts w:ascii="Palatino Linotype" w:hAnsi="Palatino Linotype"/>
          <w:i/>
          <w:szCs w:val="24"/>
        </w:rPr>
        <w:t xml:space="preserve">Ordenará, siempre que sea materialmente posible, que se genere o se reponga la información en caso de que ésta tuviera que existir en la medida que deriva del </w:t>
      </w:r>
      <w:r w:rsidRPr="002F227A">
        <w:rPr>
          <w:rFonts w:ascii="Palatino Linotype" w:hAnsi="Palatino Linotype"/>
          <w:i/>
          <w:szCs w:val="24"/>
        </w:rPr>
        <w:lastRenderedPageBreak/>
        <w:t>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B7932F1" w14:textId="77777777" w:rsidR="00226ED0" w:rsidRPr="002F227A" w:rsidRDefault="00226ED0" w:rsidP="00226ED0">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b/>
          <w:bCs/>
          <w:i/>
          <w:szCs w:val="24"/>
        </w:rPr>
        <w:t xml:space="preserve">IV. </w:t>
      </w:r>
      <w:r w:rsidRPr="002F227A">
        <w:rPr>
          <w:rFonts w:ascii="Palatino Linotype" w:hAnsi="Palatino Linotype"/>
          <w:i/>
          <w:szCs w:val="24"/>
        </w:rPr>
        <w:t>Notificará al órgano interno de control o equivalente del sujeto obligado quien, en su caso, deberá iniciar el procedimiento de responsabilidad administrativa que corresponda.</w:t>
      </w:r>
    </w:p>
    <w:p w14:paraId="13A4090B" w14:textId="77777777" w:rsidR="00226ED0" w:rsidRPr="002F227A" w:rsidRDefault="00226ED0" w:rsidP="00226ED0">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i/>
          <w:szCs w:val="24"/>
        </w:rPr>
        <w:t>La Unidad de Transparencia deberá notificarlo al solicitante por escrito, en un plazo que no exceda de quince días hábiles contados a partir del día siguiente a la presentación de la solicitud.</w:t>
      </w:r>
    </w:p>
    <w:p w14:paraId="16FBAC09" w14:textId="77777777" w:rsidR="00226ED0" w:rsidRPr="002F227A" w:rsidRDefault="00226ED0" w:rsidP="00226ED0">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i/>
          <w:szCs w:val="24"/>
        </w:rPr>
        <w:t>Este plazo podrá ampliarse hasta por otros siete días hábiles, siempre que existan razones para ello, debiendo notificarse por escrito al solicitante.</w:t>
      </w:r>
    </w:p>
    <w:p w14:paraId="5003A238" w14:textId="77777777" w:rsidR="00226ED0" w:rsidRPr="00F50EBD" w:rsidRDefault="00226ED0" w:rsidP="00226ED0">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2F227A">
        <w:rPr>
          <w:rFonts w:ascii="Palatino Linotype" w:hAnsi="Palatino Linotype"/>
          <w:b/>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2F227A">
        <w:rPr>
          <w:rFonts w:ascii="Palatino Linotype" w:hAnsi="Palatino Linotype"/>
          <w:b/>
          <w:i/>
          <w:iCs/>
          <w:szCs w:val="24"/>
        </w:rPr>
        <w:t>”</w:t>
      </w:r>
      <w:r>
        <w:rPr>
          <w:rFonts w:ascii="Palatino Linotype" w:hAnsi="Palatino Linotype"/>
          <w:i/>
          <w:iCs/>
          <w:szCs w:val="24"/>
        </w:rPr>
        <w:t xml:space="preserve"> </w:t>
      </w:r>
      <w:r>
        <w:rPr>
          <w:rFonts w:ascii="Palatino Linotype" w:hAnsi="Palatino Linotype"/>
          <w:b/>
          <w:i/>
          <w:iCs/>
          <w:szCs w:val="24"/>
        </w:rPr>
        <w:t>[Sic]</w:t>
      </w:r>
    </w:p>
    <w:p w14:paraId="36732D17" w14:textId="77777777" w:rsidR="00226ED0" w:rsidRPr="00A975A3" w:rsidRDefault="00226ED0" w:rsidP="00226ED0">
      <w:pPr>
        <w:tabs>
          <w:tab w:val="left" w:pos="709"/>
        </w:tabs>
        <w:spacing w:after="0" w:line="240" w:lineRule="auto"/>
        <w:ind w:left="567" w:right="567"/>
        <w:jc w:val="both"/>
        <w:rPr>
          <w:rFonts w:ascii="Palatino Linotype" w:hAnsi="Palatino Linotype"/>
          <w:i/>
          <w:szCs w:val="24"/>
        </w:rPr>
      </w:pPr>
    </w:p>
    <w:p w14:paraId="7B9590A9" w14:textId="77777777" w:rsidR="00226ED0" w:rsidRDefault="00226ED0" w:rsidP="00226ED0">
      <w:pPr>
        <w:tabs>
          <w:tab w:val="left" w:pos="709"/>
        </w:tabs>
        <w:spacing w:after="0" w:line="360" w:lineRule="auto"/>
        <w:jc w:val="both"/>
        <w:rPr>
          <w:rFonts w:ascii="Palatino Linotype" w:hAnsi="Palatino Linotype" w:cs="Arial"/>
          <w:sz w:val="24"/>
          <w:szCs w:val="24"/>
        </w:rPr>
      </w:pPr>
      <w:r w:rsidRPr="00775800">
        <w:rPr>
          <w:rFonts w:ascii="Palatino Linotype" w:hAnsi="Palatino Linotype" w:cs="Arial"/>
          <w:sz w:val="24"/>
          <w:szCs w:val="24"/>
        </w:rPr>
        <w:t xml:space="preserve">En observancia a lo anterior,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w:t>
      </w:r>
      <w:r w:rsidRPr="00775800">
        <w:rPr>
          <w:rFonts w:ascii="Palatino Linotype" w:hAnsi="Palatino Linotype" w:cs="Arial"/>
          <w:sz w:val="24"/>
          <w:szCs w:val="24"/>
        </w:rPr>
        <w:lastRenderedPageBreak/>
        <w:t>obligados por la Ley de Transparencia y Acceso a la Información Pública del Estado de México y Municipios, en su numeral CUARENTA Y CUATRO, así como, CUAREN</w:t>
      </w:r>
      <w:r>
        <w:rPr>
          <w:rFonts w:ascii="Palatino Linotype" w:hAnsi="Palatino Linotype" w:cs="Arial"/>
          <w:sz w:val="24"/>
          <w:szCs w:val="24"/>
        </w:rPr>
        <w:t>TA Y CINCO, además, que resulta aplicable el criterio</w:t>
      </w:r>
      <w:r w:rsidRPr="00775800">
        <w:rPr>
          <w:rFonts w:ascii="Palatino Linotype" w:hAnsi="Palatino Linotype" w:cs="Arial"/>
          <w:sz w:val="24"/>
          <w:szCs w:val="24"/>
        </w:rPr>
        <w:t xml:space="preserve"> de interpretación en el orden admini</w:t>
      </w:r>
      <w:r>
        <w:rPr>
          <w:rFonts w:ascii="Palatino Linotype" w:hAnsi="Palatino Linotype" w:cs="Arial"/>
          <w:sz w:val="24"/>
          <w:szCs w:val="24"/>
        </w:rPr>
        <w:t>strativo número 0003-11 emitido</w:t>
      </w:r>
      <w:r w:rsidRPr="00775800">
        <w:rPr>
          <w:rFonts w:ascii="Palatino Linotype" w:hAnsi="Palatino Linotype" w:cs="Arial"/>
          <w:sz w:val="24"/>
          <w:szCs w:val="24"/>
        </w:rPr>
        <w:t xml:space="preserve"> por Acuerdo del Pleno del Instituto de Transparencia y Acceso a la Información Pública del Estado de México y </w:t>
      </w:r>
      <w:r>
        <w:rPr>
          <w:rFonts w:ascii="Palatino Linotype" w:hAnsi="Palatino Linotype" w:cs="Arial"/>
          <w:sz w:val="24"/>
          <w:szCs w:val="24"/>
        </w:rPr>
        <w:t>Municipios, que a la letra dice</w:t>
      </w:r>
      <w:r w:rsidRPr="00775800">
        <w:rPr>
          <w:rFonts w:ascii="Palatino Linotype" w:hAnsi="Palatino Linotype" w:cs="Arial"/>
          <w:sz w:val="24"/>
          <w:szCs w:val="24"/>
        </w:rPr>
        <w:t>:</w:t>
      </w:r>
    </w:p>
    <w:p w14:paraId="0C39D518" w14:textId="77777777" w:rsidR="00226ED0" w:rsidRDefault="00226ED0" w:rsidP="00226ED0">
      <w:pPr>
        <w:tabs>
          <w:tab w:val="left" w:pos="709"/>
        </w:tabs>
        <w:spacing w:before="240" w:line="360" w:lineRule="auto"/>
        <w:ind w:left="851" w:right="851"/>
        <w:jc w:val="center"/>
        <w:rPr>
          <w:rFonts w:ascii="Palatino Linotype" w:hAnsi="Palatino Linotype" w:cs="Arial"/>
          <w:b/>
          <w:i/>
          <w:szCs w:val="24"/>
        </w:rPr>
      </w:pPr>
      <w:r w:rsidRPr="00317488">
        <w:rPr>
          <w:rFonts w:ascii="Palatino Linotype" w:hAnsi="Palatino Linotype" w:cs="Arial"/>
          <w:i/>
          <w:szCs w:val="24"/>
        </w:rPr>
        <w:t>“</w:t>
      </w:r>
      <w:r w:rsidRPr="00317488">
        <w:rPr>
          <w:rFonts w:ascii="Palatino Linotype" w:hAnsi="Palatino Linotype" w:cs="Arial"/>
          <w:b/>
          <w:i/>
          <w:szCs w:val="24"/>
        </w:rPr>
        <w:t>CRITERIO 003-11.</w:t>
      </w:r>
    </w:p>
    <w:p w14:paraId="21B0AE05" w14:textId="77777777" w:rsidR="00226ED0" w:rsidRPr="00317488" w:rsidRDefault="00226ED0" w:rsidP="00226ED0">
      <w:pPr>
        <w:tabs>
          <w:tab w:val="left" w:pos="709"/>
        </w:tabs>
        <w:spacing w:before="240" w:line="360" w:lineRule="auto"/>
        <w:ind w:left="851" w:right="851"/>
        <w:jc w:val="both"/>
        <w:rPr>
          <w:rFonts w:ascii="Palatino Linotype" w:hAnsi="Palatino Linotype" w:cs="Arial"/>
          <w:i/>
          <w:szCs w:val="24"/>
          <w:u w:val="single"/>
        </w:rPr>
      </w:pPr>
      <w:r w:rsidRPr="00317488">
        <w:rPr>
          <w:rFonts w:ascii="Palatino Linotype" w:hAnsi="Palatino Linotype" w:cs="Arial"/>
          <w:b/>
          <w:i/>
          <w:szCs w:val="24"/>
        </w:rPr>
        <w:t>INEXISTENCIA, CONCEPTO DE, EN MATERIA DE TRANSPARENCIA</w:t>
      </w:r>
      <w:r>
        <w:rPr>
          <w:rFonts w:ascii="Palatino Linotype" w:hAnsi="Palatino Linotype" w:cs="Arial"/>
          <w:i/>
          <w:szCs w:val="24"/>
        </w:rPr>
        <w:t xml:space="preserve">. </w:t>
      </w:r>
      <w:r w:rsidRPr="00317488">
        <w:rPr>
          <w:rFonts w:ascii="Palatino Linotype" w:hAnsi="Palatino Linotype" w:cs="Arial"/>
          <w:i/>
          <w:szCs w:val="24"/>
        </w:rPr>
        <w:t xml:space="preserve">La interpretación sistemática de los artículos 29 y 30, fracción VIII, de la Ley de Transparencia y Acceso a la Información Pública del Estado de México y Municipios, permite concluir que la </w:t>
      </w:r>
      <w:r w:rsidRPr="003279CD">
        <w:rPr>
          <w:rFonts w:ascii="Palatino Linotype" w:hAnsi="Palatino Linotype" w:cs="Arial"/>
          <w:b/>
          <w:i/>
          <w:szCs w:val="24"/>
          <w:u w:val="single"/>
        </w:rPr>
        <w:t>inexistencia de la información</w:t>
      </w:r>
      <w:r>
        <w:rPr>
          <w:rFonts w:ascii="Palatino Linotype" w:hAnsi="Palatino Linotype" w:cs="Arial"/>
          <w:i/>
          <w:szCs w:val="24"/>
        </w:rPr>
        <w:t xml:space="preserve"> </w:t>
      </w:r>
      <w:r w:rsidRPr="00317488">
        <w:rPr>
          <w:rFonts w:ascii="Palatino Linotype" w:hAnsi="Palatino Linotype" w:cs="Arial"/>
          <w:i/>
          <w:szCs w:val="24"/>
        </w:rPr>
        <w:t>en el derecho de acceso a la información pública</w:t>
      </w:r>
      <w:r>
        <w:rPr>
          <w:rFonts w:ascii="Palatino Linotype" w:hAnsi="Palatino Linotype" w:cs="Arial"/>
          <w:i/>
          <w:szCs w:val="24"/>
        </w:rPr>
        <w:t xml:space="preserve"> </w:t>
      </w:r>
      <w:r w:rsidRPr="003279CD">
        <w:rPr>
          <w:rFonts w:ascii="Palatino Linotype" w:hAnsi="Palatino Linotype" w:cs="Arial"/>
          <w:b/>
          <w:i/>
          <w:szCs w:val="24"/>
          <w:u w:val="single"/>
        </w:rPr>
        <w:t>conlleva necesariamente a los siguientes supuestos:</w:t>
      </w:r>
    </w:p>
    <w:p w14:paraId="1210C76B" w14:textId="77777777" w:rsidR="00226ED0" w:rsidRPr="00422E0C" w:rsidRDefault="00226ED0" w:rsidP="00226ED0">
      <w:pPr>
        <w:tabs>
          <w:tab w:val="left" w:pos="709"/>
        </w:tabs>
        <w:spacing w:before="240" w:line="360" w:lineRule="auto"/>
        <w:ind w:left="851" w:right="851"/>
        <w:jc w:val="both"/>
        <w:rPr>
          <w:rFonts w:ascii="Palatino Linotype" w:hAnsi="Palatino Linotype" w:cs="Arial"/>
          <w:i/>
          <w:szCs w:val="24"/>
        </w:rPr>
      </w:pPr>
      <w:r w:rsidRPr="00422E0C">
        <w:rPr>
          <w:rFonts w:ascii="Palatino Linotype" w:hAnsi="Palatino Linotype" w:cs="Arial"/>
          <w:i/>
          <w:szCs w:val="24"/>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8BEFFEE" w14:textId="77777777" w:rsidR="00226ED0" w:rsidRPr="00422E0C" w:rsidRDefault="00226ED0" w:rsidP="00226ED0">
      <w:pPr>
        <w:tabs>
          <w:tab w:val="left" w:pos="709"/>
        </w:tabs>
        <w:spacing w:before="240" w:line="360" w:lineRule="auto"/>
        <w:ind w:left="851" w:right="851"/>
        <w:jc w:val="both"/>
        <w:rPr>
          <w:rFonts w:ascii="Palatino Linotype" w:hAnsi="Palatino Linotype" w:cs="Arial"/>
          <w:i/>
          <w:szCs w:val="24"/>
        </w:rPr>
      </w:pPr>
      <w:r w:rsidRPr="00422E0C">
        <w:rPr>
          <w:rFonts w:ascii="Palatino Linotype" w:hAnsi="Palatino Linotype" w:cs="Arial"/>
          <w:i/>
          <w:szCs w:val="24"/>
        </w:rPr>
        <w:t>b) En los casos en que por las atribuciones conferidas al Sujeto Obligado éste debió generar, administrar o poseer la información, pero en incumplimiento a la normatividad respectiva no llevó a cabo ninguna de esas acciones.</w:t>
      </w:r>
    </w:p>
    <w:p w14:paraId="426D1FCF" w14:textId="77777777" w:rsidR="00226ED0" w:rsidRDefault="00226ED0" w:rsidP="00226ED0">
      <w:pPr>
        <w:tabs>
          <w:tab w:val="left" w:pos="709"/>
        </w:tabs>
        <w:spacing w:before="240" w:line="360" w:lineRule="auto"/>
        <w:ind w:left="851" w:right="851"/>
        <w:jc w:val="both"/>
        <w:rPr>
          <w:rFonts w:ascii="Palatino Linotype" w:hAnsi="Palatino Linotype" w:cs="Arial"/>
          <w:b/>
          <w:i/>
          <w:szCs w:val="24"/>
        </w:rPr>
      </w:pPr>
      <w:r w:rsidRPr="00317488">
        <w:rPr>
          <w:rFonts w:ascii="Palatino Linotype" w:hAnsi="Palatino Linotype" w:cs="Arial"/>
          <w:i/>
          <w:szCs w:val="24"/>
        </w:rPr>
        <w:lastRenderedPageBreak/>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r>
        <w:rPr>
          <w:rFonts w:ascii="Palatino Linotype" w:hAnsi="Palatino Linotype" w:cs="Arial"/>
          <w:i/>
          <w:szCs w:val="24"/>
        </w:rPr>
        <w:t xml:space="preserve">” </w:t>
      </w:r>
      <w:r w:rsidRPr="00775800">
        <w:rPr>
          <w:rFonts w:ascii="Palatino Linotype" w:hAnsi="Palatino Linotype" w:cs="Arial"/>
          <w:i/>
          <w:szCs w:val="24"/>
        </w:rPr>
        <w:t xml:space="preserve"> </w:t>
      </w:r>
      <w:r>
        <w:rPr>
          <w:rFonts w:ascii="Palatino Linotype" w:hAnsi="Palatino Linotype" w:cs="Arial"/>
          <w:b/>
          <w:i/>
          <w:szCs w:val="24"/>
        </w:rPr>
        <w:t>[Sic]</w:t>
      </w:r>
    </w:p>
    <w:p w14:paraId="392017F2" w14:textId="77777777" w:rsidR="00303BAD" w:rsidRPr="002F227A" w:rsidRDefault="00303BAD" w:rsidP="00226ED0">
      <w:pPr>
        <w:tabs>
          <w:tab w:val="left" w:pos="709"/>
        </w:tabs>
        <w:spacing w:before="240" w:line="360" w:lineRule="auto"/>
        <w:ind w:left="851" w:right="851"/>
        <w:jc w:val="both"/>
        <w:rPr>
          <w:rFonts w:ascii="Palatino Linotype" w:hAnsi="Palatino Linotype" w:cs="Arial"/>
          <w:b/>
          <w:i/>
          <w:szCs w:val="24"/>
        </w:rPr>
      </w:pPr>
    </w:p>
    <w:p w14:paraId="6F6A1393" w14:textId="77777777" w:rsidR="00226ED0" w:rsidRDefault="00226ED0" w:rsidP="00226ED0">
      <w:pPr>
        <w:tabs>
          <w:tab w:val="left" w:pos="709"/>
        </w:tabs>
        <w:spacing w:after="0" w:line="360" w:lineRule="auto"/>
        <w:jc w:val="both"/>
        <w:rPr>
          <w:rFonts w:ascii="Palatino Linotype" w:hAnsi="Palatino Linotype" w:cs="Arial"/>
          <w:sz w:val="24"/>
          <w:szCs w:val="24"/>
        </w:rPr>
      </w:pPr>
      <w:r w:rsidRPr="00775800">
        <w:rPr>
          <w:rFonts w:ascii="Palatino Linotype" w:hAnsi="Palatino Linotype" w:cs="Arial"/>
          <w:sz w:val="24"/>
          <w:szCs w:val="24"/>
          <w:lang w:val="es-ES_tradnl"/>
        </w:rPr>
        <w:t xml:space="preserve">Bajo éste tenor se debe destacar que para que se declare la inexistencia de la información deberá de encuadrar en dos hipótesis, la primera de ellas corresponde a que en atribuciones, competencias o funciones del </w:t>
      </w:r>
      <w:r>
        <w:rPr>
          <w:rFonts w:ascii="Palatino Linotype" w:hAnsi="Palatino Linotype" w:cs="Arial"/>
          <w:b/>
          <w:sz w:val="24"/>
          <w:szCs w:val="24"/>
          <w:lang w:val="es-ES_tradnl"/>
        </w:rPr>
        <w:t>Sujeto O</w:t>
      </w:r>
      <w:r w:rsidRPr="00487653">
        <w:rPr>
          <w:rFonts w:ascii="Palatino Linotype" w:hAnsi="Palatino Linotype" w:cs="Arial"/>
          <w:b/>
          <w:sz w:val="24"/>
          <w:szCs w:val="24"/>
          <w:lang w:val="es-ES_tradnl"/>
        </w:rPr>
        <w:t>bligado</w:t>
      </w:r>
      <w:r w:rsidRPr="00775800">
        <w:rPr>
          <w:rFonts w:ascii="Palatino Linotype" w:hAnsi="Palatino Linotype" w:cs="Arial"/>
          <w:sz w:val="24"/>
          <w:szCs w:val="24"/>
          <w:lang w:val="es-ES_tradnl"/>
        </w:rPr>
        <w:t xml:space="preserve"> debió de haber generado, administrado o poseído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w:t>
      </w:r>
    </w:p>
    <w:p w14:paraId="5A7559DA" w14:textId="77777777" w:rsidR="00226ED0" w:rsidRDefault="00226ED0" w:rsidP="00226ED0">
      <w:pPr>
        <w:spacing w:line="360" w:lineRule="auto"/>
        <w:contextualSpacing/>
        <w:jc w:val="both"/>
        <w:rPr>
          <w:rFonts w:ascii="Palatino Linotype" w:eastAsia="MS Mincho" w:hAnsi="Palatino Linotype"/>
        </w:rPr>
      </w:pPr>
    </w:p>
    <w:p w14:paraId="10F66D6B" w14:textId="27A4CA50" w:rsidR="00226ED0" w:rsidRPr="000F5B7E" w:rsidRDefault="00226ED0" w:rsidP="00226ED0">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Pr>
          <w:rFonts w:ascii="Palatino Linotype" w:hAnsi="Palatino Linotype" w:cs="Arial"/>
          <w:b/>
          <w:sz w:val="24"/>
          <w:szCs w:val="24"/>
        </w:rPr>
        <w:t>00324/UAEM/IP/2021</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58D066CE" w14:textId="77777777" w:rsidR="00226ED0" w:rsidRDefault="00226ED0" w:rsidP="00226ED0">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4E04CADF" w14:textId="77777777" w:rsidR="00226ED0" w:rsidRPr="000F5B7E" w:rsidRDefault="00226ED0" w:rsidP="00226ED0">
      <w:pPr>
        <w:spacing w:after="0" w:line="360" w:lineRule="auto"/>
        <w:jc w:val="both"/>
        <w:rPr>
          <w:rFonts w:ascii="Palatino Linotype" w:eastAsia="Times New Roman" w:hAnsi="Palatino Linotype" w:cs="Times New Roman"/>
          <w:sz w:val="24"/>
          <w:szCs w:val="24"/>
          <w:lang w:eastAsia="es-ES"/>
        </w:rPr>
      </w:pPr>
    </w:p>
    <w:p w14:paraId="28E7A547" w14:textId="77777777" w:rsidR="00226ED0" w:rsidRPr="000F5B7E" w:rsidRDefault="00226ED0" w:rsidP="00226ED0">
      <w:pPr>
        <w:spacing w:after="0" w:line="360" w:lineRule="auto"/>
        <w:jc w:val="center"/>
        <w:rPr>
          <w:rFonts w:ascii="Palatino Linotype" w:eastAsia="Times New Roman" w:hAnsi="Palatino Linotype" w:cs="Times New Roman"/>
          <w:b/>
          <w:bCs/>
          <w:spacing w:val="60"/>
          <w:sz w:val="28"/>
          <w:szCs w:val="28"/>
          <w:lang w:eastAsia="es-ES"/>
        </w:rPr>
      </w:pPr>
      <w:r>
        <w:rPr>
          <w:rFonts w:ascii="Palatino Linotype" w:eastAsia="Times New Roman" w:hAnsi="Palatino Linotype" w:cs="Times New Roman"/>
          <w:b/>
          <w:bCs/>
          <w:spacing w:val="60"/>
          <w:sz w:val="28"/>
          <w:szCs w:val="28"/>
          <w:lang w:eastAsia="es-ES"/>
        </w:rPr>
        <w:lastRenderedPageBreak/>
        <w:t xml:space="preserve">SE </w:t>
      </w:r>
      <w:r w:rsidRPr="000F5B7E">
        <w:rPr>
          <w:rFonts w:ascii="Palatino Linotype" w:eastAsia="Times New Roman" w:hAnsi="Palatino Linotype" w:cs="Times New Roman"/>
          <w:b/>
          <w:bCs/>
          <w:spacing w:val="60"/>
          <w:sz w:val="28"/>
          <w:szCs w:val="28"/>
          <w:lang w:eastAsia="es-ES"/>
        </w:rPr>
        <w:t xml:space="preserve"> RESUELVE</w:t>
      </w:r>
    </w:p>
    <w:p w14:paraId="59BC6D95" w14:textId="77777777" w:rsidR="00226ED0" w:rsidRPr="000F5B7E" w:rsidRDefault="00226ED0" w:rsidP="00226ED0">
      <w:pPr>
        <w:spacing w:after="0" w:line="360" w:lineRule="auto"/>
        <w:jc w:val="center"/>
        <w:rPr>
          <w:rFonts w:ascii="Palatino Linotype" w:eastAsia="Times New Roman" w:hAnsi="Palatino Linotype" w:cs="Times New Roman"/>
          <w:b/>
          <w:bCs/>
          <w:spacing w:val="60"/>
          <w:sz w:val="12"/>
          <w:szCs w:val="24"/>
        </w:rPr>
      </w:pPr>
    </w:p>
    <w:p w14:paraId="2CC4D056" w14:textId="752D92CD" w:rsidR="00226ED0" w:rsidRPr="000F5B7E" w:rsidRDefault="00226ED0" w:rsidP="00226ED0">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Sujeto Obligado </w:t>
      </w:r>
      <w:r w:rsidRPr="000F5B7E">
        <w:rPr>
          <w:rFonts w:ascii="Palatino Linotype" w:eastAsia="Arial Unicode MS" w:hAnsi="Palatino Linotype" w:cs="Arial"/>
          <w:sz w:val="24"/>
          <w:szCs w:val="24"/>
          <w:lang w:eastAsia="es-ES"/>
        </w:rPr>
        <w:t xml:space="preserve">a la solicitud de información número </w:t>
      </w:r>
      <w:r>
        <w:rPr>
          <w:rFonts w:ascii="Palatino Linotype" w:hAnsi="Palatino Linotype" w:cs="Arial"/>
          <w:b/>
          <w:sz w:val="24"/>
          <w:szCs w:val="24"/>
        </w:rPr>
        <w:t>00324/UAEM/IP/2021</w:t>
      </w:r>
      <w:r w:rsidRPr="000F5B7E">
        <w:rPr>
          <w:rFonts w:ascii="Palatino Linotype" w:eastAsia="Arial Unicode MS" w:hAnsi="Palatino Linotype" w:cs="Arial"/>
          <w:sz w:val="24"/>
          <w:szCs w:val="24"/>
          <w:lang w:eastAsia="es-ES"/>
        </w:rPr>
        <w:t xml:space="preserve">, por resultar fundados los motivos de inconformidad que arguye </w:t>
      </w:r>
      <w:r>
        <w:rPr>
          <w:rFonts w:ascii="Palatino Linotype" w:eastAsia="Arial Unicode MS" w:hAnsi="Palatino Linotype" w:cs="Arial"/>
          <w:b/>
          <w:bCs/>
          <w:sz w:val="24"/>
          <w:szCs w:val="24"/>
          <w:lang w:eastAsia="es-ES"/>
        </w:rPr>
        <w:t>El</w:t>
      </w:r>
      <w:r w:rsidRPr="000F5B7E">
        <w:rPr>
          <w:rFonts w:ascii="Palatino Linotype" w:eastAsia="Arial Unicode MS" w:hAnsi="Palatino Linotype" w:cs="Arial"/>
          <w:b/>
          <w:sz w:val="24"/>
          <w:szCs w:val="24"/>
          <w:lang w:eastAsia="es-ES"/>
        </w:rPr>
        <w:t xml:space="preserve"> Recurrente</w:t>
      </w:r>
      <w:r w:rsidRPr="000F5B7E">
        <w:rPr>
          <w:rFonts w:ascii="Palatino Linotype" w:eastAsia="Arial Unicode MS" w:hAnsi="Palatino Linotype" w:cs="Arial"/>
          <w:sz w:val="24"/>
          <w:szCs w:val="24"/>
          <w:lang w:eastAsia="es-ES"/>
        </w:rPr>
        <w:t>, 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1579399A" w14:textId="77777777" w:rsidR="00226ED0" w:rsidRPr="000F5B7E" w:rsidRDefault="00226ED0" w:rsidP="00226ED0">
      <w:pPr>
        <w:spacing w:after="0" w:line="360" w:lineRule="auto"/>
        <w:jc w:val="both"/>
        <w:rPr>
          <w:rFonts w:ascii="Palatino Linotype" w:eastAsia="Times New Roman" w:hAnsi="Palatino Linotype" w:cs="Arial"/>
          <w:sz w:val="24"/>
          <w:szCs w:val="24"/>
          <w:lang w:eastAsia="es-ES"/>
        </w:rPr>
      </w:pPr>
    </w:p>
    <w:p w14:paraId="4C5C0DFE" w14:textId="0291B9C8" w:rsidR="00226ED0" w:rsidRPr="00844438" w:rsidRDefault="00226ED0" w:rsidP="00226ED0">
      <w:pPr>
        <w:pStyle w:val="Sinespaciado"/>
        <w:spacing w:line="360" w:lineRule="auto"/>
        <w:jc w:val="both"/>
        <w:rPr>
          <w:rFonts w:ascii="Palatino Linotype" w:hAnsi="Palatino Linotype" w:cs="Arial"/>
        </w:rPr>
      </w:pPr>
      <w:r w:rsidRPr="00844438">
        <w:rPr>
          <w:rFonts w:ascii="Palatino Linotype" w:hAnsi="Palatino Linotype" w:cs="Arial"/>
          <w:b/>
          <w:sz w:val="28"/>
          <w:szCs w:val="28"/>
        </w:rPr>
        <w:t>SEGUNDO.</w:t>
      </w:r>
      <w:r w:rsidRPr="00844438">
        <w:rPr>
          <w:rFonts w:ascii="Palatino Linotype" w:hAnsi="Palatino Linotype" w:cs="Arial"/>
        </w:rPr>
        <w:t xml:space="preserve"> Se </w:t>
      </w:r>
      <w:r w:rsidRPr="00844438">
        <w:rPr>
          <w:rFonts w:ascii="Palatino Linotype" w:hAnsi="Palatino Linotype" w:cs="Arial"/>
          <w:b/>
        </w:rPr>
        <w:t>ORDENA</w:t>
      </w:r>
      <w:r w:rsidRPr="00844438">
        <w:rPr>
          <w:rFonts w:ascii="Palatino Linotype" w:hAnsi="Palatino Linotype" w:cs="Arial"/>
        </w:rPr>
        <w:t xml:space="preserve"> al </w:t>
      </w:r>
      <w:r w:rsidRPr="00844438">
        <w:rPr>
          <w:rFonts w:ascii="Palatino Linotype" w:hAnsi="Palatino Linotype" w:cs="Arial"/>
          <w:b/>
        </w:rPr>
        <w:t>SUJETO OBLIGADO</w:t>
      </w:r>
      <w:r w:rsidRPr="00844438">
        <w:rPr>
          <w:rFonts w:ascii="Palatino Linotype" w:hAnsi="Palatino Linotype" w:cs="Arial"/>
        </w:rPr>
        <w:t xml:space="preserve"> haga entrega al </w:t>
      </w:r>
      <w:r w:rsidRPr="00844438">
        <w:rPr>
          <w:rFonts w:ascii="Palatino Linotype" w:hAnsi="Palatino Linotype" w:cs="Arial"/>
          <w:b/>
        </w:rPr>
        <w:t xml:space="preserve">RECURRENTE </w:t>
      </w:r>
      <w:r w:rsidRPr="00844438">
        <w:rPr>
          <w:rFonts w:ascii="Palatino Linotype" w:hAnsi="Palatino Linotype" w:cs="Arial"/>
        </w:rPr>
        <w:t xml:space="preserve">en términos del Considerando </w:t>
      </w:r>
      <w:r w:rsidRPr="00844438">
        <w:rPr>
          <w:rFonts w:ascii="Palatino Linotype" w:hAnsi="Palatino Linotype" w:cs="Arial"/>
          <w:b/>
        </w:rPr>
        <w:t xml:space="preserve">CUARTO </w:t>
      </w:r>
      <w:r>
        <w:rPr>
          <w:rFonts w:ascii="Palatino Linotype" w:hAnsi="Palatino Linotype" w:cs="Arial"/>
        </w:rPr>
        <w:t>de esta resolución</w:t>
      </w:r>
      <w:r w:rsidRPr="00844438">
        <w:rPr>
          <w:rFonts w:ascii="Palatino Linotype" w:hAnsi="Palatino Linotype" w:cs="Arial"/>
        </w:rPr>
        <w:t xml:space="preserve">, a través del </w:t>
      </w:r>
      <w:r>
        <w:rPr>
          <w:rFonts w:ascii="Palatino Linotype" w:hAnsi="Palatino Linotype" w:cs="Arial"/>
        </w:rPr>
        <w:t xml:space="preserve">Sistema de Acceso a la Información Mexiquense </w:t>
      </w:r>
      <w:r>
        <w:rPr>
          <w:rFonts w:ascii="Palatino Linotype" w:hAnsi="Palatino Linotype" w:cs="Arial"/>
          <w:b/>
        </w:rPr>
        <w:t>(SAIMEX)</w:t>
      </w:r>
      <w:r w:rsidRPr="00844438">
        <w:rPr>
          <w:rFonts w:ascii="Palatino Linotype" w:hAnsi="Palatino Linotype" w:cs="Arial"/>
        </w:rPr>
        <w:t>, de lo siguiente:</w:t>
      </w:r>
    </w:p>
    <w:p w14:paraId="5C3158DD" w14:textId="77777777" w:rsidR="00226ED0" w:rsidRPr="00C870F5" w:rsidRDefault="00226ED0" w:rsidP="00226ED0">
      <w:pPr>
        <w:pStyle w:val="Prrafodelista"/>
        <w:numPr>
          <w:ilvl w:val="0"/>
          <w:numId w:val="16"/>
        </w:numPr>
        <w:spacing w:line="360" w:lineRule="auto"/>
        <w:contextualSpacing/>
        <w:jc w:val="both"/>
        <w:rPr>
          <w:rFonts w:ascii="Palatino Linotype" w:hAnsi="Palatino Linotype"/>
        </w:rPr>
      </w:pPr>
      <w:r w:rsidRPr="00C870F5">
        <w:rPr>
          <w:rFonts w:ascii="Palatino Linotype" w:eastAsia="MS Mincho" w:hAnsi="Palatino Linotype"/>
        </w:rPr>
        <w:t xml:space="preserve">Acuerdo emitido por el Comité de Transparencia en donde se apruebe la declaración de inexistencia </w:t>
      </w:r>
      <w:r>
        <w:rPr>
          <w:rFonts w:ascii="Palatino Linotype" w:eastAsia="MS Mincho" w:hAnsi="Palatino Linotype"/>
        </w:rPr>
        <w:t xml:space="preserve">respecto </w:t>
      </w:r>
      <w:r w:rsidRPr="00C870F5">
        <w:rPr>
          <w:rFonts w:ascii="Palatino Linotype" w:eastAsia="MS Mincho" w:hAnsi="Palatino Linotype"/>
        </w:rPr>
        <w:t>de</w:t>
      </w:r>
      <w:r w:rsidRPr="00C870F5">
        <w:rPr>
          <w:rFonts w:ascii="Palatino Linotype" w:hAnsi="Palatino Linotype"/>
        </w:rPr>
        <w:t xml:space="preserve">l o los documentos en los que se registraron los lineamientos y criterios para la </w:t>
      </w:r>
      <w:r w:rsidRPr="00226ED0">
        <w:rPr>
          <w:rFonts w:ascii="Palatino Linotype" w:hAnsi="Palatino Linotype"/>
        </w:rPr>
        <w:t>asignación directa</w:t>
      </w:r>
      <w:r w:rsidRPr="00C870F5">
        <w:rPr>
          <w:rFonts w:ascii="Palatino Linotype" w:hAnsi="Palatino Linotype"/>
        </w:rPr>
        <w:t xml:space="preserve"> de vehículos, durante la enajenación de vehículos realizada en el año 2014. </w:t>
      </w:r>
    </w:p>
    <w:p w14:paraId="27A0BAF7" w14:textId="77777777" w:rsidR="00226ED0" w:rsidRPr="001C3E7E" w:rsidRDefault="00226ED0" w:rsidP="00226ED0">
      <w:pPr>
        <w:pStyle w:val="Sinespaciado"/>
        <w:spacing w:line="360" w:lineRule="auto"/>
        <w:ind w:left="720"/>
        <w:jc w:val="both"/>
        <w:rPr>
          <w:rFonts w:ascii="Palatino Linotype" w:hAnsi="Palatino Linotype"/>
          <w:iCs/>
        </w:rPr>
      </w:pPr>
    </w:p>
    <w:p w14:paraId="1A227724" w14:textId="12D5F1C5" w:rsidR="00226ED0" w:rsidRDefault="00226ED0" w:rsidP="00226ED0">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TERCERO.</w:t>
      </w:r>
      <w:r w:rsidRPr="000F5B7E">
        <w:rPr>
          <w:rFonts w:ascii="Palatino Linotype" w:eastAsia="Times New Roman" w:hAnsi="Palatino Linotype" w:cs="Arial"/>
          <w:b/>
          <w:sz w:val="24"/>
          <w:szCs w:val="24"/>
          <w:lang w:eastAsia="es-ES"/>
        </w:rPr>
        <w:t xml:space="preserve"> NOTIFÍQUESE</w:t>
      </w:r>
      <w:r w:rsidRPr="000F5B7E">
        <w:rPr>
          <w:rFonts w:ascii="Palatino Linotype" w:eastAsia="Times New Roman" w:hAnsi="Palatino Linotype" w:cs="Arial"/>
          <w:b/>
          <w:i/>
          <w:sz w:val="24"/>
          <w:szCs w:val="24"/>
          <w:lang w:eastAsia="es-ES"/>
        </w:rPr>
        <w:t xml:space="preserve"> </w:t>
      </w:r>
      <w:r w:rsidRPr="000F5B7E">
        <w:rPr>
          <w:rFonts w:ascii="Palatino Linotype" w:eastAsia="Times New Roman" w:hAnsi="Palatino Linotype" w:cs="Arial"/>
          <w:sz w:val="24"/>
          <w:szCs w:val="24"/>
          <w:lang w:eastAsia="es-ES"/>
        </w:rPr>
        <w:t>al Titular de la Unidad de Transparencia del</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eastAsia="Times New Roman" w:hAnsi="Palatino Linotype" w:cs="Arial"/>
          <w:sz w:val="24"/>
          <w:szCs w:val="24"/>
          <w:lang w:eastAsia="es-ES"/>
        </w:rPr>
        <w:t>diez</w:t>
      </w:r>
      <w:r w:rsidRPr="000F5B7E">
        <w:rPr>
          <w:rFonts w:ascii="Palatino Linotype" w:eastAsia="Times New Roman" w:hAnsi="Palatino Linotype" w:cs="Arial"/>
          <w:sz w:val="24"/>
          <w:szCs w:val="24"/>
          <w:lang w:eastAsia="es-ES"/>
        </w:rPr>
        <w:t xml:space="preserve"> días hábiles, debiendo informar a este Instituto en un plazo de tres días hábiles siguientes sobre el cumplimiento dado a la presente resolución.</w:t>
      </w:r>
    </w:p>
    <w:p w14:paraId="37415B1F" w14:textId="77777777" w:rsidR="00226ED0" w:rsidRDefault="00226ED0" w:rsidP="00226ED0">
      <w:pPr>
        <w:spacing w:after="0" w:line="360" w:lineRule="auto"/>
        <w:jc w:val="both"/>
        <w:rPr>
          <w:rFonts w:ascii="Palatino Linotype" w:eastAsia="Times New Roman" w:hAnsi="Palatino Linotype" w:cs="Arial"/>
          <w:sz w:val="24"/>
          <w:szCs w:val="24"/>
          <w:lang w:eastAsia="es-ES"/>
        </w:rPr>
      </w:pPr>
    </w:p>
    <w:p w14:paraId="61519332" w14:textId="77777777" w:rsidR="00226ED0" w:rsidRDefault="00226ED0" w:rsidP="00226ED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b/>
          <w:sz w:val="28"/>
          <w:szCs w:val="24"/>
          <w:lang w:val="es-ES" w:eastAsia="es-ES"/>
        </w:rPr>
        <w:lastRenderedPageBreak/>
        <w:t>CUARTO</w:t>
      </w:r>
      <w:r w:rsidRPr="00835D88">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AF2D4B" w14:textId="77777777" w:rsidR="00EB6785" w:rsidRPr="005751B7" w:rsidRDefault="00EB6785" w:rsidP="00226ED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4CFE6D9" w14:textId="3537D193" w:rsidR="00AA3104" w:rsidRPr="007830E9" w:rsidRDefault="00226ED0" w:rsidP="00AA3104">
      <w:pPr>
        <w:spacing w:after="0" w:line="360" w:lineRule="auto"/>
        <w:jc w:val="both"/>
        <w:rPr>
          <w:rFonts w:ascii="Palatino Linotype" w:hAnsi="Palatino Linotype"/>
          <w:sz w:val="24"/>
          <w:szCs w:val="24"/>
          <w:shd w:val="clear" w:color="auto" w:fill="FFFFFF"/>
        </w:rPr>
      </w:pPr>
      <w:r w:rsidRPr="000D6422">
        <w:rPr>
          <w:rFonts w:ascii="Palatino Linotype" w:eastAsia="Times New Roman" w:hAnsi="Palatino Linotype" w:cs="Arial"/>
          <w:b/>
          <w:sz w:val="26"/>
          <w:szCs w:val="26"/>
          <w:lang w:eastAsia="es-ES"/>
        </w:rPr>
        <w:t>QUINTO.</w:t>
      </w:r>
      <w:r w:rsidRPr="000D6422">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sidRPr="00DB757B">
        <w:rPr>
          <w:rFonts w:ascii="Palatino Linotype" w:eastAsia="Times New Roman" w:hAnsi="Palatino Linotype" w:cs="Arial"/>
          <w:sz w:val="24"/>
          <w:szCs w:val="24"/>
          <w:lang w:eastAsia="es-ES"/>
        </w:rPr>
        <w:t xml:space="preserve">la presente resolución al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sidRPr="00DB757B">
        <w:rPr>
          <w:rFonts w:ascii="Palatino Linotype" w:eastAsia="Times New Roman" w:hAnsi="Palatino Linotype" w:cs="Arial"/>
          <w:b/>
          <w:sz w:val="24"/>
          <w:szCs w:val="24"/>
          <w:lang w:eastAsia="es-ES"/>
        </w:rPr>
        <w:t>,</w:t>
      </w:r>
      <w:r w:rsidRPr="00DB757B">
        <w:rPr>
          <w:rFonts w:ascii="Palatino Linotype" w:eastAsia="Times New Roman" w:hAnsi="Palatino Linotype" w:cs="Arial"/>
          <w:sz w:val="24"/>
          <w:szCs w:val="24"/>
          <w:lang w:eastAsia="es-ES"/>
        </w:rPr>
        <w:t xml:space="preserve"> </w:t>
      </w:r>
      <w:r w:rsidR="00AA3104" w:rsidRPr="007830E9">
        <w:rPr>
          <w:rFonts w:ascii="Palatino Linotype" w:hAnsi="Palatino Linotype"/>
          <w:sz w:val="24"/>
          <w:szCs w:val="24"/>
          <w:shd w:val="clear" w:color="auto" w:fill="FFFFFF"/>
        </w:rPr>
        <w:t xml:space="preserve">asimismo de conformidad con lo establecido en los artículos 159 y 160 de la Ley General </w:t>
      </w:r>
      <w:r w:rsidR="00AA3104" w:rsidRPr="007830E9">
        <w:rPr>
          <w:rFonts w:ascii="Palatino Linotype" w:hAnsi="Palatino Linotype"/>
          <w:color w:val="222222"/>
          <w:sz w:val="24"/>
          <w:szCs w:val="24"/>
          <w:shd w:val="clear" w:color="auto" w:fill="FFFFFF"/>
        </w:rPr>
        <w:t>de Transparencia y Acceso a la Información Pública y 196 de la Ley de Transparencia y Acceso a la Información Pública del Estado de México y Municipios podrá impugnar la presente resolución vía Juicio de Amparo en los términos de las leyes aplicables, o bien, vía recurso de inconformidad ante el Instituto Nacional de Transparencia, Acceso a la Información y Protección de Datos Personales.</w:t>
      </w:r>
    </w:p>
    <w:p w14:paraId="09C02BCB" w14:textId="5E25F81A" w:rsidR="00EB6785" w:rsidRPr="00357F3D" w:rsidRDefault="00063EFB" w:rsidP="00280B8B">
      <w:pPr>
        <w:pStyle w:val="Prrafodelista"/>
        <w:autoSpaceDE w:val="0"/>
        <w:autoSpaceDN w:val="0"/>
        <w:adjustRightInd w:val="0"/>
        <w:spacing w:before="240" w:after="160" w:line="360" w:lineRule="auto"/>
        <w:ind w:left="0"/>
        <w:jc w:val="both"/>
        <w:rPr>
          <w:rFonts w:ascii="Palatino Linotype" w:hAnsi="Palatino Linotype"/>
          <w:bCs/>
          <w:sz w:val="22"/>
          <w:szCs w:val="22"/>
        </w:rPr>
      </w:pPr>
      <w:r w:rsidRPr="00357F3D">
        <w:rPr>
          <w:rFonts w:ascii="Palatino Linotype" w:hAnsi="Palatino Linotype" w:cs="Arial"/>
          <w:sz w:val="22"/>
          <w:szCs w:val="22"/>
        </w:rPr>
        <w:t>ASÍ LO ACORDÓ, POR UNANIMIDAD DE VOTOS, EL PLENO DEL</w:t>
      </w:r>
      <w:r w:rsidRPr="00357F3D">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357F3D">
        <w:rPr>
          <w:rFonts w:ascii="Palatino Linotype" w:hAnsi="Palatino Linotype" w:cs="Arial"/>
          <w:sz w:val="22"/>
          <w:szCs w:val="22"/>
        </w:rPr>
        <w:t>, CONFORMADO POR LOS COMISIONADOS JOSÉ MARTÍNEZ VILCHIS, MARÍA DEL ROSARIO MEJÍA AYALA, SHARON CRISTINA MORALES MARTÍNEZ</w:t>
      </w:r>
      <w:r w:rsidR="00357F3D" w:rsidRPr="00357F3D">
        <w:rPr>
          <w:rFonts w:ascii="Palatino Linotype" w:hAnsi="Palatino Linotype" w:cs="Arial"/>
          <w:sz w:val="22"/>
          <w:szCs w:val="22"/>
        </w:rPr>
        <w:t xml:space="preserve"> (OPINIÓN PARTICULAR)</w:t>
      </w:r>
      <w:r w:rsidRPr="00357F3D">
        <w:rPr>
          <w:rFonts w:ascii="Palatino Linotype" w:hAnsi="Palatino Linotype" w:cs="Arial"/>
          <w:sz w:val="22"/>
          <w:szCs w:val="22"/>
        </w:rPr>
        <w:t xml:space="preserve">, LUIS GUSTAVO PARRA NORIEGA Y GUADALUPE RAMÍREZ PEÑA; EN LA TRIGÉSIMA </w:t>
      </w:r>
      <w:r w:rsidR="00090AFC" w:rsidRPr="00357F3D">
        <w:rPr>
          <w:rFonts w:ascii="Palatino Linotype" w:hAnsi="Palatino Linotype" w:cs="Arial"/>
          <w:sz w:val="22"/>
          <w:szCs w:val="22"/>
        </w:rPr>
        <w:t xml:space="preserve">PRIMERA </w:t>
      </w:r>
      <w:r w:rsidRPr="00357F3D">
        <w:rPr>
          <w:rFonts w:ascii="Palatino Linotype" w:hAnsi="Palatino Linotype" w:cs="Arial"/>
          <w:sz w:val="22"/>
          <w:szCs w:val="22"/>
        </w:rPr>
        <w:t xml:space="preserve">SESIÓN ORDINARIA CELEBRADA EL </w:t>
      </w:r>
      <w:r w:rsidR="00090AFC" w:rsidRPr="00357F3D">
        <w:rPr>
          <w:rFonts w:ascii="Palatino Linotype" w:hAnsi="Palatino Linotype" w:cs="Arial"/>
          <w:sz w:val="22"/>
          <w:szCs w:val="22"/>
        </w:rPr>
        <w:t>OCHO</w:t>
      </w:r>
      <w:r w:rsidRPr="00357F3D">
        <w:rPr>
          <w:rFonts w:ascii="Palatino Linotype" w:hAnsi="Palatino Linotype" w:cs="Arial"/>
          <w:sz w:val="22"/>
          <w:szCs w:val="22"/>
        </w:rPr>
        <w:t xml:space="preserve"> DE SEPTIEMBRE DE DOS MIL VEINTIUNO, ANTE EL SECRETARIO TÉCNICO DEL PLENO, ALEXIS TAPIA RAMÍREZ. </w:t>
      </w:r>
    </w:p>
    <w:p w14:paraId="796A59DE" w14:textId="0AA57255" w:rsidR="00280B8B" w:rsidRDefault="00226ED0" w:rsidP="00280B8B">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CRR/</w:t>
      </w:r>
      <w:r w:rsidR="004B5CCC">
        <w:rPr>
          <w:rFonts w:ascii="Palatino Linotype" w:hAnsi="Palatino Linotype"/>
          <w:bCs/>
          <w:sz w:val="18"/>
          <w:szCs w:val="18"/>
        </w:rPr>
        <w:t>J</w:t>
      </w:r>
      <w:r w:rsidR="00280B8B" w:rsidRPr="00280B8B">
        <w:rPr>
          <w:rFonts w:ascii="Palatino Linotype" w:hAnsi="Palatino Linotype"/>
          <w:bCs/>
          <w:sz w:val="18"/>
          <w:szCs w:val="18"/>
        </w:rPr>
        <w:t>CMA</w:t>
      </w:r>
    </w:p>
    <w:p w14:paraId="2C5CC4E4" w14:textId="77777777" w:rsidR="00EB6785" w:rsidRDefault="00EB6785" w:rsidP="00280B8B">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C20656C" w14:textId="77777777" w:rsidR="00226ED0" w:rsidRPr="00280B8B" w:rsidRDefault="00226ED0" w:rsidP="00280B8B">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06827A" w14:textId="77777777" w:rsidR="00280B8B" w:rsidRDefault="00280B8B" w:rsidP="00280B8B">
      <w:pPr>
        <w:pStyle w:val="Prrafodelista"/>
        <w:autoSpaceDE w:val="0"/>
        <w:autoSpaceDN w:val="0"/>
        <w:adjustRightInd w:val="0"/>
        <w:spacing w:before="240" w:after="160" w:line="360" w:lineRule="auto"/>
        <w:ind w:left="0"/>
        <w:jc w:val="both"/>
        <w:rPr>
          <w:rFonts w:ascii="Palatino Linotype" w:hAnsi="Palatino Linotype"/>
          <w:bCs/>
        </w:rPr>
      </w:pPr>
    </w:p>
    <w:p w14:paraId="14C83A4B" w14:textId="77777777" w:rsidR="001742A5" w:rsidRPr="001742A5" w:rsidRDefault="001742A5" w:rsidP="001742A5">
      <w:pPr>
        <w:spacing w:line="360" w:lineRule="auto"/>
        <w:contextualSpacing/>
        <w:jc w:val="both"/>
        <w:rPr>
          <w:rFonts w:ascii="Palatino Linotype" w:eastAsia="MS Mincho" w:hAnsi="Palatino Linotype"/>
        </w:rPr>
      </w:pPr>
    </w:p>
    <w:sectPr w:rsidR="001742A5" w:rsidRPr="001742A5" w:rsidSect="00FB4AAD">
      <w:headerReference w:type="even" r:id="rId19"/>
      <w:headerReference w:type="default" r:id="rId20"/>
      <w:footerReference w:type="even" r:id="rId21"/>
      <w:footerReference w:type="default" r:id="rId22"/>
      <w:headerReference w:type="first" r:id="rId23"/>
      <w:footerReference w:type="first" r:id="rId2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8F5FF" w14:textId="77777777" w:rsidR="004E2CAA" w:rsidRDefault="004E2CAA" w:rsidP="006168E4">
      <w:pPr>
        <w:spacing w:after="0" w:line="240" w:lineRule="auto"/>
      </w:pPr>
      <w:r>
        <w:separator/>
      </w:r>
    </w:p>
  </w:endnote>
  <w:endnote w:type="continuationSeparator" w:id="0">
    <w:p w14:paraId="753D556B" w14:textId="77777777" w:rsidR="004E2CAA" w:rsidRDefault="004E2CA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AEEF9" w14:textId="77777777" w:rsidR="009A5E45" w:rsidRDefault="009A5E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5E4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A5E45">
      <w:rPr>
        <w:rFonts w:ascii="Palatino Linotype" w:hAnsi="Palatino Linotype"/>
        <w:bCs/>
        <w:noProof/>
        <w:sz w:val="20"/>
      </w:rPr>
      <w:t>44</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5E4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A5E45">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EF0F5" w14:textId="77777777" w:rsidR="004E2CAA" w:rsidRDefault="004E2CAA" w:rsidP="006168E4">
      <w:pPr>
        <w:spacing w:after="0" w:line="240" w:lineRule="auto"/>
      </w:pPr>
      <w:r>
        <w:separator/>
      </w:r>
    </w:p>
  </w:footnote>
  <w:footnote w:type="continuationSeparator" w:id="0">
    <w:p w14:paraId="22CF896F" w14:textId="77777777" w:rsidR="004E2CAA" w:rsidRDefault="004E2CAA"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29188" w14:textId="4363D4B1" w:rsidR="009A5E45" w:rsidRDefault="009A5E45">
    <w:pPr>
      <w:pStyle w:val="Encabezado"/>
    </w:pPr>
    <w:r>
      <w:rPr>
        <w:noProof/>
        <w:lang w:val="es-MX" w:eastAsia="es-MX"/>
      </w:rPr>
      <w:pict w14:anchorId="67E36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48812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1B09994B" w:rsidR="00F00446" w:rsidRDefault="009A5E45">
    <w:pPr>
      <w:pStyle w:val="Encabezado"/>
    </w:pPr>
    <w:r>
      <w:rPr>
        <w:noProof/>
        <w:lang w:val="es-MX" w:eastAsia="es-MX"/>
      </w:rPr>
      <w:pict w14:anchorId="5A4A9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488127"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14:paraId="517E4460" w14:textId="77777777" w:rsidTr="00FB4AAD">
      <w:trPr>
        <w:trHeight w:val="227"/>
      </w:trPr>
      <w:tc>
        <w:tcPr>
          <w:tcW w:w="5529" w:type="dxa"/>
          <w:hideMark/>
        </w:tcPr>
        <w:p w14:paraId="03543E6C"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43EB5F55" w:rsidR="00F00446" w:rsidRPr="00B4142F" w:rsidRDefault="00F00446"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03720/INFOEM/IP/RR/2021 </w:t>
          </w:r>
        </w:p>
      </w:tc>
    </w:tr>
    <w:tr w:rsidR="00F00446" w14:paraId="76095C04" w14:textId="77777777" w:rsidTr="00FB4AAD">
      <w:trPr>
        <w:trHeight w:val="242"/>
      </w:trPr>
      <w:tc>
        <w:tcPr>
          <w:tcW w:w="5529" w:type="dxa"/>
          <w:hideMark/>
        </w:tcPr>
        <w:p w14:paraId="7411E998"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73DD1507" w:rsidR="00F00446" w:rsidRPr="00F06FED" w:rsidRDefault="00F00446" w:rsidP="00C25084">
          <w:pPr>
            <w:spacing w:after="120" w:line="256" w:lineRule="auto"/>
            <w:ind w:left="639" w:right="214"/>
            <w:jc w:val="both"/>
            <w:rPr>
              <w:rFonts w:ascii="Palatino Linotype" w:hAnsi="Palatino Linotype" w:cs="Arial"/>
            </w:rPr>
          </w:pPr>
          <w:r>
            <w:rPr>
              <w:rFonts w:ascii="Palatino Linotype" w:hAnsi="Palatino Linotype" w:cs="Arial"/>
              <w:szCs w:val="20"/>
            </w:rPr>
            <w:t>Universidad Autónoma del Estado de México</w:t>
          </w:r>
        </w:p>
      </w:tc>
    </w:tr>
    <w:tr w:rsidR="00F00446" w14:paraId="25C2F847" w14:textId="77777777" w:rsidTr="00FB4AAD">
      <w:trPr>
        <w:trHeight w:val="342"/>
      </w:trPr>
      <w:tc>
        <w:tcPr>
          <w:tcW w:w="5529" w:type="dxa"/>
          <w:hideMark/>
        </w:tcPr>
        <w:p w14:paraId="601C03DB" w14:textId="77777777" w:rsidR="00F00446" w:rsidRDefault="00F0044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F00446" w:rsidRDefault="00F0044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F00446" w:rsidRDefault="00F004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14:paraId="5F229218" w14:textId="77777777" w:rsidTr="00FB4AAD">
      <w:trPr>
        <w:trHeight w:val="227"/>
      </w:trPr>
      <w:tc>
        <w:tcPr>
          <w:tcW w:w="5529" w:type="dxa"/>
          <w:hideMark/>
        </w:tcPr>
        <w:p w14:paraId="0F98063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60CB5380" w:rsidR="00F00446" w:rsidRPr="00B4142F" w:rsidRDefault="00F00446"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03720/INFOEM/IP/RR/2021 </w:t>
          </w:r>
        </w:p>
      </w:tc>
    </w:tr>
    <w:tr w:rsidR="00F00446" w14:paraId="21AEFFE5" w14:textId="77777777" w:rsidTr="00FB4AAD">
      <w:trPr>
        <w:trHeight w:val="196"/>
      </w:trPr>
      <w:tc>
        <w:tcPr>
          <w:tcW w:w="5529" w:type="dxa"/>
          <w:hideMark/>
        </w:tcPr>
        <w:p w14:paraId="4C4B8912"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28E3DE6D" w:rsidR="00F00446" w:rsidRPr="00F06FED" w:rsidRDefault="000F236C" w:rsidP="00CC0C5F">
          <w:pPr>
            <w:spacing w:after="120" w:line="256" w:lineRule="auto"/>
            <w:ind w:left="639" w:right="214"/>
            <w:jc w:val="both"/>
            <w:rPr>
              <w:rFonts w:ascii="Palatino Linotype" w:hAnsi="Palatino Linotype" w:cs="Arial"/>
            </w:rPr>
          </w:pPr>
          <w:r>
            <w:rPr>
              <w:rFonts w:ascii="Palatino Linotype" w:hAnsi="Palatino Linotype" w:cs="Arial"/>
            </w:rPr>
            <w:t>XXXXXXXXXXXXXXXXXXX</w:t>
          </w:r>
          <w:r w:rsidR="00F00446">
            <w:rPr>
              <w:rFonts w:ascii="Palatino Linotype" w:hAnsi="Palatino Linotype" w:cs="Arial"/>
            </w:rPr>
            <w:t xml:space="preserve"> </w:t>
          </w:r>
        </w:p>
      </w:tc>
    </w:tr>
    <w:tr w:rsidR="00F00446" w14:paraId="219EEEC5" w14:textId="77777777" w:rsidTr="00FB4AAD">
      <w:trPr>
        <w:trHeight w:val="242"/>
      </w:trPr>
      <w:tc>
        <w:tcPr>
          <w:tcW w:w="5529" w:type="dxa"/>
          <w:hideMark/>
        </w:tcPr>
        <w:p w14:paraId="519BB44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32C521ED" w:rsidR="00F00446" w:rsidRDefault="00F00446"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Universidad Autónoma del Estado de México </w:t>
          </w:r>
        </w:p>
      </w:tc>
    </w:tr>
    <w:tr w:rsidR="00F00446" w14:paraId="1DEDAA99" w14:textId="77777777" w:rsidTr="00FB4AAD">
      <w:trPr>
        <w:trHeight w:val="342"/>
      </w:trPr>
      <w:tc>
        <w:tcPr>
          <w:tcW w:w="5529" w:type="dxa"/>
          <w:hideMark/>
        </w:tcPr>
        <w:p w14:paraId="693ABC01" w14:textId="77777777" w:rsidR="00F00446" w:rsidRDefault="00F0044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F00446" w:rsidRDefault="00F0044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028B38F0" w:rsidR="00F00446" w:rsidRDefault="009A5E45">
    <w:pPr>
      <w:pStyle w:val="Encabezado"/>
    </w:pPr>
    <w:r>
      <w:rPr>
        <w:noProof/>
        <w:lang w:val="es-MX" w:eastAsia="es-MX"/>
      </w:rPr>
      <w:pict w14:anchorId="3213F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488125"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3D2B8D"/>
    <w:multiLevelType w:val="hybridMultilevel"/>
    <w:tmpl w:val="3C8053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314F687A"/>
    <w:multiLevelType w:val="hybridMultilevel"/>
    <w:tmpl w:val="55504AAE"/>
    <w:lvl w:ilvl="0" w:tplc="D408F70E">
      <w:numFmt w:val="bullet"/>
      <w:lvlText w:val="-"/>
      <w:lvlJc w:val="left"/>
      <w:pPr>
        <w:ind w:left="720" w:hanging="360"/>
      </w:pPr>
      <w:rPr>
        <w:rFonts w:ascii="Palatino Linotype" w:eastAsiaTheme="minorHAnsi" w:hAnsi="Palatino Linotype" w:cstheme="minorBidi" w:hint="default"/>
        <w:i/>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3A377CBC"/>
    <w:multiLevelType w:val="hybridMultilevel"/>
    <w:tmpl w:val="45C2B3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A8921B8"/>
    <w:multiLevelType w:val="hybridMultilevel"/>
    <w:tmpl w:val="8C005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6B7490"/>
    <w:multiLevelType w:val="hybridMultilevel"/>
    <w:tmpl w:val="C24ED3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366708"/>
    <w:multiLevelType w:val="hybridMultilevel"/>
    <w:tmpl w:val="EAEC0BAE"/>
    <w:lvl w:ilvl="0" w:tplc="D408F70E">
      <w:numFmt w:val="bullet"/>
      <w:lvlText w:val="-"/>
      <w:lvlJc w:val="left"/>
      <w:pPr>
        <w:ind w:left="1571" w:hanging="360"/>
      </w:pPr>
      <w:rPr>
        <w:rFonts w:ascii="Palatino Linotype" w:eastAsiaTheme="minorHAnsi" w:hAnsi="Palatino Linotype" w:cstheme="minorBidi" w:hint="default"/>
        <w:i/>
        <w:sz w:val="22"/>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15"/>
  </w:num>
  <w:num w:numId="4">
    <w:abstractNumId w:val="12"/>
  </w:num>
  <w:num w:numId="5">
    <w:abstractNumId w:val="0"/>
  </w:num>
  <w:num w:numId="6">
    <w:abstractNumId w:val="1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14"/>
  </w:num>
  <w:num w:numId="11">
    <w:abstractNumId w:val="13"/>
  </w:num>
  <w:num w:numId="12">
    <w:abstractNumId w:val="1"/>
  </w:num>
  <w:num w:numId="13">
    <w:abstractNumId w:val="16"/>
  </w:num>
  <w:num w:numId="14">
    <w:abstractNumId w:val="11"/>
  </w:num>
  <w:num w:numId="15">
    <w:abstractNumId w:val="9"/>
  </w:num>
  <w:num w:numId="16">
    <w:abstractNumId w:val="8"/>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20A70"/>
    <w:rsid w:val="00022604"/>
    <w:rsid w:val="0002766F"/>
    <w:rsid w:val="000306A7"/>
    <w:rsid w:val="00031C92"/>
    <w:rsid w:val="00032A15"/>
    <w:rsid w:val="0004199A"/>
    <w:rsid w:val="00045379"/>
    <w:rsid w:val="000461DF"/>
    <w:rsid w:val="00055224"/>
    <w:rsid w:val="0005543E"/>
    <w:rsid w:val="0005622A"/>
    <w:rsid w:val="00061821"/>
    <w:rsid w:val="000623F9"/>
    <w:rsid w:val="00062482"/>
    <w:rsid w:val="00063A10"/>
    <w:rsid w:val="00063EFB"/>
    <w:rsid w:val="000662F8"/>
    <w:rsid w:val="00073E78"/>
    <w:rsid w:val="00090AFC"/>
    <w:rsid w:val="00091552"/>
    <w:rsid w:val="00091C3A"/>
    <w:rsid w:val="000A2D37"/>
    <w:rsid w:val="000A3486"/>
    <w:rsid w:val="000A4DD1"/>
    <w:rsid w:val="000A5544"/>
    <w:rsid w:val="000A70F8"/>
    <w:rsid w:val="000A79DA"/>
    <w:rsid w:val="000B4B51"/>
    <w:rsid w:val="000B7158"/>
    <w:rsid w:val="000C5B8B"/>
    <w:rsid w:val="000C666C"/>
    <w:rsid w:val="000D1B55"/>
    <w:rsid w:val="000D3C75"/>
    <w:rsid w:val="000E686B"/>
    <w:rsid w:val="000F236C"/>
    <w:rsid w:val="000F3EE7"/>
    <w:rsid w:val="000F68B1"/>
    <w:rsid w:val="000F6F19"/>
    <w:rsid w:val="000F7AC2"/>
    <w:rsid w:val="00102D69"/>
    <w:rsid w:val="00110EDB"/>
    <w:rsid w:val="00111DCD"/>
    <w:rsid w:val="00114CF9"/>
    <w:rsid w:val="001167AA"/>
    <w:rsid w:val="00117157"/>
    <w:rsid w:val="00124855"/>
    <w:rsid w:val="001254F5"/>
    <w:rsid w:val="001336D3"/>
    <w:rsid w:val="00136FAD"/>
    <w:rsid w:val="001434B9"/>
    <w:rsid w:val="00144B4A"/>
    <w:rsid w:val="00146F0A"/>
    <w:rsid w:val="00147B36"/>
    <w:rsid w:val="00150AFD"/>
    <w:rsid w:val="00152124"/>
    <w:rsid w:val="00152C2B"/>
    <w:rsid w:val="00172661"/>
    <w:rsid w:val="001742A5"/>
    <w:rsid w:val="00174EE4"/>
    <w:rsid w:val="00175897"/>
    <w:rsid w:val="00175C56"/>
    <w:rsid w:val="00176091"/>
    <w:rsid w:val="00177D2C"/>
    <w:rsid w:val="001804C3"/>
    <w:rsid w:val="00180B9F"/>
    <w:rsid w:val="00181CC5"/>
    <w:rsid w:val="00191926"/>
    <w:rsid w:val="00193784"/>
    <w:rsid w:val="00193FB6"/>
    <w:rsid w:val="001942EE"/>
    <w:rsid w:val="001A02EC"/>
    <w:rsid w:val="001A22D7"/>
    <w:rsid w:val="001A577E"/>
    <w:rsid w:val="001A58DE"/>
    <w:rsid w:val="001A7C9B"/>
    <w:rsid w:val="001B05B9"/>
    <w:rsid w:val="001B1519"/>
    <w:rsid w:val="001B7B88"/>
    <w:rsid w:val="001C7319"/>
    <w:rsid w:val="001C7D87"/>
    <w:rsid w:val="001D3E87"/>
    <w:rsid w:val="001D5F16"/>
    <w:rsid w:val="001D6FAB"/>
    <w:rsid w:val="001E1D18"/>
    <w:rsid w:val="001F0A4F"/>
    <w:rsid w:val="001F71ED"/>
    <w:rsid w:val="00203D3A"/>
    <w:rsid w:val="00203FF3"/>
    <w:rsid w:val="002044B4"/>
    <w:rsid w:val="00207086"/>
    <w:rsid w:val="00211D60"/>
    <w:rsid w:val="0021501E"/>
    <w:rsid w:val="00216AFC"/>
    <w:rsid w:val="002173B1"/>
    <w:rsid w:val="002205C0"/>
    <w:rsid w:val="0022494A"/>
    <w:rsid w:val="00225507"/>
    <w:rsid w:val="00226ED0"/>
    <w:rsid w:val="0023373D"/>
    <w:rsid w:val="0023423C"/>
    <w:rsid w:val="0024112D"/>
    <w:rsid w:val="00244177"/>
    <w:rsid w:val="00254477"/>
    <w:rsid w:val="002577FE"/>
    <w:rsid w:val="0025780C"/>
    <w:rsid w:val="00264F52"/>
    <w:rsid w:val="00266AE6"/>
    <w:rsid w:val="002714F3"/>
    <w:rsid w:val="00273D0E"/>
    <w:rsid w:val="00280B8B"/>
    <w:rsid w:val="00292350"/>
    <w:rsid w:val="00297EF9"/>
    <w:rsid w:val="002A12CB"/>
    <w:rsid w:val="002A2034"/>
    <w:rsid w:val="002A24F4"/>
    <w:rsid w:val="002A38BF"/>
    <w:rsid w:val="002A597E"/>
    <w:rsid w:val="002B0FB9"/>
    <w:rsid w:val="002B4382"/>
    <w:rsid w:val="002B5DBD"/>
    <w:rsid w:val="002B72F9"/>
    <w:rsid w:val="002C498D"/>
    <w:rsid w:val="002C4FE1"/>
    <w:rsid w:val="002C72D2"/>
    <w:rsid w:val="002D2F00"/>
    <w:rsid w:val="002D4307"/>
    <w:rsid w:val="002D79E2"/>
    <w:rsid w:val="002D7A5D"/>
    <w:rsid w:val="002E0A4A"/>
    <w:rsid w:val="002E0BC4"/>
    <w:rsid w:val="002E21B4"/>
    <w:rsid w:val="002E2D7B"/>
    <w:rsid w:val="002E5E6A"/>
    <w:rsid w:val="002F22FA"/>
    <w:rsid w:val="002F37BE"/>
    <w:rsid w:val="002F41CA"/>
    <w:rsid w:val="002F4C6A"/>
    <w:rsid w:val="002F70F6"/>
    <w:rsid w:val="00300D0B"/>
    <w:rsid w:val="00303BAD"/>
    <w:rsid w:val="003043BE"/>
    <w:rsid w:val="00306096"/>
    <w:rsid w:val="00306974"/>
    <w:rsid w:val="00307014"/>
    <w:rsid w:val="0031645D"/>
    <w:rsid w:val="00320A67"/>
    <w:rsid w:val="003272FB"/>
    <w:rsid w:val="00331499"/>
    <w:rsid w:val="0033580E"/>
    <w:rsid w:val="00343D1E"/>
    <w:rsid w:val="00354258"/>
    <w:rsid w:val="00355593"/>
    <w:rsid w:val="00357E0E"/>
    <w:rsid w:val="00357F3D"/>
    <w:rsid w:val="00361B9C"/>
    <w:rsid w:val="003672FB"/>
    <w:rsid w:val="00370797"/>
    <w:rsid w:val="003746C6"/>
    <w:rsid w:val="00375BEA"/>
    <w:rsid w:val="00376CEC"/>
    <w:rsid w:val="00380758"/>
    <w:rsid w:val="003815E5"/>
    <w:rsid w:val="00381E2B"/>
    <w:rsid w:val="00387929"/>
    <w:rsid w:val="00393D5B"/>
    <w:rsid w:val="0039460D"/>
    <w:rsid w:val="00394A1E"/>
    <w:rsid w:val="003968C7"/>
    <w:rsid w:val="003A2246"/>
    <w:rsid w:val="003A61F9"/>
    <w:rsid w:val="003A6975"/>
    <w:rsid w:val="003B1E88"/>
    <w:rsid w:val="003C5243"/>
    <w:rsid w:val="003C53ED"/>
    <w:rsid w:val="003D0B7E"/>
    <w:rsid w:val="003D4E0F"/>
    <w:rsid w:val="003E16E1"/>
    <w:rsid w:val="003E1871"/>
    <w:rsid w:val="003E504D"/>
    <w:rsid w:val="003E656A"/>
    <w:rsid w:val="003E78B7"/>
    <w:rsid w:val="003F22C5"/>
    <w:rsid w:val="003F3016"/>
    <w:rsid w:val="003F76E5"/>
    <w:rsid w:val="004012CF"/>
    <w:rsid w:val="00402FF3"/>
    <w:rsid w:val="0040673A"/>
    <w:rsid w:val="004069EB"/>
    <w:rsid w:val="00410ACB"/>
    <w:rsid w:val="00412600"/>
    <w:rsid w:val="00415EE8"/>
    <w:rsid w:val="00422E0C"/>
    <w:rsid w:val="00422ED2"/>
    <w:rsid w:val="00423213"/>
    <w:rsid w:val="0042416D"/>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74B7D"/>
    <w:rsid w:val="00475F48"/>
    <w:rsid w:val="00477CC2"/>
    <w:rsid w:val="00477D47"/>
    <w:rsid w:val="0048180A"/>
    <w:rsid w:val="00481C7A"/>
    <w:rsid w:val="00487DB5"/>
    <w:rsid w:val="004906C8"/>
    <w:rsid w:val="00492BC7"/>
    <w:rsid w:val="004967E2"/>
    <w:rsid w:val="004A290F"/>
    <w:rsid w:val="004A55D8"/>
    <w:rsid w:val="004A5FFD"/>
    <w:rsid w:val="004A7CE2"/>
    <w:rsid w:val="004B031A"/>
    <w:rsid w:val="004B234F"/>
    <w:rsid w:val="004B59BB"/>
    <w:rsid w:val="004B5CCC"/>
    <w:rsid w:val="004C2845"/>
    <w:rsid w:val="004C7961"/>
    <w:rsid w:val="004D08EB"/>
    <w:rsid w:val="004D54E3"/>
    <w:rsid w:val="004E1477"/>
    <w:rsid w:val="004E1A3D"/>
    <w:rsid w:val="004E2371"/>
    <w:rsid w:val="004E2CAA"/>
    <w:rsid w:val="004E6BE9"/>
    <w:rsid w:val="004E754F"/>
    <w:rsid w:val="004F4F45"/>
    <w:rsid w:val="005001FE"/>
    <w:rsid w:val="005020E9"/>
    <w:rsid w:val="00503655"/>
    <w:rsid w:val="00504BE3"/>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733EB"/>
    <w:rsid w:val="005734C5"/>
    <w:rsid w:val="00576D51"/>
    <w:rsid w:val="00580802"/>
    <w:rsid w:val="00581A22"/>
    <w:rsid w:val="005860CB"/>
    <w:rsid w:val="00593E91"/>
    <w:rsid w:val="0059442D"/>
    <w:rsid w:val="00594D38"/>
    <w:rsid w:val="005A0B49"/>
    <w:rsid w:val="005A353A"/>
    <w:rsid w:val="005A6D57"/>
    <w:rsid w:val="005A71FD"/>
    <w:rsid w:val="005B5B70"/>
    <w:rsid w:val="005B5F05"/>
    <w:rsid w:val="005C17BF"/>
    <w:rsid w:val="005C6982"/>
    <w:rsid w:val="005C6B74"/>
    <w:rsid w:val="005C7AEA"/>
    <w:rsid w:val="005D125D"/>
    <w:rsid w:val="005D2B59"/>
    <w:rsid w:val="005D362F"/>
    <w:rsid w:val="005D370F"/>
    <w:rsid w:val="005D44D1"/>
    <w:rsid w:val="005D5EFB"/>
    <w:rsid w:val="005D6EC6"/>
    <w:rsid w:val="005E265D"/>
    <w:rsid w:val="005E3D7D"/>
    <w:rsid w:val="005E4D7C"/>
    <w:rsid w:val="005F048E"/>
    <w:rsid w:val="005F0631"/>
    <w:rsid w:val="005F11D3"/>
    <w:rsid w:val="005F57F0"/>
    <w:rsid w:val="00601010"/>
    <w:rsid w:val="006028C9"/>
    <w:rsid w:val="00605B10"/>
    <w:rsid w:val="0060721D"/>
    <w:rsid w:val="0061042F"/>
    <w:rsid w:val="00616623"/>
    <w:rsid w:val="006168E4"/>
    <w:rsid w:val="00621F47"/>
    <w:rsid w:val="0062497C"/>
    <w:rsid w:val="00625200"/>
    <w:rsid w:val="006255AA"/>
    <w:rsid w:val="00631806"/>
    <w:rsid w:val="00637512"/>
    <w:rsid w:val="00640EE4"/>
    <w:rsid w:val="006466F5"/>
    <w:rsid w:val="0064671F"/>
    <w:rsid w:val="00652BC5"/>
    <w:rsid w:val="00661753"/>
    <w:rsid w:val="0066216F"/>
    <w:rsid w:val="006654F6"/>
    <w:rsid w:val="00675390"/>
    <w:rsid w:val="00676CAA"/>
    <w:rsid w:val="006848B7"/>
    <w:rsid w:val="006868A7"/>
    <w:rsid w:val="006915EA"/>
    <w:rsid w:val="00694828"/>
    <w:rsid w:val="006A3810"/>
    <w:rsid w:val="006A68B8"/>
    <w:rsid w:val="006A7CEB"/>
    <w:rsid w:val="006B1953"/>
    <w:rsid w:val="006B1BF1"/>
    <w:rsid w:val="006B20F0"/>
    <w:rsid w:val="006B26E3"/>
    <w:rsid w:val="006B3085"/>
    <w:rsid w:val="006B5EC5"/>
    <w:rsid w:val="006B69CF"/>
    <w:rsid w:val="006B7444"/>
    <w:rsid w:val="006C28CA"/>
    <w:rsid w:val="006C350D"/>
    <w:rsid w:val="006C5355"/>
    <w:rsid w:val="006C5E56"/>
    <w:rsid w:val="006C66E4"/>
    <w:rsid w:val="006C7512"/>
    <w:rsid w:val="006D23FC"/>
    <w:rsid w:val="006D643D"/>
    <w:rsid w:val="006E063C"/>
    <w:rsid w:val="006E3851"/>
    <w:rsid w:val="006F1167"/>
    <w:rsid w:val="006F4044"/>
    <w:rsid w:val="006F46DC"/>
    <w:rsid w:val="00701033"/>
    <w:rsid w:val="00701A3F"/>
    <w:rsid w:val="00712E3A"/>
    <w:rsid w:val="0071487C"/>
    <w:rsid w:val="00721506"/>
    <w:rsid w:val="007216DB"/>
    <w:rsid w:val="007246D3"/>
    <w:rsid w:val="00725F5A"/>
    <w:rsid w:val="007404D5"/>
    <w:rsid w:val="00744287"/>
    <w:rsid w:val="00744EEF"/>
    <w:rsid w:val="00745D76"/>
    <w:rsid w:val="00747487"/>
    <w:rsid w:val="007505EB"/>
    <w:rsid w:val="00754CAE"/>
    <w:rsid w:val="00763EE7"/>
    <w:rsid w:val="0076623B"/>
    <w:rsid w:val="00767E4B"/>
    <w:rsid w:val="007718AD"/>
    <w:rsid w:val="007742A7"/>
    <w:rsid w:val="007851D5"/>
    <w:rsid w:val="0079486A"/>
    <w:rsid w:val="00794F80"/>
    <w:rsid w:val="007A00E9"/>
    <w:rsid w:val="007A0454"/>
    <w:rsid w:val="007A0E44"/>
    <w:rsid w:val="007A1C9E"/>
    <w:rsid w:val="007A4CA1"/>
    <w:rsid w:val="007A5DFD"/>
    <w:rsid w:val="007B0398"/>
    <w:rsid w:val="007B2C77"/>
    <w:rsid w:val="007B2E78"/>
    <w:rsid w:val="007B6549"/>
    <w:rsid w:val="007C2D72"/>
    <w:rsid w:val="007C3F2F"/>
    <w:rsid w:val="007D1A27"/>
    <w:rsid w:val="007D1B24"/>
    <w:rsid w:val="007D1F15"/>
    <w:rsid w:val="007D25B1"/>
    <w:rsid w:val="007D2878"/>
    <w:rsid w:val="007D55E5"/>
    <w:rsid w:val="007E319E"/>
    <w:rsid w:val="007E4FA1"/>
    <w:rsid w:val="007E7B07"/>
    <w:rsid w:val="007E7BAB"/>
    <w:rsid w:val="007E7DCE"/>
    <w:rsid w:val="007E7FA9"/>
    <w:rsid w:val="007F20AC"/>
    <w:rsid w:val="00802C56"/>
    <w:rsid w:val="00807750"/>
    <w:rsid w:val="00807E35"/>
    <w:rsid w:val="00811205"/>
    <w:rsid w:val="00812C48"/>
    <w:rsid w:val="0081369E"/>
    <w:rsid w:val="008146F9"/>
    <w:rsid w:val="00821AEB"/>
    <w:rsid w:val="00824DCD"/>
    <w:rsid w:val="00825B4E"/>
    <w:rsid w:val="00833E8A"/>
    <w:rsid w:val="00836C53"/>
    <w:rsid w:val="00844009"/>
    <w:rsid w:val="00844569"/>
    <w:rsid w:val="00844CDE"/>
    <w:rsid w:val="00845083"/>
    <w:rsid w:val="00847D23"/>
    <w:rsid w:val="008556FF"/>
    <w:rsid w:val="00857106"/>
    <w:rsid w:val="00857765"/>
    <w:rsid w:val="00863327"/>
    <w:rsid w:val="00863A40"/>
    <w:rsid w:val="00867F7E"/>
    <w:rsid w:val="00870F44"/>
    <w:rsid w:val="00872ECB"/>
    <w:rsid w:val="0087456A"/>
    <w:rsid w:val="00880FBC"/>
    <w:rsid w:val="00884054"/>
    <w:rsid w:val="00886782"/>
    <w:rsid w:val="00890B7A"/>
    <w:rsid w:val="00890C62"/>
    <w:rsid w:val="00893088"/>
    <w:rsid w:val="0089437B"/>
    <w:rsid w:val="00895089"/>
    <w:rsid w:val="008951ED"/>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E6375"/>
    <w:rsid w:val="008F17A1"/>
    <w:rsid w:val="008F4C65"/>
    <w:rsid w:val="008F7579"/>
    <w:rsid w:val="00902944"/>
    <w:rsid w:val="00905422"/>
    <w:rsid w:val="00906BD5"/>
    <w:rsid w:val="009104D1"/>
    <w:rsid w:val="00913133"/>
    <w:rsid w:val="0091475B"/>
    <w:rsid w:val="00921DB9"/>
    <w:rsid w:val="0092403D"/>
    <w:rsid w:val="0093199C"/>
    <w:rsid w:val="009402DB"/>
    <w:rsid w:val="00942E41"/>
    <w:rsid w:val="009440D8"/>
    <w:rsid w:val="009449B8"/>
    <w:rsid w:val="00944DC9"/>
    <w:rsid w:val="009454E7"/>
    <w:rsid w:val="0094603F"/>
    <w:rsid w:val="00952028"/>
    <w:rsid w:val="009611E0"/>
    <w:rsid w:val="00962383"/>
    <w:rsid w:val="00963120"/>
    <w:rsid w:val="00965FEE"/>
    <w:rsid w:val="0096643B"/>
    <w:rsid w:val="009706B5"/>
    <w:rsid w:val="0097286A"/>
    <w:rsid w:val="00972BDF"/>
    <w:rsid w:val="00973F49"/>
    <w:rsid w:val="0098182D"/>
    <w:rsid w:val="00982A98"/>
    <w:rsid w:val="009855E2"/>
    <w:rsid w:val="00987C03"/>
    <w:rsid w:val="00992977"/>
    <w:rsid w:val="0099557F"/>
    <w:rsid w:val="00997D10"/>
    <w:rsid w:val="009A3511"/>
    <w:rsid w:val="009A5E45"/>
    <w:rsid w:val="009A686F"/>
    <w:rsid w:val="009A7912"/>
    <w:rsid w:val="009B33A8"/>
    <w:rsid w:val="009B3487"/>
    <w:rsid w:val="009B7C61"/>
    <w:rsid w:val="009C3793"/>
    <w:rsid w:val="009C62BD"/>
    <w:rsid w:val="009D26AD"/>
    <w:rsid w:val="009D341C"/>
    <w:rsid w:val="009E1411"/>
    <w:rsid w:val="009E19FC"/>
    <w:rsid w:val="009E52F2"/>
    <w:rsid w:val="009E681F"/>
    <w:rsid w:val="009F3C1F"/>
    <w:rsid w:val="009F614E"/>
    <w:rsid w:val="009F762B"/>
    <w:rsid w:val="009F76BA"/>
    <w:rsid w:val="009F7E09"/>
    <w:rsid w:val="00A02047"/>
    <w:rsid w:val="00A035C0"/>
    <w:rsid w:val="00A036BE"/>
    <w:rsid w:val="00A0575E"/>
    <w:rsid w:val="00A12205"/>
    <w:rsid w:val="00A139AF"/>
    <w:rsid w:val="00A20113"/>
    <w:rsid w:val="00A3248C"/>
    <w:rsid w:val="00A358E6"/>
    <w:rsid w:val="00A37095"/>
    <w:rsid w:val="00A37C0F"/>
    <w:rsid w:val="00A422B7"/>
    <w:rsid w:val="00A44291"/>
    <w:rsid w:val="00A453DC"/>
    <w:rsid w:val="00A47E33"/>
    <w:rsid w:val="00A50182"/>
    <w:rsid w:val="00A51024"/>
    <w:rsid w:val="00A51109"/>
    <w:rsid w:val="00A544DC"/>
    <w:rsid w:val="00A55818"/>
    <w:rsid w:val="00A56556"/>
    <w:rsid w:val="00A625E2"/>
    <w:rsid w:val="00A63DC7"/>
    <w:rsid w:val="00A70289"/>
    <w:rsid w:val="00A72105"/>
    <w:rsid w:val="00A72465"/>
    <w:rsid w:val="00A80C92"/>
    <w:rsid w:val="00A82461"/>
    <w:rsid w:val="00A851D8"/>
    <w:rsid w:val="00A870C4"/>
    <w:rsid w:val="00A87326"/>
    <w:rsid w:val="00A953BA"/>
    <w:rsid w:val="00A96F9F"/>
    <w:rsid w:val="00AA061F"/>
    <w:rsid w:val="00AA0848"/>
    <w:rsid w:val="00AA0AAF"/>
    <w:rsid w:val="00AA3104"/>
    <w:rsid w:val="00AA3C06"/>
    <w:rsid w:val="00AA56F6"/>
    <w:rsid w:val="00AA5D62"/>
    <w:rsid w:val="00AB2BF2"/>
    <w:rsid w:val="00AB3710"/>
    <w:rsid w:val="00AB4B0F"/>
    <w:rsid w:val="00AB6C3B"/>
    <w:rsid w:val="00AB7F4A"/>
    <w:rsid w:val="00AC226E"/>
    <w:rsid w:val="00AC3D45"/>
    <w:rsid w:val="00AC722C"/>
    <w:rsid w:val="00AC7906"/>
    <w:rsid w:val="00AD1291"/>
    <w:rsid w:val="00AD134F"/>
    <w:rsid w:val="00AD3428"/>
    <w:rsid w:val="00AD3AA2"/>
    <w:rsid w:val="00AD4B1A"/>
    <w:rsid w:val="00AE008F"/>
    <w:rsid w:val="00AF0161"/>
    <w:rsid w:val="00AF2A1F"/>
    <w:rsid w:val="00AF2D9B"/>
    <w:rsid w:val="00B0749B"/>
    <w:rsid w:val="00B10050"/>
    <w:rsid w:val="00B10A1E"/>
    <w:rsid w:val="00B11E08"/>
    <w:rsid w:val="00B14039"/>
    <w:rsid w:val="00B149FA"/>
    <w:rsid w:val="00B22242"/>
    <w:rsid w:val="00B2330D"/>
    <w:rsid w:val="00B32CD3"/>
    <w:rsid w:val="00B34CED"/>
    <w:rsid w:val="00B35A93"/>
    <w:rsid w:val="00B3672D"/>
    <w:rsid w:val="00B433C9"/>
    <w:rsid w:val="00B4745C"/>
    <w:rsid w:val="00B52D3E"/>
    <w:rsid w:val="00B57980"/>
    <w:rsid w:val="00B601D4"/>
    <w:rsid w:val="00B63BC9"/>
    <w:rsid w:val="00B653BB"/>
    <w:rsid w:val="00B66E86"/>
    <w:rsid w:val="00B67A20"/>
    <w:rsid w:val="00B724E8"/>
    <w:rsid w:val="00B87D50"/>
    <w:rsid w:val="00B9223B"/>
    <w:rsid w:val="00BA4D1F"/>
    <w:rsid w:val="00BA7AD1"/>
    <w:rsid w:val="00BB2250"/>
    <w:rsid w:val="00BB4A1A"/>
    <w:rsid w:val="00BB721B"/>
    <w:rsid w:val="00BC0FDD"/>
    <w:rsid w:val="00BC22E0"/>
    <w:rsid w:val="00BC2A46"/>
    <w:rsid w:val="00BC3FA4"/>
    <w:rsid w:val="00BD004A"/>
    <w:rsid w:val="00BD352C"/>
    <w:rsid w:val="00BD5023"/>
    <w:rsid w:val="00BD58AB"/>
    <w:rsid w:val="00BE28ED"/>
    <w:rsid w:val="00C008B2"/>
    <w:rsid w:val="00C01F6B"/>
    <w:rsid w:val="00C1184D"/>
    <w:rsid w:val="00C12209"/>
    <w:rsid w:val="00C16DFC"/>
    <w:rsid w:val="00C24A09"/>
    <w:rsid w:val="00C25084"/>
    <w:rsid w:val="00C3096A"/>
    <w:rsid w:val="00C357BE"/>
    <w:rsid w:val="00C36ED4"/>
    <w:rsid w:val="00C56C44"/>
    <w:rsid w:val="00C6332C"/>
    <w:rsid w:val="00C71CD1"/>
    <w:rsid w:val="00C73143"/>
    <w:rsid w:val="00C77685"/>
    <w:rsid w:val="00C77815"/>
    <w:rsid w:val="00C77977"/>
    <w:rsid w:val="00C77ABA"/>
    <w:rsid w:val="00C85378"/>
    <w:rsid w:val="00C870F5"/>
    <w:rsid w:val="00C909F7"/>
    <w:rsid w:val="00C91B10"/>
    <w:rsid w:val="00C9297C"/>
    <w:rsid w:val="00CA5334"/>
    <w:rsid w:val="00CA6FDA"/>
    <w:rsid w:val="00CB3B6F"/>
    <w:rsid w:val="00CB5283"/>
    <w:rsid w:val="00CC0C5F"/>
    <w:rsid w:val="00CC2F3D"/>
    <w:rsid w:val="00CC5FF3"/>
    <w:rsid w:val="00CC6072"/>
    <w:rsid w:val="00CD1350"/>
    <w:rsid w:val="00CD365B"/>
    <w:rsid w:val="00CD4BFA"/>
    <w:rsid w:val="00CE0E72"/>
    <w:rsid w:val="00CE2ADF"/>
    <w:rsid w:val="00CF1C84"/>
    <w:rsid w:val="00CF1D7D"/>
    <w:rsid w:val="00CF45D3"/>
    <w:rsid w:val="00CF51F9"/>
    <w:rsid w:val="00CF6B6C"/>
    <w:rsid w:val="00CF7EA2"/>
    <w:rsid w:val="00D03E71"/>
    <w:rsid w:val="00D042BB"/>
    <w:rsid w:val="00D068FC"/>
    <w:rsid w:val="00D06CA0"/>
    <w:rsid w:val="00D115BB"/>
    <w:rsid w:val="00D11797"/>
    <w:rsid w:val="00D12C68"/>
    <w:rsid w:val="00D134FB"/>
    <w:rsid w:val="00D17789"/>
    <w:rsid w:val="00D21565"/>
    <w:rsid w:val="00D22F7D"/>
    <w:rsid w:val="00D25BEE"/>
    <w:rsid w:val="00D2737E"/>
    <w:rsid w:val="00D274A9"/>
    <w:rsid w:val="00D32644"/>
    <w:rsid w:val="00D33619"/>
    <w:rsid w:val="00D43422"/>
    <w:rsid w:val="00D449AE"/>
    <w:rsid w:val="00D477C3"/>
    <w:rsid w:val="00D51B89"/>
    <w:rsid w:val="00D52AC7"/>
    <w:rsid w:val="00D54CA9"/>
    <w:rsid w:val="00D54D64"/>
    <w:rsid w:val="00D6340F"/>
    <w:rsid w:val="00D6535E"/>
    <w:rsid w:val="00D654EC"/>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C2AC2"/>
    <w:rsid w:val="00DD13E2"/>
    <w:rsid w:val="00DE47A1"/>
    <w:rsid w:val="00DF003C"/>
    <w:rsid w:val="00DF137F"/>
    <w:rsid w:val="00DF4501"/>
    <w:rsid w:val="00DF6971"/>
    <w:rsid w:val="00DF78AE"/>
    <w:rsid w:val="00E00E78"/>
    <w:rsid w:val="00E076C1"/>
    <w:rsid w:val="00E11E2E"/>
    <w:rsid w:val="00E13C83"/>
    <w:rsid w:val="00E15555"/>
    <w:rsid w:val="00E15B7D"/>
    <w:rsid w:val="00E2408E"/>
    <w:rsid w:val="00E371EC"/>
    <w:rsid w:val="00E43116"/>
    <w:rsid w:val="00E444DA"/>
    <w:rsid w:val="00E571F8"/>
    <w:rsid w:val="00E572AD"/>
    <w:rsid w:val="00E64F0A"/>
    <w:rsid w:val="00E67668"/>
    <w:rsid w:val="00E70AEE"/>
    <w:rsid w:val="00E7107E"/>
    <w:rsid w:val="00E71C93"/>
    <w:rsid w:val="00E72AE3"/>
    <w:rsid w:val="00E73B51"/>
    <w:rsid w:val="00E8151C"/>
    <w:rsid w:val="00E81E9C"/>
    <w:rsid w:val="00E82E15"/>
    <w:rsid w:val="00E936FF"/>
    <w:rsid w:val="00E939C8"/>
    <w:rsid w:val="00E93A33"/>
    <w:rsid w:val="00E93B6B"/>
    <w:rsid w:val="00EA1F89"/>
    <w:rsid w:val="00EB117B"/>
    <w:rsid w:val="00EB2BEB"/>
    <w:rsid w:val="00EB40D6"/>
    <w:rsid w:val="00EB4222"/>
    <w:rsid w:val="00EB5F75"/>
    <w:rsid w:val="00EB6785"/>
    <w:rsid w:val="00EB79CD"/>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2753"/>
    <w:rsid w:val="00F42E10"/>
    <w:rsid w:val="00F44A7B"/>
    <w:rsid w:val="00F44FFA"/>
    <w:rsid w:val="00F45B6F"/>
    <w:rsid w:val="00F510DB"/>
    <w:rsid w:val="00F5724D"/>
    <w:rsid w:val="00F60AB3"/>
    <w:rsid w:val="00F62329"/>
    <w:rsid w:val="00F65A74"/>
    <w:rsid w:val="00F727B0"/>
    <w:rsid w:val="00F76A74"/>
    <w:rsid w:val="00F84371"/>
    <w:rsid w:val="00F858D5"/>
    <w:rsid w:val="00F91AEE"/>
    <w:rsid w:val="00FA047C"/>
    <w:rsid w:val="00FA2545"/>
    <w:rsid w:val="00FB4AAD"/>
    <w:rsid w:val="00FB4E3D"/>
    <w:rsid w:val="00FB5F2A"/>
    <w:rsid w:val="00FB6CF8"/>
    <w:rsid w:val="00FC16E9"/>
    <w:rsid w:val="00FC279C"/>
    <w:rsid w:val="00FC45DE"/>
    <w:rsid w:val="00FC48CB"/>
    <w:rsid w:val="00FC4F9B"/>
    <w:rsid w:val="00FC59F0"/>
    <w:rsid w:val="00FD4599"/>
    <w:rsid w:val="00FD4784"/>
    <w:rsid w:val="00FD65FE"/>
    <w:rsid w:val="00FD74EB"/>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uaemex.mx" TargetMode="Externa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transparencia.uaemex.mx/usuario/estOrg.php"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foem.org.mx/es/contenido/transparencia/directorio-de-sujetos-obligado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javascript:AbrirModal(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380A2-0FAF-4A10-8CE3-0EC90FEC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1337</TotalTime>
  <Pages>44</Pages>
  <Words>8411</Words>
  <Characters>46266</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32</cp:revision>
  <cp:lastPrinted>2019-11-07T00:56:00Z</cp:lastPrinted>
  <dcterms:created xsi:type="dcterms:W3CDTF">2021-08-25T15:02:00Z</dcterms:created>
  <dcterms:modified xsi:type="dcterms:W3CDTF">2021-10-07T16:49:00Z</dcterms:modified>
</cp:coreProperties>
</file>