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7DAB1" w14:textId="77777777" w:rsidR="008E6432" w:rsidRPr="00C14B76" w:rsidRDefault="008E6432" w:rsidP="008E6432">
      <w:pPr>
        <w:spacing w:before="240" w:after="240" w:line="360" w:lineRule="auto"/>
        <w:jc w:val="center"/>
        <w:rPr>
          <w:rFonts w:ascii="Palatino Linotype" w:hAnsi="Palatino Linotype"/>
          <w:sz w:val="24"/>
          <w:szCs w:val="24"/>
        </w:rPr>
      </w:pPr>
      <w:r w:rsidRPr="00C14B76">
        <w:rPr>
          <w:rFonts w:ascii="Palatino Linotype" w:hAnsi="Palatino Linotype"/>
          <w:b/>
          <w:sz w:val="24"/>
          <w:szCs w:val="24"/>
        </w:rPr>
        <w:t>Índice</w:t>
      </w:r>
      <w:r w:rsidRPr="00C14B76">
        <w:rPr>
          <w:rFonts w:ascii="Palatino Linotype" w:hAnsi="Palatino Linotype"/>
          <w:sz w:val="24"/>
          <w:szCs w:val="24"/>
        </w:rPr>
        <w:t>.</w:t>
      </w:r>
    </w:p>
    <w:sdt>
      <w:sdtPr>
        <w:rPr>
          <w:rFonts w:ascii="Times New Roman" w:eastAsiaTheme="minorEastAsia" w:hAnsi="Times New Roman" w:cstheme="minorBidi"/>
          <w:b w:val="0"/>
          <w:sz w:val="20"/>
          <w:szCs w:val="24"/>
          <w:lang w:val="es-ES" w:eastAsia="es-ES"/>
        </w:rPr>
        <w:id w:val="1703668029"/>
        <w:docPartObj>
          <w:docPartGallery w:val="Table of Contents"/>
          <w:docPartUnique/>
        </w:docPartObj>
      </w:sdtPr>
      <w:sdtEndPr>
        <w:rPr>
          <w:rFonts w:eastAsia="Times New Roman" w:cs="Times New Roman"/>
        </w:rPr>
      </w:sdtEndPr>
      <w:sdtContent>
        <w:p w14:paraId="445D736B" w14:textId="77777777" w:rsidR="008E6432" w:rsidRPr="00C14B76" w:rsidRDefault="008E6432" w:rsidP="008E6432">
          <w:pPr>
            <w:pStyle w:val="TtulodeTDC"/>
            <w:spacing w:line="480" w:lineRule="auto"/>
            <w:rPr>
              <w:szCs w:val="24"/>
            </w:rPr>
          </w:pPr>
        </w:p>
        <w:p w14:paraId="7051B3D9" w14:textId="77777777" w:rsidR="005910C3" w:rsidRDefault="008E6432">
          <w:pPr>
            <w:pStyle w:val="TDC1"/>
            <w:rPr>
              <w:rFonts w:asciiTheme="minorHAnsi" w:hAnsiTheme="minorHAnsi"/>
              <w:b w:val="0"/>
              <w:bCs w:val="0"/>
              <w:sz w:val="22"/>
              <w:szCs w:val="22"/>
              <w:lang w:val="es-MX" w:eastAsia="es-MX"/>
            </w:rPr>
          </w:pPr>
          <w:r w:rsidRPr="00C14B76">
            <w:fldChar w:fldCharType="begin"/>
          </w:r>
          <w:r w:rsidRPr="00C14B76">
            <w:instrText xml:space="preserve"> TOC \o "1-3" \h \z \u </w:instrText>
          </w:r>
          <w:r w:rsidRPr="00C14B76">
            <w:fldChar w:fldCharType="separate"/>
          </w:r>
          <w:hyperlink w:anchor="_Toc81936099" w:history="1">
            <w:r w:rsidR="005910C3" w:rsidRPr="006A6927">
              <w:rPr>
                <w:rStyle w:val="Hipervnculo"/>
              </w:rPr>
              <w:t>ANTECEDENTES</w:t>
            </w:r>
            <w:r w:rsidR="005910C3">
              <w:rPr>
                <w:webHidden/>
              </w:rPr>
              <w:tab/>
            </w:r>
            <w:r w:rsidR="005910C3">
              <w:rPr>
                <w:webHidden/>
              </w:rPr>
              <w:fldChar w:fldCharType="begin"/>
            </w:r>
            <w:r w:rsidR="005910C3">
              <w:rPr>
                <w:webHidden/>
              </w:rPr>
              <w:instrText xml:space="preserve"> PAGEREF _Toc81936099 \h </w:instrText>
            </w:r>
            <w:r w:rsidR="005910C3">
              <w:rPr>
                <w:webHidden/>
              </w:rPr>
            </w:r>
            <w:r w:rsidR="005910C3">
              <w:rPr>
                <w:webHidden/>
              </w:rPr>
              <w:fldChar w:fldCharType="separate"/>
            </w:r>
            <w:r w:rsidR="005910C3">
              <w:rPr>
                <w:webHidden/>
              </w:rPr>
              <w:t>2</w:t>
            </w:r>
            <w:r w:rsidR="005910C3">
              <w:rPr>
                <w:webHidden/>
              </w:rPr>
              <w:fldChar w:fldCharType="end"/>
            </w:r>
          </w:hyperlink>
        </w:p>
        <w:p w14:paraId="096D7124" w14:textId="77777777" w:rsidR="005910C3" w:rsidRDefault="003B62D1">
          <w:pPr>
            <w:pStyle w:val="TDC1"/>
            <w:rPr>
              <w:rFonts w:asciiTheme="minorHAnsi" w:hAnsiTheme="minorHAnsi"/>
              <w:b w:val="0"/>
              <w:bCs w:val="0"/>
              <w:sz w:val="22"/>
              <w:szCs w:val="22"/>
              <w:lang w:val="es-MX" w:eastAsia="es-MX"/>
            </w:rPr>
          </w:pPr>
          <w:hyperlink w:anchor="_Toc81936100" w:history="1">
            <w:r w:rsidR="005910C3" w:rsidRPr="006A6927">
              <w:rPr>
                <w:rStyle w:val="Hipervnculo"/>
              </w:rPr>
              <w:t>CONSIDERANDO</w:t>
            </w:r>
            <w:r w:rsidR="005910C3">
              <w:rPr>
                <w:webHidden/>
              </w:rPr>
              <w:tab/>
            </w:r>
            <w:r w:rsidR="005910C3">
              <w:rPr>
                <w:webHidden/>
              </w:rPr>
              <w:fldChar w:fldCharType="begin"/>
            </w:r>
            <w:r w:rsidR="005910C3">
              <w:rPr>
                <w:webHidden/>
              </w:rPr>
              <w:instrText xml:space="preserve"> PAGEREF _Toc81936100 \h </w:instrText>
            </w:r>
            <w:r w:rsidR="005910C3">
              <w:rPr>
                <w:webHidden/>
              </w:rPr>
            </w:r>
            <w:r w:rsidR="005910C3">
              <w:rPr>
                <w:webHidden/>
              </w:rPr>
              <w:fldChar w:fldCharType="separate"/>
            </w:r>
            <w:r w:rsidR="005910C3">
              <w:rPr>
                <w:webHidden/>
              </w:rPr>
              <w:t>6</w:t>
            </w:r>
            <w:r w:rsidR="005910C3">
              <w:rPr>
                <w:webHidden/>
              </w:rPr>
              <w:fldChar w:fldCharType="end"/>
            </w:r>
          </w:hyperlink>
        </w:p>
        <w:p w14:paraId="469A155F" w14:textId="77777777" w:rsidR="005910C3" w:rsidRDefault="003B62D1">
          <w:pPr>
            <w:pStyle w:val="TDC2"/>
            <w:rPr>
              <w:noProof/>
              <w:sz w:val="22"/>
              <w:szCs w:val="22"/>
              <w:lang w:val="es-MX" w:eastAsia="es-MX"/>
            </w:rPr>
          </w:pPr>
          <w:hyperlink w:anchor="_Toc81936101" w:history="1">
            <w:r w:rsidR="005910C3" w:rsidRPr="006A6927">
              <w:rPr>
                <w:rStyle w:val="Hipervnculo"/>
                <w:rFonts w:ascii="Palatino Linotype" w:hAnsi="Palatino Linotype"/>
                <w:b/>
                <w:noProof/>
              </w:rPr>
              <w:t>PRIMERO. De la competencia</w:t>
            </w:r>
            <w:r w:rsidR="005910C3">
              <w:rPr>
                <w:noProof/>
                <w:webHidden/>
              </w:rPr>
              <w:tab/>
            </w:r>
            <w:r w:rsidR="005910C3">
              <w:rPr>
                <w:noProof/>
                <w:webHidden/>
              </w:rPr>
              <w:fldChar w:fldCharType="begin"/>
            </w:r>
            <w:r w:rsidR="005910C3">
              <w:rPr>
                <w:noProof/>
                <w:webHidden/>
              </w:rPr>
              <w:instrText xml:space="preserve"> PAGEREF _Toc81936101 \h </w:instrText>
            </w:r>
            <w:r w:rsidR="005910C3">
              <w:rPr>
                <w:noProof/>
                <w:webHidden/>
              </w:rPr>
            </w:r>
            <w:r w:rsidR="005910C3">
              <w:rPr>
                <w:noProof/>
                <w:webHidden/>
              </w:rPr>
              <w:fldChar w:fldCharType="separate"/>
            </w:r>
            <w:r w:rsidR="005910C3">
              <w:rPr>
                <w:noProof/>
                <w:webHidden/>
              </w:rPr>
              <w:t>6</w:t>
            </w:r>
            <w:r w:rsidR="005910C3">
              <w:rPr>
                <w:noProof/>
                <w:webHidden/>
              </w:rPr>
              <w:fldChar w:fldCharType="end"/>
            </w:r>
          </w:hyperlink>
        </w:p>
        <w:p w14:paraId="2032A632" w14:textId="77777777" w:rsidR="005910C3" w:rsidRDefault="003B62D1">
          <w:pPr>
            <w:pStyle w:val="TDC2"/>
            <w:rPr>
              <w:noProof/>
              <w:sz w:val="22"/>
              <w:szCs w:val="22"/>
              <w:lang w:val="es-MX" w:eastAsia="es-MX"/>
            </w:rPr>
          </w:pPr>
          <w:hyperlink w:anchor="_Toc81936102" w:history="1">
            <w:r w:rsidR="005910C3" w:rsidRPr="006A6927">
              <w:rPr>
                <w:rStyle w:val="Hipervnculo"/>
                <w:rFonts w:ascii="Palatino Linotype" w:hAnsi="Palatino Linotype"/>
                <w:b/>
                <w:noProof/>
              </w:rPr>
              <w:t>SEGUNDO. De la oportunidad y procedencia.</w:t>
            </w:r>
            <w:r w:rsidR="005910C3">
              <w:rPr>
                <w:noProof/>
                <w:webHidden/>
              </w:rPr>
              <w:tab/>
            </w:r>
            <w:r w:rsidR="005910C3">
              <w:rPr>
                <w:noProof/>
                <w:webHidden/>
              </w:rPr>
              <w:fldChar w:fldCharType="begin"/>
            </w:r>
            <w:r w:rsidR="005910C3">
              <w:rPr>
                <w:noProof/>
                <w:webHidden/>
              </w:rPr>
              <w:instrText xml:space="preserve"> PAGEREF _Toc81936102 \h </w:instrText>
            </w:r>
            <w:r w:rsidR="005910C3">
              <w:rPr>
                <w:noProof/>
                <w:webHidden/>
              </w:rPr>
            </w:r>
            <w:r w:rsidR="005910C3">
              <w:rPr>
                <w:noProof/>
                <w:webHidden/>
              </w:rPr>
              <w:fldChar w:fldCharType="separate"/>
            </w:r>
            <w:r w:rsidR="005910C3">
              <w:rPr>
                <w:noProof/>
                <w:webHidden/>
              </w:rPr>
              <w:t>7</w:t>
            </w:r>
            <w:r w:rsidR="005910C3">
              <w:rPr>
                <w:noProof/>
                <w:webHidden/>
              </w:rPr>
              <w:fldChar w:fldCharType="end"/>
            </w:r>
          </w:hyperlink>
        </w:p>
        <w:p w14:paraId="521E86FB" w14:textId="77777777" w:rsidR="005910C3" w:rsidRDefault="003B62D1">
          <w:pPr>
            <w:pStyle w:val="TDC1"/>
            <w:rPr>
              <w:rFonts w:asciiTheme="minorHAnsi" w:hAnsiTheme="minorHAnsi"/>
              <w:b w:val="0"/>
              <w:bCs w:val="0"/>
              <w:sz w:val="22"/>
              <w:szCs w:val="22"/>
              <w:lang w:val="es-MX" w:eastAsia="es-MX"/>
            </w:rPr>
          </w:pPr>
          <w:hyperlink w:anchor="_Toc81936103" w:history="1">
            <w:r w:rsidR="005910C3" w:rsidRPr="006A6927">
              <w:rPr>
                <w:rStyle w:val="Hipervnculo"/>
              </w:rPr>
              <w:t>TERCERO. Planteamiento de la Litis.</w:t>
            </w:r>
            <w:r w:rsidR="005910C3">
              <w:rPr>
                <w:webHidden/>
              </w:rPr>
              <w:tab/>
            </w:r>
            <w:r w:rsidR="005910C3">
              <w:rPr>
                <w:webHidden/>
              </w:rPr>
              <w:fldChar w:fldCharType="begin"/>
            </w:r>
            <w:r w:rsidR="005910C3">
              <w:rPr>
                <w:webHidden/>
              </w:rPr>
              <w:instrText xml:space="preserve"> PAGEREF _Toc81936103 \h </w:instrText>
            </w:r>
            <w:r w:rsidR="005910C3">
              <w:rPr>
                <w:webHidden/>
              </w:rPr>
            </w:r>
            <w:r w:rsidR="005910C3">
              <w:rPr>
                <w:webHidden/>
              </w:rPr>
              <w:fldChar w:fldCharType="separate"/>
            </w:r>
            <w:r w:rsidR="005910C3">
              <w:rPr>
                <w:webHidden/>
              </w:rPr>
              <w:t>10</w:t>
            </w:r>
            <w:r w:rsidR="005910C3">
              <w:rPr>
                <w:webHidden/>
              </w:rPr>
              <w:fldChar w:fldCharType="end"/>
            </w:r>
          </w:hyperlink>
        </w:p>
        <w:p w14:paraId="782D3B93" w14:textId="77777777" w:rsidR="005910C3" w:rsidRDefault="003B62D1">
          <w:pPr>
            <w:pStyle w:val="TDC2"/>
            <w:rPr>
              <w:noProof/>
              <w:sz w:val="22"/>
              <w:szCs w:val="22"/>
              <w:lang w:val="es-MX" w:eastAsia="es-MX"/>
            </w:rPr>
          </w:pPr>
          <w:hyperlink w:anchor="_Toc81936104" w:history="1">
            <w:r w:rsidR="005910C3" w:rsidRPr="006A6927">
              <w:rPr>
                <w:rStyle w:val="Hipervnculo"/>
                <w:rFonts w:ascii="Palatino Linotype" w:hAnsi="Palatino Linotype"/>
                <w:b/>
                <w:bCs/>
                <w:noProof/>
              </w:rPr>
              <w:t>CUARTO. Estudio y resolución del asunto</w:t>
            </w:r>
            <w:r w:rsidR="005910C3">
              <w:rPr>
                <w:noProof/>
                <w:webHidden/>
              </w:rPr>
              <w:tab/>
            </w:r>
            <w:r w:rsidR="005910C3">
              <w:rPr>
                <w:noProof/>
                <w:webHidden/>
              </w:rPr>
              <w:fldChar w:fldCharType="begin"/>
            </w:r>
            <w:r w:rsidR="005910C3">
              <w:rPr>
                <w:noProof/>
                <w:webHidden/>
              </w:rPr>
              <w:instrText xml:space="preserve"> PAGEREF _Toc81936104 \h </w:instrText>
            </w:r>
            <w:r w:rsidR="005910C3">
              <w:rPr>
                <w:noProof/>
                <w:webHidden/>
              </w:rPr>
            </w:r>
            <w:r w:rsidR="005910C3">
              <w:rPr>
                <w:noProof/>
                <w:webHidden/>
              </w:rPr>
              <w:fldChar w:fldCharType="separate"/>
            </w:r>
            <w:r w:rsidR="005910C3">
              <w:rPr>
                <w:noProof/>
                <w:webHidden/>
              </w:rPr>
              <w:t>10</w:t>
            </w:r>
            <w:r w:rsidR="005910C3">
              <w:rPr>
                <w:noProof/>
                <w:webHidden/>
              </w:rPr>
              <w:fldChar w:fldCharType="end"/>
            </w:r>
          </w:hyperlink>
        </w:p>
        <w:p w14:paraId="7A5361EC" w14:textId="77777777" w:rsidR="005910C3" w:rsidRDefault="003B62D1">
          <w:pPr>
            <w:pStyle w:val="TDC2"/>
            <w:rPr>
              <w:noProof/>
              <w:sz w:val="22"/>
              <w:szCs w:val="22"/>
              <w:lang w:val="es-MX" w:eastAsia="es-MX"/>
            </w:rPr>
          </w:pPr>
          <w:hyperlink w:anchor="_Toc81936105" w:history="1">
            <w:r w:rsidR="005910C3" w:rsidRPr="006A6927">
              <w:rPr>
                <w:rStyle w:val="Hipervnculo"/>
                <w:rFonts w:ascii="Palatino Linotype" w:hAnsi="Palatino Linotype"/>
                <w:b/>
                <w:noProof/>
              </w:rPr>
              <w:t>A.</w:t>
            </w:r>
            <w:r w:rsidR="005910C3">
              <w:rPr>
                <w:noProof/>
                <w:sz w:val="22"/>
                <w:szCs w:val="22"/>
                <w:lang w:val="es-MX" w:eastAsia="es-MX"/>
              </w:rPr>
              <w:tab/>
            </w:r>
            <w:r w:rsidR="005910C3" w:rsidRPr="006A6927">
              <w:rPr>
                <w:rStyle w:val="Hipervnculo"/>
                <w:rFonts w:ascii="Palatino Linotype" w:hAnsi="Palatino Linotype"/>
                <w:b/>
                <w:noProof/>
              </w:rPr>
              <w:t>De la respuesta del Sujeto Obligado.</w:t>
            </w:r>
            <w:r w:rsidR="005910C3">
              <w:rPr>
                <w:noProof/>
                <w:webHidden/>
              </w:rPr>
              <w:tab/>
            </w:r>
            <w:r w:rsidR="005910C3">
              <w:rPr>
                <w:noProof/>
                <w:webHidden/>
              </w:rPr>
              <w:fldChar w:fldCharType="begin"/>
            </w:r>
            <w:r w:rsidR="005910C3">
              <w:rPr>
                <w:noProof/>
                <w:webHidden/>
              </w:rPr>
              <w:instrText xml:space="preserve"> PAGEREF _Toc81936105 \h </w:instrText>
            </w:r>
            <w:r w:rsidR="005910C3">
              <w:rPr>
                <w:noProof/>
                <w:webHidden/>
              </w:rPr>
            </w:r>
            <w:r w:rsidR="005910C3">
              <w:rPr>
                <w:noProof/>
                <w:webHidden/>
              </w:rPr>
              <w:fldChar w:fldCharType="separate"/>
            </w:r>
            <w:r w:rsidR="005910C3">
              <w:rPr>
                <w:noProof/>
                <w:webHidden/>
              </w:rPr>
              <w:t>10</w:t>
            </w:r>
            <w:r w:rsidR="005910C3">
              <w:rPr>
                <w:noProof/>
                <w:webHidden/>
              </w:rPr>
              <w:fldChar w:fldCharType="end"/>
            </w:r>
          </w:hyperlink>
        </w:p>
        <w:p w14:paraId="6BE08DBF" w14:textId="77777777" w:rsidR="005910C3" w:rsidRDefault="003B62D1">
          <w:pPr>
            <w:pStyle w:val="TDC2"/>
            <w:rPr>
              <w:noProof/>
              <w:sz w:val="22"/>
              <w:szCs w:val="22"/>
              <w:lang w:val="es-MX" w:eastAsia="es-MX"/>
            </w:rPr>
          </w:pPr>
          <w:hyperlink w:anchor="_Toc81936106" w:history="1">
            <w:r w:rsidR="005910C3" w:rsidRPr="006A6927">
              <w:rPr>
                <w:rStyle w:val="Hipervnculo"/>
                <w:rFonts w:ascii="Palatino Linotype" w:hAnsi="Palatino Linotype"/>
                <w:b/>
                <w:noProof/>
              </w:rPr>
              <w:t>B.</w:t>
            </w:r>
            <w:r w:rsidR="005910C3">
              <w:rPr>
                <w:noProof/>
                <w:sz w:val="22"/>
                <w:szCs w:val="22"/>
                <w:lang w:val="es-MX" w:eastAsia="es-MX"/>
              </w:rPr>
              <w:tab/>
            </w:r>
            <w:r w:rsidR="005910C3" w:rsidRPr="006A6927">
              <w:rPr>
                <w:rStyle w:val="Hipervnculo"/>
                <w:rFonts w:ascii="Palatino Linotype" w:hAnsi="Palatino Linotype"/>
                <w:b/>
                <w:noProof/>
              </w:rPr>
              <w:t>Del derecho de acceso a la información.</w:t>
            </w:r>
            <w:r w:rsidR="005910C3">
              <w:rPr>
                <w:noProof/>
                <w:webHidden/>
              </w:rPr>
              <w:tab/>
            </w:r>
            <w:r w:rsidR="005910C3">
              <w:rPr>
                <w:noProof/>
                <w:webHidden/>
              </w:rPr>
              <w:fldChar w:fldCharType="begin"/>
            </w:r>
            <w:r w:rsidR="005910C3">
              <w:rPr>
                <w:noProof/>
                <w:webHidden/>
              </w:rPr>
              <w:instrText xml:space="preserve"> PAGEREF _Toc81936106 \h </w:instrText>
            </w:r>
            <w:r w:rsidR="005910C3">
              <w:rPr>
                <w:noProof/>
                <w:webHidden/>
              </w:rPr>
            </w:r>
            <w:r w:rsidR="005910C3">
              <w:rPr>
                <w:noProof/>
                <w:webHidden/>
              </w:rPr>
              <w:fldChar w:fldCharType="separate"/>
            </w:r>
            <w:r w:rsidR="005910C3">
              <w:rPr>
                <w:noProof/>
                <w:webHidden/>
              </w:rPr>
              <w:t>14</w:t>
            </w:r>
            <w:r w:rsidR="005910C3">
              <w:rPr>
                <w:noProof/>
                <w:webHidden/>
              </w:rPr>
              <w:fldChar w:fldCharType="end"/>
            </w:r>
          </w:hyperlink>
        </w:p>
        <w:p w14:paraId="20AAD1B3" w14:textId="77777777" w:rsidR="005910C3" w:rsidRDefault="003B62D1">
          <w:pPr>
            <w:pStyle w:val="TDC2"/>
            <w:rPr>
              <w:noProof/>
              <w:sz w:val="22"/>
              <w:szCs w:val="22"/>
              <w:lang w:val="es-MX" w:eastAsia="es-MX"/>
            </w:rPr>
          </w:pPr>
          <w:hyperlink w:anchor="_Toc81936107" w:history="1">
            <w:r w:rsidR="005910C3" w:rsidRPr="005F2DC6">
              <w:rPr>
                <w:rStyle w:val="Hipervnculo"/>
                <w:rFonts w:ascii="Palatino Linotype" w:hAnsi="Palatino Linotype"/>
                <w:b/>
                <w:noProof/>
              </w:rPr>
              <w:t>C.</w:t>
            </w:r>
            <w:r w:rsidR="005910C3" w:rsidRPr="005F2DC6">
              <w:rPr>
                <w:noProof/>
                <w:sz w:val="22"/>
                <w:szCs w:val="22"/>
                <w:lang w:val="es-MX" w:eastAsia="es-MX"/>
              </w:rPr>
              <w:tab/>
            </w:r>
            <w:r w:rsidR="005910C3" w:rsidRPr="005F2DC6">
              <w:rPr>
                <w:rStyle w:val="Hipervnculo"/>
                <w:rFonts w:ascii="Palatino Linotype" w:hAnsi="Palatino Linotype"/>
                <w:b/>
                <w:noProof/>
              </w:rPr>
              <w:t>De la suplencia a la deficiencia de la queja.</w:t>
            </w:r>
            <w:r w:rsidR="005910C3">
              <w:rPr>
                <w:noProof/>
                <w:webHidden/>
              </w:rPr>
              <w:tab/>
            </w:r>
            <w:r w:rsidR="005910C3">
              <w:rPr>
                <w:noProof/>
                <w:webHidden/>
              </w:rPr>
              <w:fldChar w:fldCharType="begin"/>
            </w:r>
            <w:r w:rsidR="005910C3">
              <w:rPr>
                <w:noProof/>
                <w:webHidden/>
              </w:rPr>
              <w:instrText xml:space="preserve"> PAGEREF _Toc81936107 \h </w:instrText>
            </w:r>
            <w:r w:rsidR="005910C3">
              <w:rPr>
                <w:noProof/>
                <w:webHidden/>
              </w:rPr>
            </w:r>
            <w:r w:rsidR="005910C3">
              <w:rPr>
                <w:noProof/>
                <w:webHidden/>
              </w:rPr>
              <w:fldChar w:fldCharType="separate"/>
            </w:r>
            <w:r w:rsidR="005910C3">
              <w:rPr>
                <w:noProof/>
                <w:webHidden/>
              </w:rPr>
              <w:t>30</w:t>
            </w:r>
            <w:r w:rsidR="005910C3">
              <w:rPr>
                <w:noProof/>
                <w:webHidden/>
              </w:rPr>
              <w:fldChar w:fldCharType="end"/>
            </w:r>
          </w:hyperlink>
        </w:p>
        <w:p w14:paraId="543B7680" w14:textId="77777777" w:rsidR="005910C3" w:rsidRDefault="003B62D1">
          <w:pPr>
            <w:pStyle w:val="TDC1"/>
            <w:rPr>
              <w:rFonts w:asciiTheme="minorHAnsi" w:hAnsiTheme="minorHAnsi"/>
              <w:b w:val="0"/>
              <w:bCs w:val="0"/>
              <w:sz w:val="22"/>
              <w:szCs w:val="22"/>
              <w:lang w:val="es-MX" w:eastAsia="es-MX"/>
            </w:rPr>
          </w:pPr>
          <w:hyperlink w:anchor="_Toc81936108" w:history="1">
            <w:r w:rsidR="005910C3" w:rsidRPr="006A6927">
              <w:rPr>
                <w:rStyle w:val="Hipervnculo"/>
              </w:rPr>
              <w:t>QUINTO. De la Versión Pública.</w:t>
            </w:r>
            <w:r w:rsidR="005910C3">
              <w:rPr>
                <w:webHidden/>
              </w:rPr>
              <w:tab/>
            </w:r>
            <w:r w:rsidR="005910C3">
              <w:rPr>
                <w:webHidden/>
              </w:rPr>
              <w:fldChar w:fldCharType="begin"/>
            </w:r>
            <w:r w:rsidR="005910C3">
              <w:rPr>
                <w:webHidden/>
              </w:rPr>
              <w:instrText xml:space="preserve"> PAGEREF _Toc81936108 \h </w:instrText>
            </w:r>
            <w:r w:rsidR="005910C3">
              <w:rPr>
                <w:webHidden/>
              </w:rPr>
            </w:r>
            <w:r w:rsidR="005910C3">
              <w:rPr>
                <w:webHidden/>
              </w:rPr>
              <w:fldChar w:fldCharType="separate"/>
            </w:r>
            <w:r w:rsidR="005910C3">
              <w:rPr>
                <w:webHidden/>
              </w:rPr>
              <w:t>33</w:t>
            </w:r>
            <w:r w:rsidR="005910C3">
              <w:rPr>
                <w:webHidden/>
              </w:rPr>
              <w:fldChar w:fldCharType="end"/>
            </w:r>
          </w:hyperlink>
        </w:p>
        <w:p w14:paraId="083DE85E" w14:textId="77777777" w:rsidR="005910C3" w:rsidRDefault="003B62D1">
          <w:pPr>
            <w:pStyle w:val="TDC1"/>
            <w:tabs>
              <w:tab w:val="left" w:pos="660"/>
            </w:tabs>
            <w:rPr>
              <w:rFonts w:asciiTheme="minorHAnsi" w:hAnsiTheme="minorHAnsi"/>
              <w:b w:val="0"/>
              <w:bCs w:val="0"/>
              <w:sz w:val="22"/>
              <w:szCs w:val="22"/>
              <w:lang w:val="es-MX" w:eastAsia="es-MX"/>
            </w:rPr>
          </w:pPr>
          <w:hyperlink w:anchor="_Toc81936109" w:history="1">
            <w:r w:rsidR="005910C3" w:rsidRPr="006A6927">
              <w:rPr>
                <w:rStyle w:val="Hipervnculo"/>
                <w:rFonts w:cs="Times New Roman"/>
              </w:rPr>
              <w:t>I.</w:t>
            </w:r>
            <w:r w:rsidR="005910C3">
              <w:rPr>
                <w:rFonts w:asciiTheme="minorHAnsi" w:hAnsiTheme="minorHAnsi"/>
                <w:b w:val="0"/>
                <w:bCs w:val="0"/>
                <w:sz w:val="22"/>
                <w:szCs w:val="22"/>
                <w:lang w:val="es-MX" w:eastAsia="es-MX"/>
              </w:rPr>
              <w:tab/>
            </w:r>
            <w:r w:rsidR="005910C3" w:rsidRPr="006A6927">
              <w:rPr>
                <w:rStyle w:val="Hipervnculo"/>
                <w:rFonts w:cs="Times New Roman"/>
                <w:lang w:eastAsia="es-ES_tradnl"/>
              </w:rPr>
              <w:t>Nociones generales.</w:t>
            </w:r>
            <w:r w:rsidR="005910C3">
              <w:rPr>
                <w:webHidden/>
              </w:rPr>
              <w:tab/>
            </w:r>
            <w:r w:rsidR="005910C3">
              <w:rPr>
                <w:webHidden/>
              </w:rPr>
              <w:fldChar w:fldCharType="begin"/>
            </w:r>
            <w:r w:rsidR="005910C3">
              <w:rPr>
                <w:webHidden/>
              </w:rPr>
              <w:instrText xml:space="preserve"> PAGEREF _Toc81936109 \h </w:instrText>
            </w:r>
            <w:r w:rsidR="005910C3">
              <w:rPr>
                <w:webHidden/>
              </w:rPr>
            </w:r>
            <w:r w:rsidR="005910C3">
              <w:rPr>
                <w:webHidden/>
              </w:rPr>
              <w:fldChar w:fldCharType="separate"/>
            </w:r>
            <w:r w:rsidR="005910C3">
              <w:rPr>
                <w:webHidden/>
              </w:rPr>
              <w:t>33</w:t>
            </w:r>
            <w:r w:rsidR="005910C3">
              <w:rPr>
                <w:webHidden/>
              </w:rPr>
              <w:fldChar w:fldCharType="end"/>
            </w:r>
          </w:hyperlink>
        </w:p>
        <w:p w14:paraId="4A0805C9" w14:textId="77777777" w:rsidR="005910C3" w:rsidRDefault="003B62D1">
          <w:pPr>
            <w:pStyle w:val="TDC1"/>
            <w:rPr>
              <w:rFonts w:asciiTheme="minorHAnsi" w:hAnsiTheme="minorHAnsi"/>
              <w:b w:val="0"/>
              <w:bCs w:val="0"/>
              <w:sz w:val="22"/>
              <w:szCs w:val="22"/>
              <w:lang w:val="es-MX" w:eastAsia="es-MX"/>
            </w:rPr>
          </w:pPr>
          <w:hyperlink w:anchor="_Toc81936110" w:history="1">
            <w:r w:rsidR="005910C3" w:rsidRPr="006A6927">
              <w:rPr>
                <w:rStyle w:val="Hipervnculo"/>
              </w:rPr>
              <w:t>SEXTO. De la Decisión.</w:t>
            </w:r>
            <w:r w:rsidR="005910C3">
              <w:rPr>
                <w:webHidden/>
              </w:rPr>
              <w:tab/>
            </w:r>
            <w:r w:rsidR="005910C3">
              <w:rPr>
                <w:webHidden/>
              </w:rPr>
              <w:fldChar w:fldCharType="begin"/>
            </w:r>
            <w:r w:rsidR="005910C3">
              <w:rPr>
                <w:webHidden/>
              </w:rPr>
              <w:instrText xml:space="preserve"> PAGEREF _Toc81936110 \h </w:instrText>
            </w:r>
            <w:r w:rsidR="005910C3">
              <w:rPr>
                <w:webHidden/>
              </w:rPr>
            </w:r>
            <w:r w:rsidR="005910C3">
              <w:rPr>
                <w:webHidden/>
              </w:rPr>
              <w:fldChar w:fldCharType="separate"/>
            </w:r>
            <w:r w:rsidR="005910C3">
              <w:rPr>
                <w:webHidden/>
              </w:rPr>
              <w:t>37</w:t>
            </w:r>
            <w:r w:rsidR="005910C3">
              <w:rPr>
                <w:webHidden/>
              </w:rPr>
              <w:fldChar w:fldCharType="end"/>
            </w:r>
          </w:hyperlink>
        </w:p>
        <w:p w14:paraId="30D2CD3B" w14:textId="77777777" w:rsidR="005910C3" w:rsidRDefault="003B62D1">
          <w:pPr>
            <w:pStyle w:val="TDC1"/>
            <w:rPr>
              <w:rFonts w:asciiTheme="minorHAnsi" w:hAnsiTheme="minorHAnsi"/>
              <w:b w:val="0"/>
              <w:bCs w:val="0"/>
              <w:sz w:val="22"/>
              <w:szCs w:val="22"/>
              <w:lang w:val="es-MX" w:eastAsia="es-MX"/>
            </w:rPr>
          </w:pPr>
          <w:hyperlink w:anchor="_Toc81936111" w:history="1">
            <w:r w:rsidR="005910C3" w:rsidRPr="006A6927">
              <w:rPr>
                <w:rStyle w:val="Hipervnculo"/>
                <w:rFonts w:cstheme="majorBidi"/>
              </w:rPr>
              <w:t>R E S O L U T I V O S</w:t>
            </w:r>
            <w:r w:rsidR="005910C3">
              <w:rPr>
                <w:webHidden/>
              </w:rPr>
              <w:tab/>
            </w:r>
            <w:r w:rsidR="005910C3">
              <w:rPr>
                <w:webHidden/>
              </w:rPr>
              <w:fldChar w:fldCharType="begin"/>
            </w:r>
            <w:r w:rsidR="005910C3">
              <w:rPr>
                <w:webHidden/>
              </w:rPr>
              <w:instrText xml:space="preserve"> PAGEREF _Toc81936111 \h </w:instrText>
            </w:r>
            <w:r w:rsidR="005910C3">
              <w:rPr>
                <w:webHidden/>
              </w:rPr>
            </w:r>
            <w:r w:rsidR="005910C3">
              <w:rPr>
                <w:webHidden/>
              </w:rPr>
              <w:fldChar w:fldCharType="separate"/>
            </w:r>
            <w:r w:rsidR="005910C3">
              <w:rPr>
                <w:webHidden/>
              </w:rPr>
              <w:t>38</w:t>
            </w:r>
            <w:r w:rsidR="005910C3">
              <w:rPr>
                <w:webHidden/>
              </w:rPr>
              <w:fldChar w:fldCharType="end"/>
            </w:r>
          </w:hyperlink>
        </w:p>
        <w:p w14:paraId="033D1C8E" w14:textId="77777777" w:rsidR="008E6432" w:rsidRPr="00C14B76" w:rsidRDefault="008E6432" w:rsidP="008E6432">
          <w:pPr>
            <w:spacing w:line="480" w:lineRule="auto"/>
            <w:rPr>
              <w:rFonts w:ascii="Palatino Linotype" w:hAnsi="Palatino Linotype"/>
              <w:sz w:val="24"/>
              <w:szCs w:val="24"/>
            </w:rPr>
          </w:pPr>
          <w:r w:rsidRPr="00C14B76">
            <w:rPr>
              <w:rFonts w:ascii="Palatino Linotype" w:hAnsi="Palatino Linotype"/>
              <w:b/>
              <w:bCs/>
              <w:sz w:val="24"/>
              <w:szCs w:val="24"/>
              <w:lang w:val="es-ES"/>
            </w:rPr>
            <w:fldChar w:fldCharType="end"/>
          </w:r>
        </w:p>
      </w:sdtContent>
    </w:sdt>
    <w:p w14:paraId="134ABA3F" w14:textId="77777777" w:rsidR="00476BA1" w:rsidRDefault="00476BA1" w:rsidP="008E6432">
      <w:pPr>
        <w:spacing w:before="240" w:after="240" w:line="360" w:lineRule="auto"/>
        <w:jc w:val="both"/>
        <w:rPr>
          <w:rFonts w:ascii="Palatino Linotype" w:hAnsi="Palatino Linotype"/>
          <w:sz w:val="24"/>
          <w:szCs w:val="24"/>
        </w:rPr>
      </w:pPr>
    </w:p>
    <w:p w14:paraId="6AB7540F" w14:textId="77777777" w:rsidR="00F43832" w:rsidRDefault="00F43832" w:rsidP="008E6432">
      <w:pPr>
        <w:spacing w:before="240" w:after="240" w:line="360" w:lineRule="auto"/>
        <w:jc w:val="both"/>
        <w:rPr>
          <w:rFonts w:ascii="Palatino Linotype" w:hAnsi="Palatino Linotype"/>
          <w:sz w:val="24"/>
          <w:szCs w:val="24"/>
        </w:rPr>
      </w:pPr>
    </w:p>
    <w:p w14:paraId="221828C7" w14:textId="77777777" w:rsidR="005910C3" w:rsidRDefault="005910C3" w:rsidP="008E6432">
      <w:pPr>
        <w:spacing w:before="240" w:after="240" w:line="360" w:lineRule="auto"/>
        <w:jc w:val="both"/>
        <w:rPr>
          <w:rFonts w:ascii="Palatino Linotype" w:hAnsi="Palatino Linotype"/>
          <w:sz w:val="24"/>
          <w:szCs w:val="24"/>
        </w:rPr>
      </w:pPr>
    </w:p>
    <w:p w14:paraId="3F687AEA" w14:textId="77777777" w:rsidR="005910C3" w:rsidRPr="00C14B76" w:rsidRDefault="005910C3" w:rsidP="008E6432">
      <w:pPr>
        <w:spacing w:before="240" w:after="240" w:line="360" w:lineRule="auto"/>
        <w:jc w:val="both"/>
        <w:rPr>
          <w:rFonts w:ascii="Palatino Linotype" w:hAnsi="Palatino Linotype"/>
          <w:sz w:val="24"/>
          <w:szCs w:val="24"/>
        </w:rPr>
      </w:pPr>
    </w:p>
    <w:p w14:paraId="10EB4DEF" w14:textId="7C8C6464" w:rsidR="008E6432" w:rsidRPr="00C14B76" w:rsidRDefault="008E6432" w:rsidP="008E6432">
      <w:pPr>
        <w:spacing w:before="240" w:after="240" w:line="360" w:lineRule="auto"/>
        <w:jc w:val="both"/>
        <w:rPr>
          <w:rFonts w:ascii="Palatino Linotype" w:hAnsi="Palatino Linotype"/>
          <w:sz w:val="24"/>
          <w:szCs w:val="24"/>
        </w:rPr>
      </w:pPr>
      <w:r w:rsidRPr="00C14B76">
        <w:rPr>
          <w:rFonts w:ascii="Palatino Linotype" w:hAnsi="Palatino Linotype"/>
          <w:sz w:val="24"/>
          <w:szCs w:val="24"/>
        </w:rPr>
        <w:lastRenderedPageBreak/>
        <w:t xml:space="preserve">Resolución del Pleno del Instituto de Transparencia, Acceso a la Información Pública y Protección de Datos Personales del Estado de México y Municipios, con domicilio en Metepec, Estado de México; de fecha </w:t>
      </w:r>
      <w:r w:rsidR="00837CCF">
        <w:rPr>
          <w:rFonts w:ascii="Palatino Linotype" w:hAnsi="Palatino Linotype"/>
          <w:sz w:val="24"/>
          <w:szCs w:val="24"/>
        </w:rPr>
        <w:t>ocho</w:t>
      </w:r>
      <w:r w:rsidRPr="00C14B76">
        <w:rPr>
          <w:rFonts w:ascii="Palatino Linotype" w:hAnsi="Palatino Linotype"/>
          <w:sz w:val="24"/>
          <w:szCs w:val="24"/>
        </w:rPr>
        <w:t xml:space="preserve"> (</w:t>
      </w:r>
      <w:r w:rsidR="00837CCF">
        <w:rPr>
          <w:rFonts w:ascii="Palatino Linotype" w:hAnsi="Palatino Linotype"/>
          <w:sz w:val="24"/>
          <w:szCs w:val="24"/>
        </w:rPr>
        <w:t>8</w:t>
      </w:r>
      <w:r w:rsidRPr="00C14B76">
        <w:rPr>
          <w:rFonts w:ascii="Palatino Linotype" w:hAnsi="Palatino Linotype"/>
          <w:sz w:val="24"/>
          <w:szCs w:val="24"/>
        </w:rPr>
        <w:t xml:space="preserve">) de </w:t>
      </w:r>
      <w:r w:rsidR="00977299" w:rsidRPr="00C14B76">
        <w:rPr>
          <w:rFonts w:ascii="Palatino Linotype" w:hAnsi="Palatino Linotype"/>
          <w:sz w:val="24"/>
          <w:szCs w:val="24"/>
        </w:rPr>
        <w:t>septiembre</w:t>
      </w:r>
      <w:r w:rsidRPr="00C14B76">
        <w:rPr>
          <w:rFonts w:ascii="Palatino Linotype" w:hAnsi="Palatino Linotype"/>
          <w:sz w:val="24"/>
          <w:szCs w:val="24"/>
        </w:rPr>
        <w:t xml:space="preserve"> de dos mil veintiuno.</w:t>
      </w:r>
    </w:p>
    <w:p w14:paraId="2E1992E1" w14:textId="18E6B3B6" w:rsidR="008E6432" w:rsidRPr="00C14B76" w:rsidRDefault="008E6432" w:rsidP="008E6432">
      <w:pPr>
        <w:pStyle w:val="Encabezado"/>
        <w:spacing w:line="360" w:lineRule="auto"/>
        <w:jc w:val="both"/>
        <w:rPr>
          <w:rFonts w:ascii="Palatino Linotype" w:hAnsi="Palatino Linotype"/>
          <w:b/>
          <w:sz w:val="24"/>
          <w:szCs w:val="24"/>
        </w:rPr>
      </w:pPr>
      <w:r w:rsidRPr="00C14B76">
        <w:rPr>
          <w:rFonts w:ascii="Palatino Linotype" w:hAnsi="Palatino Linotype"/>
          <w:b/>
          <w:sz w:val="24"/>
          <w:szCs w:val="24"/>
        </w:rPr>
        <w:t>VISTO el</w:t>
      </w:r>
      <w:r w:rsidRPr="00C14B76">
        <w:rPr>
          <w:rFonts w:ascii="Palatino Linotype" w:hAnsi="Palatino Linotype"/>
          <w:sz w:val="24"/>
          <w:szCs w:val="24"/>
        </w:rPr>
        <w:t xml:space="preserve"> expediente electrónico formado con motivo del recurso de revisión </w:t>
      </w:r>
      <w:r w:rsidR="002010BC" w:rsidRPr="002010BC">
        <w:rPr>
          <w:rFonts w:ascii="Palatino Linotype" w:eastAsia="Calibri" w:hAnsi="Palatino Linotype" w:cs="Tahoma"/>
          <w:b/>
          <w:bCs/>
          <w:sz w:val="24"/>
          <w:szCs w:val="22"/>
          <w:lang w:eastAsia="en-US"/>
        </w:rPr>
        <w:t>03818/INFOEM/IP/RR/2021</w:t>
      </w:r>
      <w:r w:rsidRPr="00C14B76">
        <w:rPr>
          <w:rFonts w:ascii="Palatino Linotype" w:hAnsi="Palatino Linotype" w:cs="Arial"/>
          <w:b/>
          <w:bCs/>
          <w:sz w:val="24"/>
          <w:szCs w:val="24"/>
        </w:rPr>
        <w:t xml:space="preserve">, </w:t>
      </w:r>
      <w:r w:rsidRPr="00C14B76">
        <w:rPr>
          <w:rFonts w:ascii="Palatino Linotype" w:hAnsi="Palatino Linotype"/>
          <w:sz w:val="24"/>
          <w:szCs w:val="24"/>
        </w:rPr>
        <w:t xml:space="preserve">promovido por </w:t>
      </w:r>
      <w:r w:rsidR="00A34D56">
        <w:rPr>
          <w:rFonts w:ascii="Palatino Linotype" w:hAnsi="Palatino Linotype"/>
          <w:sz w:val="24"/>
          <w:szCs w:val="24"/>
        </w:rPr>
        <w:t xml:space="preserve">un Usuario del Sistema de Acceso a la Información Mexiquense, el cual no proporcionó ningún nombre, en su calidad de </w:t>
      </w:r>
      <w:r w:rsidRPr="00C14B76">
        <w:rPr>
          <w:rFonts w:ascii="Palatino Linotype" w:hAnsi="Palatino Linotype"/>
          <w:b/>
          <w:sz w:val="24"/>
          <w:szCs w:val="24"/>
        </w:rPr>
        <w:t>RECURRENTE</w:t>
      </w:r>
      <w:r w:rsidRPr="00C14B76">
        <w:rPr>
          <w:rFonts w:ascii="Palatino Linotype" w:hAnsi="Palatino Linotype" w:cs="Arial"/>
          <w:sz w:val="24"/>
          <w:szCs w:val="24"/>
        </w:rPr>
        <w:t xml:space="preserve">, en contra de la respuesta del </w:t>
      </w:r>
      <w:r w:rsidR="00A34D56" w:rsidRPr="00A34D56">
        <w:rPr>
          <w:rFonts w:ascii="Palatino Linotype" w:eastAsia="Calibri" w:hAnsi="Palatino Linotype" w:cs="Tahoma"/>
          <w:b/>
          <w:sz w:val="24"/>
          <w:szCs w:val="24"/>
          <w:lang w:eastAsia="en-US"/>
        </w:rPr>
        <w:t>Comisión de Conciliación y Arbitraje Médico del Estado de México</w:t>
      </w:r>
      <w:r w:rsidRPr="00C14B76">
        <w:rPr>
          <w:rFonts w:ascii="Palatino Linotype" w:hAnsi="Palatino Linotype" w:cs="Arial"/>
          <w:sz w:val="24"/>
          <w:szCs w:val="24"/>
        </w:rPr>
        <w:t>,</w:t>
      </w:r>
      <w:r w:rsidRPr="00C14B76">
        <w:rPr>
          <w:rFonts w:ascii="Palatino Linotype" w:hAnsi="Palatino Linotype"/>
          <w:b/>
          <w:sz w:val="24"/>
          <w:szCs w:val="24"/>
        </w:rPr>
        <w:t xml:space="preserve"> </w:t>
      </w:r>
      <w:r w:rsidRPr="00C14B76">
        <w:rPr>
          <w:rFonts w:ascii="Palatino Linotype" w:hAnsi="Palatino Linotype"/>
          <w:sz w:val="24"/>
          <w:szCs w:val="24"/>
        </w:rPr>
        <w:t>en lo sucesivo el</w:t>
      </w:r>
      <w:r w:rsidRPr="00C14B76">
        <w:rPr>
          <w:rFonts w:ascii="Palatino Linotype" w:hAnsi="Palatino Linotype"/>
          <w:b/>
          <w:sz w:val="24"/>
          <w:szCs w:val="24"/>
        </w:rPr>
        <w:t xml:space="preserve"> SUJETO OBLIGADO, </w:t>
      </w:r>
      <w:r w:rsidRPr="00C14B76">
        <w:rPr>
          <w:rFonts w:ascii="Palatino Linotype" w:hAnsi="Palatino Linotype"/>
          <w:sz w:val="24"/>
          <w:szCs w:val="24"/>
        </w:rPr>
        <w:t xml:space="preserve">se procede a dictar la presente resolución, con base en los siguientes: </w:t>
      </w:r>
    </w:p>
    <w:p w14:paraId="26249F67" w14:textId="77777777" w:rsidR="008E6432" w:rsidRPr="00C14B76" w:rsidRDefault="008E6432" w:rsidP="008E6432">
      <w:pPr>
        <w:pStyle w:val="Ttulo1"/>
        <w:jc w:val="center"/>
        <w:rPr>
          <w:rFonts w:ascii="Palatino Linotype" w:hAnsi="Palatino Linotype"/>
          <w:b/>
          <w:color w:val="auto"/>
          <w:sz w:val="24"/>
          <w:szCs w:val="24"/>
        </w:rPr>
      </w:pPr>
      <w:bookmarkStart w:id="0" w:name="_Toc81936099"/>
      <w:r w:rsidRPr="00C14B76">
        <w:rPr>
          <w:rFonts w:ascii="Palatino Linotype" w:hAnsi="Palatino Linotype"/>
          <w:b/>
          <w:color w:val="auto"/>
          <w:sz w:val="24"/>
          <w:szCs w:val="24"/>
        </w:rPr>
        <w:t>ANTECEDENTES</w:t>
      </w:r>
      <w:bookmarkEnd w:id="0"/>
    </w:p>
    <w:p w14:paraId="6603E7D7" w14:textId="77777777" w:rsidR="008E6432" w:rsidRPr="00C14B76" w:rsidRDefault="008E6432" w:rsidP="008E6432">
      <w:pPr>
        <w:rPr>
          <w:rFonts w:ascii="Palatino Linotype" w:hAnsi="Palatino Linotype"/>
          <w:sz w:val="24"/>
          <w:szCs w:val="24"/>
          <w:lang w:eastAsia="en-US"/>
        </w:rPr>
      </w:pPr>
    </w:p>
    <w:p w14:paraId="3EE21080" w14:textId="5231D4B8" w:rsidR="008E6432" w:rsidRPr="008E2669" w:rsidRDefault="008E6432" w:rsidP="000F0A30">
      <w:pPr>
        <w:pStyle w:val="Prrafodelista"/>
        <w:numPr>
          <w:ilvl w:val="0"/>
          <w:numId w:val="3"/>
        </w:numPr>
        <w:spacing w:line="360" w:lineRule="auto"/>
        <w:ind w:left="0" w:firstLine="0"/>
        <w:jc w:val="both"/>
        <w:rPr>
          <w:rFonts w:ascii="Palatino Linotype" w:hAnsi="Palatino Linotype" w:cs="Arial"/>
          <w:sz w:val="24"/>
          <w:lang w:val="es-ES"/>
        </w:rPr>
      </w:pPr>
      <w:r w:rsidRPr="00C14B76">
        <w:rPr>
          <w:rFonts w:ascii="Palatino Linotype" w:eastAsia="Calibri" w:hAnsi="Palatino Linotype" w:cs="Arial"/>
          <w:sz w:val="24"/>
          <w:lang w:val="es-ES"/>
        </w:rPr>
        <w:t xml:space="preserve">El día </w:t>
      </w:r>
      <w:r w:rsidR="00A34D56">
        <w:rPr>
          <w:rFonts w:ascii="Palatino Linotype" w:eastAsia="Calibri" w:hAnsi="Palatino Linotype" w:cs="Arial"/>
          <w:sz w:val="24"/>
          <w:lang w:val="es-ES"/>
        </w:rPr>
        <w:t>dieciséis</w:t>
      </w:r>
      <w:r w:rsidR="00837CCF">
        <w:rPr>
          <w:rFonts w:ascii="Palatino Linotype" w:eastAsia="Calibri" w:hAnsi="Palatino Linotype" w:cs="Arial"/>
          <w:sz w:val="24"/>
          <w:lang w:val="es-ES"/>
        </w:rPr>
        <w:t xml:space="preserve"> </w:t>
      </w:r>
      <w:r w:rsidRPr="00C14B76">
        <w:rPr>
          <w:rFonts w:ascii="Palatino Linotype" w:eastAsia="Calibri" w:hAnsi="Palatino Linotype" w:cs="Arial"/>
          <w:sz w:val="24"/>
          <w:lang w:val="es-ES"/>
        </w:rPr>
        <w:t>(</w:t>
      </w:r>
      <w:r w:rsidR="00A34D56">
        <w:rPr>
          <w:rFonts w:ascii="Palatino Linotype" w:eastAsia="Calibri" w:hAnsi="Palatino Linotype" w:cs="Arial"/>
          <w:sz w:val="24"/>
          <w:lang w:val="es-ES"/>
        </w:rPr>
        <w:t>16</w:t>
      </w:r>
      <w:r w:rsidRPr="00C14B76">
        <w:rPr>
          <w:rFonts w:ascii="Palatino Linotype" w:eastAsia="Calibri" w:hAnsi="Palatino Linotype" w:cs="Arial"/>
          <w:sz w:val="24"/>
          <w:lang w:val="es-ES"/>
        </w:rPr>
        <w:t xml:space="preserve">) </w:t>
      </w:r>
      <w:r w:rsidRPr="00C14B76">
        <w:rPr>
          <w:rFonts w:ascii="Palatino Linotype" w:eastAsia="Calibri" w:hAnsi="Palatino Linotype"/>
          <w:sz w:val="24"/>
          <w:lang w:val="es-ES"/>
        </w:rPr>
        <w:t xml:space="preserve">de </w:t>
      </w:r>
      <w:r w:rsidR="00837CCF">
        <w:rPr>
          <w:rFonts w:ascii="Palatino Linotype" w:eastAsia="Calibri" w:hAnsi="Palatino Linotype"/>
          <w:sz w:val="24"/>
          <w:lang w:val="es-ES"/>
        </w:rPr>
        <w:t>ju</w:t>
      </w:r>
      <w:r w:rsidR="002670E1">
        <w:rPr>
          <w:rFonts w:ascii="Palatino Linotype" w:eastAsia="Calibri" w:hAnsi="Palatino Linotype"/>
          <w:sz w:val="24"/>
          <w:lang w:val="es-ES"/>
        </w:rPr>
        <w:t>nio</w:t>
      </w:r>
      <w:r w:rsidRPr="00C14B76">
        <w:rPr>
          <w:rFonts w:ascii="Palatino Linotype" w:eastAsia="Calibri" w:hAnsi="Palatino Linotype"/>
          <w:sz w:val="24"/>
          <w:lang w:val="es-ES"/>
        </w:rPr>
        <w:t xml:space="preserve"> de dos mil veintiuno</w:t>
      </w:r>
      <w:r w:rsidRPr="00C14B76">
        <w:rPr>
          <w:rFonts w:ascii="Palatino Linotype" w:eastAsia="Calibri" w:hAnsi="Palatino Linotype" w:cs="Arial"/>
          <w:sz w:val="24"/>
          <w:lang w:val="es-ES"/>
        </w:rPr>
        <w:t>,</w:t>
      </w:r>
      <w:r w:rsidRPr="00C14B76">
        <w:rPr>
          <w:rFonts w:ascii="Palatino Linotype" w:eastAsia="Calibri" w:hAnsi="Palatino Linotype"/>
          <w:sz w:val="24"/>
          <w:lang w:val="es-ES"/>
        </w:rPr>
        <w:t xml:space="preserve"> </w:t>
      </w:r>
      <w:r w:rsidRPr="00C14B76">
        <w:rPr>
          <w:rFonts w:ascii="Palatino Linotype" w:eastAsia="Calibri" w:hAnsi="Palatino Linotype"/>
          <w:b/>
          <w:sz w:val="24"/>
          <w:lang w:val="es-ES"/>
        </w:rPr>
        <w:t>EL RECURRENTE</w:t>
      </w:r>
      <w:r w:rsidRPr="00C14B76">
        <w:rPr>
          <w:rFonts w:ascii="Palatino Linotype" w:hAnsi="Palatino Linotype"/>
          <w:b/>
          <w:sz w:val="24"/>
        </w:rPr>
        <w:t>,</w:t>
      </w:r>
      <w:r w:rsidRPr="00C14B76">
        <w:rPr>
          <w:rFonts w:ascii="Palatino Linotype" w:eastAsia="Calibri" w:hAnsi="Palatino Linotype" w:cs="Arial"/>
          <w:sz w:val="24"/>
          <w:lang w:val="es-ES"/>
        </w:rPr>
        <w:t xml:space="preserve"> ante el </w:t>
      </w:r>
      <w:r w:rsidRPr="00C14B76">
        <w:rPr>
          <w:rFonts w:ascii="Palatino Linotype" w:eastAsia="Calibri" w:hAnsi="Palatino Linotype" w:cs="Arial"/>
          <w:b/>
          <w:sz w:val="24"/>
          <w:lang w:val="es-ES"/>
        </w:rPr>
        <w:t>SUJETO OBLIGADO</w:t>
      </w:r>
      <w:r w:rsidRPr="00C14B76">
        <w:rPr>
          <w:rFonts w:ascii="Palatino Linotype" w:eastAsia="Calibri" w:hAnsi="Palatino Linotype" w:cs="Arial"/>
          <w:sz w:val="24"/>
        </w:rPr>
        <w:t xml:space="preserve"> vía </w:t>
      </w:r>
      <w:r w:rsidRPr="00C14B76">
        <w:rPr>
          <w:rFonts w:ascii="Palatino Linotype" w:eastAsia="Calibri" w:hAnsi="Palatino Linotype" w:cs="Arial"/>
          <w:sz w:val="24"/>
          <w:lang w:val="es-ES"/>
        </w:rPr>
        <w:t>Sistema de Acceso a la Información Mexiquense (</w:t>
      </w:r>
      <w:r w:rsidRPr="00C14B76">
        <w:rPr>
          <w:rFonts w:ascii="Palatino Linotype" w:eastAsia="Calibri" w:hAnsi="Palatino Linotype" w:cs="Arial"/>
          <w:b/>
          <w:sz w:val="24"/>
          <w:lang w:val="es-ES"/>
        </w:rPr>
        <w:t>SAIMEX)</w:t>
      </w:r>
      <w:r w:rsidRPr="00C14B76">
        <w:rPr>
          <w:rFonts w:ascii="Palatino Linotype" w:eastAsia="Calibri" w:hAnsi="Palatino Linotype" w:cs="Arial"/>
          <w:sz w:val="24"/>
          <w:lang w:val="es-ES"/>
        </w:rPr>
        <w:t xml:space="preserve">, presentó la solicitud de información pública registrada con el número </w:t>
      </w:r>
      <w:r w:rsidRPr="00C14B76">
        <w:rPr>
          <w:rFonts w:ascii="Palatino Linotype" w:eastAsia="Calibri" w:hAnsi="Palatino Linotype" w:cs="Arial"/>
          <w:b/>
          <w:sz w:val="24"/>
          <w:lang w:val="es-ES"/>
        </w:rPr>
        <w:t>00</w:t>
      </w:r>
      <w:r w:rsidR="00A34D56">
        <w:rPr>
          <w:rFonts w:ascii="Palatino Linotype" w:eastAsia="Calibri" w:hAnsi="Palatino Linotype" w:cs="Arial"/>
          <w:b/>
          <w:sz w:val="24"/>
          <w:lang w:val="es-ES"/>
        </w:rPr>
        <w:t>160</w:t>
      </w:r>
      <w:r w:rsidRPr="00C14B76">
        <w:rPr>
          <w:rFonts w:ascii="Palatino Linotype" w:eastAsia="Calibri" w:hAnsi="Palatino Linotype" w:cs="Arial"/>
          <w:b/>
          <w:sz w:val="24"/>
          <w:lang w:val="es-ES"/>
        </w:rPr>
        <w:t>/</w:t>
      </w:r>
      <w:r w:rsidR="00A34D56">
        <w:rPr>
          <w:rFonts w:ascii="Palatino Linotype" w:eastAsia="Calibri" w:hAnsi="Palatino Linotype" w:cs="Arial"/>
          <w:b/>
          <w:sz w:val="24"/>
          <w:lang w:val="es-ES"/>
        </w:rPr>
        <w:t>CAMEM</w:t>
      </w:r>
      <w:r w:rsidRPr="00C14B76">
        <w:rPr>
          <w:rFonts w:ascii="Palatino Linotype" w:eastAsia="Calibri" w:hAnsi="Palatino Linotype" w:cs="Arial"/>
          <w:b/>
          <w:sz w:val="24"/>
          <w:lang w:val="es-ES"/>
        </w:rPr>
        <w:t xml:space="preserve">/IP/2021 </w:t>
      </w:r>
      <w:r w:rsidRPr="00C14B76">
        <w:rPr>
          <w:rFonts w:ascii="Palatino Linotype" w:eastAsia="Calibri" w:hAnsi="Palatino Linotype" w:cs="Arial"/>
          <w:sz w:val="24"/>
          <w:lang w:val="es-ES"/>
        </w:rPr>
        <w:t>mediante la cual solicitó lo siguiente:</w:t>
      </w:r>
    </w:p>
    <w:p w14:paraId="40437AE0" w14:textId="77777777" w:rsidR="008E2669" w:rsidRPr="00C14B76" w:rsidRDefault="008E2669" w:rsidP="008E2669">
      <w:pPr>
        <w:pStyle w:val="Prrafodelista"/>
        <w:spacing w:line="360" w:lineRule="auto"/>
        <w:ind w:left="0"/>
        <w:jc w:val="both"/>
        <w:rPr>
          <w:rFonts w:ascii="Palatino Linotype" w:hAnsi="Palatino Linotype" w:cs="Arial"/>
          <w:sz w:val="24"/>
          <w:lang w:val="es-ES"/>
        </w:rPr>
      </w:pPr>
    </w:p>
    <w:p w14:paraId="019FDFD6" w14:textId="04822CA5" w:rsidR="008E6432" w:rsidRPr="00C14B76" w:rsidRDefault="008E6432" w:rsidP="008E6432">
      <w:pPr>
        <w:ind w:left="567" w:right="567"/>
        <w:jc w:val="both"/>
        <w:rPr>
          <w:rFonts w:ascii="Palatino Linotype" w:eastAsia="Calibri" w:hAnsi="Palatino Linotype" w:cs="Arial"/>
          <w:i/>
          <w:sz w:val="24"/>
          <w:szCs w:val="24"/>
          <w:lang w:val="es-ES"/>
        </w:rPr>
      </w:pPr>
      <w:r w:rsidRPr="00C14B76">
        <w:rPr>
          <w:rFonts w:ascii="Palatino Linotype" w:eastAsia="Calibri" w:hAnsi="Palatino Linotype" w:cs="Arial"/>
          <w:i/>
          <w:sz w:val="24"/>
          <w:szCs w:val="24"/>
          <w:lang w:val="es-ES"/>
        </w:rPr>
        <w:t>“</w:t>
      </w:r>
      <w:r w:rsidR="00A34D56" w:rsidRPr="00A34D56">
        <w:rPr>
          <w:rFonts w:ascii="Palatino Linotype" w:eastAsia="Calibri" w:hAnsi="Palatino Linotype" w:cs="Arial"/>
          <w:i/>
          <w:sz w:val="24"/>
          <w:szCs w:val="24"/>
          <w:lang w:val="es-ES"/>
        </w:rPr>
        <w:t>Los convenios celebrados entre ese organismo con la Subdirección de Integración Familiar y sí fuera el caso, en qué actividades pueden participar los servidores públicos de la Comisión.</w:t>
      </w:r>
      <w:r w:rsidRPr="00C14B76">
        <w:rPr>
          <w:rFonts w:ascii="Palatino Linotype" w:eastAsia="Calibri" w:hAnsi="Palatino Linotype" w:cs="Arial"/>
          <w:i/>
          <w:sz w:val="24"/>
          <w:szCs w:val="24"/>
          <w:lang w:val="es-ES"/>
        </w:rPr>
        <w:t>” (Sic)</w:t>
      </w:r>
    </w:p>
    <w:p w14:paraId="6D5AC658" w14:textId="77777777" w:rsidR="008E6432" w:rsidRPr="00C14B76" w:rsidRDefault="008E6432" w:rsidP="008E6432">
      <w:pPr>
        <w:jc w:val="both"/>
        <w:rPr>
          <w:rFonts w:ascii="Palatino Linotype" w:eastAsia="Calibri" w:hAnsi="Palatino Linotype" w:cs="Arial"/>
          <w:i/>
          <w:sz w:val="24"/>
          <w:szCs w:val="24"/>
          <w:lang w:val="es-ES"/>
        </w:rPr>
      </w:pPr>
    </w:p>
    <w:p w14:paraId="4E780140" w14:textId="77777777" w:rsidR="008E6432" w:rsidRPr="00C14B76" w:rsidRDefault="008E6432" w:rsidP="008E6432">
      <w:pPr>
        <w:jc w:val="both"/>
        <w:rPr>
          <w:rFonts w:ascii="Palatino Linotype" w:eastAsia="Calibri" w:hAnsi="Palatino Linotype" w:cs="Arial"/>
          <w:i/>
          <w:sz w:val="24"/>
          <w:szCs w:val="24"/>
          <w:lang w:val="es-ES"/>
        </w:rPr>
      </w:pPr>
    </w:p>
    <w:p w14:paraId="6CD4CD30" w14:textId="092BC448" w:rsidR="008E6432" w:rsidRPr="00C14B76" w:rsidRDefault="008E6432" w:rsidP="000F0A30">
      <w:pPr>
        <w:pStyle w:val="Prrafodelista"/>
        <w:numPr>
          <w:ilvl w:val="0"/>
          <w:numId w:val="3"/>
        </w:numPr>
        <w:spacing w:line="360" w:lineRule="auto"/>
        <w:ind w:left="0" w:firstLine="0"/>
        <w:jc w:val="both"/>
        <w:rPr>
          <w:rFonts w:ascii="Palatino Linotype" w:hAnsi="Palatino Linotype" w:cs="Arial"/>
          <w:sz w:val="24"/>
          <w:lang w:val="es-ES"/>
        </w:rPr>
      </w:pPr>
      <w:r w:rsidRPr="00C14B76">
        <w:rPr>
          <w:rFonts w:ascii="Palatino Linotype" w:hAnsi="Palatino Linotype" w:cs="Arial"/>
          <w:sz w:val="24"/>
          <w:lang w:val="es-ES"/>
        </w:rPr>
        <w:t>Señaló como modalidad de entreg</w:t>
      </w:r>
      <w:r w:rsidR="008E2669">
        <w:rPr>
          <w:rFonts w:ascii="Palatino Linotype" w:hAnsi="Palatino Linotype" w:cs="Arial"/>
          <w:sz w:val="24"/>
          <w:lang w:val="es-ES"/>
        </w:rPr>
        <w:t xml:space="preserve">a de la información a través del </w:t>
      </w:r>
      <w:r w:rsidR="008E2669" w:rsidRPr="00A34D56">
        <w:rPr>
          <w:rFonts w:ascii="Palatino Linotype" w:hAnsi="Palatino Linotype" w:cs="Arial"/>
          <w:b/>
          <w:sz w:val="24"/>
          <w:lang w:val="es-ES"/>
        </w:rPr>
        <w:t>SAIMEX</w:t>
      </w:r>
    </w:p>
    <w:p w14:paraId="3AD09B94" w14:textId="77777777" w:rsidR="008E6432" w:rsidRPr="00C14B76" w:rsidRDefault="008E6432" w:rsidP="008E6432">
      <w:pPr>
        <w:pStyle w:val="Prrafodelista"/>
        <w:spacing w:line="360" w:lineRule="auto"/>
        <w:ind w:left="0"/>
        <w:jc w:val="both"/>
        <w:rPr>
          <w:rFonts w:ascii="Palatino Linotype" w:hAnsi="Palatino Linotype" w:cs="Arial"/>
          <w:sz w:val="24"/>
          <w:lang w:val="es-ES"/>
        </w:rPr>
      </w:pPr>
    </w:p>
    <w:p w14:paraId="6FED6164" w14:textId="36B712D7" w:rsidR="008E6432" w:rsidRPr="00C14B76" w:rsidRDefault="00A34D56" w:rsidP="000F0A30">
      <w:pPr>
        <w:pStyle w:val="Prrafodelista"/>
        <w:numPr>
          <w:ilvl w:val="0"/>
          <w:numId w:val="3"/>
        </w:numPr>
        <w:spacing w:before="240" w:after="240" w:line="360" w:lineRule="auto"/>
        <w:ind w:left="0" w:firstLine="0"/>
        <w:jc w:val="both"/>
        <w:rPr>
          <w:rFonts w:ascii="Palatino Linotype" w:hAnsi="Palatino Linotype"/>
          <w:i/>
          <w:color w:val="000000"/>
          <w:sz w:val="24"/>
        </w:rPr>
      </w:pPr>
      <w:r>
        <w:rPr>
          <w:rFonts w:ascii="Palatino Linotype" w:eastAsia="Calibri" w:hAnsi="Palatino Linotype"/>
          <w:sz w:val="24"/>
          <w:lang w:val="es-ES"/>
        </w:rPr>
        <w:lastRenderedPageBreak/>
        <w:t>El siete</w:t>
      </w:r>
      <w:r w:rsidR="008E6432" w:rsidRPr="00C14B76">
        <w:rPr>
          <w:rFonts w:ascii="Palatino Linotype" w:eastAsia="Calibri" w:hAnsi="Palatino Linotype"/>
          <w:sz w:val="24"/>
          <w:lang w:val="es-ES"/>
        </w:rPr>
        <w:t xml:space="preserve"> (</w:t>
      </w:r>
      <w:r>
        <w:rPr>
          <w:rFonts w:ascii="Palatino Linotype" w:eastAsia="Calibri" w:hAnsi="Palatino Linotype"/>
          <w:sz w:val="24"/>
          <w:lang w:val="es-ES"/>
        </w:rPr>
        <w:t>7</w:t>
      </w:r>
      <w:r w:rsidR="008E6432" w:rsidRPr="00C14B76">
        <w:rPr>
          <w:rFonts w:ascii="Palatino Linotype" w:eastAsia="Calibri" w:hAnsi="Palatino Linotype"/>
          <w:sz w:val="24"/>
          <w:lang w:val="es-ES"/>
        </w:rPr>
        <w:t xml:space="preserve">) de </w:t>
      </w:r>
      <w:r w:rsidR="008E2669">
        <w:rPr>
          <w:rFonts w:ascii="Palatino Linotype" w:eastAsia="Calibri" w:hAnsi="Palatino Linotype"/>
          <w:sz w:val="24"/>
          <w:lang w:val="es-ES"/>
        </w:rPr>
        <w:t>julio</w:t>
      </w:r>
      <w:r w:rsidR="008E6432" w:rsidRPr="00C14B76">
        <w:rPr>
          <w:rFonts w:ascii="Palatino Linotype" w:eastAsia="Calibri" w:hAnsi="Palatino Linotype"/>
          <w:sz w:val="24"/>
          <w:lang w:val="es-ES"/>
        </w:rPr>
        <w:t xml:space="preserve"> de dos mil veintiuno, el Sujeto Obligado dio respuesta a la solicitud en los siguientes términos:</w:t>
      </w:r>
    </w:p>
    <w:p w14:paraId="00BE375D" w14:textId="77777777" w:rsidR="008E6432" w:rsidRPr="00C14B76" w:rsidRDefault="008E6432" w:rsidP="008E6432">
      <w:pPr>
        <w:pStyle w:val="Prrafodelista"/>
        <w:rPr>
          <w:rFonts w:ascii="Palatino Linotype" w:eastAsia="Calibri" w:hAnsi="Palatino Linotype"/>
          <w:sz w:val="24"/>
          <w:lang w:val="es-ES"/>
        </w:rPr>
      </w:pPr>
    </w:p>
    <w:p w14:paraId="70AACB88" w14:textId="77777777" w:rsidR="00A34D56" w:rsidRPr="00A34D56" w:rsidRDefault="008E6432" w:rsidP="00A34D56">
      <w:pPr>
        <w:pStyle w:val="Prrafodelista"/>
        <w:spacing w:before="240" w:after="240" w:line="360" w:lineRule="auto"/>
        <w:ind w:left="567" w:right="567"/>
        <w:jc w:val="both"/>
        <w:rPr>
          <w:rFonts w:ascii="Palatino Linotype" w:hAnsi="Palatino Linotype"/>
          <w:i/>
          <w:color w:val="000000"/>
        </w:rPr>
      </w:pPr>
      <w:r w:rsidRPr="00C14B76">
        <w:rPr>
          <w:rFonts w:ascii="Palatino Linotype" w:hAnsi="Palatino Linotype"/>
          <w:i/>
          <w:color w:val="000000"/>
        </w:rPr>
        <w:t>“</w:t>
      </w:r>
      <w:r w:rsidR="00A34D56" w:rsidRPr="00A34D56">
        <w:rPr>
          <w:rFonts w:ascii="Palatino Linotype" w:hAnsi="Palatino Linotype"/>
          <w:i/>
          <w:color w:val="000000"/>
        </w:rPr>
        <w:t>Metepec, México a 07 de Julio de 2021</w:t>
      </w:r>
    </w:p>
    <w:p w14:paraId="634F1F55" w14:textId="77777777" w:rsidR="00A34D56" w:rsidRPr="00A34D56" w:rsidRDefault="00A34D56" w:rsidP="00A34D56">
      <w:pPr>
        <w:pStyle w:val="Prrafodelista"/>
        <w:spacing w:before="240" w:after="240" w:line="360" w:lineRule="auto"/>
        <w:ind w:left="567" w:right="567"/>
        <w:jc w:val="both"/>
        <w:rPr>
          <w:rFonts w:ascii="Palatino Linotype" w:hAnsi="Palatino Linotype"/>
          <w:i/>
          <w:color w:val="000000"/>
        </w:rPr>
      </w:pPr>
      <w:r w:rsidRPr="00A34D56">
        <w:rPr>
          <w:rFonts w:ascii="Palatino Linotype" w:hAnsi="Palatino Linotype"/>
          <w:i/>
          <w:color w:val="000000"/>
        </w:rPr>
        <w:t>Nombre del solicitante:</w:t>
      </w:r>
    </w:p>
    <w:p w14:paraId="6D71F4B1" w14:textId="77777777" w:rsidR="00A34D56" w:rsidRPr="00A34D56" w:rsidRDefault="00A34D56" w:rsidP="00A34D56">
      <w:pPr>
        <w:pStyle w:val="Prrafodelista"/>
        <w:spacing w:before="240" w:after="240" w:line="360" w:lineRule="auto"/>
        <w:ind w:left="567" w:right="567"/>
        <w:jc w:val="both"/>
        <w:rPr>
          <w:rFonts w:ascii="Palatino Linotype" w:hAnsi="Palatino Linotype"/>
          <w:i/>
          <w:color w:val="000000"/>
        </w:rPr>
      </w:pPr>
      <w:r w:rsidRPr="00A34D56">
        <w:rPr>
          <w:rFonts w:ascii="Palatino Linotype" w:hAnsi="Palatino Linotype"/>
          <w:i/>
          <w:color w:val="000000"/>
        </w:rPr>
        <w:t>Folio de la solicitud: 00160/CAMEM/IP/2021</w:t>
      </w:r>
    </w:p>
    <w:p w14:paraId="47C50AF5" w14:textId="77777777" w:rsidR="00A34D56" w:rsidRPr="00A34D56" w:rsidRDefault="00A34D56" w:rsidP="00A34D56">
      <w:pPr>
        <w:pStyle w:val="Prrafodelista"/>
        <w:spacing w:before="240" w:after="240" w:line="360" w:lineRule="auto"/>
        <w:ind w:left="567" w:right="567"/>
        <w:jc w:val="both"/>
        <w:rPr>
          <w:rFonts w:ascii="Palatino Linotype" w:hAnsi="Palatino Linotype"/>
          <w:i/>
          <w:color w:val="000000"/>
        </w:rPr>
      </w:pPr>
      <w:r w:rsidRPr="00A34D56">
        <w:rPr>
          <w:rFonts w:ascii="Palatino Linotype" w:hAnsi="Palatino Linotype"/>
          <w:i/>
          <w:color w:val="000000"/>
        </w:rPr>
        <w:t>En atención a la solicitud de información 00160/CAMEM/IP/2021 en el que solicita Los convenios celebrados entre ese organismo con la Subdirección de Integración Familiar y sí fuera el caso, en qué actividades pueden participar los servidores públicos de la Comisión, se le exhorta realice de manera más clara su solicitud.</w:t>
      </w:r>
    </w:p>
    <w:p w14:paraId="6D423F21" w14:textId="77777777" w:rsidR="00A34D56" w:rsidRPr="00A34D56" w:rsidRDefault="00A34D56" w:rsidP="00A34D56">
      <w:pPr>
        <w:pStyle w:val="Prrafodelista"/>
        <w:spacing w:before="240" w:after="240" w:line="360" w:lineRule="auto"/>
        <w:ind w:left="567" w:right="567"/>
        <w:jc w:val="both"/>
        <w:rPr>
          <w:rFonts w:ascii="Palatino Linotype" w:hAnsi="Palatino Linotype"/>
          <w:i/>
          <w:color w:val="000000"/>
        </w:rPr>
      </w:pPr>
      <w:r w:rsidRPr="00A34D56">
        <w:rPr>
          <w:rFonts w:ascii="Palatino Linotype" w:hAnsi="Palatino Linotype"/>
          <w:i/>
          <w:color w:val="000000"/>
        </w:rPr>
        <w:t>ATENTAMENTE</w:t>
      </w:r>
    </w:p>
    <w:p w14:paraId="722CE191" w14:textId="217CC4EF" w:rsidR="008E6432" w:rsidRPr="00C14B76" w:rsidRDefault="00A34D56" w:rsidP="00A34D56">
      <w:pPr>
        <w:pStyle w:val="Prrafodelista"/>
        <w:spacing w:before="240" w:after="240" w:line="360" w:lineRule="auto"/>
        <w:ind w:left="567" w:right="567"/>
        <w:jc w:val="both"/>
        <w:rPr>
          <w:rFonts w:ascii="Palatino Linotype" w:hAnsi="Palatino Linotype"/>
          <w:i/>
          <w:color w:val="000000"/>
        </w:rPr>
      </w:pPr>
      <w:r w:rsidRPr="00A34D56">
        <w:rPr>
          <w:rFonts w:ascii="Palatino Linotype" w:hAnsi="Palatino Linotype"/>
          <w:i/>
          <w:color w:val="000000"/>
        </w:rPr>
        <w:t>LCA EDUARDO GONZAGA PALMA</w:t>
      </w:r>
      <w:r w:rsidR="008E6432" w:rsidRPr="00C14B76">
        <w:rPr>
          <w:rFonts w:ascii="Palatino Linotype" w:hAnsi="Palatino Linotype"/>
          <w:i/>
          <w:color w:val="000000"/>
        </w:rPr>
        <w:t>” (sic)</w:t>
      </w:r>
    </w:p>
    <w:p w14:paraId="3ED664A9" w14:textId="77777777" w:rsidR="008E6432" w:rsidRPr="00C14B76" w:rsidRDefault="008E6432" w:rsidP="008E6432">
      <w:pPr>
        <w:pStyle w:val="Prrafodelista"/>
        <w:spacing w:before="240" w:after="240" w:line="360" w:lineRule="auto"/>
        <w:ind w:left="0"/>
        <w:jc w:val="both"/>
        <w:rPr>
          <w:rFonts w:ascii="Palatino Linotype" w:hAnsi="Palatino Linotype" w:cs="Arial"/>
          <w:i/>
          <w:sz w:val="24"/>
        </w:rPr>
      </w:pPr>
    </w:p>
    <w:p w14:paraId="41E075B2" w14:textId="6DB1D4FD" w:rsidR="008E6432" w:rsidRPr="00A34D56" w:rsidRDefault="008E6432" w:rsidP="000F0A30">
      <w:pPr>
        <w:pStyle w:val="Prrafodelista"/>
        <w:numPr>
          <w:ilvl w:val="0"/>
          <w:numId w:val="3"/>
        </w:numPr>
        <w:spacing w:before="240" w:after="240" w:line="360" w:lineRule="auto"/>
        <w:ind w:left="0" w:firstLine="0"/>
        <w:jc w:val="both"/>
        <w:rPr>
          <w:rFonts w:ascii="Palatino Linotype" w:hAnsi="Palatino Linotype" w:cs="Arial"/>
          <w:i/>
          <w:sz w:val="24"/>
        </w:rPr>
      </w:pPr>
      <w:r w:rsidRPr="00C14B76">
        <w:rPr>
          <w:rFonts w:ascii="Palatino Linotype" w:eastAsia="Calibri" w:hAnsi="Palatino Linotype" w:cs="Arial"/>
          <w:sz w:val="24"/>
          <w:lang w:val="es-AR"/>
        </w:rPr>
        <w:t xml:space="preserve">El </w:t>
      </w:r>
      <w:r w:rsidR="00A34D56">
        <w:rPr>
          <w:rFonts w:ascii="Palatino Linotype" w:eastAsia="Calibri" w:hAnsi="Palatino Linotype" w:cs="Arial"/>
          <w:sz w:val="24"/>
          <w:lang w:val="es-AR"/>
        </w:rPr>
        <w:t>dos</w:t>
      </w:r>
      <w:r w:rsidRPr="00C14B76">
        <w:rPr>
          <w:rFonts w:ascii="Palatino Linotype" w:eastAsia="Calibri" w:hAnsi="Palatino Linotype" w:cs="Arial"/>
          <w:sz w:val="24"/>
          <w:lang w:val="es-AR"/>
        </w:rPr>
        <w:t xml:space="preserve"> (</w:t>
      </w:r>
      <w:r w:rsidR="00A34D56">
        <w:rPr>
          <w:rFonts w:ascii="Palatino Linotype" w:eastAsia="Calibri" w:hAnsi="Palatino Linotype" w:cs="Arial"/>
          <w:sz w:val="24"/>
          <w:lang w:val="es-AR"/>
        </w:rPr>
        <w:t>2</w:t>
      </w:r>
      <w:r w:rsidRPr="00C14B76">
        <w:rPr>
          <w:rFonts w:ascii="Palatino Linotype" w:eastAsia="Calibri" w:hAnsi="Palatino Linotype" w:cs="Arial"/>
          <w:sz w:val="24"/>
          <w:lang w:val="es-AR"/>
        </w:rPr>
        <w:t xml:space="preserve">) de </w:t>
      </w:r>
      <w:r w:rsidR="00A34D56">
        <w:rPr>
          <w:rFonts w:ascii="Palatino Linotype" w:eastAsia="Calibri" w:hAnsi="Palatino Linotype" w:cs="Arial"/>
          <w:sz w:val="24"/>
          <w:lang w:val="es-AR"/>
        </w:rPr>
        <w:t>agosto</w:t>
      </w:r>
      <w:r w:rsidRPr="00C14B76">
        <w:rPr>
          <w:rFonts w:ascii="Palatino Linotype" w:eastAsia="Calibri" w:hAnsi="Palatino Linotype" w:cs="Arial"/>
          <w:sz w:val="24"/>
          <w:lang w:val="es-AR"/>
        </w:rPr>
        <w:t xml:space="preserve"> de</w:t>
      </w:r>
      <w:r w:rsidRPr="00C14B76">
        <w:rPr>
          <w:rFonts w:ascii="Palatino Linotype" w:hAnsi="Palatino Linotype" w:cs="Arial"/>
          <w:sz w:val="24"/>
          <w:lang w:val="es-ES"/>
        </w:rPr>
        <w:t xml:space="preserve"> dos mil veintiuno, </w:t>
      </w:r>
      <w:r w:rsidRPr="00C14B76">
        <w:rPr>
          <w:rFonts w:ascii="Palatino Linotype" w:hAnsi="Palatino Linotype"/>
          <w:b/>
          <w:sz w:val="24"/>
        </w:rPr>
        <w:t>EL RECURRENTE</w:t>
      </w:r>
      <w:r w:rsidRPr="00C14B76">
        <w:rPr>
          <w:rFonts w:ascii="Palatino Linotype" w:hAnsi="Palatino Linotype" w:cs="Arial"/>
          <w:sz w:val="24"/>
          <w:lang w:val="es-ES"/>
        </w:rPr>
        <w:t xml:space="preserve"> interpuso el recurso de revisión, en contra de la respuesta y, señaló como:</w:t>
      </w:r>
      <w:bookmarkStart w:id="1" w:name="_Toc472500652"/>
      <w:bookmarkStart w:id="2" w:name="_Toc472427085"/>
      <w:bookmarkStart w:id="3" w:name="_Toc462307683"/>
    </w:p>
    <w:p w14:paraId="5A44E4F8" w14:textId="77777777" w:rsidR="00A34D56" w:rsidRPr="00C14B76" w:rsidRDefault="00A34D56" w:rsidP="00A34D56">
      <w:pPr>
        <w:pStyle w:val="Prrafodelista"/>
        <w:spacing w:before="240" w:after="240" w:line="360" w:lineRule="auto"/>
        <w:ind w:left="0"/>
        <w:jc w:val="both"/>
        <w:rPr>
          <w:rFonts w:ascii="Palatino Linotype" w:hAnsi="Palatino Linotype" w:cs="Arial"/>
          <w:i/>
          <w:sz w:val="24"/>
        </w:rPr>
      </w:pPr>
    </w:p>
    <w:p w14:paraId="0FEB9DD3" w14:textId="7F59F684" w:rsidR="008E6432" w:rsidRPr="00C14B76" w:rsidRDefault="008E6432" w:rsidP="00BF49B3">
      <w:pPr>
        <w:pStyle w:val="Prrafodelista"/>
        <w:spacing w:line="360" w:lineRule="auto"/>
        <w:ind w:left="567"/>
        <w:jc w:val="both"/>
        <w:rPr>
          <w:rFonts w:ascii="Palatino Linotype" w:eastAsia="Calibri" w:hAnsi="Palatino Linotype" w:cs="Arial"/>
          <w:sz w:val="24"/>
          <w:lang w:val="es-ES"/>
        </w:rPr>
      </w:pPr>
      <w:r w:rsidRPr="00C14B76">
        <w:rPr>
          <w:rFonts w:ascii="Palatino Linotype" w:hAnsi="Palatino Linotype"/>
          <w:b/>
          <w:sz w:val="24"/>
        </w:rPr>
        <w:t>Acto impugnado:</w:t>
      </w:r>
      <w:r w:rsidRPr="00C14B76">
        <w:rPr>
          <w:rStyle w:val="Ttulo2Car"/>
          <w:rFonts w:ascii="Palatino Linotype" w:hAnsi="Palatino Linotype"/>
          <w:b/>
          <w:i/>
          <w:sz w:val="24"/>
          <w:szCs w:val="24"/>
          <w:lang w:val="es-ES"/>
        </w:rPr>
        <w:t xml:space="preserve"> </w:t>
      </w:r>
      <w:r w:rsidRPr="00C14B76">
        <w:rPr>
          <w:rFonts w:ascii="Palatino Linotype" w:hAnsi="Palatino Linotype"/>
        </w:rPr>
        <w:t>“</w:t>
      </w:r>
      <w:r w:rsidR="00A34D56" w:rsidRPr="00A34D56">
        <w:rPr>
          <w:rFonts w:ascii="Palatino Linotype" w:hAnsi="Palatino Linotype"/>
          <w:i/>
        </w:rPr>
        <w:t xml:space="preserve">NO DIO RESPUESTA. </w:t>
      </w:r>
      <w:r w:rsidRPr="00C14B76">
        <w:rPr>
          <w:rFonts w:ascii="Palatino Linotype" w:hAnsi="Palatino Linotype"/>
        </w:rPr>
        <w:t>"</w:t>
      </w:r>
      <w:r w:rsidRPr="00C14B76">
        <w:rPr>
          <w:rFonts w:ascii="Palatino Linotype" w:eastAsia="Calibri" w:hAnsi="Palatino Linotype" w:cs="Arial"/>
          <w:lang w:val="es-ES"/>
        </w:rPr>
        <w:t xml:space="preserve"> (Sic); y</w:t>
      </w:r>
    </w:p>
    <w:p w14:paraId="5D12628B" w14:textId="1AA5A296" w:rsidR="008E6432" w:rsidRPr="00C14B76" w:rsidRDefault="008E6432" w:rsidP="00BF49B3">
      <w:pPr>
        <w:spacing w:line="360" w:lineRule="auto"/>
        <w:ind w:left="567"/>
        <w:jc w:val="both"/>
        <w:rPr>
          <w:rFonts w:ascii="Palatino Linotype" w:hAnsi="Palatino Linotype" w:cs="Arial"/>
          <w:sz w:val="24"/>
          <w:szCs w:val="24"/>
        </w:rPr>
      </w:pPr>
      <w:r w:rsidRPr="00C14B76">
        <w:rPr>
          <w:rFonts w:ascii="Palatino Linotype" w:hAnsi="Palatino Linotype"/>
          <w:b/>
          <w:sz w:val="24"/>
          <w:szCs w:val="24"/>
        </w:rPr>
        <w:t>Razones o Motivos de inconformidad:</w:t>
      </w:r>
      <w:r w:rsidRPr="00C14B76">
        <w:rPr>
          <w:rStyle w:val="Ttulo2Car"/>
          <w:rFonts w:ascii="Palatino Linotype" w:hAnsi="Palatino Linotype"/>
          <w:b/>
          <w:sz w:val="24"/>
          <w:szCs w:val="24"/>
          <w:lang w:val="es-ES"/>
        </w:rPr>
        <w:t xml:space="preserve"> </w:t>
      </w:r>
      <w:r w:rsidRPr="00C14B76">
        <w:rPr>
          <w:rFonts w:ascii="Palatino Linotype" w:hAnsi="Palatino Linotype"/>
          <w:i/>
          <w:sz w:val="22"/>
          <w:szCs w:val="24"/>
        </w:rPr>
        <w:t>“</w:t>
      </w:r>
      <w:r w:rsidR="00A34D56" w:rsidRPr="00A34D56">
        <w:rPr>
          <w:rFonts w:ascii="Palatino Linotype" w:hAnsi="Palatino Linotype"/>
          <w:i/>
          <w:sz w:val="22"/>
          <w:szCs w:val="24"/>
          <w:lang w:eastAsia="es-MX"/>
        </w:rPr>
        <w:t>NO DIO RESPUESTA, ES OFENSIVO EN SU JUSTIFICACIÓN, PIDO RESPETO.</w:t>
      </w:r>
      <w:r w:rsidRPr="00C14B76">
        <w:rPr>
          <w:rFonts w:ascii="Palatino Linotype" w:hAnsi="Palatino Linotype"/>
          <w:i/>
          <w:sz w:val="24"/>
          <w:szCs w:val="24"/>
        </w:rPr>
        <w:t xml:space="preserve">” </w:t>
      </w:r>
      <w:r w:rsidRPr="00C14B76">
        <w:rPr>
          <w:rFonts w:ascii="Palatino Linotype" w:hAnsi="Palatino Linotype" w:cs="Arial"/>
          <w:i/>
          <w:sz w:val="24"/>
          <w:szCs w:val="24"/>
        </w:rPr>
        <w:t>(Sic)</w:t>
      </w:r>
      <w:r w:rsidRPr="00C14B76">
        <w:rPr>
          <w:rFonts w:ascii="Palatino Linotype" w:hAnsi="Palatino Linotype" w:cs="Arial"/>
          <w:sz w:val="24"/>
          <w:szCs w:val="24"/>
        </w:rPr>
        <w:t xml:space="preserve"> </w:t>
      </w:r>
    </w:p>
    <w:p w14:paraId="255B65DC" w14:textId="77777777" w:rsidR="008E6432" w:rsidRPr="00C14B76" w:rsidRDefault="008E6432" w:rsidP="008E6432">
      <w:pPr>
        <w:jc w:val="both"/>
        <w:rPr>
          <w:rFonts w:ascii="Palatino Linotype" w:hAnsi="Palatino Linotype"/>
          <w:b/>
          <w:sz w:val="24"/>
          <w:szCs w:val="24"/>
        </w:rPr>
      </w:pPr>
    </w:p>
    <w:bookmarkEnd w:id="1"/>
    <w:bookmarkEnd w:id="2"/>
    <w:bookmarkEnd w:id="3"/>
    <w:p w14:paraId="63AD8948" w14:textId="54E487FD" w:rsidR="008E6432" w:rsidRPr="00C14B76" w:rsidRDefault="008E6432" w:rsidP="000F0A30">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C14B76">
        <w:rPr>
          <w:rFonts w:ascii="Palatino Linotype" w:hAnsi="Palatino Linotype" w:cs="Arial"/>
          <w:sz w:val="24"/>
          <w:lang w:val="es-ES"/>
        </w:rPr>
        <w:t xml:space="preserve">Se registró el recurso de revisión bajo el número de expediente </w:t>
      </w:r>
      <w:r w:rsidRPr="00C14B76">
        <w:rPr>
          <w:rFonts w:ascii="Palatino Linotype" w:hAnsi="Palatino Linotype" w:cs="Arial"/>
          <w:bCs/>
          <w:sz w:val="24"/>
        </w:rPr>
        <w:t xml:space="preserve">al rubro indicado, asimismo con fundamento en lo dispuesto por el </w:t>
      </w:r>
      <w:r w:rsidRPr="00C14B76">
        <w:rPr>
          <w:rFonts w:ascii="Palatino Linotype" w:eastAsia="Calibri" w:hAnsi="Palatino Linotype" w:cs="Arial"/>
          <w:sz w:val="24"/>
          <w:lang w:val="es-ES"/>
        </w:rPr>
        <w:t xml:space="preserve">artículo 185 fracción I de la </w:t>
      </w:r>
      <w:r w:rsidRPr="00C14B76">
        <w:rPr>
          <w:rFonts w:ascii="Palatino Linotype" w:eastAsia="Calibri" w:hAnsi="Palatino Linotype" w:cs="Arial"/>
          <w:b/>
          <w:sz w:val="24"/>
          <w:lang w:val="es-ES"/>
        </w:rPr>
        <w:t xml:space="preserve">Ley de Transparencia y Acceso a la Información Pública del Estado de México y </w:t>
      </w:r>
      <w:r w:rsidRPr="00C14B76">
        <w:rPr>
          <w:rFonts w:ascii="Palatino Linotype" w:eastAsia="Calibri" w:hAnsi="Palatino Linotype" w:cs="Arial"/>
          <w:b/>
          <w:sz w:val="24"/>
          <w:lang w:val="es-ES"/>
        </w:rPr>
        <w:lastRenderedPageBreak/>
        <w:t xml:space="preserve">Municipios </w:t>
      </w:r>
      <w:r w:rsidRPr="00C14B76">
        <w:rPr>
          <w:rFonts w:ascii="Palatino Linotype" w:hAnsi="Palatino Linotype" w:cs="Arial"/>
          <w:sz w:val="24"/>
          <w:lang w:val="es-ES"/>
        </w:rPr>
        <w:t xml:space="preserve">se turnó al </w:t>
      </w:r>
      <w:r w:rsidR="006A5C59">
        <w:rPr>
          <w:rFonts w:ascii="Palatino Linotype" w:hAnsi="Palatino Linotype" w:cs="Arial"/>
          <w:sz w:val="24"/>
          <w:lang w:val="es-ES"/>
        </w:rPr>
        <w:t xml:space="preserve">entonces </w:t>
      </w:r>
      <w:r w:rsidRPr="00C14B76">
        <w:rPr>
          <w:rFonts w:ascii="Palatino Linotype" w:hAnsi="Palatino Linotype" w:cs="Arial"/>
          <w:b/>
          <w:sz w:val="24"/>
          <w:lang w:val="es-ES"/>
        </w:rPr>
        <w:t>Comisionado J</w:t>
      </w:r>
      <w:r w:rsidR="006A5C59">
        <w:rPr>
          <w:rFonts w:ascii="Palatino Linotype" w:hAnsi="Palatino Linotype" w:cs="Arial"/>
          <w:b/>
          <w:sz w:val="24"/>
          <w:lang w:val="es-ES"/>
        </w:rPr>
        <w:t>avier Martínez Cruz</w:t>
      </w:r>
      <w:r w:rsidRPr="00C14B76">
        <w:rPr>
          <w:rFonts w:ascii="Palatino Linotype" w:hAnsi="Palatino Linotype" w:cs="Arial"/>
          <w:b/>
          <w:sz w:val="24"/>
          <w:lang w:val="es-ES"/>
        </w:rPr>
        <w:t xml:space="preserve">, </w:t>
      </w:r>
      <w:r w:rsidRPr="00C14B76">
        <w:rPr>
          <w:rFonts w:ascii="Palatino Linotype" w:hAnsi="Palatino Linotype" w:cs="Arial"/>
          <w:sz w:val="24"/>
          <w:lang w:val="es-ES"/>
        </w:rPr>
        <w:t xml:space="preserve">con el objeto de </w:t>
      </w:r>
      <w:r w:rsidRPr="00C14B76">
        <w:rPr>
          <w:rFonts w:ascii="Palatino Linotype" w:hAnsi="Palatino Linotype" w:cs="Arial"/>
          <w:sz w:val="24"/>
        </w:rPr>
        <w:t xml:space="preserve">su análisis. </w:t>
      </w:r>
    </w:p>
    <w:p w14:paraId="13786A92" w14:textId="77777777" w:rsidR="008E6432" w:rsidRPr="00C14B76" w:rsidRDefault="008E6432" w:rsidP="008E6432">
      <w:pPr>
        <w:pStyle w:val="Prrafodelista"/>
        <w:spacing w:before="240" w:after="240" w:line="360" w:lineRule="auto"/>
        <w:ind w:left="0"/>
        <w:jc w:val="both"/>
        <w:rPr>
          <w:rFonts w:ascii="Palatino Linotype" w:eastAsia="Calibri" w:hAnsi="Palatino Linotype" w:cs="Arial"/>
          <w:sz w:val="24"/>
          <w:lang w:val="es-AR"/>
        </w:rPr>
      </w:pPr>
    </w:p>
    <w:p w14:paraId="0D9D2D99" w14:textId="5750480A" w:rsidR="008E6432" w:rsidRPr="00C14B76" w:rsidRDefault="008E6432" w:rsidP="000F0A30">
      <w:pPr>
        <w:pStyle w:val="Prrafodelista"/>
        <w:numPr>
          <w:ilvl w:val="0"/>
          <w:numId w:val="3"/>
        </w:numPr>
        <w:spacing w:before="240" w:after="240" w:line="360" w:lineRule="auto"/>
        <w:ind w:left="0" w:firstLine="0"/>
        <w:jc w:val="both"/>
        <w:rPr>
          <w:rFonts w:ascii="Palatino Linotype" w:hAnsi="Palatino Linotype"/>
          <w:i/>
          <w:color w:val="000000"/>
          <w:sz w:val="24"/>
        </w:rPr>
      </w:pPr>
      <w:r w:rsidRPr="00C14B76">
        <w:rPr>
          <w:rFonts w:ascii="Palatino Linotype" w:eastAsia="Calibri" w:hAnsi="Palatino Linotype" w:cs="Arial"/>
          <w:sz w:val="24"/>
          <w:lang w:val="es-ES"/>
        </w:rPr>
        <w:t xml:space="preserve">El Comisionado Ponente con fundamento en lo dispuesto por el artículo 185 fracción II de la ley de la materia, a través del acuerdo de admisión de </w:t>
      </w:r>
      <w:r w:rsidR="00B04CD6" w:rsidRPr="00C14B76">
        <w:rPr>
          <w:rFonts w:ascii="Palatino Linotype" w:eastAsia="Calibri" w:hAnsi="Palatino Linotype" w:cs="Arial"/>
          <w:sz w:val="24"/>
          <w:lang w:val="es-ES"/>
        </w:rPr>
        <w:t xml:space="preserve">fecha </w:t>
      </w:r>
      <w:r w:rsidR="00A34D56">
        <w:rPr>
          <w:rFonts w:ascii="Palatino Linotype" w:eastAsia="Calibri" w:hAnsi="Palatino Linotype" w:cs="Arial"/>
          <w:sz w:val="24"/>
          <w:lang w:val="es-ES"/>
        </w:rPr>
        <w:t>cinco</w:t>
      </w:r>
      <w:r w:rsidRPr="00C14B76">
        <w:rPr>
          <w:rFonts w:ascii="Palatino Linotype" w:eastAsia="Calibri" w:hAnsi="Palatino Linotype" w:cs="Arial"/>
          <w:sz w:val="24"/>
          <w:lang w:val="es-ES"/>
        </w:rPr>
        <w:t xml:space="preserve"> (</w:t>
      </w:r>
      <w:r w:rsidR="006A5C59">
        <w:rPr>
          <w:rFonts w:ascii="Palatino Linotype" w:eastAsia="Calibri" w:hAnsi="Palatino Linotype" w:cs="Arial"/>
          <w:sz w:val="24"/>
          <w:lang w:val="es-ES"/>
        </w:rPr>
        <w:t>5</w:t>
      </w:r>
      <w:r w:rsidRPr="00C14B76">
        <w:rPr>
          <w:rFonts w:ascii="Palatino Linotype" w:eastAsia="Calibri" w:hAnsi="Palatino Linotype" w:cs="Arial"/>
          <w:sz w:val="24"/>
          <w:lang w:val="es-ES"/>
        </w:rPr>
        <w:t xml:space="preserve">) de </w:t>
      </w:r>
      <w:r w:rsidR="00A34D56">
        <w:rPr>
          <w:rFonts w:ascii="Palatino Linotype" w:eastAsia="Calibri" w:hAnsi="Palatino Linotype" w:cs="Arial"/>
          <w:sz w:val="24"/>
          <w:lang w:val="es-ES"/>
        </w:rPr>
        <w:t>agosto</w:t>
      </w:r>
      <w:r w:rsidRPr="00C14B76">
        <w:rPr>
          <w:rFonts w:ascii="Palatino Linotype" w:eastAsia="Calibri" w:hAnsi="Palatino Linotype" w:cs="Arial"/>
          <w:sz w:val="24"/>
          <w:lang w:val="es-ES"/>
        </w:rPr>
        <w:t xml:space="preserve"> de dos mil veintiuno, puso a disposición de las partes el expediente electrónico </w:t>
      </w:r>
      <w:r w:rsidRPr="00C14B76">
        <w:rPr>
          <w:rFonts w:ascii="Palatino Linotype" w:eastAsia="Calibri" w:hAnsi="Palatino Linotype" w:cs="Arial"/>
          <w:sz w:val="24"/>
        </w:rPr>
        <w:t xml:space="preserve">vía </w:t>
      </w:r>
      <w:r w:rsidRPr="00C14B76">
        <w:rPr>
          <w:rFonts w:ascii="Palatino Linotype" w:eastAsia="Calibri" w:hAnsi="Palatino Linotype" w:cs="Arial"/>
          <w:b/>
          <w:sz w:val="24"/>
          <w:lang w:val="es-ES"/>
        </w:rPr>
        <w:t xml:space="preserve">SAIMEX </w:t>
      </w:r>
      <w:r w:rsidRPr="00C14B76">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Pr="00C14B76">
        <w:rPr>
          <w:rFonts w:ascii="Palatino Linotype" w:eastAsia="Calibri" w:hAnsi="Palatino Linotype" w:cs="Arial"/>
          <w:b/>
          <w:sz w:val="24"/>
          <w:lang w:val="es-ES"/>
        </w:rPr>
        <w:t>SUJETO OBLIGADO</w:t>
      </w:r>
      <w:r w:rsidRPr="00C14B76">
        <w:rPr>
          <w:rFonts w:ascii="Palatino Linotype" w:eastAsia="Calibri" w:hAnsi="Palatino Linotype" w:cs="Arial"/>
          <w:sz w:val="24"/>
          <w:lang w:val="es-ES"/>
        </w:rPr>
        <w:t xml:space="preserve"> presentara el informe justificado procedente.</w:t>
      </w:r>
    </w:p>
    <w:p w14:paraId="61EAEFCA" w14:textId="77777777" w:rsidR="008E6432" w:rsidRPr="00C14B76" w:rsidRDefault="008E6432" w:rsidP="008E6432">
      <w:pPr>
        <w:pStyle w:val="Prrafodelista"/>
        <w:rPr>
          <w:rFonts w:ascii="Palatino Linotype" w:hAnsi="Palatino Linotype"/>
          <w:i/>
          <w:color w:val="000000"/>
          <w:sz w:val="24"/>
        </w:rPr>
      </w:pPr>
    </w:p>
    <w:p w14:paraId="7D559ED7" w14:textId="77777777" w:rsidR="006A5C59" w:rsidRPr="00A34D56" w:rsidRDefault="006A5C59" w:rsidP="006A5C59">
      <w:pPr>
        <w:pStyle w:val="Prrafodelista"/>
        <w:numPr>
          <w:ilvl w:val="0"/>
          <w:numId w:val="3"/>
        </w:numPr>
        <w:spacing w:before="240" w:after="240" w:line="360" w:lineRule="auto"/>
        <w:ind w:left="0" w:firstLine="0"/>
        <w:jc w:val="both"/>
        <w:rPr>
          <w:rFonts w:ascii="Palatino Linotype" w:hAnsi="Palatino Linotype"/>
          <w:iCs/>
          <w:color w:val="000000"/>
          <w:sz w:val="28"/>
        </w:rPr>
      </w:pPr>
      <w:r w:rsidRPr="00A34D56">
        <w:rPr>
          <w:rFonts w:ascii="Palatino Linotype" w:eastAsia="Calibri" w:hAnsi="Palatino Linotype" w:cs="Arial"/>
          <w:sz w:val="24"/>
          <w:lang w:val="es-ES"/>
        </w:rPr>
        <w:t>De las constancias que obran en el expediente electrónico del SAIMEX, se aprecia que, tanto el recurrente como el Sujeto Obligado fueron omisos en presentar manifestación alguna. Se inserta imagen de referencia:</w:t>
      </w:r>
    </w:p>
    <w:p w14:paraId="58BB9F81" w14:textId="77777777" w:rsidR="006A5C59" w:rsidRPr="002152A6" w:rsidRDefault="006A5C59" w:rsidP="006A5C59">
      <w:pPr>
        <w:pStyle w:val="Prrafodelista"/>
        <w:rPr>
          <w:rFonts w:ascii="Palatino Linotype" w:eastAsia="Calibri" w:hAnsi="Palatino Linotype" w:cs="Arial"/>
          <w:lang w:val="es-ES"/>
        </w:rPr>
      </w:pPr>
    </w:p>
    <w:p w14:paraId="30E30C61" w14:textId="728EC3DA" w:rsidR="006A5C59" w:rsidRPr="004603D0" w:rsidRDefault="00A34D56" w:rsidP="006A5C59">
      <w:pPr>
        <w:jc w:val="both"/>
        <w:rPr>
          <w:lang w:eastAsia="es-MX"/>
        </w:rPr>
      </w:pPr>
      <w:r>
        <w:rPr>
          <w:noProof/>
          <w:lang w:eastAsia="es-MX"/>
        </w:rPr>
        <w:drawing>
          <wp:inline distT="0" distB="0" distL="0" distR="0" wp14:anchorId="69FC8385" wp14:editId="0330322D">
            <wp:extent cx="5762445" cy="174917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310" t="47802" r="8072" b="5992"/>
                    <a:stretch/>
                  </pic:blipFill>
                  <pic:spPr bwMode="auto">
                    <a:xfrm>
                      <a:off x="0" y="0"/>
                      <a:ext cx="5796131" cy="1759395"/>
                    </a:xfrm>
                    <a:prstGeom prst="rect">
                      <a:avLst/>
                    </a:prstGeom>
                    <a:ln>
                      <a:noFill/>
                    </a:ln>
                    <a:extLst>
                      <a:ext uri="{53640926-AAD7-44D8-BBD7-CCE9431645EC}">
                        <a14:shadowObscured xmlns:a14="http://schemas.microsoft.com/office/drawing/2010/main"/>
                      </a:ext>
                    </a:extLst>
                  </pic:spPr>
                </pic:pic>
              </a:graphicData>
            </a:graphic>
          </wp:inline>
        </w:drawing>
      </w:r>
      <w:r w:rsidR="006A5C59">
        <w:rPr>
          <w:noProof/>
          <w:lang w:eastAsia="es-MX"/>
        </w:rPr>
        <w:t xml:space="preserve"> </w:t>
      </w:r>
    </w:p>
    <w:p w14:paraId="115EAA07" w14:textId="77777777" w:rsidR="006A5C59" w:rsidRPr="002152A6" w:rsidRDefault="006A5C59" w:rsidP="006A5C59">
      <w:pPr>
        <w:pStyle w:val="Prrafodelista"/>
        <w:spacing w:line="360" w:lineRule="auto"/>
        <w:ind w:left="0"/>
        <w:jc w:val="both"/>
        <w:rPr>
          <w:rFonts w:ascii="Palatino Linotype" w:eastAsia="Calibri" w:hAnsi="Palatino Linotype" w:cs="Arial"/>
          <w:lang w:val="es-ES"/>
        </w:rPr>
      </w:pPr>
    </w:p>
    <w:p w14:paraId="77AD7846" w14:textId="77777777" w:rsidR="006A5C59" w:rsidRPr="00A34D56" w:rsidRDefault="006A5C59" w:rsidP="006A5C59">
      <w:pPr>
        <w:pStyle w:val="Prrafodelista"/>
        <w:numPr>
          <w:ilvl w:val="0"/>
          <w:numId w:val="2"/>
        </w:numPr>
        <w:spacing w:line="360" w:lineRule="auto"/>
        <w:ind w:left="0" w:firstLine="0"/>
        <w:jc w:val="both"/>
        <w:rPr>
          <w:rFonts w:ascii="Palatino Linotype" w:hAnsi="Palatino Linotype" w:cs="Arial"/>
          <w:sz w:val="24"/>
        </w:rPr>
      </w:pPr>
      <w:r w:rsidRPr="00A34D56">
        <w:rPr>
          <w:rFonts w:ascii="Palatino Linotype" w:hAnsi="Palatino Linotype" w:cs="Arial"/>
          <w:color w:val="222222"/>
          <w:sz w:val="24"/>
        </w:rPr>
        <w:t xml:space="preserve">Ante la omisión de rendir informe justificado, se tiene que dejó de justificar las razones o motivos que lo llevaron a no emitir la respuesta que ahora se impugna, </w:t>
      </w:r>
      <w:r w:rsidRPr="00A34D56">
        <w:rPr>
          <w:rFonts w:ascii="Palatino Linotype" w:hAnsi="Palatino Linotype" w:cs="Arial"/>
          <w:color w:val="222222"/>
          <w:sz w:val="24"/>
        </w:rPr>
        <w:lastRenderedPageBreak/>
        <w:t>generando con esta omisión el perjuicio en su contra ya que impide que esta Autoridad conozca y resuelva el presente recurso con mayor cautela si consideramos lo que al respecto ha señalado la autoridad jurisdiccional al emitir el siguiente criterio:</w:t>
      </w:r>
    </w:p>
    <w:p w14:paraId="54EC1C4D" w14:textId="77777777" w:rsidR="006A5C59" w:rsidRPr="002152A6" w:rsidRDefault="006A5C59" w:rsidP="006A5C59">
      <w:pPr>
        <w:pStyle w:val="Prrafodelista"/>
        <w:spacing w:line="360" w:lineRule="auto"/>
        <w:ind w:left="0"/>
        <w:jc w:val="both"/>
        <w:rPr>
          <w:rFonts w:ascii="Palatino Linotype" w:hAnsi="Palatino Linotype" w:cs="Arial"/>
        </w:rPr>
      </w:pPr>
    </w:p>
    <w:p w14:paraId="01068E04" w14:textId="77777777" w:rsidR="006A5C59" w:rsidRPr="002152A6" w:rsidRDefault="006A5C59" w:rsidP="006A5C59">
      <w:pPr>
        <w:pStyle w:val="m1609377113336227858gmail-msonormal"/>
        <w:shd w:val="clear" w:color="auto" w:fill="FFFFFF"/>
        <w:spacing w:before="0" w:beforeAutospacing="0" w:after="0" w:afterAutospacing="0" w:line="360" w:lineRule="auto"/>
        <w:ind w:left="567" w:right="567"/>
        <w:jc w:val="both"/>
        <w:rPr>
          <w:rFonts w:ascii="Palatino Linotype" w:hAnsi="Palatino Linotype" w:cs="Arial"/>
          <w:i/>
          <w:iCs/>
          <w:color w:val="222222"/>
          <w:lang w:val="es-ES_tradnl"/>
        </w:rPr>
      </w:pPr>
      <w:r w:rsidRPr="002152A6">
        <w:rPr>
          <w:rFonts w:ascii="Palatino Linotype" w:hAnsi="Palatino Linotype" w:cs="Arial"/>
          <w:b/>
          <w:bCs/>
          <w:i/>
          <w:iCs/>
          <w:color w:val="222222"/>
          <w:sz w:val="22"/>
          <w:lang w:val="es-ES_tradnl"/>
        </w:rPr>
        <w:t>QUEJA, RECURSO DE. LA OMISION DE RENDIR EL INFORME RESPECTIVO NO IMPIDE QUE SE RESUELV</w:t>
      </w:r>
      <w:r w:rsidRPr="002152A6">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sidRPr="002152A6">
        <w:rPr>
          <w:rFonts w:ascii="Palatino Linotype" w:hAnsi="Palatino Linotype" w:cs="Arial"/>
          <w:i/>
          <w:iCs/>
          <w:color w:val="222222"/>
          <w:lang w:val="es-ES_tradnl"/>
        </w:rPr>
        <w:t xml:space="preserve">  </w:t>
      </w:r>
    </w:p>
    <w:p w14:paraId="7382F356" w14:textId="77777777" w:rsidR="006A5C59" w:rsidRPr="002152A6" w:rsidRDefault="006A5C59" w:rsidP="006A5C59">
      <w:pPr>
        <w:pStyle w:val="m1609377113336227858gmail-msonormal"/>
        <w:shd w:val="clear" w:color="auto" w:fill="FFFFFF"/>
        <w:spacing w:before="0" w:beforeAutospacing="0" w:after="0" w:afterAutospacing="0" w:line="360" w:lineRule="auto"/>
        <w:ind w:right="567"/>
        <w:jc w:val="both"/>
        <w:rPr>
          <w:rFonts w:ascii="Palatino Linotype" w:hAnsi="Palatino Linotype" w:cs="Arial"/>
          <w:color w:val="222222"/>
          <w:sz w:val="19"/>
          <w:szCs w:val="19"/>
        </w:rPr>
      </w:pPr>
    </w:p>
    <w:p w14:paraId="01BE19D1" w14:textId="77777777" w:rsidR="006A5C59" w:rsidRPr="00A34D56" w:rsidRDefault="006A5C59" w:rsidP="006A5C59">
      <w:pPr>
        <w:pStyle w:val="Prrafodelista"/>
        <w:numPr>
          <w:ilvl w:val="0"/>
          <w:numId w:val="2"/>
        </w:numPr>
        <w:spacing w:line="360" w:lineRule="auto"/>
        <w:ind w:left="0" w:firstLine="0"/>
        <w:jc w:val="both"/>
        <w:rPr>
          <w:rFonts w:ascii="Palatino Linotype" w:hAnsi="Palatino Linotype" w:cs="Arial"/>
          <w:b/>
          <w:sz w:val="24"/>
          <w:lang w:val="es-ES"/>
        </w:rPr>
      </w:pPr>
      <w:r w:rsidRPr="00A34D56">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A34D56">
        <w:rPr>
          <w:rFonts w:ascii="Palatino Linotype" w:hAnsi="Palatino Linotype" w:cs="Arial"/>
          <w:b/>
          <w:bCs/>
          <w:color w:val="222222"/>
          <w:sz w:val="24"/>
        </w:rPr>
        <w:t>SUJETO OBLIGADO</w:t>
      </w:r>
      <w:r w:rsidRPr="00A34D56">
        <w:rPr>
          <w:rFonts w:ascii="Palatino Linotype" w:hAnsi="Palatino Linotype" w:cs="Arial"/>
          <w:color w:val="222222"/>
          <w:sz w:val="24"/>
        </w:rPr>
        <w:t> pierda la oportunidad de justificar su falta de respuesta y manifestar lo que a su derecho convenga.</w:t>
      </w:r>
    </w:p>
    <w:p w14:paraId="06120BA6" w14:textId="77777777" w:rsidR="006A5C59" w:rsidRPr="00A34D56" w:rsidRDefault="006A5C59" w:rsidP="006A5C59">
      <w:pPr>
        <w:pStyle w:val="Prrafodelista"/>
        <w:spacing w:before="240" w:after="240" w:line="360" w:lineRule="auto"/>
        <w:ind w:left="0"/>
        <w:jc w:val="both"/>
        <w:rPr>
          <w:rFonts w:ascii="Palatino Linotype" w:hAnsi="Palatino Linotype"/>
          <w:iCs/>
          <w:color w:val="000000"/>
          <w:sz w:val="24"/>
        </w:rPr>
      </w:pPr>
    </w:p>
    <w:p w14:paraId="545497CD" w14:textId="2818F97D" w:rsidR="008E6432" w:rsidRPr="00A34D56" w:rsidRDefault="008E6432" w:rsidP="006A5C59">
      <w:pPr>
        <w:pStyle w:val="Prrafodelista"/>
        <w:numPr>
          <w:ilvl w:val="0"/>
          <w:numId w:val="3"/>
        </w:numPr>
        <w:spacing w:before="240" w:after="240" w:line="360" w:lineRule="auto"/>
        <w:ind w:left="0" w:firstLine="0"/>
        <w:jc w:val="both"/>
        <w:rPr>
          <w:rFonts w:ascii="Palatino Linotype" w:eastAsia="Calibri" w:hAnsi="Palatino Linotype" w:cs="Arial"/>
          <w:sz w:val="24"/>
          <w:lang w:val="es-ES"/>
        </w:rPr>
      </w:pPr>
      <w:r w:rsidRPr="00A34D56">
        <w:rPr>
          <w:rFonts w:ascii="Palatino Linotype" w:hAnsi="Palatino Linotype"/>
          <w:iCs/>
          <w:color w:val="000000"/>
          <w:sz w:val="24"/>
        </w:rPr>
        <w:lastRenderedPageBreak/>
        <w:t xml:space="preserve">En fecha </w:t>
      </w:r>
      <w:r w:rsidR="00B04CD6" w:rsidRPr="00A34D56">
        <w:rPr>
          <w:rFonts w:ascii="Palatino Linotype" w:hAnsi="Palatino Linotype"/>
          <w:iCs/>
          <w:color w:val="000000"/>
          <w:sz w:val="24"/>
        </w:rPr>
        <w:t>veinti</w:t>
      </w:r>
      <w:r w:rsidR="006A5C59" w:rsidRPr="00A34D56">
        <w:rPr>
          <w:rFonts w:ascii="Palatino Linotype" w:hAnsi="Palatino Linotype"/>
          <w:iCs/>
          <w:color w:val="000000"/>
          <w:sz w:val="24"/>
        </w:rPr>
        <w:t>séis</w:t>
      </w:r>
      <w:r w:rsidRPr="00A34D56">
        <w:rPr>
          <w:rFonts w:ascii="Palatino Linotype" w:hAnsi="Palatino Linotype"/>
          <w:iCs/>
          <w:color w:val="000000"/>
          <w:sz w:val="24"/>
        </w:rPr>
        <w:t xml:space="preserve"> (</w:t>
      </w:r>
      <w:r w:rsidR="00B04CD6" w:rsidRPr="00A34D56">
        <w:rPr>
          <w:rFonts w:ascii="Palatino Linotype" w:hAnsi="Palatino Linotype"/>
          <w:iCs/>
          <w:color w:val="000000"/>
          <w:sz w:val="24"/>
        </w:rPr>
        <w:t>2</w:t>
      </w:r>
      <w:r w:rsidR="006A5C59" w:rsidRPr="00A34D56">
        <w:rPr>
          <w:rFonts w:ascii="Palatino Linotype" w:hAnsi="Palatino Linotype"/>
          <w:iCs/>
          <w:color w:val="000000"/>
          <w:sz w:val="24"/>
        </w:rPr>
        <w:t>6</w:t>
      </w:r>
      <w:r w:rsidRPr="00A34D56">
        <w:rPr>
          <w:rFonts w:ascii="Palatino Linotype" w:hAnsi="Palatino Linotype"/>
          <w:iCs/>
          <w:color w:val="000000"/>
          <w:sz w:val="24"/>
        </w:rPr>
        <w:t xml:space="preserve">) de </w:t>
      </w:r>
      <w:r w:rsidR="006A5C59" w:rsidRPr="00A34D56">
        <w:rPr>
          <w:rFonts w:ascii="Palatino Linotype" w:hAnsi="Palatino Linotype"/>
          <w:iCs/>
          <w:color w:val="000000"/>
          <w:sz w:val="24"/>
        </w:rPr>
        <w:t>agosto</w:t>
      </w:r>
      <w:r w:rsidR="006A5C59" w:rsidRPr="00A34D56">
        <w:rPr>
          <w:rFonts w:ascii="Palatino Linotype" w:eastAsia="Calibri" w:hAnsi="Palatino Linotype" w:cs="Arial"/>
          <w:sz w:val="24"/>
          <w:lang w:val="es-ES"/>
        </w:rPr>
        <w:t xml:space="preserve">, </w:t>
      </w:r>
      <w:r w:rsidRPr="00A34D56">
        <w:rPr>
          <w:rFonts w:ascii="Palatino Linotype" w:eastAsia="Calibri" w:hAnsi="Palatino Linotype" w:cs="Arial"/>
          <w:sz w:val="24"/>
          <w:lang w:val="es-ES"/>
        </w:rPr>
        <w:t>e</w:t>
      </w:r>
      <w:r w:rsidRPr="00A34D56">
        <w:rPr>
          <w:rFonts w:ascii="Palatino Linotype" w:hAnsi="Palatino Linotype"/>
          <w:sz w:val="24"/>
        </w:rPr>
        <w:t>l Comisionado Ponente decretó el cierre de instrucción</w:t>
      </w:r>
      <w:r w:rsidR="00B91CE1" w:rsidRPr="00A34D56">
        <w:rPr>
          <w:rFonts w:ascii="Palatino Linotype" w:hAnsi="Palatino Linotype" w:cs="Arial"/>
          <w:sz w:val="24"/>
        </w:rPr>
        <w:t>.</w:t>
      </w:r>
    </w:p>
    <w:p w14:paraId="2F3AEF74" w14:textId="77777777" w:rsidR="00B91CE1" w:rsidRPr="00B91CE1" w:rsidRDefault="00B91CE1" w:rsidP="00B91CE1">
      <w:pPr>
        <w:pStyle w:val="Prrafodelista"/>
        <w:rPr>
          <w:rFonts w:ascii="Palatino Linotype" w:hAnsi="Palatino Linotype" w:cs="Tahoma"/>
          <w:sz w:val="24"/>
        </w:rPr>
      </w:pPr>
    </w:p>
    <w:p w14:paraId="03004A08" w14:textId="041534AF" w:rsidR="00B91CE1" w:rsidRPr="00B91CE1" w:rsidRDefault="00B91CE1" w:rsidP="00B91CE1">
      <w:pPr>
        <w:pStyle w:val="Prrafodelista"/>
        <w:numPr>
          <w:ilvl w:val="0"/>
          <w:numId w:val="3"/>
        </w:numPr>
        <w:spacing w:line="360" w:lineRule="auto"/>
        <w:ind w:left="0" w:firstLine="0"/>
        <w:jc w:val="both"/>
        <w:rPr>
          <w:rFonts w:ascii="Palatino Linotype" w:hAnsi="Palatino Linotype" w:cs="Tahoma"/>
          <w:sz w:val="28"/>
        </w:rPr>
      </w:pPr>
      <w:r w:rsidRPr="00B91CE1">
        <w:rPr>
          <w:rFonts w:ascii="Palatino Linotype" w:hAnsi="Palatino Linotype" w:cs="Arial"/>
          <w:color w:val="000000" w:themeColor="text1"/>
          <w:sz w:val="24"/>
        </w:rPr>
        <w:t xml:space="preserve">En fecha veintitrés (23) de agosto del dos mil veintiuno, en la segunda sesión extraordinaria del Pleno del Instituto de Transparencia, Acceso a la Información Pública y Protección de Datos Personales del Estado de México y Municipios acordó el </w:t>
      </w:r>
      <w:proofErr w:type="spellStart"/>
      <w:r w:rsidRPr="00B91CE1">
        <w:rPr>
          <w:rFonts w:ascii="Palatino Linotype" w:hAnsi="Palatino Linotype" w:cs="Arial"/>
          <w:color w:val="000000" w:themeColor="text1"/>
          <w:sz w:val="24"/>
        </w:rPr>
        <w:t>returno</w:t>
      </w:r>
      <w:proofErr w:type="spellEnd"/>
      <w:r w:rsidRPr="00B91CE1">
        <w:rPr>
          <w:rFonts w:ascii="Palatino Linotype" w:hAnsi="Palatino Linotype" w:cs="Arial"/>
          <w:color w:val="000000" w:themeColor="text1"/>
          <w:sz w:val="24"/>
        </w:rPr>
        <w:t xml:space="preserve"> del recurso de revisión a la Comisionada María del Rosario Mejía Ayala para su resolución</w:t>
      </w:r>
      <w:r>
        <w:rPr>
          <w:rFonts w:ascii="Palatino Linotype" w:hAnsi="Palatino Linotype" w:cs="Arial"/>
          <w:color w:val="000000" w:themeColor="text1"/>
          <w:sz w:val="24"/>
        </w:rPr>
        <w:t xml:space="preserve">. - - - - - - - - - - - - - - - - - - - - - - - - - - - - - - - - - - - - - - - - - - - - - - - - - - </w:t>
      </w:r>
    </w:p>
    <w:p w14:paraId="4C50793A" w14:textId="77777777" w:rsidR="008E6432" w:rsidRPr="00C14B76" w:rsidRDefault="008E6432" w:rsidP="008E6432">
      <w:pPr>
        <w:pStyle w:val="Ttulo1"/>
        <w:jc w:val="center"/>
        <w:rPr>
          <w:rFonts w:ascii="Palatino Linotype" w:hAnsi="Palatino Linotype"/>
          <w:b/>
          <w:sz w:val="24"/>
          <w:szCs w:val="24"/>
        </w:rPr>
      </w:pPr>
      <w:bookmarkStart w:id="4" w:name="_Toc81936100"/>
      <w:r w:rsidRPr="00C14B76">
        <w:rPr>
          <w:rFonts w:ascii="Palatino Linotype" w:hAnsi="Palatino Linotype"/>
          <w:b/>
          <w:color w:val="auto"/>
          <w:sz w:val="24"/>
          <w:szCs w:val="24"/>
        </w:rPr>
        <w:t>CONSIDERANDO</w:t>
      </w:r>
      <w:bookmarkEnd w:id="4"/>
      <w:r w:rsidRPr="00C14B76">
        <w:rPr>
          <w:rFonts w:ascii="Palatino Linotype" w:hAnsi="Palatino Linotype"/>
          <w:b/>
          <w:sz w:val="24"/>
          <w:szCs w:val="24"/>
        </w:rPr>
        <w:t xml:space="preserve"> </w:t>
      </w:r>
    </w:p>
    <w:p w14:paraId="3E1A354D" w14:textId="77777777" w:rsidR="008E6432" w:rsidRPr="00C14B76" w:rsidRDefault="008E6432" w:rsidP="008E6432">
      <w:pPr>
        <w:pStyle w:val="Ttulo2"/>
        <w:rPr>
          <w:rFonts w:ascii="Palatino Linotype" w:hAnsi="Palatino Linotype"/>
          <w:b/>
          <w:bCs/>
          <w:color w:val="auto"/>
          <w:spacing w:val="60"/>
          <w:sz w:val="24"/>
          <w:szCs w:val="24"/>
        </w:rPr>
      </w:pPr>
      <w:bookmarkStart w:id="5" w:name="_Toc81936101"/>
      <w:r w:rsidRPr="00C14B76">
        <w:rPr>
          <w:rFonts w:ascii="Palatino Linotype" w:hAnsi="Palatino Linotype"/>
          <w:b/>
          <w:color w:val="auto"/>
          <w:sz w:val="24"/>
          <w:szCs w:val="24"/>
        </w:rPr>
        <w:t>PRIMERO. De la competencia</w:t>
      </w:r>
      <w:bookmarkEnd w:id="5"/>
    </w:p>
    <w:p w14:paraId="0E7BAE68" w14:textId="1B236013" w:rsidR="008E6432" w:rsidRDefault="008E6432" w:rsidP="000F0A30">
      <w:pPr>
        <w:pStyle w:val="Prrafodelista"/>
        <w:numPr>
          <w:ilvl w:val="0"/>
          <w:numId w:val="3"/>
        </w:numPr>
        <w:spacing w:before="240" w:after="240" w:line="360" w:lineRule="auto"/>
        <w:ind w:left="0" w:firstLine="0"/>
        <w:jc w:val="both"/>
        <w:rPr>
          <w:rFonts w:ascii="Palatino Linotype" w:hAnsi="Palatino Linotype"/>
          <w:sz w:val="24"/>
        </w:rPr>
      </w:pPr>
      <w:r w:rsidRPr="00C14B76">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14B76">
        <w:rPr>
          <w:rFonts w:ascii="Palatino Linotype" w:eastAsia="Calibri" w:hAnsi="Palatino Linotype"/>
          <w:b/>
          <w:sz w:val="24"/>
          <w:lang w:val="es-ES"/>
        </w:rPr>
        <w:t>Constitución Política de los Estados Unidos Mexicanos</w:t>
      </w:r>
      <w:r w:rsidRPr="00C14B76">
        <w:rPr>
          <w:rFonts w:ascii="Palatino Linotype" w:eastAsia="Calibri" w:hAnsi="Palatino Linotype"/>
          <w:sz w:val="24"/>
          <w:lang w:val="es-ES"/>
        </w:rPr>
        <w:t xml:space="preserve">; 5, </w:t>
      </w:r>
      <w:r w:rsidR="00C14B76" w:rsidRPr="00C14B76">
        <w:rPr>
          <w:rFonts w:ascii="Palatino Linotype" w:hAnsi="Palatino Linotype" w:cs="Tahoma"/>
          <w:bCs/>
          <w:sz w:val="24"/>
        </w:rPr>
        <w:t xml:space="preserve">vigésimo noveno, trigésimo y trigésimo primero, fracciones I, II, III, IV y V </w:t>
      </w:r>
      <w:r w:rsidRPr="00C14B76">
        <w:rPr>
          <w:rFonts w:ascii="Palatino Linotype" w:eastAsia="Calibri" w:hAnsi="Palatino Linotype"/>
          <w:b/>
          <w:sz w:val="24"/>
          <w:lang w:val="es-ES"/>
        </w:rPr>
        <w:t>Constitución Política del Estado Libre y Soberano de México</w:t>
      </w:r>
      <w:r w:rsidRPr="00C14B76">
        <w:rPr>
          <w:rFonts w:ascii="Palatino Linotype" w:eastAsia="Calibri" w:hAnsi="Palatino Linotype"/>
          <w:sz w:val="24"/>
          <w:lang w:val="es-ES"/>
        </w:rPr>
        <w:t xml:space="preserve">; artículos 1, 2 fracción II, 13, 29, 36 fracciones I y II, 176, 178, 179, 181 párrafo tercero y 185 </w:t>
      </w:r>
      <w:r w:rsidRPr="00C14B76">
        <w:rPr>
          <w:rFonts w:ascii="Palatino Linotype" w:eastAsia="Calibri" w:hAnsi="Palatino Linotype" w:cs="Arial"/>
          <w:sz w:val="24"/>
          <w:lang w:val="es-ES"/>
        </w:rPr>
        <w:t xml:space="preserve">de la </w:t>
      </w:r>
      <w:r w:rsidRPr="00C14B76">
        <w:rPr>
          <w:rFonts w:ascii="Palatino Linotype" w:eastAsia="Calibri" w:hAnsi="Palatino Linotype" w:cs="Arial"/>
          <w:b/>
          <w:sz w:val="24"/>
          <w:lang w:val="es-ES"/>
        </w:rPr>
        <w:t>Ley de Transparencia y Acceso a la Información Pública del Estado de México y Municipios</w:t>
      </w:r>
      <w:r w:rsidRPr="00C14B76">
        <w:rPr>
          <w:rFonts w:ascii="Palatino Linotype" w:eastAsia="Calibri" w:hAnsi="Palatino Linotype" w:cs="Arial"/>
          <w:sz w:val="24"/>
          <w:lang w:val="es-ES"/>
        </w:rPr>
        <w:t xml:space="preserve">; y 10, 7, 9 fracciones I y XXIV, y 11 del </w:t>
      </w:r>
      <w:r w:rsidRPr="00C14B76">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C14B76">
        <w:rPr>
          <w:rFonts w:ascii="Palatino Linotype" w:hAnsi="Palatino Linotype"/>
          <w:sz w:val="24"/>
        </w:rPr>
        <w:t>.</w:t>
      </w:r>
    </w:p>
    <w:p w14:paraId="18C252D2" w14:textId="77777777" w:rsidR="00871E32" w:rsidRDefault="00871E32" w:rsidP="00871E32">
      <w:pPr>
        <w:pStyle w:val="Prrafodelista"/>
        <w:spacing w:before="240" w:after="240" w:line="360" w:lineRule="auto"/>
        <w:ind w:left="0"/>
        <w:jc w:val="both"/>
        <w:rPr>
          <w:rFonts w:ascii="Palatino Linotype" w:hAnsi="Palatino Linotype"/>
          <w:sz w:val="24"/>
        </w:rPr>
      </w:pPr>
    </w:p>
    <w:p w14:paraId="73F3F0F9" w14:textId="77777777" w:rsidR="00871E32" w:rsidRPr="00871E32" w:rsidRDefault="00871E32" w:rsidP="00871E32">
      <w:pPr>
        <w:pStyle w:val="Prrafodelista"/>
        <w:numPr>
          <w:ilvl w:val="0"/>
          <w:numId w:val="3"/>
        </w:numPr>
        <w:spacing w:before="240" w:after="240" w:line="360" w:lineRule="auto"/>
        <w:ind w:left="0" w:firstLine="0"/>
        <w:jc w:val="both"/>
        <w:rPr>
          <w:rFonts w:ascii="Palatino Linotype" w:hAnsi="Palatino Linotype"/>
          <w:sz w:val="24"/>
        </w:rPr>
      </w:pPr>
      <w:r w:rsidRPr="00871E32">
        <w:rPr>
          <w:rFonts w:ascii="Palatino Linotype" w:eastAsia="Calibri" w:hAnsi="Palatino Linotype" w:cs="Arial"/>
          <w:sz w:val="24"/>
          <w:lang w:val="es-ES"/>
        </w:rPr>
        <w:lastRenderedPageBreak/>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39DE80AE" w14:textId="77777777" w:rsidR="008E6432" w:rsidRPr="00C14B76" w:rsidRDefault="008E6432" w:rsidP="008E6432">
      <w:pPr>
        <w:pStyle w:val="Ttulo2"/>
        <w:rPr>
          <w:rFonts w:ascii="Palatino Linotype" w:hAnsi="Palatino Linotype"/>
          <w:b/>
          <w:color w:val="auto"/>
          <w:sz w:val="24"/>
          <w:szCs w:val="24"/>
        </w:rPr>
      </w:pPr>
      <w:bookmarkStart w:id="6" w:name="_Toc81936102"/>
      <w:r w:rsidRPr="00C14B76">
        <w:rPr>
          <w:rFonts w:ascii="Palatino Linotype" w:hAnsi="Palatino Linotype"/>
          <w:b/>
          <w:color w:val="auto"/>
          <w:sz w:val="24"/>
          <w:szCs w:val="24"/>
        </w:rPr>
        <w:t>SEGUNDO. De la oportunidad y procedencia.</w:t>
      </w:r>
      <w:bookmarkEnd w:id="6"/>
    </w:p>
    <w:p w14:paraId="27FB7631" w14:textId="77777777" w:rsidR="008E6432" w:rsidRPr="00C14B76" w:rsidRDefault="008E6432" w:rsidP="008E6432">
      <w:pPr>
        <w:rPr>
          <w:rFonts w:ascii="Palatino Linotype" w:hAnsi="Palatino Linotype"/>
          <w:sz w:val="24"/>
          <w:szCs w:val="24"/>
          <w:lang w:eastAsia="en-US"/>
        </w:rPr>
      </w:pPr>
    </w:p>
    <w:p w14:paraId="74F20D9D" w14:textId="69D5ACC7" w:rsidR="008E6432" w:rsidRPr="00F43832" w:rsidRDefault="008E6432" w:rsidP="00661432">
      <w:pPr>
        <w:pStyle w:val="Prrafodelista"/>
        <w:numPr>
          <w:ilvl w:val="0"/>
          <w:numId w:val="2"/>
        </w:numPr>
        <w:spacing w:before="240" w:after="240" w:line="360" w:lineRule="auto"/>
        <w:ind w:left="0" w:right="49" w:firstLine="0"/>
        <w:jc w:val="both"/>
        <w:rPr>
          <w:rFonts w:ascii="Palatino Linotype" w:hAnsi="Palatino Linotype"/>
          <w:sz w:val="24"/>
        </w:rPr>
      </w:pPr>
      <w:r w:rsidRPr="00C14B76">
        <w:rPr>
          <w:rFonts w:ascii="Palatino Linotype" w:eastAsia="Calibri" w:hAnsi="Palatino Linotype" w:cs="Arial"/>
          <w:sz w:val="24"/>
        </w:rPr>
        <w:t xml:space="preserve">El medio de impugnación fue presentado a través del </w:t>
      </w:r>
      <w:r w:rsidRPr="00C14B76">
        <w:rPr>
          <w:rFonts w:ascii="Palatino Linotype" w:eastAsia="Calibri" w:hAnsi="Palatino Linotype" w:cs="Arial"/>
          <w:b/>
          <w:sz w:val="24"/>
        </w:rPr>
        <w:t>SAIMEX,</w:t>
      </w:r>
      <w:r w:rsidRPr="00C14B76">
        <w:rPr>
          <w:rFonts w:ascii="Palatino Linotype" w:eastAsia="Calibri" w:hAnsi="Palatino Linotype" w:cs="Arial"/>
          <w:sz w:val="24"/>
        </w:rPr>
        <w:t xml:space="preserve"> en el formato previamente aprobado para tal efecto y dentro del plazo legal de quince días hábiles otorgados; siendo así que el </w:t>
      </w:r>
      <w:r w:rsidRPr="00C14B76">
        <w:rPr>
          <w:rFonts w:ascii="Palatino Linotype" w:eastAsia="Calibri" w:hAnsi="Palatino Linotype" w:cs="Arial"/>
          <w:b/>
          <w:sz w:val="24"/>
        </w:rPr>
        <w:t>SUJETO OBLIGADO</w:t>
      </w:r>
      <w:r w:rsidRPr="00C14B76">
        <w:rPr>
          <w:rFonts w:ascii="Palatino Linotype" w:eastAsia="Calibri" w:hAnsi="Palatino Linotype" w:cs="Arial"/>
          <w:sz w:val="24"/>
        </w:rPr>
        <w:t xml:space="preserve"> entregó respuesta a la solicitud el día </w:t>
      </w:r>
      <w:r w:rsidR="00A34D56">
        <w:rPr>
          <w:rFonts w:ascii="Palatino Linotype" w:eastAsia="Calibri" w:hAnsi="Palatino Linotype" w:cs="Arial"/>
          <w:sz w:val="24"/>
        </w:rPr>
        <w:t>siete</w:t>
      </w:r>
      <w:r w:rsidRPr="00C14B76">
        <w:rPr>
          <w:rFonts w:ascii="Palatino Linotype" w:eastAsia="Calibri" w:hAnsi="Palatino Linotype" w:cs="Arial"/>
          <w:sz w:val="24"/>
        </w:rPr>
        <w:t xml:space="preserve"> (</w:t>
      </w:r>
      <w:r w:rsidR="00A34D56">
        <w:rPr>
          <w:rFonts w:ascii="Palatino Linotype" w:eastAsia="Calibri" w:hAnsi="Palatino Linotype" w:cs="Arial"/>
          <w:sz w:val="24"/>
        </w:rPr>
        <w:t>7</w:t>
      </w:r>
      <w:r w:rsidRPr="00C14B76">
        <w:rPr>
          <w:rFonts w:ascii="Palatino Linotype" w:eastAsia="Calibri" w:hAnsi="Palatino Linotype" w:cs="Arial"/>
          <w:sz w:val="24"/>
        </w:rPr>
        <w:t xml:space="preserve">) de </w:t>
      </w:r>
      <w:r w:rsidR="00661432">
        <w:rPr>
          <w:rFonts w:ascii="Palatino Linotype" w:eastAsia="Calibri" w:hAnsi="Palatino Linotype" w:cs="Arial"/>
          <w:sz w:val="24"/>
        </w:rPr>
        <w:t>julio</w:t>
      </w:r>
      <w:r w:rsidRPr="00C14B76">
        <w:rPr>
          <w:rFonts w:ascii="Palatino Linotype" w:eastAsia="Calibri" w:hAnsi="Palatino Linotype" w:cs="Arial"/>
          <w:sz w:val="24"/>
        </w:rPr>
        <w:t xml:space="preserve"> de dos mil veintiuno, </w:t>
      </w:r>
      <w:r w:rsidRPr="00C14B76">
        <w:rPr>
          <w:rFonts w:ascii="Palatino Linotype" w:hAnsi="Palatino Linotype" w:cs="Arial"/>
          <w:sz w:val="24"/>
        </w:rPr>
        <w:t xml:space="preserve">de tal forma que el plazo para interponer el recurso de revisión transcurrió del </w:t>
      </w:r>
      <w:r w:rsidR="008F2668">
        <w:rPr>
          <w:rFonts w:ascii="Palatino Linotype" w:hAnsi="Palatino Linotype" w:cs="Arial"/>
          <w:sz w:val="24"/>
        </w:rPr>
        <w:t>ocho</w:t>
      </w:r>
      <w:r w:rsidRPr="00C14B76">
        <w:rPr>
          <w:rFonts w:ascii="Palatino Linotype" w:hAnsi="Palatino Linotype" w:cs="Arial"/>
          <w:sz w:val="24"/>
        </w:rPr>
        <w:t xml:space="preserve"> (</w:t>
      </w:r>
      <w:r w:rsidR="008F2668">
        <w:rPr>
          <w:rFonts w:ascii="Palatino Linotype" w:hAnsi="Palatino Linotype" w:cs="Arial"/>
          <w:sz w:val="24"/>
        </w:rPr>
        <w:t>8</w:t>
      </w:r>
      <w:r w:rsidRPr="00C14B76">
        <w:rPr>
          <w:rFonts w:ascii="Palatino Linotype" w:hAnsi="Palatino Linotype" w:cs="Arial"/>
          <w:sz w:val="24"/>
        </w:rPr>
        <w:t>)</w:t>
      </w:r>
      <w:r w:rsidR="00661432">
        <w:rPr>
          <w:rFonts w:ascii="Palatino Linotype" w:hAnsi="Palatino Linotype" w:cs="Arial"/>
          <w:sz w:val="24"/>
        </w:rPr>
        <w:t xml:space="preserve"> de julio al </w:t>
      </w:r>
      <w:r w:rsidR="008F2668">
        <w:rPr>
          <w:rFonts w:ascii="Palatino Linotype" w:hAnsi="Palatino Linotype" w:cs="Arial"/>
          <w:sz w:val="24"/>
        </w:rPr>
        <w:t>once</w:t>
      </w:r>
      <w:r w:rsidR="00661432">
        <w:rPr>
          <w:rFonts w:ascii="Palatino Linotype" w:hAnsi="Palatino Linotype" w:cs="Arial"/>
          <w:sz w:val="24"/>
        </w:rPr>
        <w:t xml:space="preserve"> (1</w:t>
      </w:r>
      <w:r w:rsidR="008F2668">
        <w:rPr>
          <w:rFonts w:ascii="Palatino Linotype" w:hAnsi="Palatino Linotype" w:cs="Arial"/>
          <w:sz w:val="24"/>
        </w:rPr>
        <w:t>1</w:t>
      </w:r>
      <w:r w:rsidR="00661432">
        <w:rPr>
          <w:rFonts w:ascii="Palatino Linotype" w:hAnsi="Palatino Linotype" w:cs="Arial"/>
          <w:sz w:val="24"/>
        </w:rPr>
        <w:t>) de agosto de dos mil veintiuno</w:t>
      </w:r>
      <w:r w:rsidRPr="00661432">
        <w:rPr>
          <w:rFonts w:ascii="Palatino Linotype" w:hAnsi="Palatino Linotype" w:cs="Arial"/>
          <w:sz w:val="24"/>
        </w:rPr>
        <w:t xml:space="preserve">; en consecuencia, presentó su inconformidad el día </w:t>
      </w:r>
      <w:r w:rsidR="00661432">
        <w:rPr>
          <w:rFonts w:ascii="Palatino Linotype" w:hAnsi="Palatino Linotype" w:cs="Arial"/>
          <w:sz w:val="24"/>
        </w:rPr>
        <w:t>do</w:t>
      </w:r>
      <w:r w:rsidR="008F2668">
        <w:rPr>
          <w:rFonts w:ascii="Palatino Linotype" w:hAnsi="Palatino Linotype" w:cs="Arial"/>
          <w:sz w:val="24"/>
        </w:rPr>
        <w:t>s</w:t>
      </w:r>
      <w:r w:rsidRPr="00661432">
        <w:rPr>
          <w:rFonts w:ascii="Palatino Linotype" w:hAnsi="Palatino Linotype" w:cs="Arial"/>
          <w:sz w:val="24"/>
        </w:rPr>
        <w:t xml:space="preserve"> (</w:t>
      </w:r>
      <w:r w:rsidR="00661432">
        <w:rPr>
          <w:rFonts w:ascii="Palatino Linotype" w:hAnsi="Palatino Linotype" w:cs="Arial"/>
          <w:sz w:val="24"/>
        </w:rPr>
        <w:t>2</w:t>
      </w:r>
      <w:r w:rsidRPr="00661432">
        <w:rPr>
          <w:rFonts w:ascii="Palatino Linotype" w:hAnsi="Palatino Linotype" w:cs="Arial"/>
          <w:sz w:val="24"/>
        </w:rPr>
        <w:t xml:space="preserve">) de </w:t>
      </w:r>
      <w:r w:rsidR="008F2668">
        <w:rPr>
          <w:rFonts w:ascii="Palatino Linotype" w:hAnsi="Palatino Linotype" w:cs="Arial"/>
          <w:sz w:val="24"/>
        </w:rPr>
        <w:t>agosto</w:t>
      </w:r>
      <w:r w:rsidRPr="00661432">
        <w:rPr>
          <w:rFonts w:ascii="Palatino Linotype" w:hAnsi="Palatino Linotype" w:cs="Arial"/>
          <w:sz w:val="24"/>
        </w:rPr>
        <w:t xml:space="preserve"> de dos mil veintiuno, por lo que se encuentra dentro de los márgenes temporales previstos en el artículo 178 de la </w:t>
      </w:r>
      <w:r w:rsidRPr="00661432">
        <w:rPr>
          <w:rFonts w:ascii="Palatino Linotype" w:hAnsi="Palatino Linotype" w:cs="Arial"/>
          <w:b/>
          <w:sz w:val="24"/>
        </w:rPr>
        <w:t xml:space="preserve">Ley de Transparencia y Acceso a la Información Pública del Estado de México y Municipios </w:t>
      </w:r>
      <w:r w:rsidRPr="00661432">
        <w:rPr>
          <w:rFonts w:ascii="Palatino Linotype" w:hAnsi="Palatino Linotype" w:cs="Arial"/>
          <w:sz w:val="24"/>
        </w:rPr>
        <w:t>vigente.</w:t>
      </w:r>
    </w:p>
    <w:p w14:paraId="412B65EF" w14:textId="77777777" w:rsidR="00F43832" w:rsidRPr="00F43832" w:rsidRDefault="00F43832" w:rsidP="00F43832">
      <w:pPr>
        <w:pStyle w:val="Prrafodelista"/>
        <w:tabs>
          <w:tab w:val="left" w:pos="426"/>
        </w:tabs>
        <w:spacing w:line="360" w:lineRule="auto"/>
        <w:ind w:left="0" w:right="49"/>
        <w:jc w:val="both"/>
        <w:rPr>
          <w:rFonts w:ascii="Palatino Linotype" w:hAnsi="Palatino Linotype" w:cs="Arial"/>
          <w:bCs/>
          <w:color w:val="000000" w:themeColor="text1"/>
          <w:lang w:eastAsia="es-MX"/>
        </w:rPr>
      </w:pPr>
    </w:p>
    <w:p w14:paraId="2EADE3CD" w14:textId="77777777" w:rsidR="00F43832" w:rsidRPr="00F43832" w:rsidRDefault="00F43832" w:rsidP="00F43832">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F43832">
        <w:rPr>
          <w:rFonts w:ascii="Palatino Linotype" w:hAnsi="Palatino Linotype" w:cs="Arial"/>
          <w:color w:val="000000" w:themeColor="text1"/>
          <w:sz w:val="24"/>
        </w:rPr>
        <w:t xml:space="preserve">Por </w:t>
      </w:r>
      <w:r w:rsidRPr="00F43832">
        <w:rPr>
          <w:rFonts w:ascii="Palatino Linotype" w:hAnsi="Palatino Linotype" w:cs="Arial"/>
          <w:color w:val="000000" w:themeColor="text1"/>
          <w:sz w:val="24"/>
          <w:lang w:val="es-ES"/>
        </w:rPr>
        <w:t xml:space="preserve">otro lado, de la revisión al expediente electrónico contenido en el sistema </w:t>
      </w:r>
      <w:r w:rsidRPr="00F43832">
        <w:rPr>
          <w:rFonts w:ascii="Palatino Linotype" w:hAnsi="Palatino Linotype" w:cs="Arial"/>
          <w:b/>
          <w:color w:val="000000" w:themeColor="text1"/>
          <w:sz w:val="24"/>
          <w:lang w:val="es-ES"/>
        </w:rPr>
        <w:t>SAIMEX,</w:t>
      </w:r>
      <w:r w:rsidRPr="00F43832">
        <w:rPr>
          <w:rFonts w:ascii="Palatino Linotype" w:hAnsi="Palatino Linotype" w:cs="Arial"/>
          <w:color w:val="000000" w:themeColor="text1"/>
          <w:sz w:val="24"/>
          <w:lang w:val="es-ES"/>
        </w:rPr>
        <w:t xml:space="preserve"> se desprende que la parte solicitante, en ejercicio de su derecho de acceso a </w:t>
      </w:r>
      <w:r w:rsidRPr="00F43832">
        <w:rPr>
          <w:rFonts w:ascii="Palatino Linotype" w:hAnsi="Palatino Linotype" w:cs="Arial"/>
          <w:color w:val="000000" w:themeColor="text1"/>
          <w:sz w:val="24"/>
          <w:lang w:val="es-ES"/>
        </w:rPr>
        <w:lastRenderedPageBreak/>
        <w:t xml:space="preserve">la información pública en el expediente que se revisa, tanto en la solicitud de información como en el recurso de revisión, </w:t>
      </w:r>
      <w:r w:rsidRPr="00F43832">
        <w:rPr>
          <w:rFonts w:ascii="Palatino Linotype" w:hAnsi="Palatino Linotype" w:cs="Arial"/>
          <w:b/>
          <w:color w:val="000000" w:themeColor="text1"/>
          <w:sz w:val="24"/>
          <w:lang w:val="es-ES"/>
        </w:rPr>
        <w:t>no señaló ningún nombre, seudónimo o carácter para ser identificado</w:t>
      </w:r>
      <w:r w:rsidRPr="00F43832">
        <w:rPr>
          <w:rFonts w:ascii="Palatino Linotype" w:hAnsi="Palatino Linotype" w:cs="Arial"/>
          <w:color w:val="000000" w:themeColor="text1"/>
          <w:sz w:val="24"/>
          <w:lang w:val="es-ES"/>
        </w:rPr>
        <w:t xml:space="preserve">; sin embargo, es importante señalar que </w:t>
      </w:r>
      <w:r w:rsidRPr="00F43832">
        <w:rPr>
          <w:rFonts w:ascii="Palatino Linotype" w:hAnsi="Palatino Linotype" w:cs="Arial"/>
          <w:color w:val="000000" w:themeColor="text1"/>
          <w:sz w:val="24"/>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6008F78D" w14:textId="77777777" w:rsidR="00F43832" w:rsidRPr="00F43832" w:rsidRDefault="00F43832" w:rsidP="00F43832">
      <w:pPr>
        <w:pStyle w:val="Prrafodelista"/>
        <w:tabs>
          <w:tab w:val="left" w:pos="426"/>
        </w:tabs>
        <w:spacing w:line="360" w:lineRule="auto"/>
        <w:ind w:left="0" w:right="49"/>
        <w:jc w:val="both"/>
        <w:rPr>
          <w:rFonts w:ascii="Palatino Linotype" w:hAnsi="Palatino Linotype" w:cs="Arial"/>
          <w:bCs/>
          <w:color w:val="000000" w:themeColor="text1"/>
          <w:sz w:val="24"/>
          <w:lang w:eastAsia="es-MX"/>
        </w:rPr>
      </w:pPr>
    </w:p>
    <w:p w14:paraId="530DD262" w14:textId="77777777" w:rsidR="00F43832" w:rsidRPr="00F43832" w:rsidRDefault="00F43832" w:rsidP="00F43832">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F43832">
        <w:rPr>
          <w:rFonts w:ascii="Palatino Linotype" w:hAnsi="Palatino Linotype" w:cs="Arial"/>
          <w:color w:val="000000" w:themeColor="text1"/>
          <w:sz w:val="24"/>
        </w:rPr>
        <w:t xml:space="preserve">Esto </w:t>
      </w:r>
      <w:r w:rsidRPr="00F43832">
        <w:rPr>
          <w:rFonts w:ascii="Palatino Linotype" w:hAnsi="Palatino Linotype" w:cs="Arial"/>
          <w:color w:val="000000" w:themeColor="text1"/>
          <w:sz w:val="24"/>
          <w:lang w:val="es-ES"/>
        </w:rPr>
        <w:t xml:space="preserve">es así, ya que de conformidad con los artículos 6, apartado A, fracciones III y IV de la </w:t>
      </w:r>
      <w:r w:rsidRPr="00F43832">
        <w:rPr>
          <w:rFonts w:ascii="Palatino Linotype" w:hAnsi="Palatino Linotype" w:cs="Arial"/>
          <w:b/>
          <w:color w:val="000000" w:themeColor="text1"/>
          <w:sz w:val="24"/>
          <w:lang w:val="es-ES"/>
        </w:rPr>
        <w:t>Constitución Política de los Estados Unidos Mexicanos</w:t>
      </w:r>
      <w:r w:rsidRPr="00F43832">
        <w:rPr>
          <w:rFonts w:ascii="Palatino Linotype" w:hAnsi="Palatino Linotype" w:cs="Arial"/>
          <w:color w:val="000000" w:themeColor="text1"/>
          <w:sz w:val="24"/>
          <w:lang w:val="es-ES"/>
        </w:rPr>
        <w:t xml:space="preserve">; 5, párrafos vigésimo segundo, vigésimo tercero y vigésimo cuarto, fracciones III, IV y V, de la </w:t>
      </w:r>
      <w:r w:rsidRPr="00F43832">
        <w:rPr>
          <w:rFonts w:ascii="Palatino Linotype" w:hAnsi="Palatino Linotype" w:cs="Arial"/>
          <w:b/>
          <w:color w:val="000000" w:themeColor="text1"/>
          <w:sz w:val="24"/>
          <w:lang w:val="es-ES"/>
        </w:rPr>
        <w:t>Constitución Política del Estado Libre y Soberano de México</w:t>
      </w:r>
      <w:r w:rsidRPr="00F43832">
        <w:rPr>
          <w:rFonts w:ascii="Palatino Linotype" w:hAnsi="Palatino Linotype" w:cs="Arial"/>
          <w:color w:val="000000" w:themeColor="text1"/>
          <w:sz w:val="24"/>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44CE499" w14:textId="77777777" w:rsidR="00F43832" w:rsidRPr="00F43832" w:rsidRDefault="00F43832" w:rsidP="00F43832">
      <w:pPr>
        <w:pStyle w:val="Prrafodelista"/>
        <w:tabs>
          <w:tab w:val="left" w:pos="426"/>
        </w:tabs>
        <w:spacing w:line="360" w:lineRule="auto"/>
        <w:ind w:left="0" w:right="49"/>
        <w:jc w:val="both"/>
        <w:rPr>
          <w:rFonts w:ascii="Palatino Linotype" w:hAnsi="Palatino Linotype" w:cs="Arial"/>
          <w:bCs/>
          <w:color w:val="000000" w:themeColor="text1"/>
          <w:sz w:val="24"/>
          <w:lang w:eastAsia="es-MX"/>
        </w:rPr>
      </w:pPr>
    </w:p>
    <w:p w14:paraId="24EAAA1C" w14:textId="77777777" w:rsidR="00F43832" w:rsidRPr="00F43832" w:rsidRDefault="00F43832" w:rsidP="00F43832">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F43832">
        <w:rPr>
          <w:rFonts w:ascii="Palatino Linotype" w:hAnsi="Palatino Linotype" w:cs="Arial"/>
          <w:color w:val="000000" w:themeColor="text1"/>
          <w:sz w:val="24"/>
        </w:rPr>
        <w:t xml:space="preserve">Por </w:t>
      </w:r>
      <w:r w:rsidRPr="00F43832">
        <w:rPr>
          <w:rFonts w:ascii="Palatino Linotype" w:hAnsi="Palatino Linotype" w:cs="Arial"/>
          <w:color w:val="000000" w:themeColor="text1"/>
          <w:sz w:val="24"/>
          <w:lang w:val="es-ES" w:eastAsia="es-MX"/>
        </w:rPr>
        <w:t xml:space="preserve">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w:t>
      </w:r>
      <w:r w:rsidRPr="00F43832">
        <w:rPr>
          <w:rFonts w:ascii="Palatino Linotype" w:hAnsi="Palatino Linotype" w:cs="Arial"/>
          <w:color w:val="000000" w:themeColor="text1"/>
          <w:sz w:val="24"/>
          <w:lang w:val="es-ES" w:eastAsia="es-MX"/>
        </w:rPr>
        <w:lastRenderedPageBreak/>
        <w:t>posibilidad de que inclusive, la solicitud de acceso a la información pueda ser anónima o no contener un nombre que identifique al Solicitante o que permita tener certeza sobre su identidad.</w:t>
      </w:r>
    </w:p>
    <w:p w14:paraId="598CB68F" w14:textId="77777777" w:rsidR="00F43832" w:rsidRPr="00F43832" w:rsidRDefault="00F43832" w:rsidP="00F43832">
      <w:pPr>
        <w:pStyle w:val="Prrafodelista"/>
        <w:tabs>
          <w:tab w:val="left" w:pos="426"/>
        </w:tabs>
        <w:spacing w:line="360" w:lineRule="auto"/>
        <w:ind w:left="0" w:right="49"/>
        <w:jc w:val="both"/>
        <w:rPr>
          <w:rFonts w:ascii="Palatino Linotype" w:hAnsi="Palatino Linotype" w:cs="Arial"/>
          <w:bCs/>
          <w:color w:val="000000" w:themeColor="text1"/>
          <w:sz w:val="24"/>
          <w:lang w:eastAsia="es-MX"/>
        </w:rPr>
      </w:pPr>
    </w:p>
    <w:p w14:paraId="0644633F" w14:textId="77777777" w:rsidR="00F43832" w:rsidRPr="00F43832" w:rsidRDefault="00F43832" w:rsidP="00F43832">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F43832">
        <w:rPr>
          <w:rFonts w:ascii="Palatino Linotype" w:hAnsi="Palatino Linotype" w:cs="Arial"/>
          <w:color w:val="000000" w:themeColor="text1"/>
          <w:sz w:val="24"/>
        </w:rPr>
        <w:t xml:space="preserve">Asimismo, </w:t>
      </w:r>
      <w:r w:rsidRPr="00F43832">
        <w:rPr>
          <w:rFonts w:ascii="Palatino Linotype" w:eastAsia="Calibri" w:hAnsi="Palatino Linotype" w:cs="Arial"/>
          <w:sz w:val="24"/>
        </w:rPr>
        <w:t>como lo establece la Convención Americana en su artículo 13, el derecho de acceso a la información es un derecho humano universal y en consecuencia, toda persona tiene derecho a solicitar acceso a la información.</w:t>
      </w:r>
    </w:p>
    <w:p w14:paraId="08A00C75" w14:textId="77777777" w:rsidR="00F43832" w:rsidRPr="00F43832" w:rsidRDefault="00F43832" w:rsidP="00F43832">
      <w:pPr>
        <w:pStyle w:val="Prrafodelista"/>
        <w:tabs>
          <w:tab w:val="left" w:pos="426"/>
        </w:tabs>
        <w:spacing w:line="360" w:lineRule="auto"/>
        <w:ind w:left="0" w:right="49"/>
        <w:jc w:val="both"/>
        <w:rPr>
          <w:rFonts w:ascii="Palatino Linotype" w:hAnsi="Palatino Linotype" w:cs="Arial"/>
          <w:bCs/>
          <w:color w:val="000000" w:themeColor="text1"/>
          <w:sz w:val="24"/>
          <w:lang w:eastAsia="es-MX"/>
        </w:rPr>
      </w:pPr>
    </w:p>
    <w:p w14:paraId="7F0A8A30" w14:textId="77777777" w:rsidR="00F43832" w:rsidRPr="00F43832" w:rsidRDefault="00F43832" w:rsidP="00F43832">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F43832">
        <w:rPr>
          <w:rFonts w:ascii="Palatino Linotype" w:hAnsi="Palatino Linotype" w:cs="Arial"/>
          <w:color w:val="000000" w:themeColor="text1"/>
          <w:sz w:val="24"/>
        </w:rPr>
        <w:t xml:space="preserve">De </w:t>
      </w:r>
      <w:r w:rsidRPr="00F43832">
        <w:rPr>
          <w:rFonts w:ascii="Palatino Linotype" w:eastAsia="Calibri" w:hAnsi="Palatino Linotype" w:cs="Arial"/>
          <w:sz w:val="24"/>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526461A7" w14:textId="77777777" w:rsidR="00F43832" w:rsidRPr="00F43832" w:rsidRDefault="00F43832" w:rsidP="00F43832">
      <w:pPr>
        <w:pStyle w:val="Prrafodelista"/>
        <w:tabs>
          <w:tab w:val="left" w:pos="426"/>
        </w:tabs>
        <w:spacing w:line="360" w:lineRule="auto"/>
        <w:ind w:left="0" w:right="49"/>
        <w:jc w:val="both"/>
        <w:rPr>
          <w:rFonts w:ascii="Palatino Linotype" w:hAnsi="Palatino Linotype" w:cs="Arial"/>
          <w:bCs/>
          <w:color w:val="000000" w:themeColor="text1"/>
          <w:sz w:val="24"/>
          <w:lang w:eastAsia="es-MX"/>
        </w:rPr>
      </w:pPr>
    </w:p>
    <w:p w14:paraId="70031437" w14:textId="77777777" w:rsidR="00F43832" w:rsidRPr="00F43832" w:rsidRDefault="00F43832" w:rsidP="00F43832">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F43832">
        <w:rPr>
          <w:rFonts w:ascii="Palatino Linotype" w:hAnsi="Palatino Linotype" w:cs="Arial"/>
          <w:color w:val="000000" w:themeColor="text1"/>
          <w:sz w:val="24"/>
        </w:rPr>
        <w:t xml:space="preserve">Por </w:t>
      </w:r>
      <w:r w:rsidRPr="00F43832">
        <w:rPr>
          <w:rFonts w:ascii="Palatino Linotype" w:eastAsia="Calibri" w:hAnsi="Palatino Linotype" w:cs="Arial"/>
          <w:sz w:val="24"/>
        </w:rPr>
        <w:t xml:space="preserve">lo tanto, </w:t>
      </w:r>
      <w:r w:rsidRPr="00F43832">
        <w:rPr>
          <w:rFonts w:ascii="Palatino Linotype" w:hAnsi="Palatino Linotype" w:cs="Arial"/>
          <w:color w:val="000000" w:themeColor="text1"/>
          <w:sz w:val="24"/>
          <w:lang w:val="es-ES" w:eastAsia="es-MX"/>
        </w:rPr>
        <w:t xml:space="preserve">el nombre del </w:t>
      </w:r>
      <w:r w:rsidRPr="00F43832">
        <w:rPr>
          <w:rFonts w:ascii="Palatino Linotype" w:hAnsi="Palatino Linotype" w:cs="Arial"/>
          <w:b/>
          <w:color w:val="000000" w:themeColor="text1"/>
          <w:sz w:val="24"/>
          <w:lang w:val="es-ES" w:eastAsia="es-MX"/>
        </w:rPr>
        <w:t>SOLICITANTE</w:t>
      </w:r>
      <w:r w:rsidRPr="00F43832">
        <w:rPr>
          <w:rFonts w:ascii="Palatino Linotype" w:hAnsi="Palatino Linotype" w:cs="Arial"/>
          <w:color w:val="000000" w:themeColor="text1"/>
          <w:sz w:val="24"/>
          <w:lang w:val="es-ES" w:eastAsia="es-MX"/>
        </w:rPr>
        <w:t xml:space="preserve"> y subsecuente </w:t>
      </w:r>
      <w:r w:rsidRPr="00F43832">
        <w:rPr>
          <w:rFonts w:ascii="Palatino Linotype" w:hAnsi="Palatino Linotype" w:cs="Arial"/>
          <w:b/>
          <w:color w:val="000000" w:themeColor="text1"/>
          <w:sz w:val="24"/>
          <w:lang w:val="es-ES" w:eastAsia="es-MX"/>
        </w:rPr>
        <w:t>RECURRENTE</w:t>
      </w:r>
      <w:r w:rsidRPr="00F43832">
        <w:rPr>
          <w:rFonts w:ascii="Palatino Linotype" w:hAnsi="Palatino Linotype" w:cs="Arial"/>
          <w:color w:val="000000" w:themeColor="text1"/>
          <w:sz w:val="24"/>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F43832">
        <w:rPr>
          <w:rFonts w:ascii="Palatino Linotype" w:hAnsi="Palatino Linotype" w:cs="Arial"/>
          <w:color w:val="000000" w:themeColor="text1"/>
          <w:sz w:val="24"/>
          <w:lang w:val="es-ES" w:eastAsia="es-MX"/>
        </w:rPr>
        <w:t>Resolutor</w:t>
      </w:r>
      <w:proofErr w:type="spellEnd"/>
      <w:r w:rsidRPr="00F43832">
        <w:rPr>
          <w:rFonts w:ascii="Palatino Linotype" w:hAnsi="Palatino Linotype" w:cs="Arial"/>
          <w:color w:val="000000" w:themeColor="text1"/>
          <w:sz w:val="24"/>
          <w:lang w:val="es-ES" w:eastAsia="es-MX"/>
        </w:rPr>
        <w:t>.</w:t>
      </w:r>
    </w:p>
    <w:p w14:paraId="05013BBF" w14:textId="77777777" w:rsidR="008E6432" w:rsidRPr="00C14B76" w:rsidRDefault="008E6432" w:rsidP="008E6432">
      <w:pPr>
        <w:pStyle w:val="Prrafodelista"/>
        <w:spacing w:before="240" w:after="240" w:line="360" w:lineRule="auto"/>
        <w:ind w:left="0" w:right="49"/>
        <w:jc w:val="both"/>
        <w:rPr>
          <w:rFonts w:ascii="Palatino Linotype" w:hAnsi="Palatino Linotype" w:cs="Arial"/>
          <w:sz w:val="24"/>
        </w:rPr>
      </w:pPr>
    </w:p>
    <w:p w14:paraId="517213D2" w14:textId="77777777" w:rsidR="008E6432" w:rsidRPr="00F43832" w:rsidRDefault="008E6432" w:rsidP="000F0A30">
      <w:pPr>
        <w:pStyle w:val="Prrafodelista"/>
        <w:numPr>
          <w:ilvl w:val="0"/>
          <w:numId w:val="2"/>
        </w:numPr>
        <w:spacing w:before="240" w:after="240" w:line="360" w:lineRule="auto"/>
        <w:ind w:left="0" w:right="49" w:firstLine="0"/>
        <w:jc w:val="both"/>
        <w:rPr>
          <w:rFonts w:ascii="Palatino Linotype" w:hAnsi="Palatino Linotype"/>
          <w:sz w:val="24"/>
        </w:rPr>
      </w:pPr>
      <w:r w:rsidRPr="00C14B76">
        <w:rPr>
          <w:rFonts w:ascii="Palatino Linotype" w:eastAsia="Calibri" w:hAnsi="Palatino Linotype" w:cs="Arial"/>
          <w:sz w:val="24"/>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67C6E373" w14:textId="593D6617" w:rsidR="008E6432" w:rsidRPr="00C14B76" w:rsidRDefault="008E6432" w:rsidP="008E6432">
      <w:pPr>
        <w:pStyle w:val="Ttulo1"/>
        <w:spacing w:before="0" w:line="360" w:lineRule="auto"/>
        <w:rPr>
          <w:rFonts w:ascii="Palatino Linotype" w:hAnsi="Palatino Linotype"/>
          <w:b/>
          <w:color w:val="auto"/>
          <w:sz w:val="24"/>
          <w:szCs w:val="24"/>
        </w:rPr>
      </w:pPr>
      <w:bookmarkStart w:id="7" w:name="_Toc65242752"/>
      <w:bookmarkStart w:id="8" w:name="_Toc81936103"/>
      <w:r w:rsidRPr="00C14B76">
        <w:rPr>
          <w:rFonts w:ascii="Palatino Linotype" w:hAnsi="Palatino Linotype"/>
          <w:b/>
          <w:color w:val="auto"/>
          <w:sz w:val="24"/>
          <w:szCs w:val="24"/>
        </w:rPr>
        <w:lastRenderedPageBreak/>
        <w:t xml:space="preserve">TERCERO. </w:t>
      </w:r>
      <w:r w:rsidR="00844AE0">
        <w:rPr>
          <w:rFonts w:ascii="Palatino Linotype" w:hAnsi="Palatino Linotype"/>
          <w:b/>
          <w:color w:val="auto"/>
          <w:sz w:val="24"/>
          <w:szCs w:val="24"/>
        </w:rPr>
        <w:t>Planteamiento de la Litis</w:t>
      </w:r>
      <w:r w:rsidRPr="00C14B76">
        <w:rPr>
          <w:rFonts w:ascii="Palatino Linotype" w:hAnsi="Palatino Linotype"/>
          <w:b/>
          <w:color w:val="auto"/>
          <w:sz w:val="24"/>
          <w:szCs w:val="24"/>
        </w:rPr>
        <w:t>.</w:t>
      </w:r>
      <w:bookmarkEnd w:id="7"/>
      <w:bookmarkEnd w:id="8"/>
    </w:p>
    <w:p w14:paraId="54109ADA" w14:textId="77777777" w:rsidR="008E6432" w:rsidRPr="00C14B76" w:rsidRDefault="008E6432" w:rsidP="008E6432">
      <w:pPr>
        <w:pStyle w:val="Prrafodelista"/>
        <w:ind w:left="0"/>
        <w:rPr>
          <w:rFonts w:ascii="Palatino Linotype" w:hAnsi="Palatino Linotype"/>
          <w:sz w:val="24"/>
          <w:lang w:eastAsia="en-US"/>
        </w:rPr>
      </w:pPr>
    </w:p>
    <w:p w14:paraId="4DE8F641" w14:textId="1D4D6F04" w:rsidR="008E6432" w:rsidRDefault="008E6432" w:rsidP="00C9024D">
      <w:pPr>
        <w:pStyle w:val="Prrafodelista"/>
        <w:numPr>
          <w:ilvl w:val="0"/>
          <w:numId w:val="3"/>
        </w:numPr>
        <w:spacing w:before="240" w:after="240" w:line="360" w:lineRule="auto"/>
        <w:ind w:left="0" w:right="49" w:firstLine="0"/>
        <w:jc w:val="both"/>
        <w:rPr>
          <w:rFonts w:ascii="Palatino Linotype" w:hAnsi="Palatino Linotype"/>
          <w:sz w:val="24"/>
        </w:rPr>
      </w:pPr>
      <w:r w:rsidRPr="00C9024D">
        <w:rPr>
          <w:rFonts w:ascii="Palatino Linotype" w:hAnsi="Palatino Linotype"/>
          <w:sz w:val="24"/>
        </w:rPr>
        <w:t>El recurrente solicitó</w:t>
      </w:r>
      <w:r w:rsidR="002D3B32">
        <w:rPr>
          <w:rFonts w:ascii="Palatino Linotype" w:hAnsi="Palatino Linotype"/>
          <w:sz w:val="24"/>
        </w:rPr>
        <w:t xml:space="preserve"> los convenios que ha celebrado el Sujeto Obligado con la Subdirección de Integración Familiar y las actividades en las que participan los servidores públicos de la Comisión.</w:t>
      </w:r>
    </w:p>
    <w:p w14:paraId="32BBA267" w14:textId="77777777" w:rsidR="00C9024D" w:rsidRPr="00C9024D" w:rsidRDefault="00C9024D" w:rsidP="00C9024D">
      <w:pPr>
        <w:pStyle w:val="Prrafodelista"/>
        <w:spacing w:before="240" w:after="240" w:line="360" w:lineRule="auto"/>
        <w:ind w:left="0" w:right="49"/>
        <w:jc w:val="both"/>
        <w:rPr>
          <w:rFonts w:ascii="Palatino Linotype" w:hAnsi="Palatino Linotype"/>
          <w:sz w:val="24"/>
        </w:rPr>
      </w:pPr>
    </w:p>
    <w:p w14:paraId="1BE2A621" w14:textId="52E909AE" w:rsidR="002D3B32" w:rsidRPr="002D3B32" w:rsidRDefault="00C14B76" w:rsidP="000F0A30">
      <w:pPr>
        <w:pStyle w:val="Prrafodelista"/>
        <w:numPr>
          <w:ilvl w:val="0"/>
          <w:numId w:val="3"/>
        </w:numPr>
        <w:spacing w:before="240" w:after="240" w:line="360" w:lineRule="auto"/>
        <w:ind w:left="0" w:right="49" w:firstLine="0"/>
        <w:jc w:val="both"/>
        <w:rPr>
          <w:rFonts w:ascii="Palatino Linotype" w:hAnsi="Palatino Linotype"/>
          <w:sz w:val="24"/>
        </w:rPr>
      </w:pPr>
      <w:r w:rsidRPr="00C14B76">
        <w:rPr>
          <w:rFonts w:ascii="Palatino Linotype" w:hAnsi="Palatino Linotype" w:cs="Arial"/>
          <w:sz w:val="24"/>
        </w:rPr>
        <w:t xml:space="preserve">El Sujeto Obligado </w:t>
      </w:r>
      <w:r w:rsidR="002D3B32">
        <w:rPr>
          <w:rFonts w:ascii="Palatino Linotype" w:hAnsi="Palatino Linotype" w:cs="Arial"/>
          <w:sz w:val="24"/>
        </w:rPr>
        <w:t xml:space="preserve">en su respuesta solicitó al recurrente que realice de manera más clara su solicitud. </w:t>
      </w:r>
    </w:p>
    <w:p w14:paraId="25033153" w14:textId="77777777" w:rsidR="002D3B32" w:rsidRPr="002D3B32" w:rsidRDefault="002D3B32" w:rsidP="002D3B32">
      <w:pPr>
        <w:pStyle w:val="Prrafodelista"/>
        <w:rPr>
          <w:rFonts w:ascii="Palatino Linotype" w:hAnsi="Palatino Linotype" w:cs="Arial"/>
          <w:sz w:val="24"/>
        </w:rPr>
      </w:pPr>
    </w:p>
    <w:p w14:paraId="59EC1E4D" w14:textId="7D94101B" w:rsidR="00D10A0F" w:rsidRPr="00D10A0F" w:rsidRDefault="00131B9A" w:rsidP="000F0A30">
      <w:pPr>
        <w:pStyle w:val="Prrafodelista"/>
        <w:numPr>
          <w:ilvl w:val="0"/>
          <w:numId w:val="3"/>
        </w:numPr>
        <w:spacing w:before="240" w:after="240" w:line="360" w:lineRule="auto"/>
        <w:ind w:left="0" w:right="49" w:firstLine="0"/>
        <w:jc w:val="both"/>
        <w:rPr>
          <w:rFonts w:ascii="Palatino Linotype" w:hAnsi="Palatino Linotype"/>
          <w:sz w:val="24"/>
        </w:rPr>
      </w:pPr>
      <w:r>
        <w:rPr>
          <w:rFonts w:ascii="Palatino Linotype" w:hAnsi="Palatino Linotype" w:cs="Arial"/>
          <w:sz w:val="24"/>
        </w:rPr>
        <w:t xml:space="preserve">El Recurrente </w:t>
      </w:r>
      <w:r w:rsidR="00B46EDD">
        <w:rPr>
          <w:rFonts w:ascii="Palatino Linotype" w:hAnsi="Palatino Linotype" w:cs="Arial"/>
          <w:sz w:val="24"/>
        </w:rPr>
        <w:t>se inconformó porque no dieron respuesta a su solicitud.</w:t>
      </w:r>
    </w:p>
    <w:p w14:paraId="55886261" w14:textId="77777777" w:rsidR="008E6432" w:rsidRPr="00C14B76" w:rsidRDefault="008E6432" w:rsidP="008E6432">
      <w:pPr>
        <w:pStyle w:val="Prrafodelista"/>
        <w:rPr>
          <w:rFonts w:ascii="Palatino Linotype" w:hAnsi="Palatino Linotype"/>
          <w:sz w:val="24"/>
        </w:rPr>
      </w:pPr>
    </w:p>
    <w:p w14:paraId="6C331294" w14:textId="72696E43" w:rsidR="008E6432" w:rsidRPr="00C14B76" w:rsidRDefault="008E6432" w:rsidP="000F0A30">
      <w:pPr>
        <w:pStyle w:val="Prrafodelista"/>
        <w:numPr>
          <w:ilvl w:val="0"/>
          <w:numId w:val="3"/>
        </w:numPr>
        <w:spacing w:before="240" w:after="240" w:line="360" w:lineRule="auto"/>
        <w:ind w:left="0" w:right="49" w:firstLine="0"/>
        <w:jc w:val="both"/>
        <w:rPr>
          <w:rFonts w:ascii="Palatino Linotype" w:hAnsi="Palatino Linotype"/>
          <w:sz w:val="24"/>
        </w:rPr>
      </w:pPr>
      <w:r w:rsidRPr="00C14B76">
        <w:rPr>
          <w:rFonts w:ascii="Palatino Linotype" w:hAnsi="Palatino Linotype"/>
          <w:sz w:val="24"/>
        </w:rPr>
        <w:t xml:space="preserve">En el presente asunto se procederá a verificar si existió una afectación al derecho del recurrente, por lo </w:t>
      </w:r>
      <w:r w:rsidR="00D10A0F">
        <w:rPr>
          <w:rFonts w:ascii="Palatino Linotype" w:hAnsi="Palatino Linotype"/>
          <w:sz w:val="24"/>
        </w:rPr>
        <w:t xml:space="preserve">que será necesario analizar </w:t>
      </w:r>
      <w:r w:rsidRPr="00C14B76">
        <w:rPr>
          <w:rFonts w:ascii="Palatino Linotype" w:hAnsi="Palatino Linotype"/>
          <w:sz w:val="24"/>
        </w:rPr>
        <w:t>si se actualiza la causal de procedencia establecida en la fracci</w:t>
      </w:r>
      <w:r w:rsidR="00601011">
        <w:rPr>
          <w:rFonts w:ascii="Palatino Linotype" w:hAnsi="Palatino Linotype"/>
          <w:sz w:val="24"/>
        </w:rPr>
        <w:t>ó</w:t>
      </w:r>
      <w:r w:rsidRPr="00C14B76">
        <w:rPr>
          <w:rFonts w:ascii="Palatino Linotype" w:hAnsi="Palatino Linotype"/>
          <w:sz w:val="24"/>
        </w:rPr>
        <w:t>n I</w:t>
      </w:r>
      <w:r w:rsidR="00CB5A05">
        <w:rPr>
          <w:rFonts w:ascii="Palatino Linotype" w:hAnsi="Palatino Linotype"/>
          <w:sz w:val="24"/>
        </w:rPr>
        <w:t xml:space="preserve"> y </w:t>
      </w:r>
      <w:r w:rsidR="00D10A0F">
        <w:rPr>
          <w:rFonts w:ascii="Palatino Linotype" w:hAnsi="Palatino Linotype"/>
          <w:sz w:val="24"/>
        </w:rPr>
        <w:t>V</w:t>
      </w:r>
      <w:r w:rsidR="00CB5A05">
        <w:rPr>
          <w:rFonts w:ascii="Palatino Linotype" w:hAnsi="Palatino Linotype"/>
          <w:sz w:val="24"/>
        </w:rPr>
        <w:t>II</w:t>
      </w:r>
      <w:r w:rsidRPr="00C14B76">
        <w:rPr>
          <w:rFonts w:ascii="Palatino Linotype" w:hAnsi="Palatino Linotype"/>
          <w:sz w:val="24"/>
        </w:rPr>
        <w:t xml:space="preserve"> relativa a </w:t>
      </w:r>
      <w:r w:rsidR="00B46EDD">
        <w:rPr>
          <w:rFonts w:ascii="Palatino Linotype" w:hAnsi="Palatino Linotype"/>
          <w:sz w:val="24"/>
        </w:rPr>
        <w:t xml:space="preserve">negativa a la información </w:t>
      </w:r>
      <w:r w:rsidR="007A74C6">
        <w:rPr>
          <w:rFonts w:ascii="Palatino Linotype" w:hAnsi="Palatino Linotype"/>
          <w:sz w:val="24"/>
        </w:rPr>
        <w:t>solicitada y la falta de respuesta respectivamente</w:t>
      </w:r>
      <w:r w:rsidRPr="00C14B76">
        <w:rPr>
          <w:rFonts w:ascii="Palatino Linotype" w:hAnsi="Palatino Linotype"/>
          <w:sz w:val="24"/>
        </w:rPr>
        <w:t>, del artículo 179 de la Ley de Transparencia y Acceso a la Información Pública del Estado de México y Municipios.</w:t>
      </w:r>
      <w:bookmarkStart w:id="9" w:name="_Toc486525253"/>
      <w:bookmarkEnd w:id="9"/>
    </w:p>
    <w:p w14:paraId="4591BC46" w14:textId="380FFF78" w:rsidR="008E6432" w:rsidRPr="00C14B76" w:rsidRDefault="00844AE0" w:rsidP="008E6432">
      <w:pPr>
        <w:pStyle w:val="Ttulo2"/>
        <w:rPr>
          <w:rFonts w:ascii="Palatino Linotype" w:hAnsi="Palatino Linotype"/>
          <w:b/>
          <w:bCs/>
          <w:color w:val="auto"/>
          <w:sz w:val="24"/>
          <w:szCs w:val="24"/>
        </w:rPr>
      </w:pPr>
      <w:bookmarkStart w:id="10" w:name="_Toc499201873"/>
      <w:bookmarkStart w:id="11" w:name="_Toc3372324"/>
      <w:bookmarkStart w:id="12" w:name="_Toc9531898"/>
      <w:bookmarkStart w:id="13" w:name="_Toc48296478"/>
      <w:bookmarkStart w:id="14" w:name="_Toc81936104"/>
      <w:r>
        <w:rPr>
          <w:rFonts w:ascii="Palatino Linotype" w:hAnsi="Palatino Linotype"/>
          <w:b/>
          <w:bCs/>
          <w:color w:val="auto"/>
          <w:sz w:val="24"/>
          <w:szCs w:val="24"/>
        </w:rPr>
        <w:t>CUARTO</w:t>
      </w:r>
      <w:r w:rsidR="008E6432" w:rsidRPr="00C14B76">
        <w:rPr>
          <w:rFonts w:ascii="Palatino Linotype" w:hAnsi="Palatino Linotype"/>
          <w:b/>
          <w:bCs/>
          <w:color w:val="auto"/>
          <w:sz w:val="24"/>
          <w:szCs w:val="24"/>
        </w:rPr>
        <w:t>. Estudio y resolución del asunto</w:t>
      </w:r>
      <w:bookmarkEnd w:id="10"/>
      <w:bookmarkEnd w:id="11"/>
      <w:bookmarkEnd w:id="12"/>
      <w:bookmarkEnd w:id="13"/>
      <w:bookmarkEnd w:id="14"/>
    </w:p>
    <w:p w14:paraId="02F09722" w14:textId="77777777" w:rsidR="008E6432" w:rsidRDefault="008E6432" w:rsidP="008E6432">
      <w:pPr>
        <w:spacing w:line="360" w:lineRule="auto"/>
        <w:rPr>
          <w:rFonts w:ascii="Palatino Linotype" w:hAnsi="Palatino Linotype"/>
          <w:sz w:val="24"/>
          <w:szCs w:val="24"/>
          <w:lang w:eastAsia="en-US"/>
        </w:rPr>
      </w:pPr>
      <w:bookmarkStart w:id="15" w:name="_Toc48296479"/>
    </w:p>
    <w:p w14:paraId="4425448B" w14:textId="77777777" w:rsidR="003520FC" w:rsidRPr="00CB5A05" w:rsidRDefault="003520FC" w:rsidP="003520FC">
      <w:pPr>
        <w:pStyle w:val="Ttulo2"/>
        <w:numPr>
          <w:ilvl w:val="0"/>
          <w:numId w:val="6"/>
        </w:numPr>
        <w:rPr>
          <w:rFonts w:ascii="Palatino Linotype" w:hAnsi="Palatino Linotype"/>
          <w:b/>
          <w:color w:val="auto"/>
          <w:sz w:val="24"/>
        </w:rPr>
      </w:pPr>
      <w:bookmarkStart w:id="16" w:name="_Toc81936105"/>
      <w:r w:rsidRPr="00CB5A05">
        <w:rPr>
          <w:rFonts w:ascii="Palatino Linotype" w:hAnsi="Palatino Linotype"/>
          <w:b/>
          <w:color w:val="auto"/>
          <w:sz w:val="24"/>
        </w:rPr>
        <w:t>De la respuesta del Sujeto Obligado.</w:t>
      </w:r>
      <w:bookmarkEnd w:id="16"/>
    </w:p>
    <w:p w14:paraId="64C36029" w14:textId="77777777" w:rsidR="003520FC" w:rsidRDefault="003520FC" w:rsidP="003520FC">
      <w:pPr>
        <w:pStyle w:val="Prrafodelista"/>
        <w:spacing w:line="360" w:lineRule="auto"/>
        <w:ind w:left="0"/>
        <w:jc w:val="both"/>
        <w:rPr>
          <w:rFonts w:ascii="Palatino Linotype" w:eastAsia="MS Mincho" w:hAnsi="Palatino Linotype"/>
        </w:rPr>
      </w:pPr>
    </w:p>
    <w:p w14:paraId="364CF2AA" w14:textId="77777777" w:rsidR="003520FC" w:rsidRDefault="003520FC" w:rsidP="003520FC">
      <w:pPr>
        <w:pStyle w:val="Prrafodelista"/>
        <w:numPr>
          <w:ilvl w:val="0"/>
          <w:numId w:val="2"/>
        </w:numPr>
        <w:spacing w:line="360" w:lineRule="auto"/>
        <w:ind w:left="0" w:firstLine="0"/>
        <w:jc w:val="both"/>
        <w:rPr>
          <w:rFonts w:ascii="Palatino Linotype" w:eastAsia="MS Mincho" w:hAnsi="Palatino Linotype"/>
        </w:rPr>
      </w:pPr>
      <w:r>
        <w:rPr>
          <w:rFonts w:ascii="Palatino Linotype" w:eastAsia="MS Mincho" w:hAnsi="Palatino Linotype"/>
        </w:rPr>
        <w:t>Debemos recordar que el Sujeto Obligado si emitió una respuesta a la solicitud, dentro del límite temporal que establece la normatividad en la materia; sin embargo, se procederá a verificar si con la respuesta se satisface en su totalidad, parcialmente o no se satisface en absoluto la solicitud del recurrente.</w:t>
      </w:r>
    </w:p>
    <w:p w14:paraId="41064191" w14:textId="77777777" w:rsidR="003520FC" w:rsidRDefault="003520FC" w:rsidP="003520FC">
      <w:pPr>
        <w:pStyle w:val="Prrafodelista"/>
        <w:spacing w:line="360" w:lineRule="auto"/>
        <w:ind w:left="0"/>
        <w:jc w:val="both"/>
        <w:rPr>
          <w:rFonts w:ascii="Palatino Linotype" w:eastAsia="MS Mincho" w:hAnsi="Palatino Linotype"/>
        </w:rPr>
      </w:pPr>
    </w:p>
    <w:p w14:paraId="280E4167" w14:textId="77777777" w:rsidR="003520FC" w:rsidRDefault="003520FC" w:rsidP="003520FC">
      <w:pPr>
        <w:pStyle w:val="Prrafodelista"/>
        <w:numPr>
          <w:ilvl w:val="0"/>
          <w:numId w:val="2"/>
        </w:numPr>
        <w:spacing w:line="360" w:lineRule="auto"/>
        <w:ind w:left="0" w:firstLine="0"/>
        <w:jc w:val="both"/>
        <w:rPr>
          <w:rFonts w:ascii="Palatino Linotype" w:eastAsia="MS Mincho" w:hAnsi="Palatino Linotype"/>
        </w:rPr>
      </w:pPr>
      <w:r>
        <w:rPr>
          <w:rFonts w:ascii="Palatino Linotype" w:eastAsia="MS Mincho" w:hAnsi="Palatino Linotype"/>
        </w:rPr>
        <w:t>La Ley de Transparencia y Acceso a la Información Pública del Estado de México y Municipios, en el artículo 179 fracciones I y VII establece lo siguiente:</w:t>
      </w:r>
    </w:p>
    <w:p w14:paraId="45EFCB35" w14:textId="77777777" w:rsidR="003520FC" w:rsidRPr="00CB5A05" w:rsidRDefault="003520FC" w:rsidP="003520FC">
      <w:pPr>
        <w:pStyle w:val="Prrafodelista"/>
        <w:rPr>
          <w:rFonts w:ascii="Palatino Linotype" w:eastAsia="MS Mincho" w:hAnsi="Palatino Linotype"/>
        </w:rPr>
      </w:pPr>
    </w:p>
    <w:p w14:paraId="1B539256" w14:textId="77777777" w:rsidR="003520FC" w:rsidRPr="00C7754F" w:rsidRDefault="003520FC" w:rsidP="003520FC">
      <w:pPr>
        <w:ind w:left="851" w:right="901"/>
        <w:jc w:val="both"/>
        <w:rPr>
          <w:rFonts w:ascii="Palatino Linotype" w:hAnsi="Palatino Linotype" w:cs="Arial"/>
          <w:i/>
          <w:sz w:val="22"/>
          <w:szCs w:val="22"/>
          <w:lang w:val="es-ES"/>
        </w:rPr>
      </w:pPr>
      <w:r w:rsidRPr="00C7754F">
        <w:rPr>
          <w:rFonts w:ascii="Palatino Linotype" w:hAnsi="Palatino Linotype" w:cs="Arial"/>
          <w:i/>
          <w:sz w:val="22"/>
          <w:szCs w:val="22"/>
          <w:lang w:val="es-ES"/>
        </w:rPr>
        <w:t>“</w:t>
      </w:r>
      <w:r w:rsidRPr="00C7754F">
        <w:rPr>
          <w:rFonts w:ascii="Palatino Linotype" w:hAnsi="Palatino Linotype" w:cs="Arial"/>
          <w:b/>
          <w:i/>
          <w:sz w:val="22"/>
          <w:szCs w:val="22"/>
          <w:lang w:val="es-ES"/>
        </w:rPr>
        <w:t>Artículo 179.</w:t>
      </w:r>
      <w:r w:rsidRPr="00C7754F">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7021BE2A" w14:textId="77777777" w:rsidR="003520FC" w:rsidRPr="00A6495C" w:rsidRDefault="003520FC" w:rsidP="003520FC">
      <w:pPr>
        <w:ind w:left="851" w:right="901"/>
        <w:jc w:val="both"/>
        <w:rPr>
          <w:rFonts w:ascii="Palatino Linotype" w:hAnsi="Palatino Linotype" w:cs="Arial"/>
          <w:bCs/>
          <w:i/>
          <w:sz w:val="22"/>
          <w:szCs w:val="22"/>
          <w:lang w:val="es-ES"/>
        </w:rPr>
      </w:pPr>
      <w:r>
        <w:rPr>
          <w:rFonts w:ascii="Palatino Linotype" w:hAnsi="Palatino Linotype" w:cs="Arial"/>
          <w:b/>
          <w:i/>
          <w:sz w:val="22"/>
          <w:szCs w:val="22"/>
          <w:lang w:val="es-ES"/>
        </w:rPr>
        <w:t xml:space="preserve">I. </w:t>
      </w:r>
      <w:r>
        <w:rPr>
          <w:rFonts w:ascii="Palatino Linotype" w:hAnsi="Palatino Linotype" w:cs="Arial"/>
          <w:bCs/>
          <w:i/>
          <w:sz w:val="22"/>
          <w:szCs w:val="22"/>
          <w:lang w:val="es-ES"/>
        </w:rPr>
        <w:t>La negativa a la información solicitada;</w:t>
      </w:r>
    </w:p>
    <w:p w14:paraId="598931B0" w14:textId="77777777" w:rsidR="003520FC" w:rsidRDefault="003520FC" w:rsidP="003520FC">
      <w:pPr>
        <w:ind w:left="851" w:right="901"/>
        <w:jc w:val="both"/>
        <w:rPr>
          <w:rFonts w:ascii="Palatino Linotype" w:hAnsi="Palatino Linotype" w:cs="Arial"/>
          <w:bCs/>
          <w:i/>
          <w:sz w:val="22"/>
          <w:szCs w:val="22"/>
          <w:lang w:val="es-ES"/>
        </w:rPr>
      </w:pPr>
      <w:r w:rsidRPr="00956116">
        <w:rPr>
          <w:rFonts w:ascii="Palatino Linotype" w:hAnsi="Palatino Linotype" w:cs="Arial"/>
          <w:bCs/>
          <w:i/>
          <w:sz w:val="22"/>
          <w:szCs w:val="22"/>
          <w:lang w:val="es-ES"/>
        </w:rPr>
        <w:t>(…)</w:t>
      </w:r>
    </w:p>
    <w:p w14:paraId="7F442472" w14:textId="77777777" w:rsidR="003520FC" w:rsidRPr="00A50AC6" w:rsidRDefault="003520FC" w:rsidP="003520FC">
      <w:pPr>
        <w:pStyle w:val="Sinespaciado"/>
        <w:tabs>
          <w:tab w:val="left" w:pos="426"/>
        </w:tabs>
        <w:ind w:left="851"/>
        <w:rPr>
          <w:i/>
          <w:iCs/>
        </w:rPr>
      </w:pPr>
      <w:r>
        <w:rPr>
          <w:rFonts w:ascii="Palatino Linotype" w:hAnsi="Palatino Linotype"/>
          <w:b/>
          <w:bCs/>
          <w:i/>
          <w:color w:val="000000" w:themeColor="text1"/>
          <w:sz w:val="22"/>
        </w:rPr>
        <w:t>VII.</w:t>
      </w:r>
      <w:r>
        <w:rPr>
          <w:rFonts w:ascii="Palatino Linotype" w:hAnsi="Palatino Linotype"/>
          <w:i/>
          <w:color w:val="000000" w:themeColor="text1"/>
          <w:sz w:val="22"/>
        </w:rPr>
        <w:t xml:space="preserve"> La falta de respuesta a una solicitud de información;</w:t>
      </w:r>
    </w:p>
    <w:p w14:paraId="74371EC0" w14:textId="77777777" w:rsidR="003520FC" w:rsidRPr="00956116" w:rsidRDefault="003520FC" w:rsidP="003520FC">
      <w:pPr>
        <w:ind w:left="851" w:right="901"/>
        <w:jc w:val="both"/>
        <w:rPr>
          <w:rFonts w:ascii="Palatino Linotype" w:hAnsi="Palatino Linotype" w:cs="Arial"/>
          <w:bCs/>
          <w:i/>
          <w:sz w:val="22"/>
          <w:szCs w:val="22"/>
          <w:lang w:val="es-ES"/>
        </w:rPr>
      </w:pPr>
      <w:r w:rsidRPr="00A85CB7">
        <w:rPr>
          <w:rFonts w:ascii="Palatino Linotype" w:hAnsi="Palatino Linotype"/>
          <w:i/>
          <w:color w:val="000000" w:themeColor="text1"/>
          <w:sz w:val="22"/>
        </w:rPr>
        <w:t>(…)</w:t>
      </w:r>
      <w:r>
        <w:rPr>
          <w:rFonts w:ascii="Palatino Linotype" w:hAnsi="Palatino Linotype"/>
          <w:i/>
          <w:color w:val="000000" w:themeColor="text1"/>
          <w:sz w:val="22"/>
        </w:rPr>
        <w:t>”</w:t>
      </w:r>
    </w:p>
    <w:p w14:paraId="01A396FA" w14:textId="77777777" w:rsidR="003520FC" w:rsidRDefault="003520FC" w:rsidP="003520FC">
      <w:pPr>
        <w:pStyle w:val="Prrafodelista"/>
        <w:spacing w:line="360" w:lineRule="auto"/>
        <w:ind w:left="0"/>
        <w:jc w:val="both"/>
        <w:rPr>
          <w:rFonts w:ascii="Palatino Linotype" w:eastAsia="MS Mincho" w:hAnsi="Palatino Linotype"/>
        </w:rPr>
      </w:pPr>
    </w:p>
    <w:p w14:paraId="7BE3A598" w14:textId="77777777" w:rsidR="003520FC" w:rsidRPr="00C10E96" w:rsidRDefault="003520FC" w:rsidP="003520FC">
      <w:pPr>
        <w:pStyle w:val="Prrafodelista"/>
        <w:widowControl w:val="0"/>
        <w:numPr>
          <w:ilvl w:val="0"/>
          <w:numId w:val="2"/>
        </w:numPr>
        <w:suppressAutoHyphens/>
        <w:spacing w:line="360" w:lineRule="auto"/>
        <w:ind w:left="0" w:firstLine="0"/>
        <w:jc w:val="both"/>
        <w:rPr>
          <w:rFonts w:ascii="Palatino Linotype" w:hAnsi="Palatino Linotype" w:cs="Arial"/>
        </w:rPr>
      </w:pPr>
      <w:r w:rsidRPr="00C10E96">
        <w:rPr>
          <w:rFonts w:ascii="Palatino Linotype" w:hAnsi="Palatino Linotype" w:cs="Arial"/>
        </w:rPr>
        <w:t xml:space="preserve">El precepto legal antes citado, establece como supuesto de procedencia del recurso de revisión, la negativa a la información solicitada, así como la falta de respuesta a una solicitud por parte del </w:t>
      </w:r>
      <w:r w:rsidRPr="00C10E96">
        <w:rPr>
          <w:rFonts w:ascii="Palatino Linotype" w:hAnsi="Palatino Linotype" w:cs="Arial"/>
          <w:b/>
        </w:rPr>
        <w:t>SUJETO OBLIGADO</w:t>
      </w:r>
      <w:r>
        <w:rPr>
          <w:rFonts w:ascii="Palatino Linotype" w:hAnsi="Palatino Linotype" w:cs="Arial"/>
          <w:b/>
        </w:rPr>
        <w:t>.</w:t>
      </w:r>
    </w:p>
    <w:p w14:paraId="6754C1F0" w14:textId="77777777" w:rsidR="003520FC" w:rsidRDefault="003520FC" w:rsidP="003520FC">
      <w:pPr>
        <w:pStyle w:val="Prrafodelista"/>
        <w:spacing w:line="360" w:lineRule="auto"/>
        <w:ind w:left="0"/>
        <w:jc w:val="both"/>
        <w:rPr>
          <w:rFonts w:ascii="Palatino Linotype" w:eastAsia="MS Mincho" w:hAnsi="Palatino Linotype"/>
        </w:rPr>
      </w:pPr>
    </w:p>
    <w:p w14:paraId="39A0F406" w14:textId="77777777" w:rsidR="003520FC" w:rsidRPr="00C10E96" w:rsidRDefault="003520FC" w:rsidP="003520FC">
      <w:pPr>
        <w:pStyle w:val="Prrafodelista"/>
        <w:numPr>
          <w:ilvl w:val="0"/>
          <w:numId w:val="2"/>
        </w:numPr>
        <w:spacing w:line="360" w:lineRule="auto"/>
        <w:ind w:left="0" w:firstLine="0"/>
        <w:jc w:val="both"/>
        <w:rPr>
          <w:rFonts w:ascii="Palatino Linotype" w:eastAsia="MS Mincho" w:hAnsi="Palatino Linotype"/>
        </w:rPr>
      </w:pPr>
      <w:r>
        <w:rPr>
          <w:rFonts w:ascii="Palatino Linotype" w:eastAsia="MS Mincho" w:hAnsi="Palatino Linotype"/>
        </w:rPr>
        <w:t xml:space="preserve">El mismo ordenamiento legal, ahora en su artículo 150, expone que el procedimiento de acceso a la información </w:t>
      </w:r>
      <w:r w:rsidRPr="00C10E96">
        <w:rPr>
          <w:rFonts w:ascii="Palatino Linotype" w:hAnsi="Palatino Linotype" w:cs="Arial"/>
          <w:lang w:val="es-ES_tradnl"/>
        </w:rPr>
        <w:t>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6EBE49DE" w14:textId="77777777" w:rsidR="003520FC" w:rsidRPr="00C10E96" w:rsidRDefault="003520FC" w:rsidP="003520FC">
      <w:pPr>
        <w:pStyle w:val="Prrafodelista"/>
        <w:rPr>
          <w:rFonts w:ascii="Palatino Linotype" w:eastAsia="MS Mincho" w:hAnsi="Palatino Linotype"/>
        </w:rPr>
      </w:pPr>
    </w:p>
    <w:p w14:paraId="1524B2A0" w14:textId="77777777" w:rsidR="003520FC" w:rsidRPr="00C10E96" w:rsidRDefault="003520FC" w:rsidP="003520FC">
      <w:pPr>
        <w:pStyle w:val="Prrafodelista"/>
        <w:numPr>
          <w:ilvl w:val="0"/>
          <w:numId w:val="2"/>
        </w:numPr>
        <w:spacing w:line="360" w:lineRule="auto"/>
        <w:ind w:left="0" w:firstLine="0"/>
        <w:jc w:val="both"/>
        <w:rPr>
          <w:rFonts w:ascii="Palatino Linotype" w:eastAsia="MS Mincho" w:hAnsi="Palatino Linotype"/>
        </w:rPr>
      </w:pPr>
      <w:r w:rsidRPr="00C10E96">
        <w:rPr>
          <w:rFonts w:ascii="Palatino Linotype" w:hAnsi="Palatino Linotype" w:cs="Arial"/>
          <w:lang w:val="es-ES_tradnl"/>
        </w:rPr>
        <w:t xml:space="preserve">Para atender las solicitudes de información, los Sujetos Obligados contarán con un área denominada </w:t>
      </w:r>
      <w:r w:rsidRPr="00C10E96">
        <w:rPr>
          <w:rFonts w:ascii="Palatino Linotype" w:hAnsi="Palatino Linotype" w:cs="Arial"/>
          <w:b/>
          <w:bCs/>
          <w:lang w:val="es-ES_tradnl"/>
        </w:rPr>
        <w:t>Unidad de Transparencia</w:t>
      </w:r>
      <w:r w:rsidRPr="00956116">
        <w:rPr>
          <w:rFonts w:cs="Arial"/>
          <w:vertAlign w:val="superscript"/>
          <w:lang w:val="es-ES_tradnl"/>
        </w:rPr>
        <w:footnoteReference w:id="1"/>
      </w:r>
      <w:r w:rsidRPr="00C10E96">
        <w:rPr>
          <w:rFonts w:ascii="Palatino Linotype" w:hAnsi="Palatino Linotype" w:cs="Arial"/>
          <w:lang w:val="es-ES_tradnl"/>
        </w:rPr>
        <w:t xml:space="preserve">, la cual será presidida por un Titular, quien fungirá como enlace entre éstos y los solicitantes. Dicha Unidad </w:t>
      </w:r>
      <w:r w:rsidRPr="00C10E96">
        <w:rPr>
          <w:rFonts w:ascii="Palatino Linotype" w:hAnsi="Palatino Linotype" w:cs="Arial"/>
          <w:b/>
          <w:bCs/>
          <w:lang w:val="es-ES_tradnl"/>
        </w:rPr>
        <w:t>será la encargada de tramitar internamente la solicitud de información</w:t>
      </w:r>
      <w:r w:rsidRPr="00C10E96">
        <w:rPr>
          <w:rFonts w:ascii="Palatino Linotype" w:hAnsi="Palatino Linotype" w:cs="Arial"/>
          <w:lang w:val="es-ES_tradnl"/>
        </w:rPr>
        <w:t xml:space="preserve"> y tendrá la responsabilidad de verificar en cada </w:t>
      </w:r>
      <w:r w:rsidRPr="00C10E96">
        <w:rPr>
          <w:rFonts w:ascii="Palatino Linotype" w:hAnsi="Palatino Linotype" w:cs="Arial"/>
          <w:lang w:val="es-ES_tradnl"/>
        </w:rPr>
        <w:lastRenderedPageBreak/>
        <w:t xml:space="preserve">caso que la misma no sea confidencial o reservada. Asimismo, contará con las facultades internas necesarias para </w:t>
      </w:r>
      <w:r w:rsidRPr="00C10E96">
        <w:rPr>
          <w:rFonts w:ascii="Palatino Linotype" w:hAnsi="Palatino Linotype" w:cs="Arial"/>
          <w:b/>
          <w:bCs/>
          <w:lang w:val="es-ES_tradnl"/>
        </w:rPr>
        <w:t xml:space="preserve">gestionar la atención a las solicitudes de información </w:t>
      </w:r>
      <w:r w:rsidRPr="00C10E96">
        <w:rPr>
          <w:rFonts w:ascii="Palatino Linotype" w:hAnsi="Palatino Linotype" w:cs="Arial"/>
          <w:lang w:val="es-ES_tradnl"/>
        </w:rPr>
        <w:t>en los términos de la Ley General y la Ley de Transparencia y Acceso a la Información Pública del Estado de México y Municipios</w:t>
      </w:r>
      <w:r w:rsidRPr="00956116">
        <w:rPr>
          <w:rFonts w:cs="Arial"/>
          <w:vertAlign w:val="superscript"/>
          <w:lang w:val="es-ES_tradnl"/>
        </w:rPr>
        <w:footnoteReference w:id="2"/>
      </w:r>
      <w:r w:rsidRPr="00C10E96">
        <w:rPr>
          <w:rFonts w:ascii="Palatino Linotype" w:hAnsi="Palatino Linotype" w:cs="Arial"/>
          <w:lang w:val="es-ES_tradnl"/>
        </w:rPr>
        <w:t>.</w:t>
      </w:r>
    </w:p>
    <w:p w14:paraId="3BE56A09" w14:textId="77777777" w:rsidR="003520FC" w:rsidRPr="00C10E96" w:rsidRDefault="003520FC" w:rsidP="003520FC">
      <w:pPr>
        <w:pStyle w:val="Prrafodelista"/>
        <w:rPr>
          <w:rFonts w:ascii="Palatino Linotype" w:eastAsia="MS Mincho" w:hAnsi="Palatino Linotype"/>
        </w:rPr>
      </w:pPr>
    </w:p>
    <w:p w14:paraId="6B21A0CD" w14:textId="77777777" w:rsidR="003520FC" w:rsidRPr="005C57AF" w:rsidRDefault="003520FC" w:rsidP="003520FC">
      <w:pPr>
        <w:pStyle w:val="Prrafodelista"/>
        <w:numPr>
          <w:ilvl w:val="0"/>
          <w:numId w:val="2"/>
        </w:numPr>
        <w:spacing w:line="360" w:lineRule="auto"/>
        <w:ind w:left="0" w:firstLine="0"/>
        <w:jc w:val="both"/>
        <w:rPr>
          <w:rFonts w:ascii="Palatino Linotype" w:eastAsia="MS Mincho" w:hAnsi="Palatino Linotype"/>
        </w:rPr>
      </w:pPr>
      <w:r w:rsidRPr="00C10E96">
        <w:rPr>
          <w:rFonts w:ascii="Palatino Linotype" w:hAnsi="Palatino Linotype" w:cs="Arial"/>
          <w:lang w:val="es-ES_tradnl"/>
        </w:rPr>
        <w:t xml:space="preserve">De </w:t>
      </w:r>
      <w:r w:rsidRPr="00C10E96">
        <w:rPr>
          <w:rFonts w:ascii="Palatino Linotype" w:hAnsi="Palatino Linotype" w:cs="Arial"/>
          <w:color w:val="000000" w:themeColor="text1"/>
        </w:rPr>
        <w:t>conformidad con lo dispuesto por el artículo 53 de la Ley de Transparencia y Acceso a la Información Pública del Estado de México y Municipios, las Unidades de Transparencia tendrán, entre sus atribuciones, las siguientes:</w:t>
      </w:r>
    </w:p>
    <w:p w14:paraId="0422C7E5" w14:textId="77777777" w:rsidR="003520FC" w:rsidRPr="005C57AF" w:rsidRDefault="003520FC" w:rsidP="003520FC">
      <w:pPr>
        <w:pStyle w:val="Prrafodelista"/>
        <w:rPr>
          <w:rFonts w:ascii="Palatino Linotype" w:eastAsia="MS Mincho" w:hAnsi="Palatino Linotype"/>
        </w:rPr>
      </w:pPr>
    </w:p>
    <w:p w14:paraId="455B5390" w14:textId="77777777" w:rsidR="003520FC" w:rsidRPr="00956116" w:rsidRDefault="003520FC" w:rsidP="003520FC">
      <w:pPr>
        <w:pStyle w:val="Prrafodelista"/>
        <w:numPr>
          <w:ilvl w:val="0"/>
          <w:numId w:val="18"/>
        </w:numPr>
        <w:spacing w:line="360" w:lineRule="auto"/>
        <w:ind w:left="993"/>
        <w:contextualSpacing w:val="0"/>
        <w:jc w:val="both"/>
        <w:rPr>
          <w:rFonts w:ascii="Palatino Linotype" w:hAnsi="Palatino Linotype" w:cs="Arial"/>
        </w:rPr>
      </w:pPr>
      <w:r>
        <w:rPr>
          <w:rFonts w:ascii="Palatino Linotype" w:hAnsi="Palatino Linotype" w:cs="Arial"/>
        </w:rPr>
        <w:t xml:space="preserve">Recibir, </w:t>
      </w:r>
      <w:r w:rsidRPr="00956116">
        <w:rPr>
          <w:rFonts w:ascii="Palatino Linotype" w:hAnsi="Palatino Linotype" w:cs="Arial"/>
        </w:rPr>
        <w:t>tramitar y dar respuesta a las solicitudes de acceso a la información;</w:t>
      </w:r>
    </w:p>
    <w:p w14:paraId="5BA19E11" w14:textId="77777777" w:rsidR="003520FC" w:rsidRPr="00956116" w:rsidRDefault="003520FC" w:rsidP="003520FC">
      <w:pPr>
        <w:pStyle w:val="Prrafodelista"/>
        <w:numPr>
          <w:ilvl w:val="0"/>
          <w:numId w:val="18"/>
        </w:numPr>
        <w:spacing w:line="360" w:lineRule="auto"/>
        <w:ind w:left="993"/>
        <w:contextualSpacing w:val="0"/>
        <w:jc w:val="both"/>
        <w:rPr>
          <w:rFonts w:ascii="Palatino Linotype" w:hAnsi="Palatino Linotype" w:cs="Arial"/>
        </w:rPr>
      </w:pPr>
      <w:r w:rsidRPr="00956116">
        <w:rPr>
          <w:rFonts w:ascii="Palatino Linotype" w:hAnsi="Palatino Linotype" w:cs="Arial"/>
        </w:rPr>
        <w:t xml:space="preserve">Realizar, con efectividad, los trámites internos necesarios para la atención de las solicitudes de acceso a la información; </w:t>
      </w:r>
    </w:p>
    <w:p w14:paraId="6239DB73" w14:textId="77777777" w:rsidR="003520FC" w:rsidRPr="00956116" w:rsidRDefault="003520FC" w:rsidP="003520FC">
      <w:pPr>
        <w:pStyle w:val="Prrafodelista"/>
        <w:numPr>
          <w:ilvl w:val="0"/>
          <w:numId w:val="18"/>
        </w:numPr>
        <w:spacing w:line="360" w:lineRule="auto"/>
        <w:ind w:left="993"/>
        <w:contextualSpacing w:val="0"/>
        <w:jc w:val="both"/>
        <w:rPr>
          <w:rFonts w:ascii="Palatino Linotype" w:hAnsi="Palatino Linotype" w:cs="Arial"/>
        </w:rPr>
      </w:pPr>
      <w:r w:rsidRPr="00956116">
        <w:rPr>
          <w:rFonts w:ascii="Palatino Linotype" w:hAnsi="Palatino Linotype" w:cs="Arial"/>
        </w:rPr>
        <w:t xml:space="preserve">Entregar, en su caso, a los particulares la información solicitada; y </w:t>
      </w:r>
    </w:p>
    <w:p w14:paraId="60A4AC7B" w14:textId="77777777" w:rsidR="003520FC" w:rsidRDefault="003520FC" w:rsidP="003520FC">
      <w:pPr>
        <w:pStyle w:val="Prrafodelista"/>
        <w:numPr>
          <w:ilvl w:val="0"/>
          <w:numId w:val="18"/>
        </w:numPr>
        <w:spacing w:line="360" w:lineRule="auto"/>
        <w:ind w:left="993"/>
        <w:contextualSpacing w:val="0"/>
        <w:jc w:val="both"/>
        <w:rPr>
          <w:rFonts w:ascii="Palatino Linotype" w:hAnsi="Palatino Linotype" w:cs="Arial"/>
        </w:rPr>
      </w:pPr>
      <w:r w:rsidRPr="00956116">
        <w:rPr>
          <w:rFonts w:ascii="Palatino Linotype" w:hAnsi="Palatino Linotype" w:cs="Arial"/>
        </w:rPr>
        <w:t>Hacer del conocimiento de la instancia competente la probable responsabilidad por el incumplimiento de las obligaciones previstas en la presente Ley.</w:t>
      </w:r>
    </w:p>
    <w:p w14:paraId="2879E57E" w14:textId="77777777" w:rsidR="003520FC" w:rsidRDefault="003520FC" w:rsidP="003520FC">
      <w:pPr>
        <w:spacing w:line="360" w:lineRule="auto"/>
        <w:jc w:val="both"/>
        <w:rPr>
          <w:rFonts w:ascii="Palatino Linotype" w:hAnsi="Palatino Linotype" w:cs="Arial"/>
        </w:rPr>
      </w:pPr>
    </w:p>
    <w:p w14:paraId="6765E172" w14:textId="77777777" w:rsidR="003520FC" w:rsidRPr="00C10E96" w:rsidRDefault="003520FC" w:rsidP="003520FC">
      <w:pPr>
        <w:pStyle w:val="Prrafodelista"/>
        <w:numPr>
          <w:ilvl w:val="0"/>
          <w:numId w:val="2"/>
        </w:numPr>
        <w:spacing w:line="360" w:lineRule="auto"/>
        <w:ind w:left="0" w:firstLine="0"/>
        <w:jc w:val="both"/>
        <w:rPr>
          <w:rFonts w:ascii="Palatino Linotype" w:hAnsi="Palatino Linotype" w:cs="Arial"/>
          <w:color w:val="000000" w:themeColor="text1"/>
        </w:rPr>
      </w:pPr>
      <w:r w:rsidRPr="00C10E96">
        <w:rPr>
          <w:rFonts w:ascii="Palatino Linotype" w:hAnsi="Palatino Linotype" w:cs="Arial"/>
        </w:rPr>
        <w:t xml:space="preserve">Otros </w:t>
      </w:r>
      <w:r w:rsidRPr="00C10E96">
        <w:rPr>
          <w:rFonts w:ascii="Palatino Linotype" w:hAnsi="Palatino Linotype" w:cs="Arial"/>
          <w:color w:val="000000" w:themeColor="text1"/>
        </w:rPr>
        <w:t>sujetos del proceso de atención a las solicitudes de información son los servidores públicos habilitados, quienes serán designados por el titular del Sujeto Obligado a propuesta del responsable de la Unidad de Transparencia</w:t>
      </w:r>
      <w:r>
        <w:rPr>
          <w:rStyle w:val="Refdenotaalpie"/>
          <w:rFonts w:ascii="Palatino Linotype" w:eastAsiaTheme="majorEastAsia" w:hAnsi="Palatino Linotype" w:cs="Arial"/>
          <w:color w:val="000000" w:themeColor="text1"/>
        </w:rPr>
        <w:footnoteReference w:id="3"/>
      </w:r>
      <w:r w:rsidRPr="00C10E96">
        <w:rPr>
          <w:rFonts w:ascii="Palatino Linotype" w:hAnsi="Palatino Linotype" w:cs="Arial"/>
          <w:color w:val="000000" w:themeColor="text1"/>
        </w:rPr>
        <w:t xml:space="preserve"> y tendrán, entre sus atribuciones, las siguientes</w:t>
      </w:r>
      <w:r>
        <w:rPr>
          <w:rStyle w:val="Refdenotaalpie"/>
          <w:rFonts w:ascii="Palatino Linotype" w:eastAsiaTheme="majorEastAsia" w:hAnsi="Palatino Linotype" w:cs="Arial"/>
          <w:color w:val="000000" w:themeColor="text1"/>
        </w:rPr>
        <w:footnoteReference w:id="4"/>
      </w:r>
      <w:r w:rsidRPr="00C10E96">
        <w:rPr>
          <w:rFonts w:ascii="Palatino Linotype" w:hAnsi="Palatino Linotype" w:cs="Arial"/>
          <w:color w:val="000000" w:themeColor="text1"/>
        </w:rPr>
        <w:t>:</w:t>
      </w:r>
    </w:p>
    <w:p w14:paraId="4A86C7FA" w14:textId="77777777" w:rsidR="003520FC" w:rsidRPr="00956116" w:rsidRDefault="003520FC" w:rsidP="003520FC">
      <w:pPr>
        <w:pStyle w:val="Prrafodelista"/>
        <w:numPr>
          <w:ilvl w:val="0"/>
          <w:numId w:val="19"/>
        </w:numPr>
        <w:spacing w:line="360" w:lineRule="auto"/>
        <w:ind w:left="993"/>
        <w:contextualSpacing w:val="0"/>
        <w:jc w:val="both"/>
        <w:rPr>
          <w:rFonts w:ascii="Palatino Linotype" w:hAnsi="Palatino Linotype" w:cs="Arial"/>
          <w:lang w:val="es-ES_tradnl"/>
        </w:rPr>
      </w:pPr>
      <w:r>
        <w:rPr>
          <w:rFonts w:ascii="Palatino Linotype" w:hAnsi="Palatino Linotype" w:cs="Arial"/>
        </w:rPr>
        <w:t xml:space="preserve">Localizar </w:t>
      </w:r>
      <w:r w:rsidRPr="00956116">
        <w:rPr>
          <w:rFonts w:ascii="Palatino Linotype" w:hAnsi="Palatino Linotype" w:cs="Arial"/>
          <w:lang w:val="es-ES_tradnl"/>
        </w:rPr>
        <w:t>la información que le solicite la Unidad de Transparencia; y</w:t>
      </w:r>
    </w:p>
    <w:p w14:paraId="2FB29B70" w14:textId="77777777" w:rsidR="003520FC" w:rsidRPr="00956116" w:rsidRDefault="003520FC" w:rsidP="003520FC">
      <w:pPr>
        <w:pStyle w:val="Prrafodelista"/>
        <w:numPr>
          <w:ilvl w:val="0"/>
          <w:numId w:val="19"/>
        </w:numPr>
        <w:spacing w:line="360" w:lineRule="auto"/>
        <w:ind w:left="993"/>
        <w:contextualSpacing w:val="0"/>
        <w:jc w:val="both"/>
        <w:rPr>
          <w:rFonts w:ascii="Palatino Linotype" w:hAnsi="Palatino Linotype" w:cs="Arial"/>
        </w:rPr>
      </w:pPr>
      <w:r w:rsidRPr="00956116">
        <w:rPr>
          <w:rFonts w:ascii="Palatino Linotype" w:hAnsi="Palatino Linotype" w:cs="Arial"/>
          <w:lang w:val="es-ES_tradnl"/>
        </w:rPr>
        <w:t>Proporcionar la información que obre en los archivos y que le sea solicitada por la Unidad de Transparencia.</w:t>
      </w:r>
    </w:p>
    <w:p w14:paraId="7201D474" w14:textId="77777777" w:rsidR="003520FC" w:rsidRDefault="003520FC" w:rsidP="003520FC">
      <w:pPr>
        <w:spacing w:line="360" w:lineRule="auto"/>
        <w:jc w:val="both"/>
        <w:rPr>
          <w:rFonts w:ascii="Palatino Linotype" w:hAnsi="Palatino Linotype" w:cs="Arial"/>
        </w:rPr>
      </w:pPr>
    </w:p>
    <w:p w14:paraId="4B404BE5" w14:textId="77777777" w:rsidR="003520FC" w:rsidRDefault="003520FC" w:rsidP="003520FC">
      <w:pPr>
        <w:pStyle w:val="Prrafodelista"/>
        <w:numPr>
          <w:ilvl w:val="0"/>
          <w:numId w:val="2"/>
        </w:numPr>
        <w:spacing w:line="360" w:lineRule="auto"/>
        <w:ind w:left="0" w:firstLine="0"/>
        <w:jc w:val="both"/>
        <w:rPr>
          <w:rFonts w:ascii="Palatino Linotype" w:hAnsi="Palatino Linotype" w:cs="Arial"/>
          <w:color w:val="000000" w:themeColor="text1"/>
        </w:rPr>
      </w:pPr>
      <w:r w:rsidRPr="00C10E96">
        <w:rPr>
          <w:rFonts w:ascii="Palatino Linotype" w:hAnsi="Palatino Linotype" w:cs="Arial"/>
        </w:rPr>
        <w:t xml:space="preserve">De </w:t>
      </w:r>
      <w:r w:rsidRPr="00C10E96">
        <w:rPr>
          <w:rFonts w:ascii="Palatino Linotype" w:hAnsi="Palatino Linotype" w:cs="Arial"/>
          <w:color w:val="000000" w:themeColor="text1"/>
        </w:rPr>
        <w:t xml:space="preserve">tal manera que cada una de las áreas administrativas del </w:t>
      </w:r>
      <w:r w:rsidRPr="00C10E96">
        <w:rPr>
          <w:rFonts w:ascii="Palatino Linotype" w:hAnsi="Palatino Linotype" w:cs="Arial"/>
          <w:b/>
          <w:bCs/>
          <w:color w:val="000000" w:themeColor="text1"/>
        </w:rPr>
        <w:t>SUJETO OBLIGADO</w:t>
      </w:r>
      <w:r w:rsidRPr="00C10E96">
        <w:rPr>
          <w:rFonts w:ascii="Palatino Linotype" w:hAnsi="Palatino Linotype" w:cs="Arial"/>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14:paraId="7CAC5D70" w14:textId="77777777" w:rsidR="003520FC" w:rsidRDefault="003520FC" w:rsidP="003520FC">
      <w:pPr>
        <w:pStyle w:val="Prrafodelista"/>
        <w:spacing w:line="360" w:lineRule="auto"/>
        <w:ind w:left="0"/>
        <w:jc w:val="both"/>
        <w:rPr>
          <w:rFonts w:ascii="Palatino Linotype" w:hAnsi="Palatino Linotype" w:cs="Arial"/>
          <w:color w:val="000000" w:themeColor="text1"/>
        </w:rPr>
      </w:pPr>
    </w:p>
    <w:p w14:paraId="7B899C4D" w14:textId="77777777" w:rsidR="003520FC" w:rsidRDefault="003520FC" w:rsidP="003520FC">
      <w:pPr>
        <w:pStyle w:val="Prrafodelista"/>
        <w:numPr>
          <w:ilvl w:val="0"/>
          <w:numId w:val="2"/>
        </w:numPr>
        <w:spacing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t>De las actuaciones que obran en el SAIMEX, se aprecia que el Titular de la Unidad de Transparencia no turnó la solicitud a ninguna de las áreas que integran la estructura orgánica del Sujeto Obligado, incumpliendo con lo establece el artículo 162 de la Ley de Transparencia y Acceso a la Información Pública del Estado de México y Municipios, el cual establece:</w:t>
      </w:r>
    </w:p>
    <w:p w14:paraId="693E37AC" w14:textId="77777777" w:rsidR="003520FC" w:rsidRPr="005C57AF" w:rsidRDefault="003520FC" w:rsidP="003520FC">
      <w:pPr>
        <w:pStyle w:val="Prrafodelista"/>
        <w:rPr>
          <w:rFonts w:ascii="Palatino Linotype" w:hAnsi="Palatino Linotype" w:cs="Arial"/>
          <w:color w:val="000000" w:themeColor="text1"/>
        </w:rPr>
      </w:pPr>
    </w:p>
    <w:p w14:paraId="12EAAB83" w14:textId="77777777" w:rsidR="003520FC" w:rsidRPr="005C57AF" w:rsidRDefault="003520FC" w:rsidP="003520FC">
      <w:pPr>
        <w:spacing w:line="360" w:lineRule="auto"/>
        <w:ind w:left="567" w:right="822"/>
        <w:jc w:val="both"/>
        <w:rPr>
          <w:rFonts w:ascii="Palatino Linotype" w:hAnsi="Palatino Linotype" w:cs="Arial"/>
          <w:i/>
          <w:color w:val="000000" w:themeColor="text1"/>
          <w:sz w:val="22"/>
        </w:rPr>
      </w:pPr>
      <w:r w:rsidRPr="005C57AF">
        <w:rPr>
          <w:rFonts w:ascii="Palatino Linotype" w:hAnsi="Palatino Linotype"/>
          <w:i/>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FC274E4" w14:textId="77777777" w:rsidR="003520FC" w:rsidRPr="005C57AF" w:rsidRDefault="003520FC" w:rsidP="003520FC">
      <w:pPr>
        <w:pStyle w:val="Prrafodelista"/>
        <w:rPr>
          <w:rFonts w:ascii="Palatino Linotype" w:hAnsi="Palatino Linotype" w:cs="Arial"/>
          <w:color w:val="000000" w:themeColor="text1"/>
        </w:rPr>
      </w:pPr>
    </w:p>
    <w:p w14:paraId="720B206C" w14:textId="77777777" w:rsidR="003520FC" w:rsidRPr="005C57AF" w:rsidRDefault="003520FC" w:rsidP="003520FC">
      <w:pPr>
        <w:pStyle w:val="Prrafodelista"/>
        <w:rPr>
          <w:rFonts w:ascii="Palatino Linotype" w:hAnsi="Palatino Linotype" w:cs="Arial"/>
          <w:color w:val="000000" w:themeColor="text1"/>
        </w:rPr>
      </w:pPr>
    </w:p>
    <w:p w14:paraId="2FE7C805" w14:textId="77777777" w:rsidR="003520FC" w:rsidRDefault="003520FC" w:rsidP="003520FC">
      <w:pPr>
        <w:pStyle w:val="Prrafodelista"/>
        <w:numPr>
          <w:ilvl w:val="0"/>
          <w:numId w:val="2"/>
        </w:numPr>
        <w:spacing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t>La falta de turno o carteo para la correcta atención de las solicitudes de acceso a la información, se traduce en una evidente y directa afectación al derecho accionado por el Recurrente, toda vez que, ve impedido su acceso a los documentos solicitados.</w:t>
      </w:r>
    </w:p>
    <w:p w14:paraId="69F13A29" w14:textId="77777777" w:rsidR="003520FC" w:rsidRDefault="003520FC" w:rsidP="003520FC">
      <w:pPr>
        <w:pStyle w:val="Prrafodelista"/>
        <w:spacing w:line="360" w:lineRule="auto"/>
        <w:ind w:left="0"/>
        <w:jc w:val="both"/>
        <w:rPr>
          <w:rFonts w:ascii="Palatino Linotype" w:hAnsi="Palatino Linotype" w:cs="Arial"/>
          <w:color w:val="000000" w:themeColor="text1"/>
        </w:rPr>
      </w:pPr>
    </w:p>
    <w:p w14:paraId="665128A2" w14:textId="77777777" w:rsidR="003520FC" w:rsidRPr="00E81DF5" w:rsidRDefault="003520FC" w:rsidP="003520FC">
      <w:pPr>
        <w:pStyle w:val="Prrafodelista"/>
        <w:numPr>
          <w:ilvl w:val="0"/>
          <w:numId w:val="2"/>
        </w:numPr>
        <w:spacing w:line="360" w:lineRule="auto"/>
        <w:ind w:left="0" w:firstLine="0"/>
        <w:jc w:val="both"/>
        <w:rPr>
          <w:rFonts w:ascii="Palatino Linotype" w:hAnsi="Palatino Linotype" w:cs="Arial"/>
          <w:color w:val="000000" w:themeColor="text1"/>
        </w:rPr>
      </w:pPr>
      <w:r>
        <w:rPr>
          <w:rFonts w:ascii="Palatino Linotype" w:hAnsi="Palatino Linotype" w:cs="Arial"/>
          <w:color w:val="000000" w:themeColor="text1"/>
        </w:rPr>
        <w:t xml:space="preserve">En ese sentido, se puede apreciar la existencia de una respuesta formal a la solicitud; sin embargo, tiene efectos negativos al no atender, en absoluto, los requerimientos planteados, sino por el contrario, el Sujeto Obligado fuera del plazo de cinco días hábiles que señala el artículo 159 de la Ley en la materia requirió al recurrente que aclarara la solicitud en lugar </w:t>
      </w:r>
      <w:r>
        <w:rPr>
          <w:rFonts w:ascii="Palatino Linotype" w:hAnsi="Palatino Linotype" w:cs="Arial"/>
          <w:color w:val="000000" w:themeColor="text1"/>
        </w:rPr>
        <w:lastRenderedPageBreak/>
        <w:t>turnar la solicitud a las áreas que de acuerdo a sus atribuciones, funciones y competencias pudieran generar, administrar y/o poseer la información, violentando el derecho del particular dejándolo</w:t>
      </w:r>
      <w:r w:rsidRPr="00E81DF5">
        <w:rPr>
          <w:rFonts w:ascii="Palatino Linotype" w:hAnsi="Palatino Linotype" w:cs="Arial"/>
          <w:color w:val="000000" w:themeColor="text1"/>
        </w:rPr>
        <w:t xml:space="preserve"> en total estado de incertidumbre.</w:t>
      </w:r>
    </w:p>
    <w:p w14:paraId="5290C4B7" w14:textId="77777777" w:rsidR="003520FC" w:rsidRPr="00C10E96" w:rsidRDefault="003520FC" w:rsidP="003520FC">
      <w:pPr>
        <w:pStyle w:val="Prrafodelista"/>
        <w:rPr>
          <w:rFonts w:ascii="Palatino Linotype" w:hAnsi="Palatino Linotype" w:cs="Arial"/>
          <w:color w:val="000000" w:themeColor="text1"/>
        </w:rPr>
      </w:pPr>
    </w:p>
    <w:p w14:paraId="16D76F9C" w14:textId="77777777" w:rsidR="003520FC" w:rsidRPr="00842A80" w:rsidRDefault="003520FC" w:rsidP="003520FC">
      <w:pPr>
        <w:pStyle w:val="Prrafodelista"/>
        <w:numPr>
          <w:ilvl w:val="0"/>
          <w:numId w:val="2"/>
        </w:numPr>
        <w:spacing w:line="360" w:lineRule="auto"/>
        <w:ind w:left="0" w:firstLine="0"/>
        <w:jc w:val="both"/>
        <w:rPr>
          <w:rFonts w:ascii="Palatino Linotype" w:hAnsi="Palatino Linotype" w:cs="Arial"/>
          <w:color w:val="000000" w:themeColor="text1"/>
        </w:rPr>
      </w:pPr>
      <w:r w:rsidRPr="00C10E96">
        <w:rPr>
          <w:rFonts w:ascii="Palatino Linotype" w:eastAsia="MS Mincho" w:hAnsi="Palatino Linotype"/>
          <w:lang w:val="es-ES"/>
        </w:rPr>
        <w:t xml:space="preserve">En </w:t>
      </w:r>
      <w:r w:rsidRPr="00C10E96">
        <w:rPr>
          <w:rFonts w:ascii="Palatino Linotype" w:eastAsia="MS Mincho" w:hAnsi="Palatino Linotype"/>
          <w:lang w:val="es-ES_tradnl"/>
        </w:rPr>
        <w:t xml:space="preserve">consecuencia, esta Ponencia </w:t>
      </w:r>
      <w:proofErr w:type="spellStart"/>
      <w:r w:rsidRPr="00C10E96">
        <w:rPr>
          <w:rFonts w:ascii="Palatino Linotype" w:eastAsia="MS Mincho" w:hAnsi="Palatino Linotype"/>
          <w:lang w:val="es-ES_tradnl"/>
        </w:rPr>
        <w:t>Resolutora</w:t>
      </w:r>
      <w:proofErr w:type="spellEnd"/>
      <w:r w:rsidRPr="00C10E96">
        <w:rPr>
          <w:rFonts w:ascii="Palatino Linotype" w:eastAsia="MS Mincho" w:hAnsi="Palatino Linotype"/>
          <w:lang w:val="es-ES_tradnl"/>
        </w:rPr>
        <w:t xml:space="preserve"> advierte que el presente asunto se trata de una </w:t>
      </w:r>
      <w:r w:rsidRPr="00C10E96">
        <w:rPr>
          <w:rFonts w:ascii="Palatino Linotype" w:eastAsia="MS Mincho" w:hAnsi="Palatino Linotype"/>
          <w:i/>
          <w:iCs/>
          <w:lang w:val="es-ES_tradnl"/>
        </w:rPr>
        <w:t>negativa material</w:t>
      </w:r>
      <w:r w:rsidRPr="00C10E96">
        <w:rPr>
          <w:rFonts w:ascii="Palatino Linotype" w:eastAsia="MS Mincho" w:hAnsi="Palatino Linotype"/>
          <w:lang w:val="es-ES_tradnl"/>
        </w:rPr>
        <w:t xml:space="preserve">, la cual resulta ser un acto positivo (la respuesta del ayuntamiento) con efecto negativos (la negativa a la entrega de la información) al </w:t>
      </w:r>
      <w:r>
        <w:rPr>
          <w:rFonts w:ascii="Palatino Linotype" w:eastAsia="MS Mincho" w:hAnsi="Palatino Linotype"/>
          <w:lang w:val="es-ES_tradnl"/>
        </w:rPr>
        <w:t>requerir, fuera del plazo, una solicitud de aclaración.</w:t>
      </w:r>
    </w:p>
    <w:p w14:paraId="09CACCF3" w14:textId="77777777" w:rsidR="003520FC" w:rsidRPr="00C14B76" w:rsidRDefault="003520FC" w:rsidP="008E6432">
      <w:pPr>
        <w:spacing w:line="360" w:lineRule="auto"/>
        <w:rPr>
          <w:rFonts w:ascii="Palatino Linotype" w:hAnsi="Palatino Linotype"/>
          <w:sz w:val="24"/>
          <w:szCs w:val="24"/>
          <w:lang w:eastAsia="en-US"/>
        </w:rPr>
      </w:pPr>
    </w:p>
    <w:p w14:paraId="64DE9884" w14:textId="6BD1D49A" w:rsidR="00842A80" w:rsidRPr="00880A9C" w:rsidRDefault="00880A9C" w:rsidP="00880A9C">
      <w:pPr>
        <w:pStyle w:val="Ttulo2"/>
        <w:numPr>
          <w:ilvl w:val="0"/>
          <w:numId w:val="6"/>
        </w:numPr>
        <w:rPr>
          <w:rFonts w:ascii="Palatino Linotype" w:hAnsi="Palatino Linotype"/>
          <w:b/>
          <w:color w:val="auto"/>
          <w:sz w:val="24"/>
        </w:rPr>
      </w:pPr>
      <w:bookmarkStart w:id="17" w:name="_Toc81936106"/>
      <w:bookmarkStart w:id="18" w:name="_Toc517362765"/>
      <w:bookmarkStart w:id="19" w:name="_Toc34910145"/>
      <w:r w:rsidRPr="00880A9C">
        <w:rPr>
          <w:rFonts w:ascii="Palatino Linotype" w:hAnsi="Palatino Linotype"/>
          <w:b/>
          <w:color w:val="auto"/>
          <w:sz w:val="24"/>
        </w:rPr>
        <w:t>Del derecho de acceso a la información.</w:t>
      </w:r>
      <w:bookmarkEnd w:id="17"/>
    </w:p>
    <w:p w14:paraId="4A8DEE2C" w14:textId="77777777" w:rsidR="00842A80" w:rsidRDefault="00842A80" w:rsidP="00842A80">
      <w:pPr>
        <w:spacing w:line="360" w:lineRule="auto"/>
        <w:jc w:val="both"/>
        <w:rPr>
          <w:rFonts w:ascii="Palatino Linotype" w:hAnsi="Palatino Linotype" w:cs="Arial"/>
          <w:color w:val="000000" w:themeColor="text1"/>
        </w:rPr>
      </w:pPr>
    </w:p>
    <w:p w14:paraId="0E1135CC" w14:textId="77777777" w:rsidR="00880A9C" w:rsidRPr="00255189" w:rsidRDefault="00880A9C" w:rsidP="00880A9C">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255189">
        <w:rPr>
          <w:rFonts w:ascii="Palatino Linotype" w:eastAsiaTheme="minorEastAsia" w:hAnsi="Palatino Linotype"/>
          <w:sz w:val="24"/>
          <w:szCs w:val="24"/>
          <w:lang w:val="es-ES_tradnl"/>
        </w:rPr>
        <w:t xml:space="preserve">Es menester precisar que este </w:t>
      </w:r>
      <w:r w:rsidRPr="00255189">
        <w:rPr>
          <w:rFonts w:ascii="Palatino Linotype" w:eastAsia="MS Mincho" w:hAnsi="Palatino Linotype"/>
          <w:color w:val="000000"/>
          <w:sz w:val="24"/>
          <w:szCs w:val="24"/>
          <w:lang w:val="es-ES_tradnl"/>
        </w:rPr>
        <w:t xml:space="preserve">Órgano Garante parte de que </w:t>
      </w:r>
      <w:r w:rsidRPr="00255189">
        <w:rPr>
          <w:rFonts w:ascii="Palatino Linotype"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255189">
        <w:rPr>
          <w:rFonts w:ascii="Palatino Linotype" w:hAnsi="Palatino Linotype" w:cs="Arial"/>
          <w:color w:val="000000"/>
          <w:sz w:val="24"/>
          <w:szCs w:val="24"/>
          <w:lang w:val="es-ES_tradnl"/>
        </w:rPr>
        <w:t xml:space="preserve"> </w:t>
      </w:r>
      <w:r w:rsidRPr="00255189">
        <w:rPr>
          <w:rFonts w:ascii="Palatino Linotype" w:hAnsi="Palatino Linotype" w:cs="Arial"/>
          <w:b/>
          <w:color w:val="000000"/>
          <w:sz w:val="24"/>
          <w:szCs w:val="24"/>
          <w:lang w:val="es-ES_tradnl"/>
        </w:rPr>
        <w:t>SUJETO OBLIGADO</w:t>
      </w:r>
      <w:r w:rsidRPr="00255189">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55189">
        <w:rPr>
          <w:rFonts w:ascii="Palatino Linotype" w:hAnsi="Palatino Linotype" w:cs="Arial"/>
          <w:b/>
          <w:color w:val="000000"/>
          <w:sz w:val="24"/>
          <w:szCs w:val="24"/>
          <w:lang w:val="es-ES_tradnl"/>
        </w:rPr>
        <w:t xml:space="preserve">Constitución Política de los Estados Unidos Mexicanos </w:t>
      </w:r>
      <w:r w:rsidRPr="00255189">
        <w:rPr>
          <w:rFonts w:ascii="Palatino Linotype" w:hAnsi="Palatino Linotype" w:cs="Arial"/>
          <w:color w:val="000000"/>
          <w:sz w:val="24"/>
          <w:szCs w:val="24"/>
          <w:lang w:val="es-ES_tradnl"/>
        </w:rPr>
        <w:t xml:space="preserve">al señalar la obligación de “promover, </w:t>
      </w:r>
      <w:r w:rsidRPr="00255189">
        <w:rPr>
          <w:rFonts w:ascii="Palatino Linotype" w:hAnsi="Palatino Linotype" w:cs="Arial"/>
          <w:b/>
          <w:color w:val="000000"/>
          <w:sz w:val="24"/>
          <w:szCs w:val="24"/>
          <w:lang w:val="es-ES_tradnl"/>
        </w:rPr>
        <w:t>respetar</w:t>
      </w:r>
      <w:r w:rsidRPr="00255189">
        <w:rPr>
          <w:rFonts w:ascii="Palatino Linotype" w:hAnsi="Palatino Linotype" w:cs="Arial"/>
          <w:color w:val="000000"/>
          <w:sz w:val="24"/>
          <w:szCs w:val="24"/>
          <w:lang w:val="es-ES_tradnl"/>
        </w:rPr>
        <w:t xml:space="preserve">, proteger y </w:t>
      </w:r>
      <w:r w:rsidRPr="00255189">
        <w:rPr>
          <w:rFonts w:ascii="Palatino Linotype" w:hAnsi="Palatino Linotype" w:cs="Arial"/>
          <w:b/>
          <w:color w:val="000000"/>
          <w:sz w:val="24"/>
          <w:szCs w:val="24"/>
          <w:lang w:val="es-ES_tradnl"/>
        </w:rPr>
        <w:t>garantizar</w:t>
      </w:r>
      <w:r w:rsidRPr="00255189">
        <w:rPr>
          <w:rFonts w:ascii="Palatino Linotype" w:hAnsi="Palatino Linotype" w:cs="Arial"/>
          <w:color w:val="000000"/>
          <w:sz w:val="24"/>
          <w:szCs w:val="24"/>
          <w:lang w:val="es-ES_tradnl"/>
        </w:rPr>
        <w:t xml:space="preserve"> los derechos humanos”, entre los cuales se encuentra dicho derecho. </w:t>
      </w:r>
    </w:p>
    <w:p w14:paraId="45497D85" w14:textId="77777777" w:rsidR="00880A9C" w:rsidRPr="00255189" w:rsidRDefault="00880A9C" w:rsidP="00880A9C">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14:paraId="2F6129D0" w14:textId="77777777" w:rsidR="00880A9C" w:rsidRPr="00255189" w:rsidRDefault="00880A9C" w:rsidP="00880A9C">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55189">
        <w:rPr>
          <w:rFonts w:ascii="Palatino Linotype" w:hAnsi="Palatino Linotype"/>
          <w:sz w:val="24"/>
          <w:szCs w:val="24"/>
          <w:lang w:val="es-ES_tradnl"/>
        </w:rPr>
        <w:lastRenderedPageBreak/>
        <w:t xml:space="preserve">Definiendo el Derecho de Acceso a la Información Pública como: </w:t>
      </w:r>
      <w:r w:rsidRPr="00255189">
        <w:rPr>
          <w:rFonts w:ascii="Palatino Linotype" w:eastAsiaTheme="minorEastAsia" w:hAnsi="Palatino Linotype"/>
          <w:i/>
          <w:color w:val="000000"/>
          <w:sz w:val="24"/>
          <w:szCs w:val="24"/>
          <w:lang w:val="es-ES_tradnl"/>
        </w:rPr>
        <w:t>La igualdad de oportunidades para recibir, buscar e impartir información</w:t>
      </w:r>
      <w:r w:rsidRPr="00255189">
        <w:rPr>
          <w:rFonts w:ascii="Palatino Linotype" w:eastAsiaTheme="minorEastAsia" w:hAnsi="Palatino Linotype"/>
          <w:i/>
          <w:color w:val="000000"/>
          <w:sz w:val="24"/>
          <w:szCs w:val="24"/>
          <w:vertAlign w:val="superscript"/>
          <w:lang w:val="es-ES_tradnl"/>
        </w:rPr>
        <w:footnoteReference w:id="5"/>
      </w:r>
      <w:r w:rsidRPr="00255189">
        <w:rPr>
          <w:rFonts w:ascii="Palatino Linotype" w:eastAsiaTheme="minorEastAsia" w:hAnsi="Palatino Linotype"/>
          <w:i/>
          <w:color w:val="000000"/>
          <w:sz w:val="24"/>
          <w:szCs w:val="24"/>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55189">
        <w:rPr>
          <w:rFonts w:ascii="Palatino Linotype" w:eastAsiaTheme="minorEastAsia" w:hAnsi="Palatino Linotype"/>
          <w:i/>
          <w:color w:val="000000"/>
          <w:sz w:val="24"/>
          <w:szCs w:val="24"/>
          <w:vertAlign w:val="superscript"/>
          <w:lang w:val="es-ES_tradnl"/>
        </w:rPr>
        <w:footnoteReference w:id="6"/>
      </w:r>
      <w:r w:rsidRPr="00255189">
        <w:rPr>
          <w:rFonts w:ascii="Palatino Linotype" w:eastAsiaTheme="minorEastAsia" w:hAnsi="Palatino Linotype"/>
          <w:color w:val="000000"/>
          <w:sz w:val="24"/>
          <w:szCs w:val="24"/>
          <w:lang w:val="es-ES_tradnl"/>
        </w:rPr>
        <w:t>que se constituye como una herramienta fundamental para ejercer</w:t>
      </w:r>
      <w:r w:rsidRPr="00255189">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255189">
        <w:rPr>
          <w:rFonts w:ascii="Palatino Linotype" w:eastAsiaTheme="minorEastAsia" w:hAnsi="Palatino Linotype"/>
          <w:i/>
          <w:color w:val="000000"/>
          <w:sz w:val="24"/>
          <w:szCs w:val="24"/>
          <w:vertAlign w:val="superscript"/>
          <w:lang w:val="es-ES_tradnl"/>
        </w:rPr>
        <w:footnoteReference w:id="7"/>
      </w:r>
      <w:r w:rsidRPr="00255189">
        <w:rPr>
          <w:rFonts w:ascii="Palatino Linotype" w:eastAsiaTheme="minorEastAsia" w:hAnsi="Palatino Linotype"/>
          <w:color w:val="000000"/>
          <w:sz w:val="24"/>
          <w:szCs w:val="24"/>
          <w:lang w:val="es-ES_tradnl"/>
        </w:rPr>
        <w:t>fomentando</w:t>
      </w:r>
      <w:r w:rsidRPr="00255189">
        <w:rPr>
          <w:rFonts w:ascii="Palatino Linotype" w:eastAsiaTheme="minorEastAsia" w:hAnsi="Palatino Linotype"/>
          <w:i/>
          <w:color w:val="000000"/>
          <w:sz w:val="24"/>
          <w:szCs w:val="24"/>
          <w:lang w:val="es-ES_tradnl"/>
        </w:rPr>
        <w:t xml:space="preserve"> la transparencia de las actividades estatales y </w:t>
      </w:r>
      <w:r w:rsidRPr="00255189">
        <w:rPr>
          <w:rFonts w:ascii="Palatino Linotype" w:eastAsiaTheme="minorEastAsia" w:hAnsi="Palatino Linotype"/>
          <w:color w:val="000000"/>
          <w:sz w:val="24"/>
          <w:szCs w:val="24"/>
          <w:lang w:val="es-ES_tradnl"/>
        </w:rPr>
        <w:t>promoviendo</w:t>
      </w:r>
      <w:r w:rsidRPr="00255189">
        <w:rPr>
          <w:rFonts w:ascii="Palatino Linotype" w:eastAsiaTheme="minorEastAsia" w:hAnsi="Palatino Linotype"/>
          <w:i/>
          <w:color w:val="000000"/>
          <w:sz w:val="24"/>
          <w:szCs w:val="24"/>
          <w:lang w:val="es-ES_tradnl"/>
        </w:rPr>
        <w:t xml:space="preserve"> la responsabilidad de los funcionarios sobre su gestión pública,</w:t>
      </w:r>
      <w:r w:rsidRPr="00255189">
        <w:rPr>
          <w:rFonts w:ascii="Palatino Linotype" w:eastAsiaTheme="minorEastAsia" w:hAnsi="Palatino Linotype"/>
          <w:i/>
          <w:color w:val="000000"/>
          <w:sz w:val="24"/>
          <w:szCs w:val="24"/>
          <w:vertAlign w:val="superscript"/>
          <w:lang w:val="es-ES_tradnl"/>
        </w:rPr>
        <w:footnoteReference w:id="8"/>
      </w:r>
      <w:r w:rsidRPr="00255189">
        <w:rPr>
          <w:rFonts w:ascii="Palatino Linotype" w:eastAsiaTheme="minorEastAsia" w:hAnsi="Palatino Linotype"/>
          <w:color w:val="000000"/>
          <w:sz w:val="24"/>
          <w:szCs w:val="24"/>
          <w:lang w:val="es-ES_tradnl"/>
        </w:rPr>
        <w:t>que permite</w:t>
      </w:r>
      <w:r w:rsidRPr="00255189">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3D8DE9E1" w14:textId="77777777" w:rsidR="00880A9C" w:rsidRPr="00255189" w:rsidRDefault="00880A9C" w:rsidP="00880A9C">
      <w:pPr>
        <w:tabs>
          <w:tab w:val="left" w:pos="284"/>
        </w:tabs>
        <w:contextualSpacing/>
        <w:rPr>
          <w:rFonts w:ascii="Palatino Linotype" w:hAnsi="Palatino Linotype"/>
          <w:sz w:val="24"/>
          <w:szCs w:val="24"/>
          <w:lang w:val="es-ES_tradnl"/>
        </w:rPr>
      </w:pPr>
    </w:p>
    <w:p w14:paraId="08522400" w14:textId="700F2857" w:rsidR="00880A9C" w:rsidRPr="00255189" w:rsidRDefault="00880A9C" w:rsidP="00880A9C">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Pr>
          <w:rFonts w:ascii="Palatino Linotype" w:hAnsi="Palatino Linotype"/>
          <w:sz w:val="24"/>
          <w:szCs w:val="24"/>
          <w:lang w:val="es-ES_tradnl"/>
        </w:rPr>
        <w:t>S</w:t>
      </w:r>
      <w:r w:rsidRPr="00255189">
        <w:rPr>
          <w:rFonts w:ascii="Palatino Linotype" w:hAnsi="Palatino Linotype"/>
          <w:sz w:val="24"/>
          <w:szCs w:val="24"/>
          <w:lang w:val="es-ES_tradnl"/>
        </w:rPr>
        <w:t>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23BBD82" w14:textId="77777777" w:rsidR="00880A9C" w:rsidRPr="00255189" w:rsidRDefault="00880A9C" w:rsidP="00880A9C">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255189">
        <w:rPr>
          <w:rFonts w:ascii="Palatino Linotype" w:eastAsiaTheme="minorEastAsia" w:hAnsi="Palatino Linotype"/>
          <w:i/>
          <w:sz w:val="24"/>
          <w:szCs w:val="24"/>
          <w:lang w:val="es-ES_tradnl"/>
        </w:rPr>
        <w:t xml:space="preserve"> </w:t>
      </w:r>
    </w:p>
    <w:p w14:paraId="58E21631" w14:textId="08B753B5" w:rsidR="00880A9C" w:rsidRDefault="00880A9C" w:rsidP="00880A9C">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hAnsi="Palatino Linotype"/>
          <w:sz w:val="24"/>
          <w:szCs w:val="24"/>
          <w:lang w:val="es-ES_tradnl"/>
        </w:rPr>
        <w:t>Por lo tanto, derivado de lo señalado co</w:t>
      </w:r>
      <w:r>
        <w:rPr>
          <w:rFonts w:ascii="Palatino Linotype" w:hAnsi="Palatino Linotype"/>
          <w:sz w:val="24"/>
          <w:szCs w:val="24"/>
          <w:lang w:val="es-ES_tradnl"/>
        </w:rPr>
        <w:t xml:space="preserve">n anterioridad la actuación </w:t>
      </w:r>
      <w:r w:rsidR="00A34D56" w:rsidRPr="00A34D56">
        <w:rPr>
          <w:rFonts w:ascii="Palatino Linotype" w:eastAsia="Calibri" w:hAnsi="Palatino Linotype" w:cs="Tahoma"/>
          <w:b/>
          <w:sz w:val="24"/>
          <w:szCs w:val="24"/>
          <w:lang w:eastAsia="en-US"/>
        </w:rPr>
        <w:t>Comisión de Conciliación y Arbitraje Médico del Estado de México</w:t>
      </w:r>
      <w:r>
        <w:rPr>
          <w:rFonts w:ascii="Palatino Linotype" w:hAnsi="Palatino Linotype" w:cs="Arial"/>
          <w:b/>
          <w:sz w:val="24"/>
          <w:szCs w:val="24"/>
        </w:rPr>
        <w:t>,</w:t>
      </w:r>
      <w:r w:rsidRPr="00255189">
        <w:rPr>
          <w:rFonts w:ascii="Palatino Linotype" w:eastAsiaTheme="minorEastAsia" w:hAnsi="Palatino Linotype" w:cs="Arial"/>
          <w:sz w:val="24"/>
          <w:szCs w:val="24"/>
          <w:lang w:val="es-ES_tradnl"/>
        </w:rPr>
        <w:t xml:space="preserve"> constituye una afectación </w:t>
      </w:r>
      <w:r w:rsidRPr="00255189">
        <w:rPr>
          <w:rFonts w:ascii="Palatino Linotype" w:eastAsiaTheme="minorEastAsia" w:hAnsi="Palatino Linotype" w:cs="Arial"/>
          <w:sz w:val="24"/>
          <w:szCs w:val="24"/>
          <w:lang w:val="es-ES_tradnl"/>
        </w:rPr>
        <w:lastRenderedPageBreak/>
        <w:t>al derecho humano de acceso a la información pública del particular, toda vez que incumple al no</w:t>
      </w:r>
      <w:r>
        <w:rPr>
          <w:rFonts w:ascii="Palatino Linotype" w:eastAsiaTheme="minorEastAsia" w:hAnsi="Palatino Linotype" w:cs="Arial"/>
          <w:sz w:val="24"/>
          <w:szCs w:val="24"/>
          <w:lang w:val="es-ES_tradnl"/>
        </w:rPr>
        <w:t xml:space="preserve"> entregar la información solicitada ni en respuesta ni en informe justificado, dos momentos procesales que antes del cierre de instrucción del asunto a resolver, puede ser entregada la información para reparar el derecho afectado. </w:t>
      </w:r>
    </w:p>
    <w:p w14:paraId="747A3A34" w14:textId="77777777" w:rsidR="00880A9C" w:rsidRPr="00255189" w:rsidRDefault="00880A9C" w:rsidP="00880A9C">
      <w:pPr>
        <w:tabs>
          <w:tab w:val="left" w:pos="284"/>
        </w:tabs>
        <w:contextualSpacing/>
        <w:rPr>
          <w:rFonts w:ascii="Palatino Linotype" w:eastAsiaTheme="minorEastAsia" w:hAnsi="Palatino Linotype" w:cs="Arial"/>
          <w:sz w:val="24"/>
          <w:szCs w:val="24"/>
          <w:lang w:val="es-ES_tradnl"/>
        </w:rPr>
      </w:pPr>
    </w:p>
    <w:p w14:paraId="1017C605" w14:textId="77777777" w:rsidR="00880A9C" w:rsidRPr="0071317B" w:rsidRDefault="00880A9C" w:rsidP="00880A9C">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55189">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255189">
        <w:rPr>
          <w:rFonts w:ascii="Palatino Linotype" w:eastAsiaTheme="minorEastAsia" w:hAnsi="Palatino Linotype" w:cs="Arial"/>
          <w:sz w:val="24"/>
          <w:szCs w:val="24"/>
          <w:u w:val="single"/>
          <w:lang w:val="es-ES_tradnl"/>
        </w:rPr>
        <w:t>prevenir, investigar, sancionar y reparar las violaciones a los derechos humanos</w:t>
      </w:r>
      <w:r w:rsidRPr="00255189">
        <w:rPr>
          <w:rFonts w:ascii="Palatino Linotype" w:eastAsiaTheme="minorEastAsia" w:hAnsi="Palatino Linotype" w:cs="Arial"/>
          <w:sz w:val="24"/>
          <w:szCs w:val="24"/>
          <w:lang w:val="es-ES_tradnl"/>
        </w:rPr>
        <w:t xml:space="preserve">. </w:t>
      </w:r>
    </w:p>
    <w:p w14:paraId="7B145B4B" w14:textId="77777777" w:rsidR="00880A9C" w:rsidRPr="0071317B" w:rsidRDefault="00880A9C" w:rsidP="00880A9C">
      <w:pPr>
        <w:tabs>
          <w:tab w:val="left" w:pos="284"/>
        </w:tabs>
        <w:spacing w:before="240" w:after="240" w:line="360" w:lineRule="auto"/>
        <w:contextualSpacing/>
        <w:jc w:val="both"/>
        <w:rPr>
          <w:rFonts w:ascii="Palatino Linotype" w:hAnsi="Palatino Linotype"/>
          <w:sz w:val="24"/>
          <w:szCs w:val="24"/>
          <w:lang w:val="es-ES_tradnl"/>
        </w:rPr>
      </w:pPr>
    </w:p>
    <w:p w14:paraId="56FF5643" w14:textId="77777777" w:rsidR="00880A9C" w:rsidRPr="00D5606A" w:rsidRDefault="00880A9C" w:rsidP="00880A9C">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D5606A">
        <w:rPr>
          <w:rFonts w:ascii="Palatino Linotype" w:eastAsiaTheme="minorEastAsia" w:hAnsi="Palatino Linotype" w:cs="Arial"/>
          <w:sz w:val="24"/>
          <w:szCs w:val="24"/>
          <w:lang w:val="es-ES_tradn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D5606A">
        <w:rPr>
          <w:rFonts w:ascii="Palatino Linotype" w:eastAsiaTheme="minorEastAsia" w:hAnsi="Palatino Linotype" w:cs="Arial"/>
          <w:i/>
          <w:sz w:val="24"/>
          <w:szCs w:val="24"/>
          <w:lang w:val="es-ES_tradnl"/>
        </w:rPr>
        <w:t>por los principios de simplicidad, rapidez gratuidad del procedimiento, auxilio y orientación a los particulares</w:t>
      </w:r>
      <w:r w:rsidRPr="00D5606A">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1C9D38A9" w14:textId="77777777" w:rsidR="00880A9C" w:rsidRPr="0071317B" w:rsidRDefault="00880A9C" w:rsidP="00880A9C">
      <w:pPr>
        <w:tabs>
          <w:tab w:val="left" w:pos="284"/>
        </w:tabs>
        <w:spacing w:before="240" w:after="240" w:line="360" w:lineRule="auto"/>
        <w:contextualSpacing/>
        <w:jc w:val="both"/>
        <w:rPr>
          <w:rFonts w:ascii="Palatino Linotype" w:hAnsi="Palatino Linotype"/>
          <w:sz w:val="24"/>
          <w:szCs w:val="24"/>
          <w:lang w:val="es-ES_tradnl"/>
        </w:rPr>
      </w:pPr>
    </w:p>
    <w:p w14:paraId="56936995" w14:textId="77777777" w:rsidR="00880A9C" w:rsidRPr="0071317B" w:rsidRDefault="00880A9C" w:rsidP="00880A9C">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55189">
        <w:rPr>
          <w:rFonts w:ascii="Palatino Linotype" w:hAnsi="Palatino Linotype"/>
          <w:sz w:val="24"/>
          <w:szCs w:val="24"/>
          <w:lang w:val="es-ES_tradnl"/>
        </w:rPr>
        <w:t xml:space="preserve">Es así que la </w:t>
      </w:r>
      <w:r w:rsidRPr="00255189">
        <w:rPr>
          <w:rFonts w:ascii="Palatino Linotype" w:hAnsi="Palatino Linotype"/>
          <w:b/>
          <w:sz w:val="24"/>
          <w:szCs w:val="24"/>
          <w:lang w:val="es-ES_tradnl"/>
        </w:rPr>
        <w:t xml:space="preserve">Ley de Transparencia y Acceso a la Información Pública del Estado de México y Municipios, </w:t>
      </w:r>
      <w:r w:rsidRPr="00255189">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255189">
        <w:rPr>
          <w:rFonts w:ascii="Palatino Linotype" w:hAnsi="Palatino Linotype"/>
          <w:b/>
          <w:sz w:val="24"/>
          <w:szCs w:val="24"/>
          <w:lang w:val="es-ES_tradnl"/>
        </w:rPr>
        <w:t xml:space="preserve"> </w:t>
      </w:r>
      <w:r w:rsidRPr="00255189">
        <w:rPr>
          <w:rFonts w:ascii="Palatino Linotype" w:hAnsi="Palatino Linotype"/>
          <w:sz w:val="24"/>
          <w:szCs w:val="24"/>
          <w:lang w:val="es-ES_tradnl"/>
        </w:rPr>
        <w:t xml:space="preserve">establece que </w:t>
      </w:r>
      <w:r w:rsidRPr="006E3DBF">
        <w:rPr>
          <w:rFonts w:ascii="Palatino Linotype" w:hAnsi="Palatino Linotype"/>
          <w:b/>
          <w:i/>
          <w:sz w:val="24"/>
          <w:szCs w:val="24"/>
          <w:u w:val="single"/>
          <w:lang w:val="es-ES_tradnl"/>
        </w:rPr>
        <w:t>el recurso de revisión es la garantía secundaria</w:t>
      </w:r>
      <w:r w:rsidRPr="006E3DBF">
        <w:rPr>
          <w:rFonts w:ascii="Palatino Linotype" w:hAnsi="Palatino Linotype"/>
          <w:b/>
          <w:i/>
          <w:sz w:val="24"/>
          <w:szCs w:val="24"/>
          <w:lang w:val="es-ES_tradnl"/>
        </w:rPr>
        <w:t xml:space="preserve"> mediante la cual se pretende reparar cualquier posible afectación al derecho de acceso a la información </w:t>
      </w:r>
      <w:r w:rsidRPr="006E3DBF">
        <w:rPr>
          <w:rFonts w:ascii="Palatino Linotype" w:hAnsi="Palatino Linotype"/>
          <w:b/>
          <w:i/>
          <w:sz w:val="24"/>
          <w:szCs w:val="24"/>
          <w:lang w:val="es-ES_tradnl"/>
        </w:rPr>
        <w:lastRenderedPageBreak/>
        <w:t>pública</w:t>
      </w:r>
      <w:r w:rsidRPr="006E3DBF">
        <w:rPr>
          <w:rFonts w:ascii="Palatino Linotype" w:hAnsi="Palatino Linotype"/>
          <w:b/>
          <w:sz w:val="24"/>
          <w:szCs w:val="24"/>
          <w:lang w:val="es-ES_tradnl"/>
        </w:rPr>
        <w:t>, s</w:t>
      </w:r>
      <w:r w:rsidRPr="00255189">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70467030" w14:textId="77777777" w:rsidR="00880A9C" w:rsidRPr="00255189" w:rsidRDefault="00880A9C" w:rsidP="00880A9C">
      <w:pPr>
        <w:tabs>
          <w:tab w:val="left" w:pos="284"/>
        </w:tabs>
        <w:rPr>
          <w:rFonts w:ascii="Palatino Linotype" w:eastAsia="MS Mincho" w:hAnsi="Palatino Linotype" w:cs="Arial"/>
          <w:sz w:val="24"/>
          <w:szCs w:val="24"/>
          <w:lang w:val="es-ES_tradnl"/>
        </w:rPr>
      </w:pPr>
    </w:p>
    <w:p w14:paraId="594AD354" w14:textId="252BEE7D" w:rsidR="00880A9C" w:rsidRPr="00255189" w:rsidRDefault="00880A9C" w:rsidP="00880A9C">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255189">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255189">
        <w:rPr>
          <w:rFonts w:ascii="Palatino Linotype" w:eastAsia="Calibri" w:hAnsi="Palatino Linotype"/>
          <w:b/>
          <w:sz w:val="24"/>
          <w:szCs w:val="24"/>
          <w:lang w:val="es-ES_tradnl"/>
        </w:rPr>
        <w:t>fundadas y procedentes</w:t>
      </w:r>
      <w:r w:rsidRPr="00255189">
        <w:rPr>
          <w:rFonts w:ascii="Palatino Linotype" w:eastAsia="Calibri" w:hAnsi="Palatino Linotype"/>
          <w:sz w:val="24"/>
          <w:szCs w:val="24"/>
          <w:lang w:val="es-ES_tradnl"/>
        </w:rPr>
        <w:t xml:space="preserve">, debido a que el </w:t>
      </w:r>
      <w:r w:rsidRPr="00255189">
        <w:rPr>
          <w:rFonts w:ascii="Palatino Linotype" w:eastAsia="Calibri" w:hAnsi="Palatino Linotype"/>
          <w:b/>
          <w:sz w:val="24"/>
          <w:szCs w:val="24"/>
          <w:lang w:val="es-ES_tradnl"/>
        </w:rPr>
        <w:t>SUJETO OBLIGADO</w:t>
      </w:r>
      <w:r w:rsidRPr="00255189">
        <w:rPr>
          <w:rFonts w:ascii="Palatino Linotype" w:eastAsia="Calibri" w:hAnsi="Palatino Linotype"/>
          <w:sz w:val="24"/>
          <w:szCs w:val="24"/>
          <w:lang w:val="es-ES_tradnl"/>
        </w:rPr>
        <w:t xml:space="preserve"> fue omiso</w:t>
      </w:r>
      <w:r>
        <w:rPr>
          <w:rFonts w:ascii="Palatino Linotype" w:eastAsia="Calibri" w:hAnsi="Palatino Linotype"/>
          <w:sz w:val="24"/>
          <w:szCs w:val="24"/>
          <w:lang w:val="es-ES_tradnl"/>
        </w:rPr>
        <w:t xml:space="preserve"> proporcionar los documentos requeridos. </w:t>
      </w:r>
    </w:p>
    <w:p w14:paraId="2CEDFB9B" w14:textId="77777777" w:rsidR="00546190" w:rsidRPr="003520FC" w:rsidRDefault="00546190" w:rsidP="00546190">
      <w:pPr>
        <w:pStyle w:val="Prrafodelista"/>
        <w:numPr>
          <w:ilvl w:val="0"/>
          <w:numId w:val="3"/>
        </w:numPr>
        <w:spacing w:before="240" w:after="360" w:line="360" w:lineRule="auto"/>
        <w:ind w:left="0" w:firstLine="0"/>
        <w:jc w:val="both"/>
        <w:rPr>
          <w:rFonts w:ascii="Palatino Linotype" w:hAnsi="Palatino Linotype" w:cs="Arial"/>
          <w:i/>
          <w:color w:val="000000" w:themeColor="text1"/>
          <w:sz w:val="24"/>
        </w:rPr>
      </w:pPr>
      <w:r w:rsidRPr="003520FC">
        <w:rPr>
          <w:rFonts w:ascii="Palatino Linotype" w:hAnsi="Palatino Linotype" w:cs="Arial"/>
          <w:sz w:val="24"/>
        </w:rPr>
        <w:t xml:space="preserve">Ahora bien para entender los alcances de la información pública se considera importante citar el criterio </w:t>
      </w:r>
      <w:r w:rsidRPr="003520FC">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3520FC">
        <w:rPr>
          <w:rFonts w:ascii="Palatino Linotype" w:hAnsi="Palatino Linotype" w:cs="Arial"/>
          <w:sz w:val="24"/>
        </w:rPr>
        <w:t>cuyo rubro y texto dispone:</w:t>
      </w:r>
    </w:p>
    <w:p w14:paraId="40DA3DE7" w14:textId="77777777" w:rsidR="00546190" w:rsidRDefault="00546190" w:rsidP="00546190">
      <w:pPr>
        <w:pStyle w:val="Prrafodelista"/>
        <w:autoSpaceDE w:val="0"/>
        <w:autoSpaceDN w:val="0"/>
        <w:adjustRightInd w:val="0"/>
        <w:spacing w:line="360" w:lineRule="auto"/>
        <w:ind w:left="0"/>
        <w:jc w:val="both"/>
        <w:rPr>
          <w:rFonts w:ascii="Palatino Linotype" w:hAnsi="Palatino Linotype" w:cs="Arial"/>
        </w:rPr>
      </w:pPr>
    </w:p>
    <w:p w14:paraId="0F85A388" w14:textId="77777777" w:rsidR="00546190" w:rsidRDefault="00546190" w:rsidP="00546190">
      <w:pPr>
        <w:autoSpaceDE w:val="0"/>
        <w:autoSpaceDN w:val="0"/>
        <w:adjustRightInd w:val="0"/>
        <w:spacing w:line="360" w:lineRule="auto"/>
        <w:ind w:left="567" w:right="567"/>
        <w:jc w:val="both"/>
        <w:rPr>
          <w:rFonts w:ascii="Palatino Linotype" w:hAnsi="Palatino Linotype" w:cs="Arial"/>
          <w:b/>
          <w:i/>
          <w:sz w:val="22"/>
          <w:szCs w:val="22"/>
          <w:lang w:eastAsia="es-MX"/>
        </w:rPr>
      </w:pPr>
      <w:r>
        <w:rPr>
          <w:rFonts w:ascii="Palatino Linotype" w:hAnsi="Palatino Linotype" w:cs="Arial"/>
          <w:b/>
          <w:i/>
          <w:sz w:val="22"/>
          <w:szCs w:val="22"/>
          <w:lang w:eastAsia="es-MX"/>
        </w:rPr>
        <w:t>“CRITERIO 0002-11</w:t>
      </w:r>
    </w:p>
    <w:p w14:paraId="14DF5F5E" w14:textId="77777777" w:rsidR="00546190" w:rsidRDefault="00546190" w:rsidP="00546190">
      <w:pPr>
        <w:autoSpaceDE w:val="0"/>
        <w:autoSpaceDN w:val="0"/>
        <w:adjustRightInd w:val="0"/>
        <w:spacing w:line="360" w:lineRule="auto"/>
        <w:ind w:left="567" w:right="567"/>
        <w:jc w:val="both"/>
        <w:rPr>
          <w:rFonts w:ascii="Palatino Linotype" w:hAnsi="Palatino Linotype" w:cs="Arial"/>
          <w:i/>
          <w:sz w:val="22"/>
          <w:szCs w:val="22"/>
          <w:lang w:eastAsia="es-MX"/>
        </w:rPr>
      </w:pPr>
      <w:r>
        <w:rPr>
          <w:rFonts w:ascii="Palatino Linotype" w:hAnsi="Palatino Linotype" w:cs="Arial"/>
          <w:b/>
          <w:i/>
          <w:sz w:val="22"/>
          <w:szCs w:val="22"/>
          <w:lang w:eastAsia="es-MX"/>
        </w:rPr>
        <w:t xml:space="preserve">INFORMACIÓN PÚBLICA, CONCEPTO DE, EN MATERIA DE TRANSPARENCIA. INTERPRETACIÓN TEMÁTICA DE LOS ARTÍCULOS 2, FRACCIÓN </w:t>
      </w:r>
      <w:r>
        <w:rPr>
          <w:rFonts w:ascii="Palatino Linotype" w:hAnsi="Palatino Linotype" w:cs="Arial"/>
          <w:b/>
          <w:bCs/>
          <w:i/>
          <w:sz w:val="22"/>
          <w:szCs w:val="22"/>
          <w:lang w:eastAsia="es-MX"/>
        </w:rPr>
        <w:t xml:space="preserve">V, XV, Y XVI, </w:t>
      </w:r>
      <w:r>
        <w:rPr>
          <w:rFonts w:ascii="Palatino Linotype" w:hAnsi="Palatino Linotype" w:cs="Arial"/>
          <w:b/>
          <w:i/>
          <w:sz w:val="22"/>
          <w:szCs w:val="22"/>
          <w:lang w:eastAsia="es-MX"/>
        </w:rPr>
        <w:t>3, 4,11 Y 41.</w:t>
      </w:r>
      <w:r>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w:t>
      </w:r>
      <w:r>
        <w:rPr>
          <w:rFonts w:ascii="Palatino Linotype" w:hAnsi="Palatino Linotype" w:cs="Arial"/>
          <w:i/>
          <w:sz w:val="22"/>
          <w:szCs w:val="22"/>
          <w:lang w:eastAsia="es-MX"/>
        </w:rPr>
        <w:lastRenderedPageBreak/>
        <w:t>generados o en posesión de los órganos u organismos públicos, en virtud del ejercicio de sus funciones de derecho público, sin importar su fuente, soporte o fecha de elaboración.</w:t>
      </w:r>
    </w:p>
    <w:p w14:paraId="585A4D26" w14:textId="77777777" w:rsidR="00546190" w:rsidRDefault="00546190" w:rsidP="00546190">
      <w:pPr>
        <w:autoSpaceDE w:val="0"/>
        <w:autoSpaceDN w:val="0"/>
        <w:adjustRightInd w:val="0"/>
        <w:spacing w:line="360" w:lineRule="auto"/>
        <w:ind w:left="567" w:right="567"/>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1B4E86E5" w14:textId="77777777" w:rsidR="00546190" w:rsidRDefault="00546190" w:rsidP="00546190">
      <w:pPr>
        <w:autoSpaceDE w:val="0"/>
        <w:autoSpaceDN w:val="0"/>
        <w:adjustRightInd w:val="0"/>
        <w:spacing w:line="360" w:lineRule="auto"/>
        <w:ind w:left="567" w:right="567"/>
        <w:jc w:val="both"/>
        <w:rPr>
          <w:rFonts w:ascii="Palatino Linotype" w:hAnsi="Palatino Linotype" w:cs="Arial"/>
          <w:i/>
          <w:sz w:val="22"/>
          <w:szCs w:val="22"/>
          <w:lang w:eastAsia="es-MX"/>
        </w:rPr>
      </w:pPr>
      <w:r>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E99BBBC" w14:textId="77777777" w:rsidR="00546190" w:rsidRDefault="00546190" w:rsidP="00546190">
      <w:pPr>
        <w:autoSpaceDE w:val="0"/>
        <w:autoSpaceDN w:val="0"/>
        <w:adjustRightInd w:val="0"/>
        <w:spacing w:line="360" w:lineRule="auto"/>
        <w:ind w:left="567" w:right="567"/>
        <w:jc w:val="both"/>
        <w:rPr>
          <w:rFonts w:ascii="Palatino Linotype" w:hAnsi="Palatino Linotype" w:cs="Arial"/>
          <w:i/>
          <w:sz w:val="22"/>
          <w:szCs w:val="22"/>
          <w:lang w:eastAsia="es-MX"/>
        </w:rPr>
      </w:pPr>
      <w:r>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AC3EC25" w14:textId="77777777" w:rsidR="00546190" w:rsidRDefault="00546190" w:rsidP="00546190">
      <w:pPr>
        <w:spacing w:line="360" w:lineRule="auto"/>
        <w:ind w:left="567" w:right="567"/>
        <w:jc w:val="both"/>
        <w:rPr>
          <w:rFonts w:ascii="Palatino Linotype" w:hAnsi="Palatino Linotype" w:cs="Arial"/>
          <w:i/>
          <w:color w:val="000000" w:themeColor="text1"/>
          <w:sz w:val="22"/>
          <w:szCs w:val="22"/>
        </w:rPr>
      </w:pPr>
      <w:r>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294720E8" w14:textId="77777777" w:rsidR="00546190" w:rsidRDefault="00546190" w:rsidP="00546190">
      <w:pPr>
        <w:pStyle w:val="Prrafodelista"/>
        <w:tabs>
          <w:tab w:val="left" w:pos="851"/>
        </w:tabs>
        <w:spacing w:line="360" w:lineRule="auto"/>
        <w:ind w:left="0" w:right="49"/>
        <w:jc w:val="both"/>
        <w:rPr>
          <w:rFonts w:ascii="Palatino Linotype" w:hAnsi="Palatino Linotype"/>
          <w:lang w:val="es-ES"/>
        </w:rPr>
      </w:pPr>
    </w:p>
    <w:p w14:paraId="28C6397A" w14:textId="77777777" w:rsidR="00546190" w:rsidRPr="003520FC" w:rsidRDefault="00546190" w:rsidP="00546190">
      <w:pPr>
        <w:pStyle w:val="Prrafodelista"/>
        <w:numPr>
          <w:ilvl w:val="0"/>
          <w:numId w:val="3"/>
        </w:numPr>
        <w:tabs>
          <w:tab w:val="left" w:pos="851"/>
        </w:tabs>
        <w:spacing w:before="240" w:after="240" w:line="360" w:lineRule="auto"/>
        <w:ind w:left="0" w:right="49" w:firstLine="0"/>
        <w:jc w:val="both"/>
        <w:rPr>
          <w:rFonts w:ascii="Palatino Linotype" w:hAnsi="Palatino Linotype" w:cs="Arial"/>
          <w:sz w:val="32"/>
          <w:lang w:val="es-ES"/>
        </w:rPr>
      </w:pPr>
      <w:r w:rsidRPr="003520FC">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5797C4F3" w14:textId="77777777" w:rsidR="00546190" w:rsidRDefault="00546190" w:rsidP="003520FC">
      <w:pPr>
        <w:autoSpaceDE w:val="0"/>
        <w:autoSpaceDN w:val="0"/>
        <w:adjustRightInd w:val="0"/>
        <w:ind w:left="567" w:right="567"/>
        <w:jc w:val="both"/>
        <w:rPr>
          <w:rFonts w:ascii="Palatino Linotype" w:hAnsi="Palatino Linotype"/>
          <w:i/>
          <w:sz w:val="28"/>
          <w:lang w:val="es-ES"/>
        </w:rPr>
      </w:pPr>
      <w:r>
        <w:rPr>
          <w:rFonts w:ascii="Palatino Linotype" w:eastAsiaTheme="minorHAnsi" w:hAnsi="Palatino Linotype" w:cs="Bookman Old Style,Bold"/>
          <w:b/>
          <w:bCs/>
          <w:i/>
          <w:sz w:val="22"/>
          <w:lang w:eastAsia="en-US"/>
        </w:rPr>
        <w:t xml:space="preserve">XI. Documento: </w:t>
      </w:r>
      <w:r>
        <w:rPr>
          <w:rFonts w:ascii="Palatino Linotype" w:eastAsiaTheme="minorHAnsi" w:hAnsi="Palatino Linotype" w:cs="Bookman Old Style"/>
          <w:i/>
          <w:sz w:val="22"/>
          <w:lang w:eastAsia="en-US"/>
        </w:rPr>
        <w:t xml:space="preserve">Los expedientes, reportes, estudios, actas, resoluciones, </w:t>
      </w:r>
      <w:r w:rsidRPr="00546190">
        <w:rPr>
          <w:rFonts w:ascii="Palatino Linotype" w:eastAsiaTheme="minorHAnsi" w:hAnsi="Palatino Linotype" w:cs="Bookman Old Style"/>
          <w:b/>
          <w:i/>
          <w:sz w:val="22"/>
          <w:lang w:eastAsia="en-US"/>
        </w:rPr>
        <w:t>oficios,</w:t>
      </w:r>
      <w:r>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Pr>
          <w:rFonts w:ascii="Palatino Linotype" w:eastAsiaTheme="minorHAnsi" w:hAnsi="Palatino Linotype" w:cs="Bookman Old Style"/>
          <w:b/>
          <w:i/>
          <w:sz w:val="22"/>
          <w:lang w:eastAsia="en-US"/>
        </w:rPr>
        <w:t>cualquier otro registro</w:t>
      </w:r>
      <w:r>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46B90FD" w14:textId="77777777" w:rsidR="00546190" w:rsidRDefault="00546190" w:rsidP="00546190">
      <w:pPr>
        <w:pStyle w:val="Prrafodelista"/>
        <w:tabs>
          <w:tab w:val="left" w:pos="851"/>
        </w:tabs>
        <w:spacing w:line="360" w:lineRule="auto"/>
        <w:ind w:left="0" w:right="49"/>
        <w:jc w:val="both"/>
        <w:rPr>
          <w:rFonts w:ascii="Palatino Linotype" w:hAnsi="Palatino Linotype"/>
          <w:lang w:val="es-ES"/>
        </w:rPr>
      </w:pPr>
    </w:p>
    <w:p w14:paraId="5DA63DA2" w14:textId="77777777" w:rsidR="00546190" w:rsidRPr="003520FC" w:rsidRDefault="00546190" w:rsidP="00546190">
      <w:pPr>
        <w:pStyle w:val="Prrafodelista"/>
        <w:numPr>
          <w:ilvl w:val="0"/>
          <w:numId w:val="3"/>
        </w:numPr>
        <w:tabs>
          <w:tab w:val="left" w:pos="851"/>
        </w:tabs>
        <w:spacing w:line="360" w:lineRule="auto"/>
        <w:ind w:left="0" w:right="49" w:firstLine="0"/>
        <w:jc w:val="both"/>
        <w:rPr>
          <w:rFonts w:ascii="Palatino Linotype" w:hAnsi="Palatino Linotype"/>
          <w:sz w:val="24"/>
          <w:lang w:val="es-ES"/>
        </w:rPr>
      </w:pPr>
      <w:r w:rsidRPr="003520FC">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4D975647" w14:textId="77777777" w:rsidR="00546190" w:rsidRPr="003520FC" w:rsidRDefault="00546190" w:rsidP="00546190">
      <w:pPr>
        <w:pStyle w:val="Prrafodelista"/>
        <w:spacing w:line="360" w:lineRule="auto"/>
        <w:ind w:left="0"/>
        <w:jc w:val="both"/>
        <w:rPr>
          <w:rFonts w:ascii="Palatino Linotype" w:eastAsia="Calibri" w:hAnsi="Palatino Linotype" w:cs="Arial"/>
          <w:sz w:val="24"/>
        </w:rPr>
      </w:pPr>
    </w:p>
    <w:p w14:paraId="4149937A" w14:textId="77777777" w:rsidR="00546190" w:rsidRPr="003520FC" w:rsidRDefault="00546190" w:rsidP="00546190">
      <w:pPr>
        <w:pStyle w:val="Prrafodelista"/>
        <w:rPr>
          <w:rFonts w:ascii="Palatino Linotype" w:eastAsia="Calibri" w:hAnsi="Palatino Linotype" w:cs="Arial"/>
          <w:sz w:val="24"/>
        </w:rPr>
      </w:pPr>
    </w:p>
    <w:p w14:paraId="3EAB961F" w14:textId="77777777" w:rsidR="00546190" w:rsidRPr="003520FC" w:rsidRDefault="00546190" w:rsidP="00546190">
      <w:pPr>
        <w:pStyle w:val="Prrafodelista"/>
        <w:numPr>
          <w:ilvl w:val="0"/>
          <w:numId w:val="3"/>
        </w:numPr>
        <w:spacing w:line="360" w:lineRule="auto"/>
        <w:ind w:left="0" w:firstLine="0"/>
        <w:jc w:val="both"/>
        <w:rPr>
          <w:rFonts w:ascii="Palatino Linotype" w:eastAsia="Calibri" w:hAnsi="Palatino Linotype" w:cs="Arial"/>
          <w:sz w:val="24"/>
        </w:rPr>
      </w:pPr>
      <w:r w:rsidRPr="003520FC">
        <w:rPr>
          <w:rFonts w:ascii="Palatino Linotype" w:hAnsi="Palatino Linotype"/>
          <w:color w:val="000000" w:themeColor="text1"/>
          <w:sz w:val="24"/>
        </w:rPr>
        <w:t xml:space="preserve">Resulta necesario referir que, el </w:t>
      </w:r>
      <w:r w:rsidRPr="003520FC">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3520FC">
        <w:rPr>
          <w:rFonts w:ascii="Palatino Linotype" w:eastAsia="Calibri" w:hAnsi="Palatino Linotype" w:cs="Arial"/>
          <w:b/>
          <w:sz w:val="24"/>
        </w:rPr>
        <w:t>los Sujetos Obligados deberán documentar todo acto que se derive del ejercicio de sus facultades, competencias o funciones,</w:t>
      </w:r>
      <w:r w:rsidRPr="003520FC">
        <w:rPr>
          <w:rFonts w:ascii="Palatino Linotype" w:eastAsia="Calibri" w:hAnsi="Palatino Linotype" w:cs="Arial"/>
          <w:sz w:val="24"/>
        </w:rPr>
        <w:t xml:space="preserve"> considerando desde su origen la eventual publicidad y reutilización de la información que generen, posean o administren.</w:t>
      </w:r>
    </w:p>
    <w:p w14:paraId="57AB0531" w14:textId="77777777" w:rsidR="00546190" w:rsidRPr="003520FC" w:rsidRDefault="00546190" w:rsidP="00546190">
      <w:pPr>
        <w:pStyle w:val="Prrafodelista"/>
        <w:rPr>
          <w:rFonts w:ascii="Palatino Linotype" w:eastAsia="Calibri" w:hAnsi="Palatino Linotype" w:cs="Arial"/>
          <w:sz w:val="24"/>
        </w:rPr>
      </w:pPr>
    </w:p>
    <w:p w14:paraId="56F31226" w14:textId="77777777" w:rsidR="00546190" w:rsidRPr="003520FC" w:rsidRDefault="00546190" w:rsidP="00546190">
      <w:pPr>
        <w:pStyle w:val="Prrafodelista"/>
        <w:numPr>
          <w:ilvl w:val="0"/>
          <w:numId w:val="3"/>
        </w:numPr>
        <w:spacing w:line="360" w:lineRule="auto"/>
        <w:ind w:left="0" w:firstLine="0"/>
        <w:jc w:val="both"/>
        <w:rPr>
          <w:rFonts w:ascii="Palatino Linotype" w:eastAsia="Calibri" w:hAnsi="Palatino Linotype" w:cs="Arial"/>
          <w:sz w:val="24"/>
        </w:rPr>
      </w:pPr>
      <w:r w:rsidRPr="003520FC">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460C247B" w14:textId="77777777" w:rsidR="00546190" w:rsidRDefault="00546190" w:rsidP="00546190">
      <w:pPr>
        <w:pStyle w:val="Prrafodelista"/>
        <w:spacing w:line="360" w:lineRule="auto"/>
        <w:rPr>
          <w:rFonts w:ascii="Palatino Linotype" w:hAnsi="Palatino Linotype" w:cs="Arial"/>
          <w:color w:val="000000"/>
        </w:rPr>
      </w:pPr>
    </w:p>
    <w:p w14:paraId="5AE05301" w14:textId="77777777" w:rsidR="00546190" w:rsidRDefault="00546190" w:rsidP="003520FC">
      <w:pPr>
        <w:autoSpaceDE w:val="0"/>
        <w:autoSpaceDN w:val="0"/>
        <w:adjustRightInd w:val="0"/>
        <w:ind w:left="567" w:right="567"/>
        <w:jc w:val="both"/>
        <w:rPr>
          <w:rFonts w:ascii="Palatino Linotype" w:hAnsi="Palatino Linotype" w:cs="Bookman Old Style"/>
          <w:i/>
          <w:sz w:val="22"/>
        </w:rPr>
      </w:pPr>
      <w:r>
        <w:rPr>
          <w:rFonts w:ascii="Palatino Linotype" w:hAnsi="Palatino Linotype" w:cs="Bookman Old Style,Bold"/>
          <w:b/>
          <w:bCs/>
          <w:i/>
          <w:sz w:val="22"/>
        </w:rPr>
        <w:t xml:space="preserve">Artículo 4. </w:t>
      </w:r>
      <w:r>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ADD42C6" w14:textId="77777777" w:rsidR="00546190" w:rsidRDefault="00546190" w:rsidP="003520FC">
      <w:pPr>
        <w:autoSpaceDE w:val="0"/>
        <w:autoSpaceDN w:val="0"/>
        <w:adjustRightInd w:val="0"/>
        <w:ind w:left="567" w:right="567"/>
        <w:jc w:val="both"/>
        <w:rPr>
          <w:rFonts w:ascii="Palatino Linotype" w:hAnsi="Palatino Linotype" w:cs="Bookman Old Style"/>
          <w:i/>
          <w:sz w:val="22"/>
        </w:rPr>
      </w:pPr>
    </w:p>
    <w:p w14:paraId="455797F8" w14:textId="77777777" w:rsidR="00546190" w:rsidRDefault="00546190" w:rsidP="003520FC">
      <w:pPr>
        <w:autoSpaceDE w:val="0"/>
        <w:autoSpaceDN w:val="0"/>
        <w:adjustRightInd w:val="0"/>
        <w:ind w:left="567" w:right="567"/>
        <w:jc w:val="both"/>
        <w:rPr>
          <w:rFonts w:ascii="Palatino Linotype" w:hAnsi="Palatino Linotype" w:cs="Bookman Old Style"/>
          <w:i/>
          <w:sz w:val="22"/>
        </w:rPr>
      </w:pPr>
      <w:r>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C6DF09E" w14:textId="77777777" w:rsidR="00546190" w:rsidRDefault="00546190" w:rsidP="003520FC">
      <w:pPr>
        <w:autoSpaceDE w:val="0"/>
        <w:autoSpaceDN w:val="0"/>
        <w:adjustRightInd w:val="0"/>
        <w:ind w:left="567" w:right="567"/>
        <w:jc w:val="both"/>
        <w:rPr>
          <w:rFonts w:ascii="Palatino Linotype" w:hAnsi="Palatino Linotype" w:cs="Bookman Old Style"/>
          <w:i/>
          <w:sz w:val="22"/>
        </w:rPr>
      </w:pPr>
    </w:p>
    <w:p w14:paraId="30B4A9FA" w14:textId="77777777" w:rsidR="00546190" w:rsidRDefault="00546190" w:rsidP="003520FC">
      <w:pPr>
        <w:autoSpaceDE w:val="0"/>
        <w:autoSpaceDN w:val="0"/>
        <w:adjustRightInd w:val="0"/>
        <w:ind w:left="567" w:right="567"/>
        <w:jc w:val="both"/>
        <w:rPr>
          <w:rFonts w:ascii="Palatino Linotype" w:hAnsi="Palatino Linotype" w:cs="Bookman Old Style"/>
          <w:i/>
          <w:sz w:val="22"/>
        </w:rPr>
      </w:pPr>
      <w:r>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DE9A7BA" w14:textId="77777777" w:rsidR="00546190" w:rsidRDefault="00546190" w:rsidP="003520FC">
      <w:pPr>
        <w:autoSpaceDE w:val="0"/>
        <w:autoSpaceDN w:val="0"/>
        <w:adjustRightInd w:val="0"/>
        <w:ind w:left="567" w:right="567"/>
        <w:jc w:val="both"/>
        <w:rPr>
          <w:rFonts w:ascii="Palatino Linotype" w:hAnsi="Palatino Linotype" w:cs="Arial"/>
          <w:i/>
          <w:color w:val="000000"/>
          <w:sz w:val="28"/>
        </w:rPr>
      </w:pPr>
    </w:p>
    <w:p w14:paraId="27D43E1F" w14:textId="77777777" w:rsidR="00546190" w:rsidRDefault="00546190" w:rsidP="003520FC">
      <w:pPr>
        <w:autoSpaceDE w:val="0"/>
        <w:autoSpaceDN w:val="0"/>
        <w:adjustRightInd w:val="0"/>
        <w:ind w:left="567" w:right="567"/>
        <w:jc w:val="both"/>
        <w:rPr>
          <w:rFonts w:ascii="Palatino Linotype" w:hAnsi="Palatino Linotype" w:cs="Bookman Old Style"/>
          <w:i/>
          <w:sz w:val="22"/>
        </w:rPr>
      </w:pPr>
      <w:r>
        <w:rPr>
          <w:rFonts w:ascii="Palatino Linotype" w:hAnsi="Palatino Linotype" w:cs="Bookman Old Style,Bold"/>
          <w:b/>
          <w:bCs/>
          <w:i/>
          <w:sz w:val="22"/>
        </w:rPr>
        <w:t xml:space="preserve">Artículo 12. </w:t>
      </w:r>
      <w:r>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146003E8" w14:textId="77777777" w:rsidR="00546190" w:rsidRDefault="00546190" w:rsidP="003520FC">
      <w:pPr>
        <w:autoSpaceDE w:val="0"/>
        <w:autoSpaceDN w:val="0"/>
        <w:adjustRightInd w:val="0"/>
        <w:ind w:left="567" w:right="567"/>
        <w:jc w:val="both"/>
        <w:rPr>
          <w:rFonts w:ascii="Palatino Linotype" w:hAnsi="Palatino Linotype" w:cs="Bookman Old Style"/>
          <w:i/>
          <w:sz w:val="22"/>
        </w:rPr>
      </w:pPr>
    </w:p>
    <w:p w14:paraId="42828A30" w14:textId="77777777" w:rsidR="00546190" w:rsidRDefault="00546190" w:rsidP="003520FC">
      <w:pPr>
        <w:autoSpaceDE w:val="0"/>
        <w:autoSpaceDN w:val="0"/>
        <w:adjustRightInd w:val="0"/>
        <w:ind w:left="567" w:right="567"/>
        <w:jc w:val="both"/>
        <w:rPr>
          <w:rFonts w:ascii="Palatino Linotype" w:hAnsi="Palatino Linotype" w:cs="Bookman Old Style"/>
          <w:b/>
          <w:i/>
          <w:sz w:val="22"/>
        </w:rPr>
      </w:pPr>
      <w:r>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24FC220A" w14:textId="77777777" w:rsidR="00546190" w:rsidRDefault="00546190" w:rsidP="00546190">
      <w:pPr>
        <w:autoSpaceDE w:val="0"/>
        <w:autoSpaceDN w:val="0"/>
        <w:adjustRightInd w:val="0"/>
        <w:spacing w:line="360" w:lineRule="auto"/>
        <w:ind w:left="567" w:right="567"/>
        <w:jc w:val="both"/>
        <w:rPr>
          <w:rFonts w:ascii="Palatino Linotype" w:hAnsi="Palatino Linotype" w:cs="Bookman Old Style"/>
          <w:i/>
          <w:sz w:val="22"/>
        </w:rPr>
      </w:pPr>
    </w:p>
    <w:p w14:paraId="77B2A1DC" w14:textId="77777777" w:rsidR="00546190" w:rsidRPr="003520FC" w:rsidRDefault="00546190" w:rsidP="00546190">
      <w:pPr>
        <w:pStyle w:val="Prrafodelista"/>
        <w:numPr>
          <w:ilvl w:val="0"/>
          <w:numId w:val="3"/>
        </w:numPr>
        <w:tabs>
          <w:tab w:val="left" w:pos="851"/>
        </w:tabs>
        <w:spacing w:line="360" w:lineRule="auto"/>
        <w:ind w:left="0" w:right="49" w:firstLine="0"/>
        <w:jc w:val="both"/>
        <w:rPr>
          <w:rFonts w:ascii="Palatino Linotype" w:hAnsi="Palatino Linotype"/>
          <w:sz w:val="24"/>
          <w:lang w:val="es-ES"/>
        </w:rPr>
      </w:pPr>
      <w:r w:rsidRPr="003520FC">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3520FC">
        <w:rPr>
          <w:rStyle w:val="Refdenotaalpie"/>
          <w:rFonts w:ascii="Palatino Linotype" w:hAnsi="Palatino Linotype"/>
          <w:sz w:val="24"/>
          <w:lang w:val="es-ES"/>
        </w:rPr>
        <w:footnoteReference w:id="9"/>
      </w:r>
      <w:r w:rsidRPr="003520FC">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1AF87906" w14:textId="77777777" w:rsidR="00546190" w:rsidRPr="003520FC" w:rsidRDefault="00546190" w:rsidP="00546190">
      <w:pPr>
        <w:pStyle w:val="Prrafodelista"/>
        <w:tabs>
          <w:tab w:val="left" w:pos="851"/>
        </w:tabs>
        <w:spacing w:line="360" w:lineRule="auto"/>
        <w:ind w:left="0" w:right="49"/>
        <w:jc w:val="both"/>
        <w:rPr>
          <w:rFonts w:ascii="Palatino Linotype" w:hAnsi="Palatino Linotype"/>
          <w:sz w:val="24"/>
          <w:lang w:val="es-ES"/>
        </w:rPr>
      </w:pPr>
    </w:p>
    <w:p w14:paraId="494797A6" w14:textId="77777777" w:rsidR="00546190" w:rsidRPr="003520FC" w:rsidRDefault="00546190" w:rsidP="00546190">
      <w:pPr>
        <w:pStyle w:val="Prrafodelista"/>
        <w:numPr>
          <w:ilvl w:val="0"/>
          <w:numId w:val="3"/>
        </w:numPr>
        <w:tabs>
          <w:tab w:val="left" w:pos="851"/>
        </w:tabs>
        <w:spacing w:line="360" w:lineRule="auto"/>
        <w:ind w:left="0" w:right="49" w:firstLine="0"/>
        <w:jc w:val="both"/>
        <w:rPr>
          <w:rFonts w:ascii="Palatino Linotype" w:hAnsi="Palatino Linotype"/>
          <w:sz w:val="24"/>
          <w:lang w:val="es-ES"/>
        </w:rPr>
      </w:pPr>
      <w:r w:rsidRPr="003520FC">
        <w:rPr>
          <w:rFonts w:ascii="Palatino Linotype" w:hAnsi="Palatino Linotype"/>
          <w:sz w:val="24"/>
          <w:lang w:val="es-ES"/>
        </w:rPr>
        <w:t xml:space="preserve">Robustece lo anterior la Tesis aislada identificada con la clave I.4º.A.40 A del Cuarto Tribunal colegiado en Materia Administrativa del Primer Circuito, publicada </w:t>
      </w:r>
      <w:r w:rsidRPr="003520FC">
        <w:rPr>
          <w:rFonts w:ascii="Palatino Linotype" w:hAnsi="Palatino Linotype"/>
          <w:sz w:val="24"/>
          <w:lang w:val="es-ES"/>
        </w:rPr>
        <w:lastRenderedPageBreak/>
        <w:t>en el Seminario Judicial de la Federación y su Gaceta en el libro XVIII, Marzo 2013, Página 1899.</w:t>
      </w:r>
    </w:p>
    <w:p w14:paraId="5A91852F" w14:textId="77777777" w:rsidR="00546190" w:rsidRDefault="00546190" w:rsidP="00546190">
      <w:pPr>
        <w:pStyle w:val="Prrafodelista"/>
        <w:spacing w:line="360" w:lineRule="auto"/>
        <w:rPr>
          <w:rFonts w:ascii="Palatino Linotype" w:hAnsi="Palatino Linotype"/>
          <w:lang w:val="es-ES"/>
        </w:rPr>
      </w:pPr>
    </w:p>
    <w:p w14:paraId="1BAF39AA" w14:textId="77777777" w:rsidR="00546190" w:rsidRDefault="00546190" w:rsidP="003520FC">
      <w:pPr>
        <w:pStyle w:val="Prrafodelista"/>
        <w:tabs>
          <w:tab w:val="left" w:pos="851"/>
        </w:tabs>
        <w:ind w:left="567" w:right="567"/>
        <w:jc w:val="both"/>
        <w:rPr>
          <w:rFonts w:ascii="Palatino Linotype" w:hAnsi="Palatino Linotype"/>
          <w:i/>
        </w:rPr>
      </w:pPr>
      <w:r>
        <w:rPr>
          <w:rFonts w:ascii="Palatino Linotype" w:hAnsi="Palatino Linotype"/>
          <w:b/>
          <w:i/>
        </w:rPr>
        <w:t>ACCESO A LA INFORMACIÓN. IMPLICACIÓN DEL PRINCIPIO DE MÁXIMA PUBLICIDAD EN EL DERECHO FUNDAMENTAL RELATIVO.</w:t>
      </w:r>
      <w:r>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2C43DD37" w14:textId="77777777" w:rsidR="00546190" w:rsidRDefault="00546190" w:rsidP="003520FC">
      <w:pPr>
        <w:pStyle w:val="Prrafodelista"/>
        <w:tabs>
          <w:tab w:val="left" w:pos="851"/>
        </w:tabs>
        <w:ind w:left="567" w:right="567"/>
        <w:jc w:val="both"/>
        <w:rPr>
          <w:rFonts w:ascii="Palatino Linotype" w:hAnsi="Palatino Linotype"/>
          <w:i/>
        </w:rPr>
      </w:pPr>
    </w:p>
    <w:p w14:paraId="428A5222" w14:textId="77777777" w:rsidR="00546190" w:rsidRDefault="00546190" w:rsidP="003520FC">
      <w:pPr>
        <w:pStyle w:val="Prrafodelista"/>
        <w:tabs>
          <w:tab w:val="left" w:pos="851"/>
        </w:tabs>
        <w:ind w:left="567" w:right="567"/>
        <w:jc w:val="both"/>
        <w:rPr>
          <w:rFonts w:ascii="Palatino Linotype" w:hAnsi="Palatino Linotype"/>
          <w:i/>
        </w:rPr>
      </w:pPr>
      <w:r>
        <w:rPr>
          <w:rFonts w:ascii="Palatino Linotype" w:hAnsi="Palatino Linotype"/>
          <w:i/>
        </w:rPr>
        <w:t xml:space="preserve">CUARTO TRIBUNAL COLEGIADO EN MATERIA ADMINISTRATIVA DEL PRIMER CIRCUITO. </w:t>
      </w:r>
    </w:p>
    <w:p w14:paraId="4F7DC34F" w14:textId="77777777" w:rsidR="00546190" w:rsidRDefault="00546190" w:rsidP="003520FC">
      <w:pPr>
        <w:pStyle w:val="Prrafodelista"/>
        <w:tabs>
          <w:tab w:val="left" w:pos="851"/>
        </w:tabs>
        <w:ind w:left="567" w:right="567"/>
        <w:jc w:val="both"/>
        <w:rPr>
          <w:rFonts w:ascii="Palatino Linotype" w:hAnsi="Palatino Linotype"/>
          <w:i/>
        </w:rPr>
      </w:pPr>
    </w:p>
    <w:p w14:paraId="26BA8930" w14:textId="77777777" w:rsidR="00546190" w:rsidRDefault="00546190" w:rsidP="003520FC">
      <w:pPr>
        <w:pStyle w:val="Prrafodelista"/>
        <w:tabs>
          <w:tab w:val="left" w:pos="851"/>
        </w:tabs>
        <w:ind w:left="567" w:right="567"/>
        <w:jc w:val="both"/>
        <w:rPr>
          <w:rFonts w:ascii="Palatino Linotype" w:hAnsi="Palatino Linotype"/>
          <w:i/>
          <w:lang w:val="es-ES"/>
        </w:rPr>
      </w:pPr>
      <w:r>
        <w:rPr>
          <w:rFonts w:ascii="Palatino Linotype" w:hAnsi="Palatino Linotype"/>
          <w:i/>
        </w:rPr>
        <w:t xml:space="preserve">Amparo en revisión 257/2012. Ruth Corona Muñoz. 6 de diciembre de 2012. Unanimidad de votos. Ponente: Jean Claude </w:t>
      </w:r>
      <w:proofErr w:type="spellStart"/>
      <w:r>
        <w:rPr>
          <w:rFonts w:ascii="Palatino Linotype" w:hAnsi="Palatino Linotype"/>
          <w:i/>
        </w:rPr>
        <w:t>Tron</w:t>
      </w:r>
      <w:proofErr w:type="spellEnd"/>
      <w:r>
        <w:rPr>
          <w:rFonts w:ascii="Palatino Linotype" w:hAnsi="Palatino Linotype"/>
          <w:i/>
        </w:rPr>
        <w:t xml:space="preserve"> </w:t>
      </w:r>
      <w:proofErr w:type="spellStart"/>
      <w:r>
        <w:rPr>
          <w:rFonts w:ascii="Palatino Linotype" w:hAnsi="Palatino Linotype"/>
          <w:i/>
        </w:rPr>
        <w:t>Petit</w:t>
      </w:r>
      <w:proofErr w:type="spellEnd"/>
      <w:r>
        <w:rPr>
          <w:rFonts w:ascii="Palatino Linotype" w:hAnsi="Palatino Linotype"/>
          <w:i/>
        </w:rPr>
        <w:t>. Secretaria: Mayra Susana Martínez López.</w:t>
      </w:r>
    </w:p>
    <w:p w14:paraId="5D2DC7F5" w14:textId="77777777" w:rsidR="00546190" w:rsidRDefault="00546190" w:rsidP="00546190">
      <w:pPr>
        <w:pStyle w:val="Prrafodelista"/>
        <w:spacing w:line="360" w:lineRule="auto"/>
        <w:rPr>
          <w:rFonts w:ascii="Palatino Linotype" w:hAnsi="Palatino Linotype"/>
          <w:lang w:val="es-ES"/>
        </w:rPr>
      </w:pPr>
    </w:p>
    <w:p w14:paraId="405CF3D2" w14:textId="5D59DB7A" w:rsidR="00546190" w:rsidRPr="003520FC" w:rsidRDefault="00546190" w:rsidP="00546190">
      <w:pPr>
        <w:pStyle w:val="Prrafodelista"/>
        <w:numPr>
          <w:ilvl w:val="0"/>
          <w:numId w:val="3"/>
        </w:numPr>
        <w:tabs>
          <w:tab w:val="left" w:pos="851"/>
        </w:tabs>
        <w:spacing w:line="360" w:lineRule="auto"/>
        <w:ind w:left="0" w:right="49" w:firstLine="0"/>
        <w:jc w:val="both"/>
        <w:rPr>
          <w:rFonts w:ascii="Palatino Linotype" w:hAnsi="Palatino Linotype"/>
          <w:sz w:val="24"/>
          <w:lang w:val="es-ES"/>
        </w:rPr>
      </w:pPr>
      <w:r w:rsidRPr="003520FC">
        <w:rPr>
          <w:rFonts w:ascii="Palatino Linotype" w:hAnsi="Palatino Linotype"/>
          <w:sz w:val="24"/>
          <w:lang w:val="es-ES"/>
        </w:rPr>
        <w:lastRenderedPageBreak/>
        <w:t>Como se ha señalado, los Sujetos Obligados deberán proporcionar toda la información que se encuentre en su posesión</w:t>
      </w:r>
      <w:r w:rsidR="00F345CF" w:rsidRPr="003520FC">
        <w:rPr>
          <w:rFonts w:ascii="Palatino Linotype" w:hAnsi="Palatino Linotype"/>
          <w:sz w:val="24"/>
          <w:lang w:val="es-ES"/>
        </w:rPr>
        <w:t xml:space="preserve"> bajo los estándares más altos de transparencia y máxima publicidad.</w:t>
      </w:r>
      <w:r w:rsidRPr="003520FC">
        <w:rPr>
          <w:rFonts w:ascii="Palatino Linotype" w:hAnsi="Palatino Linotype"/>
          <w:sz w:val="24"/>
          <w:lang w:val="es-ES"/>
        </w:rPr>
        <w:t xml:space="preserve"> </w:t>
      </w:r>
    </w:p>
    <w:p w14:paraId="490295C2" w14:textId="77777777" w:rsidR="00546190" w:rsidRPr="003520FC" w:rsidRDefault="00546190" w:rsidP="00546190">
      <w:pPr>
        <w:tabs>
          <w:tab w:val="left" w:pos="851"/>
        </w:tabs>
        <w:spacing w:line="360" w:lineRule="auto"/>
        <w:ind w:right="49"/>
        <w:jc w:val="both"/>
        <w:rPr>
          <w:rFonts w:ascii="Palatino Linotype" w:hAnsi="Palatino Linotype"/>
          <w:sz w:val="22"/>
          <w:lang w:val="es-ES"/>
        </w:rPr>
      </w:pPr>
    </w:p>
    <w:p w14:paraId="5F71E1D2" w14:textId="77777777" w:rsidR="00546190" w:rsidRPr="003520FC" w:rsidRDefault="00546190" w:rsidP="00546190">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3520FC">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2EF11EB7" w14:textId="77777777" w:rsidR="00546190" w:rsidRPr="00197E0B" w:rsidRDefault="00546190" w:rsidP="00546190">
      <w:pPr>
        <w:spacing w:line="360" w:lineRule="auto"/>
        <w:jc w:val="both"/>
        <w:rPr>
          <w:rFonts w:ascii="Palatino Linotype" w:hAnsi="Palatino Linotype" w:cs="Arial"/>
        </w:rPr>
      </w:pPr>
    </w:p>
    <w:p w14:paraId="73341BC2" w14:textId="77777777" w:rsidR="00546190" w:rsidRPr="00197E0B" w:rsidRDefault="00546190" w:rsidP="003520FC">
      <w:pPr>
        <w:ind w:left="567" w:right="567"/>
        <w:jc w:val="both"/>
        <w:rPr>
          <w:rFonts w:ascii="Palatino Linotype" w:hAnsi="Palatino Linotype" w:cs="Arial"/>
          <w:i/>
          <w:sz w:val="22"/>
        </w:rPr>
      </w:pPr>
      <w:r w:rsidRPr="00197E0B">
        <w:rPr>
          <w:rFonts w:ascii="Palatino Linotype" w:hAnsi="Palatino Linotype" w:cs="Arial"/>
          <w:b/>
          <w:i/>
          <w:sz w:val="22"/>
        </w:rPr>
        <w:t>“Artículo 6o.</w:t>
      </w:r>
      <w:r w:rsidRPr="00197E0B">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97E0B">
        <w:rPr>
          <w:rFonts w:ascii="Palatino Linotype" w:hAnsi="Palatino Linotype" w:cs="Arial"/>
          <w:b/>
          <w:i/>
          <w:sz w:val="22"/>
        </w:rPr>
        <w:t>El derecho a la información será garantizado por el Estado.</w:t>
      </w:r>
      <w:r w:rsidRPr="00197E0B">
        <w:rPr>
          <w:rFonts w:ascii="Palatino Linotype" w:hAnsi="Palatino Linotype" w:cs="Arial"/>
          <w:i/>
          <w:sz w:val="22"/>
        </w:rPr>
        <w:t xml:space="preserve"> </w:t>
      </w:r>
    </w:p>
    <w:p w14:paraId="3119D40B" w14:textId="77777777" w:rsidR="00546190" w:rsidRPr="00197E0B" w:rsidRDefault="00546190" w:rsidP="003520FC">
      <w:pPr>
        <w:ind w:left="567" w:right="567"/>
        <w:jc w:val="both"/>
        <w:rPr>
          <w:rFonts w:ascii="Palatino Linotype" w:hAnsi="Palatino Linotype" w:cs="Arial"/>
          <w:i/>
          <w:sz w:val="22"/>
        </w:rPr>
      </w:pPr>
    </w:p>
    <w:p w14:paraId="46E8797F" w14:textId="77777777" w:rsidR="00546190" w:rsidRPr="00197E0B" w:rsidRDefault="00546190" w:rsidP="003520FC">
      <w:pPr>
        <w:ind w:left="567" w:right="567"/>
        <w:jc w:val="both"/>
        <w:rPr>
          <w:rFonts w:ascii="Palatino Linotype" w:hAnsi="Palatino Linotype" w:cs="Arial"/>
          <w:i/>
          <w:sz w:val="22"/>
        </w:rPr>
      </w:pPr>
      <w:r w:rsidRPr="00197E0B">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F89CC42" w14:textId="77777777" w:rsidR="00546190" w:rsidRPr="00197E0B" w:rsidRDefault="00546190" w:rsidP="003520FC">
      <w:pPr>
        <w:ind w:left="567" w:right="567"/>
        <w:jc w:val="both"/>
        <w:rPr>
          <w:rFonts w:ascii="Palatino Linotype" w:hAnsi="Palatino Linotype" w:cs="Arial"/>
          <w:i/>
          <w:sz w:val="22"/>
        </w:rPr>
      </w:pPr>
    </w:p>
    <w:p w14:paraId="446DF8FC" w14:textId="77777777" w:rsidR="00546190" w:rsidRPr="00197E0B" w:rsidRDefault="00546190" w:rsidP="003520FC">
      <w:pPr>
        <w:ind w:left="567" w:right="567"/>
        <w:jc w:val="both"/>
        <w:rPr>
          <w:rFonts w:ascii="Palatino Linotype" w:hAnsi="Palatino Linotype" w:cs="Arial"/>
          <w:i/>
          <w:sz w:val="22"/>
        </w:rPr>
      </w:pPr>
      <w:r w:rsidRPr="00197E0B">
        <w:rPr>
          <w:rFonts w:ascii="Palatino Linotype" w:hAnsi="Palatino Linotype" w:cs="Arial"/>
          <w:i/>
          <w:sz w:val="22"/>
        </w:rPr>
        <w:t>Para efectos de lo dispuesto en el presente artículo se observará lo siguiente:</w:t>
      </w:r>
    </w:p>
    <w:p w14:paraId="49F5C2CC" w14:textId="77777777" w:rsidR="00546190" w:rsidRPr="00197E0B" w:rsidRDefault="00546190" w:rsidP="003520FC">
      <w:pPr>
        <w:ind w:left="567" w:right="567"/>
        <w:jc w:val="both"/>
        <w:rPr>
          <w:rFonts w:ascii="Palatino Linotype" w:hAnsi="Palatino Linotype" w:cs="Arial"/>
          <w:i/>
          <w:sz w:val="22"/>
        </w:rPr>
      </w:pPr>
    </w:p>
    <w:p w14:paraId="743EF17C" w14:textId="77777777" w:rsidR="00546190" w:rsidRPr="00197E0B" w:rsidRDefault="00546190" w:rsidP="003520FC">
      <w:pPr>
        <w:ind w:left="567" w:right="567"/>
        <w:jc w:val="both"/>
        <w:rPr>
          <w:rFonts w:ascii="Palatino Linotype" w:hAnsi="Palatino Linotype" w:cs="Arial"/>
          <w:i/>
          <w:sz w:val="22"/>
        </w:rPr>
      </w:pPr>
      <w:r w:rsidRPr="00197E0B">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DC31909" w14:textId="77777777" w:rsidR="00546190" w:rsidRPr="00197E0B" w:rsidRDefault="00546190" w:rsidP="003520FC">
      <w:pPr>
        <w:ind w:left="567" w:right="567"/>
        <w:jc w:val="both"/>
        <w:rPr>
          <w:rFonts w:ascii="Palatino Linotype" w:hAnsi="Palatino Linotype" w:cs="Arial"/>
          <w:b/>
          <w:i/>
          <w:sz w:val="22"/>
        </w:rPr>
      </w:pPr>
    </w:p>
    <w:p w14:paraId="30A432D5" w14:textId="77777777" w:rsidR="00546190" w:rsidRPr="00197E0B" w:rsidRDefault="00546190" w:rsidP="003520FC">
      <w:pPr>
        <w:ind w:left="567" w:right="567"/>
        <w:jc w:val="both"/>
        <w:rPr>
          <w:rFonts w:ascii="Palatino Linotype" w:hAnsi="Palatino Linotype" w:cs="Arial"/>
          <w:i/>
          <w:sz w:val="22"/>
        </w:rPr>
      </w:pPr>
      <w:r w:rsidRPr="00197E0B">
        <w:rPr>
          <w:rFonts w:ascii="Palatino Linotype" w:hAnsi="Palatino Linotype" w:cs="Arial"/>
          <w:b/>
          <w:i/>
          <w:sz w:val="22"/>
        </w:rPr>
        <w:t>I. Toda la información en posesión de</w:t>
      </w:r>
      <w:r w:rsidRPr="00197E0B">
        <w:rPr>
          <w:rFonts w:ascii="Palatino Linotype" w:hAnsi="Palatino Linotype" w:cs="Arial"/>
          <w:i/>
          <w:sz w:val="22"/>
        </w:rPr>
        <w:t xml:space="preserve"> </w:t>
      </w:r>
      <w:r w:rsidRPr="00197E0B">
        <w:rPr>
          <w:rFonts w:ascii="Palatino Linotype" w:hAnsi="Palatino Linotype" w:cs="Arial"/>
          <w:b/>
          <w:i/>
          <w:sz w:val="22"/>
        </w:rPr>
        <w:t>cualquier autoridad</w:t>
      </w:r>
      <w:r w:rsidRPr="00197E0B">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197E0B">
        <w:rPr>
          <w:rFonts w:ascii="Palatino Linotype" w:hAnsi="Palatino Linotype" w:cs="Arial"/>
          <w:b/>
          <w:i/>
          <w:sz w:val="22"/>
        </w:rPr>
        <w:t>es pública</w:t>
      </w:r>
      <w:r w:rsidRPr="00197E0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197E0B">
        <w:rPr>
          <w:rFonts w:ascii="Palatino Linotype" w:hAnsi="Palatino Linotype" w:cs="Arial"/>
          <w:b/>
          <w:i/>
          <w:sz w:val="22"/>
        </w:rPr>
        <w:t xml:space="preserve">Los sujetos obligados deberán documentar todo acto que derive del ejercicio de sus </w:t>
      </w:r>
      <w:r w:rsidRPr="00197E0B">
        <w:rPr>
          <w:rFonts w:ascii="Palatino Linotype" w:hAnsi="Palatino Linotype" w:cs="Arial"/>
          <w:b/>
          <w:i/>
          <w:sz w:val="22"/>
        </w:rPr>
        <w:lastRenderedPageBreak/>
        <w:t>facultades, competencias o funciones</w:t>
      </w:r>
      <w:r w:rsidRPr="00197E0B">
        <w:rPr>
          <w:rFonts w:ascii="Palatino Linotype" w:hAnsi="Palatino Linotype" w:cs="Arial"/>
          <w:i/>
          <w:sz w:val="22"/>
        </w:rPr>
        <w:t>, la ley determinará los supuestos específicos bajo los cuales procederá la declaración de inexistencia de la información.</w:t>
      </w:r>
    </w:p>
    <w:p w14:paraId="263ED093" w14:textId="77777777" w:rsidR="00546190" w:rsidRPr="00197E0B" w:rsidRDefault="00546190" w:rsidP="003520FC">
      <w:pPr>
        <w:ind w:left="567" w:right="567"/>
        <w:jc w:val="both"/>
        <w:rPr>
          <w:rFonts w:ascii="Palatino Linotype" w:hAnsi="Palatino Linotype" w:cs="Arial"/>
          <w:i/>
          <w:sz w:val="22"/>
        </w:rPr>
      </w:pPr>
    </w:p>
    <w:p w14:paraId="52D45DE9" w14:textId="77777777" w:rsidR="00546190" w:rsidRPr="00197E0B" w:rsidRDefault="00546190" w:rsidP="003520FC">
      <w:pPr>
        <w:ind w:left="567" w:right="567"/>
        <w:jc w:val="both"/>
        <w:rPr>
          <w:rFonts w:ascii="Palatino Linotype" w:hAnsi="Palatino Linotype" w:cs="Arial"/>
          <w:i/>
          <w:sz w:val="22"/>
        </w:rPr>
      </w:pPr>
      <w:r w:rsidRPr="00197E0B">
        <w:rPr>
          <w:rFonts w:ascii="Palatino Linotype" w:hAnsi="Palatino Linotype" w:cs="Arial"/>
          <w:i/>
          <w:sz w:val="22"/>
        </w:rPr>
        <w:t>II. La información que se refiere a la vida privada y los datos personales será protegida en los términos y con las excepciones que fijen las leyes.</w:t>
      </w:r>
    </w:p>
    <w:p w14:paraId="38238A90" w14:textId="77777777" w:rsidR="00546190" w:rsidRPr="00197E0B" w:rsidRDefault="00546190" w:rsidP="003520FC">
      <w:pPr>
        <w:ind w:left="567" w:right="567"/>
        <w:jc w:val="both"/>
        <w:rPr>
          <w:rFonts w:ascii="Palatino Linotype" w:hAnsi="Palatino Linotype" w:cs="Arial"/>
          <w:i/>
          <w:sz w:val="22"/>
        </w:rPr>
      </w:pPr>
    </w:p>
    <w:p w14:paraId="468784C3" w14:textId="77777777" w:rsidR="00546190" w:rsidRPr="00197E0B" w:rsidRDefault="00546190" w:rsidP="003520FC">
      <w:pPr>
        <w:ind w:left="567" w:right="567"/>
        <w:jc w:val="both"/>
        <w:rPr>
          <w:rFonts w:ascii="Palatino Linotype" w:hAnsi="Palatino Linotype" w:cs="Arial"/>
          <w:i/>
          <w:sz w:val="22"/>
        </w:rPr>
      </w:pPr>
      <w:r w:rsidRPr="00197E0B">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57FD0D7F" w14:textId="77777777" w:rsidR="00546190" w:rsidRPr="00197E0B" w:rsidRDefault="00546190" w:rsidP="003520FC">
      <w:pPr>
        <w:ind w:left="567" w:right="567"/>
        <w:jc w:val="both"/>
        <w:rPr>
          <w:rFonts w:ascii="Palatino Linotype" w:hAnsi="Palatino Linotype" w:cs="Arial"/>
          <w:i/>
          <w:sz w:val="22"/>
        </w:rPr>
      </w:pPr>
    </w:p>
    <w:p w14:paraId="21FBA71E" w14:textId="77777777" w:rsidR="00546190" w:rsidRPr="00197E0B" w:rsidRDefault="00546190" w:rsidP="003520FC">
      <w:pPr>
        <w:ind w:left="567" w:right="567"/>
        <w:jc w:val="both"/>
        <w:rPr>
          <w:rFonts w:ascii="Palatino Linotype" w:hAnsi="Palatino Linotype" w:cs="Arial"/>
          <w:i/>
          <w:sz w:val="22"/>
        </w:rPr>
      </w:pPr>
      <w:r w:rsidRPr="00197E0B">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E46E58A" w14:textId="77777777" w:rsidR="00546190" w:rsidRPr="00197E0B" w:rsidRDefault="00546190" w:rsidP="003520FC">
      <w:pPr>
        <w:ind w:left="567" w:right="567"/>
        <w:jc w:val="both"/>
        <w:rPr>
          <w:rFonts w:ascii="Palatino Linotype" w:hAnsi="Palatino Linotype" w:cs="Arial"/>
          <w:b/>
          <w:i/>
          <w:sz w:val="22"/>
        </w:rPr>
      </w:pPr>
    </w:p>
    <w:p w14:paraId="10E0CF74" w14:textId="77777777" w:rsidR="00546190" w:rsidRPr="00197E0B" w:rsidRDefault="00546190" w:rsidP="003520FC">
      <w:pPr>
        <w:ind w:left="567" w:right="567"/>
        <w:jc w:val="both"/>
        <w:rPr>
          <w:rFonts w:ascii="Palatino Linotype" w:hAnsi="Palatino Linotype" w:cs="Arial"/>
          <w:i/>
          <w:sz w:val="22"/>
        </w:rPr>
      </w:pPr>
      <w:r w:rsidRPr="00197E0B">
        <w:rPr>
          <w:rFonts w:ascii="Palatino Linotype" w:hAnsi="Palatino Linotype" w:cs="Arial"/>
          <w:b/>
          <w:i/>
          <w:sz w:val="22"/>
        </w:rPr>
        <w:t>V. Los sujetos obligados deberán preservar sus documentos en archivos administrativos actualizados y publicarán, a través de los medios electrónicos disponibles</w:t>
      </w:r>
      <w:r w:rsidRPr="00197E0B">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1B835355" w14:textId="77777777" w:rsidR="00546190" w:rsidRPr="00197E0B" w:rsidRDefault="00546190" w:rsidP="003520FC">
      <w:pPr>
        <w:ind w:left="567" w:right="567"/>
        <w:jc w:val="both"/>
        <w:rPr>
          <w:rFonts w:ascii="Palatino Linotype" w:hAnsi="Palatino Linotype" w:cs="Arial"/>
          <w:i/>
          <w:sz w:val="22"/>
        </w:rPr>
      </w:pPr>
    </w:p>
    <w:p w14:paraId="1820B494" w14:textId="77777777" w:rsidR="00546190" w:rsidRPr="00197E0B" w:rsidRDefault="00546190" w:rsidP="003520FC">
      <w:pPr>
        <w:ind w:left="567" w:right="567"/>
        <w:jc w:val="both"/>
        <w:rPr>
          <w:rFonts w:ascii="Palatino Linotype" w:hAnsi="Palatino Linotype" w:cs="Arial"/>
          <w:i/>
          <w:sz w:val="22"/>
        </w:rPr>
      </w:pPr>
      <w:r w:rsidRPr="00197E0B">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9BC5D4B" w14:textId="77777777" w:rsidR="00546190" w:rsidRPr="00197E0B" w:rsidRDefault="00546190" w:rsidP="003520FC">
      <w:pPr>
        <w:ind w:left="567" w:right="567"/>
        <w:jc w:val="both"/>
        <w:rPr>
          <w:rFonts w:ascii="Palatino Linotype" w:hAnsi="Palatino Linotype" w:cs="Arial"/>
          <w:i/>
          <w:sz w:val="22"/>
        </w:rPr>
      </w:pPr>
    </w:p>
    <w:p w14:paraId="0A53E3AF" w14:textId="77777777" w:rsidR="00546190" w:rsidRPr="00197E0B" w:rsidRDefault="00546190" w:rsidP="003520FC">
      <w:pPr>
        <w:ind w:left="567" w:right="567"/>
        <w:jc w:val="both"/>
        <w:rPr>
          <w:rFonts w:ascii="Palatino Linotype" w:hAnsi="Palatino Linotype" w:cs="Arial"/>
          <w:i/>
          <w:sz w:val="22"/>
        </w:rPr>
      </w:pPr>
      <w:r w:rsidRPr="00197E0B">
        <w:rPr>
          <w:rFonts w:ascii="Palatino Linotype" w:hAnsi="Palatino Linotype" w:cs="Arial"/>
          <w:i/>
          <w:sz w:val="22"/>
        </w:rPr>
        <w:t>VII. La inobservancia a las disposiciones en materia de acceso a la información pública será sancionada en los términos que dispongan las leyes.</w:t>
      </w:r>
    </w:p>
    <w:p w14:paraId="4F527775" w14:textId="77777777" w:rsidR="00546190" w:rsidRPr="00197E0B" w:rsidRDefault="00546190" w:rsidP="003520FC">
      <w:pPr>
        <w:ind w:left="567" w:right="567"/>
        <w:jc w:val="both"/>
        <w:rPr>
          <w:rFonts w:ascii="Palatino Linotype" w:hAnsi="Palatino Linotype" w:cs="Arial"/>
          <w:i/>
          <w:sz w:val="22"/>
        </w:rPr>
      </w:pPr>
    </w:p>
    <w:p w14:paraId="29BD96E7" w14:textId="77777777" w:rsidR="00546190" w:rsidRPr="00197E0B" w:rsidRDefault="00546190" w:rsidP="003520FC">
      <w:pPr>
        <w:ind w:left="567" w:right="567"/>
        <w:jc w:val="both"/>
        <w:rPr>
          <w:rFonts w:ascii="Palatino Linotype" w:hAnsi="Palatino Linotype" w:cs="Arial"/>
          <w:i/>
          <w:sz w:val="22"/>
        </w:rPr>
      </w:pPr>
      <w:r w:rsidRPr="00197E0B">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6952D5C3" w14:textId="77777777" w:rsidR="00546190" w:rsidRPr="00197E0B" w:rsidRDefault="00546190" w:rsidP="003520FC">
      <w:pPr>
        <w:ind w:left="567" w:right="567"/>
        <w:jc w:val="both"/>
        <w:rPr>
          <w:rFonts w:ascii="Palatino Linotype" w:hAnsi="Palatino Linotype" w:cs="Arial"/>
          <w:i/>
          <w:sz w:val="22"/>
        </w:rPr>
      </w:pPr>
      <w:r w:rsidRPr="00197E0B">
        <w:rPr>
          <w:rFonts w:ascii="Palatino Linotype" w:hAnsi="Palatino Linotype" w:cs="Arial"/>
          <w:i/>
          <w:sz w:val="22"/>
        </w:rPr>
        <w:t>…</w:t>
      </w:r>
    </w:p>
    <w:p w14:paraId="29DF7C5F" w14:textId="77777777" w:rsidR="00546190" w:rsidRPr="00197E0B" w:rsidRDefault="00546190" w:rsidP="003520FC">
      <w:pPr>
        <w:ind w:left="567" w:right="567"/>
        <w:jc w:val="both"/>
        <w:rPr>
          <w:rFonts w:ascii="Palatino Linotype" w:hAnsi="Palatino Linotype" w:cs="Arial"/>
          <w:i/>
          <w:sz w:val="22"/>
        </w:rPr>
      </w:pPr>
      <w:r w:rsidRPr="00197E0B">
        <w:rPr>
          <w:rFonts w:ascii="Palatino Linotype" w:hAnsi="Palatino Linotype" w:cs="Arial"/>
          <w:i/>
          <w:sz w:val="22"/>
        </w:rPr>
        <w:t>La ley establecerá aquella información que se considere reservada o confidencial.”</w:t>
      </w:r>
    </w:p>
    <w:p w14:paraId="7DB31CE1" w14:textId="77777777" w:rsidR="00546190" w:rsidRPr="00197E0B" w:rsidRDefault="00546190" w:rsidP="003520FC">
      <w:pPr>
        <w:ind w:left="567" w:right="567"/>
        <w:jc w:val="both"/>
        <w:rPr>
          <w:rFonts w:ascii="Palatino Linotype" w:hAnsi="Palatino Linotype"/>
          <w:i/>
          <w:sz w:val="22"/>
        </w:rPr>
      </w:pPr>
    </w:p>
    <w:p w14:paraId="5B67D1CE" w14:textId="77777777" w:rsidR="00546190" w:rsidRPr="00197E0B" w:rsidRDefault="00546190" w:rsidP="003520FC">
      <w:pPr>
        <w:ind w:left="567" w:right="567"/>
        <w:jc w:val="both"/>
        <w:rPr>
          <w:rFonts w:ascii="Palatino Linotype" w:hAnsi="Palatino Linotype"/>
          <w:i/>
          <w:sz w:val="22"/>
        </w:rPr>
      </w:pPr>
      <w:r w:rsidRPr="00197E0B">
        <w:rPr>
          <w:rFonts w:ascii="Palatino Linotype" w:hAnsi="Palatino Linotype"/>
          <w:i/>
          <w:sz w:val="22"/>
        </w:rPr>
        <w:t>(Énfasis añadido)</w:t>
      </w:r>
    </w:p>
    <w:p w14:paraId="38E8C598" w14:textId="77777777" w:rsidR="00546190" w:rsidRPr="00197E0B" w:rsidRDefault="00546190" w:rsidP="00546190">
      <w:pPr>
        <w:spacing w:line="360" w:lineRule="auto"/>
        <w:ind w:left="709" w:right="757"/>
        <w:jc w:val="both"/>
        <w:rPr>
          <w:rFonts w:ascii="Palatino Linotype" w:hAnsi="Palatino Linotype"/>
        </w:rPr>
      </w:pPr>
    </w:p>
    <w:p w14:paraId="54F1386D" w14:textId="77777777" w:rsidR="00546190" w:rsidRPr="003520FC" w:rsidRDefault="00546190" w:rsidP="00546190">
      <w:pPr>
        <w:pStyle w:val="Prrafodelista"/>
        <w:numPr>
          <w:ilvl w:val="0"/>
          <w:numId w:val="2"/>
        </w:numPr>
        <w:spacing w:line="360" w:lineRule="auto"/>
        <w:ind w:left="0" w:firstLine="0"/>
        <w:jc w:val="both"/>
        <w:rPr>
          <w:rFonts w:ascii="Palatino Linotype" w:hAnsi="Palatino Linotype" w:cs="Arial"/>
          <w:sz w:val="24"/>
        </w:rPr>
      </w:pPr>
      <w:r w:rsidRPr="003520FC">
        <w:rPr>
          <w:rFonts w:ascii="Palatino Linotype" w:hAnsi="Palatino Linotype" w:cs="Arial"/>
          <w:sz w:val="24"/>
        </w:rPr>
        <w:lastRenderedPageBreak/>
        <w:t>Por su parte, la Constitución Política del Estado Libre y Soberano de México, en su artículo 5°, dispone en su parte conducente, lo siguiente:</w:t>
      </w:r>
    </w:p>
    <w:p w14:paraId="450E9021" w14:textId="77777777" w:rsidR="00546190" w:rsidRPr="00197E0B" w:rsidRDefault="00546190" w:rsidP="00546190">
      <w:pPr>
        <w:spacing w:line="360" w:lineRule="auto"/>
        <w:ind w:left="709" w:right="757"/>
        <w:jc w:val="both"/>
        <w:rPr>
          <w:rFonts w:ascii="Palatino Linotype" w:hAnsi="Palatino Linotype" w:cs="Arial"/>
        </w:rPr>
      </w:pPr>
    </w:p>
    <w:p w14:paraId="5ABC165B" w14:textId="77777777" w:rsidR="00546190" w:rsidRPr="00197E0B" w:rsidRDefault="00546190" w:rsidP="003520FC">
      <w:pPr>
        <w:ind w:left="567" w:right="567"/>
        <w:jc w:val="both"/>
        <w:rPr>
          <w:rFonts w:ascii="Palatino Linotype" w:hAnsi="Palatino Linotype" w:cs="Arial"/>
          <w:b/>
          <w:i/>
          <w:sz w:val="22"/>
        </w:rPr>
      </w:pPr>
      <w:r w:rsidRPr="00197E0B">
        <w:rPr>
          <w:rFonts w:ascii="Palatino Linotype" w:hAnsi="Palatino Linotype" w:cs="Arial"/>
          <w:b/>
          <w:i/>
          <w:sz w:val="22"/>
        </w:rPr>
        <w:t xml:space="preserve">“Artículo 5. … </w:t>
      </w:r>
    </w:p>
    <w:p w14:paraId="7CB28F20" w14:textId="77777777" w:rsidR="00546190" w:rsidRPr="00197E0B" w:rsidRDefault="00546190" w:rsidP="003520FC">
      <w:pPr>
        <w:ind w:left="567" w:right="567"/>
        <w:jc w:val="both"/>
        <w:rPr>
          <w:rFonts w:ascii="Palatino Linotype" w:hAnsi="Palatino Linotype"/>
          <w:i/>
          <w:sz w:val="22"/>
        </w:rPr>
      </w:pPr>
      <w:r w:rsidRPr="00197E0B">
        <w:rPr>
          <w:rFonts w:ascii="Palatino Linotype" w:hAnsi="Palatino Linotype"/>
          <w:b/>
          <w:i/>
          <w:sz w:val="22"/>
        </w:rPr>
        <w:t>El derecho a la información será garantizado por el Estado</w:t>
      </w:r>
      <w:r w:rsidRPr="00197E0B">
        <w:rPr>
          <w:rFonts w:ascii="Palatino Linotype" w:hAnsi="Palatino Linotype"/>
          <w:i/>
          <w:sz w:val="22"/>
        </w:rPr>
        <w:t xml:space="preserve">. La ley establecerá las previsiones que permitan asegurar la protección, el respeto y la difusión de este derecho. </w:t>
      </w:r>
    </w:p>
    <w:p w14:paraId="6929B84E" w14:textId="77777777" w:rsidR="00546190" w:rsidRPr="00197E0B" w:rsidRDefault="00546190" w:rsidP="003520FC">
      <w:pPr>
        <w:ind w:left="567" w:right="567"/>
        <w:jc w:val="both"/>
        <w:rPr>
          <w:rFonts w:ascii="Palatino Linotype" w:hAnsi="Palatino Linotype"/>
          <w:i/>
          <w:sz w:val="22"/>
        </w:rPr>
      </w:pPr>
      <w:r w:rsidRPr="00197E0B">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09087F1" w14:textId="77777777" w:rsidR="00546190" w:rsidRPr="00197E0B" w:rsidRDefault="00546190" w:rsidP="003520FC">
      <w:pPr>
        <w:ind w:left="567" w:right="567"/>
        <w:jc w:val="both"/>
        <w:rPr>
          <w:rFonts w:ascii="Palatino Linotype" w:hAnsi="Palatino Linotype"/>
          <w:i/>
          <w:sz w:val="22"/>
        </w:rPr>
      </w:pPr>
    </w:p>
    <w:p w14:paraId="43BBE8D7" w14:textId="77777777" w:rsidR="00546190" w:rsidRPr="00197E0B" w:rsidRDefault="00546190" w:rsidP="003520FC">
      <w:pPr>
        <w:ind w:left="567" w:right="567"/>
        <w:jc w:val="both"/>
        <w:rPr>
          <w:rFonts w:ascii="Palatino Linotype" w:hAnsi="Palatino Linotype"/>
          <w:i/>
          <w:sz w:val="22"/>
        </w:rPr>
      </w:pPr>
      <w:r w:rsidRPr="00197E0B">
        <w:rPr>
          <w:rFonts w:ascii="Palatino Linotype" w:hAnsi="Palatino Linotype"/>
          <w:i/>
          <w:sz w:val="22"/>
        </w:rPr>
        <w:t>Este derecho se regirá por los principios y bases siguientes:</w:t>
      </w:r>
    </w:p>
    <w:p w14:paraId="1AE0541B" w14:textId="77777777" w:rsidR="00546190" w:rsidRPr="00197E0B" w:rsidRDefault="00546190" w:rsidP="003520FC">
      <w:pPr>
        <w:ind w:left="567" w:right="567"/>
        <w:jc w:val="both"/>
        <w:rPr>
          <w:rFonts w:ascii="Palatino Linotype" w:hAnsi="Palatino Linotype"/>
          <w:b/>
          <w:i/>
          <w:sz w:val="22"/>
        </w:rPr>
      </w:pPr>
    </w:p>
    <w:p w14:paraId="2B074024" w14:textId="77777777" w:rsidR="00546190" w:rsidRPr="00197E0B" w:rsidRDefault="00546190" w:rsidP="003520FC">
      <w:pPr>
        <w:ind w:left="567" w:right="567"/>
        <w:jc w:val="both"/>
        <w:rPr>
          <w:rFonts w:ascii="Palatino Linotype" w:hAnsi="Palatino Linotype"/>
          <w:i/>
          <w:sz w:val="22"/>
        </w:rPr>
      </w:pPr>
      <w:r w:rsidRPr="00197E0B">
        <w:rPr>
          <w:rFonts w:ascii="Palatino Linotype" w:hAnsi="Palatino Linotype"/>
          <w:b/>
          <w:i/>
          <w:sz w:val="22"/>
        </w:rPr>
        <w:t xml:space="preserve">I. Toda la información en posesión </w:t>
      </w:r>
      <w:r w:rsidRPr="00197E0B">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197E0B">
        <w:rPr>
          <w:rFonts w:ascii="Palatino Linotype" w:hAnsi="Palatino Linotype"/>
          <w:b/>
          <w:i/>
          <w:sz w:val="22"/>
        </w:rPr>
        <w:t>del gobierno y de la administración pública municipal y sus organismos descentralizados</w:t>
      </w:r>
      <w:r w:rsidRPr="00197E0B">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197E0B">
        <w:rPr>
          <w:rFonts w:ascii="Palatino Linotype" w:hAnsi="Palatino Linotype"/>
          <w:b/>
          <w:i/>
          <w:sz w:val="22"/>
        </w:rPr>
        <w:t>es pública</w:t>
      </w:r>
      <w:r w:rsidRPr="00197E0B">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345E9F" w14:textId="77777777" w:rsidR="00546190" w:rsidRPr="00197E0B" w:rsidRDefault="00546190" w:rsidP="003520FC">
      <w:pPr>
        <w:ind w:left="567" w:right="567"/>
        <w:jc w:val="both"/>
        <w:rPr>
          <w:rFonts w:ascii="Palatino Linotype" w:hAnsi="Palatino Linotype"/>
          <w:i/>
          <w:sz w:val="22"/>
        </w:rPr>
      </w:pPr>
    </w:p>
    <w:p w14:paraId="041EE6C9" w14:textId="77777777" w:rsidR="00546190" w:rsidRPr="00197E0B" w:rsidRDefault="00546190" w:rsidP="003520FC">
      <w:pPr>
        <w:ind w:left="567" w:right="567"/>
        <w:jc w:val="both"/>
        <w:rPr>
          <w:rFonts w:ascii="Palatino Linotype" w:hAnsi="Palatino Linotype"/>
          <w:i/>
          <w:sz w:val="22"/>
        </w:rPr>
      </w:pPr>
      <w:r w:rsidRPr="00197E0B">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0886B83" w14:textId="77777777" w:rsidR="00546190" w:rsidRPr="00197E0B" w:rsidRDefault="00546190" w:rsidP="003520FC">
      <w:pPr>
        <w:ind w:left="567" w:right="567"/>
        <w:jc w:val="both"/>
        <w:rPr>
          <w:rFonts w:ascii="Palatino Linotype" w:hAnsi="Palatino Linotype"/>
          <w:i/>
          <w:sz w:val="22"/>
        </w:rPr>
      </w:pPr>
    </w:p>
    <w:p w14:paraId="7C9146CB" w14:textId="77777777" w:rsidR="00546190" w:rsidRPr="00197E0B" w:rsidRDefault="00546190" w:rsidP="003520FC">
      <w:pPr>
        <w:ind w:left="567" w:right="567"/>
        <w:jc w:val="both"/>
        <w:rPr>
          <w:rFonts w:ascii="Palatino Linotype" w:hAnsi="Palatino Linotype"/>
          <w:i/>
          <w:sz w:val="22"/>
        </w:rPr>
      </w:pPr>
      <w:r w:rsidRPr="00197E0B">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6C55E184" w14:textId="77777777" w:rsidR="00546190" w:rsidRPr="00197E0B" w:rsidRDefault="00546190" w:rsidP="003520FC">
      <w:pPr>
        <w:ind w:left="567" w:right="567"/>
        <w:jc w:val="both"/>
        <w:rPr>
          <w:rFonts w:ascii="Palatino Linotype" w:hAnsi="Palatino Linotype"/>
          <w:i/>
          <w:sz w:val="22"/>
        </w:rPr>
      </w:pPr>
    </w:p>
    <w:p w14:paraId="35B963E3" w14:textId="77777777" w:rsidR="00546190" w:rsidRPr="00197E0B" w:rsidRDefault="00546190" w:rsidP="003520FC">
      <w:pPr>
        <w:ind w:left="567" w:right="567"/>
        <w:jc w:val="both"/>
        <w:rPr>
          <w:rFonts w:ascii="Palatino Linotype" w:hAnsi="Palatino Linotype"/>
          <w:i/>
          <w:sz w:val="22"/>
        </w:rPr>
      </w:pPr>
      <w:r w:rsidRPr="00197E0B">
        <w:rPr>
          <w:rFonts w:ascii="Palatino Linotype" w:hAnsi="Palatino Linotype"/>
          <w:i/>
          <w:sz w:val="22"/>
        </w:rPr>
        <w:lastRenderedPageBreak/>
        <w:t>IV. Se establecerán mecanismos de acceso a la información y procedimientos de revisión expeditos que se sustanciarán ante el organismo autónomo especializado e imparcial que establece esta Constitución.</w:t>
      </w:r>
    </w:p>
    <w:p w14:paraId="2439DAB3" w14:textId="77777777" w:rsidR="00546190" w:rsidRPr="00197E0B" w:rsidRDefault="00546190" w:rsidP="003520FC">
      <w:pPr>
        <w:ind w:left="567" w:right="567"/>
        <w:jc w:val="both"/>
        <w:rPr>
          <w:rFonts w:ascii="Palatino Linotype" w:hAnsi="Palatino Linotype"/>
          <w:i/>
          <w:sz w:val="22"/>
        </w:rPr>
      </w:pPr>
    </w:p>
    <w:p w14:paraId="5A87D9B2" w14:textId="77777777" w:rsidR="00546190" w:rsidRPr="00197E0B" w:rsidRDefault="00546190" w:rsidP="003520FC">
      <w:pPr>
        <w:ind w:left="567" w:right="567"/>
        <w:jc w:val="both"/>
        <w:rPr>
          <w:rFonts w:ascii="Palatino Linotype" w:hAnsi="Palatino Linotype"/>
          <w:i/>
          <w:sz w:val="22"/>
        </w:rPr>
      </w:pPr>
      <w:r w:rsidRPr="00197E0B">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28B7653F" w14:textId="77777777" w:rsidR="00546190" w:rsidRPr="00197E0B" w:rsidRDefault="00546190" w:rsidP="003520FC">
      <w:pPr>
        <w:ind w:left="567" w:right="567"/>
        <w:jc w:val="both"/>
        <w:rPr>
          <w:rFonts w:ascii="Palatino Linotype" w:hAnsi="Palatino Linotype"/>
          <w:b/>
          <w:i/>
          <w:sz w:val="22"/>
        </w:rPr>
      </w:pPr>
    </w:p>
    <w:p w14:paraId="1EB3E4BA" w14:textId="77777777" w:rsidR="00546190" w:rsidRPr="00197E0B" w:rsidRDefault="00546190" w:rsidP="003520FC">
      <w:pPr>
        <w:ind w:left="567" w:right="567"/>
        <w:jc w:val="both"/>
        <w:rPr>
          <w:rFonts w:ascii="Palatino Linotype" w:hAnsi="Palatino Linotype"/>
          <w:i/>
          <w:sz w:val="22"/>
        </w:rPr>
      </w:pPr>
      <w:r w:rsidRPr="00197E0B">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197E0B">
        <w:rPr>
          <w:rFonts w:ascii="Palatino Linotype" w:hAnsi="Palatino Linotype"/>
          <w:i/>
          <w:sz w:val="22"/>
        </w:rPr>
        <w:t xml:space="preserve"> y los indicadores que permitan rendir cuenta del cumplimiento de sus objetivos y los resultados obtenidos.</w:t>
      </w:r>
    </w:p>
    <w:p w14:paraId="765A67F1" w14:textId="77777777" w:rsidR="00546190" w:rsidRPr="00197E0B" w:rsidRDefault="00546190" w:rsidP="003520FC">
      <w:pPr>
        <w:ind w:left="567" w:right="567"/>
        <w:jc w:val="both"/>
        <w:rPr>
          <w:rFonts w:ascii="Palatino Linotype" w:hAnsi="Palatino Linotype"/>
          <w:i/>
          <w:sz w:val="22"/>
        </w:rPr>
      </w:pPr>
    </w:p>
    <w:p w14:paraId="0552877C" w14:textId="77777777" w:rsidR="00546190" w:rsidRPr="00197E0B" w:rsidRDefault="00546190" w:rsidP="003520FC">
      <w:pPr>
        <w:ind w:left="567" w:right="567"/>
        <w:jc w:val="both"/>
        <w:rPr>
          <w:rFonts w:ascii="Palatino Linotype" w:hAnsi="Palatino Linotype" w:cs="Arial"/>
          <w:i/>
          <w:sz w:val="22"/>
        </w:rPr>
      </w:pPr>
      <w:r w:rsidRPr="00197E0B">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4A244822" w14:textId="77777777" w:rsidR="00546190" w:rsidRPr="00197E0B" w:rsidRDefault="00546190" w:rsidP="003520FC">
      <w:pPr>
        <w:ind w:left="567" w:right="567"/>
        <w:jc w:val="both"/>
        <w:rPr>
          <w:rFonts w:ascii="Palatino Linotype" w:hAnsi="Palatino Linotype"/>
          <w:sz w:val="22"/>
        </w:rPr>
      </w:pPr>
    </w:p>
    <w:p w14:paraId="6CF02102" w14:textId="77777777" w:rsidR="00546190" w:rsidRDefault="00546190" w:rsidP="003520FC">
      <w:pPr>
        <w:ind w:left="567" w:right="567"/>
        <w:jc w:val="both"/>
        <w:rPr>
          <w:rFonts w:ascii="Palatino Linotype" w:hAnsi="Palatino Linotype"/>
          <w:sz w:val="22"/>
        </w:rPr>
      </w:pPr>
      <w:r w:rsidRPr="00197E0B">
        <w:rPr>
          <w:rFonts w:ascii="Palatino Linotype" w:hAnsi="Palatino Linotype"/>
          <w:sz w:val="22"/>
        </w:rPr>
        <w:t>(Énfasis añadido)</w:t>
      </w:r>
    </w:p>
    <w:p w14:paraId="532F2FB4" w14:textId="77777777" w:rsidR="00546190" w:rsidRPr="00197E0B" w:rsidRDefault="00546190" w:rsidP="00546190">
      <w:pPr>
        <w:spacing w:line="360" w:lineRule="auto"/>
        <w:ind w:left="567" w:right="567"/>
        <w:jc w:val="both"/>
        <w:rPr>
          <w:rFonts w:ascii="Palatino Linotype" w:hAnsi="Palatino Linotype"/>
          <w:sz w:val="22"/>
        </w:rPr>
      </w:pPr>
    </w:p>
    <w:p w14:paraId="5445EE79" w14:textId="77777777" w:rsidR="00546190" w:rsidRPr="00816EA3" w:rsidRDefault="00546190" w:rsidP="00546190">
      <w:pPr>
        <w:pStyle w:val="Prrafodelista"/>
        <w:numPr>
          <w:ilvl w:val="0"/>
          <w:numId w:val="2"/>
        </w:numPr>
        <w:spacing w:line="360" w:lineRule="auto"/>
        <w:ind w:left="0" w:firstLine="0"/>
        <w:jc w:val="both"/>
        <w:rPr>
          <w:rFonts w:ascii="Palatino Linotype" w:hAnsi="Palatino Linotype" w:cs="Arial"/>
          <w:sz w:val="24"/>
        </w:rPr>
      </w:pPr>
      <w:r w:rsidRPr="00816EA3">
        <w:rPr>
          <w:rFonts w:ascii="Palatino Linotype" w:hAnsi="Palatino Linotype" w:cs="Arial"/>
          <w:sz w:val="24"/>
        </w:rPr>
        <w:t>Adicional, tenemos que la Ley de Transparencia y Acceso a la Información Pública del Estado de México y Municipios, prevé en su artículo 23 fracción IV, lo siguiente:</w:t>
      </w:r>
    </w:p>
    <w:p w14:paraId="19DA68E2" w14:textId="77777777" w:rsidR="00546190" w:rsidRPr="00197E0B" w:rsidRDefault="00546190" w:rsidP="00546190">
      <w:pPr>
        <w:spacing w:line="360" w:lineRule="auto"/>
        <w:jc w:val="both"/>
        <w:rPr>
          <w:rFonts w:ascii="Palatino Linotype" w:hAnsi="Palatino Linotype" w:cs="Arial"/>
        </w:rPr>
      </w:pPr>
    </w:p>
    <w:p w14:paraId="6AF6602B" w14:textId="77777777" w:rsidR="00546190" w:rsidRDefault="00546190" w:rsidP="00546190">
      <w:pPr>
        <w:ind w:left="567" w:right="567"/>
        <w:jc w:val="both"/>
        <w:rPr>
          <w:rFonts w:ascii="Palatino Linotype" w:hAnsi="Palatino Linotype" w:cs="Arial"/>
          <w:i/>
          <w:sz w:val="22"/>
        </w:rPr>
      </w:pPr>
      <w:r w:rsidRPr="00197E0B">
        <w:rPr>
          <w:rFonts w:ascii="Palatino Linotype" w:hAnsi="Palatino Linotype" w:cs="Arial"/>
          <w:b/>
          <w:i/>
          <w:sz w:val="22"/>
        </w:rPr>
        <w:t xml:space="preserve">“Artículo 23. Son sujetos obligados a transparentar y permitir el acceso a su información y </w:t>
      </w:r>
      <w:r w:rsidRPr="00197E0B">
        <w:rPr>
          <w:rFonts w:ascii="Palatino Linotype" w:hAnsi="Palatino Linotype"/>
          <w:b/>
          <w:i/>
          <w:sz w:val="22"/>
        </w:rPr>
        <w:t>proteger</w:t>
      </w:r>
      <w:r w:rsidRPr="00197E0B">
        <w:rPr>
          <w:rFonts w:ascii="Palatino Linotype" w:hAnsi="Palatino Linotype" w:cs="Arial"/>
          <w:b/>
          <w:i/>
          <w:sz w:val="22"/>
        </w:rPr>
        <w:t xml:space="preserve"> los datos personales que obren en su poder</w:t>
      </w:r>
      <w:r w:rsidRPr="00197E0B">
        <w:rPr>
          <w:rFonts w:ascii="Palatino Linotype" w:hAnsi="Palatino Linotype" w:cs="Arial"/>
          <w:i/>
          <w:sz w:val="22"/>
        </w:rPr>
        <w:t>:</w:t>
      </w:r>
    </w:p>
    <w:p w14:paraId="08D4490F" w14:textId="77777777" w:rsidR="00546190" w:rsidRPr="00197E0B" w:rsidRDefault="00546190" w:rsidP="00546190">
      <w:pPr>
        <w:ind w:left="567" w:right="567"/>
        <w:jc w:val="both"/>
        <w:rPr>
          <w:rFonts w:ascii="Palatino Linotype" w:hAnsi="Palatino Linotype" w:cs="Arial"/>
          <w:i/>
          <w:sz w:val="22"/>
        </w:rPr>
      </w:pPr>
      <w:r>
        <w:rPr>
          <w:rFonts w:ascii="Palatino Linotype" w:hAnsi="Palatino Linotype" w:cs="Arial"/>
          <w:i/>
          <w:sz w:val="22"/>
        </w:rPr>
        <w:t>…</w:t>
      </w:r>
    </w:p>
    <w:p w14:paraId="53038C9B" w14:textId="77777777" w:rsidR="00546190" w:rsidRPr="00197E0B" w:rsidRDefault="00546190" w:rsidP="00546190">
      <w:pPr>
        <w:ind w:left="567" w:right="567"/>
        <w:jc w:val="both"/>
        <w:rPr>
          <w:rFonts w:ascii="Palatino Linotype" w:hAnsi="Palatino Linotype" w:cs="Arial"/>
          <w:i/>
          <w:sz w:val="22"/>
        </w:rPr>
      </w:pPr>
    </w:p>
    <w:p w14:paraId="20277983" w14:textId="77777777" w:rsidR="00816EA3" w:rsidRPr="00816EA3" w:rsidRDefault="003520FC" w:rsidP="00546190">
      <w:pPr>
        <w:ind w:left="567" w:right="567"/>
        <w:jc w:val="both"/>
        <w:rPr>
          <w:rFonts w:ascii="Palatino Linotype" w:hAnsi="Palatino Linotype"/>
          <w:b/>
          <w:i/>
          <w:sz w:val="22"/>
        </w:rPr>
      </w:pPr>
      <w:r w:rsidRPr="00816EA3">
        <w:rPr>
          <w:rFonts w:ascii="Palatino Linotype" w:hAnsi="Palatino Linotype"/>
          <w:b/>
          <w:i/>
          <w:sz w:val="22"/>
        </w:rPr>
        <w:t>I. El Poder Ejecutivo del Estado de México, las dependencias, organismos auxiliares, órganos, entidades, fideicomisos y fondos públicos, así como la Procuraduría General de Justicia;</w:t>
      </w:r>
    </w:p>
    <w:p w14:paraId="11D4D8C8" w14:textId="256D68F0" w:rsidR="00546190" w:rsidRPr="003520FC" w:rsidRDefault="00546190" w:rsidP="00546190">
      <w:pPr>
        <w:ind w:left="567" w:right="567"/>
        <w:jc w:val="both"/>
        <w:rPr>
          <w:rFonts w:ascii="Palatino Linotype" w:hAnsi="Palatino Linotype" w:cs="Arial"/>
          <w:b/>
          <w:i/>
          <w:sz w:val="22"/>
        </w:rPr>
      </w:pPr>
      <w:r w:rsidRPr="003520FC">
        <w:rPr>
          <w:rFonts w:ascii="Palatino Linotype" w:hAnsi="Palatino Linotype" w:cs="Arial"/>
          <w:b/>
          <w:i/>
          <w:sz w:val="22"/>
        </w:rPr>
        <w:lastRenderedPageBreak/>
        <w:t>…</w:t>
      </w:r>
    </w:p>
    <w:p w14:paraId="2D8D3332" w14:textId="77777777" w:rsidR="00546190" w:rsidRPr="00197E0B" w:rsidRDefault="00546190" w:rsidP="00546190">
      <w:pPr>
        <w:ind w:left="567" w:right="567"/>
        <w:jc w:val="both"/>
        <w:rPr>
          <w:rFonts w:ascii="Palatino Linotype" w:hAnsi="Palatino Linotype"/>
          <w:i/>
          <w:sz w:val="22"/>
        </w:rPr>
      </w:pPr>
    </w:p>
    <w:p w14:paraId="1CF1C408" w14:textId="77777777" w:rsidR="00546190" w:rsidRPr="00197E0B" w:rsidRDefault="00546190" w:rsidP="00546190">
      <w:pPr>
        <w:ind w:left="567" w:right="567"/>
        <w:jc w:val="both"/>
        <w:rPr>
          <w:rFonts w:ascii="Palatino Linotype" w:hAnsi="Palatino Linotype"/>
          <w:i/>
          <w:sz w:val="22"/>
        </w:rPr>
      </w:pPr>
      <w:r w:rsidRPr="00197E0B">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1FA2999" w14:textId="77777777" w:rsidR="00546190" w:rsidRPr="00197E0B" w:rsidRDefault="00546190" w:rsidP="00546190">
      <w:pPr>
        <w:ind w:left="567" w:right="567"/>
        <w:jc w:val="both"/>
        <w:rPr>
          <w:rFonts w:ascii="Palatino Linotype" w:hAnsi="Palatino Linotype" w:cs="Arial"/>
          <w:b/>
          <w:i/>
          <w:sz w:val="22"/>
        </w:rPr>
      </w:pPr>
    </w:p>
    <w:p w14:paraId="751A7904" w14:textId="77777777" w:rsidR="00546190" w:rsidRPr="00197E0B" w:rsidRDefault="00546190" w:rsidP="00546190">
      <w:pPr>
        <w:ind w:left="567" w:right="567"/>
        <w:jc w:val="both"/>
        <w:rPr>
          <w:rFonts w:ascii="Palatino Linotype" w:hAnsi="Palatino Linotype" w:cs="Arial"/>
          <w:i/>
          <w:sz w:val="22"/>
        </w:rPr>
      </w:pPr>
      <w:r w:rsidRPr="00197E0B">
        <w:rPr>
          <w:rFonts w:ascii="Palatino Linotype" w:hAnsi="Palatino Linotype" w:cs="Arial"/>
          <w:b/>
          <w:i/>
          <w:sz w:val="22"/>
        </w:rPr>
        <w:t>Los servidores públicos deberán transparentar sus acciones así como garantizar y respetar el derecho de acceso a la información pública.”</w:t>
      </w:r>
    </w:p>
    <w:p w14:paraId="38F5FFC1" w14:textId="77777777" w:rsidR="00546190" w:rsidRPr="00816EA3" w:rsidRDefault="00546190" w:rsidP="00546190">
      <w:pPr>
        <w:ind w:left="567" w:right="567"/>
        <w:jc w:val="both"/>
        <w:rPr>
          <w:rFonts w:ascii="Palatino Linotype" w:hAnsi="Palatino Linotype" w:cs="Arial"/>
          <w:i/>
          <w:sz w:val="22"/>
        </w:rPr>
      </w:pPr>
      <w:r w:rsidRPr="00816EA3">
        <w:rPr>
          <w:rFonts w:ascii="Palatino Linotype" w:hAnsi="Palatino Linotype" w:cs="Arial"/>
          <w:i/>
          <w:sz w:val="22"/>
        </w:rPr>
        <w:t>(Énfasis añadido)</w:t>
      </w:r>
    </w:p>
    <w:p w14:paraId="506166C7" w14:textId="77777777" w:rsidR="00546190" w:rsidRPr="00197E0B" w:rsidRDefault="00546190" w:rsidP="00546190">
      <w:pPr>
        <w:spacing w:line="360" w:lineRule="auto"/>
        <w:jc w:val="both"/>
        <w:rPr>
          <w:rFonts w:ascii="Palatino Linotype" w:hAnsi="Palatino Linotype" w:cs="Arial"/>
        </w:rPr>
      </w:pPr>
    </w:p>
    <w:p w14:paraId="43B0CE10" w14:textId="77777777" w:rsidR="00546190" w:rsidRPr="00816EA3" w:rsidRDefault="00546190" w:rsidP="00546190">
      <w:pPr>
        <w:pStyle w:val="Prrafodelista"/>
        <w:numPr>
          <w:ilvl w:val="0"/>
          <w:numId w:val="2"/>
        </w:numPr>
        <w:spacing w:line="360" w:lineRule="auto"/>
        <w:ind w:left="0" w:firstLine="0"/>
        <w:jc w:val="both"/>
        <w:rPr>
          <w:rFonts w:ascii="Palatino Linotype" w:hAnsi="Palatino Linotype" w:cs="Arial"/>
          <w:sz w:val="24"/>
        </w:rPr>
      </w:pPr>
      <w:r w:rsidRPr="00816EA3">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389D27D" w14:textId="00023081" w:rsidR="00546190" w:rsidRPr="00816EA3" w:rsidRDefault="00546190" w:rsidP="00546190">
      <w:pPr>
        <w:pStyle w:val="Prrafodelista"/>
        <w:numPr>
          <w:ilvl w:val="0"/>
          <w:numId w:val="2"/>
        </w:numPr>
        <w:spacing w:line="360" w:lineRule="auto"/>
        <w:ind w:left="0" w:firstLine="0"/>
        <w:jc w:val="both"/>
        <w:rPr>
          <w:rFonts w:ascii="Palatino Linotype" w:hAnsi="Palatino Linotype" w:cs="Arial"/>
          <w:sz w:val="24"/>
        </w:rPr>
      </w:pPr>
      <w:r w:rsidRPr="00816EA3">
        <w:rPr>
          <w:rFonts w:ascii="Palatino Linotype" w:hAnsi="Palatino Linotype" w:cs="Arial"/>
          <w:sz w:val="24"/>
        </w:rPr>
        <w:t>Por lo anterior, es de referir que,</w:t>
      </w:r>
      <w:r w:rsidRPr="00816EA3">
        <w:rPr>
          <w:rFonts w:ascii="Palatino Linotype" w:hAnsi="Palatino Linotype" w:cs="Arial"/>
          <w:b/>
          <w:sz w:val="24"/>
        </w:rPr>
        <w:t xml:space="preserve"> el </w:t>
      </w:r>
      <w:r w:rsidR="00A34D56" w:rsidRPr="00816EA3">
        <w:rPr>
          <w:rFonts w:ascii="Palatino Linotype" w:eastAsia="Calibri" w:hAnsi="Palatino Linotype" w:cs="Tahoma"/>
          <w:b/>
          <w:sz w:val="24"/>
          <w:lang w:eastAsia="en-US"/>
        </w:rPr>
        <w:t>Comisión de Conciliación y Arbitraje Médico del Estado de México</w:t>
      </w:r>
      <w:r w:rsidRPr="00816EA3">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74441F88" w14:textId="77777777" w:rsidR="00C10E96" w:rsidRPr="00C10E96" w:rsidRDefault="00C10E96" w:rsidP="00BB4BAC">
      <w:pPr>
        <w:pStyle w:val="Prrafodelista"/>
        <w:spacing w:line="360" w:lineRule="auto"/>
        <w:ind w:left="0"/>
        <w:jc w:val="both"/>
        <w:rPr>
          <w:rFonts w:ascii="Palatino Linotype" w:hAnsi="Palatino Linotype" w:cs="Arial"/>
          <w:color w:val="000000" w:themeColor="text1"/>
        </w:rPr>
      </w:pPr>
    </w:p>
    <w:p w14:paraId="5258BCCD" w14:textId="77777777" w:rsidR="00816EA3" w:rsidRPr="0030122C" w:rsidRDefault="00816EA3" w:rsidP="0030122C">
      <w:pPr>
        <w:pStyle w:val="Prrafodelista"/>
        <w:rPr>
          <w:rFonts w:ascii="Palatino Linotype" w:eastAsia="MS Mincho" w:hAnsi="Palatino Linotype"/>
        </w:rPr>
      </w:pPr>
    </w:p>
    <w:p w14:paraId="384D3ED6" w14:textId="4F7AC806" w:rsidR="00E97BDB" w:rsidRDefault="00E97BDB" w:rsidP="007616E5">
      <w:pPr>
        <w:pStyle w:val="Prrafodelista"/>
        <w:numPr>
          <w:ilvl w:val="0"/>
          <w:numId w:val="2"/>
        </w:numPr>
        <w:spacing w:line="360" w:lineRule="auto"/>
        <w:ind w:left="0" w:firstLine="0"/>
        <w:jc w:val="both"/>
        <w:rPr>
          <w:rFonts w:ascii="Palatino Linotype" w:eastAsia="MS Mincho" w:hAnsi="Palatino Linotype"/>
        </w:rPr>
      </w:pPr>
      <w:r>
        <w:rPr>
          <w:rFonts w:ascii="Palatino Linotype" w:eastAsia="MS Mincho" w:hAnsi="Palatino Linotype"/>
        </w:rPr>
        <w:t>Es necesario traer a colación el Decreto por el cual crea la Comisión de Arbitraje México del Estado de México</w:t>
      </w:r>
      <w:r>
        <w:rPr>
          <w:rStyle w:val="Refdenotaalpie"/>
          <w:rFonts w:ascii="Palatino Linotype" w:eastAsia="MS Mincho" w:hAnsi="Palatino Linotype"/>
        </w:rPr>
        <w:footnoteReference w:id="10"/>
      </w:r>
      <w:r>
        <w:rPr>
          <w:rFonts w:ascii="Palatino Linotype" w:eastAsia="MS Mincho" w:hAnsi="Palatino Linotype"/>
        </w:rPr>
        <w:t>, el cual establece, en el artículo 2, que la Comisión tiene por objeto contribuir a la solución de los conflictos suscitados entre los usuarios y prestadores de los servicios médicos y, entre las funciones, se encuentran las siguientes:</w:t>
      </w:r>
    </w:p>
    <w:p w14:paraId="5C053979" w14:textId="77777777" w:rsidR="00E97BDB" w:rsidRDefault="00E97BDB" w:rsidP="00E97BDB">
      <w:pPr>
        <w:spacing w:line="360" w:lineRule="auto"/>
        <w:jc w:val="both"/>
        <w:rPr>
          <w:rFonts w:ascii="Palatino Linotype" w:eastAsia="MS Mincho" w:hAnsi="Palatino Linotype"/>
        </w:rPr>
      </w:pPr>
    </w:p>
    <w:p w14:paraId="1390BC0D" w14:textId="77777777" w:rsidR="00E97BDB" w:rsidRPr="00E97BDB" w:rsidRDefault="00E97BDB" w:rsidP="00E97BDB">
      <w:pPr>
        <w:spacing w:line="360" w:lineRule="auto"/>
        <w:jc w:val="both"/>
        <w:rPr>
          <w:rFonts w:ascii="Palatino Linotype" w:eastAsia="MS Mincho" w:hAnsi="Palatino Linotype"/>
        </w:rPr>
      </w:pPr>
    </w:p>
    <w:p w14:paraId="65094CEF" w14:textId="3F67AF94" w:rsidR="00E97BDB" w:rsidRPr="006B1185" w:rsidRDefault="00236AE4" w:rsidP="006B1185">
      <w:pPr>
        <w:spacing w:line="360" w:lineRule="auto"/>
        <w:ind w:left="567" w:right="822"/>
        <w:jc w:val="both"/>
        <w:rPr>
          <w:rFonts w:ascii="Palatino Linotype" w:hAnsi="Palatino Linotype"/>
          <w:i/>
          <w:sz w:val="22"/>
          <w:szCs w:val="22"/>
        </w:rPr>
      </w:pPr>
      <w:r w:rsidRPr="006B1185">
        <w:rPr>
          <w:rFonts w:ascii="Palatino Linotype" w:hAnsi="Palatino Linotype"/>
          <w:i/>
          <w:sz w:val="22"/>
          <w:szCs w:val="22"/>
        </w:rPr>
        <w:t>Artículo 4.- La Comisión tendrá las siguientes atribuciones:</w:t>
      </w:r>
    </w:p>
    <w:p w14:paraId="081416FC" w14:textId="05C27600" w:rsidR="006B1185" w:rsidRPr="006B1185" w:rsidRDefault="00236AE4" w:rsidP="006B1185">
      <w:pPr>
        <w:spacing w:line="360" w:lineRule="auto"/>
        <w:ind w:left="567" w:right="822"/>
        <w:jc w:val="both"/>
        <w:rPr>
          <w:rFonts w:ascii="Palatino Linotype" w:hAnsi="Palatino Linotype"/>
          <w:i/>
          <w:sz w:val="22"/>
          <w:szCs w:val="22"/>
        </w:rPr>
      </w:pPr>
      <w:r w:rsidRPr="006B1185">
        <w:rPr>
          <w:rFonts w:ascii="Palatino Linotype" w:hAnsi="Palatino Linotype"/>
          <w:i/>
          <w:sz w:val="22"/>
          <w:szCs w:val="22"/>
        </w:rPr>
        <w:t>…</w:t>
      </w:r>
    </w:p>
    <w:p w14:paraId="5F902592" w14:textId="586C005A" w:rsidR="00236AE4" w:rsidRPr="006B1185" w:rsidRDefault="006B1185" w:rsidP="006B1185">
      <w:pPr>
        <w:spacing w:line="360" w:lineRule="auto"/>
        <w:ind w:left="567" w:right="822"/>
        <w:jc w:val="both"/>
        <w:rPr>
          <w:rFonts w:ascii="Palatino Linotype" w:hAnsi="Palatino Linotype"/>
          <w:b/>
          <w:i/>
          <w:sz w:val="22"/>
          <w:szCs w:val="22"/>
        </w:rPr>
      </w:pPr>
      <w:r w:rsidRPr="006B1185">
        <w:rPr>
          <w:rFonts w:ascii="Palatino Linotype" w:hAnsi="Palatino Linotype"/>
          <w:i/>
          <w:sz w:val="22"/>
          <w:szCs w:val="22"/>
        </w:rPr>
        <w:t xml:space="preserve">VIII. </w:t>
      </w:r>
      <w:r w:rsidRPr="006B1185">
        <w:rPr>
          <w:rFonts w:ascii="Palatino Linotype" w:hAnsi="Palatino Linotype"/>
          <w:b/>
          <w:i/>
          <w:sz w:val="22"/>
          <w:szCs w:val="22"/>
        </w:rPr>
        <w:t>Elaborar los dictámenes o peritajes médicos</w:t>
      </w:r>
      <w:r w:rsidRPr="006B1185">
        <w:rPr>
          <w:rFonts w:ascii="Palatino Linotype" w:hAnsi="Palatino Linotype"/>
          <w:i/>
          <w:sz w:val="22"/>
          <w:szCs w:val="22"/>
        </w:rPr>
        <w:t xml:space="preserve"> que le sean solicitados por las autoridades judiciales o el Ministerio Publico: </w:t>
      </w:r>
      <w:r w:rsidRPr="006B1185">
        <w:rPr>
          <w:rFonts w:ascii="Palatino Linotype" w:hAnsi="Palatino Linotype"/>
          <w:b/>
          <w:i/>
          <w:sz w:val="22"/>
          <w:szCs w:val="22"/>
        </w:rPr>
        <w:t>en términos de los convenios que para tal efecto se celebren.</w:t>
      </w:r>
    </w:p>
    <w:p w14:paraId="42566957" w14:textId="4538475A" w:rsidR="006B1185" w:rsidRPr="006B1185" w:rsidRDefault="006B1185" w:rsidP="006B1185">
      <w:pPr>
        <w:spacing w:line="360" w:lineRule="auto"/>
        <w:ind w:left="567" w:right="822"/>
        <w:jc w:val="both"/>
        <w:rPr>
          <w:rFonts w:ascii="Palatino Linotype" w:hAnsi="Palatino Linotype"/>
          <w:i/>
          <w:sz w:val="22"/>
          <w:szCs w:val="22"/>
        </w:rPr>
      </w:pPr>
      <w:r w:rsidRPr="006B1185">
        <w:rPr>
          <w:rFonts w:ascii="Palatino Linotype" w:hAnsi="Palatino Linotype"/>
          <w:i/>
          <w:sz w:val="22"/>
          <w:szCs w:val="22"/>
        </w:rPr>
        <w:t>…</w:t>
      </w:r>
    </w:p>
    <w:p w14:paraId="366F95F3" w14:textId="51EEEFDE" w:rsidR="00236AE4" w:rsidRPr="006B1185" w:rsidRDefault="00236AE4" w:rsidP="006B1185">
      <w:pPr>
        <w:spacing w:line="360" w:lineRule="auto"/>
        <w:ind w:left="567" w:right="822"/>
        <w:jc w:val="both"/>
        <w:rPr>
          <w:rFonts w:ascii="Palatino Linotype" w:hAnsi="Palatino Linotype"/>
          <w:i/>
          <w:sz w:val="22"/>
        </w:rPr>
      </w:pPr>
      <w:r w:rsidRPr="006B1185">
        <w:rPr>
          <w:rFonts w:ascii="Palatino Linotype" w:hAnsi="Palatino Linotype"/>
          <w:b/>
          <w:i/>
          <w:sz w:val="22"/>
        </w:rPr>
        <w:t>XII. Convenir con institutos</w:t>
      </w:r>
      <w:r w:rsidRPr="006B1185">
        <w:rPr>
          <w:rFonts w:ascii="Palatino Linotype" w:hAnsi="Palatino Linotype"/>
          <w:i/>
          <w:sz w:val="22"/>
        </w:rPr>
        <w:t xml:space="preserve">, </w:t>
      </w:r>
      <w:r w:rsidRPr="006B1185">
        <w:rPr>
          <w:rFonts w:ascii="Palatino Linotype" w:hAnsi="Palatino Linotype"/>
          <w:b/>
          <w:i/>
          <w:sz w:val="22"/>
        </w:rPr>
        <w:t xml:space="preserve">asociaciones médicas y </w:t>
      </w:r>
      <w:r w:rsidR="006B1185" w:rsidRPr="006B1185">
        <w:rPr>
          <w:rFonts w:ascii="Palatino Linotype" w:hAnsi="Palatino Linotype"/>
          <w:b/>
          <w:i/>
          <w:sz w:val="22"/>
        </w:rPr>
        <w:t>organizaciones</w:t>
      </w:r>
      <w:r w:rsidRPr="006B1185">
        <w:rPr>
          <w:rFonts w:ascii="Palatino Linotype" w:hAnsi="Palatino Linotype"/>
          <w:b/>
          <w:i/>
          <w:sz w:val="22"/>
        </w:rPr>
        <w:t xml:space="preserve"> públicas y privadas</w:t>
      </w:r>
      <w:r w:rsidRPr="006B1185">
        <w:rPr>
          <w:rFonts w:ascii="Palatino Linotype" w:hAnsi="Palatino Linotype"/>
          <w:i/>
          <w:sz w:val="22"/>
        </w:rPr>
        <w:t xml:space="preserve">, acciones que le permitan el desarrollo y fortalecimiento de sus atribuciones; </w:t>
      </w:r>
    </w:p>
    <w:p w14:paraId="143C1221" w14:textId="77777777" w:rsidR="00236AE4" w:rsidRPr="006B1185" w:rsidRDefault="00236AE4" w:rsidP="006B1185">
      <w:pPr>
        <w:spacing w:line="360" w:lineRule="auto"/>
        <w:ind w:left="567" w:right="822"/>
        <w:jc w:val="both"/>
        <w:rPr>
          <w:rFonts w:ascii="Palatino Linotype" w:hAnsi="Palatino Linotype"/>
          <w:i/>
          <w:sz w:val="22"/>
        </w:rPr>
      </w:pPr>
    </w:p>
    <w:p w14:paraId="591D6DC7" w14:textId="62E4D19A" w:rsidR="00236AE4" w:rsidRPr="006B1185" w:rsidRDefault="00236AE4" w:rsidP="006B1185">
      <w:pPr>
        <w:spacing w:line="360" w:lineRule="auto"/>
        <w:ind w:left="567" w:right="822"/>
        <w:jc w:val="both"/>
        <w:rPr>
          <w:rFonts w:ascii="Palatino Linotype" w:eastAsia="MS Mincho" w:hAnsi="Palatino Linotype"/>
          <w:i/>
          <w:sz w:val="22"/>
        </w:rPr>
      </w:pPr>
      <w:r w:rsidRPr="006B1185">
        <w:rPr>
          <w:rFonts w:ascii="Palatino Linotype" w:hAnsi="Palatino Linotype"/>
          <w:b/>
          <w:i/>
          <w:sz w:val="22"/>
        </w:rPr>
        <w:t>XIII. Celebrar convenios</w:t>
      </w:r>
      <w:r w:rsidRPr="006B1185">
        <w:rPr>
          <w:rFonts w:ascii="Palatino Linotype" w:hAnsi="Palatino Linotype"/>
          <w:i/>
          <w:sz w:val="22"/>
        </w:rPr>
        <w:t xml:space="preserve"> con la Comisión Nacional de Arbitraje Médico, para la substanciación de arbitrajes con motivo de controversias que se susciten entre los usuarios y los prestadores de servicios médicos estableci</w:t>
      </w:r>
      <w:r w:rsidR="006B1185" w:rsidRPr="006B1185">
        <w:rPr>
          <w:rFonts w:ascii="Palatino Linotype" w:hAnsi="Palatino Linotype"/>
          <w:i/>
          <w:sz w:val="22"/>
        </w:rPr>
        <w:t xml:space="preserve">dos en el Estado; </w:t>
      </w:r>
    </w:p>
    <w:p w14:paraId="2513AA72" w14:textId="30B72D3C" w:rsidR="006B1185" w:rsidRDefault="006B1185" w:rsidP="007616E5">
      <w:pPr>
        <w:pStyle w:val="Prrafodelista"/>
        <w:numPr>
          <w:ilvl w:val="0"/>
          <w:numId w:val="2"/>
        </w:numPr>
        <w:spacing w:line="360" w:lineRule="auto"/>
        <w:ind w:left="0" w:firstLine="0"/>
        <w:jc w:val="both"/>
        <w:rPr>
          <w:rFonts w:ascii="Palatino Linotype" w:eastAsia="MS Mincho" w:hAnsi="Palatino Linotype"/>
        </w:rPr>
      </w:pPr>
      <w:r>
        <w:rPr>
          <w:rFonts w:ascii="Palatino Linotype" w:eastAsia="MS Mincho" w:hAnsi="Palatino Linotype"/>
        </w:rPr>
        <w:t xml:space="preserve">El artículo 5 del decreto de creación en cito, establece que, para dar cumplimiento a las atribuciones de la Comisión, se contará, entre otros, por un Consejo, el cual tiene entre sus atribuciones </w:t>
      </w:r>
      <w:r>
        <w:rPr>
          <w:rFonts w:ascii="Palatino Linotype" w:eastAsia="MS Mincho" w:hAnsi="Palatino Linotype"/>
          <w:i/>
        </w:rPr>
        <w:t xml:space="preserve">vigilar el cumplimiento de las resoluciones, así como de los </w:t>
      </w:r>
      <w:r>
        <w:rPr>
          <w:rFonts w:ascii="Palatino Linotype" w:eastAsia="MS Mincho" w:hAnsi="Palatino Linotype"/>
          <w:b/>
          <w:i/>
        </w:rPr>
        <w:t xml:space="preserve">convenios </w:t>
      </w:r>
      <w:r>
        <w:rPr>
          <w:rFonts w:ascii="Palatino Linotype" w:eastAsia="MS Mincho" w:hAnsi="Palatino Linotype"/>
          <w:i/>
        </w:rPr>
        <w:t>que se deriven de los procedimientos de conciliación y arbitraje respectivos.</w:t>
      </w:r>
      <w:r>
        <w:rPr>
          <w:rFonts w:ascii="Palatino Linotype" w:eastAsia="MS Mincho" w:hAnsi="Palatino Linotype"/>
        </w:rPr>
        <w:t xml:space="preserve"> </w:t>
      </w:r>
    </w:p>
    <w:p w14:paraId="5804DA1A" w14:textId="77777777" w:rsidR="006B1185" w:rsidRDefault="006B1185" w:rsidP="006B1185">
      <w:pPr>
        <w:pStyle w:val="Prrafodelista"/>
        <w:spacing w:line="360" w:lineRule="auto"/>
        <w:ind w:left="0"/>
        <w:jc w:val="both"/>
        <w:rPr>
          <w:rFonts w:ascii="Palatino Linotype" w:eastAsia="MS Mincho" w:hAnsi="Palatino Linotype"/>
        </w:rPr>
      </w:pPr>
    </w:p>
    <w:p w14:paraId="0A835FD4" w14:textId="78250368" w:rsidR="006B1185" w:rsidRDefault="006B1185" w:rsidP="006B1185">
      <w:pPr>
        <w:pStyle w:val="Prrafodelista"/>
        <w:numPr>
          <w:ilvl w:val="0"/>
          <w:numId w:val="2"/>
        </w:numPr>
        <w:spacing w:line="360" w:lineRule="auto"/>
        <w:ind w:left="0" w:firstLine="0"/>
        <w:jc w:val="both"/>
        <w:rPr>
          <w:rFonts w:ascii="Palatino Linotype" w:eastAsia="MS Mincho" w:hAnsi="Palatino Linotype"/>
        </w:rPr>
      </w:pPr>
      <w:r>
        <w:rPr>
          <w:rFonts w:ascii="Palatino Linotype" w:eastAsia="MS Mincho" w:hAnsi="Palatino Linotype"/>
        </w:rPr>
        <w:t>Por su parte, el Reglamento Interno de la Comisión de Conciliación y Arbitraje Médico del Estado de México, refiere un organigrama, en el cual se aprecia la “oficina del Comisionado”, de quien destacan las siguientes funciones:</w:t>
      </w:r>
    </w:p>
    <w:p w14:paraId="3F009874" w14:textId="77777777" w:rsidR="006B1185" w:rsidRPr="006B1185" w:rsidRDefault="006B1185" w:rsidP="006B1185">
      <w:pPr>
        <w:pStyle w:val="Prrafodelista"/>
        <w:rPr>
          <w:rFonts w:ascii="Palatino Linotype" w:eastAsia="MS Mincho" w:hAnsi="Palatino Linotype"/>
        </w:rPr>
      </w:pPr>
    </w:p>
    <w:p w14:paraId="294C88B3" w14:textId="16679114" w:rsidR="006B1185" w:rsidRPr="009F6ECF" w:rsidRDefault="006B1185" w:rsidP="009F6ECF">
      <w:pPr>
        <w:pStyle w:val="Prrafodelista"/>
        <w:numPr>
          <w:ilvl w:val="0"/>
          <w:numId w:val="21"/>
        </w:numPr>
        <w:spacing w:line="360" w:lineRule="auto"/>
        <w:jc w:val="both"/>
        <w:rPr>
          <w:rFonts w:ascii="Palatino Linotype" w:eastAsia="MS Mincho" w:hAnsi="Palatino Linotype"/>
          <w:i/>
        </w:rPr>
      </w:pPr>
      <w:r w:rsidRPr="009F6ECF">
        <w:rPr>
          <w:rFonts w:ascii="Palatino Linotype" w:hAnsi="Palatino Linotype"/>
          <w:b/>
          <w:i/>
        </w:rPr>
        <w:t>Suscribir convenios</w:t>
      </w:r>
      <w:r w:rsidRPr="009F6ECF">
        <w:rPr>
          <w:rFonts w:ascii="Palatino Linotype" w:hAnsi="Palatino Linotype"/>
          <w:i/>
        </w:rPr>
        <w:t xml:space="preserve"> y contratos, así como otros actos jurídico-administrativos en los que ésta intervenga</w:t>
      </w:r>
    </w:p>
    <w:p w14:paraId="57ECFAEF" w14:textId="77777777" w:rsidR="006B1185" w:rsidRPr="006B1185" w:rsidRDefault="006B1185" w:rsidP="006B1185">
      <w:pPr>
        <w:pStyle w:val="Prrafodelista"/>
        <w:rPr>
          <w:rFonts w:ascii="Palatino Linotype" w:eastAsia="MS Mincho" w:hAnsi="Palatino Linotype"/>
        </w:rPr>
      </w:pPr>
    </w:p>
    <w:p w14:paraId="0C2A9042" w14:textId="77777777" w:rsidR="006B1185" w:rsidRPr="006B1185" w:rsidRDefault="006B1185" w:rsidP="006B1185">
      <w:pPr>
        <w:spacing w:line="360" w:lineRule="auto"/>
        <w:jc w:val="both"/>
        <w:rPr>
          <w:rFonts w:ascii="Palatino Linotype" w:eastAsia="MS Mincho" w:hAnsi="Palatino Linotype"/>
        </w:rPr>
      </w:pPr>
    </w:p>
    <w:p w14:paraId="38E8D493" w14:textId="3CAC6B81" w:rsidR="009F6ECF" w:rsidRDefault="006B1185" w:rsidP="009F6ECF">
      <w:pPr>
        <w:pStyle w:val="Prrafodelista"/>
        <w:numPr>
          <w:ilvl w:val="0"/>
          <w:numId w:val="2"/>
        </w:numPr>
        <w:spacing w:line="360" w:lineRule="auto"/>
        <w:ind w:left="0" w:firstLine="0"/>
        <w:jc w:val="both"/>
        <w:rPr>
          <w:rFonts w:ascii="Palatino Linotype" w:eastAsia="MS Mincho" w:hAnsi="Palatino Linotype"/>
        </w:rPr>
      </w:pPr>
      <w:r>
        <w:rPr>
          <w:rFonts w:ascii="Palatino Linotype" w:eastAsia="MS Mincho" w:hAnsi="Palatino Linotype"/>
        </w:rPr>
        <w:t xml:space="preserve">Es así que, </w:t>
      </w:r>
      <w:r w:rsidR="009F6ECF">
        <w:rPr>
          <w:rFonts w:ascii="Palatino Linotype" w:eastAsia="MS Mincho" w:hAnsi="Palatino Linotype"/>
        </w:rPr>
        <w:t xml:space="preserve">tanto el Consejo como el área denominada Oficina del Comisionado cuentan con atribuciones necesarias para la celebración de convenios con otras instituciones, tanto públicas como privadas. No se debe perder de vista que, el Sujeto Obligado, a través de la </w:t>
      </w:r>
      <w:r w:rsidR="009F6ECF" w:rsidRPr="009F6ECF">
        <w:rPr>
          <w:rFonts w:ascii="Palatino Linotype" w:eastAsia="MS Mincho" w:hAnsi="Palatino Linotype"/>
          <w:b/>
        </w:rPr>
        <w:t>Subcomisión de Conciliación y arbitraje, debe atender las inconformidades presentadas</w:t>
      </w:r>
      <w:r w:rsidR="009F6ECF">
        <w:rPr>
          <w:rFonts w:ascii="Palatino Linotype" w:eastAsia="MS Mincho" w:hAnsi="Palatino Linotype"/>
        </w:rPr>
        <w:t xml:space="preserve">, analizando y determinando si son procedentes de acuerdo a la normatividad vigente en la materia </w:t>
      </w:r>
      <w:r w:rsidR="009F6ECF" w:rsidRPr="009F6ECF">
        <w:rPr>
          <w:rFonts w:ascii="Palatino Linotype" w:eastAsia="MS Mincho" w:hAnsi="Palatino Linotype"/>
          <w:b/>
        </w:rPr>
        <w:t>coadyuvando a la solución de conflictos</w:t>
      </w:r>
      <w:r w:rsidR="009F6ECF">
        <w:rPr>
          <w:rFonts w:ascii="Palatino Linotype" w:eastAsia="MS Mincho" w:hAnsi="Palatino Linotype"/>
        </w:rPr>
        <w:t xml:space="preserve"> suscitados entre las y los usuarios y las y los prestadores de servicios </w:t>
      </w:r>
      <w:r w:rsidR="009F6ECF" w:rsidRPr="009F6ECF">
        <w:rPr>
          <w:rFonts w:ascii="Palatino Linotype" w:eastAsia="MS Mincho" w:hAnsi="Palatino Linotype"/>
          <w:b/>
        </w:rPr>
        <w:t>y a la emisión</w:t>
      </w:r>
      <w:r w:rsidR="009F6ECF">
        <w:rPr>
          <w:rFonts w:ascii="Palatino Linotype" w:eastAsia="MS Mincho" w:hAnsi="Palatino Linotype"/>
        </w:rPr>
        <w:t xml:space="preserve"> de acuerdos </w:t>
      </w:r>
      <w:r w:rsidR="009F6ECF">
        <w:rPr>
          <w:rFonts w:ascii="Palatino Linotype" w:eastAsia="MS Mincho" w:hAnsi="Palatino Linotype"/>
          <w:b/>
        </w:rPr>
        <w:t xml:space="preserve">convenios, </w:t>
      </w:r>
      <w:r w:rsidR="009F6ECF">
        <w:rPr>
          <w:rFonts w:ascii="Palatino Linotype" w:eastAsia="MS Mincho" w:hAnsi="Palatino Linotype"/>
        </w:rPr>
        <w:t>opiniones o laudos</w:t>
      </w:r>
    </w:p>
    <w:p w14:paraId="3DA50D41" w14:textId="77777777" w:rsidR="009F6ECF" w:rsidRPr="009F6ECF" w:rsidRDefault="009F6ECF" w:rsidP="009F6ECF">
      <w:pPr>
        <w:spacing w:line="360" w:lineRule="auto"/>
        <w:jc w:val="both"/>
        <w:rPr>
          <w:rFonts w:ascii="Palatino Linotype" w:eastAsia="MS Mincho" w:hAnsi="Palatino Linotype"/>
        </w:rPr>
      </w:pPr>
    </w:p>
    <w:p w14:paraId="63AF05A9" w14:textId="1456D3DB" w:rsidR="009F6ECF" w:rsidRDefault="009F6ECF" w:rsidP="007616E5">
      <w:pPr>
        <w:pStyle w:val="Prrafodelista"/>
        <w:numPr>
          <w:ilvl w:val="0"/>
          <w:numId w:val="2"/>
        </w:numPr>
        <w:spacing w:line="360" w:lineRule="auto"/>
        <w:ind w:left="0" w:firstLine="0"/>
        <w:jc w:val="both"/>
        <w:rPr>
          <w:rFonts w:ascii="Palatino Linotype" w:eastAsia="MS Mincho" w:hAnsi="Palatino Linotype"/>
        </w:rPr>
      </w:pPr>
      <w:r>
        <w:rPr>
          <w:rFonts w:ascii="Palatino Linotype" w:eastAsia="MS Mincho" w:hAnsi="Palatino Linotype"/>
        </w:rPr>
        <w:t>Es decir, el Sujeto Obligado tiene la atribución de celebrar convenios con otras instituciones públicas y privadas por medio del Consejo y de la Oficina del Comisionado, así como también, a través de la Subcomisión de Conciliación y Arbitraje, al atender inconformidades presentadas y en la solución de conflictos, se cuenta con la atribución para la emisión de convenios.</w:t>
      </w:r>
    </w:p>
    <w:p w14:paraId="0659B8CC" w14:textId="77777777" w:rsidR="000077E7" w:rsidRPr="000077E7" w:rsidRDefault="000077E7" w:rsidP="000077E7">
      <w:pPr>
        <w:pStyle w:val="Prrafodelista"/>
        <w:rPr>
          <w:rFonts w:ascii="Palatino Linotype" w:eastAsia="MS Mincho" w:hAnsi="Palatino Linotype"/>
        </w:rPr>
      </w:pPr>
    </w:p>
    <w:p w14:paraId="3DABE414" w14:textId="1CF954D1" w:rsidR="000077E7" w:rsidRDefault="000077E7" w:rsidP="007616E5">
      <w:pPr>
        <w:pStyle w:val="Prrafodelista"/>
        <w:numPr>
          <w:ilvl w:val="0"/>
          <w:numId w:val="2"/>
        </w:numPr>
        <w:spacing w:line="360" w:lineRule="auto"/>
        <w:ind w:left="0" w:firstLine="0"/>
        <w:jc w:val="both"/>
        <w:rPr>
          <w:rFonts w:ascii="Palatino Linotype" w:eastAsia="MS Mincho" w:hAnsi="Palatino Linotype"/>
        </w:rPr>
      </w:pPr>
      <w:r>
        <w:rPr>
          <w:rFonts w:ascii="Palatino Linotype" w:eastAsia="MS Mincho" w:hAnsi="Palatino Linotype"/>
        </w:rPr>
        <w:t>Los Sujetos Obligados deben apegar su actuar bajo los estándares más altos de transparencia y al principio de máxima publicidad, por su parte, la Ley de Transparencia y Acceso a la Información Pública del Estado de México y Municipios, en el artículo 92 fracci</w:t>
      </w:r>
      <w:r w:rsidR="00F31CA6">
        <w:rPr>
          <w:rFonts w:ascii="Palatino Linotype" w:eastAsia="MS Mincho" w:hAnsi="Palatino Linotype"/>
        </w:rPr>
        <w:t xml:space="preserve">ones XXXII y </w:t>
      </w:r>
      <w:r>
        <w:rPr>
          <w:rFonts w:ascii="Palatino Linotype" w:eastAsia="MS Mincho" w:hAnsi="Palatino Linotype"/>
        </w:rPr>
        <w:t xml:space="preserve"> </w:t>
      </w:r>
    </w:p>
    <w:p w14:paraId="0A3877E3" w14:textId="77777777" w:rsidR="00F31CA6" w:rsidRPr="00F31CA6" w:rsidRDefault="00F31CA6" w:rsidP="00F31CA6">
      <w:pPr>
        <w:pStyle w:val="Prrafodelista"/>
        <w:rPr>
          <w:rFonts w:ascii="Palatino Linotype" w:eastAsia="MS Mincho" w:hAnsi="Palatino Linotype"/>
        </w:rPr>
      </w:pPr>
    </w:p>
    <w:p w14:paraId="52CFD558" w14:textId="1A71A4C7" w:rsidR="00F31CA6" w:rsidRPr="0077239A" w:rsidRDefault="00F31CA6" w:rsidP="00F31CA6">
      <w:pPr>
        <w:spacing w:line="360" w:lineRule="auto"/>
        <w:ind w:left="567" w:right="822"/>
        <w:jc w:val="both"/>
        <w:rPr>
          <w:rFonts w:ascii="Palatino Linotype" w:hAnsi="Palatino Linotype"/>
          <w:i/>
          <w:sz w:val="22"/>
          <w:szCs w:val="22"/>
        </w:rPr>
      </w:pPr>
      <w:r w:rsidRPr="0077239A">
        <w:rPr>
          <w:rFonts w:ascii="Palatino Linotype" w:hAnsi="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BF1F572" w14:textId="77777777" w:rsidR="00F31CA6" w:rsidRPr="0077239A" w:rsidRDefault="00F31CA6" w:rsidP="00F31CA6">
      <w:pPr>
        <w:spacing w:line="360" w:lineRule="auto"/>
        <w:ind w:left="567" w:right="822"/>
        <w:jc w:val="both"/>
        <w:rPr>
          <w:rFonts w:ascii="Palatino Linotype" w:hAnsi="Palatino Linotype"/>
          <w:i/>
          <w:sz w:val="22"/>
          <w:szCs w:val="22"/>
        </w:rPr>
      </w:pPr>
    </w:p>
    <w:p w14:paraId="1C6202EA" w14:textId="001DD255" w:rsidR="00F31CA6" w:rsidRPr="0077239A" w:rsidRDefault="00F31CA6" w:rsidP="00F31CA6">
      <w:pPr>
        <w:spacing w:line="360" w:lineRule="auto"/>
        <w:ind w:left="567" w:right="822"/>
        <w:jc w:val="both"/>
        <w:rPr>
          <w:rFonts w:ascii="Palatino Linotype" w:hAnsi="Palatino Linotype"/>
          <w:i/>
          <w:sz w:val="22"/>
          <w:szCs w:val="22"/>
        </w:rPr>
      </w:pPr>
      <w:r w:rsidRPr="0077239A">
        <w:rPr>
          <w:rFonts w:ascii="Palatino Linotype" w:hAnsi="Palatino Linotype"/>
          <w:i/>
          <w:sz w:val="22"/>
          <w:szCs w:val="22"/>
        </w:rPr>
        <w:t xml:space="preserve">I. El marco normativo aplicable al sujeto obligado, en el que deberá incluirse leyes, códigos, reglamentos, decretos de creación, acuerdos, </w:t>
      </w:r>
      <w:r w:rsidRPr="0077239A">
        <w:rPr>
          <w:rFonts w:ascii="Palatino Linotype" w:hAnsi="Palatino Linotype"/>
          <w:b/>
          <w:i/>
          <w:sz w:val="22"/>
          <w:szCs w:val="22"/>
        </w:rPr>
        <w:t>convenios,</w:t>
      </w:r>
      <w:r w:rsidRPr="0077239A">
        <w:rPr>
          <w:rFonts w:ascii="Palatino Linotype" w:hAnsi="Palatino Linotype"/>
          <w:i/>
          <w:sz w:val="22"/>
          <w:szCs w:val="22"/>
        </w:rPr>
        <w:t xml:space="preserve"> manuales de organización y procedimientos, reglas de operación, criterios, políticas, entre otros;</w:t>
      </w:r>
    </w:p>
    <w:p w14:paraId="14CB17C0" w14:textId="0A992EFA" w:rsidR="00F31CA6" w:rsidRPr="0077239A" w:rsidRDefault="00F31CA6" w:rsidP="00F31CA6">
      <w:pPr>
        <w:spacing w:line="360" w:lineRule="auto"/>
        <w:ind w:left="567" w:right="822"/>
        <w:jc w:val="both"/>
        <w:rPr>
          <w:rFonts w:ascii="Palatino Linotype" w:hAnsi="Palatino Linotype"/>
          <w:i/>
          <w:sz w:val="22"/>
          <w:szCs w:val="22"/>
        </w:rPr>
      </w:pPr>
      <w:r w:rsidRPr="0077239A">
        <w:rPr>
          <w:rFonts w:ascii="Palatino Linotype" w:hAnsi="Palatino Linotype"/>
          <w:i/>
          <w:sz w:val="22"/>
          <w:szCs w:val="22"/>
        </w:rPr>
        <w:t>…</w:t>
      </w:r>
    </w:p>
    <w:p w14:paraId="1B508351" w14:textId="4AC5535A" w:rsidR="00F31CA6" w:rsidRPr="0077239A" w:rsidRDefault="00F31CA6" w:rsidP="00F31CA6">
      <w:pPr>
        <w:spacing w:line="360" w:lineRule="auto"/>
        <w:ind w:left="567" w:right="822"/>
        <w:jc w:val="both"/>
        <w:rPr>
          <w:rFonts w:ascii="Palatino Linotype" w:hAnsi="Palatino Linotype"/>
          <w:i/>
          <w:sz w:val="22"/>
          <w:szCs w:val="22"/>
        </w:rPr>
      </w:pPr>
      <w:r w:rsidRPr="0077239A">
        <w:rPr>
          <w:rFonts w:ascii="Palatino Linotype" w:hAnsi="Palatino Linotype"/>
          <w:i/>
          <w:sz w:val="22"/>
          <w:szCs w:val="22"/>
        </w:rPr>
        <w:t xml:space="preserve">XX. Las condiciones generales de trabajo, contratos o </w:t>
      </w:r>
      <w:r w:rsidRPr="0077239A">
        <w:rPr>
          <w:rFonts w:ascii="Palatino Linotype" w:hAnsi="Palatino Linotype"/>
          <w:b/>
          <w:i/>
          <w:sz w:val="22"/>
          <w:szCs w:val="22"/>
        </w:rPr>
        <w:t>convenios</w:t>
      </w:r>
      <w:r w:rsidRPr="0077239A">
        <w:rPr>
          <w:rFonts w:ascii="Palatino Linotype" w:hAnsi="Palatino Linotype"/>
          <w:i/>
          <w:sz w:val="22"/>
          <w:szCs w:val="22"/>
        </w:rPr>
        <w:t xml:space="preserve"> que regulen las relaciones laborales del personal de base o de confianza, así como los recursos públicos económicos, en especie o donativos, que sean entregados a los Sindicatos y ejerzan como recursos públicos;</w:t>
      </w:r>
    </w:p>
    <w:p w14:paraId="0F1B73F2" w14:textId="598C9D52" w:rsidR="00F31CA6" w:rsidRPr="0077239A" w:rsidRDefault="00F31CA6" w:rsidP="00F31CA6">
      <w:pPr>
        <w:spacing w:line="360" w:lineRule="auto"/>
        <w:ind w:left="567" w:right="822"/>
        <w:jc w:val="both"/>
        <w:rPr>
          <w:rFonts w:ascii="Palatino Linotype" w:hAnsi="Palatino Linotype"/>
          <w:sz w:val="22"/>
          <w:szCs w:val="22"/>
        </w:rPr>
      </w:pPr>
      <w:r w:rsidRPr="0077239A">
        <w:rPr>
          <w:rFonts w:ascii="Palatino Linotype" w:hAnsi="Palatino Linotype"/>
          <w:sz w:val="22"/>
          <w:szCs w:val="22"/>
        </w:rPr>
        <w:t>…</w:t>
      </w:r>
    </w:p>
    <w:p w14:paraId="31ABE491" w14:textId="7FBE8867" w:rsidR="00F31CA6" w:rsidRPr="0077239A" w:rsidRDefault="00F31CA6" w:rsidP="00F31CA6">
      <w:pPr>
        <w:spacing w:line="360" w:lineRule="auto"/>
        <w:ind w:left="567" w:right="822"/>
        <w:jc w:val="both"/>
        <w:rPr>
          <w:rFonts w:ascii="Palatino Linotype" w:hAnsi="Palatino Linotype"/>
          <w:i/>
          <w:sz w:val="22"/>
          <w:szCs w:val="22"/>
        </w:rPr>
      </w:pPr>
      <w:r w:rsidRPr="0077239A">
        <w:rPr>
          <w:rFonts w:ascii="Palatino Linotype" w:hAnsi="Palatino Linotype"/>
          <w:i/>
          <w:sz w:val="22"/>
          <w:szCs w:val="22"/>
        </w:rPr>
        <w:t xml:space="preserve">XXXII. Las concesiones, contratos, </w:t>
      </w:r>
      <w:r w:rsidRPr="0077239A">
        <w:rPr>
          <w:rFonts w:ascii="Palatino Linotype" w:hAnsi="Palatino Linotype"/>
          <w:b/>
          <w:i/>
          <w:sz w:val="22"/>
          <w:szCs w:val="22"/>
        </w:rPr>
        <w:t>convenios</w:t>
      </w:r>
      <w:r w:rsidRPr="0077239A">
        <w:rPr>
          <w:rFonts w:ascii="Palatino Linotype" w:hAnsi="Palatino Linotype"/>
          <w:i/>
          <w:sz w:val="22"/>
          <w:szCs w:val="22"/>
        </w:rPr>
        <w:t>,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24379F82" w14:textId="790E58D4" w:rsidR="00F31CA6" w:rsidRPr="0077239A" w:rsidRDefault="00F31CA6" w:rsidP="00F31CA6">
      <w:pPr>
        <w:spacing w:line="360" w:lineRule="auto"/>
        <w:ind w:left="567" w:right="822"/>
        <w:jc w:val="both"/>
        <w:rPr>
          <w:rFonts w:ascii="Palatino Linotype" w:hAnsi="Palatino Linotype"/>
          <w:i/>
          <w:sz w:val="22"/>
          <w:szCs w:val="22"/>
        </w:rPr>
      </w:pPr>
      <w:r w:rsidRPr="0077239A">
        <w:rPr>
          <w:rFonts w:ascii="Palatino Linotype" w:hAnsi="Palatino Linotype"/>
          <w:i/>
          <w:sz w:val="22"/>
          <w:szCs w:val="22"/>
        </w:rPr>
        <w:t>…</w:t>
      </w:r>
    </w:p>
    <w:p w14:paraId="3672B8A6" w14:textId="77777777" w:rsidR="00F31CA6" w:rsidRPr="0077239A" w:rsidRDefault="00F31CA6" w:rsidP="00F31CA6">
      <w:pPr>
        <w:spacing w:line="360" w:lineRule="auto"/>
        <w:ind w:left="567" w:right="822"/>
        <w:jc w:val="both"/>
        <w:rPr>
          <w:rFonts w:ascii="Palatino Linotype" w:hAnsi="Palatino Linotype"/>
          <w:i/>
          <w:sz w:val="22"/>
          <w:szCs w:val="22"/>
        </w:rPr>
      </w:pPr>
    </w:p>
    <w:p w14:paraId="04EEFFF1" w14:textId="61C2E48F" w:rsidR="00F31CA6" w:rsidRPr="0077239A" w:rsidRDefault="00F31CA6" w:rsidP="00F31CA6">
      <w:pPr>
        <w:spacing w:line="360" w:lineRule="auto"/>
        <w:ind w:left="567" w:right="822"/>
        <w:jc w:val="both"/>
        <w:rPr>
          <w:rFonts w:ascii="Palatino Linotype" w:eastAsia="MS Mincho" w:hAnsi="Palatino Linotype"/>
          <w:b/>
          <w:i/>
          <w:sz w:val="22"/>
          <w:szCs w:val="22"/>
        </w:rPr>
      </w:pPr>
      <w:r w:rsidRPr="0077239A">
        <w:rPr>
          <w:rFonts w:ascii="Palatino Linotype" w:hAnsi="Palatino Linotype"/>
          <w:i/>
          <w:sz w:val="22"/>
          <w:szCs w:val="22"/>
        </w:rPr>
        <w:t xml:space="preserve">XXXVII. </w:t>
      </w:r>
      <w:r w:rsidRPr="0077239A">
        <w:rPr>
          <w:rFonts w:ascii="Palatino Linotype" w:hAnsi="Palatino Linotype"/>
          <w:b/>
          <w:i/>
          <w:sz w:val="22"/>
          <w:szCs w:val="22"/>
        </w:rPr>
        <w:t>Los convenios de coordinación, de concertación, entre otros, que suscriban con otros entes de los sectores público, social y privado;</w:t>
      </w:r>
    </w:p>
    <w:p w14:paraId="5BDA51A5" w14:textId="544F9CD2" w:rsidR="009F6ECF" w:rsidRPr="0077239A" w:rsidRDefault="00F31CA6" w:rsidP="00F31CA6">
      <w:pPr>
        <w:ind w:left="567" w:right="822"/>
        <w:rPr>
          <w:rFonts w:ascii="Palatino Linotype" w:eastAsia="MS Mincho" w:hAnsi="Palatino Linotype"/>
          <w:i/>
          <w:sz w:val="22"/>
          <w:szCs w:val="22"/>
        </w:rPr>
      </w:pPr>
      <w:r w:rsidRPr="0077239A">
        <w:rPr>
          <w:rFonts w:ascii="Palatino Linotype" w:eastAsia="MS Mincho" w:hAnsi="Palatino Linotype"/>
          <w:i/>
          <w:sz w:val="22"/>
          <w:szCs w:val="22"/>
        </w:rPr>
        <w:t>…</w:t>
      </w:r>
    </w:p>
    <w:p w14:paraId="03E645B3" w14:textId="77777777" w:rsidR="00F31CA6" w:rsidRPr="0077239A" w:rsidRDefault="00F31CA6" w:rsidP="00F31CA6">
      <w:pPr>
        <w:ind w:left="567" w:right="822"/>
        <w:rPr>
          <w:rFonts w:ascii="Palatino Linotype" w:eastAsia="MS Mincho" w:hAnsi="Palatino Linotype"/>
          <w:i/>
          <w:sz w:val="22"/>
          <w:szCs w:val="22"/>
        </w:rPr>
      </w:pPr>
    </w:p>
    <w:p w14:paraId="0D400B9E" w14:textId="56C2A2A4" w:rsidR="00F31CA6" w:rsidRPr="0077239A" w:rsidRDefault="00F31CA6" w:rsidP="00F31CA6">
      <w:pPr>
        <w:ind w:left="567" w:right="822"/>
        <w:rPr>
          <w:rFonts w:ascii="Palatino Linotype" w:eastAsia="MS Mincho" w:hAnsi="Palatino Linotype"/>
          <w:i/>
          <w:sz w:val="22"/>
          <w:szCs w:val="22"/>
        </w:rPr>
      </w:pPr>
      <w:r w:rsidRPr="0077239A">
        <w:rPr>
          <w:rFonts w:ascii="Palatino Linotype" w:hAnsi="Palatino Linotype"/>
          <w:i/>
          <w:sz w:val="22"/>
          <w:szCs w:val="22"/>
        </w:rPr>
        <w:t>XL. Las resoluciones y laudos que se emitan en procesos o procedimientos seguidos en forma de juicio;</w:t>
      </w:r>
    </w:p>
    <w:p w14:paraId="684A87E5" w14:textId="77777777" w:rsidR="009F6ECF" w:rsidRDefault="009F6ECF" w:rsidP="000077E7">
      <w:pPr>
        <w:pStyle w:val="Prrafodelista"/>
        <w:spacing w:line="360" w:lineRule="auto"/>
        <w:ind w:left="0"/>
        <w:jc w:val="both"/>
        <w:rPr>
          <w:rFonts w:ascii="Palatino Linotype" w:eastAsia="MS Mincho" w:hAnsi="Palatino Linotype"/>
        </w:rPr>
      </w:pPr>
    </w:p>
    <w:p w14:paraId="0E4C580D" w14:textId="77777777" w:rsidR="009F6ECF" w:rsidRPr="009F6ECF" w:rsidRDefault="009F6ECF" w:rsidP="009F6ECF">
      <w:pPr>
        <w:pStyle w:val="Prrafodelista"/>
        <w:rPr>
          <w:rFonts w:ascii="Palatino Linotype" w:eastAsia="MS Mincho" w:hAnsi="Palatino Linotype"/>
        </w:rPr>
      </w:pPr>
    </w:p>
    <w:p w14:paraId="7C196AC2" w14:textId="3C35B743" w:rsidR="0077239A" w:rsidRDefault="0077239A" w:rsidP="007616E5">
      <w:pPr>
        <w:pStyle w:val="Prrafodelista"/>
        <w:numPr>
          <w:ilvl w:val="0"/>
          <w:numId w:val="2"/>
        </w:numPr>
        <w:spacing w:line="360" w:lineRule="auto"/>
        <w:ind w:left="0" w:firstLine="0"/>
        <w:jc w:val="both"/>
        <w:rPr>
          <w:rFonts w:ascii="Palatino Linotype" w:eastAsia="MS Mincho" w:hAnsi="Palatino Linotype"/>
        </w:rPr>
      </w:pPr>
      <w:r>
        <w:rPr>
          <w:rFonts w:ascii="Palatino Linotype" w:eastAsia="MS Mincho" w:hAnsi="Palatino Linotype"/>
        </w:rPr>
        <w:lastRenderedPageBreak/>
        <w:t xml:space="preserve">La normatividad en comento, establece una variedad de convenios que pudieran suscribir los Sujetos Obligados, los cuales cuentan con una característica que los unifica, es decir, que todos los convenios, aunque pudieran ser diferentes, todos tienen la característica de ser información pública y se cuenta con la obligación de entregar la información a quien la solicite y, más aún, es considerara información pública de oficio, por lo que su publicidad no se limita al ejercicio del derecho de acceso a la información, sino que, los Sujetos Obligados deben de publicar dicha información de manera permanente y actualizada en los sitios electrónicos, como puede ser, el IPOMEX. </w:t>
      </w:r>
    </w:p>
    <w:p w14:paraId="7DE21087" w14:textId="77777777" w:rsidR="0077239A" w:rsidRDefault="0077239A" w:rsidP="0077239A">
      <w:pPr>
        <w:pStyle w:val="Prrafodelista"/>
        <w:spacing w:line="360" w:lineRule="auto"/>
        <w:ind w:left="0"/>
        <w:jc w:val="both"/>
        <w:rPr>
          <w:rFonts w:ascii="Palatino Linotype" w:eastAsia="MS Mincho" w:hAnsi="Palatino Linotype"/>
        </w:rPr>
      </w:pPr>
    </w:p>
    <w:p w14:paraId="1A1ACBB9" w14:textId="393D6CCF" w:rsidR="0077239A" w:rsidRDefault="0077239A" w:rsidP="007616E5">
      <w:pPr>
        <w:pStyle w:val="Prrafodelista"/>
        <w:numPr>
          <w:ilvl w:val="0"/>
          <w:numId w:val="2"/>
        </w:numPr>
        <w:spacing w:line="360" w:lineRule="auto"/>
        <w:ind w:left="0" w:firstLine="0"/>
        <w:jc w:val="both"/>
        <w:rPr>
          <w:rFonts w:ascii="Palatino Linotype" w:eastAsia="MS Mincho" w:hAnsi="Palatino Linotype"/>
        </w:rPr>
      </w:pPr>
      <w:r>
        <w:rPr>
          <w:rFonts w:ascii="Palatino Linotype" w:eastAsia="MS Mincho" w:hAnsi="Palatino Linotype"/>
        </w:rPr>
        <w:t>En consecuencia, se determina que la información que solicitó el Recurrente es de carácter pública, por lo que se ORDENA que el Sujeto Obligado entregue los convenios celebrados con la Subdirección de Integración Familiar.</w:t>
      </w:r>
    </w:p>
    <w:p w14:paraId="76E83833" w14:textId="77777777" w:rsidR="001845DC" w:rsidRPr="001845DC" w:rsidRDefault="001845DC" w:rsidP="001845DC">
      <w:pPr>
        <w:pStyle w:val="Prrafodelista"/>
        <w:rPr>
          <w:rFonts w:ascii="Palatino Linotype" w:eastAsia="MS Mincho" w:hAnsi="Palatino Linotype"/>
        </w:rPr>
      </w:pPr>
    </w:p>
    <w:p w14:paraId="61AE4DB6" w14:textId="3CF4FDC9" w:rsidR="001845DC" w:rsidRDefault="001845DC" w:rsidP="007616E5">
      <w:pPr>
        <w:pStyle w:val="Prrafodelista"/>
        <w:numPr>
          <w:ilvl w:val="0"/>
          <w:numId w:val="2"/>
        </w:numPr>
        <w:spacing w:line="360" w:lineRule="auto"/>
        <w:ind w:left="0" w:firstLine="0"/>
        <w:jc w:val="both"/>
        <w:rPr>
          <w:rFonts w:ascii="Palatino Linotype" w:eastAsia="MS Mincho" w:hAnsi="Palatino Linotype"/>
        </w:rPr>
      </w:pPr>
      <w:r>
        <w:rPr>
          <w:rFonts w:ascii="Palatino Linotype" w:eastAsia="MS Mincho" w:hAnsi="Palatino Linotype"/>
        </w:rPr>
        <w:t>Ahora bien, en caso de que no se haya celebrado ningún convenio con la Subdirección de Integración Familiar, el Sujeto Obligado, deberá de explicar de manera clara y precisa, las razones que expliquen las causas por las cuales no se cuenta con le información.</w:t>
      </w:r>
    </w:p>
    <w:p w14:paraId="3692958E" w14:textId="77777777" w:rsidR="0077239A" w:rsidRPr="0077239A" w:rsidRDefault="0077239A" w:rsidP="0077239A">
      <w:pPr>
        <w:pStyle w:val="Prrafodelista"/>
        <w:rPr>
          <w:rFonts w:ascii="Palatino Linotype" w:eastAsia="MS Mincho" w:hAnsi="Palatino Linotype"/>
        </w:rPr>
      </w:pPr>
    </w:p>
    <w:p w14:paraId="7AEE76A9" w14:textId="7BAD6780" w:rsidR="0030122C" w:rsidRDefault="001845DC" w:rsidP="007616E5">
      <w:pPr>
        <w:pStyle w:val="Prrafodelista"/>
        <w:numPr>
          <w:ilvl w:val="0"/>
          <w:numId w:val="2"/>
        </w:numPr>
        <w:spacing w:line="360" w:lineRule="auto"/>
        <w:ind w:left="0" w:firstLine="0"/>
        <w:jc w:val="both"/>
        <w:rPr>
          <w:rFonts w:ascii="Palatino Linotype" w:eastAsia="MS Mincho" w:hAnsi="Palatino Linotype"/>
        </w:rPr>
      </w:pPr>
      <w:r>
        <w:rPr>
          <w:rFonts w:ascii="Palatino Linotype" w:eastAsia="MS Mincho" w:hAnsi="Palatino Linotype"/>
        </w:rPr>
        <w:t>D</w:t>
      </w:r>
      <w:r w:rsidR="0030122C">
        <w:rPr>
          <w:rFonts w:ascii="Palatino Linotype" w:eastAsia="MS Mincho" w:hAnsi="Palatino Linotype"/>
        </w:rPr>
        <w:t xml:space="preserve">e ser el caso de que la información que se ha ordenado entregar contenga datos personales susceptibles de clasificarse como confidenciales, el Sujeto Obligado estará a lo dispuesto por el considerando </w:t>
      </w:r>
      <w:r w:rsidR="000D45C0">
        <w:rPr>
          <w:rFonts w:ascii="Palatino Linotype" w:eastAsia="MS Mincho" w:hAnsi="Palatino Linotype"/>
        </w:rPr>
        <w:t>QUINTO de la presente resolución.</w:t>
      </w:r>
    </w:p>
    <w:p w14:paraId="07B4901F" w14:textId="77777777" w:rsidR="000D45C0" w:rsidRPr="000D45C0" w:rsidRDefault="000D45C0" w:rsidP="000D45C0">
      <w:pPr>
        <w:pStyle w:val="Prrafodelista"/>
        <w:rPr>
          <w:rFonts w:ascii="Palatino Linotype" w:eastAsia="MS Mincho" w:hAnsi="Palatino Linotype"/>
        </w:rPr>
      </w:pPr>
    </w:p>
    <w:p w14:paraId="023D60BB" w14:textId="21A061C7" w:rsidR="000D45C0" w:rsidRPr="005F2DC6" w:rsidRDefault="000D45C0" w:rsidP="000D45C0">
      <w:pPr>
        <w:pStyle w:val="Ttulo2"/>
        <w:numPr>
          <w:ilvl w:val="0"/>
          <w:numId w:val="6"/>
        </w:numPr>
        <w:rPr>
          <w:rFonts w:ascii="Palatino Linotype" w:hAnsi="Palatino Linotype"/>
          <w:b/>
          <w:color w:val="auto"/>
          <w:sz w:val="24"/>
        </w:rPr>
      </w:pPr>
      <w:bookmarkStart w:id="20" w:name="_Toc81936107"/>
      <w:r w:rsidRPr="005F2DC6">
        <w:rPr>
          <w:rFonts w:ascii="Palatino Linotype" w:hAnsi="Palatino Linotype"/>
          <w:b/>
          <w:color w:val="auto"/>
          <w:sz w:val="24"/>
        </w:rPr>
        <w:t>De la suplencia a la deficiencia de la queja.</w:t>
      </w:r>
      <w:bookmarkEnd w:id="20"/>
    </w:p>
    <w:p w14:paraId="2D2AB1EA" w14:textId="77777777" w:rsidR="000D45C0" w:rsidRPr="005F2DC6" w:rsidRDefault="000D45C0" w:rsidP="000D45C0">
      <w:pPr>
        <w:pStyle w:val="Prrafodelista"/>
        <w:rPr>
          <w:rFonts w:ascii="Palatino Linotype" w:eastAsia="MS Mincho" w:hAnsi="Palatino Linotype"/>
        </w:rPr>
      </w:pPr>
    </w:p>
    <w:p w14:paraId="538B0FAB" w14:textId="77777777" w:rsidR="000D45C0" w:rsidRPr="005F2DC6" w:rsidRDefault="000D45C0" w:rsidP="000D45C0">
      <w:pPr>
        <w:pStyle w:val="Prrafodelista"/>
        <w:numPr>
          <w:ilvl w:val="0"/>
          <w:numId w:val="2"/>
        </w:numPr>
        <w:spacing w:line="360" w:lineRule="auto"/>
        <w:ind w:left="0" w:firstLine="0"/>
        <w:jc w:val="both"/>
        <w:rPr>
          <w:lang w:eastAsia="en-US"/>
        </w:rPr>
      </w:pPr>
      <w:r w:rsidRPr="005F2DC6">
        <w:rPr>
          <w:rFonts w:ascii="Palatino Linotype" w:hAnsi="Palatino Linotype"/>
          <w:lang w:val="es-ES"/>
        </w:rPr>
        <w:t xml:space="preserve">Un aspecto de vital importancia es que, para el ejercicio del derecho de acceso a la información pública, a diferencia de otros derechos, permite que los propios particulares actúen sin la necesidad de contar con un representante legal tal y como lo señala el artículo </w:t>
      </w:r>
      <w:r w:rsidRPr="005F2DC6">
        <w:rPr>
          <w:rFonts w:ascii="Palatino Linotype" w:hAnsi="Palatino Linotype"/>
          <w:lang w:val="es-ES"/>
        </w:rPr>
        <w:lastRenderedPageBreak/>
        <w:t xml:space="preserve">152 y 178 de la </w:t>
      </w:r>
      <w:r w:rsidRPr="005F2DC6">
        <w:rPr>
          <w:rFonts w:ascii="Palatino Linotype" w:hAnsi="Palatino Linotype" w:cs="Arial"/>
        </w:rPr>
        <w:t>Ley de Transparencia y Acceso a la Información Pública del Estado de México y Municipios:</w:t>
      </w:r>
    </w:p>
    <w:p w14:paraId="18E4EC10" w14:textId="77777777" w:rsidR="000D45C0" w:rsidRPr="005F2DC6" w:rsidRDefault="000D45C0" w:rsidP="000D45C0">
      <w:pPr>
        <w:pStyle w:val="Prrafodelista"/>
        <w:rPr>
          <w:rFonts w:ascii="Palatino Linotype" w:hAnsi="Palatino Linotype" w:cs="Arial"/>
        </w:rPr>
      </w:pPr>
    </w:p>
    <w:p w14:paraId="2140EC98" w14:textId="77777777" w:rsidR="000D45C0" w:rsidRPr="005F2DC6" w:rsidRDefault="000D45C0" w:rsidP="000D45C0">
      <w:pPr>
        <w:autoSpaceDE w:val="0"/>
        <w:autoSpaceDN w:val="0"/>
        <w:adjustRightInd w:val="0"/>
        <w:spacing w:line="360" w:lineRule="auto"/>
        <w:ind w:left="567" w:right="616"/>
        <w:jc w:val="both"/>
        <w:rPr>
          <w:rFonts w:ascii="Palatino Linotype" w:hAnsi="Palatino Linotype" w:cs="Bookman Old Style"/>
          <w:i/>
          <w:sz w:val="22"/>
        </w:rPr>
      </w:pPr>
      <w:r w:rsidRPr="005F2DC6">
        <w:rPr>
          <w:rFonts w:ascii="Palatino Linotype" w:hAnsi="Palatino Linotype" w:cs="Bookman Old Style,Bold"/>
          <w:b/>
          <w:bCs/>
          <w:i/>
          <w:sz w:val="22"/>
        </w:rPr>
        <w:t xml:space="preserve">Artículo 152. </w:t>
      </w:r>
      <w:r w:rsidRPr="005F2DC6">
        <w:rPr>
          <w:rFonts w:ascii="Palatino Linotype" w:hAnsi="Palatino Linotype" w:cs="Bookman Old Style"/>
          <w:b/>
          <w:i/>
          <w:sz w:val="22"/>
          <w:u w:val="single"/>
        </w:rPr>
        <w:t>Cualquier persona por sí misma o a través de su representante, podrá presentar solicitud de acceso a información</w:t>
      </w:r>
      <w:r w:rsidRPr="005F2DC6">
        <w:rPr>
          <w:rFonts w:ascii="Palatino Linotype" w:hAnsi="Palatino Linotype" w:cs="Bookman Old Style"/>
          <w:i/>
          <w:sz w:val="22"/>
        </w:rPr>
        <w:t xml:space="preserve"> ante la Unidad de Transparencia, a través del sistema electrónico o de la Plataforma Nacional, en la oficina u oficinas designadas para ello, vía correo electrónico, correo postal, mensajería, telégrafo, verbalmente o cualquier medio aprobado por el Instituto o por el Sistema Nacional.</w:t>
      </w:r>
    </w:p>
    <w:p w14:paraId="52C14155" w14:textId="77777777" w:rsidR="000D45C0" w:rsidRPr="005F2DC6" w:rsidRDefault="000D45C0" w:rsidP="000D45C0">
      <w:pPr>
        <w:autoSpaceDE w:val="0"/>
        <w:autoSpaceDN w:val="0"/>
        <w:adjustRightInd w:val="0"/>
        <w:spacing w:line="360" w:lineRule="auto"/>
        <w:ind w:left="567" w:right="616"/>
        <w:jc w:val="both"/>
        <w:rPr>
          <w:rFonts w:ascii="Palatino Linotype" w:hAnsi="Palatino Linotype" w:cs="Arial"/>
          <w:i/>
        </w:rPr>
      </w:pPr>
      <w:r w:rsidRPr="005F2DC6">
        <w:rPr>
          <w:rFonts w:ascii="Palatino Linotype" w:hAnsi="Palatino Linotype" w:cs="Bookman Old Style,Bold"/>
          <w:b/>
          <w:bCs/>
          <w:i/>
          <w:sz w:val="22"/>
        </w:rPr>
        <w:t>…</w:t>
      </w:r>
    </w:p>
    <w:p w14:paraId="5AF449F8" w14:textId="77777777" w:rsidR="000D45C0" w:rsidRPr="005F2DC6" w:rsidRDefault="000D45C0" w:rsidP="000D45C0">
      <w:pPr>
        <w:pStyle w:val="Prrafodelista"/>
        <w:spacing w:line="360" w:lineRule="auto"/>
        <w:ind w:left="567" w:right="616"/>
        <w:jc w:val="both"/>
        <w:rPr>
          <w:rFonts w:ascii="Palatino Linotype" w:hAnsi="Palatino Linotype" w:cs="Arial"/>
          <w:i/>
          <w:color w:val="000000" w:themeColor="text1"/>
          <w:lang w:val="es-ES"/>
        </w:rPr>
      </w:pPr>
      <w:r w:rsidRPr="005F2DC6">
        <w:rPr>
          <w:rFonts w:ascii="Palatino Linotype" w:hAnsi="Palatino Linotype"/>
          <w:i/>
        </w:rPr>
        <w:t>Artículo 178.</w:t>
      </w:r>
      <w:r w:rsidRPr="005F2DC6">
        <w:rPr>
          <w:rFonts w:ascii="Palatino Linotype" w:hAnsi="Palatino Linotype"/>
          <w:b/>
          <w:i/>
        </w:rPr>
        <w:t xml:space="preserve"> </w:t>
      </w:r>
      <w:r w:rsidRPr="005F2DC6">
        <w:rPr>
          <w:rFonts w:ascii="Palatino Linotype" w:hAnsi="Palatino Linotype"/>
          <w:b/>
          <w:i/>
          <w:u w:val="single"/>
        </w:rPr>
        <w:t>El solicitante podrá interponer, por sí mismo</w:t>
      </w:r>
      <w:r w:rsidRPr="005F2DC6">
        <w:rPr>
          <w:rFonts w:ascii="Palatino Linotype" w:hAnsi="Palatino Linotype"/>
          <w:i/>
          <w:u w:val="single"/>
        </w:rPr>
        <w:t xml:space="preserve"> </w:t>
      </w:r>
      <w:r w:rsidRPr="005F2DC6">
        <w:rPr>
          <w:rFonts w:ascii="Palatino Linotype" w:hAnsi="Palatino Linotype"/>
          <w:b/>
          <w:i/>
          <w:u w:val="single"/>
        </w:rPr>
        <w:t>o a través de su representante, de manera directa o por medios electrónicos, recurso de revisión</w:t>
      </w:r>
      <w:r w:rsidRPr="005F2DC6">
        <w:rPr>
          <w:rFonts w:ascii="Palatino Linotype" w:hAnsi="Palatino Linotype"/>
          <w:i/>
        </w:rPr>
        <w:t xml:space="preserve"> ante el Instituto o ante la Unidad de Transparencia que haya conocido de la solicitud dentro de los quince días hábiles, siguientes a la fecha de la notificación de la respuesta.</w:t>
      </w:r>
    </w:p>
    <w:p w14:paraId="68C6A51B" w14:textId="77777777" w:rsidR="000D45C0" w:rsidRPr="005F2DC6" w:rsidRDefault="000D45C0" w:rsidP="000D45C0">
      <w:pPr>
        <w:pStyle w:val="Prrafodelista"/>
        <w:tabs>
          <w:tab w:val="left" w:pos="426"/>
          <w:tab w:val="left" w:pos="851"/>
        </w:tabs>
        <w:spacing w:line="360" w:lineRule="auto"/>
        <w:ind w:left="426" w:right="49"/>
        <w:jc w:val="both"/>
        <w:rPr>
          <w:rFonts w:ascii="Palatino Linotype" w:hAnsi="Palatino Linotype"/>
          <w:lang w:val="es-ES"/>
        </w:rPr>
      </w:pPr>
    </w:p>
    <w:p w14:paraId="27B8D9DF" w14:textId="77777777" w:rsidR="000D45C0" w:rsidRPr="005F2DC6" w:rsidRDefault="000D45C0" w:rsidP="000D45C0">
      <w:pPr>
        <w:pStyle w:val="Prrafodelista"/>
        <w:numPr>
          <w:ilvl w:val="0"/>
          <w:numId w:val="2"/>
        </w:numPr>
        <w:spacing w:line="360" w:lineRule="auto"/>
        <w:ind w:left="0" w:firstLine="0"/>
        <w:jc w:val="both"/>
        <w:rPr>
          <w:rFonts w:ascii="Palatino Linotype" w:hAnsi="Palatino Linotype"/>
          <w:sz w:val="24"/>
        </w:rPr>
      </w:pPr>
      <w:r w:rsidRPr="005F2DC6">
        <w:rPr>
          <w:rFonts w:ascii="Palatino Linotype" w:hAnsi="Palatino Linotype" w:cs="Arial"/>
          <w:sz w:val="24"/>
        </w:rPr>
        <w:t xml:space="preserve">De la interpretación de los preceptos legales en cito, se determina que los particulares pueden interponer la solicitud y posteriormente recurso de revisión </w:t>
      </w:r>
      <w:r w:rsidRPr="005F2DC6">
        <w:rPr>
          <w:rFonts w:ascii="Palatino Linotype" w:hAnsi="Palatino Linotype" w:cs="Arial"/>
          <w:b/>
          <w:sz w:val="24"/>
        </w:rPr>
        <w:t xml:space="preserve">por sí mismos o a través de un representante; </w:t>
      </w:r>
      <w:r w:rsidRPr="005F2DC6">
        <w:rPr>
          <w:rFonts w:ascii="Palatino Linotype" w:hAnsi="Palatino Linotype" w:cs="Arial"/>
          <w:sz w:val="24"/>
        </w:rPr>
        <w:t xml:space="preserve">ante dicha aseveración,  se desconoce si el particular formuló su solicitud por medio de un representante experto en la materia, a falta de dicho elemento, se presume que los particulares presentan su solicitud por sí mismos y que éstos, pueden no ser expertos en la materia y desconocen </w:t>
      </w:r>
      <w:r w:rsidRPr="005F2DC6">
        <w:rPr>
          <w:rFonts w:ascii="Palatino Linotype" w:hAnsi="Palatino Linotype" w:cs="Arial"/>
          <w:color w:val="000000" w:themeColor="text1"/>
          <w:sz w:val="24"/>
          <w:lang w:val="es-ES"/>
        </w:rPr>
        <w:t>los derechos que les asisten.</w:t>
      </w:r>
    </w:p>
    <w:p w14:paraId="578CAD41" w14:textId="77777777" w:rsidR="000D45C0" w:rsidRPr="005F2DC6" w:rsidRDefault="000D45C0" w:rsidP="000D45C0">
      <w:pPr>
        <w:pStyle w:val="Prrafodelista"/>
        <w:spacing w:line="360" w:lineRule="auto"/>
        <w:ind w:left="0"/>
        <w:jc w:val="both"/>
        <w:rPr>
          <w:rFonts w:ascii="Palatino Linotype" w:hAnsi="Palatino Linotype"/>
          <w:sz w:val="24"/>
        </w:rPr>
      </w:pPr>
    </w:p>
    <w:p w14:paraId="798B0A6A" w14:textId="77777777" w:rsidR="000D45C0" w:rsidRPr="005F2DC6" w:rsidRDefault="000D45C0" w:rsidP="000D45C0">
      <w:pPr>
        <w:pStyle w:val="Prrafodelista"/>
        <w:numPr>
          <w:ilvl w:val="0"/>
          <w:numId w:val="2"/>
        </w:numPr>
        <w:spacing w:line="360" w:lineRule="auto"/>
        <w:ind w:left="0" w:firstLine="0"/>
        <w:jc w:val="both"/>
        <w:rPr>
          <w:rFonts w:ascii="Palatino Linotype" w:hAnsi="Palatino Linotype"/>
          <w:sz w:val="24"/>
        </w:rPr>
      </w:pPr>
      <w:r w:rsidRPr="005F2DC6">
        <w:rPr>
          <w:rFonts w:ascii="Palatino Linotype" w:hAnsi="Palatino Linotype"/>
          <w:sz w:val="24"/>
          <w:lang w:val="es-ES"/>
        </w:rPr>
        <w:t xml:space="preserve">Es por ello que, no se tiene certeza de que los particulares realicen sus actuaciones mediante un representante, y, cabe la posibilidad de que los recurrentes </w:t>
      </w:r>
      <w:r w:rsidRPr="005F2DC6">
        <w:rPr>
          <w:rFonts w:ascii="Palatino Linotype" w:hAnsi="Palatino Linotype"/>
          <w:sz w:val="24"/>
          <w:lang w:val="es-ES"/>
        </w:rPr>
        <w:lastRenderedPageBreak/>
        <w:t xml:space="preserve">no sean expertos en la materia. Entonces, bajo un estricto apego al principio de eficacia y con fundamento en </w:t>
      </w:r>
      <w:r w:rsidRPr="005F2DC6">
        <w:rPr>
          <w:rFonts w:ascii="Palatino Linotype" w:hAnsi="Palatino Linotype"/>
          <w:sz w:val="24"/>
          <w:szCs w:val="22"/>
          <w:lang w:val="es-ES"/>
        </w:rPr>
        <w:t>los artículos 13</w:t>
      </w:r>
      <w:r w:rsidRPr="005F2DC6">
        <w:rPr>
          <w:rStyle w:val="Refdenotaalpie"/>
          <w:rFonts w:ascii="Palatino Linotype" w:hAnsi="Palatino Linotype"/>
          <w:sz w:val="24"/>
          <w:szCs w:val="22"/>
          <w:lang w:val="es-ES"/>
        </w:rPr>
        <w:footnoteReference w:id="11"/>
      </w:r>
      <w:r w:rsidRPr="005F2DC6">
        <w:rPr>
          <w:rFonts w:ascii="Palatino Linotype" w:hAnsi="Palatino Linotype"/>
          <w:sz w:val="24"/>
          <w:szCs w:val="22"/>
          <w:lang w:val="es-ES"/>
        </w:rPr>
        <w:t xml:space="preserve"> y 181</w:t>
      </w:r>
      <w:r w:rsidRPr="005F2DC6">
        <w:rPr>
          <w:rStyle w:val="Refdenotaalpie"/>
          <w:rFonts w:ascii="Palatino Linotype" w:hAnsi="Palatino Linotype"/>
          <w:sz w:val="24"/>
          <w:szCs w:val="22"/>
          <w:lang w:val="es-ES"/>
        </w:rPr>
        <w:footnoteReference w:id="12"/>
      </w:r>
      <w:r w:rsidRPr="005F2DC6">
        <w:rPr>
          <w:rFonts w:ascii="Palatino Linotype" w:hAnsi="Palatino Linotype"/>
          <w:sz w:val="24"/>
          <w:szCs w:val="22"/>
          <w:lang w:val="es-ES"/>
        </w:rPr>
        <w:t xml:space="preserve"> penúltimo párrafo de la Ley de Transparencia y Acceso a la Información Pública del Estado de México y Municipios deberá suplir dicha deficiencia a favor del recurrente.</w:t>
      </w:r>
    </w:p>
    <w:p w14:paraId="798ADC91" w14:textId="77777777" w:rsidR="000D45C0" w:rsidRPr="005F2DC6" w:rsidRDefault="000D45C0" w:rsidP="000D45C0">
      <w:pPr>
        <w:pStyle w:val="Prrafodelista"/>
        <w:rPr>
          <w:rFonts w:ascii="Palatino Linotype" w:hAnsi="Palatino Linotype"/>
          <w:sz w:val="24"/>
        </w:rPr>
      </w:pPr>
    </w:p>
    <w:p w14:paraId="451E9590" w14:textId="5639C562" w:rsidR="000D45C0" w:rsidRPr="005F2DC6" w:rsidRDefault="000D45C0" w:rsidP="000D45C0">
      <w:pPr>
        <w:pStyle w:val="Prrafodelista"/>
        <w:numPr>
          <w:ilvl w:val="0"/>
          <w:numId w:val="2"/>
        </w:numPr>
        <w:spacing w:line="360" w:lineRule="auto"/>
        <w:ind w:left="0" w:firstLine="0"/>
        <w:jc w:val="both"/>
        <w:rPr>
          <w:rFonts w:ascii="Palatino Linotype" w:hAnsi="Palatino Linotype"/>
          <w:sz w:val="24"/>
        </w:rPr>
      </w:pPr>
      <w:r w:rsidRPr="005F2DC6">
        <w:rPr>
          <w:rFonts w:ascii="Palatino Linotype" w:hAnsi="Palatino Linotype" w:cs="Arial"/>
          <w:sz w:val="24"/>
          <w:lang w:eastAsia="es-MX"/>
        </w:rPr>
        <w:t>Es de mencionar que el recurrente no señaló temporalidad de la cual requiere la información, e</w:t>
      </w:r>
      <w:r w:rsidRPr="005F2DC6">
        <w:rPr>
          <w:rFonts w:ascii="Palatino Linotype" w:hAnsi="Palatino Linotype"/>
          <w:sz w:val="24"/>
          <w:szCs w:val="22"/>
          <w:lang w:val="es-ES"/>
        </w:rPr>
        <w:t xml:space="preserve">n consecuencia, </w:t>
      </w:r>
      <w:r w:rsidRPr="005F2DC6">
        <w:rPr>
          <w:rFonts w:ascii="Palatino Linotype" w:hAnsi="Palatino Linotype" w:cs="Arial"/>
          <w:sz w:val="24"/>
        </w:rPr>
        <w:t xml:space="preserve">se ordena entregar la correspondiente al año inmediato anterior a la presentación de la solicitud de información, es decir, </w:t>
      </w:r>
      <w:r w:rsidRPr="005F2DC6">
        <w:rPr>
          <w:rFonts w:ascii="Palatino Linotype" w:hAnsi="Palatino Linotype" w:cs="Arial"/>
          <w:b/>
          <w:sz w:val="24"/>
        </w:rPr>
        <w:t>del dieciséis de junio del 2020 al dieciséis de junio de 2021.</w:t>
      </w:r>
    </w:p>
    <w:p w14:paraId="415C8317" w14:textId="77777777" w:rsidR="000D45C0" w:rsidRPr="005F2DC6" w:rsidRDefault="000D45C0" w:rsidP="000D45C0">
      <w:pPr>
        <w:pStyle w:val="Prrafodelista"/>
        <w:rPr>
          <w:rFonts w:ascii="Palatino Linotype" w:hAnsi="Palatino Linotype" w:cs="Arial"/>
        </w:rPr>
      </w:pPr>
    </w:p>
    <w:p w14:paraId="151DD1AA" w14:textId="77777777" w:rsidR="000D45C0" w:rsidRPr="005F2DC6" w:rsidRDefault="000D45C0" w:rsidP="000D45C0">
      <w:pPr>
        <w:pStyle w:val="Prrafodelista"/>
        <w:numPr>
          <w:ilvl w:val="0"/>
          <w:numId w:val="2"/>
        </w:numPr>
        <w:autoSpaceDE w:val="0"/>
        <w:autoSpaceDN w:val="0"/>
        <w:adjustRightInd w:val="0"/>
        <w:spacing w:line="360" w:lineRule="auto"/>
        <w:ind w:left="0" w:firstLine="0"/>
        <w:jc w:val="both"/>
        <w:rPr>
          <w:rFonts w:ascii="Palatino Linotype" w:hAnsi="Palatino Linotype" w:cs="Arial"/>
          <w:lang w:eastAsia="es-MX"/>
        </w:rPr>
      </w:pPr>
      <w:r w:rsidRPr="005F2DC6">
        <w:rPr>
          <w:rFonts w:ascii="Palatino Linotype" w:hAnsi="Palatino Linotype" w:cs="Arial"/>
        </w:rPr>
        <w:t>Sirve de sustento a lo anterior el criterio número 9/13 emitido por el entonces Instituto Federal de Acceso a la Información Pública, cuyo texto y sentido literal es el siguiente:</w:t>
      </w:r>
    </w:p>
    <w:p w14:paraId="34012519" w14:textId="77777777" w:rsidR="000D45C0" w:rsidRPr="005F2DC6" w:rsidRDefault="000D45C0" w:rsidP="000D45C0">
      <w:pPr>
        <w:pStyle w:val="Prrafodelista"/>
        <w:rPr>
          <w:rFonts w:ascii="Palatino Linotype" w:hAnsi="Palatino Linotype" w:cs="Arial"/>
          <w:lang w:eastAsia="es-MX"/>
        </w:rPr>
      </w:pPr>
    </w:p>
    <w:p w14:paraId="2AF90EB8" w14:textId="77777777" w:rsidR="000D45C0" w:rsidRDefault="000D45C0" w:rsidP="000D45C0">
      <w:pPr>
        <w:pStyle w:val="Prrafodelista"/>
        <w:spacing w:line="360" w:lineRule="auto"/>
        <w:ind w:left="567" w:right="567"/>
        <w:jc w:val="both"/>
        <w:rPr>
          <w:rFonts w:ascii="Palatino Linotype" w:hAnsi="Palatino Linotype"/>
        </w:rPr>
      </w:pPr>
      <w:r w:rsidRPr="005F2DC6">
        <w:rPr>
          <w:rFonts w:ascii="Palatino Linotype" w:hAnsi="Palatino Linotype" w:cs="Arial"/>
          <w:i/>
        </w:rPr>
        <w:t>“</w:t>
      </w:r>
      <w:r w:rsidRPr="005F2DC6">
        <w:rPr>
          <w:rFonts w:ascii="Palatino Linotype" w:hAnsi="Palatino Linotype" w:cs="Arial"/>
          <w:b/>
          <w:i/>
        </w:rPr>
        <w:t>Periodo de búsqueda de la información, cuando no se precisa en la solicitud de información</w:t>
      </w:r>
      <w:r w:rsidRPr="005F2DC6">
        <w:rPr>
          <w:rFonts w:ascii="Palatino Linotype" w:hAnsi="Palatino Linotype" w:cs="Arial"/>
          <w:i/>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w:t>
      </w:r>
      <w:r w:rsidRPr="005F2DC6">
        <w:rPr>
          <w:rFonts w:ascii="Palatino Linotype" w:hAnsi="Palatino Linotype" w:cs="Arial"/>
          <w:b/>
          <w:i/>
        </w:rPr>
        <w:t>deberá interpretarse que su requerimiento se refiere al del año inmediato anterior contado a partir de la fecha en que se presentó la solicitud</w:t>
      </w:r>
      <w:r w:rsidRPr="005F2DC6">
        <w:rPr>
          <w:rFonts w:ascii="Palatino Linotype" w:hAnsi="Palatino Linotype" w:cs="Arial"/>
          <w:i/>
        </w:rPr>
        <w:t xml:space="preserve">. Lo </w:t>
      </w:r>
      <w:r w:rsidRPr="005F2DC6">
        <w:rPr>
          <w:rFonts w:ascii="Palatino Linotype" w:hAnsi="Palatino Linotype" w:cs="Arial"/>
          <w:i/>
        </w:rPr>
        <w:lastRenderedPageBreak/>
        <w:t>anterior permite que los sujetos obligados cuenten con mayores elementos para precisar y localizar la información solicitada.”</w:t>
      </w:r>
    </w:p>
    <w:p w14:paraId="2FB66C21" w14:textId="77777777" w:rsidR="000D45C0" w:rsidRDefault="000D45C0" w:rsidP="000D45C0">
      <w:pPr>
        <w:pStyle w:val="Prrafodelista"/>
        <w:spacing w:line="360" w:lineRule="auto"/>
        <w:ind w:left="0"/>
        <w:jc w:val="both"/>
        <w:rPr>
          <w:rFonts w:ascii="Palatino Linotype" w:hAnsi="Palatino Linotype"/>
        </w:rPr>
      </w:pPr>
    </w:p>
    <w:p w14:paraId="15735638" w14:textId="6B940FB7" w:rsidR="008E6432" w:rsidRPr="00476BA1" w:rsidRDefault="00844AE0" w:rsidP="008E6432">
      <w:pPr>
        <w:pStyle w:val="Ttulo1"/>
        <w:rPr>
          <w:rFonts w:ascii="Palatino Linotype" w:hAnsi="Palatino Linotype"/>
          <w:b/>
          <w:color w:val="auto"/>
          <w:sz w:val="24"/>
          <w:szCs w:val="24"/>
        </w:rPr>
      </w:pPr>
      <w:bookmarkStart w:id="21" w:name="_Toc65830222"/>
      <w:bookmarkStart w:id="22" w:name="_Toc81936108"/>
      <w:bookmarkStart w:id="23" w:name="_Hlk80877414"/>
      <w:bookmarkEnd w:id="15"/>
      <w:bookmarkEnd w:id="18"/>
      <w:bookmarkEnd w:id="19"/>
      <w:r>
        <w:rPr>
          <w:rFonts w:ascii="Palatino Linotype" w:hAnsi="Palatino Linotype"/>
          <w:b/>
          <w:color w:val="auto"/>
          <w:sz w:val="24"/>
          <w:szCs w:val="24"/>
        </w:rPr>
        <w:t>QUINTO</w:t>
      </w:r>
      <w:r w:rsidR="008E6432" w:rsidRPr="00476BA1">
        <w:rPr>
          <w:rFonts w:ascii="Palatino Linotype" w:hAnsi="Palatino Linotype"/>
          <w:b/>
          <w:color w:val="auto"/>
          <w:sz w:val="24"/>
          <w:szCs w:val="24"/>
        </w:rPr>
        <w:t>. De la Versión Pública.</w:t>
      </w:r>
      <w:bookmarkEnd w:id="21"/>
      <w:bookmarkEnd w:id="22"/>
    </w:p>
    <w:p w14:paraId="04BF53A7" w14:textId="77777777" w:rsidR="008E6432" w:rsidRPr="00C14B76" w:rsidRDefault="008E6432" w:rsidP="008E6432">
      <w:pPr>
        <w:rPr>
          <w:rFonts w:ascii="Palatino Linotype" w:hAnsi="Palatino Linotype"/>
          <w:sz w:val="24"/>
          <w:szCs w:val="24"/>
          <w:lang w:eastAsia="en-US"/>
        </w:rPr>
      </w:pPr>
    </w:p>
    <w:p w14:paraId="57CC99A8" w14:textId="77777777" w:rsidR="00581A10" w:rsidRPr="00844AE0" w:rsidRDefault="00581A10" w:rsidP="00581A10">
      <w:pPr>
        <w:pStyle w:val="Ttulo1"/>
        <w:numPr>
          <w:ilvl w:val="0"/>
          <w:numId w:val="17"/>
        </w:numPr>
        <w:spacing w:before="0" w:line="360" w:lineRule="auto"/>
        <w:rPr>
          <w:rFonts w:ascii="Palatino Linotype" w:hAnsi="Palatino Linotype"/>
          <w:b/>
          <w:color w:val="000000" w:themeColor="text1"/>
          <w:sz w:val="24"/>
          <w:szCs w:val="24"/>
        </w:rPr>
      </w:pPr>
      <w:bookmarkStart w:id="24" w:name="_Toc48135362"/>
      <w:bookmarkStart w:id="25" w:name="_Toc81936109"/>
      <w:r w:rsidRPr="00844AE0">
        <w:rPr>
          <w:rFonts w:ascii="Palatino Linotype" w:hAnsi="Palatino Linotype" w:cs="Times New Roman"/>
          <w:b/>
          <w:color w:val="000000" w:themeColor="text1"/>
          <w:sz w:val="24"/>
          <w:szCs w:val="24"/>
          <w:lang w:eastAsia="es-ES_tradnl"/>
        </w:rPr>
        <w:t>Nociones generales.</w:t>
      </w:r>
      <w:bookmarkEnd w:id="24"/>
      <w:bookmarkEnd w:id="25"/>
      <w:r w:rsidRPr="00844AE0">
        <w:rPr>
          <w:rFonts w:ascii="Palatino Linotype" w:hAnsi="Palatino Linotype" w:cs="Times New Roman"/>
          <w:b/>
          <w:color w:val="000000" w:themeColor="text1"/>
          <w:sz w:val="24"/>
          <w:szCs w:val="24"/>
          <w:lang w:eastAsia="es-ES_tradnl"/>
        </w:rPr>
        <w:t xml:space="preserve"> </w:t>
      </w:r>
    </w:p>
    <w:p w14:paraId="5F2FAEC0" w14:textId="77777777" w:rsidR="00581A10" w:rsidRPr="00C317BE" w:rsidRDefault="00581A10" w:rsidP="00581A10">
      <w:pPr>
        <w:pStyle w:val="Prrafodelista"/>
        <w:tabs>
          <w:tab w:val="left" w:pos="426"/>
        </w:tabs>
        <w:spacing w:line="360" w:lineRule="auto"/>
        <w:ind w:left="0"/>
        <w:jc w:val="both"/>
        <w:rPr>
          <w:rFonts w:ascii="Palatino Linotype" w:eastAsia="MS Mincho" w:hAnsi="Palatino Linotype" w:cs="Arial"/>
          <w:color w:val="000000" w:themeColor="text1"/>
          <w:sz w:val="24"/>
        </w:rPr>
      </w:pPr>
    </w:p>
    <w:p w14:paraId="434FEB18" w14:textId="77777777" w:rsidR="00581A10" w:rsidRPr="00C317BE" w:rsidRDefault="00581A10" w:rsidP="00581A10">
      <w:pPr>
        <w:pStyle w:val="Prrafodelista"/>
        <w:numPr>
          <w:ilvl w:val="0"/>
          <w:numId w:val="2"/>
        </w:numPr>
        <w:spacing w:line="360" w:lineRule="auto"/>
        <w:ind w:left="0" w:right="49" w:firstLine="0"/>
        <w:jc w:val="both"/>
        <w:rPr>
          <w:rFonts w:ascii="Palatino Linotype" w:hAnsi="Palatino Linotype" w:cs="Arial"/>
          <w:color w:val="000000"/>
          <w:sz w:val="24"/>
        </w:rPr>
      </w:pPr>
      <w:r w:rsidRPr="00C317BE">
        <w:rPr>
          <w:rFonts w:ascii="Palatino Linotype" w:hAnsi="Palatino Linotype" w:cs="Arial"/>
          <w:color w:val="000000"/>
          <w:sz w:val="24"/>
        </w:rPr>
        <w:t>Debe destacarse que, debido a la naturaleza de la información solicitada</w:t>
      </w:r>
      <w:r w:rsidRPr="00C317BE">
        <w:rPr>
          <w:rFonts w:ascii="Palatino Linotype" w:hAnsi="Palatino Linotype" w:cs="Arial"/>
          <w:b/>
          <w:color w:val="000000"/>
          <w:sz w:val="24"/>
        </w:rPr>
        <w:t xml:space="preserve">, </w:t>
      </w:r>
      <w:r w:rsidRPr="00C317BE">
        <w:rPr>
          <w:rFonts w:ascii="Palatino Linotype" w:hAnsi="Palatino Linotype" w:cs="Arial"/>
          <w:color w:val="000000"/>
          <w:sz w:val="24"/>
        </w:rPr>
        <w:t xml:space="preserve">eventualmente pudiera obrar datos personales susceptibles de protegerse, el </w:t>
      </w:r>
      <w:r w:rsidRPr="00C317BE">
        <w:rPr>
          <w:rFonts w:ascii="Palatino Linotype" w:hAnsi="Palatino Linotype" w:cs="Arial"/>
          <w:b/>
          <w:bCs/>
          <w:color w:val="000000"/>
          <w:sz w:val="24"/>
        </w:rPr>
        <w:t xml:space="preserve">Sujeto Obligado </w:t>
      </w:r>
      <w:r w:rsidRPr="00C317BE">
        <w:rPr>
          <w:rFonts w:ascii="Palatino Linotype" w:hAnsi="Palatino Linotype" w:cs="Arial"/>
          <w:color w:val="000000"/>
          <w:sz w:val="24"/>
        </w:rPr>
        <w:t xml:space="preserve">deberá de hacer la adecuada versión pública, protegiendo los datos que no son susceptibles de ser proporcionados. </w:t>
      </w:r>
    </w:p>
    <w:p w14:paraId="6BFACE69" w14:textId="77777777" w:rsidR="00581A10" w:rsidRPr="00C317BE" w:rsidRDefault="00581A10" w:rsidP="00581A10">
      <w:pPr>
        <w:pStyle w:val="Prrafodelista"/>
        <w:tabs>
          <w:tab w:val="left" w:pos="0"/>
        </w:tabs>
        <w:spacing w:line="360" w:lineRule="auto"/>
        <w:ind w:left="0" w:right="49"/>
        <w:jc w:val="both"/>
        <w:rPr>
          <w:rFonts w:ascii="Palatino Linotype" w:eastAsia="MS Mincho" w:hAnsi="Palatino Linotype"/>
          <w:sz w:val="24"/>
          <w:highlight w:val="yellow"/>
          <w:lang w:val="es-ES"/>
        </w:rPr>
      </w:pPr>
    </w:p>
    <w:p w14:paraId="0FCD720E" w14:textId="0E0FEF8F" w:rsidR="00581A10" w:rsidRPr="00C317BE" w:rsidRDefault="00581A10" w:rsidP="00581A10">
      <w:pPr>
        <w:numPr>
          <w:ilvl w:val="0"/>
          <w:numId w:val="2"/>
        </w:numPr>
        <w:spacing w:line="360" w:lineRule="auto"/>
        <w:ind w:left="0" w:right="49" w:firstLine="0"/>
        <w:contextualSpacing/>
        <w:jc w:val="both"/>
        <w:rPr>
          <w:rFonts w:ascii="Palatino Linotype" w:hAnsi="Palatino Linotype" w:cs="Arial"/>
          <w:color w:val="000000"/>
          <w:sz w:val="24"/>
          <w:szCs w:val="24"/>
        </w:rPr>
      </w:pPr>
      <w:r w:rsidRPr="00C317BE">
        <w:rPr>
          <w:rFonts w:ascii="Palatino Linotype" w:hAnsi="Palatino Linotype" w:cs="Arial"/>
          <w:color w:val="000000"/>
          <w:sz w:val="24"/>
          <w:szCs w:val="24"/>
        </w:rPr>
        <w:t>No pa</w:t>
      </w:r>
      <w:r w:rsidR="005F1B15">
        <w:rPr>
          <w:rFonts w:ascii="Palatino Linotype" w:hAnsi="Palatino Linotype" w:cs="Arial"/>
          <w:color w:val="000000"/>
          <w:sz w:val="24"/>
          <w:szCs w:val="24"/>
        </w:rPr>
        <w:t>sa desapercibido para este Organismo</w:t>
      </w:r>
      <w:r w:rsidRPr="00C317BE">
        <w:rPr>
          <w:rFonts w:ascii="Palatino Linotype" w:hAnsi="Palatino Linotype" w:cs="Arial"/>
          <w:color w:val="000000"/>
          <w:sz w:val="24"/>
          <w:szCs w:val="24"/>
        </w:rPr>
        <w:t xml:space="preserve"> Garante que los </w:t>
      </w:r>
      <w:r w:rsidRPr="00C317BE">
        <w:rPr>
          <w:rFonts w:ascii="Palatino Linotype" w:hAnsi="Palatino Linotype" w:cs="Arial"/>
          <w:b/>
          <w:bCs/>
          <w:color w:val="000000"/>
          <w:sz w:val="24"/>
          <w:szCs w:val="24"/>
        </w:rPr>
        <w:t xml:space="preserve">Sujetos Obligados </w:t>
      </w:r>
      <w:r w:rsidRPr="00C317BE">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579D49BE" w14:textId="77777777" w:rsidR="00581A10" w:rsidRPr="004B0570" w:rsidRDefault="00581A10" w:rsidP="00581A10">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581A10" w:rsidRPr="00C317BE" w14:paraId="241283DA" w14:textId="77777777" w:rsidTr="00F612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822E2E0" w14:textId="77777777" w:rsidR="00581A10" w:rsidRPr="00C317BE" w:rsidRDefault="00581A10" w:rsidP="00F61253">
            <w:pPr>
              <w:spacing w:line="360" w:lineRule="auto"/>
              <w:rPr>
                <w:rFonts w:ascii="Palatino Linotype" w:hAnsi="Palatino Linotype"/>
                <w:bCs w:val="0"/>
                <w:sz w:val="20"/>
                <w:szCs w:val="20"/>
              </w:rPr>
            </w:pPr>
            <w:r w:rsidRPr="00C317BE">
              <w:rPr>
                <w:rFonts w:ascii="Palatino Linotype" w:hAnsi="Palatino Linotype" w:cstheme="majorBidi"/>
                <w:bCs w:val="0"/>
                <w:sz w:val="20"/>
                <w:szCs w:val="20"/>
              </w:rPr>
              <w:t>a) Requisitos previos.</w:t>
            </w:r>
          </w:p>
        </w:tc>
        <w:tc>
          <w:tcPr>
            <w:tcW w:w="6990" w:type="dxa"/>
            <w:hideMark/>
          </w:tcPr>
          <w:p w14:paraId="7D6697F1" w14:textId="77777777" w:rsidR="00581A10" w:rsidRPr="00C317BE" w:rsidRDefault="00581A10" w:rsidP="00F61253">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0"/>
              </w:rPr>
            </w:pPr>
            <w:r w:rsidRPr="00C317BE">
              <w:rPr>
                <w:rFonts w:ascii="Palatino Linotype" w:hAnsi="Palatino Linotype" w:cs="Arial"/>
                <w:b w:val="0"/>
                <w:bCs w:val="0"/>
                <w:color w:val="000000"/>
                <w:sz w:val="20"/>
                <w:szCs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63E00052" w14:textId="77777777" w:rsidR="00581A10" w:rsidRPr="00C317BE" w:rsidRDefault="00581A10" w:rsidP="00F61253">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0"/>
              </w:rPr>
            </w:pPr>
            <w:r w:rsidRPr="00C317BE">
              <w:rPr>
                <w:rFonts w:ascii="Palatino Linotype" w:hAnsi="Palatino Linotype" w:cs="Arial"/>
                <w:b w:val="0"/>
                <w:bCs w:val="0"/>
                <w:color w:val="000000"/>
                <w:sz w:val="20"/>
                <w:szCs w:val="20"/>
              </w:rPr>
              <w:lastRenderedPageBreak/>
              <w:t>Al hacerlo tienen que precisar de qué información se trata, señalando el supuesto de clasificación (confidencialidad o reserva).</w:t>
            </w:r>
          </w:p>
          <w:p w14:paraId="237928BA" w14:textId="77777777" w:rsidR="00581A10" w:rsidRPr="00C317BE" w:rsidRDefault="00581A10" w:rsidP="00F61253">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szCs w:val="20"/>
              </w:rPr>
            </w:pPr>
            <w:r w:rsidRPr="00C317BE">
              <w:rPr>
                <w:rFonts w:ascii="Palatino Linotype" w:hAnsi="Palatino Linotype" w:cs="Arial"/>
                <w:b w:val="0"/>
                <w:bCs w:val="0"/>
                <w:color w:val="000000"/>
                <w:sz w:val="20"/>
                <w:szCs w:val="20"/>
              </w:rPr>
              <w:t>Además, se debe señalar el procedimiento, de los tres que establecen los artículos 132 y 106 de la Ley Estatal y General, respectivamente.</w:t>
            </w:r>
          </w:p>
          <w:p w14:paraId="7A1C205D" w14:textId="77777777" w:rsidR="00581A10" w:rsidRPr="00C317BE" w:rsidRDefault="00581A10" w:rsidP="00F61253">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C317BE">
              <w:rPr>
                <w:rFonts w:ascii="Palatino Linotype" w:hAnsi="Palatino Linotype" w:cs="Arial"/>
                <w:b w:val="0"/>
                <w:bCs w:val="0"/>
                <w:color w:val="000000"/>
                <w:sz w:val="20"/>
                <w:szCs w:val="20"/>
              </w:rPr>
              <w:t xml:space="preserve">El último de estos requisitos previos consiste en que no se pueden emitir acuerdos de carácter general ni particular, esto es, </w:t>
            </w:r>
            <w:r w:rsidRPr="00C317BE">
              <w:rPr>
                <w:rFonts w:ascii="Palatino Linotype" w:hAnsi="Palatino Linotype" w:cs="Arial"/>
                <w:b w:val="0"/>
                <w:bCs w:val="0"/>
                <w:color w:val="000000"/>
                <w:sz w:val="20"/>
                <w:szCs w:val="20"/>
                <w:u w:val="single"/>
              </w:rPr>
              <w:t>no se puede hacer un acuerdo para clasificar de manera general todos los documentos de un expediente o área, sin</w:t>
            </w:r>
            <w:r w:rsidRPr="00C317BE">
              <w:rPr>
                <w:rFonts w:ascii="Palatino Linotype" w:hAnsi="Palatino Linotype" w:cs="Arial"/>
                <w:b w:val="0"/>
                <w:bCs w:val="0"/>
                <w:color w:val="000000"/>
                <w:sz w:val="20"/>
                <w:szCs w:val="20"/>
              </w:rPr>
              <w:t xml:space="preserve"> individualizar su análisis y tampoco se puede hacer un acuerdo por cada dato que se vaya a clasificar dentro de un documento con diez datos, por ejemplo, susceptibles de ser clasificados.</w:t>
            </w:r>
          </w:p>
        </w:tc>
      </w:tr>
      <w:tr w:rsidR="00581A10" w:rsidRPr="00C317BE" w14:paraId="352C6EB3" w14:textId="77777777" w:rsidTr="00F612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7559039B" w14:textId="77777777" w:rsidR="00581A10" w:rsidRPr="00C317BE" w:rsidRDefault="00581A10" w:rsidP="00F61253">
            <w:pPr>
              <w:spacing w:line="360" w:lineRule="auto"/>
              <w:rPr>
                <w:rFonts w:ascii="Palatino Linotype" w:hAnsi="Palatino Linotype"/>
                <w:bCs w:val="0"/>
                <w:sz w:val="20"/>
                <w:szCs w:val="20"/>
              </w:rPr>
            </w:pPr>
            <w:r w:rsidRPr="00C317BE">
              <w:rPr>
                <w:rFonts w:ascii="Palatino Linotype" w:hAnsi="Palatino Linotype" w:cstheme="majorBidi"/>
                <w:bCs w:val="0"/>
                <w:sz w:val="20"/>
                <w:szCs w:val="20"/>
              </w:rPr>
              <w:lastRenderedPageBreak/>
              <w:t>b) Supuestos de clasificación.</w:t>
            </w:r>
          </w:p>
        </w:tc>
        <w:tc>
          <w:tcPr>
            <w:tcW w:w="6990" w:type="dxa"/>
            <w:hideMark/>
          </w:tcPr>
          <w:p w14:paraId="72EC4119" w14:textId="77777777" w:rsidR="00581A10" w:rsidRPr="00C317BE" w:rsidRDefault="00581A10" w:rsidP="00F6125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C317BE">
              <w:rPr>
                <w:rFonts w:ascii="Palatino Linotype" w:hAnsi="Palatino Linotype" w:cs="Arial"/>
                <w:color w:val="000000"/>
                <w:sz w:val="20"/>
                <w:szCs w:val="20"/>
              </w:rPr>
              <w:t>Las disposiciones constitucionales y legales en la materia establecen los dos supuestos generales para clasificar la información: por reserva y por confidencialidad.</w:t>
            </w:r>
          </w:p>
          <w:p w14:paraId="6C8A5C95" w14:textId="77777777" w:rsidR="00581A10" w:rsidRPr="00C317BE" w:rsidRDefault="00581A10" w:rsidP="00F6125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C317BE">
              <w:rPr>
                <w:rFonts w:ascii="Palatino Linotype"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130EADC1" w14:textId="77777777" w:rsidR="00581A10" w:rsidRPr="00C317BE" w:rsidRDefault="00581A10" w:rsidP="00F61253">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C317BE">
              <w:rPr>
                <w:rFonts w:ascii="Palatino Linotype" w:hAnsi="Palatino Linotype" w:cs="Arial"/>
                <w:color w:val="000000"/>
                <w:sz w:val="20"/>
                <w:szCs w:val="20"/>
              </w:rPr>
              <w:t xml:space="preserve">El </w:t>
            </w:r>
            <w:r w:rsidRPr="00C317BE">
              <w:rPr>
                <w:rFonts w:ascii="Palatino Linotype" w:hAnsi="Palatino Linotype" w:cs="Arial"/>
                <w:b/>
                <w:color w:val="000000"/>
                <w:sz w:val="20"/>
                <w:szCs w:val="20"/>
              </w:rPr>
              <w:t>Sujeto Obligado</w:t>
            </w:r>
            <w:r w:rsidRPr="00C317BE">
              <w:rPr>
                <w:rFonts w:ascii="Palatino Linotype"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81A10" w:rsidRPr="00C317BE" w14:paraId="38FDFD26" w14:textId="77777777" w:rsidTr="00F61253">
        <w:tc>
          <w:tcPr>
            <w:cnfStyle w:val="001000000000" w:firstRow="0" w:lastRow="0" w:firstColumn="1" w:lastColumn="0" w:oddVBand="0" w:evenVBand="0" w:oddHBand="0" w:evenHBand="0" w:firstRowFirstColumn="0" w:firstRowLastColumn="0" w:lastRowFirstColumn="0" w:lastRowLastColumn="0"/>
            <w:tcW w:w="1838" w:type="dxa"/>
            <w:hideMark/>
          </w:tcPr>
          <w:p w14:paraId="049F9B9A" w14:textId="77777777" w:rsidR="00581A10" w:rsidRPr="00C317BE" w:rsidRDefault="00581A10" w:rsidP="00F61253">
            <w:pPr>
              <w:spacing w:line="360" w:lineRule="auto"/>
              <w:rPr>
                <w:rFonts w:ascii="Palatino Linotype" w:hAnsi="Palatino Linotype"/>
                <w:bCs w:val="0"/>
                <w:sz w:val="20"/>
                <w:szCs w:val="20"/>
              </w:rPr>
            </w:pPr>
            <w:r w:rsidRPr="00C317BE">
              <w:rPr>
                <w:rFonts w:ascii="Palatino Linotype" w:hAnsi="Palatino Linotype" w:cstheme="majorBidi"/>
                <w:bCs w:val="0"/>
                <w:sz w:val="20"/>
                <w:szCs w:val="20"/>
              </w:rPr>
              <w:lastRenderedPageBreak/>
              <w:t>c) Formalidades para emitir el acuerdo de clasificación.</w:t>
            </w:r>
          </w:p>
        </w:tc>
        <w:tc>
          <w:tcPr>
            <w:tcW w:w="6990" w:type="dxa"/>
            <w:hideMark/>
          </w:tcPr>
          <w:p w14:paraId="7A211CDD" w14:textId="77777777" w:rsidR="00581A10" w:rsidRPr="00C317BE" w:rsidRDefault="00581A10" w:rsidP="00F6125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C317BE">
              <w:rPr>
                <w:rFonts w:ascii="Palatino Linotype"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635D33C8" w14:textId="77777777" w:rsidR="00581A10" w:rsidRPr="00C317BE" w:rsidRDefault="00581A10" w:rsidP="00F6125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C317BE">
              <w:rPr>
                <w:rFonts w:ascii="Palatino Linotype" w:hAnsi="Palatino Linotype" w:cs="Arial"/>
                <w:color w:val="000000"/>
                <w:sz w:val="20"/>
                <w:szCs w:val="20"/>
              </w:rPr>
              <w:t xml:space="preserve">Es necesario que </w:t>
            </w:r>
            <w:r w:rsidRPr="00C317BE">
              <w:rPr>
                <w:rFonts w:ascii="Palatino Linotype" w:hAnsi="Palatino Linotype" w:cs="Arial"/>
                <w:b/>
                <w:color w:val="000000"/>
                <w:sz w:val="20"/>
                <w:szCs w:val="20"/>
                <w:u w:val="single"/>
              </w:rPr>
              <w:t>el acto reúna con los requisitos elementales</w:t>
            </w:r>
            <w:r w:rsidRPr="00C317BE">
              <w:rPr>
                <w:rFonts w:ascii="Palatino Linotype" w:hAnsi="Palatino Linotype" w:cs="Arial"/>
                <w:color w:val="000000"/>
                <w:sz w:val="20"/>
                <w:szCs w:val="20"/>
              </w:rPr>
              <w:t>, entre ellos, que la autoridad que va a emitir el acto de autoridad sea la legalmente facultada para ello.</w:t>
            </w:r>
          </w:p>
          <w:p w14:paraId="09987645" w14:textId="77777777" w:rsidR="00581A10" w:rsidRPr="00C317BE" w:rsidRDefault="00581A10" w:rsidP="00F61253">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C317BE">
              <w:rPr>
                <w:rFonts w:ascii="Palatino Linotype"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81A10" w:rsidRPr="00C317BE" w14:paraId="4DEF6C87" w14:textId="77777777" w:rsidTr="00F612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2E56A9B" w14:textId="77777777" w:rsidR="00581A10" w:rsidRPr="00C317BE" w:rsidRDefault="00581A10" w:rsidP="00F61253">
            <w:pPr>
              <w:spacing w:line="360" w:lineRule="auto"/>
              <w:rPr>
                <w:rFonts w:ascii="Palatino Linotype" w:hAnsi="Palatino Linotype"/>
                <w:b w:val="0"/>
                <w:sz w:val="20"/>
                <w:szCs w:val="20"/>
              </w:rPr>
            </w:pPr>
          </w:p>
          <w:p w14:paraId="363780F2" w14:textId="77777777" w:rsidR="00581A10" w:rsidRPr="00C317BE" w:rsidRDefault="00581A10" w:rsidP="00F61253">
            <w:pPr>
              <w:spacing w:line="360" w:lineRule="auto"/>
              <w:jc w:val="both"/>
              <w:rPr>
                <w:rFonts w:ascii="Palatino Linotype" w:hAnsi="Palatino Linotype"/>
                <w:bCs w:val="0"/>
                <w:sz w:val="20"/>
                <w:szCs w:val="20"/>
              </w:rPr>
            </w:pPr>
            <w:r w:rsidRPr="00C317BE">
              <w:rPr>
                <w:rFonts w:ascii="Palatino Linotype" w:hAnsi="Palatino Linotype" w:cs="Arial"/>
                <w:bCs w:val="0"/>
                <w:color w:val="000000"/>
                <w:sz w:val="20"/>
                <w:szCs w:val="20"/>
              </w:rPr>
              <w:t xml:space="preserve">d) Requisitos de fondo del acuerdo de clasificación. </w:t>
            </w:r>
          </w:p>
        </w:tc>
        <w:tc>
          <w:tcPr>
            <w:tcW w:w="6990" w:type="dxa"/>
            <w:hideMark/>
          </w:tcPr>
          <w:p w14:paraId="0A5A8615" w14:textId="77777777" w:rsidR="00581A10" w:rsidRPr="00C317BE" w:rsidRDefault="00581A10" w:rsidP="00F6125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C317BE">
              <w:rPr>
                <w:rFonts w:ascii="Palatino Linotype"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317BE">
              <w:rPr>
                <w:rFonts w:ascii="Palatino Linotype" w:hAnsi="Palatino Linotype" w:cs="Arial"/>
                <w:b/>
                <w:color w:val="000000"/>
                <w:sz w:val="20"/>
                <w:szCs w:val="20"/>
              </w:rPr>
              <w:t>Sujetos Obligados</w:t>
            </w:r>
            <w:r w:rsidRPr="00C317BE">
              <w:rPr>
                <w:rFonts w:ascii="Palatino Linotype" w:hAnsi="Palatino Linotype" w:cs="Arial"/>
                <w:color w:val="000000"/>
                <w:sz w:val="20"/>
                <w:szCs w:val="20"/>
              </w:rPr>
              <w:t xml:space="preserve">, por lo que deberán fundar y motivar debidamente la clasificación. </w:t>
            </w:r>
          </w:p>
          <w:p w14:paraId="4DD686A8" w14:textId="77777777" w:rsidR="00581A10" w:rsidRPr="00C317BE" w:rsidRDefault="00581A10" w:rsidP="00F6125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C317BE">
              <w:rPr>
                <w:rFonts w:ascii="Palatino Linotype" w:hAnsi="Palatino Linotype" w:cs="Arial"/>
                <w:color w:val="000000"/>
                <w:sz w:val="20"/>
                <w:szCs w:val="20"/>
              </w:rPr>
              <w:t xml:space="preserve">De lo anterior, se desprende que para una correcta </w:t>
            </w:r>
            <w:r w:rsidRPr="00C317BE">
              <w:rPr>
                <w:rFonts w:ascii="Palatino Linotype" w:hAnsi="Palatino Linotype" w:cs="Arial"/>
                <w:b/>
                <w:color w:val="000000"/>
                <w:sz w:val="20"/>
                <w:szCs w:val="20"/>
              </w:rPr>
              <w:t>clasificación total o parcial</w:t>
            </w:r>
            <w:r w:rsidRPr="00C317BE">
              <w:rPr>
                <w:rFonts w:ascii="Palatino Linotype"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9F8A942" w14:textId="77777777" w:rsidR="00581A10" w:rsidRPr="00C317BE" w:rsidRDefault="00581A10" w:rsidP="00F6125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C317BE">
              <w:rPr>
                <w:rFonts w:ascii="Palatino Linotype" w:hAnsi="Palatino Linotype" w:cs="Arial"/>
                <w:color w:val="000000"/>
                <w:sz w:val="20"/>
                <w:szCs w:val="20"/>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38214BB" w14:textId="77777777" w:rsidR="00581A10" w:rsidRPr="00C317BE" w:rsidRDefault="00581A10" w:rsidP="00F6125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C317BE">
              <w:rPr>
                <w:rFonts w:ascii="Palatino Linotype"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006215EA" w14:textId="77777777" w:rsidR="00581A10" w:rsidRPr="00C317BE" w:rsidRDefault="00581A10" w:rsidP="00F6125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C317BE">
              <w:rPr>
                <w:rFonts w:ascii="Palatino Linotype" w:hAnsi="Palatino Linotype" w:cs="Arial"/>
                <w:color w:val="000000"/>
                <w:sz w:val="20"/>
                <w:szCs w:val="20"/>
              </w:rPr>
              <w:t xml:space="preserve">Ahora bien, </w:t>
            </w:r>
            <w:r w:rsidRPr="00C317BE">
              <w:rPr>
                <w:rFonts w:ascii="Palatino Linotype" w:hAnsi="Palatino Linotype" w:cs="Arial"/>
                <w:b/>
                <w:color w:val="000000"/>
                <w:sz w:val="20"/>
                <w:szCs w:val="20"/>
                <w:u w:val="single"/>
              </w:rPr>
              <w:t>para cada caso además de fundar y motivar</w:t>
            </w:r>
            <w:r w:rsidRPr="00C317BE">
              <w:rPr>
                <w:rFonts w:ascii="Palatino Linotype" w:hAnsi="Palatino Linotype" w:cs="Arial"/>
                <w:color w:val="000000"/>
                <w:sz w:val="20"/>
                <w:szCs w:val="20"/>
              </w:rPr>
              <w:t xml:space="preserve">, se debe identificar con claridad que datos contenidos en las documentales que son susceptibles de suprimirse, por ejemplo; </w:t>
            </w:r>
            <w:r w:rsidRPr="00C317BE">
              <w:rPr>
                <w:rFonts w:ascii="Palatino Linotype"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581A10" w:rsidRPr="00C317BE" w14:paraId="45DB1AD4" w14:textId="77777777" w:rsidTr="00F61253">
        <w:tc>
          <w:tcPr>
            <w:cnfStyle w:val="001000000000" w:firstRow="0" w:lastRow="0" w:firstColumn="1" w:lastColumn="0" w:oddVBand="0" w:evenVBand="0" w:oddHBand="0" w:evenHBand="0" w:firstRowFirstColumn="0" w:firstRowLastColumn="0" w:lastRowFirstColumn="0" w:lastRowLastColumn="0"/>
            <w:tcW w:w="1838" w:type="dxa"/>
          </w:tcPr>
          <w:p w14:paraId="75234B90" w14:textId="77777777" w:rsidR="00581A10" w:rsidRPr="00C317BE" w:rsidRDefault="00581A10" w:rsidP="00F61253">
            <w:pPr>
              <w:spacing w:line="360" w:lineRule="auto"/>
              <w:ind w:right="49"/>
              <w:jc w:val="both"/>
              <w:rPr>
                <w:rFonts w:ascii="Palatino Linotype" w:hAnsi="Palatino Linotype" w:cs="Arial"/>
                <w:bCs w:val="0"/>
                <w:sz w:val="20"/>
                <w:szCs w:val="20"/>
              </w:rPr>
            </w:pPr>
            <w:r w:rsidRPr="00C317BE">
              <w:rPr>
                <w:rFonts w:ascii="Palatino Linotype" w:eastAsia="MS Gothic" w:hAnsi="Palatino Linotype" w:cs="Times New Roman"/>
                <w:b w:val="0"/>
                <w:sz w:val="20"/>
                <w:szCs w:val="20"/>
              </w:rPr>
              <w:lastRenderedPageBreak/>
              <w:t>e</w:t>
            </w:r>
            <w:r w:rsidRPr="00C317BE">
              <w:rPr>
                <w:rFonts w:ascii="Palatino Linotype" w:eastAsia="MS Gothic" w:hAnsi="Palatino Linotype" w:cs="Times New Roman"/>
                <w:bCs w:val="0"/>
                <w:sz w:val="20"/>
                <w:szCs w:val="20"/>
              </w:rPr>
              <w:t xml:space="preserve">) Condiciones especiales de la clasificación de la información como confidencial. </w:t>
            </w:r>
          </w:p>
        </w:tc>
        <w:tc>
          <w:tcPr>
            <w:tcW w:w="6990" w:type="dxa"/>
            <w:hideMark/>
          </w:tcPr>
          <w:p w14:paraId="6616B757" w14:textId="77777777" w:rsidR="00581A10" w:rsidRPr="00C317BE" w:rsidRDefault="00581A10" w:rsidP="00F6125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C317BE">
              <w:rPr>
                <w:rFonts w:ascii="Palatino Linotype"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10847154" w14:textId="77777777" w:rsidR="00581A10" w:rsidRPr="00C317BE" w:rsidRDefault="00581A10" w:rsidP="00F6125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C317BE">
              <w:rPr>
                <w:rFonts w:ascii="Palatino Linotype"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3FC6C7F" w14:textId="77777777" w:rsidR="00581A10" w:rsidRPr="00C317BE" w:rsidRDefault="00581A10" w:rsidP="00F61253">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C317BE">
              <w:rPr>
                <w:rFonts w:ascii="Palatino Linotype" w:hAnsi="Palatino Linotype" w:cs="Arial"/>
                <w:color w:val="000000"/>
                <w:sz w:val="20"/>
                <w:szCs w:val="20"/>
              </w:rPr>
              <w:t xml:space="preserve">Pero si la información que se pretende clasificar como confidencial no se encuentra en los supuestos de los artículos señalados y es posible, se deberá consultar al titular de los datos si permite o no el acceso. De no ser posible, </w:t>
            </w:r>
            <w:r w:rsidRPr="00C317BE">
              <w:rPr>
                <w:rFonts w:ascii="Palatino Linotype" w:hAnsi="Palatino Linotype" w:cs="Arial"/>
                <w:color w:val="000000"/>
                <w:sz w:val="20"/>
                <w:szCs w:val="20"/>
              </w:rPr>
              <w:lastRenderedPageBreak/>
              <w:t>la realización de la consulta, procede, fundando y motivando, la clasificación.</w:t>
            </w:r>
          </w:p>
        </w:tc>
      </w:tr>
    </w:tbl>
    <w:p w14:paraId="01A116EE" w14:textId="77777777" w:rsidR="00581A10" w:rsidRPr="00992A4A" w:rsidRDefault="00581A10" w:rsidP="00581A10">
      <w:pPr>
        <w:spacing w:line="360" w:lineRule="auto"/>
        <w:ind w:right="49"/>
        <w:contextualSpacing/>
        <w:jc w:val="both"/>
        <w:rPr>
          <w:rFonts w:ascii="Palatino Linotype" w:hAnsi="Palatino Linotype" w:cs="Arial"/>
          <w:color w:val="000000"/>
          <w:sz w:val="24"/>
          <w:szCs w:val="24"/>
        </w:rPr>
      </w:pPr>
    </w:p>
    <w:p w14:paraId="2E73FBC9" w14:textId="77777777" w:rsidR="008E6432" w:rsidRPr="00C14B76" w:rsidRDefault="008E6432" w:rsidP="000F0A30">
      <w:pPr>
        <w:pStyle w:val="Prrafodelista"/>
        <w:numPr>
          <w:ilvl w:val="0"/>
          <w:numId w:val="2"/>
        </w:numPr>
        <w:shd w:val="clear" w:color="auto" w:fill="FFFFFF"/>
        <w:spacing w:after="200" w:line="360" w:lineRule="auto"/>
        <w:ind w:left="0" w:firstLine="0"/>
        <w:jc w:val="both"/>
        <w:rPr>
          <w:rFonts w:ascii="Palatino Linotype" w:hAnsi="Palatino Linotype" w:cs="Arial"/>
          <w:sz w:val="24"/>
        </w:rPr>
      </w:pPr>
      <w:r w:rsidRPr="00C14B76">
        <w:rPr>
          <w:rFonts w:ascii="Palatino Linotype" w:hAnsi="Palatino Linotype" w:cs="Arial"/>
          <w:sz w:val="24"/>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328F17E6" w14:textId="77777777" w:rsidR="008E6432" w:rsidRPr="00C14B76" w:rsidRDefault="008E6432" w:rsidP="008E6432">
      <w:pPr>
        <w:pStyle w:val="Prrafodelista"/>
        <w:rPr>
          <w:rFonts w:ascii="Palatino Linotype" w:hAnsi="Palatino Linotype" w:cs="Arial"/>
          <w:sz w:val="24"/>
        </w:rPr>
      </w:pPr>
    </w:p>
    <w:p w14:paraId="3694B024" w14:textId="4368E875" w:rsidR="008E6432" w:rsidRPr="00476BA1" w:rsidRDefault="008E6432" w:rsidP="008E6432">
      <w:pPr>
        <w:pStyle w:val="Ttulo1"/>
        <w:rPr>
          <w:rFonts w:ascii="Palatino Linotype" w:eastAsiaTheme="minorEastAsia" w:hAnsi="Palatino Linotype"/>
          <w:b/>
          <w:color w:val="auto"/>
          <w:sz w:val="24"/>
          <w:szCs w:val="24"/>
        </w:rPr>
      </w:pPr>
      <w:bookmarkStart w:id="26" w:name="_Toc81936110"/>
      <w:r w:rsidRPr="00476BA1">
        <w:rPr>
          <w:rFonts w:ascii="Palatino Linotype" w:eastAsiaTheme="minorEastAsia" w:hAnsi="Palatino Linotype"/>
          <w:b/>
          <w:color w:val="auto"/>
          <w:sz w:val="24"/>
          <w:szCs w:val="24"/>
        </w:rPr>
        <w:t>S</w:t>
      </w:r>
      <w:r w:rsidR="00844AE0">
        <w:rPr>
          <w:rFonts w:ascii="Palatino Linotype" w:eastAsiaTheme="minorEastAsia" w:hAnsi="Palatino Linotype"/>
          <w:b/>
          <w:color w:val="auto"/>
          <w:sz w:val="24"/>
          <w:szCs w:val="24"/>
        </w:rPr>
        <w:t>EXTO</w:t>
      </w:r>
      <w:r w:rsidRPr="00476BA1">
        <w:rPr>
          <w:rFonts w:ascii="Palatino Linotype" w:eastAsiaTheme="minorEastAsia" w:hAnsi="Palatino Linotype"/>
          <w:b/>
          <w:color w:val="auto"/>
          <w:sz w:val="24"/>
          <w:szCs w:val="24"/>
        </w:rPr>
        <w:t>. De la Decisión.</w:t>
      </w:r>
      <w:bookmarkEnd w:id="26"/>
    </w:p>
    <w:p w14:paraId="013629E7" w14:textId="77777777" w:rsidR="008E6432" w:rsidRPr="00C14B76" w:rsidRDefault="008E6432" w:rsidP="008E6432">
      <w:pPr>
        <w:pStyle w:val="Prrafodelista"/>
        <w:rPr>
          <w:rFonts w:ascii="Palatino Linotype" w:hAnsi="Palatino Linotype" w:cs="Arial"/>
          <w:sz w:val="24"/>
        </w:rPr>
      </w:pPr>
    </w:p>
    <w:p w14:paraId="6F4B26C1" w14:textId="77777777" w:rsidR="001845DC" w:rsidRDefault="0030122C" w:rsidP="001845DC">
      <w:pPr>
        <w:pStyle w:val="Prrafodelista"/>
        <w:numPr>
          <w:ilvl w:val="0"/>
          <w:numId w:val="2"/>
        </w:numPr>
        <w:shd w:val="clear" w:color="auto" w:fill="FFFFFF"/>
        <w:spacing w:after="200" w:line="360" w:lineRule="auto"/>
        <w:ind w:left="0" w:firstLine="0"/>
        <w:jc w:val="both"/>
        <w:rPr>
          <w:rFonts w:ascii="Palatino Linotype" w:hAnsi="Palatino Linotype" w:cs="Arial"/>
          <w:sz w:val="24"/>
        </w:rPr>
      </w:pPr>
      <w:r>
        <w:rPr>
          <w:rFonts w:ascii="Palatino Linotype" w:hAnsi="Palatino Linotype" w:cs="Arial"/>
          <w:sz w:val="24"/>
        </w:rPr>
        <w:t xml:space="preserve">El derecho del recurrente no se encuentra satisfecho con la respuesta que emitió el Sujeto Obligado, toda vez que, </w:t>
      </w:r>
      <w:r w:rsidR="001845DC">
        <w:rPr>
          <w:rFonts w:ascii="Palatino Linotype" w:hAnsi="Palatino Linotype" w:cs="Arial"/>
          <w:sz w:val="24"/>
        </w:rPr>
        <w:t>se limitó a solicitar que el Recurrente fuera más claro en su solicitud, sin dar trámite a la misma, restringiendo su derecho de acceder a la información pública.</w:t>
      </w:r>
    </w:p>
    <w:p w14:paraId="31BFCCB8" w14:textId="311ABA04" w:rsidR="0030122C" w:rsidRDefault="001845DC" w:rsidP="001845DC">
      <w:pPr>
        <w:pStyle w:val="Prrafodelista"/>
        <w:shd w:val="clear" w:color="auto" w:fill="FFFFFF"/>
        <w:spacing w:after="200" w:line="360" w:lineRule="auto"/>
        <w:ind w:left="0"/>
        <w:jc w:val="both"/>
        <w:rPr>
          <w:rFonts w:ascii="Palatino Linotype" w:hAnsi="Palatino Linotype" w:cs="Arial"/>
          <w:sz w:val="24"/>
        </w:rPr>
      </w:pPr>
      <w:r>
        <w:rPr>
          <w:rFonts w:ascii="Palatino Linotype" w:hAnsi="Palatino Linotype" w:cs="Arial"/>
          <w:sz w:val="24"/>
        </w:rPr>
        <w:t xml:space="preserve"> </w:t>
      </w:r>
    </w:p>
    <w:p w14:paraId="0954B693" w14:textId="1D3657B5" w:rsidR="001845DC" w:rsidRDefault="001845DC" w:rsidP="000F0A30">
      <w:pPr>
        <w:pStyle w:val="Prrafodelista"/>
        <w:numPr>
          <w:ilvl w:val="0"/>
          <w:numId w:val="2"/>
        </w:numPr>
        <w:shd w:val="clear" w:color="auto" w:fill="FFFFFF"/>
        <w:spacing w:after="200" w:line="360" w:lineRule="auto"/>
        <w:ind w:left="0" w:firstLine="0"/>
        <w:jc w:val="both"/>
        <w:rPr>
          <w:rFonts w:ascii="Palatino Linotype" w:hAnsi="Palatino Linotype" w:cs="Arial"/>
          <w:sz w:val="24"/>
        </w:rPr>
      </w:pPr>
      <w:r>
        <w:rPr>
          <w:rFonts w:ascii="Palatino Linotype" w:hAnsi="Palatino Linotype" w:cs="Arial"/>
          <w:sz w:val="24"/>
        </w:rPr>
        <w:t xml:space="preserve">Se determinó que el Sujeto Obligado cuenta con atribuciones para celebrar convenios tanto con instituciones públicas como con el sector privado, además, tiene también, la atribución de emitir convenios por la solución de controversias en el ámbito de sus competencias, por lo que, de acuerdo a la Ley de Transparencia y Acceso a la Información Pública del Estado de México y Municipios, la información relativa a convenios, tiene el carácter de información pública de oficio. En consecuencia, se ORDENÓ entregar los convenios que se haya celebrado, por cualquier motivo con la </w:t>
      </w:r>
      <w:r>
        <w:rPr>
          <w:rFonts w:ascii="Palatino Linotype" w:hAnsi="Palatino Linotype" w:cs="Arial"/>
          <w:sz w:val="24"/>
        </w:rPr>
        <w:lastRenderedPageBreak/>
        <w:t>Subdirección de Integración Familiar, así como la participación de los Servidores Públicos del Sujeto Obligado en dichos convenios.</w:t>
      </w:r>
    </w:p>
    <w:p w14:paraId="663EFC1C" w14:textId="77777777" w:rsidR="001845DC" w:rsidRPr="001845DC" w:rsidRDefault="001845DC" w:rsidP="001845DC">
      <w:pPr>
        <w:pStyle w:val="Prrafodelista"/>
        <w:rPr>
          <w:rFonts w:ascii="Palatino Linotype" w:hAnsi="Palatino Linotype" w:cs="Arial"/>
          <w:sz w:val="24"/>
        </w:rPr>
      </w:pPr>
    </w:p>
    <w:p w14:paraId="66A66182" w14:textId="275494C8" w:rsidR="008E6432" w:rsidRPr="00C14B76" w:rsidRDefault="00D23ACA" w:rsidP="000F0A30">
      <w:pPr>
        <w:pStyle w:val="Prrafodelista"/>
        <w:numPr>
          <w:ilvl w:val="0"/>
          <w:numId w:val="2"/>
        </w:numPr>
        <w:shd w:val="clear" w:color="auto" w:fill="FFFFFF"/>
        <w:spacing w:after="200" w:line="360" w:lineRule="auto"/>
        <w:ind w:left="0" w:firstLine="0"/>
        <w:jc w:val="both"/>
        <w:rPr>
          <w:rFonts w:ascii="Palatino Linotype" w:hAnsi="Palatino Linotype" w:cs="Arial"/>
          <w:sz w:val="24"/>
        </w:rPr>
      </w:pPr>
      <w:r>
        <w:rPr>
          <w:rFonts w:ascii="Palatino Linotype" w:hAnsi="Palatino Linotype" w:cs="Arial"/>
          <w:sz w:val="24"/>
        </w:rPr>
        <w:t xml:space="preserve">Por lo anterior, es necesario </w:t>
      </w:r>
      <w:r w:rsidR="0030122C" w:rsidRPr="009A511E">
        <w:rPr>
          <w:rFonts w:ascii="Palatino Linotype" w:hAnsi="Palatino Linotype" w:cs="Arial"/>
          <w:b/>
          <w:sz w:val="24"/>
        </w:rPr>
        <w:t>REVOCAR</w:t>
      </w:r>
      <w:r>
        <w:rPr>
          <w:rFonts w:ascii="Palatino Linotype" w:hAnsi="Palatino Linotype" w:cs="Arial"/>
          <w:sz w:val="24"/>
        </w:rPr>
        <w:t xml:space="preserve"> la respuesta del Sujeto Obligado y se </w:t>
      </w:r>
      <w:r w:rsidRPr="009A511E">
        <w:rPr>
          <w:rFonts w:ascii="Palatino Linotype" w:hAnsi="Palatino Linotype" w:cs="Arial"/>
          <w:b/>
          <w:sz w:val="24"/>
        </w:rPr>
        <w:t>ORDENA</w:t>
      </w:r>
      <w:r>
        <w:rPr>
          <w:rFonts w:ascii="Palatino Linotype" w:hAnsi="Palatino Linotype" w:cs="Arial"/>
          <w:sz w:val="24"/>
        </w:rPr>
        <w:t xml:space="preserve"> </w:t>
      </w:r>
      <w:bookmarkEnd w:id="23"/>
      <w:r w:rsidR="001845DC">
        <w:rPr>
          <w:rFonts w:ascii="Palatino Linotype" w:hAnsi="Palatino Linotype" w:cs="Arial"/>
          <w:sz w:val="24"/>
        </w:rPr>
        <w:t>la entrega de la información.</w:t>
      </w:r>
    </w:p>
    <w:p w14:paraId="17F7AFE4" w14:textId="77777777" w:rsidR="008E6432" w:rsidRPr="00C14B76" w:rsidRDefault="008E6432" w:rsidP="008E6432">
      <w:pPr>
        <w:pStyle w:val="Prrafodelista"/>
        <w:rPr>
          <w:rFonts w:ascii="Palatino Linotype" w:hAnsi="Palatino Linotype" w:cs="Arial"/>
          <w:sz w:val="24"/>
        </w:rPr>
      </w:pPr>
    </w:p>
    <w:p w14:paraId="14237461" w14:textId="77777777" w:rsidR="008E6432" w:rsidRPr="00C14B76" w:rsidRDefault="008E6432" w:rsidP="000F0A30">
      <w:pPr>
        <w:pStyle w:val="Prrafodelista"/>
        <w:numPr>
          <w:ilvl w:val="0"/>
          <w:numId w:val="2"/>
        </w:numPr>
        <w:spacing w:before="240" w:after="240" w:line="360" w:lineRule="auto"/>
        <w:ind w:left="0" w:firstLine="0"/>
        <w:jc w:val="both"/>
        <w:rPr>
          <w:rFonts w:ascii="Palatino Linotype" w:hAnsi="Palatino Linotype" w:cs="Arial"/>
          <w:sz w:val="24"/>
        </w:rPr>
      </w:pPr>
      <w:r w:rsidRPr="00C14B76">
        <w:rPr>
          <w:rFonts w:ascii="Palatino Linotype" w:hAnsi="Palatino Linotype"/>
          <w:color w:val="000000"/>
          <w:sz w:val="24"/>
          <w:lang w:val="es-ES" w:eastAsia="es-MX"/>
        </w:rPr>
        <w:t xml:space="preserve">Por lo anteriormente expuesto y fundado, este </w:t>
      </w:r>
      <w:r w:rsidRPr="00C14B76">
        <w:rPr>
          <w:rFonts w:ascii="Palatino Linotype" w:hAnsi="Palatino Linotype"/>
          <w:b/>
          <w:bCs/>
          <w:color w:val="000000"/>
          <w:sz w:val="24"/>
          <w:lang w:val="es-ES" w:eastAsia="es-MX"/>
        </w:rPr>
        <w:t>ÓRGANO GARANTE</w:t>
      </w:r>
      <w:r w:rsidRPr="00C14B76">
        <w:rPr>
          <w:rFonts w:ascii="Palatino Linotype" w:hAnsi="Palatino Linotype"/>
          <w:color w:val="000000"/>
          <w:sz w:val="24"/>
          <w:lang w:val="es-ES" w:eastAsia="es-MX"/>
        </w:rPr>
        <w:t xml:space="preserve"> emite los siguientes:</w:t>
      </w:r>
      <w:bookmarkStart w:id="27" w:name="_Toc447699324"/>
      <w:bookmarkStart w:id="28" w:name="_Toc445745148"/>
      <w:bookmarkStart w:id="29" w:name="_Toc486525261"/>
      <w:bookmarkStart w:id="30" w:name="_Toc9531903"/>
      <w:bookmarkStart w:id="31" w:name="_Toc48296494"/>
      <w:bookmarkStart w:id="32" w:name="_GoBack"/>
      <w:bookmarkEnd w:id="32"/>
    </w:p>
    <w:p w14:paraId="2F3469B5" w14:textId="77777777" w:rsidR="008E6432" w:rsidRPr="00C14B76" w:rsidRDefault="008E6432" w:rsidP="008E6432">
      <w:pPr>
        <w:keepNext/>
        <w:keepLines/>
        <w:spacing w:line="360" w:lineRule="auto"/>
        <w:jc w:val="center"/>
        <w:outlineLvl w:val="0"/>
        <w:rPr>
          <w:rFonts w:ascii="Palatino Linotype" w:hAnsi="Palatino Linotype" w:cstheme="majorBidi"/>
          <w:b/>
          <w:bCs/>
          <w:sz w:val="24"/>
          <w:szCs w:val="24"/>
        </w:rPr>
      </w:pPr>
      <w:bookmarkStart w:id="33" w:name="_Toc81936111"/>
      <w:r w:rsidRPr="00C14B76">
        <w:rPr>
          <w:rFonts w:ascii="Palatino Linotype" w:hAnsi="Palatino Linotype" w:cstheme="majorBidi"/>
          <w:b/>
          <w:bCs/>
          <w:sz w:val="24"/>
          <w:szCs w:val="24"/>
        </w:rPr>
        <w:t>R E S O L U T I V O S</w:t>
      </w:r>
      <w:bookmarkEnd w:id="27"/>
      <w:bookmarkEnd w:id="28"/>
      <w:bookmarkEnd w:id="29"/>
      <w:bookmarkEnd w:id="30"/>
      <w:bookmarkEnd w:id="31"/>
      <w:bookmarkEnd w:id="33"/>
    </w:p>
    <w:p w14:paraId="08C80EA3" w14:textId="77777777" w:rsidR="008E6432" w:rsidRPr="00C14B76" w:rsidRDefault="008E6432" w:rsidP="008E6432">
      <w:pPr>
        <w:spacing w:line="360" w:lineRule="auto"/>
        <w:jc w:val="both"/>
        <w:rPr>
          <w:rFonts w:ascii="Palatino Linotype" w:hAnsi="Palatino Linotype" w:cs="Arial"/>
          <w:b/>
          <w:sz w:val="24"/>
          <w:szCs w:val="24"/>
        </w:rPr>
      </w:pPr>
    </w:p>
    <w:p w14:paraId="7526CA10" w14:textId="2E6A114B" w:rsidR="00476BA1" w:rsidRPr="00C14B76" w:rsidRDefault="00476BA1" w:rsidP="00476BA1">
      <w:pPr>
        <w:spacing w:line="360" w:lineRule="auto"/>
        <w:jc w:val="both"/>
        <w:rPr>
          <w:rFonts w:ascii="Palatino Linotype" w:hAnsi="Palatino Linotype"/>
          <w:sz w:val="24"/>
          <w:szCs w:val="24"/>
        </w:rPr>
      </w:pPr>
      <w:r w:rsidRPr="00C14B76">
        <w:rPr>
          <w:rFonts w:ascii="Palatino Linotype" w:hAnsi="Palatino Linotype" w:cs="Arial"/>
          <w:b/>
          <w:sz w:val="24"/>
          <w:szCs w:val="24"/>
        </w:rPr>
        <w:t xml:space="preserve">PRIMERO. </w:t>
      </w:r>
      <w:r w:rsidRPr="00C14B76">
        <w:rPr>
          <w:rFonts w:ascii="Palatino Linotype" w:hAnsi="Palatino Linotype" w:cs="Arial"/>
          <w:sz w:val="24"/>
          <w:szCs w:val="24"/>
        </w:rPr>
        <w:t>Resultan parcialmente fundadas las</w:t>
      </w:r>
      <w:r w:rsidRPr="00C14B76">
        <w:rPr>
          <w:rFonts w:ascii="Palatino Linotype" w:hAnsi="Palatino Linotype" w:cs="Arial"/>
          <w:b/>
          <w:sz w:val="24"/>
          <w:szCs w:val="24"/>
        </w:rPr>
        <w:t xml:space="preserve"> </w:t>
      </w:r>
      <w:r w:rsidRPr="00C14B76">
        <w:rPr>
          <w:rFonts w:ascii="Palatino Linotype" w:hAnsi="Palatino Linotype" w:cs="Arial"/>
          <w:sz w:val="24"/>
          <w:szCs w:val="24"/>
          <w:lang w:val="es-ES"/>
        </w:rPr>
        <w:t xml:space="preserve">razones o motivos de inconformidad hechos valer </w:t>
      </w:r>
      <w:r w:rsidRPr="00C14B76">
        <w:rPr>
          <w:rFonts w:ascii="Palatino Linotype" w:eastAsia="Calibri" w:hAnsi="Palatino Linotype" w:cs="Arial"/>
          <w:sz w:val="24"/>
          <w:szCs w:val="24"/>
          <w:lang w:val="es-ES"/>
        </w:rPr>
        <w:t xml:space="preserve">en el recurso de revisión </w:t>
      </w:r>
      <w:r w:rsidR="002010BC" w:rsidRPr="002010BC">
        <w:rPr>
          <w:rFonts w:ascii="Palatino Linotype" w:eastAsia="Calibri" w:hAnsi="Palatino Linotype" w:cs="Tahoma"/>
          <w:b/>
          <w:bCs/>
          <w:sz w:val="24"/>
          <w:szCs w:val="22"/>
          <w:lang w:eastAsia="en-US"/>
        </w:rPr>
        <w:t>03818/INFOEM/IP/RR/2021</w:t>
      </w:r>
      <w:r w:rsidRPr="00C14B76">
        <w:rPr>
          <w:rFonts w:ascii="Palatino Linotype" w:hAnsi="Palatino Linotype" w:cs="Arial"/>
          <w:b/>
          <w:bCs/>
          <w:sz w:val="24"/>
          <w:szCs w:val="24"/>
        </w:rPr>
        <w:t xml:space="preserve">, </w:t>
      </w:r>
      <w:r w:rsidRPr="00C14B76">
        <w:rPr>
          <w:rFonts w:ascii="Palatino Linotype" w:hAnsi="Palatino Linotype" w:cs="Arial"/>
          <w:bCs/>
          <w:sz w:val="24"/>
          <w:szCs w:val="24"/>
        </w:rPr>
        <w:t xml:space="preserve">en términos de los considerandos </w:t>
      </w:r>
      <w:r w:rsidR="00844AE0" w:rsidRPr="00844AE0">
        <w:rPr>
          <w:rFonts w:ascii="Palatino Linotype" w:hAnsi="Palatino Linotype" w:cs="Arial"/>
          <w:b/>
          <w:bCs/>
          <w:sz w:val="24"/>
          <w:szCs w:val="24"/>
        </w:rPr>
        <w:t>CUARTO</w:t>
      </w:r>
      <w:r w:rsidR="00844AE0">
        <w:rPr>
          <w:rFonts w:ascii="Palatino Linotype" w:hAnsi="Palatino Linotype" w:cs="Arial"/>
          <w:bCs/>
          <w:sz w:val="24"/>
          <w:szCs w:val="24"/>
        </w:rPr>
        <w:t xml:space="preserve"> y </w:t>
      </w:r>
      <w:r w:rsidRPr="00C14B76">
        <w:rPr>
          <w:rFonts w:ascii="Palatino Linotype" w:hAnsi="Palatino Linotype" w:cs="Arial"/>
          <w:b/>
          <w:bCs/>
          <w:sz w:val="24"/>
          <w:szCs w:val="24"/>
        </w:rPr>
        <w:t xml:space="preserve">QUINTO </w:t>
      </w:r>
      <w:r w:rsidRPr="00C14B76">
        <w:rPr>
          <w:rFonts w:ascii="Palatino Linotype" w:hAnsi="Palatino Linotype" w:cs="Arial"/>
          <w:bCs/>
          <w:sz w:val="24"/>
          <w:szCs w:val="24"/>
        </w:rPr>
        <w:t>de la presente resolución.</w:t>
      </w:r>
    </w:p>
    <w:p w14:paraId="6C22CC49" w14:textId="0EAA9FEC" w:rsidR="00476BA1" w:rsidRPr="00C14B76" w:rsidRDefault="00476BA1" w:rsidP="00476BA1">
      <w:pPr>
        <w:spacing w:before="240" w:after="240" w:line="360" w:lineRule="auto"/>
        <w:jc w:val="both"/>
        <w:rPr>
          <w:rFonts w:ascii="Palatino Linotype" w:hAnsi="Palatino Linotype" w:cs="Arial"/>
          <w:sz w:val="24"/>
          <w:szCs w:val="24"/>
          <w:lang w:val="es-ES"/>
        </w:rPr>
      </w:pPr>
      <w:r w:rsidRPr="00C14B76">
        <w:rPr>
          <w:rFonts w:ascii="Palatino Linotype" w:hAnsi="Palatino Linotype"/>
          <w:b/>
          <w:sz w:val="24"/>
          <w:szCs w:val="24"/>
        </w:rPr>
        <w:t>SEGUNDO.</w:t>
      </w:r>
      <w:r w:rsidRPr="00C14B76">
        <w:rPr>
          <w:rStyle w:val="Ttulo2Car"/>
          <w:rFonts w:ascii="Palatino Linotype" w:hAnsi="Palatino Linotype"/>
          <w:b/>
          <w:sz w:val="24"/>
          <w:szCs w:val="24"/>
        </w:rPr>
        <w:t xml:space="preserve"> </w:t>
      </w:r>
      <w:r w:rsidRPr="00C14B76">
        <w:rPr>
          <w:rFonts w:ascii="Palatino Linotype" w:eastAsia="Calibri" w:hAnsi="Palatino Linotype" w:cs="Arial"/>
          <w:sz w:val="24"/>
          <w:szCs w:val="24"/>
          <w:lang w:val="es-ES"/>
        </w:rPr>
        <w:t xml:space="preserve">Se </w:t>
      </w:r>
      <w:r w:rsidR="0030122C" w:rsidRPr="0030122C">
        <w:rPr>
          <w:rFonts w:ascii="Palatino Linotype" w:eastAsia="Calibri" w:hAnsi="Palatino Linotype" w:cs="Arial"/>
          <w:b/>
          <w:sz w:val="24"/>
          <w:szCs w:val="24"/>
          <w:lang w:val="es-ES"/>
        </w:rPr>
        <w:t>REVOCA</w:t>
      </w:r>
      <w:r w:rsidRPr="00C14B76">
        <w:rPr>
          <w:rFonts w:ascii="Palatino Linotype" w:eastAsia="Calibri" w:hAnsi="Palatino Linotype" w:cs="Arial"/>
          <w:sz w:val="24"/>
          <w:szCs w:val="24"/>
          <w:lang w:val="es-ES"/>
        </w:rPr>
        <w:t xml:space="preserve"> la respuesta emitida por el </w:t>
      </w:r>
      <w:r w:rsidR="00A34D56" w:rsidRPr="00A34D56">
        <w:rPr>
          <w:rFonts w:ascii="Palatino Linotype" w:eastAsia="Calibri" w:hAnsi="Palatino Linotype" w:cs="Tahoma"/>
          <w:b/>
          <w:sz w:val="24"/>
          <w:szCs w:val="24"/>
          <w:lang w:eastAsia="en-US"/>
        </w:rPr>
        <w:t>Comisión de Conciliación y Arbitraje Médico del Estado de México</w:t>
      </w:r>
      <w:r w:rsidRPr="00C14B76">
        <w:rPr>
          <w:rFonts w:ascii="Palatino Linotype" w:eastAsia="Calibri" w:hAnsi="Palatino Linotype" w:cs="Arial"/>
          <w:sz w:val="24"/>
          <w:szCs w:val="24"/>
          <w:lang w:val="es-ES"/>
        </w:rPr>
        <w:t xml:space="preserve"> y se </w:t>
      </w:r>
      <w:r w:rsidRPr="00C14B76">
        <w:rPr>
          <w:rFonts w:ascii="Palatino Linotype" w:eastAsia="Calibri" w:hAnsi="Palatino Linotype" w:cs="Arial"/>
          <w:b/>
          <w:bCs/>
          <w:sz w:val="24"/>
          <w:szCs w:val="24"/>
          <w:lang w:val="es-ES"/>
        </w:rPr>
        <w:t>ORDENA</w:t>
      </w:r>
      <w:r w:rsidRPr="00C14B76">
        <w:rPr>
          <w:rFonts w:ascii="Palatino Linotype" w:eastAsia="Calibri" w:hAnsi="Palatino Linotype" w:cs="Arial"/>
          <w:sz w:val="24"/>
          <w:szCs w:val="24"/>
          <w:lang w:val="es-ES"/>
        </w:rPr>
        <w:t xml:space="preserve"> entregar, vía </w:t>
      </w:r>
      <w:r w:rsidRPr="00C14B76">
        <w:rPr>
          <w:rFonts w:ascii="Palatino Linotype" w:hAnsi="Palatino Linotype" w:cs="Arial"/>
          <w:bCs/>
          <w:sz w:val="24"/>
          <w:szCs w:val="24"/>
          <w:lang w:val="es-ES"/>
        </w:rPr>
        <w:t>Sistema de Acceso a la Información Mexiquense</w:t>
      </w:r>
      <w:r w:rsidRPr="00C14B76">
        <w:rPr>
          <w:rFonts w:ascii="Palatino Linotype" w:hAnsi="Palatino Linotype" w:cs="Arial"/>
          <w:b/>
          <w:sz w:val="24"/>
          <w:szCs w:val="24"/>
          <w:lang w:val="es-ES"/>
        </w:rPr>
        <w:t xml:space="preserve"> (SAIMEX)</w:t>
      </w:r>
      <w:r w:rsidRPr="00C14B76">
        <w:rPr>
          <w:rFonts w:ascii="Palatino Linotype" w:hAnsi="Palatino Linotype" w:cs="Arial"/>
          <w:sz w:val="24"/>
          <w:szCs w:val="24"/>
          <w:lang w:val="es-ES"/>
        </w:rPr>
        <w:t>, de ser el caso en versión pública,</w:t>
      </w:r>
      <w:r w:rsidR="00F43832">
        <w:rPr>
          <w:rFonts w:ascii="Palatino Linotype" w:hAnsi="Palatino Linotype" w:cs="Arial"/>
          <w:sz w:val="24"/>
          <w:szCs w:val="24"/>
          <w:lang w:val="es-ES"/>
        </w:rPr>
        <w:t xml:space="preserve"> la siguiente información:</w:t>
      </w:r>
    </w:p>
    <w:p w14:paraId="4ACD680E" w14:textId="46A8D382" w:rsidR="000D45C0" w:rsidRPr="005F2DC6" w:rsidRDefault="001845DC" w:rsidP="000D45C0">
      <w:pPr>
        <w:pStyle w:val="Prrafodelista"/>
        <w:numPr>
          <w:ilvl w:val="0"/>
          <w:numId w:val="16"/>
        </w:numPr>
        <w:spacing w:before="240" w:after="240" w:line="360" w:lineRule="auto"/>
        <w:ind w:right="49"/>
        <w:jc w:val="both"/>
        <w:rPr>
          <w:rFonts w:ascii="Palatino Linotype" w:hAnsi="Palatino Linotype" w:cs="Arial"/>
          <w:b/>
          <w:bCs/>
          <w:sz w:val="24"/>
        </w:rPr>
      </w:pPr>
      <w:r w:rsidRPr="000D45C0">
        <w:rPr>
          <w:rFonts w:ascii="Palatino Linotype" w:hAnsi="Palatino Linotype"/>
          <w:b/>
          <w:bCs/>
          <w:sz w:val="24"/>
          <w:lang w:val="es-ES"/>
        </w:rPr>
        <w:t xml:space="preserve">Convenios celebrados entre la Comisión de Conciliación y Arbitraje Médico del Estado de México y la Subdirección de Integración Familiar, así como las actividades en </w:t>
      </w:r>
      <w:r w:rsidR="00F43832" w:rsidRPr="000D45C0">
        <w:rPr>
          <w:rFonts w:ascii="Palatino Linotype" w:hAnsi="Palatino Linotype"/>
          <w:b/>
          <w:bCs/>
          <w:sz w:val="24"/>
          <w:lang w:val="es-ES"/>
        </w:rPr>
        <w:t>las que</w:t>
      </w:r>
      <w:r w:rsidRPr="000D45C0">
        <w:rPr>
          <w:rFonts w:ascii="Palatino Linotype" w:hAnsi="Palatino Linotype"/>
          <w:b/>
          <w:bCs/>
          <w:sz w:val="24"/>
          <w:lang w:val="es-ES"/>
        </w:rPr>
        <w:t xml:space="preserve"> participa</w:t>
      </w:r>
      <w:r w:rsidR="00F43832" w:rsidRPr="000D45C0">
        <w:rPr>
          <w:rFonts w:ascii="Palatino Linotype" w:hAnsi="Palatino Linotype"/>
          <w:b/>
          <w:bCs/>
          <w:sz w:val="24"/>
          <w:lang w:val="es-ES"/>
        </w:rPr>
        <w:t>ron</w:t>
      </w:r>
      <w:r w:rsidRPr="000D45C0">
        <w:rPr>
          <w:rFonts w:ascii="Palatino Linotype" w:hAnsi="Palatino Linotype"/>
          <w:b/>
          <w:bCs/>
          <w:sz w:val="24"/>
          <w:lang w:val="es-ES"/>
        </w:rPr>
        <w:t xml:space="preserve"> los servidores públicos adscritos a la Comisión </w:t>
      </w:r>
      <w:r w:rsidR="000D45C0" w:rsidRPr="000D45C0">
        <w:rPr>
          <w:rFonts w:ascii="Palatino Linotype" w:hAnsi="Palatino Linotype"/>
          <w:b/>
          <w:bCs/>
          <w:sz w:val="24"/>
          <w:lang w:val="es-ES"/>
        </w:rPr>
        <w:t>derivadas de los convenios</w:t>
      </w:r>
      <w:r w:rsidR="000D45C0">
        <w:rPr>
          <w:rFonts w:ascii="Palatino Linotype" w:hAnsi="Palatino Linotype"/>
          <w:b/>
          <w:bCs/>
          <w:sz w:val="24"/>
          <w:lang w:val="es-ES"/>
        </w:rPr>
        <w:t>,</w:t>
      </w:r>
      <w:r w:rsidR="000D45C0" w:rsidRPr="000D45C0">
        <w:rPr>
          <w:rFonts w:ascii="Palatino Linotype" w:hAnsi="Palatino Linotype"/>
          <w:b/>
          <w:bCs/>
          <w:sz w:val="24"/>
          <w:lang w:val="es-ES"/>
        </w:rPr>
        <w:t xml:space="preserve"> </w:t>
      </w:r>
      <w:r w:rsidR="000D45C0" w:rsidRPr="005F2DC6">
        <w:rPr>
          <w:rFonts w:ascii="Palatino Linotype" w:hAnsi="Palatino Linotype"/>
          <w:b/>
          <w:bCs/>
          <w:sz w:val="24"/>
          <w:lang w:val="es-ES"/>
        </w:rPr>
        <w:t xml:space="preserve">del periodo comprendido </w:t>
      </w:r>
      <w:r w:rsidR="000D45C0" w:rsidRPr="005F2DC6">
        <w:rPr>
          <w:rFonts w:ascii="Palatino Linotype" w:hAnsi="Palatino Linotype" w:cs="Arial"/>
          <w:b/>
          <w:sz w:val="24"/>
        </w:rPr>
        <w:t>del dieciséis de junio del 2020 al dieciséis de junio de 2021.</w:t>
      </w:r>
    </w:p>
    <w:p w14:paraId="2E3DC7F9" w14:textId="77777777" w:rsidR="00F43832" w:rsidRDefault="00034777" w:rsidP="00F43832">
      <w:pPr>
        <w:spacing w:line="360" w:lineRule="auto"/>
        <w:jc w:val="both"/>
        <w:rPr>
          <w:rFonts w:ascii="Palatino Linotype" w:eastAsia="Calibri" w:hAnsi="Palatino Linotype" w:cs="Arial"/>
          <w:sz w:val="24"/>
        </w:rPr>
      </w:pPr>
      <w:r w:rsidRPr="00034777">
        <w:rPr>
          <w:rFonts w:ascii="Palatino Linotype" w:eastAsia="Calibri" w:hAnsi="Palatino Linotype" w:cs="Arial"/>
          <w:sz w:val="24"/>
        </w:rPr>
        <w:lastRenderedPageBreak/>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4E845E1D" w14:textId="77777777" w:rsidR="00F43832" w:rsidRDefault="00F43832" w:rsidP="00F43832">
      <w:pPr>
        <w:spacing w:line="360" w:lineRule="auto"/>
        <w:jc w:val="both"/>
        <w:rPr>
          <w:rFonts w:ascii="Palatino Linotype" w:eastAsia="Calibri" w:hAnsi="Palatino Linotype" w:cs="Arial"/>
          <w:sz w:val="24"/>
        </w:rPr>
      </w:pPr>
    </w:p>
    <w:p w14:paraId="6CB4F0C1" w14:textId="5C83C1F1" w:rsidR="00F43832" w:rsidRPr="00F43832" w:rsidRDefault="00F43832" w:rsidP="00F43832">
      <w:pPr>
        <w:spacing w:line="360" w:lineRule="auto"/>
        <w:jc w:val="both"/>
        <w:rPr>
          <w:rFonts w:ascii="Palatino Linotype" w:eastAsia="Calibri" w:hAnsi="Palatino Linotype" w:cs="Arial"/>
          <w:sz w:val="32"/>
        </w:rPr>
      </w:pPr>
      <w:r w:rsidRPr="00F43832">
        <w:rPr>
          <w:rFonts w:ascii="Palatino Linotype" w:eastAsia="Palatino Linotype" w:hAnsi="Palatino Linotype" w:cs="Palatino Linotype"/>
          <w:sz w:val="24"/>
        </w:rPr>
        <w:t xml:space="preserve">De ser el caso de que la información que se ordena entregar en la fracción I, no haya sido generada, poseída o administrada, el </w:t>
      </w:r>
      <w:r w:rsidRPr="00F43832">
        <w:rPr>
          <w:rFonts w:ascii="Palatino Linotype" w:eastAsia="Palatino Linotype" w:hAnsi="Palatino Linotype" w:cs="Palatino Linotype"/>
          <w:b/>
          <w:bCs/>
          <w:sz w:val="24"/>
        </w:rPr>
        <w:t>SUJETO OBLIGADO</w:t>
      </w:r>
      <w:r w:rsidRPr="00F43832">
        <w:rPr>
          <w:rFonts w:ascii="Palatino Linotype" w:eastAsia="Palatino Linotype" w:hAnsi="Palatino Linotype" w:cs="Palatino Linotype"/>
          <w:sz w:val="24"/>
        </w:rPr>
        <w:t xml:space="preserve"> deberá manifestar de manera clara y precisa las razones que expliquen las causas por las cuales no se haya generado, poseído o administrado.</w:t>
      </w:r>
    </w:p>
    <w:p w14:paraId="6AF06CEA" w14:textId="77777777" w:rsidR="00476BA1" w:rsidRPr="005F0B0A" w:rsidRDefault="00476BA1" w:rsidP="00476BA1">
      <w:pPr>
        <w:ind w:left="567" w:right="425"/>
        <w:jc w:val="both"/>
        <w:rPr>
          <w:rFonts w:ascii="Palatino Linotype" w:hAnsi="Palatino Linotype" w:cs="Arial"/>
          <w:i/>
          <w:sz w:val="24"/>
          <w:szCs w:val="24"/>
        </w:rPr>
      </w:pPr>
    </w:p>
    <w:p w14:paraId="24429F0D" w14:textId="77777777" w:rsidR="008E6432" w:rsidRPr="00C14B76" w:rsidRDefault="008E6432" w:rsidP="008E6432">
      <w:pPr>
        <w:tabs>
          <w:tab w:val="left" w:pos="8080"/>
        </w:tabs>
        <w:spacing w:line="360" w:lineRule="auto"/>
        <w:ind w:right="49"/>
        <w:contextualSpacing/>
        <w:jc w:val="both"/>
        <w:rPr>
          <w:rFonts w:ascii="Palatino Linotype" w:hAnsi="Palatino Linotype"/>
          <w:color w:val="222222"/>
          <w:sz w:val="24"/>
          <w:szCs w:val="24"/>
          <w:shd w:val="clear" w:color="auto" w:fill="FFFFFF"/>
        </w:rPr>
      </w:pPr>
      <w:r w:rsidRPr="00C14B76">
        <w:rPr>
          <w:rFonts w:ascii="Palatino Linotype" w:eastAsia="Palatino Linotype" w:hAnsi="Palatino Linotype" w:cs="Palatino Linotype"/>
          <w:b/>
          <w:sz w:val="24"/>
          <w:szCs w:val="24"/>
        </w:rPr>
        <w:t xml:space="preserve">TERCERO. Notifíquese </w:t>
      </w:r>
      <w:r w:rsidRPr="00C14B76">
        <w:rPr>
          <w:rFonts w:ascii="Palatino Linotype" w:eastAsia="Palatino Linotype" w:hAnsi="Palatino Linotype" w:cs="Palatino Linotype"/>
          <w:sz w:val="24"/>
          <w:szCs w:val="24"/>
        </w:rPr>
        <w:t xml:space="preserve">al Titular de la Unidad de Transparencia del </w:t>
      </w:r>
      <w:r w:rsidRPr="00C14B76">
        <w:rPr>
          <w:rFonts w:ascii="Palatino Linotype" w:eastAsia="Palatino Linotype" w:hAnsi="Palatino Linotype" w:cs="Palatino Linotype"/>
          <w:b/>
          <w:sz w:val="24"/>
          <w:szCs w:val="24"/>
        </w:rPr>
        <w:t>SUJETO OBLIGADO</w:t>
      </w:r>
      <w:r w:rsidRPr="00C14B76">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sidRPr="00C14B76">
        <w:rPr>
          <w:rFonts w:ascii="Palatino Linotype" w:hAnsi="Palatino Linotype"/>
          <w:color w:val="222222"/>
          <w:sz w:val="24"/>
          <w:szCs w:val="24"/>
          <w:shd w:val="clear" w:color="auto" w:fill="FFFFFF"/>
        </w:rPr>
        <w:t>vigente, dé cumplimiento a lo ordenado dentro del plazo de diez días hábiles, debiendo rendir a este Instituto el informe de cumplimiento de la resolución en un plazo de tres días hábiles posteriores.</w:t>
      </w:r>
    </w:p>
    <w:p w14:paraId="2ADC89A5" w14:textId="77777777" w:rsidR="008E6432" w:rsidRPr="00C14B76" w:rsidRDefault="008E6432" w:rsidP="008E6432">
      <w:pPr>
        <w:tabs>
          <w:tab w:val="left" w:pos="8080"/>
        </w:tabs>
        <w:spacing w:line="360" w:lineRule="auto"/>
        <w:ind w:right="49"/>
        <w:contextualSpacing/>
        <w:jc w:val="both"/>
        <w:rPr>
          <w:rFonts w:ascii="Palatino Linotype" w:hAnsi="Palatino Linotype"/>
          <w:color w:val="222222"/>
          <w:sz w:val="24"/>
          <w:szCs w:val="24"/>
          <w:shd w:val="clear" w:color="auto" w:fill="FFFFFF"/>
        </w:rPr>
      </w:pPr>
    </w:p>
    <w:p w14:paraId="69994333" w14:textId="77777777" w:rsidR="008E6432" w:rsidRPr="00C14B76" w:rsidRDefault="008E6432" w:rsidP="008E6432">
      <w:pPr>
        <w:spacing w:line="360" w:lineRule="auto"/>
        <w:jc w:val="both"/>
        <w:rPr>
          <w:rFonts w:ascii="Palatino Linotype" w:eastAsia="Calibri" w:hAnsi="Palatino Linotype" w:cs="Arial"/>
          <w:bCs/>
          <w:sz w:val="24"/>
          <w:szCs w:val="24"/>
        </w:rPr>
      </w:pPr>
      <w:r w:rsidRPr="00C14B76">
        <w:rPr>
          <w:rFonts w:ascii="Palatino Linotype" w:hAnsi="Palatino Linotype" w:cs="Arial"/>
          <w:b/>
          <w:sz w:val="24"/>
          <w:szCs w:val="24"/>
        </w:rPr>
        <w:t xml:space="preserve">CUARTO. </w:t>
      </w:r>
      <w:r w:rsidRPr="00C14B76">
        <w:rPr>
          <w:rFonts w:ascii="Palatino Linotype" w:eastAsia="Calibri" w:hAnsi="Palatino Linotype" w:cs="Arial"/>
          <w:bCs/>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7B3E793" w14:textId="77777777" w:rsidR="008E6432" w:rsidRPr="00C14B76" w:rsidRDefault="008E6432" w:rsidP="008E6432">
      <w:pPr>
        <w:tabs>
          <w:tab w:val="left" w:pos="8080"/>
        </w:tabs>
        <w:spacing w:line="360" w:lineRule="auto"/>
        <w:ind w:right="49"/>
        <w:contextualSpacing/>
        <w:jc w:val="both"/>
        <w:rPr>
          <w:rFonts w:ascii="Palatino Linotype" w:eastAsia="Palatino Linotype" w:hAnsi="Palatino Linotype" w:cs="Palatino Linotype"/>
          <w:b/>
          <w:sz w:val="24"/>
          <w:szCs w:val="24"/>
        </w:rPr>
      </w:pPr>
    </w:p>
    <w:p w14:paraId="0BC7C966" w14:textId="62B53994" w:rsidR="008E6432" w:rsidRPr="00C14B76" w:rsidRDefault="008E6432" w:rsidP="008E6432">
      <w:pPr>
        <w:shd w:val="clear" w:color="auto" w:fill="FFFFFF"/>
        <w:spacing w:line="360" w:lineRule="auto"/>
        <w:jc w:val="both"/>
        <w:rPr>
          <w:rFonts w:ascii="Palatino Linotype" w:hAnsi="Palatino Linotype"/>
          <w:sz w:val="24"/>
          <w:szCs w:val="24"/>
        </w:rPr>
      </w:pPr>
      <w:r w:rsidRPr="00C14B76">
        <w:rPr>
          <w:rFonts w:ascii="Palatino Linotype" w:hAnsi="Palatino Linotype" w:cs="Arial"/>
          <w:b/>
          <w:sz w:val="24"/>
          <w:szCs w:val="24"/>
        </w:rPr>
        <w:lastRenderedPageBreak/>
        <w:t xml:space="preserve">QUINTO. </w:t>
      </w:r>
      <w:r w:rsidRPr="00C14B76">
        <w:rPr>
          <w:rFonts w:ascii="Palatino Linotype" w:hAnsi="Palatino Linotype"/>
          <w:b/>
          <w:bCs/>
          <w:color w:val="222222"/>
          <w:sz w:val="24"/>
          <w:szCs w:val="24"/>
          <w:lang w:val="es-ES"/>
        </w:rPr>
        <w:t xml:space="preserve">Notifíquese </w:t>
      </w:r>
      <w:r w:rsidRPr="00C14B76">
        <w:rPr>
          <w:rFonts w:ascii="Palatino Linotype" w:hAnsi="Palatino Linotype"/>
          <w:color w:val="222222"/>
          <w:sz w:val="24"/>
          <w:szCs w:val="24"/>
          <w:lang w:val="es-ES"/>
        </w:rPr>
        <w:t>a</w:t>
      </w:r>
      <w:r w:rsidR="0059577A">
        <w:rPr>
          <w:rFonts w:ascii="Palatino Linotype" w:hAnsi="Palatino Linotype"/>
          <w:color w:val="222222"/>
          <w:sz w:val="24"/>
          <w:szCs w:val="24"/>
          <w:lang w:val="es-ES"/>
        </w:rPr>
        <w:t xml:space="preserve">l </w:t>
      </w:r>
      <w:r w:rsidR="0059577A" w:rsidRPr="0059577A">
        <w:rPr>
          <w:rFonts w:ascii="Palatino Linotype" w:hAnsi="Palatino Linotype"/>
          <w:b/>
          <w:color w:val="222222"/>
          <w:sz w:val="24"/>
          <w:szCs w:val="24"/>
          <w:lang w:val="es-ES"/>
        </w:rPr>
        <w:t>RECURRENTE</w:t>
      </w:r>
      <w:r w:rsidRPr="00C14B76">
        <w:rPr>
          <w:rFonts w:ascii="Palatino Linotype" w:hAnsi="Palatino Linotype"/>
          <w:sz w:val="24"/>
          <w:szCs w:val="24"/>
        </w:rPr>
        <w:t xml:space="preserve"> la presente resolución.</w:t>
      </w:r>
    </w:p>
    <w:p w14:paraId="0A85FD1D" w14:textId="77777777" w:rsidR="008E6432" w:rsidRPr="00C14B76" w:rsidRDefault="008E6432" w:rsidP="008E6432">
      <w:pPr>
        <w:shd w:val="clear" w:color="auto" w:fill="FFFFFF"/>
        <w:spacing w:line="360" w:lineRule="auto"/>
        <w:jc w:val="both"/>
        <w:rPr>
          <w:rFonts w:ascii="Palatino Linotype" w:hAnsi="Palatino Linotype"/>
          <w:sz w:val="24"/>
          <w:szCs w:val="24"/>
        </w:rPr>
      </w:pPr>
    </w:p>
    <w:p w14:paraId="514BF7B5" w14:textId="39AE33C6" w:rsidR="008E6432" w:rsidRPr="00C14B76" w:rsidRDefault="008E6432" w:rsidP="008E6432">
      <w:pPr>
        <w:spacing w:line="360" w:lineRule="auto"/>
        <w:jc w:val="both"/>
        <w:rPr>
          <w:rFonts w:ascii="Palatino Linotype" w:eastAsia="MS Mincho" w:hAnsi="Palatino Linotype"/>
          <w:sz w:val="24"/>
          <w:szCs w:val="24"/>
          <w:lang w:val="es-ES"/>
        </w:rPr>
      </w:pPr>
      <w:r w:rsidRPr="00C14B76">
        <w:rPr>
          <w:rFonts w:ascii="Palatino Linotype" w:eastAsia="MS Mincho" w:hAnsi="Palatino Linotype"/>
          <w:b/>
          <w:sz w:val="24"/>
          <w:szCs w:val="24"/>
        </w:rPr>
        <w:t>SEXTO.</w:t>
      </w:r>
      <w:r w:rsidRPr="00C14B76">
        <w:rPr>
          <w:rFonts w:ascii="Palatino Linotype" w:eastAsia="MS Mincho" w:hAnsi="Palatino Linotype"/>
          <w:sz w:val="24"/>
          <w:szCs w:val="24"/>
        </w:rPr>
        <w:t xml:space="preserve"> </w:t>
      </w:r>
      <w:r w:rsidRPr="00C14B76">
        <w:rPr>
          <w:rFonts w:ascii="Palatino Linotype" w:eastAsia="MS Mincho" w:hAnsi="Palatino Linotype"/>
          <w:sz w:val="24"/>
          <w:szCs w:val="24"/>
          <w:lang w:val="es-ES"/>
        </w:rPr>
        <w:t>Se hace del conocimiento de</w:t>
      </w:r>
      <w:r w:rsidR="0059577A">
        <w:rPr>
          <w:rFonts w:ascii="Palatino Linotype" w:eastAsia="MS Mincho" w:hAnsi="Palatino Linotype"/>
          <w:sz w:val="24"/>
          <w:szCs w:val="24"/>
          <w:lang w:val="es-ES"/>
        </w:rPr>
        <w:t>l</w:t>
      </w:r>
      <w:r w:rsidRPr="00C14B76">
        <w:rPr>
          <w:rFonts w:ascii="Palatino Linotype" w:eastAsia="MS Mincho" w:hAnsi="Palatino Linotype"/>
          <w:sz w:val="24"/>
          <w:szCs w:val="24"/>
          <w:lang w:val="es-ES"/>
        </w:rPr>
        <w:t xml:space="preserve"> </w:t>
      </w:r>
      <w:r w:rsidR="0059577A" w:rsidRPr="0059577A">
        <w:rPr>
          <w:rFonts w:ascii="Palatino Linotype" w:eastAsia="MS Mincho" w:hAnsi="Palatino Linotype"/>
          <w:b/>
          <w:sz w:val="24"/>
          <w:szCs w:val="24"/>
          <w:lang w:val="es-ES"/>
        </w:rPr>
        <w:t>RECURRENTE</w:t>
      </w:r>
      <w:r w:rsidRPr="00C14B76">
        <w:rPr>
          <w:rFonts w:ascii="Palatino Linotype" w:eastAsia="MS Mincho" w:hAnsi="Palatino Linotype"/>
          <w:sz w:val="24"/>
          <w:szCs w:val="24"/>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C14B76">
        <w:rPr>
          <w:rFonts w:ascii="Palatino Linotype" w:eastAsia="MS Mincho" w:hAnsi="Palatino Linotype"/>
          <w:bCs/>
          <w:sz w:val="24"/>
          <w:szCs w:val="24"/>
          <w:lang w:val="es-ES"/>
        </w:rPr>
        <w:t>vía juicio de amparo</w:t>
      </w:r>
      <w:r w:rsidRPr="00C14B76">
        <w:rPr>
          <w:rFonts w:ascii="Palatino Linotype" w:eastAsia="MS Mincho" w:hAnsi="Palatino Linotype"/>
          <w:sz w:val="24"/>
          <w:szCs w:val="24"/>
          <w:lang w:val="es-ES"/>
        </w:rPr>
        <w:t xml:space="preserve"> en los términos de las leyes aplicables. </w:t>
      </w:r>
      <w:r w:rsidR="00BB17CE">
        <w:rPr>
          <w:rFonts w:ascii="Palatino Linotype" w:eastAsia="MS Mincho" w:hAnsi="Palatino Linotype"/>
          <w:sz w:val="24"/>
          <w:szCs w:val="24"/>
          <w:lang w:val="es-ES"/>
        </w:rPr>
        <w:t xml:space="preserve"> </w:t>
      </w:r>
    </w:p>
    <w:p w14:paraId="6A6AC11B" w14:textId="77777777" w:rsidR="008E6432" w:rsidRPr="00C14B76" w:rsidRDefault="008E6432" w:rsidP="008E6432">
      <w:pPr>
        <w:spacing w:line="360" w:lineRule="auto"/>
        <w:jc w:val="both"/>
        <w:rPr>
          <w:rFonts w:ascii="Palatino Linotype" w:eastAsia="MS Mincho" w:hAnsi="Palatino Linotype"/>
          <w:sz w:val="24"/>
          <w:szCs w:val="24"/>
          <w:lang w:val="es-ES"/>
        </w:rPr>
      </w:pPr>
    </w:p>
    <w:p w14:paraId="1C7F074C" w14:textId="77777777" w:rsidR="008E6432" w:rsidRPr="00C14B76" w:rsidRDefault="008E6432" w:rsidP="008E6432">
      <w:pPr>
        <w:spacing w:line="360" w:lineRule="auto"/>
        <w:jc w:val="both"/>
        <w:rPr>
          <w:rFonts w:ascii="Palatino Linotype" w:eastAsia="MS Mincho" w:hAnsi="Palatino Linotype"/>
          <w:sz w:val="24"/>
          <w:szCs w:val="24"/>
          <w:lang w:val="es-ES"/>
        </w:rPr>
      </w:pPr>
      <w:r w:rsidRPr="00C14B76">
        <w:rPr>
          <w:rFonts w:ascii="Palatino Linotype" w:hAnsi="Palatino Linotype"/>
          <w:b/>
          <w:bCs/>
          <w:color w:val="000000"/>
          <w:sz w:val="24"/>
          <w:szCs w:val="24"/>
          <w:shd w:val="clear" w:color="auto" w:fill="FFFFFF"/>
        </w:rPr>
        <w:t>SÉPTIMO.</w:t>
      </w:r>
      <w:r w:rsidRPr="00C14B76">
        <w:rPr>
          <w:rFonts w:ascii="Palatino Linotype" w:hAnsi="Palatino Linotype"/>
          <w:color w:val="000000"/>
          <w:sz w:val="24"/>
          <w:szCs w:val="24"/>
          <w:shd w:val="clear" w:color="auto" w:fill="FFFFFF"/>
        </w:rPr>
        <w:t> Con fundamento en el artículo 198 de la Ley de Transparencia y Acceso a la Información Pública del Estado de México y Municipios, se apercibe al </w:t>
      </w:r>
      <w:r w:rsidRPr="00C14B76">
        <w:rPr>
          <w:rFonts w:ascii="Palatino Linotype" w:hAnsi="Palatino Linotype"/>
          <w:b/>
          <w:bCs/>
          <w:color w:val="000000"/>
          <w:sz w:val="24"/>
          <w:szCs w:val="24"/>
          <w:shd w:val="clear" w:color="auto" w:fill="FFFFFF"/>
        </w:rPr>
        <w:t>SUJETO OBLIGADO</w:t>
      </w:r>
      <w:r w:rsidRPr="00C14B76">
        <w:rPr>
          <w:rFonts w:ascii="Palatino Linotype" w:hAnsi="Palatino Linotype"/>
          <w:color w:val="000000"/>
          <w:sz w:val="24"/>
          <w:szCs w:val="24"/>
          <w:shd w:val="clear" w:color="auto" w:fill="FFFFFF"/>
        </w:rPr>
        <w:t> de que, en caso de incumplimiento total o parcial de la presente resolución, se actuará de conformidad con lo dispuesto en los artículos 213, 214, 215, 216 y 217 de la ley en cita. </w:t>
      </w:r>
    </w:p>
    <w:p w14:paraId="5047A3F5" w14:textId="77777777" w:rsidR="008E6432" w:rsidRPr="00C14B76" w:rsidRDefault="008E6432" w:rsidP="008E6432">
      <w:pPr>
        <w:spacing w:line="360" w:lineRule="auto"/>
        <w:jc w:val="both"/>
        <w:rPr>
          <w:rFonts w:ascii="Palatino Linotype" w:eastAsia="MS Mincho" w:hAnsi="Palatino Linotype"/>
          <w:sz w:val="24"/>
          <w:szCs w:val="24"/>
          <w:lang w:val="es-ES"/>
        </w:rPr>
      </w:pPr>
    </w:p>
    <w:p w14:paraId="10CE2851" w14:textId="6361AE3C" w:rsidR="00531DFA" w:rsidRDefault="008E6432" w:rsidP="008E6432">
      <w:pPr>
        <w:spacing w:before="240" w:after="240" w:line="360" w:lineRule="auto"/>
        <w:ind w:firstLine="1"/>
        <w:jc w:val="both"/>
        <w:rPr>
          <w:rFonts w:ascii="Palatino Linotype" w:hAnsi="Palatino Linotype"/>
          <w:sz w:val="24"/>
          <w:szCs w:val="24"/>
        </w:rPr>
      </w:pPr>
      <w:r w:rsidRPr="00C14B76">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w:t>
      </w:r>
      <w:r w:rsidR="00531DFA">
        <w:rPr>
          <w:rFonts w:ascii="Palatino Linotype" w:hAnsi="Palatino Linotype"/>
          <w:sz w:val="24"/>
          <w:szCs w:val="24"/>
        </w:rPr>
        <w:t xml:space="preserve">JOSÉ MARTÍNEZ VILCHIS; MARÍA DEL ROSARIO MEJÍA AYALA; SHARON CRISTINA MORALES MARTÍNEZ; LUIS GUSTAVO PARRA NORIEGA; Y GUADALUPE RAMÍREZ PEÑA EN LA </w:t>
      </w:r>
      <w:r w:rsidR="003A21C9">
        <w:rPr>
          <w:rFonts w:ascii="Palatino Linotype" w:hAnsi="Palatino Linotype"/>
          <w:sz w:val="24"/>
          <w:szCs w:val="24"/>
        </w:rPr>
        <w:t>TRIGÉSIMA PRIMERA</w:t>
      </w:r>
      <w:r w:rsidR="00531DFA">
        <w:rPr>
          <w:rFonts w:ascii="Palatino Linotype" w:hAnsi="Palatino Linotype"/>
          <w:sz w:val="24"/>
          <w:szCs w:val="24"/>
        </w:rPr>
        <w:t xml:space="preserve"> SESIÓN ORDINARIA CELEBRADA EL </w:t>
      </w:r>
      <w:r w:rsidR="003A21C9">
        <w:rPr>
          <w:rFonts w:ascii="Palatino Linotype" w:hAnsi="Palatino Linotype"/>
          <w:sz w:val="24"/>
          <w:szCs w:val="24"/>
        </w:rPr>
        <w:t>OCHO</w:t>
      </w:r>
      <w:r w:rsidR="00531DFA">
        <w:rPr>
          <w:rFonts w:ascii="Palatino Linotype" w:hAnsi="Palatino Linotype"/>
          <w:sz w:val="24"/>
          <w:szCs w:val="24"/>
        </w:rPr>
        <w:t xml:space="preserve"> DE </w:t>
      </w:r>
      <w:r w:rsidR="003A21C9">
        <w:rPr>
          <w:rFonts w:ascii="Palatino Linotype" w:hAnsi="Palatino Linotype"/>
          <w:sz w:val="24"/>
          <w:szCs w:val="24"/>
        </w:rPr>
        <w:lastRenderedPageBreak/>
        <w:t>SEPTIEMBRE</w:t>
      </w:r>
      <w:r w:rsidR="00531DFA">
        <w:rPr>
          <w:rFonts w:ascii="Palatino Linotype" w:hAnsi="Palatino Linotype"/>
          <w:sz w:val="24"/>
          <w:szCs w:val="24"/>
        </w:rPr>
        <w:t xml:space="preserve"> DE DOS MIL VEINTIUNO, ANTE EL SECRETARIO TÉCNICO DEL PLENO ALEXIS TAPIA RAMÍREZ </w:t>
      </w:r>
    </w:p>
    <w:p w14:paraId="5EE60688" w14:textId="77777777" w:rsidR="00531DFA" w:rsidRDefault="00531DFA" w:rsidP="008E6432">
      <w:pPr>
        <w:spacing w:before="240" w:after="240" w:line="360" w:lineRule="auto"/>
        <w:ind w:firstLine="1"/>
        <w:jc w:val="both"/>
        <w:rPr>
          <w:rFonts w:ascii="Palatino Linotype" w:hAnsi="Palatino Linotype"/>
          <w:sz w:val="24"/>
          <w:szCs w:val="24"/>
        </w:rPr>
      </w:pPr>
    </w:p>
    <w:p w14:paraId="62076569" w14:textId="77777777" w:rsidR="008E6432" w:rsidRPr="00C14B76" w:rsidRDefault="008E6432" w:rsidP="008E6432">
      <w:pPr>
        <w:spacing w:before="240" w:after="240" w:line="360" w:lineRule="auto"/>
        <w:ind w:firstLine="1"/>
        <w:jc w:val="both"/>
        <w:rPr>
          <w:rFonts w:ascii="Palatino Linotype" w:hAnsi="Palatino Linotype"/>
          <w:sz w:val="24"/>
          <w:szCs w:val="24"/>
        </w:rPr>
      </w:pPr>
    </w:p>
    <w:p w14:paraId="50CA6B19" w14:textId="77777777" w:rsidR="008E6432" w:rsidRPr="00C14B76" w:rsidRDefault="008E6432" w:rsidP="008E6432">
      <w:pPr>
        <w:spacing w:before="240" w:after="240" w:line="360" w:lineRule="auto"/>
        <w:ind w:firstLine="1"/>
        <w:jc w:val="both"/>
        <w:rPr>
          <w:rFonts w:ascii="Palatino Linotype" w:hAnsi="Palatino Linotype"/>
          <w:sz w:val="24"/>
          <w:szCs w:val="24"/>
        </w:rPr>
      </w:pPr>
    </w:p>
    <w:p w14:paraId="007B84E3" w14:textId="77777777" w:rsidR="008E6432" w:rsidRPr="00C14B76" w:rsidRDefault="008E6432" w:rsidP="008E6432">
      <w:pPr>
        <w:spacing w:before="240" w:after="240" w:line="360" w:lineRule="auto"/>
        <w:ind w:firstLine="1"/>
        <w:jc w:val="both"/>
        <w:rPr>
          <w:rFonts w:ascii="Palatino Linotype" w:hAnsi="Palatino Linotype"/>
          <w:sz w:val="24"/>
          <w:szCs w:val="24"/>
        </w:rPr>
      </w:pPr>
    </w:p>
    <w:p w14:paraId="56249395" w14:textId="77777777" w:rsidR="00871738" w:rsidRPr="00C14B76" w:rsidRDefault="00871738" w:rsidP="000441A1">
      <w:pPr>
        <w:spacing w:line="360" w:lineRule="auto"/>
        <w:ind w:right="-93"/>
        <w:jc w:val="both"/>
        <w:rPr>
          <w:rFonts w:ascii="Palatino Linotype" w:eastAsia="Calibri" w:hAnsi="Palatino Linotype" w:cs="Tahoma"/>
          <w:bCs/>
          <w:sz w:val="24"/>
          <w:szCs w:val="24"/>
          <w:lang w:eastAsia="en-US"/>
        </w:rPr>
      </w:pPr>
    </w:p>
    <w:sectPr w:rsidR="00871738" w:rsidRPr="00C14B76">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2A266" w14:textId="77777777" w:rsidR="003B62D1" w:rsidRDefault="003B62D1">
      <w:r>
        <w:separator/>
      </w:r>
    </w:p>
  </w:endnote>
  <w:endnote w:type="continuationSeparator" w:id="0">
    <w:p w14:paraId="5B24C9E0" w14:textId="77777777" w:rsidR="003B62D1" w:rsidRDefault="003B6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等线 Light">
    <w:panose1 w:val="00000000000000000000"/>
    <w:charset w:val="8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6B1185" w:rsidRDefault="006B1185">
            <w:pPr>
              <w:pStyle w:val="Piedepgina"/>
              <w:jc w:val="right"/>
            </w:pPr>
          </w:p>
          <w:p w14:paraId="1F7A191C" w14:textId="2A69F491" w:rsidR="006B1185" w:rsidRDefault="006B118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F2DC6">
              <w:rPr>
                <w:b/>
                <w:bCs/>
                <w:noProof/>
              </w:rPr>
              <w:t>39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F2DC6">
              <w:rPr>
                <w:b/>
                <w:bCs/>
                <w:noProof/>
              </w:rPr>
              <w:t>41</w:t>
            </w:r>
            <w:r>
              <w:rPr>
                <w:b/>
                <w:bCs/>
                <w:sz w:val="24"/>
                <w:szCs w:val="24"/>
              </w:rPr>
              <w:fldChar w:fldCharType="end"/>
            </w:r>
          </w:p>
        </w:sdtContent>
      </w:sdt>
    </w:sdtContent>
  </w:sdt>
  <w:p w14:paraId="2A221972" w14:textId="77777777" w:rsidR="006B1185" w:rsidRDefault="006B1185">
    <w:pPr>
      <w:pStyle w:val="Piedepgina"/>
    </w:pPr>
  </w:p>
  <w:p w14:paraId="1D6FF208" w14:textId="77777777" w:rsidR="006B1185" w:rsidRDefault="006B118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6B1185" w:rsidRDefault="006B118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F2DC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F2DC6">
              <w:rPr>
                <w:b/>
                <w:bCs/>
                <w:noProof/>
              </w:rPr>
              <w:t>41</w:t>
            </w:r>
            <w:r>
              <w:rPr>
                <w:b/>
                <w:bCs/>
                <w:sz w:val="24"/>
                <w:szCs w:val="24"/>
              </w:rPr>
              <w:fldChar w:fldCharType="end"/>
            </w:r>
          </w:p>
        </w:sdtContent>
      </w:sdt>
    </w:sdtContent>
  </w:sdt>
  <w:p w14:paraId="2D12AEB2" w14:textId="77777777" w:rsidR="006B1185" w:rsidRDefault="006B1185">
    <w:pPr>
      <w:pStyle w:val="Piedepgina"/>
    </w:pPr>
  </w:p>
  <w:p w14:paraId="54227169" w14:textId="77777777" w:rsidR="006B1185" w:rsidRDefault="006B118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B13574" w14:textId="77777777" w:rsidR="003B62D1" w:rsidRDefault="003B62D1">
      <w:r>
        <w:separator/>
      </w:r>
    </w:p>
  </w:footnote>
  <w:footnote w:type="continuationSeparator" w:id="0">
    <w:p w14:paraId="648A6504" w14:textId="77777777" w:rsidR="003B62D1" w:rsidRDefault="003B62D1">
      <w:r>
        <w:continuationSeparator/>
      </w:r>
    </w:p>
  </w:footnote>
  <w:footnote w:id="1">
    <w:p w14:paraId="61E15FF4" w14:textId="77777777" w:rsidR="006B1185" w:rsidRDefault="006B1185" w:rsidP="003520FC">
      <w:pPr>
        <w:pStyle w:val="Textonotapie"/>
      </w:pPr>
      <w:r>
        <w:rPr>
          <w:rStyle w:val="Refdenotaalpie"/>
        </w:rPr>
        <w:footnoteRef/>
      </w:r>
      <w:r>
        <w:t xml:space="preserve"> Artículo 50, Ley de Transparencia y Acceso a la Información Pública del Estado de México y Municipios.</w:t>
      </w:r>
    </w:p>
  </w:footnote>
  <w:footnote w:id="2">
    <w:p w14:paraId="1E2AFAE5" w14:textId="77777777" w:rsidR="006B1185" w:rsidRDefault="006B1185" w:rsidP="003520FC">
      <w:pPr>
        <w:pStyle w:val="Textonotapie"/>
      </w:pPr>
      <w:r>
        <w:rPr>
          <w:rStyle w:val="Refdenotaalpie"/>
        </w:rPr>
        <w:footnoteRef/>
      </w:r>
      <w:r>
        <w:t xml:space="preserve"> Artículo 51, Ídem.</w:t>
      </w:r>
    </w:p>
  </w:footnote>
  <w:footnote w:id="3">
    <w:p w14:paraId="71E7E234" w14:textId="77777777" w:rsidR="006B1185" w:rsidRDefault="006B1185" w:rsidP="003520FC">
      <w:pPr>
        <w:pStyle w:val="Textonotapie"/>
      </w:pPr>
      <w:r>
        <w:rPr>
          <w:rStyle w:val="Refdenotaalpie"/>
        </w:rPr>
        <w:footnoteRef/>
      </w:r>
      <w:r>
        <w:t xml:space="preserve"> Artículo 58, Ley de Transparencia y Acceso a la Información Pública del Estado de México y Municipios.</w:t>
      </w:r>
    </w:p>
  </w:footnote>
  <w:footnote w:id="4">
    <w:p w14:paraId="67DDDBE0" w14:textId="77777777" w:rsidR="006B1185" w:rsidRDefault="006B1185" w:rsidP="003520FC">
      <w:pPr>
        <w:pStyle w:val="Textonotapie"/>
      </w:pPr>
      <w:r>
        <w:rPr>
          <w:rStyle w:val="Refdenotaalpie"/>
        </w:rPr>
        <w:footnoteRef/>
      </w:r>
      <w:r>
        <w:t xml:space="preserve"> Artículo 59, Ídem.</w:t>
      </w:r>
    </w:p>
  </w:footnote>
  <w:footnote w:id="5">
    <w:p w14:paraId="7E1CCCA5" w14:textId="77777777" w:rsidR="006B1185" w:rsidRDefault="006B1185" w:rsidP="00880A9C">
      <w:pPr>
        <w:pStyle w:val="Textonotapie"/>
      </w:pPr>
      <w:r>
        <w:rPr>
          <w:rStyle w:val="Refdenotaalpie"/>
        </w:rPr>
        <w:footnoteRef/>
      </w:r>
      <w:r>
        <w:t xml:space="preserve"> Convención Americana sobre Derechos Humanos. Artículo 13.</w:t>
      </w:r>
    </w:p>
  </w:footnote>
  <w:footnote w:id="6">
    <w:p w14:paraId="31E3C224" w14:textId="77777777" w:rsidR="006B1185" w:rsidRDefault="006B1185" w:rsidP="00880A9C">
      <w:pPr>
        <w:pStyle w:val="Textonotapie"/>
      </w:pPr>
      <w:r>
        <w:rPr>
          <w:rStyle w:val="Refdenotaalpie"/>
        </w:rPr>
        <w:footnoteRef/>
      </w:r>
      <w:r>
        <w:t xml:space="preserve"> Constitución Política de los Estados Unidos Mexicanos. Artículo sexto, sección A, fracción I.</w:t>
      </w:r>
    </w:p>
  </w:footnote>
  <w:footnote w:id="7">
    <w:p w14:paraId="099B9DA6" w14:textId="77777777" w:rsidR="006B1185" w:rsidRDefault="006B1185" w:rsidP="00880A9C">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8">
    <w:p w14:paraId="31FB901E" w14:textId="77777777" w:rsidR="006B1185" w:rsidRDefault="006B1185" w:rsidP="00880A9C">
      <w:pPr>
        <w:pStyle w:val="Textonotapie"/>
      </w:pPr>
      <w:r>
        <w:rPr>
          <w:rStyle w:val="Refdenotaalpie"/>
        </w:rPr>
        <w:footnoteRef/>
      </w:r>
      <w:r>
        <w:t xml:space="preserve"> Ibídem. </w:t>
      </w:r>
      <w:proofErr w:type="spellStart"/>
      <w:r>
        <w:t>Parr</w:t>
      </w:r>
      <w:proofErr w:type="spellEnd"/>
      <w:r>
        <w:t>. 87.</w:t>
      </w:r>
    </w:p>
  </w:footnote>
  <w:footnote w:id="9">
    <w:p w14:paraId="396DD115" w14:textId="77777777" w:rsidR="006B1185" w:rsidRDefault="006B1185" w:rsidP="00546190">
      <w:pPr>
        <w:pStyle w:val="Textonotapie"/>
      </w:pPr>
      <w:r>
        <w:rPr>
          <w:rStyle w:val="Refdenotaalpie"/>
        </w:rPr>
        <w:footnoteRef/>
      </w:r>
      <w:r>
        <w:t xml:space="preserve"> Ley de Transparencia y Acceso a la Información Pública del Estado de México y Municipios. Artículo 9. …</w:t>
      </w:r>
    </w:p>
    <w:p w14:paraId="44FAD83D" w14:textId="77777777" w:rsidR="006B1185" w:rsidRDefault="006B1185" w:rsidP="00546190">
      <w:pPr>
        <w:pStyle w:val="Textonotapie"/>
      </w:pPr>
      <w:r>
        <w:t>II. Eficacia: Obligación del Instituto para tutelar, de manera efectiva, el derecho de acceso a la información;</w:t>
      </w:r>
    </w:p>
    <w:p w14:paraId="66466C2E" w14:textId="77777777" w:rsidR="006B1185" w:rsidRDefault="006B1185" w:rsidP="00546190">
      <w:pPr>
        <w:pStyle w:val="Textonotapie"/>
      </w:pPr>
      <w:r>
        <w:t xml:space="preserve">… </w:t>
      </w:r>
    </w:p>
  </w:footnote>
  <w:footnote w:id="10">
    <w:p w14:paraId="426FCDC2" w14:textId="29DE6770" w:rsidR="006B1185" w:rsidRDefault="006B1185">
      <w:pPr>
        <w:pStyle w:val="Textonotapie"/>
      </w:pPr>
      <w:r>
        <w:rPr>
          <w:rStyle w:val="Refdenotaalpie"/>
        </w:rPr>
        <w:footnoteRef/>
      </w:r>
      <w:r>
        <w:t xml:space="preserve"> </w:t>
      </w:r>
      <w:hyperlink r:id="rId1" w:history="1">
        <w:r w:rsidRPr="00E9054A">
          <w:rPr>
            <w:rStyle w:val="Hipervnculo"/>
          </w:rPr>
          <w:t>https://www.ipomex.org.mx/recursos/ipo/files_ipo/2017/1/4/46779e32d3c1d80d2678a7b68189d8f7.pdf</w:t>
        </w:r>
      </w:hyperlink>
    </w:p>
    <w:p w14:paraId="36F96023" w14:textId="77777777" w:rsidR="006B1185" w:rsidRDefault="006B1185">
      <w:pPr>
        <w:pStyle w:val="Textonotapie"/>
      </w:pPr>
    </w:p>
  </w:footnote>
  <w:footnote w:id="11">
    <w:p w14:paraId="4D2C2E80" w14:textId="77777777" w:rsidR="000D45C0" w:rsidRPr="00547FFB" w:rsidRDefault="000D45C0" w:rsidP="000D45C0">
      <w:pPr>
        <w:autoSpaceDE w:val="0"/>
        <w:autoSpaceDN w:val="0"/>
        <w:adjustRightInd w:val="0"/>
        <w:jc w:val="both"/>
      </w:pPr>
      <w:r>
        <w:rPr>
          <w:rStyle w:val="Refdenotaalpie"/>
        </w:rPr>
        <w:footnoteRef/>
      </w:r>
      <w:r>
        <w:t xml:space="preserve"> </w:t>
      </w:r>
      <w:r w:rsidRPr="00547FFB">
        <w:rPr>
          <w:rFonts w:cs="Bookman Old Style,Bold"/>
          <w:b/>
          <w:bCs/>
        </w:rPr>
        <w:t xml:space="preserve">Artículo 13. </w:t>
      </w:r>
      <w:r w:rsidRPr="00547FFB">
        <w:rPr>
          <w:rFonts w:cs="Bookman Old Style"/>
        </w:rPr>
        <w:t>El Instituto, en el ámbito de sus atribuciones, deberá suplir cualquier deficiencia para garantizar el ejercicio del derecho de acceso a la información.</w:t>
      </w:r>
    </w:p>
  </w:footnote>
  <w:footnote w:id="12">
    <w:p w14:paraId="3300CA2E" w14:textId="77777777" w:rsidR="000D45C0" w:rsidRPr="00547FFB" w:rsidRDefault="000D45C0" w:rsidP="000D45C0">
      <w:pPr>
        <w:autoSpaceDE w:val="0"/>
        <w:autoSpaceDN w:val="0"/>
        <w:adjustRightInd w:val="0"/>
        <w:jc w:val="both"/>
      </w:pPr>
      <w:r w:rsidRPr="00547FFB">
        <w:rPr>
          <w:rStyle w:val="Refdenotaalpie"/>
          <w:b/>
        </w:rPr>
        <w:footnoteRef/>
      </w:r>
      <w:r w:rsidRPr="00547FFB">
        <w:rPr>
          <w:b/>
        </w:rPr>
        <w:t xml:space="preserve"> Artículo 181</w:t>
      </w:r>
      <w:r w:rsidRPr="00547FFB">
        <w:t>. …</w:t>
      </w:r>
    </w:p>
    <w:p w14:paraId="40590CD8" w14:textId="77777777" w:rsidR="000D45C0" w:rsidRPr="00547FFB" w:rsidRDefault="000D45C0" w:rsidP="000D45C0">
      <w:pPr>
        <w:autoSpaceDE w:val="0"/>
        <w:autoSpaceDN w:val="0"/>
        <w:adjustRightInd w:val="0"/>
        <w:jc w:val="both"/>
      </w:pPr>
      <w:r w:rsidRPr="00547FFB">
        <w:t>…</w:t>
      </w:r>
    </w:p>
    <w:p w14:paraId="334E94E9" w14:textId="77777777" w:rsidR="000D45C0" w:rsidRDefault="000D45C0" w:rsidP="000D45C0">
      <w:pPr>
        <w:autoSpaceDE w:val="0"/>
        <w:autoSpaceDN w:val="0"/>
        <w:adjustRightInd w:val="0"/>
        <w:jc w:val="both"/>
      </w:pPr>
      <w:r w:rsidRPr="00547FFB">
        <w:rPr>
          <w:rFonts w:cs="Bookman Old Style"/>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6B1185" w:rsidRDefault="003B62D1">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6B1185" w:rsidRDefault="006B118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6B1185" w14:paraId="6255E3A4" w14:textId="77777777" w:rsidTr="00814079">
      <w:trPr>
        <w:trHeight w:val="1435"/>
      </w:trPr>
      <w:tc>
        <w:tcPr>
          <w:tcW w:w="1843" w:type="dxa"/>
          <w:shd w:val="clear" w:color="auto" w:fill="auto"/>
        </w:tcPr>
        <w:p w14:paraId="3E05202F" w14:textId="4A7C9DF8" w:rsidR="006B1185" w:rsidRDefault="006B1185">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6B1185" w:rsidRDefault="006B1185"/>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6B1185" w14:paraId="727F90BF" w14:textId="77777777" w:rsidTr="00483482">
            <w:trPr>
              <w:trHeight w:val="338"/>
            </w:trPr>
            <w:tc>
              <w:tcPr>
                <w:tcW w:w="2551" w:type="dxa"/>
              </w:tcPr>
              <w:p w14:paraId="23087CD5" w14:textId="77777777" w:rsidR="006B1185" w:rsidRDefault="006B1185">
                <w:pPr>
                  <w:tabs>
                    <w:tab w:val="right" w:pos="8838"/>
                  </w:tabs>
                  <w:ind w:right="-105"/>
                  <w:rPr>
                    <w:rFonts w:ascii="Palatino Linotype" w:eastAsia="Calibri" w:hAnsi="Palatino Linotype" w:cs="Tahoma"/>
                    <w:b/>
                    <w:sz w:val="22"/>
                    <w:szCs w:val="22"/>
                    <w:lang w:eastAsia="en-US"/>
                  </w:rPr>
                </w:pPr>
              </w:p>
              <w:p w14:paraId="410A3741" w14:textId="535C9D39" w:rsidR="006B1185" w:rsidRDefault="006B1185">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6B1185" w:rsidRDefault="006B1185" w:rsidP="00427B6E">
                <w:pPr>
                  <w:tabs>
                    <w:tab w:val="right" w:pos="8838"/>
                  </w:tabs>
                  <w:ind w:right="-105" w:hanging="101"/>
                  <w:jc w:val="both"/>
                  <w:rPr>
                    <w:rFonts w:ascii="Palatino Linotype" w:eastAsia="Calibri" w:hAnsi="Palatino Linotype" w:cs="Tahoma"/>
                    <w:bCs/>
                    <w:sz w:val="22"/>
                    <w:szCs w:val="22"/>
                    <w:lang w:eastAsia="en-US"/>
                  </w:rPr>
                </w:pPr>
              </w:p>
              <w:p w14:paraId="3FF69A05" w14:textId="67CDFDD2" w:rsidR="006B1185" w:rsidRDefault="006B1185" w:rsidP="00837CCF">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03818/INFOEM/IP/RR/2021 </w:t>
                </w:r>
              </w:p>
            </w:tc>
          </w:tr>
          <w:tr w:rsidR="006B1185" w14:paraId="1389436A" w14:textId="0C8AE1D0" w:rsidTr="00483482">
            <w:trPr>
              <w:trHeight w:val="283"/>
            </w:trPr>
            <w:tc>
              <w:tcPr>
                <w:tcW w:w="2551" w:type="dxa"/>
              </w:tcPr>
              <w:p w14:paraId="22E0F4E9" w14:textId="77777777" w:rsidR="006B1185" w:rsidRDefault="006B1185">
                <w:pPr>
                  <w:tabs>
                    <w:tab w:val="right" w:pos="8838"/>
                  </w:tabs>
                  <w:ind w:right="-105"/>
                  <w:rPr>
                    <w:rFonts w:ascii="Palatino Linotype" w:eastAsia="Calibri" w:hAnsi="Palatino Linotype" w:cs="Tahoma"/>
                    <w:b/>
                    <w:sz w:val="22"/>
                    <w:szCs w:val="22"/>
                    <w:lang w:eastAsia="en-US"/>
                  </w:rPr>
                </w:pPr>
                <w:bookmarkStart w:id="34" w:name="_Hlk33010189"/>
                <w:r>
                  <w:rPr>
                    <w:rFonts w:ascii="Palatino Linotype" w:eastAsia="Calibri" w:hAnsi="Palatino Linotype" w:cs="Tahoma"/>
                    <w:b/>
                    <w:sz w:val="22"/>
                    <w:szCs w:val="22"/>
                    <w:lang w:eastAsia="en-US"/>
                  </w:rPr>
                  <w:t>Sujeto Obligado:</w:t>
                </w:r>
              </w:p>
            </w:tc>
            <w:tc>
              <w:tcPr>
                <w:tcW w:w="4544" w:type="dxa"/>
              </w:tcPr>
              <w:p w14:paraId="2B205C7F" w14:textId="7C1FA2E8" w:rsidR="006B1185" w:rsidRPr="00837CCF" w:rsidRDefault="006B1185" w:rsidP="00EF118A">
                <w:pPr>
                  <w:tabs>
                    <w:tab w:val="left" w:pos="2834"/>
                    <w:tab w:val="right" w:pos="8838"/>
                  </w:tabs>
                  <w:ind w:left="-113" w:right="1460"/>
                  <w:jc w:val="both"/>
                  <w:rPr>
                    <w:rFonts w:ascii="Palatino Linotype" w:eastAsia="Calibri" w:hAnsi="Palatino Linotype" w:cs="Tahoma"/>
                    <w:sz w:val="22"/>
                    <w:szCs w:val="22"/>
                    <w:lang w:eastAsia="en-US"/>
                  </w:rPr>
                </w:pPr>
                <w:r>
                  <w:rPr>
                    <w:rFonts w:ascii="Palatino Linotype" w:eastAsia="Calibri" w:hAnsi="Palatino Linotype" w:cs="Tahoma"/>
                    <w:sz w:val="22"/>
                    <w:szCs w:val="24"/>
                    <w:lang w:eastAsia="en-US"/>
                  </w:rPr>
                  <w:t>Comisión de Conciliación y Arbitraje Médico del Estado de México</w:t>
                </w:r>
              </w:p>
            </w:tc>
          </w:tr>
          <w:bookmarkEnd w:id="34"/>
          <w:tr w:rsidR="006B1185" w14:paraId="28CCE4E5" w14:textId="77777777" w:rsidTr="00483482">
            <w:trPr>
              <w:trHeight w:val="283"/>
            </w:trPr>
            <w:tc>
              <w:tcPr>
                <w:tcW w:w="2551" w:type="dxa"/>
              </w:tcPr>
              <w:p w14:paraId="13EBF3BB" w14:textId="77777777" w:rsidR="006B1185" w:rsidRDefault="006B1185">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Comisionado Ponente:</w:t>
                </w:r>
              </w:p>
            </w:tc>
            <w:tc>
              <w:tcPr>
                <w:tcW w:w="4544" w:type="dxa"/>
              </w:tcPr>
              <w:p w14:paraId="5DF20594" w14:textId="1A6CDEA4" w:rsidR="006B1185" w:rsidRDefault="006B1185"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6B1185" w:rsidRDefault="006B1185">
          <w:pPr>
            <w:tabs>
              <w:tab w:val="right" w:pos="8838"/>
            </w:tabs>
            <w:ind w:left="-28"/>
            <w:jc w:val="both"/>
            <w:rPr>
              <w:rFonts w:ascii="Arial" w:eastAsia="Calibri" w:hAnsi="Arial" w:cs="Arial"/>
              <w:b/>
              <w:sz w:val="22"/>
              <w:szCs w:val="22"/>
              <w:lang w:eastAsia="en-US"/>
            </w:rPr>
          </w:pPr>
        </w:p>
      </w:tc>
    </w:tr>
  </w:tbl>
  <w:p w14:paraId="07EF2D29" w14:textId="1620A8B4" w:rsidR="006B1185" w:rsidRDefault="003B62D1"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6B1185" w:rsidRDefault="006B118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6B1185" w14:paraId="61517A1D" w14:textId="77777777" w:rsidTr="003A6126">
      <w:trPr>
        <w:trHeight w:val="1435"/>
      </w:trPr>
      <w:tc>
        <w:tcPr>
          <w:tcW w:w="1560" w:type="dxa"/>
          <w:shd w:val="clear" w:color="auto" w:fill="auto"/>
        </w:tcPr>
        <w:p w14:paraId="4B74E846" w14:textId="1E0D62B9" w:rsidR="006B1185" w:rsidRDefault="006B1185">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6B1185" w14:paraId="7F59E1EF" w14:textId="77777777" w:rsidTr="00483482">
            <w:trPr>
              <w:trHeight w:val="144"/>
            </w:trPr>
            <w:tc>
              <w:tcPr>
                <w:tcW w:w="2444" w:type="dxa"/>
              </w:tcPr>
              <w:p w14:paraId="5EFF942E" w14:textId="77777777" w:rsidR="006B1185" w:rsidRDefault="006B1185" w:rsidP="000D485D">
                <w:pPr>
                  <w:tabs>
                    <w:tab w:val="right" w:pos="8838"/>
                  </w:tabs>
                  <w:ind w:left="-74" w:right="-105"/>
                  <w:rPr>
                    <w:rFonts w:ascii="Palatino Linotype" w:eastAsia="Calibri" w:hAnsi="Palatino Linotype" w:cs="Tahoma"/>
                    <w:b/>
                    <w:sz w:val="22"/>
                    <w:szCs w:val="22"/>
                    <w:lang w:eastAsia="en-US"/>
                  </w:rPr>
                </w:pPr>
                <w:bookmarkStart w:id="35" w:name="_Hlk12526980"/>
                <w:r>
                  <w:rPr>
                    <w:rFonts w:ascii="Palatino Linotype" w:eastAsia="Calibri" w:hAnsi="Palatino Linotype" w:cs="Tahoma"/>
                    <w:b/>
                    <w:sz w:val="22"/>
                    <w:szCs w:val="22"/>
                    <w:lang w:eastAsia="en-US"/>
                  </w:rPr>
                  <w:t>Recurso de Revisión:</w:t>
                </w:r>
              </w:p>
            </w:tc>
            <w:tc>
              <w:tcPr>
                <w:tcW w:w="4646" w:type="dxa"/>
              </w:tcPr>
              <w:p w14:paraId="0DE47EE2" w14:textId="73D2E5C8" w:rsidR="006B1185" w:rsidRDefault="006B1185" w:rsidP="002010BC">
                <w:pPr>
                  <w:tabs>
                    <w:tab w:val="right" w:pos="8838"/>
                  </w:tabs>
                  <w:ind w:left="-3"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03818/INFOEM/IP/RR/2021</w:t>
                </w:r>
              </w:p>
            </w:tc>
            <w:tc>
              <w:tcPr>
                <w:tcW w:w="3402" w:type="dxa"/>
              </w:tcPr>
              <w:p w14:paraId="11E4533C" w14:textId="3B21362A" w:rsidR="006B1185" w:rsidRDefault="006B1185">
                <w:pPr>
                  <w:tabs>
                    <w:tab w:val="right" w:pos="8838"/>
                  </w:tabs>
                  <w:ind w:left="-74" w:right="-105"/>
                  <w:jc w:val="both"/>
                  <w:rPr>
                    <w:rFonts w:ascii="Palatino Linotype" w:eastAsia="Calibri" w:hAnsi="Palatino Linotype" w:cs="Tahoma"/>
                    <w:bCs/>
                    <w:sz w:val="22"/>
                    <w:szCs w:val="22"/>
                    <w:lang w:eastAsia="en-US"/>
                  </w:rPr>
                </w:pPr>
              </w:p>
            </w:tc>
          </w:tr>
          <w:tr w:rsidR="006B1185" w14:paraId="3FC4FA7D" w14:textId="77777777" w:rsidTr="00483482">
            <w:trPr>
              <w:trHeight w:val="144"/>
            </w:trPr>
            <w:tc>
              <w:tcPr>
                <w:tcW w:w="2444" w:type="dxa"/>
              </w:tcPr>
              <w:p w14:paraId="363D966B" w14:textId="77777777" w:rsidR="006B1185" w:rsidRDefault="006B1185" w:rsidP="000D485D">
                <w:pPr>
                  <w:tabs>
                    <w:tab w:val="right" w:pos="8838"/>
                  </w:tabs>
                  <w:ind w:left="-74" w:right="-105"/>
                  <w:rPr>
                    <w:rFonts w:ascii="Palatino Linotype" w:eastAsia="Calibri" w:hAnsi="Palatino Linotype" w:cs="Tahoma"/>
                    <w:b/>
                    <w:sz w:val="22"/>
                    <w:szCs w:val="22"/>
                    <w:lang w:eastAsia="en-US"/>
                  </w:rPr>
                </w:pPr>
                <w:bookmarkStart w:id="36" w:name="_Hlk10641523"/>
                <w:bookmarkEnd w:id="35"/>
                <w:r>
                  <w:rPr>
                    <w:rFonts w:ascii="Palatino Linotype" w:eastAsia="Calibri" w:hAnsi="Palatino Linotype" w:cs="Tahoma"/>
                    <w:b/>
                    <w:sz w:val="22"/>
                    <w:szCs w:val="22"/>
                    <w:lang w:eastAsia="en-US"/>
                  </w:rPr>
                  <w:t>Recurrente:</w:t>
                </w:r>
              </w:p>
            </w:tc>
            <w:tc>
              <w:tcPr>
                <w:tcW w:w="4646" w:type="dxa"/>
              </w:tcPr>
              <w:p w14:paraId="73C065CD" w14:textId="4572E456" w:rsidR="006B1185" w:rsidRPr="000A7E5D" w:rsidRDefault="006B1185" w:rsidP="00366353">
                <w:pPr>
                  <w:tabs>
                    <w:tab w:val="left" w:pos="3122"/>
                    <w:tab w:val="right" w:pos="8838"/>
                  </w:tabs>
                  <w:ind w:right="1457"/>
                  <w:jc w:val="both"/>
                  <w:rPr>
                    <w:rFonts w:ascii="Palatino Linotype" w:eastAsia="Calibri" w:hAnsi="Palatino Linotype" w:cs="Tahoma"/>
                    <w:sz w:val="22"/>
                    <w:szCs w:val="22"/>
                    <w:lang w:eastAsia="en-US"/>
                  </w:rPr>
                </w:pPr>
              </w:p>
            </w:tc>
            <w:tc>
              <w:tcPr>
                <w:tcW w:w="3402" w:type="dxa"/>
              </w:tcPr>
              <w:p w14:paraId="370E6EFF" w14:textId="3B7EABB6" w:rsidR="006B1185" w:rsidRDefault="006B1185" w:rsidP="003037E1">
                <w:pPr>
                  <w:tabs>
                    <w:tab w:val="left" w:pos="3122"/>
                    <w:tab w:val="right" w:pos="8838"/>
                  </w:tabs>
                  <w:ind w:right="-105"/>
                  <w:jc w:val="both"/>
                  <w:rPr>
                    <w:rFonts w:ascii="Palatino Linotype" w:eastAsia="Calibri" w:hAnsi="Palatino Linotype" w:cs="Tahoma"/>
                    <w:sz w:val="22"/>
                    <w:szCs w:val="22"/>
                    <w:lang w:eastAsia="en-US"/>
                  </w:rPr>
                </w:pPr>
              </w:p>
            </w:tc>
          </w:tr>
          <w:bookmarkEnd w:id="36"/>
          <w:tr w:rsidR="006B1185" w14:paraId="4D832A43" w14:textId="77777777" w:rsidTr="00483482">
            <w:trPr>
              <w:trHeight w:val="283"/>
            </w:trPr>
            <w:tc>
              <w:tcPr>
                <w:tcW w:w="2444" w:type="dxa"/>
              </w:tcPr>
              <w:p w14:paraId="02CA5CB0" w14:textId="77777777" w:rsidR="006B1185" w:rsidRDefault="006B1185"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0E75E182" w:rsidR="006B1185" w:rsidRDefault="006B1185" w:rsidP="00A34D56">
                <w:pPr>
                  <w:tabs>
                    <w:tab w:val="left" w:pos="2834"/>
                    <w:tab w:val="right" w:pos="8838"/>
                  </w:tabs>
                  <w:ind w:left="-3" w:right="1315"/>
                  <w:jc w:val="both"/>
                  <w:rPr>
                    <w:rFonts w:ascii="Palatino Linotype" w:eastAsia="Calibri" w:hAnsi="Palatino Linotype" w:cs="Tahoma"/>
                    <w:b/>
                    <w:sz w:val="22"/>
                    <w:szCs w:val="22"/>
                    <w:lang w:eastAsia="en-US"/>
                  </w:rPr>
                </w:pPr>
                <w:r>
                  <w:rPr>
                    <w:rFonts w:ascii="Palatino Linotype" w:eastAsia="Calibri" w:hAnsi="Palatino Linotype" w:cs="Tahoma"/>
                    <w:sz w:val="22"/>
                    <w:szCs w:val="24"/>
                    <w:lang w:eastAsia="en-US"/>
                  </w:rPr>
                  <w:t>Comisión de Conciliación y Arbitraje Médico del Estado de México</w:t>
                </w:r>
              </w:p>
            </w:tc>
            <w:tc>
              <w:tcPr>
                <w:tcW w:w="3402" w:type="dxa"/>
              </w:tcPr>
              <w:p w14:paraId="00F18B8C" w14:textId="77777777" w:rsidR="006B1185" w:rsidRDefault="006B1185">
                <w:pPr>
                  <w:tabs>
                    <w:tab w:val="left" w:pos="2834"/>
                    <w:tab w:val="right" w:pos="8838"/>
                  </w:tabs>
                  <w:ind w:left="-74" w:right="-105"/>
                  <w:jc w:val="both"/>
                  <w:rPr>
                    <w:rFonts w:ascii="Palatino Linotype" w:eastAsia="Calibri" w:hAnsi="Palatino Linotype" w:cs="Tahoma"/>
                    <w:sz w:val="22"/>
                    <w:szCs w:val="22"/>
                    <w:lang w:eastAsia="en-US"/>
                  </w:rPr>
                </w:pPr>
              </w:p>
            </w:tc>
          </w:tr>
          <w:tr w:rsidR="006B1185" w14:paraId="7BC74D7A" w14:textId="77777777" w:rsidTr="00483482">
            <w:trPr>
              <w:trHeight w:val="283"/>
            </w:trPr>
            <w:tc>
              <w:tcPr>
                <w:tcW w:w="2444" w:type="dxa"/>
              </w:tcPr>
              <w:p w14:paraId="3BF93338" w14:textId="77777777" w:rsidR="006B1185" w:rsidRDefault="006B1185"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Comisionado Ponente:</w:t>
                </w:r>
              </w:p>
            </w:tc>
            <w:tc>
              <w:tcPr>
                <w:tcW w:w="4646" w:type="dxa"/>
              </w:tcPr>
              <w:p w14:paraId="3589422E" w14:textId="64278750" w:rsidR="006B1185" w:rsidRPr="003037E1" w:rsidRDefault="006B1185"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6B1185" w:rsidRDefault="006B1185">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6B1185" w:rsidRDefault="006B1185">
          <w:pPr>
            <w:tabs>
              <w:tab w:val="right" w:pos="8838"/>
            </w:tabs>
            <w:ind w:left="-28"/>
            <w:jc w:val="both"/>
            <w:rPr>
              <w:rFonts w:ascii="Arial" w:eastAsia="Calibri" w:hAnsi="Arial" w:cs="Arial"/>
              <w:b/>
              <w:sz w:val="22"/>
              <w:szCs w:val="22"/>
              <w:lang w:eastAsia="en-US"/>
            </w:rPr>
          </w:pPr>
        </w:p>
      </w:tc>
    </w:tr>
  </w:tbl>
  <w:p w14:paraId="5F654A99" w14:textId="6CB7D4AE" w:rsidR="006B1185" w:rsidRDefault="003B62D1"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105.8pt;margin-top:-134.3pt;width:663.5pt;height:12in;z-index:-251658240;mso-position-horizontal-relative:margin;mso-position-vertical-relative:margin"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98266D9"/>
    <w:multiLevelType w:val="hybridMultilevel"/>
    <w:tmpl w:val="C63C7D8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844291F"/>
    <w:multiLevelType w:val="hybridMultilevel"/>
    <w:tmpl w:val="7D1E6D54"/>
    <w:lvl w:ilvl="0" w:tplc="080A0013">
      <w:start w:val="1"/>
      <w:numFmt w:val="upperRoman"/>
      <w:lvlText w:val="%1."/>
      <w:lvlJc w:val="righ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E3501EB"/>
    <w:multiLevelType w:val="hybridMultilevel"/>
    <w:tmpl w:val="6A466096"/>
    <w:lvl w:ilvl="0" w:tplc="AE56A19C">
      <w:start w:val="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F9671CD"/>
    <w:multiLevelType w:val="hybridMultilevel"/>
    <w:tmpl w:val="169CCF94"/>
    <w:lvl w:ilvl="0" w:tplc="88CA20FE">
      <w:start w:val="2"/>
      <w:numFmt w:val="bullet"/>
      <w:lvlText w:val="-"/>
      <w:lvlJc w:val="left"/>
      <w:pPr>
        <w:ind w:left="720" w:hanging="360"/>
      </w:pPr>
      <w:rPr>
        <w:rFonts w:ascii="Palatino Linotype" w:eastAsia="Calibr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0D00F00"/>
    <w:multiLevelType w:val="hybridMultilevel"/>
    <w:tmpl w:val="C60C4382"/>
    <w:lvl w:ilvl="0" w:tplc="2C9CE680">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879167B"/>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27931CC"/>
    <w:multiLevelType w:val="hybridMultilevel"/>
    <w:tmpl w:val="DD56ABBC"/>
    <w:lvl w:ilvl="0" w:tplc="D52CB3B0">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5270159"/>
    <w:multiLevelType w:val="hybridMultilevel"/>
    <w:tmpl w:val="B2A61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86C1AD9"/>
    <w:multiLevelType w:val="hybridMultilevel"/>
    <w:tmpl w:val="87BE1A9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B5C56A3"/>
    <w:multiLevelType w:val="hybridMultilevel"/>
    <w:tmpl w:val="74F0A3C2"/>
    <w:lvl w:ilvl="0" w:tplc="73668F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nsid w:val="7CDA0965"/>
    <w:multiLevelType w:val="hybridMultilevel"/>
    <w:tmpl w:val="BCBAC0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1"/>
  </w:num>
  <w:num w:numId="3">
    <w:abstractNumId w:val="11"/>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0"/>
  </w:num>
  <w:num w:numId="6">
    <w:abstractNumId w:val="5"/>
  </w:num>
  <w:num w:numId="7">
    <w:abstractNumId w:val="1"/>
  </w:num>
  <w:num w:numId="8">
    <w:abstractNumId w:val="6"/>
  </w:num>
  <w:num w:numId="9">
    <w:abstractNumId w:val="14"/>
  </w:num>
  <w:num w:numId="10">
    <w:abstractNumId w:val="19"/>
  </w:num>
  <w:num w:numId="11">
    <w:abstractNumId w:val="18"/>
  </w:num>
  <w:num w:numId="12">
    <w:abstractNumId w:val="16"/>
  </w:num>
  <w:num w:numId="13">
    <w:abstractNumId w:val="8"/>
  </w:num>
  <w:num w:numId="14">
    <w:abstractNumId w:val="3"/>
  </w:num>
  <w:num w:numId="15">
    <w:abstractNumId w:val="13"/>
  </w:num>
  <w:num w:numId="16">
    <w:abstractNumId w:val="12"/>
  </w:num>
  <w:num w:numId="17">
    <w:abstractNumId w:val="4"/>
  </w:num>
  <w:num w:numId="18">
    <w:abstractNumId w:val="9"/>
  </w:num>
  <w:num w:numId="19">
    <w:abstractNumId w:val="15"/>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EA7"/>
    <w:rsid w:val="00002485"/>
    <w:rsid w:val="000027EB"/>
    <w:rsid w:val="00002B33"/>
    <w:rsid w:val="0000485A"/>
    <w:rsid w:val="000048DD"/>
    <w:rsid w:val="00006543"/>
    <w:rsid w:val="00006EB8"/>
    <w:rsid w:val="000077E7"/>
    <w:rsid w:val="000077E8"/>
    <w:rsid w:val="00012CD0"/>
    <w:rsid w:val="00013A19"/>
    <w:rsid w:val="00013DD9"/>
    <w:rsid w:val="000143FA"/>
    <w:rsid w:val="00014465"/>
    <w:rsid w:val="000159F0"/>
    <w:rsid w:val="00015A4E"/>
    <w:rsid w:val="00017348"/>
    <w:rsid w:val="00017858"/>
    <w:rsid w:val="00017D26"/>
    <w:rsid w:val="00020818"/>
    <w:rsid w:val="00020CAE"/>
    <w:rsid w:val="000212E5"/>
    <w:rsid w:val="000217A4"/>
    <w:rsid w:val="00021C64"/>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C12"/>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6587"/>
    <w:rsid w:val="00057250"/>
    <w:rsid w:val="00057E50"/>
    <w:rsid w:val="0006017B"/>
    <w:rsid w:val="00060323"/>
    <w:rsid w:val="000605D1"/>
    <w:rsid w:val="00060855"/>
    <w:rsid w:val="00061502"/>
    <w:rsid w:val="000620E1"/>
    <w:rsid w:val="00064855"/>
    <w:rsid w:val="00065B48"/>
    <w:rsid w:val="00066328"/>
    <w:rsid w:val="000663F6"/>
    <w:rsid w:val="00066AD8"/>
    <w:rsid w:val="000677C5"/>
    <w:rsid w:val="00071A4A"/>
    <w:rsid w:val="00071F02"/>
    <w:rsid w:val="00072BFF"/>
    <w:rsid w:val="000741E2"/>
    <w:rsid w:val="000758B2"/>
    <w:rsid w:val="0008033A"/>
    <w:rsid w:val="000813B0"/>
    <w:rsid w:val="0008148B"/>
    <w:rsid w:val="00081A1F"/>
    <w:rsid w:val="00082026"/>
    <w:rsid w:val="000827E1"/>
    <w:rsid w:val="00082B18"/>
    <w:rsid w:val="00084E6C"/>
    <w:rsid w:val="0009197A"/>
    <w:rsid w:val="00092475"/>
    <w:rsid w:val="00092518"/>
    <w:rsid w:val="00095E71"/>
    <w:rsid w:val="00097211"/>
    <w:rsid w:val="0009748A"/>
    <w:rsid w:val="000A0518"/>
    <w:rsid w:val="000A0861"/>
    <w:rsid w:val="000A0C91"/>
    <w:rsid w:val="000A2009"/>
    <w:rsid w:val="000A20A4"/>
    <w:rsid w:val="000A2577"/>
    <w:rsid w:val="000A2DB6"/>
    <w:rsid w:val="000A4589"/>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B18"/>
    <w:rsid w:val="000C469B"/>
    <w:rsid w:val="000C59CB"/>
    <w:rsid w:val="000D0B08"/>
    <w:rsid w:val="000D1A29"/>
    <w:rsid w:val="000D1DDF"/>
    <w:rsid w:val="000D2A27"/>
    <w:rsid w:val="000D45C0"/>
    <w:rsid w:val="000D485D"/>
    <w:rsid w:val="000D5156"/>
    <w:rsid w:val="000D5383"/>
    <w:rsid w:val="000D60B0"/>
    <w:rsid w:val="000D62EF"/>
    <w:rsid w:val="000D686E"/>
    <w:rsid w:val="000D68C7"/>
    <w:rsid w:val="000D6CF8"/>
    <w:rsid w:val="000E008A"/>
    <w:rsid w:val="000E0BEA"/>
    <w:rsid w:val="000E36AB"/>
    <w:rsid w:val="000E5550"/>
    <w:rsid w:val="000F0A30"/>
    <w:rsid w:val="000F178F"/>
    <w:rsid w:val="000F24C8"/>
    <w:rsid w:val="000F2580"/>
    <w:rsid w:val="000F2EBF"/>
    <w:rsid w:val="000F3DA0"/>
    <w:rsid w:val="000F4183"/>
    <w:rsid w:val="000F4876"/>
    <w:rsid w:val="000F555D"/>
    <w:rsid w:val="000F5E32"/>
    <w:rsid w:val="000F60AE"/>
    <w:rsid w:val="000F6834"/>
    <w:rsid w:val="000F76AB"/>
    <w:rsid w:val="000F7A45"/>
    <w:rsid w:val="000F7FD8"/>
    <w:rsid w:val="00100BAC"/>
    <w:rsid w:val="001011E4"/>
    <w:rsid w:val="001017B7"/>
    <w:rsid w:val="001024F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13F8"/>
    <w:rsid w:val="00131B9A"/>
    <w:rsid w:val="00132573"/>
    <w:rsid w:val="00132A80"/>
    <w:rsid w:val="00132F95"/>
    <w:rsid w:val="00132FE8"/>
    <w:rsid w:val="00134409"/>
    <w:rsid w:val="0013647C"/>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82B"/>
    <w:rsid w:val="00182D6C"/>
    <w:rsid w:val="00182DCE"/>
    <w:rsid w:val="00182F0F"/>
    <w:rsid w:val="00183D24"/>
    <w:rsid w:val="001845DC"/>
    <w:rsid w:val="00184C8A"/>
    <w:rsid w:val="001851A6"/>
    <w:rsid w:val="001875A7"/>
    <w:rsid w:val="001879E1"/>
    <w:rsid w:val="00187E51"/>
    <w:rsid w:val="0019070D"/>
    <w:rsid w:val="0019151D"/>
    <w:rsid w:val="00192AE6"/>
    <w:rsid w:val="0019361B"/>
    <w:rsid w:val="0019389B"/>
    <w:rsid w:val="00194CDF"/>
    <w:rsid w:val="00195BA5"/>
    <w:rsid w:val="00196522"/>
    <w:rsid w:val="001A0C96"/>
    <w:rsid w:val="001A1B94"/>
    <w:rsid w:val="001A22F5"/>
    <w:rsid w:val="001A3EA6"/>
    <w:rsid w:val="001A40A6"/>
    <w:rsid w:val="001A4B83"/>
    <w:rsid w:val="001A7FD2"/>
    <w:rsid w:val="001B0041"/>
    <w:rsid w:val="001B01AD"/>
    <w:rsid w:val="001B107D"/>
    <w:rsid w:val="001B1108"/>
    <w:rsid w:val="001B1E95"/>
    <w:rsid w:val="001B2CD9"/>
    <w:rsid w:val="001B38FF"/>
    <w:rsid w:val="001B39C2"/>
    <w:rsid w:val="001B62A0"/>
    <w:rsid w:val="001B7973"/>
    <w:rsid w:val="001C066E"/>
    <w:rsid w:val="001C17B0"/>
    <w:rsid w:val="001C2357"/>
    <w:rsid w:val="001C282F"/>
    <w:rsid w:val="001C2D8D"/>
    <w:rsid w:val="001C2F9F"/>
    <w:rsid w:val="001C3087"/>
    <w:rsid w:val="001C5EF5"/>
    <w:rsid w:val="001C62E6"/>
    <w:rsid w:val="001C6A89"/>
    <w:rsid w:val="001C7F97"/>
    <w:rsid w:val="001D0086"/>
    <w:rsid w:val="001D0094"/>
    <w:rsid w:val="001D00D6"/>
    <w:rsid w:val="001D10E0"/>
    <w:rsid w:val="001D230D"/>
    <w:rsid w:val="001D43DB"/>
    <w:rsid w:val="001D4965"/>
    <w:rsid w:val="001D4A5C"/>
    <w:rsid w:val="001D51A3"/>
    <w:rsid w:val="001D67AC"/>
    <w:rsid w:val="001D7012"/>
    <w:rsid w:val="001D7BD2"/>
    <w:rsid w:val="001E0C62"/>
    <w:rsid w:val="001E2A4D"/>
    <w:rsid w:val="001E53C2"/>
    <w:rsid w:val="001E57C1"/>
    <w:rsid w:val="001E6927"/>
    <w:rsid w:val="001E6FC5"/>
    <w:rsid w:val="001F0E9C"/>
    <w:rsid w:val="001F0EB8"/>
    <w:rsid w:val="001F1540"/>
    <w:rsid w:val="001F176D"/>
    <w:rsid w:val="001F2FF9"/>
    <w:rsid w:val="001F652C"/>
    <w:rsid w:val="001F67A1"/>
    <w:rsid w:val="001F7690"/>
    <w:rsid w:val="001F78D9"/>
    <w:rsid w:val="0020044B"/>
    <w:rsid w:val="002010BC"/>
    <w:rsid w:val="00201349"/>
    <w:rsid w:val="00202DB8"/>
    <w:rsid w:val="00204265"/>
    <w:rsid w:val="00205F0B"/>
    <w:rsid w:val="002060B4"/>
    <w:rsid w:val="0020681A"/>
    <w:rsid w:val="00207736"/>
    <w:rsid w:val="00207CD6"/>
    <w:rsid w:val="00210A50"/>
    <w:rsid w:val="002122CB"/>
    <w:rsid w:val="00212460"/>
    <w:rsid w:val="002127CA"/>
    <w:rsid w:val="002127E0"/>
    <w:rsid w:val="00215D0D"/>
    <w:rsid w:val="00215E41"/>
    <w:rsid w:val="00217551"/>
    <w:rsid w:val="00217AEF"/>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3C76"/>
    <w:rsid w:val="002348E4"/>
    <w:rsid w:val="00236863"/>
    <w:rsid w:val="00236AE4"/>
    <w:rsid w:val="00236B3F"/>
    <w:rsid w:val="00237C1F"/>
    <w:rsid w:val="00237D0D"/>
    <w:rsid w:val="00241116"/>
    <w:rsid w:val="002417D7"/>
    <w:rsid w:val="00242711"/>
    <w:rsid w:val="002432D8"/>
    <w:rsid w:val="002433A4"/>
    <w:rsid w:val="002435DC"/>
    <w:rsid w:val="0024366B"/>
    <w:rsid w:val="00243EAA"/>
    <w:rsid w:val="00246501"/>
    <w:rsid w:val="00247B17"/>
    <w:rsid w:val="00250389"/>
    <w:rsid w:val="00250999"/>
    <w:rsid w:val="00251FF7"/>
    <w:rsid w:val="00252669"/>
    <w:rsid w:val="00254209"/>
    <w:rsid w:val="00254288"/>
    <w:rsid w:val="0025469C"/>
    <w:rsid w:val="0025667F"/>
    <w:rsid w:val="002579CE"/>
    <w:rsid w:val="00260FEC"/>
    <w:rsid w:val="002613A0"/>
    <w:rsid w:val="00261DD6"/>
    <w:rsid w:val="002657E2"/>
    <w:rsid w:val="002670E1"/>
    <w:rsid w:val="00271D68"/>
    <w:rsid w:val="00271E0B"/>
    <w:rsid w:val="002727CC"/>
    <w:rsid w:val="00273679"/>
    <w:rsid w:val="00275CC4"/>
    <w:rsid w:val="002767EE"/>
    <w:rsid w:val="00281A35"/>
    <w:rsid w:val="00281AD9"/>
    <w:rsid w:val="00282956"/>
    <w:rsid w:val="00283568"/>
    <w:rsid w:val="00284486"/>
    <w:rsid w:val="00285118"/>
    <w:rsid w:val="00285644"/>
    <w:rsid w:val="0028581E"/>
    <w:rsid w:val="00287034"/>
    <w:rsid w:val="00287DB9"/>
    <w:rsid w:val="00291497"/>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57D2"/>
    <w:rsid w:val="002A6193"/>
    <w:rsid w:val="002A66CD"/>
    <w:rsid w:val="002A7BD4"/>
    <w:rsid w:val="002A7F32"/>
    <w:rsid w:val="002B1648"/>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3B32"/>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C1A"/>
    <w:rsid w:val="002F0CE9"/>
    <w:rsid w:val="002F0FC5"/>
    <w:rsid w:val="002F3BD0"/>
    <w:rsid w:val="002F3DBF"/>
    <w:rsid w:val="002F58D8"/>
    <w:rsid w:val="002F5FCB"/>
    <w:rsid w:val="002F69C1"/>
    <w:rsid w:val="002F6F44"/>
    <w:rsid w:val="002F77DA"/>
    <w:rsid w:val="0030032A"/>
    <w:rsid w:val="00300A0B"/>
    <w:rsid w:val="0030122C"/>
    <w:rsid w:val="003014A1"/>
    <w:rsid w:val="00301F46"/>
    <w:rsid w:val="003026E8"/>
    <w:rsid w:val="003037E1"/>
    <w:rsid w:val="00303CAD"/>
    <w:rsid w:val="00303CD6"/>
    <w:rsid w:val="00303E71"/>
    <w:rsid w:val="00304E7C"/>
    <w:rsid w:val="00306418"/>
    <w:rsid w:val="003100F3"/>
    <w:rsid w:val="003107D9"/>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0FC"/>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2798"/>
    <w:rsid w:val="00372803"/>
    <w:rsid w:val="00373387"/>
    <w:rsid w:val="003749EC"/>
    <w:rsid w:val="003756AF"/>
    <w:rsid w:val="00375815"/>
    <w:rsid w:val="003758FD"/>
    <w:rsid w:val="00375E9B"/>
    <w:rsid w:val="00377383"/>
    <w:rsid w:val="003778BD"/>
    <w:rsid w:val="00380441"/>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63CA"/>
    <w:rsid w:val="003965EC"/>
    <w:rsid w:val="00396BA0"/>
    <w:rsid w:val="00397543"/>
    <w:rsid w:val="00397BC9"/>
    <w:rsid w:val="003A0927"/>
    <w:rsid w:val="003A0E17"/>
    <w:rsid w:val="003A0EBA"/>
    <w:rsid w:val="003A21C9"/>
    <w:rsid w:val="003A24F5"/>
    <w:rsid w:val="003A357E"/>
    <w:rsid w:val="003A461D"/>
    <w:rsid w:val="003A4D92"/>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2D1"/>
    <w:rsid w:val="003B6BEF"/>
    <w:rsid w:val="003B794E"/>
    <w:rsid w:val="003C0AFA"/>
    <w:rsid w:val="003C1B21"/>
    <w:rsid w:val="003C28B8"/>
    <w:rsid w:val="003C52A2"/>
    <w:rsid w:val="003C5327"/>
    <w:rsid w:val="003C5C01"/>
    <w:rsid w:val="003C6934"/>
    <w:rsid w:val="003C798E"/>
    <w:rsid w:val="003C7FD0"/>
    <w:rsid w:val="003D0268"/>
    <w:rsid w:val="003D118A"/>
    <w:rsid w:val="003D1A43"/>
    <w:rsid w:val="003D1A64"/>
    <w:rsid w:val="003D1BFF"/>
    <w:rsid w:val="003D5FF4"/>
    <w:rsid w:val="003D624F"/>
    <w:rsid w:val="003D75E8"/>
    <w:rsid w:val="003D778F"/>
    <w:rsid w:val="003E31E5"/>
    <w:rsid w:val="003E32ED"/>
    <w:rsid w:val="003E3A39"/>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85F"/>
    <w:rsid w:val="00401E7C"/>
    <w:rsid w:val="004030F5"/>
    <w:rsid w:val="004052C5"/>
    <w:rsid w:val="004059FB"/>
    <w:rsid w:val="00407715"/>
    <w:rsid w:val="00407A93"/>
    <w:rsid w:val="004100AA"/>
    <w:rsid w:val="00410CD2"/>
    <w:rsid w:val="00412203"/>
    <w:rsid w:val="004134C9"/>
    <w:rsid w:val="00413D17"/>
    <w:rsid w:val="00414F9B"/>
    <w:rsid w:val="004153E3"/>
    <w:rsid w:val="00415D63"/>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41EB"/>
    <w:rsid w:val="00465C75"/>
    <w:rsid w:val="00466346"/>
    <w:rsid w:val="00466604"/>
    <w:rsid w:val="004702B0"/>
    <w:rsid w:val="00472003"/>
    <w:rsid w:val="0047317B"/>
    <w:rsid w:val="004751D6"/>
    <w:rsid w:val="00475E6B"/>
    <w:rsid w:val="00476BA1"/>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2B02"/>
    <w:rsid w:val="00492B6A"/>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DF4"/>
    <w:rsid w:val="004B372C"/>
    <w:rsid w:val="004B591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E1DCE"/>
    <w:rsid w:val="004E2126"/>
    <w:rsid w:val="004E345F"/>
    <w:rsid w:val="004E3BBA"/>
    <w:rsid w:val="004E401B"/>
    <w:rsid w:val="004E41C7"/>
    <w:rsid w:val="004E4274"/>
    <w:rsid w:val="004E59B8"/>
    <w:rsid w:val="004E5EAD"/>
    <w:rsid w:val="004E7DB7"/>
    <w:rsid w:val="004F1A6A"/>
    <w:rsid w:val="004F2D88"/>
    <w:rsid w:val="004F3D21"/>
    <w:rsid w:val="004F583D"/>
    <w:rsid w:val="004F60EF"/>
    <w:rsid w:val="004F66B6"/>
    <w:rsid w:val="004F7B6E"/>
    <w:rsid w:val="005034EE"/>
    <w:rsid w:val="00506429"/>
    <w:rsid w:val="00506E71"/>
    <w:rsid w:val="005070C3"/>
    <w:rsid w:val="00507A11"/>
    <w:rsid w:val="00507C00"/>
    <w:rsid w:val="0051276F"/>
    <w:rsid w:val="005130AC"/>
    <w:rsid w:val="005130CC"/>
    <w:rsid w:val="005178F8"/>
    <w:rsid w:val="00520212"/>
    <w:rsid w:val="005220BE"/>
    <w:rsid w:val="00522CC8"/>
    <w:rsid w:val="005244D0"/>
    <w:rsid w:val="005248FB"/>
    <w:rsid w:val="00526575"/>
    <w:rsid w:val="00531DFA"/>
    <w:rsid w:val="00532546"/>
    <w:rsid w:val="005334E8"/>
    <w:rsid w:val="00533B79"/>
    <w:rsid w:val="00533FD4"/>
    <w:rsid w:val="00534258"/>
    <w:rsid w:val="00536006"/>
    <w:rsid w:val="00536307"/>
    <w:rsid w:val="005411EA"/>
    <w:rsid w:val="00541AD6"/>
    <w:rsid w:val="00542B5F"/>
    <w:rsid w:val="00542D5F"/>
    <w:rsid w:val="005435DE"/>
    <w:rsid w:val="00543AD3"/>
    <w:rsid w:val="005441AD"/>
    <w:rsid w:val="00544916"/>
    <w:rsid w:val="00544C28"/>
    <w:rsid w:val="005452AA"/>
    <w:rsid w:val="0054589F"/>
    <w:rsid w:val="00546190"/>
    <w:rsid w:val="00546769"/>
    <w:rsid w:val="00546998"/>
    <w:rsid w:val="00546BAE"/>
    <w:rsid w:val="00546C4E"/>
    <w:rsid w:val="00547C2B"/>
    <w:rsid w:val="005525C5"/>
    <w:rsid w:val="00552623"/>
    <w:rsid w:val="00552EBD"/>
    <w:rsid w:val="00553827"/>
    <w:rsid w:val="00553943"/>
    <w:rsid w:val="00553988"/>
    <w:rsid w:val="00554B85"/>
    <w:rsid w:val="005558B6"/>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655A"/>
    <w:rsid w:val="00586586"/>
    <w:rsid w:val="00586FA8"/>
    <w:rsid w:val="00587A4C"/>
    <w:rsid w:val="00587F23"/>
    <w:rsid w:val="0059068D"/>
    <w:rsid w:val="005910C3"/>
    <w:rsid w:val="00591E3A"/>
    <w:rsid w:val="00592977"/>
    <w:rsid w:val="00593CB4"/>
    <w:rsid w:val="00593E68"/>
    <w:rsid w:val="00594652"/>
    <w:rsid w:val="005948CA"/>
    <w:rsid w:val="0059552A"/>
    <w:rsid w:val="0059577A"/>
    <w:rsid w:val="00597B3C"/>
    <w:rsid w:val="005A0362"/>
    <w:rsid w:val="005A11E2"/>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37A0"/>
    <w:rsid w:val="005C3851"/>
    <w:rsid w:val="005C4034"/>
    <w:rsid w:val="005C483A"/>
    <w:rsid w:val="005C5FED"/>
    <w:rsid w:val="005C651C"/>
    <w:rsid w:val="005C656A"/>
    <w:rsid w:val="005C7FA3"/>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750A"/>
    <w:rsid w:val="005F001D"/>
    <w:rsid w:val="005F03DB"/>
    <w:rsid w:val="005F1B15"/>
    <w:rsid w:val="005F2C8A"/>
    <w:rsid w:val="005F2DC6"/>
    <w:rsid w:val="005F3B37"/>
    <w:rsid w:val="005F48F1"/>
    <w:rsid w:val="005F605D"/>
    <w:rsid w:val="005F71AB"/>
    <w:rsid w:val="005F761F"/>
    <w:rsid w:val="005F79E8"/>
    <w:rsid w:val="0060008D"/>
    <w:rsid w:val="0060077A"/>
    <w:rsid w:val="00601011"/>
    <w:rsid w:val="00601E59"/>
    <w:rsid w:val="006034C1"/>
    <w:rsid w:val="00603A46"/>
    <w:rsid w:val="00606194"/>
    <w:rsid w:val="0061115C"/>
    <w:rsid w:val="00611550"/>
    <w:rsid w:val="00611A49"/>
    <w:rsid w:val="00613017"/>
    <w:rsid w:val="00613A54"/>
    <w:rsid w:val="00614EBF"/>
    <w:rsid w:val="00615C0E"/>
    <w:rsid w:val="00616189"/>
    <w:rsid w:val="006170EF"/>
    <w:rsid w:val="006172A0"/>
    <w:rsid w:val="006174B6"/>
    <w:rsid w:val="00617E7B"/>
    <w:rsid w:val="0062078C"/>
    <w:rsid w:val="00620868"/>
    <w:rsid w:val="00620E8F"/>
    <w:rsid w:val="00621760"/>
    <w:rsid w:val="006217BB"/>
    <w:rsid w:val="00623CC7"/>
    <w:rsid w:val="0062404F"/>
    <w:rsid w:val="00625BD5"/>
    <w:rsid w:val="00625DFB"/>
    <w:rsid w:val="006277B7"/>
    <w:rsid w:val="00627A01"/>
    <w:rsid w:val="00630438"/>
    <w:rsid w:val="006325E4"/>
    <w:rsid w:val="006342A2"/>
    <w:rsid w:val="00634D1A"/>
    <w:rsid w:val="00637179"/>
    <w:rsid w:val="00637D3A"/>
    <w:rsid w:val="006407AA"/>
    <w:rsid w:val="00640BD8"/>
    <w:rsid w:val="00640EF8"/>
    <w:rsid w:val="00641804"/>
    <w:rsid w:val="006418ED"/>
    <w:rsid w:val="00642B13"/>
    <w:rsid w:val="006431FF"/>
    <w:rsid w:val="0064345F"/>
    <w:rsid w:val="00643C2B"/>
    <w:rsid w:val="00645F7D"/>
    <w:rsid w:val="00646100"/>
    <w:rsid w:val="006476CA"/>
    <w:rsid w:val="006544EC"/>
    <w:rsid w:val="006552AE"/>
    <w:rsid w:val="00655773"/>
    <w:rsid w:val="00656364"/>
    <w:rsid w:val="006563CA"/>
    <w:rsid w:val="006578FC"/>
    <w:rsid w:val="00657AAB"/>
    <w:rsid w:val="006608AB"/>
    <w:rsid w:val="00661432"/>
    <w:rsid w:val="0066143F"/>
    <w:rsid w:val="006620DA"/>
    <w:rsid w:val="00662C42"/>
    <w:rsid w:val="0066370E"/>
    <w:rsid w:val="00664587"/>
    <w:rsid w:val="00666F25"/>
    <w:rsid w:val="00667C1C"/>
    <w:rsid w:val="0067001F"/>
    <w:rsid w:val="00670A43"/>
    <w:rsid w:val="006725FC"/>
    <w:rsid w:val="0067273A"/>
    <w:rsid w:val="00673510"/>
    <w:rsid w:val="00673A41"/>
    <w:rsid w:val="00673B95"/>
    <w:rsid w:val="00673DD4"/>
    <w:rsid w:val="00674AEB"/>
    <w:rsid w:val="0067655A"/>
    <w:rsid w:val="0067785F"/>
    <w:rsid w:val="006811F2"/>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C59"/>
    <w:rsid w:val="006A6B88"/>
    <w:rsid w:val="006A6D7F"/>
    <w:rsid w:val="006B0298"/>
    <w:rsid w:val="006B0E83"/>
    <w:rsid w:val="006B1185"/>
    <w:rsid w:val="006B2A0C"/>
    <w:rsid w:val="006B49BC"/>
    <w:rsid w:val="006B4CDA"/>
    <w:rsid w:val="006B5493"/>
    <w:rsid w:val="006B72E4"/>
    <w:rsid w:val="006B7584"/>
    <w:rsid w:val="006B77E2"/>
    <w:rsid w:val="006C10C0"/>
    <w:rsid w:val="006C1136"/>
    <w:rsid w:val="006C1B1D"/>
    <w:rsid w:val="006C32BB"/>
    <w:rsid w:val="006C3747"/>
    <w:rsid w:val="006C41A8"/>
    <w:rsid w:val="006C7015"/>
    <w:rsid w:val="006C7760"/>
    <w:rsid w:val="006C7776"/>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695D"/>
    <w:rsid w:val="006E716F"/>
    <w:rsid w:val="006E7D89"/>
    <w:rsid w:val="006E7DA9"/>
    <w:rsid w:val="006E7DEE"/>
    <w:rsid w:val="006F01E7"/>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4066"/>
    <w:rsid w:val="007147C2"/>
    <w:rsid w:val="00716894"/>
    <w:rsid w:val="007169A8"/>
    <w:rsid w:val="00717A74"/>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3CE8"/>
    <w:rsid w:val="00765E5E"/>
    <w:rsid w:val="007705F9"/>
    <w:rsid w:val="00770792"/>
    <w:rsid w:val="007709DD"/>
    <w:rsid w:val="0077239A"/>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2298"/>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4C6"/>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DAA"/>
    <w:rsid w:val="007D5424"/>
    <w:rsid w:val="007D710E"/>
    <w:rsid w:val="007D7952"/>
    <w:rsid w:val="007D7E3A"/>
    <w:rsid w:val="007E1177"/>
    <w:rsid w:val="007E1CCA"/>
    <w:rsid w:val="007E21DA"/>
    <w:rsid w:val="007E22E7"/>
    <w:rsid w:val="007E2893"/>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EF1"/>
    <w:rsid w:val="007F56C5"/>
    <w:rsid w:val="007F7004"/>
    <w:rsid w:val="0080056E"/>
    <w:rsid w:val="00801457"/>
    <w:rsid w:val="00801BCE"/>
    <w:rsid w:val="00801E7D"/>
    <w:rsid w:val="00802515"/>
    <w:rsid w:val="00803BFF"/>
    <w:rsid w:val="008051F8"/>
    <w:rsid w:val="008057BD"/>
    <w:rsid w:val="00805BE2"/>
    <w:rsid w:val="008061A0"/>
    <w:rsid w:val="00806A8E"/>
    <w:rsid w:val="00807232"/>
    <w:rsid w:val="00810F06"/>
    <w:rsid w:val="008115EE"/>
    <w:rsid w:val="0081283F"/>
    <w:rsid w:val="00812C0C"/>
    <w:rsid w:val="00813194"/>
    <w:rsid w:val="00813257"/>
    <w:rsid w:val="0081347B"/>
    <w:rsid w:val="00814079"/>
    <w:rsid w:val="0081480A"/>
    <w:rsid w:val="008169C5"/>
    <w:rsid w:val="00816EA3"/>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37CCF"/>
    <w:rsid w:val="0084105A"/>
    <w:rsid w:val="0084145F"/>
    <w:rsid w:val="00841DA2"/>
    <w:rsid w:val="00842A80"/>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6919"/>
    <w:rsid w:val="00857E1C"/>
    <w:rsid w:val="00857FF2"/>
    <w:rsid w:val="00860941"/>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4175"/>
    <w:rsid w:val="00874748"/>
    <w:rsid w:val="00874894"/>
    <w:rsid w:val="00876017"/>
    <w:rsid w:val="00876F54"/>
    <w:rsid w:val="00877292"/>
    <w:rsid w:val="0087754A"/>
    <w:rsid w:val="0087766C"/>
    <w:rsid w:val="00880552"/>
    <w:rsid w:val="00880A9C"/>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7444"/>
    <w:rsid w:val="008978CF"/>
    <w:rsid w:val="008A03A5"/>
    <w:rsid w:val="008A0DF3"/>
    <w:rsid w:val="008A12E2"/>
    <w:rsid w:val="008A1919"/>
    <w:rsid w:val="008A1B76"/>
    <w:rsid w:val="008A282C"/>
    <w:rsid w:val="008A3765"/>
    <w:rsid w:val="008A4138"/>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C6E"/>
    <w:rsid w:val="008D7E0D"/>
    <w:rsid w:val="008D7EDB"/>
    <w:rsid w:val="008E019E"/>
    <w:rsid w:val="008E0927"/>
    <w:rsid w:val="008E1829"/>
    <w:rsid w:val="008E1A61"/>
    <w:rsid w:val="008E2327"/>
    <w:rsid w:val="008E2669"/>
    <w:rsid w:val="008E2D66"/>
    <w:rsid w:val="008E35D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2668"/>
    <w:rsid w:val="008F35BB"/>
    <w:rsid w:val="008F46C2"/>
    <w:rsid w:val="008F5209"/>
    <w:rsid w:val="008F6F29"/>
    <w:rsid w:val="008F7068"/>
    <w:rsid w:val="00902912"/>
    <w:rsid w:val="00902D00"/>
    <w:rsid w:val="0090360E"/>
    <w:rsid w:val="00903D37"/>
    <w:rsid w:val="00906F91"/>
    <w:rsid w:val="009079D1"/>
    <w:rsid w:val="0091055D"/>
    <w:rsid w:val="00911958"/>
    <w:rsid w:val="00912F1D"/>
    <w:rsid w:val="0091468B"/>
    <w:rsid w:val="00914C61"/>
    <w:rsid w:val="00916923"/>
    <w:rsid w:val="00917B3F"/>
    <w:rsid w:val="00917D6F"/>
    <w:rsid w:val="0092007F"/>
    <w:rsid w:val="0092073B"/>
    <w:rsid w:val="00921B1A"/>
    <w:rsid w:val="00921B7F"/>
    <w:rsid w:val="00921DDA"/>
    <w:rsid w:val="00921EBC"/>
    <w:rsid w:val="00922DE1"/>
    <w:rsid w:val="00923A73"/>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EC5"/>
    <w:rsid w:val="00937EE1"/>
    <w:rsid w:val="00943BCE"/>
    <w:rsid w:val="009508A0"/>
    <w:rsid w:val="00953EDC"/>
    <w:rsid w:val="00953FF0"/>
    <w:rsid w:val="00960346"/>
    <w:rsid w:val="009617D3"/>
    <w:rsid w:val="009629BE"/>
    <w:rsid w:val="00962C63"/>
    <w:rsid w:val="00964061"/>
    <w:rsid w:val="0096463B"/>
    <w:rsid w:val="00967869"/>
    <w:rsid w:val="0096796E"/>
    <w:rsid w:val="00967DA5"/>
    <w:rsid w:val="00971A46"/>
    <w:rsid w:val="00971BF7"/>
    <w:rsid w:val="00971F54"/>
    <w:rsid w:val="009725C5"/>
    <w:rsid w:val="00972AB4"/>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3E6"/>
    <w:rsid w:val="009A347A"/>
    <w:rsid w:val="009A3F45"/>
    <w:rsid w:val="009A511E"/>
    <w:rsid w:val="009A54B4"/>
    <w:rsid w:val="009A620E"/>
    <w:rsid w:val="009A6606"/>
    <w:rsid w:val="009A6658"/>
    <w:rsid w:val="009B33A1"/>
    <w:rsid w:val="009B3DF9"/>
    <w:rsid w:val="009B610E"/>
    <w:rsid w:val="009B6452"/>
    <w:rsid w:val="009B6A6F"/>
    <w:rsid w:val="009C031C"/>
    <w:rsid w:val="009C0CAA"/>
    <w:rsid w:val="009C1AFE"/>
    <w:rsid w:val="009C295D"/>
    <w:rsid w:val="009C3B33"/>
    <w:rsid w:val="009C3E33"/>
    <w:rsid w:val="009C5F24"/>
    <w:rsid w:val="009D00D2"/>
    <w:rsid w:val="009D047D"/>
    <w:rsid w:val="009D048B"/>
    <w:rsid w:val="009D1B5D"/>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F2492"/>
    <w:rsid w:val="009F25A8"/>
    <w:rsid w:val="009F3A6A"/>
    <w:rsid w:val="009F46DC"/>
    <w:rsid w:val="009F4C58"/>
    <w:rsid w:val="009F58BE"/>
    <w:rsid w:val="009F65AF"/>
    <w:rsid w:val="009F6ECF"/>
    <w:rsid w:val="00A01666"/>
    <w:rsid w:val="00A01C00"/>
    <w:rsid w:val="00A02488"/>
    <w:rsid w:val="00A025B1"/>
    <w:rsid w:val="00A03A1B"/>
    <w:rsid w:val="00A05E6F"/>
    <w:rsid w:val="00A06A67"/>
    <w:rsid w:val="00A06CC5"/>
    <w:rsid w:val="00A07F30"/>
    <w:rsid w:val="00A07F71"/>
    <w:rsid w:val="00A10699"/>
    <w:rsid w:val="00A11CAD"/>
    <w:rsid w:val="00A1620D"/>
    <w:rsid w:val="00A16AC0"/>
    <w:rsid w:val="00A16DC1"/>
    <w:rsid w:val="00A2035C"/>
    <w:rsid w:val="00A2054B"/>
    <w:rsid w:val="00A228D6"/>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D56"/>
    <w:rsid w:val="00A34F11"/>
    <w:rsid w:val="00A35E2F"/>
    <w:rsid w:val="00A36013"/>
    <w:rsid w:val="00A37891"/>
    <w:rsid w:val="00A37A88"/>
    <w:rsid w:val="00A40503"/>
    <w:rsid w:val="00A40A51"/>
    <w:rsid w:val="00A415BA"/>
    <w:rsid w:val="00A43816"/>
    <w:rsid w:val="00A43CD2"/>
    <w:rsid w:val="00A4594F"/>
    <w:rsid w:val="00A47054"/>
    <w:rsid w:val="00A47916"/>
    <w:rsid w:val="00A47B0A"/>
    <w:rsid w:val="00A5088B"/>
    <w:rsid w:val="00A536DA"/>
    <w:rsid w:val="00A5406C"/>
    <w:rsid w:val="00A54720"/>
    <w:rsid w:val="00A54801"/>
    <w:rsid w:val="00A55271"/>
    <w:rsid w:val="00A5596D"/>
    <w:rsid w:val="00A56F39"/>
    <w:rsid w:val="00A571CD"/>
    <w:rsid w:val="00A57C3D"/>
    <w:rsid w:val="00A60A2E"/>
    <w:rsid w:val="00A64F18"/>
    <w:rsid w:val="00A66808"/>
    <w:rsid w:val="00A6697B"/>
    <w:rsid w:val="00A67022"/>
    <w:rsid w:val="00A67F68"/>
    <w:rsid w:val="00A719AA"/>
    <w:rsid w:val="00A73DE3"/>
    <w:rsid w:val="00A74C2D"/>
    <w:rsid w:val="00A74D33"/>
    <w:rsid w:val="00A7564A"/>
    <w:rsid w:val="00A76B34"/>
    <w:rsid w:val="00A8015B"/>
    <w:rsid w:val="00A83487"/>
    <w:rsid w:val="00A84A8E"/>
    <w:rsid w:val="00A852AC"/>
    <w:rsid w:val="00A854FF"/>
    <w:rsid w:val="00A86DF4"/>
    <w:rsid w:val="00A86E30"/>
    <w:rsid w:val="00A87035"/>
    <w:rsid w:val="00A8745D"/>
    <w:rsid w:val="00A908DA"/>
    <w:rsid w:val="00A90F9B"/>
    <w:rsid w:val="00A918FA"/>
    <w:rsid w:val="00A92694"/>
    <w:rsid w:val="00A93072"/>
    <w:rsid w:val="00A9629C"/>
    <w:rsid w:val="00A96514"/>
    <w:rsid w:val="00A966F6"/>
    <w:rsid w:val="00A96E80"/>
    <w:rsid w:val="00A97448"/>
    <w:rsid w:val="00AA2289"/>
    <w:rsid w:val="00AA2AFF"/>
    <w:rsid w:val="00AA2E00"/>
    <w:rsid w:val="00AA35D5"/>
    <w:rsid w:val="00AA417B"/>
    <w:rsid w:val="00AA533F"/>
    <w:rsid w:val="00AA5A86"/>
    <w:rsid w:val="00AA6CCD"/>
    <w:rsid w:val="00AA7F48"/>
    <w:rsid w:val="00AB0073"/>
    <w:rsid w:val="00AB010D"/>
    <w:rsid w:val="00AB0749"/>
    <w:rsid w:val="00AB273B"/>
    <w:rsid w:val="00AB5239"/>
    <w:rsid w:val="00AB61AD"/>
    <w:rsid w:val="00AB75E2"/>
    <w:rsid w:val="00AB76D8"/>
    <w:rsid w:val="00AB76F6"/>
    <w:rsid w:val="00AB7A1A"/>
    <w:rsid w:val="00AB7ABB"/>
    <w:rsid w:val="00AB7E6A"/>
    <w:rsid w:val="00AC1B50"/>
    <w:rsid w:val="00AC1B61"/>
    <w:rsid w:val="00AC2C6E"/>
    <w:rsid w:val="00AC3DB7"/>
    <w:rsid w:val="00AC55AC"/>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9BD"/>
    <w:rsid w:val="00AF7DB8"/>
    <w:rsid w:val="00B007F7"/>
    <w:rsid w:val="00B01191"/>
    <w:rsid w:val="00B01BB6"/>
    <w:rsid w:val="00B04CD6"/>
    <w:rsid w:val="00B06882"/>
    <w:rsid w:val="00B07F12"/>
    <w:rsid w:val="00B07FE3"/>
    <w:rsid w:val="00B103D7"/>
    <w:rsid w:val="00B10BAE"/>
    <w:rsid w:val="00B116CC"/>
    <w:rsid w:val="00B1369F"/>
    <w:rsid w:val="00B14154"/>
    <w:rsid w:val="00B1415B"/>
    <w:rsid w:val="00B15278"/>
    <w:rsid w:val="00B16975"/>
    <w:rsid w:val="00B200CA"/>
    <w:rsid w:val="00B222A2"/>
    <w:rsid w:val="00B234EC"/>
    <w:rsid w:val="00B235FB"/>
    <w:rsid w:val="00B2564D"/>
    <w:rsid w:val="00B274AE"/>
    <w:rsid w:val="00B274BF"/>
    <w:rsid w:val="00B27BE1"/>
    <w:rsid w:val="00B31222"/>
    <w:rsid w:val="00B318C9"/>
    <w:rsid w:val="00B31FDB"/>
    <w:rsid w:val="00B330C9"/>
    <w:rsid w:val="00B37DE4"/>
    <w:rsid w:val="00B40EE4"/>
    <w:rsid w:val="00B4114B"/>
    <w:rsid w:val="00B41DF3"/>
    <w:rsid w:val="00B42006"/>
    <w:rsid w:val="00B4291A"/>
    <w:rsid w:val="00B42C7F"/>
    <w:rsid w:val="00B42E81"/>
    <w:rsid w:val="00B4329D"/>
    <w:rsid w:val="00B44FF5"/>
    <w:rsid w:val="00B45BEE"/>
    <w:rsid w:val="00B46EDD"/>
    <w:rsid w:val="00B46F7A"/>
    <w:rsid w:val="00B5076A"/>
    <w:rsid w:val="00B520F9"/>
    <w:rsid w:val="00B52812"/>
    <w:rsid w:val="00B53FA0"/>
    <w:rsid w:val="00B5495A"/>
    <w:rsid w:val="00B54A9C"/>
    <w:rsid w:val="00B568D8"/>
    <w:rsid w:val="00B56F24"/>
    <w:rsid w:val="00B577A3"/>
    <w:rsid w:val="00B5785F"/>
    <w:rsid w:val="00B60C10"/>
    <w:rsid w:val="00B6144B"/>
    <w:rsid w:val="00B6170F"/>
    <w:rsid w:val="00B643AF"/>
    <w:rsid w:val="00B64641"/>
    <w:rsid w:val="00B65BCE"/>
    <w:rsid w:val="00B7262F"/>
    <w:rsid w:val="00B727C5"/>
    <w:rsid w:val="00B73267"/>
    <w:rsid w:val="00B7364D"/>
    <w:rsid w:val="00B73FD4"/>
    <w:rsid w:val="00B74FC5"/>
    <w:rsid w:val="00B750FC"/>
    <w:rsid w:val="00B75A6C"/>
    <w:rsid w:val="00B7795B"/>
    <w:rsid w:val="00B80E90"/>
    <w:rsid w:val="00B82F2D"/>
    <w:rsid w:val="00B83E2A"/>
    <w:rsid w:val="00B83E38"/>
    <w:rsid w:val="00B8408A"/>
    <w:rsid w:val="00B84F85"/>
    <w:rsid w:val="00B85DF3"/>
    <w:rsid w:val="00B86C19"/>
    <w:rsid w:val="00B8716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1099"/>
    <w:rsid w:val="00BA1732"/>
    <w:rsid w:val="00BA4CE5"/>
    <w:rsid w:val="00BA688A"/>
    <w:rsid w:val="00BB17CE"/>
    <w:rsid w:val="00BB18B8"/>
    <w:rsid w:val="00BB1B3C"/>
    <w:rsid w:val="00BB375D"/>
    <w:rsid w:val="00BB391B"/>
    <w:rsid w:val="00BB3D85"/>
    <w:rsid w:val="00BB49A0"/>
    <w:rsid w:val="00BB4BAC"/>
    <w:rsid w:val="00BB515F"/>
    <w:rsid w:val="00BB532B"/>
    <w:rsid w:val="00BB545D"/>
    <w:rsid w:val="00BC0924"/>
    <w:rsid w:val="00BC1FA5"/>
    <w:rsid w:val="00BC2592"/>
    <w:rsid w:val="00BC2C0C"/>
    <w:rsid w:val="00BC4DAC"/>
    <w:rsid w:val="00BC732A"/>
    <w:rsid w:val="00BC758B"/>
    <w:rsid w:val="00BD2EAC"/>
    <w:rsid w:val="00BD4059"/>
    <w:rsid w:val="00BD455F"/>
    <w:rsid w:val="00BD4617"/>
    <w:rsid w:val="00BD4BB3"/>
    <w:rsid w:val="00BD782A"/>
    <w:rsid w:val="00BD798E"/>
    <w:rsid w:val="00BE17C6"/>
    <w:rsid w:val="00BE2BD3"/>
    <w:rsid w:val="00BE4843"/>
    <w:rsid w:val="00BE4865"/>
    <w:rsid w:val="00BE5595"/>
    <w:rsid w:val="00BE5735"/>
    <w:rsid w:val="00BE69BF"/>
    <w:rsid w:val="00BE725A"/>
    <w:rsid w:val="00BE73C1"/>
    <w:rsid w:val="00BE7430"/>
    <w:rsid w:val="00BE7B48"/>
    <w:rsid w:val="00BE7C6B"/>
    <w:rsid w:val="00BF03EB"/>
    <w:rsid w:val="00BF1B9F"/>
    <w:rsid w:val="00BF28E7"/>
    <w:rsid w:val="00BF3381"/>
    <w:rsid w:val="00BF3AEA"/>
    <w:rsid w:val="00BF45F2"/>
    <w:rsid w:val="00BF475C"/>
    <w:rsid w:val="00BF48AB"/>
    <w:rsid w:val="00BF49B3"/>
    <w:rsid w:val="00BF5322"/>
    <w:rsid w:val="00BF667D"/>
    <w:rsid w:val="00BF75D9"/>
    <w:rsid w:val="00C004B6"/>
    <w:rsid w:val="00C01579"/>
    <w:rsid w:val="00C03922"/>
    <w:rsid w:val="00C03AA9"/>
    <w:rsid w:val="00C076CE"/>
    <w:rsid w:val="00C10E96"/>
    <w:rsid w:val="00C10FCF"/>
    <w:rsid w:val="00C12810"/>
    <w:rsid w:val="00C145CF"/>
    <w:rsid w:val="00C14B76"/>
    <w:rsid w:val="00C14EE1"/>
    <w:rsid w:val="00C15903"/>
    <w:rsid w:val="00C16B4B"/>
    <w:rsid w:val="00C16E51"/>
    <w:rsid w:val="00C17427"/>
    <w:rsid w:val="00C20A16"/>
    <w:rsid w:val="00C20C00"/>
    <w:rsid w:val="00C210FD"/>
    <w:rsid w:val="00C22183"/>
    <w:rsid w:val="00C22901"/>
    <w:rsid w:val="00C25238"/>
    <w:rsid w:val="00C2734F"/>
    <w:rsid w:val="00C305F2"/>
    <w:rsid w:val="00C31AF4"/>
    <w:rsid w:val="00C32A89"/>
    <w:rsid w:val="00C3345C"/>
    <w:rsid w:val="00C3426A"/>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151"/>
    <w:rsid w:val="00C5575D"/>
    <w:rsid w:val="00C558FF"/>
    <w:rsid w:val="00C560FA"/>
    <w:rsid w:val="00C56772"/>
    <w:rsid w:val="00C57C74"/>
    <w:rsid w:val="00C57FF9"/>
    <w:rsid w:val="00C60B87"/>
    <w:rsid w:val="00C61D80"/>
    <w:rsid w:val="00C62694"/>
    <w:rsid w:val="00C64434"/>
    <w:rsid w:val="00C64A51"/>
    <w:rsid w:val="00C64B27"/>
    <w:rsid w:val="00C65C4D"/>
    <w:rsid w:val="00C66EEB"/>
    <w:rsid w:val="00C67AC2"/>
    <w:rsid w:val="00C700DA"/>
    <w:rsid w:val="00C7063C"/>
    <w:rsid w:val="00C714C9"/>
    <w:rsid w:val="00C71F4C"/>
    <w:rsid w:val="00C73C57"/>
    <w:rsid w:val="00C746D9"/>
    <w:rsid w:val="00C74D43"/>
    <w:rsid w:val="00C75CA7"/>
    <w:rsid w:val="00C7683D"/>
    <w:rsid w:val="00C772A0"/>
    <w:rsid w:val="00C80751"/>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AC8"/>
    <w:rsid w:val="00C92C27"/>
    <w:rsid w:val="00C939E8"/>
    <w:rsid w:val="00C93F1B"/>
    <w:rsid w:val="00C94EF0"/>
    <w:rsid w:val="00C95093"/>
    <w:rsid w:val="00C95AB0"/>
    <w:rsid w:val="00C96DFE"/>
    <w:rsid w:val="00C976D1"/>
    <w:rsid w:val="00C97851"/>
    <w:rsid w:val="00CA2DFC"/>
    <w:rsid w:val="00CA308F"/>
    <w:rsid w:val="00CA6F0D"/>
    <w:rsid w:val="00CA71D4"/>
    <w:rsid w:val="00CA7CCC"/>
    <w:rsid w:val="00CA7D7D"/>
    <w:rsid w:val="00CB1A0D"/>
    <w:rsid w:val="00CB5A05"/>
    <w:rsid w:val="00CB5D29"/>
    <w:rsid w:val="00CB675A"/>
    <w:rsid w:val="00CB6EC8"/>
    <w:rsid w:val="00CB782B"/>
    <w:rsid w:val="00CC082B"/>
    <w:rsid w:val="00CC0E77"/>
    <w:rsid w:val="00CC2092"/>
    <w:rsid w:val="00CC285C"/>
    <w:rsid w:val="00CC34C5"/>
    <w:rsid w:val="00CC5595"/>
    <w:rsid w:val="00CC5E76"/>
    <w:rsid w:val="00CC69E7"/>
    <w:rsid w:val="00CC6C08"/>
    <w:rsid w:val="00CD049D"/>
    <w:rsid w:val="00CD1770"/>
    <w:rsid w:val="00CD3A5D"/>
    <w:rsid w:val="00CD51ED"/>
    <w:rsid w:val="00CD5FD4"/>
    <w:rsid w:val="00CD6A36"/>
    <w:rsid w:val="00CE0A60"/>
    <w:rsid w:val="00CE0DCE"/>
    <w:rsid w:val="00CE1BC9"/>
    <w:rsid w:val="00CE321D"/>
    <w:rsid w:val="00CE33C1"/>
    <w:rsid w:val="00CE4DD6"/>
    <w:rsid w:val="00CE597A"/>
    <w:rsid w:val="00CE64CD"/>
    <w:rsid w:val="00CE6763"/>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DB7"/>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CD5"/>
    <w:rsid w:val="00D31DC6"/>
    <w:rsid w:val="00D32B96"/>
    <w:rsid w:val="00D32E24"/>
    <w:rsid w:val="00D340C6"/>
    <w:rsid w:val="00D34402"/>
    <w:rsid w:val="00D348F7"/>
    <w:rsid w:val="00D3564E"/>
    <w:rsid w:val="00D36EF4"/>
    <w:rsid w:val="00D371D0"/>
    <w:rsid w:val="00D4062A"/>
    <w:rsid w:val="00D407D3"/>
    <w:rsid w:val="00D40BC3"/>
    <w:rsid w:val="00D41A35"/>
    <w:rsid w:val="00D42F2E"/>
    <w:rsid w:val="00D434EC"/>
    <w:rsid w:val="00D43E69"/>
    <w:rsid w:val="00D44E9D"/>
    <w:rsid w:val="00D454A6"/>
    <w:rsid w:val="00D466D0"/>
    <w:rsid w:val="00D472A7"/>
    <w:rsid w:val="00D51515"/>
    <w:rsid w:val="00D538C7"/>
    <w:rsid w:val="00D54BD5"/>
    <w:rsid w:val="00D575F0"/>
    <w:rsid w:val="00D575F1"/>
    <w:rsid w:val="00D603BA"/>
    <w:rsid w:val="00D60578"/>
    <w:rsid w:val="00D61A0E"/>
    <w:rsid w:val="00D62B63"/>
    <w:rsid w:val="00D634BD"/>
    <w:rsid w:val="00D63FD4"/>
    <w:rsid w:val="00D71685"/>
    <w:rsid w:val="00D71CF9"/>
    <w:rsid w:val="00D72264"/>
    <w:rsid w:val="00D731A8"/>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12C3"/>
    <w:rsid w:val="00DA22B5"/>
    <w:rsid w:val="00DA267B"/>
    <w:rsid w:val="00DA495D"/>
    <w:rsid w:val="00DA4F15"/>
    <w:rsid w:val="00DA5DCA"/>
    <w:rsid w:val="00DA7095"/>
    <w:rsid w:val="00DA70B4"/>
    <w:rsid w:val="00DA7BA0"/>
    <w:rsid w:val="00DB42F5"/>
    <w:rsid w:val="00DB469A"/>
    <w:rsid w:val="00DB4B8A"/>
    <w:rsid w:val="00DB52C3"/>
    <w:rsid w:val="00DB5454"/>
    <w:rsid w:val="00DB5DA3"/>
    <w:rsid w:val="00DB7E5F"/>
    <w:rsid w:val="00DC10B0"/>
    <w:rsid w:val="00DC1246"/>
    <w:rsid w:val="00DC1594"/>
    <w:rsid w:val="00DC2884"/>
    <w:rsid w:val="00DC4770"/>
    <w:rsid w:val="00DC4BCD"/>
    <w:rsid w:val="00DC6770"/>
    <w:rsid w:val="00DC68D6"/>
    <w:rsid w:val="00DC770A"/>
    <w:rsid w:val="00DC7ECE"/>
    <w:rsid w:val="00DD086D"/>
    <w:rsid w:val="00DD1107"/>
    <w:rsid w:val="00DD178F"/>
    <w:rsid w:val="00DD1A82"/>
    <w:rsid w:val="00DD1FE4"/>
    <w:rsid w:val="00DD2332"/>
    <w:rsid w:val="00DD30C6"/>
    <w:rsid w:val="00DE0808"/>
    <w:rsid w:val="00DE1C03"/>
    <w:rsid w:val="00DE2065"/>
    <w:rsid w:val="00DE2966"/>
    <w:rsid w:val="00DE3A0C"/>
    <w:rsid w:val="00DE3AF1"/>
    <w:rsid w:val="00DE40E0"/>
    <w:rsid w:val="00DE4107"/>
    <w:rsid w:val="00DE4F8D"/>
    <w:rsid w:val="00DE70AE"/>
    <w:rsid w:val="00DE7D92"/>
    <w:rsid w:val="00DF04ED"/>
    <w:rsid w:val="00DF06B6"/>
    <w:rsid w:val="00DF0B5E"/>
    <w:rsid w:val="00DF0ED5"/>
    <w:rsid w:val="00DF140A"/>
    <w:rsid w:val="00DF18E0"/>
    <w:rsid w:val="00DF6537"/>
    <w:rsid w:val="00DF6A00"/>
    <w:rsid w:val="00DF72D9"/>
    <w:rsid w:val="00DF7C06"/>
    <w:rsid w:val="00DF7DF3"/>
    <w:rsid w:val="00DF7EC8"/>
    <w:rsid w:val="00E00EC3"/>
    <w:rsid w:val="00E028ED"/>
    <w:rsid w:val="00E02A5D"/>
    <w:rsid w:val="00E0499F"/>
    <w:rsid w:val="00E0682E"/>
    <w:rsid w:val="00E104F6"/>
    <w:rsid w:val="00E10748"/>
    <w:rsid w:val="00E109BD"/>
    <w:rsid w:val="00E11282"/>
    <w:rsid w:val="00E123CC"/>
    <w:rsid w:val="00E12ED3"/>
    <w:rsid w:val="00E12F57"/>
    <w:rsid w:val="00E14282"/>
    <w:rsid w:val="00E156F2"/>
    <w:rsid w:val="00E17436"/>
    <w:rsid w:val="00E17728"/>
    <w:rsid w:val="00E17FA7"/>
    <w:rsid w:val="00E2250E"/>
    <w:rsid w:val="00E22FE4"/>
    <w:rsid w:val="00E24BF5"/>
    <w:rsid w:val="00E25494"/>
    <w:rsid w:val="00E256C4"/>
    <w:rsid w:val="00E25982"/>
    <w:rsid w:val="00E2674B"/>
    <w:rsid w:val="00E272DC"/>
    <w:rsid w:val="00E27DDF"/>
    <w:rsid w:val="00E27E01"/>
    <w:rsid w:val="00E30469"/>
    <w:rsid w:val="00E30A90"/>
    <w:rsid w:val="00E32DBA"/>
    <w:rsid w:val="00E34B25"/>
    <w:rsid w:val="00E3553C"/>
    <w:rsid w:val="00E35655"/>
    <w:rsid w:val="00E40B85"/>
    <w:rsid w:val="00E41C11"/>
    <w:rsid w:val="00E4236F"/>
    <w:rsid w:val="00E433BE"/>
    <w:rsid w:val="00E43469"/>
    <w:rsid w:val="00E4369C"/>
    <w:rsid w:val="00E43A0F"/>
    <w:rsid w:val="00E445DA"/>
    <w:rsid w:val="00E45379"/>
    <w:rsid w:val="00E465CB"/>
    <w:rsid w:val="00E47C0D"/>
    <w:rsid w:val="00E47D4C"/>
    <w:rsid w:val="00E50B22"/>
    <w:rsid w:val="00E51E18"/>
    <w:rsid w:val="00E5287B"/>
    <w:rsid w:val="00E52F9B"/>
    <w:rsid w:val="00E533BD"/>
    <w:rsid w:val="00E53706"/>
    <w:rsid w:val="00E56FE1"/>
    <w:rsid w:val="00E57CE2"/>
    <w:rsid w:val="00E60E5A"/>
    <w:rsid w:val="00E617BD"/>
    <w:rsid w:val="00E61CA8"/>
    <w:rsid w:val="00E61E05"/>
    <w:rsid w:val="00E64BD9"/>
    <w:rsid w:val="00E6519C"/>
    <w:rsid w:val="00E660AA"/>
    <w:rsid w:val="00E661F3"/>
    <w:rsid w:val="00E67E50"/>
    <w:rsid w:val="00E705B4"/>
    <w:rsid w:val="00E71C8B"/>
    <w:rsid w:val="00E72967"/>
    <w:rsid w:val="00E75472"/>
    <w:rsid w:val="00E77E5E"/>
    <w:rsid w:val="00E8155D"/>
    <w:rsid w:val="00E82615"/>
    <w:rsid w:val="00E84132"/>
    <w:rsid w:val="00E84A66"/>
    <w:rsid w:val="00E84AD7"/>
    <w:rsid w:val="00E85CC0"/>
    <w:rsid w:val="00E861B4"/>
    <w:rsid w:val="00E905B8"/>
    <w:rsid w:val="00E90627"/>
    <w:rsid w:val="00E9193D"/>
    <w:rsid w:val="00E958AD"/>
    <w:rsid w:val="00E96E1A"/>
    <w:rsid w:val="00E97BDB"/>
    <w:rsid w:val="00EA0E04"/>
    <w:rsid w:val="00EA1A98"/>
    <w:rsid w:val="00EA200D"/>
    <w:rsid w:val="00EA220D"/>
    <w:rsid w:val="00EA3156"/>
    <w:rsid w:val="00EA34A1"/>
    <w:rsid w:val="00EA40A2"/>
    <w:rsid w:val="00EA4CD5"/>
    <w:rsid w:val="00EA5D2C"/>
    <w:rsid w:val="00EA5D8E"/>
    <w:rsid w:val="00EA6949"/>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76D1"/>
    <w:rsid w:val="00ED7A42"/>
    <w:rsid w:val="00EE0395"/>
    <w:rsid w:val="00EE1D80"/>
    <w:rsid w:val="00EE1EE0"/>
    <w:rsid w:val="00EE2BFB"/>
    <w:rsid w:val="00EE2EEA"/>
    <w:rsid w:val="00EE5F2E"/>
    <w:rsid w:val="00EF07AB"/>
    <w:rsid w:val="00EF118A"/>
    <w:rsid w:val="00EF16DB"/>
    <w:rsid w:val="00EF2C2D"/>
    <w:rsid w:val="00EF4537"/>
    <w:rsid w:val="00EF4A64"/>
    <w:rsid w:val="00EF4D52"/>
    <w:rsid w:val="00EF54EA"/>
    <w:rsid w:val="00F016F0"/>
    <w:rsid w:val="00F02171"/>
    <w:rsid w:val="00F0260C"/>
    <w:rsid w:val="00F03228"/>
    <w:rsid w:val="00F033EF"/>
    <w:rsid w:val="00F04076"/>
    <w:rsid w:val="00F0528B"/>
    <w:rsid w:val="00F061A6"/>
    <w:rsid w:val="00F06B3A"/>
    <w:rsid w:val="00F0710C"/>
    <w:rsid w:val="00F07A3A"/>
    <w:rsid w:val="00F07A69"/>
    <w:rsid w:val="00F07C58"/>
    <w:rsid w:val="00F11AB3"/>
    <w:rsid w:val="00F11E70"/>
    <w:rsid w:val="00F1286E"/>
    <w:rsid w:val="00F12B32"/>
    <w:rsid w:val="00F14017"/>
    <w:rsid w:val="00F1608F"/>
    <w:rsid w:val="00F1684C"/>
    <w:rsid w:val="00F16DC0"/>
    <w:rsid w:val="00F20633"/>
    <w:rsid w:val="00F21A93"/>
    <w:rsid w:val="00F21DD6"/>
    <w:rsid w:val="00F225C9"/>
    <w:rsid w:val="00F24372"/>
    <w:rsid w:val="00F249E5"/>
    <w:rsid w:val="00F251E7"/>
    <w:rsid w:val="00F25CFE"/>
    <w:rsid w:val="00F26CC2"/>
    <w:rsid w:val="00F31CA6"/>
    <w:rsid w:val="00F31CC8"/>
    <w:rsid w:val="00F321B1"/>
    <w:rsid w:val="00F33758"/>
    <w:rsid w:val="00F345CF"/>
    <w:rsid w:val="00F35243"/>
    <w:rsid w:val="00F35C68"/>
    <w:rsid w:val="00F36E9F"/>
    <w:rsid w:val="00F41B19"/>
    <w:rsid w:val="00F41BBB"/>
    <w:rsid w:val="00F41BDB"/>
    <w:rsid w:val="00F425D5"/>
    <w:rsid w:val="00F42AB5"/>
    <w:rsid w:val="00F42F01"/>
    <w:rsid w:val="00F43832"/>
    <w:rsid w:val="00F43E6E"/>
    <w:rsid w:val="00F43EBF"/>
    <w:rsid w:val="00F44423"/>
    <w:rsid w:val="00F454F8"/>
    <w:rsid w:val="00F4653F"/>
    <w:rsid w:val="00F466DE"/>
    <w:rsid w:val="00F50BE6"/>
    <w:rsid w:val="00F51236"/>
    <w:rsid w:val="00F51438"/>
    <w:rsid w:val="00F516D0"/>
    <w:rsid w:val="00F51CBF"/>
    <w:rsid w:val="00F5374C"/>
    <w:rsid w:val="00F541B8"/>
    <w:rsid w:val="00F55329"/>
    <w:rsid w:val="00F55D63"/>
    <w:rsid w:val="00F56368"/>
    <w:rsid w:val="00F56B6D"/>
    <w:rsid w:val="00F56CC2"/>
    <w:rsid w:val="00F57CD4"/>
    <w:rsid w:val="00F60105"/>
    <w:rsid w:val="00F60B07"/>
    <w:rsid w:val="00F60BC0"/>
    <w:rsid w:val="00F61253"/>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9B0"/>
    <w:rsid w:val="00F80F33"/>
    <w:rsid w:val="00F84001"/>
    <w:rsid w:val="00F846D6"/>
    <w:rsid w:val="00F86059"/>
    <w:rsid w:val="00F86997"/>
    <w:rsid w:val="00F86C20"/>
    <w:rsid w:val="00F871D7"/>
    <w:rsid w:val="00F9173A"/>
    <w:rsid w:val="00F91800"/>
    <w:rsid w:val="00F93469"/>
    <w:rsid w:val="00F93AF9"/>
    <w:rsid w:val="00F94E99"/>
    <w:rsid w:val="00F9540C"/>
    <w:rsid w:val="00F960D5"/>
    <w:rsid w:val="00F9650A"/>
    <w:rsid w:val="00F967C7"/>
    <w:rsid w:val="00FA0437"/>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2209"/>
    <w:rsid w:val="00FC6F8C"/>
    <w:rsid w:val="00FC7531"/>
    <w:rsid w:val="00FC7B59"/>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25762B1-B280-4996-973E-4D0381F01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23164292">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318847064">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43853197">
      <w:bodyDiv w:val="1"/>
      <w:marLeft w:val="0"/>
      <w:marRight w:val="0"/>
      <w:marTop w:val="0"/>
      <w:marBottom w:val="0"/>
      <w:divBdr>
        <w:top w:val="none" w:sz="0" w:space="0" w:color="auto"/>
        <w:left w:val="none" w:sz="0" w:space="0" w:color="auto"/>
        <w:bottom w:val="none" w:sz="0" w:space="0" w:color="auto"/>
        <w:right w:val="none" w:sz="0" w:space="0" w:color="auto"/>
      </w:divBdr>
    </w:div>
    <w:div w:id="697506681">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83529302">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499031798">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44860404">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134640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ipomex.org.mx/recursos/ipo/files_ipo/2017/1/4/46779e32d3c1d80d2678a7b68189d8f7.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1447A4-5A57-4263-8779-79BBDC368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9462</Words>
  <Characters>52047</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INFORMATICA</cp:lastModifiedBy>
  <cp:revision>4</cp:revision>
  <cp:lastPrinted>2021-08-18T17:12:00Z</cp:lastPrinted>
  <dcterms:created xsi:type="dcterms:W3CDTF">2021-09-08T01:01:00Z</dcterms:created>
  <dcterms:modified xsi:type="dcterms:W3CDTF">2021-09-08T23:39:00Z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