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ocho de diciembre del dos mil veintiuno</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 </w:t>
      </w:r>
      <w:r w:rsidDel="00000000" w:rsidR="00000000" w:rsidRPr="00000000">
        <w:rPr>
          <w:rFonts w:ascii="Palatino Linotype" w:cs="Palatino Linotype" w:eastAsia="Palatino Linotype" w:hAnsi="Palatino Linotype"/>
          <w:rtl w:val="0"/>
        </w:rPr>
        <w:t xml:space="preserve">el expediente relativo al recurso de revisión </w:t>
      </w:r>
      <w:r w:rsidDel="00000000" w:rsidR="00000000" w:rsidRPr="00000000">
        <w:rPr>
          <w:rFonts w:ascii="Palatino Linotype" w:cs="Palatino Linotype" w:eastAsia="Palatino Linotype" w:hAnsi="Palatino Linotype"/>
          <w:b w:val="1"/>
          <w:rtl w:val="0"/>
        </w:rPr>
        <w:t xml:space="preserve">05054/INFOEM/IP/RR/2021</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XXXX XXXXXXX XXXXXXXXX XXXXXX</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falta de respuesta a la solicitud de información con número de folio </w:t>
      </w:r>
      <w:r w:rsidDel="00000000" w:rsidR="00000000" w:rsidRPr="00000000">
        <w:rPr>
          <w:rFonts w:ascii="Palatino Linotype" w:cs="Palatino Linotype" w:eastAsia="Palatino Linotype" w:hAnsi="Palatino Linotype"/>
          <w:b w:val="1"/>
          <w:rtl w:val="0"/>
        </w:rPr>
        <w:t xml:space="preserve">00076/TONANI/IP/2021,</w:t>
      </w:r>
      <w:r w:rsidDel="00000000" w:rsidR="00000000" w:rsidRPr="00000000">
        <w:rPr>
          <w:rFonts w:ascii="Palatino Linotype" w:cs="Palatino Linotype" w:eastAsia="Palatino Linotype" w:hAnsi="Palatino Linotype"/>
          <w:rtl w:val="0"/>
        </w:rPr>
        <w:t xml:space="preserve"> por parte del </w:t>
      </w:r>
      <w:r w:rsidDel="00000000" w:rsidR="00000000" w:rsidRPr="00000000">
        <w:rPr>
          <w:rFonts w:ascii="Palatino Linotype" w:cs="Palatino Linotype" w:eastAsia="Palatino Linotype" w:hAnsi="Palatino Linotype"/>
          <w:b w:val="1"/>
          <w:rtl w:val="0"/>
        </w:rPr>
        <w:t xml:space="preserve">Ayuntamiento de Tonanitla</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 siguiente.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1077"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 </w:t>
      </w:r>
      <w:r w:rsidDel="00000000" w:rsidR="00000000" w:rsidRPr="00000000">
        <w:rPr>
          <w:rFonts w:ascii="Palatino Linotype" w:cs="Palatino Linotype" w:eastAsia="Palatino Linotype" w:hAnsi="Palatino Linotype"/>
          <w:rtl w:val="0"/>
        </w:rPr>
        <w:t xml:space="preserve">Con fecha veintiuno de septiembre del dos mil veintiuno,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formuló solicitud de acceso a información pública 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requiriéndole lo siguiente: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7"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“Solicito me informen cuánto se le debe a cada proveedor del Ayuntamiento.” (Sic)</w:t>
      </w:r>
    </w:p>
    <w:p w:rsidR="00000000" w:rsidDel="00000000" w:rsidP="00000000" w:rsidRDefault="00000000" w:rsidRPr="00000000" w14:paraId="00000006">
      <w:pPr>
        <w:ind w:right="1043"/>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elegida para la entrega de la información: </w:t>
      </w:r>
      <w:r w:rsidDel="00000000" w:rsidR="00000000" w:rsidRPr="00000000">
        <w:rPr>
          <w:rFonts w:ascii="Palatino Linotype" w:cs="Palatino Linotype" w:eastAsia="Palatino Linotype" w:hAnsi="Palatino Linotype"/>
          <w:rtl w:val="0"/>
        </w:rPr>
        <w:t xml:space="preserve">a través del SAIMEX.</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9">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0A">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0B">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De las constancias que obran en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se observa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no emitió respuesta a la solicitud de información formulada por el hoy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w:t>
      </w:r>
      <w:r w:rsidDel="00000000" w:rsidR="00000000" w:rsidRPr="00000000">
        <w:rPr>
          <w:rtl w:val="0"/>
        </w:rPr>
      </w:r>
    </w:p>
    <w:p w:rsidR="00000000" w:rsidDel="00000000" w:rsidP="00000000" w:rsidRDefault="00000000" w:rsidRPr="00000000" w14:paraId="0000000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Inconforme el solicitante con la falta de respuesta del Sujeto Obligado, interpuso recurso de revisión a través del SAIMEX en fecha trece de octubre del año dos mil veintiuno, expresando lo siguiente:</w:t>
      </w:r>
    </w:p>
    <w:p w:rsidR="00000000" w:rsidDel="00000000" w:rsidP="00000000" w:rsidRDefault="00000000" w:rsidRPr="00000000" w14:paraId="0000000D">
      <w:pPr>
        <w:spacing w:line="36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 falta de respuesta.” (Sic)</w:t>
      </w:r>
    </w:p>
    <w:p w:rsidR="00000000" w:rsidDel="00000000" w:rsidP="00000000" w:rsidRDefault="00000000" w:rsidRPr="00000000" w14:paraId="0000000F">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Motivos de inconformidad.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“Ante la falta de respuesta, no me entregaron la información solicitada. Lo que pedí está en su BALANZA MENSUAL DE COMPROBACIÓN DETALLADA.”(Sic)</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Énfasis añadido.</w:t>
      </w:r>
    </w:p>
    <w:p w:rsidR="00000000" w:rsidDel="00000000" w:rsidP="00000000" w:rsidRDefault="00000000" w:rsidRPr="00000000" w14:paraId="0000001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w:t>
      </w:r>
      <w:r w:rsidDel="00000000" w:rsidR="00000000" w:rsidRPr="00000000">
        <w:rPr>
          <w:rFonts w:ascii="Palatino Linotype" w:cs="Palatino Linotype" w:eastAsia="Palatino Linotype" w:hAnsi="Palatino Linotype"/>
          <w:highlight w:val="white"/>
          <w:rtl w:val="0"/>
        </w:rPr>
        <w:t xml:space="preserve">de la Ley Transparencia y Acceso a la Información Pública</w:t>
      </w:r>
      <w:r w:rsidDel="00000000" w:rsidR="00000000" w:rsidRPr="00000000">
        <w:rPr>
          <w:rFonts w:ascii="Palatino Linotype" w:cs="Palatino Linotype" w:eastAsia="Palatino Linotype" w:hAnsi="Palatino Linotype"/>
          <w:rtl w:val="0"/>
        </w:rPr>
        <w:t xml:space="preserve">, el recurso de revisión número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sz w:val="23"/>
          <w:szCs w:val="23"/>
          <w:rtl w:val="0"/>
        </w:rPr>
        <w:t xml:space="preserve">05054/INFOEM/IP/RR/2021 </w:t>
      </w:r>
      <w:r w:rsidDel="00000000" w:rsidR="00000000" w:rsidRPr="00000000">
        <w:rPr>
          <w:rFonts w:ascii="Palatino Linotype" w:cs="Palatino Linotype" w:eastAsia="Palatino Linotype" w:hAnsi="Palatino Linotype"/>
          <w:rtl w:val="0"/>
        </w:rPr>
        <w:t xml:space="preserve">fue turnado en fecha trece de octubre de dos mil veintiuno a la </w:t>
      </w:r>
      <w:r w:rsidDel="00000000" w:rsidR="00000000" w:rsidRPr="00000000">
        <w:rPr>
          <w:rFonts w:ascii="Palatino Linotype" w:cs="Palatino Linotype" w:eastAsia="Palatino Linotype" w:hAnsi="Palatino Linotype"/>
          <w:b w:val="1"/>
          <w:rtl w:val="0"/>
        </w:rPr>
        <w:t xml:space="preserve">Comisionada Ponente Guadalupe Ramírez Peña</w:t>
      </w:r>
      <w:r w:rsidDel="00000000" w:rsidR="00000000" w:rsidRPr="00000000">
        <w:rPr>
          <w:rFonts w:ascii="Palatino Linotype" w:cs="Palatino Linotype" w:eastAsia="Palatino Linotype" w:hAnsi="Palatino Linotype"/>
          <w:rtl w:val="0"/>
        </w:rPr>
        <w:t xml:space="preserve">; a efecto de presentar al Pleno el proyecto de resolución correspondiente.</w:t>
      </w:r>
    </w:p>
    <w:p w:rsidR="00000000" w:rsidDel="00000000" w:rsidP="00000000" w:rsidRDefault="00000000" w:rsidRPr="00000000" w14:paraId="0000001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w:t>
      </w:r>
      <w:r w:rsidDel="00000000" w:rsidR="00000000" w:rsidRPr="00000000">
        <w:rPr>
          <w:rFonts w:ascii="Palatino Linotype" w:cs="Palatino Linotype" w:eastAsia="Palatino Linotype" w:hAnsi="Palatino Linotype"/>
          <w:rtl w:val="0"/>
        </w:rPr>
        <w:t xml:space="preserve">En fecha dieciocho de octubre del año dos mil veintiuno, en términos de lo dispuesto en el artículo 185 fracciones I, II y IV de la Ley de Transparencia y Acceso a la Información Pública del Estado de México y Municipios, se admitió a trámite el recurso de revisión al rubro indicado.</w:t>
      </w:r>
    </w:p>
    <w:p w:rsidR="00000000" w:rsidDel="00000000" w:rsidP="00000000" w:rsidRDefault="00000000" w:rsidRPr="00000000" w14:paraId="0000001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Manifestaciones. </w:t>
      </w:r>
      <w:r w:rsidDel="00000000" w:rsidR="00000000" w:rsidRPr="00000000">
        <w:rPr>
          <w:rFonts w:ascii="Palatino Linotype" w:cs="Palatino Linotype" w:eastAsia="Palatino Linotype" w:hAnsi="Palatino Linotype"/>
          <w:rtl w:val="0"/>
        </w:rPr>
        <w:t xml:space="preserve">De las constancias que obran en el expediente electrónico del SAIMEX se desprende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rindió su informe justificado, del mismo modo el impetrante omitió realizar manifestaciones.</w:t>
      </w:r>
    </w:p>
    <w:p w:rsidR="00000000" w:rsidDel="00000000" w:rsidP="00000000" w:rsidRDefault="00000000" w:rsidRPr="00000000" w14:paraId="0000001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Cierre de Instrucción. </w:t>
      </w:r>
      <w:r w:rsidDel="00000000" w:rsidR="00000000" w:rsidRPr="00000000">
        <w:rPr>
          <w:rFonts w:ascii="Palatino Linotype" w:cs="Palatino Linotype" w:eastAsia="Palatino Linotype" w:hAnsi="Palatino Linotype"/>
          <w:rtl w:val="0"/>
        </w:rPr>
        <w:t xml:space="preserve">En fecha veinticinco de noviembre del año dos mil veintiuno,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108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 O N S I D E R A N D O:</w:t>
      </w:r>
    </w:p>
    <w:p w:rsidR="00000000" w:rsidDel="00000000" w:rsidP="00000000" w:rsidRDefault="00000000" w:rsidRPr="00000000" w14:paraId="00000017">
      <w:pPr>
        <w:spacing w:after="240" w:before="240" w:line="360"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Primero. Competencia.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 7, </w:t>
      </w:r>
      <w:r w:rsidDel="00000000" w:rsidR="00000000" w:rsidRPr="00000000">
        <w:rPr>
          <w:rFonts w:ascii="Palatino Linotype" w:cs="Palatino Linotype" w:eastAsia="Palatino Linotype" w:hAnsi="Palatino Linotype"/>
          <w:rtl w:val="0"/>
        </w:rPr>
        <w:t xml:space="preserve">9, fracciones I y XXIV y 11 </w:t>
      </w:r>
      <w:r w:rsidDel="00000000" w:rsidR="00000000" w:rsidRPr="00000000">
        <w:rPr>
          <w:rFonts w:ascii="Palatino Linotype" w:cs="Palatino Linotype" w:eastAsia="Palatino Linotype" w:hAnsi="Palatino Linotype"/>
          <w:highlight w:val="white"/>
          <w:rtl w:val="0"/>
        </w:rPr>
        <w:t xml:space="preserve">del Reglamento Interior del Instituto de Transparencia, Acceso a la Información Pública y Protección de Datos Personales del Estado de México y Municipios.</w:t>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Oportunidad y Procedibilidad. </w:t>
      </w:r>
      <w:r w:rsidDel="00000000" w:rsidR="00000000" w:rsidRPr="00000000">
        <w:rPr>
          <w:rFonts w:ascii="Palatino Linotype" w:cs="Palatino Linotype" w:eastAsia="Palatino Linotype" w:hAnsi="Palatino Linotype"/>
          <w:rtl w:val="0"/>
        </w:rPr>
        <w:t xml:space="preserve">Es de precisar que la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Ley de Transparencia y Acceso a la Información Pública del Estado de México y Municipios, describe el mecanismo de procedencia de los recursos de revisión, como se dispone en los artículos 163 y 166, del tenor literal siguiente: </w:t>
      </w:r>
    </w:p>
    <w:p w:rsidR="00000000" w:rsidDel="00000000" w:rsidP="00000000" w:rsidRDefault="00000000" w:rsidRPr="00000000" w14:paraId="00000019">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 </w:t>
      </w:r>
      <w:r w:rsidDel="00000000" w:rsidR="00000000" w:rsidRPr="00000000">
        <w:rPr>
          <w:rFonts w:ascii="Palatino Linotype" w:cs="Palatino Linotype" w:eastAsia="Palatino Linotype" w:hAnsi="Palatino Linotype"/>
          <w:i w:val="1"/>
          <w:sz w:val="22"/>
          <w:szCs w:val="22"/>
          <w:rtl w:val="0"/>
        </w:rPr>
        <w:t xml:space="preserve">La Unidad de Transparencia deberá notificar la respuesta a la solicitud al interesado en el menor tiempo posible, que no podrá exceder de quince días hábiles, contados a partir del día siguiente a la presentación de aquélla. </w:t>
      </w:r>
      <w:r w:rsidDel="00000000" w:rsidR="00000000" w:rsidRPr="00000000">
        <w:rPr>
          <w:rtl w:val="0"/>
        </w:rPr>
      </w:r>
    </w:p>
    <w:p w:rsidR="00000000" w:rsidDel="00000000" w:rsidP="00000000" w:rsidRDefault="00000000" w:rsidRPr="00000000" w14:paraId="0000001A">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1B">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z w:val="22"/>
          <w:szCs w:val="22"/>
          <w:rtl w:val="0"/>
        </w:rPr>
        <w:t xml:space="preserve">Artículo 166.-</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tl w:val="0"/>
        </w:rPr>
      </w:r>
    </w:p>
    <w:p w:rsidR="00000000" w:rsidDel="00000000" w:rsidP="00000000" w:rsidRDefault="00000000" w:rsidRPr="00000000" w14:paraId="0000001C">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Cuando el sujeto obligado no entregue la respuesta a la solicitud dentro del plazo previsto en la Ley, la solicitud se entenderá negada y el solicitante podrá interponer el recurso de revisión previsto en este ordenamiento.</w:t>
      </w:r>
      <w:r w:rsidDel="00000000" w:rsidR="00000000" w:rsidRPr="00000000">
        <w:rPr>
          <w:rtl w:val="0"/>
        </w:rPr>
      </w:r>
    </w:p>
    <w:p w:rsidR="00000000" w:rsidDel="00000000" w:rsidP="00000000" w:rsidRDefault="00000000" w:rsidRPr="00000000" w14:paraId="0000001D">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tl w:val="0"/>
        </w:rPr>
      </w:r>
    </w:p>
    <w:p w:rsidR="00000000" w:rsidDel="00000000" w:rsidP="00000000" w:rsidRDefault="00000000" w:rsidRPr="00000000" w14:paraId="0000001E">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(Énfasis añadido)</w:t>
      </w:r>
      <w:r w:rsidDel="00000000" w:rsidR="00000000" w:rsidRPr="00000000">
        <w:rPr>
          <w:rtl w:val="0"/>
        </w:rPr>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Derivado de lo anterior, se constituye lo que en la doctrina se conoce como negativa ficta, figura jurídica cuya esencia consiste en atribuir un efecto negativo al silencio de la autoridad administrativa frente a las instancias y solicitudes que hagan los particulares.</w:t>
      </w:r>
      <w:r w:rsidDel="00000000" w:rsidR="00000000" w:rsidRPr="00000000">
        <w:rPr>
          <w:rtl w:val="0"/>
        </w:rPr>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su parte, el artículo 178 del citado ordenamiento, establece:</w:t>
      </w:r>
      <w:r w:rsidDel="00000000" w:rsidR="00000000" w:rsidRPr="00000000">
        <w:rPr>
          <w:rtl w:val="0"/>
        </w:rPr>
      </w:r>
    </w:p>
    <w:p w:rsidR="00000000" w:rsidDel="00000000" w:rsidP="00000000" w:rsidRDefault="00000000" w:rsidRPr="00000000" w14:paraId="00000022">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178. </w:t>
      </w:r>
      <w:r w:rsidDel="00000000" w:rsidR="00000000" w:rsidRPr="00000000">
        <w:rPr>
          <w:rFonts w:ascii="Palatino Linotype" w:cs="Palatino Linotype" w:eastAsia="Palatino Linotype" w:hAnsi="Palatino Linotype"/>
          <w:i w:val="1"/>
          <w:sz w:val="22"/>
          <w:szCs w:val="22"/>
          <w:rtl w:val="0"/>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el recurso de revisión se ha de interponer dentro del plazo de quince días hábiles, a partir de la fecha en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negativa ficta constituye una presunción legal, en el entendido de que donde no hubo respuesta por parte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lo tanto, con la finalidad de no reducir ni limitar el derecho de acceso a la información y concederle una protección más eficaz al solicitante para impugnar el silencio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r w:rsidDel="00000000" w:rsidR="00000000" w:rsidRPr="00000000">
        <w:rPr>
          <w:rtl w:val="0"/>
        </w:rPr>
      </w:r>
    </w:p>
    <w:p w:rsidR="00000000" w:rsidDel="00000000" w:rsidP="00000000" w:rsidRDefault="00000000" w:rsidRPr="00000000" w14:paraId="00000027">
      <w:pPr>
        <w:spacing w:after="0"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z w:val="22"/>
          <w:szCs w:val="22"/>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sz w:val="22"/>
          <w:szCs w:val="22"/>
          <w:rtl w:val="0"/>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Del="00000000" w:rsidR="00000000" w:rsidRPr="00000000">
        <w:rPr>
          <w:rFonts w:ascii="Palatino Linotype" w:cs="Palatino Linotype" w:eastAsia="Palatino Linotype" w:hAnsi="Palatino Linotype"/>
          <w:i w:val="1"/>
          <w:rtl w:val="0"/>
        </w:rPr>
        <w:t xml:space="preserve"> (Sic)</w:t>
      </w:r>
    </w:p>
    <w:p w:rsidR="00000000" w:rsidDel="00000000" w:rsidP="00000000" w:rsidRDefault="00000000" w:rsidRPr="00000000" w14:paraId="00000028">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9">
      <w:pPr>
        <w:spacing w:after="240" w:before="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Del="00000000" w:rsidR="00000000" w:rsidRPr="00000000">
        <w:rPr>
          <w:rFonts w:ascii="Palatino Linotype" w:cs="Palatino Linotype" w:eastAsia="Palatino Linotype" w:hAnsi="Palatino Linotype"/>
          <w:b w:val="1"/>
          <w:rtl w:val="0"/>
        </w:rPr>
        <w:t xml:space="preserve">EL SAIMEX.  </w:t>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000000" w:rsidDel="00000000" w:rsidP="00000000" w:rsidRDefault="00000000" w:rsidRPr="00000000" w14:paraId="0000002B">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 </w:t>
      </w:r>
      <w:r w:rsidDel="00000000" w:rsidR="00000000" w:rsidRPr="00000000">
        <w:rPr>
          <w:rFonts w:ascii="Palatino Linotype" w:cs="Palatino Linotype" w:eastAsia="Palatino Linotype" w:hAnsi="Palatino Linotype"/>
          <w:i w:val="1"/>
          <w:sz w:val="22"/>
          <w:szCs w:val="22"/>
          <w:rtl w:val="0"/>
        </w:rPr>
        <w:t xml:space="preserve">El recurso de revisión es un medio de protección que la Ley otorga a los particulares, para hacer valer su derecho de acceso a la información pública, y procederá en contra de las siguientes causas:</w:t>
      </w:r>
      <w:r w:rsidDel="00000000" w:rsidR="00000000" w:rsidRPr="00000000">
        <w:rPr>
          <w:rtl w:val="0"/>
        </w:rPr>
      </w:r>
    </w:p>
    <w:p w:rsidR="00000000" w:rsidDel="00000000" w:rsidP="00000000" w:rsidRDefault="00000000" w:rsidRPr="00000000" w14:paraId="0000002C">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D">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falta de respuesta a una solicitud de acceso a la información;</w:t>
      </w:r>
    </w:p>
    <w:p w:rsidR="00000000" w:rsidDel="00000000" w:rsidP="00000000" w:rsidRDefault="00000000" w:rsidRPr="00000000" w14:paraId="0000002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F">
      <w:pPr>
        <w:ind w:left="851"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precepto legal citado, establece como supuesto de procedencia del recurso de revisión, en aquellos casos en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estime negado el acceso a la información por la falta de respuesta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 este asunto se actualiza la hipótesis jurídica citada, en atención a que 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combate falta de trámite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y expresa motivos de inconformidad en contra de ella.</w:t>
      </w:r>
    </w:p>
    <w:p w:rsidR="00000000" w:rsidDel="00000000" w:rsidP="00000000" w:rsidRDefault="00000000" w:rsidRPr="00000000" w14:paraId="0000003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precepto legal citado, establece como supuesto de procedencia del recurso de revisión, en aquellos casos en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estime negado el acceso a la información por la falta de respuesta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luego, en este asunto se actualiza la hipótesis jurídica citada, en atención a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combate falta de trámite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y expresa motivos de inconformidad en contra de ella.</w:t>
      </w:r>
    </w:p>
    <w:p w:rsidR="00000000" w:rsidDel="00000000" w:rsidP="00000000" w:rsidRDefault="00000000" w:rsidRPr="00000000" w14:paraId="00000032">
      <w:pPr>
        <w:tabs>
          <w:tab w:val="left" w:pos="8647"/>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Este Órgano Garante procede del análisis de los agravios hechos valer por 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 fin de determinar si se violenta en perjuicio de éste, el derecho de acceso a la información previsto en la Constitución Política de los Estados Unidos Mexicanos y en la Constitución Política del Estado Libre y Soberano de México. </w:t>
      </w:r>
      <w:r w:rsidDel="00000000" w:rsidR="00000000" w:rsidRPr="00000000">
        <w:rPr>
          <w:rtl w:val="0"/>
        </w:rPr>
      </w:r>
    </w:p>
    <w:p w:rsidR="00000000" w:rsidDel="00000000" w:rsidP="00000000" w:rsidRDefault="00000000" w:rsidRPr="00000000" w14:paraId="0000003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Una vez determinada la vía sobre la que versará el presente recurso, y previa revisión del expediente del recurso de revisión materia de la presente resolución, se advierte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dio respuesta a la solicitud de información planteada por el</w:t>
      </w:r>
      <w:r w:rsidDel="00000000" w:rsidR="00000000" w:rsidRPr="00000000">
        <w:rPr>
          <w:rFonts w:ascii="Palatino Linotype" w:cs="Palatino Linotype" w:eastAsia="Palatino Linotype" w:hAnsi="Palatino Linotype"/>
          <w:b w:val="1"/>
          <w:rtl w:val="0"/>
        </w:rPr>
        <w:t xml:space="preserve"> RECURRENTE,</w:t>
      </w:r>
      <w:r w:rsidDel="00000000" w:rsidR="00000000" w:rsidRPr="00000000">
        <w:rPr>
          <w:rFonts w:ascii="Palatino Linotype" w:cs="Palatino Linotype" w:eastAsia="Palatino Linotype" w:hAnsi="Palatino Linotype"/>
          <w:rtl w:val="0"/>
        </w:rPr>
        <w:t xml:space="preserve"> lo que se traduce como la configuración de la </w:t>
      </w:r>
      <w:r w:rsidDel="00000000" w:rsidR="00000000" w:rsidRPr="00000000">
        <w:rPr>
          <w:rFonts w:ascii="Palatino Linotype" w:cs="Palatino Linotype" w:eastAsia="Palatino Linotype" w:hAnsi="Palatino Linotype"/>
          <w:b w:val="1"/>
          <w:rtl w:val="0"/>
        </w:rPr>
        <w:t xml:space="preserve">NEGATIVA FICTA</w:t>
      </w:r>
      <w:r w:rsidDel="00000000" w:rsidR="00000000" w:rsidRPr="00000000">
        <w:rPr>
          <w:rFonts w:ascii="Palatino Linotype" w:cs="Palatino Linotype" w:eastAsia="Palatino Linotype" w:hAnsi="Palatino Linotype"/>
          <w:rtl w:val="0"/>
        </w:rPr>
        <w:t xml:space="preserve">, situación que demuestra la existencia del acto impugnado y procedencia del motivo de inconformidad, que en términos generales consistente en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emitió respuesta a la solicitud </w:t>
      </w:r>
      <w:r w:rsidDel="00000000" w:rsidR="00000000" w:rsidRPr="00000000">
        <w:rPr>
          <w:rFonts w:ascii="Palatino Linotype" w:cs="Palatino Linotype" w:eastAsia="Palatino Linotype" w:hAnsi="Palatino Linotype"/>
          <w:b w:val="1"/>
          <w:rtl w:val="0"/>
        </w:rPr>
        <w:t xml:space="preserve">00076/TONANI/IP/2021,</w:t>
      </w:r>
      <w:r w:rsidDel="00000000" w:rsidR="00000000" w:rsidRPr="00000000">
        <w:rPr>
          <w:rFonts w:ascii="Palatino Linotype" w:cs="Palatino Linotype" w:eastAsia="Palatino Linotype" w:hAnsi="Palatino Linotype"/>
          <w:rtl w:val="0"/>
        </w:rPr>
        <w:t xml:space="preserve"> dentro del plazo legal previsto para ello.</w:t>
      </w:r>
    </w:p>
    <w:p w:rsidR="00000000" w:rsidDel="00000000" w:rsidP="00000000" w:rsidRDefault="00000000" w:rsidRPr="00000000" w14:paraId="00000034">
      <w:pPr>
        <w:tabs>
          <w:tab w:val="left" w:pos="709"/>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00000" w:rsidDel="00000000" w:rsidP="00000000" w:rsidRDefault="00000000" w:rsidRPr="00000000" w14:paraId="00000035">
      <w:pPr>
        <w:tabs>
          <w:tab w:val="left" w:pos="709"/>
        </w:tabs>
        <w:ind w:left="851" w:right="85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6">
      <w:pPr>
        <w:tabs>
          <w:tab w:val="left" w:pos="709"/>
        </w:tabs>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“Artículo 1o. En los Estados Unidos Mexicanos todas las personas gozarán de los derechos humanos reconocidos en esta Constitución y en los tratados internacionales de los que el Estado Mexicano sea parte</w:t>
      </w:r>
      <w:r w:rsidDel="00000000" w:rsidR="00000000" w:rsidRPr="00000000">
        <w:rPr>
          <w:rFonts w:ascii="Palatino Linotype" w:cs="Palatino Linotype" w:eastAsia="Palatino Linotype" w:hAnsi="Palatino Linotype"/>
          <w:i w:val="1"/>
          <w:sz w:val="22"/>
          <w:szCs w:val="22"/>
          <w:rtl w:val="0"/>
        </w:rPr>
        <w:t xml:space="preserve">, así como de las garantías para su protección, cuyo ejercicio no podrá restringirse ni suspenderse, salvo en los casos y bajo las condiciones que esta Constitución establece.</w:t>
      </w:r>
    </w:p>
    <w:p w:rsidR="00000000" w:rsidDel="00000000" w:rsidP="00000000" w:rsidRDefault="00000000" w:rsidRPr="00000000" w14:paraId="00000037">
      <w:pPr>
        <w:tabs>
          <w:tab w:val="left" w:pos="709"/>
        </w:tabs>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Las normas relativas a los derechos humanos se interpretarán de conformidad con esta Constitución y con los tratados internacionales de la materia favoreciendo en todo tiempo a las personas la protección más amplia.</w:t>
      </w:r>
    </w:p>
    <w:p w:rsidR="00000000" w:rsidDel="00000000" w:rsidP="00000000" w:rsidRDefault="00000000" w:rsidRPr="00000000" w14:paraId="00000038">
      <w:pPr>
        <w:tabs>
          <w:tab w:val="left" w:pos="709"/>
        </w:tabs>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Palatino Linotype" w:cs="Palatino Linotype" w:eastAsia="Palatino Linotype" w:hAnsi="Palatino Linotype"/>
          <w:i w:val="1"/>
          <w:sz w:val="22"/>
          <w:szCs w:val="22"/>
          <w:rtl w:val="0"/>
        </w:rPr>
        <w:t xml:space="preserve"> En consecuencia, el Estado deberá prevenir, investigar, sancionar y reparar las violaciones a los derechos humanos, en los términos que establezca la ley</w:t>
      </w:r>
    </w:p>
    <w:p w:rsidR="00000000" w:rsidDel="00000000" w:rsidP="00000000" w:rsidRDefault="00000000" w:rsidRPr="00000000" w14:paraId="00000039">
      <w:pPr>
        <w:tabs>
          <w:tab w:val="left" w:pos="709"/>
        </w:tabs>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A">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6o.</w:t>
      </w:r>
      <w:r w:rsidDel="00000000" w:rsidR="00000000" w:rsidRPr="00000000">
        <w:rPr>
          <w:rtl w:val="0"/>
        </w:rPr>
      </w:r>
    </w:p>
    <w:p w:rsidR="00000000" w:rsidDel="00000000" w:rsidP="00000000" w:rsidRDefault="00000000" w:rsidRPr="00000000" w14:paraId="0000003B">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C">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 Para el ejercicio del derecho de acceso a la información, la Federación y </w:t>
      </w:r>
      <w:r w:rsidDel="00000000" w:rsidR="00000000" w:rsidRPr="00000000">
        <w:rPr>
          <w:rFonts w:ascii="Palatino Linotype" w:cs="Palatino Linotype" w:eastAsia="Palatino Linotype" w:hAnsi="Palatino Linotype"/>
          <w:b w:val="1"/>
          <w:i w:val="1"/>
          <w:sz w:val="22"/>
          <w:szCs w:val="22"/>
          <w:u w:val="single"/>
          <w:rtl w:val="0"/>
        </w:rPr>
        <w:t xml:space="preserve">las entidades federativas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en el ámbito de sus respectivas competencias, se regirán por los siguientes principios y bases:</w:t>
      </w:r>
    </w:p>
    <w:p w:rsidR="00000000" w:rsidDel="00000000" w:rsidP="00000000" w:rsidRDefault="00000000" w:rsidRPr="00000000" w14:paraId="0000003D">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3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b w:val="1"/>
          <w:i w:val="1"/>
          <w:sz w:val="22"/>
          <w:szCs w:val="22"/>
          <w:u w:val="single"/>
          <w:rtl w:val="0"/>
        </w:rPr>
        <w:t xml:space="preserve">Toda la información en posesión de cualquier autoridad, entidad, órgano y organismo de los Poderes</w:t>
      </w:r>
      <w:r w:rsidDel="00000000" w:rsidR="00000000" w:rsidRPr="00000000">
        <w:rPr>
          <w:rFonts w:ascii="Palatino Linotype" w:cs="Palatino Linotype" w:eastAsia="Palatino Linotype" w:hAnsi="Palatino Linotype"/>
          <w:i w:val="1"/>
          <w:sz w:val="22"/>
          <w:szCs w:val="22"/>
          <w:rtl w:val="0"/>
        </w:rPr>
        <w:t xml:space="preserve"> Ejecutivo, Legislativo </w:t>
      </w:r>
      <w:r w:rsidDel="00000000" w:rsidR="00000000" w:rsidRPr="00000000">
        <w:rPr>
          <w:rFonts w:ascii="Palatino Linotype" w:cs="Palatino Linotype" w:eastAsia="Palatino Linotype" w:hAnsi="Palatino Linotype"/>
          <w:b w:val="1"/>
          <w:i w:val="1"/>
          <w:sz w:val="22"/>
          <w:szCs w:val="22"/>
          <w:u w:val="single"/>
          <w:rtl w:val="0"/>
        </w:rPr>
        <w:t xml:space="preserve">y Judicial</w:t>
      </w:r>
      <w:r w:rsidDel="00000000" w:rsidR="00000000" w:rsidRPr="00000000">
        <w:rPr>
          <w:rFonts w:ascii="Palatino Linotype" w:cs="Palatino Linotype" w:eastAsia="Palatino Linotype" w:hAnsi="Palatino Linotype"/>
          <w:i w:val="1"/>
          <w:sz w:val="22"/>
          <w:szCs w:val="22"/>
          <w:rtl w:val="0"/>
        </w:rPr>
        <w:t xml:space="preserve">, órganos autónomos, partidos políticos, fideicomisos y fondos públicos, así como de cualquier persona física, moral o sindicato que reciba y ejerza recursos públicos o realice actos de autoridad en el ámbito federal, estatal y municipal, </w:t>
      </w:r>
      <w:r w:rsidDel="00000000" w:rsidR="00000000" w:rsidRPr="00000000">
        <w:rPr>
          <w:rFonts w:ascii="Palatino Linotype" w:cs="Palatino Linotype" w:eastAsia="Palatino Linotype" w:hAnsi="Palatino Linotype"/>
          <w:b w:val="1"/>
          <w:i w:val="1"/>
          <w:sz w:val="22"/>
          <w:szCs w:val="22"/>
          <w:rtl w:val="0"/>
        </w:rPr>
        <w:t xml:space="preserve">es pública y sólo podrá ser reservada temporalmente por razones de interés público y seguridad nacional,</w:t>
      </w:r>
      <w:r w:rsidDel="00000000" w:rsidR="00000000" w:rsidRPr="00000000">
        <w:rPr>
          <w:rFonts w:ascii="Palatino Linotype" w:cs="Palatino Linotype" w:eastAsia="Palatino Linotype" w:hAnsi="Palatino Linotype"/>
          <w:i w:val="1"/>
          <w:sz w:val="22"/>
          <w:szCs w:val="22"/>
          <w:rtl w:val="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000" w:rsidDel="00000000" w:rsidP="00000000" w:rsidRDefault="00000000" w:rsidRPr="00000000" w14:paraId="0000003F">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0">
      <w:pPr>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La información que se refiere a la vida privada y los datos personales será protegida en los términos y con las excepciones que fijen las leyes.</w:t>
      </w:r>
    </w:p>
    <w:p w:rsidR="00000000" w:rsidDel="00000000" w:rsidP="00000000" w:rsidRDefault="00000000" w:rsidRPr="00000000" w14:paraId="00000041">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2">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b w:val="1"/>
          <w:i w:val="1"/>
          <w:sz w:val="22"/>
          <w:szCs w:val="22"/>
          <w:u w:val="single"/>
          <w:rtl w:val="0"/>
        </w:rPr>
        <w:t xml:space="preserve">Toda persona, sin necesidad de acreditar interés alguno o justificar su utilización, tendrá acceso gratuito a la información pública,</w:t>
      </w:r>
      <w:r w:rsidDel="00000000" w:rsidR="00000000" w:rsidRPr="00000000">
        <w:rPr>
          <w:rFonts w:ascii="Palatino Linotype" w:cs="Palatino Linotype" w:eastAsia="Palatino Linotype" w:hAnsi="Palatino Linotype"/>
          <w:i w:val="1"/>
          <w:sz w:val="22"/>
          <w:szCs w:val="22"/>
          <w:rtl w:val="0"/>
        </w:rPr>
        <w:t xml:space="preserve"> a sus datos personales o a la rectificación de éstos.</w:t>
      </w:r>
    </w:p>
    <w:p w:rsidR="00000000" w:rsidDel="00000000" w:rsidP="00000000" w:rsidRDefault="00000000" w:rsidRPr="00000000" w14:paraId="00000043">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4">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w:t>
      </w:r>
      <w:r w:rsidDel="00000000" w:rsidR="00000000" w:rsidRPr="00000000">
        <w:rPr>
          <w:rFonts w:ascii="Palatino Linotype" w:cs="Palatino Linotype" w:eastAsia="Palatino Linotype" w:hAnsi="Palatino Linotype"/>
          <w:i w:val="1"/>
          <w:sz w:val="22"/>
          <w:szCs w:val="22"/>
          <w:rtl w:val="0"/>
        </w:rPr>
        <w:t xml:space="preserve">Se establecerán mecanismos de acceso a la información y procedimientos de revisión expeditos que se sustanciarán ante los organismos autónomos especializados e imparciales que establece esta Constitución.</w:t>
      </w:r>
    </w:p>
    <w:p w:rsidR="00000000" w:rsidDel="00000000" w:rsidP="00000000" w:rsidRDefault="00000000" w:rsidRPr="00000000" w14:paraId="00000045">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6">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w:t>
      </w:r>
      <w:r w:rsidDel="00000000" w:rsidR="00000000" w:rsidRPr="00000000">
        <w:rPr>
          <w:rFonts w:ascii="Palatino Linotype" w:cs="Palatino Linotype" w:eastAsia="Palatino Linotype" w:hAnsi="Palatino Linotype"/>
          <w:i w:val="1"/>
          <w:sz w:val="22"/>
          <w:szCs w:val="22"/>
          <w:rtl w:val="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000" w:rsidDel="00000000" w:rsidP="00000000" w:rsidRDefault="00000000" w:rsidRPr="00000000" w14:paraId="00000047">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8">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 </w:t>
      </w:r>
      <w:r w:rsidDel="00000000" w:rsidR="00000000" w:rsidRPr="00000000">
        <w:rPr>
          <w:rFonts w:ascii="Palatino Linotype" w:cs="Palatino Linotype" w:eastAsia="Palatino Linotype" w:hAnsi="Palatino Linotype"/>
          <w:i w:val="1"/>
          <w:sz w:val="22"/>
          <w:szCs w:val="22"/>
          <w:rtl w:val="0"/>
        </w:rPr>
        <w:t xml:space="preserve">Las leyes determinarán la manera en que los sujetos obligados deberán hacer pública la información relativa a los recursos públicos que entreguen a personas físicas o morales.</w:t>
      </w:r>
    </w:p>
    <w:p w:rsidR="00000000" w:rsidDel="00000000" w:rsidP="00000000" w:rsidRDefault="00000000" w:rsidRPr="00000000" w14:paraId="00000049">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A">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inobservancia a las disposiciones en materia de acceso a la información pública será sancionada en los términos que dispongan las leyes. [Sic]</w:t>
      </w:r>
    </w:p>
    <w:p w:rsidR="00000000" w:rsidDel="00000000" w:rsidP="00000000" w:rsidRDefault="00000000" w:rsidRPr="00000000" w14:paraId="0000004B">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C">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00000" w:rsidDel="00000000" w:rsidP="00000000" w:rsidRDefault="00000000" w:rsidRPr="00000000" w14:paraId="0000004D">
      <w:pPr>
        <w:spacing w:after="280" w:before="280" w:line="360" w:lineRule="auto"/>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rtl w:val="0"/>
        </w:rPr>
        <w:t xml:space="preserve">En ese orden de ideas, la Ley de Transparencia y Acceso a la Información Pública del Estado de México y Municipios, prevé en su artículo 23, lo siguiente:</w:t>
      </w:r>
      <w:r w:rsidDel="00000000" w:rsidR="00000000" w:rsidRPr="00000000">
        <w:rPr>
          <w:rtl w:val="0"/>
        </w:rPr>
      </w:r>
    </w:p>
    <w:p w:rsidR="00000000" w:rsidDel="00000000" w:rsidP="00000000" w:rsidRDefault="00000000" w:rsidRPr="00000000" w14:paraId="0000004E">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23.</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Son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sujetos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obligados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transparentar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permitir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acceso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información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proteger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datos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personales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que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obren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poder</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F">
      <w:pPr>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Ejecutivo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Estado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México,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dependencias,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auxiliares,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fideicomisos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fondos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así</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Procuraduría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General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Justicia;</w:t>
      </w:r>
      <w:r w:rsidDel="00000000" w:rsidR="00000000" w:rsidRPr="00000000">
        <w:rPr>
          <w:rtl w:val="0"/>
        </w:rPr>
      </w:r>
    </w:p>
    <w:p w:rsidR="00000000" w:rsidDel="00000000" w:rsidP="00000000" w:rsidRDefault="00000000" w:rsidRPr="00000000" w14:paraId="00000050">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Legislativo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Estado,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Legislatura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sus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dependencias;</w:t>
      </w:r>
    </w:p>
    <w:p w:rsidR="00000000" w:rsidDel="00000000" w:rsidP="00000000" w:rsidRDefault="00000000" w:rsidRPr="00000000" w14:paraId="00000051">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Judicial,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sus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así</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Consejo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Judicatura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Estado;</w:t>
      </w:r>
    </w:p>
    <w:p w:rsidR="00000000" w:rsidDel="00000000" w:rsidP="00000000" w:rsidRDefault="00000000" w:rsidRPr="00000000" w14:paraId="00000052">
      <w:pPr>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ayuntamientos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dependencias,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organismos,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órganos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entidades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administración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municipal;</w:t>
      </w:r>
    </w:p>
    <w:p w:rsidR="00000000" w:rsidDel="00000000" w:rsidP="00000000" w:rsidRDefault="00000000" w:rsidRPr="00000000" w14:paraId="00000053">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autónomos;</w:t>
      </w:r>
    </w:p>
    <w:p w:rsidR="00000000" w:rsidDel="00000000" w:rsidP="00000000" w:rsidRDefault="00000000" w:rsidRPr="00000000" w14:paraId="00000054">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tribunales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administrativos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autoridades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jurisdiccionales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materia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laboral;</w:t>
      </w:r>
    </w:p>
    <w:p w:rsidR="00000000" w:rsidDel="00000000" w:rsidP="00000000" w:rsidRDefault="00000000" w:rsidRPr="00000000" w14:paraId="00000055">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partidos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políticos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agrupaciones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políticas,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términos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disposiciones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aplicables;</w:t>
      </w:r>
    </w:p>
    <w:p w:rsidR="00000000" w:rsidDel="00000000" w:rsidP="00000000" w:rsidRDefault="00000000" w:rsidRPr="00000000" w14:paraId="00000056">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fideicomisos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fondos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cuenten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financiamiento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parcial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total,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participación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gobierno;</w:t>
      </w:r>
    </w:p>
    <w:p w:rsidR="00000000" w:rsidDel="00000000" w:rsidP="00000000" w:rsidRDefault="00000000" w:rsidRPr="00000000" w14:paraId="00000057">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IX.</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sindicatos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reciban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ejerzan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ámbito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municipal;</w:t>
      </w:r>
    </w:p>
    <w:p w:rsidR="00000000" w:rsidDel="00000000" w:rsidP="00000000" w:rsidRDefault="00000000" w:rsidRPr="00000000" w14:paraId="00000058">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Cualquier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persona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física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jurídico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colectiva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reciba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ejerza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ámbito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municipal;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p>
    <w:p w:rsidR="00000000" w:rsidDel="00000000" w:rsidP="00000000" w:rsidRDefault="00000000" w:rsidRPr="00000000" w14:paraId="00000059">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Cualquier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otra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autoridad,</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u</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municipal,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reciba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p>
    <w:p w:rsidR="00000000" w:rsidDel="00000000" w:rsidP="00000000" w:rsidRDefault="00000000" w:rsidRPr="00000000" w14:paraId="0000005A">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sujetos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obligados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deberán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hacer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toda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aquella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información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relativa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montos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personas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quienes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entreguen,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cualquier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motivo,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así</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informes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dichas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personas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entreguen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sobre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uso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destino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dichos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p>
    <w:p w:rsidR="00000000" w:rsidDel="00000000" w:rsidP="00000000" w:rsidRDefault="00000000" w:rsidRPr="00000000" w14:paraId="0000005B">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servidores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públicos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deberán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transparentar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acciones,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así</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como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garantizar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respetar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derecho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acceso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información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pública</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(Sic)</w:t>
      </w:r>
    </w:p>
    <w:p w:rsidR="00000000" w:rsidDel="00000000" w:rsidP="00000000" w:rsidRDefault="00000000" w:rsidRPr="00000000" w14:paraId="0000005C">
      <w:pPr>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D">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00000" w:rsidDel="00000000" w:rsidP="00000000" w:rsidRDefault="00000000" w:rsidRPr="00000000" w14:paraId="0000005E">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00000" w:rsidDel="00000000" w:rsidP="00000000" w:rsidRDefault="00000000" w:rsidRPr="00000000" w14:paraId="0000005F">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00000" w:rsidDel="00000000" w:rsidP="00000000" w:rsidRDefault="00000000" w:rsidRPr="00000000" w14:paraId="00000060">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00000" w:rsidDel="00000000" w:rsidP="00000000" w:rsidRDefault="00000000" w:rsidRPr="00000000" w14:paraId="00000061">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00000" w:rsidDel="00000000" w:rsidP="00000000" w:rsidRDefault="00000000" w:rsidRPr="00000000" w14:paraId="00000062">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00000" w:rsidDel="00000000" w:rsidP="00000000" w:rsidRDefault="00000000" w:rsidRPr="00000000" w14:paraId="00000063">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00000" w:rsidDel="00000000" w:rsidP="00000000" w:rsidRDefault="00000000" w:rsidRPr="00000000" w14:paraId="00000064">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 La Unidad de Transparencia deberá notificar la respuesta a la solicitud al interesado en el menor tiempo posible, que no podrá exceder de quince días hábiles</w:t>
      </w:r>
      <w:r w:rsidDel="00000000" w:rsidR="00000000" w:rsidRPr="00000000">
        <w:rPr>
          <w:rFonts w:ascii="Palatino Linotype" w:cs="Palatino Linotype" w:eastAsia="Palatino Linotype" w:hAnsi="Palatino Linotype"/>
          <w:i w:val="1"/>
          <w:sz w:val="22"/>
          <w:szCs w:val="22"/>
          <w:rtl w:val="0"/>
        </w:rPr>
        <w:t xml:space="preserve">, contados a partir del día siguiente a la presentación de aquélla. </w:t>
      </w:r>
    </w:p>
    <w:p w:rsidR="00000000" w:rsidDel="00000000" w:rsidP="00000000" w:rsidRDefault="00000000" w:rsidRPr="00000000" w14:paraId="00000065">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000000" w:rsidDel="00000000" w:rsidP="00000000" w:rsidRDefault="00000000" w:rsidRPr="00000000" w14:paraId="00000066">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lo expuesto, es claro que en este caso en particular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incumplió la normatividad en la materia, puesto que no dio trámite ni respuesta a la solicitud de acceso a la información, limitando el derecho de acceso a la información, accionado por el particular.</w:t>
      </w:r>
    </w:p>
    <w:p w:rsidR="00000000" w:rsidDel="00000000" w:rsidP="00000000" w:rsidRDefault="00000000" w:rsidRPr="00000000" w14:paraId="00000067">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dé tramité y respuesta a la solicitud del particular.</w:t>
      </w:r>
    </w:p>
    <w:p w:rsidR="00000000" w:rsidDel="00000000" w:rsidP="00000000" w:rsidRDefault="00000000" w:rsidRPr="00000000" w14:paraId="00000068">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por lo que, en caso de no atender de manera positiva</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el requerimiento de información deberá manifestarse al respecto.</w:t>
      </w:r>
    </w:p>
    <w:p w:rsidR="00000000" w:rsidDel="00000000" w:rsidP="00000000" w:rsidRDefault="00000000" w:rsidRPr="00000000" w14:paraId="00000069">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en atención al sentido en que se resuelve el presente medio de impugnación, este Instituto no omite señalar que, si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000000" w:rsidDel="00000000" w:rsidP="00000000" w:rsidRDefault="00000000" w:rsidRPr="00000000" w14:paraId="0000006A">
      <w:pPr>
        <w:spacing w:after="280" w:before="28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es de precisar que la clasificación de la información no se da por el simple mandato de la Ley, sino que es necesario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000000" w:rsidDel="00000000" w:rsidP="00000000" w:rsidRDefault="00000000" w:rsidRPr="00000000" w14:paraId="0000006B">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00000" w:rsidDel="00000000" w:rsidP="00000000" w:rsidRDefault="00000000" w:rsidRPr="00000000" w14:paraId="0000006C">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00000" w:rsidDel="00000000" w:rsidP="00000000" w:rsidRDefault="00000000" w:rsidRPr="00000000" w14:paraId="0000006D">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este Órgano Garante no omite mencionar que, si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000000" w:rsidDel="00000000" w:rsidP="00000000" w:rsidRDefault="00000000" w:rsidRPr="00000000" w14:paraId="0000006E">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sin perder de vista que la Constitución Política de los Estados Unidos Mexicanos le otorga a </w:t>
      </w:r>
      <w:r w:rsidDel="00000000" w:rsidR="00000000" w:rsidRPr="00000000">
        <w:rPr>
          <w:rFonts w:ascii="Palatino Linotype" w:cs="Palatino Linotype" w:eastAsia="Palatino Linotype" w:hAnsi="Palatino Linotype"/>
          <w:b w:val="1"/>
          <w:rtl w:val="0"/>
        </w:rPr>
        <w:t xml:space="preserve">todos los documentos</w:t>
      </w:r>
      <w:r w:rsidDel="00000000" w:rsidR="00000000" w:rsidRPr="00000000">
        <w:rPr>
          <w:rFonts w:ascii="Palatino Linotype" w:cs="Palatino Linotype" w:eastAsia="Palatino Linotype" w:hAnsi="Palatino Linotype"/>
          <w:rtl w:val="0"/>
        </w:rPr>
        <w:t xml:space="preserve"> en posesión de las autoridades </w:t>
      </w:r>
      <w:r w:rsidDel="00000000" w:rsidR="00000000" w:rsidRPr="00000000">
        <w:rPr>
          <w:rFonts w:ascii="Palatino Linotype" w:cs="Palatino Linotype" w:eastAsia="Palatino Linotype" w:hAnsi="Palatino Linotype"/>
          <w:b w:val="1"/>
          <w:rtl w:val="0"/>
        </w:rPr>
        <w:t xml:space="preserve">la calidad de públicos</w:t>
      </w:r>
      <w:r w:rsidDel="00000000" w:rsidR="00000000" w:rsidRPr="00000000">
        <w:rPr>
          <w:rFonts w:ascii="Palatino Linotype" w:cs="Palatino Linotype" w:eastAsia="Palatino Linotype" w:hAnsi="Palatino Linotype"/>
          <w:rtl w:val="0"/>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00000" w:rsidDel="00000000" w:rsidP="00000000" w:rsidRDefault="00000000" w:rsidRPr="00000000" w14:paraId="0000006F">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pertinente aclarar que, la información que se clasifica bajo la premisa de reservada, </w:t>
      </w:r>
      <w:r w:rsidDel="00000000" w:rsidR="00000000" w:rsidRPr="00000000">
        <w:rPr>
          <w:rFonts w:ascii="Palatino Linotype" w:cs="Palatino Linotype" w:eastAsia="Palatino Linotype" w:hAnsi="Palatino Linotype"/>
          <w:b w:val="1"/>
          <w:rtl w:val="0"/>
        </w:rPr>
        <w:t xml:space="preserve">no pierde el carácter de pública</w:t>
      </w:r>
      <w:r w:rsidDel="00000000" w:rsidR="00000000" w:rsidRPr="00000000">
        <w:rPr>
          <w:rFonts w:ascii="Palatino Linotype" w:cs="Palatino Linotype" w:eastAsia="Palatino Linotype" w:hAnsi="Palatino Linotype"/>
          <w:rtl w:val="0"/>
        </w:rPr>
        <w:t xml:space="preserve">, sino que </w:t>
      </w:r>
      <w:r w:rsidDel="00000000" w:rsidR="00000000" w:rsidRPr="00000000">
        <w:rPr>
          <w:rFonts w:ascii="Palatino Linotype" w:cs="Palatino Linotype" w:eastAsia="Palatino Linotype" w:hAnsi="Palatino Linotype"/>
          <w:b w:val="1"/>
          <w:rtl w:val="0"/>
        </w:rPr>
        <w:t xml:space="preserve">se reserva temporalmente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del conocimiento público</w:t>
      </w:r>
      <w:r w:rsidDel="00000000" w:rsidR="00000000" w:rsidRPr="00000000">
        <w:rPr>
          <w:rFonts w:ascii="Palatino Linotype" w:cs="Palatino Linotype" w:eastAsia="Palatino Linotype" w:hAnsi="Palatino Linotype"/>
          <w:rtl w:val="0"/>
        </w:rPr>
        <w:t xml:space="preserve">, es decir, que, </w:t>
      </w:r>
      <w:r w:rsidDel="00000000" w:rsidR="00000000" w:rsidRPr="00000000">
        <w:rPr>
          <w:rFonts w:ascii="Palatino Linotype" w:cs="Palatino Linotype" w:eastAsia="Palatino Linotype" w:hAnsi="Palatino Linotype"/>
          <w:b w:val="1"/>
          <w:rtl w:val="0"/>
        </w:rPr>
        <w:t xml:space="preserve">por un tiempo determinado</w:t>
      </w:r>
      <w:r w:rsidDel="00000000" w:rsidR="00000000" w:rsidRPr="00000000">
        <w:rPr>
          <w:rFonts w:ascii="Palatino Linotype" w:cs="Palatino Linotype" w:eastAsia="Palatino Linotype" w:hAnsi="Palatino Linotype"/>
          <w:rtl w:val="0"/>
        </w:rPr>
        <w:t xml:space="preserve">, se conservará y custodiará la información de manera especial, y una vez transcurrido el plazo de reserva, el documento podrá divulgarse.</w:t>
      </w:r>
    </w:p>
    <w:p w:rsidR="00000000" w:rsidDel="00000000" w:rsidP="00000000" w:rsidRDefault="00000000" w:rsidRPr="00000000" w14:paraId="00000070">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000000" w:rsidDel="00000000" w:rsidP="00000000" w:rsidRDefault="00000000" w:rsidRPr="00000000" w14:paraId="00000071">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INFORMACIÓN RESERVADA. APLICACIÓN DE LA "PRUEBA DE DAÑO E INTERÉS PÚBLICO" PARA DETERMINAR LO ADECUADO DE LA APORTADA CON ESA CLASIFICACIÓN EN EL JUICIO DE AMPARO POR LA AUTORIDAD RESPONSABLE, A EFECTO DE HACER VIABLE LA DEFENSA EFECTIVA DEL QUEJOSO.</w:t>
      </w:r>
      <w:r w:rsidDel="00000000" w:rsidR="00000000" w:rsidRPr="00000000">
        <w:rPr>
          <w:rFonts w:ascii="Palatino Linotype" w:cs="Palatino Linotype" w:eastAsia="Palatino Linotype" w:hAnsi="Palatino Linotype"/>
          <w:i w:val="1"/>
          <w:sz w:val="22"/>
          <w:szCs w:val="22"/>
          <w:rtl w:val="0"/>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000000" w:rsidDel="00000000" w:rsidP="00000000" w:rsidRDefault="00000000" w:rsidRPr="00000000" w14:paraId="00000072">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todo lo anterior, la reserva de la información implica una clasificación, la cual debe entenderse como el proceso mediante el cual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determina que la información en su poder, actualiza alguno de los supuestos conforme a las normas aplicables.</w:t>
      </w:r>
    </w:p>
    <w:p w:rsidR="00000000" w:rsidDel="00000000" w:rsidP="00000000" w:rsidRDefault="00000000" w:rsidRPr="00000000" w14:paraId="00000073">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concluir que el caso particular se ajusta al supuesto previsto por la norma legal invocada como fundamento; siendo que, además,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 en todo momento, aplicar una prueba de daño.</w:t>
      </w:r>
    </w:p>
    <w:p w:rsidR="00000000" w:rsidDel="00000000" w:rsidP="00000000" w:rsidRDefault="00000000" w:rsidRPr="00000000" w14:paraId="00000074">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000000" w:rsidDel="00000000" w:rsidP="00000000" w:rsidRDefault="00000000" w:rsidRPr="00000000" w14:paraId="00000075">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00000" w:rsidDel="00000000" w:rsidP="00000000" w:rsidRDefault="00000000" w:rsidRPr="00000000" w14:paraId="00000076">
      <w:pPr>
        <w:numPr>
          <w:ilvl w:val="0"/>
          <w:numId w:val="2"/>
        </w:numPr>
        <w:spacing w:after="0" w:before="280"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reciba una solicitud de acceso a la información;</w:t>
      </w:r>
    </w:p>
    <w:p w:rsidR="00000000" w:rsidDel="00000000" w:rsidP="00000000" w:rsidRDefault="00000000" w:rsidRPr="00000000" w14:paraId="00000077">
      <w:pPr>
        <w:numPr>
          <w:ilvl w:val="0"/>
          <w:numId w:val="2"/>
        </w:numPr>
        <w:spacing w:after="0" w:before="0"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determine mediante resolución de autoridad competente; y/o</w:t>
      </w:r>
    </w:p>
    <w:p w:rsidR="00000000" w:rsidDel="00000000" w:rsidP="00000000" w:rsidRDefault="00000000" w:rsidRPr="00000000" w14:paraId="00000078">
      <w:pPr>
        <w:numPr>
          <w:ilvl w:val="0"/>
          <w:numId w:val="2"/>
        </w:numPr>
        <w:spacing w:after="280" w:before="0"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generen versiones públicas para dar cumplimiento a las obligaciones de transparencia previstas en la Ley.</w:t>
      </w:r>
    </w:p>
    <w:p w:rsidR="00000000" w:rsidDel="00000000" w:rsidP="00000000" w:rsidRDefault="00000000" w:rsidRPr="00000000" w14:paraId="00000079">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Situación que se robustece con el artículo 141 de la misma Ley, que señala que las causales de reserva previstas, se deberán fundar y motivar, a través de la aplicación de la prueba de daño.</w:t>
      </w:r>
    </w:p>
    <w:p w:rsidR="00000000" w:rsidDel="00000000" w:rsidP="00000000" w:rsidRDefault="00000000" w:rsidRPr="00000000" w14:paraId="0000007A">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000000" w:rsidDel="00000000" w:rsidP="00000000" w:rsidRDefault="00000000" w:rsidRPr="00000000" w14:paraId="0000007B">
      <w:pPr>
        <w:numPr>
          <w:ilvl w:val="0"/>
          <w:numId w:val="3"/>
        </w:numPr>
        <w:spacing w:after="0" w:before="280"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divulgación de la información representa un </w:t>
      </w:r>
      <w:r w:rsidDel="00000000" w:rsidR="00000000" w:rsidRPr="00000000">
        <w:rPr>
          <w:rFonts w:ascii="Palatino Linotype" w:cs="Palatino Linotype" w:eastAsia="Palatino Linotype" w:hAnsi="Palatino Linotype"/>
          <w:b w:val="1"/>
          <w:rtl w:val="0"/>
        </w:rPr>
        <w:t xml:space="preserve">riesgo real, demostrable e identificable del perjuicio significativo al interés público o a la seguridad pública</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7C">
      <w:pPr>
        <w:numPr>
          <w:ilvl w:val="0"/>
          <w:numId w:val="3"/>
        </w:numPr>
        <w:spacing w:after="0" w:before="0"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riesgo de perjuicio que supondría la divulgación supera el interés público general de que se difunda; y,</w:t>
      </w:r>
    </w:p>
    <w:p w:rsidR="00000000" w:rsidDel="00000000" w:rsidP="00000000" w:rsidRDefault="00000000" w:rsidRPr="00000000" w14:paraId="0000007D">
      <w:pPr>
        <w:numPr>
          <w:ilvl w:val="0"/>
          <w:numId w:val="3"/>
        </w:numPr>
        <w:spacing w:after="280" w:before="0"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limitación se adecua al principio de proporcionalidad y representa el medio menos restrictivo disponible para evitar el perjuicio.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6"/>
          <w:tab w:val="left" w:pos="1701"/>
          <w:tab w:val="left" w:pos="1843"/>
        </w:tabs>
        <w:spacing w:after="280" w:before="28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000000" w:rsidDel="00000000" w:rsidP="00000000" w:rsidRDefault="00000000" w:rsidRPr="00000000" w14:paraId="0000007F">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este Órgano Garante de la Protección de Datos Personales no omite mencionar que, si dentro de la información que se ordena su entrega,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advierte documentos que por su propia y especial naturaleza son privados, deberá efectuar el Acuerdo de Clasificación como confidencial, en términos de la legislación aplicable y en los términos abordados con antelación.</w:t>
      </w:r>
    </w:p>
    <w:p w:rsidR="00000000" w:rsidDel="00000000" w:rsidP="00000000" w:rsidRDefault="00000000" w:rsidRPr="00000000" w14:paraId="00000080">
      <w:pPr>
        <w:spacing w:after="280" w:before="280" w:line="360" w:lineRule="auto"/>
        <w:jc w:val="both"/>
        <w:rPr/>
      </w:pPr>
      <w:r w:rsidDel="00000000" w:rsidR="00000000" w:rsidRPr="00000000">
        <w:rPr>
          <w:rFonts w:ascii="Palatino Linotype" w:cs="Palatino Linotype" w:eastAsia="Palatino Linotype" w:hAnsi="Palatino Linotype"/>
          <w:rtl w:val="0"/>
        </w:rPr>
        <w:t xml:space="preserve">Por lo tanto, es importante referir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deberá seguir el procedimiento legal establecido para su clasificación, esto es, que su Comité de Transparencia emita un Acuerdo de Clasificación que cumpla con las formalidades antes citadas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r w:rsidDel="00000000" w:rsidR="00000000" w:rsidRPr="00000000">
        <w:rPr>
          <w:rtl w:val="0"/>
        </w:rPr>
      </w:r>
    </w:p>
    <w:p w:rsidR="00000000" w:rsidDel="00000000" w:rsidP="00000000" w:rsidRDefault="00000000" w:rsidRPr="00000000" w14:paraId="00000081">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este Instituto estima prudente señalar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caso de que la información solicitada, debiera obrar en sus archivos y no cuente con ella, deberá entregar el Acuerdo del Comité de Transparencia, en donde conste la declaratoria de inexistencia de la misma.</w:t>
      </w:r>
    </w:p>
    <w:p w:rsidR="00000000" w:rsidDel="00000000" w:rsidP="00000000" w:rsidRDefault="00000000" w:rsidRPr="00000000" w14:paraId="00000082">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00000" w:rsidDel="00000000" w:rsidP="00000000" w:rsidRDefault="00000000" w:rsidRPr="00000000" w14:paraId="00000083">
      <w:pPr>
        <w:shd w:fill="ffffff" w:val="clea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00000" w:rsidDel="00000000" w:rsidP="00000000" w:rsidRDefault="00000000" w:rsidRPr="00000000" w14:paraId="00000084">
      <w:pPr>
        <w:shd w:fill="ffffff" w:val="clea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Resulta aplicable el criterio de interpretación en el orden administrativo número 0008-19 emitido por Acuerdo del Pleno del Instituto de Transparencia y Acceso a la Información Pública del Estado de México y Municipios, que a la letra dice:</w:t>
      </w:r>
    </w:p>
    <w:p w:rsidR="00000000" w:rsidDel="00000000" w:rsidP="00000000" w:rsidRDefault="00000000" w:rsidRPr="00000000" w14:paraId="00000085">
      <w:pPr>
        <w:shd w:fill="ffffff" w:val="clea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“INEXISTENCIA DE LA INFORMACIÓN. SUPUESTOS PARA EMITIR LA RESOLUCIÓN DE LA. </w:t>
      </w:r>
      <w:r w:rsidDel="00000000" w:rsidR="00000000" w:rsidRPr="00000000">
        <w:rPr>
          <w:rFonts w:ascii="Palatino Linotype" w:cs="Palatino Linotype" w:eastAsia="Palatino Linotype" w:hAnsi="Palatino Linotype"/>
          <w:i w:val="1"/>
          <w:sz w:val="22"/>
          <w:szCs w:val="22"/>
          <w:rtl w:val="0"/>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00000" w:rsidDel="00000000" w:rsidP="00000000" w:rsidRDefault="00000000" w:rsidRPr="00000000" w14:paraId="00000086">
      <w:pPr>
        <w:shd w:fill="ffffff" w:val="clea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Precedentes: </w:t>
      </w:r>
    </w:p>
    <w:p w:rsidR="00000000" w:rsidDel="00000000" w:rsidP="00000000" w:rsidRDefault="00000000" w:rsidRPr="00000000" w14:paraId="00000087">
      <w:pPr>
        <w:shd w:fill="ffffff" w:val="clea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000000" w:rsidDel="00000000" w:rsidP="00000000" w:rsidRDefault="00000000" w:rsidRPr="00000000" w14:paraId="00000088">
      <w:pPr>
        <w:shd w:fill="ffffff" w:val="clea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tab/>
        <w:t xml:space="preserve">En materia de acceso a la información pública. 05732/INFOEM/IP/RR/2019. Aprobado por unanimidad de votos. Ayuntamiento de Chicoloapan. Comisionada Ponente Eva Abaid Yapur. </w:t>
      </w:r>
    </w:p>
    <w:p w:rsidR="00000000" w:rsidDel="00000000" w:rsidP="00000000" w:rsidRDefault="00000000" w:rsidRPr="00000000" w14:paraId="00000089">
      <w:pPr>
        <w:shd w:fill="ffffff" w:val="clear"/>
        <w:ind w:left="851" w:right="902" w:firstLine="0"/>
        <w:jc w:val="both"/>
        <w:rPr>
          <w:rFonts w:ascii="Georgia" w:cs="Georgia" w:eastAsia="Georgia" w:hAnsi="Georgia"/>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tab/>
        <w:t xml:space="preserve">En materia de acceso a la información pública. 04749INFOEM/IP/RR/2019 y acumulados. Aprobado por unanimidad de votos, emitiendo voto particular la Comisionada Eva Abaid Yapur. Universidad Politécnica del Valle de Toluca. Comisionado Ponente Javier Martínez Cruz</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8A">
      <w:pPr>
        <w:shd w:fill="ffffff" w:val="clear"/>
        <w:ind w:right="902" w:firstLine="851"/>
        <w:jc w:val="both"/>
        <w:rPr>
          <w:rFonts w:ascii="Georgia" w:cs="Georgia" w:eastAsia="Georgia" w:hAnsi="Georgia"/>
          <w:sz w:val="22"/>
          <w:szCs w:val="22"/>
        </w:rPr>
      </w:pPr>
      <w:r w:rsidDel="00000000" w:rsidR="00000000" w:rsidRPr="00000000">
        <w:rPr>
          <w:rFonts w:ascii="Palatino Linotype" w:cs="Palatino Linotype" w:eastAsia="Palatino Linotype" w:hAnsi="Palatino Linotype"/>
          <w:sz w:val="22"/>
          <w:szCs w:val="22"/>
          <w:rtl w:val="0"/>
        </w:rPr>
        <w:t xml:space="preserve">(Énfasis añadido)</w:t>
      </w:r>
      <w:r w:rsidDel="00000000" w:rsidR="00000000" w:rsidRPr="00000000">
        <w:rPr>
          <w:rtl w:val="0"/>
        </w:rPr>
      </w:r>
    </w:p>
    <w:p w:rsidR="00000000" w:rsidDel="00000000" w:rsidP="00000000" w:rsidRDefault="00000000" w:rsidRPr="00000000" w14:paraId="0000008B">
      <w:pPr>
        <w:shd w:fill="ffffff" w:val="clear"/>
        <w:ind w:right="902" w:firstLine="851"/>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8C">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todo lo expuesto, ante lo </w:t>
      </w:r>
      <w:r w:rsidDel="00000000" w:rsidR="00000000" w:rsidRPr="00000000">
        <w:rPr>
          <w:rFonts w:ascii="Palatino Linotype" w:cs="Palatino Linotype" w:eastAsia="Palatino Linotype" w:hAnsi="Palatino Linotype"/>
          <w:b w:val="1"/>
          <w:rtl w:val="0"/>
        </w:rPr>
        <w:t xml:space="preserve">fundado</w:t>
      </w:r>
      <w:r w:rsidDel="00000000" w:rsidR="00000000" w:rsidRPr="00000000">
        <w:rPr>
          <w:rFonts w:ascii="Palatino Linotype" w:cs="Palatino Linotype" w:eastAsia="Palatino Linotype" w:hAnsi="Palatino Linotype"/>
          <w:rtl w:val="0"/>
        </w:rPr>
        <w:t xml:space="preserve"> de las razones o motivos de inconformidad hechos valer por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este Instituto estima que lo dable es </w:t>
      </w:r>
      <w:r w:rsidDel="00000000" w:rsidR="00000000" w:rsidRPr="00000000">
        <w:rPr>
          <w:rFonts w:ascii="Palatino Linotype" w:cs="Palatino Linotype" w:eastAsia="Palatino Linotype" w:hAnsi="Palatino Linotype"/>
          <w:b w:val="1"/>
          <w:rtl w:val="0"/>
        </w:rPr>
        <w:t xml:space="preserve">ORDENAR</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dé respuesta a la solicitud de acceso a la información, atendiendo lo señalado en el presente Considerando.</w:t>
      </w:r>
    </w:p>
    <w:p w:rsidR="00000000" w:rsidDel="00000000" w:rsidP="00000000" w:rsidRDefault="00000000" w:rsidRPr="00000000" w14:paraId="0000008D">
      <w:pPr>
        <w:spacing w:after="280" w:before="28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Antes de concluir, es de señalar que, como ya se mencionó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omitió proporcionar la respuesta a su solicitud de acceso a la información pública, en el término contemplado en el ya citado artículo 163 de la Ley de la materia, razón por la que </w:t>
      </w:r>
      <w:r w:rsidDel="00000000" w:rsidR="00000000" w:rsidRPr="00000000">
        <w:rPr>
          <w:rFonts w:ascii="Palatino Linotype" w:cs="Palatino Linotype" w:eastAsia="Palatino Linotype" w:hAnsi="Palatino Linotype"/>
          <w:b w:val="1"/>
          <w:rtl w:val="0"/>
        </w:rPr>
        <w:t xml:space="preserve">se ordena dar vista al Titular de la Contraloría Interna y Órgano de Control y Vigilancia de este Instituto</w:t>
      </w:r>
      <w:r w:rsidDel="00000000" w:rsidR="00000000" w:rsidRPr="00000000">
        <w:rPr>
          <w:rFonts w:ascii="Palatino Linotype" w:cs="Palatino Linotype" w:eastAsia="Palatino Linotype" w:hAnsi="Palatino Linotype"/>
          <w:rtl w:val="0"/>
        </w:rPr>
        <w:t xml:space="preserve">,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00000" w:rsidDel="00000000" w:rsidP="00000000" w:rsidRDefault="00000000" w:rsidRPr="00000000" w14:paraId="0000008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w:t>
      </w:r>
      <w:r w:rsidDel="00000000" w:rsidR="00000000" w:rsidRPr="00000000">
        <w:rPr>
          <w:rFonts w:ascii="Palatino Linotype" w:cs="Palatino Linotype" w:eastAsia="Palatino Linotype" w:hAnsi="Palatino Linotype"/>
          <w:highlight w:val="white"/>
          <w:rtl w:val="0"/>
        </w:rPr>
        <w:t xml:space="preserve">párrafos vigésimo noveno, trigésimo y trigésimo primero fracciones IV y V </w:t>
      </w:r>
      <w:r w:rsidDel="00000000" w:rsidR="00000000" w:rsidRPr="00000000">
        <w:rPr>
          <w:rFonts w:ascii="Palatino Linotype" w:cs="Palatino Linotype" w:eastAsia="Palatino Linotype" w:hAnsi="Palatino Linotype"/>
          <w:rtl w:val="0"/>
        </w:rPr>
        <w:t xml:space="preserve">de la Constitución Política del Estado Libre y Soberano de México; 2, fracción II; 29, 36 fracciones I y II; 176, 178, 181, 185 de la Ley de Transparencia y Acceso a la Información Pública del Estado de México y Municipios, este Pleno:</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108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 E S U E L V E:</w:t>
      </w:r>
    </w:p>
    <w:p w:rsidR="00000000" w:rsidDel="00000000" w:rsidP="00000000" w:rsidRDefault="00000000" w:rsidRPr="00000000" w14:paraId="00000090">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Resultan fundados los motivos de inconformidad que arguye 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términos del Considerando Cuarto de la presente resolución.</w:t>
      </w:r>
    </w:p>
    <w:p w:rsidR="00000000" w:rsidDel="00000000" w:rsidP="00000000" w:rsidRDefault="00000000" w:rsidRPr="00000000" w14:paraId="0000009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rtl w:val="0"/>
        </w:rPr>
        <w:t xml:space="preserve"> Se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color w:val="222222"/>
          <w:rtl w:val="0"/>
        </w:rPr>
        <w:t xml:space="preserve">ORDENA </w:t>
      </w:r>
      <w:r w:rsidDel="00000000" w:rsidR="00000000" w:rsidRPr="00000000">
        <w:rPr>
          <w:rFonts w:ascii="Palatino Linotype" w:cs="Palatino Linotype" w:eastAsia="Palatino Linotype" w:hAnsi="Palatino Linotype"/>
          <w:color w:val="222222"/>
          <w:rtl w:val="0"/>
        </w:rPr>
        <w:t xml:space="preserve">al </w:t>
      </w:r>
      <w:r w:rsidDel="00000000" w:rsidR="00000000" w:rsidRPr="00000000">
        <w:rPr>
          <w:rFonts w:ascii="Palatino Linotype" w:cs="Palatino Linotype" w:eastAsia="Palatino Linotype" w:hAnsi="Palatino Linotype"/>
          <w:b w:val="1"/>
          <w:color w:val="222222"/>
          <w:rtl w:val="0"/>
        </w:rPr>
        <w:t xml:space="preserve">SUJETO OBLIGADO </w:t>
      </w:r>
      <w:r w:rsidDel="00000000" w:rsidR="00000000" w:rsidRPr="00000000">
        <w:rPr>
          <w:rFonts w:ascii="Palatino Linotype" w:cs="Palatino Linotype" w:eastAsia="Palatino Linotype" w:hAnsi="Palatino Linotype"/>
          <w:color w:val="222222"/>
          <w:rtl w:val="0"/>
        </w:rPr>
        <w:t xml:space="preserve">dé trámite a la solicitud de acceso a la información pública que dio origen al recurso de revisión </w:t>
      </w:r>
      <w:r w:rsidDel="00000000" w:rsidR="00000000" w:rsidRPr="00000000">
        <w:rPr>
          <w:rFonts w:ascii="Palatino Linotype" w:cs="Palatino Linotype" w:eastAsia="Palatino Linotype" w:hAnsi="Palatino Linotype"/>
          <w:b w:val="1"/>
          <w:sz w:val="21"/>
          <w:szCs w:val="21"/>
          <w:rtl w:val="0"/>
        </w:rPr>
        <w:t xml:space="preserve">05054/INFOEM/IP/RR/2021</w:t>
      </w:r>
      <w:r w:rsidDel="00000000" w:rsidR="00000000" w:rsidRPr="00000000">
        <w:rPr>
          <w:rFonts w:ascii="Palatino Linotype" w:cs="Palatino Linotype" w:eastAsia="Palatino Linotype" w:hAnsi="Palatino Linotype"/>
          <w:color w:val="222222"/>
          <w:rtl w:val="0"/>
        </w:rPr>
        <w:t xml:space="preserve">,</w:t>
      </w:r>
      <w:r w:rsidDel="00000000" w:rsidR="00000000" w:rsidRPr="00000000">
        <w:rPr>
          <w:rFonts w:ascii="Palatino Linotype" w:cs="Palatino Linotype" w:eastAsia="Palatino Linotype" w:hAnsi="Palatino Linotype"/>
          <w:b w:val="1"/>
          <w:color w:val="222222"/>
          <w:rtl w:val="0"/>
        </w:rPr>
        <w:t xml:space="preserve"> </w:t>
      </w:r>
      <w:r w:rsidDel="00000000" w:rsidR="00000000" w:rsidRPr="00000000">
        <w:rPr>
          <w:rFonts w:ascii="Palatino Linotype" w:cs="Palatino Linotype" w:eastAsia="Palatino Linotype" w:hAnsi="Palatino Linotype"/>
          <w:color w:val="222222"/>
          <w:rtl w:val="0"/>
        </w:rPr>
        <w:t xml:space="preserve">vía </w:t>
      </w:r>
      <w:r w:rsidDel="00000000" w:rsidR="00000000" w:rsidRPr="00000000">
        <w:rPr>
          <w:rFonts w:ascii="Palatino Linotype" w:cs="Palatino Linotype" w:eastAsia="Palatino Linotype" w:hAnsi="Palatino Linotype"/>
          <w:b w:val="1"/>
          <w:color w:val="222222"/>
          <w:rtl w:val="0"/>
        </w:rPr>
        <w:t xml:space="preserve">SAIMEX, </w:t>
      </w:r>
      <w:r w:rsidDel="00000000" w:rsidR="00000000" w:rsidRPr="00000000">
        <w:rPr>
          <w:rFonts w:ascii="Palatino Linotype" w:cs="Palatino Linotype" w:eastAsia="Palatino Linotype" w:hAnsi="Palatino Linotype"/>
          <w:color w:val="222222"/>
          <w:rtl w:val="0"/>
        </w:rPr>
        <w:t xml:space="preserve">en términos del Considerando Cuarto de esta resolución y emita respuesta, debiendo observar las excepciones contenidas en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highlight w:val="white"/>
          <w:u w:val="none"/>
          <w:vertAlign w:val="baseline"/>
        </w:rPr>
      </w:pPr>
      <w:bookmarkStart w:colFirst="0" w:colLast="0" w:name="_heading=h.30j0zll" w:id="1"/>
      <w:bookmarkEnd w:id="1"/>
      <w:r w:rsidDel="00000000" w:rsidR="00000000" w:rsidRPr="00000000">
        <w:rPr>
          <w:rFonts w:ascii="Palatino Linotype" w:cs="Palatino Linotype" w:eastAsia="Palatino Linotype" w:hAnsi="Palatino Linotype"/>
          <w:b w:val="1"/>
          <w:i w:val="0"/>
          <w:smallCaps w:val="0"/>
          <w:strike w:val="0"/>
          <w:color w:val="000000"/>
          <w:sz w:val="24"/>
          <w:szCs w:val="24"/>
          <w:highlight w:val="white"/>
          <w:u w:val="none"/>
          <w:vertAlign w:val="baseline"/>
          <w:rtl w:val="0"/>
        </w:rPr>
        <w:t xml:space="preserve">Tercero.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Notifíquese</w:t>
      </w:r>
      <w:r w:rsidDel="00000000" w:rsidR="00000000" w:rsidRPr="00000000">
        <w:rPr>
          <w:rFonts w:ascii="Palatino Linotype" w:cs="Palatino Linotype" w:eastAsia="Palatino Linotype" w:hAnsi="Palatino Linotype"/>
          <w:b w:val="1"/>
          <w:i w:val="0"/>
          <w:smallCaps w:val="0"/>
          <w:strike w:val="0"/>
          <w:color w:val="000000"/>
          <w:sz w:val="24"/>
          <w:szCs w:val="24"/>
          <w:highlight w:val="white"/>
          <w:u w:val="none"/>
          <w:vertAlign w:val="baseline"/>
          <w:rtl w:val="0"/>
        </w:rPr>
        <w:t xml:space="preserve"> vía SAIMEX </w:t>
      </w:r>
      <w:r w:rsidDel="00000000" w:rsidR="00000000" w:rsidRPr="00000000">
        <w:rPr>
          <w:rFonts w:ascii="Palatino Linotype" w:cs="Palatino Linotype" w:eastAsia="Palatino Linotype" w:hAnsi="Palatino Linotype"/>
          <w:b w:val="0"/>
          <w:i w:val="0"/>
          <w:smallCaps w:val="0"/>
          <w:strike w:val="0"/>
          <w:color w:val="000000"/>
          <w:sz w:val="24"/>
          <w:szCs w:val="24"/>
          <w:highlight w:val="white"/>
          <w:u w:val="none"/>
          <w:vertAlign w:val="baseline"/>
          <w:rtl w:val="0"/>
        </w:rPr>
        <w:t xml:space="preserve">al Titular de la Unidad de Transparencia del</w:t>
      </w:r>
      <w:r w:rsidDel="00000000" w:rsidR="00000000" w:rsidRPr="00000000">
        <w:rPr>
          <w:rFonts w:ascii="Palatino Linotype" w:cs="Palatino Linotype" w:eastAsia="Palatino Linotype" w:hAnsi="Palatino Linotype"/>
          <w:b w:val="1"/>
          <w:i w:val="0"/>
          <w:smallCaps w:val="0"/>
          <w:strike w:val="0"/>
          <w:color w:val="000000"/>
          <w:sz w:val="24"/>
          <w:szCs w:val="24"/>
          <w:highlight w:val="white"/>
          <w:u w:val="none"/>
          <w:vertAlign w:val="baseline"/>
          <w:rtl w:val="0"/>
        </w:rPr>
        <w:t xml:space="preserve"> SUJETO OBLIGADO</w:t>
      </w:r>
      <w:r w:rsidDel="00000000" w:rsidR="00000000" w:rsidRPr="00000000">
        <w:rPr>
          <w:rFonts w:ascii="Palatino Linotype" w:cs="Palatino Linotype" w:eastAsia="Palatino Linotype" w:hAnsi="Palatino Linotype"/>
          <w:b w:val="0"/>
          <w:i w:val="0"/>
          <w:smallCaps w:val="0"/>
          <w:strike w:val="0"/>
          <w:color w:val="000000"/>
          <w:sz w:val="24"/>
          <w:szCs w:val="24"/>
          <w:highlight w:val="white"/>
          <w:u w:val="none"/>
          <w:vertAlign w:val="baseline"/>
          <w:rtl w:val="0"/>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09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Notifíquese</w:t>
      </w:r>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Fonts w:ascii="Palatino Linotype" w:cs="Palatino Linotype" w:eastAsia="Palatino Linotype" w:hAnsi="Palatino Linotype"/>
          <w:highlight w:val="white"/>
          <w:rtl w:val="0"/>
        </w:rPr>
        <w:t xml:space="preserve">al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vía SAIMEX</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000" w:rsidDel="00000000" w:rsidP="00000000" w:rsidRDefault="00000000" w:rsidRPr="00000000" w14:paraId="00000094">
      <w:pPr>
        <w:spacing w:after="240" w:before="240"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Quinto. </w:t>
      </w:r>
      <w:r w:rsidDel="00000000" w:rsidR="00000000" w:rsidRPr="00000000">
        <w:rPr>
          <w:rFonts w:ascii="Palatino Linotype" w:cs="Palatino Linotype" w:eastAsia="Palatino Linotype" w:hAnsi="Palatino Linotype"/>
          <w:b w:val="1"/>
          <w:color w:val="222222"/>
          <w:rtl w:val="0"/>
        </w:rPr>
        <w:t xml:space="preserve">Hágase del conocimiento </w:t>
      </w:r>
      <w:r w:rsidDel="00000000" w:rsidR="00000000" w:rsidRPr="00000000">
        <w:rPr>
          <w:rFonts w:ascii="Palatino Linotype" w:cs="Palatino Linotype" w:eastAsia="Palatino Linotype" w:hAnsi="Palatino Linotype"/>
          <w:color w:val="222222"/>
          <w:rtl w:val="0"/>
        </w:rPr>
        <w:t xml:space="preserve">del </w:t>
      </w:r>
      <w:r w:rsidDel="00000000" w:rsidR="00000000" w:rsidRPr="00000000">
        <w:rPr>
          <w:rFonts w:ascii="Palatino Linotype" w:cs="Palatino Linotype" w:eastAsia="Palatino Linotype" w:hAnsi="Palatino Linotype"/>
          <w:b w:val="1"/>
          <w:color w:val="222222"/>
          <w:rtl w:val="0"/>
        </w:rPr>
        <w:t xml:space="preserve">RECURRENTE </w:t>
      </w:r>
      <w:r w:rsidDel="00000000" w:rsidR="00000000" w:rsidRPr="00000000">
        <w:rPr>
          <w:rFonts w:ascii="Palatino Linotype" w:cs="Palatino Linotype" w:eastAsia="Palatino Linotype" w:hAnsi="Palatino Linotype"/>
          <w:color w:val="222222"/>
          <w:rtl w:val="0"/>
        </w:rPr>
        <w:t xml:space="preserve">que la respuesta que dé </w:t>
      </w:r>
      <w:r w:rsidDel="00000000" w:rsidR="00000000" w:rsidRPr="00000000">
        <w:rPr>
          <w:rFonts w:ascii="Palatino Linotype" w:cs="Palatino Linotype" w:eastAsia="Palatino Linotype" w:hAnsi="Palatino Linotype"/>
          <w:b w:val="1"/>
          <w:color w:val="222222"/>
          <w:rtl w:val="0"/>
        </w:rPr>
        <w:t xml:space="preserve">EL SUJETO OBLIGADO</w:t>
      </w:r>
      <w:r w:rsidDel="00000000" w:rsidR="00000000" w:rsidRPr="00000000">
        <w:rPr>
          <w:rFonts w:ascii="Palatino Linotype" w:cs="Palatino Linotype" w:eastAsia="Palatino Linotype" w:hAnsi="Palatino Linotype"/>
          <w:color w:val="222222"/>
          <w:rtl w:val="0"/>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95">
      <w:pPr>
        <w:widowControl w:val="0"/>
        <w:tabs>
          <w:tab w:val="left" w:pos="1701"/>
        </w:tabs>
        <w:spacing w:after="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Sexto.</w:t>
      </w:r>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Fonts w:ascii="Palatino Linotype" w:cs="Palatino Linotype" w:eastAsia="Palatino Linotype" w:hAnsi="Palatino Linotype"/>
          <w:rtl w:val="0"/>
        </w:rPr>
        <w:t xml:space="preserve">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000000" w:rsidDel="00000000" w:rsidP="00000000" w:rsidRDefault="00000000" w:rsidRPr="00000000" w14:paraId="00000096">
      <w:pPr>
        <w:widowControl w:val="0"/>
        <w:tabs>
          <w:tab w:val="left" w:pos="1701"/>
        </w:tabs>
        <w:spacing w:after="0" w:before="0" w:line="360" w:lineRule="auto"/>
        <w:ind w:right="51"/>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Séptimo. </w:t>
      </w:r>
      <w:r w:rsidDel="00000000" w:rsidR="00000000" w:rsidRPr="00000000">
        <w:rPr>
          <w:rFonts w:ascii="Palatino Linotype" w:cs="Palatino Linotype" w:eastAsia="Palatino Linotype" w:hAnsi="Palatino Linotype"/>
          <w:b w:val="1"/>
          <w:highlight w:val="white"/>
          <w:rtl w:val="0"/>
        </w:rPr>
        <w:t xml:space="preserve">Gírese</w:t>
      </w:r>
      <w:r w:rsidDel="00000000" w:rsidR="00000000" w:rsidRPr="00000000">
        <w:rPr>
          <w:rFonts w:ascii="Palatino Linotype" w:cs="Palatino Linotype" w:eastAsia="Palatino Linotype" w:hAnsi="Palatino Linotype"/>
          <w:highlight w:val="white"/>
          <w:rtl w:val="0"/>
        </w:rPr>
        <w:t xml:space="preserve"> oficio al Contralor Interno de este Instituto para que actúe en razón de su competencia, en términos de lo expuesto en el Considerando Cuarto de la presente resolución.</w:t>
      </w:r>
    </w:p>
    <w:p w:rsidR="00000000" w:rsidDel="00000000" w:rsidP="00000000" w:rsidRDefault="00000000" w:rsidRPr="00000000" w14:paraId="00000097">
      <w:pPr>
        <w:widowControl w:val="0"/>
        <w:tabs>
          <w:tab w:val="left" w:pos="1701"/>
        </w:tabs>
        <w:spacing w:after="0" w:before="0"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8">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OCHO DE DICIEMBRE DE DOS MIL VEINTIUNO, ANTE EL SECRETARIO TÉCNICO DEL PLENO ALEXIS TAPIA RAMÍREZ.</w:t>
      </w:r>
    </w:p>
    <w:p w:rsidR="00000000" w:rsidDel="00000000" w:rsidP="00000000" w:rsidRDefault="00000000" w:rsidRPr="00000000" w14:paraId="00000099">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Al encontrarse en algún supuesto restrictivo, previsto en la normatividad aplicable.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-438784</wp:posOffset>
          </wp:positionV>
          <wp:extent cx="7635600" cy="9943200"/>
          <wp:effectExtent b="0" l="0" r="0" t="0"/>
          <wp:wrapNone/>
          <wp:docPr id="3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600" cy="9943200"/>
                  </a:xfrm>
                  <a:prstGeom prst="rect"/>
                  <a:ln/>
                </pic:spPr>
              </pic:pic>
            </a:graphicData>
          </a:graphic>
        </wp:anchor>
      </w:drawing>
    </w:r>
  </w:p>
  <w:tbl>
    <w:tblPr>
      <w:tblStyle w:val="Table1"/>
      <w:tblW w:w="6238.0" w:type="dxa"/>
      <w:jc w:val="left"/>
      <w:tblInd w:w="3119.0" w:type="dxa"/>
      <w:tblLayout w:type="fixed"/>
      <w:tblLook w:val="0400"/>
    </w:tblPr>
    <w:tblGrid>
      <w:gridCol w:w="2551"/>
      <w:gridCol w:w="3687"/>
      <w:tblGridChange w:id="0">
        <w:tblGrid>
          <w:gridCol w:w="2551"/>
          <w:gridCol w:w="3687"/>
        </w:tblGrid>
      </w:tblGridChange>
    </w:tblGrid>
    <w:tr>
      <w:trPr>
        <w:cantSplit w:val="0"/>
        <w:tblHeader w:val="0"/>
      </w:trPr>
      <w:tc>
        <w:tcPr>
          <w:vAlign w:val="center"/>
        </w:tcPr>
        <w:p w:rsidR="00000000" w:rsidDel="00000000" w:rsidP="00000000" w:rsidRDefault="00000000" w:rsidRPr="00000000" w14:paraId="000000B6">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B7">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05054/INFOEM/IP/RR/2021</w:t>
          </w:r>
        </w:p>
      </w:tc>
    </w:tr>
    <w:tr>
      <w:trPr>
        <w:cantSplit w:val="0"/>
        <w:tblHeader w:val="0"/>
      </w:trPr>
      <w:tc>
        <w:tcPr>
          <w:vAlign w:val="center"/>
        </w:tcPr>
        <w:p w:rsidR="00000000" w:rsidDel="00000000" w:rsidP="00000000" w:rsidRDefault="00000000" w:rsidRPr="00000000" w14:paraId="000000B8">
          <w:pPr>
            <w:ind w:left="35" w:hanging="35"/>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Recurrente:</w:t>
          </w:r>
        </w:p>
      </w:tc>
      <w:tc>
        <w:tcPr>
          <w:vAlign w:val="center"/>
        </w:tcPr>
        <w:p w:rsidR="00000000" w:rsidDel="00000000" w:rsidP="00000000" w:rsidRDefault="00000000" w:rsidRPr="00000000" w14:paraId="000000B9">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XXXX XXXXXXX XXXXXXXXX XXXXXX</w:t>
          </w:r>
        </w:p>
      </w:tc>
    </w:tr>
    <w:tr>
      <w:trPr>
        <w:cantSplit w:val="0"/>
        <w:trHeight w:val="228" w:hRule="atLeast"/>
        <w:tblHeader w:val="0"/>
      </w:trPr>
      <w:tc>
        <w:tcPr>
          <w:vAlign w:val="center"/>
        </w:tcPr>
        <w:p w:rsidR="00000000" w:rsidDel="00000000" w:rsidP="00000000" w:rsidRDefault="00000000" w:rsidRPr="00000000" w14:paraId="000000BA">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vAlign w:val="center"/>
        </w:tcPr>
        <w:p w:rsidR="00000000" w:rsidDel="00000000" w:rsidP="00000000" w:rsidRDefault="00000000" w:rsidRPr="00000000" w14:paraId="000000BB">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Tonanitla</w:t>
          </w:r>
        </w:p>
      </w:tc>
    </w:tr>
    <w:tr>
      <w:trPr>
        <w:cantSplit w:val="0"/>
        <w:tblHeader w:val="0"/>
      </w:trPr>
      <w:tc>
        <w:tcPr>
          <w:vAlign w:val="center"/>
        </w:tcPr>
        <w:p w:rsidR="00000000" w:rsidDel="00000000" w:rsidP="00000000" w:rsidRDefault="00000000" w:rsidRPr="00000000" w14:paraId="000000BC">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Comisionado ponente:</w:t>
          </w:r>
        </w:p>
      </w:tc>
      <w:tc>
        <w:tcPr>
          <w:vAlign w:val="center"/>
        </w:tcPr>
        <w:p w:rsidR="00000000" w:rsidDel="00000000" w:rsidP="00000000" w:rsidRDefault="00000000" w:rsidRPr="00000000" w14:paraId="000000BD">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5528.0" w:type="dxa"/>
      <w:jc w:val="left"/>
      <w:tblInd w:w="3261.0" w:type="dxa"/>
      <w:tblLayout w:type="fixed"/>
      <w:tblLook w:val="0400"/>
    </w:tblPr>
    <w:tblGrid>
      <w:gridCol w:w="2552"/>
      <w:gridCol w:w="2976"/>
      <w:tblGridChange w:id="0">
        <w:tblGrid>
          <w:gridCol w:w="2552"/>
          <w:gridCol w:w="2976"/>
        </w:tblGrid>
      </w:tblGridChange>
    </w:tblGrid>
    <w:tr>
      <w:trPr>
        <w:cantSplit w:val="0"/>
        <w:tblHeader w:val="0"/>
      </w:trPr>
      <w:tc>
        <w:tcPr>
          <w:vAlign w:val="center"/>
        </w:tcPr>
        <w:p w:rsidR="00000000" w:rsidDel="00000000" w:rsidP="00000000" w:rsidRDefault="00000000" w:rsidRPr="00000000" w14:paraId="000000C0">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C1">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05054/INFOEM/IP/RR/2021 </w:t>
          </w:r>
        </w:p>
      </w:tc>
    </w:tr>
    <w:tr>
      <w:trPr>
        <w:cantSplit w:val="0"/>
        <w:trHeight w:val="228" w:hRule="atLeast"/>
        <w:tblHeader w:val="0"/>
      </w:trPr>
      <w:tc>
        <w:tcPr>
          <w:vAlign w:val="center"/>
        </w:tcPr>
        <w:p w:rsidR="00000000" w:rsidDel="00000000" w:rsidP="00000000" w:rsidRDefault="00000000" w:rsidRPr="00000000" w14:paraId="000000C2">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vAlign w:val="center"/>
        </w:tcPr>
        <w:p w:rsidR="00000000" w:rsidDel="00000000" w:rsidP="00000000" w:rsidRDefault="00000000" w:rsidRPr="00000000" w14:paraId="000000C3">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Tonanitla</w:t>
          </w:r>
        </w:p>
      </w:tc>
    </w:tr>
    <w:tr>
      <w:trPr>
        <w:cantSplit w:val="0"/>
        <w:tblHeader w:val="0"/>
      </w:trPr>
      <w:tc>
        <w:tcPr>
          <w:vAlign w:val="center"/>
        </w:tcPr>
        <w:p w:rsidR="00000000" w:rsidDel="00000000" w:rsidP="00000000" w:rsidRDefault="00000000" w:rsidRPr="00000000" w14:paraId="000000C4">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Comisionado ponente:</w:t>
          </w:r>
        </w:p>
      </w:tc>
      <w:tc>
        <w:tcPr>
          <w:vAlign w:val="center"/>
        </w:tcPr>
        <w:p w:rsidR="00000000" w:rsidDel="00000000" w:rsidP="00000000" w:rsidRDefault="00000000" w:rsidRPr="00000000" w14:paraId="000000C5">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-1249679</wp:posOffset>
          </wp:positionV>
          <wp:extent cx="7635163" cy="9944100"/>
          <wp:effectExtent b="0" l="0" r="0" t="0"/>
          <wp:wrapNone/>
          <wp:docPr id="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163" cy="9944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1DC3"/>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B1DC3"/>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0B1DC3"/>
    <w:rPr>
      <w:rFonts w:eastAsiaTheme="minorEastAsia"/>
      <w:sz w:val="24"/>
      <w:szCs w:val="24"/>
      <w:lang w:eastAsia="es-ES" w:val="es-ES_tradnl"/>
    </w:rPr>
  </w:style>
  <w:style w:type="paragraph" w:styleId="Piedepgina">
    <w:name w:val="footer"/>
    <w:basedOn w:val="Normal"/>
    <w:link w:val="PiedepginaCar"/>
    <w:uiPriority w:val="99"/>
    <w:unhideWhenUsed w:val="1"/>
    <w:rsid w:val="000B1DC3"/>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0B1DC3"/>
    <w:rPr>
      <w:rFonts w:eastAsiaTheme="minorEastAsia"/>
      <w:sz w:val="24"/>
      <w:szCs w:val="24"/>
      <w:lang w:eastAsia="es-ES" w:val="es-ES_tradnl"/>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B1DC3"/>
    <w:rPr>
      <w:rFonts w:ascii="Times New Roman" w:cs="Times New Roman" w:eastAsia="Times New Roman" w:hAnsi="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B1DC3"/>
    <w:pPr>
      <w:ind w:left="708"/>
    </w:pPr>
    <w:rPr>
      <w:sz w:val="22"/>
      <w:szCs w:val="22"/>
      <w:lang w:eastAsia="en-US" w:val="es-MX"/>
    </w:rPr>
  </w:style>
  <w:style w:type="character" w:styleId="normaltextrun" w:customStyle="1">
    <w:name w:val="normaltextrun"/>
    <w:basedOn w:val="Fuentedeprrafopredeter"/>
    <w:rsid w:val="000B1DC3"/>
  </w:style>
  <w:style w:type="character" w:styleId="apple-converted-space" w:customStyle="1">
    <w:name w:val="apple-converted-space"/>
    <w:basedOn w:val="Fuentedeprrafopredeter"/>
    <w:rsid w:val="000B1DC3"/>
  </w:style>
  <w:style w:type="paragraph" w:styleId="NormalWeb">
    <w:name w:val="Normal (Web)"/>
    <w:basedOn w:val="Normal"/>
    <w:uiPriority w:val="99"/>
    <w:unhideWhenUsed w:val="1"/>
    <w:rsid w:val="000B1DC3"/>
    <w:pPr>
      <w:spacing w:after="100" w:afterAutospacing="1" w:before="100" w:beforeAutospacing="1"/>
    </w:pPr>
    <w:rPr>
      <w:lang w:eastAsia="es-MX"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0B1DC3"/>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val="1"/>
    <w:qFormat w:val="1"/>
    <w:rsid w:val="000B1DC3"/>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l0Vmgfjk2C0IB86zPuccPIMA==">AMUW2mVbXj6WPChZMEkD70lZg/TxKFeqnpDoN7X6KB+do6FPaVC8XtwuqXcQ8aTdSbNJlf6FXt/pRUidC1gr5ppa7YPaQ6UUIQesn57X86IS/LtIZhURO2Vh76ii98mnDJor3CmUDeYp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2021-11-30T01:40:00Z</dcterms:created>
  <dc:creator>Usuario de Windows</dc:creator>
</cp:coreProperties>
</file>