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A8F" w:rsidRDefault="008E20B0">
      <w:pPr>
        <w:spacing w:before="240" w:after="240" w:line="360" w:lineRule="auto"/>
        <w:jc w:val="both"/>
        <w:rPr>
          <w:rFonts w:ascii="Palatino Linotype" w:eastAsia="Palatino Linotype" w:hAnsi="Palatino Linotype" w:cs="Palatino Linotype"/>
        </w:rPr>
      </w:pPr>
      <w:bookmarkStart w:id="0" w:name="_GoBack"/>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b/>
        </w:rPr>
        <w:t>veinticuatro de noviembre de dos mil veintiuno</w:t>
      </w:r>
      <w:r>
        <w:rPr>
          <w:rFonts w:ascii="Palatino Linotype" w:eastAsia="Palatino Linotype" w:hAnsi="Palatino Linotype" w:cs="Palatino Linotype"/>
        </w:rPr>
        <w:t xml:space="preserve">. </w:t>
      </w:r>
    </w:p>
    <w:p w:rsidR="006F0A8F" w:rsidRDefault="008E20B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 xml:space="preserve">04594/INFOEM/IP/RR/2021,  </w:t>
      </w:r>
      <w:r>
        <w:rPr>
          <w:rFonts w:ascii="Palatino Linotype" w:eastAsia="Palatino Linotype" w:hAnsi="Palatino Linotype" w:cs="Palatino Linotype"/>
        </w:rPr>
        <w:t>interpuesto por</w:t>
      </w:r>
      <w:r>
        <w:rPr>
          <w:rFonts w:ascii="Palatino Linotype" w:eastAsia="Palatino Linotype" w:hAnsi="Palatino Linotype" w:cs="Palatino Linotype"/>
          <w:b/>
        </w:rPr>
        <w:t xml:space="preserve"> un particular de manera anónima,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la parte Recurrente, </w:t>
      </w:r>
      <w:r>
        <w:rPr>
          <w:rFonts w:ascii="Palatino Linotype" w:eastAsia="Palatino Linotype" w:hAnsi="Palatino Linotype" w:cs="Palatino Linotype"/>
        </w:rPr>
        <w:t xml:space="preserve"> en contra de la respuesta por parte del </w:t>
      </w:r>
      <w:r>
        <w:rPr>
          <w:rFonts w:ascii="Palatino Linotype" w:eastAsia="Palatino Linotype" w:hAnsi="Palatino Linotype" w:cs="Palatino Linotype"/>
          <w:b/>
        </w:rPr>
        <w:t xml:space="preserve">Ayuntamiento de Toluca,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Suje</w:t>
      </w:r>
      <w:r>
        <w:rPr>
          <w:rFonts w:ascii="Palatino Linotype" w:eastAsia="Palatino Linotype" w:hAnsi="Palatino Linotype" w:cs="Palatino Linotype"/>
          <w:b/>
        </w:rPr>
        <w:t xml:space="preserve">to Obligado, </w:t>
      </w:r>
      <w:r>
        <w:rPr>
          <w:rFonts w:ascii="Palatino Linotype" w:eastAsia="Palatino Linotype" w:hAnsi="Palatino Linotype" w:cs="Palatino Linotype"/>
        </w:rPr>
        <w:t xml:space="preserve">se procede a dictar la presente resolución con base en los siguientes: </w:t>
      </w:r>
    </w:p>
    <w:p w:rsidR="006F0A8F" w:rsidRDefault="008E20B0">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rsidR="006F0A8F" w:rsidRDefault="008E20B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w:t>
      </w:r>
      <w:r>
        <w:rPr>
          <w:rFonts w:ascii="Palatino Linotype" w:eastAsia="Palatino Linotype" w:hAnsi="Palatino Linotype" w:cs="Palatino Linotype"/>
          <w:b/>
        </w:rPr>
        <w:t xml:space="preserve"> once de agosto de dos mil veintiuno,</w:t>
      </w:r>
      <w:r>
        <w:rPr>
          <w:rFonts w:ascii="Palatino Linotype" w:eastAsia="Palatino Linotype" w:hAnsi="Palatino Linotype" w:cs="Palatino Linotype"/>
        </w:rPr>
        <w:t xml:space="preserv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w:t>
      </w:r>
      <w:r>
        <w:rPr>
          <w:rFonts w:ascii="Palatino Linotype" w:eastAsia="Palatino Linotype" w:hAnsi="Palatino Linotype" w:cs="Palatino Linotype"/>
          <w:b/>
        </w:rPr>
        <w:t xml:space="preserve"> </w:t>
      </w:r>
      <w:r>
        <w:rPr>
          <w:rFonts w:ascii="Palatino Linotype" w:eastAsia="Palatino Linotype" w:hAnsi="Palatino Linotype" w:cs="Palatino Linotype"/>
        </w:rPr>
        <w:t>a través del Sistema de Acce</w:t>
      </w:r>
      <w:r>
        <w:rPr>
          <w:rFonts w:ascii="Palatino Linotype" w:eastAsia="Palatino Linotype" w:hAnsi="Palatino Linotype" w:cs="Palatino Linotype"/>
        </w:rPr>
        <w:t xml:space="preserv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solicitud de acceso a la información pública, a la que se le asignó el número de folio </w:t>
      </w:r>
      <w:r>
        <w:rPr>
          <w:rFonts w:ascii="Palatino Linotype" w:eastAsia="Palatino Linotype" w:hAnsi="Palatino Linotype" w:cs="Palatino Linotype"/>
          <w:b/>
        </w:rPr>
        <w:t xml:space="preserve"> 00729/TOLUCA/IP/2021, </w:t>
      </w:r>
      <w:r>
        <w:rPr>
          <w:rFonts w:ascii="Palatino Linotype" w:eastAsia="Palatino Linotype" w:hAnsi="Palatino Linotype" w:cs="Palatino Linotype"/>
        </w:rPr>
        <w:t xml:space="preserve">mediante la cual requirió la información siguiente: </w:t>
      </w:r>
    </w:p>
    <w:p w:rsidR="006F0A8F" w:rsidRDefault="008E20B0">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“Sol</w:t>
      </w:r>
      <w:r>
        <w:rPr>
          <w:rFonts w:ascii="Palatino Linotype" w:eastAsia="Palatino Linotype" w:hAnsi="Palatino Linotype" w:cs="Palatino Linotype"/>
          <w:i/>
          <w:sz w:val="22"/>
          <w:szCs w:val="22"/>
        </w:rPr>
        <w:t>icito los últimos 3 programas municipales de turismo sostenible y desarrollo artesanal, tal y como lo establece el Artículo 9, Fracción 1ra de la Ley de Turismo Sostenible y Desarrollo Artesanal del Estado de México.” (Sic)</w:t>
      </w:r>
    </w:p>
    <w:p w:rsidR="006F0A8F" w:rsidRDefault="008E20B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Archivos adjuntos:</w:t>
      </w:r>
      <w:r>
        <w:rPr>
          <w:rFonts w:ascii="Palatino Linotype" w:eastAsia="Palatino Linotype" w:hAnsi="Palatino Linotype" w:cs="Palatino Linotype"/>
        </w:rPr>
        <w:t xml:space="preserve"> Ninguno</w:t>
      </w:r>
    </w:p>
    <w:p w:rsidR="006F0A8F" w:rsidRDefault="008E20B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Modal</w:t>
      </w:r>
      <w:r>
        <w:rPr>
          <w:rFonts w:ascii="Palatino Linotype" w:eastAsia="Palatino Linotype" w:hAnsi="Palatino Linotype" w:cs="Palatino Linotype"/>
          <w:b/>
        </w:rPr>
        <w:t xml:space="preserve">idad de Entrega: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b/>
        </w:rPr>
        <w:tab/>
      </w:r>
    </w:p>
    <w:p w:rsidR="006F0A8F" w:rsidRDefault="008E20B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uno de septiembre de la presente anualidad</w:t>
      </w:r>
      <w:r>
        <w:rPr>
          <w:rFonts w:ascii="Palatino Linotype" w:eastAsia="Palatino Linotype" w:hAnsi="Palatino Linotype" w:cs="Palatino Linotype"/>
        </w:rPr>
        <w:t xml:space="preserve">, el Sujeto Obligado notificó a la parte Recurrente la respuesta a su solicitud en los términos siguientes: </w:t>
      </w:r>
    </w:p>
    <w:p w:rsidR="006F0A8F" w:rsidRDefault="008E20B0">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los artículos 4, 7, 23 fr</w:t>
      </w:r>
      <w:r>
        <w:rPr>
          <w:rFonts w:ascii="Palatino Linotype" w:eastAsia="Palatino Linotype" w:hAnsi="Palatino Linotype" w:cs="Palatino Linotype"/>
          <w:i/>
          <w:sz w:val="22"/>
          <w:szCs w:val="22"/>
        </w:rPr>
        <w:t>acción lV, 53 fracciones ll, lV y V de la Ley de Transparencia y Acceso a la Información Pública del Estado de México y Municipios, y en atención a su solicitud 00729/TOLUCA/IP/2021 mediante la cual requiere: “Solicito los últimos 3 programas municipales d</w:t>
      </w:r>
      <w:r>
        <w:rPr>
          <w:rFonts w:ascii="Palatino Linotype" w:eastAsia="Palatino Linotype" w:hAnsi="Palatino Linotype" w:cs="Palatino Linotype"/>
          <w:i/>
          <w:sz w:val="22"/>
          <w:szCs w:val="22"/>
        </w:rPr>
        <w:t>e turismo sostenible y desarrollo artesanal, tal y como lo establece el Artículo 9, Fracción 1ra de la Ley de Turismo Sostenible y Desarrollo Artesanal del Estado de México.” Sic Al respecto, se adjunta respuesta. Sin más por el momento reciba un cordial s</w:t>
      </w:r>
      <w:r>
        <w:rPr>
          <w:rFonts w:ascii="Palatino Linotype" w:eastAsia="Palatino Linotype" w:hAnsi="Palatino Linotype" w:cs="Palatino Linotype"/>
          <w:i/>
          <w:sz w:val="22"/>
          <w:szCs w:val="22"/>
        </w:rPr>
        <w:t>aludo.</w:t>
      </w:r>
    </w:p>
    <w:p w:rsidR="006F0A8F" w:rsidRDefault="008E20B0">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6F0A8F" w:rsidRDefault="008E20B0">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MTRA. LORENA NAVARRETE CASTAÑEDA” (Sic)</w:t>
      </w:r>
    </w:p>
    <w:p w:rsidR="006F0A8F" w:rsidRDefault="006F0A8F">
      <w:pPr>
        <w:spacing w:before="240" w:after="240"/>
        <w:ind w:left="567" w:right="900"/>
        <w:jc w:val="both"/>
        <w:rPr>
          <w:rFonts w:ascii="Palatino Linotype" w:eastAsia="Palatino Linotype" w:hAnsi="Palatino Linotype" w:cs="Palatino Linotype"/>
          <w:i/>
          <w:sz w:val="22"/>
          <w:szCs w:val="22"/>
        </w:rPr>
      </w:pPr>
    </w:p>
    <w:p w:rsidR="006F0A8F" w:rsidRDefault="008E20B0">
      <w:pPr>
        <w:spacing w:before="240" w:after="240" w:line="360" w:lineRule="auto"/>
        <w:ind w:left="567" w:right="902"/>
        <w:jc w:val="both"/>
        <w:rPr>
          <w:rFonts w:ascii="Palatino Linotype" w:eastAsia="Palatino Linotype" w:hAnsi="Palatino Linotype" w:cs="Palatino Linotype"/>
          <w:b/>
          <w:i/>
        </w:rPr>
      </w:pPr>
      <w:r>
        <w:rPr>
          <w:rFonts w:ascii="Palatino Linotype" w:eastAsia="Palatino Linotype" w:hAnsi="Palatino Linotype" w:cs="Palatino Linotype"/>
          <w:b/>
        </w:rPr>
        <w:t xml:space="preserve">Archivos adjuntos: </w:t>
      </w:r>
      <w:r>
        <w:rPr>
          <w:rFonts w:ascii="Palatino Linotype" w:eastAsia="Palatino Linotype" w:hAnsi="Palatino Linotype" w:cs="Palatino Linotype"/>
        </w:rPr>
        <w:t xml:space="preserve">El Sujeto Obligado remitió los archivos electrónicos  denominados </w:t>
      </w:r>
      <w:r>
        <w:rPr>
          <w:rFonts w:ascii="Palatino Linotype" w:eastAsia="Palatino Linotype" w:hAnsi="Palatino Linotype" w:cs="Palatino Linotype"/>
          <w:b/>
          <w:i/>
        </w:rPr>
        <w:t xml:space="preserve">“resp 729.pdf” y “oficio 033.pdf”, </w:t>
      </w:r>
      <w:r>
        <w:rPr>
          <w:rFonts w:ascii="Palatino Linotype" w:eastAsia="Palatino Linotype" w:hAnsi="Palatino Linotype" w:cs="Palatino Linotype"/>
        </w:rPr>
        <w:t>los cuales se tienen por reproducidos y  se omiten su descripción al ser del conocimiento de las partes, no obstante, se analizarán en el apartado de estudio del asunto.</w:t>
      </w:r>
    </w:p>
    <w:p w:rsidR="006F0A8F" w:rsidRDefault="008E20B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w:t>
      </w:r>
      <w:r>
        <w:rPr>
          <w:rFonts w:ascii="Palatino Linotype" w:eastAsia="Palatino Linotype" w:hAnsi="Palatino Linotype" w:cs="Palatino Linotype"/>
        </w:rPr>
        <w:t xml:space="preserve">emitida por parte del Sujeto Obligado, en fecha </w:t>
      </w:r>
      <w:r>
        <w:rPr>
          <w:rFonts w:ascii="Palatino Linotype" w:eastAsia="Palatino Linotype" w:hAnsi="Palatino Linotype" w:cs="Palatino Linotype"/>
          <w:b/>
        </w:rPr>
        <w:t>seis de septiembre de dos mil veintiuno,</w:t>
      </w:r>
      <w:r>
        <w:rPr>
          <w:rFonts w:ascii="Palatino Linotype" w:eastAsia="Palatino Linotype" w:hAnsi="Palatino Linotype" w:cs="Palatino Linotype"/>
        </w:rPr>
        <w:t xml:space="preserve"> la parte recurrente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rsidR="006F0A8F" w:rsidRDefault="008E20B0">
      <w:pPr>
        <w:numPr>
          <w:ilvl w:val="0"/>
          <w:numId w:val="3"/>
        </w:numPr>
        <w:pBdr>
          <w:top w:val="nil"/>
          <w:left w:val="nil"/>
          <w:bottom w:val="nil"/>
          <w:right w:val="nil"/>
          <w:between w:val="nil"/>
        </w:pBdr>
        <w:spacing w:before="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Acto impugnado: </w:t>
      </w:r>
    </w:p>
    <w:p w:rsidR="006F0A8F" w:rsidRDefault="008E20B0">
      <w:pPr>
        <w:pBdr>
          <w:top w:val="nil"/>
          <w:left w:val="nil"/>
          <w:bottom w:val="nil"/>
          <w:right w:val="nil"/>
          <w:between w:val="nil"/>
        </w:pBdr>
        <w:tabs>
          <w:tab w:val="left" w:pos="567"/>
        </w:tabs>
        <w:ind w:left="567"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“Solicité los últimos tres Programas Municipales de Turismo Sostenible y Desarrollo Artesanal, tal y como lo establece el artículo 9, fracción I de la Ley de Turismo Sostenible y Desarrollo Artesanal del Estado de México.” (Sic)</w:t>
      </w:r>
    </w:p>
    <w:p w:rsidR="006F0A8F" w:rsidRDefault="006F0A8F">
      <w:pPr>
        <w:pBdr>
          <w:top w:val="nil"/>
          <w:left w:val="nil"/>
          <w:bottom w:val="nil"/>
          <w:right w:val="nil"/>
          <w:between w:val="nil"/>
        </w:pBdr>
        <w:tabs>
          <w:tab w:val="left" w:pos="567"/>
        </w:tabs>
        <w:ind w:left="567" w:right="1041"/>
        <w:jc w:val="both"/>
        <w:rPr>
          <w:rFonts w:ascii="Palatino Linotype" w:eastAsia="Palatino Linotype" w:hAnsi="Palatino Linotype" w:cs="Palatino Linotype"/>
          <w:b/>
        </w:rPr>
      </w:pPr>
    </w:p>
    <w:p w:rsidR="006F0A8F" w:rsidRDefault="006F0A8F">
      <w:pPr>
        <w:pBdr>
          <w:top w:val="nil"/>
          <w:left w:val="nil"/>
          <w:bottom w:val="nil"/>
          <w:right w:val="nil"/>
          <w:between w:val="nil"/>
        </w:pBdr>
        <w:tabs>
          <w:tab w:val="left" w:pos="567"/>
        </w:tabs>
        <w:ind w:left="567" w:right="1041"/>
        <w:jc w:val="both"/>
        <w:rPr>
          <w:rFonts w:ascii="Palatino Linotype" w:eastAsia="Palatino Linotype" w:hAnsi="Palatino Linotype" w:cs="Palatino Linotype"/>
          <w:b/>
        </w:rPr>
      </w:pPr>
    </w:p>
    <w:p w:rsidR="006F0A8F" w:rsidRDefault="006F0A8F">
      <w:pPr>
        <w:pBdr>
          <w:top w:val="nil"/>
          <w:left w:val="nil"/>
          <w:bottom w:val="nil"/>
          <w:right w:val="nil"/>
          <w:between w:val="nil"/>
        </w:pBdr>
        <w:tabs>
          <w:tab w:val="left" w:pos="567"/>
        </w:tabs>
        <w:ind w:left="567" w:right="1041"/>
        <w:jc w:val="both"/>
        <w:rPr>
          <w:rFonts w:ascii="Palatino Linotype" w:eastAsia="Palatino Linotype" w:hAnsi="Palatino Linotype" w:cs="Palatino Linotype"/>
          <w:b/>
        </w:rPr>
      </w:pPr>
    </w:p>
    <w:p w:rsidR="006F0A8F" w:rsidRDefault="008E20B0">
      <w:pPr>
        <w:numPr>
          <w:ilvl w:val="0"/>
          <w:numId w:val="3"/>
        </w:numPr>
        <w:pBdr>
          <w:top w:val="nil"/>
          <w:left w:val="nil"/>
          <w:bottom w:val="nil"/>
          <w:right w:val="nil"/>
          <w:between w:val="nil"/>
        </w:pBdr>
        <w:tabs>
          <w:tab w:val="left" w:pos="567"/>
        </w:tabs>
        <w:ind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rPr>
        <w:t xml:space="preserve"> Razones o motivos de in</w:t>
      </w:r>
      <w:r>
        <w:rPr>
          <w:rFonts w:ascii="Palatino Linotype" w:eastAsia="Palatino Linotype" w:hAnsi="Palatino Linotype" w:cs="Palatino Linotype"/>
          <w:b/>
          <w:color w:val="000000"/>
        </w:rPr>
        <w:t xml:space="preserve">conformidad: </w:t>
      </w:r>
    </w:p>
    <w:p w:rsidR="006F0A8F" w:rsidRDefault="006F0A8F">
      <w:pPr>
        <w:pBdr>
          <w:top w:val="nil"/>
          <w:left w:val="nil"/>
          <w:bottom w:val="nil"/>
          <w:right w:val="nil"/>
          <w:between w:val="nil"/>
        </w:pBdr>
        <w:tabs>
          <w:tab w:val="left" w:pos="567"/>
        </w:tabs>
        <w:ind w:left="720" w:right="1041"/>
        <w:jc w:val="both"/>
        <w:rPr>
          <w:rFonts w:ascii="Palatino Linotype" w:eastAsia="Palatino Linotype" w:hAnsi="Palatino Linotype" w:cs="Palatino Linotype"/>
          <w:b/>
          <w:color w:val="000000"/>
        </w:rPr>
      </w:pPr>
    </w:p>
    <w:p w:rsidR="006F0A8F" w:rsidRDefault="008E20B0">
      <w:pPr>
        <w:pBdr>
          <w:top w:val="nil"/>
          <w:left w:val="nil"/>
          <w:bottom w:val="nil"/>
          <w:right w:val="nil"/>
          <w:between w:val="nil"/>
        </w:pBdr>
        <w:tabs>
          <w:tab w:val="left" w:pos="567"/>
        </w:tabs>
        <w:ind w:left="720"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la respuesta que se me hizo llegar, notifican que lo solicitado se elaboró en conformidad a lo establecido en la ley y que fue remitido a las autoridades correspondientes, sin embargo, no me hicieron llegar los últimos tres Programas Municipales de Tur</w:t>
      </w:r>
      <w:r>
        <w:rPr>
          <w:rFonts w:ascii="Palatino Linotype" w:eastAsia="Palatino Linotype" w:hAnsi="Palatino Linotype" w:cs="Palatino Linotype"/>
          <w:i/>
          <w:color w:val="000000"/>
          <w:sz w:val="22"/>
          <w:szCs w:val="22"/>
        </w:rPr>
        <w:t>ismo Sostenible y Desarrollo Artesanal que son los documentos que solicité desde el principio.” (Sic)</w:t>
      </w:r>
    </w:p>
    <w:p w:rsidR="006F0A8F" w:rsidRDefault="006F0A8F">
      <w:pPr>
        <w:pBdr>
          <w:top w:val="nil"/>
          <w:left w:val="nil"/>
          <w:bottom w:val="nil"/>
          <w:right w:val="nil"/>
          <w:between w:val="nil"/>
        </w:pBdr>
        <w:tabs>
          <w:tab w:val="left" w:pos="567"/>
        </w:tabs>
        <w:spacing w:after="240"/>
        <w:ind w:left="720" w:right="1041"/>
        <w:jc w:val="both"/>
        <w:rPr>
          <w:rFonts w:ascii="Palatino Linotype" w:eastAsia="Palatino Linotype" w:hAnsi="Palatino Linotype" w:cs="Palatino Linotype"/>
          <w:i/>
          <w:color w:val="000000"/>
          <w:sz w:val="22"/>
          <w:szCs w:val="22"/>
        </w:rPr>
      </w:pPr>
    </w:p>
    <w:p w:rsidR="006F0A8F" w:rsidRDefault="008E20B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De conformidad con el artículo 185 fracción I de la Ley de Transparencia y Acceso a la Información Pública del Estado de México y Municipios vi</w:t>
      </w:r>
      <w:r>
        <w:rPr>
          <w:rFonts w:ascii="Palatino Linotype" w:eastAsia="Palatino Linotype" w:hAnsi="Palatino Linotype" w:cs="Palatino Linotype"/>
        </w:rPr>
        <w:t>gente, el presente recurso de revisión se turnó por el sistema electrónico del Instituto</w:t>
      </w:r>
      <w:r>
        <w:rPr>
          <w:rFonts w:ascii="Palatino Linotype" w:eastAsia="Palatino Linotype" w:hAnsi="Palatino Linotype" w:cs="Palatino Linotype"/>
          <w:b/>
        </w:rPr>
        <w:t xml:space="preserve"> </w:t>
      </w:r>
      <w:r>
        <w:rPr>
          <w:rFonts w:ascii="Palatino Linotype" w:eastAsia="Palatino Linotype" w:hAnsi="Palatino Linotype" w:cs="Palatino Linotype"/>
        </w:rPr>
        <w:t>de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Transparencia, Acceso a la Información Pública y Protección de Datos Personales del Estado de México y Municipios, a la </w:t>
      </w:r>
      <w:r>
        <w:rPr>
          <w:rFonts w:ascii="Palatino Linotype" w:eastAsia="Palatino Linotype" w:hAnsi="Palatino Linotype" w:cs="Palatino Linotype"/>
          <w:b/>
        </w:rPr>
        <w:t xml:space="preserve">Comisionada Guadalupe Ramírez Peña, </w:t>
      </w:r>
      <w:r>
        <w:rPr>
          <w:rFonts w:ascii="Palatino Linotype" w:eastAsia="Palatino Linotype" w:hAnsi="Palatino Linotype" w:cs="Palatino Linotype"/>
        </w:rPr>
        <w:t>a efecto</w:t>
      </w:r>
      <w:r>
        <w:rPr>
          <w:rFonts w:ascii="Palatino Linotype" w:eastAsia="Palatino Linotype" w:hAnsi="Palatino Linotype" w:cs="Palatino Linotype"/>
        </w:rPr>
        <w:t xml:space="preserve"> de que se analizara sobre su admisión o su desechamiento.</w:t>
      </w:r>
    </w:p>
    <w:p w:rsidR="006F0A8F" w:rsidRDefault="008E20B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Con fecha</w:t>
      </w:r>
      <w:r>
        <w:rPr>
          <w:rFonts w:ascii="Palatino Linotype" w:eastAsia="Palatino Linotype" w:hAnsi="Palatino Linotype" w:cs="Palatino Linotype"/>
          <w:b/>
        </w:rPr>
        <w:t xml:space="preserve"> diecisiete de septiembre de dos mil veintiuno, </w:t>
      </w:r>
      <w:r>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que ahora se resuelve, dando un plazo máximo de siete días hábiles para que las pa</w:t>
      </w:r>
      <w:r>
        <w:rPr>
          <w:rFonts w:ascii="Palatino Linotype" w:eastAsia="Palatino Linotype" w:hAnsi="Palatino Linotype" w:cs="Palatino Linotype"/>
        </w:rPr>
        <w:t>rtes manifestaran lo que a su derecho resultara conveniente, ofrecieran pruebas, formularan alegatos y el Sujeto Obligado presentara su informe justificado.</w:t>
      </w:r>
    </w:p>
    <w:p w:rsidR="006F0A8F" w:rsidRDefault="008E20B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De las constancias que obran agregadas en el expediente electrónico al rubro ci</w:t>
      </w:r>
      <w:r>
        <w:rPr>
          <w:rFonts w:ascii="Palatino Linotype" w:eastAsia="Palatino Linotype" w:hAnsi="Palatino Linotype" w:cs="Palatino Linotype"/>
        </w:rPr>
        <w:t xml:space="preserve">tado, se tiene que el  Sujeto Obligado rindió su informe justificado en fecha </w:t>
      </w:r>
      <w:r>
        <w:rPr>
          <w:rFonts w:ascii="Palatino Linotype" w:eastAsia="Palatino Linotype" w:hAnsi="Palatino Linotype" w:cs="Palatino Linotype"/>
          <w:b/>
        </w:rPr>
        <w:t>veinte de septiembre de la presente anualidad</w:t>
      </w:r>
      <w:r>
        <w:rPr>
          <w:rFonts w:ascii="Palatino Linotype" w:eastAsia="Palatino Linotype" w:hAnsi="Palatino Linotype" w:cs="Palatino Linotype"/>
        </w:rPr>
        <w:t xml:space="preserve">, el cual no se </w:t>
      </w:r>
      <w:r>
        <w:rPr>
          <w:rFonts w:ascii="Palatino Linotype" w:eastAsia="Palatino Linotype" w:hAnsi="Palatino Linotype" w:cs="Palatino Linotype"/>
        </w:rPr>
        <w:lastRenderedPageBreak/>
        <w:t>puso a la vista del particular por dejarse a la vista una dirección de correo electrónico, la cual no se tiene certez</w:t>
      </w:r>
      <w:r>
        <w:rPr>
          <w:rFonts w:ascii="Palatino Linotype" w:eastAsia="Palatino Linotype" w:hAnsi="Palatino Linotype" w:cs="Palatino Linotype"/>
        </w:rPr>
        <w:t xml:space="preserve">a que pertenezca a un servidor público, por cuanto hace a la parte Recurrente, se tiene que fue omiso en presentar manifestaciones, pruebas y/o alegatos en la etapa procedimental previamente reconocida en nuestra Ley de Transparencia, por lo cual se tiene </w:t>
      </w:r>
      <w:r>
        <w:rPr>
          <w:rFonts w:ascii="Palatino Linotype" w:eastAsia="Palatino Linotype" w:hAnsi="Palatino Linotype" w:cs="Palatino Linotype"/>
        </w:rPr>
        <w:t>por precluido su derecho.</w:t>
      </w:r>
    </w:p>
    <w:p w:rsidR="006F0A8F" w:rsidRDefault="008E20B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diez de noviembre de dos mil veintiuno</w:t>
      </w:r>
      <w:r>
        <w:rPr>
          <w:rFonts w:ascii="Palatino Linotype" w:eastAsia="Palatino Linotype" w:hAnsi="Palatino Linotype" w:cs="Palatino Linotype"/>
        </w:rPr>
        <w:t>, se notificó a las partes el Acuerdo de Ampliación de Plazo para resolver el medio de impugnación que nos ocupa, en términos de lo dispuest</w:t>
      </w:r>
      <w:r>
        <w:rPr>
          <w:rFonts w:ascii="Palatino Linotype" w:eastAsia="Palatino Linotype" w:hAnsi="Palatino Linotype" w:cs="Palatino Linotype"/>
        </w:rPr>
        <w:t xml:space="preserve">o por el artículo 181, párrafo tercero de la Ley de Transparencia y Acceso a la Información Pública del Estado de México y Municipios; lo anterior, dado el incremento en el número de recursos de revisión promovidos en la anualidad próxima pasada ante este </w:t>
      </w:r>
      <w:r>
        <w:rPr>
          <w:rFonts w:ascii="Palatino Linotype" w:eastAsia="Palatino Linotype" w:hAnsi="Palatino Linotype" w:cs="Palatino Linotype"/>
        </w:rPr>
        <w:t>Instituto de Transparencia, Acceso a la Información Pública y Protección de Datos Personales del Estado de México y Municipios y con la finalidad de realizar un análisis exhaustivo de las constancias que obran en el expediente electrónico, adoptando las me</w:t>
      </w:r>
      <w:r>
        <w:rPr>
          <w:rFonts w:ascii="Palatino Linotype" w:eastAsia="Palatino Linotype" w:hAnsi="Palatino Linotype" w:cs="Palatino Linotype"/>
        </w:rPr>
        <w:t>didas pertinentes, a fin de aminorar los efectos que conlleva.</w:t>
      </w:r>
    </w:p>
    <w:p w:rsidR="006F0A8F" w:rsidRDefault="008E20B0">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rPr>
        <w:t>veintidós de nov</w:t>
      </w:r>
      <w:r>
        <w:rPr>
          <w:rFonts w:ascii="Palatino Linotype" w:eastAsia="Palatino Linotype" w:hAnsi="Palatino Linotype" w:cs="Palatino Linotype"/>
          <w:b/>
        </w:rPr>
        <w:t>iembre de dos mil veintiuno</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6F0A8F" w:rsidRDefault="008E20B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razón de que fue debida</w:t>
      </w:r>
      <w:r>
        <w:rPr>
          <w:rFonts w:ascii="Palatino Linotype" w:eastAsia="Palatino Linotype" w:hAnsi="Palatino Linotype" w:cs="Palatino Linotype"/>
        </w:rPr>
        <w:t xml:space="preserve">mente sustanciado el expediente electrónico y no existe diligencia pendiente de desahogo, se emite la Resolución que conforme a Derecho proceda, de acuerdo con los siguientes: </w:t>
      </w:r>
    </w:p>
    <w:p w:rsidR="006F0A8F" w:rsidRDefault="008E20B0">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rsidR="006F0A8F" w:rsidRDefault="008E20B0">
      <w:pPr>
        <w:spacing w:before="240" w:after="240" w:line="360" w:lineRule="auto"/>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w:t>
      </w:r>
      <w:r>
        <w:rPr>
          <w:rFonts w:ascii="Palatino Linotype" w:eastAsia="Palatino Linotype" w:hAnsi="Palatino Linotype" w:cs="Palatino Linotype"/>
        </w:rPr>
        <w:t>puesto en los artículos 6, apartado A de la Constitución Política de los Estados Unidos Mexicanos; 5, trigésimo, trigésimo primero y trigésimo segundo, fracciones IV y V; de la Constitución Política del Estado Libre y Soberano de México; 1, 2, fracción II;</w:t>
      </w:r>
      <w:r>
        <w:rPr>
          <w:rFonts w:ascii="Palatino Linotype" w:eastAsia="Palatino Linotype" w:hAnsi="Palatino Linotype" w:cs="Palatino Linotype"/>
        </w:rPr>
        <w:t xml:space="preserve"> 13,  29, 36, fracciones I y II; 176, 178, 179, 181 párrafo tercero y 185 de la Ley Transparencia y Acceso a la Información Pública del Estado de México y Municipios; 9, fracciones I y XXIV y 11 del Reglamento Interior del Instituto de Transparencia, Acces</w:t>
      </w:r>
      <w:r>
        <w:rPr>
          <w:rFonts w:ascii="Palatino Linotype" w:eastAsia="Palatino Linotype" w:hAnsi="Palatino Linotype" w:cs="Palatino Linotype"/>
        </w:rPr>
        <w:t>o a la Información Pública y Protección de Datos Personales del Estado de México y Municipios.</w:t>
      </w:r>
    </w:p>
    <w:p w:rsidR="006F0A8F" w:rsidRDefault="008E20B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w:t>
      </w:r>
      <w:r>
        <w:rPr>
          <w:rFonts w:ascii="Palatino Linotype" w:eastAsia="Palatino Linotype" w:hAnsi="Palatino Linotype" w:cs="Palatino Linotype"/>
        </w:rPr>
        <w:t>edibilidad que debe reunir el recurso de revisión interpuesto, previstos en los artículos 178 y 180 de la Ley de Transparencia y Acceso a la Información Pública del Estado de México y Municipios.</w:t>
      </w:r>
    </w:p>
    <w:p w:rsidR="006F0A8F" w:rsidRDefault="008E20B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El recurso de revisión fue interpuesto dentro del plazo de q</w:t>
      </w:r>
      <w:r>
        <w:rPr>
          <w:rFonts w:ascii="Palatino Linotype" w:eastAsia="Palatino Linotype" w:hAnsi="Palatino Linotype" w:cs="Palatino Linotype"/>
        </w:rPr>
        <w:t xml:space="preserve">uince días hábiles, previsto en el artículo 178 de la Ley de Transparencia y Acceso a la Información Pública del Estado de México y Municipios, toda vez que el Sujeto Obligado </w:t>
      </w:r>
      <w:r>
        <w:rPr>
          <w:rFonts w:ascii="Palatino Linotype" w:eastAsia="Palatino Linotype" w:hAnsi="Palatino Linotype" w:cs="Palatino Linotype"/>
        </w:rPr>
        <w:lastRenderedPageBreak/>
        <w:t xml:space="preserve">remitió su respuesta a la solicitud de información el día </w:t>
      </w:r>
      <w:r>
        <w:rPr>
          <w:rFonts w:ascii="Palatino Linotype" w:eastAsia="Palatino Linotype" w:hAnsi="Palatino Linotype" w:cs="Palatino Linotype"/>
          <w:b/>
        </w:rPr>
        <w:t>uno de septiembre de d</w:t>
      </w:r>
      <w:r>
        <w:rPr>
          <w:rFonts w:ascii="Palatino Linotype" w:eastAsia="Palatino Linotype" w:hAnsi="Palatino Linotype" w:cs="Palatino Linotype"/>
          <w:b/>
        </w:rPr>
        <w:t xml:space="preserve">os mil veintiuno, </w:t>
      </w:r>
      <w:r>
        <w:rPr>
          <w:rFonts w:ascii="Palatino Linotype" w:eastAsia="Palatino Linotype" w:hAnsi="Palatino Linotype" w:cs="Palatino Linotype"/>
        </w:rPr>
        <w:t xml:space="preserve">mientras que el recurso de revisión interpuesto por la parte recurrente, se tuvo por presentados el día </w:t>
      </w:r>
      <w:r>
        <w:rPr>
          <w:rFonts w:ascii="Palatino Linotype" w:eastAsia="Palatino Linotype" w:hAnsi="Palatino Linotype" w:cs="Palatino Linotype"/>
          <w:b/>
        </w:rPr>
        <w:t>seis de septiembre de dos mil veintiuno</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tercer día hábil</w:t>
      </w:r>
      <w:r>
        <w:rPr>
          <w:rFonts w:ascii="Palatino Linotype" w:eastAsia="Palatino Linotype" w:hAnsi="Palatino Linotype" w:cs="Palatino Linotype"/>
        </w:rPr>
        <w:t xml:space="preserve"> en que tuvo conocimiento de la respuesta impugnada.</w:t>
      </w:r>
    </w:p>
    <w:p w:rsidR="006F0A8F" w:rsidRDefault="008E20B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w:t>
      </w:r>
      <w:r>
        <w:rPr>
          <w:rFonts w:ascii="Palatino Linotype" w:eastAsia="Palatino Linotype" w:hAnsi="Palatino Linotype" w:cs="Palatino Linotype"/>
        </w:rPr>
        <w:t xml:space="preserve"> por cuanto hace a la procedibilidad del recurso de revisión una vez realizado el análisis del formato de interposición del recurso, se advierte que el artículo 180 de la Ley de Transparencia y Acceso a la Información Pública del Estado de México y Municip</w:t>
      </w:r>
      <w:r>
        <w:rPr>
          <w:rFonts w:ascii="Palatino Linotype" w:eastAsia="Palatino Linotype" w:hAnsi="Palatino Linotype" w:cs="Palatino Linotype"/>
        </w:rPr>
        <w:t>ios, establece los siguientes elementos formales para la presentación del recurso:</w:t>
      </w:r>
    </w:p>
    <w:p w:rsidR="006F0A8F" w:rsidRDefault="008E20B0">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180.</w:t>
      </w:r>
      <w:r>
        <w:rPr>
          <w:rFonts w:ascii="Palatino Linotype" w:eastAsia="Palatino Linotype" w:hAnsi="Palatino Linotype" w:cs="Palatino Linotype"/>
          <w:i/>
          <w:sz w:val="22"/>
          <w:szCs w:val="22"/>
        </w:rPr>
        <w:t xml:space="preserve"> El recurso de revisión contendrá: </w:t>
      </w:r>
    </w:p>
    <w:p w:rsidR="006F0A8F" w:rsidRDefault="008E20B0">
      <w:pPr>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F0A8F" w:rsidRDefault="008E20B0">
      <w:pPr>
        <w:spacing w:after="120"/>
        <w:ind w:left="1134" w:right="902"/>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II. El nombre del solicitante que recurre o de su representante y, en su caso, del tercero interesado, así como la dirección o medio que señale para recibir notificaciones; </w:t>
      </w:r>
    </w:p>
    <w:p w:rsidR="006F0A8F" w:rsidRDefault="008E20B0">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rsidR="006F0A8F" w:rsidRDefault="008E20B0">
      <w:pPr>
        <w:spacing w:after="120"/>
        <w:ind w:left="1134" w:right="902"/>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En caso de que el recurso se interponga de manera electrónica no será indi</w:t>
      </w:r>
      <w:r>
        <w:rPr>
          <w:rFonts w:ascii="Palatino Linotype" w:eastAsia="Palatino Linotype" w:hAnsi="Palatino Linotype" w:cs="Palatino Linotype"/>
          <w:b/>
          <w:i/>
          <w:sz w:val="22"/>
          <w:szCs w:val="22"/>
          <w:u w:val="single"/>
        </w:rPr>
        <w:t>spensable que contengan los requisitos establecidos en las fracciones II, IV, VII y VIII.”</w:t>
      </w:r>
    </w:p>
    <w:p w:rsidR="006F0A8F" w:rsidRDefault="008E20B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el artículo 181 del citado ordenamiento dispone, que:</w:t>
      </w:r>
    </w:p>
    <w:p w:rsidR="006F0A8F" w:rsidRDefault="008E20B0">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181.</w:t>
      </w:r>
      <w:r>
        <w:rPr>
          <w:rFonts w:ascii="Palatino Linotype" w:eastAsia="Palatino Linotype" w:hAnsi="Palatino Linotype" w:cs="Palatino Linotype"/>
          <w:i/>
          <w:sz w:val="22"/>
          <w:szCs w:val="22"/>
        </w:rPr>
        <w:t xml:space="preserve"> Si el escrito de interposición del recurso no cumple con alguno de los requisitos </w:t>
      </w:r>
      <w:r>
        <w:rPr>
          <w:rFonts w:ascii="Palatino Linotype" w:eastAsia="Palatino Linotype" w:hAnsi="Palatino Linotype" w:cs="Palatino Linotype"/>
          <w:i/>
          <w:sz w:val="22"/>
          <w:szCs w:val="22"/>
        </w:rPr>
        <w:t>establecidos en el artículo anterior y el Instituto no cuenta con elementos para subsanarlos, se prevendrá al recurrente, por una sola ocasión y a través del medio que haya elegido para recibir notificaciones, con el objeto de que subsane las omisiones den</w:t>
      </w:r>
      <w:r>
        <w:rPr>
          <w:rFonts w:ascii="Palatino Linotype" w:eastAsia="Palatino Linotype" w:hAnsi="Palatino Linotype" w:cs="Palatino Linotype"/>
          <w:i/>
          <w:sz w:val="22"/>
          <w:szCs w:val="22"/>
        </w:rPr>
        <w:t xml:space="preserve">tro de un plazo que no podrá exceder de cinco días hábiles, contados a partir del día siguiente de la notificación de la prevención, con el apercibimiento de que, de no cumplir, se desechará el recurso de revisión. </w:t>
      </w:r>
    </w:p>
    <w:p w:rsidR="006F0A8F" w:rsidRDefault="008E20B0">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prevención tendrá el efecto de interr</w:t>
      </w:r>
      <w:r>
        <w:rPr>
          <w:rFonts w:ascii="Palatino Linotype" w:eastAsia="Palatino Linotype" w:hAnsi="Palatino Linotype" w:cs="Palatino Linotype"/>
          <w:i/>
          <w:sz w:val="22"/>
          <w:szCs w:val="22"/>
        </w:rPr>
        <w:t xml:space="preserve">umpir el plazo que tiene el Instituto para resolver el recurso, por lo que comenzará a computarse a partir del día siguiente a su desahogo. No podrá prevenirse por el nombre que proporcione el solicitante. </w:t>
      </w:r>
    </w:p>
    <w:p w:rsidR="006F0A8F" w:rsidRDefault="008E20B0">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Instituto resolverá el recurso de revisión en </w:t>
      </w:r>
      <w:r>
        <w:rPr>
          <w:rFonts w:ascii="Palatino Linotype" w:eastAsia="Palatino Linotype" w:hAnsi="Palatino Linotype" w:cs="Palatino Linotype"/>
          <w:i/>
          <w:sz w:val="22"/>
          <w:szCs w:val="22"/>
        </w:rPr>
        <w:t xml:space="preserve">un plazo que no podrá exceder de treinta días hábiles, contados a partir de la admisión del mismo, en los términos que establezca la presente ley, plazo que podrá ampliarse por una sola vez y hasta por un periodo de quince días hábiles. </w:t>
      </w:r>
    </w:p>
    <w:p w:rsidR="006F0A8F" w:rsidRDefault="008E20B0">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Durante el procedi</w:t>
      </w:r>
      <w:r>
        <w:rPr>
          <w:rFonts w:ascii="Palatino Linotype" w:eastAsia="Palatino Linotype" w:hAnsi="Palatino Linotype" w:cs="Palatino Linotype"/>
          <w:i/>
          <w:sz w:val="22"/>
          <w:szCs w:val="22"/>
        </w:rPr>
        <w:t xml:space="preserve">miento deberá aplicarse la suplencia de la queja a favor del recurrente, sin cambiar los hechos expuestos, asegurándose de que las partes puedan presentar, de manera oral o escrita, los argumentos que funden y motiven sus pretensiones. </w:t>
      </w:r>
    </w:p>
    <w:p w:rsidR="006F0A8F" w:rsidRDefault="008E20B0">
      <w:pPr>
        <w:spacing w:after="120"/>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Para el caso de int</w:t>
      </w:r>
      <w:r>
        <w:rPr>
          <w:rFonts w:ascii="Palatino Linotype" w:eastAsia="Palatino Linotype" w:hAnsi="Palatino Linotype" w:cs="Palatino Linotype"/>
          <w:i/>
          <w:sz w:val="22"/>
          <w:szCs w:val="22"/>
        </w:rPr>
        <w:t>erposición del recurso de revisión a través de la Plataforma Nacional o la plataforma que para tales efectos habilite el Instituto, éste podrá solicitar al particular subsane las deficiencias por ese medio.”</w:t>
      </w:r>
    </w:p>
    <w:p w:rsidR="006F0A8F" w:rsidRDefault="008E20B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la interpretación sistemática a los artículos</w:t>
      </w:r>
      <w:r>
        <w:rPr>
          <w:rFonts w:ascii="Palatino Linotype" w:eastAsia="Palatino Linotype" w:hAnsi="Palatino Linotype" w:cs="Palatino Linotype"/>
        </w:rPr>
        <w:t xml:space="preserve"> transcritos se advierten los requisitos de los recursos de revisión y por el otro la potestad de este Instituto para requerir al recurrente, por una sola ocasión y a través del medio que haya elegido para recibir notificaciones a fin de que subsane las om</w:t>
      </w:r>
      <w:r>
        <w:rPr>
          <w:rFonts w:ascii="Palatino Linotype" w:eastAsia="Palatino Linotype" w:hAnsi="Palatino Linotype" w:cs="Palatino Linotype"/>
        </w:rPr>
        <w:t>isiones de sus recursos o bien que aplique la suplencia de la queja a favor del recurrente sin cambiar los hechos expuestos.</w:t>
      </w:r>
    </w:p>
    <w:p w:rsidR="006F0A8F" w:rsidRDefault="008E20B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Sobre el particular, de la revisión al expediente electrónico del SAIMEX se desprende que la parte solicitante, en ejercicio de su </w:t>
      </w:r>
      <w:r>
        <w:rPr>
          <w:rFonts w:ascii="Palatino Linotype" w:eastAsia="Palatino Linotype" w:hAnsi="Palatino Linotype" w:cs="Palatino Linotype"/>
        </w:rPr>
        <w:t xml:space="preserve">derecho de acceso a la información pública, y ahora recurrente, </w:t>
      </w:r>
      <w:r>
        <w:rPr>
          <w:rFonts w:ascii="Palatino Linotype" w:eastAsia="Palatino Linotype" w:hAnsi="Palatino Linotype" w:cs="Palatino Linotype"/>
          <w:b/>
          <w:color w:val="000000"/>
        </w:rPr>
        <w:t>no proporcionó datos que lo hagan identificable, por ende no se tiene certeza sobre su identidad,</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lo que en estricto sentido provoca que no se colmen los requisitos establecidos en el citado a</w:t>
      </w:r>
      <w:r>
        <w:rPr>
          <w:rFonts w:ascii="Palatino Linotype" w:eastAsia="Palatino Linotype" w:hAnsi="Palatino Linotype" w:cs="Palatino Linotype"/>
        </w:rPr>
        <w:t>rtículo 180 de la Ley de Transparencia.</w:t>
      </w:r>
    </w:p>
    <w:p w:rsidR="006F0A8F" w:rsidRDefault="008E20B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Empero lo anterior, debe destacarse que el artículo 15 de Ley de Transparencia y Acceso a la Información Pública del Estado de México y Municipios prevé que toda persona tendrá acceso a la información sin necesidad d</w:t>
      </w:r>
      <w:r>
        <w:rPr>
          <w:rFonts w:ascii="Palatino Linotype" w:eastAsia="Palatino Linotype" w:hAnsi="Palatino Linotype" w:cs="Palatino Linotype"/>
        </w:rPr>
        <w:t xml:space="preserve">e acreditar interés alguno o justificar su utilización, de lo que se infiere que para el ejercicio del derecho de acceso a la información pública, el nombre no es un requisito </w:t>
      </w:r>
      <w:r>
        <w:rPr>
          <w:rFonts w:ascii="Palatino Linotype" w:eastAsia="Palatino Linotype" w:hAnsi="Palatino Linotype" w:cs="Palatino Linotype"/>
          <w:b/>
          <w:i/>
        </w:rPr>
        <w:t>sine qua non</w:t>
      </w:r>
      <w:r>
        <w:rPr>
          <w:rFonts w:ascii="Palatino Linotype" w:eastAsia="Palatino Linotype" w:hAnsi="Palatino Linotype" w:cs="Palatino Linotype"/>
        </w:rPr>
        <w:t xml:space="preserve"> que los particulares y, en su caso, los recurrentes deban señalar, </w:t>
      </w:r>
      <w:r>
        <w:rPr>
          <w:rFonts w:ascii="Palatino Linotype" w:eastAsia="Palatino Linotype" w:hAnsi="Palatino Linotype" w:cs="Palatino Linotype"/>
        </w:rPr>
        <w:t>por el contrario la Ley de Transparencia prevé en su artículo 155, párrafos segundo, tercero y cuarto, la posibilidad de que las solicitudes de información sean anónimas, con nombre incompleto o seudónimo.</w:t>
      </w:r>
    </w:p>
    <w:p w:rsidR="006F0A8F" w:rsidRDefault="008E20B0">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Correlativo a ello, cabe mencionar que los artículos 6, apartado A, fracciones I, II, III y IV de la Constitución Política de los Estados Unidos Mexicanos y 5 vigésimo segundo, vigésimo tercero y vigésimo cuarto fracciones I, III, y V de la Constitución Po</w:t>
      </w:r>
      <w:r>
        <w:rPr>
          <w:rFonts w:ascii="Palatino Linotype" w:eastAsia="Palatino Linotype" w:hAnsi="Palatino Linotype" w:cs="Palatino Linotype"/>
        </w:rPr>
        <w:t xml:space="preserve">lítica del Estado Libre y Soberano de México, garantizan el ejercicio del derecho de acceso a la información pública, toda vez que disponen que toda persona sin necesidad de acreditar interés alguno o justificar su utilización, tendrá acceso gratuito a la </w:t>
      </w:r>
      <w:r>
        <w:rPr>
          <w:rFonts w:ascii="Palatino Linotype" w:eastAsia="Palatino Linotype" w:hAnsi="Palatino Linotype" w:cs="Palatino Linotype"/>
        </w:rPr>
        <w:t>información pública; preceptos cuyo texto y sentido literal es el siguiente:</w:t>
      </w:r>
    </w:p>
    <w:p w:rsidR="006F0A8F" w:rsidRDefault="008E20B0">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“Artículo 6°.- La manifestación de las ideas no será objeto de ninguna inquisición judicial o administrativa, sino en el caso de que ataque a la moral, la vida privada o los derechos de terceros, provoque algún delito, o perturbe el orden público; el dere</w:t>
      </w:r>
      <w:r>
        <w:rPr>
          <w:rFonts w:ascii="Palatino Linotype" w:eastAsia="Palatino Linotype" w:hAnsi="Palatino Linotype" w:cs="Palatino Linotype"/>
          <w:i/>
          <w:sz w:val="22"/>
          <w:szCs w:val="22"/>
        </w:rPr>
        <w:t>cho de réplica será ejercido en los términos dispuestos por la ley. El derecho a la información será garantizado por el Estado.</w:t>
      </w:r>
    </w:p>
    <w:p w:rsidR="006F0A8F" w:rsidRDefault="008E20B0">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F0A8F" w:rsidRDefault="008E20B0">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Para efectos de lo dispuesto en el presente artículo se observará lo siguiente: </w:t>
      </w:r>
    </w:p>
    <w:p w:rsidR="006F0A8F" w:rsidRDefault="008E20B0">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Para el ejercicio del derecho de acceso</w:t>
      </w:r>
      <w:r>
        <w:rPr>
          <w:rFonts w:ascii="Palatino Linotype" w:eastAsia="Palatino Linotype" w:hAnsi="Palatino Linotype" w:cs="Palatino Linotype"/>
          <w:i/>
          <w:sz w:val="22"/>
          <w:szCs w:val="22"/>
        </w:rPr>
        <w:t xml:space="preserve"> a la información, la Federación, los Estados y el Distrito Federal, en el ámbito de sus respectivas competencias, se regirán por los siguientes principios y bases: </w:t>
      </w:r>
    </w:p>
    <w:p w:rsidR="006F0A8F" w:rsidRDefault="008E20B0">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Toda la información en posesión de cualquier autoridad, entidad, órgano y organismo de </w:t>
      </w:r>
      <w:r>
        <w:rPr>
          <w:rFonts w:ascii="Palatino Linotype" w:eastAsia="Palatino Linotype" w:hAnsi="Palatino Linotype" w:cs="Palatino Linotype"/>
          <w:i/>
          <w:sz w:val="22"/>
          <w:szCs w:val="22"/>
        </w:rPr>
        <w:t>los Poderes Ejecutivo, Legislativo y Judicial, órganos autónomos, partidos políticos, fideicomisos y fondos públicos, así como de cualquier persona física, moral o sindicato que reciba y ejerza recursos públicos o realice actos de autoridad en el ámbito fe</w:t>
      </w:r>
      <w:r>
        <w:rPr>
          <w:rFonts w:ascii="Palatino Linotype" w:eastAsia="Palatino Linotype" w:hAnsi="Palatino Linotype" w:cs="Palatino Linotype"/>
          <w:i/>
          <w:sz w:val="22"/>
          <w:szCs w:val="22"/>
        </w:rPr>
        <w:t>deral, estatal y municipal, es pública y sólo podrá ser reservada temporalmente por razones de interés público y seguridad nacional, en los términos que fijen las leyes. En la interpretación de este derecho deberá prevalecer el principio de máxima publicid</w:t>
      </w:r>
      <w:r>
        <w:rPr>
          <w:rFonts w:ascii="Palatino Linotype" w:eastAsia="Palatino Linotype" w:hAnsi="Palatino Linotype" w:cs="Palatino Linotype"/>
          <w:i/>
          <w:sz w:val="22"/>
          <w:szCs w:val="22"/>
        </w:rPr>
        <w:t xml:space="preserve">ad. Los sujetos obligados deberán documentar todo acto que derive del ejercicio de sus facultades, competencias o funciones, la ley determinará los supuestos específicos bajo los cuales procederá la declaración de inexistencia de la información. </w:t>
      </w:r>
    </w:p>
    <w:p w:rsidR="006F0A8F" w:rsidRDefault="008E20B0">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La in</w:t>
      </w:r>
      <w:r>
        <w:rPr>
          <w:rFonts w:ascii="Palatino Linotype" w:eastAsia="Palatino Linotype" w:hAnsi="Palatino Linotype" w:cs="Palatino Linotype"/>
          <w:i/>
          <w:sz w:val="22"/>
          <w:szCs w:val="22"/>
        </w:rPr>
        <w:t xml:space="preserve">formación que se refiere a la vida privada y los datos personales será protegida en los términos y con las excepciones que fijen las leyes. </w:t>
      </w:r>
    </w:p>
    <w:p w:rsidR="006F0A8F" w:rsidRDefault="008E20B0">
      <w:pPr>
        <w:spacing w:after="120"/>
        <w:ind w:left="851" w:right="902"/>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III. Toda persona, sin necesidad de acreditar interés alguno o justificar su utilización, tendrá acceso gratuito a </w:t>
      </w:r>
      <w:r>
        <w:rPr>
          <w:rFonts w:ascii="Palatino Linotype" w:eastAsia="Palatino Linotype" w:hAnsi="Palatino Linotype" w:cs="Palatino Linotype"/>
          <w:b/>
          <w:i/>
          <w:sz w:val="22"/>
          <w:szCs w:val="22"/>
          <w:u w:val="single"/>
        </w:rPr>
        <w:t xml:space="preserve">la información pública, a sus datos personales o a la rectificación de éstos. </w:t>
      </w:r>
    </w:p>
    <w:p w:rsidR="006F0A8F" w:rsidRDefault="008E20B0">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Se establecerán mecanismos de acceso a la información y procedimientos de revisión expeditos que se sustanciarán ante los organismos autónomos especializados e imparciales q</w:t>
      </w:r>
      <w:r>
        <w:rPr>
          <w:rFonts w:ascii="Palatino Linotype" w:eastAsia="Palatino Linotype" w:hAnsi="Palatino Linotype" w:cs="Palatino Linotype"/>
          <w:i/>
          <w:sz w:val="22"/>
          <w:szCs w:val="22"/>
        </w:rPr>
        <w:t xml:space="preserve">ue establece esta Constitución.” </w:t>
      </w:r>
    </w:p>
    <w:p w:rsidR="006F0A8F" w:rsidRDefault="008E20B0">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“Artículo 5.- En el Estado de México todos los individuos son iguales y tienen las libertades, derechos y garantías que la Constitución Federal, esta Constitución, los Tratados Internacionales en materia de derechos funda</w:t>
      </w:r>
      <w:r>
        <w:rPr>
          <w:rFonts w:ascii="Palatino Linotype" w:eastAsia="Palatino Linotype" w:hAnsi="Palatino Linotype" w:cs="Palatino Linotype"/>
          <w:i/>
          <w:sz w:val="22"/>
          <w:szCs w:val="22"/>
        </w:rPr>
        <w:t>mentales de los que el Estado Mexicano sea parte y las leyes del Estado establecen.</w:t>
      </w:r>
    </w:p>
    <w:p w:rsidR="006F0A8F" w:rsidRDefault="008E20B0">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F0A8F" w:rsidRDefault="008E20B0">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Para garantizar el ejercicio del derecho de transparencia, acceso a la información pública y protección de datos personales, los poderes públicos y los organismos autó</w:t>
      </w:r>
      <w:r>
        <w:rPr>
          <w:rFonts w:ascii="Palatino Linotype" w:eastAsia="Palatino Linotype" w:hAnsi="Palatino Linotype" w:cs="Palatino Linotype"/>
          <w:i/>
          <w:sz w:val="22"/>
          <w:szCs w:val="22"/>
        </w:rPr>
        <w:t>nomos, transparentarán sus acciones, en términos de las disposiciones aplicables, la información será oportuna, clara, veraz y de fácil acceso.</w:t>
      </w:r>
    </w:p>
    <w:p w:rsidR="006F0A8F" w:rsidRDefault="008E20B0">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derecho se regirá por los principios y bases siguientes:</w:t>
      </w:r>
    </w:p>
    <w:p w:rsidR="006F0A8F" w:rsidRDefault="008E20B0">
      <w:pPr>
        <w:spacing w:after="12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Toda la información en posesión de cualquier au</w:t>
      </w:r>
      <w:r>
        <w:rPr>
          <w:rFonts w:ascii="Palatino Linotype" w:eastAsia="Palatino Linotype" w:hAnsi="Palatino Linotype" w:cs="Palatino Linotype"/>
          <w:i/>
          <w:sz w:val="22"/>
          <w:szCs w:val="22"/>
        </w:rPr>
        <w:t>toridad, entidad, órgano y organismos de los Poderes Ejecutivo, Legislativo y Judicial, órganos autónomos, partidos políticos, fideicomisos y fondos públicos estatales y municipales, así como del gobierno y de la administración pública municipal y sus orga</w:t>
      </w:r>
      <w:r>
        <w:rPr>
          <w:rFonts w:ascii="Palatino Linotype" w:eastAsia="Palatino Linotype" w:hAnsi="Palatino Linotype" w:cs="Palatino Linotype"/>
          <w:i/>
          <w:sz w:val="22"/>
          <w:szCs w:val="22"/>
        </w:rPr>
        <w:t>nismos descentralizados, asimismo de cualquier persona física, jurídica colectiva o sindicato que reciba y ejerza recursos públicos o realice actos de autoridad en el ámbito estatal y municipal, es pública y sólo podrá ser reservada temporalmente por razon</w:t>
      </w:r>
      <w:r>
        <w:rPr>
          <w:rFonts w:ascii="Palatino Linotype" w:eastAsia="Palatino Linotype" w:hAnsi="Palatino Linotype" w:cs="Palatino Linotype"/>
          <w:i/>
          <w:sz w:val="22"/>
          <w:szCs w:val="22"/>
        </w:rPr>
        <w:t>es previstas en la Constitución Política de los Estados Unidos Mexicanos de interés público y seguridad, en los términos que fijen las leyes. En la interpretación de este derecho deberá prevalecer el principio de máxima publicidad. Los sujetos obligados de</w:t>
      </w:r>
      <w:r>
        <w:rPr>
          <w:rFonts w:ascii="Palatino Linotype" w:eastAsia="Palatino Linotype" w:hAnsi="Palatino Linotype" w:cs="Palatino Linotype"/>
          <w:i/>
          <w:sz w:val="22"/>
          <w:szCs w:val="22"/>
        </w:rPr>
        <w:t>berán documentar todo acto que derive del ejercicio de sus facultades, competencias o funciones, la ley determinará los supuestos específicos bajo los cuales procederá la declaración de inexistencia de la información.</w:t>
      </w:r>
    </w:p>
    <w:p w:rsidR="006F0A8F" w:rsidRDefault="008E20B0">
      <w:pPr>
        <w:spacing w:after="12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F0A8F" w:rsidRDefault="008E20B0">
      <w:pPr>
        <w:spacing w:after="120"/>
        <w:ind w:left="567" w:right="709"/>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 III. Toda persona, sin necesidad </w:t>
      </w:r>
      <w:r>
        <w:rPr>
          <w:rFonts w:ascii="Palatino Linotype" w:eastAsia="Palatino Linotype" w:hAnsi="Palatino Linotype" w:cs="Palatino Linotype"/>
          <w:b/>
          <w:i/>
          <w:sz w:val="22"/>
          <w:szCs w:val="22"/>
          <w:u w:val="single"/>
        </w:rPr>
        <w:t>de acreditar interés alguno o justificar su utilización, tendrá acceso gratuito a la información pública, a sus datos personales o a la rectificación de éstos;</w:t>
      </w:r>
    </w:p>
    <w:p w:rsidR="006F0A8F" w:rsidRDefault="008E20B0">
      <w:pPr>
        <w:spacing w:after="12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F0A8F" w:rsidRDefault="008E20B0">
      <w:pPr>
        <w:spacing w:after="120"/>
        <w:ind w:left="567" w:right="70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2"/>
          <w:szCs w:val="22"/>
        </w:rPr>
        <w:t xml:space="preserve"> V. Los procedimientos de acceso a la información pública, de acceso, corrección y supresión</w:t>
      </w:r>
      <w:r>
        <w:rPr>
          <w:rFonts w:ascii="Palatino Linotype" w:eastAsia="Palatino Linotype" w:hAnsi="Palatino Linotype" w:cs="Palatino Linotype"/>
          <w:i/>
          <w:sz w:val="22"/>
          <w:szCs w:val="22"/>
        </w:rPr>
        <w:t xml:space="preserve"> de datos personales, así como los recursos de revisión derivados de los mismos, podrán tramitarse por medios electrónicos, a través de un sistema automatizado que para tal efecto establezca la ley reglamentaria y el organismo autónomo garante en el ámbito</w:t>
      </w:r>
      <w:r>
        <w:rPr>
          <w:rFonts w:ascii="Palatino Linotype" w:eastAsia="Palatino Linotype" w:hAnsi="Palatino Linotype" w:cs="Palatino Linotype"/>
          <w:i/>
          <w:sz w:val="22"/>
          <w:szCs w:val="22"/>
        </w:rPr>
        <w:t xml:space="preserve"> de su competencia. Las resoluciones que correspondan a estos procedimientos se sistematizarán para favorecer su consulta…</w:t>
      </w:r>
      <w:r>
        <w:rPr>
          <w:rFonts w:ascii="Palatino Linotype" w:eastAsia="Palatino Linotype" w:hAnsi="Palatino Linotype" w:cs="Palatino Linotype"/>
          <w:i/>
          <w:sz w:val="20"/>
          <w:szCs w:val="20"/>
        </w:rPr>
        <w:t>”</w:t>
      </w:r>
    </w:p>
    <w:p w:rsidR="006F0A8F" w:rsidRDefault="008E20B0">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Por otra parte, del contenido del artículo 1 de la Constitución Política de los Estados Unidos Mexicanos, se destaca lo siguiente:</w:t>
      </w:r>
    </w:p>
    <w:p w:rsidR="006F0A8F" w:rsidRDefault="008E20B0">
      <w:pPr>
        <w:tabs>
          <w:tab w:val="left" w:pos="7655"/>
        </w:tabs>
        <w:spacing w:after="120"/>
        <w:ind w:left="567" w:right="709"/>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 así como de las garantías para su protección, cuyo e</w:t>
      </w:r>
      <w:r>
        <w:rPr>
          <w:rFonts w:ascii="Palatino Linotype" w:eastAsia="Palatino Linotype" w:hAnsi="Palatino Linotype" w:cs="Palatino Linotype"/>
          <w:b/>
          <w:i/>
          <w:sz w:val="22"/>
          <w:szCs w:val="22"/>
          <w:u w:val="single"/>
        </w:rPr>
        <w:t>jercicio no podrá restringirse ni suspenderse, salvo en los casos y bajo las condiciones que esta Constitución establece.</w:t>
      </w:r>
    </w:p>
    <w:p w:rsidR="006F0A8F" w:rsidRDefault="008E20B0">
      <w:pPr>
        <w:spacing w:after="120"/>
        <w:ind w:left="567" w:right="13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normas relativas a los derechos humanos se interpretarán de conformidad con esta Constitución y con los tratados internacionales de la materia favoreciendo en todo tiempo a las personas la protección más amplia.</w:t>
      </w:r>
    </w:p>
    <w:p w:rsidR="006F0A8F" w:rsidRDefault="008E20B0">
      <w:pPr>
        <w:spacing w:after="12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 autoridades, en el ámbito de s</w:t>
      </w:r>
      <w:r>
        <w:rPr>
          <w:rFonts w:ascii="Palatino Linotype" w:eastAsia="Palatino Linotype" w:hAnsi="Palatino Linotype" w:cs="Palatino Linotype"/>
          <w:i/>
          <w:sz w:val="22"/>
          <w:szCs w:val="22"/>
        </w:rPr>
        <w:t>us competencias, tienen la obligación de promover, respetar, proteger y garantizar los derechos humanos de conformidad con los principios de universalidad, interdependencia, indivisibilidad y progresividad. En consecuencia, el Estado deberá prevenir, inves</w:t>
      </w:r>
      <w:r>
        <w:rPr>
          <w:rFonts w:ascii="Palatino Linotype" w:eastAsia="Palatino Linotype" w:hAnsi="Palatino Linotype" w:cs="Palatino Linotype"/>
          <w:i/>
          <w:sz w:val="22"/>
          <w:szCs w:val="22"/>
        </w:rPr>
        <w:t>tigar, sancionar y reparar las violaciones a los derechos humanos, en los términos que establezca la ley.”</w:t>
      </w:r>
    </w:p>
    <w:p w:rsidR="006F0A8F" w:rsidRDefault="008E20B0">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En esa virtud, de una interpretación sistemática, armónica y progresiva del derecho humano de acceso a la información pública se reitera que toda per</w:t>
      </w:r>
      <w:r>
        <w:rPr>
          <w:rFonts w:ascii="Palatino Linotype" w:eastAsia="Palatino Linotype" w:hAnsi="Palatino Linotype" w:cs="Palatino Linotype"/>
        </w:rPr>
        <w:t>sona, sin necesidad de acreditar interés alguno o justificar su utilización, deberá tener acceso a la información pública, es decir, dicho derecho fundamental exime a quien lo ejerce, de acreditar su legitimación en la causa o su interés en el asunto, lo q</w:t>
      </w:r>
      <w:r>
        <w:rPr>
          <w:rFonts w:ascii="Palatino Linotype" w:eastAsia="Palatino Linotype" w:hAnsi="Palatino Linotype" w:cs="Palatino Linotype"/>
        </w:rPr>
        <w:t>ue permite la posibilidad de que inclusive, la solicitud de acceso a la información pueda ser anónima o no contener un nombre que identifique al solicitante o que permita tener certeza sobre su identidad.</w:t>
      </w:r>
    </w:p>
    <w:p w:rsidR="006F0A8F" w:rsidRDefault="008E20B0">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Robustece lo anterior, el Criterio 6/2014 del enton</w:t>
      </w:r>
      <w:r>
        <w:rPr>
          <w:rFonts w:ascii="Palatino Linotype" w:eastAsia="Palatino Linotype" w:hAnsi="Palatino Linotype" w:cs="Palatino Linotype"/>
        </w:rPr>
        <w:t>ces Instituto Federal de Acceso a la Información y Protección de Datos, el cual se reproduce para una mayor referencia:</w:t>
      </w:r>
    </w:p>
    <w:p w:rsidR="006F0A8F" w:rsidRDefault="008E20B0">
      <w:pPr>
        <w:spacing w:after="12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Acceso a información gubernamental. No debe condicionarse a que el solicitante acredite su personalidad, demuestre interés alguno o jus</w:t>
      </w:r>
      <w:r>
        <w:rPr>
          <w:rFonts w:ascii="Palatino Linotype" w:eastAsia="Palatino Linotype" w:hAnsi="Palatino Linotype" w:cs="Palatino Linotype"/>
          <w:b/>
          <w:i/>
          <w:sz w:val="22"/>
          <w:szCs w:val="22"/>
        </w:rPr>
        <w:t xml:space="preserve">tifique su utilización. </w:t>
      </w:r>
      <w:r>
        <w:rPr>
          <w:rFonts w:ascii="Palatino Linotype" w:eastAsia="Palatino Linotype" w:hAnsi="Palatino Linotype" w:cs="Palatino Linotype"/>
          <w:i/>
          <w:sz w:val="22"/>
          <w:szCs w:val="22"/>
        </w:rPr>
        <w:t>De conformidad con lo dispuesto en los artículos 6o., apartado A, fracción III de la Constitución Política de los Estados Unidos Mexicanos, y 1º, 2º, 4º y 40 de la Ley Federal de Transparencia y Acceso a la Información Pública Gubernamental, la respuesta a</w:t>
      </w:r>
      <w:r>
        <w:rPr>
          <w:rFonts w:ascii="Palatino Linotype" w:eastAsia="Palatino Linotype" w:hAnsi="Palatino Linotype" w:cs="Palatino Linotype"/>
          <w:i/>
          <w:sz w:val="22"/>
          <w:szCs w:val="22"/>
        </w:rPr>
        <w:t xml:space="preserve"> una solicitud de acceso a información y entrega de la misma, no debe estar condicionada a que el particular acredite su personalidad, demuestre interés alguno o justifique su utilización, en virtud de que los sujetos obligados no deben requerir al solicit</w:t>
      </w:r>
      <w:r>
        <w:rPr>
          <w:rFonts w:ascii="Palatino Linotype" w:eastAsia="Palatino Linotype" w:hAnsi="Palatino Linotype" w:cs="Palatino Linotype"/>
          <w:i/>
          <w:sz w:val="22"/>
          <w:szCs w:val="22"/>
        </w:rPr>
        <w:t>ante mayores requisitos que los establecidos en la Ley. En este sentido, las dependencias y entidades, sólo deberán asegurarse de que, en su caso, se haya cubierto el pago de reproducción y envío de la información, mediante la exhibición del recibo corresp</w:t>
      </w:r>
      <w:r>
        <w:rPr>
          <w:rFonts w:ascii="Palatino Linotype" w:eastAsia="Palatino Linotype" w:hAnsi="Palatino Linotype" w:cs="Palatino Linotype"/>
          <w:i/>
          <w:sz w:val="22"/>
          <w:szCs w:val="22"/>
        </w:rPr>
        <w:t>ondiente.”</w:t>
      </w:r>
    </w:p>
    <w:p w:rsidR="006F0A8F" w:rsidRDefault="008E20B0">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En ese orden de ideas, se estima que el requerimiento relativo al nombre como presupuesto de procedibilidad podría limitar el ejercicio del derecho de acceso a la información pública, debido a que el hecho de solicitar la identificación del recu</w:t>
      </w:r>
      <w:r>
        <w:rPr>
          <w:rFonts w:ascii="Palatino Linotype" w:eastAsia="Palatino Linotype" w:hAnsi="Palatino Linotype" w:cs="Palatino Linotype"/>
        </w:rPr>
        <w:t>rrente a través de dicho dato personal, en ciertos extremos se equipara a una exigencia acerca de su interés o justificación de su utilización, lo que materialmente haría nugatorio un derecho fundamental.</w:t>
      </w:r>
    </w:p>
    <w:p w:rsidR="006F0A8F" w:rsidRDefault="008E20B0">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 xml:space="preserve">Aunado a ello, para el estudio de la materia sobre </w:t>
      </w:r>
      <w:r>
        <w:rPr>
          <w:rFonts w:ascii="Palatino Linotype" w:eastAsia="Palatino Linotype" w:hAnsi="Palatino Linotype" w:cs="Palatino Linotype"/>
        </w:rPr>
        <w:t>la que se resuelve el recurso de revisión resulta intrascendente el nombre de la persona que lo hubiere promovido, en virtud de que tanto la Constitución Federal, como la Constitución Política del Estado Libre y Soberano de México, reconocen la prerrogativ</w:t>
      </w:r>
      <w:r>
        <w:rPr>
          <w:rFonts w:ascii="Palatino Linotype" w:eastAsia="Palatino Linotype" w:hAnsi="Palatino Linotype" w:cs="Palatino Linotype"/>
        </w:rPr>
        <w:t xml:space="preserve">a de los individuos para no acreditar dicho interés o justificar su utilización, por lo que este Órgano Garante en la materia se encuentra impedido para realizar dicho análisis, en la inteligencia de que al limitar un derecho humano, como lo es el derecho </w:t>
      </w:r>
      <w:r>
        <w:rPr>
          <w:rFonts w:ascii="Palatino Linotype" w:eastAsia="Palatino Linotype" w:hAnsi="Palatino Linotype" w:cs="Palatino Linotype"/>
        </w:rPr>
        <w:t>de acceso a la información pública, por una cuestión procedimental.</w:t>
      </w:r>
    </w:p>
    <w:p w:rsidR="006F0A8F" w:rsidRDefault="008E20B0">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En consecuencia, dado lo expuesto y fundado con anterioridad, se estima que el requisito relativo al nombre del recurrente no constituye un presupuesto indispensable de procedibilidad de l</w:t>
      </w:r>
      <w:r>
        <w:rPr>
          <w:rFonts w:ascii="Palatino Linotype" w:eastAsia="Palatino Linotype" w:hAnsi="Palatino Linotype" w:cs="Palatino Linotype"/>
        </w:rPr>
        <w:t>os recursos de revisión, en términos de los artículos 25 de la Convención Americana de Derechos Humanos, 1 párrafos segundo y tercero, 6 apartado A, fracciones III y IV de la Constitución Política de los Estados Unidos Mexicanos y 5, párrafo vigésimo cuart</w:t>
      </w:r>
      <w:r>
        <w:rPr>
          <w:rFonts w:ascii="Palatino Linotype" w:eastAsia="Palatino Linotype" w:hAnsi="Palatino Linotype" w:cs="Palatino Linotype"/>
        </w:rPr>
        <w:t>o de la Constitución Política del Estado Libre y Soberano de México, debido a que el acceso a la información pública es un derecho humano que no requiere legitimación en la causa, sino que únicamente basta con que se encuentre legitimado en el procedimient</w:t>
      </w:r>
      <w:r>
        <w:rPr>
          <w:rFonts w:ascii="Palatino Linotype" w:eastAsia="Palatino Linotype" w:hAnsi="Palatino Linotype" w:cs="Palatino Linotype"/>
        </w:rPr>
        <w:t>o de recurso de revisión, circunstancia que se acredita en las constancias electrónicas del expediente en revisión, de las que se desprende que la parte recurrente, es la misma que realizó la solicitud de acceso a la información pública que ahora se impugn</w:t>
      </w:r>
      <w:r>
        <w:rPr>
          <w:rFonts w:ascii="Palatino Linotype" w:eastAsia="Palatino Linotype" w:hAnsi="Palatino Linotype" w:cs="Palatino Linotype"/>
        </w:rPr>
        <w:t>a.</w:t>
      </w:r>
    </w:p>
    <w:p w:rsidR="006F0A8F" w:rsidRDefault="008E20B0">
      <w:pPr>
        <w:spacing w:before="240" w:after="240"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w:t>
      </w:r>
      <w:r>
        <w:rPr>
          <w:rFonts w:ascii="Palatino Linotype" w:eastAsia="Palatino Linotype" w:hAnsi="Palatino Linotype" w:cs="Palatino Linotype"/>
        </w:rPr>
        <w:t xml:space="preserve"> Transparencia y Acceso a la Información Pública del Estado de México y Municipios, en atención a que fue presentado mediante el formato visible en el SAIMEX.</w:t>
      </w:r>
    </w:p>
    <w:p w:rsidR="006F0A8F" w:rsidRDefault="008E20B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w:t>
      </w:r>
      <w:r>
        <w:rPr>
          <w:rFonts w:ascii="Palatino Linotype" w:eastAsia="Palatino Linotype" w:hAnsi="Palatino Linotype" w:cs="Palatino Linotype"/>
        </w:rPr>
        <w:t xml:space="preserve"> por el recurrente en sus motivos de inconformidad, de acuerdo a los artículos 176 y 179, fracción V del ordenamiento legal citado, que a la letra dice: </w:t>
      </w:r>
    </w:p>
    <w:p w:rsidR="006F0A8F" w:rsidRDefault="008E20B0">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176.</w:t>
      </w:r>
      <w:r>
        <w:rPr>
          <w:rFonts w:ascii="Palatino Linotype" w:eastAsia="Palatino Linotype" w:hAnsi="Palatino Linotype" w:cs="Palatino Linotype"/>
          <w:i/>
          <w:sz w:val="22"/>
          <w:szCs w:val="22"/>
        </w:rPr>
        <w:t xml:space="preserve"> El recurso de revisión es la garantía secundaria mediante la cual se pretende reparar c</w:t>
      </w:r>
      <w:r>
        <w:rPr>
          <w:rFonts w:ascii="Palatino Linotype" w:eastAsia="Palatino Linotype" w:hAnsi="Palatino Linotype" w:cs="Palatino Linotype"/>
          <w:i/>
          <w:sz w:val="22"/>
          <w:szCs w:val="22"/>
        </w:rPr>
        <w:t>ualquier posible afectación al derecho de acceso a la información pública en términos del presente y del siguiente Capítulo.</w:t>
      </w:r>
    </w:p>
    <w:p w:rsidR="006F0A8F" w:rsidRDefault="008E20B0">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w:t>
      </w:r>
      <w:r>
        <w:rPr>
          <w:rFonts w:ascii="Palatino Linotype" w:eastAsia="Palatino Linotype" w:hAnsi="Palatino Linotype" w:cs="Palatino Linotype"/>
          <w:i/>
          <w:sz w:val="22"/>
          <w:szCs w:val="22"/>
        </w:rPr>
        <w:t xml:space="preserve"> acceso a la información pública, y procederá en contra de las siguientes causas:</w:t>
      </w:r>
    </w:p>
    <w:p w:rsidR="006F0A8F" w:rsidRDefault="008E20B0">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F0A8F" w:rsidRDefault="008E20B0">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La entrega de información incompleta;</w:t>
      </w:r>
      <w:r>
        <w:rPr>
          <w:rFonts w:ascii="Palatino Linotype" w:eastAsia="Palatino Linotype" w:hAnsi="Palatino Linotype" w:cs="Palatino Linotype"/>
          <w:i/>
          <w:sz w:val="22"/>
          <w:szCs w:val="22"/>
        </w:rPr>
        <w:t>”</w:t>
      </w:r>
    </w:p>
    <w:p w:rsidR="006F0A8F" w:rsidRDefault="008E20B0">
      <w:pPr>
        <w:pBdr>
          <w:top w:val="nil"/>
          <w:left w:val="nil"/>
          <w:bottom w:val="nil"/>
          <w:right w:val="nil"/>
          <w:between w:val="nil"/>
        </w:pBdr>
        <w:spacing w:before="120" w:after="12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rsidR="006F0A8F" w:rsidRDefault="008E20B0">
      <w:pPr>
        <w:spacing w:before="280" w:after="280" w:line="360" w:lineRule="auto"/>
        <w:jc w:val="both"/>
        <w:rPr>
          <w:rFonts w:ascii="Palatino Linotype" w:eastAsia="Palatino Linotype" w:hAnsi="Palatino Linotype" w:cs="Palatino Linotype"/>
        </w:rPr>
      </w:pPr>
      <w:bookmarkStart w:id="3" w:name="_heading=h.1fob9te" w:colFirst="0" w:colLast="0"/>
      <w:bookmarkEnd w:id="3"/>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 xml:space="preserve">verificar si la respuesta otorgada por el Sujeto </w:t>
      </w:r>
      <w:r>
        <w:rPr>
          <w:rFonts w:ascii="Palatino Linotype" w:eastAsia="Palatino Linotype" w:hAnsi="Palatino Linotype" w:cs="Palatino Linotype"/>
          <w:b/>
        </w:rPr>
        <w:t xml:space="preserve">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rsidR="006F0A8F" w:rsidRDefault="008E20B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Previo al estudio de</w:t>
      </w:r>
      <w:r>
        <w:rPr>
          <w:rFonts w:ascii="Palatino Linotype" w:eastAsia="Palatino Linotype" w:hAnsi="Palatino Linotype" w:cs="Palatino Linotype"/>
        </w:rPr>
        <w:t>l presente asunto, es conveniente recordar que la parte solicitante requirió al sujeto obligado le proporcionara lo siguiente:</w:t>
      </w:r>
    </w:p>
    <w:p w:rsidR="006F0A8F" w:rsidRDefault="008E20B0">
      <w:pPr>
        <w:numPr>
          <w:ilvl w:val="0"/>
          <w:numId w:val="2"/>
        </w:numPr>
        <w:pBdr>
          <w:top w:val="nil"/>
          <w:left w:val="nil"/>
          <w:bottom w:val="nil"/>
          <w:right w:val="nil"/>
          <w:between w:val="nil"/>
        </w:pBdr>
        <w:spacing w:before="240" w:after="240" w:line="360" w:lineRule="auto"/>
        <w:ind w:left="567" w:right="709"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últimos 3 programas municipales de turismo sostenible y desarrollo artesanal, tal y como lo establece el Artículo 9, Fracción</w:t>
      </w:r>
      <w:r>
        <w:rPr>
          <w:rFonts w:ascii="Palatino Linotype" w:eastAsia="Palatino Linotype" w:hAnsi="Palatino Linotype" w:cs="Palatino Linotype"/>
          <w:color w:val="000000"/>
        </w:rPr>
        <w:t xml:space="preserve"> 1ra de la Ley de Turismo Sostenible y Desarrollo Artesanal del Estado de México.</w:t>
      </w:r>
    </w:p>
    <w:p w:rsidR="006F0A8F" w:rsidRDefault="008E20B0">
      <w:pPr>
        <w:spacing w:before="240" w:after="240" w:line="360" w:lineRule="auto"/>
        <w:jc w:val="both"/>
        <w:rPr>
          <w:rFonts w:ascii="Palatino Linotype" w:eastAsia="Palatino Linotype" w:hAnsi="Palatino Linotype" w:cs="Palatino Linotype"/>
        </w:rPr>
      </w:pPr>
      <w:bookmarkStart w:id="4" w:name="_heading=h.3znysh7" w:colFirst="0" w:colLast="0"/>
      <w:bookmarkEnd w:id="4"/>
      <w:r>
        <w:rPr>
          <w:rFonts w:ascii="Palatino Linotype" w:eastAsia="Palatino Linotype" w:hAnsi="Palatino Linotype" w:cs="Palatino Linotype"/>
        </w:rPr>
        <w:t xml:space="preserve">En respuesta, el Sujeto Obligado remitió los archivos electrónicos que se detallan a continuación: </w:t>
      </w:r>
    </w:p>
    <w:p w:rsidR="006F0A8F" w:rsidRDefault="008E20B0">
      <w:pPr>
        <w:spacing w:before="240" w:after="240" w:line="360" w:lineRule="auto"/>
        <w:ind w:left="567" w:right="709"/>
        <w:jc w:val="both"/>
        <w:rPr>
          <w:rFonts w:ascii="Palatino Linotype" w:eastAsia="Palatino Linotype" w:hAnsi="Palatino Linotype" w:cs="Palatino Linotype"/>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resp 729.pdf”: </w:t>
      </w:r>
      <w:r>
        <w:rPr>
          <w:rFonts w:ascii="Palatino Linotype" w:eastAsia="Palatino Linotype" w:hAnsi="Palatino Linotype" w:cs="Palatino Linotype"/>
        </w:rPr>
        <w:t xml:space="preserve">Oficio 210010000/427/2021, signado por la Directora General de Fomento Económico dirigido a la parte solicitante mediante el cual hace de su conocimiento que notifica la respuesta. </w:t>
      </w:r>
      <w:r>
        <w:rPr>
          <w:noProof/>
          <w:lang w:val="es-MX"/>
        </w:rPr>
        <mc:AlternateContent>
          <mc:Choice Requires="wpg">
            <w:drawing>
              <wp:anchor distT="0" distB="0" distL="114300" distR="114300" simplePos="0" relativeHeight="251658240" behindDoc="0" locked="0" layoutInCell="1" hidden="0" allowOverlap="1">
                <wp:simplePos x="0" y="0"/>
                <wp:positionH relativeFrom="column">
                  <wp:posOffset>355600</wp:posOffset>
                </wp:positionH>
                <wp:positionV relativeFrom="paragraph">
                  <wp:posOffset>939800</wp:posOffset>
                </wp:positionV>
                <wp:extent cx="4686300" cy="2905125"/>
                <wp:effectExtent l="0" t="0" r="0" b="0"/>
                <wp:wrapNone/>
                <wp:docPr id="20" name=""/>
                <wp:cNvGraphicFramePr/>
                <a:graphic xmlns:a="http://schemas.openxmlformats.org/drawingml/2006/main">
                  <a:graphicData uri="http://schemas.microsoft.com/office/word/2010/wordprocessingShape">
                    <wps:wsp>
                      <wps:cNvCnPr/>
                      <wps:spPr>
                        <a:xfrm flipH="1">
                          <a:off x="3012375" y="2336963"/>
                          <a:ext cx="4667250" cy="288607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939800</wp:posOffset>
                </wp:positionV>
                <wp:extent cx="4686300" cy="2905125"/>
                <wp:effectExtent b="0" l="0" r="0" t="0"/>
                <wp:wrapNone/>
                <wp:docPr id="20"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4686300" cy="2905125"/>
                        </a:xfrm>
                        <a:prstGeom prst="rect"/>
                        <a:ln/>
                      </pic:spPr>
                    </pic:pic>
                  </a:graphicData>
                </a:graphic>
              </wp:anchor>
            </w:drawing>
          </mc:Fallback>
        </mc:AlternateContent>
      </w:r>
    </w:p>
    <w:p w:rsidR="006F0A8F" w:rsidRDefault="008E20B0">
      <w:pPr>
        <w:spacing w:before="240" w:after="240" w:line="360" w:lineRule="auto"/>
        <w:ind w:left="567" w:right="70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678050" cy="5473970"/>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678050" cy="5473970"/>
                    </a:xfrm>
                    <a:prstGeom prst="rect">
                      <a:avLst/>
                    </a:prstGeom>
                    <a:ln/>
                  </pic:spPr>
                </pic:pic>
              </a:graphicData>
            </a:graphic>
          </wp:inline>
        </w:drawing>
      </w:r>
    </w:p>
    <w:p w:rsidR="006F0A8F" w:rsidRDefault="008E20B0">
      <w:pPr>
        <w:spacing w:before="240" w:after="240" w:line="360" w:lineRule="auto"/>
        <w:ind w:left="567" w:right="709"/>
        <w:jc w:val="both"/>
        <w:rPr>
          <w:rFonts w:ascii="Palatino Linotype" w:eastAsia="Palatino Linotype" w:hAnsi="Palatino Linotype" w:cs="Palatino Linotype"/>
        </w:rPr>
      </w:pPr>
      <w:r>
        <w:rPr>
          <w:rFonts w:ascii="Palatino Linotype" w:eastAsia="Palatino Linotype" w:hAnsi="Palatino Linotype" w:cs="Palatino Linotype"/>
          <w:b/>
          <w:i/>
        </w:rPr>
        <w:t xml:space="preserve">“oficio 033.pdf”: </w:t>
      </w:r>
      <w:r>
        <w:rPr>
          <w:rFonts w:ascii="Palatino Linotype" w:eastAsia="Palatino Linotype" w:hAnsi="Palatino Linotype" w:cs="Palatino Linotype"/>
        </w:rPr>
        <w:t>Oficio 210011000/033/2021, signado por la Encargada d</w:t>
      </w:r>
      <w:r>
        <w:rPr>
          <w:rFonts w:ascii="Palatino Linotype" w:eastAsia="Palatino Linotype" w:hAnsi="Palatino Linotype" w:cs="Palatino Linotype"/>
        </w:rPr>
        <w:t>e Despacho de la Dirección de Promoción Económica, Turismo y Empleo en el que manifiesta que en cumplimiento a la Ley de Turismo Sostenible y Desarrollo Artesanal del Estado de México que entró en vigor el 6 de enero de 2021, elaboraron el Programa Municip</w:t>
      </w:r>
      <w:r>
        <w:rPr>
          <w:rFonts w:ascii="Palatino Linotype" w:eastAsia="Palatino Linotype" w:hAnsi="Palatino Linotype" w:cs="Palatino Linotype"/>
        </w:rPr>
        <w:t>al de Turismo y Desarrollo Artesanal, Registro Municipal, Catálogo Municipal de Servicios Turísticos y el Registro Municipal de Artesanas y Artesanos de Toluca, los cuales fueron remitidos a las instancias estatales competentes para la creación del Registr</w:t>
      </w:r>
      <w:r>
        <w:rPr>
          <w:rFonts w:ascii="Palatino Linotype" w:eastAsia="Palatino Linotype" w:hAnsi="Palatino Linotype" w:cs="Palatino Linotype"/>
        </w:rPr>
        <w:t xml:space="preserve">o Estatal de Turismo Sostenible, el Registro Estatal de Artesanas y Artesanos y el Catálogo Mexiquense. </w:t>
      </w:r>
      <w:r>
        <w:rPr>
          <w:noProof/>
          <w:lang w:val="es-MX"/>
        </w:rPr>
        <w:drawing>
          <wp:anchor distT="0" distB="0" distL="114300" distR="114300" simplePos="0" relativeHeight="251659264" behindDoc="0" locked="0" layoutInCell="1" hidden="0" allowOverlap="1">
            <wp:simplePos x="0" y="0"/>
            <wp:positionH relativeFrom="column">
              <wp:posOffset>634365</wp:posOffset>
            </wp:positionH>
            <wp:positionV relativeFrom="paragraph">
              <wp:posOffset>1694179</wp:posOffset>
            </wp:positionV>
            <wp:extent cx="4420235" cy="5410200"/>
            <wp:effectExtent l="0" t="0" r="0" b="0"/>
            <wp:wrapTopAndBottom distT="0" dist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420235" cy="5410200"/>
                    </a:xfrm>
                    <a:prstGeom prst="rect">
                      <a:avLst/>
                    </a:prstGeom>
                    <a:ln/>
                  </pic:spPr>
                </pic:pic>
              </a:graphicData>
            </a:graphic>
          </wp:anchor>
        </w:drawing>
      </w:r>
    </w:p>
    <w:p w:rsidR="006F0A8F" w:rsidRDefault="006F0A8F">
      <w:pPr>
        <w:spacing w:before="240" w:after="240" w:line="360" w:lineRule="auto"/>
        <w:ind w:left="567" w:right="709"/>
        <w:jc w:val="both"/>
        <w:rPr>
          <w:rFonts w:ascii="Palatino Linotype" w:eastAsia="Palatino Linotype" w:hAnsi="Palatino Linotype" w:cs="Palatino Linotype"/>
        </w:rPr>
      </w:pPr>
    </w:p>
    <w:p w:rsidR="006F0A8F" w:rsidRDefault="008E20B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esta tesitura, una vez conocida la respuesta emitida por el Sujeto Obligado,  el particular, al no estar conforme con los términos de la misma, interpuso el recurso de revisión que nos ocupa, donde señaló como motivos de inconformidad: “</w:t>
      </w:r>
      <w:r>
        <w:rPr>
          <w:rFonts w:ascii="Palatino Linotype" w:eastAsia="Palatino Linotype" w:hAnsi="Palatino Linotype" w:cs="Palatino Linotype"/>
          <w:i/>
        </w:rPr>
        <w:t xml:space="preserve">En la respuesta </w:t>
      </w:r>
      <w:r>
        <w:rPr>
          <w:rFonts w:ascii="Palatino Linotype" w:eastAsia="Palatino Linotype" w:hAnsi="Palatino Linotype" w:cs="Palatino Linotype"/>
          <w:i/>
        </w:rPr>
        <w:t xml:space="preserve">que se me hizo llegar, </w:t>
      </w:r>
      <w:r>
        <w:rPr>
          <w:rFonts w:ascii="Palatino Linotype" w:eastAsia="Palatino Linotype" w:hAnsi="Palatino Linotype" w:cs="Palatino Linotype"/>
          <w:b/>
          <w:i/>
          <w:u w:val="single"/>
        </w:rPr>
        <w:t>notifican que lo solicitado se elaboró en conformidad</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a lo establecido en la ley y que fue remitido a las autoridades correspondientes, sin embargo, no me hicieron llegar los últimos tres Programas Municipales de Turismo Sostenible y</w:t>
      </w:r>
      <w:r>
        <w:rPr>
          <w:rFonts w:ascii="Palatino Linotype" w:eastAsia="Palatino Linotype" w:hAnsi="Palatino Linotype" w:cs="Palatino Linotype"/>
          <w:b/>
          <w:i/>
          <w:u w:val="single"/>
        </w:rPr>
        <w:t xml:space="preserve"> Desarrollo Artesanal</w:t>
      </w:r>
      <w:r>
        <w:rPr>
          <w:rFonts w:ascii="Palatino Linotype" w:eastAsia="Palatino Linotype" w:hAnsi="Palatino Linotype" w:cs="Palatino Linotype"/>
          <w:i/>
        </w:rPr>
        <w:t xml:space="preserve"> que son los documentos que solicité desde el principio.”, </w:t>
      </w:r>
      <w:r>
        <w:rPr>
          <w:rFonts w:ascii="Palatino Linotype" w:eastAsia="Palatino Linotype" w:hAnsi="Palatino Linotype" w:cs="Palatino Linotype"/>
        </w:rPr>
        <w:t>es decir, la entrega de la información incompleta.</w:t>
      </w:r>
    </w:p>
    <w:p w:rsidR="006F0A8F" w:rsidRDefault="008E20B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las cosas, durante la etapa de manifestaciones, el Sujeto Obligado rindió su informe justificado, consistente en los arch</w:t>
      </w:r>
      <w:r>
        <w:rPr>
          <w:rFonts w:ascii="Palatino Linotype" w:eastAsia="Palatino Linotype" w:hAnsi="Palatino Linotype" w:cs="Palatino Linotype"/>
        </w:rPr>
        <w:t xml:space="preserve">ivos electrónicos denominados </w:t>
      </w:r>
      <w:r>
        <w:rPr>
          <w:rFonts w:ascii="Palatino Linotype" w:eastAsia="Palatino Linotype" w:hAnsi="Palatino Linotype" w:cs="Palatino Linotype"/>
          <w:b/>
          <w:i/>
        </w:rPr>
        <w:t xml:space="preserve">“4594 FOMENTO ECONOMICO.pdf” y “Informe Justificado 4594 FOMENTO ECONOMICO.pdf“, </w:t>
      </w:r>
      <w:r>
        <w:rPr>
          <w:rFonts w:ascii="Palatino Linotype" w:eastAsia="Palatino Linotype" w:hAnsi="Palatino Linotype" w:cs="Palatino Linotype"/>
        </w:rPr>
        <w:t xml:space="preserve">de los cuales se advierte el siguiente contenido: </w:t>
      </w:r>
    </w:p>
    <w:p w:rsidR="006F0A8F" w:rsidRDefault="008E20B0">
      <w:pPr>
        <w:spacing w:before="240" w:after="240" w:line="360" w:lineRule="auto"/>
        <w:ind w:left="567" w:right="709"/>
        <w:jc w:val="both"/>
        <w:rPr>
          <w:rFonts w:ascii="Palatino Linotype" w:eastAsia="Palatino Linotype" w:hAnsi="Palatino Linotype" w:cs="Palatino Linotype"/>
          <w:i/>
        </w:rPr>
      </w:pPr>
      <w:bookmarkStart w:id="5" w:name="_heading=h.2et92p0" w:colFirst="0" w:colLast="0"/>
      <w:bookmarkEnd w:id="5"/>
      <w:r>
        <w:rPr>
          <w:rFonts w:ascii="Palatino Linotype" w:eastAsia="Palatino Linotype" w:hAnsi="Palatino Linotype" w:cs="Palatino Linotype"/>
          <w:b/>
          <w:i/>
        </w:rPr>
        <w:t xml:space="preserve">“4594 FOMENTO ECONOMICO.pdf”: </w:t>
      </w:r>
      <w:r>
        <w:rPr>
          <w:rFonts w:ascii="Palatino Linotype" w:eastAsia="Palatino Linotype" w:hAnsi="Palatino Linotype" w:cs="Palatino Linotype"/>
        </w:rPr>
        <w:t>Consistente de 110 fojas, debe precisarse que en la primera foja</w:t>
      </w:r>
      <w:r>
        <w:rPr>
          <w:rFonts w:ascii="Palatino Linotype" w:eastAsia="Palatino Linotype" w:hAnsi="Palatino Linotype" w:cs="Palatino Linotype"/>
        </w:rPr>
        <w:t xml:space="preserve"> se advierte un oficio con número de folio 210010000/480/2021 en el que la Directora General de Fomento Económico refiere a la Titular de la Unidad de Transparencia que se remitió a la autoridad competente el Programa Municipal de Turismo Sostenible y Desa</w:t>
      </w:r>
      <w:r>
        <w:rPr>
          <w:rFonts w:ascii="Palatino Linotype" w:eastAsia="Palatino Linotype" w:hAnsi="Palatino Linotype" w:cs="Palatino Linotype"/>
        </w:rPr>
        <w:t xml:space="preserve">rrollo Artesanal, asimismo refiere que </w:t>
      </w:r>
      <w:r>
        <w:rPr>
          <w:rFonts w:ascii="Palatino Linotype" w:eastAsia="Palatino Linotype" w:hAnsi="Palatino Linotype" w:cs="Palatino Linotype"/>
          <w:i/>
        </w:rPr>
        <w:t xml:space="preserve">“en cuanto a su solicitud de proporcionar al peticionario los últimos tres programas, </w:t>
      </w:r>
      <w:r>
        <w:rPr>
          <w:rFonts w:ascii="Palatino Linotype" w:eastAsia="Palatino Linotype" w:hAnsi="Palatino Linotype" w:cs="Palatino Linotype"/>
          <w:b/>
          <w:i/>
          <w:u w:val="single"/>
        </w:rPr>
        <w:t>ésta Dirección General únicamente ha elaborado un programa como así lo estipula el artículo 9 fracción I de la Ley de Turismo Soste</w:t>
      </w:r>
      <w:r>
        <w:rPr>
          <w:rFonts w:ascii="Palatino Linotype" w:eastAsia="Palatino Linotype" w:hAnsi="Palatino Linotype" w:cs="Palatino Linotype"/>
          <w:b/>
          <w:i/>
          <w:u w:val="single"/>
        </w:rPr>
        <w:t>nible y Desarrollo Artesanal del Estado de México, entrando en vigor el día 6 de enero del 2021</w:t>
      </w:r>
      <w:r>
        <w:rPr>
          <w:rFonts w:ascii="Palatino Linotype" w:eastAsia="Palatino Linotype" w:hAnsi="Palatino Linotype" w:cs="Palatino Linotype"/>
          <w:i/>
        </w:rPr>
        <w:t xml:space="preserve">, en el cual refiere que el Director de Turismo tiene como atribución elaborar y ejecutar el programa en comento” (Sic) (Énfasis añadido), </w:t>
      </w:r>
      <w:r>
        <w:rPr>
          <w:rFonts w:ascii="Palatino Linotype" w:eastAsia="Palatino Linotype" w:hAnsi="Palatino Linotype" w:cs="Palatino Linotype"/>
        </w:rPr>
        <w:t>debe destacarse que en</w:t>
      </w:r>
      <w:r>
        <w:rPr>
          <w:rFonts w:ascii="Palatino Linotype" w:eastAsia="Palatino Linotype" w:hAnsi="Palatino Linotype" w:cs="Palatino Linotype"/>
        </w:rPr>
        <w:t xml:space="preserve"> el citado oficio se dejó visible una dirección de correo electrónico en el oficio, de la cual no se tiene certeza que pertenezca a algún servidor público o a algún particular, asimismo a partir de la foja número dos se adjunta el Programa Municipal de Tur</w:t>
      </w:r>
      <w:r>
        <w:rPr>
          <w:rFonts w:ascii="Palatino Linotype" w:eastAsia="Palatino Linotype" w:hAnsi="Palatino Linotype" w:cs="Palatino Linotype"/>
        </w:rPr>
        <w:t>ismo Sostenible de Toluca.</w:t>
      </w:r>
    </w:p>
    <w:p w:rsidR="006F0A8F" w:rsidRDefault="008E20B0">
      <w:pPr>
        <w:spacing w:before="240" w:after="240" w:line="360" w:lineRule="auto"/>
        <w:ind w:left="567" w:right="709"/>
        <w:jc w:val="both"/>
        <w:rPr>
          <w:rFonts w:ascii="Palatino Linotype" w:eastAsia="Palatino Linotype" w:hAnsi="Palatino Linotype" w:cs="Palatino Linotype"/>
        </w:rPr>
      </w:pPr>
      <w:r>
        <w:rPr>
          <w:rFonts w:ascii="Palatino Linotype" w:eastAsia="Palatino Linotype" w:hAnsi="Palatino Linotype" w:cs="Palatino Linotype"/>
          <w:b/>
          <w:i/>
        </w:rPr>
        <w:t>“Informe Justificado 4594 FOMENTO ECONOMICO.pdf“</w:t>
      </w:r>
      <w:r>
        <w:rPr>
          <w:rFonts w:ascii="Palatino Linotype" w:eastAsia="Palatino Linotype" w:hAnsi="Palatino Linotype" w:cs="Palatino Linotype"/>
        </w:rPr>
        <w:t>: Consistente de cuatro fojas, mediante el cual la Titular de la Unidad de Transparencia del Ayuntamiento de Toluca refiere que remite el informe justificado correspondiente al medi</w:t>
      </w:r>
      <w:r>
        <w:rPr>
          <w:rFonts w:ascii="Palatino Linotype" w:eastAsia="Palatino Linotype" w:hAnsi="Palatino Linotype" w:cs="Palatino Linotype"/>
        </w:rPr>
        <w:t>o de impugnación que nos ocupa, en la página tres, se tiene que también se hace mención de  la dirección de correo electrónico vislumbrada en el oficio 210010000/480/2021 del archivo “</w:t>
      </w:r>
      <w:r>
        <w:rPr>
          <w:rFonts w:ascii="Palatino Linotype" w:eastAsia="Palatino Linotype" w:hAnsi="Palatino Linotype" w:cs="Palatino Linotype"/>
          <w:b/>
          <w:i/>
        </w:rPr>
        <w:t>4594 FOMENTO ECONOMICO.pdf”</w:t>
      </w:r>
      <w:r>
        <w:rPr>
          <w:rFonts w:ascii="Palatino Linotype" w:eastAsia="Palatino Linotype" w:hAnsi="Palatino Linotype" w:cs="Palatino Linotype"/>
        </w:rPr>
        <w:t>.</w:t>
      </w:r>
    </w:p>
    <w:p w:rsidR="006F0A8F" w:rsidRDefault="008E20B0">
      <w:pPr>
        <w:spacing w:before="240" w:after="24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rPr>
        <w:t>Debe precisarse que si bien, son manifestac</w:t>
      </w:r>
      <w:r>
        <w:rPr>
          <w:rFonts w:ascii="Palatino Linotype" w:eastAsia="Palatino Linotype" w:hAnsi="Palatino Linotype" w:cs="Palatino Linotype"/>
        </w:rPr>
        <w:t>iones que atienden los requerimientos del particular, esto en razón de que contiene el Programa Municipal de Turismo Sostenible de Toluca,  no se puso a la vista del particular, ello en virtud de que en ambos archivos se dejó visible una dirección de corre</w:t>
      </w:r>
      <w:r>
        <w:rPr>
          <w:rFonts w:ascii="Palatino Linotype" w:eastAsia="Palatino Linotype" w:hAnsi="Palatino Linotype" w:cs="Palatino Linotype"/>
        </w:rPr>
        <w:t>o electrónico, de la cual no se tiene certeza si su titular es un servidor público o un particular, ello en razón de que la cuenta no da indicios de pertenecer a alguna institución pública, por el contrario, se encuentra alojada en uno de los servidores de</w:t>
      </w:r>
      <w:r>
        <w:rPr>
          <w:rFonts w:ascii="Palatino Linotype" w:eastAsia="Palatino Linotype" w:hAnsi="Palatino Linotype" w:cs="Palatino Linotype"/>
        </w:rPr>
        <w:t xml:space="preserve"> correo electrónico que actualmente operan para utilidad de los particulares, consecuentemente de hacer del conocimiento de la parte solicitante esta información novedosa, se estaría vulnerando la esfera privada del titular de la cuenta.</w:t>
      </w:r>
    </w:p>
    <w:p w:rsidR="006F0A8F" w:rsidRDefault="008E20B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Bajo tales conside</w:t>
      </w:r>
      <w:r>
        <w:rPr>
          <w:rFonts w:ascii="Palatino Linotype" w:eastAsia="Palatino Linotype" w:hAnsi="Palatino Linotype" w:cs="Palatino Linotype"/>
        </w:rPr>
        <w:t xml:space="preserve">raciones deben esquematizarse en el siguiente cuadro de análisis, las constancias que conforman el expediente electrónico a efecto de determinar si se colmó la pretensión del ahora Recurrente: </w:t>
      </w:r>
    </w:p>
    <w:tbl>
      <w:tblPr>
        <w:tblStyle w:val="a3"/>
        <w:tblW w:w="96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5"/>
        <w:gridCol w:w="2310"/>
        <w:gridCol w:w="1862"/>
        <w:gridCol w:w="2462"/>
        <w:gridCol w:w="1302"/>
      </w:tblGrid>
      <w:tr w:rsidR="006F0A8F">
        <w:tc>
          <w:tcPr>
            <w:tcW w:w="1725" w:type="dxa"/>
            <w:shd w:val="clear" w:color="auto" w:fill="76923C"/>
          </w:tcPr>
          <w:p w:rsidR="006F0A8F" w:rsidRDefault="008E20B0">
            <w:pPr>
              <w:spacing w:before="240" w:after="240"/>
              <w:ind w:right="142"/>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Solicitud</w:t>
            </w:r>
          </w:p>
        </w:tc>
        <w:tc>
          <w:tcPr>
            <w:tcW w:w="2310" w:type="dxa"/>
            <w:shd w:val="clear" w:color="auto" w:fill="76923C"/>
          </w:tcPr>
          <w:p w:rsidR="006F0A8F" w:rsidRDefault="008E20B0">
            <w:pPr>
              <w:spacing w:before="240" w:after="240"/>
              <w:ind w:right="142"/>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Respuesta</w:t>
            </w:r>
          </w:p>
        </w:tc>
        <w:tc>
          <w:tcPr>
            <w:tcW w:w="1862" w:type="dxa"/>
            <w:shd w:val="clear" w:color="auto" w:fill="76923C"/>
          </w:tcPr>
          <w:p w:rsidR="006F0A8F" w:rsidRDefault="008E20B0">
            <w:pPr>
              <w:spacing w:before="240" w:after="240"/>
              <w:ind w:right="142"/>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Razones o motivos de inconformidad</w:t>
            </w:r>
          </w:p>
        </w:tc>
        <w:tc>
          <w:tcPr>
            <w:tcW w:w="2462" w:type="dxa"/>
            <w:shd w:val="clear" w:color="auto" w:fill="76923C"/>
          </w:tcPr>
          <w:p w:rsidR="006F0A8F" w:rsidRDefault="008E20B0">
            <w:pPr>
              <w:spacing w:before="240" w:after="240"/>
              <w:ind w:right="142"/>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Informe Justificado</w:t>
            </w:r>
          </w:p>
        </w:tc>
        <w:tc>
          <w:tcPr>
            <w:tcW w:w="1302" w:type="dxa"/>
            <w:shd w:val="clear" w:color="auto" w:fill="76923C"/>
          </w:tcPr>
          <w:p w:rsidR="006F0A8F" w:rsidRDefault="008E20B0">
            <w:pPr>
              <w:spacing w:before="240" w:after="240"/>
              <w:ind w:right="142"/>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Colma</w:t>
            </w:r>
          </w:p>
        </w:tc>
      </w:tr>
      <w:tr w:rsidR="006F0A8F">
        <w:tc>
          <w:tcPr>
            <w:tcW w:w="1725" w:type="dxa"/>
          </w:tcPr>
          <w:p w:rsidR="006F0A8F" w:rsidRDefault="008E20B0">
            <w:pPr>
              <w:spacing w:before="240" w:after="240"/>
              <w:ind w:right="176"/>
              <w:jc w:val="both"/>
              <w:rPr>
                <w:rFonts w:ascii="Palatino Linotype" w:eastAsia="Palatino Linotype" w:hAnsi="Palatino Linotype" w:cs="Palatino Linotype"/>
                <w:b/>
                <w:i/>
              </w:rPr>
            </w:pPr>
            <w:r>
              <w:rPr>
                <w:rFonts w:ascii="Palatino Linotype" w:eastAsia="Palatino Linotype" w:hAnsi="Palatino Linotype" w:cs="Palatino Linotype"/>
                <w:i/>
              </w:rPr>
              <w:t>Los últimos 3 programas municipales de turismo sostenible y desarrollo artesanal, tal y como lo establece el Artículo 9, Fracción 1ra de la Ley de Turismo Sostenible y Desarrollo Artesanal del Estado de México</w:t>
            </w:r>
          </w:p>
        </w:tc>
        <w:tc>
          <w:tcPr>
            <w:tcW w:w="2310" w:type="dxa"/>
          </w:tcPr>
          <w:p w:rsidR="006F0A8F" w:rsidRDefault="008E20B0">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“resp 729.pdf”:</w:t>
            </w:r>
            <w:r>
              <w:rPr>
                <w:rFonts w:ascii="Palatino Linotype" w:eastAsia="Palatino Linotype" w:hAnsi="Palatino Linotype" w:cs="Palatino Linotype"/>
                <w:i/>
                <w:sz w:val="20"/>
                <w:szCs w:val="20"/>
              </w:rPr>
              <w:t xml:space="preserve"> Oficio 210010000/427/2021, signado por la Directora General de Fomento Económico dirigido a la parte solicitante mediante el cual hace de su conocimiento que notifica la respuesta. </w:t>
            </w:r>
          </w:p>
          <w:p w:rsidR="006F0A8F" w:rsidRDefault="008E20B0">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“oficio 033.pdf”:</w:t>
            </w:r>
            <w:r>
              <w:rPr>
                <w:rFonts w:ascii="Palatino Linotype" w:eastAsia="Palatino Linotype" w:hAnsi="Palatino Linotype" w:cs="Palatino Linotype"/>
                <w:i/>
                <w:sz w:val="20"/>
                <w:szCs w:val="20"/>
              </w:rPr>
              <w:t xml:space="preserve"> Oficio 210011000/033/2021, signado por la Encargada de </w:t>
            </w:r>
            <w:r>
              <w:rPr>
                <w:rFonts w:ascii="Palatino Linotype" w:eastAsia="Palatino Linotype" w:hAnsi="Palatino Linotype" w:cs="Palatino Linotype"/>
                <w:i/>
                <w:sz w:val="20"/>
                <w:szCs w:val="20"/>
              </w:rPr>
              <w:t>Despacho de la Dirección de Promoción Económica, Turismo y Empleo en el que manifiesta que en cumplimiento a la Ley de Turismo Sostenible y Desarrollo Artesanal del Estado de México que entró en vigor el 6 de enero de 2021, elaboraron el Programa Municipal</w:t>
            </w:r>
            <w:r>
              <w:rPr>
                <w:rFonts w:ascii="Palatino Linotype" w:eastAsia="Palatino Linotype" w:hAnsi="Palatino Linotype" w:cs="Palatino Linotype"/>
                <w:i/>
                <w:sz w:val="20"/>
                <w:szCs w:val="20"/>
              </w:rPr>
              <w:t xml:space="preserve"> de Turismo y Desarrollo Artesanal, Registro Municipal, Catálogo Municipal de Servicios Turísticos y el Registro Municipal de Artesanas y Artesanos de Toluca, los cuales fueron remitidos a las instancias estatales competentes para la creación del Registro </w:t>
            </w:r>
            <w:r>
              <w:rPr>
                <w:rFonts w:ascii="Palatino Linotype" w:eastAsia="Palatino Linotype" w:hAnsi="Palatino Linotype" w:cs="Palatino Linotype"/>
                <w:i/>
                <w:sz w:val="20"/>
                <w:szCs w:val="20"/>
              </w:rPr>
              <w:t>Estatal de Turismo Sostenible, el Registro Estatal de Artesanas y Artesanos y el Catálogo Mexiquense.</w:t>
            </w:r>
          </w:p>
          <w:p w:rsidR="006F0A8F" w:rsidRDefault="006F0A8F">
            <w:pPr>
              <w:spacing w:before="240" w:after="240"/>
              <w:jc w:val="both"/>
              <w:rPr>
                <w:rFonts w:ascii="Palatino Linotype" w:eastAsia="Palatino Linotype" w:hAnsi="Palatino Linotype" w:cs="Palatino Linotype"/>
                <w:i/>
              </w:rPr>
            </w:pPr>
          </w:p>
        </w:tc>
        <w:tc>
          <w:tcPr>
            <w:tcW w:w="1862" w:type="dxa"/>
          </w:tcPr>
          <w:p w:rsidR="006F0A8F" w:rsidRDefault="008E20B0">
            <w:pPr>
              <w:spacing w:before="240" w:after="240"/>
              <w:ind w:right="142"/>
              <w:jc w:val="both"/>
              <w:rPr>
                <w:rFonts w:ascii="Palatino Linotype" w:eastAsia="Palatino Linotype" w:hAnsi="Palatino Linotype" w:cs="Palatino Linotype"/>
                <w:i/>
              </w:rPr>
            </w:pPr>
            <w:r>
              <w:rPr>
                <w:rFonts w:ascii="Palatino Linotype" w:eastAsia="Palatino Linotype" w:hAnsi="Palatino Linotype" w:cs="Palatino Linotype"/>
                <w:i/>
              </w:rPr>
              <w:t xml:space="preserve">“En la respuesta que se me hizo llegar, </w:t>
            </w:r>
            <w:r>
              <w:rPr>
                <w:rFonts w:ascii="Palatino Linotype" w:eastAsia="Palatino Linotype" w:hAnsi="Palatino Linotype" w:cs="Palatino Linotype"/>
                <w:b/>
                <w:i/>
                <w:u w:val="single"/>
              </w:rPr>
              <w:t>notifican que lo solicitado se elaboró en conformidad a lo establecido en la ley y que fue remitido a las autorid</w:t>
            </w:r>
            <w:r>
              <w:rPr>
                <w:rFonts w:ascii="Palatino Linotype" w:eastAsia="Palatino Linotype" w:hAnsi="Palatino Linotype" w:cs="Palatino Linotype"/>
                <w:b/>
                <w:i/>
                <w:u w:val="single"/>
              </w:rPr>
              <w:t xml:space="preserve">ades correspondientes, sin embargo, no me hicieron llegar los últimos tres Programas Municipales de Turismo Sostenible y Desarrollo Artesanal </w:t>
            </w:r>
            <w:r>
              <w:rPr>
                <w:rFonts w:ascii="Palatino Linotype" w:eastAsia="Palatino Linotype" w:hAnsi="Palatino Linotype" w:cs="Palatino Linotype"/>
                <w:i/>
              </w:rPr>
              <w:t>que son los documentos que solicité desde el principio.”,</w:t>
            </w:r>
          </w:p>
        </w:tc>
        <w:tc>
          <w:tcPr>
            <w:tcW w:w="2462" w:type="dxa"/>
          </w:tcPr>
          <w:p w:rsidR="006F0A8F" w:rsidRDefault="008E20B0">
            <w:pPr>
              <w:tabs>
                <w:tab w:val="left" w:pos="653"/>
              </w:tabs>
              <w:spacing w:before="240" w:after="240"/>
              <w:ind w:right="34"/>
              <w:jc w:val="both"/>
              <w:rPr>
                <w:rFonts w:ascii="Palatino Linotype" w:eastAsia="Palatino Linotype" w:hAnsi="Palatino Linotype" w:cs="Palatino Linotype"/>
                <w:i/>
              </w:rPr>
            </w:pPr>
            <w:r>
              <w:rPr>
                <w:rFonts w:ascii="Palatino Linotype" w:eastAsia="Palatino Linotype" w:hAnsi="Palatino Linotype" w:cs="Palatino Linotype"/>
                <w:b/>
                <w:i/>
              </w:rPr>
              <w:t xml:space="preserve">“4594 FOMENTO ECONOMICO.pdf”: </w:t>
            </w:r>
            <w:r>
              <w:rPr>
                <w:rFonts w:ascii="Palatino Linotype" w:eastAsia="Palatino Linotype" w:hAnsi="Palatino Linotype" w:cs="Palatino Linotype"/>
                <w:i/>
              </w:rPr>
              <w:t>Consistente de 110 fojas e</w:t>
            </w:r>
            <w:r>
              <w:rPr>
                <w:rFonts w:ascii="Palatino Linotype" w:eastAsia="Palatino Linotype" w:hAnsi="Palatino Linotype" w:cs="Palatino Linotype"/>
                <w:i/>
              </w:rPr>
              <w:t>n las que se advierte un oficio con número de folio 210010000/480/2021en el que la Directora General de Fomento Económico refiere a la Titular de la Unidad de Transparencia que se remitió a la autoridad competente el Programa Municipal de Turismo Sostenibl</w:t>
            </w:r>
            <w:r>
              <w:rPr>
                <w:rFonts w:ascii="Palatino Linotype" w:eastAsia="Palatino Linotype" w:hAnsi="Palatino Linotype" w:cs="Palatino Linotype"/>
                <w:i/>
              </w:rPr>
              <w:t>e y Desarrollo Artesanal, además se adjunta el Programa Municipal De Turismo Sostenible De Toluca, sin embargo, no se puso a disposición de la parte solicitante en razón de que se dejó visible una dirección de correo electrónico en el oficio, de la cual no</w:t>
            </w:r>
            <w:r>
              <w:rPr>
                <w:rFonts w:ascii="Palatino Linotype" w:eastAsia="Palatino Linotype" w:hAnsi="Palatino Linotype" w:cs="Palatino Linotype"/>
                <w:i/>
              </w:rPr>
              <w:t xml:space="preserve"> se tiene certeza que pertenezca a algún servidor público o a algún particular.</w:t>
            </w:r>
          </w:p>
          <w:p w:rsidR="006F0A8F" w:rsidRDefault="008E20B0">
            <w:pPr>
              <w:tabs>
                <w:tab w:val="left" w:pos="653"/>
              </w:tabs>
              <w:spacing w:before="240" w:after="240"/>
              <w:ind w:right="34"/>
              <w:jc w:val="both"/>
              <w:rPr>
                <w:rFonts w:ascii="Palatino Linotype" w:eastAsia="Palatino Linotype" w:hAnsi="Palatino Linotype" w:cs="Palatino Linotype"/>
                <w:i/>
              </w:rPr>
            </w:pPr>
            <w:r>
              <w:rPr>
                <w:rFonts w:ascii="Palatino Linotype" w:eastAsia="Palatino Linotype" w:hAnsi="Palatino Linotype" w:cs="Palatino Linotype"/>
                <w:b/>
                <w:i/>
              </w:rPr>
              <w:t>“Informe Justificado 4594 FOMENTO ECONOMICO.pdf“</w:t>
            </w:r>
            <w:r>
              <w:rPr>
                <w:rFonts w:ascii="Palatino Linotype" w:eastAsia="Palatino Linotype" w:hAnsi="Palatino Linotype" w:cs="Palatino Linotype"/>
                <w:i/>
              </w:rPr>
              <w:t xml:space="preserve">: Consistente de cuatro fojas, mediante el cual la Titular de la Unidad de Transparencia del Ayuntamiento de Toluca refiere que </w:t>
            </w:r>
            <w:r>
              <w:rPr>
                <w:rFonts w:ascii="Palatino Linotype" w:eastAsia="Palatino Linotype" w:hAnsi="Palatino Linotype" w:cs="Palatino Linotype"/>
                <w:i/>
              </w:rPr>
              <w:t xml:space="preserve">remite el informe justificado correspondiente al medio de impugnación que nos ocupa, también refiere la dirección correo electrónico que se enunció previamente en el oficio. </w:t>
            </w:r>
          </w:p>
          <w:p w:rsidR="006F0A8F" w:rsidRDefault="006F0A8F">
            <w:pPr>
              <w:tabs>
                <w:tab w:val="left" w:pos="653"/>
              </w:tabs>
              <w:spacing w:before="240" w:after="240"/>
              <w:ind w:right="34"/>
              <w:jc w:val="both"/>
              <w:rPr>
                <w:rFonts w:ascii="Palatino Linotype" w:eastAsia="Palatino Linotype" w:hAnsi="Palatino Linotype" w:cs="Palatino Linotype"/>
                <w:i/>
              </w:rPr>
            </w:pPr>
          </w:p>
        </w:tc>
        <w:tc>
          <w:tcPr>
            <w:tcW w:w="1302" w:type="dxa"/>
          </w:tcPr>
          <w:p w:rsidR="006F0A8F" w:rsidRDefault="008E20B0">
            <w:pPr>
              <w:spacing w:before="240" w:after="240" w:line="360" w:lineRule="auto"/>
              <w:ind w:right="142"/>
              <w:jc w:val="center"/>
              <w:rPr>
                <w:rFonts w:ascii="Palatino Linotype" w:eastAsia="Palatino Linotype" w:hAnsi="Palatino Linotype" w:cs="Palatino Linotype"/>
                <w:b/>
              </w:rPr>
            </w:pPr>
            <w:r>
              <w:rPr>
                <w:rFonts w:ascii="Palatino Linotype" w:eastAsia="Palatino Linotype" w:hAnsi="Palatino Linotype" w:cs="Palatino Linotype"/>
                <w:b/>
              </w:rPr>
              <w:t>No</w:t>
            </w:r>
          </w:p>
        </w:tc>
      </w:tr>
    </w:tbl>
    <w:p w:rsidR="006F0A8F" w:rsidRDefault="006F0A8F">
      <w:pPr>
        <w:spacing w:line="360" w:lineRule="auto"/>
        <w:jc w:val="both"/>
        <w:rPr>
          <w:rFonts w:ascii="Palatino Linotype" w:eastAsia="Palatino Linotype" w:hAnsi="Palatino Linotype" w:cs="Palatino Linotype"/>
          <w:color w:val="222222"/>
        </w:rPr>
      </w:pPr>
    </w:p>
    <w:p w:rsidR="006F0A8F" w:rsidRDefault="008E20B0">
      <w:pP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Consecuentemente, se precisa que se obvia el análisis de la competencia por parte del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para generar, administrar o poseer la información solicitada, dado que éste ha asumido la misma, en razón de que en su respuesta admitió contar con dicha</w:t>
      </w:r>
      <w:r>
        <w:rPr>
          <w:rFonts w:ascii="Palatino Linotype" w:eastAsia="Palatino Linotype" w:hAnsi="Palatino Linotype" w:cs="Palatino Linotype"/>
          <w:color w:val="222222"/>
        </w:rPr>
        <w:t xml:space="preserve"> información.</w:t>
      </w:r>
    </w:p>
    <w:p w:rsidR="006F0A8F" w:rsidRDefault="006F0A8F">
      <w:pPr>
        <w:spacing w:line="360" w:lineRule="auto"/>
        <w:jc w:val="both"/>
        <w:rPr>
          <w:rFonts w:ascii="Palatino Linotype" w:eastAsia="Palatino Linotype" w:hAnsi="Palatino Linotype" w:cs="Palatino Linotype"/>
          <w:color w:val="222222"/>
        </w:rPr>
      </w:pPr>
    </w:p>
    <w:p w:rsidR="006F0A8F" w:rsidRDefault="008E20B0">
      <w:pP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En efecto, el hecho de que </w:t>
      </w:r>
      <w:r>
        <w:rPr>
          <w:rFonts w:ascii="Palatino Linotype" w:eastAsia="Palatino Linotype" w:hAnsi="Palatino Linotype" w:cs="Palatino Linotype"/>
          <w:b/>
          <w:color w:val="222222"/>
        </w:rPr>
        <w:t>el Sujeto Obligado</w:t>
      </w:r>
      <w:r>
        <w:rPr>
          <w:rFonts w:ascii="Palatino Linotype" w:eastAsia="Palatino Linotype" w:hAnsi="Palatino Linotype" w:cs="Palatino Linotype"/>
          <w:color w:val="222222"/>
        </w:rPr>
        <w:t xml:space="preserve"> haya asumido contar con la información pública solicitada, acepta que la genera, posee y administra, en ejercicio de sus funciones de derecho público, motivo por el cual se actualiza el supuesto </w:t>
      </w:r>
      <w:r>
        <w:rPr>
          <w:rFonts w:ascii="Palatino Linotype" w:eastAsia="Palatino Linotype" w:hAnsi="Palatino Linotype" w:cs="Palatino Linotype"/>
          <w:color w:val="222222"/>
        </w:rPr>
        <w:t>jurídico, previsto en el artículo 12 de la Ley de Transparencia y Acceso a la Información Pública del Estado de México y Municipios.</w:t>
      </w:r>
    </w:p>
    <w:p w:rsidR="006F0A8F" w:rsidRDefault="006F0A8F">
      <w:pPr>
        <w:jc w:val="both"/>
        <w:rPr>
          <w:rFonts w:ascii="Palatino Linotype" w:eastAsia="Palatino Linotype" w:hAnsi="Palatino Linotype" w:cs="Palatino Linotype"/>
          <w:color w:val="222222"/>
        </w:rPr>
      </w:pPr>
    </w:p>
    <w:p w:rsidR="006F0A8F" w:rsidRDefault="008E20B0">
      <w:pPr>
        <w:shd w:val="clear" w:color="auto" w:fill="FFFFFF"/>
        <w:ind w:left="851" w:right="902"/>
        <w:jc w:val="both"/>
        <w:rPr>
          <w:rFonts w:ascii="Palatino Linotype" w:eastAsia="Palatino Linotype" w:hAnsi="Palatino Linotype" w:cs="Palatino Linotype"/>
          <w:color w:val="2222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b/>
          <w:i/>
          <w:color w:val="222222"/>
          <w:sz w:val="22"/>
          <w:szCs w:val="22"/>
        </w:rPr>
        <w:t>Artículo 12.</w:t>
      </w:r>
      <w:r>
        <w:rPr>
          <w:rFonts w:ascii="Palatino Linotype" w:eastAsia="Palatino Linotype" w:hAnsi="Palatino Linotype" w:cs="Palatino Linotype"/>
          <w:i/>
          <w:color w:val="222222"/>
          <w:sz w:val="22"/>
          <w:szCs w:val="22"/>
        </w:rPr>
        <w:t> Quienes generen, recopilen, administren, manejen, procesen, archiven o conserven información pública serán r</w:t>
      </w:r>
      <w:r>
        <w:rPr>
          <w:rFonts w:ascii="Palatino Linotype" w:eastAsia="Palatino Linotype" w:hAnsi="Palatino Linotype" w:cs="Palatino Linotype"/>
          <w:i/>
          <w:color w:val="222222"/>
          <w:sz w:val="22"/>
          <w:szCs w:val="22"/>
        </w:rPr>
        <w:t>esponsables de la misma en los términos de las disposiciones jurídicas aplicables.</w:t>
      </w:r>
    </w:p>
    <w:p w:rsidR="006F0A8F" w:rsidRDefault="008E20B0">
      <w:pPr>
        <w:shd w:val="clear" w:color="auto" w:fill="FFFFFF"/>
        <w:ind w:left="851" w:right="902"/>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Los sujetos obligados sólo proporcionarán la información pública que se les requiera y que obre en sus archivos y en el estado en que ésta se encuentre. La obligación de pro</w:t>
      </w:r>
      <w:r>
        <w:rPr>
          <w:rFonts w:ascii="Palatino Linotype" w:eastAsia="Palatino Linotype" w:hAnsi="Palatino Linotype" w:cs="Palatino Linotype"/>
          <w:i/>
          <w:color w:val="222222"/>
          <w:sz w:val="22"/>
          <w:szCs w:val="22"/>
        </w:rPr>
        <w:t>porcionar información no comprende el procesamiento de la misma, ni el presentarla conforme al interés del solicitante; no estarán obligados a generarla, resumirla, efectuar cálculos o practicar investigaciones.”</w:t>
      </w:r>
    </w:p>
    <w:p w:rsidR="006F0A8F" w:rsidRDefault="006F0A8F">
      <w:pPr>
        <w:shd w:val="clear" w:color="auto" w:fill="FFFFFF"/>
        <w:ind w:left="851" w:right="902"/>
        <w:jc w:val="both"/>
        <w:rPr>
          <w:rFonts w:ascii="Palatino Linotype" w:eastAsia="Palatino Linotype" w:hAnsi="Palatino Linotype" w:cs="Palatino Linotype"/>
          <w:color w:val="222222"/>
        </w:rPr>
      </w:pPr>
    </w:p>
    <w:p w:rsidR="006F0A8F" w:rsidRDefault="008E20B0">
      <w:pP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Así, el estudio de la naturaleza jurídica de la información pública solicitada, tiene por objeto determinar si ésta la genera, posee o administra </w:t>
      </w:r>
      <w:r>
        <w:rPr>
          <w:rFonts w:ascii="Palatino Linotype" w:eastAsia="Palatino Linotype" w:hAnsi="Palatino Linotype" w:cs="Palatino Linotype"/>
          <w:b/>
          <w:color w:val="222222"/>
        </w:rPr>
        <w:t>el Sujeto Obligado</w:t>
      </w:r>
      <w:r>
        <w:rPr>
          <w:rFonts w:ascii="Palatino Linotype" w:eastAsia="Palatino Linotype" w:hAnsi="Palatino Linotype" w:cs="Palatino Linotype"/>
          <w:color w:val="222222"/>
        </w:rPr>
        <w:t>; sin embargo, en aquellos casos en que éste la asume, a nada práctico nos conduciría su est</w:t>
      </w:r>
      <w:r>
        <w:rPr>
          <w:rFonts w:ascii="Palatino Linotype" w:eastAsia="Palatino Linotype" w:hAnsi="Palatino Linotype" w:cs="Palatino Linotype"/>
          <w:color w:val="222222"/>
        </w:rPr>
        <w:t>udio, ya que se insiste, dicha información, fue admitida por el mismo.</w:t>
      </w:r>
    </w:p>
    <w:p w:rsidR="006F0A8F" w:rsidRDefault="006F0A8F">
      <w:pPr>
        <w:spacing w:line="360" w:lineRule="auto"/>
        <w:jc w:val="both"/>
        <w:rPr>
          <w:rFonts w:ascii="Palatino Linotype" w:eastAsia="Palatino Linotype" w:hAnsi="Palatino Linotype" w:cs="Palatino Linotype"/>
          <w:color w:val="222222"/>
        </w:rPr>
      </w:pPr>
    </w:p>
    <w:p w:rsidR="006F0A8F" w:rsidRDefault="008E20B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Así las cosas, es dable sostener que al haber existido un pronunciamiento por parte del Servidor Público competente al interior del Sujeto Obligado, este Instituto no está facultado pa</w:t>
      </w:r>
      <w:r>
        <w:rPr>
          <w:rFonts w:ascii="Palatino Linotype" w:eastAsia="Palatino Linotype" w:hAnsi="Palatino Linotype" w:cs="Palatino Linotype"/>
        </w:rPr>
        <w:t>ra manifestarse sobre la veracidad del mismo, pues no existe precepto legal alguno en la Ley de la materia que lo faculte para que vía recurso de revisión, pueda pronunciarse al respecto, sirve de apoyo a lo anterior, por analogía el criterio 31-10 emitido</w:t>
      </w:r>
      <w:r>
        <w:rPr>
          <w:rFonts w:ascii="Palatino Linotype" w:eastAsia="Palatino Linotype" w:hAnsi="Palatino Linotype" w:cs="Palatino Linotype"/>
        </w:rPr>
        <w:t xml:space="preserve"> por el entonces Instituto Federal de Acceso a la Información ahora Instituto Nacional de Transparencia, Acceso a la Información y Protección de Datos Personales (INAI) que a la letra dice:</w:t>
      </w:r>
    </w:p>
    <w:p w:rsidR="006F0A8F" w:rsidRDefault="008E20B0">
      <w:pPr>
        <w:tabs>
          <w:tab w:val="left" w:pos="709"/>
        </w:tabs>
        <w:ind w:left="567" w:right="1324"/>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“El Instituto Federal de Acceso a la Información y Protección de D</w:t>
      </w:r>
      <w:r>
        <w:rPr>
          <w:rFonts w:ascii="Palatino Linotype" w:eastAsia="Palatino Linotype" w:hAnsi="Palatino Linotype" w:cs="Palatino Linotype"/>
          <w:b/>
          <w:i/>
          <w:sz w:val="22"/>
          <w:szCs w:val="22"/>
        </w:rPr>
        <w:t>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El Instituto Federal de Acceso a la Información y Protección de Datos es un órgano de la Administración Pública Federal con</w:t>
      </w:r>
      <w:r>
        <w:rPr>
          <w:rFonts w:ascii="Palatino Linotype" w:eastAsia="Palatino Linotype" w:hAnsi="Palatino Linotype" w:cs="Palatino Linotype"/>
          <w:i/>
          <w:sz w:val="22"/>
          <w:szCs w:val="22"/>
        </w:rPr>
        <w:t xml:space="preserve"> autonomía operativa, presupuestaria y de decisión, encargado de promover y difundir el ejercicio del derecho de acceso a la información; resolver sobre la negativa de las solicitudes de acceso a la información; y proteger los datos personales en poder de </w:t>
      </w:r>
      <w:r>
        <w:rPr>
          <w:rFonts w:ascii="Palatino Linotype" w:eastAsia="Palatino Linotype" w:hAnsi="Palatino Linotype" w:cs="Palatino Linotype"/>
          <w:i/>
          <w:sz w:val="22"/>
          <w:szCs w:val="22"/>
        </w:rPr>
        <w:t xml:space="preserve">las dependencias y entidades. Sin embargo, no está facultado para pronunciarse sobre la veracidad de la información proporcionada por las autoridades en respuesta a las solicitudes de información que les presentan los particulares, en virtud de que en los </w:t>
      </w:r>
      <w:r>
        <w:rPr>
          <w:rFonts w:ascii="Palatino Linotype" w:eastAsia="Palatino Linotype" w:hAnsi="Palatino Linotype" w:cs="Palatino Linotype"/>
          <w:i/>
          <w:sz w:val="22"/>
          <w:szCs w:val="22"/>
        </w:rPr>
        <w:t>artículos 49 y 50 de la Ley Federal de Transparencia y Acceso a la Información Pública Gubernamental no se prevé una causal que permita al Instituto Federal de Acceso a la Información y Protección de Datos conocer, vía recurso revisión, al respecto.</w:t>
      </w:r>
      <w:r>
        <w:rPr>
          <w:rFonts w:ascii="Palatino Linotype" w:eastAsia="Palatino Linotype" w:hAnsi="Palatino Linotype" w:cs="Palatino Linotype"/>
          <w:b/>
          <w:i/>
          <w:sz w:val="22"/>
          <w:szCs w:val="22"/>
        </w:rPr>
        <w:t>”</w:t>
      </w:r>
    </w:p>
    <w:p w:rsidR="006F0A8F" w:rsidRDefault="006F0A8F">
      <w:pPr>
        <w:spacing w:line="360" w:lineRule="auto"/>
        <w:jc w:val="both"/>
        <w:rPr>
          <w:rFonts w:ascii="Palatino Linotype" w:eastAsia="Palatino Linotype" w:hAnsi="Palatino Linotype" w:cs="Palatino Linotype"/>
        </w:rPr>
      </w:pPr>
    </w:p>
    <w:p w:rsidR="006F0A8F" w:rsidRDefault="008E20B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w:t>
      </w:r>
      <w:r>
        <w:rPr>
          <w:rFonts w:ascii="Palatino Linotype" w:eastAsia="Palatino Linotype" w:hAnsi="Palatino Linotype" w:cs="Palatino Linotype"/>
        </w:rPr>
        <w:t xml:space="preserve">mismo el artículo 4 de la </w:t>
      </w:r>
      <w:r>
        <w:rPr>
          <w:rFonts w:ascii="Palatino Linotype" w:eastAsia="Palatino Linotype" w:hAnsi="Palatino Linotype" w:cs="Palatino Linotype"/>
          <w:b/>
        </w:rPr>
        <w:t>Ley de Transparencia y Acceso a la Información Pública del Estado de México y Municipios</w:t>
      </w:r>
      <w:r>
        <w:rPr>
          <w:rFonts w:ascii="Palatino Linotype" w:eastAsia="Palatino Linotype" w:hAnsi="Palatino Linotype" w:cs="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w:t>
      </w:r>
      <w:r>
        <w:rPr>
          <w:rFonts w:ascii="Palatino Linotype" w:eastAsia="Palatino Linotype" w:hAnsi="Palatino Linotype" w:cs="Palatino Linotype"/>
        </w:rPr>
        <w:t>, por lo que deberán apegarse en todo momento a los criterios de publicidad, veracidad, oportunidad entre otros, dispositivo legal en comento que a la letra señala:</w:t>
      </w:r>
    </w:p>
    <w:p w:rsidR="006F0A8F" w:rsidRDefault="006F0A8F">
      <w:pPr>
        <w:spacing w:line="360" w:lineRule="auto"/>
        <w:ind w:left="426"/>
        <w:jc w:val="both"/>
        <w:rPr>
          <w:rFonts w:ascii="Palatino Linotype" w:eastAsia="Palatino Linotype" w:hAnsi="Palatino Linotype" w:cs="Palatino Linotype"/>
        </w:rPr>
      </w:pPr>
    </w:p>
    <w:p w:rsidR="006F0A8F" w:rsidRDefault="008E20B0">
      <w:pPr>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w:t>
      </w:r>
      <w:r>
        <w:rPr>
          <w:rFonts w:ascii="Palatino Linotype" w:eastAsia="Palatino Linotype" w:hAnsi="Palatino Linotype" w:cs="Palatino Linotype"/>
          <w:i/>
          <w:sz w:val="22"/>
          <w:szCs w:val="22"/>
        </w:rPr>
        <w:t xml:space="preserve"> personas para buscar, difundir, investigar, recabar, recibir y solicitar información pública, sin necesidad de acreditar personalidad ni interés jurídico. Toda la información generada, obtenida, adquirida, transformada, administrada o en posesión de los s</w:t>
      </w:r>
      <w:r>
        <w:rPr>
          <w:rFonts w:ascii="Palatino Linotype" w:eastAsia="Palatino Linotype" w:hAnsi="Palatino Linotype" w:cs="Palatino Linotype"/>
          <w:i/>
          <w:sz w:val="22"/>
          <w:szCs w:val="22"/>
        </w:rPr>
        <w:t>ujetos obligados es pública y accesible de manera permanente a cualquier persona, en los términos y condiciones que se establezcan en los tratados internacionales de los que el Estado mexicano sea parte, en la Ley General, la presente Ley y demás disposici</w:t>
      </w:r>
      <w:r>
        <w:rPr>
          <w:rFonts w:ascii="Palatino Linotype" w:eastAsia="Palatino Linotype" w:hAnsi="Palatino Linotype" w:cs="Palatino Linotype"/>
          <w:i/>
          <w:sz w:val="22"/>
          <w:szCs w:val="22"/>
        </w:rPr>
        <w:t>ones de la materia, privilegiando el principio de máxima publicidad de la información. Solo podrá ser clasificada excepcionalmente como reservada temporalmente por razones de interés público, en los términos de las causas legítimas y estrictamente necesari</w:t>
      </w:r>
      <w:r>
        <w:rPr>
          <w:rFonts w:ascii="Palatino Linotype" w:eastAsia="Palatino Linotype" w:hAnsi="Palatino Linotype" w:cs="Palatino Linotype"/>
          <w:i/>
          <w:sz w:val="22"/>
          <w:szCs w:val="22"/>
        </w:rPr>
        <w:t>as previstas por esta Ley. Los sujetos obligados deben poner en práctica, políticas y programas de acceso a la información que se apeguen a criterios de publicidad, veracidad, oportunidad, precisión y suficiencia en beneficio de los solicitantes.</w:t>
      </w:r>
    </w:p>
    <w:p w:rsidR="006F0A8F" w:rsidRDefault="006F0A8F">
      <w:pPr>
        <w:spacing w:line="360" w:lineRule="auto"/>
        <w:ind w:left="426"/>
        <w:jc w:val="both"/>
        <w:rPr>
          <w:rFonts w:ascii="Palatino Linotype" w:eastAsia="Palatino Linotype" w:hAnsi="Palatino Linotype" w:cs="Palatino Linotype"/>
        </w:rPr>
      </w:pPr>
    </w:p>
    <w:p w:rsidR="006F0A8F" w:rsidRDefault="008E20B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Numerale</w:t>
      </w:r>
      <w:r>
        <w:rPr>
          <w:rFonts w:ascii="Palatino Linotype" w:eastAsia="Palatino Linotype" w:hAnsi="Palatino Linotype" w:cs="Palatino Linotype"/>
        </w:rPr>
        <w:t xml:space="preserve">s que compelen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apegarse en todo momento a los criterios ya expuestos, impidiendo a este Órgano Colegiado cuestionar la veracidad de la información.</w:t>
      </w:r>
    </w:p>
    <w:p w:rsidR="006F0A8F" w:rsidRDefault="006F0A8F">
      <w:pPr>
        <w:spacing w:line="360" w:lineRule="auto"/>
        <w:jc w:val="both"/>
        <w:rPr>
          <w:rFonts w:ascii="Palatino Linotype" w:eastAsia="Palatino Linotype" w:hAnsi="Palatino Linotype" w:cs="Palatino Linotype"/>
          <w:color w:val="222222"/>
        </w:rPr>
      </w:pPr>
    </w:p>
    <w:p w:rsidR="006F0A8F" w:rsidRDefault="008E20B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con todo lo expuesto hasta este punto, resulta conveniente entrar al estud</w:t>
      </w:r>
      <w:r>
        <w:rPr>
          <w:rFonts w:ascii="Palatino Linotype" w:eastAsia="Palatino Linotype" w:hAnsi="Palatino Linotype" w:cs="Palatino Linotype"/>
        </w:rPr>
        <w:t>io de las siguientes consideraciones de hecho y derecho:</w:t>
      </w:r>
    </w:p>
    <w:p w:rsidR="006F0A8F" w:rsidRDefault="008E20B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De la naturaleza jurídica de la información requerida</w:t>
      </w:r>
    </w:p>
    <w:p w:rsidR="006F0A8F" w:rsidRDefault="008E20B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primera instancia, debe destacarse que el derecho de acceso a la información pública, consiste en que la información solicitada conste en </w:t>
      </w:r>
      <w:r>
        <w:rPr>
          <w:rFonts w:ascii="Palatino Linotype" w:eastAsia="Palatino Linotype" w:hAnsi="Palatino Linotype" w:cs="Palatino Linotype"/>
        </w:rPr>
        <w:t>un documento en cualquiera de sus formas, a saber: expedientes, reportes, estudios, actas, resoluciones, oficios, correspondencia, acuerdos, directivas, directrices, circulares, contratos, convenios, instructivos, notas, memorandos, estadísticas o bien, cu</w:t>
      </w:r>
      <w:r>
        <w:rPr>
          <w:rFonts w:ascii="Palatino Linotype" w:eastAsia="Palatino Linotype" w:hAnsi="Palatino Linotype" w:cs="Palatino Linotype"/>
        </w:rPr>
        <w:t>alquier otro registro que documente el ejercicio de las facultades, funciones y competencias de los Sujetos Obligados; los que, podrán estar en cualquier medio, sea escrito, impreso, sonoro, visual, electrónico, informático u holográfico de conformidad con</w:t>
      </w:r>
      <w:r>
        <w:rPr>
          <w:rFonts w:ascii="Palatino Linotype" w:eastAsia="Palatino Linotype" w:hAnsi="Palatino Linotype" w:cs="Palatino Linotype"/>
        </w:rPr>
        <w:t xml:space="preserve"> el artículo 3, fracción XI de la Ley de la materia, el cual señala lo siguiente: </w:t>
      </w:r>
    </w:p>
    <w:p w:rsidR="006F0A8F" w:rsidRDefault="006F0A8F">
      <w:pPr>
        <w:ind w:left="851" w:right="899"/>
        <w:jc w:val="both"/>
        <w:rPr>
          <w:rFonts w:ascii="Palatino Linotype" w:eastAsia="Palatino Linotype" w:hAnsi="Palatino Linotype" w:cs="Palatino Linotype"/>
          <w:i/>
          <w:sz w:val="22"/>
          <w:szCs w:val="22"/>
        </w:rPr>
      </w:pPr>
    </w:p>
    <w:p w:rsidR="006F0A8F" w:rsidRDefault="008E20B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6F0A8F" w:rsidRDefault="008E20B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F0A8F" w:rsidRDefault="008E20B0">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w:t>
      </w:r>
      <w:r>
        <w:rPr>
          <w:rFonts w:ascii="Palatino Linotype" w:eastAsia="Palatino Linotype" w:hAnsi="Palatino Linotype" w:cs="Palatino Linotype"/>
          <w:b/>
          <w:i/>
          <w:color w:val="000000"/>
          <w:sz w:val="22"/>
          <w:szCs w:val="22"/>
          <w:u w:val="single"/>
        </w:rPr>
        <w:t>cualquier otro registro que documente el ejercicio de las facultades, funciones y competenci</w:t>
      </w:r>
      <w:r>
        <w:rPr>
          <w:rFonts w:ascii="Palatino Linotype" w:eastAsia="Palatino Linotype" w:hAnsi="Palatino Linotype" w:cs="Palatino Linotype"/>
          <w:b/>
          <w:i/>
          <w:color w:val="000000"/>
          <w:sz w:val="22"/>
          <w:szCs w:val="22"/>
          <w:u w:val="single"/>
        </w:rPr>
        <w:t>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i/>
          <w:color w:val="000000"/>
          <w:sz w:val="22"/>
          <w:szCs w:val="22"/>
        </w:rPr>
        <w:t>…” (Sic)</w:t>
      </w:r>
    </w:p>
    <w:p w:rsidR="006F0A8F" w:rsidRDefault="006F0A8F">
      <w:pPr>
        <w:ind w:left="851" w:right="899"/>
        <w:jc w:val="both"/>
        <w:rPr>
          <w:rFonts w:ascii="Palatino Linotype" w:eastAsia="Palatino Linotype" w:hAnsi="Palatino Linotype" w:cs="Palatino Linotype"/>
          <w:i/>
          <w:color w:val="000000"/>
          <w:sz w:val="22"/>
          <w:szCs w:val="22"/>
        </w:rPr>
      </w:pPr>
    </w:p>
    <w:p w:rsidR="006F0A8F" w:rsidRDefault="008E20B0">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rsidR="006F0A8F" w:rsidRDefault="006F0A8F">
      <w:pPr>
        <w:ind w:left="851" w:right="899"/>
        <w:jc w:val="both"/>
        <w:rPr>
          <w:rFonts w:ascii="Palatino Linotype" w:eastAsia="Palatino Linotype" w:hAnsi="Palatino Linotype" w:cs="Palatino Linotype"/>
          <w:sz w:val="22"/>
          <w:szCs w:val="22"/>
        </w:rPr>
      </w:pPr>
    </w:p>
    <w:p w:rsidR="006F0A8F" w:rsidRDefault="008E20B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w:t>
      </w:r>
      <w:r>
        <w:rPr>
          <w:rFonts w:ascii="Palatino Linotype" w:eastAsia="Palatino Linotype" w:hAnsi="Palatino Linotype" w:cs="Palatino Linotype"/>
        </w:rPr>
        <w:t>Periódico Oficial del Gobierno del Estado Libre y Soberano de México “Gaceta del Gobierno”, el diecinueve de octubre de dos mil once, cuyo rubro y texto refieren lo siguiente:</w:t>
      </w:r>
    </w:p>
    <w:p w:rsidR="006F0A8F" w:rsidRDefault="006F0A8F">
      <w:pPr>
        <w:ind w:right="899"/>
        <w:jc w:val="both"/>
        <w:rPr>
          <w:rFonts w:ascii="Palatino Linotype" w:eastAsia="Palatino Linotype" w:hAnsi="Palatino Linotype" w:cs="Palatino Linotype"/>
        </w:rPr>
      </w:pPr>
    </w:p>
    <w:p w:rsidR="006F0A8F" w:rsidRDefault="008E20B0">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6F0A8F" w:rsidRDefault="008E20B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w:t>
      </w:r>
      <w:r>
        <w:rPr>
          <w:rFonts w:ascii="Palatino Linotype" w:eastAsia="Palatino Linotype" w:hAnsi="Palatino Linotype" w:cs="Palatino Linotype"/>
          <w:b/>
          <w:i/>
          <w:sz w:val="22"/>
          <w:szCs w:val="22"/>
        </w:rPr>
        <w:t>.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w:t>
      </w:r>
      <w:r>
        <w:rPr>
          <w:rFonts w:ascii="Palatino Linotype" w:eastAsia="Palatino Linotype" w:hAnsi="Palatino Linotype" w:cs="Palatino Linotype"/>
          <w:i/>
          <w:sz w:val="22"/>
          <w:szCs w:val="22"/>
        </w:rPr>
        <w:t>s archivos, registros y documentos públicos, administrados, generados o en posesión de los órganos u organismos públicos, en virtud del ejercicio de sus funciones de derecho público, sin importar su fuente, soporte o fecha de elaboración.</w:t>
      </w:r>
    </w:p>
    <w:p w:rsidR="006F0A8F" w:rsidRDefault="008E20B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6F0A8F" w:rsidRDefault="008E20B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w:t>
      </w:r>
      <w:r>
        <w:rPr>
          <w:rFonts w:ascii="Palatino Linotype" w:eastAsia="Palatino Linotype" w:hAnsi="Palatino Linotype" w:cs="Palatino Linotype"/>
          <w:i/>
          <w:sz w:val="22"/>
          <w:szCs w:val="22"/>
        </w:rPr>
        <w:t xml:space="preserve"> los Sujetos Obligados;</w:t>
      </w:r>
    </w:p>
    <w:p w:rsidR="006F0A8F" w:rsidRDefault="008E20B0">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6F0A8F" w:rsidRDefault="008E20B0">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w:t>
      </w:r>
      <w:r>
        <w:rPr>
          <w:rFonts w:ascii="Palatino Linotype" w:eastAsia="Palatino Linotype" w:hAnsi="Palatino Linotype" w:cs="Palatino Linotype"/>
          <w:b/>
          <w:i/>
          <w:sz w:val="22"/>
          <w:szCs w:val="22"/>
        </w:rPr>
        <w:t xml:space="preserve"> documental, que en ejercicio de las atribuciones conferidas, se encuentre en posesión de los Sujetos Obligados.” </w:t>
      </w:r>
    </w:p>
    <w:p w:rsidR="006F0A8F" w:rsidRDefault="008E20B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esta tesitura, debe apuntarse que este Órgano Garante determina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está constreñido a entregar la información; tal y c</w:t>
      </w:r>
      <w:r>
        <w:rPr>
          <w:rFonts w:ascii="Palatino Linotype" w:eastAsia="Palatino Linotype" w:hAnsi="Palatino Linotype" w:cs="Palatino Linotype"/>
        </w:rPr>
        <w:t>omo, la genera y obra en sus archivos; por lo que, debe entregar aquella sin que, dicha situación conlleve a la realización de un documento en específico, es decir, debe entregarse la información tal como conste en sus archivos y en el estado en que se enc</w:t>
      </w:r>
      <w:r>
        <w:rPr>
          <w:rFonts w:ascii="Palatino Linotype" w:eastAsia="Palatino Linotype" w:hAnsi="Palatino Linotype" w:cs="Palatino Linotype"/>
        </w:rPr>
        <w:t xml:space="preserve">uentren, salvo las excepciones de reserva y confidencialidad de la información. </w:t>
      </w:r>
    </w:p>
    <w:p w:rsidR="006F0A8F" w:rsidRDefault="008E20B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contexto, resulta importante señalar que el derecho de acceso a información pública, es un derecho humano, mismo que en términos del artículo 1° de la Constitución Pol</w:t>
      </w:r>
      <w:r>
        <w:rPr>
          <w:rFonts w:ascii="Palatino Linotype" w:eastAsia="Palatino Linotype" w:hAnsi="Palatino Linotype" w:cs="Palatino Linotype"/>
        </w:rPr>
        <w:t xml:space="preserve">ítica de los Estados Unidos Mexicanos, toda autoridad tiene la obligación de promoverlo, respetarlo, protegerlo y garantizarlo, conforme a los principios de universalidad, interdependencia, indivisibilidad y progresividad, por tal motivo se debe prevenir, </w:t>
      </w:r>
      <w:r>
        <w:rPr>
          <w:rFonts w:ascii="Palatino Linotype" w:eastAsia="Palatino Linotype" w:hAnsi="Palatino Linotype" w:cs="Palatino Linotype"/>
        </w:rPr>
        <w:t>investigar, sancionar y reparar toda violación en los términos que establezca la ley.</w:t>
      </w:r>
    </w:p>
    <w:p w:rsidR="006F0A8F" w:rsidRDefault="008E20B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De ahí que se adelante que el Sujeto Obligado cuenta con el deber en el ánimo de satisfacer las solicitudes de acceso a la información que le sean formuladas, de entregar</w:t>
      </w:r>
      <w:r>
        <w:rPr>
          <w:rFonts w:ascii="Palatino Linotype" w:eastAsia="Palatino Linotype" w:hAnsi="Palatino Linotype" w:cs="Palatino Linotype"/>
        </w:rPr>
        <w:t xml:space="preserve"> la información pública que obre en sus archivos como lo indica el artículo 12, segundo párrafo de la Ley en análisis</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más aún si la misma se trata de información de interés público, es decir, aquella que resulta relevante o beneficiosa para la sociedad y</w:t>
      </w:r>
      <w:r>
        <w:rPr>
          <w:rFonts w:ascii="Palatino Linotype" w:eastAsia="Palatino Linotype" w:hAnsi="Palatino Linotype" w:cs="Palatino Linotype"/>
        </w:rPr>
        <w:t xml:space="preserve">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rsidR="006F0A8F" w:rsidRDefault="008E20B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Del Programa Municipal de Turismo Sostenible y Desarrollo Artesanal </w:t>
      </w:r>
    </w:p>
    <w:p w:rsidR="006F0A8F" w:rsidRDefault="008E20B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lo tocante a este punt</w:t>
      </w:r>
      <w:r>
        <w:rPr>
          <w:rFonts w:ascii="Palatino Linotype" w:eastAsia="Palatino Linotype" w:hAnsi="Palatino Linotype" w:cs="Palatino Linotype"/>
        </w:rPr>
        <w:t>o, resulta importante mencionar que la expedición de la Ley de Turismo Sostenible y Desarrollo Artesanal del Estado de México, se publicó en el Periódico Oficial “Gaceta de Gobierno” el 6 de enero de 2021, para mayor referencia se inserta la siguiente capt</w:t>
      </w:r>
      <w:r>
        <w:rPr>
          <w:rFonts w:ascii="Palatino Linotype" w:eastAsia="Palatino Linotype" w:hAnsi="Palatino Linotype" w:cs="Palatino Linotype"/>
        </w:rPr>
        <w:t xml:space="preserve">ura de pantalla: </w:t>
      </w:r>
      <w:r>
        <w:rPr>
          <w:noProof/>
          <w:lang w:val="es-MX"/>
        </w:rPr>
        <w:drawing>
          <wp:anchor distT="0" distB="0" distL="114300" distR="114300" simplePos="0" relativeHeight="251660288" behindDoc="0" locked="0" layoutInCell="1" hidden="0" allowOverlap="1">
            <wp:simplePos x="0" y="0"/>
            <wp:positionH relativeFrom="column">
              <wp:posOffset>348615</wp:posOffset>
            </wp:positionH>
            <wp:positionV relativeFrom="paragraph">
              <wp:posOffset>1410335</wp:posOffset>
            </wp:positionV>
            <wp:extent cx="4750435" cy="3676650"/>
            <wp:effectExtent l="0" t="0" r="0" b="0"/>
            <wp:wrapTopAndBottom distT="0" dist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750435" cy="3676650"/>
                    </a:xfrm>
                    <a:prstGeom prst="rect">
                      <a:avLst/>
                    </a:prstGeom>
                    <a:ln/>
                  </pic:spPr>
                </pic:pic>
              </a:graphicData>
            </a:graphic>
          </wp:anchor>
        </w:drawing>
      </w:r>
      <w:r>
        <w:rPr>
          <w:noProof/>
          <w:lang w:val="es-MX"/>
        </w:rPr>
        <mc:AlternateContent>
          <mc:Choice Requires="wpg">
            <w:drawing>
              <wp:anchor distT="0" distB="0" distL="114300" distR="114300" simplePos="0" relativeHeight="251661312" behindDoc="0" locked="0" layoutInCell="1" hidden="0" allowOverlap="1">
                <wp:simplePos x="0" y="0"/>
                <wp:positionH relativeFrom="column">
                  <wp:posOffset>355600</wp:posOffset>
                </wp:positionH>
                <wp:positionV relativeFrom="paragraph">
                  <wp:posOffset>4279900</wp:posOffset>
                </wp:positionV>
                <wp:extent cx="2333625" cy="733425"/>
                <wp:effectExtent l="0" t="0" r="0" b="0"/>
                <wp:wrapNone/>
                <wp:docPr id="22" name=""/>
                <wp:cNvGraphicFramePr/>
                <a:graphic xmlns:a="http://schemas.openxmlformats.org/drawingml/2006/main">
                  <a:graphicData uri="http://schemas.microsoft.com/office/word/2010/wordprocessingShape">
                    <wps:wsp>
                      <wps:cNvSpPr/>
                      <wps:spPr>
                        <a:xfrm>
                          <a:off x="4207763" y="3441863"/>
                          <a:ext cx="2276475" cy="676275"/>
                        </a:xfrm>
                        <a:prstGeom prst="rect">
                          <a:avLst/>
                        </a:prstGeom>
                        <a:noFill/>
                        <a:ln w="28575" cap="flat" cmpd="sng">
                          <a:solidFill>
                            <a:srgbClr val="002060"/>
                          </a:solidFill>
                          <a:prstDash val="solid"/>
                          <a:round/>
                          <a:headEnd type="none" w="sm" len="sm"/>
                          <a:tailEnd type="none" w="sm" len="sm"/>
                        </a:ln>
                      </wps:spPr>
                      <wps:txbx>
                        <w:txbxContent>
                          <w:p w:rsidR="006F0A8F" w:rsidRDefault="006F0A8F">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4279900</wp:posOffset>
                </wp:positionV>
                <wp:extent cx="2333625" cy="733425"/>
                <wp:effectExtent b="0" l="0" r="0" t="0"/>
                <wp:wrapNone/>
                <wp:docPr id="22"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2333625" cy="733425"/>
                        </a:xfrm>
                        <a:prstGeom prst="rect"/>
                        <a:ln/>
                      </pic:spPr>
                    </pic:pic>
                  </a:graphicData>
                </a:graphic>
              </wp:anchor>
            </w:drawing>
          </mc:Fallback>
        </mc:AlternateContent>
      </w:r>
    </w:p>
    <w:p w:rsidR="006F0A8F" w:rsidRDefault="006F0A8F">
      <w:pPr>
        <w:spacing w:before="240" w:after="240" w:line="360" w:lineRule="auto"/>
        <w:jc w:val="both"/>
        <w:rPr>
          <w:rFonts w:ascii="Palatino Linotype" w:eastAsia="Palatino Linotype" w:hAnsi="Palatino Linotype" w:cs="Palatino Linotype"/>
        </w:rPr>
      </w:pPr>
    </w:p>
    <w:p w:rsidR="006F0A8F" w:rsidRDefault="008E20B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del análisis a los artículos transitorios del texto normativo en análisis realizado por esta Ponencia, se tiene que a partir de la publicación de la presente normatividad, deberá crearse el Programa Municipal referido por </w:t>
      </w:r>
      <w:r>
        <w:rPr>
          <w:rFonts w:ascii="Palatino Linotype" w:eastAsia="Palatino Linotype" w:hAnsi="Palatino Linotype" w:cs="Palatino Linotype"/>
        </w:rPr>
        <w:t xml:space="preserve">la parte solicitante, tal como se cita a continuación: </w:t>
      </w:r>
    </w:p>
    <w:p w:rsidR="006F0A8F" w:rsidRDefault="008E20B0">
      <w:pPr>
        <w:spacing w:before="240" w:after="240"/>
        <w:ind w:left="567" w:right="709"/>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 R A N S I T O R I O S</w:t>
      </w:r>
    </w:p>
    <w:p w:rsidR="006F0A8F" w:rsidRDefault="008E20B0">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PRIMERO. </w:t>
      </w:r>
      <w:r>
        <w:rPr>
          <w:rFonts w:ascii="Palatino Linotype" w:eastAsia="Palatino Linotype" w:hAnsi="Palatino Linotype" w:cs="Palatino Linotype"/>
          <w:b/>
          <w:i/>
          <w:sz w:val="22"/>
          <w:szCs w:val="22"/>
          <w:u w:val="single"/>
        </w:rPr>
        <w:t>La presente Ley entrará en vigor al día siguiente de su publicación en el Periódico Oficial “Gaceta del Gobierno” del Estado de México.</w:t>
      </w:r>
      <w:r>
        <w:rPr>
          <w:rFonts w:ascii="Palatino Linotype" w:eastAsia="Palatino Linotype" w:hAnsi="Palatino Linotype" w:cs="Palatino Linotype"/>
          <w:i/>
          <w:sz w:val="22"/>
          <w:szCs w:val="22"/>
        </w:rPr>
        <w:t xml:space="preserve"> </w:t>
      </w:r>
    </w:p>
    <w:p w:rsidR="006F0A8F" w:rsidRDefault="008E20B0">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SEGUNDO. A partir de la entrada en vigor de la presente Ley, se derogan todas las disposiciones de competencia local que le contravengan. </w:t>
      </w:r>
    </w:p>
    <w:p w:rsidR="006F0A8F" w:rsidRDefault="008E20B0">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TERCERO. El Reglamento de la presente Ley deberá emitirse en un plazo no mayor a 180 días hábiles a partir de su entr</w:t>
      </w:r>
      <w:r>
        <w:rPr>
          <w:rFonts w:ascii="Palatino Linotype" w:eastAsia="Palatino Linotype" w:hAnsi="Palatino Linotype" w:cs="Palatino Linotype"/>
          <w:i/>
          <w:sz w:val="22"/>
          <w:szCs w:val="22"/>
        </w:rPr>
        <w:t xml:space="preserve">ada en vigor. </w:t>
      </w:r>
    </w:p>
    <w:p w:rsidR="006F0A8F" w:rsidRDefault="008E20B0">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CUARTO. El Consejo Estatal y los Consejos Municipales deberán instalarse en un plazo no mayor a 30 días hábiles a partir de la vigencia de la presente Ley. </w:t>
      </w:r>
    </w:p>
    <w:p w:rsidR="006F0A8F" w:rsidRDefault="008E20B0">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QUINTO. </w:t>
      </w:r>
      <w:r>
        <w:rPr>
          <w:rFonts w:ascii="Palatino Linotype" w:eastAsia="Palatino Linotype" w:hAnsi="Palatino Linotype" w:cs="Palatino Linotype"/>
          <w:b/>
          <w:i/>
          <w:sz w:val="22"/>
          <w:szCs w:val="22"/>
          <w:u w:val="single"/>
        </w:rPr>
        <w:t>Se otorga un plazo de 60 días hábiles, a partir de la vigencia de la presente Ley, para crear el Programa Municipal de Turismo Sostenible y Desarrollo Artesanal</w:t>
      </w:r>
      <w:r>
        <w:rPr>
          <w:rFonts w:ascii="Palatino Linotype" w:eastAsia="Palatino Linotype" w:hAnsi="Palatino Linotype" w:cs="Palatino Linotype"/>
          <w:i/>
          <w:sz w:val="22"/>
          <w:szCs w:val="22"/>
        </w:rPr>
        <w:t>, así como el Registro Municipal de Turismo Sostenible, el Registro Municipal de Artesanas y Art</w:t>
      </w:r>
      <w:r>
        <w:rPr>
          <w:rFonts w:ascii="Palatino Linotype" w:eastAsia="Palatino Linotype" w:hAnsi="Palatino Linotype" w:cs="Palatino Linotype"/>
          <w:i/>
          <w:sz w:val="22"/>
          <w:szCs w:val="22"/>
        </w:rPr>
        <w:t>esanos y el Catálogo Municipal. Una vez creados los Registros y Catálogos Municipales, la información será enviada a la Secretaría y al IIFAEM para la creación del Registro Estatal de Turismo Sostenible, el Registro Estatal de Artesanas y Artesanos y el Ca</w:t>
      </w:r>
      <w:r>
        <w:rPr>
          <w:rFonts w:ascii="Palatino Linotype" w:eastAsia="Palatino Linotype" w:hAnsi="Palatino Linotype" w:cs="Palatino Linotype"/>
          <w:i/>
          <w:sz w:val="22"/>
          <w:szCs w:val="22"/>
        </w:rPr>
        <w:t xml:space="preserve">tálogo Mexiquense. </w:t>
      </w:r>
    </w:p>
    <w:p w:rsidR="006F0A8F" w:rsidRDefault="008E20B0">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SEXTO. Se otorga un plazo de 120 días hábiles, a partir de la vigencia de la presente Ley, para la creación del Observatorio, conforme a lo dispuesto en el Capítulo III del Título Tercero. </w:t>
      </w:r>
    </w:p>
    <w:p w:rsidR="006F0A8F" w:rsidRDefault="008E20B0">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SÉPTIMO. Cuando en otros ordenamientos legales</w:t>
      </w:r>
      <w:r>
        <w:rPr>
          <w:rFonts w:ascii="Palatino Linotype" w:eastAsia="Palatino Linotype" w:hAnsi="Palatino Linotype" w:cs="Palatino Linotype"/>
          <w:i/>
          <w:sz w:val="22"/>
          <w:szCs w:val="22"/>
        </w:rPr>
        <w:t>, administrativos, documentación o papelería se hagan referencias al Fideicomiso para la Promoción Turística se entenderán hechas al Fideicomiso para la Promoción del Turismo Sostenible y Desarrollo Artesanal, el cual cambia de denominación y se constituir</w:t>
      </w:r>
      <w:r>
        <w:rPr>
          <w:rFonts w:ascii="Palatino Linotype" w:eastAsia="Palatino Linotype" w:hAnsi="Palatino Linotype" w:cs="Palatino Linotype"/>
          <w:i/>
          <w:sz w:val="22"/>
          <w:szCs w:val="22"/>
        </w:rPr>
        <w:t>á con los recursos del Fideicomiso vigente. Los convenios, contratos y acuerdos suscritos con antelación con cargo u obligación por parte del Fideicomiso para la Promoción Turística seguirán teniendo vigencia y constituirán parte de los derechos y obligaci</w:t>
      </w:r>
      <w:r>
        <w:rPr>
          <w:rFonts w:ascii="Palatino Linotype" w:eastAsia="Palatino Linotype" w:hAnsi="Palatino Linotype" w:cs="Palatino Linotype"/>
          <w:i/>
          <w:sz w:val="22"/>
          <w:szCs w:val="22"/>
        </w:rPr>
        <w:t xml:space="preserve">ones del Fideicomiso para la Promoción del Turismo Sostenible y Desarrollo Artesanal. </w:t>
      </w:r>
    </w:p>
    <w:p w:rsidR="006F0A8F" w:rsidRDefault="008E20B0">
      <w:pPr>
        <w:spacing w:before="240" w:after="240"/>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tendrá entendido el Gobernador del Estado, haciendo que se publique y se cumpla. </w:t>
      </w:r>
    </w:p>
    <w:p w:rsidR="006F0A8F" w:rsidRDefault="008E20B0">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Dado en el Palacio del Poder Legislativo, en la ciudad de Toluca de Lerdo, Capital d</w:t>
      </w:r>
      <w:r>
        <w:rPr>
          <w:rFonts w:ascii="Palatino Linotype" w:eastAsia="Palatino Linotype" w:hAnsi="Palatino Linotype" w:cs="Palatino Linotype"/>
          <w:i/>
          <w:sz w:val="22"/>
          <w:szCs w:val="22"/>
        </w:rPr>
        <w:t xml:space="preserve">el Estado de México, a los quince días del mes de diciembre del año dos mil veinte.- Presidenta.- Dip. Karina Labastida Sotelo.- Secretarios.- Dip. Valentín González Bautista.- Dip. Bernardo Segura Rivera.- Dip. Araceli Casasola Salazar.- Rúbricas. </w:t>
      </w:r>
    </w:p>
    <w:p w:rsidR="006F0A8F" w:rsidRDefault="008E20B0">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Por ta</w:t>
      </w:r>
      <w:r>
        <w:rPr>
          <w:rFonts w:ascii="Palatino Linotype" w:eastAsia="Palatino Linotype" w:hAnsi="Palatino Linotype" w:cs="Palatino Linotype"/>
          <w:i/>
          <w:sz w:val="22"/>
          <w:szCs w:val="22"/>
        </w:rPr>
        <w:t>nto, mando se publique, circule, observe y se le dé el debido cumplimiento. Toluca de Lerdo, México, a 4 de enero de 2021.”</w:t>
      </w:r>
    </w:p>
    <w:p w:rsidR="006F0A8F" w:rsidRDefault="008E20B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 así que de lo anteriormente citado se concluye que la obligación prevista en el artículo 9, fracción I de la legislación se deber</w:t>
      </w:r>
      <w:r>
        <w:rPr>
          <w:rFonts w:ascii="Palatino Linotype" w:eastAsia="Palatino Linotype" w:hAnsi="Palatino Linotype" w:cs="Palatino Linotype"/>
        </w:rPr>
        <w:t>á contabilizar a partir de su publicación en el periódico oficial Gaceta de Gobierno, es decir, a partir del 7 de enero de 2021, por lo tanto, a la fecha de la solicitud el Sujeto Obligado debe contar con el programa municipal de turismo sostenible y desar</w:t>
      </w:r>
      <w:r>
        <w:rPr>
          <w:rFonts w:ascii="Palatino Linotype" w:eastAsia="Palatino Linotype" w:hAnsi="Palatino Linotype" w:cs="Palatino Linotype"/>
        </w:rPr>
        <w:t>rollo artesanal generado con la finalidad de dar cumplimiento al cuerpo normativo en estudio, asimismo debe precisarse que en la propia ley no se especifica la periodicidad para la actualización o elaboración de dicho programa, por lo tanto, a efecto de co</w:t>
      </w:r>
      <w:r>
        <w:rPr>
          <w:rFonts w:ascii="Palatino Linotype" w:eastAsia="Palatino Linotype" w:hAnsi="Palatino Linotype" w:cs="Palatino Linotype"/>
        </w:rPr>
        <w:t>lmar la presente solicitud, bastará con que el Sujeto Obligado haga entrega del Programa Municipal de Turismo Sostenible y Desarrollo Artesanal generado con motivo de la entrada en vigor de la presente legislación; no pasa desapercibido para este Instituto</w:t>
      </w:r>
      <w:r>
        <w:rPr>
          <w:rFonts w:ascii="Palatino Linotype" w:eastAsia="Palatino Linotype" w:hAnsi="Palatino Linotype" w:cs="Palatino Linotype"/>
        </w:rPr>
        <w:t xml:space="preserve"> que en la etapa de manifestaciones detallada en líneas anteriores, la Directora General y Servidora Pública Habilitada expresó contar con un programa elaborado a la fecha de la solicitud. </w:t>
      </w:r>
    </w:p>
    <w:p w:rsidR="006F0A8F" w:rsidRDefault="008E20B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lo expuesto, con fundamento en el artículo 186 fracción III de</w:t>
      </w:r>
      <w:r>
        <w:rPr>
          <w:rFonts w:ascii="Palatino Linotype" w:eastAsia="Palatino Linotype" w:hAnsi="Palatino Linotype" w:cs="Palatino Linotype"/>
        </w:rPr>
        <w:t xml:space="preserve"> la Ley de Transparencia y Acceso a la Información Pública del Estado de México y Municipios, este Órgano Garante considera procedente</w:t>
      </w:r>
      <w:r>
        <w:rPr>
          <w:rFonts w:ascii="Palatino Linotype" w:eastAsia="Palatino Linotype" w:hAnsi="Palatino Linotype" w:cs="Palatino Linotype"/>
          <w:b/>
        </w:rPr>
        <w:t xml:space="preserve"> modificar la respuesta y ordenar </w:t>
      </w:r>
      <w:r>
        <w:rPr>
          <w:rFonts w:ascii="Palatino Linotype" w:eastAsia="Palatino Linotype" w:hAnsi="Palatino Linotype" w:cs="Palatino Linotype"/>
        </w:rPr>
        <w:t>la entrega de la información requerida, es decir, el Programa Municipal de Turismo Soste</w:t>
      </w:r>
      <w:r>
        <w:rPr>
          <w:rFonts w:ascii="Palatino Linotype" w:eastAsia="Palatino Linotype" w:hAnsi="Palatino Linotype" w:cs="Palatino Linotype"/>
        </w:rPr>
        <w:t>nible y Desarrollo Artesanal vigente al once de agosto de dos mil veintiuno, esto es a la fecha de la solicitud, en razón de que como se ha venido mencionando a lo largo de la resolución, la Dirección General de Fomento Económico manifestó en informe justi</w:t>
      </w:r>
      <w:r>
        <w:rPr>
          <w:rFonts w:ascii="Palatino Linotype" w:eastAsia="Palatino Linotype" w:hAnsi="Palatino Linotype" w:cs="Palatino Linotype"/>
        </w:rPr>
        <w:t>ficado que únicamente ha elaborado un programa como así lo estipula el artículo 9 fracción I de la Ley de Turismo Sostenible y Desarrollo Artesanal del Estado de México, ello con motivo de la entrada en vigor del dispositivo legal referido, es decir, el dí</w:t>
      </w:r>
      <w:r>
        <w:rPr>
          <w:rFonts w:ascii="Palatino Linotype" w:eastAsia="Palatino Linotype" w:hAnsi="Palatino Linotype" w:cs="Palatino Linotype"/>
        </w:rPr>
        <w:t>a 6 de enero del 2021.</w:t>
      </w:r>
    </w:p>
    <w:p w:rsidR="006F0A8F" w:rsidRDefault="008E20B0">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w:t>
      </w:r>
      <w:r>
        <w:rPr>
          <w:rFonts w:ascii="Palatino Linotype" w:eastAsia="Palatino Linotype" w:hAnsi="Palatino Linotype" w:cs="Palatino Linotype"/>
        </w:rPr>
        <w:t xml:space="preserve"> y II; 176, 178, 179, fracción I, 181, 185 de la Ley de Transparencia y Acceso a la Información Pública del Estado de México y Municipios, este Pleno:</w:t>
      </w:r>
    </w:p>
    <w:p w:rsidR="006F0A8F" w:rsidRDefault="008E20B0">
      <w:pPr>
        <w:numPr>
          <w:ilvl w:val="0"/>
          <w:numId w:val="1"/>
        </w:numPr>
        <w:spacing w:before="240" w:after="240" w:line="360" w:lineRule="auto"/>
        <w:ind w:left="426"/>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rsidR="006F0A8F" w:rsidRDefault="008E20B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 </w:t>
      </w:r>
      <w:r>
        <w:rPr>
          <w:rFonts w:ascii="Palatino Linotype" w:eastAsia="Palatino Linotype" w:hAnsi="Palatino Linotype" w:cs="Palatino Linotype"/>
          <w:b/>
        </w:rPr>
        <w:t>fundado</w:t>
      </w:r>
      <w:r>
        <w:rPr>
          <w:rFonts w:ascii="Palatino Linotype" w:eastAsia="Palatino Linotype" w:hAnsi="Palatino Linotype" w:cs="Palatino Linotype"/>
        </w:rPr>
        <w:t xml:space="preserve"> el motivo de inconformidad planteado por el 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en el rec</w:t>
      </w:r>
      <w:r>
        <w:rPr>
          <w:rFonts w:ascii="Palatino Linotype" w:eastAsia="Palatino Linotype" w:hAnsi="Palatino Linotype" w:cs="Palatino Linotype"/>
        </w:rPr>
        <w:t xml:space="preserve">urso de revisión </w:t>
      </w:r>
      <w:r>
        <w:rPr>
          <w:rFonts w:ascii="Palatino Linotype" w:eastAsia="Palatino Linotype" w:hAnsi="Palatino Linotype" w:cs="Palatino Linotype"/>
          <w:b/>
        </w:rPr>
        <w:t>04594/INFOEM/IP/RR/2021</w:t>
      </w:r>
      <w:r>
        <w:rPr>
          <w:rFonts w:ascii="Palatino Linotype" w:eastAsia="Palatino Linotype" w:hAnsi="Palatino Linotype" w:cs="Palatino Linotype"/>
        </w:rPr>
        <w:t xml:space="preserve">, por lo que, en términos del </w:t>
      </w:r>
      <w:r>
        <w:rPr>
          <w:rFonts w:ascii="Palatino Linotype" w:eastAsia="Palatino Linotype" w:hAnsi="Palatino Linotype" w:cs="Palatino Linotype"/>
          <w:b/>
        </w:rPr>
        <w:t>Considerando Cuarto</w:t>
      </w:r>
      <w:r>
        <w:rPr>
          <w:rFonts w:ascii="Palatino Linotype" w:eastAsia="Palatino Linotype" w:hAnsi="Palatino Linotype" w:cs="Palatino Linotype"/>
        </w:rPr>
        <w:t xml:space="preserve"> de la presente resolución, se </w:t>
      </w:r>
      <w:r>
        <w:rPr>
          <w:rFonts w:ascii="Palatino Linotype" w:eastAsia="Palatino Linotype" w:hAnsi="Palatino Linotype" w:cs="Palatino Linotype"/>
          <w:b/>
        </w:rPr>
        <w:t>MODIFICA</w:t>
      </w:r>
      <w:r>
        <w:rPr>
          <w:rFonts w:ascii="Palatino Linotype" w:eastAsia="Palatino Linotype" w:hAnsi="Palatino Linotype" w:cs="Palatino Linotype"/>
        </w:rPr>
        <w:t xml:space="preserve"> la respuesta emitida por el </w:t>
      </w:r>
      <w:r>
        <w:rPr>
          <w:rFonts w:ascii="Palatino Linotype" w:eastAsia="Palatino Linotype" w:hAnsi="Palatino Linotype" w:cs="Palatino Linotype"/>
          <w:b/>
        </w:rPr>
        <w:t>Ayuntamiento de Toluca.</w:t>
      </w:r>
    </w:p>
    <w:p w:rsidR="006F0A8F" w:rsidRDefault="008E20B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Segundo.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Sujeto Obligado que en términos de los </w:t>
      </w:r>
      <w:r>
        <w:rPr>
          <w:rFonts w:ascii="Palatino Linotype" w:eastAsia="Palatino Linotype" w:hAnsi="Palatino Linotype" w:cs="Palatino Linotype"/>
          <w:b/>
        </w:rPr>
        <w:t xml:space="preserve">Considerandos Cuarto </w:t>
      </w:r>
      <w:r>
        <w:rPr>
          <w:rFonts w:ascii="Palatino Linotype" w:eastAsia="Palatino Linotype" w:hAnsi="Palatino Linotype" w:cs="Palatino Linotype"/>
        </w:rPr>
        <w:t xml:space="preserve">de esta resolución haga entrega al recurrente a través del </w:t>
      </w:r>
      <w:r>
        <w:rPr>
          <w:rFonts w:ascii="Palatino Linotype" w:eastAsia="Palatino Linotype" w:hAnsi="Palatino Linotype" w:cs="Palatino Linotype"/>
          <w:b/>
        </w:rPr>
        <w:t>SAIMEX</w:t>
      </w:r>
      <w:r>
        <w:rPr>
          <w:rFonts w:ascii="Palatino Linotype" w:eastAsia="Palatino Linotype" w:hAnsi="Palatino Linotype" w:cs="Palatino Linotype"/>
        </w:rPr>
        <w:t>, de lo siguiente:</w:t>
      </w:r>
    </w:p>
    <w:p w:rsidR="006F0A8F" w:rsidRDefault="008E20B0">
      <w:pPr>
        <w:pBdr>
          <w:top w:val="nil"/>
          <w:left w:val="nil"/>
          <w:bottom w:val="nil"/>
          <w:right w:val="nil"/>
          <w:between w:val="nil"/>
        </w:pBdr>
        <w:spacing w:before="240" w:after="240" w:line="360" w:lineRule="auto"/>
        <w:ind w:left="567" w:right="709"/>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Programa Municipal de Turismo Sostenible y Desarrollo Artesanal de Toluca, vigente al once de agosto de dos mil veintiuno.</w:t>
      </w:r>
    </w:p>
    <w:p w:rsidR="006F0A8F" w:rsidRDefault="008E20B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 xml:space="preserve">vía Sistema de Acceso a la Información Mexiquense (SAIMEX), </w:t>
      </w:r>
      <w:r>
        <w:rPr>
          <w:rFonts w:ascii="Palatino Linotype" w:eastAsia="Palatino Linotype" w:hAnsi="Palatino Linotype" w:cs="Palatino Linotype"/>
        </w:rPr>
        <w:t xml:space="preserve">al Responsable de la Unidad de Transparencia del Sujeto Obligado, para que conforme a los artículos 186, último párrafo y 189, párrafo segundo de la Ley de Transparencia y Acceso a la Información </w:t>
      </w:r>
      <w:r>
        <w:rPr>
          <w:rFonts w:ascii="Palatino Linotype" w:eastAsia="Palatino Linotype" w:hAnsi="Palatino Linotype" w:cs="Palatino Linotype"/>
        </w:rPr>
        <w:t>Pública del Estado de México y Municipios dé cumplimiento a lo ordenado dentro del plazo de diez días hábiles, debiendo informar a este Instituto en un plazo de tres días hábiles siguientes sobre el cumplimiento dado a la presente resolución.</w:t>
      </w:r>
    </w:p>
    <w:p w:rsidR="006F0A8F" w:rsidRDefault="008E20B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De co</w:t>
      </w:r>
      <w:r>
        <w:rPr>
          <w:rFonts w:ascii="Palatino Linotype" w:eastAsia="Palatino Linotype" w:hAnsi="Palatino Linotype" w:cs="Palatino Linotype"/>
        </w:rPr>
        <w:t>nformidad con el artículo 198 de la Ley de Transparencia y Acceso a la Información Pública del Estado de México y Municipios, de considerarlo procedente, el Sujeto Obligado de manera fundada y motivada, podrá solicitar una ampliación de plazo para el cumpl</w:t>
      </w:r>
      <w:r>
        <w:rPr>
          <w:rFonts w:ascii="Palatino Linotype" w:eastAsia="Palatino Linotype" w:hAnsi="Palatino Linotype" w:cs="Palatino Linotype"/>
        </w:rPr>
        <w:t>imiento de la presente resolución.</w:t>
      </w:r>
    </w:p>
    <w:p w:rsidR="006F0A8F" w:rsidRDefault="008E20B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rPr>
        <w:t>al recurrente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presente resolución, </w:t>
      </w:r>
      <w:r>
        <w:rPr>
          <w:rFonts w:ascii="Palatino Linotype" w:eastAsia="Palatino Linotype" w:hAnsi="Palatino Linotype" w:cs="Palatino Linotype"/>
          <w:b/>
        </w:rPr>
        <w:t xml:space="preserve">vía Sistema de Acceso a la Información Mexiquense (SAIMEX), </w:t>
      </w:r>
      <w:r>
        <w:rPr>
          <w:rFonts w:ascii="Palatino Linotype" w:eastAsia="Palatino Linotype" w:hAnsi="Palatino Linotype" w:cs="Palatino Linotype"/>
        </w:rPr>
        <w:t xml:space="preserve">así como que podrá impugnarla vía </w:t>
      </w:r>
      <w:r>
        <w:rPr>
          <w:rFonts w:ascii="Palatino Linotype" w:eastAsia="Palatino Linotype" w:hAnsi="Palatino Linotype" w:cs="Palatino Linotype"/>
          <w:b/>
        </w:rPr>
        <w:t>Juicio de Amparo</w:t>
      </w:r>
      <w:r>
        <w:rPr>
          <w:rFonts w:ascii="Palatino Linotype" w:eastAsia="Palatino Linotype" w:hAnsi="Palatino Linotype" w:cs="Palatino Linotype"/>
        </w:rPr>
        <w:t xml:space="preserve"> en los términos de las leyes aplicables, de conform</w:t>
      </w:r>
      <w:r>
        <w:rPr>
          <w:rFonts w:ascii="Palatino Linotype" w:eastAsia="Palatino Linotype" w:hAnsi="Palatino Linotype" w:cs="Palatino Linotype"/>
        </w:rPr>
        <w:t xml:space="preserve">idad con lo establecido en el artículo 196 de la Ley de Transparencia y Acceso a la Información Pública del Estado de México y Municipios. </w:t>
      </w:r>
    </w:p>
    <w:p w:rsidR="006F0A8F" w:rsidRDefault="008E20B0">
      <w:pPr>
        <w:spacing w:before="240" w:after="240" w:line="360" w:lineRule="auto"/>
        <w:jc w:val="both"/>
        <w:rPr>
          <w:rFonts w:ascii="Palatino Linotype" w:eastAsia="Palatino Linotype" w:hAnsi="Palatino Linotype" w:cs="Palatino Linotype"/>
          <w:color w:val="000000"/>
          <w:sz w:val="22"/>
          <w:szCs w:val="22"/>
        </w:rPr>
        <w:sectPr w:rsidR="006F0A8F">
          <w:headerReference w:type="default" r:id="rId13"/>
          <w:footerReference w:type="default" r:id="rId14"/>
          <w:headerReference w:type="first" r:id="rId15"/>
          <w:footerReference w:type="first" r:id="rId16"/>
          <w:pgSz w:w="12240" w:h="15840"/>
          <w:pgMar w:top="1985" w:right="1892" w:bottom="1701" w:left="1701" w:header="709" w:footer="709" w:gutter="0"/>
          <w:pgNumType w:start="1"/>
          <w:cols w:space="720"/>
          <w:titlePg/>
        </w:sectPr>
      </w:pPr>
      <w:r>
        <w:rPr>
          <w:rFonts w:ascii="Palatino Linotype" w:eastAsia="Palatino Linotype" w:hAnsi="Palatino Linotype" w:cs="Palatino Linotype"/>
          <w:color w:val="222222"/>
          <w:highlight w:val="whit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w:t>
      </w:r>
      <w:r>
        <w:rPr>
          <w:rFonts w:ascii="Palatino Linotype" w:eastAsia="Palatino Linotype" w:hAnsi="Palatino Linotype" w:cs="Palatino Linotype"/>
          <w:color w:val="222222"/>
          <w:highlight w:val="white"/>
        </w:rPr>
        <w:t>MEJÍA AYALA, SHARON CRISTINA MORALES MARTÍNEZ, LUIS GUSTAVO PARRA NORIEGA Y GUADALUPE RAMÍREZ PEÑA; EN LA CUADRAGÉSIMA SEGUNDA SESIÓN ORDINARIA CELEBRADA EL VEINTICUATRO</w:t>
      </w:r>
      <w:r>
        <w:rPr>
          <w:rFonts w:ascii="Palatino Linotype" w:eastAsia="Palatino Linotype" w:hAnsi="Palatino Linotype" w:cs="Palatino Linotype"/>
        </w:rPr>
        <w:t xml:space="preserve"> DE NOVIEMBRE DE DOS MIL VEINTIUNO, ANTE EL SECRETARIO TÉCNICO DEL PLENO ALEXIS TAPIA R</w:t>
      </w:r>
      <w:r>
        <w:rPr>
          <w:rFonts w:ascii="Palatino Linotype" w:eastAsia="Palatino Linotype" w:hAnsi="Palatino Linotype" w:cs="Palatino Linotype"/>
        </w:rPr>
        <w:t>AMÍREZ.</w:t>
      </w:r>
      <w:r>
        <w:rPr>
          <w:noProof/>
          <w:lang w:val="es-MX"/>
        </w:rPr>
        <mc:AlternateContent>
          <mc:Choice Requires="wpg">
            <w:drawing>
              <wp:anchor distT="0" distB="0" distL="114300" distR="114300" simplePos="0" relativeHeight="251662336" behindDoc="0" locked="0" layoutInCell="1" hidden="0" allowOverlap="1">
                <wp:simplePos x="0" y="0"/>
                <wp:positionH relativeFrom="column">
                  <wp:posOffset>50801</wp:posOffset>
                </wp:positionH>
                <wp:positionV relativeFrom="paragraph">
                  <wp:posOffset>1574800</wp:posOffset>
                </wp:positionV>
                <wp:extent cx="5467350" cy="6162675"/>
                <wp:effectExtent l="0" t="0" r="0" b="0"/>
                <wp:wrapNone/>
                <wp:docPr id="21" name=""/>
                <wp:cNvGraphicFramePr/>
                <a:graphic xmlns:a="http://schemas.openxmlformats.org/drawingml/2006/main">
                  <a:graphicData uri="http://schemas.microsoft.com/office/word/2010/wordprocessingShape">
                    <wps:wsp>
                      <wps:cNvCnPr/>
                      <wps:spPr>
                        <a:xfrm flipH="1">
                          <a:off x="2617088" y="703425"/>
                          <a:ext cx="5457825" cy="615315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50801</wp:posOffset>
                </wp:positionH>
                <wp:positionV relativeFrom="paragraph">
                  <wp:posOffset>1574800</wp:posOffset>
                </wp:positionV>
                <wp:extent cx="5467350" cy="6162675"/>
                <wp:effectExtent b="0" l="0" r="0" t="0"/>
                <wp:wrapNone/>
                <wp:docPr id="21" name="image6.png"/>
                <a:graphic>
                  <a:graphicData uri="http://schemas.openxmlformats.org/drawingml/2006/picture">
                    <pic:pic>
                      <pic:nvPicPr>
                        <pic:cNvPr id="0" name="image6.png"/>
                        <pic:cNvPicPr preferRelativeResize="0"/>
                      </pic:nvPicPr>
                      <pic:blipFill>
                        <a:blip r:embed="rId17"/>
                        <a:srcRect/>
                        <a:stretch>
                          <a:fillRect/>
                        </a:stretch>
                      </pic:blipFill>
                      <pic:spPr>
                        <a:xfrm>
                          <a:off x="0" y="0"/>
                          <a:ext cx="5467350" cy="6162675"/>
                        </a:xfrm>
                        <a:prstGeom prst="rect"/>
                        <a:ln/>
                      </pic:spPr>
                    </pic:pic>
                  </a:graphicData>
                </a:graphic>
              </wp:anchor>
            </w:drawing>
          </mc:Fallback>
        </mc:AlternateContent>
      </w:r>
    </w:p>
    <w:p w:rsidR="006F0A8F" w:rsidRDefault="006F0A8F">
      <w:pPr>
        <w:spacing w:before="240" w:after="240" w:line="360" w:lineRule="auto"/>
        <w:jc w:val="both"/>
        <w:rPr>
          <w:rFonts w:ascii="Palatino Linotype" w:eastAsia="Palatino Linotype" w:hAnsi="Palatino Linotype" w:cs="Palatino Linotype"/>
        </w:rPr>
      </w:pPr>
      <w:bookmarkStart w:id="6" w:name="_heading=h.tyjcwt" w:colFirst="0" w:colLast="0"/>
      <w:bookmarkEnd w:id="6"/>
    </w:p>
    <w:sectPr w:rsidR="006F0A8F">
      <w:headerReference w:type="first" r:id="rId18"/>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8E20B0">
      <w:r>
        <w:separator/>
      </w:r>
    </w:p>
  </w:endnote>
  <w:endnote w:type="continuationSeparator" w:id="0">
    <w:p w:rsidR="00000000" w:rsidRDefault="008E2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A8F" w:rsidRDefault="008E20B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15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32</w:t>
    </w:r>
    <w:r>
      <w:rPr>
        <w:rFonts w:ascii="Palatino Linotype" w:eastAsia="Palatino Linotype" w:hAnsi="Palatino Linotype" w:cs="Palatino Linotype"/>
        <w:b/>
        <w:color w:val="000000"/>
        <w:sz w:val="20"/>
        <w:szCs w:val="20"/>
      </w:rPr>
      <w:fldChar w:fldCharType="end"/>
    </w:r>
  </w:p>
  <w:p w:rsidR="006F0A8F" w:rsidRDefault="006F0A8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A8F" w:rsidRDefault="008E20B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32</w:t>
    </w:r>
    <w:r>
      <w:rPr>
        <w:rFonts w:ascii="Palatino Linotype" w:eastAsia="Palatino Linotype" w:hAnsi="Palatino Linotype" w:cs="Palatino Linotype"/>
        <w:b/>
        <w:color w:val="000000"/>
        <w:sz w:val="20"/>
        <w:szCs w:val="20"/>
      </w:rPr>
      <w:fldChar w:fldCharType="end"/>
    </w:r>
  </w:p>
  <w:p w:rsidR="006F0A8F" w:rsidRDefault="006F0A8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8E20B0">
      <w:r>
        <w:separator/>
      </w:r>
    </w:p>
  </w:footnote>
  <w:footnote w:type="continuationSeparator" w:id="0">
    <w:p w:rsidR="00000000" w:rsidRDefault="008E20B0">
      <w:r>
        <w:continuationSeparator/>
      </w:r>
    </w:p>
  </w:footnote>
  <w:footnote w:id="1">
    <w:p w:rsidR="006F0A8F" w:rsidRDefault="008E20B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12. (…)</w:t>
      </w:r>
    </w:p>
    <w:p w:rsidR="006F0A8F" w:rsidRDefault="008E20B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w:t>
      </w:r>
      <w:r>
        <w:rPr>
          <w:rFonts w:ascii="Palatino Linotype" w:eastAsia="Palatino Linotype" w:hAnsi="Palatino Linotype" w:cs="Palatino Linotype"/>
          <w:color w:val="000000"/>
          <w:sz w:val="16"/>
          <w:szCs w:val="16"/>
        </w:rPr>
        <w:t>conforme al interés del solicitante; no estarán obligados a generarla, resumirla, efectuar cálculos o practicar investigaciones.</w:t>
      </w:r>
    </w:p>
  </w:footnote>
  <w:footnote w:id="2">
    <w:p w:rsidR="006F0A8F" w:rsidRDefault="008E20B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3. Para los efectos de la presente Ley se entenderá por: (…)</w:t>
      </w:r>
    </w:p>
    <w:p w:rsidR="006F0A8F" w:rsidRDefault="008E20B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XXII. Información de interés público: Se refiere a la i</w:t>
      </w:r>
      <w:r>
        <w:rPr>
          <w:rFonts w:ascii="Palatino Linotype" w:eastAsia="Palatino Linotype" w:hAnsi="Palatino Linotype" w:cs="Palatino Linotype"/>
          <w:color w:val="000000"/>
          <w:sz w:val="16"/>
          <w:szCs w:val="16"/>
        </w:rPr>
        <w:t>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A8F" w:rsidRDefault="008E20B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-1121408</wp:posOffset>
          </wp:positionH>
          <wp:positionV relativeFrom="paragraph">
            <wp:posOffset>-415288</wp:posOffset>
          </wp:positionV>
          <wp:extent cx="7809865" cy="10165715"/>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953" w:type="dxa"/>
      <w:tblInd w:w="3261" w:type="dxa"/>
      <w:tblLayout w:type="fixed"/>
      <w:tblLook w:val="0400" w:firstRow="0" w:lastRow="0" w:firstColumn="0" w:lastColumn="0" w:noHBand="0" w:noVBand="1"/>
    </w:tblPr>
    <w:tblGrid>
      <w:gridCol w:w="2489"/>
      <w:gridCol w:w="3464"/>
    </w:tblGrid>
    <w:tr w:rsidR="006F0A8F">
      <w:tc>
        <w:tcPr>
          <w:tcW w:w="2489" w:type="dxa"/>
          <w:shd w:val="clear" w:color="auto" w:fill="auto"/>
        </w:tcPr>
        <w:p w:rsidR="006F0A8F" w:rsidRDefault="008E20B0">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rsidR="006F0A8F" w:rsidRDefault="008E20B0">
          <w:pPr>
            <w:ind w:right="175"/>
            <w:jc w:val="both"/>
            <w:rPr>
              <w:rFonts w:ascii="Palatino Linotype" w:eastAsia="Palatino Linotype" w:hAnsi="Palatino Linotype" w:cs="Palatino Linotype"/>
              <w:b/>
            </w:rPr>
          </w:pPr>
          <w:r>
            <w:rPr>
              <w:rFonts w:ascii="Palatino Linotype" w:eastAsia="Palatino Linotype" w:hAnsi="Palatino Linotype" w:cs="Palatino Linotype"/>
              <w:b/>
            </w:rPr>
            <w:t>04594/INFOEM/IP/RR/2021</w:t>
          </w:r>
        </w:p>
      </w:tc>
    </w:tr>
    <w:tr w:rsidR="006F0A8F">
      <w:trPr>
        <w:trHeight w:val="228"/>
      </w:trPr>
      <w:tc>
        <w:tcPr>
          <w:tcW w:w="2489" w:type="dxa"/>
          <w:shd w:val="clear" w:color="auto" w:fill="auto"/>
          <w:vAlign w:val="center"/>
        </w:tcPr>
        <w:p w:rsidR="006F0A8F" w:rsidRDefault="008E20B0">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rsidR="006F0A8F" w:rsidRDefault="008E20B0">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 xml:space="preserve"> Ayuntamiento de Toluca</w:t>
          </w:r>
        </w:p>
      </w:tc>
    </w:tr>
    <w:tr w:rsidR="006F0A8F">
      <w:tc>
        <w:tcPr>
          <w:tcW w:w="2489" w:type="dxa"/>
          <w:shd w:val="clear" w:color="auto" w:fill="auto"/>
          <w:vAlign w:val="center"/>
        </w:tcPr>
        <w:p w:rsidR="006F0A8F" w:rsidRDefault="008E20B0">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rsidR="006F0A8F" w:rsidRDefault="008E20B0">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6F0A8F" w:rsidRDefault="008E20B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A8F" w:rsidRDefault="006F0A8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4"/>
      <w:tblW w:w="5953" w:type="dxa"/>
      <w:tblInd w:w="3261" w:type="dxa"/>
      <w:tblLayout w:type="fixed"/>
      <w:tblLook w:val="0400" w:firstRow="0" w:lastRow="0" w:firstColumn="0" w:lastColumn="0" w:noHBand="0" w:noVBand="1"/>
    </w:tblPr>
    <w:tblGrid>
      <w:gridCol w:w="2551"/>
      <w:gridCol w:w="3402"/>
    </w:tblGrid>
    <w:tr w:rsidR="006F0A8F">
      <w:tc>
        <w:tcPr>
          <w:tcW w:w="2551" w:type="dxa"/>
          <w:shd w:val="clear" w:color="auto" w:fill="auto"/>
          <w:vAlign w:val="center"/>
        </w:tcPr>
        <w:p w:rsidR="006F0A8F" w:rsidRDefault="008E20B0">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rsidR="006F0A8F" w:rsidRDefault="008E20B0">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 xml:space="preserve">04594/INFOEM/IP/RR/2021 </w:t>
          </w:r>
        </w:p>
      </w:tc>
    </w:tr>
    <w:tr w:rsidR="006F0A8F">
      <w:trPr>
        <w:trHeight w:val="130"/>
      </w:trPr>
      <w:tc>
        <w:tcPr>
          <w:tcW w:w="2551" w:type="dxa"/>
          <w:shd w:val="clear" w:color="auto" w:fill="auto"/>
          <w:vAlign w:val="center"/>
        </w:tcPr>
        <w:p w:rsidR="006F0A8F" w:rsidRDefault="008E20B0">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rsidR="006F0A8F" w:rsidRDefault="006F0A8F">
          <w:pPr>
            <w:ind w:left="-45"/>
            <w:jc w:val="both"/>
            <w:rPr>
              <w:rFonts w:ascii="Palatino Linotype" w:eastAsia="Palatino Linotype" w:hAnsi="Palatino Linotype" w:cs="Palatino Linotype"/>
              <w:b/>
            </w:rPr>
          </w:pPr>
        </w:p>
      </w:tc>
    </w:tr>
    <w:tr w:rsidR="006F0A8F">
      <w:trPr>
        <w:trHeight w:val="228"/>
      </w:trPr>
      <w:tc>
        <w:tcPr>
          <w:tcW w:w="2551" w:type="dxa"/>
          <w:shd w:val="clear" w:color="auto" w:fill="auto"/>
          <w:vAlign w:val="center"/>
        </w:tcPr>
        <w:p w:rsidR="006F0A8F" w:rsidRDefault="008E20B0">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rsidR="006F0A8F" w:rsidRDefault="008E20B0">
          <w:pPr>
            <w:ind w:left="-45" w:right="34"/>
            <w:jc w:val="both"/>
            <w:rPr>
              <w:rFonts w:ascii="Palatino Linotype" w:eastAsia="Palatino Linotype" w:hAnsi="Palatino Linotype" w:cs="Palatino Linotype"/>
              <w:b/>
            </w:rPr>
          </w:pPr>
          <w:r>
            <w:rPr>
              <w:rFonts w:ascii="Palatino Linotype" w:eastAsia="Palatino Linotype" w:hAnsi="Palatino Linotype" w:cs="Palatino Linotype"/>
              <w:b/>
            </w:rPr>
            <w:t>Ayuntamiento de Toluca</w:t>
          </w:r>
        </w:p>
      </w:tc>
    </w:tr>
    <w:tr w:rsidR="006F0A8F">
      <w:tc>
        <w:tcPr>
          <w:tcW w:w="2551" w:type="dxa"/>
          <w:shd w:val="clear" w:color="auto" w:fill="auto"/>
          <w:vAlign w:val="center"/>
        </w:tcPr>
        <w:p w:rsidR="006F0A8F" w:rsidRDefault="008E20B0">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rsidR="006F0A8F" w:rsidRDefault="008E20B0">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6F0A8F" w:rsidRDefault="008E20B0">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-1139188</wp:posOffset>
          </wp:positionH>
          <wp:positionV relativeFrom="paragraph">
            <wp:posOffset>-1198878</wp:posOffset>
          </wp:positionV>
          <wp:extent cx="7809876" cy="10165823"/>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A8F" w:rsidRDefault="006F0A8F">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93084E"/>
    <w:multiLevelType w:val="multilevel"/>
    <w:tmpl w:val="99F240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54E177F"/>
    <w:multiLevelType w:val="multilevel"/>
    <w:tmpl w:val="2698FD54"/>
    <w:lvl w:ilvl="0">
      <w:start w:val="3"/>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8D05E1E"/>
    <w:multiLevelType w:val="multilevel"/>
    <w:tmpl w:val="E0D4E3AC"/>
    <w:lvl w:ilvl="0">
      <w:start w:val="1"/>
      <w:numFmt w:val="lowerLetter"/>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A8F"/>
    <w:rsid w:val="006F0A8F"/>
    <w:rsid w:val="008E20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FE9BE5-2E36-4649-8DC8-04FD8D504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58C5"/>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style>
  <w:style w:type="numbering" w:customStyle="1" w:styleId="Estiloimportado1">
    <w:name w:val="Estilo importado 1"/>
    <w:rsid w:val="005D54F5"/>
  </w:style>
  <w:style w:type="paragraph" w:customStyle="1" w:styleId="INCISO">
    <w:name w:val="INCISO"/>
    <w:basedOn w:val="Normal"/>
    <w:rsid w:val="005D54F5"/>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5D54F5"/>
    <w:pPr>
      <w:spacing w:before="100" w:beforeAutospacing="1" w:after="100" w:afterAutospacing="1"/>
    </w:pPr>
    <w:rPr>
      <w:lang w:val="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rPr>
  </w:style>
  <w:style w:type="table" w:customStyle="1" w:styleId="Tablaconcuadrcula11">
    <w:name w:val="Tabla con cuadrícula11"/>
    <w:basedOn w:val="Tablanormal"/>
    <w:next w:val="Tablaconcuadrcula"/>
    <w:uiPriority w:val="59"/>
    <w:rsid w:val="005D54F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 w:type="table" w:customStyle="1" w:styleId="Tabladelista1clara-nfasis121">
    <w:name w:val="Tabla de lista 1 clara - Énfasis 121"/>
    <w:basedOn w:val="Tablanormal"/>
    <w:next w:val="Tabladelista1clara-nfasis1"/>
    <w:uiPriority w:val="46"/>
    <w:rsid w:val="00DC57D8"/>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4">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5">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tZmO0Mnd+ac9S4s/e4vXgRsGMw==">AMUW2mU/jneYJjWBgR4ypDHJ69/TOne8ojG12cTlVFWz3lHap7YABDMXYdvbvdgWxwVY72pRYiijZu30vMTmhNQCg002hUOAb2mRxwDFen9wfMya1UCUUd72SiZtdNfaRZOISyZLhkPSzv+3eAQmR1kIr8d5KZpsXbmXwLAORq57hky7fd8uy8Px0h5S7LFOPehUV0Cf2Nv0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7521</Words>
  <Characters>41371</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48795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dcterms:created xsi:type="dcterms:W3CDTF">2021-12-02T16:29:00Z</dcterms:created>
  <dcterms:modified xsi:type="dcterms:W3CDTF">2021-12-02T16:29:00Z</dcterms:modified>
</cp:coreProperties>
</file>