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DC079" w14:textId="71309F47" w:rsidR="00AC142E" w:rsidRPr="00BA779A" w:rsidRDefault="00875853" w:rsidP="00372F98">
      <w:pPr>
        <w:shd w:val="clear" w:color="auto" w:fill="FFFFFF"/>
        <w:spacing w:before="240" w:line="360" w:lineRule="auto"/>
        <w:jc w:val="both"/>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México, a </w:t>
      </w:r>
      <w:r w:rsidR="00372F98" w:rsidRPr="00BA779A">
        <w:rPr>
          <w:rFonts w:ascii="Palatino Linotype" w:eastAsia="Palatino Linotype" w:hAnsi="Palatino Linotype" w:cs="Palatino Linotype"/>
          <w:color w:val="000000"/>
          <w:sz w:val="24"/>
          <w:szCs w:val="24"/>
        </w:rPr>
        <w:t>veintisiete de octubre</w:t>
      </w:r>
      <w:r w:rsidRPr="00BA779A">
        <w:rPr>
          <w:rFonts w:ascii="Palatino Linotype" w:eastAsia="Palatino Linotype" w:hAnsi="Palatino Linotype" w:cs="Palatino Linotype"/>
          <w:color w:val="000000"/>
          <w:sz w:val="24"/>
          <w:szCs w:val="24"/>
        </w:rPr>
        <w:t xml:space="preserve"> de dos mil veintiuno.</w:t>
      </w:r>
    </w:p>
    <w:p w14:paraId="79FDC203" w14:textId="77777777" w:rsidR="00AC142E" w:rsidRPr="00BA779A" w:rsidRDefault="00AC142E">
      <w:pPr>
        <w:shd w:val="clear" w:color="auto" w:fill="FFFFFF"/>
        <w:spacing w:before="240" w:line="360" w:lineRule="auto"/>
        <w:jc w:val="both"/>
        <w:rPr>
          <w:rFonts w:ascii="Palatino Linotype" w:eastAsia="Palatino Linotype" w:hAnsi="Palatino Linotype" w:cs="Palatino Linotype"/>
          <w:color w:val="000000"/>
          <w:sz w:val="24"/>
          <w:szCs w:val="24"/>
        </w:rPr>
      </w:pPr>
    </w:p>
    <w:p w14:paraId="1708E80D" w14:textId="77777777" w:rsidR="00AC142E" w:rsidRPr="00BA779A" w:rsidRDefault="00875853">
      <w:pPr>
        <w:tabs>
          <w:tab w:val="left" w:pos="1701"/>
        </w:tabs>
        <w:spacing w:before="240" w:line="360" w:lineRule="auto"/>
        <w:jc w:val="both"/>
        <w:rPr>
          <w:rFonts w:ascii="Palatino Linotype" w:eastAsia="Palatino Linotype" w:hAnsi="Palatino Linotype" w:cs="Palatino Linotype"/>
          <w:b/>
          <w:sz w:val="24"/>
          <w:szCs w:val="24"/>
        </w:rPr>
      </w:pPr>
      <w:r w:rsidRPr="00BA779A">
        <w:rPr>
          <w:rFonts w:ascii="Palatino Linotype" w:eastAsia="Palatino Linotype" w:hAnsi="Palatino Linotype" w:cs="Palatino Linotype"/>
          <w:b/>
          <w:sz w:val="24"/>
          <w:szCs w:val="24"/>
        </w:rPr>
        <w:t>VISTO</w:t>
      </w:r>
      <w:r w:rsidRPr="00BA779A">
        <w:rPr>
          <w:rFonts w:ascii="Palatino Linotype" w:eastAsia="Palatino Linotype" w:hAnsi="Palatino Linotype" w:cs="Palatino Linotype"/>
          <w:sz w:val="24"/>
          <w:szCs w:val="24"/>
        </w:rPr>
        <w:t xml:space="preserve"> el expediente electrónico formado con motivo del recurso de revisión número </w:t>
      </w:r>
      <w:r w:rsidRPr="00BA779A">
        <w:rPr>
          <w:rFonts w:ascii="Palatino Linotype" w:eastAsia="Palatino Linotype" w:hAnsi="Palatino Linotype" w:cs="Palatino Linotype"/>
          <w:b/>
          <w:sz w:val="24"/>
          <w:szCs w:val="24"/>
        </w:rPr>
        <w:t>04060/INFOEM/IP/RR/2021</w:t>
      </w:r>
      <w:r w:rsidRPr="00BA779A">
        <w:rPr>
          <w:rFonts w:ascii="Palatino Linotype" w:eastAsia="Palatino Linotype" w:hAnsi="Palatino Linotype" w:cs="Palatino Linotype"/>
          <w:sz w:val="24"/>
          <w:szCs w:val="24"/>
        </w:rPr>
        <w:t xml:space="preserve">, interpuesto por una persona que no proporciono datos </w:t>
      </w:r>
      <w:bookmarkStart w:id="0" w:name="_GoBack"/>
      <w:bookmarkEnd w:id="0"/>
      <w:r w:rsidRPr="00BA779A">
        <w:rPr>
          <w:rFonts w:ascii="Palatino Linotype" w:eastAsia="Palatino Linotype" w:hAnsi="Palatino Linotype" w:cs="Palatino Linotype"/>
          <w:sz w:val="24"/>
          <w:szCs w:val="24"/>
        </w:rPr>
        <w:t>para ser identificada</w:t>
      </w:r>
      <w:r w:rsidRPr="00BA779A">
        <w:rPr>
          <w:rFonts w:ascii="Palatino Linotype" w:eastAsia="Palatino Linotype" w:hAnsi="Palatino Linotype" w:cs="Palatino Linotype"/>
          <w:b/>
          <w:sz w:val="24"/>
          <w:szCs w:val="24"/>
        </w:rPr>
        <w:t xml:space="preserve">, </w:t>
      </w:r>
      <w:r w:rsidRPr="00BA779A">
        <w:rPr>
          <w:rFonts w:ascii="Palatino Linotype" w:eastAsia="Palatino Linotype" w:hAnsi="Palatino Linotype" w:cs="Palatino Linotype"/>
          <w:sz w:val="24"/>
          <w:szCs w:val="24"/>
        </w:rPr>
        <w:t>a quien en lo sucesivo se le denominara la parte</w:t>
      </w:r>
      <w:r w:rsidRPr="00BA779A">
        <w:rPr>
          <w:rFonts w:ascii="Palatino Linotype" w:eastAsia="Palatino Linotype" w:hAnsi="Palatino Linotype" w:cs="Palatino Linotype"/>
          <w:b/>
          <w:sz w:val="24"/>
          <w:szCs w:val="24"/>
        </w:rPr>
        <w:t xml:space="preserve"> recurrente</w:t>
      </w:r>
      <w:r w:rsidRPr="00BA779A">
        <w:rPr>
          <w:rFonts w:ascii="Palatino Linotype" w:eastAsia="Palatino Linotype" w:hAnsi="Palatino Linotype" w:cs="Palatino Linotype"/>
          <w:sz w:val="24"/>
          <w:szCs w:val="24"/>
        </w:rPr>
        <w:t xml:space="preserve">, en contra de la respuesta del </w:t>
      </w:r>
      <w:r w:rsidRPr="00BA779A">
        <w:rPr>
          <w:rFonts w:ascii="Palatino Linotype" w:eastAsia="Palatino Linotype" w:hAnsi="Palatino Linotype" w:cs="Palatino Linotype"/>
          <w:b/>
          <w:sz w:val="24"/>
          <w:szCs w:val="24"/>
        </w:rPr>
        <w:t>Instituto Mexiquense de la Vivienda Social</w:t>
      </w:r>
      <w:r w:rsidRPr="00BA779A">
        <w:rPr>
          <w:rFonts w:ascii="Palatino Linotype" w:eastAsia="Palatino Linotype" w:hAnsi="Palatino Linotype" w:cs="Palatino Linotype"/>
          <w:sz w:val="28"/>
          <w:szCs w:val="28"/>
        </w:rPr>
        <w:t xml:space="preserve">, </w:t>
      </w:r>
      <w:r w:rsidRPr="00BA779A">
        <w:rPr>
          <w:rFonts w:ascii="Palatino Linotype" w:eastAsia="Palatino Linotype" w:hAnsi="Palatino Linotype" w:cs="Palatino Linotype"/>
          <w:sz w:val="24"/>
          <w:szCs w:val="24"/>
        </w:rPr>
        <w:t>en lo subsecuente</w:t>
      </w:r>
      <w:r w:rsidRPr="00BA779A">
        <w:rPr>
          <w:rFonts w:ascii="Palatino Linotype" w:eastAsia="Palatino Linotype" w:hAnsi="Palatino Linotype" w:cs="Palatino Linotype"/>
          <w:b/>
          <w:sz w:val="24"/>
          <w:szCs w:val="24"/>
        </w:rPr>
        <w:t xml:space="preserve"> el sujeto obligado, </w:t>
      </w:r>
      <w:r w:rsidRPr="00BA779A">
        <w:rPr>
          <w:rFonts w:ascii="Palatino Linotype" w:eastAsia="Palatino Linotype" w:hAnsi="Palatino Linotype" w:cs="Palatino Linotype"/>
          <w:sz w:val="24"/>
          <w:szCs w:val="24"/>
        </w:rPr>
        <w:t>se procede a dictar la presente resolución.</w:t>
      </w:r>
    </w:p>
    <w:p w14:paraId="4BBAF10C" w14:textId="77777777" w:rsidR="00AC142E" w:rsidRPr="00BA779A" w:rsidRDefault="00875853">
      <w:pPr>
        <w:spacing w:before="240" w:after="240" w:line="360" w:lineRule="auto"/>
        <w:jc w:val="center"/>
        <w:rPr>
          <w:rFonts w:ascii="Palatino Linotype" w:eastAsia="Palatino Linotype" w:hAnsi="Palatino Linotype" w:cs="Palatino Linotype"/>
          <w:b/>
          <w:sz w:val="28"/>
          <w:szCs w:val="28"/>
        </w:rPr>
      </w:pPr>
      <w:r w:rsidRPr="00BA779A">
        <w:rPr>
          <w:rFonts w:ascii="Palatino Linotype" w:eastAsia="Palatino Linotype" w:hAnsi="Palatino Linotype" w:cs="Palatino Linotype"/>
          <w:b/>
          <w:sz w:val="28"/>
          <w:szCs w:val="28"/>
        </w:rPr>
        <w:t>A N T E C E D E N T E S   D E L   A S U N T O</w:t>
      </w:r>
    </w:p>
    <w:p w14:paraId="5DBE2749" w14:textId="77777777" w:rsidR="00AC142E" w:rsidRPr="00BA779A" w:rsidRDefault="00875853">
      <w:pPr>
        <w:spacing w:before="240" w:after="240" w:line="360" w:lineRule="auto"/>
        <w:jc w:val="both"/>
        <w:rPr>
          <w:rFonts w:ascii="Palatino Linotype" w:eastAsia="Palatino Linotype" w:hAnsi="Palatino Linotype" w:cs="Palatino Linotype"/>
        </w:rPr>
      </w:pPr>
      <w:r w:rsidRPr="00BA779A">
        <w:rPr>
          <w:rFonts w:ascii="Palatino Linotype" w:eastAsia="Palatino Linotype" w:hAnsi="Palatino Linotype" w:cs="Palatino Linotype"/>
          <w:b/>
          <w:sz w:val="28"/>
          <w:szCs w:val="28"/>
        </w:rPr>
        <w:t>PRIMERO.</w:t>
      </w:r>
      <w:r w:rsidRPr="00BA779A">
        <w:rPr>
          <w:rFonts w:ascii="Palatino Linotype" w:eastAsia="Palatino Linotype" w:hAnsi="Palatino Linotype" w:cs="Palatino Linotype"/>
        </w:rPr>
        <w:t xml:space="preserve"> </w:t>
      </w:r>
      <w:r w:rsidRPr="00BA779A">
        <w:rPr>
          <w:rFonts w:ascii="Palatino Linotype" w:eastAsia="Palatino Linotype" w:hAnsi="Palatino Linotype" w:cs="Palatino Linotype"/>
          <w:b/>
          <w:sz w:val="28"/>
          <w:szCs w:val="28"/>
        </w:rPr>
        <w:t>De la Solicitud de Información.</w:t>
      </w:r>
    </w:p>
    <w:p w14:paraId="62F5F1C3"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Con fecha uno de julio de dos mil veintiuno, </w:t>
      </w:r>
      <w:r w:rsidRPr="00BA779A">
        <w:rPr>
          <w:rFonts w:ascii="Palatino Linotype" w:eastAsia="Palatino Linotype" w:hAnsi="Palatino Linotype" w:cs="Palatino Linotype"/>
          <w:b/>
          <w:sz w:val="24"/>
          <w:szCs w:val="24"/>
        </w:rPr>
        <w:t>la parte solicitante</w:t>
      </w:r>
      <w:r w:rsidRPr="00BA779A">
        <w:rPr>
          <w:rFonts w:ascii="Palatino Linotype" w:eastAsia="Palatino Linotype" w:hAnsi="Palatino Linotype" w:cs="Palatino Linotype"/>
          <w:sz w:val="24"/>
          <w:szCs w:val="24"/>
        </w:rPr>
        <w:t xml:space="preserve">, presentó a través de la Plataforma Nacional de Transparencia y registrado en el Sistema de Acceso a la Información Mexiquense, en lo subsecuente </w:t>
      </w:r>
      <w:r w:rsidRPr="00BA779A">
        <w:rPr>
          <w:rFonts w:ascii="Palatino Linotype" w:eastAsia="Palatino Linotype" w:hAnsi="Palatino Linotype" w:cs="Palatino Linotype"/>
          <w:b/>
          <w:sz w:val="24"/>
          <w:szCs w:val="24"/>
        </w:rPr>
        <w:t>EL SAIMEX</w:t>
      </w:r>
      <w:r w:rsidRPr="00BA779A">
        <w:rPr>
          <w:rFonts w:ascii="Palatino Linotype" w:eastAsia="Palatino Linotype" w:hAnsi="Palatino Linotype" w:cs="Palatino Linotype"/>
          <w:sz w:val="24"/>
          <w:szCs w:val="24"/>
        </w:rPr>
        <w:t xml:space="preserve">, ante </w:t>
      </w:r>
      <w:r w:rsidRPr="00BA779A">
        <w:rPr>
          <w:rFonts w:ascii="Palatino Linotype" w:eastAsia="Palatino Linotype" w:hAnsi="Palatino Linotype" w:cs="Palatino Linotype"/>
          <w:b/>
          <w:sz w:val="24"/>
          <w:szCs w:val="24"/>
        </w:rPr>
        <w:t>EL SUJETO OBLIGADO</w:t>
      </w:r>
      <w:r w:rsidRPr="00BA779A">
        <w:rPr>
          <w:rFonts w:ascii="Palatino Linotype" w:eastAsia="Palatino Linotype" w:hAnsi="Palatino Linotype" w:cs="Palatino Linotype"/>
          <w:sz w:val="24"/>
          <w:szCs w:val="24"/>
        </w:rPr>
        <w:t>, la solicitud de acceso a información pública, registrada bajo el número de expediente</w:t>
      </w:r>
      <w:r w:rsidRPr="00BA779A">
        <w:rPr>
          <w:rFonts w:ascii="Palatino Linotype" w:eastAsia="Palatino Linotype" w:hAnsi="Palatino Linotype" w:cs="Palatino Linotype"/>
          <w:b/>
          <w:sz w:val="24"/>
          <w:szCs w:val="24"/>
        </w:rPr>
        <w:t xml:space="preserve"> 00067/IMEVIS/IP/2021, </w:t>
      </w:r>
      <w:r w:rsidRPr="00BA779A">
        <w:rPr>
          <w:rFonts w:ascii="Palatino Linotype" w:eastAsia="Palatino Linotype" w:hAnsi="Palatino Linotype" w:cs="Palatino Linotype"/>
          <w:sz w:val="24"/>
          <w:szCs w:val="24"/>
        </w:rPr>
        <w:t>mediante la cual solicitó información en el tenor siguiente:</w:t>
      </w:r>
    </w:p>
    <w:p w14:paraId="1048A24E" w14:textId="77777777" w:rsidR="00AC142E" w:rsidRPr="00BA779A" w:rsidRDefault="00875853">
      <w:pPr>
        <w:ind w:left="851" w:right="850"/>
        <w:jc w:val="both"/>
        <w:rPr>
          <w:rFonts w:ascii="Palatino Linotype" w:eastAsia="Palatino Linotype" w:hAnsi="Palatino Linotype" w:cs="Palatino Linotype"/>
          <w:i/>
        </w:rPr>
      </w:pPr>
      <w:r w:rsidRPr="00BA779A">
        <w:rPr>
          <w:rFonts w:ascii="Palatino Linotype" w:eastAsia="Palatino Linotype" w:hAnsi="Palatino Linotype" w:cs="Palatino Linotype"/>
          <w:i/>
        </w:rPr>
        <w:t>“</w:t>
      </w:r>
      <w:r w:rsidRPr="00BA779A">
        <w:rPr>
          <w:rFonts w:ascii="Palatino Linotype" w:eastAsia="Palatino Linotype" w:hAnsi="Palatino Linotype" w:cs="Palatino Linotype"/>
          <w:i/>
          <w:color w:val="000000"/>
        </w:rPr>
        <w:t xml:space="preserve">Atentamente solicito los documentos por virtud de los cuales se acredita la propiedad o posesión de los inmuebles señalados en el archivo adjunto. De igual manera los antecedentes de dichos inmuebles, es decir y por ejemplo si fueron o son </w:t>
      </w:r>
      <w:r w:rsidRPr="00BA779A">
        <w:rPr>
          <w:rFonts w:ascii="Palatino Linotype" w:eastAsia="Palatino Linotype" w:hAnsi="Palatino Linotype" w:cs="Palatino Linotype"/>
          <w:i/>
          <w:color w:val="000000"/>
        </w:rPr>
        <w:lastRenderedPageBreak/>
        <w:t xml:space="preserve">propiedad del Ayuntamiento de Tecámac y los donó, están en comodato u otra figura jurídica al Gobierno del Estado de México o por ejemplo si son resultado de una </w:t>
      </w:r>
      <w:proofErr w:type="spellStart"/>
      <w:r w:rsidRPr="00BA779A">
        <w:rPr>
          <w:rFonts w:ascii="Palatino Linotype" w:eastAsia="Palatino Linotype" w:hAnsi="Palatino Linotype" w:cs="Palatino Linotype"/>
          <w:i/>
          <w:color w:val="000000"/>
        </w:rPr>
        <w:t>subdivisón</w:t>
      </w:r>
      <w:proofErr w:type="spellEnd"/>
      <w:r w:rsidRPr="00BA779A">
        <w:rPr>
          <w:rFonts w:ascii="Palatino Linotype" w:eastAsia="Palatino Linotype" w:hAnsi="Palatino Linotype" w:cs="Palatino Linotype"/>
          <w:i/>
          <w:color w:val="000000"/>
        </w:rPr>
        <w:t>.</w:t>
      </w:r>
      <w:r w:rsidRPr="00BA779A">
        <w:rPr>
          <w:rFonts w:ascii="Palatino Linotype" w:eastAsia="Palatino Linotype" w:hAnsi="Palatino Linotype" w:cs="Palatino Linotype"/>
          <w:i/>
        </w:rPr>
        <w:t>” [Sic]</w:t>
      </w:r>
    </w:p>
    <w:p w14:paraId="4D87435B" w14:textId="77777777" w:rsidR="00AC142E" w:rsidRPr="00BA779A" w:rsidRDefault="00875853">
      <w:pPr>
        <w:ind w:right="850"/>
        <w:jc w:val="both"/>
        <w:rPr>
          <w:rFonts w:ascii="Palatino Linotype" w:eastAsia="Palatino Linotype" w:hAnsi="Palatino Linotype" w:cs="Palatino Linotype"/>
        </w:rPr>
      </w:pPr>
      <w:r w:rsidRPr="00BA779A">
        <w:rPr>
          <w:rFonts w:ascii="Palatino Linotype" w:eastAsia="Palatino Linotype" w:hAnsi="Palatino Linotype" w:cs="Palatino Linotype"/>
        </w:rPr>
        <w:t xml:space="preserve">Asimismo, remitió un documento denominado </w:t>
      </w:r>
      <w:proofErr w:type="spellStart"/>
      <w:r w:rsidRPr="00BA779A">
        <w:rPr>
          <w:rFonts w:ascii="Palatino Linotype" w:eastAsia="Palatino Linotype" w:hAnsi="Palatino Linotype" w:cs="Palatino Linotype"/>
        </w:rPr>
        <w:t>Atlahutenco_San</w:t>
      </w:r>
      <w:proofErr w:type="spellEnd"/>
      <w:r w:rsidRPr="00BA779A">
        <w:rPr>
          <w:rFonts w:ascii="Palatino Linotype" w:eastAsia="Palatino Linotype" w:hAnsi="Palatino Linotype" w:cs="Palatino Linotype"/>
        </w:rPr>
        <w:t xml:space="preserve"> Francisco Cuautliquixca.docx, en el cual se desprende lo siguiente:</w:t>
      </w:r>
    </w:p>
    <w:tbl>
      <w:tblPr>
        <w:tblStyle w:val="a"/>
        <w:tblW w:w="8926" w:type="dxa"/>
        <w:tblInd w:w="0" w:type="dxa"/>
        <w:tblLayout w:type="fixed"/>
        <w:tblLook w:val="0400" w:firstRow="0" w:lastRow="0" w:firstColumn="0" w:lastColumn="0" w:noHBand="0" w:noVBand="1"/>
      </w:tblPr>
      <w:tblGrid>
        <w:gridCol w:w="1235"/>
        <w:gridCol w:w="1376"/>
        <w:gridCol w:w="1070"/>
        <w:gridCol w:w="992"/>
        <w:gridCol w:w="992"/>
        <w:gridCol w:w="993"/>
        <w:gridCol w:w="1417"/>
        <w:gridCol w:w="851"/>
      </w:tblGrid>
      <w:tr w:rsidR="00AC142E" w:rsidRPr="00BA779A" w14:paraId="07541E6C" w14:textId="77777777">
        <w:trPr>
          <w:trHeight w:val="672"/>
        </w:trPr>
        <w:tc>
          <w:tcPr>
            <w:tcW w:w="1235" w:type="dxa"/>
            <w:tcBorders>
              <w:top w:val="single" w:sz="4" w:space="0" w:color="000000"/>
              <w:left w:val="single" w:sz="4" w:space="0" w:color="000000"/>
              <w:bottom w:val="nil"/>
              <w:right w:val="nil"/>
            </w:tcBorders>
            <w:shd w:val="clear" w:color="auto" w:fill="A6A6A6"/>
            <w:vAlign w:val="center"/>
          </w:tcPr>
          <w:p w14:paraId="592FDCAA" w14:textId="77777777" w:rsidR="00AC142E" w:rsidRPr="00BA779A" w:rsidRDefault="00875853">
            <w:pPr>
              <w:jc w:val="center"/>
              <w:rPr>
                <w:rFonts w:ascii="Arial" w:eastAsia="Arial" w:hAnsi="Arial" w:cs="Arial"/>
                <w:b/>
                <w:sz w:val="16"/>
                <w:szCs w:val="16"/>
              </w:rPr>
            </w:pPr>
            <w:r w:rsidRPr="00BA779A">
              <w:rPr>
                <w:rFonts w:ascii="Arial" w:eastAsia="Arial" w:hAnsi="Arial" w:cs="Arial"/>
                <w:b/>
                <w:sz w:val="16"/>
                <w:szCs w:val="16"/>
              </w:rPr>
              <w:t>FOLIO</w:t>
            </w:r>
          </w:p>
        </w:tc>
        <w:tc>
          <w:tcPr>
            <w:tcW w:w="1376" w:type="dxa"/>
            <w:tcBorders>
              <w:top w:val="single" w:sz="4" w:space="0" w:color="000000"/>
              <w:left w:val="single" w:sz="4" w:space="0" w:color="000000"/>
              <w:bottom w:val="nil"/>
              <w:right w:val="single" w:sz="4" w:space="0" w:color="000000"/>
            </w:tcBorders>
            <w:shd w:val="clear" w:color="auto" w:fill="A6A6A6"/>
            <w:vAlign w:val="center"/>
          </w:tcPr>
          <w:p w14:paraId="1C314119" w14:textId="77777777" w:rsidR="00AC142E" w:rsidRPr="00BA779A" w:rsidRDefault="00875853">
            <w:pPr>
              <w:jc w:val="center"/>
              <w:rPr>
                <w:rFonts w:ascii="Arial" w:eastAsia="Arial" w:hAnsi="Arial" w:cs="Arial"/>
                <w:b/>
                <w:sz w:val="16"/>
                <w:szCs w:val="16"/>
              </w:rPr>
            </w:pPr>
            <w:r w:rsidRPr="00BA779A">
              <w:rPr>
                <w:rFonts w:ascii="Arial" w:eastAsia="Arial" w:hAnsi="Arial" w:cs="Arial"/>
                <w:b/>
                <w:sz w:val="16"/>
                <w:szCs w:val="16"/>
              </w:rPr>
              <w:t>NOMBRE DEL INMUEBLE</w:t>
            </w:r>
          </w:p>
        </w:tc>
        <w:tc>
          <w:tcPr>
            <w:tcW w:w="1070" w:type="dxa"/>
            <w:tcBorders>
              <w:top w:val="single" w:sz="4" w:space="0" w:color="000000"/>
              <w:left w:val="nil"/>
              <w:bottom w:val="nil"/>
              <w:right w:val="single" w:sz="4" w:space="0" w:color="000000"/>
            </w:tcBorders>
            <w:shd w:val="clear" w:color="auto" w:fill="A6A6A6"/>
            <w:vAlign w:val="center"/>
          </w:tcPr>
          <w:p w14:paraId="289B1FAB" w14:textId="77777777" w:rsidR="00AC142E" w:rsidRPr="00BA779A" w:rsidRDefault="00875853">
            <w:pPr>
              <w:jc w:val="center"/>
              <w:rPr>
                <w:rFonts w:ascii="Arial" w:eastAsia="Arial" w:hAnsi="Arial" w:cs="Arial"/>
                <w:b/>
                <w:sz w:val="16"/>
                <w:szCs w:val="16"/>
              </w:rPr>
            </w:pPr>
            <w:r w:rsidRPr="00BA779A">
              <w:rPr>
                <w:rFonts w:ascii="Arial" w:eastAsia="Arial" w:hAnsi="Arial" w:cs="Arial"/>
                <w:b/>
                <w:sz w:val="16"/>
                <w:szCs w:val="16"/>
              </w:rPr>
              <w:t>UBICACIÓN</w:t>
            </w:r>
          </w:p>
        </w:tc>
        <w:tc>
          <w:tcPr>
            <w:tcW w:w="992" w:type="dxa"/>
            <w:tcBorders>
              <w:top w:val="single" w:sz="4" w:space="0" w:color="000000"/>
              <w:left w:val="nil"/>
              <w:bottom w:val="nil"/>
              <w:right w:val="single" w:sz="4" w:space="0" w:color="000000"/>
            </w:tcBorders>
            <w:shd w:val="clear" w:color="auto" w:fill="A6A6A6"/>
            <w:vAlign w:val="center"/>
          </w:tcPr>
          <w:p w14:paraId="621AB6D0" w14:textId="77777777" w:rsidR="00AC142E" w:rsidRPr="00BA779A" w:rsidRDefault="00875853">
            <w:pPr>
              <w:jc w:val="center"/>
              <w:rPr>
                <w:rFonts w:ascii="Arial" w:eastAsia="Arial" w:hAnsi="Arial" w:cs="Arial"/>
                <w:b/>
                <w:sz w:val="16"/>
                <w:szCs w:val="16"/>
              </w:rPr>
            </w:pPr>
            <w:r w:rsidRPr="00BA779A">
              <w:rPr>
                <w:rFonts w:ascii="Arial" w:eastAsia="Arial" w:hAnsi="Arial" w:cs="Arial"/>
                <w:b/>
                <w:sz w:val="16"/>
                <w:szCs w:val="16"/>
              </w:rPr>
              <w:t>LOCALIDAD</w:t>
            </w:r>
          </w:p>
        </w:tc>
        <w:tc>
          <w:tcPr>
            <w:tcW w:w="992" w:type="dxa"/>
            <w:tcBorders>
              <w:top w:val="single" w:sz="4" w:space="0" w:color="000000"/>
              <w:left w:val="nil"/>
              <w:bottom w:val="nil"/>
              <w:right w:val="nil"/>
            </w:tcBorders>
            <w:shd w:val="clear" w:color="auto" w:fill="A6A6A6"/>
            <w:vAlign w:val="center"/>
          </w:tcPr>
          <w:p w14:paraId="35E445A5" w14:textId="77777777" w:rsidR="00AC142E" w:rsidRPr="00BA779A" w:rsidRDefault="00875853">
            <w:pPr>
              <w:jc w:val="center"/>
              <w:rPr>
                <w:rFonts w:ascii="Arial" w:eastAsia="Arial" w:hAnsi="Arial" w:cs="Arial"/>
                <w:b/>
                <w:sz w:val="16"/>
                <w:szCs w:val="16"/>
              </w:rPr>
            </w:pPr>
            <w:r w:rsidRPr="00BA779A">
              <w:rPr>
                <w:rFonts w:ascii="Arial" w:eastAsia="Arial" w:hAnsi="Arial" w:cs="Arial"/>
                <w:b/>
                <w:sz w:val="16"/>
                <w:szCs w:val="16"/>
              </w:rPr>
              <w:t>MUNICIPIO</w:t>
            </w:r>
          </w:p>
        </w:tc>
        <w:tc>
          <w:tcPr>
            <w:tcW w:w="993" w:type="dxa"/>
            <w:tcBorders>
              <w:top w:val="single" w:sz="4" w:space="0" w:color="000000"/>
              <w:left w:val="single" w:sz="4" w:space="0" w:color="000000"/>
              <w:bottom w:val="nil"/>
              <w:right w:val="nil"/>
            </w:tcBorders>
            <w:shd w:val="clear" w:color="auto" w:fill="A6A6A6"/>
            <w:vAlign w:val="center"/>
          </w:tcPr>
          <w:p w14:paraId="11509CFE" w14:textId="77777777" w:rsidR="00AC142E" w:rsidRPr="00BA779A" w:rsidRDefault="00875853">
            <w:pPr>
              <w:jc w:val="center"/>
              <w:rPr>
                <w:rFonts w:ascii="Arial" w:eastAsia="Arial" w:hAnsi="Arial" w:cs="Arial"/>
                <w:b/>
                <w:sz w:val="16"/>
                <w:szCs w:val="16"/>
              </w:rPr>
            </w:pPr>
            <w:r w:rsidRPr="00BA779A">
              <w:rPr>
                <w:rFonts w:ascii="Arial" w:eastAsia="Arial" w:hAnsi="Arial" w:cs="Arial"/>
                <w:b/>
                <w:sz w:val="16"/>
                <w:szCs w:val="16"/>
              </w:rPr>
              <w:t>DEPENDENCIA</w:t>
            </w:r>
          </w:p>
        </w:tc>
        <w:tc>
          <w:tcPr>
            <w:tcW w:w="1417" w:type="dxa"/>
            <w:tcBorders>
              <w:top w:val="single" w:sz="4" w:space="0" w:color="000000"/>
              <w:left w:val="single" w:sz="4" w:space="0" w:color="000000"/>
              <w:bottom w:val="nil"/>
              <w:right w:val="single" w:sz="4" w:space="0" w:color="000000"/>
            </w:tcBorders>
            <w:shd w:val="clear" w:color="auto" w:fill="A6A6A6"/>
            <w:vAlign w:val="center"/>
          </w:tcPr>
          <w:p w14:paraId="5CA36BC7" w14:textId="77777777" w:rsidR="00AC142E" w:rsidRPr="00BA779A" w:rsidRDefault="00875853">
            <w:pPr>
              <w:jc w:val="center"/>
              <w:rPr>
                <w:rFonts w:ascii="Arial" w:eastAsia="Arial" w:hAnsi="Arial" w:cs="Arial"/>
                <w:b/>
                <w:sz w:val="16"/>
                <w:szCs w:val="16"/>
              </w:rPr>
            </w:pPr>
            <w:r w:rsidRPr="00BA779A">
              <w:rPr>
                <w:rFonts w:ascii="Arial" w:eastAsia="Arial" w:hAnsi="Arial" w:cs="Arial"/>
                <w:b/>
                <w:sz w:val="16"/>
                <w:szCs w:val="16"/>
              </w:rPr>
              <w:t>UNIDAD ADMINISTRATIVA</w:t>
            </w:r>
          </w:p>
        </w:tc>
        <w:tc>
          <w:tcPr>
            <w:tcW w:w="851" w:type="dxa"/>
            <w:tcBorders>
              <w:top w:val="single" w:sz="4" w:space="0" w:color="000000"/>
              <w:left w:val="nil"/>
              <w:bottom w:val="nil"/>
              <w:right w:val="single" w:sz="4" w:space="0" w:color="000000"/>
            </w:tcBorders>
            <w:shd w:val="clear" w:color="auto" w:fill="A6A6A6"/>
            <w:vAlign w:val="center"/>
          </w:tcPr>
          <w:p w14:paraId="046A9148" w14:textId="77777777" w:rsidR="00AC142E" w:rsidRPr="00BA779A" w:rsidRDefault="00875853">
            <w:pPr>
              <w:jc w:val="center"/>
              <w:rPr>
                <w:rFonts w:ascii="Arial" w:eastAsia="Arial" w:hAnsi="Arial" w:cs="Arial"/>
                <w:b/>
                <w:sz w:val="16"/>
                <w:szCs w:val="16"/>
              </w:rPr>
            </w:pPr>
            <w:r w:rsidRPr="00BA779A">
              <w:rPr>
                <w:rFonts w:ascii="Arial" w:eastAsia="Arial" w:hAnsi="Arial" w:cs="Arial"/>
                <w:b/>
                <w:sz w:val="16"/>
                <w:szCs w:val="16"/>
              </w:rPr>
              <w:t>ZONA</w:t>
            </w:r>
          </w:p>
        </w:tc>
      </w:tr>
      <w:tr w:rsidR="00AC142E" w:rsidRPr="00BA779A" w14:paraId="7DB6D114" w14:textId="77777777">
        <w:trPr>
          <w:trHeight w:val="1852"/>
        </w:trPr>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CF9B" w14:textId="77777777" w:rsidR="00AC142E" w:rsidRPr="00BA779A" w:rsidRDefault="00875853">
            <w:pPr>
              <w:jc w:val="center"/>
              <w:rPr>
                <w:rFonts w:ascii="Arial" w:eastAsia="Arial" w:hAnsi="Arial" w:cs="Arial"/>
                <w:sz w:val="16"/>
                <w:szCs w:val="16"/>
              </w:rPr>
            </w:pPr>
            <w:r w:rsidRPr="00BA779A">
              <w:rPr>
                <w:rFonts w:ascii="Arial" w:eastAsia="Arial" w:hAnsi="Arial" w:cs="Arial"/>
                <w:sz w:val="16"/>
                <w:szCs w:val="16"/>
              </w:rPr>
              <w:t>224D00470001</w:t>
            </w:r>
          </w:p>
        </w:tc>
        <w:tc>
          <w:tcPr>
            <w:tcW w:w="1376" w:type="dxa"/>
            <w:tcBorders>
              <w:top w:val="single" w:sz="4" w:space="0" w:color="000000"/>
              <w:left w:val="nil"/>
              <w:bottom w:val="single" w:sz="4" w:space="0" w:color="000000"/>
              <w:right w:val="single" w:sz="4" w:space="0" w:color="000000"/>
            </w:tcBorders>
            <w:shd w:val="clear" w:color="auto" w:fill="auto"/>
            <w:vAlign w:val="center"/>
          </w:tcPr>
          <w:p w14:paraId="7C6C33E3" w14:textId="77777777" w:rsidR="00AC142E" w:rsidRPr="00BA779A" w:rsidRDefault="00875853">
            <w:pPr>
              <w:rPr>
                <w:rFonts w:ascii="Arial" w:eastAsia="Arial" w:hAnsi="Arial" w:cs="Arial"/>
                <w:color w:val="000000"/>
                <w:sz w:val="16"/>
                <w:szCs w:val="16"/>
              </w:rPr>
            </w:pPr>
            <w:r w:rsidRPr="00BA779A">
              <w:rPr>
                <w:rFonts w:ascii="Arial" w:eastAsia="Arial" w:hAnsi="Arial" w:cs="Arial"/>
                <w:color w:val="000000"/>
                <w:sz w:val="16"/>
                <w:szCs w:val="16"/>
              </w:rPr>
              <w:t>ATLAHUTENCO.</w:t>
            </w:r>
          </w:p>
        </w:tc>
        <w:tc>
          <w:tcPr>
            <w:tcW w:w="1070" w:type="dxa"/>
            <w:tcBorders>
              <w:top w:val="single" w:sz="4" w:space="0" w:color="000000"/>
              <w:left w:val="nil"/>
              <w:bottom w:val="single" w:sz="4" w:space="0" w:color="000000"/>
              <w:right w:val="single" w:sz="4" w:space="0" w:color="000000"/>
            </w:tcBorders>
            <w:shd w:val="clear" w:color="auto" w:fill="auto"/>
            <w:vAlign w:val="center"/>
          </w:tcPr>
          <w:p w14:paraId="5E0F8FB6" w14:textId="77777777" w:rsidR="00AC142E" w:rsidRPr="00BA779A" w:rsidRDefault="00875853">
            <w:pPr>
              <w:rPr>
                <w:rFonts w:ascii="Arial" w:eastAsia="Arial" w:hAnsi="Arial" w:cs="Arial"/>
                <w:color w:val="000000"/>
                <w:sz w:val="16"/>
                <w:szCs w:val="16"/>
              </w:rPr>
            </w:pPr>
            <w:r w:rsidRPr="00BA779A">
              <w:rPr>
                <w:rFonts w:ascii="Arial" w:eastAsia="Arial" w:hAnsi="Arial" w:cs="Arial"/>
                <w:color w:val="000000"/>
                <w:sz w:val="16"/>
                <w:szCs w:val="16"/>
              </w:rPr>
              <w:t>SN.FRANCISCO CUAUTLIQUIXCA</w:t>
            </w:r>
            <w:r w:rsidRPr="00BA779A">
              <w:rPr>
                <w:rFonts w:ascii="Arial" w:eastAsia="Arial" w:hAnsi="Arial" w:cs="Arial"/>
                <w:color w:val="000000"/>
                <w:sz w:val="16"/>
                <w:szCs w:val="16"/>
              </w:rPr>
              <w:br/>
              <w:t>Nº S/N</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60929E3" w14:textId="77777777" w:rsidR="00AC142E" w:rsidRPr="00BA779A" w:rsidRDefault="00875853">
            <w:pPr>
              <w:rPr>
                <w:rFonts w:ascii="Arial" w:eastAsia="Arial" w:hAnsi="Arial" w:cs="Arial"/>
                <w:sz w:val="16"/>
                <w:szCs w:val="16"/>
              </w:rPr>
            </w:pPr>
            <w:r w:rsidRPr="00BA779A">
              <w:rPr>
                <w:rFonts w:ascii="Arial" w:eastAsia="Arial" w:hAnsi="Arial" w:cs="Arial"/>
                <w:sz w:val="16"/>
                <w:szCs w:val="16"/>
              </w:rPr>
              <w:t>SN.FCO.  CUAUTLIQUIXCA</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7898AB19" w14:textId="77777777" w:rsidR="00AC142E" w:rsidRPr="00BA779A" w:rsidRDefault="00875853">
            <w:pPr>
              <w:rPr>
                <w:rFonts w:ascii="Arial" w:eastAsia="Arial" w:hAnsi="Arial" w:cs="Arial"/>
                <w:sz w:val="16"/>
                <w:szCs w:val="16"/>
              </w:rPr>
            </w:pPr>
            <w:r w:rsidRPr="00BA779A">
              <w:rPr>
                <w:rFonts w:ascii="Arial" w:eastAsia="Arial" w:hAnsi="Arial" w:cs="Arial"/>
                <w:sz w:val="16"/>
                <w:szCs w:val="16"/>
              </w:rPr>
              <w:t>TECÁMAC</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13E8E2C8" w14:textId="77777777" w:rsidR="00AC142E" w:rsidRPr="00BA779A" w:rsidRDefault="00875853">
            <w:pPr>
              <w:rPr>
                <w:rFonts w:ascii="Arial" w:eastAsia="Arial" w:hAnsi="Arial" w:cs="Arial"/>
                <w:sz w:val="16"/>
                <w:szCs w:val="16"/>
              </w:rPr>
            </w:pPr>
            <w:r w:rsidRPr="00BA779A">
              <w:rPr>
                <w:rFonts w:ascii="Arial" w:eastAsia="Arial" w:hAnsi="Arial" w:cs="Arial"/>
                <w:sz w:val="16"/>
                <w:szCs w:val="16"/>
              </w:rPr>
              <w:t>SECRETARÍA      DE      DESARROLLO</w:t>
            </w:r>
            <w:r w:rsidRPr="00BA779A">
              <w:rPr>
                <w:rFonts w:ascii="Arial" w:eastAsia="Arial" w:hAnsi="Arial" w:cs="Arial"/>
                <w:sz w:val="16"/>
                <w:szCs w:val="16"/>
              </w:rPr>
              <w:br/>
              <w:t>URBANO Y METROPOLITANO</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6850E081" w14:textId="77777777" w:rsidR="00AC142E" w:rsidRPr="00BA779A" w:rsidRDefault="00875853">
            <w:pPr>
              <w:rPr>
                <w:rFonts w:ascii="Arial" w:eastAsia="Arial" w:hAnsi="Arial" w:cs="Arial"/>
                <w:color w:val="000000"/>
                <w:sz w:val="16"/>
                <w:szCs w:val="16"/>
              </w:rPr>
            </w:pPr>
            <w:r w:rsidRPr="00BA779A">
              <w:rPr>
                <w:rFonts w:ascii="Arial" w:eastAsia="Arial" w:hAnsi="Arial" w:cs="Arial"/>
                <w:color w:val="000000"/>
                <w:sz w:val="16"/>
                <w:szCs w:val="16"/>
              </w:rPr>
              <w:t>INSTITUTO MEXIQUENSE DE LA VIVIENDA SOCIAL</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1C1AA81" w14:textId="77777777" w:rsidR="00AC142E" w:rsidRPr="00BA779A" w:rsidRDefault="00875853">
            <w:pPr>
              <w:rPr>
                <w:rFonts w:ascii="Arial" w:eastAsia="Arial" w:hAnsi="Arial" w:cs="Arial"/>
                <w:color w:val="000000"/>
                <w:sz w:val="16"/>
                <w:szCs w:val="16"/>
              </w:rPr>
            </w:pPr>
            <w:r w:rsidRPr="00BA779A">
              <w:rPr>
                <w:rFonts w:ascii="Arial" w:eastAsia="Arial" w:hAnsi="Arial" w:cs="Arial"/>
                <w:color w:val="000000"/>
                <w:sz w:val="16"/>
                <w:szCs w:val="16"/>
              </w:rPr>
              <w:t>SUB</w:t>
            </w:r>
            <w:r w:rsidRPr="00BA779A">
              <w:rPr>
                <w:rFonts w:ascii="Arial" w:eastAsia="Arial" w:hAnsi="Arial" w:cs="Arial"/>
                <w:color w:val="000000"/>
                <w:sz w:val="16"/>
                <w:szCs w:val="16"/>
              </w:rPr>
              <w:br/>
              <w:t>URBANA</w:t>
            </w:r>
          </w:p>
        </w:tc>
      </w:tr>
    </w:tbl>
    <w:p w14:paraId="697FF1A3" w14:textId="77777777" w:rsidR="00AC142E" w:rsidRPr="00BA779A" w:rsidRDefault="00AC142E">
      <w:pPr>
        <w:ind w:right="850"/>
        <w:jc w:val="both"/>
        <w:rPr>
          <w:rFonts w:ascii="Palatino Linotype" w:eastAsia="Palatino Linotype" w:hAnsi="Palatino Linotype" w:cs="Palatino Linotype"/>
        </w:rPr>
      </w:pPr>
    </w:p>
    <w:p w14:paraId="6C65F76B" w14:textId="77777777" w:rsidR="00AC142E" w:rsidRPr="00BA779A" w:rsidRDefault="00875853">
      <w:pPr>
        <w:spacing w:before="240" w:line="240" w:lineRule="auto"/>
        <w:ind w:right="850"/>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Modalidad de entrega: a través del SAIMEX.</w:t>
      </w:r>
    </w:p>
    <w:p w14:paraId="1ED1B1B8" w14:textId="77777777" w:rsidR="00AC142E" w:rsidRPr="00BA779A" w:rsidRDefault="00875853">
      <w:pPr>
        <w:spacing w:before="240" w:line="360" w:lineRule="auto"/>
        <w:jc w:val="both"/>
        <w:rPr>
          <w:rFonts w:ascii="Palatino Linotype" w:eastAsia="Palatino Linotype" w:hAnsi="Palatino Linotype" w:cs="Palatino Linotype"/>
          <w:b/>
          <w:sz w:val="28"/>
          <w:szCs w:val="28"/>
        </w:rPr>
      </w:pPr>
      <w:r w:rsidRPr="00BA779A">
        <w:rPr>
          <w:rFonts w:ascii="Palatino Linotype" w:eastAsia="Palatino Linotype" w:hAnsi="Palatino Linotype" w:cs="Palatino Linotype"/>
          <w:b/>
          <w:sz w:val="28"/>
          <w:szCs w:val="28"/>
        </w:rPr>
        <w:t>SEGUNDO. De la respuesta del Sujeto Obligado.</w:t>
      </w:r>
    </w:p>
    <w:p w14:paraId="6D9B9E68"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En el expediente electrónico </w:t>
      </w:r>
      <w:r w:rsidRPr="00BA779A">
        <w:rPr>
          <w:rFonts w:ascii="Palatino Linotype" w:eastAsia="Palatino Linotype" w:hAnsi="Palatino Linotype" w:cs="Palatino Linotype"/>
          <w:b/>
          <w:sz w:val="24"/>
          <w:szCs w:val="24"/>
        </w:rPr>
        <w:t>SAIMEX</w:t>
      </w:r>
      <w:r w:rsidRPr="00BA779A">
        <w:rPr>
          <w:rFonts w:ascii="Palatino Linotype" w:eastAsia="Palatino Linotype" w:hAnsi="Palatino Linotype" w:cs="Palatino Linotype"/>
          <w:sz w:val="24"/>
          <w:szCs w:val="24"/>
        </w:rPr>
        <w:t xml:space="preserve">, se aprecia que </w:t>
      </w:r>
      <w:r w:rsidRPr="00BA779A">
        <w:rPr>
          <w:rFonts w:ascii="Palatino Linotype" w:eastAsia="Palatino Linotype" w:hAnsi="Palatino Linotype" w:cs="Palatino Linotype"/>
          <w:b/>
          <w:sz w:val="24"/>
          <w:szCs w:val="24"/>
        </w:rPr>
        <w:t>El Sujeto Obligado</w:t>
      </w:r>
      <w:r w:rsidRPr="00BA779A">
        <w:rPr>
          <w:rFonts w:ascii="Palatino Linotype" w:eastAsia="Palatino Linotype" w:hAnsi="Palatino Linotype" w:cs="Palatino Linotype"/>
          <w:sz w:val="24"/>
          <w:szCs w:val="24"/>
        </w:rPr>
        <w:t xml:space="preserve"> dio respuesta a la solicitud de información en fecha cuatro de agosto de dos mil veintiuno, adjuntando para tales efectos dos archivos electrónicos los cuales se tienen por reproducidos al ser del conocimiento de las partes y en obvio de reproducciones ociosas. </w:t>
      </w:r>
    </w:p>
    <w:p w14:paraId="0618EF53" w14:textId="77777777" w:rsidR="00AC142E" w:rsidRPr="00BA779A" w:rsidRDefault="00875853">
      <w:pPr>
        <w:spacing w:before="240" w:line="360" w:lineRule="auto"/>
        <w:ind w:left="708"/>
        <w:jc w:val="both"/>
        <w:rPr>
          <w:rFonts w:ascii="Palatino Linotype" w:eastAsia="Palatino Linotype" w:hAnsi="Palatino Linotype" w:cs="Palatino Linotype"/>
          <w:i/>
          <w:sz w:val="24"/>
          <w:szCs w:val="24"/>
        </w:rPr>
      </w:pPr>
      <w:r w:rsidRPr="00BA779A">
        <w:rPr>
          <w:rFonts w:ascii="Palatino Linotype" w:eastAsia="Palatino Linotype" w:hAnsi="Palatino Linotype" w:cs="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A1FA3B" w14:textId="77777777" w:rsidR="00AC142E" w:rsidRPr="00BA779A" w:rsidRDefault="00875853">
      <w:pPr>
        <w:spacing w:before="240" w:line="360" w:lineRule="auto"/>
        <w:ind w:left="708"/>
        <w:jc w:val="both"/>
        <w:rPr>
          <w:rFonts w:ascii="Palatino Linotype" w:eastAsia="Palatino Linotype" w:hAnsi="Palatino Linotype" w:cs="Palatino Linotype"/>
          <w:i/>
          <w:sz w:val="24"/>
          <w:szCs w:val="24"/>
        </w:rPr>
      </w:pPr>
      <w:r w:rsidRPr="00BA779A">
        <w:rPr>
          <w:rFonts w:ascii="Palatino Linotype" w:eastAsia="Palatino Linotype" w:hAnsi="Palatino Linotype" w:cs="Palatino Linotype"/>
          <w:i/>
          <w:sz w:val="24"/>
          <w:szCs w:val="24"/>
        </w:rPr>
        <w:t xml:space="preserve">SE ANEXA OFICIO DE RESPUESTA NÚMERO 12C0101000200S/UT/304/2021, ASI COMO EL ACTA DE LA DECIMA SEGUNDA SESIÓN EXTRAORDINARIA </w:t>
      </w:r>
      <w:r w:rsidRPr="00BA779A">
        <w:rPr>
          <w:rFonts w:ascii="Palatino Linotype" w:eastAsia="Palatino Linotype" w:hAnsi="Palatino Linotype" w:cs="Palatino Linotype"/>
          <w:i/>
          <w:sz w:val="24"/>
          <w:szCs w:val="24"/>
        </w:rPr>
        <w:lastRenderedPageBreak/>
        <w:t>DE FECHA VEINTIOCHO DE JULIO DEL AÑO DOS MIL VEINTIUNO, DONDE SE EMITIO EL ACUERDO NÚMERO IMEVIS/CT/EXT-12/07/2021-05, EN LA CUAL SE RESERVO, LA INFORMACIÓN CORRESPONDIENTE A UN PREDIO EN EL MUNICIPIO DE TECAMAC.</w:t>
      </w:r>
    </w:p>
    <w:p w14:paraId="320949F4" w14:textId="77777777" w:rsidR="00AC142E" w:rsidRPr="00BA779A" w:rsidRDefault="00875853">
      <w:pPr>
        <w:spacing w:before="240" w:line="360" w:lineRule="auto"/>
        <w:ind w:left="708"/>
        <w:jc w:val="both"/>
        <w:rPr>
          <w:rFonts w:ascii="Palatino Linotype" w:eastAsia="Palatino Linotype" w:hAnsi="Palatino Linotype" w:cs="Palatino Linotype"/>
          <w:i/>
          <w:sz w:val="24"/>
          <w:szCs w:val="24"/>
        </w:rPr>
      </w:pPr>
      <w:r w:rsidRPr="00BA779A">
        <w:rPr>
          <w:rFonts w:ascii="Palatino Linotype" w:eastAsia="Palatino Linotype" w:hAnsi="Palatino Linotype" w:cs="Palatino Linotype"/>
          <w:i/>
          <w:sz w:val="24"/>
          <w:szCs w:val="24"/>
        </w:rPr>
        <w:t>ATENTAMENTE</w:t>
      </w:r>
    </w:p>
    <w:p w14:paraId="2966E90A" w14:textId="77777777" w:rsidR="00AC142E" w:rsidRPr="00BA779A" w:rsidRDefault="00875853">
      <w:pPr>
        <w:spacing w:before="240" w:line="360" w:lineRule="auto"/>
        <w:ind w:left="708"/>
        <w:jc w:val="both"/>
        <w:rPr>
          <w:rFonts w:ascii="Palatino Linotype" w:eastAsia="Palatino Linotype" w:hAnsi="Palatino Linotype" w:cs="Palatino Linotype"/>
          <w:i/>
          <w:sz w:val="24"/>
          <w:szCs w:val="24"/>
        </w:rPr>
      </w:pPr>
      <w:proofErr w:type="spellStart"/>
      <w:r w:rsidRPr="00BA779A">
        <w:rPr>
          <w:rFonts w:ascii="Palatino Linotype" w:eastAsia="Palatino Linotype" w:hAnsi="Palatino Linotype" w:cs="Palatino Linotype"/>
          <w:i/>
          <w:sz w:val="24"/>
          <w:szCs w:val="24"/>
        </w:rPr>
        <w:t>Sarai</w:t>
      </w:r>
      <w:proofErr w:type="spellEnd"/>
      <w:r w:rsidRPr="00BA779A">
        <w:rPr>
          <w:rFonts w:ascii="Palatino Linotype" w:eastAsia="Palatino Linotype" w:hAnsi="Palatino Linotype" w:cs="Palatino Linotype"/>
          <w:i/>
          <w:sz w:val="24"/>
          <w:szCs w:val="24"/>
        </w:rPr>
        <w:t xml:space="preserve"> </w:t>
      </w:r>
      <w:proofErr w:type="spellStart"/>
      <w:r w:rsidRPr="00BA779A">
        <w:rPr>
          <w:rFonts w:ascii="Palatino Linotype" w:eastAsia="Palatino Linotype" w:hAnsi="Palatino Linotype" w:cs="Palatino Linotype"/>
          <w:i/>
          <w:sz w:val="24"/>
          <w:szCs w:val="24"/>
        </w:rPr>
        <w:t>Jaimes</w:t>
      </w:r>
      <w:proofErr w:type="spellEnd"/>
      <w:r w:rsidRPr="00BA779A">
        <w:rPr>
          <w:rFonts w:ascii="Palatino Linotype" w:eastAsia="Palatino Linotype" w:hAnsi="Palatino Linotype" w:cs="Palatino Linotype"/>
          <w:i/>
          <w:sz w:val="24"/>
          <w:szCs w:val="24"/>
        </w:rPr>
        <w:t xml:space="preserve"> González</w:t>
      </w:r>
    </w:p>
    <w:p w14:paraId="6C06DE7A" w14:textId="77777777" w:rsidR="00AC142E" w:rsidRPr="00BA779A" w:rsidRDefault="00875853">
      <w:pPr>
        <w:spacing w:before="240" w:line="360" w:lineRule="auto"/>
        <w:jc w:val="both"/>
        <w:rPr>
          <w:rFonts w:ascii="Palatino Linotype" w:eastAsia="Palatino Linotype" w:hAnsi="Palatino Linotype" w:cs="Palatino Linotype"/>
          <w:b/>
          <w:sz w:val="28"/>
          <w:szCs w:val="28"/>
        </w:rPr>
      </w:pPr>
      <w:r w:rsidRPr="00BA779A">
        <w:rPr>
          <w:rFonts w:ascii="Palatino Linotype" w:eastAsia="Palatino Linotype" w:hAnsi="Palatino Linotype" w:cs="Palatino Linotype"/>
          <w:b/>
          <w:sz w:val="28"/>
          <w:szCs w:val="28"/>
        </w:rPr>
        <w:t>TERCERO. Del recurso de revisión.</w:t>
      </w:r>
    </w:p>
    <w:p w14:paraId="5E91D0D9"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Inconforme con la respuesta del sujeto obligado, la parte </w:t>
      </w:r>
      <w:r w:rsidRPr="00BA779A">
        <w:rPr>
          <w:rFonts w:ascii="Palatino Linotype" w:eastAsia="Palatino Linotype" w:hAnsi="Palatino Linotype" w:cs="Palatino Linotype"/>
          <w:b/>
          <w:sz w:val="24"/>
          <w:szCs w:val="24"/>
        </w:rPr>
        <w:t xml:space="preserve">recurrente </w:t>
      </w:r>
      <w:r w:rsidRPr="00BA779A">
        <w:rPr>
          <w:rFonts w:ascii="Palatino Linotype" w:eastAsia="Palatino Linotype" w:hAnsi="Palatino Linotype" w:cs="Palatino Linotype"/>
          <w:sz w:val="24"/>
          <w:szCs w:val="24"/>
        </w:rPr>
        <w:t>interpuso el recurso de revisión, en fecha diecisiete de agosto de dos mil veintiuno, el cual fue registrado</w:t>
      </w:r>
      <w:r w:rsidRPr="00BA779A">
        <w:rPr>
          <w:rFonts w:ascii="Palatino Linotype" w:eastAsia="Palatino Linotype" w:hAnsi="Palatino Linotype" w:cs="Palatino Linotype"/>
          <w:b/>
          <w:sz w:val="24"/>
          <w:szCs w:val="24"/>
        </w:rPr>
        <w:t xml:space="preserve"> </w:t>
      </w:r>
      <w:r w:rsidRPr="00BA779A">
        <w:rPr>
          <w:rFonts w:ascii="Palatino Linotype" w:eastAsia="Palatino Linotype" w:hAnsi="Palatino Linotype" w:cs="Palatino Linotype"/>
          <w:sz w:val="24"/>
          <w:szCs w:val="24"/>
        </w:rPr>
        <w:t xml:space="preserve">en el sistema electrónico con el expediente número </w:t>
      </w:r>
      <w:r w:rsidRPr="00BA779A">
        <w:rPr>
          <w:rFonts w:ascii="Palatino Linotype" w:eastAsia="Palatino Linotype" w:hAnsi="Palatino Linotype" w:cs="Palatino Linotype"/>
          <w:b/>
          <w:sz w:val="24"/>
          <w:szCs w:val="24"/>
        </w:rPr>
        <w:t>04060/INFOEM/IP/RR/2021</w:t>
      </w:r>
      <w:r w:rsidRPr="00BA779A">
        <w:rPr>
          <w:rFonts w:ascii="Palatino Linotype" w:eastAsia="Palatino Linotype" w:hAnsi="Palatino Linotype" w:cs="Palatino Linotype"/>
          <w:sz w:val="24"/>
          <w:szCs w:val="24"/>
        </w:rPr>
        <w:t>, en el cual arguye, las siguientes manifestaciones:</w:t>
      </w:r>
    </w:p>
    <w:p w14:paraId="1B060FA4" w14:textId="77777777" w:rsidR="00AC142E" w:rsidRPr="00BA779A" w:rsidRDefault="00875853">
      <w:pPr>
        <w:spacing w:before="240"/>
        <w:jc w:val="both"/>
        <w:rPr>
          <w:rFonts w:ascii="Palatino Linotype" w:eastAsia="Palatino Linotype" w:hAnsi="Palatino Linotype" w:cs="Palatino Linotype"/>
          <w:b/>
          <w:sz w:val="24"/>
          <w:szCs w:val="24"/>
        </w:rPr>
      </w:pPr>
      <w:r w:rsidRPr="00BA779A">
        <w:rPr>
          <w:rFonts w:ascii="Palatino Linotype" w:eastAsia="Palatino Linotype" w:hAnsi="Palatino Linotype" w:cs="Palatino Linotype"/>
          <w:b/>
          <w:sz w:val="24"/>
          <w:szCs w:val="24"/>
        </w:rPr>
        <w:t>Acto Impugnado:</w:t>
      </w:r>
    </w:p>
    <w:p w14:paraId="5292D541" w14:textId="77777777" w:rsidR="00AC142E" w:rsidRPr="00BA779A" w:rsidRDefault="00875853">
      <w:pPr>
        <w:ind w:left="851" w:right="850"/>
        <w:jc w:val="both"/>
        <w:rPr>
          <w:rFonts w:ascii="Palatino Linotype" w:eastAsia="Palatino Linotype" w:hAnsi="Palatino Linotype" w:cs="Palatino Linotype"/>
          <w:i/>
          <w:color w:val="000000"/>
        </w:rPr>
      </w:pPr>
      <w:r w:rsidRPr="00BA779A">
        <w:rPr>
          <w:rFonts w:ascii="Palatino Linotype" w:eastAsia="Palatino Linotype" w:hAnsi="Palatino Linotype" w:cs="Palatino Linotype"/>
          <w:i/>
          <w:color w:val="000000"/>
        </w:rPr>
        <w:t>“La respuesta que recae a la solicitud de información."[Sic]</w:t>
      </w:r>
    </w:p>
    <w:p w14:paraId="660BEDCF" w14:textId="77777777" w:rsidR="00AC142E" w:rsidRPr="00BA779A" w:rsidRDefault="00875853">
      <w:pPr>
        <w:spacing w:before="240"/>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b/>
          <w:sz w:val="24"/>
          <w:szCs w:val="24"/>
        </w:rPr>
        <w:t>Razones o Motivos de Inconformidad</w:t>
      </w:r>
      <w:r w:rsidRPr="00BA779A">
        <w:rPr>
          <w:rFonts w:ascii="Palatino Linotype" w:eastAsia="Palatino Linotype" w:hAnsi="Palatino Linotype" w:cs="Palatino Linotype"/>
          <w:sz w:val="24"/>
          <w:szCs w:val="24"/>
        </w:rPr>
        <w:t xml:space="preserve">: </w:t>
      </w:r>
    </w:p>
    <w:p w14:paraId="72AF1E2D" w14:textId="77777777" w:rsidR="00AC142E" w:rsidRPr="00BA779A" w:rsidRDefault="00875853">
      <w:pPr>
        <w:ind w:left="851" w:right="850"/>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“Los documentos que derivan de mi solicitud tienen existencia desde el año 1986 y 1991. La clasificación de la información la justifica el sujeto obligado aduciendo a la existencia de datos personales en 25 procedimientos administrativos y además que los documentos que derivan de mi solicitud forman parte de dichos procesos. Sin embargo, este recurrente no está solicitando los expedientes de esos 25 procedimientos administrativos, ni copias certificadas de los documentos, únicamente solicito el expediente de autorización de la subdivisión del inmueble en cuestión y el documento con el que se acredita la propiedad por parte del Gobierno del Estado. Documentos que como ya se mencionó existen desde las décadas de los ochentas y noventas. Aunado a lo anterior, el Sujeto Obligado también clasifica la información argumentando el "uso de dicha información podría obstruir, afectar o </w:t>
      </w:r>
      <w:r w:rsidRPr="00BA779A">
        <w:rPr>
          <w:rFonts w:ascii="Palatino Linotype" w:eastAsia="Palatino Linotype" w:hAnsi="Palatino Linotype" w:cs="Palatino Linotype"/>
          <w:i/>
        </w:rPr>
        <w:lastRenderedPageBreak/>
        <w:t>vulnerar", lo cual cae en subjetividades y suposiciones que vulneran el derecho humano al libre acceso de la información.” [Sic]</w:t>
      </w:r>
      <w:r w:rsidRPr="00BA779A">
        <w:rPr>
          <w:rFonts w:ascii="Palatino Linotype" w:eastAsia="Palatino Linotype" w:hAnsi="Palatino Linotype" w:cs="Palatino Linotype"/>
        </w:rPr>
        <w:t xml:space="preserve"> </w:t>
      </w:r>
    </w:p>
    <w:p w14:paraId="4325877A" w14:textId="77777777" w:rsidR="00AC142E" w:rsidRPr="00BA779A" w:rsidRDefault="00875853">
      <w:pPr>
        <w:spacing w:before="240" w:line="360" w:lineRule="auto"/>
        <w:jc w:val="both"/>
        <w:rPr>
          <w:rFonts w:ascii="Palatino Linotype" w:eastAsia="Palatino Linotype" w:hAnsi="Palatino Linotype" w:cs="Palatino Linotype"/>
          <w:b/>
          <w:sz w:val="28"/>
          <w:szCs w:val="28"/>
        </w:rPr>
      </w:pPr>
      <w:r w:rsidRPr="00BA779A">
        <w:rPr>
          <w:rFonts w:ascii="Palatino Linotype" w:eastAsia="Palatino Linotype" w:hAnsi="Palatino Linotype" w:cs="Palatino Linotype"/>
          <w:b/>
          <w:sz w:val="28"/>
          <w:szCs w:val="28"/>
        </w:rPr>
        <w:t>CUARTO</w:t>
      </w:r>
      <w:r w:rsidRPr="00BA779A">
        <w:rPr>
          <w:rFonts w:ascii="Palatino Linotype" w:eastAsia="Palatino Linotype" w:hAnsi="Palatino Linotype" w:cs="Palatino Linotype"/>
          <w:b/>
          <w:sz w:val="24"/>
          <w:szCs w:val="24"/>
        </w:rPr>
        <w:t xml:space="preserve">. </w:t>
      </w:r>
      <w:r w:rsidRPr="00BA779A">
        <w:rPr>
          <w:rFonts w:ascii="Palatino Linotype" w:eastAsia="Palatino Linotype" w:hAnsi="Palatino Linotype" w:cs="Palatino Linotype"/>
          <w:b/>
          <w:sz w:val="28"/>
          <w:szCs w:val="28"/>
        </w:rPr>
        <w:t>Del turno del recurso de revisión.</w:t>
      </w:r>
    </w:p>
    <w:p w14:paraId="11CB3927"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Medio de impugnación que le fue turnado al Comisionado </w:t>
      </w:r>
      <w:r w:rsidRPr="00BA779A">
        <w:rPr>
          <w:rFonts w:ascii="Palatino Linotype" w:eastAsia="Palatino Linotype" w:hAnsi="Palatino Linotype" w:cs="Palatino Linotype"/>
          <w:b/>
          <w:sz w:val="24"/>
          <w:szCs w:val="24"/>
        </w:rPr>
        <w:t>José Martínez Vilchis</w:t>
      </w:r>
      <w:r w:rsidRPr="00BA779A">
        <w:rPr>
          <w:rFonts w:ascii="Palatino Linotype" w:eastAsia="Palatino Linotype" w:hAnsi="Palatino Linotype" w:cs="Palatino Linotype"/>
          <w:sz w:val="24"/>
          <w:szCs w:val="24"/>
        </w:rPr>
        <w:t>, por medio del sistema electrónico en términos del arábigo 185 fracción I de la Ley de Transparencia y Acceso a la información Pública del Estado de México y Municipios, del cual recayó acuerdo de admisión en fecha veintiséis de agosto de dos mil veintiuno, determinándose en él, un plazo de siete días para que las partes manifestaran lo que a su derecho corresponda en términos del numeral ya citado.</w:t>
      </w:r>
    </w:p>
    <w:p w14:paraId="52C90FB3" w14:textId="77777777" w:rsidR="00372F98" w:rsidRPr="00BA779A" w:rsidRDefault="00372F98" w:rsidP="00372F98">
      <w:pPr>
        <w:spacing w:before="240" w:line="360" w:lineRule="auto"/>
        <w:jc w:val="both"/>
        <w:rPr>
          <w:rFonts w:ascii="Palatino Linotype" w:hAnsi="Palatino Linotype" w:cs="Arial"/>
          <w:b/>
          <w:sz w:val="24"/>
          <w:szCs w:val="24"/>
        </w:rPr>
      </w:pPr>
      <w:r w:rsidRPr="00BA779A">
        <w:rPr>
          <w:rFonts w:ascii="Palatino Linotype" w:hAnsi="Palatino Linotype" w:cs="Arial"/>
          <w:b/>
          <w:sz w:val="28"/>
        </w:rPr>
        <w:t>QUINTO</w:t>
      </w:r>
      <w:r w:rsidRPr="00BA779A">
        <w:rPr>
          <w:rFonts w:ascii="Palatino Linotype" w:hAnsi="Palatino Linotype" w:cs="Arial"/>
          <w:b/>
          <w:sz w:val="24"/>
          <w:szCs w:val="24"/>
        </w:rPr>
        <w:t xml:space="preserve">. </w:t>
      </w:r>
      <w:r w:rsidRPr="00BA779A">
        <w:rPr>
          <w:rFonts w:ascii="Palatino Linotype" w:hAnsi="Palatino Linotype" w:cs="Arial"/>
          <w:b/>
          <w:sz w:val="28"/>
          <w:szCs w:val="28"/>
        </w:rPr>
        <w:t>De la etapa de instrucción.</w:t>
      </w:r>
    </w:p>
    <w:p w14:paraId="066C384C" w14:textId="77777777" w:rsidR="00372F98" w:rsidRPr="00BA779A" w:rsidRDefault="00372F98" w:rsidP="00372F98">
      <w:pPr>
        <w:spacing w:before="240" w:line="360" w:lineRule="auto"/>
        <w:jc w:val="both"/>
        <w:rPr>
          <w:rFonts w:ascii="Palatino Linotype" w:hAnsi="Palatino Linotype" w:cs="Arial"/>
          <w:sz w:val="24"/>
          <w:szCs w:val="24"/>
        </w:rPr>
      </w:pPr>
      <w:r w:rsidRPr="00BA779A">
        <w:rPr>
          <w:rFonts w:ascii="Palatino Linotype" w:hAnsi="Palatino Linotype" w:cs="Arial"/>
          <w:sz w:val="24"/>
          <w:szCs w:val="24"/>
        </w:rPr>
        <w:t>Así, una vez abierta la etapa de instrucción, en el sumario se observa que el Sujeto Obligado en fecha tres de septiembre de los corrientes presentó su informe justificado, asimismo, la parte recurrente en fecha siete de septiembre de la presente anualidad manifestó sus alegatos, por lo que habiendo transcurrido el plazo establecido en fecha diez de septiembre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00B86F2A" w14:textId="77777777" w:rsidR="00372F98" w:rsidRPr="00BA779A" w:rsidRDefault="00372F98" w:rsidP="00372F98">
      <w:pPr>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Así también, en fecha seis de octubre de los corrientes este órgano garante con fundamento en el artículo 181 párrafo tercero de la Ley de Transparencia de la entidad, declaro la ampliación de término para resolver el recurso de revisión por un plazo de quince días hábiles.</w:t>
      </w:r>
    </w:p>
    <w:p w14:paraId="3E8D5089" w14:textId="77777777" w:rsidR="00372F98" w:rsidRPr="00BA779A" w:rsidRDefault="00372F98" w:rsidP="00372F98">
      <w:pPr>
        <w:spacing w:before="240" w:line="360" w:lineRule="auto"/>
        <w:jc w:val="both"/>
        <w:rPr>
          <w:rFonts w:ascii="Palatino Linotype" w:hAnsi="Palatino Linotype" w:cs="Arial"/>
          <w:sz w:val="24"/>
          <w:szCs w:val="24"/>
        </w:rPr>
      </w:pPr>
    </w:p>
    <w:p w14:paraId="4E576D0A" w14:textId="77777777" w:rsidR="00372F98" w:rsidRPr="00BA779A" w:rsidRDefault="00372F98" w:rsidP="00372F98">
      <w:pPr>
        <w:pStyle w:val="Sinespaciado"/>
        <w:spacing w:line="360" w:lineRule="auto"/>
        <w:jc w:val="both"/>
        <w:rPr>
          <w:rFonts w:ascii="Palatino Linotype" w:hAnsi="Palatino Linotype" w:cs="Arial"/>
          <w:b/>
          <w:sz w:val="26"/>
          <w:szCs w:val="26"/>
        </w:rPr>
      </w:pPr>
      <w:r w:rsidRPr="00BA779A">
        <w:rPr>
          <w:rFonts w:ascii="Palatino Linotype" w:hAnsi="Palatino Linotype" w:cs="Arial"/>
          <w:b/>
          <w:sz w:val="26"/>
          <w:szCs w:val="26"/>
        </w:rPr>
        <w:t>SÉPTIMO. Del returno del recurso de revisión.</w:t>
      </w:r>
    </w:p>
    <w:p w14:paraId="0AFEF2B3" w14:textId="77777777" w:rsidR="00372F98" w:rsidRPr="00BA779A" w:rsidRDefault="00372F98" w:rsidP="00372F98">
      <w:pPr>
        <w:pStyle w:val="Sinespaciado"/>
        <w:spacing w:line="360" w:lineRule="auto"/>
        <w:jc w:val="both"/>
        <w:rPr>
          <w:rFonts w:ascii="Palatino Linotype" w:hAnsi="Palatino Linotype" w:cs="Arial"/>
        </w:rPr>
      </w:pPr>
      <w:r w:rsidRPr="00BA779A">
        <w:rPr>
          <w:rFonts w:ascii="Palatino Linotype" w:hAnsi="Palatino Linotype" w:cs="Arial"/>
        </w:rPr>
        <w:t xml:space="preserve">En fecha veintitrés de agosto de dos mil veintiuno por acuerdo del Pleno de este Órgano Garante, en la Segunda Sesión Extraordinaria fueron returnados los recursos de revisión </w:t>
      </w:r>
      <w:r w:rsidRPr="00BA779A">
        <w:rPr>
          <w:rFonts w:ascii="Palatino Linotype" w:hAnsi="Palatino Linotype" w:cs="Arial"/>
          <w:b/>
          <w:bCs/>
          <w:lang w:val="es-ES_tradnl" w:eastAsia="es-MX"/>
        </w:rPr>
        <w:t>04060/INFOEM/IP/RR/2021</w:t>
      </w:r>
      <w:r w:rsidRPr="00BA779A">
        <w:rPr>
          <w:rFonts w:ascii="Palatino Linotype" w:hAnsi="Palatino Linotype" w:cs="Arial"/>
        </w:rPr>
        <w:t>, al Comisionado José Martínez Vilchis para su resolución y presentación al Pleno.</w:t>
      </w:r>
    </w:p>
    <w:p w14:paraId="0CA0D9F7" w14:textId="77777777" w:rsidR="00AC142E" w:rsidRPr="00BA779A" w:rsidRDefault="00875853">
      <w:pPr>
        <w:spacing w:before="240" w:line="360" w:lineRule="auto"/>
        <w:jc w:val="center"/>
        <w:rPr>
          <w:rFonts w:ascii="Palatino Linotype" w:eastAsia="Palatino Linotype" w:hAnsi="Palatino Linotype" w:cs="Palatino Linotype"/>
          <w:b/>
          <w:sz w:val="24"/>
          <w:szCs w:val="24"/>
        </w:rPr>
      </w:pPr>
      <w:r w:rsidRPr="00BA779A">
        <w:rPr>
          <w:rFonts w:ascii="Palatino Linotype" w:eastAsia="Palatino Linotype" w:hAnsi="Palatino Linotype" w:cs="Palatino Linotype"/>
          <w:b/>
          <w:sz w:val="24"/>
          <w:szCs w:val="24"/>
        </w:rPr>
        <w:t xml:space="preserve">C O N S I D E R A N D O </w:t>
      </w:r>
    </w:p>
    <w:p w14:paraId="11D69C78"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b/>
          <w:sz w:val="28"/>
          <w:szCs w:val="28"/>
        </w:rPr>
        <w:t>PRIMERO.</w:t>
      </w:r>
      <w:r w:rsidRPr="00BA779A">
        <w:rPr>
          <w:rFonts w:ascii="Palatino Linotype" w:eastAsia="Palatino Linotype" w:hAnsi="Palatino Linotype" w:cs="Palatino Linotype"/>
          <w:b/>
        </w:rPr>
        <w:t xml:space="preserve"> </w:t>
      </w:r>
      <w:r w:rsidRPr="00BA779A">
        <w:rPr>
          <w:rFonts w:ascii="Palatino Linotype" w:eastAsia="Palatino Linotype" w:hAnsi="Palatino Linotype" w:cs="Palatino Linotype"/>
          <w:b/>
          <w:sz w:val="28"/>
          <w:szCs w:val="28"/>
        </w:rPr>
        <w:t>De la competencia</w:t>
      </w:r>
      <w:r w:rsidRPr="00BA779A">
        <w:rPr>
          <w:rFonts w:ascii="Palatino Linotype" w:eastAsia="Palatino Linotype" w:hAnsi="Palatino Linotype" w:cs="Palatino Linotype"/>
          <w:sz w:val="28"/>
          <w:szCs w:val="28"/>
        </w:rPr>
        <w:t>.</w:t>
      </w:r>
    </w:p>
    <w:p w14:paraId="3A6267C8" w14:textId="25897898" w:rsidR="00AC142E" w:rsidRPr="00BA779A" w:rsidRDefault="00875853" w:rsidP="00372F98">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C34388C" w14:textId="77777777" w:rsidR="00AC142E" w:rsidRPr="00BA779A" w:rsidRDefault="00875853">
      <w:pPr>
        <w:pBdr>
          <w:top w:val="nil"/>
          <w:left w:val="nil"/>
          <w:bottom w:val="nil"/>
          <w:right w:val="nil"/>
          <w:between w:val="nil"/>
        </w:pBdr>
        <w:spacing w:before="240" w:line="360" w:lineRule="auto"/>
        <w:jc w:val="both"/>
        <w:rPr>
          <w:rFonts w:ascii="Palatino Linotype" w:eastAsia="Palatino Linotype" w:hAnsi="Palatino Linotype" w:cs="Palatino Linotype"/>
          <w:b/>
          <w:color w:val="000000"/>
          <w:sz w:val="24"/>
          <w:szCs w:val="24"/>
        </w:rPr>
      </w:pPr>
      <w:r w:rsidRPr="00BA779A">
        <w:rPr>
          <w:rFonts w:ascii="Palatino Linotype" w:eastAsia="Palatino Linotype" w:hAnsi="Palatino Linotype" w:cs="Palatino Linotype"/>
          <w:b/>
          <w:color w:val="000000"/>
          <w:sz w:val="28"/>
          <w:szCs w:val="28"/>
        </w:rPr>
        <w:t>SEGUNDO</w:t>
      </w:r>
      <w:r w:rsidRPr="00BA779A">
        <w:rPr>
          <w:rFonts w:ascii="Palatino Linotype" w:eastAsia="Palatino Linotype" w:hAnsi="Palatino Linotype" w:cs="Palatino Linotype"/>
          <w:b/>
          <w:color w:val="000000"/>
          <w:sz w:val="24"/>
          <w:szCs w:val="24"/>
        </w:rPr>
        <w:t xml:space="preserve">. </w:t>
      </w:r>
      <w:r w:rsidRPr="00BA779A">
        <w:rPr>
          <w:rFonts w:ascii="Palatino Linotype" w:eastAsia="Palatino Linotype" w:hAnsi="Palatino Linotype" w:cs="Palatino Linotype"/>
          <w:b/>
          <w:color w:val="000000"/>
          <w:sz w:val="28"/>
          <w:szCs w:val="28"/>
        </w:rPr>
        <w:t>Sobre los alcances del recurso de revisión.</w:t>
      </w:r>
      <w:r w:rsidRPr="00BA779A">
        <w:rPr>
          <w:rFonts w:ascii="Palatino Linotype" w:eastAsia="Palatino Linotype" w:hAnsi="Palatino Linotype" w:cs="Palatino Linotype"/>
          <w:b/>
          <w:color w:val="000000"/>
          <w:sz w:val="24"/>
          <w:szCs w:val="24"/>
        </w:rPr>
        <w:t xml:space="preserve"> </w:t>
      </w:r>
    </w:p>
    <w:p w14:paraId="2A6A4B59" w14:textId="77777777" w:rsidR="00AC142E" w:rsidRPr="00BA779A" w:rsidRDefault="00875853">
      <w:pPr>
        <w:pBdr>
          <w:top w:val="nil"/>
          <w:left w:val="nil"/>
          <w:bottom w:val="nil"/>
          <w:right w:val="nil"/>
          <w:between w:val="nil"/>
        </w:pBdr>
        <w:spacing w:before="240" w:line="360" w:lineRule="auto"/>
        <w:jc w:val="both"/>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color w:val="000000"/>
          <w:sz w:val="24"/>
          <w:szCs w:val="24"/>
        </w:rPr>
        <w:t xml:space="preserve">Derivado de la impugnación realizada, es menester señalar que el recurso de revisión inmerso en la Ley de Transparencia vigente en la entidad, tiene el fin y alcance que </w:t>
      </w:r>
      <w:r w:rsidRPr="00BA779A">
        <w:rPr>
          <w:rFonts w:ascii="Palatino Linotype" w:eastAsia="Palatino Linotype" w:hAnsi="Palatino Linotype" w:cs="Palatino Linotype"/>
          <w:color w:val="000000"/>
          <w:sz w:val="24"/>
          <w:szCs w:val="24"/>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AD94BCE" w14:textId="77777777" w:rsidR="00AC142E" w:rsidRPr="00BA779A" w:rsidRDefault="0087585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rPr>
      </w:pPr>
      <w:r w:rsidRPr="00BA779A">
        <w:rPr>
          <w:rFonts w:ascii="Palatino Linotype" w:eastAsia="Palatino Linotype" w:hAnsi="Palatino Linotype" w:cs="Palatino Linotype"/>
          <w:b/>
          <w:color w:val="000000"/>
          <w:sz w:val="28"/>
          <w:szCs w:val="28"/>
        </w:rPr>
        <w:t>TERCERO. De las causas de improcedencia.</w:t>
      </w:r>
    </w:p>
    <w:p w14:paraId="0D3DF9B4" w14:textId="77777777" w:rsidR="00AC142E" w:rsidRPr="00BA779A" w:rsidRDefault="0087585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color w:val="000000"/>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DA11608" w14:textId="77777777" w:rsidR="00AC142E" w:rsidRPr="00BA779A" w:rsidRDefault="0087585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color w:val="000000"/>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BA779A">
        <w:rPr>
          <w:rFonts w:ascii="Palatino Linotype" w:eastAsia="Palatino Linotype" w:hAnsi="Palatino Linotype" w:cs="Palatino Linotype"/>
          <w:color w:val="000000"/>
          <w:sz w:val="24"/>
          <w:szCs w:val="24"/>
          <w:vertAlign w:val="superscript"/>
        </w:rPr>
        <w:footnoteReference w:id="1"/>
      </w:r>
      <w:r w:rsidRPr="00BA779A">
        <w:rPr>
          <w:rFonts w:ascii="Palatino Linotype" w:eastAsia="Palatino Linotype" w:hAnsi="Palatino Linotype" w:cs="Palatino Linotype"/>
          <w:color w:val="000000"/>
          <w:sz w:val="24"/>
          <w:szCs w:val="24"/>
        </w:rPr>
        <w:t xml:space="preserve">, la cual permite </w:t>
      </w:r>
      <w:r w:rsidRPr="00BA779A">
        <w:rPr>
          <w:rFonts w:ascii="Palatino Linotype" w:eastAsia="Palatino Linotype" w:hAnsi="Palatino Linotype" w:cs="Palatino Linotype"/>
          <w:color w:val="000000"/>
          <w:sz w:val="24"/>
          <w:szCs w:val="24"/>
        </w:rPr>
        <w:lastRenderedPageBreak/>
        <w:t>dilucidar alguna causal que impida el estudio y resolución, cuando una vez admitido el recurso de revisión se advierta una causa de improcedencia que permita sobreseerlo, sin estudiar el fondo del asunto.</w:t>
      </w:r>
    </w:p>
    <w:p w14:paraId="47D6E7C1" w14:textId="77777777" w:rsidR="00AC142E" w:rsidRPr="00BA779A" w:rsidRDefault="0087585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color w:val="000000"/>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A85AF75" w14:textId="77777777" w:rsidR="00AC142E" w:rsidRPr="00BA779A" w:rsidRDefault="00875853">
      <w:pPr>
        <w:pBdr>
          <w:top w:val="nil"/>
          <w:left w:val="nil"/>
          <w:bottom w:val="nil"/>
          <w:right w:val="nil"/>
          <w:between w:val="nil"/>
        </w:pBdr>
        <w:spacing w:before="240" w:line="360" w:lineRule="auto"/>
        <w:jc w:val="both"/>
        <w:rPr>
          <w:rFonts w:ascii="Palatino Linotype" w:eastAsia="Palatino Linotype" w:hAnsi="Palatino Linotype" w:cs="Palatino Linotype"/>
          <w:color w:val="000000"/>
          <w:sz w:val="28"/>
          <w:szCs w:val="28"/>
        </w:rPr>
      </w:pPr>
      <w:r w:rsidRPr="00BA779A">
        <w:rPr>
          <w:rFonts w:ascii="Palatino Linotype" w:eastAsia="Palatino Linotype" w:hAnsi="Palatino Linotype" w:cs="Palatino Linotype"/>
          <w:b/>
          <w:color w:val="000000"/>
          <w:sz w:val="28"/>
          <w:szCs w:val="28"/>
        </w:rPr>
        <w:t>CUARTO.</w:t>
      </w:r>
      <w:r w:rsidRPr="00BA779A">
        <w:rPr>
          <w:rFonts w:ascii="Palatino Linotype" w:eastAsia="Palatino Linotype" w:hAnsi="Palatino Linotype" w:cs="Palatino Linotype"/>
          <w:color w:val="000000"/>
          <w:sz w:val="28"/>
          <w:szCs w:val="28"/>
        </w:rPr>
        <w:t xml:space="preserve"> </w:t>
      </w:r>
      <w:r w:rsidRPr="00BA779A">
        <w:rPr>
          <w:rFonts w:ascii="Palatino Linotype" w:eastAsia="Palatino Linotype" w:hAnsi="Palatino Linotype" w:cs="Palatino Linotype"/>
          <w:b/>
          <w:color w:val="000000"/>
          <w:sz w:val="28"/>
          <w:szCs w:val="28"/>
        </w:rPr>
        <w:t>Estudio y resolución del asunto.</w:t>
      </w:r>
    </w:p>
    <w:p w14:paraId="15A8D4E7" w14:textId="000E6D6F" w:rsidR="00AC142E" w:rsidRPr="00BA779A" w:rsidRDefault="00875853">
      <w:pPr>
        <w:pBdr>
          <w:top w:val="nil"/>
          <w:left w:val="nil"/>
          <w:bottom w:val="nil"/>
          <w:right w:val="nil"/>
          <w:between w:val="nil"/>
        </w:pBdr>
        <w:spacing w:before="240" w:line="360" w:lineRule="auto"/>
        <w:jc w:val="both"/>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color w:val="000000"/>
          <w:sz w:val="24"/>
          <w:szCs w:val="24"/>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BA779A">
        <w:rPr>
          <w:rFonts w:ascii="Palatino Linotype" w:eastAsia="Palatino Linotype" w:hAnsi="Palatino Linotype" w:cs="Palatino Linotype"/>
          <w:color w:val="000000"/>
          <w:sz w:val="24"/>
          <w:szCs w:val="24"/>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43E0025" w14:textId="77777777" w:rsidR="00E059D5" w:rsidRPr="00BA779A" w:rsidRDefault="00E059D5" w:rsidP="00E059D5">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69987277"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180</w:t>
      </w:r>
      <w:r w:rsidRPr="00BA779A">
        <w:rPr>
          <w:rFonts w:ascii="Palatino Linotype" w:hAnsi="Palatino Linotype" w:cs="Arial"/>
          <w:i/>
          <w:sz w:val="24"/>
          <w:szCs w:val="24"/>
        </w:rPr>
        <w:t xml:space="preserve">. El recurso de revisión contendrá: </w:t>
      </w:r>
    </w:p>
    <w:p w14:paraId="186C3612"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w:t>
      </w:r>
      <w:r w:rsidRPr="00BA779A">
        <w:rPr>
          <w:rFonts w:ascii="Palatino Linotype" w:hAnsi="Palatino Linotype" w:cs="Arial"/>
          <w:i/>
          <w:sz w:val="24"/>
          <w:szCs w:val="24"/>
        </w:rPr>
        <w:t xml:space="preserve">. El Sujeto Obligado ante la cual se presentó la solicitud; </w:t>
      </w:r>
    </w:p>
    <w:p w14:paraId="0A63072A"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II</w:t>
      </w:r>
      <w:r w:rsidRPr="00BA779A">
        <w:rPr>
          <w:rFonts w:ascii="Palatino Linotype" w:hAnsi="Palatino Linotype" w:cs="Arial"/>
          <w:i/>
          <w:sz w:val="24"/>
          <w:szCs w:val="24"/>
        </w:rPr>
        <w:t xml:space="preserve">. </w:t>
      </w:r>
      <w:r w:rsidRPr="00BA779A">
        <w:rPr>
          <w:rFonts w:ascii="Palatino Linotype" w:hAnsi="Palatino Linotype" w:cs="Arial"/>
          <w:i/>
          <w:sz w:val="24"/>
          <w:szCs w:val="24"/>
          <w:u w:val="single"/>
        </w:rPr>
        <w:t>El nombre del solicitante</w:t>
      </w:r>
      <w:r w:rsidRPr="00BA779A">
        <w:rPr>
          <w:rFonts w:ascii="Palatino Linotype" w:hAnsi="Palatino Linotype" w:cs="Arial"/>
          <w:i/>
          <w:sz w:val="24"/>
          <w:szCs w:val="24"/>
        </w:rPr>
        <w:t xml:space="preserve"> que recurre o de su representante y, en su caso, del tercero interesado, así como la dirección o medio que señale para recibir notificaciones; </w:t>
      </w:r>
    </w:p>
    <w:p w14:paraId="141699B2"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III</w:t>
      </w:r>
      <w:r w:rsidRPr="00BA779A">
        <w:rPr>
          <w:rFonts w:ascii="Palatino Linotype" w:hAnsi="Palatino Linotype" w:cs="Arial"/>
          <w:i/>
          <w:sz w:val="24"/>
          <w:szCs w:val="24"/>
        </w:rPr>
        <w:t xml:space="preserve">. El número de folio de respuesta de la solicitud de acceso; </w:t>
      </w:r>
    </w:p>
    <w:p w14:paraId="4213076C"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IV</w:t>
      </w:r>
      <w:r w:rsidRPr="00BA779A">
        <w:rPr>
          <w:rFonts w:ascii="Palatino Linotype" w:hAnsi="Palatino Linotype" w:cs="Arial"/>
          <w:i/>
          <w:sz w:val="24"/>
          <w:szCs w:val="24"/>
        </w:rPr>
        <w:t xml:space="preserve">. La fecha en que fue notificada la respuesta al solicitante o tuvo conocimiento del acto reclamado, o de presentación de la solicitud, en caso de falta de respuesta; </w:t>
      </w:r>
    </w:p>
    <w:p w14:paraId="6F109831"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w:t>
      </w:r>
      <w:r w:rsidRPr="00BA779A">
        <w:rPr>
          <w:rFonts w:ascii="Palatino Linotype" w:hAnsi="Palatino Linotype" w:cs="Arial"/>
          <w:i/>
          <w:sz w:val="24"/>
          <w:szCs w:val="24"/>
        </w:rPr>
        <w:t xml:space="preserve">. El acto que se recurre; </w:t>
      </w:r>
    </w:p>
    <w:p w14:paraId="6AAB8776"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VI</w:t>
      </w:r>
      <w:r w:rsidRPr="00BA779A">
        <w:rPr>
          <w:rFonts w:ascii="Palatino Linotype" w:hAnsi="Palatino Linotype" w:cs="Arial"/>
          <w:i/>
          <w:sz w:val="24"/>
          <w:szCs w:val="24"/>
        </w:rPr>
        <w:t xml:space="preserve">. Las razones o motivos de inconformidad; </w:t>
      </w:r>
    </w:p>
    <w:p w14:paraId="517896DA"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VII</w:t>
      </w:r>
      <w:r w:rsidRPr="00BA779A">
        <w:rPr>
          <w:rFonts w:ascii="Palatino Linotype" w:hAnsi="Palatino Linotype" w:cs="Arial"/>
          <w:i/>
          <w:sz w:val="24"/>
          <w:szCs w:val="24"/>
        </w:rPr>
        <w:t xml:space="preserve">. La copia de la respuesta que se impugna y, en su caso, de la notificación correspondiente, en el caso de respuesta de la solicitud; y </w:t>
      </w:r>
    </w:p>
    <w:p w14:paraId="1A4012FF"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lastRenderedPageBreak/>
        <w:t>VIII</w:t>
      </w:r>
      <w:r w:rsidRPr="00BA779A">
        <w:rPr>
          <w:rFonts w:ascii="Palatino Linotype" w:hAnsi="Palatino Linotype" w:cs="Arial"/>
          <w:i/>
          <w:sz w:val="24"/>
          <w:szCs w:val="24"/>
        </w:rPr>
        <w:t xml:space="preserve">. Firma del Recurrente, en su caso, cuando se presente por escrito, requisito sin el cual se dará trámite al recurso. </w:t>
      </w:r>
    </w:p>
    <w:p w14:paraId="27258666"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xml:space="preserve">Adicionalmente, se podrán anexar las pruebas y demás elementos que considere procedentes someter a juicio del Instituto. </w:t>
      </w:r>
    </w:p>
    <w:p w14:paraId="65A1AEA6"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xml:space="preserve">En ningún caso será necesario que el particular ratifique el recurso de revisión interpuesto. </w:t>
      </w:r>
    </w:p>
    <w:p w14:paraId="06B60DF8"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u w:val="single"/>
        </w:rPr>
      </w:pPr>
      <w:r w:rsidRPr="00BA779A">
        <w:rPr>
          <w:rFonts w:ascii="Palatino Linotype" w:hAnsi="Palatino Linotype" w:cs="Arial"/>
          <w:i/>
          <w:sz w:val="24"/>
          <w:szCs w:val="24"/>
          <w:u w:val="single"/>
        </w:rPr>
        <w:t>En caso de que el recurso se interponga de manera electrónica no será indispensable que contengan los requisitos establecidos en las fracciones II, IV, VII y VIII.”</w:t>
      </w:r>
    </w:p>
    <w:p w14:paraId="114299A5" w14:textId="77777777" w:rsidR="00E059D5" w:rsidRPr="00BA779A" w:rsidRDefault="00E059D5" w:rsidP="00E059D5">
      <w:pPr>
        <w:autoSpaceDE w:val="0"/>
        <w:autoSpaceDN w:val="0"/>
        <w:adjustRightInd w:val="0"/>
        <w:spacing w:before="240" w:after="240" w:line="360" w:lineRule="auto"/>
        <w:ind w:left="567" w:right="567"/>
        <w:jc w:val="right"/>
        <w:rPr>
          <w:rFonts w:ascii="Palatino Linotype" w:hAnsi="Palatino Linotype" w:cs="Arial"/>
          <w:sz w:val="24"/>
          <w:szCs w:val="24"/>
        </w:rPr>
      </w:pPr>
      <w:r w:rsidRPr="00BA779A">
        <w:rPr>
          <w:rFonts w:ascii="Palatino Linotype" w:hAnsi="Palatino Linotype" w:cs="Arial"/>
          <w:sz w:val="24"/>
          <w:szCs w:val="24"/>
        </w:rPr>
        <w:t>(Énfasis añadido)</w:t>
      </w:r>
    </w:p>
    <w:p w14:paraId="430D0B69" w14:textId="77777777" w:rsidR="00E059D5" w:rsidRPr="00BA779A" w:rsidRDefault="00E059D5" w:rsidP="00E059D5">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no señalo nombre o seudónimo con el cual desee identificarse, por lo que no tiene certeza sobre su identidad, lo que en estricto sentido, no se colmarían los requisitos establecidos en el citado artículo 180 de la Ley de Transparencia.</w:t>
      </w:r>
    </w:p>
    <w:p w14:paraId="667B8506" w14:textId="77777777" w:rsidR="00E059D5" w:rsidRPr="00BA779A" w:rsidRDefault="00E059D5" w:rsidP="00E059D5">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w:t>
      </w:r>
      <w:r w:rsidRPr="00BA779A">
        <w:rPr>
          <w:rFonts w:ascii="Palatino Linotype" w:hAnsi="Palatino Linotype" w:cs="Arial"/>
          <w:sz w:val="24"/>
          <w:szCs w:val="24"/>
        </w:rPr>
        <w:lastRenderedPageBreak/>
        <w:t xml:space="preserve">a la información pública, el nombre no es un requisito </w:t>
      </w:r>
      <w:r w:rsidRPr="00BA779A">
        <w:rPr>
          <w:rFonts w:ascii="Palatino Linotype" w:hAnsi="Palatino Linotype" w:cs="Arial"/>
          <w:i/>
          <w:sz w:val="24"/>
          <w:szCs w:val="24"/>
        </w:rPr>
        <w:t>sine qua non</w:t>
      </w:r>
      <w:r w:rsidRPr="00BA779A">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BAB14C4" w14:textId="77777777" w:rsidR="00E059D5" w:rsidRPr="00BA779A" w:rsidRDefault="00E059D5" w:rsidP="00E059D5">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D487805" w14:textId="77777777" w:rsidR="00E059D5" w:rsidRPr="00BA779A" w:rsidRDefault="00E059D5" w:rsidP="00E059D5">
      <w:pPr>
        <w:autoSpaceDE w:val="0"/>
        <w:autoSpaceDN w:val="0"/>
        <w:adjustRightInd w:val="0"/>
        <w:spacing w:before="240" w:after="240" w:line="360" w:lineRule="auto"/>
        <w:jc w:val="center"/>
        <w:rPr>
          <w:rFonts w:ascii="Palatino Linotype" w:hAnsi="Palatino Linotype" w:cs="Arial"/>
          <w:b/>
          <w:i/>
          <w:sz w:val="24"/>
          <w:szCs w:val="24"/>
        </w:rPr>
      </w:pPr>
      <w:r w:rsidRPr="00BA779A">
        <w:rPr>
          <w:rFonts w:ascii="Palatino Linotype" w:hAnsi="Palatino Linotype" w:cs="Arial"/>
          <w:b/>
          <w:i/>
          <w:sz w:val="24"/>
          <w:szCs w:val="24"/>
        </w:rPr>
        <w:t>Constitución Política de los Estados Unidos Mexicanos</w:t>
      </w:r>
    </w:p>
    <w:p w14:paraId="40314955"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6o</w:t>
      </w:r>
      <w:r w:rsidRPr="00BA779A">
        <w:rPr>
          <w:rFonts w:ascii="Palatino Linotype" w:hAnsi="Palatino Linotype" w:cs="Arial"/>
          <w:i/>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DD722D6"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Toda persona tiene derecho al libre acceso a información plural y oportuna, así como a buscar, recibir y difundir información e ideas de toda índole por cualquier medio de expresión.</w:t>
      </w:r>
    </w:p>
    <w:p w14:paraId="0160473C"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Para efectos de lo dispuesto en el presente artículo se observará lo siguiente:</w:t>
      </w:r>
    </w:p>
    <w:p w14:paraId="659973F4"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lastRenderedPageBreak/>
        <w:t>A</w:t>
      </w:r>
      <w:r w:rsidRPr="00BA779A">
        <w:rPr>
          <w:rFonts w:ascii="Palatino Linotype" w:hAnsi="Palatino Linotype" w:cs="Arial"/>
          <w:i/>
          <w:sz w:val="24"/>
          <w:szCs w:val="24"/>
        </w:rPr>
        <w:t>. Para el ejercicio del derecho de acceso a la información, la Federación, los Estados y el Distrito Federal, en el ámbito de sus respectivas competencias, se regirán por los siguientes principios y bases:</w:t>
      </w:r>
    </w:p>
    <w:p w14:paraId="4B024975"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w:t>
      </w:r>
      <w:r w:rsidRPr="00BA779A">
        <w:rPr>
          <w:rFonts w:ascii="Palatino Linotype" w:hAnsi="Palatino Linotype" w:cs="Arial"/>
          <w:i/>
          <w:sz w:val="24"/>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1C8EF70"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04965EAD"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III.</w:t>
      </w:r>
      <w:r w:rsidRPr="00BA779A">
        <w:rPr>
          <w:rFonts w:ascii="Palatino Linotype" w:hAnsi="Palatino Linotype" w:cs="Arial"/>
          <w:i/>
          <w:sz w:val="24"/>
          <w:szCs w:val="24"/>
        </w:rPr>
        <w:t xml:space="preserve"> Toda persona, sin necesidad de acreditar interés alguno o justificar su utilización, tendrá acceso gratuito a la información pública, a sus datos personales o a la rectificación de éstos.</w:t>
      </w:r>
    </w:p>
    <w:p w14:paraId="17BAD529"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75905637"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w:t>
      </w:r>
      <w:r w:rsidRPr="00BA779A">
        <w:rPr>
          <w:rFonts w:ascii="Palatino Linotype" w:hAnsi="Palatino Linotype" w:cs="Arial"/>
          <w:i/>
          <w:sz w:val="24"/>
          <w:szCs w:val="24"/>
        </w:rPr>
        <w:t xml:space="preserve">. Los sujetos obligados deberán preservar sus documentos en archivos administrativos actualizados y publicarán, a través de los medios electrónicos disponibles, la información completa y actualizada sobre el ejercicio de los recursos </w:t>
      </w:r>
      <w:r w:rsidRPr="00BA779A">
        <w:rPr>
          <w:rFonts w:ascii="Palatino Linotype" w:hAnsi="Palatino Linotype" w:cs="Arial"/>
          <w:i/>
          <w:sz w:val="24"/>
          <w:szCs w:val="24"/>
        </w:rPr>
        <w:lastRenderedPageBreak/>
        <w:t>públicos y los indicadores que permitan rendir cuenta del cumplimiento de sus objetivos y de los resultados obtenidos.</w:t>
      </w:r>
    </w:p>
    <w:p w14:paraId="3D487165"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VI.</w:t>
      </w:r>
      <w:r w:rsidRPr="00BA779A">
        <w:rPr>
          <w:rFonts w:ascii="Palatino Linotype" w:hAnsi="Palatino Linotype" w:cs="Arial"/>
          <w:i/>
          <w:sz w:val="24"/>
          <w:szCs w:val="24"/>
        </w:rPr>
        <w:t xml:space="preserve"> Las leyes determinarán la manera en que los sujetos obligados deberán hacer pública la información relativa a los recursos públicos que entreguen a personas físicas o morales.”</w:t>
      </w:r>
    </w:p>
    <w:p w14:paraId="1F32FB72"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01E51065"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La ley establecerá aquella información que se considere reservada o confidencial.</w:t>
      </w:r>
    </w:p>
    <w:p w14:paraId="4BB2AD36" w14:textId="77777777" w:rsidR="00E059D5" w:rsidRPr="00BA779A" w:rsidRDefault="00E059D5" w:rsidP="00E059D5">
      <w:pPr>
        <w:autoSpaceDE w:val="0"/>
        <w:autoSpaceDN w:val="0"/>
        <w:adjustRightInd w:val="0"/>
        <w:spacing w:before="240" w:after="240" w:line="360" w:lineRule="auto"/>
        <w:ind w:left="567" w:right="567"/>
        <w:jc w:val="center"/>
        <w:rPr>
          <w:rFonts w:ascii="Palatino Linotype" w:hAnsi="Palatino Linotype" w:cs="Arial"/>
          <w:b/>
          <w:i/>
          <w:sz w:val="24"/>
          <w:szCs w:val="24"/>
        </w:rPr>
      </w:pPr>
      <w:r w:rsidRPr="00BA779A">
        <w:rPr>
          <w:rFonts w:ascii="Palatino Linotype" w:hAnsi="Palatino Linotype" w:cs="Arial"/>
          <w:b/>
          <w:i/>
          <w:sz w:val="24"/>
          <w:szCs w:val="24"/>
        </w:rPr>
        <w:t>Constitución Política del Estado Libre y Soberano de México</w:t>
      </w:r>
    </w:p>
    <w:p w14:paraId="20ABC524"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5</w:t>
      </w:r>
      <w:r w:rsidRPr="00BA779A">
        <w:rPr>
          <w:rFonts w:ascii="Palatino Linotype" w:hAnsi="Palatino Linotype" w:cs="Arial"/>
          <w:i/>
          <w:sz w:val="24"/>
          <w:szCs w:val="24"/>
        </w:rPr>
        <w:t xml:space="preserve">. … </w:t>
      </w:r>
    </w:p>
    <w:p w14:paraId="78B6BC5C"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1564FDCD"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El derecho a la información será garantizado por el Estado. La ley establecerá las previsiones que permitan asegurar la protección, el respeto y la difusión de este derecho.</w:t>
      </w:r>
    </w:p>
    <w:p w14:paraId="5E6955FF"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A14FE24"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Este derecho se regirá por los principios y bases siguientes:</w:t>
      </w:r>
    </w:p>
    <w:p w14:paraId="62667122"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lastRenderedPageBreak/>
        <w:t>I</w:t>
      </w:r>
      <w:r w:rsidRPr="00BA779A">
        <w:rPr>
          <w:rFonts w:ascii="Palatino Linotype" w:hAnsi="Palatino Linotype" w:cs="Arial"/>
          <w:i/>
          <w:sz w:val="24"/>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0F1F30"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522C3540"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III</w:t>
      </w:r>
      <w:r w:rsidRPr="00BA779A">
        <w:rPr>
          <w:rFonts w:ascii="Palatino Linotype" w:hAnsi="Palatino Linotype" w:cs="Arial"/>
          <w:i/>
          <w:sz w:val="24"/>
          <w:szCs w:val="24"/>
        </w:rPr>
        <w:t>. Toda persona, sin necesidad de acreditar interés alguno o justificar su utilización, tendrá acceso gratuito a la información pública, a sus datos personales o a la rectificación de éstos.”</w:t>
      </w:r>
    </w:p>
    <w:p w14:paraId="0503B6AA" w14:textId="77777777" w:rsidR="00E059D5" w:rsidRPr="00BA779A" w:rsidRDefault="00E059D5" w:rsidP="00E059D5">
      <w:pPr>
        <w:autoSpaceDE w:val="0"/>
        <w:autoSpaceDN w:val="0"/>
        <w:adjustRightInd w:val="0"/>
        <w:spacing w:before="240" w:after="240" w:line="360" w:lineRule="auto"/>
        <w:ind w:left="567" w:right="567"/>
        <w:jc w:val="right"/>
        <w:rPr>
          <w:rFonts w:ascii="Palatino Linotype" w:hAnsi="Palatino Linotype" w:cs="Arial"/>
          <w:i/>
          <w:sz w:val="24"/>
          <w:szCs w:val="24"/>
        </w:rPr>
      </w:pPr>
      <w:r w:rsidRPr="00BA779A">
        <w:rPr>
          <w:rFonts w:ascii="Palatino Linotype" w:hAnsi="Palatino Linotype" w:cs="Arial"/>
          <w:i/>
          <w:sz w:val="24"/>
          <w:szCs w:val="24"/>
        </w:rPr>
        <w:t>(Énfasis añadido)</w:t>
      </w:r>
    </w:p>
    <w:p w14:paraId="7A834623" w14:textId="77777777" w:rsidR="00E059D5" w:rsidRPr="00BA779A" w:rsidRDefault="00E059D5" w:rsidP="00E059D5">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Por otra parte, del contenido del artículo 1 de la Constitución Política de los Estados Unidos Mexicanos, se destaca lo siguiente:</w:t>
      </w:r>
    </w:p>
    <w:p w14:paraId="19269744"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1o.</w:t>
      </w:r>
      <w:r w:rsidRPr="00BA779A">
        <w:rPr>
          <w:rFonts w:ascii="Palatino Linotype" w:hAnsi="Palatino Linotype" w:cs="Arial"/>
          <w:i/>
          <w:sz w:val="24"/>
          <w:szCs w:val="24"/>
        </w:rPr>
        <w:t xml:space="preserve"> En los Estados Unidos Mexicanos todas las personas gozarán de los derechos humanos reconocidos en esta Constitución y en los tratados </w:t>
      </w:r>
      <w:r w:rsidRPr="00BA779A">
        <w:rPr>
          <w:rFonts w:ascii="Palatino Linotype" w:hAnsi="Palatino Linotype" w:cs="Arial"/>
          <w:i/>
          <w:sz w:val="24"/>
          <w:szCs w:val="24"/>
        </w:rPr>
        <w:lastRenderedPageBreak/>
        <w:t>internacionales de los que el Estado Mexicano sea parte, así como de las garantías para su protección, cuyo ejercicio no podrá restringirse ni suspenderse, salvo en los casos y bajo las condiciones que esta Constitución establece.</w:t>
      </w:r>
    </w:p>
    <w:p w14:paraId="7885CA91"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Las normas relativas a los derechos humanos se interpretarán de conformidad con esta Constitución y con los tratados internacionales de la materia favoreciendo en todo tiempo a las personas la protección más amplia.</w:t>
      </w:r>
    </w:p>
    <w:p w14:paraId="3FB905BA"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81D7D86" w14:textId="77777777" w:rsidR="00E059D5" w:rsidRPr="00BA779A" w:rsidRDefault="00E059D5" w:rsidP="00E059D5">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65460F" w14:textId="77777777" w:rsidR="00E059D5" w:rsidRPr="00BA779A" w:rsidRDefault="00E059D5" w:rsidP="00E059D5">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Robustece lo anterior, el Criterio 6/2014 del entonces Instituto Federal de Acceso a la Información y Protección de Datos (IFAI) hoy Instituto Nacional de Transparencia, </w:t>
      </w:r>
      <w:r w:rsidRPr="00BA779A">
        <w:rPr>
          <w:rFonts w:ascii="Palatino Linotype" w:hAnsi="Palatino Linotype" w:cs="Arial"/>
          <w:sz w:val="24"/>
          <w:szCs w:val="24"/>
        </w:rPr>
        <w:lastRenderedPageBreak/>
        <w:t>Acceso a la Información y Protección de Datos Personales (INAI), el cual se reproduce para una mayor referencia:</w:t>
      </w:r>
    </w:p>
    <w:p w14:paraId="6E3D991E"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Acceso a información gubernamental. No debe condicionarse a que el solicitante acredite su personalidad, demuestre interés alguno o justifique su utilización.</w:t>
      </w:r>
      <w:r w:rsidRPr="00BA779A">
        <w:rPr>
          <w:rFonts w:ascii="Palatino Linotype" w:hAnsi="Palatino Linotype" w:cs="Arial"/>
          <w:i/>
          <w:sz w:val="24"/>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C2814C6"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Resoluciones</w:t>
      </w:r>
    </w:p>
    <w:p w14:paraId="38B1D9F4"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RDA 5275/13. Interpuesto en contra de la Secretaría de la Defensa Nacional. Comisionado Ponente Ángel Trinidad Zaldívar.</w:t>
      </w:r>
    </w:p>
    <w:p w14:paraId="1A03404E"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xml:space="preserve">• RDA 2937/13. Interpuesto en contra de LICONSA, S.A. de C.V. Comisionado. Ponente Gerardo </w:t>
      </w:r>
      <w:proofErr w:type="spellStart"/>
      <w:r w:rsidRPr="00BA779A">
        <w:rPr>
          <w:rFonts w:ascii="Palatino Linotype" w:hAnsi="Palatino Linotype" w:cs="Arial"/>
          <w:i/>
          <w:sz w:val="24"/>
          <w:szCs w:val="24"/>
        </w:rPr>
        <w:t>Laveaga</w:t>
      </w:r>
      <w:proofErr w:type="spellEnd"/>
      <w:r w:rsidRPr="00BA779A">
        <w:rPr>
          <w:rFonts w:ascii="Palatino Linotype" w:hAnsi="Palatino Linotype" w:cs="Arial"/>
          <w:i/>
          <w:sz w:val="24"/>
          <w:szCs w:val="24"/>
        </w:rPr>
        <w:t xml:space="preserve"> Rendón.</w:t>
      </w:r>
    </w:p>
    <w:p w14:paraId="09C6C1F0"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xml:space="preserve">• RDA 3609/12. Interpuesto en contra de la Secretaría de Educación Pública. Comisionada Ponente Sigrid </w:t>
      </w:r>
      <w:proofErr w:type="spellStart"/>
      <w:r w:rsidRPr="00BA779A">
        <w:rPr>
          <w:rFonts w:ascii="Palatino Linotype" w:hAnsi="Palatino Linotype" w:cs="Arial"/>
          <w:i/>
          <w:sz w:val="24"/>
          <w:szCs w:val="24"/>
        </w:rPr>
        <w:t>Arzt</w:t>
      </w:r>
      <w:proofErr w:type="spellEnd"/>
      <w:r w:rsidRPr="00BA779A">
        <w:rPr>
          <w:rFonts w:ascii="Palatino Linotype" w:hAnsi="Palatino Linotype" w:cs="Arial"/>
          <w:i/>
          <w:sz w:val="24"/>
          <w:szCs w:val="24"/>
        </w:rPr>
        <w:t xml:space="preserve"> Colunga.</w:t>
      </w:r>
    </w:p>
    <w:p w14:paraId="290AC03F"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lastRenderedPageBreak/>
        <w:t>• RDA 3361/12. Interpuesto en contra del Servicio de Administración Tributaria. Comisionada Ponente María Elena Pérez-Jaén Zermeño.</w:t>
      </w:r>
    </w:p>
    <w:p w14:paraId="1C7E033C" w14:textId="77777777" w:rsidR="00E059D5" w:rsidRPr="00BA779A" w:rsidRDefault="00E059D5" w:rsidP="00E059D5">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xml:space="preserve">• RDA 0563/12. Interpuesto en contra de la Secretaría de la Función Pública. Comisionada Ponente Jacqueline </w:t>
      </w:r>
      <w:proofErr w:type="spellStart"/>
      <w:r w:rsidRPr="00BA779A">
        <w:rPr>
          <w:rFonts w:ascii="Palatino Linotype" w:hAnsi="Palatino Linotype" w:cs="Arial"/>
          <w:i/>
          <w:sz w:val="24"/>
          <w:szCs w:val="24"/>
        </w:rPr>
        <w:t>Peschard</w:t>
      </w:r>
      <w:proofErr w:type="spellEnd"/>
      <w:r w:rsidRPr="00BA779A">
        <w:rPr>
          <w:rFonts w:ascii="Palatino Linotype" w:hAnsi="Palatino Linotype" w:cs="Arial"/>
          <w:i/>
          <w:sz w:val="24"/>
          <w:szCs w:val="24"/>
        </w:rPr>
        <w:t xml:space="preserve"> Mariscal.”</w:t>
      </w:r>
    </w:p>
    <w:p w14:paraId="294EE02D" w14:textId="77777777" w:rsidR="00E059D5" w:rsidRPr="00BA779A" w:rsidRDefault="00E059D5" w:rsidP="00E059D5">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BA779A">
        <w:rPr>
          <w:rFonts w:ascii="Palatino Linotype" w:hAnsi="Palatino Linotype" w:cs="Arial"/>
          <w:b/>
          <w:sz w:val="24"/>
          <w:szCs w:val="24"/>
        </w:rPr>
        <w:t>Recurrente</w:t>
      </w:r>
      <w:r w:rsidRPr="00BA779A">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14:paraId="51FAEDD9" w14:textId="77777777" w:rsidR="00E059D5" w:rsidRPr="00BA779A" w:rsidRDefault="00E059D5" w:rsidP="00E059D5">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22836CF5" w14:textId="77777777" w:rsidR="00E059D5" w:rsidRPr="00BA779A" w:rsidRDefault="00E059D5" w:rsidP="00E059D5">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w:t>
      </w:r>
      <w:r w:rsidRPr="00BA779A">
        <w:rPr>
          <w:rFonts w:ascii="Palatino Linotype" w:hAnsi="Palatino Linotype" w:cs="Arial"/>
          <w:sz w:val="24"/>
          <w:szCs w:val="24"/>
        </w:rPr>
        <w:lastRenderedPageBreak/>
        <w:t>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4488EECD" w14:textId="6A76E85A" w:rsidR="00E059D5" w:rsidRPr="00BA779A" w:rsidRDefault="00E059D5" w:rsidP="00E059D5">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08FC5AA4"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42E0C4F" w14:textId="77777777" w:rsidR="00AC142E" w:rsidRPr="00BA779A" w:rsidRDefault="00875853">
      <w:pPr>
        <w:spacing w:before="240" w:line="360" w:lineRule="auto"/>
        <w:ind w:left="567" w:right="567"/>
        <w:jc w:val="both"/>
        <w:rPr>
          <w:rFonts w:ascii="Palatino Linotype" w:eastAsia="Palatino Linotype" w:hAnsi="Palatino Linotype" w:cs="Palatino Linotype"/>
          <w:i/>
          <w:color w:val="000000"/>
          <w:sz w:val="2"/>
          <w:szCs w:val="2"/>
        </w:rPr>
      </w:pPr>
      <w:r w:rsidRPr="00BA779A">
        <w:rPr>
          <w:rFonts w:ascii="Palatino Linotype" w:eastAsia="Palatino Linotype" w:hAnsi="Palatino Linotype" w:cs="Palatino Linotype"/>
          <w:i/>
        </w:rPr>
        <w:t>“</w:t>
      </w:r>
      <w:r w:rsidRPr="00BA779A">
        <w:rPr>
          <w:rFonts w:ascii="Palatino Linotype" w:eastAsia="Palatino Linotype" w:hAnsi="Palatino Linotype" w:cs="Palatino Linotype"/>
          <w:b/>
          <w:i/>
          <w:color w:val="000000"/>
        </w:rPr>
        <w:t>Artículo 12.</w:t>
      </w:r>
      <w:r w:rsidRPr="00BA779A">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 </w:t>
      </w:r>
    </w:p>
    <w:p w14:paraId="059B1E86" w14:textId="77777777" w:rsidR="00AC142E" w:rsidRPr="00BA779A" w:rsidRDefault="00875853">
      <w:pPr>
        <w:spacing w:before="240" w:line="360" w:lineRule="auto"/>
        <w:ind w:left="567" w:right="567"/>
        <w:jc w:val="both"/>
        <w:rPr>
          <w:rFonts w:ascii="Palatino Linotype" w:eastAsia="Palatino Linotype" w:hAnsi="Palatino Linotype" w:cs="Palatino Linotype"/>
          <w:i/>
        </w:rPr>
      </w:pPr>
      <w:r w:rsidRPr="00BA779A">
        <w:rPr>
          <w:rFonts w:ascii="Palatino Linotype" w:eastAsia="Palatino Linotype" w:hAnsi="Palatino Linotype" w:cs="Palatino Linotype"/>
          <w:i/>
          <w:color w:val="000000"/>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A779A">
        <w:rPr>
          <w:rFonts w:ascii="Palatino Linotype" w:eastAsia="Palatino Linotype" w:hAnsi="Palatino Linotype" w:cs="Palatino Linotype"/>
          <w:i/>
        </w:rPr>
        <w:t>”</w:t>
      </w:r>
    </w:p>
    <w:p w14:paraId="2AEEBCC5" w14:textId="77777777" w:rsidR="00AC142E" w:rsidRPr="00BA779A" w:rsidRDefault="00875853">
      <w:pPr>
        <w:spacing w:line="360" w:lineRule="auto"/>
        <w:jc w:val="both"/>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color w:val="000000"/>
          <w:sz w:val="24"/>
          <w:szCs w:val="24"/>
        </w:rPr>
        <w:t>En síntesis, el derecho de acceso a la información pública se satisface en aquellos casos en que se entregue el soporte documental en que conste la información pública, toda vez que, los Sujetos Obligados</w:t>
      </w:r>
      <w:r w:rsidRPr="00BA779A">
        <w:rPr>
          <w:rFonts w:ascii="Palatino Linotype" w:eastAsia="Palatino Linotype" w:hAnsi="Palatino Linotype" w:cs="Palatino Linotype"/>
          <w:b/>
          <w:color w:val="000000"/>
          <w:sz w:val="24"/>
          <w:szCs w:val="24"/>
        </w:rPr>
        <w:t xml:space="preserve"> </w:t>
      </w:r>
      <w:r w:rsidRPr="00BA779A">
        <w:rPr>
          <w:rFonts w:ascii="Palatino Linotype" w:eastAsia="Palatino Linotype" w:hAnsi="Palatino Linotype" w:cs="Palatino Linotype"/>
          <w:color w:val="000000"/>
          <w:sz w:val="24"/>
          <w:szCs w:val="24"/>
        </w:rPr>
        <w:t xml:space="preserve">no tienen el deber de generar, poseer o administrar la información pública con el grado de detalle solicitado; esto es, que no tienen el deber de generar un documento </w:t>
      </w:r>
      <w:r w:rsidRPr="00BA779A">
        <w:rPr>
          <w:rFonts w:ascii="Palatino Linotype" w:eastAsia="Palatino Linotype" w:hAnsi="Palatino Linotype" w:cs="Palatino Linotype"/>
          <w:i/>
          <w:color w:val="000000"/>
          <w:sz w:val="24"/>
          <w:szCs w:val="24"/>
        </w:rPr>
        <w:t>ad hoc</w:t>
      </w:r>
      <w:r w:rsidRPr="00BA779A">
        <w:rPr>
          <w:rFonts w:ascii="Palatino Linotype" w:eastAsia="Palatino Linotype" w:hAnsi="Palatino Linotype" w:cs="Palatino Linotype"/>
          <w:color w:val="000000"/>
          <w:sz w:val="24"/>
          <w:szCs w:val="24"/>
        </w:rPr>
        <w:t>, para satisfacer el derecho de acceso a la información pública.</w:t>
      </w:r>
    </w:p>
    <w:p w14:paraId="23CC8CFD" w14:textId="77777777" w:rsidR="00AC142E" w:rsidRPr="00BA779A" w:rsidRDefault="00875853">
      <w:pPr>
        <w:spacing w:line="360" w:lineRule="auto"/>
        <w:jc w:val="both"/>
        <w:rPr>
          <w:rFonts w:ascii="Palatino Linotype" w:eastAsia="Palatino Linotype" w:hAnsi="Palatino Linotype" w:cs="Palatino Linotype"/>
          <w:b/>
          <w:color w:val="000000"/>
          <w:sz w:val="24"/>
          <w:szCs w:val="24"/>
        </w:rPr>
      </w:pPr>
      <w:r w:rsidRPr="00BA779A">
        <w:rPr>
          <w:rFonts w:ascii="Palatino Linotype" w:eastAsia="Palatino Linotype" w:hAnsi="Palatino Linotype" w:cs="Palatino Linotype"/>
          <w:color w:val="000000"/>
          <w:sz w:val="24"/>
          <w:szCs w:val="24"/>
        </w:rPr>
        <w:t>Como apoyo a lo anterior, es aplicable el Criterio 03-17, emitido por el Instituto Nacional de Transparencia, Acceso a la Información y Protección de Datos Personales, que dice:</w:t>
      </w:r>
      <w:r w:rsidRPr="00BA779A">
        <w:rPr>
          <w:rFonts w:ascii="Palatino Linotype" w:eastAsia="Palatino Linotype" w:hAnsi="Palatino Linotype" w:cs="Palatino Linotype"/>
          <w:b/>
          <w:color w:val="000000"/>
          <w:sz w:val="24"/>
          <w:szCs w:val="24"/>
        </w:rPr>
        <w:t xml:space="preserve"> </w:t>
      </w:r>
    </w:p>
    <w:p w14:paraId="79497AF5" w14:textId="77777777" w:rsidR="00AC142E" w:rsidRPr="00BA779A" w:rsidRDefault="00AC142E">
      <w:pPr>
        <w:spacing w:line="360" w:lineRule="auto"/>
        <w:ind w:left="851" w:right="850"/>
        <w:jc w:val="both"/>
        <w:rPr>
          <w:rFonts w:ascii="Palatino Linotype" w:eastAsia="Palatino Linotype" w:hAnsi="Palatino Linotype" w:cs="Palatino Linotype"/>
          <w:color w:val="000000"/>
          <w:sz w:val="2"/>
          <w:szCs w:val="2"/>
        </w:rPr>
      </w:pPr>
    </w:p>
    <w:p w14:paraId="12FEF9ED" w14:textId="77777777" w:rsidR="00AC142E" w:rsidRPr="00BA779A" w:rsidRDefault="00875853">
      <w:pPr>
        <w:spacing w:line="360" w:lineRule="auto"/>
        <w:ind w:left="567" w:right="567"/>
        <w:jc w:val="both"/>
        <w:rPr>
          <w:rFonts w:ascii="Palatino Linotype" w:eastAsia="Palatino Linotype" w:hAnsi="Palatino Linotype" w:cs="Palatino Linotype"/>
          <w:i/>
          <w:color w:val="000000"/>
        </w:rPr>
      </w:pPr>
      <w:r w:rsidRPr="00BA779A">
        <w:rPr>
          <w:rFonts w:ascii="Palatino Linotype" w:eastAsia="Palatino Linotype" w:hAnsi="Palatino Linotype" w:cs="Palatino Linotype"/>
          <w:i/>
          <w:color w:val="000000"/>
        </w:rPr>
        <w:t>“</w:t>
      </w:r>
      <w:r w:rsidRPr="00BA779A">
        <w:rPr>
          <w:rFonts w:ascii="Palatino Linotype" w:eastAsia="Palatino Linotype" w:hAnsi="Palatino Linotype" w:cs="Palatino Linotype"/>
          <w:b/>
          <w:i/>
          <w:color w:val="000000"/>
        </w:rPr>
        <w:t>No existe obligación de elaborar documentos ad hoc para atender las solicitudes de acceso a la información.</w:t>
      </w:r>
      <w:r w:rsidRPr="00BA779A">
        <w:rPr>
          <w:rFonts w:ascii="Palatino Linotype" w:eastAsia="Palatino Linotype" w:hAnsi="Palatino Linotype" w:cs="Palatino Linotype"/>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AC6A262" w14:textId="77777777" w:rsidR="00AC142E" w:rsidRPr="00BA779A" w:rsidRDefault="00AC142E">
      <w:pPr>
        <w:spacing w:line="360" w:lineRule="auto"/>
        <w:ind w:left="567" w:right="567"/>
        <w:jc w:val="both"/>
        <w:rPr>
          <w:rFonts w:ascii="Palatino Linotype" w:eastAsia="Palatino Linotype" w:hAnsi="Palatino Linotype" w:cs="Palatino Linotype"/>
          <w:i/>
          <w:color w:val="000000"/>
          <w:sz w:val="2"/>
          <w:szCs w:val="2"/>
        </w:rPr>
      </w:pPr>
    </w:p>
    <w:p w14:paraId="115066AA" w14:textId="77777777" w:rsidR="00AC142E" w:rsidRPr="00BA779A" w:rsidRDefault="00875853">
      <w:pPr>
        <w:spacing w:after="0" w:line="360" w:lineRule="auto"/>
        <w:ind w:left="567" w:right="567"/>
        <w:jc w:val="both"/>
        <w:rPr>
          <w:rFonts w:ascii="Palatino Linotype" w:eastAsia="Palatino Linotype" w:hAnsi="Palatino Linotype" w:cs="Palatino Linotype"/>
          <w:i/>
          <w:color w:val="000000"/>
          <w:sz w:val="20"/>
          <w:szCs w:val="20"/>
        </w:rPr>
      </w:pPr>
      <w:r w:rsidRPr="00BA779A">
        <w:rPr>
          <w:rFonts w:ascii="Palatino Linotype" w:eastAsia="Palatino Linotype" w:hAnsi="Palatino Linotype" w:cs="Palatino Linotype"/>
          <w:i/>
          <w:color w:val="000000"/>
          <w:sz w:val="20"/>
          <w:szCs w:val="20"/>
        </w:rPr>
        <w:t xml:space="preserve">Resoluciones: </w:t>
      </w:r>
    </w:p>
    <w:p w14:paraId="547F5229" w14:textId="77777777" w:rsidR="00AC142E" w:rsidRPr="00BA779A" w:rsidRDefault="00875853">
      <w:pPr>
        <w:spacing w:after="0" w:line="360" w:lineRule="auto"/>
        <w:ind w:left="567" w:right="567"/>
        <w:jc w:val="both"/>
        <w:rPr>
          <w:rFonts w:ascii="Palatino Linotype" w:eastAsia="Palatino Linotype" w:hAnsi="Palatino Linotype" w:cs="Palatino Linotype"/>
          <w:i/>
          <w:color w:val="000000"/>
          <w:sz w:val="20"/>
          <w:szCs w:val="20"/>
        </w:rPr>
      </w:pPr>
      <w:r w:rsidRPr="00BA779A">
        <w:rPr>
          <w:rFonts w:ascii="Symbol" w:eastAsia="Symbol" w:hAnsi="Symbol" w:cs="Symbol"/>
          <w:i/>
          <w:color w:val="000000"/>
          <w:sz w:val="20"/>
          <w:szCs w:val="20"/>
        </w:rPr>
        <w:t>∙</w:t>
      </w:r>
      <w:r w:rsidRPr="00BA779A">
        <w:rPr>
          <w:rFonts w:ascii="Palatino Linotype" w:eastAsia="Palatino Linotype" w:hAnsi="Palatino Linotype" w:cs="Palatino Linotype"/>
          <w:i/>
          <w:color w:val="000000"/>
          <w:sz w:val="20"/>
          <w:szCs w:val="20"/>
        </w:rPr>
        <w:t xml:space="preserve"> RRA 0050/16. Instituto Nacional para la Evaluación de la Educación. 13 julio de 2016. Por unanimidad. Comisionado Ponente: Francisco Javier Acuña Llamas.</w:t>
      </w:r>
    </w:p>
    <w:p w14:paraId="337FD6E5" w14:textId="77777777" w:rsidR="00AC142E" w:rsidRPr="00BA779A" w:rsidRDefault="00875853">
      <w:pPr>
        <w:spacing w:after="0" w:line="360" w:lineRule="auto"/>
        <w:ind w:left="567" w:right="567"/>
        <w:jc w:val="both"/>
        <w:rPr>
          <w:rFonts w:ascii="Palatino Linotype" w:eastAsia="Palatino Linotype" w:hAnsi="Palatino Linotype" w:cs="Palatino Linotype"/>
          <w:i/>
          <w:color w:val="000000"/>
          <w:sz w:val="20"/>
          <w:szCs w:val="20"/>
        </w:rPr>
      </w:pPr>
      <w:r w:rsidRPr="00BA779A">
        <w:rPr>
          <w:rFonts w:ascii="Symbol" w:eastAsia="Symbol" w:hAnsi="Symbol" w:cs="Symbol"/>
          <w:i/>
          <w:color w:val="000000"/>
          <w:sz w:val="20"/>
          <w:szCs w:val="20"/>
        </w:rPr>
        <w:t>∙</w:t>
      </w:r>
      <w:r w:rsidRPr="00BA779A">
        <w:rPr>
          <w:rFonts w:ascii="Palatino Linotype" w:eastAsia="Palatino Linotype" w:hAnsi="Palatino Linotype" w:cs="Palatino Linotype"/>
          <w:i/>
          <w:color w:val="000000"/>
          <w:sz w:val="20"/>
          <w:szCs w:val="20"/>
        </w:rPr>
        <w:t xml:space="preserve"> RRA 0310/16. Instituto Nacional de Transparencia, Acceso a la Información y Protección de Datos Personales. 10 de agosto de 2016. Por unanimidad. Comisionada Ponente. Areli Cano Guadiana. </w:t>
      </w:r>
    </w:p>
    <w:p w14:paraId="4A63ED87" w14:textId="77777777" w:rsidR="00AC142E" w:rsidRPr="00BA779A" w:rsidRDefault="00875853">
      <w:pPr>
        <w:spacing w:before="240" w:after="240" w:line="360" w:lineRule="auto"/>
        <w:ind w:left="567" w:right="567"/>
        <w:jc w:val="both"/>
        <w:rPr>
          <w:rFonts w:ascii="Palatino Linotype" w:eastAsia="Palatino Linotype" w:hAnsi="Palatino Linotype" w:cs="Palatino Linotype"/>
          <w:i/>
          <w:color w:val="000000"/>
          <w:sz w:val="20"/>
          <w:szCs w:val="20"/>
        </w:rPr>
      </w:pPr>
      <w:r w:rsidRPr="00BA779A">
        <w:rPr>
          <w:rFonts w:ascii="Symbol" w:eastAsia="Symbol" w:hAnsi="Symbol" w:cs="Symbol"/>
          <w:i/>
          <w:color w:val="000000"/>
          <w:sz w:val="20"/>
          <w:szCs w:val="20"/>
        </w:rPr>
        <w:t>∙</w:t>
      </w:r>
      <w:r w:rsidRPr="00BA779A">
        <w:rPr>
          <w:rFonts w:ascii="Palatino Linotype" w:eastAsia="Palatino Linotype" w:hAnsi="Palatino Linotype" w:cs="Palatino Linotype"/>
          <w:i/>
          <w:color w:val="000000"/>
          <w:sz w:val="20"/>
          <w:szCs w:val="20"/>
        </w:rPr>
        <w:t xml:space="preserve"> RRA 1889/16. Secretaría de Hacienda y Crédito Público. 05 de octubre de 2016. Por unanimidad. Comisionada Ponente. Ximena Puente de la Mora.”</w:t>
      </w:r>
    </w:p>
    <w:p w14:paraId="769C21D1" w14:textId="77777777" w:rsidR="00AC142E" w:rsidRPr="00BA779A" w:rsidRDefault="00875853">
      <w:pPr>
        <w:spacing w:line="360" w:lineRule="auto"/>
        <w:jc w:val="both"/>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color w:val="000000"/>
          <w:sz w:val="24"/>
          <w:szCs w:val="24"/>
        </w:rPr>
        <w:t xml:space="preserve">Asimismo, el artículo 24, de la Ley de la materia, dispone que los Sujetos Obligados sólo proporcionarán la información pública que </w:t>
      </w:r>
      <w:r w:rsidRPr="00BA779A">
        <w:rPr>
          <w:rFonts w:ascii="Palatino Linotype" w:eastAsia="Palatino Linotype" w:hAnsi="Palatino Linotype" w:cs="Palatino Linotype"/>
          <w:sz w:val="24"/>
          <w:szCs w:val="24"/>
        </w:rPr>
        <w:t>generen</w:t>
      </w:r>
      <w:r w:rsidRPr="00BA779A">
        <w:rPr>
          <w:rFonts w:ascii="Palatino Linotype" w:eastAsia="Palatino Linotype" w:hAnsi="Palatino Linotype" w:cs="Palatino Linotype"/>
          <w:color w:val="000000"/>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ECA3D98" w14:textId="77777777" w:rsidR="00AC142E" w:rsidRPr="00BA779A" w:rsidRDefault="00875853">
      <w:pPr>
        <w:spacing w:line="360" w:lineRule="auto"/>
        <w:ind w:firstLine="1"/>
        <w:jc w:val="both"/>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color w:val="000000"/>
          <w:sz w:val="24"/>
          <w:szCs w:val="24"/>
        </w:rPr>
        <w:t xml:space="preserve">En esta misma tesitura, es de subrayar que el derecho de acceso a la información pública, consiste en que la información solicitada conste en un soporte documental en cualquiera de sus formas, a saber: </w:t>
      </w:r>
      <w:r w:rsidRPr="00BA779A">
        <w:rPr>
          <w:rFonts w:ascii="Palatino Linotype" w:eastAsia="Palatino Linotype" w:hAnsi="Palatino Linotype" w:cs="Palatino Linotype"/>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A779A">
        <w:rPr>
          <w:rFonts w:ascii="Palatino Linotype" w:eastAsia="Palatino Linotype" w:hAnsi="Palatino Linotype" w:cs="Palatino Linotype"/>
          <w:color w:val="000000"/>
          <w:sz w:val="24"/>
          <w:szCs w:val="24"/>
        </w:rPr>
        <w:t xml:space="preserve">; los que, </w:t>
      </w:r>
      <w:r w:rsidRPr="00BA779A">
        <w:rPr>
          <w:rFonts w:ascii="Palatino Linotype" w:eastAsia="Palatino Linotype" w:hAnsi="Palatino Linotype" w:cs="Palatino Linotype"/>
          <w:sz w:val="24"/>
          <w:szCs w:val="24"/>
        </w:rPr>
        <w:t>podrán estar en cualquier medio, sea escrito, impreso, sonoro, visual, electrónico, informático u holográfico</w:t>
      </w:r>
      <w:r w:rsidRPr="00BA779A">
        <w:rPr>
          <w:rFonts w:ascii="Palatino Linotype" w:eastAsia="Palatino Linotype" w:hAnsi="Palatino Linotype" w:cs="Palatino Linotype"/>
          <w:color w:val="000000"/>
          <w:sz w:val="24"/>
          <w:szCs w:val="24"/>
        </w:rPr>
        <w:t xml:space="preserve">, de conformidad con el artículo 3, fracción XI de la Ley de la materia, el cual dispone lo siguiente: </w:t>
      </w:r>
    </w:p>
    <w:p w14:paraId="0FA9D500" w14:textId="77777777" w:rsidR="00AC142E" w:rsidRPr="00BA779A" w:rsidRDefault="00875853">
      <w:pPr>
        <w:spacing w:line="360" w:lineRule="auto"/>
        <w:ind w:left="567" w:right="567"/>
        <w:jc w:val="both"/>
        <w:rPr>
          <w:rFonts w:ascii="Palatino Linotype" w:eastAsia="Palatino Linotype" w:hAnsi="Palatino Linotype" w:cs="Palatino Linotype"/>
          <w:i/>
          <w:color w:val="000000"/>
        </w:rPr>
      </w:pPr>
      <w:r w:rsidRPr="00BA779A">
        <w:rPr>
          <w:rFonts w:ascii="Palatino Linotype" w:eastAsia="Palatino Linotype" w:hAnsi="Palatino Linotype" w:cs="Palatino Linotype"/>
          <w:i/>
          <w:color w:val="000000"/>
        </w:rPr>
        <w:t>“</w:t>
      </w:r>
      <w:r w:rsidRPr="00BA779A">
        <w:rPr>
          <w:rFonts w:ascii="Palatino Linotype" w:eastAsia="Palatino Linotype" w:hAnsi="Palatino Linotype" w:cs="Palatino Linotype"/>
          <w:b/>
          <w:i/>
          <w:color w:val="000000"/>
        </w:rPr>
        <w:t xml:space="preserve">Artículo 3. </w:t>
      </w:r>
      <w:r w:rsidRPr="00BA779A">
        <w:rPr>
          <w:rFonts w:ascii="Palatino Linotype" w:eastAsia="Palatino Linotype" w:hAnsi="Palatino Linotype" w:cs="Palatino Linotype"/>
          <w:i/>
          <w:color w:val="000000"/>
        </w:rPr>
        <w:t>Para los efectos de la presente Ley se entenderá por:</w:t>
      </w:r>
    </w:p>
    <w:p w14:paraId="015D203E" w14:textId="77777777" w:rsidR="00AC142E" w:rsidRPr="00BA779A" w:rsidRDefault="00875853">
      <w:pPr>
        <w:spacing w:line="360" w:lineRule="auto"/>
        <w:ind w:left="567" w:right="567"/>
        <w:jc w:val="both"/>
        <w:rPr>
          <w:rFonts w:ascii="Palatino Linotype" w:eastAsia="Palatino Linotype" w:hAnsi="Palatino Linotype" w:cs="Palatino Linotype"/>
          <w:i/>
          <w:color w:val="000000"/>
        </w:rPr>
      </w:pPr>
      <w:r w:rsidRPr="00BA779A">
        <w:rPr>
          <w:rFonts w:ascii="Palatino Linotype" w:eastAsia="Palatino Linotype" w:hAnsi="Palatino Linotype" w:cs="Palatino Linotype"/>
          <w:i/>
          <w:color w:val="000000"/>
        </w:rPr>
        <w:lastRenderedPageBreak/>
        <w:t>(…)</w:t>
      </w:r>
    </w:p>
    <w:p w14:paraId="6CAAA9B0" w14:textId="77777777" w:rsidR="00AC142E" w:rsidRPr="00BA779A" w:rsidRDefault="00875853">
      <w:pPr>
        <w:spacing w:line="360" w:lineRule="auto"/>
        <w:ind w:left="567" w:right="567"/>
        <w:jc w:val="both"/>
        <w:rPr>
          <w:rFonts w:ascii="Palatino Linotype" w:eastAsia="Palatino Linotype" w:hAnsi="Palatino Linotype" w:cs="Palatino Linotype"/>
          <w:i/>
          <w:color w:val="000000"/>
        </w:rPr>
      </w:pPr>
      <w:r w:rsidRPr="00BA779A">
        <w:rPr>
          <w:rFonts w:ascii="Palatino Linotype" w:eastAsia="Palatino Linotype" w:hAnsi="Palatino Linotype" w:cs="Palatino Linotype"/>
          <w:b/>
          <w:i/>
          <w:color w:val="000000"/>
        </w:rPr>
        <w:t>XI. Documento:</w:t>
      </w:r>
      <w:r w:rsidRPr="00BA779A">
        <w:rPr>
          <w:rFonts w:ascii="Palatino Linotype" w:eastAsia="Palatino Linotype" w:hAnsi="Palatino Linotype" w:cs="Palatino Linotype"/>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A3CA37F" w14:textId="77777777" w:rsidR="00AC142E" w:rsidRPr="00BA779A" w:rsidRDefault="00875853">
      <w:pPr>
        <w:spacing w:before="240" w:line="360" w:lineRule="auto"/>
        <w:ind w:left="567" w:right="567"/>
        <w:jc w:val="both"/>
        <w:rPr>
          <w:rFonts w:ascii="Palatino Linotype" w:eastAsia="Palatino Linotype" w:hAnsi="Palatino Linotype" w:cs="Palatino Linotype"/>
          <w:i/>
          <w:color w:val="000000"/>
        </w:rPr>
      </w:pPr>
      <w:r w:rsidRPr="00BA779A">
        <w:rPr>
          <w:rFonts w:ascii="Palatino Linotype" w:eastAsia="Palatino Linotype" w:hAnsi="Palatino Linotype" w:cs="Palatino Linotype"/>
          <w:i/>
          <w:color w:val="000000"/>
        </w:rPr>
        <w:t>(…)”</w:t>
      </w:r>
    </w:p>
    <w:p w14:paraId="33592D5B"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F2DDD50" w14:textId="77777777" w:rsidR="00AC142E" w:rsidRPr="00BA779A" w:rsidRDefault="00875853">
      <w:pPr>
        <w:spacing w:line="360" w:lineRule="auto"/>
        <w:ind w:left="567" w:right="567"/>
        <w:jc w:val="both"/>
        <w:rPr>
          <w:rFonts w:ascii="Palatino Linotype" w:eastAsia="Palatino Linotype" w:hAnsi="Palatino Linotype" w:cs="Palatino Linotype"/>
          <w:b/>
          <w:i/>
        </w:rPr>
      </w:pPr>
      <w:r w:rsidRPr="00BA779A">
        <w:rPr>
          <w:rFonts w:ascii="Palatino Linotype" w:eastAsia="Palatino Linotype" w:hAnsi="Palatino Linotype" w:cs="Palatino Linotype"/>
          <w:b/>
        </w:rPr>
        <w:t>“</w:t>
      </w:r>
      <w:r w:rsidRPr="00BA779A">
        <w:rPr>
          <w:rFonts w:ascii="Palatino Linotype" w:eastAsia="Palatino Linotype" w:hAnsi="Palatino Linotype" w:cs="Palatino Linotype"/>
          <w:b/>
          <w:i/>
        </w:rPr>
        <w:t>CRITERIO 0002-11</w:t>
      </w:r>
    </w:p>
    <w:p w14:paraId="1D903D6D" w14:textId="77777777" w:rsidR="00AC142E" w:rsidRPr="00BA779A" w:rsidRDefault="00875853">
      <w:pPr>
        <w:spacing w:before="240" w:line="360" w:lineRule="auto"/>
        <w:ind w:left="567" w:right="567"/>
        <w:jc w:val="both"/>
        <w:rPr>
          <w:rFonts w:ascii="Palatino Linotype" w:eastAsia="Palatino Linotype" w:hAnsi="Palatino Linotype" w:cs="Palatino Linotype"/>
          <w:i/>
        </w:rPr>
      </w:pPr>
      <w:r w:rsidRPr="00BA779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BA779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913FB6" w14:textId="77777777" w:rsidR="00AC142E" w:rsidRPr="00BA779A" w:rsidRDefault="00875853">
      <w:pPr>
        <w:spacing w:line="360" w:lineRule="auto"/>
        <w:ind w:left="567" w:right="567"/>
        <w:jc w:val="both"/>
        <w:rPr>
          <w:rFonts w:ascii="Palatino Linotype" w:eastAsia="Palatino Linotype" w:hAnsi="Palatino Linotype" w:cs="Palatino Linotype"/>
          <w:i/>
        </w:rPr>
      </w:pPr>
      <w:r w:rsidRPr="00BA779A">
        <w:rPr>
          <w:rFonts w:ascii="Palatino Linotype" w:eastAsia="Palatino Linotype" w:hAnsi="Palatino Linotype" w:cs="Palatino Linotype"/>
          <w:i/>
        </w:rPr>
        <w:lastRenderedPageBreak/>
        <w:t>En consecuencia el acceso a la información se refiere a que se cumplan cualquiera de los siguientes tres supuestos:</w:t>
      </w:r>
    </w:p>
    <w:p w14:paraId="7C45FD09" w14:textId="77777777" w:rsidR="00AC142E" w:rsidRPr="00BA779A" w:rsidRDefault="00875853">
      <w:pPr>
        <w:spacing w:line="360" w:lineRule="auto"/>
        <w:ind w:left="567" w:right="567"/>
        <w:jc w:val="both"/>
        <w:rPr>
          <w:rFonts w:ascii="Palatino Linotype" w:eastAsia="Palatino Linotype" w:hAnsi="Palatino Linotype" w:cs="Palatino Linotype"/>
          <w:b/>
          <w:i/>
        </w:rPr>
      </w:pPr>
      <w:r w:rsidRPr="00BA779A">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24092CE5" w14:textId="77777777" w:rsidR="00AC142E" w:rsidRPr="00BA779A" w:rsidRDefault="00875853">
      <w:pPr>
        <w:spacing w:line="360" w:lineRule="auto"/>
        <w:ind w:left="567" w:right="567"/>
        <w:jc w:val="both"/>
        <w:rPr>
          <w:rFonts w:ascii="Palatino Linotype" w:eastAsia="Palatino Linotype" w:hAnsi="Palatino Linotype" w:cs="Palatino Linotype"/>
          <w:i/>
        </w:rPr>
      </w:pPr>
      <w:r w:rsidRPr="00BA779A">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0F0C12F4" w14:textId="77777777" w:rsidR="00AC142E" w:rsidRPr="00BA779A" w:rsidRDefault="00875853">
      <w:pPr>
        <w:spacing w:line="360" w:lineRule="auto"/>
        <w:ind w:left="567" w:right="567"/>
        <w:jc w:val="both"/>
        <w:rPr>
          <w:rFonts w:ascii="Palatino Linotype" w:eastAsia="Palatino Linotype" w:hAnsi="Palatino Linotype" w:cs="Palatino Linotype"/>
          <w:i/>
        </w:rPr>
      </w:pPr>
      <w:r w:rsidRPr="00BA779A">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 (SIC)</w:t>
      </w:r>
    </w:p>
    <w:p w14:paraId="5D3FD23C" w14:textId="77777777" w:rsidR="00AC142E" w:rsidRPr="00BA779A" w:rsidRDefault="00875853">
      <w:pPr>
        <w:tabs>
          <w:tab w:val="left" w:pos="851"/>
        </w:tabs>
        <w:spacing w:before="240" w:line="360" w:lineRule="auto"/>
        <w:ind w:left="567" w:right="567"/>
        <w:jc w:val="right"/>
        <w:rPr>
          <w:rFonts w:ascii="Palatino Linotype" w:eastAsia="Palatino Linotype" w:hAnsi="Palatino Linotype" w:cs="Palatino Linotype"/>
          <w:i/>
          <w:sz w:val="20"/>
          <w:szCs w:val="20"/>
        </w:rPr>
      </w:pPr>
      <w:r w:rsidRPr="00BA779A">
        <w:rPr>
          <w:rFonts w:ascii="Palatino Linotype" w:eastAsia="Palatino Linotype" w:hAnsi="Palatino Linotype" w:cs="Palatino Linotype"/>
        </w:rPr>
        <w:tab/>
      </w:r>
      <w:r w:rsidRPr="00BA779A">
        <w:rPr>
          <w:rFonts w:ascii="Palatino Linotype" w:eastAsia="Palatino Linotype" w:hAnsi="Palatino Linotype" w:cs="Palatino Linotype"/>
          <w:i/>
          <w:sz w:val="20"/>
          <w:szCs w:val="20"/>
        </w:rPr>
        <w:t>(Énfasis Añadido)</w:t>
      </w:r>
    </w:p>
    <w:p w14:paraId="74713F74"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Bajo tales consideraciones, cobra aplicación lo establecido por el artículo 6 apartado A fracciones I, II y III de la Constitución Política de los Estados Unidos Mexicanos que a la letra señalan:</w:t>
      </w:r>
    </w:p>
    <w:p w14:paraId="379C486A" w14:textId="77777777" w:rsidR="00AC142E" w:rsidRPr="00BA779A" w:rsidRDefault="00875853">
      <w:pPr>
        <w:spacing w:before="240" w:line="360" w:lineRule="auto"/>
        <w:ind w:left="708" w:right="567"/>
        <w:jc w:val="both"/>
        <w:rPr>
          <w:rFonts w:ascii="Palatino Linotype" w:eastAsia="Palatino Linotype" w:hAnsi="Palatino Linotype" w:cs="Palatino Linotype"/>
          <w:i/>
        </w:rPr>
      </w:pPr>
      <w:r w:rsidRPr="00BA779A">
        <w:rPr>
          <w:rFonts w:ascii="Palatino Linotype" w:eastAsia="Palatino Linotype" w:hAnsi="Palatino Linotype" w:cs="Palatino Linotype"/>
          <w:i/>
        </w:rPr>
        <w:t>“Artículo 6o.</w:t>
      </w:r>
    </w:p>
    <w:p w14:paraId="0192ED58" w14:textId="77777777" w:rsidR="00AC142E" w:rsidRPr="00BA779A" w:rsidRDefault="00875853">
      <w:pPr>
        <w:spacing w:before="240" w:line="360" w:lineRule="auto"/>
        <w:ind w:left="708" w:right="567"/>
        <w:jc w:val="both"/>
        <w:rPr>
          <w:rFonts w:ascii="Palatino Linotype" w:eastAsia="Palatino Linotype" w:hAnsi="Palatino Linotype" w:cs="Palatino Linotype"/>
          <w:i/>
        </w:rPr>
      </w:pPr>
      <w:r w:rsidRPr="00BA779A">
        <w:rPr>
          <w:rFonts w:ascii="Palatino Linotype" w:eastAsia="Palatino Linotype" w:hAnsi="Palatino Linotype" w:cs="Palatino Linotype"/>
          <w:i/>
        </w:rPr>
        <w:t>[...]</w:t>
      </w:r>
    </w:p>
    <w:p w14:paraId="7CA7EC7B" w14:textId="77777777" w:rsidR="00AC142E" w:rsidRPr="00BA779A" w:rsidRDefault="00875853">
      <w:pPr>
        <w:spacing w:before="240" w:line="360" w:lineRule="auto"/>
        <w:ind w:left="708" w:right="567"/>
        <w:jc w:val="both"/>
        <w:rPr>
          <w:rFonts w:ascii="Palatino Linotype" w:eastAsia="Palatino Linotype" w:hAnsi="Palatino Linotype" w:cs="Palatino Linotype"/>
          <w:i/>
          <w:color w:val="000000"/>
        </w:rPr>
      </w:pPr>
      <w:r w:rsidRPr="00BA779A">
        <w:rPr>
          <w:rFonts w:ascii="Palatino Linotype" w:eastAsia="Palatino Linotype" w:hAnsi="Palatino Linotype" w:cs="Palatino Linotype"/>
          <w:i/>
          <w:color w:val="000000"/>
        </w:rPr>
        <w:t xml:space="preserve">A. </w:t>
      </w:r>
      <w:r w:rsidRPr="00BA779A">
        <w:rPr>
          <w:rFonts w:ascii="Palatino Linotype" w:eastAsia="Palatino Linotype" w:hAnsi="Palatino Linotype" w:cs="Palatino Linotype"/>
          <w:i/>
        </w:rPr>
        <w:t>Para el ejercicio del derecho de acceso a la información, la Federación y las entidades federativas, en el ámbito de sus respectivas competencias, se regirán por los siguientes principios y bases:</w:t>
      </w:r>
      <w:r w:rsidRPr="00BA779A">
        <w:rPr>
          <w:rFonts w:ascii="Palatino Linotype" w:eastAsia="Palatino Linotype" w:hAnsi="Palatino Linotype" w:cs="Palatino Linotype"/>
          <w:i/>
          <w:color w:val="000000"/>
        </w:rPr>
        <w:t> </w:t>
      </w:r>
    </w:p>
    <w:p w14:paraId="51282EA2" w14:textId="77777777" w:rsidR="00AC142E" w:rsidRPr="00BA779A" w:rsidRDefault="00875853">
      <w:pPr>
        <w:spacing w:before="240" w:line="360" w:lineRule="auto"/>
        <w:ind w:left="708" w:right="567"/>
        <w:jc w:val="both"/>
        <w:rPr>
          <w:rFonts w:ascii="Palatino Linotype" w:eastAsia="Palatino Linotype" w:hAnsi="Palatino Linotype" w:cs="Palatino Linotype"/>
          <w:i/>
          <w:color w:val="000000"/>
        </w:rPr>
      </w:pPr>
      <w:r w:rsidRPr="00BA779A">
        <w:rPr>
          <w:rFonts w:ascii="Palatino Linotype" w:eastAsia="Palatino Linotype" w:hAnsi="Palatino Linotype" w:cs="Palatino Linotype"/>
          <w:i/>
          <w:color w:val="00000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w:t>
      </w:r>
      <w:r w:rsidRPr="00BA779A">
        <w:rPr>
          <w:rFonts w:ascii="Palatino Linotype" w:eastAsia="Palatino Linotype" w:hAnsi="Palatino Linotype" w:cs="Palatino Linotype"/>
          <w:i/>
          <w:color w:val="000000"/>
        </w:rPr>
        <w:lastRenderedPageBreak/>
        <w:t>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0D91DD4A"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2FE30A98"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Lo anterior se concatena con lo establecido en los artículos 4 y 12 de la Ley de Transparencia y Acceso a la Información Pública del Estado de México y Municipios, los cuales esgrimen: </w:t>
      </w:r>
    </w:p>
    <w:p w14:paraId="341A313A" w14:textId="77777777" w:rsidR="00AC142E" w:rsidRPr="00BA779A" w:rsidRDefault="00875853">
      <w:pPr>
        <w:spacing w:before="240" w:line="360" w:lineRule="auto"/>
        <w:ind w:left="567" w:right="567"/>
        <w:jc w:val="both"/>
        <w:rPr>
          <w:rFonts w:ascii="Palatino Linotype" w:eastAsia="Palatino Linotype" w:hAnsi="Palatino Linotype" w:cs="Palatino Linotype"/>
          <w:i/>
        </w:rPr>
      </w:pPr>
      <w:r w:rsidRPr="00BA779A">
        <w:rPr>
          <w:rFonts w:ascii="Palatino Linotype" w:eastAsia="Palatino Linotype" w:hAnsi="Palatino Linotype" w:cs="Palatino Linotype"/>
          <w:b/>
          <w:i/>
        </w:rPr>
        <w:t>Artículo 4.</w:t>
      </w:r>
      <w:r w:rsidRPr="00BA779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BDF46E6" w14:textId="77777777" w:rsidR="00AC142E" w:rsidRPr="00BA779A" w:rsidRDefault="00875853">
      <w:pPr>
        <w:spacing w:before="240" w:line="360" w:lineRule="auto"/>
        <w:ind w:left="567" w:right="567"/>
        <w:jc w:val="both"/>
        <w:rPr>
          <w:rFonts w:ascii="Palatino Linotype" w:eastAsia="Palatino Linotype" w:hAnsi="Palatino Linotype" w:cs="Palatino Linotype"/>
          <w:i/>
        </w:rPr>
      </w:pPr>
      <w:r w:rsidRPr="00BA779A">
        <w:rPr>
          <w:rFonts w:ascii="Palatino Linotype" w:eastAsia="Palatino Linotype" w:hAnsi="Palatino Linotype" w:cs="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BA779A">
        <w:rPr>
          <w:rFonts w:ascii="Palatino Linotype" w:eastAsia="Palatino Linotype" w:hAnsi="Palatino Linotype" w:cs="Palatino Linotype"/>
          <w:i/>
          <w:u w:val="single"/>
        </w:rPr>
        <w:t>.</w:t>
      </w:r>
      <w:r w:rsidRPr="00BA779A">
        <w:rPr>
          <w:rFonts w:ascii="Palatino Linotype" w:eastAsia="Palatino Linotype" w:hAnsi="Palatino Linotype" w:cs="Palatino Linotype"/>
          <w:i/>
        </w:rPr>
        <w:t xml:space="preserve"> Solo podrá ser clasificada excepcionalmente como reservada temporalmente por razones de interés público, en los términos de las causas legítimas y estrictamente necesarias previstas por esta Ley.</w:t>
      </w:r>
    </w:p>
    <w:p w14:paraId="6FAFD4AC" w14:textId="77777777" w:rsidR="00AC142E" w:rsidRPr="00BA779A" w:rsidRDefault="00875853">
      <w:pPr>
        <w:spacing w:before="240" w:line="360" w:lineRule="auto"/>
        <w:ind w:left="567" w:right="567"/>
        <w:jc w:val="both"/>
        <w:rPr>
          <w:rFonts w:ascii="Palatino Linotype" w:eastAsia="Palatino Linotype" w:hAnsi="Palatino Linotype" w:cs="Palatino Linotype"/>
          <w:i/>
        </w:rPr>
      </w:pPr>
      <w:r w:rsidRPr="00BA779A">
        <w:rPr>
          <w:rFonts w:ascii="Palatino Linotype" w:eastAsia="Palatino Linotype" w:hAnsi="Palatino Linotype" w:cs="Palatino Linotype"/>
          <w:i/>
        </w:rPr>
        <w:lastRenderedPageBreak/>
        <w:t>[…]</w:t>
      </w:r>
    </w:p>
    <w:p w14:paraId="477EB2B6" w14:textId="77777777" w:rsidR="00AC142E" w:rsidRPr="00BA779A" w:rsidRDefault="00875853">
      <w:pPr>
        <w:spacing w:before="240" w:line="360" w:lineRule="auto"/>
        <w:ind w:left="567" w:right="567"/>
        <w:jc w:val="both"/>
        <w:rPr>
          <w:rFonts w:ascii="Palatino Linotype" w:eastAsia="Palatino Linotype" w:hAnsi="Palatino Linotype" w:cs="Palatino Linotype"/>
          <w:i/>
        </w:rPr>
      </w:pPr>
      <w:r w:rsidRPr="00BA779A">
        <w:rPr>
          <w:rFonts w:ascii="Palatino Linotype" w:eastAsia="Palatino Linotype" w:hAnsi="Palatino Linotype" w:cs="Palatino Linotype"/>
          <w:b/>
          <w:i/>
        </w:rPr>
        <w:t>Artículo 12.</w:t>
      </w:r>
      <w:r w:rsidRPr="00BA779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w:t>
      </w:r>
    </w:p>
    <w:p w14:paraId="629ABD11" w14:textId="77777777" w:rsidR="00AC142E" w:rsidRPr="00BA779A" w:rsidRDefault="00875853">
      <w:pPr>
        <w:spacing w:before="240" w:line="360" w:lineRule="auto"/>
        <w:ind w:left="567" w:right="567"/>
        <w:jc w:val="both"/>
        <w:rPr>
          <w:rFonts w:ascii="Palatino Linotype" w:eastAsia="Palatino Linotype" w:hAnsi="Palatino Linotype" w:cs="Palatino Linotype"/>
          <w:b/>
          <w:i/>
          <w:u w:val="single"/>
        </w:rPr>
      </w:pPr>
      <w:r w:rsidRPr="00BA779A">
        <w:rPr>
          <w:rFonts w:ascii="Palatino Linotype" w:eastAsia="Palatino Linotype" w:hAnsi="Palatino Linotype" w:cs="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55423EB"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67F2DA0A" w14:textId="77777777" w:rsidR="00AC142E" w:rsidRPr="00BA779A" w:rsidRDefault="00875853">
      <w:pPr>
        <w:tabs>
          <w:tab w:val="left" w:pos="709"/>
        </w:tabs>
        <w:spacing w:before="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Luego entonces, es menester recordar que el particular tuvo a bien solicitar lo siguiente:</w:t>
      </w:r>
    </w:p>
    <w:p w14:paraId="6AA3B282" w14:textId="77777777" w:rsidR="00AC142E" w:rsidRPr="00BA779A" w:rsidRDefault="00875853">
      <w:pPr>
        <w:spacing w:before="240" w:after="240" w:line="360" w:lineRule="auto"/>
        <w:ind w:left="708"/>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“Atentamente solicito los documentos por virtud de los cuales se acredita la propiedad o posesión de los inmuebles señalados en el archivo adjunto. De igual manera los antecedentes de dichos inmuebles, es decir y por ejemplo si fueron o son propiedad del Ayuntamiento de Tecámac y los </w:t>
      </w:r>
      <w:r w:rsidRPr="00BA779A">
        <w:rPr>
          <w:rFonts w:ascii="Palatino Linotype" w:eastAsia="Palatino Linotype" w:hAnsi="Palatino Linotype" w:cs="Palatino Linotype"/>
          <w:i/>
        </w:rPr>
        <w:lastRenderedPageBreak/>
        <w:t xml:space="preserve">donó, están en comodato u otra figura jurídica al Gobierno del Estado de México o por ejemplo si son resultado de una </w:t>
      </w:r>
      <w:proofErr w:type="spellStart"/>
      <w:r w:rsidRPr="00BA779A">
        <w:rPr>
          <w:rFonts w:ascii="Palatino Linotype" w:eastAsia="Palatino Linotype" w:hAnsi="Palatino Linotype" w:cs="Palatino Linotype"/>
          <w:i/>
        </w:rPr>
        <w:t>subdivisón</w:t>
      </w:r>
      <w:proofErr w:type="spellEnd"/>
      <w:r w:rsidRPr="00BA779A">
        <w:rPr>
          <w:rFonts w:ascii="Palatino Linotype" w:eastAsia="Palatino Linotype" w:hAnsi="Palatino Linotype" w:cs="Palatino Linotype"/>
          <w:i/>
        </w:rPr>
        <w:t>.” [Sic]</w:t>
      </w:r>
    </w:p>
    <w:p w14:paraId="25040F41" w14:textId="77777777" w:rsidR="00AC142E" w:rsidRPr="00BA779A" w:rsidRDefault="00875853">
      <w:pPr>
        <w:spacing w:before="240" w:after="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Por su parte, el sujeto obligado emitió respuesta mediante dos archivos electrónicos los cuales son del tenor siguiente:</w:t>
      </w:r>
    </w:p>
    <w:p w14:paraId="27C9E4EA" w14:textId="77777777" w:rsidR="00AC142E" w:rsidRPr="00BA779A" w:rsidRDefault="00875853">
      <w:pPr>
        <w:spacing w:before="240" w:after="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i/>
          <w:sz w:val="24"/>
          <w:szCs w:val="24"/>
        </w:rPr>
        <w:t xml:space="preserve">Acta Decima Segunda </w:t>
      </w:r>
      <w:proofErr w:type="spellStart"/>
      <w:r w:rsidRPr="00BA779A">
        <w:rPr>
          <w:rFonts w:ascii="Palatino Linotype" w:eastAsia="Palatino Linotype" w:hAnsi="Palatino Linotype" w:cs="Palatino Linotype"/>
          <w:i/>
          <w:sz w:val="24"/>
          <w:szCs w:val="24"/>
        </w:rPr>
        <w:t>Sesion</w:t>
      </w:r>
      <w:proofErr w:type="spellEnd"/>
      <w:r w:rsidRPr="00BA779A">
        <w:rPr>
          <w:rFonts w:ascii="Palatino Linotype" w:eastAsia="Palatino Linotype" w:hAnsi="Palatino Linotype" w:cs="Palatino Linotype"/>
          <w:i/>
          <w:sz w:val="24"/>
          <w:szCs w:val="24"/>
        </w:rPr>
        <w:t xml:space="preserve"> Extraordinaria.PDF: </w:t>
      </w:r>
      <w:r w:rsidRPr="00BA779A">
        <w:rPr>
          <w:rFonts w:ascii="Palatino Linotype" w:eastAsia="Palatino Linotype" w:hAnsi="Palatino Linotype" w:cs="Palatino Linotype"/>
          <w:sz w:val="24"/>
          <w:szCs w:val="24"/>
        </w:rPr>
        <w:t xml:space="preserve">acta de la décimo segunda sesión extraordinaria, mediante el cual se clasifica como reservada la información solicitada ya que la misma deriva de 25 expedientes de procedimientos administrativos de regularización de tenencia de la tierra vía escrituración a favor de particulares. </w:t>
      </w:r>
    </w:p>
    <w:p w14:paraId="075FB69C" w14:textId="77777777" w:rsidR="00AC142E" w:rsidRPr="00BA779A" w:rsidRDefault="00875853">
      <w:pPr>
        <w:spacing w:before="240" w:after="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i/>
          <w:sz w:val="24"/>
          <w:szCs w:val="24"/>
        </w:rPr>
        <w:t xml:space="preserve">RESPUESTA_UT_SOLICITUD_0067.PDF: </w:t>
      </w:r>
      <w:r w:rsidRPr="00BA779A">
        <w:rPr>
          <w:rFonts w:ascii="Palatino Linotype" w:eastAsia="Palatino Linotype" w:hAnsi="Palatino Linotype" w:cs="Palatino Linotype"/>
          <w:sz w:val="24"/>
          <w:szCs w:val="24"/>
        </w:rPr>
        <w:t xml:space="preserve">oficio mediante el cual se alude que se localizaron 25 expedientes de procedimientos de regularización de tenencia de la tierra vía escrituración notarial. </w:t>
      </w:r>
    </w:p>
    <w:p w14:paraId="7DED2ABA" w14:textId="77777777" w:rsidR="00AC142E" w:rsidRPr="00BA779A" w:rsidRDefault="00875853">
      <w:pPr>
        <w:spacing w:before="240" w:after="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Ante tal circunstancia, la hoy parte recurrente aludió como razones o motivos de inconformidad </w:t>
      </w:r>
      <w:r w:rsidRPr="00BA779A">
        <w:rPr>
          <w:rFonts w:ascii="Palatino Linotype" w:eastAsia="Palatino Linotype" w:hAnsi="Palatino Linotype" w:cs="Palatino Linotype"/>
          <w:i/>
          <w:sz w:val="24"/>
          <w:szCs w:val="24"/>
        </w:rPr>
        <w:t xml:space="preserve">“Los documentos que derivan de mi solicitud tienen existencia desde el año 1986 y 1991. La clasificación de la información la justifica el sujeto obligado aduciendo a la existencia de datos personales en 25 procedimientos administrativos y además que los documentos que derivan de mi solicitud forman parte de dichos procesos. Sin embargo, este recurrente no está solicitando los expedientes de esos 25 procedimientos administrativos, ni copias certificadas de los documentos, únicamente solicito el expediente de autorización de la subdivisión del inmueble en cuestión y el documento con el que se acredita la propiedad por parte del Gobierno del Estado. Documentos que como ya se mencionó existen desde las décadas de los ochentas y noventas. Aunado a lo anterior, el Sujeto Obligado también clasifica la información argumentando el "uso de dicha información podría obstruir, afectar o vulnerar", </w:t>
      </w:r>
      <w:r w:rsidRPr="00BA779A">
        <w:rPr>
          <w:rFonts w:ascii="Palatino Linotype" w:eastAsia="Palatino Linotype" w:hAnsi="Palatino Linotype" w:cs="Palatino Linotype"/>
          <w:i/>
          <w:sz w:val="24"/>
          <w:szCs w:val="24"/>
        </w:rPr>
        <w:lastRenderedPageBreak/>
        <w:t>lo cual cae en subjetividades y suposiciones que vulneran el derecho humano al libre acceso de la información.</w:t>
      </w:r>
      <w:r w:rsidRPr="00BA779A">
        <w:rPr>
          <w:rFonts w:ascii="Palatino Linotype" w:eastAsia="Palatino Linotype" w:hAnsi="Palatino Linotype" w:cs="Palatino Linotype"/>
          <w:sz w:val="24"/>
          <w:szCs w:val="24"/>
        </w:rPr>
        <w:t>”</w:t>
      </w:r>
    </w:p>
    <w:p w14:paraId="0E8D1A48" w14:textId="77777777" w:rsidR="00AC142E" w:rsidRPr="00BA779A" w:rsidRDefault="00875853">
      <w:pPr>
        <w:spacing w:before="240" w:after="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Luego así, mediante informe justificado el sujeto obligado confirmo su respuesta</w:t>
      </w:r>
      <w:proofErr w:type="gramStart"/>
      <w:r w:rsidRPr="00BA779A">
        <w:rPr>
          <w:rFonts w:ascii="Palatino Linotype" w:eastAsia="Palatino Linotype" w:hAnsi="Palatino Linotype" w:cs="Palatino Linotype"/>
          <w:sz w:val="24"/>
          <w:szCs w:val="24"/>
        </w:rPr>
        <w:t>, ,</w:t>
      </w:r>
      <w:proofErr w:type="gramEnd"/>
      <w:r w:rsidRPr="00BA779A">
        <w:rPr>
          <w:rFonts w:ascii="Palatino Linotype" w:eastAsia="Palatino Linotype" w:hAnsi="Palatino Linotype" w:cs="Palatino Linotype"/>
          <w:sz w:val="24"/>
          <w:szCs w:val="24"/>
        </w:rPr>
        <w:t xml:space="preserve"> aludiendo la prueba de daño correspondiente a la clasificación de la información con carácter de reservado respecto de los 25 expedientes de procedimientos administrativos localizados. </w:t>
      </w:r>
    </w:p>
    <w:p w14:paraId="5636079C" w14:textId="77777777" w:rsidR="00AC142E" w:rsidRPr="00BA779A" w:rsidRDefault="00875853">
      <w:pPr>
        <w:spacing w:before="240" w:after="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Luego así, la parte solicitante en sus alegatos señalo que, “Visto el contenido de los archivos presentados por el Sujeto Obligado y con fundamento en el artículo 16 de la ley en la materia que a la letra dice “ El ejercicio del derecho de acceso a la información no estará condicionado a que el solicitante acredite interés alguno o justifique su utilización, ni podrá condicionarse el mismo por motivos de discapacidad”, este </w:t>
      </w:r>
      <w:proofErr w:type="spellStart"/>
      <w:r w:rsidRPr="00BA779A">
        <w:rPr>
          <w:rFonts w:ascii="Palatino Linotype" w:eastAsia="Palatino Linotype" w:hAnsi="Palatino Linotype" w:cs="Palatino Linotype"/>
          <w:sz w:val="24"/>
          <w:szCs w:val="24"/>
        </w:rPr>
        <w:t>recuerrente</w:t>
      </w:r>
      <w:proofErr w:type="spellEnd"/>
      <w:r w:rsidRPr="00BA779A">
        <w:rPr>
          <w:rFonts w:ascii="Palatino Linotype" w:eastAsia="Palatino Linotype" w:hAnsi="Palatino Linotype" w:cs="Palatino Linotype"/>
          <w:sz w:val="24"/>
          <w:szCs w:val="24"/>
        </w:rPr>
        <w:t xml:space="preserve"> manifiesta su inconformidad a la respuesta del Sujeto Obligado. Ratifico lo expuesto en mis razones o motivos de la inconformidad.” [Sic.]</w:t>
      </w:r>
    </w:p>
    <w:p w14:paraId="71CEC223" w14:textId="77777777" w:rsidR="00AC142E" w:rsidRPr="00BA779A" w:rsidRDefault="00875853">
      <w:pPr>
        <w:tabs>
          <w:tab w:val="left" w:pos="709"/>
        </w:tabs>
        <w:spacing w:before="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Así entonces, tenemos que la materia de estudio del presente asunto que nos ocupa versa sobre la clasificación de la información como reservada.</w:t>
      </w:r>
    </w:p>
    <w:p w14:paraId="23FAAA15" w14:textId="77777777" w:rsidR="00AC142E" w:rsidRPr="00BA779A" w:rsidRDefault="00875853">
      <w:pPr>
        <w:tabs>
          <w:tab w:val="left" w:pos="709"/>
        </w:tabs>
        <w:spacing w:before="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Ante tal circunstancia, tenemos que el acuerdo de clasificación remitido por el sujeto obligado no cumple con las formalidades que la normatividad establece para emitirlo, ello, toda vez que se trata de información con carácter de reservado, se tiene que realizar una prueba de daño para perder emitir el acuerdo de clasificación en donde se funde y motive el porque no puede ser entregada la información.</w:t>
      </w:r>
    </w:p>
    <w:p w14:paraId="625BBAB9" w14:textId="77777777" w:rsidR="00AC142E" w:rsidRPr="00BA779A" w:rsidRDefault="00875853">
      <w:pPr>
        <w:tabs>
          <w:tab w:val="left" w:pos="709"/>
        </w:tabs>
        <w:spacing w:before="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Así entonces, mediante informe justificado, se confirmo la respuesta primigenia desarrollando para tales efectos los elementos de la clasificación, esto es, la prueba de </w:t>
      </w:r>
      <w:r w:rsidRPr="00BA779A">
        <w:rPr>
          <w:rFonts w:ascii="Palatino Linotype" w:eastAsia="Palatino Linotype" w:hAnsi="Palatino Linotype" w:cs="Palatino Linotype"/>
          <w:sz w:val="24"/>
          <w:szCs w:val="24"/>
        </w:rPr>
        <w:lastRenderedPageBreak/>
        <w:t>daño que establece el numeral 129 de la Ley de Transparencia Local, así como los diversos 128, 130, 131, 133 y 134 de la misma Ley.</w:t>
      </w:r>
    </w:p>
    <w:p w14:paraId="741735E7"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Artículo 128.</w:t>
      </w:r>
      <w:r w:rsidRPr="00BA779A">
        <w:rPr>
          <w:rFonts w:ascii="Palatino Linotype" w:eastAsia="Palatino Linotype" w:hAnsi="Palatino Linotype" w:cs="Palatino Linotype"/>
          <w:i/>
        </w:rPr>
        <w:t xml:space="preserve"> En los casos en que se niegue el acceso a la información, por actualizarse alguno de los supuestos de clasificación, </w:t>
      </w:r>
      <w:r w:rsidRPr="00BA779A">
        <w:rPr>
          <w:rFonts w:ascii="Palatino Linotype" w:eastAsia="Palatino Linotype" w:hAnsi="Palatino Linotype" w:cs="Palatino Linotype"/>
          <w:i/>
          <w:u w:val="single"/>
        </w:rPr>
        <w:t>el Comité de Transparencia deberá confirmar, modificar o revocar la decisión</w:t>
      </w:r>
      <w:r w:rsidRPr="00BA779A">
        <w:rPr>
          <w:rFonts w:ascii="Palatino Linotype" w:eastAsia="Palatino Linotype" w:hAnsi="Palatino Linotype" w:cs="Palatino Linotype"/>
          <w:i/>
        </w:rPr>
        <w:t xml:space="preserve">. </w:t>
      </w:r>
    </w:p>
    <w:p w14:paraId="397BD1EF"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5E3190C5"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Tratándose de aquélla información que actualice los supuestos de clasificación, deberá señalarse el plazo al que estará sujeto la reserva. </w:t>
      </w:r>
    </w:p>
    <w:p w14:paraId="2E8BB254"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Artículo 129.</w:t>
      </w:r>
      <w:r w:rsidRPr="00BA779A">
        <w:rPr>
          <w:rFonts w:ascii="Palatino Linotype" w:eastAsia="Palatino Linotype" w:hAnsi="Palatino Linotype" w:cs="Palatino Linotype"/>
          <w:i/>
        </w:rPr>
        <w:t xml:space="preserve"> </w:t>
      </w:r>
      <w:r w:rsidRPr="00BA779A">
        <w:rPr>
          <w:rFonts w:ascii="Palatino Linotype" w:eastAsia="Palatino Linotype" w:hAnsi="Palatino Linotype" w:cs="Palatino Linotype"/>
          <w:i/>
          <w:u w:val="single"/>
        </w:rPr>
        <w:t>En la aplicación de la prueba de daño</w:t>
      </w:r>
      <w:r w:rsidRPr="00BA779A">
        <w:rPr>
          <w:rFonts w:ascii="Palatino Linotype" w:eastAsia="Palatino Linotype" w:hAnsi="Palatino Linotype" w:cs="Palatino Linotype"/>
          <w:i/>
        </w:rPr>
        <w:t xml:space="preserve">, el sujeto obligado deberá precisar las razones objetivas por las que la apertura de la información generaría una afectación, justificando que: </w:t>
      </w:r>
    </w:p>
    <w:p w14:paraId="40451569"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u w:val="single"/>
        </w:rPr>
      </w:pPr>
      <w:r w:rsidRPr="00BA779A">
        <w:rPr>
          <w:rFonts w:ascii="Palatino Linotype" w:eastAsia="Palatino Linotype" w:hAnsi="Palatino Linotype" w:cs="Palatino Linotype"/>
          <w:b/>
          <w:i/>
        </w:rPr>
        <w:t>I.</w:t>
      </w:r>
      <w:r w:rsidRPr="00BA779A">
        <w:rPr>
          <w:rFonts w:ascii="Palatino Linotype" w:eastAsia="Palatino Linotype" w:hAnsi="Palatino Linotype" w:cs="Palatino Linotype"/>
          <w:i/>
        </w:rPr>
        <w:t xml:space="preserve"> </w:t>
      </w:r>
      <w:r w:rsidRPr="00BA779A">
        <w:rPr>
          <w:rFonts w:ascii="Palatino Linotype" w:eastAsia="Palatino Linotype" w:hAnsi="Palatino Linotype" w:cs="Palatino Linotype"/>
          <w:i/>
          <w:u w:val="single"/>
        </w:rPr>
        <w:t xml:space="preserve">La divulgación de la información representa un riesgo real, demostrable e identificable del perjuicio significativo al interés público o a la seguridad pública; </w:t>
      </w:r>
    </w:p>
    <w:p w14:paraId="35532F44"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u w:val="single"/>
        </w:rPr>
      </w:pPr>
      <w:r w:rsidRPr="00BA779A">
        <w:rPr>
          <w:rFonts w:ascii="Palatino Linotype" w:eastAsia="Palatino Linotype" w:hAnsi="Palatino Linotype" w:cs="Palatino Linotype"/>
          <w:b/>
          <w:i/>
          <w:u w:val="single"/>
        </w:rPr>
        <w:t>II.</w:t>
      </w:r>
      <w:r w:rsidRPr="00BA779A">
        <w:rPr>
          <w:rFonts w:ascii="Palatino Linotype" w:eastAsia="Palatino Linotype" w:hAnsi="Palatino Linotype" w:cs="Palatino Linotype"/>
          <w:i/>
          <w:u w:val="single"/>
        </w:rPr>
        <w:t xml:space="preserve"> El riesgo de perjuicio que supondría la divulgación supera el interés público general de que se difunda; y </w:t>
      </w:r>
    </w:p>
    <w:p w14:paraId="5349208A"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u w:val="single"/>
        </w:rPr>
        <w:t>III.</w:t>
      </w:r>
      <w:r w:rsidRPr="00BA779A">
        <w:rPr>
          <w:rFonts w:ascii="Palatino Linotype" w:eastAsia="Palatino Linotype" w:hAnsi="Palatino Linotype" w:cs="Palatino Linotype"/>
          <w:i/>
          <w:u w:val="single"/>
        </w:rPr>
        <w:t xml:space="preserve"> La limitación se adecua al principio de proporcionalidad y representa el medio menos restrictivo disponible representa el medio menos restrictivo disponible para evitar el perjuicio. </w:t>
      </w:r>
    </w:p>
    <w:p w14:paraId="377229FF"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lastRenderedPageBreak/>
        <w:t>Artículo 130.</w:t>
      </w:r>
      <w:r w:rsidRPr="00BA779A">
        <w:rPr>
          <w:rFonts w:ascii="Palatino Linotype" w:eastAsia="Palatino Linotype" w:hAnsi="Palatino Linotype" w:cs="Palatino Linotype"/>
          <w:i/>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14:paraId="31C1E9A3"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Artículo 131</w:t>
      </w:r>
      <w:r w:rsidRPr="00BA779A">
        <w:rPr>
          <w:rFonts w:ascii="Palatino Linotype" w:eastAsia="Palatino Linotype" w:hAnsi="Palatino Linotype" w:cs="Palatino Linotype"/>
          <w:i/>
        </w:rPr>
        <w:t xml:space="preserve">. </w:t>
      </w:r>
      <w:r w:rsidRPr="00BA779A">
        <w:rPr>
          <w:rFonts w:ascii="Palatino Linotype" w:eastAsia="Palatino Linotype" w:hAnsi="Palatino Linotype" w:cs="Palatino Linotype"/>
          <w:i/>
          <w:u w:val="single"/>
        </w:rPr>
        <w:t>La carga de la prueba para justificar toda negativa de acceso a la información, por actualizarse cualquiera de los supuestos de clasificación previstos en esta Ley corresponderá a los sujetos obligados</w:t>
      </w:r>
      <w:r w:rsidRPr="00BA779A">
        <w:rPr>
          <w:rFonts w:ascii="Palatino Linotype" w:eastAsia="Palatino Linotype" w:hAnsi="Palatino Linotype" w:cs="Palatino Linotype"/>
          <w:i/>
        </w:rPr>
        <w:t>; en tal caso deberá fundar y motivar debidamente la clasificación de la información, de conformidad con lo previsto en la presente Ley.</w:t>
      </w:r>
    </w:p>
    <w:p w14:paraId="772CEF6C"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Artículo 133.</w:t>
      </w:r>
      <w:r w:rsidRPr="00BA779A">
        <w:rPr>
          <w:rFonts w:ascii="Palatino Linotype" w:eastAsia="Palatino Linotype" w:hAnsi="Palatino Linotype" w:cs="Palatino Linotype"/>
          <w:i/>
        </w:rPr>
        <w:t xml:space="preserve"> Los documentos clasificados total o parcialmente deberán llevar una leyenda que indique tal carácter, la fecha de clasificación, el fundamento legal y, en su caso, el periodo de reserva. </w:t>
      </w:r>
    </w:p>
    <w:p w14:paraId="11EA00F1"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Artículo 134.</w:t>
      </w:r>
      <w:r w:rsidRPr="00BA779A">
        <w:rPr>
          <w:rFonts w:ascii="Palatino Linotype" w:eastAsia="Palatino Linotype" w:hAnsi="Palatino Linotype" w:cs="Palatino Linotype"/>
          <w:i/>
        </w:rPr>
        <w:t xml:space="preserve"> </w:t>
      </w:r>
      <w:r w:rsidRPr="00BA779A">
        <w:rPr>
          <w:rFonts w:ascii="Palatino Linotype" w:eastAsia="Palatino Linotype" w:hAnsi="Palatino Linotype" w:cs="Palatino Linotype"/>
          <w:i/>
          <w:u w:val="single"/>
        </w:rPr>
        <w:t>Los sujetos obligados no podrán emitir acuerdos de carácter general ni particular que clasifiquen documentos o información como reservada</w:t>
      </w:r>
      <w:r w:rsidRPr="00BA779A">
        <w:rPr>
          <w:rFonts w:ascii="Palatino Linotype" w:eastAsia="Palatino Linotype" w:hAnsi="Palatino Linotype" w:cs="Palatino Linotype"/>
          <w:i/>
        </w:rPr>
        <w:t>. La clasificación podrá establecerse de manera parcial o total de acuerdo al contenido de la información del documento y deberá estar acorde con la actualización de los supuestos definidos en el presente Título como información clasificada.</w:t>
      </w:r>
    </w:p>
    <w:p w14:paraId="5932D705" w14:textId="77777777" w:rsidR="00AC142E" w:rsidRPr="00BA779A" w:rsidRDefault="00875853">
      <w:pPr>
        <w:spacing w:before="240" w:after="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De los preceptos citados con anterioridad, podemos advertir que, en los casos en que se niegue el acceso a la información por actualizarse alguno de los supuestos de clasificación, se deberá generar una prueba de daño, en la cual, el sujeto obligado debió justificar que la divulgación de la información representa un riesgo real, demostrable e identificable. Que el riesgo de perjuicio que supondría la divulgación supera el interés público general y analizar si las limitaciones se adecuan al principio de </w:t>
      </w:r>
      <w:r w:rsidRPr="00BA779A">
        <w:rPr>
          <w:rFonts w:ascii="Palatino Linotype" w:eastAsia="Palatino Linotype" w:hAnsi="Palatino Linotype" w:cs="Palatino Linotype"/>
          <w:sz w:val="24"/>
          <w:szCs w:val="24"/>
        </w:rPr>
        <w:lastRenderedPageBreak/>
        <w:t>proporcionalidad o si representa el medio menos restrictivo disponible para evitar algún perjuicio.</w:t>
      </w:r>
    </w:p>
    <w:p w14:paraId="0E6FC0DF" w14:textId="77777777" w:rsidR="00AC142E" w:rsidRPr="00BA779A" w:rsidRDefault="00875853">
      <w:pPr>
        <w:spacing w:before="240" w:after="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Asimismo, se debe precisar, que la carga de la prueba para justificar cualquier negativa de información corresponde al sujeto obligado, siendo así, que deberá demostrar bajo una detallada fundamentación y motivación, las razones que lo llevaron a determinar que la información requerida por la a parte recurrente</w:t>
      </w:r>
      <w:r w:rsidRPr="00BA779A">
        <w:rPr>
          <w:rFonts w:ascii="Palatino Linotype" w:eastAsia="Palatino Linotype" w:hAnsi="Palatino Linotype" w:cs="Palatino Linotype"/>
          <w:b/>
          <w:sz w:val="24"/>
          <w:szCs w:val="24"/>
        </w:rPr>
        <w:t xml:space="preserve">, </w:t>
      </w:r>
      <w:r w:rsidRPr="00BA779A">
        <w:rPr>
          <w:rFonts w:ascii="Palatino Linotype" w:eastAsia="Palatino Linotype" w:hAnsi="Palatino Linotype" w:cs="Palatino Linotype"/>
          <w:sz w:val="24"/>
          <w:szCs w:val="24"/>
        </w:rPr>
        <w:t>encuadra en alguno de los supuestos</w:t>
      </w:r>
      <w:r w:rsidRPr="00BA779A">
        <w:rPr>
          <w:rFonts w:ascii="Palatino Linotype" w:eastAsia="Palatino Linotype" w:hAnsi="Palatino Linotype" w:cs="Palatino Linotype"/>
          <w:b/>
          <w:sz w:val="24"/>
          <w:szCs w:val="24"/>
        </w:rPr>
        <w:t xml:space="preserve"> </w:t>
      </w:r>
      <w:r w:rsidRPr="00BA779A">
        <w:rPr>
          <w:rFonts w:ascii="Palatino Linotype" w:eastAsia="Palatino Linotype" w:hAnsi="Palatino Linotype" w:cs="Palatino Linotype"/>
          <w:sz w:val="24"/>
          <w:szCs w:val="24"/>
        </w:rPr>
        <w:t>en la ley de la materia.</w:t>
      </w:r>
    </w:p>
    <w:p w14:paraId="7046ED9F" w14:textId="77777777" w:rsidR="00AC142E" w:rsidRPr="00BA779A" w:rsidRDefault="00875853">
      <w:pPr>
        <w:spacing w:before="240" w:after="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De igual forma, para que el acceso a la información pública pueda ser restringido al clasificar la información requerida como reservada, se deben actualizar los supuestos establecidos en el Artículo 113 de la</w:t>
      </w:r>
      <w:r w:rsidRPr="00BA779A">
        <w:rPr>
          <w:sz w:val="24"/>
          <w:szCs w:val="24"/>
        </w:rPr>
        <w:t xml:space="preserve"> </w:t>
      </w:r>
      <w:r w:rsidRPr="00BA779A">
        <w:rPr>
          <w:rFonts w:ascii="Palatino Linotype" w:eastAsia="Palatino Linotype" w:hAnsi="Palatino Linotype" w:cs="Palatino Linotype"/>
          <w:sz w:val="24"/>
          <w:szCs w:val="24"/>
        </w:rPr>
        <w:t>y Ley General De Transparencia Acceso a La Información Pública, artículo 140 de la Ley de Transparencia y Acceso a la Información Pública del Estado de México y Municipios, así como lo establecido en los Lineamientos Generales en Materia de Clasificación y Desclasificación de la Información, así como para la Elaboración de Versiones Públicas, que a la letra señalan lo siguiente:</w:t>
      </w:r>
    </w:p>
    <w:p w14:paraId="6C16D8F5"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Artículo 113.</w:t>
      </w:r>
      <w:r w:rsidRPr="00BA779A">
        <w:rPr>
          <w:rFonts w:ascii="Palatino Linotype" w:eastAsia="Palatino Linotype" w:hAnsi="Palatino Linotype" w:cs="Palatino Linotype"/>
          <w:i/>
        </w:rPr>
        <w:t xml:space="preserve"> Como información reservada podrá clasificarse aquella cuya publicación:</w:t>
      </w:r>
    </w:p>
    <w:p w14:paraId="438E13EF"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 xml:space="preserve"> I.</w:t>
      </w:r>
      <w:r w:rsidRPr="00BA779A">
        <w:rPr>
          <w:rFonts w:ascii="Palatino Linotype" w:eastAsia="Palatino Linotype" w:hAnsi="Palatino Linotype" w:cs="Palatino Linotype"/>
          <w:i/>
        </w:rPr>
        <w:t xml:space="preserve"> Comprometa la seguridad nacional, la seguridad pública o la defensa nacional y cuente con un propósito genuino y un efecto demostrable; </w:t>
      </w:r>
    </w:p>
    <w:p w14:paraId="3C9F8513"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II.</w:t>
      </w:r>
      <w:r w:rsidRPr="00BA779A">
        <w:rPr>
          <w:rFonts w:ascii="Palatino Linotype" w:eastAsia="Palatino Linotype" w:hAnsi="Palatino Linotype" w:cs="Palatino Linotype"/>
          <w:i/>
        </w:rPr>
        <w:t xml:space="preserve"> Pueda menoscabar la conducción de las negociaciones y relaciones internacionales; </w:t>
      </w:r>
      <w:r w:rsidRPr="00BA779A">
        <w:rPr>
          <w:rFonts w:ascii="Palatino Linotype" w:eastAsia="Palatino Linotype" w:hAnsi="Palatino Linotype" w:cs="Palatino Linotype"/>
          <w:i/>
        </w:rPr>
        <w:br/>
      </w:r>
      <w:r w:rsidRPr="00BA779A">
        <w:rPr>
          <w:rFonts w:ascii="Palatino Linotype" w:eastAsia="Palatino Linotype" w:hAnsi="Palatino Linotype" w:cs="Palatino Linotype"/>
          <w:b/>
          <w:i/>
        </w:rPr>
        <w:t>III.</w:t>
      </w:r>
      <w:r w:rsidRPr="00BA779A">
        <w:rPr>
          <w:rFonts w:ascii="Palatino Linotype" w:eastAsia="Palatino Linotype" w:hAnsi="Palatino Linotype" w:cs="Palatino Linotype"/>
          <w:i/>
        </w:rPr>
        <w:t xml:space="preserve"> Se entregue al Estado mexicano expresamente con ese carácter o el de </w:t>
      </w:r>
      <w:r w:rsidRPr="00BA779A">
        <w:rPr>
          <w:rFonts w:ascii="Palatino Linotype" w:eastAsia="Palatino Linotype" w:hAnsi="Palatino Linotype" w:cs="Palatino Linotype"/>
          <w:i/>
        </w:rPr>
        <w:lastRenderedPageBreak/>
        <w:t xml:space="preserve">confidencial por otro u otros sujetos de derecho internacional, excepto cuando se trate de violaciones graves de derechos humanos o delitos de lesa humanidad de conformidad con el derecho internacional; </w:t>
      </w:r>
    </w:p>
    <w:p w14:paraId="4EC10E28"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IV.</w:t>
      </w:r>
      <w:r w:rsidRPr="00BA779A">
        <w:rPr>
          <w:rFonts w:ascii="Palatino Linotype" w:eastAsia="Palatino Linotype" w:hAnsi="Palatino Linotype" w:cs="Palatino Linotype"/>
          <w:i/>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5F48EFB8"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V.</w:t>
      </w:r>
      <w:r w:rsidRPr="00BA779A">
        <w:rPr>
          <w:rFonts w:ascii="Palatino Linotype" w:eastAsia="Palatino Linotype" w:hAnsi="Palatino Linotype" w:cs="Palatino Linotype"/>
          <w:i/>
        </w:rPr>
        <w:t xml:space="preserve"> Pueda poner en riesgo la vida, seguridad o salud de una persona física; </w:t>
      </w:r>
    </w:p>
    <w:p w14:paraId="0C2141DC"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VI</w:t>
      </w:r>
      <w:r w:rsidRPr="00BA779A">
        <w:rPr>
          <w:rFonts w:ascii="Palatino Linotype" w:eastAsia="Palatino Linotype" w:hAnsi="Palatino Linotype" w:cs="Palatino Linotype"/>
          <w:i/>
        </w:rPr>
        <w:t xml:space="preserve">. Obstruya las actividades de verificación, inspección y auditoría relativas al cumplimiento de las leyes o afecte la recaudación de contribuciones; </w:t>
      </w:r>
    </w:p>
    <w:p w14:paraId="72E84A7E"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VII.</w:t>
      </w:r>
      <w:r w:rsidRPr="00BA779A">
        <w:rPr>
          <w:rFonts w:ascii="Palatino Linotype" w:eastAsia="Palatino Linotype" w:hAnsi="Palatino Linotype" w:cs="Palatino Linotype"/>
          <w:i/>
        </w:rPr>
        <w:t xml:space="preserve"> Obstruya la prevención o persecución de los delitos; </w:t>
      </w:r>
    </w:p>
    <w:p w14:paraId="547EBF1B"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VIII.</w:t>
      </w:r>
      <w:r w:rsidRPr="00BA779A">
        <w:rPr>
          <w:rFonts w:ascii="Palatino Linotype" w:eastAsia="Palatino Linotype" w:hAnsi="Palatino Linotype" w:cs="Palatino Linotype"/>
          <w:i/>
        </w:rPr>
        <w:t xml:space="preserve"> La que contenga las opiniones, recomendaciones o puntos de vista que formen parte del proceso deliberativo de los servidores públicos, hasta en tanto no sea adoptada la decisión definitiva, la cual deberá estar documentada; </w:t>
      </w:r>
    </w:p>
    <w:p w14:paraId="1D76480D"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IX.</w:t>
      </w:r>
      <w:r w:rsidRPr="00BA779A">
        <w:rPr>
          <w:rFonts w:ascii="Palatino Linotype" w:eastAsia="Palatino Linotype" w:hAnsi="Palatino Linotype" w:cs="Palatino Linotype"/>
          <w:i/>
        </w:rPr>
        <w:t xml:space="preserve"> Obstruya los procedimientos para fincar responsabilidad a los Servidores Públicos, en tanto no se haya dictado la resolución administrativa; </w:t>
      </w:r>
    </w:p>
    <w:p w14:paraId="5DB6DB02"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X.</w:t>
      </w:r>
      <w:r w:rsidRPr="00BA779A">
        <w:rPr>
          <w:rFonts w:ascii="Palatino Linotype" w:eastAsia="Palatino Linotype" w:hAnsi="Palatino Linotype" w:cs="Palatino Linotype"/>
          <w:i/>
        </w:rPr>
        <w:t xml:space="preserve"> Afecte los derechos del debido proceso; </w:t>
      </w:r>
    </w:p>
    <w:p w14:paraId="4AFCD616"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XI.</w:t>
      </w:r>
      <w:r w:rsidRPr="00BA779A">
        <w:rPr>
          <w:rFonts w:ascii="Palatino Linotype" w:eastAsia="Palatino Linotype" w:hAnsi="Palatino Linotype" w:cs="Palatino Linotype"/>
          <w:i/>
        </w:rPr>
        <w:t xml:space="preserve"> Vulnere la conducción de los Expedientes judiciales o de los procedimientos administrativos seguidos en forma de juicio, en tanto no hayan causado estado;</w:t>
      </w:r>
    </w:p>
    <w:p w14:paraId="60ADD538"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lastRenderedPageBreak/>
        <w:t>Artículo 140</w:t>
      </w:r>
      <w:r w:rsidRPr="00BA779A">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14:paraId="07D9AD46"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w:t>
      </w:r>
      <w:r w:rsidRPr="00BA779A">
        <w:rPr>
          <w:rFonts w:ascii="Palatino Linotype" w:eastAsia="Palatino Linotype" w:hAnsi="Palatino Linotype" w:cs="Palatino Linotype"/>
          <w:i/>
        </w:rPr>
        <w:t xml:space="preserve">. Comprometa la seguridad pública y cuente con un propósito genuino y un efecto demostrable; </w:t>
      </w:r>
    </w:p>
    <w:p w14:paraId="44D9076F"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II.</w:t>
      </w:r>
      <w:r w:rsidRPr="00BA779A">
        <w:rPr>
          <w:rFonts w:ascii="Palatino Linotype" w:eastAsia="Palatino Linotype" w:hAnsi="Palatino Linotype" w:cs="Palatino Linotype"/>
          <w:i/>
        </w:rPr>
        <w:t xml:space="preserve"> Pueda menoscabar la conducción de las negociaciones y relaciones internacionales; </w:t>
      </w:r>
    </w:p>
    <w:p w14:paraId="54FEFF38"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III.</w:t>
      </w:r>
      <w:r w:rsidRPr="00BA779A">
        <w:rPr>
          <w:rFonts w:ascii="Palatino Linotype" w:eastAsia="Palatino Linotype" w:hAnsi="Palatino Linotype" w:cs="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591F5A3"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IV.</w:t>
      </w:r>
      <w:r w:rsidRPr="00BA779A">
        <w:rPr>
          <w:rFonts w:ascii="Palatino Linotype" w:eastAsia="Palatino Linotype" w:hAnsi="Palatino Linotype" w:cs="Palatino Linotype"/>
          <w:i/>
        </w:rPr>
        <w:t xml:space="preserve"> Ponga en riesgo la vida, la seguridad o la salud de una persona física; </w:t>
      </w:r>
    </w:p>
    <w:p w14:paraId="5B895670"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V</w:t>
      </w:r>
      <w:r w:rsidRPr="00BA779A">
        <w:rPr>
          <w:rFonts w:ascii="Palatino Linotype" w:eastAsia="Palatino Linotype" w:hAnsi="Palatino Linotype" w:cs="Palatino Linotype"/>
          <w:i/>
        </w:rPr>
        <w:t xml:space="preserve">. Aquella cuya divulgación obstruya o pueda causar un serio perjuicio a: </w:t>
      </w:r>
    </w:p>
    <w:p w14:paraId="3EC5F9ED" w14:textId="77777777" w:rsidR="00AC142E" w:rsidRPr="00BA779A" w:rsidRDefault="00875853">
      <w:pPr>
        <w:spacing w:before="240" w:after="240" w:line="360" w:lineRule="auto"/>
        <w:ind w:left="1416"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1. Las actividades de fiscalización, verificación, inspección, comprobación y auditoría sobre el cumplimiento de las Leyes; o </w:t>
      </w:r>
    </w:p>
    <w:p w14:paraId="4C11E0DF" w14:textId="77777777" w:rsidR="00AC142E" w:rsidRPr="00BA779A" w:rsidRDefault="00875853">
      <w:pPr>
        <w:spacing w:before="240" w:after="240" w:line="360" w:lineRule="auto"/>
        <w:ind w:left="1416"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2. La recaudación de las contribuciones. </w:t>
      </w:r>
    </w:p>
    <w:p w14:paraId="64ECBACE"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VI</w:t>
      </w:r>
      <w:r w:rsidRPr="00BA779A">
        <w:rPr>
          <w:rFonts w:ascii="Palatino Linotype" w:eastAsia="Palatino Linotype" w:hAnsi="Palatino Linotype" w:cs="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w:t>
      </w:r>
      <w:r w:rsidRPr="00BA779A">
        <w:rPr>
          <w:rFonts w:ascii="Palatino Linotype" w:eastAsia="Palatino Linotype" w:hAnsi="Palatino Linotype" w:cs="Palatino Linotype"/>
          <w:i/>
        </w:rPr>
        <w:lastRenderedPageBreak/>
        <w:t xml:space="preserve">o testigo, así como sus familias, en los términos de las disposiciones jurídicas aplicables; </w:t>
      </w:r>
    </w:p>
    <w:p w14:paraId="68C74AF9"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VII.</w:t>
      </w:r>
      <w:r w:rsidRPr="00BA779A">
        <w:rPr>
          <w:rFonts w:ascii="Palatino Linotype" w:eastAsia="Palatino Linotype" w:hAnsi="Palatino Linotype" w:cs="Palatino Linotype"/>
          <w:i/>
        </w:rPr>
        <w:t xml:space="preserve"> La que contengan las opiniones, recomendaciones o puntos de vista que formen parte del proceso deliberativo de los servidores públicos, hasta en tanto sea adoptada la decisión definitiva, la cual deberá estar documentada; </w:t>
      </w:r>
    </w:p>
    <w:p w14:paraId="40942001"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VIII.</w:t>
      </w:r>
      <w:r w:rsidRPr="00BA779A">
        <w:rPr>
          <w:rFonts w:ascii="Palatino Linotype" w:eastAsia="Palatino Linotype" w:hAnsi="Palatino Linotype" w:cs="Palatino Linotype"/>
          <w:i/>
        </w:rPr>
        <w:t xml:space="preserve"> Vulnere la conducción de los expedientes judiciales o de los procedimientos administrativos seguidos en forma de juicio, en tanto no hayan quedado firmes; </w:t>
      </w:r>
    </w:p>
    <w:p w14:paraId="0D9C8F46"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IX</w:t>
      </w:r>
      <w:r w:rsidRPr="00BA779A">
        <w:rPr>
          <w:rFonts w:ascii="Palatino Linotype" w:eastAsia="Palatino Linotype" w:hAnsi="Palatino Linotype" w:cs="Palatino Linotype"/>
          <w:i/>
        </w:rPr>
        <w:t xml:space="preserve">. Se encuentre contenida dentro de las investigaciones de hechos que la Ley señale como delitos y se tramiten ante el Ministerio Público; </w:t>
      </w:r>
    </w:p>
    <w:p w14:paraId="4A3119CA"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X.</w:t>
      </w:r>
      <w:r w:rsidRPr="00BA779A">
        <w:rPr>
          <w:rFonts w:ascii="Palatino Linotype" w:eastAsia="Palatino Linotype" w:hAnsi="Palatino Linotype" w:cs="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58B73E69" w14:textId="77777777" w:rsidR="00AC142E" w:rsidRPr="00BA779A" w:rsidRDefault="00875853">
      <w:pPr>
        <w:spacing w:before="240" w:after="240" w:line="360" w:lineRule="auto"/>
        <w:ind w:left="851"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8E22ECB"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XI.</w:t>
      </w:r>
      <w:r w:rsidRPr="00BA779A">
        <w:rPr>
          <w:rFonts w:ascii="Palatino Linotype" w:eastAsia="Palatino Linotype" w:hAnsi="Palatino Linotype" w:cs="Palatino Linotype"/>
          <w:i/>
        </w:rPr>
        <w:t xml:space="preserve"> Las que por disposición expresa de una ley tengan tal carácter, siempre que sean acordes con las bases, principios y disposiciones establecidos en esta Ley y no la contravengan; así como las previstas en tratados internacionales.</w:t>
      </w:r>
    </w:p>
    <w:p w14:paraId="6829E3C1" w14:textId="77777777" w:rsidR="00AC142E" w:rsidRPr="00BA779A" w:rsidRDefault="00875853">
      <w:pPr>
        <w:spacing w:before="240" w:after="240" w:line="360" w:lineRule="auto"/>
        <w:ind w:left="794" w:right="851"/>
        <w:jc w:val="center"/>
        <w:rPr>
          <w:rFonts w:ascii="Palatino Linotype" w:eastAsia="Palatino Linotype" w:hAnsi="Palatino Linotype" w:cs="Palatino Linotype"/>
          <w:b/>
          <w:i/>
        </w:rPr>
      </w:pPr>
      <w:r w:rsidRPr="00BA779A">
        <w:rPr>
          <w:rFonts w:ascii="Palatino Linotype" w:eastAsia="Palatino Linotype" w:hAnsi="Palatino Linotype" w:cs="Palatino Linotype"/>
          <w:b/>
          <w:i/>
        </w:rPr>
        <w:t>CAPÍTULO V</w:t>
      </w:r>
    </w:p>
    <w:p w14:paraId="2A13644B" w14:textId="77777777" w:rsidR="00AC142E" w:rsidRPr="00BA779A" w:rsidRDefault="00875853">
      <w:pPr>
        <w:spacing w:before="240" w:after="240" w:line="360" w:lineRule="auto"/>
        <w:ind w:left="794" w:right="851"/>
        <w:jc w:val="center"/>
        <w:rPr>
          <w:rFonts w:ascii="Palatino Linotype" w:eastAsia="Palatino Linotype" w:hAnsi="Palatino Linotype" w:cs="Palatino Linotype"/>
          <w:b/>
          <w:i/>
        </w:rPr>
      </w:pPr>
      <w:r w:rsidRPr="00BA779A">
        <w:rPr>
          <w:rFonts w:ascii="Palatino Linotype" w:eastAsia="Palatino Linotype" w:hAnsi="Palatino Linotype" w:cs="Palatino Linotype"/>
          <w:b/>
          <w:i/>
        </w:rPr>
        <w:t>DE LA INFORMACIÓN RESERVADA</w:t>
      </w:r>
    </w:p>
    <w:p w14:paraId="44FB4A6B"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lastRenderedPageBreak/>
        <w:t>Décimo octavo.</w:t>
      </w:r>
      <w:r w:rsidRPr="00BA779A">
        <w:rPr>
          <w:rFonts w:ascii="Palatino Linotype" w:eastAsia="Palatino Linotype" w:hAnsi="Palatino Linotype" w:cs="Palatino Linotype"/>
          <w:i/>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7762B50C"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20C886D2"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47E8EAB3"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w:t>
      </w:r>
    </w:p>
    <w:p w14:paraId="4D80A8A6"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 xml:space="preserve">Vigésimo tercero. </w:t>
      </w:r>
      <w:r w:rsidRPr="00BA779A">
        <w:rPr>
          <w:rFonts w:ascii="Palatino Linotype" w:eastAsia="Palatino Linotype" w:hAnsi="Palatino Linotype" w:cs="Palatino Linotype"/>
          <w:i/>
        </w:rPr>
        <w:t>Para clasificar la información como reservada, de conformidad con el artículo 113, fracción V de la Ley General, será necesario acreditar un vínculo, entre la persona física y la información que pueda poner en riesgo su vida, seguridad o salud.</w:t>
      </w:r>
    </w:p>
    <w:p w14:paraId="5BD2B70E"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w:t>
      </w:r>
    </w:p>
    <w:p w14:paraId="3DC56A41"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Vigésimo sexto.</w:t>
      </w:r>
      <w:r w:rsidRPr="00BA779A">
        <w:rPr>
          <w:rFonts w:ascii="Palatino Linotype" w:eastAsia="Palatino Linotype" w:hAnsi="Palatino Linotype" w:cs="Palatino Linotype"/>
          <w:i/>
        </w:rPr>
        <w:t xml:space="preserve"> De conformidad con el artículo 113, fracción VII de la Ley General, podrá considerarse como información reservada, aquella que obstruya la prevención </w:t>
      </w:r>
      <w:r w:rsidRPr="00BA779A">
        <w:rPr>
          <w:rFonts w:ascii="Palatino Linotype" w:eastAsia="Palatino Linotype" w:hAnsi="Palatino Linotype" w:cs="Palatino Linotype"/>
          <w:i/>
        </w:rPr>
        <w:lastRenderedPageBreak/>
        <w:t xml:space="preserve">de delitos al obstaculizar las acciones implementadas por las autoridades para evitar su comisión, o menoscabar o limitar la capacidad de las autoridades para evitar la comisión de delitos. </w:t>
      </w:r>
    </w:p>
    <w:p w14:paraId="598A151B"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Para que se verifique el supuesto de reserva, cuando se cause un perjuicio a las actividades de persecución de los delitos, deben de actualizarse los siguientes elementos: </w:t>
      </w:r>
    </w:p>
    <w:p w14:paraId="21589051"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w:t>
      </w:r>
      <w:r w:rsidRPr="00BA779A">
        <w:rPr>
          <w:rFonts w:ascii="Palatino Linotype" w:eastAsia="Palatino Linotype" w:hAnsi="Palatino Linotype" w:cs="Palatino Linotype"/>
          <w:i/>
        </w:rPr>
        <w:t xml:space="preserve"> La existencia de un proceso penal en sustanciación o una carpeta de investigación en trámite; </w:t>
      </w:r>
    </w:p>
    <w:p w14:paraId="5DA52F4B"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II.</w:t>
      </w:r>
      <w:r w:rsidRPr="00BA779A">
        <w:rPr>
          <w:rFonts w:ascii="Palatino Linotype" w:eastAsia="Palatino Linotype" w:hAnsi="Palatino Linotype" w:cs="Palatino Linotype"/>
          <w:i/>
        </w:rPr>
        <w:t xml:space="preserve"> Que se acredite el vínculo que existe entre la información solicitada y la carpeta de investigación, o el proceso penal, según sea el caso, y </w:t>
      </w:r>
    </w:p>
    <w:p w14:paraId="25142F1B"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III</w:t>
      </w:r>
      <w:r w:rsidRPr="00BA779A">
        <w:rPr>
          <w:rFonts w:ascii="Palatino Linotype" w:eastAsia="Palatino Linotype" w:hAnsi="Palatino Linotype" w:cs="Palatino Linotype"/>
          <w:i/>
        </w:rPr>
        <w:t xml:space="preserve">. Que la difusión de la información pueda impedir u obstruir las funciones que ejerce el Ministerio Público o su equivalente durante la etapa de investigación o ante los tribunales judiciales con motivo del ejercicio de la acción penal. </w:t>
      </w:r>
    </w:p>
    <w:p w14:paraId="125FF701"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w:t>
      </w:r>
      <w:r w:rsidRPr="00BA779A">
        <w:rPr>
          <w:rFonts w:ascii="Palatino Linotype" w:eastAsia="Palatino Linotype" w:hAnsi="Palatino Linotype" w:cs="Palatino Linotype"/>
          <w:i/>
        </w:rPr>
        <w:t>…)</w:t>
      </w:r>
    </w:p>
    <w:p w14:paraId="06938CD3"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Vigésimo octavo.</w:t>
      </w:r>
      <w:r w:rsidRPr="00BA779A">
        <w:rPr>
          <w:rFonts w:ascii="Palatino Linotype" w:eastAsia="Palatino Linotype" w:hAnsi="Palatino Linotype" w:cs="Palatino Linotype"/>
          <w:i/>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14:paraId="658E3B9D"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w:t>
      </w:r>
      <w:r w:rsidRPr="00BA779A">
        <w:rPr>
          <w:rFonts w:ascii="Palatino Linotype" w:eastAsia="Palatino Linotype" w:hAnsi="Palatino Linotype" w:cs="Palatino Linotype"/>
          <w:i/>
        </w:rPr>
        <w:t xml:space="preserve"> La existencia de un procedimiento de responsabilidad administrativa en trámite, y </w:t>
      </w:r>
      <w:r w:rsidRPr="00BA779A">
        <w:rPr>
          <w:rFonts w:ascii="Palatino Linotype" w:eastAsia="Palatino Linotype" w:hAnsi="Palatino Linotype" w:cs="Palatino Linotype"/>
          <w:b/>
          <w:i/>
        </w:rPr>
        <w:t>II.</w:t>
      </w:r>
      <w:r w:rsidRPr="00BA779A">
        <w:rPr>
          <w:rFonts w:ascii="Palatino Linotype" w:eastAsia="Palatino Linotype" w:hAnsi="Palatino Linotype" w:cs="Palatino Linotype"/>
          <w:i/>
        </w:rPr>
        <w:t xml:space="preserve"> Que la información se refiera a actuaciones, diligencias y constancias propias del procedimiento de responsabilidad. </w:t>
      </w:r>
    </w:p>
    <w:p w14:paraId="1C91E262"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lastRenderedPageBreak/>
        <w:t>Vigésimo noveno.</w:t>
      </w:r>
      <w:r w:rsidRPr="00BA779A">
        <w:rPr>
          <w:rFonts w:ascii="Palatino Linotype" w:eastAsia="Palatino Linotype" w:hAnsi="Palatino Linotype" w:cs="Palatino Linotype"/>
          <w:i/>
        </w:rPr>
        <w:t xml:space="preserve"> De conformidad con el artículo 113, fracción X de la Ley General, podrá considerarse como información reservada, aquella que de divulgarse afecte el debido proceso al actualizarse los siguientes elementos: </w:t>
      </w:r>
    </w:p>
    <w:p w14:paraId="23A6961B"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w:t>
      </w:r>
      <w:r w:rsidRPr="00BA779A">
        <w:rPr>
          <w:rFonts w:ascii="Palatino Linotype" w:eastAsia="Palatino Linotype" w:hAnsi="Palatino Linotype" w:cs="Palatino Linotype"/>
          <w:i/>
        </w:rPr>
        <w:t xml:space="preserve"> La existencia de un procedimiento judicial, administrativo o arbitral en trámite; </w:t>
      </w:r>
    </w:p>
    <w:p w14:paraId="48D94EBE"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II.</w:t>
      </w:r>
      <w:r w:rsidRPr="00BA779A">
        <w:rPr>
          <w:rFonts w:ascii="Palatino Linotype" w:eastAsia="Palatino Linotype" w:hAnsi="Palatino Linotype" w:cs="Palatino Linotype"/>
          <w:i/>
        </w:rPr>
        <w:t xml:space="preserve"> Que el sujeto obligado sea parte en ese procedimiento; </w:t>
      </w:r>
    </w:p>
    <w:p w14:paraId="53AEAD0F"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III.</w:t>
      </w:r>
      <w:r w:rsidRPr="00BA779A">
        <w:rPr>
          <w:rFonts w:ascii="Palatino Linotype" w:eastAsia="Palatino Linotype" w:hAnsi="Palatino Linotype" w:cs="Palatino Linotype"/>
          <w:i/>
        </w:rPr>
        <w:t xml:space="preserve"> Que la información no sea conocida por la contraparte antes de la presentación de la misma en el proceso, y </w:t>
      </w:r>
    </w:p>
    <w:p w14:paraId="6F31F0B6"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IV.</w:t>
      </w:r>
      <w:r w:rsidRPr="00BA779A">
        <w:rPr>
          <w:rFonts w:ascii="Palatino Linotype" w:eastAsia="Palatino Linotype" w:hAnsi="Palatino Linotype" w:cs="Palatino Linotype"/>
          <w:i/>
        </w:rPr>
        <w:t xml:space="preserve"> Que con su divulgación se afecte la oportunidad de llevar a cabo alguna de las garantías del debido proceso. </w:t>
      </w:r>
    </w:p>
    <w:p w14:paraId="69EC7545"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Trigésimo.</w:t>
      </w:r>
      <w:r w:rsidRPr="00BA779A">
        <w:rPr>
          <w:rFonts w:ascii="Palatino Linotype" w:eastAsia="Palatino Linotype" w:hAnsi="Palatino Linotype" w:cs="Palatino Linotype"/>
          <w:i/>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2F5BBB59"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w:t>
      </w:r>
      <w:r w:rsidRPr="00BA779A">
        <w:rPr>
          <w:rFonts w:ascii="Palatino Linotype" w:eastAsia="Palatino Linotype" w:hAnsi="Palatino Linotype" w:cs="Palatino Linotype"/>
          <w:i/>
        </w:rPr>
        <w:t xml:space="preserve"> La existencia de un juicio o procedimiento administrativo materialmente jurisdiccional, que se encuentre en trámite, y </w:t>
      </w:r>
    </w:p>
    <w:p w14:paraId="6D2F12A8"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II.</w:t>
      </w:r>
      <w:r w:rsidRPr="00BA779A">
        <w:rPr>
          <w:rFonts w:ascii="Palatino Linotype" w:eastAsia="Palatino Linotype" w:hAnsi="Palatino Linotype" w:cs="Palatino Linotype"/>
          <w:i/>
        </w:rPr>
        <w:t xml:space="preserve"> Que la información solicitada se refiera a actuaciones, diligencias o constancias propias del procedimiento. </w:t>
      </w:r>
    </w:p>
    <w:p w14:paraId="41EBA241"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Para los efectos del primer párrafo de este numeral, se considera procedimiento seguido en forma de juicio a aquel formalmente administrativo, pero materialmente jurisdiccional; esto es, en el que concurran los siguientes elementos: </w:t>
      </w:r>
    </w:p>
    <w:p w14:paraId="07BC6EC2" w14:textId="77777777" w:rsidR="00AC142E" w:rsidRPr="00BA779A" w:rsidRDefault="00875853">
      <w:pPr>
        <w:spacing w:before="240" w:after="240" w:line="360" w:lineRule="auto"/>
        <w:ind w:left="794" w:right="851" w:firstLine="622"/>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1. Que se trate de un procedimiento en el que la autoridad dirima una controversia entre partes contendientes, así como los procedimientos en que la </w:t>
      </w:r>
      <w:r w:rsidRPr="00BA779A">
        <w:rPr>
          <w:rFonts w:ascii="Palatino Linotype" w:eastAsia="Palatino Linotype" w:hAnsi="Palatino Linotype" w:cs="Palatino Linotype"/>
          <w:i/>
        </w:rPr>
        <w:lastRenderedPageBreak/>
        <w:t xml:space="preserve">autoridad, frente al particular, prepare su resolución definitiva, aunque sólo sea un trámite para cumplir con la garantía de audiencia, y </w:t>
      </w:r>
    </w:p>
    <w:p w14:paraId="62F1C577" w14:textId="77777777" w:rsidR="00AC142E" w:rsidRPr="00BA779A" w:rsidRDefault="00875853">
      <w:pPr>
        <w:spacing w:before="240" w:after="240" w:line="360" w:lineRule="auto"/>
        <w:ind w:left="794" w:right="851" w:firstLine="622"/>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2. Que se cumplan las formalidades esenciales del procedimiento. </w:t>
      </w:r>
    </w:p>
    <w:p w14:paraId="703160E3"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315ECB91" w14:textId="77777777" w:rsidR="00AC142E" w:rsidRPr="00BA779A" w:rsidRDefault="00875853">
      <w:pPr>
        <w:spacing w:before="240" w:after="240" w:line="360" w:lineRule="auto"/>
        <w:ind w:right="851"/>
        <w:jc w:val="both"/>
        <w:rPr>
          <w:rFonts w:ascii="Palatino Linotype" w:eastAsia="Palatino Linotype" w:hAnsi="Palatino Linotype" w:cs="Palatino Linotype"/>
          <w:i/>
        </w:rPr>
      </w:pPr>
      <w:r w:rsidRPr="00BA779A">
        <w:rPr>
          <w:rFonts w:ascii="Palatino Linotype" w:eastAsia="Palatino Linotype" w:hAnsi="Palatino Linotype" w:cs="Palatino Linotype"/>
          <w:i/>
        </w:rPr>
        <w:tab/>
        <w:t xml:space="preserve">  (…)</w:t>
      </w:r>
    </w:p>
    <w:p w14:paraId="1CB4511F"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Trigésimo tercero.</w:t>
      </w:r>
      <w:r w:rsidRPr="00BA779A">
        <w:rPr>
          <w:rFonts w:ascii="Palatino Linotype" w:eastAsia="Palatino Linotype" w:hAnsi="Palatino Linotype" w:cs="Palatino Linotype"/>
          <w:i/>
        </w:rPr>
        <w:t xml:space="preserve"> Para la aplicación de la prueba de daño a la que hace referencia el artículo 104 de la Ley General, los sujetos obligados atenderán lo siguiente: </w:t>
      </w:r>
    </w:p>
    <w:p w14:paraId="4C98C4C3"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w:t>
      </w:r>
      <w:r w:rsidRPr="00BA779A">
        <w:rPr>
          <w:rFonts w:ascii="Palatino Linotype" w:eastAsia="Palatino Linotype" w:hAnsi="Palatino Linotype" w:cs="Palatino Linotype"/>
          <w:i/>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1BC15704"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II.</w:t>
      </w:r>
      <w:r w:rsidRPr="00BA779A">
        <w:rPr>
          <w:rFonts w:ascii="Palatino Linotype" w:eastAsia="Palatino Linotype" w:hAnsi="Palatino Linotype" w:cs="Palatino Linotype"/>
          <w:i/>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6333F6B0"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III.</w:t>
      </w:r>
      <w:r w:rsidRPr="00BA779A">
        <w:rPr>
          <w:rFonts w:ascii="Palatino Linotype" w:eastAsia="Palatino Linotype" w:hAnsi="Palatino Linotype" w:cs="Palatino Linotype"/>
          <w:i/>
        </w:rPr>
        <w:t xml:space="preserve"> Se debe de acreditar el vínculo entre la difusión de la información y la afectación del interés jurídico tutelado de que se trate; </w:t>
      </w:r>
    </w:p>
    <w:p w14:paraId="5B8BADA7"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IV.</w:t>
      </w:r>
      <w:r w:rsidRPr="00BA779A">
        <w:rPr>
          <w:rFonts w:ascii="Palatino Linotype" w:eastAsia="Palatino Linotype" w:hAnsi="Palatino Linotype" w:cs="Palatino Linotype"/>
          <w:i/>
        </w:rPr>
        <w:t xml:space="preserve"> Precisar las razones objetivas por las que la apertura de la información generaría una afectación, a través de los elementos de un riesgo real, demostrable e identificable; </w:t>
      </w:r>
    </w:p>
    <w:p w14:paraId="1891D934"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lastRenderedPageBreak/>
        <w:t>V.</w:t>
      </w:r>
      <w:r w:rsidRPr="00BA779A">
        <w:rPr>
          <w:rFonts w:ascii="Palatino Linotype" w:eastAsia="Palatino Linotype" w:hAnsi="Palatino Linotype" w:cs="Palatino Linotype"/>
          <w:i/>
        </w:rPr>
        <w:t xml:space="preserve"> En la motivación de la clasificación, el sujeto obligado deberá acreditar las circunstancias de modo, tiempo y lugar del daño, y </w:t>
      </w:r>
    </w:p>
    <w:p w14:paraId="2E466B32" w14:textId="77777777" w:rsidR="00AC142E" w:rsidRPr="00BA779A" w:rsidRDefault="00875853">
      <w:pPr>
        <w:spacing w:before="240" w:after="240" w:line="360" w:lineRule="auto"/>
        <w:ind w:left="794" w:right="851"/>
        <w:jc w:val="both"/>
        <w:rPr>
          <w:rFonts w:ascii="Palatino Linotype" w:eastAsia="Palatino Linotype" w:hAnsi="Palatino Linotype" w:cs="Palatino Linotype"/>
          <w:i/>
        </w:rPr>
      </w:pPr>
      <w:r w:rsidRPr="00BA779A">
        <w:rPr>
          <w:rFonts w:ascii="Palatino Linotype" w:eastAsia="Palatino Linotype" w:hAnsi="Palatino Linotype" w:cs="Palatino Linotype"/>
          <w:b/>
          <w:i/>
        </w:rPr>
        <w:t>VI.</w:t>
      </w:r>
      <w:r w:rsidRPr="00BA779A">
        <w:rPr>
          <w:rFonts w:ascii="Palatino Linotype" w:eastAsia="Palatino Linotype" w:hAnsi="Palatino Linotype" w:cs="Palatino Linotype"/>
          <w:i/>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 </w:t>
      </w:r>
    </w:p>
    <w:p w14:paraId="5E8B25B1" w14:textId="77777777" w:rsidR="00AC142E" w:rsidRPr="00BA779A" w:rsidRDefault="00875853">
      <w:pPr>
        <w:spacing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RESERVADA, delimitando una serie de hipótesis de hecho en las cuales descansa la posibilidad de reserva de información, por lo que dentro la información que generen, posean o administren los Sujetos Obligados, se considerará reservada cuando su divulgación obstruya o pueda causar un serio perjuicio a las actividades de fiscalización, verificación, inspección, comprobación y auditoría sobre el cumplimiento de las Leyes, vulnere la conducción de los expedientes judiciales o de los procedimientos administrativos seguidos en forma de juicio, en tanto no hayan quedado firmes, como lo es en el caso en particular.</w:t>
      </w:r>
    </w:p>
    <w:p w14:paraId="65F3ECEA" w14:textId="25E413BF" w:rsidR="00AC142E" w:rsidRPr="00BA779A" w:rsidRDefault="00875853">
      <w:pPr>
        <w:spacing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Lo anterior, se desprende que el Sujeto Obligado, determinó que la información requerida encuadra en los supuestos del artículo 140, fracción VI, de la Ley de Transparencia y Acceso a la Información Pública del Estado de México y Municipios. </w:t>
      </w:r>
    </w:p>
    <w:p w14:paraId="59D4B7C8" w14:textId="77777777" w:rsidR="00AC142E" w:rsidRPr="00BA779A" w:rsidRDefault="00875853">
      <w:pPr>
        <w:spacing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Por lo que resulta necesario, analizar dicho Acuerdo de Reserva de la información antes referida, entregado por el Sujeto Obligado, en su respuesta e informe justificado, </w:t>
      </w:r>
      <w:r w:rsidRPr="00BA779A">
        <w:rPr>
          <w:rFonts w:ascii="Palatino Linotype" w:eastAsia="Palatino Linotype" w:hAnsi="Palatino Linotype" w:cs="Palatino Linotype"/>
          <w:sz w:val="24"/>
          <w:szCs w:val="24"/>
        </w:rPr>
        <w:lastRenderedPageBreak/>
        <w:t xml:space="preserve">a fin de establecer si el Comité de Transparencia no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w:t>
      </w:r>
    </w:p>
    <w:p w14:paraId="509B4747" w14:textId="77777777" w:rsidR="00AC142E" w:rsidRPr="00BA779A" w:rsidRDefault="00AC142E">
      <w:pPr>
        <w:spacing w:after="0" w:line="360" w:lineRule="auto"/>
        <w:jc w:val="both"/>
        <w:rPr>
          <w:rFonts w:ascii="Palatino Linotype" w:eastAsia="Palatino Linotype" w:hAnsi="Palatino Linotype" w:cs="Palatino Linotype"/>
          <w:sz w:val="24"/>
          <w:szCs w:val="24"/>
        </w:rPr>
      </w:pPr>
    </w:p>
    <w:tbl>
      <w:tblPr>
        <w:tblStyle w:val="a0"/>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AC142E" w:rsidRPr="00BA779A" w14:paraId="1C8C9880" w14:textId="77777777">
        <w:tc>
          <w:tcPr>
            <w:tcW w:w="1560" w:type="dxa"/>
            <w:tcBorders>
              <w:top w:val="nil"/>
              <w:left w:val="nil"/>
            </w:tcBorders>
          </w:tcPr>
          <w:p w14:paraId="700A3D8A" w14:textId="77777777" w:rsidR="00AC142E" w:rsidRPr="00BA779A" w:rsidRDefault="00AC142E">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53E7D3AA" w14:textId="77777777" w:rsidR="00AC142E" w:rsidRPr="00BA779A" w:rsidRDefault="00875853">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BA779A">
              <w:rPr>
                <w:rFonts w:ascii="Palatino Linotype" w:eastAsia="Palatino Linotype" w:hAnsi="Palatino Linotype" w:cs="Palatino Linotype"/>
                <w:b/>
                <w:color w:val="000000"/>
                <w:sz w:val="24"/>
                <w:szCs w:val="24"/>
              </w:rPr>
              <w:t>Cumplió:</w:t>
            </w:r>
          </w:p>
        </w:tc>
        <w:tc>
          <w:tcPr>
            <w:tcW w:w="6095" w:type="dxa"/>
            <w:tcBorders>
              <w:bottom w:val="single" w:sz="4" w:space="0" w:color="000000"/>
            </w:tcBorders>
            <w:shd w:val="clear" w:color="auto" w:fill="BFBFBF"/>
            <w:vAlign w:val="bottom"/>
          </w:tcPr>
          <w:p w14:paraId="7FAFF666" w14:textId="77777777" w:rsidR="00AC142E" w:rsidRPr="00BA779A" w:rsidRDefault="00875853">
            <w:pPr>
              <w:pBdr>
                <w:top w:val="nil"/>
                <w:left w:val="nil"/>
                <w:bottom w:val="nil"/>
                <w:right w:val="nil"/>
                <w:between w:val="nil"/>
              </w:pBdr>
              <w:spacing w:after="120"/>
              <w:ind w:left="47"/>
              <w:jc w:val="center"/>
              <w:rPr>
                <w:rFonts w:ascii="Palatino Linotype" w:eastAsia="Palatino Linotype" w:hAnsi="Palatino Linotype" w:cs="Palatino Linotype"/>
                <w:b/>
                <w:color w:val="000000"/>
                <w:sz w:val="24"/>
                <w:szCs w:val="24"/>
              </w:rPr>
            </w:pPr>
            <w:r w:rsidRPr="00BA779A">
              <w:rPr>
                <w:rFonts w:ascii="Palatino Linotype" w:eastAsia="Palatino Linotype" w:hAnsi="Palatino Linotype" w:cs="Palatino Linotype"/>
                <w:b/>
                <w:color w:val="000000"/>
                <w:sz w:val="24"/>
                <w:szCs w:val="24"/>
              </w:rPr>
              <w:t>Contenido</w:t>
            </w:r>
          </w:p>
        </w:tc>
      </w:tr>
      <w:tr w:rsidR="00AC142E" w:rsidRPr="00BA779A" w14:paraId="5DD37746" w14:textId="77777777">
        <w:tc>
          <w:tcPr>
            <w:tcW w:w="1560" w:type="dxa"/>
            <w:vAlign w:val="center"/>
          </w:tcPr>
          <w:p w14:paraId="58C31A46" w14:textId="77777777" w:rsidR="00AC142E" w:rsidRPr="00BA779A" w:rsidRDefault="00875853">
            <w:pPr>
              <w:spacing w:after="120"/>
              <w:jc w:val="center"/>
              <w:rPr>
                <w:rFonts w:ascii="Palatino Linotype" w:eastAsia="Palatino Linotype" w:hAnsi="Palatino Linotype" w:cs="Palatino Linotype"/>
                <w:b/>
                <w:sz w:val="16"/>
                <w:szCs w:val="16"/>
              </w:rPr>
            </w:pPr>
            <w:r w:rsidRPr="00BA779A">
              <w:rPr>
                <w:rFonts w:ascii="Palatino Linotype" w:eastAsia="Palatino Linotype" w:hAnsi="Palatino Linotype" w:cs="Palatino Linotype"/>
                <w:b/>
                <w:sz w:val="16"/>
                <w:szCs w:val="16"/>
              </w:rPr>
              <w:t>Número de folio de la solicitud</w:t>
            </w:r>
          </w:p>
        </w:tc>
        <w:tc>
          <w:tcPr>
            <w:tcW w:w="1417" w:type="dxa"/>
            <w:tcBorders>
              <w:top w:val="single" w:sz="4" w:space="0" w:color="000000"/>
            </w:tcBorders>
            <w:vAlign w:val="center"/>
          </w:tcPr>
          <w:p w14:paraId="4FD3DCF9" w14:textId="77777777" w:rsidR="00AC142E" w:rsidRPr="00BA779A" w:rsidRDefault="00875853">
            <w:pPr>
              <w:spacing w:after="120"/>
              <w:ind w:left="47"/>
              <w:jc w:val="center"/>
              <w:rPr>
                <w:rFonts w:ascii="Palatino Linotype" w:eastAsia="Palatino Linotype" w:hAnsi="Palatino Linotype" w:cs="Palatino Linotype"/>
                <w:b/>
              </w:rPr>
            </w:pPr>
            <w:r w:rsidRPr="00BA779A">
              <w:rPr>
                <w:rFonts w:ascii="Palatino Linotype" w:eastAsia="Palatino Linotype" w:hAnsi="Palatino Linotype" w:cs="Palatino Linotype"/>
                <w:b/>
              </w:rPr>
              <w:t>Sí</w:t>
            </w:r>
          </w:p>
        </w:tc>
        <w:tc>
          <w:tcPr>
            <w:tcW w:w="6095" w:type="dxa"/>
            <w:tcBorders>
              <w:top w:val="single" w:sz="4" w:space="0" w:color="000000"/>
            </w:tcBorders>
            <w:vAlign w:val="center"/>
          </w:tcPr>
          <w:p w14:paraId="0DD12BBB" w14:textId="77777777" w:rsidR="00AC142E" w:rsidRPr="00BA779A" w:rsidRDefault="00AC142E">
            <w:pPr>
              <w:spacing w:after="120"/>
              <w:ind w:left="-115"/>
              <w:jc w:val="center"/>
              <w:rPr>
                <w:rFonts w:ascii="Palatino Linotype" w:eastAsia="Palatino Linotype" w:hAnsi="Palatino Linotype" w:cs="Palatino Linotype"/>
                <w:sz w:val="2"/>
                <w:szCs w:val="2"/>
              </w:rPr>
            </w:pPr>
          </w:p>
          <w:p w14:paraId="2C874E4C" w14:textId="77777777" w:rsidR="00AC142E" w:rsidRPr="00BA779A" w:rsidRDefault="00875853">
            <w:pPr>
              <w:spacing w:after="120"/>
              <w:ind w:left="-115"/>
              <w:jc w:val="center"/>
              <w:rPr>
                <w:rFonts w:ascii="Palatino Linotype" w:eastAsia="Palatino Linotype" w:hAnsi="Palatino Linotype" w:cs="Palatino Linotype"/>
              </w:rPr>
            </w:pPr>
            <w:r w:rsidRPr="00BA779A">
              <w:rPr>
                <w:rFonts w:ascii="Palatino Linotype" w:eastAsia="Palatino Linotype" w:hAnsi="Palatino Linotype" w:cs="Palatino Linotype"/>
                <w:noProof/>
                <w:lang w:val="es-MX"/>
              </w:rPr>
              <w:drawing>
                <wp:inline distT="0" distB="0" distL="0" distR="0" wp14:anchorId="438AB7F3" wp14:editId="3BBFC38A">
                  <wp:extent cx="3733165" cy="970915"/>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733165" cy="970915"/>
                          </a:xfrm>
                          <a:prstGeom prst="rect">
                            <a:avLst/>
                          </a:prstGeom>
                          <a:ln/>
                        </pic:spPr>
                      </pic:pic>
                    </a:graphicData>
                  </a:graphic>
                </wp:inline>
              </w:drawing>
            </w:r>
          </w:p>
        </w:tc>
      </w:tr>
      <w:tr w:rsidR="00AC142E" w:rsidRPr="00BA779A" w14:paraId="0E06A1D8" w14:textId="77777777">
        <w:tc>
          <w:tcPr>
            <w:tcW w:w="1560" w:type="dxa"/>
            <w:vAlign w:val="center"/>
          </w:tcPr>
          <w:p w14:paraId="1493A514" w14:textId="77777777" w:rsidR="00AC142E" w:rsidRPr="00BA779A" w:rsidRDefault="00875853">
            <w:pPr>
              <w:spacing w:after="120"/>
              <w:jc w:val="center"/>
              <w:rPr>
                <w:rFonts w:ascii="Palatino Linotype" w:eastAsia="Palatino Linotype" w:hAnsi="Palatino Linotype" w:cs="Palatino Linotype"/>
                <w:b/>
                <w:sz w:val="16"/>
                <w:szCs w:val="16"/>
              </w:rPr>
            </w:pPr>
            <w:r w:rsidRPr="00BA779A">
              <w:rPr>
                <w:rFonts w:ascii="Palatino Linotype" w:eastAsia="Palatino Linotype" w:hAnsi="Palatino Linotype" w:cs="Palatino Linotype"/>
                <w:b/>
                <w:sz w:val="16"/>
                <w:szCs w:val="16"/>
              </w:rPr>
              <w:t>Referencia de la información solicitada</w:t>
            </w:r>
          </w:p>
        </w:tc>
        <w:tc>
          <w:tcPr>
            <w:tcW w:w="1417" w:type="dxa"/>
            <w:vAlign w:val="center"/>
          </w:tcPr>
          <w:p w14:paraId="7F30B246" w14:textId="77777777" w:rsidR="00AC142E" w:rsidRPr="00BA779A" w:rsidRDefault="00875853">
            <w:pPr>
              <w:spacing w:after="120"/>
              <w:ind w:left="47"/>
              <w:jc w:val="center"/>
              <w:rPr>
                <w:rFonts w:ascii="Palatino Linotype" w:eastAsia="Palatino Linotype" w:hAnsi="Palatino Linotype" w:cs="Palatino Linotype"/>
                <w:b/>
              </w:rPr>
            </w:pPr>
            <w:r w:rsidRPr="00BA779A">
              <w:rPr>
                <w:rFonts w:ascii="Palatino Linotype" w:eastAsia="Palatino Linotype" w:hAnsi="Palatino Linotype" w:cs="Palatino Linotype"/>
                <w:b/>
              </w:rPr>
              <w:t>Sí</w:t>
            </w:r>
          </w:p>
        </w:tc>
        <w:tc>
          <w:tcPr>
            <w:tcW w:w="6095" w:type="dxa"/>
            <w:vAlign w:val="center"/>
          </w:tcPr>
          <w:p w14:paraId="0A34289C" w14:textId="77777777" w:rsidR="00AC142E" w:rsidRPr="00BA779A" w:rsidRDefault="00875853">
            <w:pPr>
              <w:spacing w:after="120"/>
              <w:jc w:val="center"/>
              <w:rPr>
                <w:rFonts w:ascii="Palatino Linotype" w:eastAsia="Palatino Linotype" w:hAnsi="Palatino Linotype" w:cs="Palatino Linotype"/>
                <w:b/>
              </w:rPr>
            </w:pPr>
            <w:r w:rsidRPr="00BA779A">
              <w:rPr>
                <w:rFonts w:ascii="Palatino Linotype" w:eastAsia="Palatino Linotype" w:hAnsi="Palatino Linotype" w:cs="Palatino Linotype"/>
                <w:b/>
                <w:noProof/>
                <w:lang w:val="es-MX"/>
              </w:rPr>
              <w:drawing>
                <wp:inline distT="0" distB="0" distL="0" distR="0" wp14:anchorId="46BD4BF1" wp14:editId="671728FA">
                  <wp:extent cx="3733165" cy="558165"/>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733165" cy="558165"/>
                          </a:xfrm>
                          <a:prstGeom prst="rect">
                            <a:avLst/>
                          </a:prstGeom>
                          <a:ln/>
                        </pic:spPr>
                      </pic:pic>
                    </a:graphicData>
                  </a:graphic>
                </wp:inline>
              </w:drawing>
            </w:r>
          </w:p>
        </w:tc>
      </w:tr>
      <w:tr w:rsidR="00AC142E" w:rsidRPr="00BA779A" w14:paraId="5C0D03C3" w14:textId="77777777">
        <w:tc>
          <w:tcPr>
            <w:tcW w:w="1560" w:type="dxa"/>
            <w:vAlign w:val="center"/>
          </w:tcPr>
          <w:p w14:paraId="2F7BA5A6" w14:textId="77777777" w:rsidR="00AC142E" w:rsidRPr="00BA779A" w:rsidRDefault="00875853">
            <w:pPr>
              <w:spacing w:after="120"/>
              <w:jc w:val="center"/>
              <w:rPr>
                <w:rFonts w:ascii="Palatino Linotype" w:eastAsia="Palatino Linotype" w:hAnsi="Palatino Linotype" w:cs="Palatino Linotype"/>
                <w:b/>
                <w:sz w:val="16"/>
                <w:szCs w:val="16"/>
              </w:rPr>
            </w:pPr>
            <w:r w:rsidRPr="00BA779A">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358EA467" w14:textId="77777777" w:rsidR="00AC142E" w:rsidRPr="00BA779A" w:rsidRDefault="00875853">
            <w:pPr>
              <w:spacing w:after="120"/>
              <w:ind w:left="47"/>
              <w:jc w:val="center"/>
              <w:rPr>
                <w:rFonts w:ascii="Palatino Linotype" w:eastAsia="Palatino Linotype" w:hAnsi="Palatino Linotype" w:cs="Palatino Linotype"/>
                <w:b/>
              </w:rPr>
            </w:pPr>
            <w:r w:rsidRPr="00BA779A">
              <w:rPr>
                <w:rFonts w:ascii="Palatino Linotype" w:eastAsia="Palatino Linotype" w:hAnsi="Palatino Linotype" w:cs="Palatino Linotype"/>
                <w:b/>
              </w:rPr>
              <w:t>Sí</w:t>
            </w:r>
          </w:p>
        </w:tc>
        <w:tc>
          <w:tcPr>
            <w:tcW w:w="6095" w:type="dxa"/>
            <w:vAlign w:val="center"/>
          </w:tcPr>
          <w:p w14:paraId="3C45C7C1" w14:textId="77777777" w:rsidR="00AC142E" w:rsidRPr="00BA779A" w:rsidRDefault="00875853">
            <w:pPr>
              <w:spacing w:after="120"/>
              <w:jc w:val="center"/>
              <w:rPr>
                <w:rFonts w:ascii="Palatino Linotype" w:eastAsia="Palatino Linotype" w:hAnsi="Palatino Linotype" w:cs="Palatino Linotype"/>
                <w:b/>
              </w:rPr>
            </w:pPr>
            <w:r w:rsidRPr="00BA779A">
              <w:rPr>
                <w:rFonts w:ascii="Palatino Linotype" w:eastAsia="Palatino Linotype" w:hAnsi="Palatino Linotype" w:cs="Palatino Linotype"/>
                <w:b/>
                <w:noProof/>
                <w:lang w:val="es-MX"/>
              </w:rPr>
              <w:drawing>
                <wp:inline distT="0" distB="0" distL="0" distR="0" wp14:anchorId="7E8BE325" wp14:editId="57960AF6">
                  <wp:extent cx="3733165" cy="2070735"/>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733165" cy="2070735"/>
                          </a:xfrm>
                          <a:prstGeom prst="rect">
                            <a:avLst/>
                          </a:prstGeom>
                          <a:ln/>
                        </pic:spPr>
                      </pic:pic>
                    </a:graphicData>
                  </a:graphic>
                </wp:inline>
              </w:drawing>
            </w:r>
          </w:p>
        </w:tc>
      </w:tr>
      <w:tr w:rsidR="00AC142E" w:rsidRPr="00BA779A" w14:paraId="4FB84140" w14:textId="77777777">
        <w:tc>
          <w:tcPr>
            <w:tcW w:w="1560" w:type="dxa"/>
            <w:vAlign w:val="center"/>
          </w:tcPr>
          <w:p w14:paraId="7A564912" w14:textId="77777777" w:rsidR="00AC142E" w:rsidRPr="00BA779A" w:rsidRDefault="00875853">
            <w:pPr>
              <w:tabs>
                <w:tab w:val="left" w:pos="317"/>
              </w:tabs>
              <w:spacing w:after="120"/>
              <w:jc w:val="center"/>
              <w:rPr>
                <w:rFonts w:ascii="Palatino Linotype" w:eastAsia="Palatino Linotype" w:hAnsi="Palatino Linotype" w:cs="Palatino Linotype"/>
                <w:b/>
                <w:sz w:val="16"/>
                <w:szCs w:val="16"/>
              </w:rPr>
            </w:pPr>
            <w:r w:rsidRPr="00BA779A">
              <w:rPr>
                <w:rFonts w:ascii="Palatino Linotype" w:eastAsia="Palatino Linotype" w:hAnsi="Palatino Linotype" w:cs="Palatino Linotype"/>
                <w:b/>
                <w:sz w:val="16"/>
                <w:szCs w:val="16"/>
              </w:rPr>
              <w:t>Fundamento y Motivación Legal</w:t>
            </w:r>
          </w:p>
        </w:tc>
        <w:tc>
          <w:tcPr>
            <w:tcW w:w="1417" w:type="dxa"/>
            <w:vAlign w:val="center"/>
          </w:tcPr>
          <w:p w14:paraId="5B3E33B2" w14:textId="77777777" w:rsidR="00AC142E" w:rsidRPr="00BA779A" w:rsidRDefault="00875853">
            <w:pPr>
              <w:spacing w:after="120"/>
              <w:ind w:left="47"/>
              <w:jc w:val="center"/>
              <w:rPr>
                <w:rFonts w:ascii="Palatino Linotype" w:eastAsia="Palatino Linotype" w:hAnsi="Palatino Linotype" w:cs="Palatino Linotype"/>
                <w:b/>
              </w:rPr>
            </w:pPr>
            <w:r w:rsidRPr="00BA779A">
              <w:rPr>
                <w:rFonts w:ascii="Palatino Linotype" w:eastAsia="Palatino Linotype" w:hAnsi="Palatino Linotype" w:cs="Palatino Linotype"/>
                <w:b/>
              </w:rPr>
              <w:t>Parcial</w:t>
            </w:r>
          </w:p>
        </w:tc>
        <w:tc>
          <w:tcPr>
            <w:tcW w:w="6095" w:type="dxa"/>
            <w:vAlign w:val="center"/>
          </w:tcPr>
          <w:p w14:paraId="7C520CC0" w14:textId="77777777" w:rsidR="00AC142E" w:rsidRPr="00BA779A" w:rsidRDefault="00AC142E">
            <w:pPr>
              <w:spacing w:after="120"/>
              <w:jc w:val="center"/>
              <w:rPr>
                <w:rFonts w:ascii="Palatino Linotype" w:eastAsia="Palatino Linotype" w:hAnsi="Palatino Linotype" w:cs="Palatino Linotype"/>
                <w:b/>
                <w:sz w:val="2"/>
                <w:szCs w:val="2"/>
              </w:rPr>
            </w:pPr>
          </w:p>
          <w:p w14:paraId="72C020D3" w14:textId="77777777" w:rsidR="00AC142E" w:rsidRPr="00BA779A" w:rsidRDefault="00875853">
            <w:pPr>
              <w:spacing w:after="120"/>
              <w:ind w:left="47"/>
              <w:jc w:val="center"/>
              <w:rPr>
                <w:rFonts w:ascii="Palatino Linotype" w:eastAsia="Palatino Linotype" w:hAnsi="Palatino Linotype" w:cs="Palatino Linotype"/>
                <w:b/>
              </w:rPr>
            </w:pPr>
            <w:r w:rsidRPr="00BA779A">
              <w:rPr>
                <w:rFonts w:ascii="Palatino Linotype" w:eastAsia="Palatino Linotype" w:hAnsi="Palatino Linotype" w:cs="Palatino Linotype"/>
                <w:b/>
                <w:noProof/>
                <w:lang w:val="es-MX"/>
              </w:rPr>
              <w:lastRenderedPageBreak/>
              <w:drawing>
                <wp:inline distT="0" distB="0" distL="0" distR="0" wp14:anchorId="322F5769" wp14:editId="5D391B07">
                  <wp:extent cx="3733165" cy="2070735"/>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733165" cy="2070735"/>
                          </a:xfrm>
                          <a:prstGeom prst="rect">
                            <a:avLst/>
                          </a:prstGeom>
                          <a:ln/>
                        </pic:spPr>
                      </pic:pic>
                    </a:graphicData>
                  </a:graphic>
                </wp:inline>
              </w:drawing>
            </w:r>
          </w:p>
        </w:tc>
      </w:tr>
      <w:tr w:rsidR="00AC142E" w:rsidRPr="00BA779A" w14:paraId="1D0027F0" w14:textId="77777777">
        <w:tc>
          <w:tcPr>
            <w:tcW w:w="1560" w:type="dxa"/>
            <w:vAlign w:val="center"/>
          </w:tcPr>
          <w:p w14:paraId="6AAC252A" w14:textId="77777777" w:rsidR="00AC142E" w:rsidRPr="00BA779A" w:rsidRDefault="00875853">
            <w:pPr>
              <w:spacing w:after="120"/>
              <w:jc w:val="center"/>
              <w:rPr>
                <w:rFonts w:ascii="Palatino Linotype" w:eastAsia="Palatino Linotype" w:hAnsi="Palatino Linotype" w:cs="Palatino Linotype"/>
                <w:b/>
                <w:sz w:val="16"/>
                <w:szCs w:val="16"/>
              </w:rPr>
            </w:pPr>
            <w:r w:rsidRPr="00BA779A">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1417" w:type="dxa"/>
            <w:vAlign w:val="center"/>
          </w:tcPr>
          <w:p w14:paraId="691AB231" w14:textId="77777777" w:rsidR="00AC142E" w:rsidRPr="00BA779A" w:rsidRDefault="00875853">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4"/>
                <w:szCs w:val="24"/>
              </w:rPr>
            </w:pPr>
            <w:r w:rsidRPr="00BA779A">
              <w:rPr>
                <w:rFonts w:ascii="Palatino Linotype" w:eastAsia="Palatino Linotype" w:hAnsi="Palatino Linotype" w:cs="Palatino Linotype"/>
                <w:b/>
                <w:color w:val="000000"/>
                <w:sz w:val="24"/>
                <w:szCs w:val="24"/>
              </w:rPr>
              <w:t>Sí</w:t>
            </w:r>
          </w:p>
        </w:tc>
        <w:tc>
          <w:tcPr>
            <w:tcW w:w="6095" w:type="dxa"/>
            <w:vAlign w:val="center"/>
          </w:tcPr>
          <w:p w14:paraId="4032FE42" w14:textId="77777777" w:rsidR="00AC142E" w:rsidRPr="00BA779A" w:rsidRDefault="00875853">
            <w:pPr>
              <w:pBdr>
                <w:top w:val="nil"/>
                <w:left w:val="nil"/>
                <w:bottom w:val="nil"/>
                <w:right w:val="nil"/>
                <w:between w:val="nil"/>
              </w:pBdr>
              <w:spacing w:after="120"/>
              <w:ind w:left="29" w:firstLine="18"/>
              <w:jc w:val="center"/>
              <w:rPr>
                <w:rFonts w:ascii="Times New Roman" w:eastAsia="Times New Roman" w:hAnsi="Times New Roman" w:cs="Times New Roman"/>
                <w:color w:val="000000"/>
                <w:sz w:val="24"/>
                <w:szCs w:val="24"/>
              </w:rPr>
            </w:pPr>
            <w:r w:rsidRPr="00BA779A">
              <w:rPr>
                <w:rFonts w:ascii="Times New Roman" w:eastAsia="Times New Roman" w:hAnsi="Times New Roman" w:cs="Times New Roman"/>
                <w:noProof/>
                <w:color w:val="000000"/>
                <w:sz w:val="24"/>
                <w:szCs w:val="24"/>
                <w:lang w:val="es-MX"/>
              </w:rPr>
              <w:drawing>
                <wp:inline distT="0" distB="0" distL="0" distR="0" wp14:anchorId="72CECB1C" wp14:editId="0252DCC6">
                  <wp:extent cx="3733165" cy="1819275"/>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733165" cy="1819275"/>
                          </a:xfrm>
                          <a:prstGeom prst="rect">
                            <a:avLst/>
                          </a:prstGeom>
                          <a:ln/>
                        </pic:spPr>
                      </pic:pic>
                    </a:graphicData>
                  </a:graphic>
                </wp:inline>
              </w:drawing>
            </w:r>
          </w:p>
          <w:p w14:paraId="7F50F87F" w14:textId="77777777" w:rsidR="00AC142E" w:rsidRPr="00BA779A" w:rsidRDefault="00875853">
            <w:pPr>
              <w:pBdr>
                <w:top w:val="nil"/>
                <w:left w:val="nil"/>
                <w:bottom w:val="nil"/>
                <w:right w:val="nil"/>
                <w:between w:val="nil"/>
              </w:pBdr>
              <w:spacing w:after="120"/>
              <w:ind w:left="29" w:firstLine="18"/>
              <w:jc w:val="center"/>
              <w:rPr>
                <w:rFonts w:ascii="Times New Roman" w:eastAsia="Times New Roman" w:hAnsi="Times New Roman" w:cs="Times New Roman"/>
                <w:color w:val="000000"/>
                <w:sz w:val="24"/>
                <w:szCs w:val="24"/>
              </w:rPr>
            </w:pPr>
            <w:r w:rsidRPr="00BA779A">
              <w:rPr>
                <w:rFonts w:ascii="Times New Roman" w:eastAsia="Times New Roman" w:hAnsi="Times New Roman" w:cs="Times New Roman"/>
                <w:noProof/>
                <w:color w:val="000000"/>
                <w:sz w:val="24"/>
                <w:szCs w:val="24"/>
                <w:lang w:val="es-MX"/>
              </w:rPr>
              <w:drawing>
                <wp:inline distT="0" distB="0" distL="0" distR="0" wp14:anchorId="3FEC451D" wp14:editId="66243151">
                  <wp:extent cx="3733165" cy="3052445"/>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733165" cy="3052445"/>
                          </a:xfrm>
                          <a:prstGeom prst="rect">
                            <a:avLst/>
                          </a:prstGeom>
                          <a:ln/>
                        </pic:spPr>
                      </pic:pic>
                    </a:graphicData>
                  </a:graphic>
                </wp:inline>
              </w:drawing>
            </w:r>
          </w:p>
          <w:p w14:paraId="605A2E20" w14:textId="77777777" w:rsidR="00AC142E" w:rsidRPr="00BA779A" w:rsidRDefault="00AC142E">
            <w:pPr>
              <w:pBdr>
                <w:top w:val="nil"/>
                <w:left w:val="nil"/>
                <w:bottom w:val="nil"/>
                <w:right w:val="nil"/>
                <w:between w:val="nil"/>
              </w:pBdr>
              <w:spacing w:after="120"/>
              <w:ind w:left="29" w:firstLine="18"/>
              <w:jc w:val="center"/>
              <w:rPr>
                <w:rFonts w:ascii="Times New Roman" w:eastAsia="Times New Roman" w:hAnsi="Times New Roman" w:cs="Times New Roman"/>
                <w:color w:val="000000"/>
                <w:sz w:val="24"/>
                <w:szCs w:val="24"/>
              </w:rPr>
            </w:pPr>
          </w:p>
          <w:p w14:paraId="7EA8638E" w14:textId="77777777" w:rsidR="00AC142E" w:rsidRPr="00BA779A" w:rsidRDefault="00AC142E">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4"/>
                <w:szCs w:val="24"/>
              </w:rPr>
            </w:pPr>
          </w:p>
        </w:tc>
      </w:tr>
      <w:tr w:rsidR="00AC142E" w:rsidRPr="00BA779A" w14:paraId="32389291" w14:textId="77777777">
        <w:tc>
          <w:tcPr>
            <w:tcW w:w="9072" w:type="dxa"/>
            <w:gridSpan w:val="3"/>
            <w:shd w:val="clear" w:color="auto" w:fill="D9D9D9"/>
            <w:vAlign w:val="center"/>
          </w:tcPr>
          <w:p w14:paraId="2A08E4A7" w14:textId="77777777" w:rsidR="00AC142E" w:rsidRPr="00BA779A" w:rsidRDefault="00875853">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b/>
                <w:color w:val="000000"/>
                <w:sz w:val="24"/>
                <w:szCs w:val="24"/>
              </w:rPr>
              <w:lastRenderedPageBreak/>
              <w:t>Prueba de Daño</w:t>
            </w:r>
          </w:p>
        </w:tc>
      </w:tr>
      <w:tr w:rsidR="00AC142E" w:rsidRPr="00BA779A" w14:paraId="3ED157C4" w14:textId="77777777">
        <w:tc>
          <w:tcPr>
            <w:tcW w:w="1560" w:type="dxa"/>
            <w:vAlign w:val="center"/>
          </w:tcPr>
          <w:p w14:paraId="3F5B8B7C" w14:textId="77777777" w:rsidR="00AC142E" w:rsidRPr="00BA779A" w:rsidRDefault="00875853">
            <w:pPr>
              <w:spacing w:after="120"/>
              <w:jc w:val="center"/>
              <w:rPr>
                <w:rFonts w:ascii="Palatino Linotype" w:eastAsia="Palatino Linotype" w:hAnsi="Palatino Linotype" w:cs="Palatino Linotype"/>
                <w:b/>
                <w:sz w:val="16"/>
                <w:szCs w:val="16"/>
              </w:rPr>
            </w:pPr>
            <w:r w:rsidRPr="00BA779A">
              <w:rPr>
                <w:rFonts w:ascii="Palatino Linotype" w:eastAsia="Palatino Linotype" w:hAnsi="Palatino Linotype" w:cs="Palatino Linotype"/>
                <w:b/>
                <w:sz w:val="16"/>
                <w:szCs w:val="16"/>
              </w:rPr>
              <w:t>Riesgo Real, Demostrable e Identificable</w:t>
            </w:r>
          </w:p>
          <w:p w14:paraId="3602E07A" w14:textId="77777777" w:rsidR="00AC142E" w:rsidRPr="00BA779A" w:rsidRDefault="00875853">
            <w:pPr>
              <w:spacing w:after="120"/>
              <w:jc w:val="center"/>
              <w:rPr>
                <w:rFonts w:ascii="Palatino Linotype" w:eastAsia="Palatino Linotype" w:hAnsi="Palatino Linotype" w:cs="Palatino Linotype"/>
                <w:b/>
                <w:sz w:val="16"/>
                <w:szCs w:val="16"/>
              </w:rPr>
            </w:pPr>
            <w:r w:rsidRPr="00BA779A">
              <w:rPr>
                <w:rFonts w:ascii="Palatino Linotype" w:eastAsia="Palatino Linotype" w:hAnsi="Palatino Linotype" w:cs="Palatino Linotype"/>
                <w:b/>
                <w:sz w:val="16"/>
                <w:szCs w:val="16"/>
              </w:rPr>
              <w:t>(Modo, Tiempo y Lugar)</w:t>
            </w:r>
          </w:p>
        </w:tc>
        <w:tc>
          <w:tcPr>
            <w:tcW w:w="1417" w:type="dxa"/>
            <w:vAlign w:val="center"/>
          </w:tcPr>
          <w:p w14:paraId="276A664A" w14:textId="77777777" w:rsidR="00AC142E" w:rsidRPr="00BA779A" w:rsidRDefault="00875853">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4"/>
                <w:szCs w:val="24"/>
              </w:rPr>
            </w:pPr>
            <w:r w:rsidRPr="00BA779A">
              <w:rPr>
                <w:rFonts w:ascii="Palatino Linotype" w:eastAsia="Palatino Linotype" w:hAnsi="Palatino Linotype" w:cs="Palatino Linotype"/>
                <w:b/>
                <w:color w:val="000000"/>
                <w:sz w:val="24"/>
                <w:szCs w:val="24"/>
              </w:rPr>
              <w:t>Sí</w:t>
            </w:r>
          </w:p>
        </w:tc>
        <w:tc>
          <w:tcPr>
            <w:tcW w:w="6095" w:type="dxa"/>
            <w:vAlign w:val="center"/>
          </w:tcPr>
          <w:p w14:paraId="37E2E0AD" w14:textId="77777777" w:rsidR="00AC142E" w:rsidRPr="00BA779A" w:rsidRDefault="00875853">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noProof/>
                <w:color w:val="000000"/>
                <w:sz w:val="24"/>
                <w:szCs w:val="24"/>
                <w:lang w:val="es-MX"/>
              </w:rPr>
              <w:drawing>
                <wp:inline distT="0" distB="0" distL="0" distR="0" wp14:anchorId="1584E1B8" wp14:editId="25D41BE6">
                  <wp:extent cx="3733165" cy="1717675"/>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733165" cy="1717675"/>
                          </a:xfrm>
                          <a:prstGeom prst="rect">
                            <a:avLst/>
                          </a:prstGeom>
                          <a:ln/>
                        </pic:spPr>
                      </pic:pic>
                    </a:graphicData>
                  </a:graphic>
                </wp:inline>
              </w:drawing>
            </w:r>
          </w:p>
          <w:p w14:paraId="15D224BE" w14:textId="77777777" w:rsidR="00AC142E" w:rsidRPr="00BA779A" w:rsidRDefault="00875853">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noProof/>
                <w:color w:val="000000"/>
                <w:sz w:val="24"/>
                <w:szCs w:val="24"/>
                <w:lang w:val="es-MX"/>
              </w:rPr>
              <w:drawing>
                <wp:inline distT="0" distB="0" distL="0" distR="0" wp14:anchorId="553F080B" wp14:editId="6E245E64">
                  <wp:extent cx="3733165" cy="1718310"/>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733165" cy="1718310"/>
                          </a:xfrm>
                          <a:prstGeom prst="rect">
                            <a:avLst/>
                          </a:prstGeom>
                          <a:ln/>
                        </pic:spPr>
                      </pic:pic>
                    </a:graphicData>
                  </a:graphic>
                </wp:inline>
              </w:drawing>
            </w:r>
          </w:p>
          <w:p w14:paraId="39D842F9" w14:textId="77777777" w:rsidR="00AC142E" w:rsidRPr="00BA779A" w:rsidRDefault="00875853">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4"/>
                <w:szCs w:val="24"/>
              </w:rPr>
            </w:pPr>
            <w:r w:rsidRPr="00BA779A">
              <w:rPr>
                <w:rFonts w:ascii="Palatino Linotype" w:eastAsia="Palatino Linotype" w:hAnsi="Palatino Linotype" w:cs="Palatino Linotype"/>
                <w:noProof/>
                <w:color w:val="000000"/>
                <w:sz w:val="24"/>
                <w:szCs w:val="24"/>
                <w:lang w:val="es-MX"/>
              </w:rPr>
              <w:drawing>
                <wp:inline distT="0" distB="0" distL="0" distR="0" wp14:anchorId="04461EB7" wp14:editId="1114F3AD">
                  <wp:extent cx="3733165" cy="1669415"/>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733165" cy="1669415"/>
                          </a:xfrm>
                          <a:prstGeom prst="rect">
                            <a:avLst/>
                          </a:prstGeom>
                          <a:ln/>
                        </pic:spPr>
                      </pic:pic>
                    </a:graphicData>
                  </a:graphic>
                </wp:inline>
              </w:drawing>
            </w:r>
          </w:p>
          <w:p w14:paraId="388E1BE8" w14:textId="77777777" w:rsidR="00AC142E" w:rsidRPr="00BA779A" w:rsidRDefault="00AC142E">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4"/>
                <w:szCs w:val="24"/>
              </w:rPr>
            </w:pPr>
          </w:p>
        </w:tc>
      </w:tr>
      <w:tr w:rsidR="00AC142E" w:rsidRPr="00BA779A" w14:paraId="66862836" w14:textId="77777777">
        <w:tc>
          <w:tcPr>
            <w:tcW w:w="1560" w:type="dxa"/>
            <w:vAlign w:val="center"/>
          </w:tcPr>
          <w:p w14:paraId="0020D4CC" w14:textId="77777777" w:rsidR="00AC142E" w:rsidRPr="00BA779A" w:rsidRDefault="00875853">
            <w:pPr>
              <w:spacing w:after="120"/>
              <w:jc w:val="center"/>
              <w:rPr>
                <w:rFonts w:ascii="Palatino Linotype" w:eastAsia="Palatino Linotype" w:hAnsi="Palatino Linotype" w:cs="Palatino Linotype"/>
                <w:b/>
                <w:sz w:val="16"/>
                <w:szCs w:val="16"/>
              </w:rPr>
            </w:pPr>
            <w:r w:rsidRPr="00BA779A">
              <w:rPr>
                <w:rFonts w:ascii="Palatino Linotype" w:eastAsia="Palatino Linotype" w:hAnsi="Palatino Linotype" w:cs="Palatino Linotype"/>
                <w:b/>
                <w:sz w:val="16"/>
                <w:szCs w:val="16"/>
              </w:rPr>
              <w:lastRenderedPageBreak/>
              <w:t>Temporalidad de la Reserva de la información</w:t>
            </w:r>
          </w:p>
        </w:tc>
        <w:tc>
          <w:tcPr>
            <w:tcW w:w="1417" w:type="dxa"/>
            <w:vAlign w:val="center"/>
          </w:tcPr>
          <w:p w14:paraId="06903A61" w14:textId="77777777" w:rsidR="00AC142E" w:rsidRPr="00BA779A" w:rsidRDefault="00875853">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4"/>
                <w:szCs w:val="24"/>
              </w:rPr>
            </w:pPr>
            <w:r w:rsidRPr="00BA779A">
              <w:rPr>
                <w:rFonts w:ascii="Palatino Linotype" w:eastAsia="Palatino Linotype" w:hAnsi="Palatino Linotype" w:cs="Palatino Linotype"/>
                <w:b/>
                <w:color w:val="000000"/>
                <w:sz w:val="24"/>
                <w:szCs w:val="24"/>
              </w:rPr>
              <w:t>Sí</w:t>
            </w:r>
          </w:p>
        </w:tc>
        <w:tc>
          <w:tcPr>
            <w:tcW w:w="6095" w:type="dxa"/>
            <w:vAlign w:val="center"/>
          </w:tcPr>
          <w:p w14:paraId="661C4B6B" w14:textId="77777777" w:rsidR="00AC142E" w:rsidRPr="00BA779A" w:rsidRDefault="00875853">
            <w:pPr>
              <w:pBdr>
                <w:top w:val="nil"/>
                <w:left w:val="nil"/>
                <w:bottom w:val="nil"/>
                <w:right w:val="nil"/>
                <w:between w:val="nil"/>
              </w:pBdr>
              <w:spacing w:after="120"/>
              <w:ind w:left="29" w:firstLine="18"/>
              <w:jc w:val="center"/>
              <w:rPr>
                <w:rFonts w:ascii="Times New Roman" w:eastAsia="Times New Roman" w:hAnsi="Times New Roman" w:cs="Times New Roman"/>
                <w:color w:val="000000"/>
                <w:sz w:val="24"/>
                <w:szCs w:val="24"/>
              </w:rPr>
            </w:pPr>
            <w:r w:rsidRPr="00BA779A">
              <w:rPr>
                <w:rFonts w:ascii="Times New Roman" w:eastAsia="Times New Roman" w:hAnsi="Times New Roman" w:cs="Times New Roman"/>
                <w:noProof/>
                <w:color w:val="000000"/>
                <w:sz w:val="24"/>
                <w:szCs w:val="24"/>
                <w:lang w:val="es-MX"/>
              </w:rPr>
              <w:drawing>
                <wp:inline distT="0" distB="0" distL="0" distR="0" wp14:anchorId="6BD4F93B" wp14:editId="646A2DEA">
                  <wp:extent cx="3733165" cy="1756410"/>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733165" cy="1756410"/>
                          </a:xfrm>
                          <a:prstGeom prst="rect">
                            <a:avLst/>
                          </a:prstGeom>
                          <a:ln/>
                        </pic:spPr>
                      </pic:pic>
                    </a:graphicData>
                  </a:graphic>
                </wp:inline>
              </w:drawing>
            </w:r>
          </w:p>
        </w:tc>
      </w:tr>
      <w:tr w:rsidR="00AC142E" w:rsidRPr="00BA779A" w14:paraId="581880C7" w14:textId="77777777">
        <w:trPr>
          <w:trHeight w:val="8295"/>
        </w:trPr>
        <w:tc>
          <w:tcPr>
            <w:tcW w:w="1560" w:type="dxa"/>
            <w:vAlign w:val="center"/>
          </w:tcPr>
          <w:p w14:paraId="43C19F98" w14:textId="77777777" w:rsidR="00AC142E" w:rsidRPr="00BA779A" w:rsidRDefault="00875853">
            <w:pPr>
              <w:tabs>
                <w:tab w:val="left" w:pos="317"/>
              </w:tabs>
              <w:spacing w:after="120"/>
              <w:jc w:val="center"/>
              <w:rPr>
                <w:rFonts w:ascii="Palatino Linotype" w:eastAsia="Palatino Linotype" w:hAnsi="Palatino Linotype" w:cs="Palatino Linotype"/>
                <w:b/>
                <w:sz w:val="16"/>
                <w:szCs w:val="16"/>
              </w:rPr>
            </w:pPr>
            <w:r w:rsidRPr="00BA779A">
              <w:rPr>
                <w:rFonts w:ascii="Palatino Linotype" w:eastAsia="Palatino Linotype" w:hAnsi="Palatino Linotype" w:cs="Palatino Linotype"/>
                <w:b/>
                <w:sz w:val="16"/>
                <w:szCs w:val="16"/>
              </w:rPr>
              <w:t>Autoridades competentes.</w:t>
            </w:r>
          </w:p>
        </w:tc>
        <w:tc>
          <w:tcPr>
            <w:tcW w:w="1417" w:type="dxa"/>
            <w:vAlign w:val="center"/>
          </w:tcPr>
          <w:p w14:paraId="76146D59" w14:textId="77777777" w:rsidR="00AC142E" w:rsidRPr="00BA779A" w:rsidRDefault="00875853">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4"/>
                <w:szCs w:val="24"/>
              </w:rPr>
            </w:pPr>
            <w:r w:rsidRPr="00BA779A">
              <w:rPr>
                <w:rFonts w:ascii="Palatino Linotype" w:eastAsia="Palatino Linotype" w:hAnsi="Palatino Linotype" w:cs="Palatino Linotype"/>
                <w:b/>
                <w:color w:val="000000"/>
                <w:sz w:val="24"/>
                <w:szCs w:val="24"/>
              </w:rPr>
              <w:t>Sí</w:t>
            </w:r>
          </w:p>
        </w:tc>
        <w:tc>
          <w:tcPr>
            <w:tcW w:w="6095" w:type="dxa"/>
          </w:tcPr>
          <w:p w14:paraId="08B3D517" w14:textId="77777777" w:rsidR="00AC142E" w:rsidRPr="00BA779A" w:rsidRDefault="00AC142E"/>
          <w:p w14:paraId="76027A3E" w14:textId="77777777" w:rsidR="00AC142E" w:rsidRPr="00BA779A" w:rsidRDefault="00875853">
            <w:r w:rsidRPr="00BA779A">
              <w:rPr>
                <w:noProof/>
                <w:lang w:val="es-MX"/>
              </w:rPr>
              <w:drawing>
                <wp:inline distT="0" distB="0" distL="0" distR="0" wp14:anchorId="58704FFC" wp14:editId="67B9588D">
                  <wp:extent cx="3827046" cy="5090413"/>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827046" cy="5090413"/>
                          </a:xfrm>
                          <a:prstGeom prst="rect">
                            <a:avLst/>
                          </a:prstGeom>
                          <a:ln/>
                        </pic:spPr>
                      </pic:pic>
                    </a:graphicData>
                  </a:graphic>
                </wp:inline>
              </w:drawing>
            </w:r>
          </w:p>
        </w:tc>
      </w:tr>
    </w:tbl>
    <w:p w14:paraId="3F112DA2" w14:textId="77777777" w:rsidR="00AC142E" w:rsidRPr="00BA779A" w:rsidRDefault="00AC142E">
      <w:pPr>
        <w:spacing w:line="360" w:lineRule="auto"/>
        <w:jc w:val="both"/>
        <w:rPr>
          <w:rFonts w:ascii="Palatino Linotype" w:eastAsia="Palatino Linotype" w:hAnsi="Palatino Linotype" w:cs="Palatino Linotype"/>
          <w:sz w:val="24"/>
          <w:szCs w:val="24"/>
        </w:rPr>
      </w:pPr>
    </w:p>
    <w:p w14:paraId="11106371" w14:textId="77777777" w:rsidR="00AC142E" w:rsidRPr="00BA779A" w:rsidRDefault="00875853">
      <w:pPr>
        <w:spacing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lastRenderedPageBreak/>
        <w:t>Atento a lo anterior, el Sujeto Obligado, realizó la prueba de daño y precisó las razones por las cuales la apertura de la información generaría una afectación, para ello refirió que su divulgación representa un riesgo real, demostrable e identificable, además estableció que el perjuicio supera de momento el interés público general que pudiera existir sobre la información requerida; sin embargo, es de gran importancia señalar que si bien, el acuerdo remitido por el sujeto obligado pudiera colmar cabalmente las pretensiones de la parte solicitante, también cierto es que, este no esta debidamente fundado, esto es, no encuadro correctamente la fracción de los artículos de la Ley General de Transparencia y la Ley de Transparencia Local, ya que como se puede apreciar pretende clasificar con la fracción X del artículo 113 de la Ley General de Transparencia y la fracción VI del artículo 140 de la Ley Local de Transparencia, las cuales refieren lo siguiente:</w:t>
      </w:r>
    </w:p>
    <w:p w14:paraId="3CC39362" w14:textId="77777777" w:rsidR="00AC142E" w:rsidRPr="00BA779A" w:rsidRDefault="00875853">
      <w:pPr>
        <w:tabs>
          <w:tab w:val="left" w:pos="1331"/>
        </w:tabs>
        <w:spacing w:line="360" w:lineRule="auto"/>
        <w:ind w:left="708"/>
        <w:jc w:val="both"/>
        <w:rPr>
          <w:rFonts w:ascii="Palatino Linotype" w:eastAsia="Palatino Linotype" w:hAnsi="Palatino Linotype" w:cs="Palatino Linotype"/>
          <w:i/>
        </w:rPr>
      </w:pPr>
      <w:r w:rsidRPr="00BA779A">
        <w:rPr>
          <w:rFonts w:ascii="Palatino Linotype" w:eastAsia="Palatino Linotype" w:hAnsi="Palatino Linotype" w:cs="Palatino Linotype"/>
          <w:i/>
        </w:rPr>
        <w:t>Artículo 113. Como información reservada podrá clasificarse aquella cuya publicación:</w:t>
      </w:r>
    </w:p>
    <w:p w14:paraId="35F9EC52" w14:textId="77777777" w:rsidR="00AC142E" w:rsidRPr="00BA779A" w:rsidRDefault="00875853">
      <w:pPr>
        <w:tabs>
          <w:tab w:val="left" w:pos="1331"/>
        </w:tabs>
        <w:spacing w:line="360" w:lineRule="auto"/>
        <w:ind w:left="708"/>
        <w:jc w:val="both"/>
        <w:rPr>
          <w:rFonts w:ascii="Palatino Linotype" w:eastAsia="Palatino Linotype" w:hAnsi="Palatino Linotype" w:cs="Palatino Linotype"/>
          <w:i/>
        </w:rPr>
      </w:pPr>
      <w:r w:rsidRPr="00BA779A">
        <w:rPr>
          <w:rFonts w:ascii="Palatino Linotype" w:eastAsia="Palatino Linotype" w:hAnsi="Palatino Linotype" w:cs="Palatino Linotype"/>
          <w:i/>
        </w:rPr>
        <w:t>…</w:t>
      </w:r>
    </w:p>
    <w:p w14:paraId="4FEBD7D6" w14:textId="77777777" w:rsidR="00AC142E" w:rsidRPr="00BA779A" w:rsidRDefault="00875853">
      <w:pPr>
        <w:tabs>
          <w:tab w:val="left" w:pos="1331"/>
        </w:tabs>
        <w:spacing w:line="360" w:lineRule="auto"/>
        <w:ind w:left="708"/>
        <w:jc w:val="both"/>
        <w:rPr>
          <w:rFonts w:ascii="Palatino Linotype" w:eastAsia="Palatino Linotype" w:hAnsi="Palatino Linotype" w:cs="Palatino Linotype"/>
          <w:i/>
        </w:rPr>
      </w:pPr>
      <w:r w:rsidRPr="00BA779A">
        <w:rPr>
          <w:rFonts w:ascii="Palatino Linotype" w:eastAsia="Palatino Linotype" w:hAnsi="Palatino Linotype" w:cs="Palatino Linotype"/>
          <w:i/>
        </w:rPr>
        <w:t>X. Afecte los derechos del debido proceso;</w:t>
      </w:r>
    </w:p>
    <w:p w14:paraId="25C4029D" w14:textId="77777777" w:rsidR="00AC142E" w:rsidRPr="00BA779A" w:rsidRDefault="00875853">
      <w:pPr>
        <w:tabs>
          <w:tab w:val="left" w:pos="1331"/>
        </w:tabs>
        <w:spacing w:line="360" w:lineRule="auto"/>
        <w:ind w:left="708"/>
        <w:jc w:val="both"/>
        <w:rPr>
          <w:rFonts w:ascii="Palatino Linotype" w:eastAsia="Palatino Linotype" w:hAnsi="Palatino Linotype" w:cs="Palatino Linotype"/>
          <w:i/>
        </w:rPr>
      </w:pPr>
      <w:r w:rsidRPr="00BA779A">
        <w:rPr>
          <w:rFonts w:ascii="Palatino Linotype" w:eastAsia="Palatino Linotype" w:hAnsi="Palatino Linotype" w:cs="Palatino Linotype"/>
          <w:i/>
        </w:rPr>
        <w:t>…</w:t>
      </w:r>
    </w:p>
    <w:p w14:paraId="6BA4FAA7" w14:textId="77777777" w:rsidR="00AC142E" w:rsidRPr="00BA779A" w:rsidRDefault="00875853">
      <w:pPr>
        <w:spacing w:line="360" w:lineRule="auto"/>
        <w:ind w:left="708"/>
        <w:jc w:val="both"/>
        <w:rPr>
          <w:rFonts w:ascii="Palatino Linotype" w:eastAsia="Palatino Linotype" w:hAnsi="Palatino Linotype" w:cs="Palatino Linotype"/>
          <w:i/>
        </w:rPr>
      </w:pPr>
      <w:r w:rsidRPr="00BA779A">
        <w:rPr>
          <w:rFonts w:ascii="Palatino Linotype" w:eastAsia="Palatino Linotype" w:hAnsi="Palatino Linotype" w:cs="Palatino Linotype"/>
          <w:i/>
        </w:rPr>
        <w:t>Artículo 140. El acceso a la información pública será restringido excepcionalmente, cuando por razones de interés público, ésta sea clasificada como reservada, conforme a los criterios siguientes:</w:t>
      </w:r>
    </w:p>
    <w:p w14:paraId="3330CCA8" w14:textId="77777777" w:rsidR="00AC142E" w:rsidRPr="00BA779A" w:rsidRDefault="00875853">
      <w:pPr>
        <w:spacing w:line="360" w:lineRule="auto"/>
        <w:ind w:left="708"/>
        <w:jc w:val="both"/>
        <w:rPr>
          <w:rFonts w:ascii="Palatino Linotype" w:eastAsia="Palatino Linotype" w:hAnsi="Palatino Linotype" w:cs="Palatino Linotype"/>
          <w:i/>
        </w:rPr>
      </w:pPr>
      <w:r w:rsidRPr="00BA779A">
        <w:rPr>
          <w:rFonts w:ascii="Palatino Linotype" w:eastAsia="Palatino Linotype" w:hAnsi="Palatino Linotype" w:cs="Palatino Linotype"/>
          <w:i/>
        </w:rPr>
        <w:t>…</w:t>
      </w:r>
    </w:p>
    <w:p w14:paraId="722829C3" w14:textId="77777777" w:rsidR="00AC142E" w:rsidRPr="00BA779A" w:rsidRDefault="00875853">
      <w:pPr>
        <w:spacing w:line="360" w:lineRule="auto"/>
        <w:ind w:left="708"/>
        <w:jc w:val="both"/>
        <w:rPr>
          <w:rFonts w:ascii="Palatino Linotype" w:eastAsia="Palatino Linotype" w:hAnsi="Palatino Linotype" w:cs="Palatino Linotype"/>
          <w:i/>
        </w:rPr>
      </w:pPr>
      <w:r w:rsidRPr="00BA779A">
        <w:rPr>
          <w:rFonts w:ascii="Palatino Linotype" w:eastAsia="Palatino Linotype" w:hAnsi="Palatino Linotype" w:cs="Palatino Linotype"/>
          <w:i/>
        </w:rPr>
        <w:t xml:space="preserve">VI. Pueda causar daño u obstruya la prevención o persecución de los delitos, </w:t>
      </w:r>
      <w:bookmarkStart w:id="1" w:name="bookmark=id.30j0zll" w:colFirst="0" w:colLast="0"/>
      <w:bookmarkStart w:id="2" w:name="bookmark=id.gjdgxs" w:colFirst="0" w:colLast="0"/>
      <w:bookmarkEnd w:id="1"/>
      <w:bookmarkEnd w:id="2"/>
      <w:r w:rsidRPr="00BA779A">
        <w:rPr>
          <w:rFonts w:ascii="Palatino Linotype" w:eastAsia="Palatino Linotype" w:hAnsi="Palatino Linotype" w:cs="Palatino Linotype"/>
          <w:i/>
        </w:rPr>
        <w:t xml:space="preserve">altere el proceso de investigación de las carpetas de investigación, afecte o vulnere la conducción o los derechos del debido proceso en los procedimientos judiciales o administrativos, incluidos los de quejas, </w:t>
      </w:r>
      <w:r w:rsidRPr="00BA779A">
        <w:rPr>
          <w:rFonts w:ascii="Palatino Linotype" w:eastAsia="Palatino Linotype" w:hAnsi="Palatino Linotype" w:cs="Palatino Linotype"/>
          <w:i/>
        </w:rPr>
        <w:lastRenderedPageBreak/>
        <w:t>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9D70ACA" w14:textId="77777777" w:rsidR="00AC142E" w:rsidRPr="00BA779A" w:rsidRDefault="00875853">
      <w:pPr>
        <w:spacing w:line="360" w:lineRule="auto"/>
        <w:ind w:left="708"/>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i/>
        </w:rPr>
        <w:t>…</w:t>
      </w:r>
    </w:p>
    <w:p w14:paraId="19C59F0F" w14:textId="77777777" w:rsidR="00AC142E" w:rsidRPr="00BA779A" w:rsidRDefault="00AC142E">
      <w:pPr>
        <w:spacing w:line="360" w:lineRule="auto"/>
        <w:jc w:val="both"/>
        <w:rPr>
          <w:rFonts w:ascii="Palatino Linotype" w:eastAsia="Palatino Linotype" w:hAnsi="Palatino Linotype" w:cs="Palatino Linotype"/>
          <w:sz w:val="24"/>
          <w:szCs w:val="24"/>
        </w:rPr>
      </w:pPr>
    </w:p>
    <w:p w14:paraId="4D73B45A" w14:textId="71D5AAB0" w:rsidR="00AC142E" w:rsidRPr="00BA779A" w:rsidRDefault="00875853">
      <w:pPr>
        <w:spacing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De lo anterior, se puede apreciar que el sujeto obligado pretende clasificar la información derivado de que afecta a los derechos del debido proceso, así como que puede causar un daño u obstruye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w:t>
      </w:r>
      <w:r w:rsidR="00372F98" w:rsidRPr="00BA779A">
        <w:rPr>
          <w:rFonts w:ascii="Palatino Linotype" w:eastAsia="Palatino Linotype" w:hAnsi="Palatino Linotype" w:cs="Palatino Linotype"/>
          <w:sz w:val="24"/>
          <w:szCs w:val="24"/>
        </w:rPr>
        <w:t>, sin embargo, es de mencionar que tal argumento, no resulta aplicable para poder validar la prueba de daño correspondiente.</w:t>
      </w:r>
    </w:p>
    <w:p w14:paraId="2D021375" w14:textId="57D22991" w:rsidR="00372F98" w:rsidRPr="00BA779A" w:rsidRDefault="00372F98">
      <w:pPr>
        <w:spacing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Lo anterior, si bien es cierto, la información solicitada aun se encuentra en trámite, también cierto es que con la </w:t>
      </w:r>
      <w:r w:rsidR="002F5B20" w:rsidRPr="00BA779A">
        <w:rPr>
          <w:rFonts w:ascii="Palatino Linotype" w:eastAsia="Palatino Linotype" w:hAnsi="Palatino Linotype" w:cs="Palatino Linotype"/>
          <w:sz w:val="24"/>
          <w:szCs w:val="24"/>
        </w:rPr>
        <w:t>fracción</w:t>
      </w:r>
      <w:r w:rsidRPr="00BA779A">
        <w:rPr>
          <w:rFonts w:ascii="Palatino Linotype" w:eastAsia="Palatino Linotype" w:hAnsi="Palatino Linotype" w:cs="Palatino Linotype"/>
          <w:sz w:val="24"/>
          <w:szCs w:val="24"/>
        </w:rPr>
        <w:t xml:space="preserve"> que se pretende reservar la información, no se aplica adecuadamente, y</w:t>
      </w:r>
      <w:r w:rsidR="002F5B20" w:rsidRPr="00BA779A">
        <w:rPr>
          <w:rFonts w:ascii="Palatino Linotype" w:eastAsia="Palatino Linotype" w:hAnsi="Palatino Linotype" w:cs="Palatino Linotype"/>
          <w:sz w:val="24"/>
          <w:szCs w:val="24"/>
        </w:rPr>
        <w:t xml:space="preserve"> esta </w:t>
      </w:r>
      <w:r w:rsidRPr="00BA779A">
        <w:rPr>
          <w:rFonts w:ascii="Palatino Linotype" w:eastAsia="Palatino Linotype" w:hAnsi="Palatino Linotype" w:cs="Palatino Linotype"/>
          <w:sz w:val="24"/>
          <w:szCs w:val="24"/>
        </w:rPr>
        <w:t>podría encuadrarse correctamente en la vulneración de la conducción de los expedientes judiciales o procedimientos administrativos seguidos en forma de juicio, en tanto no hayan quedado firmes.</w:t>
      </w:r>
    </w:p>
    <w:p w14:paraId="6ADAB97C" w14:textId="571EB2AE" w:rsidR="00AC142E" w:rsidRPr="00BA779A" w:rsidRDefault="00875853">
      <w:pPr>
        <w:spacing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Ante tal dicho, tenemos a bien señalar que tal fundamentación no colma cabalmente los requisitos de que establece la normatividad ya que como ha quedado en claro, </w:t>
      </w:r>
      <w:r w:rsidRPr="00BA779A">
        <w:rPr>
          <w:rFonts w:ascii="Palatino Linotype" w:eastAsia="Palatino Linotype" w:hAnsi="Palatino Linotype" w:cs="Palatino Linotype"/>
          <w:sz w:val="24"/>
          <w:szCs w:val="24"/>
        </w:rPr>
        <w:lastRenderedPageBreak/>
        <w:t>pretendió fundamentar su acuerdo en supuestos de reserva que no encuadran totalmente para la clasificación, por lo que deberá de valorar nuevamente y emitir un acuerdo de reserva en donde fundamente y motive correctamente su clasificación</w:t>
      </w:r>
      <w:r w:rsidR="00372F98" w:rsidRPr="00BA779A">
        <w:rPr>
          <w:rFonts w:ascii="Palatino Linotype" w:eastAsia="Palatino Linotype" w:hAnsi="Palatino Linotype" w:cs="Palatino Linotype"/>
          <w:sz w:val="24"/>
          <w:szCs w:val="24"/>
        </w:rPr>
        <w:t>, esto es, encuadrando la fracción correcta y vinculándola con el lineamiento especifico.</w:t>
      </w:r>
    </w:p>
    <w:p w14:paraId="640AAD40" w14:textId="77777777" w:rsidR="00AC142E" w:rsidRPr="00BA779A" w:rsidRDefault="00875853">
      <w:pPr>
        <w:tabs>
          <w:tab w:val="left" w:pos="709"/>
        </w:tabs>
        <w:spacing w:before="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 xml:space="preserve">Por lo tanto, en consecuencia y en mérito de lo expuesto en líneas anteriores, resultan parcialmente fundadas las razones o motivos de inconformidad que arguye la parte recurrente en su medio de impugnación que fue materia de estudio, por ello </w:t>
      </w:r>
      <w:r w:rsidRPr="00BA779A">
        <w:rPr>
          <w:rFonts w:ascii="Palatino Linotype" w:eastAsia="Palatino Linotype" w:hAnsi="Palatino Linotype" w:cs="Palatino Linotype"/>
          <w:b/>
          <w:sz w:val="24"/>
          <w:szCs w:val="24"/>
        </w:rPr>
        <w:t xml:space="preserve">con fundamento en la segunda hipótesis de la fracción III del artículo 186, </w:t>
      </w:r>
      <w:r w:rsidRPr="00BA779A">
        <w:rPr>
          <w:rFonts w:ascii="Palatino Linotype" w:eastAsia="Palatino Linotype" w:hAnsi="Palatino Linotype" w:cs="Palatino Linotype"/>
          <w:sz w:val="24"/>
          <w:szCs w:val="24"/>
        </w:rPr>
        <w:t xml:space="preserve">de la Ley de Transparencia y Acceso a la Información Pública del Estado de México y Municipios, se </w:t>
      </w:r>
      <w:r w:rsidRPr="00BA779A">
        <w:rPr>
          <w:rFonts w:ascii="Palatino Linotype" w:eastAsia="Palatino Linotype" w:hAnsi="Palatino Linotype" w:cs="Palatino Linotype"/>
          <w:b/>
          <w:sz w:val="24"/>
          <w:szCs w:val="24"/>
        </w:rPr>
        <w:t xml:space="preserve">modifica </w:t>
      </w:r>
      <w:r w:rsidRPr="00BA779A">
        <w:rPr>
          <w:rFonts w:ascii="Palatino Linotype" w:eastAsia="Palatino Linotype" w:hAnsi="Palatino Linotype" w:cs="Palatino Linotype"/>
          <w:sz w:val="24"/>
          <w:szCs w:val="24"/>
        </w:rPr>
        <w:t xml:space="preserve">la respuesta del sujeto obligado a la solicitud de información con número de folio </w:t>
      </w:r>
      <w:r w:rsidRPr="00BA779A">
        <w:rPr>
          <w:rFonts w:ascii="Palatino Linotype" w:eastAsia="Palatino Linotype" w:hAnsi="Palatino Linotype" w:cs="Palatino Linotype"/>
          <w:b/>
          <w:sz w:val="24"/>
          <w:szCs w:val="24"/>
        </w:rPr>
        <w:t>00067/IMEVIS/IP/2021,</w:t>
      </w:r>
      <w:r w:rsidRPr="00BA779A">
        <w:rPr>
          <w:rFonts w:ascii="Palatino Linotype" w:eastAsia="Palatino Linotype" w:hAnsi="Palatino Linotype" w:cs="Palatino Linotype"/>
          <w:sz w:val="24"/>
          <w:szCs w:val="24"/>
        </w:rPr>
        <w:t xml:space="preserve"> que ha sido materia del presente fallo.</w:t>
      </w:r>
    </w:p>
    <w:p w14:paraId="4AEC8570" w14:textId="34917F23" w:rsidR="00AC142E" w:rsidRPr="00BA779A" w:rsidRDefault="00875853">
      <w:pPr>
        <w:tabs>
          <w:tab w:val="left" w:pos="8931"/>
        </w:tabs>
        <w:spacing w:before="240" w:line="360" w:lineRule="auto"/>
        <w:ind w:right="51"/>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sz w:val="24"/>
          <w:szCs w:val="24"/>
        </w:rPr>
        <w:t>Por lo antes expuesto y fundado es de resolverse y,</w:t>
      </w:r>
    </w:p>
    <w:p w14:paraId="6EC7F061" w14:textId="77777777" w:rsidR="00AC142E" w:rsidRPr="00BA779A" w:rsidRDefault="00875853">
      <w:pPr>
        <w:spacing w:before="240" w:line="360" w:lineRule="auto"/>
        <w:jc w:val="center"/>
        <w:rPr>
          <w:rFonts w:ascii="Palatino Linotype" w:eastAsia="Palatino Linotype" w:hAnsi="Palatino Linotype" w:cs="Palatino Linotype"/>
          <w:b/>
          <w:sz w:val="28"/>
          <w:szCs w:val="28"/>
        </w:rPr>
      </w:pPr>
      <w:r w:rsidRPr="00BA779A">
        <w:rPr>
          <w:rFonts w:ascii="Palatino Linotype" w:eastAsia="Palatino Linotype" w:hAnsi="Palatino Linotype" w:cs="Palatino Linotype"/>
          <w:b/>
          <w:sz w:val="28"/>
          <w:szCs w:val="28"/>
        </w:rPr>
        <w:t>SE    RESUELVE</w:t>
      </w:r>
    </w:p>
    <w:p w14:paraId="075D9926" w14:textId="4BD5643A"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b/>
          <w:sz w:val="28"/>
          <w:szCs w:val="28"/>
        </w:rPr>
        <w:t>PRIMERO.</w:t>
      </w:r>
      <w:r w:rsidRPr="00BA779A">
        <w:rPr>
          <w:rFonts w:ascii="Palatino Linotype" w:eastAsia="Palatino Linotype" w:hAnsi="Palatino Linotype" w:cs="Palatino Linotype"/>
        </w:rPr>
        <w:t xml:space="preserve">  </w:t>
      </w:r>
      <w:r w:rsidRPr="00BA779A">
        <w:rPr>
          <w:rFonts w:ascii="Palatino Linotype" w:eastAsia="Palatino Linotype" w:hAnsi="Palatino Linotype" w:cs="Palatino Linotype"/>
          <w:sz w:val="24"/>
          <w:szCs w:val="24"/>
        </w:rPr>
        <w:t xml:space="preserve">Se </w:t>
      </w:r>
      <w:r w:rsidRPr="00BA779A">
        <w:rPr>
          <w:rFonts w:ascii="Palatino Linotype" w:eastAsia="Palatino Linotype" w:hAnsi="Palatino Linotype" w:cs="Palatino Linotype"/>
          <w:b/>
          <w:sz w:val="24"/>
          <w:szCs w:val="24"/>
        </w:rPr>
        <w:t xml:space="preserve">modifica </w:t>
      </w:r>
      <w:r w:rsidRPr="00BA779A">
        <w:rPr>
          <w:rFonts w:ascii="Palatino Linotype" w:eastAsia="Palatino Linotype" w:hAnsi="Palatino Linotype" w:cs="Palatino Linotype"/>
          <w:sz w:val="24"/>
          <w:szCs w:val="24"/>
        </w:rPr>
        <w:t xml:space="preserve">la respuesta del sujeto obligado a la solicitud de información </w:t>
      </w:r>
      <w:r w:rsidRPr="00BA779A">
        <w:rPr>
          <w:rFonts w:ascii="Palatino Linotype" w:eastAsia="Palatino Linotype" w:hAnsi="Palatino Linotype" w:cs="Palatino Linotype"/>
          <w:b/>
          <w:sz w:val="24"/>
          <w:szCs w:val="24"/>
        </w:rPr>
        <w:t>00067/IMEVIS/IP/2021,</w:t>
      </w:r>
      <w:r w:rsidRPr="00BA779A">
        <w:rPr>
          <w:rFonts w:ascii="Palatino Linotype" w:eastAsia="Palatino Linotype" w:hAnsi="Palatino Linotype" w:cs="Palatino Linotype"/>
          <w:i/>
        </w:rPr>
        <w:t xml:space="preserve"> </w:t>
      </w:r>
      <w:r w:rsidRPr="00BA779A">
        <w:rPr>
          <w:rFonts w:ascii="Palatino Linotype" w:eastAsia="Palatino Linotype" w:hAnsi="Palatino Linotype" w:cs="Palatino Linotype"/>
          <w:sz w:val="24"/>
          <w:szCs w:val="24"/>
        </w:rPr>
        <w:t>por resultar parcialmente fundadas</w:t>
      </w:r>
      <w:r w:rsidR="00372F98" w:rsidRPr="00BA779A">
        <w:rPr>
          <w:rFonts w:ascii="Palatino Linotype" w:eastAsia="Palatino Linotype" w:hAnsi="Palatino Linotype" w:cs="Palatino Linotype"/>
          <w:sz w:val="24"/>
          <w:szCs w:val="24"/>
        </w:rPr>
        <w:t xml:space="preserve"> </w:t>
      </w:r>
      <w:r w:rsidRPr="00BA779A">
        <w:rPr>
          <w:rFonts w:ascii="Palatino Linotype" w:eastAsia="Palatino Linotype" w:hAnsi="Palatino Linotype" w:cs="Palatino Linotype"/>
          <w:sz w:val="24"/>
          <w:szCs w:val="24"/>
        </w:rPr>
        <w:t xml:space="preserve">razones o motivos de inconformidad hechas valer por la parte recurrente, en términos del </w:t>
      </w:r>
      <w:r w:rsidRPr="00BA779A">
        <w:rPr>
          <w:rFonts w:ascii="Palatino Linotype" w:eastAsia="Palatino Linotype" w:hAnsi="Palatino Linotype" w:cs="Palatino Linotype"/>
          <w:b/>
          <w:sz w:val="24"/>
          <w:szCs w:val="24"/>
        </w:rPr>
        <w:t>Considerando Cuarto</w:t>
      </w:r>
      <w:r w:rsidRPr="00BA779A">
        <w:rPr>
          <w:rFonts w:ascii="Palatino Linotype" w:eastAsia="Palatino Linotype" w:hAnsi="Palatino Linotype" w:cs="Palatino Linotype"/>
          <w:sz w:val="24"/>
          <w:szCs w:val="24"/>
        </w:rPr>
        <w:t xml:space="preserve"> de la presente resolución.</w:t>
      </w:r>
    </w:p>
    <w:p w14:paraId="2CC90D77" w14:textId="77777777" w:rsidR="00AC142E" w:rsidRPr="00BA779A" w:rsidRDefault="00875853">
      <w:pPr>
        <w:spacing w:before="240" w:line="360" w:lineRule="auto"/>
        <w:ind w:right="49"/>
        <w:jc w:val="both"/>
        <w:rPr>
          <w:rFonts w:ascii="Palatino Linotype" w:eastAsia="Palatino Linotype" w:hAnsi="Palatino Linotype" w:cs="Palatino Linotype"/>
          <w:color w:val="FF0000"/>
          <w:sz w:val="24"/>
          <w:szCs w:val="24"/>
        </w:rPr>
      </w:pPr>
      <w:r w:rsidRPr="00BA779A">
        <w:rPr>
          <w:rFonts w:ascii="Palatino Linotype" w:eastAsia="Palatino Linotype" w:hAnsi="Palatino Linotype" w:cs="Palatino Linotype"/>
          <w:b/>
          <w:sz w:val="24"/>
          <w:szCs w:val="24"/>
        </w:rPr>
        <w:t>SEGUNDO.</w:t>
      </w:r>
      <w:r w:rsidRPr="00BA779A">
        <w:rPr>
          <w:rFonts w:ascii="Palatino Linotype" w:eastAsia="Palatino Linotype" w:hAnsi="Palatino Linotype" w:cs="Palatino Linotype"/>
          <w:sz w:val="24"/>
          <w:szCs w:val="24"/>
        </w:rPr>
        <w:t xml:space="preserve"> Se ordena al sujeto obligado, haga entrega a la parte recurrente vía el Sistema de Acceso a la Información Mexiquense (SAIMEX),</w:t>
      </w:r>
      <w:r w:rsidRPr="00BA779A">
        <w:t xml:space="preserve"> </w:t>
      </w:r>
      <w:r w:rsidRPr="00BA779A">
        <w:rPr>
          <w:rFonts w:ascii="Palatino Linotype" w:eastAsia="Palatino Linotype" w:hAnsi="Palatino Linotype" w:cs="Palatino Linotype"/>
          <w:sz w:val="24"/>
          <w:szCs w:val="24"/>
        </w:rPr>
        <w:t>lo siguiente:</w:t>
      </w:r>
    </w:p>
    <w:p w14:paraId="38164CB9" w14:textId="77777777" w:rsidR="00AC142E" w:rsidRPr="00BA779A" w:rsidRDefault="00875853">
      <w:pPr>
        <w:spacing w:before="240" w:line="360" w:lineRule="auto"/>
        <w:ind w:left="360" w:right="49"/>
        <w:jc w:val="both"/>
        <w:rPr>
          <w:rFonts w:ascii="Palatino Linotype" w:eastAsia="Palatino Linotype" w:hAnsi="Palatino Linotype" w:cs="Palatino Linotype"/>
          <w:i/>
          <w:sz w:val="24"/>
          <w:szCs w:val="24"/>
        </w:rPr>
      </w:pPr>
      <w:r w:rsidRPr="00BA779A">
        <w:rPr>
          <w:rFonts w:ascii="Palatino Linotype" w:eastAsia="Palatino Linotype" w:hAnsi="Palatino Linotype" w:cs="Palatino Linotype"/>
          <w:i/>
          <w:sz w:val="24"/>
          <w:szCs w:val="24"/>
        </w:rPr>
        <w:t xml:space="preserve">Acuerdo de Clasificación donde el Comité de Transparencia, confirme la reserva de la información por la parte solicitante, de acuerdo con los artículos 49, fracciones II y VIII, </w:t>
      </w:r>
      <w:r w:rsidRPr="00BA779A">
        <w:rPr>
          <w:rFonts w:ascii="Palatino Linotype" w:eastAsia="Palatino Linotype" w:hAnsi="Palatino Linotype" w:cs="Palatino Linotype"/>
          <w:i/>
          <w:sz w:val="24"/>
          <w:szCs w:val="24"/>
        </w:rPr>
        <w:lastRenderedPageBreak/>
        <w:t>140, fracción VIII y 141 de la Ley de Transparencia y Acceso a la Información Pública del Estado de México y Municipios.</w:t>
      </w:r>
    </w:p>
    <w:p w14:paraId="4A8A1B6A" w14:textId="77777777" w:rsidR="00AC142E" w:rsidRPr="00BA779A" w:rsidRDefault="00875853">
      <w:pPr>
        <w:spacing w:before="240" w:line="360" w:lineRule="auto"/>
        <w:ind w:right="49"/>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b/>
          <w:sz w:val="28"/>
          <w:szCs w:val="28"/>
        </w:rPr>
        <w:t>TERCERO.</w:t>
      </w:r>
      <w:r w:rsidRPr="00BA779A">
        <w:rPr>
          <w:rFonts w:ascii="Palatino Linotype" w:eastAsia="Palatino Linotype" w:hAnsi="Palatino Linotype" w:cs="Palatino Linotype"/>
          <w:b/>
          <w:sz w:val="24"/>
          <w:szCs w:val="24"/>
        </w:rPr>
        <w:t xml:space="preserve"> Notifíquese</w:t>
      </w:r>
      <w:r w:rsidRPr="00BA779A">
        <w:rPr>
          <w:rFonts w:ascii="Palatino Linotype" w:eastAsia="Palatino Linotype" w:hAnsi="Palatino Linotype" w:cs="Palatino Linotype"/>
          <w:b/>
          <w:i/>
          <w:sz w:val="24"/>
          <w:szCs w:val="24"/>
        </w:rPr>
        <w:t xml:space="preserve"> </w:t>
      </w:r>
      <w:r w:rsidRPr="00BA779A">
        <w:rPr>
          <w:rFonts w:ascii="Palatino Linotype" w:eastAsia="Palatino Linotype" w:hAnsi="Palatino Linotype" w:cs="Palatino Linotype"/>
          <w:sz w:val="24"/>
          <w:szCs w:val="24"/>
        </w:rPr>
        <w:t>al Titular de la Unidad de Transparencia del</w:t>
      </w:r>
      <w:r w:rsidRPr="00BA779A">
        <w:rPr>
          <w:rFonts w:ascii="Palatino Linotype" w:eastAsia="Palatino Linotype" w:hAnsi="Palatino Linotype" w:cs="Palatino Linotype"/>
          <w:b/>
          <w:sz w:val="24"/>
          <w:szCs w:val="24"/>
        </w:rPr>
        <w:t xml:space="preserve"> SUJETO OBLIGADO</w:t>
      </w:r>
      <w:r w:rsidRPr="00BA779A">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F4A92EA" w14:textId="77777777" w:rsidR="00AC142E" w:rsidRPr="00BA779A" w:rsidRDefault="00875853">
      <w:pPr>
        <w:spacing w:after="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b/>
          <w:sz w:val="28"/>
          <w:szCs w:val="28"/>
        </w:rPr>
        <w:t xml:space="preserve">CUARTO. </w:t>
      </w:r>
      <w:r w:rsidRPr="00BA779A">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BA779A">
        <w:rPr>
          <w:rFonts w:ascii="Palatino Linotype" w:eastAsia="Palatino Linotype" w:hAnsi="Palatino Linotype" w:cs="Palatino Linotype"/>
          <w:b/>
          <w:sz w:val="24"/>
          <w:szCs w:val="24"/>
        </w:rPr>
        <w:t>Sujeto Obligado</w:t>
      </w:r>
      <w:r w:rsidRPr="00BA779A">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5AF2F9F1" w14:textId="77777777" w:rsidR="00AC142E" w:rsidRPr="00BA779A" w:rsidRDefault="00875853">
      <w:pPr>
        <w:spacing w:before="240" w:line="360" w:lineRule="auto"/>
        <w:jc w:val="both"/>
        <w:rPr>
          <w:rFonts w:ascii="Palatino Linotype" w:eastAsia="Palatino Linotype" w:hAnsi="Palatino Linotype" w:cs="Palatino Linotype"/>
          <w:sz w:val="24"/>
          <w:szCs w:val="24"/>
        </w:rPr>
      </w:pPr>
      <w:r w:rsidRPr="00BA779A">
        <w:rPr>
          <w:rFonts w:ascii="Palatino Linotype" w:eastAsia="Palatino Linotype" w:hAnsi="Palatino Linotype" w:cs="Palatino Linotype"/>
          <w:b/>
          <w:sz w:val="28"/>
          <w:szCs w:val="28"/>
        </w:rPr>
        <w:t>QUINTO.</w:t>
      </w:r>
      <w:r w:rsidRPr="00BA779A">
        <w:rPr>
          <w:rFonts w:ascii="Palatino Linotype" w:eastAsia="Palatino Linotype" w:hAnsi="Palatino Linotype" w:cs="Palatino Linotype"/>
          <w:b/>
          <w:sz w:val="24"/>
          <w:szCs w:val="24"/>
        </w:rPr>
        <w:t xml:space="preserve"> Notifíquese </w:t>
      </w:r>
      <w:r w:rsidRPr="00BA779A">
        <w:rPr>
          <w:rFonts w:ascii="Palatino Linotype" w:eastAsia="Palatino Linotype" w:hAnsi="Palatino Linotype" w:cs="Palatino Linotype"/>
          <w:sz w:val="24"/>
          <w:szCs w:val="24"/>
        </w:rPr>
        <w:t>al recurrente</w:t>
      </w:r>
      <w:r w:rsidRPr="00BA779A">
        <w:rPr>
          <w:rFonts w:ascii="Palatino Linotype" w:eastAsia="Palatino Linotype" w:hAnsi="Palatino Linotype" w:cs="Palatino Linotype"/>
          <w:b/>
          <w:sz w:val="24"/>
          <w:szCs w:val="24"/>
        </w:rPr>
        <w:t xml:space="preserve"> </w:t>
      </w:r>
      <w:r w:rsidRPr="00BA779A">
        <w:rPr>
          <w:rFonts w:ascii="Palatino Linotype" w:eastAsia="Palatino Linotype" w:hAnsi="Palatino Linotype" w:cs="Palatino Linotype"/>
          <w:sz w:val="24"/>
          <w:szCs w:val="24"/>
        </w:rPr>
        <w:t>la presente resolución y hágase</w:t>
      </w:r>
      <w:r w:rsidRPr="00BA779A">
        <w:rPr>
          <w:rFonts w:ascii="Palatino Linotype" w:eastAsia="Palatino Linotype" w:hAnsi="Palatino Linotype" w:cs="Palatino Linotype"/>
          <w:b/>
          <w:sz w:val="24"/>
          <w:szCs w:val="24"/>
        </w:rPr>
        <w:t xml:space="preserve"> </w:t>
      </w:r>
      <w:r w:rsidRPr="00BA779A">
        <w:rPr>
          <w:rFonts w:ascii="Palatino Linotype" w:eastAsia="Palatino Linotype" w:hAnsi="Palatino Linotype" w:cs="Palatino Linotype"/>
          <w:sz w:val="24"/>
          <w:szCs w:val="24"/>
        </w:rPr>
        <w:t>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asimismo, de conformidad con el articulo 159 y 160 de la Ley General de Transparencia y Acceso a la Información Pública podrá impugnar la resolución mediante recurso de inconformidad ante el Instituto Nacional de Transparencia, Acceso a la Información y Protección de Datos Personales, en los términos de las leyes aplicables.</w:t>
      </w:r>
    </w:p>
    <w:p w14:paraId="366B71B6" w14:textId="77777777" w:rsidR="00AC142E" w:rsidRPr="00BA779A" w:rsidRDefault="00AC142E">
      <w:pPr>
        <w:spacing w:line="360" w:lineRule="auto"/>
        <w:jc w:val="both"/>
        <w:rPr>
          <w:rFonts w:ascii="Palatino Linotype" w:eastAsia="Palatino Linotype" w:hAnsi="Palatino Linotype" w:cs="Palatino Linotype"/>
          <w:sz w:val="24"/>
          <w:szCs w:val="24"/>
        </w:rPr>
      </w:pPr>
    </w:p>
    <w:p w14:paraId="52F620D1" w14:textId="7CC6E763" w:rsidR="00AC142E" w:rsidRDefault="00875853">
      <w:pPr>
        <w:spacing w:after="0" w:line="360" w:lineRule="auto"/>
        <w:jc w:val="both"/>
      </w:pPr>
      <w:r w:rsidRPr="00BA779A">
        <w:rPr>
          <w:rFonts w:ascii="Palatino Linotype" w:eastAsia="Palatino Linotype" w:hAnsi="Palatino Linotype" w:cs="Palatino Linotype"/>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9F23A3" w:rsidRPr="00BA779A">
        <w:rPr>
          <w:rFonts w:ascii="Palatino Linotype" w:eastAsia="Palatino Linotype" w:hAnsi="Palatino Linotype" w:cs="Palatino Linotype"/>
          <w:sz w:val="24"/>
          <w:szCs w:val="24"/>
        </w:rPr>
        <w:t>OCTAVA</w:t>
      </w:r>
      <w:r w:rsidRPr="00BA779A">
        <w:rPr>
          <w:rFonts w:ascii="Palatino Linotype" w:eastAsia="Palatino Linotype" w:hAnsi="Palatino Linotype" w:cs="Palatino Linotype"/>
          <w:sz w:val="24"/>
          <w:szCs w:val="24"/>
        </w:rPr>
        <w:t xml:space="preserve"> SESIÓN ORDINARIA CELEBRADA EL </w:t>
      </w:r>
      <w:r w:rsidR="009F23A3" w:rsidRPr="00BA779A">
        <w:rPr>
          <w:rFonts w:ascii="Palatino Linotype" w:eastAsia="Palatino Linotype" w:hAnsi="Palatino Linotype" w:cs="Palatino Linotype"/>
          <w:sz w:val="24"/>
          <w:szCs w:val="24"/>
        </w:rPr>
        <w:t>VEINTISIETE</w:t>
      </w:r>
      <w:r w:rsidRPr="00BA779A">
        <w:rPr>
          <w:rFonts w:ascii="Palatino Linotype" w:eastAsia="Palatino Linotype" w:hAnsi="Palatino Linotype" w:cs="Palatino Linotype"/>
          <w:sz w:val="24"/>
          <w:szCs w:val="24"/>
        </w:rPr>
        <w:t xml:space="preserve"> DE </w:t>
      </w:r>
      <w:r w:rsidR="009F23A3" w:rsidRPr="00BA779A">
        <w:rPr>
          <w:rFonts w:ascii="Palatino Linotype" w:eastAsia="Palatino Linotype" w:hAnsi="Palatino Linotype" w:cs="Palatino Linotype"/>
          <w:sz w:val="24"/>
          <w:szCs w:val="24"/>
        </w:rPr>
        <w:t>OCTUBRE</w:t>
      </w:r>
      <w:r w:rsidRPr="00BA779A">
        <w:rPr>
          <w:rFonts w:ascii="Palatino Linotype" w:eastAsia="Palatino Linotype" w:hAnsi="Palatino Linotype" w:cs="Palatino Linotype"/>
          <w:sz w:val="24"/>
          <w:szCs w:val="24"/>
        </w:rPr>
        <w:t xml:space="preserve"> DE DOS MIL VEINTIUNO, ANTE EL SECRETARIO TÉCNICO DEL PLENO, ALEXIS TAPIA RAMÍREZ.-------------------------------------------------------------------------------------------------------------------------------------------------------------------------------------------------------------------------------------------------------------------------------------------------------------------------------------------------------------------------------------------------------------------- ---------------------------------------------------------------------------------------------------------------------------------------------------------------------------------------------------------------------------------------------------------------------------------------------------------------------------------------------------</w:t>
      </w:r>
      <w:r w:rsidR="00BA779A" w:rsidRPr="00BA779A">
        <w:rPr>
          <w:rFonts w:ascii="Palatino Linotype" w:eastAsia="Palatino Linotype" w:hAnsi="Palatino Linotype" w:cs="Palatino Linotype"/>
          <w:sz w:val="24"/>
          <w:szCs w:val="24"/>
        </w:rPr>
        <w:t>---------------------------------------------------------------------------------------------------------------------------------------------------------------------------------------------------------------------------------------------------------------------------------------------------------------------------------------------------------------------------------------------------------------------------------------------------------------------------------------------------------------------------------------------------------------------------------------------------------------------------------------------------------------------------------------------------------------------------------------------------------------------------------------------------------------------------------------------------------------------------------------------------------------------------------------------------------------------------------------------------------------------------------------------------------</w:t>
      </w:r>
    </w:p>
    <w:p w14:paraId="4755D9A0" w14:textId="77777777" w:rsidR="00AC142E" w:rsidRDefault="00AC142E">
      <w:pPr>
        <w:spacing w:line="360" w:lineRule="auto"/>
        <w:ind w:right="333"/>
        <w:jc w:val="both"/>
      </w:pPr>
    </w:p>
    <w:sectPr w:rsidR="00AC142E">
      <w:headerReference w:type="default" r:id="rId18"/>
      <w:footerReference w:type="default" r:id="rId19"/>
      <w:headerReference w:type="first" r:id="rId20"/>
      <w:footerReference w:type="first" r:id="rId21"/>
      <w:pgSz w:w="12240" w:h="15840"/>
      <w:pgMar w:top="1417" w:right="1467"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F54E2" w14:textId="77777777" w:rsidR="009263E0" w:rsidRDefault="009263E0">
      <w:pPr>
        <w:spacing w:after="0" w:line="240" w:lineRule="auto"/>
      </w:pPr>
      <w:r>
        <w:separator/>
      </w:r>
    </w:p>
  </w:endnote>
  <w:endnote w:type="continuationSeparator" w:id="0">
    <w:p w14:paraId="115A4777" w14:textId="77777777" w:rsidR="009263E0" w:rsidRDefault="00926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2A88" w14:textId="77777777" w:rsidR="00AC142E" w:rsidRDefault="00875853">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343FA">
      <w:rPr>
        <w:rFonts w:ascii="Palatino Linotype" w:eastAsia="Palatino Linotype" w:hAnsi="Palatino Linotype" w:cs="Palatino Linotype"/>
        <w:noProof/>
        <w:color w:val="000000"/>
        <w:sz w:val="20"/>
        <w:szCs w:val="20"/>
      </w:rPr>
      <w:t>46</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343FA">
      <w:rPr>
        <w:rFonts w:ascii="Palatino Linotype" w:eastAsia="Palatino Linotype" w:hAnsi="Palatino Linotype" w:cs="Palatino Linotype"/>
        <w:noProof/>
        <w:color w:val="000000"/>
        <w:sz w:val="20"/>
        <w:szCs w:val="20"/>
      </w:rPr>
      <w:t>46</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5091A" w14:textId="77777777" w:rsidR="00AC142E" w:rsidRDefault="00875853">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343F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343FA">
      <w:rPr>
        <w:rFonts w:ascii="Palatino Linotype" w:eastAsia="Palatino Linotype" w:hAnsi="Palatino Linotype" w:cs="Palatino Linotype"/>
        <w:noProof/>
        <w:color w:val="000000"/>
        <w:sz w:val="20"/>
        <w:szCs w:val="20"/>
      </w:rPr>
      <w:t>46</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46315" w14:textId="77777777" w:rsidR="009263E0" w:rsidRDefault="009263E0">
      <w:pPr>
        <w:spacing w:after="0" w:line="240" w:lineRule="auto"/>
      </w:pPr>
      <w:r>
        <w:separator/>
      </w:r>
    </w:p>
  </w:footnote>
  <w:footnote w:type="continuationSeparator" w:id="0">
    <w:p w14:paraId="50B2BB5C" w14:textId="77777777" w:rsidR="009263E0" w:rsidRDefault="009263E0">
      <w:pPr>
        <w:spacing w:after="0" w:line="240" w:lineRule="auto"/>
      </w:pPr>
      <w:r>
        <w:continuationSeparator/>
      </w:r>
    </w:p>
  </w:footnote>
  <w:footnote w:id="1">
    <w:p w14:paraId="604ED06A" w14:textId="77777777" w:rsidR="00AC142E" w:rsidRDefault="00875853">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4A9E5689" w14:textId="77777777" w:rsidR="00AC142E" w:rsidRDefault="00875853">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38743" w14:textId="46900185" w:rsidR="00AC142E" w:rsidRDefault="00C6464B">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r>
      <w:rPr>
        <w:rFonts w:ascii="Palatino Linotype" w:hAnsi="Palatino Linotype" w:cs="Arial"/>
        <w:b/>
        <w:noProof/>
        <w:szCs w:val="20"/>
        <w:lang w:val="es-MX"/>
      </w:rPr>
      <w:drawing>
        <wp:anchor distT="0" distB="0" distL="114300" distR="114300" simplePos="0" relativeHeight="251661312" behindDoc="1" locked="0" layoutInCell="0" allowOverlap="1" wp14:anchorId="1069608F" wp14:editId="2E2BCC8C">
          <wp:simplePos x="0" y="0"/>
          <wp:positionH relativeFrom="page">
            <wp:posOffset>-375949</wp:posOffset>
          </wp:positionH>
          <wp:positionV relativeFrom="page">
            <wp:posOffset>12700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a2"/>
      <w:tblW w:w="10774" w:type="dxa"/>
      <w:tblInd w:w="-851" w:type="dxa"/>
      <w:tblLayout w:type="fixed"/>
      <w:tblLook w:val="0400" w:firstRow="0" w:lastRow="0" w:firstColumn="0" w:lastColumn="0" w:noHBand="0" w:noVBand="1"/>
    </w:tblPr>
    <w:tblGrid>
      <w:gridCol w:w="5813"/>
      <w:gridCol w:w="4961"/>
    </w:tblGrid>
    <w:tr w:rsidR="00AC142E" w14:paraId="42A0A2F8" w14:textId="77777777" w:rsidTr="00C6464B">
      <w:trPr>
        <w:trHeight w:val="227"/>
      </w:trPr>
      <w:tc>
        <w:tcPr>
          <w:tcW w:w="5813" w:type="dxa"/>
        </w:tcPr>
        <w:p w14:paraId="4318E4EA" w14:textId="1C7EC674" w:rsidR="00AC142E" w:rsidRDefault="00875853">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61" w:type="dxa"/>
        </w:tcPr>
        <w:p w14:paraId="2D12BB1A" w14:textId="77777777" w:rsidR="00AC142E" w:rsidRDefault="00875853">
          <w:pPr>
            <w:spacing w:after="120" w:line="256" w:lineRule="auto"/>
            <w:ind w:left="-486" w:right="214" w:firstLine="1585"/>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04060/INFOEM/IP/RR/2021</w:t>
          </w:r>
        </w:p>
      </w:tc>
    </w:tr>
    <w:tr w:rsidR="00AC142E" w14:paraId="4BA15C68" w14:textId="77777777" w:rsidTr="00C6464B">
      <w:trPr>
        <w:trHeight w:val="242"/>
      </w:trPr>
      <w:tc>
        <w:tcPr>
          <w:tcW w:w="5813" w:type="dxa"/>
        </w:tcPr>
        <w:p w14:paraId="2798EBB9" w14:textId="77777777" w:rsidR="00AC142E" w:rsidRDefault="00875853">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61" w:type="dxa"/>
        </w:tcPr>
        <w:p w14:paraId="3097D3B4" w14:textId="77777777" w:rsidR="00AC142E" w:rsidRDefault="00875853">
          <w:pPr>
            <w:spacing w:after="120" w:line="256" w:lineRule="auto"/>
            <w:ind w:left="-486" w:right="214" w:firstLine="284"/>
            <w:jc w:val="right"/>
            <w:rPr>
              <w:rFonts w:ascii="Palatino Linotype" w:eastAsia="Palatino Linotype" w:hAnsi="Palatino Linotype" w:cs="Palatino Linotype"/>
            </w:rPr>
          </w:pPr>
          <w:r>
            <w:rPr>
              <w:rFonts w:ascii="Palatino Linotype" w:eastAsia="Palatino Linotype" w:hAnsi="Palatino Linotype" w:cs="Palatino Linotype"/>
            </w:rPr>
            <w:t>Instituto Mexiquense de la Vivienda Social</w:t>
          </w:r>
        </w:p>
      </w:tc>
    </w:tr>
    <w:tr w:rsidR="00AC142E" w14:paraId="59CF060D" w14:textId="77777777" w:rsidTr="00C6464B">
      <w:trPr>
        <w:trHeight w:val="342"/>
      </w:trPr>
      <w:tc>
        <w:tcPr>
          <w:tcW w:w="5813" w:type="dxa"/>
        </w:tcPr>
        <w:p w14:paraId="0862EE95" w14:textId="77777777" w:rsidR="00AC142E" w:rsidRDefault="00875853">
          <w:pPr>
            <w:tabs>
              <w:tab w:val="left" w:pos="4892"/>
            </w:tabs>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4961" w:type="dxa"/>
        </w:tcPr>
        <w:p w14:paraId="566773B7" w14:textId="77777777" w:rsidR="00AC142E" w:rsidRDefault="00875853">
          <w:pPr>
            <w:spacing w:after="120" w:line="256" w:lineRule="auto"/>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José Martínez Vilchis</w:t>
          </w:r>
        </w:p>
      </w:tc>
    </w:tr>
  </w:tbl>
  <w:p w14:paraId="76280101" w14:textId="77777777" w:rsidR="00AC142E" w:rsidRDefault="00AC142E">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307F2" w14:textId="35CE7CC9" w:rsidR="00AC142E" w:rsidRDefault="00C6464B">
    <w:pPr>
      <w:widowControl w:val="0"/>
      <w:pBdr>
        <w:top w:val="nil"/>
        <w:left w:val="nil"/>
        <w:bottom w:val="nil"/>
        <w:right w:val="nil"/>
        <w:between w:val="nil"/>
      </w:pBdr>
      <w:spacing w:after="0" w:line="276" w:lineRule="auto"/>
      <w:rPr>
        <w:rFonts w:ascii="Palatino Linotype" w:eastAsia="Palatino Linotype" w:hAnsi="Palatino Linotype" w:cs="Palatino Linotype"/>
        <w:i/>
        <w:sz w:val="20"/>
        <w:szCs w:val="20"/>
      </w:rPr>
    </w:pPr>
    <w:r>
      <w:rPr>
        <w:rFonts w:ascii="Palatino Linotype" w:hAnsi="Palatino Linotype" w:cs="Arial"/>
        <w:b/>
        <w:noProof/>
        <w:szCs w:val="20"/>
        <w:lang w:val="es-MX"/>
      </w:rPr>
      <w:drawing>
        <wp:anchor distT="0" distB="0" distL="114300" distR="114300" simplePos="0" relativeHeight="251659264" behindDoc="1" locked="0" layoutInCell="0" allowOverlap="1" wp14:anchorId="33876F88" wp14:editId="41F25568">
          <wp:simplePos x="0" y="0"/>
          <wp:positionH relativeFrom="page">
            <wp:posOffset>-302467</wp:posOffset>
          </wp:positionH>
          <wp:positionV relativeFrom="page">
            <wp:posOffset>33655</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a1"/>
      <w:tblW w:w="10774" w:type="dxa"/>
      <w:tblInd w:w="-851" w:type="dxa"/>
      <w:tblLayout w:type="fixed"/>
      <w:tblLook w:val="0400" w:firstRow="0" w:lastRow="0" w:firstColumn="0" w:lastColumn="0" w:noHBand="0" w:noVBand="1"/>
    </w:tblPr>
    <w:tblGrid>
      <w:gridCol w:w="5813"/>
      <w:gridCol w:w="4961"/>
    </w:tblGrid>
    <w:tr w:rsidR="00C6464B" w14:paraId="7ABB75A3" w14:textId="77777777" w:rsidTr="00C6464B">
      <w:trPr>
        <w:trHeight w:val="227"/>
      </w:trPr>
      <w:tc>
        <w:tcPr>
          <w:tcW w:w="5813" w:type="dxa"/>
        </w:tcPr>
        <w:p w14:paraId="3AE47008" w14:textId="691716B1" w:rsidR="00AC142E" w:rsidRDefault="00875853" w:rsidP="00C6464B">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61" w:type="dxa"/>
        </w:tcPr>
        <w:p w14:paraId="68AAC7AF" w14:textId="77777777" w:rsidR="00AC142E" w:rsidRDefault="00875853" w:rsidP="00C6464B">
          <w:pPr>
            <w:spacing w:after="120" w:line="256" w:lineRule="auto"/>
            <w:ind w:right="214" w:firstLine="1408"/>
            <w:jc w:val="right"/>
            <w:rPr>
              <w:rFonts w:ascii="Palatino Linotype" w:eastAsia="Palatino Linotype" w:hAnsi="Palatino Linotype" w:cs="Palatino Linotype"/>
            </w:rPr>
          </w:pPr>
          <w:r>
            <w:rPr>
              <w:rFonts w:ascii="Palatino Linotype" w:eastAsia="Palatino Linotype" w:hAnsi="Palatino Linotype" w:cs="Palatino Linotype"/>
              <w:sz w:val="24"/>
              <w:szCs w:val="24"/>
            </w:rPr>
            <w:t>04060/INFOEM/IP/RR/2021</w:t>
          </w:r>
        </w:p>
      </w:tc>
    </w:tr>
    <w:tr w:rsidR="00C6464B" w14:paraId="65600287" w14:textId="77777777" w:rsidTr="00C6464B">
      <w:trPr>
        <w:trHeight w:val="196"/>
      </w:trPr>
      <w:tc>
        <w:tcPr>
          <w:tcW w:w="5813" w:type="dxa"/>
        </w:tcPr>
        <w:p w14:paraId="049CF218" w14:textId="77777777" w:rsidR="00AC142E" w:rsidRDefault="00875853" w:rsidP="00C6464B">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61" w:type="dxa"/>
        </w:tcPr>
        <w:p w14:paraId="14002A35" w14:textId="730487D2" w:rsidR="00AC142E" w:rsidRDefault="009343FA" w:rsidP="00C6464B">
          <w:pPr>
            <w:spacing w:after="120" w:line="256" w:lineRule="auto"/>
            <w:ind w:right="214" w:firstLine="567"/>
            <w:jc w:val="right"/>
            <w:rPr>
              <w:rFonts w:ascii="Palatino Linotype" w:eastAsia="Palatino Linotype" w:hAnsi="Palatino Linotype" w:cs="Palatino Linotype"/>
            </w:rPr>
          </w:pPr>
          <w:proofErr w:type="spellStart"/>
          <w:r>
            <w:rPr>
              <w:rFonts w:ascii="Palatino Linotype" w:eastAsia="Palatino Linotype" w:hAnsi="Palatino Linotype" w:cs="Palatino Linotype"/>
            </w:rPr>
            <w:t>xxxx</w:t>
          </w:r>
          <w:proofErr w:type="spellEnd"/>
        </w:p>
      </w:tc>
    </w:tr>
    <w:tr w:rsidR="00C6464B" w14:paraId="7508107A" w14:textId="77777777" w:rsidTr="00C6464B">
      <w:trPr>
        <w:trHeight w:val="242"/>
      </w:trPr>
      <w:tc>
        <w:tcPr>
          <w:tcW w:w="5813" w:type="dxa"/>
        </w:tcPr>
        <w:p w14:paraId="2F4DD5A0" w14:textId="77777777" w:rsidR="00AC142E" w:rsidRDefault="00875853" w:rsidP="00C6464B">
          <w:pPr>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61" w:type="dxa"/>
        </w:tcPr>
        <w:p w14:paraId="58093A22" w14:textId="77777777" w:rsidR="00AC142E" w:rsidRDefault="00875853" w:rsidP="00C6464B">
          <w:pPr>
            <w:spacing w:after="120" w:line="256" w:lineRule="auto"/>
            <w:ind w:right="214" w:firstLine="567"/>
            <w:jc w:val="right"/>
            <w:rPr>
              <w:rFonts w:ascii="Palatino Linotype" w:eastAsia="Palatino Linotype" w:hAnsi="Palatino Linotype" w:cs="Palatino Linotype"/>
            </w:rPr>
          </w:pPr>
          <w:r>
            <w:rPr>
              <w:rFonts w:ascii="Palatino Linotype" w:eastAsia="Palatino Linotype" w:hAnsi="Palatino Linotype" w:cs="Palatino Linotype"/>
            </w:rPr>
            <w:t>Instituto Mexiquense de la Vivienda Social</w:t>
          </w:r>
        </w:p>
      </w:tc>
    </w:tr>
    <w:tr w:rsidR="00C6464B" w14:paraId="3FE7B98D" w14:textId="77777777" w:rsidTr="00C6464B">
      <w:trPr>
        <w:trHeight w:val="342"/>
      </w:trPr>
      <w:tc>
        <w:tcPr>
          <w:tcW w:w="5813" w:type="dxa"/>
        </w:tcPr>
        <w:p w14:paraId="516D0843" w14:textId="77777777" w:rsidR="00AC142E" w:rsidRDefault="00875853" w:rsidP="00C6464B">
          <w:pPr>
            <w:tabs>
              <w:tab w:val="left" w:pos="4892"/>
            </w:tabs>
            <w:spacing w:after="120" w:line="256" w:lineRule="auto"/>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4961" w:type="dxa"/>
        </w:tcPr>
        <w:p w14:paraId="5EE2DA90" w14:textId="77777777" w:rsidR="00AC142E" w:rsidRDefault="00875853" w:rsidP="00C6464B">
          <w:pPr>
            <w:spacing w:after="120" w:line="256" w:lineRule="auto"/>
            <w:ind w:right="214" w:firstLine="567"/>
            <w:jc w:val="right"/>
            <w:rPr>
              <w:rFonts w:ascii="Palatino Linotype" w:eastAsia="Palatino Linotype" w:hAnsi="Palatino Linotype" w:cs="Palatino Linotype"/>
            </w:rPr>
          </w:pPr>
          <w:r>
            <w:rPr>
              <w:rFonts w:ascii="Palatino Linotype" w:eastAsia="Palatino Linotype" w:hAnsi="Palatino Linotype" w:cs="Palatino Linotype"/>
            </w:rPr>
            <w:t>José Martínez Vilchis</w:t>
          </w:r>
        </w:p>
      </w:tc>
    </w:tr>
  </w:tbl>
  <w:p w14:paraId="37C63E00" w14:textId="77777777" w:rsidR="00AC142E" w:rsidRDefault="00AC142E">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F6439A"/>
    <w:multiLevelType w:val="multilevel"/>
    <w:tmpl w:val="52C814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42E"/>
    <w:rsid w:val="00087778"/>
    <w:rsid w:val="002F5B20"/>
    <w:rsid w:val="00372F98"/>
    <w:rsid w:val="004C1477"/>
    <w:rsid w:val="00875853"/>
    <w:rsid w:val="009263E0"/>
    <w:rsid w:val="009343FA"/>
    <w:rsid w:val="009F23A3"/>
    <w:rsid w:val="00AC142E"/>
    <w:rsid w:val="00BA779A"/>
    <w:rsid w:val="00C6464B"/>
    <w:rsid w:val="00DB7B79"/>
    <w:rsid w:val="00E059D5"/>
    <w:rsid w:val="00F76A26"/>
    <w:rsid w:val="00FA47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FDCEA"/>
  <w15:docId w15:val="{0D5E2A6D-3DA5-6547-A91C-C6CA0EEB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semiHidden/>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link w:val="Ttulo4Car"/>
    <w:uiPriority w:val="9"/>
    <w:semiHidden/>
    <w:unhideWhenUsed/>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gxGfzG+JCo58UUOQrngjGjzQDg==">AMUW2mVP2ByEwToLgHzz/xL2cKleV2IbwKaCD2FsJ8NGDlh/TRmUDZlMRhHQTPmjY50hUmJLjIE9I4r9ot28gEuaVVFZD/n8dH/wxBSbWvfDJc+fuY69Hw3dLvTNBbjQynbDF6ZkEOv1BvSoMeEwke+2muUeY+GoBw==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46</Pages>
  <Words>10003</Words>
  <Characters>55017</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2021-10-26T20:46:00Z</dcterms:created>
  <dcterms:modified xsi:type="dcterms:W3CDTF">2021-11-05T01:29:00Z</dcterms:modified>
</cp:coreProperties>
</file>