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1842D8" w14:textId="5688C2C5" w:rsidR="00E15E85" w:rsidRPr="00207FE7" w:rsidRDefault="00195489"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207FE7">
        <w:rPr>
          <w:rFonts w:ascii="Palatino Linotype" w:eastAsia="Times New Roman" w:hAnsi="Palatino Linotype" w:cs="Arial"/>
          <w:color w:val="000000"/>
          <w:sz w:val="24"/>
          <w:szCs w:val="24"/>
          <w:lang w:val="es-ES" w:eastAsia="es-MX"/>
        </w:rPr>
        <w:t xml:space="preserve"> </w:t>
      </w:r>
      <w:r w:rsidR="00E15E85" w:rsidRPr="00207FE7">
        <w:rPr>
          <w:rFonts w:ascii="Palatino Linotype" w:eastAsia="Times New Roman" w:hAnsi="Palatino Linotype" w:cs="Arial"/>
          <w:color w:val="000000"/>
          <w:sz w:val="24"/>
          <w:szCs w:val="24"/>
          <w:lang w:val="es-ES" w:eastAsia="es-MX"/>
        </w:rPr>
        <w:t>Resolución del Pleno del Instituto de Transparencia, Acceso a la Información Pública y Protección de Datos Personales del Estado de México y Municipios, con domicilio en Metepec, Estado de México, a</w:t>
      </w:r>
      <w:r w:rsidR="00A118BD">
        <w:rPr>
          <w:rFonts w:ascii="Palatino Linotype" w:eastAsia="Times New Roman" w:hAnsi="Palatino Linotype" w:cs="Arial"/>
          <w:color w:val="000000"/>
          <w:sz w:val="24"/>
          <w:szCs w:val="24"/>
          <w:lang w:val="es-ES" w:eastAsia="es-MX"/>
        </w:rPr>
        <w:t xml:space="preserve"> </w:t>
      </w:r>
      <w:r w:rsidR="00942FDD">
        <w:rPr>
          <w:rFonts w:ascii="Palatino Linotype" w:eastAsia="Times New Roman" w:hAnsi="Palatino Linotype" w:cs="Arial"/>
          <w:color w:val="000000"/>
          <w:sz w:val="24"/>
          <w:szCs w:val="24"/>
          <w:lang w:val="es-ES" w:eastAsia="es-MX"/>
        </w:rPr>
        <w:t>nueve de junio</w:t>
      </w:r>
      <w:r w:rsidR="00A118BD">
        <w:rPr>
          <w:rFonts w:ascii="Palatino Linotype" w:eastAsia="Times New Roman" w:hAnsi="Palatino Linotype" w:cs="Arial"/>
          <w:color w:val="000000"/>
          <w:sz w:val="24"/>
          <w:szCs w:val="24"/>
          <w:lang w:val="es-ES" w:eastAsia="es-MX"/>
        </w:rPr>
        <w:t xml:space="preserve"> de dos mil veintiuno</w:t>
      </w:r>
      <w:r w:rsidR="00E15E85" w:rsidRPr="00207FE7">
        <w:rPr>
          <w:rFonts w:ascii="Palatino Linotype" w:eastAsia="Times New Roman" w:hAnsi="Palatino Linotype" w:cs="Arial"/>
          <w:color w:val="000000"/>
          <w:sz w:val="24"/>
          <w:szCs w:val="24"/>
          <w:lang w:val="es-ES" w:eastAsia="es-MX"/>
        </w:rPr>
        <w:t>.</w:t>
      </w:r>
    </w:p>
    <w:p w14:paraId="1E15DF94" w14:textId="77777777" w:rsidR="009F477F" w:rsidRDefault="009F477F" w:rsidP="00E15E85">
      <w:pPr>
        <w:tabs>
          <w:tab w:val="left" w:pos="1701"/>
        </w:tabs>
        <w:spacing w:before="240" w:line="360" w:lineRule="auto"/>
        <w:jc w:val="both"/>
        <w:rPr>
          <w:rFonts w:ascii="Palatino Linotype" w:eastAsia="Times New Roman" w:hAnsi="Palatino Linotype" w:cs="Arial"/>
          <w:color w:val="000000"/>
          <w:sz w:val="24"/>
          <w:szCs w:val="24"/>
          <w:lang w:val="es-ES" w:eastAsia="es-MX"/>
        </w:rPr>
      </w:pPr>
    </w:p>
    <w:p w14:paraId="2CEC7A43" w14:textId="0BB86071" w:rsidR="00E87E34" w:rsidRPr="00207FE7" w:rsidRDefault="00E15E85" w:rsidP="00E15E85">
      <w:pPr>
        <w:tabs>
          <w:tab w:val="left" w:pos="1701"/>
        </w:tabs>
        <w:spacing w:before="240" w:line="360" w:lineRule="auto"/>
        <w:jc w:val="both"/>
        <w:rPr>
          <w:rFonts w:ascii="Palatino Linotype" w:hAnsi="Palatino Linotype" w:cs="Arial"/>
          <w:b/>
          <w:bCs/>
          <w:sz w:val="24"/>
          <w:lang w:val="es-ES" w:eastAsia="es-MX"/>
        </w:rPr>
      </w:pPr>
      <w:r w:rsidRPr="00207FE7">
        <w:rPr>
          <w:rFonts w:ascii="Palatino Linotype" w:hAnsi="Palatino Linotype" w:cs="Arial"/>
          <w:b/>
          <w:sz w:val="24"/>
          <w:lang w:val="es-ES"/>
        </w:rPr>
        <w:t>VISTO</w:t>
      </w:r>
      <w:r w:rsidRPr="00207FE7">
        <w:rPr>
          <w:rFonts w:ascii="Palatino Linotype" w:hAnsi="Palatino Linotype" w:cs="Arial"/>
          <w:sz w:val="24"/>
          <w:lang w:val="es-ES"/>
        </w:rPr>
        <w:t xml:space="preserve"> el expediente electrónico formado con motivo del recurso de revisión número</w:t>
      </w:r>
      <w:r w:rsidR="00341648">
        <w:rPr>
          <w:rFonts w:ascii="Palatino Linotype" w:hAnsi="Palatino Linotype" w:cs="Arial"/>
          <w:b/>
          <w:bCs/>
          <w:sz w:val="24"/>
          <w:lang w:val="es-ES" w:eastAsia="es-MX"/>
        </w:rPr>
        <w:t xml:space="preserve"> </w:t>
      </w:r>
      <w:r w:rsidR="00341648" w:rsidRPr="00341648">
        <w:rPr>
          <w:rFonts w:ascii="Palatino Linotype" w:hAnsi="Palatino Linotype" w:cs="Arial"/>
          <w:b/>
          <w:bCs/>
          <w:sz w:val="24"/>
          <w:lang w:val="es-ES" w:eastAsia="es-MX"/>
        </w:rPr>
        <w:t>0</w:t>
      </w:r>
      <w:r w:rsidR="005052FC">
        <w:rPr>
          <w:rFonts w:ascii="Palatino Linotype" w:hAnsi="Palatino Linotype" w:cs="Arial"/>
          <w:b/>
          <w:bCs/>
          <w:sz w:val="24"/>
          <w:lang w:val="es-ES" w:eastAsia="es-MX"/>
        </w:rPr>
        <w:t>1</w:t>
      </w:r>
      <w:r w:rsidR="00A04B99">
        <w:rPr>
          <w:rFonts w:ascii="Palatino Linotype" w:hAnsi="Palatino Linotype" w:cs="Arial"/>
          <w:b/>
          <w:bCs/>
          <w:sz w:val="24"/>
          <w:lang w:val="es-ES" w:eastAsia="es-MX"/>
        </w:rPr>
        <w:t>270</w:t>
      </w:r>
      <w:r w:rsidR="00341648" w:rsidRPr="00341648">
        <w:rPr>
          <w:rFonts w:ascii="Palatino Linotype" w:hAnsi="Palatino Linotype" w:cs="Arial"/>
          <w:b/>
          <w:bCs/>
          <w:sz w:val="24"/>
          <w:lang w:val="es-ES" w:eastAsia="es-MX"/>
        </w:rPr>
        <w:t>/INFOEM/IP/RR/202</w:t>
      </w:r>
      <w:r w:rsidR="005052FC">
        <w:rPr>
          <w:rFonts w:ascii="Palatino Linotype" w:hAnsi="Palatino Linotype" w:cs="Arial"/>
          <w:b/>
          <w:bCs/>
          <w:sz w:val="24"/>
          <w:lang w:val="es-ES" w:eastAsia="es-MX"/>
        </w:rPr>
        <w:t>1</w:t>
      </w:r>
      <w:r w:rsidRPr="00207FE7">
        <w:rPr>
          <w:rFonts w:ascii="Palatino Linotype" w:hAnsi="Palatino Linotype" w:cs="Arial"/>
          <w:sz w:val="24"/>
          <w:lang w:val="es-ES"/>
        </w:rPr>
        <w:t xml:space="preserve">, </w:t>
      </w:r>
      <w:r w:rsidR="00614FDD" w:rsidRPr="00207FE7">
        <w:rPr>
          <w:rFonts w:ascii="Palatino Linotype" w:hAnsi="Palatino Linotype" w:cs="Arial"/>
          <w:sz w:val="24"/>
          <w:lang w:val="es-ES"/>
        </w:rPr>
        <w:t xml:space="preserve">interpuesto </w:t>
      </w:r>
      <w:r w:rsidR="00A04B99">
        <w:rPr>
          <w:rFonts w:ascii="Palatino Linotype" w:hAnsi="Palatino Linotype" w:cs="Arial"/>
          <w:sz w:val="24"/>
          <w:lang w:val="es-ES"/>
        </w:rPr>
        <w:t xml:space="preserve">por la parte solicitante </w:t>
      </w:r>
      <w:r w:rsidR="00A04B99" w:rsidRPr="00A04B99">
        <w:rPr>
          <w:rFonts w:ascii="Palatino Linotype" w:hAnsi="Palatino Linotype" w:cs="Arial"/>
          <w:b/>
          <w:bCs/>
          <w:sz w:val="24"/>
          <w:lang w:val="es-ES"/>
        </w:rPr>
        <w:t xml:space="preserve">C. </w:t>
      </w:r>
      <w:proofErr w:type="spellStart"/>
      <w:r w:rsidR="00C82C87">
        <w:rPr>
          <w:rFonts w:ascii="Palatino Linotype" w:hAnsi="Palatino Linotype" w:cs="Arial"/>
          <w:b/>
          <w:bCs/>
          <w:sz w:val="24"/>
          <w:lang w:val="es-ES"/>
        </w:rPr>
        <w:t>xxxxx</w:t>
      </w:r>
      <w:proofErr w:type="spellEnd"/>
      <w:r w:rsidR="00A04B99" w:rsidRPr="00A04B99">
        <w:rPr>
          <w:rFonts w:ascii="Palatino Linotype" w:hAnsi="Palatino Linotype" w:cs="Arial"/>
          <w:b/>
          <w:bCs/>
          <w:sz w:val="24"/>
          <w:lang w:val="es-ES"/>
        </w:rPr>
        <w:t xml:space="preserve"> </w:t>
      </w:r>
      <w:r w:rsidR="00C82C87">
        <w:rPr>
          <w:rFonts w:ascii="Palatino Linotype" w:hAnsi="Palatino Linotype" w:cs="Arial"/>
          <w:b/>
          <w:bCs/>
          <w:sz w:val="24"/>
          <w:lang w:val="es-ES"/>
        </w:rPr>
        <w:t>xxxxxxxxxxxxxx</w:t>
      </w:r>
      <w:bookmarkStart w:id="0" w:name="_GoBack"/>
      <w:bookmarkEnd w:id="0"/>
      <w:r w:rsidR="00A04B99">
        <w:rPr>
          <w:rFonts w:ascii="Palatino Linotype" w:hAnsi="Palatino Linotype" w:cs="Arial"/>
          <w:sz w:val="24"/>
          <w:lang w:val="es-ES"/>
        </w:rPr>
        <w:t xml:space="preserve">, </w:t>
      </w:r>
      <w:r w:rsidR="00487F76" w:rsidRPr="00207FE7">
        <w:rPr>
          <w:rFonts w:ascii="Palatino Linotype" w:hAnsi="Palatino Linotype" w:cs="Arial"/>
          <w:sz w:val="24"/>
          <w:lang w:val="es-ES"/>
        </w:rPr>
        <w:t xml:space="preserve">a quien en lo sucesivo se le denominara </w:t>
      </w:r>
      <w:r w:rsidR="00487F76" w:rsidRPr="005052FC">
        <w:rPr>
          <w:rFonts w:ascii="Palatino Linotype" w:hAnsi="Palatino Linotype" w:cs="Arial"/>
          <w:b/>
          <w:bCs/>
          <w:sz w:val="24"/>
          <w:lang w:val="es-ES"/>
        </w:rPr>
        <w:t>la parte</w:t>
      </w:r>
      <w:r w:rsidRPr="00207FE7">
        <w:rPr>
          <w:rFonts w:ascii="Palatino Linotype" w:hAnsi="Palatino Linotype" w:cs="Arial"/>
          <w:b/>
          <w:sz w:val="24"/>
          <w:lang w:val="es-ES"/>
        </w:rPr>
        <w:t xml:space="preserve"> </w:t>
      </w:r>
      <w:r w:rsidR="00487F76" w:rsidRPr="00207FE7">
        <w:rPr>
          <w:rFonts w:ascii="Palatino Linotype" w:hAnsi="Palatino Linotype" w:cs="Arial"/>
          <w:b/>
          <w:sz w:val="24"/>
          <w:lang w:val="es-ES"/>
        </w:rPr>
        <w:t>r</w:t>
      </w:r>
      <w:r w:rsidRPr="00207FE7">
        <w:rPr>
          <w:rFonts w:ascii="Palatino Linotype" w:hAnsi="Palatino Linotype" w:cs="Arial"/>
          <w:b/>
          <w:sz w:val="24"/>
          <w:lang w:val="es-ES"/>
        </w:rPr>
        <w:t>ecurrente</w:t>
      </w:r>
      <w:r w:rsidR="00E221C1" w:rsidRPr="00207FE7">
        <w:rPr>
          <w:rFonts w:ascii="Palatino Linotype" w:hAnsi="Palatino Linotype" w:cs="Arial"/>
          <w:sz w:val="24"/>
          <w:lang w:val="es-ES"/>
        </w:rPr>
        <w:t xml:space="preserve">, en contra </w:t>
      </w:r>
      <w:r w:rsidR="00E372DA" w:rsidRPr="00207FE7">
        <w:rPr>
          <w:rFonts w:ascii="Palatino Linotype" w:hAnsi="Palatino Linotype" w:cs="Arial"/>
          <w:sz w:val="24"/>
          <w:lang w:val="es-ES"/>
        </w:rPr>
        <w:t>de</w:t>
      </w:r>
      <w:r w:rsidR="00E221C1" w:rsidRPr="00207FE7">
        <w:rPr>
          <w:rFonts w:ascii="Palatino Linotype" w:hAnsi="Palatino Linotype" w:cs="Arial"/>
          <w:sz w:val="24"/>
          <w:lang w:val="es-ES"/>
        </w:rPr>
        <w:t xml:space="preserve"> </w:t>
      </w:r>
      <w:r w:rsidR="00654533" w:rsidRPr="00207FE7">
        <w:rPr>
          <w:rFonts w:ascii="Palatino Linotype" w:hAnsi="Palatino Linotype" w:cs="Arial"/>
          <w:sz w:val="24"/>
          <w:lang w:val="es-ES"/>
        </w:rPr>
        <w:t xml:space="preserve">la </w:t>
      </w:r>
      <w:r w:rsidRPr="00207FE7">
        <w:rPr>
          <w:rFonts w:ascii="Palatino Linotype" w:hAnsi="Palatino Linotype" w:cs="Arial"/>
          <w:sz w:val="24"/>
          <w:lang w:val="es-ES"/>
        </w:rPr>
        <w:t xml:space="preserve">respuesta </w:t>
      </w:r>
      <w:r w:rsidR="003470B1" w:rsidRPr="00207FE7">
        <w:rPr>
          <w:rFonts w:ascii="Palatino Linotype" w:hAnsi="Palatino Linotype" w:cs="Arial"/>
          <w:sz w:val="24"/>
          <w:lang w:val="es-ES"/>
        </w:rPr>
        <w:t>d</w:t>
      </w:r>
      <w:r w:rsidR="00E372DA" w:rsidRPr="00207FE7">
        <w:rPr>
          <w:rFonts w:ascii="Palatino Linotype" w:hAnsi="Palatino Linotype" w:cs="Arial"/>
          <w:sz w:val="24"/>
          <w:szCs w:val="24"/>
          <w:lang w:val="es-ES"/>
        </w:rPr>
        <w:t>el</w:t>
      </w:r>
      <w:r w:rsidR="00341648">
        <w:rPr>
          <w:rFonts w:ascii="Palatino Linotype" w:hAnsi="Palatino Linotype" w:cs="Arial"/>
          <w:sz w:val="24"/>
          <w:szCs w:val="24"/>
          <w:lang w:val="es-ES"/>
        </w:rPr>
        <w:t xml:space="preserve"> </w:t>
      </w:r>
      <w:r w:rsidR="00A04B99" w:rsidRPr="00A04B99">
        <w:rPr>
          <w:rFonts w:ascii="Palatino Linotype" w:hAnsi="Palatino Linotype" w:cs="Arial"/>
          <w:b/>
          <w:sz w:val="24"/>
          <w:szCs w:val="24"/>
          <w:lang w:val="es-ES"/>
        </w:rPr>
        <w:t>Ayuntamiento de Atlacomulco</w:t>
      </w:r>
      <w:r w:rsidRPr="00207FE7">
        <w:rPr>
          <w:rFonts w:ascii="Palatino Linotype" w:hAnsi="Palatino Linotype" w:cs="Arial"/>
          <w:sz w:val="28"/>
          <w:szCs w:val="24"/>
          <w:lang w:val="es-ES"/>
        </w:rPr>
        <w:t xml:space="preserve">, </w:t>
      </w:r>
      <w:r w:rsidRPr="00207FE7">
        <w:rPr>
          <w:rFonts w:ascii="Palatino Linotype" w:hAnsi="Palatino Linotype" w:cs="Arial"/>
          <w:sz w:val="24"/>
          <w:szCs w:val="24"/>
          <w:lang w:val="es-ES"/>
        </w:rPr>
        <w:t>en lo subsecuente</w:t>
      </w:r>
      <w:r w:rsidRPr="00207FE7">
        <w:rPr>
          <w:rFonts w:ascii="Palatino Linotype" w:hAnsi="Palatino Linotype" w:cs="Arial"/>
          <w:b/>
          <w:sz w:val="24"/>
          <w:szCs w:val="24"/>
          <w:lang w:val="es-ES"/>
        </w:rPr>
        <w:t xml:space="preserve"> </w:t>
      </w:r>
      <w:r w:rsidR="00487F76" w:rsidRPr="00207FE7">
        <w:rPr>
          <w:rFonts w:ascii="Palatino Linotype" w:hAnsi="Palatino Linotype" w:cs="Arial"/>
          <w:b/>
          <w:sz w:val="24"/>
          <w:szCs w:val="24"/>
          <w:lang w:val="es-ES"/>
        </w:rPr>
        <w:t>e</w:t>
      </w:r>
      <w:r w:rsidRPr="00207FE7">
        <w:rPr>
          <w:rFonts w:ascii="Palatino Linotype" w:hAnsi="Palatino Linotype" w:cs="Arial"/>
          <w:b/>
          <w:sz w:val="24"/>
          <w:szCs w:val="24"/>
          <w:lang w:val="es-ES"/>
        </w:rPr>
        <w:t xml:space="preserve">l </w:t>
      </w:r>
      <w:r w:rsidR="00487F76" w:rsidRPr="00207FE7">
        <w:rPr>
          <w:rFonts w:ascii="Palatino Linotype" w:hAnsi="Palatino Linotype" w:cs="Arial"/>
          <w:b/>
          <w:sz w:val="24"/>
          <w:szCs w:val="24"/>
          <w:lang w:val="es-ES"/>
        </w:rPr>
        <w:t>s</w:t>
      </w:r>
      <w:r w:rsidRPr="00207FE7">
        <w:rPr>
          <w:rFonts w:ascii="Palatino Linotype" w:hAnsi="Palatino Linotype" w:cs="Arial"/>
          <w:b/>
          <w:sz w:val="24"/>
          <w:szCs w:val="24"/>
          <w:lang w:val="es-ES"/>
        </w:rPr>
        <w:t xml:space="preserve">ujeto </w:t>
      </w:r>
      <w:r w:rsidR="00487F76" w:rsidRPr="00207FE7">
        <w:rPr>
          <w:rFonts w:ascii="Palatino Linotype" w:hAnsi="Palatino Linotype" w:cs="Arial"/>
          <w:b/>
          <w:sz w:val="24"/>
          <w:szCs w:val="24"/>
          <w:lang w:val="es-ES"/>
        </w:rPr>
        <w:t>o</w:t>
      </w:r>
      <w:r w:rsidRPr="00207FE7">
        <w:rPr>
          <w:rFonts w:ascii="Palatino Linotype" w:hAnsi="Palatino Linotype" w:cs="Arial"/>
          <w:b/>
          <w:sz w:val="24"/>
          <w:szCs w:val="24"/>
          <w:lang w:val="es-ES"/>
        </w:rPr>
        <w:t xml:space="preserve">bligado, </w:t>
      </w:r>
      <w:r w:rsidRPr="00207FE7">
        <w:rPr>
          <w:rFonts w:ascii="Palatino Linotype" w:hAnsi="Palatino Linotype" w:cs="Arial"/>
          <w:sz w:val="24"/>
          <w:szCs w:val="24"/>
          <w:lang w:val="es-ES"/>
        </w:rPr>
        <w:t>se procede a</w:t>
      </w:r>
      <w:r w:rsidRPr="00207FE7">
        <w:rPr>
          <w:rFonts w:ascii="Palatino Linotype" w:hAnsi="Palatino Linotype" w:cs="Arial"/>
          <w:sz w:val="24"/>
          <w:lang w:val="es-ES"/>
        </w:rPr>
        <w:t xml:space="preserve"> dictar la presente resolución.</w:t>
      </w:r>
      <w:r w:rsidR="00D329E5">
        <w:rPr>
          <w:rFonts w:ascii="Palatino Linotype" w:hAnsi="Palatino Linotype" w:cs="Arial"/>
          <w:sz w:val="24"/>
          <w:lang w:val="es-ES"/>
        </w:rPr>
        <w:t xml:space="preserve"> </w:t>
      </w:r>
    </w:p>
    <w:p w14:paraId="071B2493" w14:textId="77777777" w:rsidR="00E15E85" w:rsidRPr="00207FE7" w:rsidRDefault="00E15E85" w:rsidP="00E15E85">
      <w:pPr>
        <w:tabs>
          <w:tab w:val="left" w:pos="1701"/>
        </w:tabs>
        <w:spacing w:before="240" w:line="360" w:lineRule="auto"/>
        <w:jc w:val="both"/>
        <w:rPr>
          <w:rFonts w:ascii="Palatino Linotype" w:hAnsi="Palatino Linotype" w:cs="Arial"/>
          <w:sz w:val="24"/>
          <w:lang w:val="es-ES"/>
        </w:rPr>
      </w:pPr>
    </w:p>
    <w:p w14:paraId="3756D2C6" w14:textId="77777777" w:rsidR="006200A2" w:rsidRPr="00207FE7" w:rsidRDefault="00E15E85" w:rsidP="006200A2">
      <w:pPr>
        <w:spacing w:before="240" w:after="240" w:line="360" w:lineRule="auto"/>
        <w:jc w:val="center"/>
        <w:rPr>
          <w:rFonts w:ascii="Palatino Linotype" w:hAnsi="Palatino Linotype"/>
          <w:b/>
          <w:sz w:val="28"/>
          <w:lang w:val="es-ES"/>
        </w:rPr>
      </w:pPr>
      <w:r w:rsidRPr="00207FE7">
        <w:rPr>
          <w:rFonts w:ascii="Palatino Linotype" w:hAnsi="Palatino Linotype"/>
          <w:b/>
          <w:sz w:val="28"/>
          <w:lang w:val="es-ES"/>
        </w:rPr>
        <w:t>A N T E C E D E N T E S   D E L   A S U N T O</w:t>
      </w:r>
    </w:p>
    <w:p w14:paraId="18E0D8B0" w14:textId="77777777" w:rsidR="00E15E85" w:rsidRPr="00207FE7" w:rsidRDefault="00E15E85" w:rsidP="00E15E85">
      <w:pPr>
        <w:spacing w:before="240" w:after="240" w:line="360" w:lineRule="auto"/>
        <w:jc w:val="both"/>
        <w:rPr>
          <w:rFonts w:ascii="Palatino Linotype" w:hAnsi="Palatino Linotype"/>
          <w:lang w:val="es-ES"/>
        </w:rPr>
      </w:pPr>
      <w:r w:rsidRPr="00207FE7">
        <w:rPr>
          <w:rFonts w:ascii="Palatino Linotype" w:hAnsi="Palatino Linotype" w:cs="Arial"/>
          <w:b/>
          <w:sz w:val="28"/>
          <w:lang w:val="es-ES"/>
        </w:rPr>
        <w:t>PRIMERO.</w:t>
      </w:r>
      <w:r w:rsidRPr="00207FE7">
        <w:rPr>
          <w:rFonts w:ascii="Palatino Linotype" w:hAnsi="Palatino Linotype" w:cs="Arial"/>
          <w:lang w:val="es-ES"/>
        </w:rPr>
        <w:t xml:space="preserve"> </w:t>
      </w:r>
      <w:r w:rsidRPr="00207FE7">
        <w:rPr>
          <w:rFonts w:ascii="Palatino Linotype" w:hAnsi="Palatino Linotype"/>
          <w:b/>
          <w:sz w:val="28"/>
          <w:szCs w:val="28"/>
          <w:lang w:val="es-ES"/>
        </w:rPr>
        <w:t>De la Solicitud de Información.</w:t>
      </w:r>
    </w:p>
    <w:p w14:paraId="6FCCA71C" w14:textId="154C5222" w:rsidR="009845EC" w:rsidRPr="00207FE7" w:rsidRDefault="009845EC" w:rsidP="009845EC">
      <w:pPr>
        <w:spacing w:before="240" w:line="360" w:lineRule="auto"/>
        <w:jc w:val="both"/>
        <w:rPr>
          <w:rFonts w:ascii="Palatino Linotype" w:hAnsi="Palatino Linotype" w:cs="Arial"/>
          <w:sz w:val="24"/>
          <w:lang w:val="es-ES"/>
        </w:rPr>
      </w:pPr>
      <w:r w:rsidRPr="00207FE7">
        <w:rPr>
          <w:rFonts w:ascii="Palatino Linotype" w:hAnsi="Palatino Linotype" w:cs="Arial"/>
          <w:sz w:val="24"/>
          <w:lang w:val="es-ES"/>
        </w:rPr>
        <w:t>Con fecha</w:t>
      </w:r>
      <w:r w:rsidR="00D329E5">
        <w:rPr>
          <w:rFonts w:ascii="Palatino Linotype" w:hAnsi="Palatino Linotype" w:cs="Arial"/>
          <w:sz w:val="24"/>
          <w:lang w:val="es-ES"/>
        </w:rPr>
        <w:t xml:space="preserve"> </w:t>
      </w:r>
      <w:r w:rsidR="00A04B99">
        <w:rPr>
          <w:rFonts w:ascii="Palatino Linotype" w:hAnsi="Palatino Linotype" w:cs="Arial"/>
          <w:sz w:val="24"/>
          <w:lang w:val="es-ES"/>
        </w:rPr>
        <w:t>uno de marzo</w:t>
      </w:r>
      <w:r w:rsidR="005052FC">
        <w:rPr>
          <w:rFonts w:ascii="Palatino Linotype" w:hAnsi="Palatino Linotype" w:cs="Arial"/>
          <w:sz w:val="24"/>
          <w:lang w:val="es-ES"/>
        </w:rPr>
        <w:t xml:space="preserve"> de dos mil veintiuno</w:t>
      </w:r>
      <w:r w:rsidRPr="00207FE7">
        <w:rPr>
          <w:rFonts w:ascii="Palatino Linotype" w:hAnsi="Palatino Linotype" w:cs="Arial"/>
          <w:sz w:val="24"/>
          <w:lang w:val="es-ES"/>
        </w:rPr>
        <w:t xml:space="preserve">, </w:t>
      </w:r>
      <w:r w:rsidRPr="00207FE7">
        <w:rPr>
          <w:rFonts w:ascii="Palatino Linotype" w:hAnsi="Palatino Linotype" w:cs="Arial"/>
          <w:b/>
          <w:sz w:val="24"/>
          <w:lang w:val="es-ES"/>
        </w:rPr>
        <w:t>la parte recurrente</w:t>
      </w:r>
      <w:r w:rsidRPr="00207FE7">
        <w:rPr>
          <w:rFonts w:ascii="Palatino Linotype" w:hAnsi="Palatino Linotype" w:cs="Arial"/>
          <w:sz w:val="24"/>
          <w:lang w:val="es-ES"/>
        </w:rPr>
        <w:t>, presentó a través del Sistema de Acceso a la Información Mexiquense (</w:t>
      </w:r>
      <w:r w:rsidRPr="00207FE7">
        <w:rPr>
          <w:rFonts w:ascii="Palatino Linotype" w:hAnsi="Palatino Linotype" w:cs="Arial"/>
          <w:b/>
          <w:sz w:val="24"/>
          <w:lang w:val="es-ES"/>
        </w:rPr>
        <w:t>SAIMEX)</w:t>
      </w:r>
      <w:r w:rsidRPr="00207FE7">
        <w:rPr>
          <w:rFonts w:ascii="Palatino Linotype" w:hAnsi="Palatino Linotype" w:cs="Arial"/>
          <w:sz w:val="24"/>
          <w:lang w:val="es-ES"/>
        </w:rPr>
        <w:t xml:space="preserve"> ante </w:t>
      </w:r>
      <w:r w:rsidRPr="00207FE7">
        <w:rPr>
          <w:rFonts w:ascii="Palatino Linotype" w:hAnsi="Palatino Linotype" w:cs="Arial"/>
          <w:b/>
          <w:sz w:val="24"/>
          <w:lang w:val="es-ES"/>
        </w:rPr>
        <w:t>el sujeto obligado</w:t>
      </w:r>
      <w:r w:rsidRPr="00207FE7">
        <w:rPr>
          <w:rFonts w:ascii="Palatino Linotype" w:hAnsi="Palatino Linotype" w:cs="Arial"/>
          <w:sz w:val="24"/>
          <w:lang w:val="es-ES"/>
        </w:rPr>
        <w:t xml:space="preserve">, solicitud de acceso a la información pública, registrada bajo el número de </w:t>
      </w:r>
      <w:r w:rsidR="005166D5" w:rsidRPr="00207FE7">
        <w:rPr>
          <w:rFonts w:ascii="Palatino Linotype" w:hAnsi="Palatino Linotype" w:cs="Arial"/>
          <w:sz w:val="24"/>
          <w:lang w:val="es-ES"/>
        </w:rPr>
        <w:t>expediente</w:t>
      </w:r>
      <w:r w:rsidR="005166D5">
        <w:rPr>
          <w:rFonts w:ascii="Palatino Linotype" w:hAnsi="Palatino Linotype" w:cs="Arial"/>
          <w:sz w:val="24"/>
          <w:lang w:val="es-ES"/>
        </w:rPr>
        <w:t xml:space="preserve"> </w:t>
      </w:r>
      <w:r w:rsidR="00A04B99" w:rsidRPr="00A04B99">
        <w:rPr>
          <w:rFonts w:ascii="Palatino Linotype" w:hAnsi="Palatino Linotype" w:cs="Arial"/>
          <w:b/>
          <w:sz w:val="24"/>
          <w:lang w:val="es-ES" w:eastAsia="es-MX"/>
        </w:rPr>
        <w:t>00039/ATLACOM/IP/2021</w:t>
      </w:r>
      <w:r w:rsidR="005166D5">
        <w:rPr>
          <w:rFonts w:ascii="Palatino Linotype" w:hAnsi="Palatino Linotype" w:cs="Arial"/>
          <w:b/>
          <w:sz w:val="24"/>
          <w:lang w:val="es-ES" w:eastAsia="es-MX"/>
        </w:rPr>
        <w:t xml:space="preserve">, </w:t>
      </w:r>
      <w:r w:rsidRPr="00207FE7">
        <w:rPr>
          <w:rFonts w:ascii="Palatino Linotype" w:hAnsi="Palatino Linotype" w:cs="Arial"/>
          <w:sz w:val="24"/>
          <w:lang w:val="es-ES"/>
        </w:rPr>
        <w:t>mediante la cual solicitó información en el tenor siguiente:</w:t>
      </w:r>
    </w:p>
    <w:p w14:paraId="77725889" w14:textId="1EE541FA" w:rsidR="00E15E85" w:rsidRPr="00207FE7" w:rsidRDefault="009845EC" w:rsidP="005166D5">
      <w:pPr>
        <w:ind w:left="851" w:right="850"/>
        <w:jc w:val="both"/>
        <w:rPr>
          <w:rFonts w:ascii="Palatino Linotype" w:eastAsia="Times New Roman" w:hAnsi="Palatino Linotype" w:cs="Times New Roman"/>
          <w:i/>
          <w:lang w:val="es-ES" w:eastAsia="es-ES"/>
        </w:rPr>
      </w:pPr>
      <w:r w:rsidRPr="00207FE7">
        <w:rPr>
          <w:rFonts w:ascii="Palatino Linotype" w:eastAsia="Times New Roman" w:hAnsi="Palatino Linotype" w:cs="Times New Roman"/>
          <w:i/>
          <w:lang w:val="es-ES" w:eastAsia="es-ES"/>
        </w:rPr>
        <w:t xml:space="preserve"> </w:t>
      </w:r>
      <w:r w:rsidR="00E15E85" w:rsidRPr="00207FE7">
        <w:rPr>
          <w:rFonts w:ascii="Palatino Linotype" w:eastAsia="Times New Roman" w:hAnsi="Palatino Linotype" w:cs="Times New Roman"/>
          <w:i/>
          <w:lang w:val="es-ES" w:eastAsia="es-ES"/>
        </w:rPr>
        <w:t>“</w:t>
      </w:r>
      <w:r w:rsidR="00A04B99" w:rsidRPr="00A04B99">
        <w:rPr>
          <w:rFonts w:ascii="Palatino Linotype" w:eastAsia="Times New Roman" w:hAnsi="Palatino Linotype" w:cs="Times New Roman"/>
          <w:i/>
          <w:lang w:val="es-ES" w:eastAsia="es-ES"/>
        </w:rPr>
        <w:t>relación de todas las demandas laborales y etapas en las que se encuentran cada una de ellas en contra del ayuntamiento de Atlacomulco, en lo que va de esta administración (2019-2021)</w:t>
      </w:r>
      <w:r w:rsidR="005166D5" w:rsidRPr="005166D5">
        <w:rPr>
          <w:rFonts w:ascii="Palatino Linotype" w:eastAsia="Times New Roman" w:hAnsi="Palatino Linotype" w:cs="Times New Roman"/>
          <w:i/>
          <w:lang w:val="es-ES" w:eastAsia="es-ES"/>
        </w:rPr>
        <w:t>.</w:t>
      </w:r>
      <w:r w:rsidR="005166D5" w:rsidRPr="00207FE7">
        <w:rPr>
          <w:rFonts w:ascii="Palatino Linotype" w:eastAsia="Times New Roman" w:hAnsi="Palatino Linotype" w:cs="Times New Roman"/>
          <w:i/>
          <w:lang w:val="es-ES" w:eastAsia="es-ES"/>
        </w:rPr>
        <w:t>”</w:t>
      </w:r>
      <w:r w:rsidR="00E15E85" w:rsidRPr="00207FE7">
        <w:rPr>
          <w:rFonts w:ascii="Palatino Linotype" w:eastAsia="Times New Roman" w:hAnsi="Palatino Linotype" w:cs="Times New Roman"/>
          <w:i/>
          <w:lang w:val="es-ES" w:eastAsia="es-ES"/>
        </w:rPr>
        <w:t xml:space="preserve"> [Sic]</w:t>
      </w:r>
    </w:p>
    <w:p w14:paraId="4B5A4E84" w14:textId="503E2C7E" w:rsidR="00345C5E" w:rsidRPr="00207FE7" w:rsidRDefault="00E15E85" w:rsidP="00DD16A6">
      <w:pPr>
        <w:spacing w:before="240" w:line="240" w:lineRule="auto"/>
        <w:ind w:right="850"/>
        <w:jc w:val="both"/>
        <w:rPr>
          <w:rFonts w:ascii="Palatino Linotype" w:eastAsia="Times New Roman" w:hAnsi="Palatino Linotype" w:cs="Times New Roman"/>
          <w:sz w:val="24"/>
          <w:szCs w:val="24"/>
          <w:lang w:val="es-ES" w:eastAsia="es-ES"/>
        </w:rPr>
      </w:pPr>
      <w:r w:rsidRPr="00207FE7">
        <w:rPr>
          <w:rFonts w:ascii="Palatino Linotype" w:eastAsia="Times New Roman" w:hAnsi="Palatino Linotype" w:cs="Times New Roman"/>
          <w:sz w:val="24"/>
          <w:szCs w:val="24"/>
          <w:lang w:val="es-ES" w:eastAsia="es-ES"/>
        </w:rPr>
        <w:lastRenderedPageBreak/>
        <w:t>Modalidad de entrega: a través del SAIMEX.</w:t>
      </w:r>
    </w:p>
    <w:p w14:paraId="6282F432" w14:textId="77777777" w:rsidR="00E15E85" w:rsidRPr="00207FE7" w:rsidRDefault="00E15E85" w:rsidP="00E15E85">
      <w:pPr>
        <w:spacing w:before="240" w:line="360" w:lineRule="auto"/>
        <w:jc w:val="both"/>
        <w:rPr>
          <w:rFonts w:ascii="Palatino Linotype" w:hAnsi="Palatino Linotype" w:cs="Arial"/>
          <w:b/>
          <w:sz w:val="28"/>
          <w:lang w:val="es-ES"/>
        </w:rPr>
      </w:pPr>
      <w:r w:rsidRPr="00207FE7">
        <w:rPr>
          <w:rFonts w:ascii="Palatino Linotype" w:hAnsi="Palatino Linotype" w:cs="Arial"/>
          <w:b/>
          <w:sz w:val="28"/>
          <w:lang w:val="es-ES"/>
        </w:rPr>
        <w:t xml:space="preserve">SEGUNDO. </w:t>
      </w:r>
      <w:r w:rsidRPr="00207FE7">
        <w:rPr>
          <w:rFonts w:ascii="Palatino Linotype" w:hAnsi="Palatino Linotype" w:cs="Arial"/>
          <w:b/>
          <w:sz w:val="28"/>
          <w:szCs w:val="20"/>
          <w:lang w:val="es-ES"/>
        </w:rPr>
        <w:t>De la respuesta del Sujeto Obligado.</w:t>
      </w:r>
    </w:p>
    <w:p w14:paraId="54DEFEA0" w14:textId="0DC56AE1" w:rsidR="00D41F41" w:rsidRDefault="00E15E85" w:rsidP="00DD16A6">
      <w:pPr>
        <w:spacing w:before="240" w:line="360" w:lineRule="auto"/>
        <w:jc w:val="both"/>
        <w:rPr>
          <w:rFonts w:ascii="Palatino Linotype" w:hAnsi="Palatino Linotype" w:cs="Arial"/>
          <w:sz w:val="24"/>
          <w:lang w:val="es-ES"/>
        </w:rPr>
      </w:pPr>
      <w:r w:rsidRPr="00207FE7">
        <w:rPr>
          <w:rFonts w:ascii="Palatino Linotype" w:hAnsi="Palatino Linotype" w:cs="Arial"/>
          <w:sz w:val="24"/>
          <w:lang w:val="es-ES"/>
        </w:rPr>
        <w:t xml:space="preserve">En el expediente electrónico </w:t>
      </w:r>
      <w:r w:rsidR="00967DF2" w:rsidRPr="00967DF2">
        <w:rPr>
          <w:rFonts w:ascii="Palatino Linotype" w:hAnsi="Palatino Linotype" w:cs="Arial"/>
          <w:bCs/>
          <w:sz w:val="24"/>
          <w:lang w:val="es-ES"/>
        </w:rPr>
        <w:t>Saimex</w:t>
      </w:r>
      <w:r w:rsidR="003341B0" w:rsidRPr="00207FE7">
        <w:rPr>
          <w:rFonts w:ascii="Palatino Linotype" w:hAnsi="Palatino Linotype" w:cs="Arial"/>
          <w:sz w:val="24"/>
          <w:lang w:val="es-ES"/>
        </w:rPr>
        <w:t xml:space="preserve">, se aprecia que </w:t>
      </w:r>
      <w:r w:rsidR="00967DF2" w:rsidRPr="00967DF2">
        <w:rPr>
          <w:rFonts w:ascii="Palatino Linotype" w:hAnsi="Palatino Linotype" w:cs="Arial"/>
          <w:bCs/>
          <w:sz w:val="24"/>
          <w:lang w:val="es-ES"/>
        </w:rPr>
        <w:t>el sujeto obligado</w:t>
      </w:r>
      <w:r w:rsidR="00967DF2" w:rsidRPr="00207FE7">
        <w:rPr>
          <w:rFonts w:ascii="Palatino Linotype" w:hAnsi="Palatino Linotype" w:cs="Arial"/>
          <w:b/>
          <w:sz w:val="24"/>
          <w:lang w:val="es-ES"/>
        </w:rPr>
        <w:t xml:space="preserve"> </w:t>
      </w:r>
      <w:r w:rsidR="00D41F41" w:rsidRPr="00207FE7">
        <w:rPr>
          <w:rFonts w:ascii="Palatino Linotype" w:hAnsi="Palatino Linotype" w:cs="Arial"/>
          <w:sz w:val="24"/>
          <w:lang w:val="es-ES"/>
        </w:rPr>
        <w:t>en fecha</w:t>
      </w:r>
      <w:r w:rsidR="00E001CC" w:rsidRPr="00207FE7">
        <w:rPr>
          <w:rFonts w:ascii="Palatino Linotype" w:hAnsi="Palatino Linotype" w:cs="Arial"/>
          <w:sz w:val="24"/>
          <w:lang w:val="es-ES"/>
        </w:rPr>
        <w:t xml:space="preserve"> </w:t>
      </w:r>
      <w:r w:rsidR="00A04B99">
        <w:rPr>
          <w:rFonts w:ascii="Palatino Linotype" w:hAnsi="Palatino Linotype" w:cs="Arial"/>
          <w:sz w:val="24"/>
          <w:lang w:val="es-ES"/>
        </w:rPr>
        <w:t>dieciocho</w:t>
      </w:r>
      <w:r w:rsidR="005052FC">
        <w:rPr>
          <w:rFonts w:ascii="Palatino Linotype" w:hAnsi="Palatino Linotype" w:cs="Arial"/>
          <w:sz w:val="24"/>
          <w:lang w:val="es-ES"/>
        </w:rPr>
        <w:t xml:space="preserve"> de marzo de dos mil veintiuno</w:t>
      </w:r>
      <w:r w:rsidR="00DA598F" w:rsidRPr="00207FE7">
        <w:rPr>
          <w:rFonts w:ascii="Palatino Linotype" w:hAnsi="Palatino Linotype" w:cs="Arial"/>
          <w:sz w:val="24"/>
          <w:lang w:val="es-ES"/>
        </w:rPr>
        <w:t xml:space="preserve"> dio respuesta a la solicitud de información </w:t>
      </w:r>
      <w:r w:rsidR="008265FF" w:rsidRPr="00207FE7">
        <w:rPr>
          <w:rFonts w:ascii="Palatino Linotype" w:hAnsi="Palatino Linotype" w:cs="Arial"/>
          <w:sz w:val="24"/>
          <w:lang w:val="es-ES"/>
        </w:rPr>
        <w:t>adjun</w:t>
      </w:r>
      <w:r w:rsidR="005166D5">
        <w:rPr>
          <w:rFonts w:ascii="Palatino Linotype" w:hAnsi="Palatino Linotype" w:cs="Arial"/>
          <w:sz w:val="24"/>
          <w:lang w:val="es-ES"/>
        </w:rPr>
        <w:t>tando para tale</w:t>
      </w:r>
      <w:r w:rsidR="00020399">
        <w:rPr>
          <w:rFonts w:ascii="Palatino Linotype" w:hAnsi="Palatino Linotype" w:cs="Arial"/>
          <w:sz w:val="24"/>
          <w:lang w:val="es-ES"/>
        </w:rPr>
        <w:t xml:space="preserve">s efectos </w:t>
      </w:r>
      <w:r w:rsidR="00A04B99">
        <w:rPr>
          <w:rFonts w:ascii="Palatino Linotype" w:hAnsi="Palatino Linotype" w:cs="Arial"/>
          <w:sz w:val="24"/>
          <w:lang w:val="es-ES"/>
        </w:rPr>
        <w:t>dos</w:t>
      </w:r>
      <w:r w:rsidR="005052FC">
        <w:rPr>
          <w:rFonts w:ascii="Palatino Linotype" w:hAnsi="Palatino Linotype" w:cs="Arial"/>
          <w:sz w:val="24"/>
          <w:lang w:val="es-ES"/>
        </w:rPr>
        <w:t xml:space="preserve"> archivos </w:t>
      </w:r>
      <w:r w:rsidR="00967DF2">
        <w:rPr>
          <w:rFonts w:ascii="Palatino Linotype" w:hAnsi="Palatino Linotype" w:cs="Arial"/>
          <w:sz w:val="24"/>
          <w:lang w:val="es-ES"/>
        </w:rPr>
        <w:t>electrónicos</w:t>
      </w:r>
      <w:r w:rsidR="00020399">
        <w:rPr>
          <w:rFonts w:ascii="Palatino Linotype" w:hAnsi="Palatino Linotype" w:cs="Arial"/>
          <w:sz w:val="24"/>
          <w:lang w:val="es-ES"/>
        </w:rPr>
        <w:t>,</w:t>
      </w:r>
      <w:r w:rsidR="005166D5">
        <w:rPr>
          <w:rFonts w:ascii="Palatino Linotype" w:hAnsi="Palatino Linotype" w:cs="Arial"/>
          <w:sz w:val="24"/>
          <w:lang w:val="es-ES"/>
        </w:rPr>
        <w:t xml:space="preserve"> </w:t>
      </w:r>
      <w:r w:rsidR="00967DF2">
        <w:rPr>
          <w:rFonts w:ascii="Palatino Linotype" w:hAnsi="Palatino Linotype" w:cs="Arial"/>
          <w:sz w:val="24"/>
          <w:lang w:val="es-ES"/>
        </w:rPr>
        <w:t>los cuales se</w:t>
      </w:r>
      <w:r w:rsidR="00D2129D">
        <w:rPr>
          <w:rFonts w:ascii="Palatino Linotype" w:hAnsi="Palatino Linotype" w:cs="Arial"/>
          <w:sz w:val="24"/>
          <w:lang w:val="es-ES"/>
        </w:rPr>
        <w:t xml:space="preserve"> tiene</w:t>
      </w:r>
      <w:r w:rsidR="00967DF2">
        <w:rPr>
          <w:rFonts w:ascii="Palatino Linotype" w:hAnsi="Palatino Linotype" w:cs="Arial"/>
          <w:sz w:val="24"/>
          <w:lang w:val="es-ES"/>
        </w:rPr>
        <w:t>n</w:t>
      </w:r>
      <w:r w:rsidR="00D2129D">
        <w:rPr>
          <w:rFonts w:ascii="Palatino Linotype" w:hAnsi="Palatino Linotype" w:cs="Arial"/>
          <w:sz w:val="24"/>
          <w:lang w:val="es-ES"/>
        </w:rPr>
        <w:t xml:space="preserve"> </w:t>
      </w:r>
      <w:r w:rsidR="00967DF2">
        <w:rPr>
          <w:rFonts w:ascii="Palatino Linotype" w:hAnsi="Palatino Linotype" w:cs="Arial"/>
          <w:sz w:val="24"/>
          <w:lang w:val="es-ES"/>
        </w:rPr>
        <w:t>por reproducidos al ser del conocimiento de las partes y en obvio de reproducciones ociosas.</w:t>
      </w:r>
    </w:p>
    <w:p w14:paraId="7A0D37E8" w14:textId="77777777" w:rsidR="00A04B99" w:rsidRPr="00A04B99" w:rsidRDefault="00A04B99" w:rsidP="00A04B99">
      <w:pPr>
        <w:pStyle w:val="Sinespaciado"/>
        <w:spacing w:line="360" w:lineRule="auto"/>
        <w:ind w:left="708"/>
        <w:jc w:val="both"/>
        <w:rPr>
          <w:rFonts w:ascii="Palatino Linotype" w:eastAsiaTheme="minorHAnsi" w:hAnsi="Palatino Linotype" w:cstheme="minorBidi"/>
          <w:i/>
          <w:iCs/>
          <w:color w:val="000000"/>
          <w:sz w:val="22"/>
          <w:szCs w:val="22"/>
          <w:lang w:eastAsia="en-US"/>
        </w:rPr>
      </w:pPr>
      <w:r w:rsidRPr="00A04B99">
        <w:rPr>
          <w:rFonts w:ascii="Palatino Linotype" w:eastAsiaTheme="minorHAnsi" w:hAnsi="Palatino Linotype" w:cstheme="minorBidi"/>
          <w:i/>
          <w:iCs/>
          <w:color w:val="000000"/>
          <w:sz w:val="22"/>
          <w:szCs w:val="22"/>
          <w:lang w:eastAsia="en-U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826B61E" w14:textId="77777777" w:rsidR="00A04B99" w:rsidRPr="00A04B99" w:rsidRDefault="00A04B99" w:rsidP="00A04B99">
      <w:pPr>
        <w:pStyle w:val="Sinespaciado"/>
        <w:spacing w:line="360" w:lineRule="auto"/>
        <w:ind w:left="708"/>
        <w:jc w:val="both"/>
        <w:rPr>
          <w:rFonts w:ascii="Palatino Linotype" w:eastAsiaTheme="minorHAnsi" w:hAnsi="Palatino Linotype" w:cstheme="minorBidi"/>
          <w:i/>
          <w:iCs/>
          <w:color w:val="000000"/>
          <w:sz w:val="22"/>
          <w:szCs w:val="22"/>
          <w:lang w:eastAsia="en-US"/>
        </w:rPr>
      </w:pPr>
      <w:r w:rsidRPr="00A04B99">
        <w:rPr>
          <w:rFonts w:ascii="Palatino Linotype" w:eastAsiaTheme="minorHAnsi" w:hAnsi="Palatino Linotype" w:cstheme="minorBidi"/>
          <w:i/>
          <w:iCs/>
          <w:color w:val="000000"/>
          <w:sz w:val="22"/>
          <w:szCs w:val="22"/>
          <w:lang w:eastAsia="en-US"/>
        </w:rPr>
        <w:t>Se adjuntan respuestas.</w:t>
      </w:r>
    </w:p>
    <w:p w14:paraId="30257A09" w14:textId="77777777" w:rsidR="00A04B99" w:rsidRPr="00A04B99" w:rsidRDefault="00A04B99" w:rsidP="00A04B99">
      <w:pPr>
        <w:pStyle w:val="Sinespaciado"/>
        <w:spacing w:line="360" w:lineRule="auto"/>
        <w:ind w:left="708"/>
        <w:jc w:val="both"/>
        <w:rPr>
          <w:rFonts w:ascii="Palatino Linotype" w:eastAsiaTheme="minorHAnsi" w:hAnsi="Palatino Linotype" w:cstheme="minorBidi"/>
          <w:i/>
          <w:iCs/>
          <w:color w:val="000000"/>
          <w:sz w:val="22"/>
          <w:szCs w:val="22"/>
          <w:lang w:eastAsia="en-US"/>
        </w:rPr>
      </w:pPr>
      <w:r w:rsidRPr="00A04B99">
        <w:rPr>
          <w:rFonts w:ascii="Palatino Linotype" w:eastAsiaTheme="minorHAnsi" w:hAnsi="Palatino Linotype" w:cstheme="minorBidi"/>
          <w:i/>
          <w:iCs/>
          <w:color w:val="000000"/>
          <w:sz w:val="22"/>
          <w:szCs w:val="22"/>
          <w:lang w:eastAsia="en-US"/>
        </w:rPr>
        <w:t>ATENTAMENTE</w:t>
      </w:r>
    </w:p>
    <w:p w14:paraId="594D62D9" w14:textId="28C77CA5" w:rsidR="00D2129D" w:rsidRPr="005052FC" w:rsidRDefault="00A04B99" w:rsidP="00A04B99">
      <w:pPr>
        <w:pStyle w:val="Sinespaciado"/>
        <w:spacing w:line="360" w:lineRule="auto"/>
        <w:ind w:left="708"/>
        <w:jc w:val="both"/>
      </w:pPr>
      <w:r w:rsidRPr="00A04B99">
        <w:rPr>
          <w:rFonts w:ascii="Palatino Linotype" w:eastAsiaTheme="minorHAnsi" w:hAnsi="Palatino Linotype" w:cstheme="minorBidi"/>
          <w:i/>
          <w:iCs/>
          <w:color w:val="000000"/>
          <w:sz w:val="22"/>
          <w:szCs w:val="22"/>
          <w:lang w:eastAsia="en-US"/>
        </w:rPr>
        <w:t>L.D. Aida Sánchez Ruiz</w:t>
      </w:r>
    </w:p>
    <w:p w14:paraId="2261E46E" w14:textId="21D380D6" w:rsidR="00E15E85" w:rsidRPr="00207FE7" w:rsidRDefault="00E15E85" w:rsidP="00A113D3">
      <w:pPr>
        <w:spacing w:before="240" w:line="360" w:lineRule="auto"/>
        <w:jc w:val="both"/>
        <w:rPr>
          <w:rFonts w:ascii="Palatino Linotype" w:hAnsi="Palatino Linotype" w:cs="Arial"/>
          <w:b/>
          <w:sz w:val="28"/>
          <w:lang w:val="es-ES"/>
        </w:rPr>
      </w:pPr>
      <w:r w:rsidRPr="00207FE7">
        <w:rPr>
          <w:rFonts w:ascii="Palatino Linotype" w:hAnsi="Palatino Linotype" w:cs="Arial"/>
          <w:b/>
          <w:sz w:val="28"/>
          <w:lang w:val="es-ES"/>
        </w:rPr>
        <w:t xml:space="preserve">TERCERO. </w:t>
      </w:r>
      <w:r w:rsidRPr="00207FE7">
        <w:rPr>
          <w:rFonts w:ascii="Palatino Linotype" w:hAnsi="Palatino Linotype"/>
          <w:b/>
          <w:sz w:val="28"/>
          <w:lang w:val="es-ES"/>
        </w:rPr>
        <w:t>Del recurso de revisión.</w:t>
      </w:r>
    </w:p>
    <w:p w14:paraId="208523A8" w14:textId="0B33B1C1" w:rsidR="00E15E85" w:rsidRPr="00207FE7" w:rsidRDefault="00E15E85" w:rsidP="00E15E85">
      <w:pPr>
        <w:spacing w:before="240" w:line="360" w:lineRule="auto"/>
        <w:jc w:val="both"/>
        <w:rPr>
          <w:rFonts w:ascii="Palatino Linotype" w:hAnsi="Palatino Linotype" w:cs="Arial"/>
          <w:sz w:val="24"/>
          <w:lang w:val="es-ES"/>
        </w:rPr>
      </w:pPr>
      <w:r w:rsidRPr="00207FE7">
        <w:rPr>
          <w:rFonts w:ascii="Palatino Linotype" w:hAnsi="Palatino Linotype" w:cs="Arial"/>
          <w:sz w:val="24"/>
          <w:szCs w:val="24"/>
          <w:lang w:val="es-ES"/>
        </w:rPr>
        <w:t>Inconforme con la respuesta</w:t>
      </w:r>
      <w:r w:rsidR="00217E99" w:rsidRPr="00207FE7">
        <w:rPr>
          <w:rFonts w:ascii="Palatino Linotype" w:hAnsi="Palatino Linotype" w:cs="Arial"/>
          <w:sz w:val="24"/>
          <w:szCs w:val="24"/>
          <w:lang w:val="es-ES"/>
        </w:rPr>
        <w:t xml:space="preserve"> </w:t>
      </w:r>
      <w:r w:rsidR="00E372DA" w:rsidRPr="00207FE7">
        <w:rPr>
          <w:rFonts w:ascii="Palatino Linotype" w:hAnsi="Palatino Linotype" w:cs="Arial"/>
          <w:sz w:val="24"/>
          <w:szCs w:val="24"/>
          <w:lang w:val="es-ES"/>
        </w:rPr>
        <w:t>d</w:t>
      </w:r>
      <w:r w:rsidRPr="00207FE7">
        <w:rPr>
          <w:rFonts w:ascii="Palatino Linotype" w:hAnsi="Palatino Linotype" w:cs="Arial"/>
          <w:sz w:val="24"/>
          <w:szCs w:val="24"/>
          <w:lang w:val="es-ES"/>
        </w:rPr>
        <w:t xml:space="preserve">el sujeto obligado, </w:t>
      </w:r>
      <w:r w:rsidR="00DD16A6" w:rsidRPr="00207FE7">
        <w:rPr>
          <w:rFonts w:ascii="Palatino Linotype" w:hAnsi="Palatino Linotype" w:cs="Arial"/>
          <w:b/>
          <w:sz w:val="24"/>
          <w:szCs w:val="24"/>
          <w:lang w:val="es-ES"/>
        </w:rPr>
        <w:t>la parte</w:t>
      </w:r>
      <w:r w:rsidRPr="00207FE7">
        <w:rPr>
          <w:rFonts w:ascii="Palatino Linotype" w:hAnsi="Palatino Linotype" w:cs="Arial"/>
          <w:b/>
          <w:sz w:val="24"/>
          <w:szCs w:val="24"/>
          <w:lang w:val="es-ES"/>
        </w:rPr>
        <w:t xml:space="preserve"> </w:t>
      </w:r>
      <w:r w:rsidR="00DD16A6" w:rsidRPr="00207FE7">
        <w:rPr>
          <w:rFonts w:ascii="Palatino Linotype" w:hAnsi="Palatino Linotype" w:cs="Arial"/>
          <w:b/>
          <w:sz w:val="24"/>
          <w:szCs w:val="24"/>
          <w:lang w:val="es-ES"/>
        </w:rPr>
        <w:t>r</w:t>
      </w:r>
      <w:r w:rsidRPr="00207FE7">
        <w:rPr>
          <w:rFonts w:ascii="Palatino Linotype" w:hAnsi="Palatino Linotype" w:cs="Arial"/>
          <w:b/>
          <w:sz w:val="24"/>
          <w:szCs w:val="24"/>
          <w:lang w:val="es-ES"/>
        </w:rPr>
        <w:t xml:space="preserve">ecurrente </w:t>
      </w:r>
      <w:r w:rsidRPr="00207FE7">
        <w:rPr>
          <w:rFonts w:ascii="Palatino Linotype" w:hAnsi="Palatino Linotype" w:cs="Arial"/>
          <w:sz w:val="24"/>
          <w:szCs w:val="24"/>
          <w:lang w:val="es-ES"/>
        </w:rPr>
        <w:t xml:space="preserve">interpuso el recurso de revisión, en </w:t>
      </w:r>
      <w:r w:rsidR="00D41F41" w:rsidRPr="00207FE7">
        <w:rPr>
          <w:rFonts w:ascii="Palatino Linotype" w:hAnsi="Palatino Linotype" w:cs="Arial"/>
          <w:sz w:val="24"/>
          <w:szCs w:val="24"/>
          <w:lang w:val="es-ES"/>
        </w:rPr>
        <w:t xml:space="preserve">fecha </w:t>
      </w:r>
      <w:r w:rsidR="00A04B99">
        <w:rPr>
          <w:rFonts w:ascii="Palatino Linotype" w:hAnsi="Palatino Linotype" w:cs="Arial"/>
          <w:sz w:val="24"/>
          <w:szCs w:val="24"/>
          <w:lang w:val="es-ES"/>
        </w:rPr>
        <w:t>diecinueve</w:t>
      </w:r>
      <w:r w:rsidR="00356C52">
        <w:rPr>
          <w:rFonts w:ascii="Palatino Linotype" w:hAnsi="Palatino Linotype" w:cs="Arial"/>
          <w:sz w:val="24"/>
          <w:szCs w:val="24"/>
          <w:lang w:val="es-ES"/>
        </w:rPr>
        <w:t xml:space="preserve"> de marzo de dos mil veintiuno</w:t>
      </w:r>
      <w:r w:rsidRPr="00207FE7">
        <w:rPr>
          <w:rFonts w:ascii="Palatino Linotype" w:hAnsi="Palatino Linotype" w:cs="Arial"/>
          <w:sz w:val="24"/>
          <w:szCs w:val="24"/>
          <w:lang w:val="es-ES"/>
        </w:rPr>
        <w:t>, el cual fue registrado</w:t>
      </w:r>
      <w:r w:rsidRPr="00207FE7">
        <w:rPr>
          <w:rFonts w:ascii="Palatino Linotype" w:hAnsi="Palatino Linotype" w:cs="Arial"/>
          <w:b/>
          <w:sz w:val="24"/>
          <w:szCs w:val="24"/>
          <w:lang w:val="es-ES"/>
        </w:rPr>
        <w:t xml:space="preserve"> </w:t>
      </w:r>
      <w:r w:rsidRPr="00207FE7">
        <w:rPr>
          <w:rFonts w:ascii="Palatino Linotype" w:hAnsi="Palatino Linotype" w:cs="Arial"/>
          <w:sz w:val="24"/>
          <w:szCs w:val="24"/>
          <w:lang w:val="es-ES"/>
        </w:rPr>
        <w:t xml:space="preserve">en el sistema electrónico con el expediente número </w:t>
      </w:r>
      <w:r w:rsidR="00FB2D04" w:rsidRPr="00FB2D04">
        <w:rPr>
          <w:rFonts w:ascii="Palatino Linotype" w:hAnsi="Palatino Linotype" w:cs="Arial"/>
          <w:b/>
          <w:bCs/>
          <w:sz w:val="24"/>
          <w:szCs w:val="24"/>
          <w:lang w:val="es-ES" w:eastAsia="es-MX"/>
        </w:rPr>
        <w:t>0</w:t>
      </w:r>
      <w:r w:rsidR="00967DF2">
        <w:rPr>
          <w:rFonts w:ascii="Palatino Linotype" w:hAnsi="Palatino Linotype" w:cs="Arial"/>
          <w:b/>
          <w:bCs/>
          <w:sz w:val="24"/>
          <w:szCs w:val="24"/>
          <w:lang w:val="es-ES" w:eastAsia="es-MX"/>
        </w:rPr>
        <w:t>1</w:t>
      </w:r>
      <w:r w:rsidR="00A04B99">
        <w:rPr>
          <w:rFonts w:ascii="Palatino Linotype" w:hAnsi="Palatino Linotype" w:cs="Arial"/>
          <w:b/>
          <w:bCs/>
          <w:sz w:val="24"/>
          <w:szCs w:val="24"/>
          <w:lang w:val="es-ES" w:eastAsia="es-MX"/>
        </w:rPr>
        <w:t>270</w:t>
      </w:r>
      <w:r w:rsidR="00FB2D04" w:rsidRPr="00FB2D04">
        <w:rPr>
          <w:rFonts w:ascii="Palatino Linotype" w:hAnsi="Palatino Linotype" w:cs="Arial"/>
          <w:b/>
          <w:bCs/>
          <w:sz w:val="24"/>
          <w:szCs w:val="24"/>
          <w:lang w:val="es-ES" w:eastAsia="es-MX"/>
        </w:rPr>
        <w:t>/INFOEM/IP/RR/202</w:t>
      </w:r>
      <w:r w:rsidR="00967DF2">
        <w:rPr>
          <w:rFonts w:ascii="Palatino Linotype" w:hAnsi="Palatino Linotype" w:cs="Arial"/>
          <w:b/>
          <w:bCs/>
          <w:sz w:val="24"/>
          <w:szCs w:val="24"/>
          <w:lang w:val="es-ES" w:eastAsia="es-MX"/>
        </w:rPr>
        <w:t>1</w:t>
      </w:r>
      <w:r w:rsidRPr="00207FE7">
        <w:rPr>
          <w:rFonts w:ascii="Palatino Linotype" w:hAnsi="Palatino Linotype" w:cs="Arial"/>
          <w:sz w:val="24"/>
          <w:szCs w:val="24"/>
          <w:lang w:val="es-ES"/>
        </w:rPr>
        <w:t xml:space="preserve">, en el cual </w:t>
      </w:r>
      <w:r w:rsidRPr="00207FE7">
        <w:rPr>
          <w:rFonts w:ascii="Palatino Linotype" w:hAnsi="Palatino Linotype" w:cs="Arial"/>
          <w:sz w:val="24"/>
          <w:lang w:val="es-ES"/>
        </w:rPr>
        <w:t>arguye, las siguientes manifestaciones:</w:t>
      </w:r>
    </w:p>
    <w:p w14:paraId="2EB5B9C0" w14:textId="77777777" w:rsidR="00E15E85" w:rsidRPr="00207FE7" w:rsidRDefault="00E15E85" w:rsidP="00E15E85">
      <w:pPr>
        <w:spacing w:before="240"/>
        <w:jc w:val="both"/>
        <w:rPr>
          <w:rFonts w:ascii="Palatino Linotype" w:hAnsi="Palatino Linotype" w:cs="Arial"/>
          <w:b/>
          <w:sz w:val="24"/>
          <w:lang w:val="es-ES"/>
        </w:rPr>
      </w:pPr>
      <w:r w:rsidRPr="00207FE7">
        <w:rPr>
          <w:rFonts w:ascii="Palatino Linotype" w:hAnsi="Palatino Linotype" w:cs="Arial"/>
          <w:b/>
          <w:sz w:val="24"/>
          <w:lang w:val="es-ES"/>
        </w:rPr>
        <w:t>Acto Impugnado:</w:t>
      </w:r>
    </w:p>
    <w:p w14:paraId="0CA3CCCD" w14:textId="5183367F" w:rsidR="00E15E85" w:rsidRPr="00207FE7" w:rsidRDefault="00E15E85" w:rsidP="00E15E85">
      <w:pPr>
        <w:ind w:left="851" w:right="850"/>
        <w:jc w:val="both"/>
        <w:rPr>
          <w:rFonts w:ascii="Palatino Linotype" w:hAnsi="Palatino Linotype"/>
          <w:i/>
          <w:color w:val="000000"/>
          <w:lang w:val="es-ES"/>
        </w:rPr>
      </w:pPr>
      <w:r w:rsidRPr="00207FE7">
        <w:rPr>
          <w:rFonts w:ascii="Palatino Linotype" w:hAnsi="Palatino Linotype"/>
          <w:i/>
          <w:color w:val="000000"/>
          <w:lang w:val="es-ES"/>
        </w:rPr>
        <w:t>“</w:t>
      </w:r>
      <w:r w:rsidR="00A04B99" w:rsidRPr="00A04B99">
        <w:rPr>
          <w:rFonts w:ascii="Palatino Linotype" w:hAnsi="Palatino Linotype"/>
          <w:i/>
          <w:color w:val="000000"/>
          <w:lang w:val="es-ES"/>
        </w:rPr>
        <w:t>RESPUESTA</w:t>
      </w:r>
      <w:r w:rsidR="00DD16A6" w:rsidRPr="00207FE7">
        <w:rPr>
          <w:rFonts w:ascii="Palatino Linotype" w:hAnsi="Palatino Linotype"/>
          <w:i/>
          <w:color w:val="000000"/>
          <w:lang w:val="es-ES"/>
        </w:rPr>
        <w:t>.</w:t>
      </w:r>
      <w:r w:rsidR="00B165EF" w:rsidRPr="00207FE7">
        <w:rPr>
          <w:rFonts w:ascii="Palatino Linotype" w:hAnsi="Palatino Linotype"/>
          <w:i/>
          <w:color w:val="000000"/>
          <w:lang w:val="es-ES"/>
        </w:rPr>
        <w:t>” [</w:t>
      </w:r>
      <w:r w:rsidR="003474F2" w:rsidRPr="00207FE7">
        <w:rPr>
          <w:rFonts w:ascii="Palatino Linotype" w:hAnsi="Palatino Linotype"/>
          <w:i/>
          <w:color w:val="000000"/>
          <w:lang w:val="es-ES"/>
        </w:rPr>
        <w:t>S</w:t>
      </w:r>
      <w:r w:rsidRPr="00207FE7">
        <w:rPr>
          <w:rFonts w:ascii="Palatino Linotype" w:hAnsi="Palatino Linotype"/>
          <w:i/>
          <w:color w:val="000000"/>
          <w:lang w:val="es-ES"/>
        </w:rPr>
        <w:t>ic]</w:t>
      </w:r>
    </w:p>
    <w:p w14:paraId="02F483FB" w14:textId="77777777" w:rsidR="00E15E85" w:rsidRPr="00207FE7" w:rsidRDefault="00E15E85" w:rsidP="00E15E85">
      <w:pPr>
        <w:spacing w:before="240"/>
        <w:jc w:val="both"/>
        <w:rPr>
          <w:rFonts w:ascii="Palatino Linotype" w:hAnsi="Palatino Linotype" w:cs="Arial"/>
          <w:sz w:val="24"/>
          <w:lang w:val="es-ES"/>
        </w:rPr>
      </w:pPr>
      <w:r w:rsidRPr="00207FE7">
        <w:rPr>
          <w:rFonts w:ascii="Palatino Linotype" w:hAnsi="Palatino Linotype" w:cs="Arial"/>
          <w:b/>
          <w:sz w:val="24"/>
          <w:lang w:val="es-ES"/>
        </w:rPr>
        <w:t>Razones o Motivos de Inconformidad</w:t>
      </w:r>
      <w:r w:rsidRPr="00207FE7">
        <w:rPr>
          <w:rFonts w:ascii="Palatino Linotype" w:hAnsi="Palatino Linotype" w:cs="Arial"/>
          <w:sz w:val="24"/>
          <w:lang w:val="es-ES"/>
        </w:rPr>
        <w:t xml:space="preserve">: </w:t>
      </w:r>
    </w:p>
    <w:p w14:paraId="7977EDCD" w14:textId="7FB5C6EB" w:rsidR="00E15E85" w:rsidRPr="00207FE7" w:rsidRDefault="00E15E85" w:rsidP="00A21DA5">
      <w:pPr>
        <w:spacing w:before="240"/>
        <w:ind w:left="851" w:right="850"/>
        <w:jc w:val="both"/>
        <w:rPr>
          <w:rFonts w:ascii="Palatino Linotype" w:hAnsi="Palatino Linotype" w:cs="Arial"/>
          <w:i/>
          <w:lang w:val="es-ES"/>
        </w:rPr>
      </w:pPr>
      <w:r w:rsidRPr="00207FE7">
        <w:rPr>
          <w:rFonts w:ascii="Palatino Linotype" w:hAnsi="Palatino Linotype" w:cs="Arial"/>
          <w:i/>
          <w:lang w:val="es-ES"/>
        </w:rPr>
        <w:t>“</w:t>
      </w:r>
      <w:r w:rsidR="00431841" w:rsidRPr="00431841">
        <w:rPr>
          <w:rFonts w:ascii="Palatino Linotype" w:hAnsi="Palatino Linotype" w:cs="Arial"/>
          <w:i/>
          <w:lang w:val="es-ES"/>
        </w:rPr>
        <w:t>FALTA INFORMACIÓN</w:t>
      </w:r>
      <w:r w:rsidR="00967DF2" w:rsidRPr="00967DF2">
        <w:rPr>
          <w:rFonts w:ascii="Palatino Linotype" w:hAnsi="Palatino Linotype" w:cs="Arial"/>
          <w:i/>
          <w:lang w:val="es-ES"/>
        </w:rPr>
        <w:t>.</w:t>
      </w:r>
      <w:r w:rsidRPr="00207FE7">
        <w:rPr>
          <w:rFonts w:ascii="Palatino Linotype" w:hAnsi="Palatino Linotype" w:cs="Arial"/>
          <w:i/>
          <w:lang w:val="es-ES"/>
        </w:rPr>
        <w:t>”</w:t>
      </w:r>
      <w:r w:rsidR="00527856" w:rsidRPr="00207FE7">
        <w:rPr>
          <w:rFonts w:ascii="Palatino Linotype" w:hAnsi="Palatino Linotype" w:cs="Arial"/>
          <w:i/>
          <w:lang w:val="es-ES"/>
        </w:rPr>
        <w:t xml:space="preserve"> [</w:t>
      </w:r>
      <w:r w:rsidR="003474F2" w:rsidRPr="00207FE7">
        <w:rPr>
          <w:rFonts w:ascii="Palatino Linotype" w:hAnsi="Palatino Linotype" w:cs="Arial"/>
          <w:i/>
          <w:lang w:val="es-ES"/>
        </w:rPr>
        <w:t>S</w:t>
      </w:r>
      <w:r w:rsidRPr="00207FE7">
        <w:rPr>
          <w:rFonts w:ascii="Palatino Linotype" w:hAnsi="Palatino Linotype" w:cs="Arial"/>
          <w:i/>
          <w:lang w:val="es-ES"/>
        </w:rPr>
        <w:t>ic]</w:t>
      </w:r>
    </w:p>
    <w:p w14:paraId="50B2D2B2" w14:textId="1E2898A9" w:rsidR="00E15E85" w:rsidRPr="00207FE7" w:rsidRDefault="00CA79BC" w:rsidP="00E15E85">
      <w:pPr>
        <w:spacing w:before="240" w:line="360" w:lineRule="auto"/>
        <w:jc w:val="both"/>
        <w:rPr>
          <w:rFonts w:ascii="Palatino Linotype" w:hAnsi="Palatino Linotype" w:cs="Arial"/>
          <w:b/>
          <w:sz w:val="24"/>
          <w:szCs w:val="24"/>
          <w:lang w:val="es-ES"/>
        </w:rPr>
      </w:pPr>
      <w:r w:rsidRPr="00207FE7">
        <w:rPr>
          <w:rFonts w:ascii="Palatino Linotype" w:hAnsi="Palatino Linotype" w:cs="Arial"/>
          <w:b/>
          <w:sz w:val="28"/>
          <w:lang w:val="es-ES"/>
        </w:rPr>
        <w:lastRenderedPageBreak/>
        <w:t>CUARTO</w:t>
      </w:r>
      <w:r w:rsidR="00A21DA5" w:rsidRPr="00207FE7">
        <w:rPr>
          <w:rFonts w:ascii="Palatino Linotype" w:hAnsi="Palatino Linotype" w:cs="Arial"/>
          <w:b/>
          <w:sz w:val="28"/>
          <w:lang w:val="es-ES"/>
        </w:rPr>
        <w:t>.</w:t>
      </w:r>
      <w:r w:rsidR="00A21DA5" w:rsidRPr="00207FE7">
        <w:rPr>
          <w:rFonts w:ascii="Palatino Linotype" w:hAnsi="Palatino Linotype" w:cs="Arial"/>
          <w:b/>
          <w:sz w:val="28"/>
          <w:szCs w:val="28"/>
          <w:lang w:val="es-ES"/>
        </w:rPr>
        <w:t xml:space="preserve"> </w:t>
      </w:r>
      <w:r w:rsidR="00E15E85" w:rsidRPr="00207FE7">
        <w:rPr>
          <w:rFonts w:ascii="Palatino Linotype" w:hAnsi="Palatino Linotype" w:cs="Arial"/>
          <w:b/>
          <w:sz w:val="28"/>
          <w:szCs w:val="28"/>
          <w:lang w:val="es-ES"/>
        </w:rPr>
        <w:t>Del turno del recurso de revisión.</w:t>
      </w:r>
    </w:p>
    <w:p w14:paraId="5F8A6D14" w14:textId="6D33CA96" w:rsidR="00CA79BC" w:rsidRPr="00207FE7" w:rsidRDefault="00E15E85" w:rsidP="00B10BF8">
      <w:pPr>
        <w:spacing w:before="240" w:line="360" w:lineRule="auto"/>
        <w:jc w:val="both"/>
        <w:rPr>
          <w:rFonts w:ascii="Palatino Linotype" w:hAnsi="Palatino Linotype" w:cs="Arial"/>
          <w:b/>
          <w:sz w:val="28"/>
          <w:lang w:val="es-ES"/>
        </w:rPr>
      </w:pPr>
      <w:r w:rsidRPr="00207FE7">
        <w:rPr>
          <w:rFonts w:ascii="Palatino Linotype" w:hAnsi="Palatino Linotype" w:cs="Arial"/>
          <w:sz w:val="24"/>
          <w:szCs w:val="24"/>
          <w:lang w:val="es-ES"/>
        </w:rPr>
        <w:t xml:space="preserve">Medio de impugnación que le fue turnado a la Comisionada </w:t>
      </w:r>
      <w:r w:rsidRPr="00207FE7">
        <w:rPr>
          <w:rFonts w:ascii="Palatino Linotype" w:hAnsi="Palatino Linotype" w:cs="Arial"/>
          <w:b/>
          <w:sz w:val="24"/>
          <w:szCs w:val="24"/>
          <w:lang w:val="es-ES"/>
        </w:rPr>
        <w:t>Zulema Martínez Sánchez</w:t>
      </w:r>
      <w:r w:rsidRPr="00207FE7">
        <w:rPr>
          <w:rFonts w:ascii="Palatino Linotype" w:hAnsi="Palatino Linotype" w:cs="Arial"/>
          <w:sz w:val="24"/>
          <w:szCs w:val="24"/>
          <w:lang w:val="es-ES"/>
        </w:rPr>
        <w:t>, por medio del sistema electrónico en términos del arábigo 185 fracción I de la Ley de Transparencia y Acceso a la información Pública del Estado de México y Municipios, del cual reca</w:t>
      </w:r>
      <w:r w:rsidR="002902D7" w:rsidRPr="00207FE7">
        <w:rPr>
          <w:rFonts w:ascii="Palatino Linotype" w:hAnsi="Palatino Linotype" w:cs="Arial"/>
          <w:sz w:val="24"/>
          <w:szCs w:val="24"/>
          <w:lang w:val="es-ES"/>
        </w:rPr>
        <w:t xml:space="preserve">yó acuerdo de admisión en fecha </w:t>
      </w:r>
      <w:r w:rsidR="00431841">
        <w:rPr>
          <w:rFonts w:ascii="Palatino Linotype" w:hAnsi="Palatino Linotype" w:cs="Arial"/>
          <w:sz w:val="24"/>
          <w:szCs w:val="24"/>
          <w:lang w:val="es-ES"/>
        </w:rPr>
        <w:t>veinticinco de marzo de dos mil veintiuno</w:t>
      </w:r>
      <w:r w:rsidRPr="00207FE7">
        <w:rPr>
          <w:rFonts w:ascii="Palatino Linotype" w:hAnsi="Palatino Linotype" w:cs="Arial"/>
          <w:sz w:val="24"/>
          <w:szCs w:val="24"/>
          <w:lang w:val="es-ES"/>
        </w:rPr>
        <w:t>, determinándose en él, un plazo de siete días para que las partes manifestaran lo que a su derecho corresponda en términos del numeral ya citado.</w:t>
      </w:r>
      <w:r w:rsidR="00B10BF8" w:rsidRPr="00207FE7">
        <w:rPr>
          <w:rFonts w:ascii="Palatino Linotype" w:hAnsi="Palatino Linotype" w:cs="Arial"/>
          <w:b/>
          <w:sz w:val="28"/>
          <w:lang w:val="es-ES"/>
        </w:rPr>
        <w:t xml:space="preserve"> </w:t>
      </w:r>
    </w:p>
    <w:p w14:paraId="3B73FC2A" w14:textId="77777777" w:rsidR="008265FF" w:rsidRPr="00207FE7" w:rsidRDefault="008265FF" w:rsidP="008265FF">
      <w:pPr>
        <w:spacing w:before="240" w:line="360" w:lineRule="auto"/>
        <w:jc w:val="both"/>
        <w:rPr>
          <w:rFonts w:ascii="Palatino Linotype" w:hAnsi="Palatino Linotype" w:cs="Arial"/>
          <w:b/>
          <w:sz w:val="24"/>
          <w:szCs w:val="24"/>
          <w:lang w:val="es-ES"/>
        </w:rPr>
      </w:pPr>
      <w:r w:rsidRPr="00207FE7">
        <w:rPr>
          <w:rFonts w:ascii="Palatino Linotype" w:hAnsi="Palatino Linotype" w:cs="Arial"/>
          <w:b/>
          <w:sz w:val="28"/>
          <w:lang w:val="es-ES"/>
        </w:rPr>
        <w:t>QUINTO</w:t>
      </w:r>
      <w:r w:rsidRPr="00207FE7">
        <w:rPr>
          <w:rFonts w:ascii="Palatino Linotype" w:hAnsi="Palatino Linotype" w:cs="Arial"/>
          <w:b/>
          <w:sz w:val="24"/>
          <w:szCs w:val="24"/>
          <w:lang w:val="es-ES"/>
        </w:rPr>
        <w:t xml:space="preserve">. </w:t>
      </w:r>
      <w:r w:rsidRPr="00207FE7">
        <w:rPr>
          <w:rFonts w:ascii="Palatino Linotype" w:hAnsi="Palatino Linotype" w:cs="Arial"/>
          <w:b/>
          <w:sz w:val="28"/>
          <w:szCs w:val="28"/>
          <w:lang w:val="es-ES"/>
        </w:rPr>
        <w:t>De la etapa de instrucción.</w:t>
      </w:r>
    </w:p>
    <w:p w14:paraId="16BAE749" w14:textId="1A6D021F" w:rsidR="005C143B" w:rsidRDefault="008265FF" w:rsidP="008265FF">
      <w:pPr>
        <w:spacing w:before="240" w:line="360" w:lineRule="auto"/>
        <w:jc w:val="both"/>
        <w:rPr>
          <w:rFonts w:ascii="Palatino Linotype" w:hAnsi="Palatino Linotype" w:cs="Arial"/>
          <w:sz w:val="24"/>
          <w:szCs w:val="24"/>
          <w:lang w:val="es-ES"/>
        </w:rPr>
      </w:pPr>
      <w:r w:rsidRPr="00207FE7">
        <w:rPr>
          <w:rFonts w:ascii="Palatino Linotype" w:hAnsi="Palatino Linotype" w:cs="Arial"/>
          <w:sz w:val="24"/>
          <w:szCs w:val="24"/>
          <w:lang w:val="es-ES"/>
        </w:rPr>
        <w:t xml:space="preserve">Así, una vez abierta la etapa de instrucción, en el sumario se observa que el Sujeto Obligado </w:t>
      </w:r>
      <w:r w:rsidR="00431841">
        <w:rPr>
          <w:rFonts w:ascii="Palatino Linotype" w:hAnsi="Palatino Linotype" w:cs="Arial"/>
          <w:sz w:val="24"/>
          <w:szCs w:val="24"/>
          <w:lang w:val="es-ES"/>
        </w:rPr>
        <w:t>en fecha veintiséis de marzo de los corrientes presentó su informe justificado</w:t>
      </w:r>
      <w:r w:rsidRPr="00207FE7">
        <w:rPr>
          <w:rFonts w:ascii="Palatino Linotype" w:hAnsi="Palatino Linotype" w:cs="Arial"/>
          <w:sz w:val="24"/>
          <w:szCs w:val="24"/>
          <w:lang w:val="es-ES"/>
        </w:rPr>
        <w:t xml:space="preserve">, asimismo, el recurrente </w:t>
      </w:r>
      <w:r w:rsidR="00E001CC" w:rsidRPr="00207FE7">
        <w:rPr>
          <w:rFonts w:ascii="Palatino Linotype" w:hAnsi="Palatino Linotype" w:cs="Arial"/>
          <w:sz w:val="24"/>
          <w:szCs w:val="24"/>
          <w:lang w:val="es-ES"/>
        </w:rPr>
        <w:t>no realizo manifestación alguna</w:t>
      </w:r>
      <w:r w:rsidRPr="00207FE7">
        <w:rPr>
          <w:rFonts w:ascii="Palatino Linotype" w:hAnsi="Palatino Linotype" w:cs="Arial"/>
          <w:sz w:val="24"/>
          <w:szCs w:val="24"/>
          <w:lang w:val="es-ES"/>
        </w:rPr>
        <w:t xml:space="preserve">, por lo que habiendo transcurrido el plazo establecido en fecha </w:t>
      </w:r>
      <w:r w:rsidR="00431841">
        <w:rPr>
          <w:rFonts w:ascii="Palatino Linotype" w:hAnsi="Palatino Linotype" w:cs="Arial"/>
          <w:sz w:val="24"/>
          <w:szCs w:val="24"/>
          <w:lang w:val="es-ES"/>
        </w:rPr>
        <w:t>trece de abril de dos mil veintiuno</w:t>
      </w:r>
      <w:r w:rsidRPr="00207FE7">
        <w:rPr>
          <w:rFonts w:ascii="Palatino Linotype" w:hAnsi="Palatino Linotype" w:cs="Arial"/>
          <w:sz w:val="24"/>
          <w:szCs w:val="24"/>
          <w:lang w:val="es-ES"/>
        </w:rPr>
        <w:t xml:space="preserve"> se decretó el cierre de instrucción en términos del artículo 185 fracción VI de la Ley de Transparencia y Acceso a la Información Pública del Estado de México y Municipios, iniciando el término legal para dictar resolución definitiva del asunto.</w:t>
      </w:r>
    </w:p>
    <w:p w14:paraId="62F716EE" w14:textId="505CF308" w:rsidR="00892C7D" w:rsidRPr="00892C7D" w:rsidRDefault="00892C7D" w:rsidP="00892C7D">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sidR="006810B9">
        <w:rPr>
          <w:rFonts w:ascii="Palatino Linotype" w:hAnsi="Palatino Linotype" w:cs="Arial"/>
          <w:sz w:val="24"/>
          <w:szCs w:val="24"/>
        </w:rPr>
        <w:t>catorce de mayo</w:t>
      </w:r>
      <w:r>
        <w:rPr>
          <w:rFonts w:ascii="Palatino Linotype" w:hAnsi="Palatino Linotype" w:cs="Arial"/>
          <w:sz w:val="24"/>
          <w:szCs w:val="24"/>
        </w:rPr>
        <w:t xml:space="preserve"> de los corrientes</w:t>
      </w:r>
      <w:r w:rsidRPr="00992035">
        <w:rPr>
          <w:rFonts w:ascii="Palatino Linotype" w:hAnsi="Palatino Linotype" w:cs="Arial"/>
          <w:sz w:val="24"/>
          <w:szCs w:val="24"/>
        </w:rPr>
        <w:t xml:space="preserve"> este órgano garante con fundamento en el artículo 181 párrafo tercero de la Ley de Transparencia de la entidad, declaro la ampliación de término para resolver el recurso de revisión por un plazo de quince días hábiles.</w:t>
      </w:r>
    </w:p>
    <w:p w14:paraId="6163D8B4" w14:textId="77777777" w:rsidR="00E15E85" w:rsidRPr="00207FE7" w:rsidRDefault="00E15E85" w:rsidP="00E15E85">
      <w:pPr>
        <w:spacing w:before="240" w:line="360" w:lineRule="auto"/>
        <w:jc w:val="center"/>
        <w:rPr>
          <w:rFonts w:ascii="Palatino Linotype" w:hAnsi="Palatino Linotype" w:cs="Arial"/>
          <w:b/>
          <w:sz w:val="24"/>
          <w:lang w:val="es-ES"/>
        </w:rPr>
      </w:pPr>
      <w:r w:rsidRPr="00207FE7">
        <w:rPr>
          <w:rFonts w:ascii="Palatino Linotype" w:hAnsi="Palatino Linotype" w:cs="Arial"/>
          <w:b/>
          <w:sz w:val="24"/>
          <w:lang w:val="es-ES"/>
        </w:rPr>
        <w:lastRenderedPageBreak/>
        <w:t xml:space="preserve">C O N S I D E R A N D O </w:t>
      </w:r>
    </w:p>
    <w:p w14:paraId="4E7D557F" w14:textId="77777777" w:rsidR="00E15E85" w:rsidRPr="00207FE7" w:rsidRDefault="00E15E85" w:rsidP="00E15E85">
      <w:pPr>
        <w:spacing w:before="240" w:line="360" w:lineRule="auto"/>
        <w:jc w:val="both"/>
        <w:rPr>
          <w:rFonts w:ascii="Palatino Linotype" w:hAnsi="Palatino Linotype" w:cs="Arial"/>
          <w:sz w:val="24"/>
          <w:lang w:val="es-ES"/>
        </w:rPr>
      </w:pPr>
      <w:r w:rsidRPr="00207FE7">
        <w:rPr>
          <w:rFonts w:ascii="Palatino Linotype" w:hAnsi="Palatino Linotype" w:cs="Arial"/>
          <w:b/>
          <w:sz w:val="28"/>
          <w:lang w:val="es-ES"/>
        </w:rPr>
        <w:t>PRIMERO.</w:t>
      </w:r>
      <w:r w:rsidRPr="00207FE7">
        <w:rPr>
          <w:rFonts w:ascii="Palatino Linotype" w:hAnsi="Palatino Linotype" w:cs="Arial"/>
          <w:b/>
          <w:lang w:val="es-ES"/>
        </w:rPr>
        <w:t xml:space="preserve"> </w:t>
      </w:r>
      <w:r w:rsidRPr="00207FE7">
        <w:rPr>
          <w:rFonts w:ascii="Palatino Linotype" w:hAnsi="Palatino Linotype" w:cs="Arial"/>
          <w:b/>
          <w:sz w:val="28"/>
          <w:szCs w:val="28"/>
          <w:lang w:val="es-ES"/>
        </w:rPr>
        <w:t>De la competencia</w:t>
      </w:r>
      <w:r w:rsidRPr="00207FE7">
        <w:rPr>
          <w:rFonts w:ascii="Palatino Linotype" w:hAnsi="Palatino Linotype" w:cs="Arial"/>
          <w:sz w:val="28"/>
          <w:szCs w:val="28"/>
          <w:lang w:val="es-ES"/>
        </w:rPr>
        <w:t>.</w:t>
      </w:r>
    </w:p>
    <w:p w14:paraId="09E1C4CB" w14:textId="555F5CE9" w:rsidR="00F84AD2" w:rsidRDefault="00F84AD2" w:rsidP="00F84AD2">
      <w:pPr>
        <w:spacing w:after="0" w:line="360" w:lineRule="auto"/>
        <w:jc w:val="both"/>
        <w:rPr>
          <w:rFonts w:ascii="Palatino Linotype" w:hAnsi="Palatino Linotype" w:cs="Arial"/>
          <w:sz w:val="24"/>
        </w:rPr>
      </w:pPr>
      <w:r w:rsidRPr="00210456">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354759E4" w14:textId="77777777" w:rsidR="00F84AD2" w:rsidRPr="00DB56FA" w:rsidRDefault="00F84AD2" w:rsidP="00F84AD2">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272D838" w14:textId="77777777" w:rsidR="00E15E85" w:rsidRPr="00207FE7"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207FE7">
        <w:rPr>
          <w:rFonts w:ascii="Palatino Linotype" w:hAnsi="Palatino Linotype" w:cs="Arial"/>
          <w:b/>
          <w:sz w:val="28"/>
        </w:rPr>
        <w:t>SEGUNDO</w:t>
      </w:r>
      <w:r w:rsidRPr="00207FE7">
        <w:rPr>
          <w:rFonts w:ascii="Palatino Linotype" w:hAnsi="Palatino Linotype" w:cs="Arial"/>
          <w:b/>
        </w:rPr>
        <w:t xml:space="preserve">. </w:t>
      </w:r>
      <w:r w:rsidRPr="00207FE7">
        <w:rPr>
          <w:rFonts w:ascii="Palatino Linotype" w:hAnsi="Palatino Linotype" w:cs="Arial"/>
          <w:b/>
          <w:sz w:val="28"/>
          <w:szCs w:val="28"/>
        </w:rPr>
        <w:t>Sobre los alcances del recurso de revisión.</w:t>
      </w:r>
      <w:r w:rsidRPr="00207FE7">
        <w:rPr>
          <w:rFonts w:ascii="Palatino Linotype" w:hAnsi="Palatino Linotype" w:cs="Arial"/>
          <w:b/>
        </w:rPr>
        <w:t xml:space="preserve"> </w:t>
      </w:r>
    </w:p>
    <w:p w14:paraId="4ADDB788" w14:textId="77777777" w:rsidR="00E15E85" w:rsidRPr="00207FE7"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sidRPr="00207FE7">
        <w:rPr>
          <w:rFonts w:ascii="Palatino Linotype" w:hAnsi="Palatino Linotype" w:cs="Arial"/>
        </w:rPr>
        <w:lastRenderedPageBreak/>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C27E18A" w14:textId="4C170CC6" w:rsidR="000E06EE" w:rsidRPr="00404C34" w:rsidRDefault="000E06EE" w:rsidP="000E06EE">
      <w:pPr>
        <w:pStyle w:val="Sinespaciado"/>
        <w:spacing w:before="240" w:after="240" w:line="360" w:lineRule="auto"/>
        <w:jc w:val="both"/>
        <w:rPr>
          <w:rFonts w:ascii="Palatino Linotype" w:hAnsi="Palatino Linotype"/>
          <w:b/>
          <w:sz w:val="28"/>
          <w:szCs w:val="28"/>
          <w:lang w:val="es-ES"/>
        </w:rPr>
      </w:pPr>
      <w:r>
        <w:rPr>
          <w:rFonts w:ascii="Palatino Linotype" w:hAnsi="Palatino Linotype" w:cs="Arial"/>
          <w:b/>
          <w:sz w:val="28"/>
        </w:rPr>
        <w:t>TERCERO.</w:t>
      </w:r>
      <w:r w:rsidRPr="00404C34">
        <w:rPr>
          <w:rFonts w:ascii="Palatino Linotype" w:hAnsi="Palatino Linotype"/>
          <w:b/>
          <w:sz w:val="28"/>
          <w:szCs w:val="28"/>
          <w:lang w:val="es-ES"/>
        </w:rPr>
        <w:t xml:space="preserve"> De las causas de improcedencia.</w:t>
      </w:r>
    </w:p>
    <w:p w14:paraId="71042340" w14:textId="77777777" w:rsidR="000E06EE" w:rsidRPr="00404C34" w:rsidRDefault="000E06EE" w:rsidP="000E06EE">
      <w:pPr>
        <w:pStyle w:val="Sinespaciado"/>
        <w:spacing w:before="240" w:after="240" w:line="360" w:lineRule="auto"/>
        <w:jc w:val="both"/>
        <w:rPr>
          <w:rFonts w:ascii="Palatino Linotype" w:hAnsi="Palatino Linotype"/>
          <w:lang w:val="es-ES"/>
        </w:rPr>
      </w:pPr>
      <w:r w:rsidRPr="00404C34">
        <w:rPr>
          <w:rFonts w:ascii="Palatino Linotype" w:hAnsi="Palatino Linotype"/>
          <w:lang w:val="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6C95053" w14:textId="77777777" w:rsidR="000E06EE" w:rsidRPr="00404C34" w:rsidRDefault="000E06EE" w:rsidP="000E06EE">
      <w:pPr>
        <w:pStyle w:val="Sinespaciado"/>
        <w:spacing w:before="240" w:after="240" w:line="360" w:lineRule="auto"/>
        <w:jc w:val="both"/>
        <w:rPr>
          <w:rFonts w:ascii="Palatino Linotype" w:hAnsi="Palatino Linotype"/>
          <w:lang w:val="es-ES"/>
        </w:rPr>
      </w:pPr>
      <w:r w:rsidRPr="00404C34">
        <w:rPr>
          <w:rFonts w:ascii="Palatino Linotype" w:hAnsi="Palatino Linotype"/>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404C34">
        <w:rPr>
          <w:rStyle w:val="Refdenotaalpie"/>
          <w:rFonts w:ascii="Palatino Linotype" w:hAnsi="Palatino Linotype" w:cs="Arial"/>
          <w:lang w:val="es-ES"/>
        </w:rPr>
        <w:footnoteReference w:id="1"/>
      </w:r>
      <w:r w:rsidRPr="00404C34">
        <w:rPr>
          <w:rFonts w:ascii="Palatino Linotype" w:hAnsi="Palatino Linotype"/>
          <w:lang w:val="es-ES"/>
        </w:rPr>
        <w:t xml:space="preserve">, la cual permite dilucidar alguna causal que impida el </w:t>
      </w:r>
      <w:r w:rsidRPr="00404C34">
        <w:rPr>
          <w:rFonts w:ascii="Palatino Linotype" w:hAnsi="Palatino Linotype"/>
          <w:lang w:val="es-ES"/>
        </w:rPr>
        <w:lastRenderedPageBreak/>
        <w:t>estudio y resolución, cuando una vez admitido el recurso de revisión se advierta una causa de improcedencia que permita sobreseerlo, sin estudiar el fondo del asunto.</w:t>
      </w:r>
    </w:p>
    <w:p w14:paraId="28D3DF24" w14:textId="467C308F" w:rsidR="00CA66CE" w:rsidRPr="00404C34" w:rsidRDefault="000E06EE" w:rsidP="000E06EE">
      <w:pPr>
        <w:pStyle w:val="Sinespaciado"/>
        <w:spacing w:before="240" w:after="240" w:line="360" w:lineRule="auto"/>
        <w:jc w:val="both"/>
        <w:rPr>
          <w:rFonts w:ascii="Palatino Linotype" w:hAnsi="Palatino Linotype"/>
          <w:lang w:val="es-ES"/>
        </w:rPr>
      </w:pPr>
      <w:r w:rsidRPr="00404C34">
        <w:rPr>
          <w:rFonts w:ascii="Palatino Linotype" w:hAnsi="Palatino Linotype"/>
          <w:lang w:val="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97638EF" w14:textId="3A8FF067" w:rsidR="000E06EE" w:rsidRPr="00404C34" w:rsidRDefault="000E06EE" w:rsidP="000E06EE">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Pr="00404C34">
        <w:rPr>
          <w:rFonts w:ascii="Palatino Linotype" w:hAnsi="Palatino Linotype" w:cs="Arial"/>
          <w:b/>
          <w:sz w:val="28"/>
          <w:szCs w:val="28"/>
        </w:rPr>
        <w:t>.</w:t>
      </w:r>
      <w:r w:rsidRPr="00404C34">
        <w:rPr>
          <w:rFonts w:ascii="Palatino Linotype" w:hAnsi="Palatino Linotype" w:cs="Arial"/>
          <w:sz w:val="28"/>
          <w:szCs w:val="28"/>
        </w:rPr>
        <w:t xml:space="preserve"> </w:t>
      </w:r>
      <w:r w:rsidRPr="00404C34">
        <w:rPr>
          <w:rFonts w:ascii="Palatino Linotype" w:hAnsi="Palatino Linotype" w:cs="Arial"/>
          <w:b/>
          <w:sz w:val="28"/>
          <w:szCs w:val="28"/>
        </w:rPr>
        <w:t>Estudio y resolución del asunto.</w:t>
      </w:r>
    </w:p>
    <w:p w14:paraId="77730F9F" w14:textId="77777777" w:rsidR="000E06EE" w:rsidRPr="00404C34" w:rsidRDefault="000E06EE" w:rsidP="000E06EE">
      <w:pPr>
        <w:pStyle w:val="Prrafodelista"/>
        <w:autoSpaceDE w:val="0"/>
        <w:autoSpaceDN w:val="0"/>
        <w:adjustRightInd w:val="0"/>
        <w:spacing w:before="240" w:after="160" w:line="360" w:lineRule="auto"/>
        <w:ind w:left="0"/>
        <w:jc w:val="both"/>
        <w:rPr>
          <w:rFonts w:ascii="Palatino Linotype" w:hAnsi="Palatino Linotype" w:cs="Arial"/>
        </w:rPr>
      </w:pPr>
      <w:r w:rsidRPr="00404C34">
        <w:rPr>
          <w:rFonts w:ascii="Palatino Linotype" w:hAnsi="Palatino Linotype" w:cs="Arial"/>
        </w:rPr>
        <w:lastRenderedPageBreak/>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42B4F0F" w14:textId="77777777" w:rsidR="000E06EE" w:rsidRPr="00404C34" w:rsidRDefault="000E06EE" w:rsidP="000E06EE">
      <w:pPr>
        <w:tabs>
          <w:tab w:val="left" w:pos="709"/>
        </w:tabs>
        <w:spacing w:before="240" w:line="360" w:lineRule="auto"/>
        <w:ind w:right="51"/>
        <w:jc w:val="both"/>
        <w:rPr>
          <w:rFonts w:ascii="Palatino Linotype" w:hAnsi="Palatino Linotype"/>
          <w:sz w:val="24"/>
          <w:szCs w:val="24"/>
          <w:lang w:val="es-ES"/>
        </w:rPr>
      </w:pPr>
      <w:r w:rsidRPr="00404C34">
        <w:rPr>
          <w:rFonts w:ascii="Palatino Linotype" w:hAnsi="Palatino Linotype"/>
          <w:sz w:val="24"/>
          <w:szCs w:val="24"/>
          <w:lang w:val="es-ES"/>
        </w:rPr>
        <w:t>Ante tal circunstancia, es de recordar que el particular tuvo a bien solicitar lo siguiente:</w:t>
      </w:r>
    </w:p>
    <w:p w14:paraId="64F5D46D" w14:textId="3E5ED0CF" w:rsidR="00431841" w:rsidRDefault="00431841" w:rsidP="00431841">
      <w:pPr>
        <w:pStyle w:val="Sinespaciado"/>
        <w:numPr>
          <w:ilvl w:val="0"/>
          <w:numId w:val="39"/>
        </w:numPr>
        <w:spacing w:before="240" w:after="240" w:line="360" w:lineRule="auto"/>
        <w:jc w:val="both"/>
        <w:rPr>
          <w:rFonts w:ascii="Palatino Linotype" w:eastAsiaTheme="minorHAnsi" w:hAnsi="Palatino Linotype" w:cstheme="minorBidi"/>
          <w:i/>
          <w:iCs/>
          <w:lang w:val="es-ES" w:eastAsia="en-US"/>
        </w:rPr>
      </w:pPr>
      <w:r w:rsidRPr="00431841">
        <w:rPr>
          <w:rFonts w:ascii="Palatino Linotype" w:eastAsiaTheme="minorHAnsi" w:hAnsi="Palatino Linotype" w:cstheme="minorBidi"/>
          <w:i/>
          <w:iCs/>
          <w:lang w:val="es-ES" w:eastAsia="en-US"/>
        </w:rPr>
        <w:t>relación de todas las demandas laborales y etapas en las que se encuentran cada una de ellas en contra del ayuntamiento de Atlacomulco, en lo que va de esta administración (2019-2021)</w:t>
      </w:r>
    </w:p>
    <w:p w14:paraId="2FBF278E" w14:textId="6605958B" w:rsidR="00C80C5C" w:rsidRDefault="000F278F" w:rsidP="00431841">
      <w:pPr>
        <w:pStyle w:val="Sinespaciado"/>
        <w:spacing w:before="240" w:after="240" w:line="360" w:lineRule="auto"/>
        <w:jc w:val="both"/>
        <w:rPr>
          <w:rFonts w:ascii="Palatino Linotype" w:hAnsi="Palatino Linotype"/>
          <w:lang w:val="es-ES"/>
        </w:rPr>
      </w:pPr>
      <w:r>
        <w:rPr>
          <w:rFonts w:ascii="Palatino Linotype" w:hAnsi="Palatino Linotype"/>
          <w:lang w:val="es-ES"/>
        </w:rPr>
        <w:t xml:space="preserve">De tales requerimientos el sujeto obligado remitió </w:t>
      </w:r>
      <w:r w:rsidR="00431841">
        <w:rPr>
          <w:rFonts w:ascii="Palatino Linotype" w:hAnsi="Palatino Linotype"/>
          <w:lang w:val="es-ES"/>
        </w:rPr>
        <w:t>dos</w:t>
      </w:r>
      <w:r>
        <w:rPr>
          <w:rFonts w:ascii="Palatino Linotype" w:hAnsi="Palatino Linotype"/>
          <w:lang w:val="es-ES"/>
        </w:rPr>
        <w:t xml:space="preserve"> documentos</w:t>
      </w:r>
      <w:r w:rsidR="00431841">
        <w:rPr>
          <w:rFonts w:ascii="Palatino Linotype" w:hAnsi="Palatino Linotype"/>
          <w:lang w:val="es-ES"/>
        </w:rPr>
        <w:t xml:space="preserve"> de los cuales uno corresponde a un oficio de respuesta por el secretario del ayuntamiento y el otro a un documento </w:t>
      </w:r>
      <w:r w:rsidR="00FB23D6">
        <w:rPr>
          <w:rFonts w:ascii="Palatino Linotype" w:hAnsi="Palatino Linotype"/>
          <w:lang w:val="es-ES"/>
        </w:rPr>
        <w:t xml:space="preserve">remitido por la titular de la coordinación de asuntos </w:t>
      </w:r>
      <w:r w:rsidR="00AB2460">
        <w:rPr>
          <w:rFonts w:ascii="Palatino Linotype" w:hAnsi="Palatino Linotype"/>
          <w:lang w:val="es-ES"/>
        </w:rPr>
        <w:t>jurídicos, donde describe una relación de 46 demandas laborales en contra del ayuntamiento, correspondiente a la administración 2019-2021, de igual manera, remite el Acta de la Vigésima Sesión Extraordinaria del Comité de Transparencia donde mediante acuerdo AA/CT/28ªext/2020/QUINTO, se aprueba la reserva de 53 expedientes laborales de los juicios que se encuentran en tramite y que no han causado estado.</w:t>
      </w:r>
    </w:p>
    <w:p w14:paraId="728D3E26" w14:textId="277FBB19" w:rsidR="00492951" w:rsidRDefault="00F47641" w:rsidP="00431841">
      <w:pPr>
        <w:pStyle w:val="Sinespaciado"/>
        <w:spacing w:before="240" w:after="240" w:line="360" w:lineRule="auto"/>
        <w:jc w:val="both"/>
        <w:rPr>
          <w:rFonts w:ascii="Palatino Linotype" w:hAnsi="Palatino Linotype"/>
          <w:lang w:val="es-ES"/>
        </w:rPr>
      </w:pPr>
      <w:r>
        <w:rPr>
          <w:rFonts w:ascii="Palatino Linotype" w:hAnsi="Palatino Linotype"/>
          <w:noProof/>
          <w:lang w:eastAsia="es-MX"/>
        </w:rPr>
        <w:lastRenderedPageBreak/>
        <w:drawing>
          <wp:inline distT="0" distB="0" distL="0" distR="0" wp14:anchorId="6A397629" wp14:editId="6F94D7EA">
            <wp:extent cx="5400675" cy="459232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5400675" cy="4592320"/>
                    </a:xfrm>
                    <a:prstGeom prst="rect">
                      <a:avLst/>
                    </a:prstGeom>
                  </pic:spPr>
                </pic:pic>
              </a:graphicData>
            </a:graphic>
          </wp:inline>
        </w:drawing>
      </w:r>
    </w:p>
    <w:p w14:paraId="693767EF" w14:textId="2D856C01" w:rsidR="00627E93" w:rsidRDefault="00492951" w:rsidP="00431841">
      <w:pPr>
        <w:pStyle w:val="Sinespaciado"/>
        <w:spacing w:before="240" w:after="240" w:line="360" w:lineRule="auto"/>
        <w:jc w:val="both"/>
        <w:rPr>
          <w:rFonts w:ascii="Palatino Linotype" w:hAnsi="Palatino Linotype"/>
          <w:lang w:val="es-ES"/>
        </w:rPr>
      </w:pPr>
      <w:r>
        <w:rPr>
          <w:rFonts w:ascii="Palatino Linotype" w:hAnsi="Palatino Linotype"/>
          <w:lang w:val="es-ES"/>
        </w:rPr>
        <w:t>Así, e</w:t>
      </w:r>
      <w:r w:rsidR="00AB2460">
        <w:rPr>
          <w:rFonts w:ascii="Palatino Linotype" w:hAnsi="Palatino Linotype"/>
          <w:lang w:val="es-ES"/>
        </w:rPr>
        <w:t xml:space="preserve">s de mencionar </w:t>
      </w:r>
      <w:r>
        <w:rPr>
          <w:rFonts w:ascii="Palatino Linotype" w:hAnsi="Palatino Linotype"/>
          <w:lang w:val="es-ES"/>
        </w:rPr>
        <w:t>que,</w:t>
      </w:r>
      <w:r w:rsidR="00AB2460">
        <w:rPr>
          <w:rFonts w:ascii="Palatino Linotype" w:hAnsi="Palatino Linotype"/>
          <w:lang w:val="es-ES"/>
        </w:rPr>
        <w:t xml:space="preserve"> si bien es cierto, el motivo que dio lugar a la reserva de la información derivo de la resolución 00992/INFOEM/IP/RR/2020, también cierto es que, el periodo de reserva fue por un año, comenzando dicho termino el ocho de septiembre de dos mil veinte y feneciendo el mismo el ocho de septiembre de dos mil veintiuno</w:t>
      </w:r>
      <w:r w:rsidR="00627E93">
        <w:rPr>
          <w:rFonts w:ascii="Palatino Linotype" w:hAnsi="Palatino Linotype"/>
          <w:lang w:val="es-ES"/>
        </w:rPr>
        <w:t>.</w:t>
      </w:r>
    </w:p>
    <w:p w14:paraId="69A6E0BA" w14:textId="45C69186" w:rsidR="00AB2460" w:rsidRDefault="00627E93" w:rsidP="00431841">
      <w:pPr>
        <w:pStyle w:val="Sinespaciado"/>
        <w:spacing w:before="240" w:after="240" w:line="360" w:lineRule="auto"/>
        <w:jc w:val="both"/>
        <w:rPr>
          <w:rFonts w:ascii="Palatino Linotype" w:hAnsi="Palatino Linotype"/>
          <w:lang w:val="es-ES"/>
        </w:rPr>
      </w:pPr>
      <w:r>
        <w:rPr>
          <w:rFonts w:ascii="Palatino Linotype" w:hAnsi="Palatino Linotype"/>
          <w:lang w:val="es-ES"/>
        </w:rPr>
        <w:t xml:space="preserve">Por lo tanto, se tiene que la reserva de la información aun no ha vencido el plazo para la desclasificación de la información y a decir de la coordinación de asuntos jurídicos los juicios aun se encuentran en trámite y no han causado estado, por lo </w:t>
      </w:r>
      <w:r>
        <w:rPr>
          <w:rFonts w:ascii="Palatino Linotype" w:hAnsi="Palatino Linotype"/>
          <w:lang w:val="es-ES"/>
        </w:rPr>
        <w:lastRenderedPageBreak/>
        <w:t>que se entiende que subsisten las causas que dieron origen a la reserva de la información.</w:t>
      </w:r>
    </w:p>
    <w:p w14:paraId="2D3CC4EE" w14:textId="094767EA" w:rsidR="00625316" w:rsidRDefault="009C2FB1" w:rsidP="00431841">
      <w:pPr>
        <w:pStyle w:val="Sinespaciado"/>
        <w:spacing w:before="240" w:after="240" w:line="360" w:lineRule="auto"/>
        <w:jc w:val="both"/>
        <w:rPr>
          <w:rFonts w:ascii="Palatino Linotype" w:hAnsi="Palatino Linotype"/>
          <w:lang w:val="es-ES"/>
        </w:rPr>
      </w:pPr>
      <w:r w:rsidRPr="005F183E">
        <w:rPr>
          <w:rFonts w:ascii="Palatino Linotype" w:hAnsi="Palatino Linotype"/>
          <w:lang w:val="es-ES"/>
        </w:rPr>
        <w:t xml:space="preserve">Sin </w:t>
      </w:r>
      <w:r w:rsidR="00010CBE" w:rsidRPr="005F183E">
        <w:rPr>
          <w:rFonts w:ascii="Palatino Linotype" w:hAnsi="Palatino Linotype"/>
          <w:lang w:val="es-ES"/>
        </w:rPr>
        <w:t>embargo</w:t>
      </w:r>
      <w:r w:rsidRPr="005F183E">
        <w:rPr>
          <w:rFonts w:ascii="Palatino Linotype" w:hAnsi="Palatino Linotype"/>
          <w:lang w:val="es-ES"/>
        </w:rPr>
        <w:t xml:space="preserve">, es de gran importancia señalar que en el presente caso que nos ocupa </w:t>
      </w:r>
      <w:r w:rsidR="00125BD4" w:rsidRPr="005F183E">
        <w:rPr>
          <w:rFonts w:ascii="Palatino Linotype" w:hAnsi="Palatino Linotype"/>
          <w:lang w:val="es-ES"/>
        </w:rPr>
        <w:t xml:space="preserve">no era necesario remitir o pronunciarse respecto del acuerdo que clasifica la reserva de la información solicitada, ya que dicha información únicamente </w:t>
      </w:r>
      <w:r w:rsidR="00DD2508" w:rsidRPr="005F183E">
        <w:rPr>
          <w:rFonts w:ascii="Palatino Linotype" w:hAnsi="Palatino Linotype"/>
          <w:lang w:val="es-ES"/>
        </w:rPr>
        <w:t xml:space="preserve">fue </w:t>
      </w:r>
      <w:r w:rsidR="00574649" w:rsidRPr="005F183E">
        <w:rPr>
          <w:rFonts w:ascii="Palatino Linotype" w:hAnsi="Palatino Linotype"/>
          <w:lang w:val="es-ES"/>
        </w:rPr>
        <w:t xml:space="preserve">estadística y resulta dejar en claro que para </w:t>
      </w:r>
      <w:r w:rsidR="00625316" w:rsidRPr="005F183E">
        <w:rPr>
          <w:rFonts w:ascii="Palatino Linotype" w:hAnsi="Palatino Linotype"/>
          <w:lang w:val="es-ES"/>
        </w:rPr>
        <w:t xml:space="preserve">un dato estadístico de esta naturaleza, no es necesario reservar </w:t>
      </w:r>
      <w:r w:rsidR="00010CBE" w:rsidRPr="005F183E">
        <w:rPr>
          <w:rFonts w:ascii="Palatino Linotype" w:hAnsi="Palatino Linotype"/>
          <w:lang w:val="es-ES"/>
        </w:rPr>
        <w:t>la información ya que no vulneraría en nada su entrega o publicación.</w:t>
      </w:r>
      <w:r w:rsidR="00010CBE">
        <w:rPr>
          <w:rFonts w:ascii="Palatino Linotype" w:hAnsi="Palatino Linotype"/>
          <w:lang w:val="es-ES"/>
        </w:rPr>
        <w:t xml:space="preserve"> </w:t>
      </w:r>
    </w:p>
    <w:p w14:paraId="136A2838" w14:textId="1300561A" w:rsidR="004F5D95" w:rsidRDefault="004F5D95" w:rsidP="00431841">
      <w:pPr>
        <w:pStyle w:val="Sinespaciado"/>
        <w:spacing w:before="240" w:after="240" w:line="360" w:lineRule="auto"/>
        <w:jc w:val="both"/>
        <w:rPr>
          <w:rFonts w:ascii="Palatino Linotype" w:hAnsi="Palatino Linotype"/>
          <w:lang w:val="es-ES"/>
        </w:rPr>
      </w:pPr>
      <w:r>
        <w:rPr>
          <w:rFonts w:ascii="Palatino Linotype" w:hAnsi="Palatino Linotype"/>
          <w:lang w:val="es-ES"/>
        </w:rPr>
        <w:t xml:space="preserve">Así pues, tomando en cuenta los requerimientos vertidos por la parte recurrente en su solicitud de información, la cual </w:t>
      </w:r>
      <w:r w:rsidR="00AA72F0">
        <w:rPr>
          <w:rFonts w:ascii="Palatino Linotype" w:hAnsi="Palatino Linotype"/>
          <w:lang w:val="es-ES"/>
        </w:rPr>
        <w:t>solicita relación de las semanas laborales y su estatus, como ya se mencionó</w:t>
      </w:r>
      <w:r w:rsidR="00CF2196">
        <w:rPr>
          <w:rFonts w:ascii="Palatino Linotype" w:hAnsi="Palatino Linotype"/>
          <w:lang w:val="es-ES"/>
        </w:rPr>
        <w:t xml:space="preserve">, dichos datos no necesitan un tratamiento especial, como lo es una </w:t>
      </w:r>
      <w:r w:rsidR="00B43E9E">
        <w:rPr>
          <w:rFonts w:ascii="Palatino Linotype" w:hAnsi="Palatino Linotype"/>
          <w:lang w:val="es-ES"/>
        </w:rPr>
        <w:t>clasificación parcial o tota</w:t>
      </w:r>
      <w:r w:rsidR="007C6936">
        <w:rPr>
          <w:rFonts w:ascii="Palatino Linotype" w:hAnsi="Palatino Linotype"/>
          <w:lang w:val="es-ES"/>
        </w:rPr>
        <w:t xml:space="preserve">l </w:t>
      </w:r>
      <w:r w:rsidR="000B7F0D">
        <w:rPr>
          <w:rFonts w:ascii="Palatino Linotype" w:hAnsi="Palatino Linotype"/>
          <w:lang w:val="es-ES"/>
        </w:rPr>
        <w:t xml:space="preserve">ya que no encuadra en ninguno de los supuestos que marca la Ley de la Materia en sus artículos </w:t>
      </w:r>
      <w:r w:rsidR="00555555">
        <w:rPr>
          <w:rFonts w:ascii="Palatino Linotype" w:hAnsi="Palatino Linotype"/>
          <w:lang w:val="es-ES"/>
        </w:rPr>
        <w:t>140 y 143, que a la letra rezan</w:t>
      </w:r>
      <w:r w:rsidR="00547297">
        <w:rPr>
          <w:rFonts w:ascii="Palatino Linotype" w:hAnsi="Palatino Linotype"/>
          <w:lang w:val="es-ES"/>
        </w:rPr>
        <w:t>:</w:t>
      </w:r>
    </w:p>
    <w:p w14:paraId="5BFDF537" w14:textId="77777777" w:rsidR="00547297" w:rsidRPr="005B4890" w:rsidRDefault="00547297" w:rsidP="005B4890">
      <w:pPr>
        <w:pStyle w:val="Sinespaciado"/>
        <w:spacing w:before="240" w:after="240" w:line="360" w:lineRule="auto"/>
        <w:ind w:left="708"/>
        <w:jc w:val="both"/>
        <w:rPr>
          <w:rFonts w:ascii="Palatino Linotype" w:hAnsi="Palatino Linotype"/>
          <w:i/>
          <w:iCs/>
          <w:sz w:val="22"/>
          <w:szCs w:val="22"/>
          <w:lang w:val="es-ES"/>
        </w:rPr>
      </w:pPr>
      <w:r w:rsidRPr="005B4890">
        <w:rPr>
          <w:rFonts w:ascii="Palatino Linotype" w:hAnsi="Palatino Linotype"/>
          <w:i/>
          <w:iCs/>
          <w:sz w:val="22"/>
          <w:szCs w:val="22"/>
          <w:lang w:val="es-ES"/>
        </w:rPr>
        <w:t>Artículo 140. El acceso a la información pública será restringido excepcionalmente, cuando por</w:t>
      </w:r>
    </w:p>
    <w:p w14:paraId="38B52DA6" w14:textId="77777777" w:rsidR="00547297" w:rsidRPr="005B4890" w:rsidRDefault="00547297" w:rsidP="005B4890">
      <w:pPr>
        <w:pStyle w:val="Sinespaciado"/>
        <w:spacing w:before="240" w:after="240" w:line="360" w:lineRule="auto"/>
        <w:ind w:left="708"/>
        <w:jc w:val="both"/>
        <w:rPr>
          <w:rFonts w:ascii="Palatino Linotype" w:hAnsi="Palatino Linotype"/>
          <w:i/>
          <w:iCs/>
          <w:sz w:val="22"/>
          <w:szCs w:val="22"/>
          <w:lang w:val="es-ES"/>
        </w:rPr>
      </w:pPr>
      <w:r w:rsidRPr="005B4890">
        <w:rPr>
          <w:rFonts w:ascii="Palatino Linotype" w:hAnsi="Palatino Linotype"/>
          <w:i/>
          <w:iCs/>
          <w:sz w:val="22"/>
          <w:szCs w:val="22"/>
          <w:lang w:val="es-ES"/>
        </w:rPr>
        <w:t>razones de interés público, ésta sea clasificada como reservada, conforme a los criterios siguientes: I. Comprometa la seguridad pública y cuente con un propósito genuino y un efecto demostrable; II. Pueda menoscabar la conducción de las negociaciones y relaciones internacionales;</w:t>
      </w:r>
    </w:p>
    <w:p w14:paraId="19A51E03" w14:textId="77777777" w:rsidR="00547297" w:rsidRPr="005B4890" w:rsidRDefault="00547297" w:rsidP="005B4890">
      <w:pPr>
        <w:pStyle w:val="Sinespaciado"/>
        <w:spacing w:before="240" w:after="240" w:line="360" w:lineRule="auto"/>
        <w:ind w:left="708"/>
        <w:jc w:val="both"/>
        <w:rPr>
          <w:rFonts w:ascii="Palatino Linotype" w:hAnsi="Palatino Linotype"/>
          <w:i/>
          <w:iCs/>
          <w:sz w:val="22"/>
          <w:szCs w:val="22"/>
          <w:lang w:val="es-ES"/>
        </w:rPr>
      </w:pPr>
      <w:r w:rsidRPr="005B4890">
        <w:rPr>
          <w:rFonts w:ascii="Palatino Linotype" w:hAnsi="Palatino Linotype"/>
          <w:i/>
          <w:iCs/>
          <w:sz w:val="22"/>
          <w:szCs w:val="22"/>
          <w:lang w:val="es-ES"/>
        </w:rPr>
        <w:t xml:space="preserve">III. Se entregue a la Entidad expresamente con ese carácter o el de confidencialidad por otro u otros sujetos de derecho internacional, excepto cuando se trate de violaciones graves </w:t>
      </w:r>
      <w:r w:rsidRPr="005B4890">
        <w:rPr>
          <w:rFonts w:ascii="Palatino Linotype" w:hAnsi="Palatino Linotype"/>
          <w:i/>
          <w:iCs/>
          <w:sz w:val="22"/>
          <w:szCs w:val="22"/>
          <w:lang w:val="es-ES"/>
        </w:rPr>
        <w:lastRenderedPageBreak/>
        <w:t>de derechos humanos o delitos de lesa humanidad de conformidad con el derecho internacional;</w:t>
      </w:r>
    </w:p>
    <w:p w14:paraId="6E7D115C" w14:textId="77777777" w:rsidR="00547297" w:rsidRPr="005B4890" w:rsidRDefault="00547297" w:rsidP="005B4890">
      <w:pPr>
        <w:pStyle w:val="Sinespaciado"/>
        <w:spacing w:before="240" w:after="240" w:line="360" w:lineRule="auto"/>
        <w:ind w:left="708"/>
        <w:jc w:val="both"/>
        <w:rPr>
          <w:rFonts w:ascii="Palatino Linotype" w:hAnsi="Palatino Linotype"/>
          <w:i/>
          <w:iCs/>
          <w:sz w:val="22"/>
          <w:szCs w:val="22"/>
          <w:lang w:val="es-ES"/>
        </w:rPr>
      </w:pPr>
      <w:r w:rsidRPr="005B4890">
        <w:rPr>
          <w:rFonts w:ascii="Palatino Linotype" w:hAnsi="Palatino Linotype"/>
          <w:i/>
          <w:iCs/>
          <w:sz w:val="22"/>
          <w:szCs w:val="22"/>
          <w:lang w:val="es-ES"/>
        </w:rPr>
        <w:t>IV. Ponga en riesgo la vida, la seguridad o la salud de una persona física; V. Aquella cuya divulgación obstruya o pueda causar un serio perjuicio a:</w:t>
      </w:r>
    </w:p>
    <w:p w14:paraId="4F0FE012" w14:textId="77777777" w:rsidR="00547297" w:rsidRPr="005B4890" w:rsidRDefault="00547297" w:rsidP="005B4890">
      <w:pPr>
        <w:pStyle w:val="Sinespaciado"/>
        <w:spacing w:before="240" w:after="240" w:line="360" w:lineRule="auto"/>
        <w:ind w:left="708"/>
        <w:jc w:val="both"/>
        <w:rPr>
          <w:rFonts w:ascii="Palatino Linotype" w:hAnsi="Palatino Linotype"/>
          <w:i/>
          <w:iCs/>
          <w:sz w:val="22"/>
          <w:szCs w:val="22"/>
          <w:lang w:val="es-ES"/>
        </w:rPr>
      </w:pPr>
      <w:r w:rsidRPr="005B4890">
        <w:rPr>
          <w:rFonts w:ascii="Palatino Linotype" w:hAnsi="Palatino Linotype"/>
          <w:i/>
          <w:iCs/>
          <w:sz w:val="22"/>
          <w:szCs w:val="22"/>
          <w:lang w:val="es-ES"/>
        </w:rPr>
        <w:t>1. Las actividades de fiscalización, verificación, inspección, comprobación y auditoría sobre el cumplimiento de las Leyes; o</w:t>
      </w:r>
    </w:p>
    <w:p w14:paraId="2F13F0E0" w14:textId="77777777" w:rsidR="00547297" w:rsidRPr="005B4890" w:rsidRDefault="00547297" w:rsidP="005B4890">
      <w:pPr>
        <w:pStyle w:val="Sinespaciado"/>
        <w:spacing w:before="240" w:after="240" w:line="360" w:lineRule="auto"/>
        <w:ind w:left="708"/>
        <w:jc w:val="both"/>
        <w:rPr>
          <w:rFonts w:ascii="Palatino Linotype" w:hAnsi="Palatino Linotype"/>
          <w:i/>
          <w:iCs/>
          <w:sz w:val="22"/>
          <w:szCs w:val="22"/>
          <w:lang w:val="es-ES"/>
        </w:rPr>
      </w:pPr>
      <w:r w:rsidRPr="005B4890">
        <w:rPr>
          <w:rFonts w:ascii="Palatino Linotype" w:hAnsi="Palatino Linotype"/>
          <w:i/>
          <w:iCs/>
          <w:sz w:val="22"/>
          <w:szCs w:val="22"/>
          <w:lang w:val="es-ES"/>
        </w:rPr>
        <w:t>2. La recaudación de las contribuciones.</w:t>
      </w:r>
    </w:p>
    <w:p w14:paraId="2B0C8F27" w14:textId="77777777" w:rsidR="00547297" w:rsidRPr="005B4890" w:rsidRDefault="00547297" w:rsidP="005B4890">
      <w:pPr>
        <w:pStyle w:val="Sinespaciado"/>
        <w:spacing w:before="240" w:after="240" w:line="360" w:lineRule="auto"/>
        <w:ind w:left="708"/>
        <w:jc w:val="both"/>
        <w:rPr>
          <w:rFonts w:ascii="Palatino Linotype" w:hAnsi="Palatino Linotype"/>
          <w:i/>
          <w:iCs/>
          <w:sz w:val="22"/>
          <w:szCs w:val="22"/>
          <w:lang w:val="es-ES"/>
        </w:rPr>
      </w:pPr>
      <w:r w:rsidRPr="005B4890">
        <w:rPr>
          <w:rFonts w:ascii="Palatino Linotype" w:hAnsi="Palatino Linotype"/>
          <w:i/>
          <w:iCs/>
          <w:sz w:val="22"/>
          <w:szCs w:val="22"/>
          <w:lang w:val="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1BDC937A" w14:textId="77777777" w:rsidR="00547297" w:rsidRPr="005B4890" w:rsidRDefault="00547297" w:rsidP="005B4890">
      <w:pPr>
        <w:pStyle w:val="Sinespaciado"/>
        <w:spacing w:before="240" w:after="240" w:line="360" w:lineRule="auto"/>
        <w:ind w:left="708"/>
        <w:jc w:val="both"/>
        <w:rPr>
          <w:rFonts w:ascii="Palatino Linotype" w:hAnsi="Palatino Linotype"/>
          <w:i/>
          <w:iCs/>
          <w:sz w:val="22"/>
          <w:szCs w:val="22"/>
          <w:lang w:val="es-ES"/>
        </w:rPr>
      </w:pPr>
      <w:r w:rsidRPr="005B4890">
        <w:rPr>
          <w:rFonts w:ascii="Palatino Linotype" w:hAnsi="Palatino Linotype"/>
          <w:i/>
          <w:iCs/>
          <w:sz w:val="22"/>
          <w:szCs w:val="22"/>
          <w:lang w:val="es-ES"/>
        </w:rPr>
        <w:t>VII. La que contengan las opiniones, recomendaciones o puntos de vista que formen parte del proceso deliberativo de los servidores públicos, hasta en tanto sea adoptada la decisión definitiva, la cual deberá estar documentada;</w:t>
      </w:r>
    </w:p>
    <w:p w14:paraId="78126DA8" w14:textId="77777777" w:rsidR="00547297" w:rsidRPr="005B4890" w:rsidRDefault="00547297" w:rsidP="005B4890">
      <w:pPr>
        <w:pStyle w:val="Sinespaciado"/>
        <w:spacing w:before="240" w:after="240" w:line="360" w:lineRule="auto"/>
        <w:ind w:left="708"/>
        <w:jc w:val="both"/>
        <w:rPr>
          <w:rFonts w:ascii="Palatino Linotype" w:hAnsi="Palatino Linotype"/>
          <w:i/>
          <w:iCs/>
          <w:sz w:val="22"/>
          <w:szCs w:val="22"/>
          <w:lang w:val="es-ES"/>
        </w:rPr>
      </w:pPr>
      <w:r w:rsidRPr="005B4890">
        <w:rPr>
          <w:rFonts w:ascii="Palatino Linotype" w:hAnsi="Palatino Linotype"/>
          <w:i/>
          <w:iCs/>
          <w:sz w:val="22"/>
          <w:szCs w:val="22"/>
          <w:lang w:val="es-ES"/>
        </w:rPr>
        <w:t>VIII. Vulnere la conducción de los expedientes judiciales o de los procedimientos administrativos seguidos en forma de juicio, en tanto no hayan quedado firmes;</w:t>
      </w:r>
    </w:p>
    <w:p w14:paraId="7605CB07" w14:textId="77777777" w:rsidR="00547297" w:rsidRPr="005B4890" w:rsidRDefault="00547297" w:rsidP="005B4890">
      <w:pPr>
        <w:pStyle w:val="Sinespaciado"/>
        <w:spacing w:before="240" w:after="240" w:line="360" w:lineRule="auto"/>
        <w:ind w:left="708"/>
        <w:jc w:val="both"/>
        <w:rPr>
          <w:rFonts w:ascii="Palatino Linotype" w:hAnsi="Palatino Linotype"/>
          <w:i/>
          <w:iCs/>
          <w:sz w:val="22"/>
          <w:szCs w:val="22"/>
          <w:lang w:val="es-ES"/>
        </w:rPr>
      </w:pPr>
      <w:r w:rsidRPr="005B4890">
        <w:rPr>
          <w:rFonts w:ascii="Palatino Linotype" w:hAnsi="Palatino Linotype"/>
          <w:i/>
          <w:iCs/>
          <w:sz w:val="22"/>
          <w:szCs w:val="22"/>
          <w:lang w:val="es-ES"/>
        </w:rPr>
        <w:t>IX. Se encuentre contenida dentro de las investigaciones de hechos que la Ley señale como delitos y se tramiten ante el Ministerio Público;</w:t>
      </w:r>
    </w:p>
    <w:p w14:paraId="574AB544" w14:textId="77777777" w:rsidR="00547297" w:rsidRPr="005B4890" w:rsidRDefault="00547297" w:rsidP="005B4890">
      <w:pPr>
        <w:pStyle w:val="Sinespaciado"/>
        <w:spacing w:before="240" w:after="240" w:line="360" w:lineRule="auto"/>
        <w:ind w:left="708"/>
        <w:jc w:val="both"/>
        <w:rPr>
          <w:rFonts w:ascii="Palatino Linotype" w:hAnsi="Palatino Linotype"/>
          <w:i/>
          <w:iCs/>
          <w:sz w:val="22"/>
          <w:szCs w:val="22"/>
          <w:lang w:val="es-ES"/>
        </w:rPr>
      </w:pPr>
      <w:r w:rsidRPr="005B4890">
        <w:rPr>
          <w:rFonts w:ascii="Palatino Linotype" w:hAnsi="Palatino Linotype"/>
          <w:i/>
          <w:iCs/>
          <w:sz w:val="22"/>
          <w:szCs w:val="22"/>
          <w:lang w:val="es-ES"/>
        </w:rPr>
        <w:lastRenderedPageBreak/>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6818D6EE" w14:textId="77777777" w:rsidR="00547297" w:rsidRPr="005B4890" w:rsidRDefault="00547297" w:rsidP="005B4890">
      <w:pPr>
        <w:pStyle w:val="Sinespaciado"/>
        <w:spacing w:before="240" w:after="240" w:line="360" w:lineRule="auto"/>
        <w:ind w:left="708"/>
        <w:jc w:val="both"/>
        <w:rPr>
          <w:rFonts w:ascii="Palatino Linotype" w:hAnsi="Palatino Linotype"/>
          <w:i/>
          <w:iCs/>
          <w:sz w:val="22"/>
          <w:szCs w:val="22"/>
          <w:lang w:val="es-ES"/>
        </w:rPr>
      </w:pPr>
      <w:r w:rsidRPr="005B4890">
        <w:rPr>
          <w:rFonts w:ascii="Palatino Linotype" w:hAnsi="Palatino Linotype"/>
          <w:i/>
          <w:iCs/>
          <w:sz w:val="22"/>
          <w:szCs w:val="22"/>
          <w:lang w:val="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0EF3ED2E" w14:textId="5463DCD2" w:rsidR="00547297" w:rsidRDefault="00547297" w:rsidP="005B4890">
      <w:pPr>
        <w:pStyle w:val="Sinespaciado"/>
        <w:spacing w:before="240" w:after="240" w:line="360" w:lineRule="auto"/>
        <w:ind w:left="708"/>
        <w:jc w:val="both"/>
        <w:rPr>
          <w:rFonts w:ascii="Palatino Linotype" w:hAnsi="Palatino Linotype"/>
          <w:i/>
          <w:iCs/>
          <w:sz w:val="22"/>
          <w:szCs w:val="22"/>
          <w:lang w:val="es-ES"/>
        </w:rPr>
      </w:pPr>
      <w:r w:rsidRPr="005B4890">
        <w:rPr>
          <w:rFonts w:ascii="Palatino Linotype" w:hAnsi="Palatino Linotype"/>
          <w:i/>
          <w:iCs/>
          <w:sz w:val="22"/>
          <w:szCs w:val="22"/>
          <w:lang w:val="es-ES"/>
        </w:rPr>
        <w:t>XI. Las que por disposición expresa de una ley tengan tal carácter, siempre que sean acordes con las bases, principios y disposiciones establecidos en esta Ley y no la contravengan; así como las previstas en tratados internacionales.</w:t>
      </w:r>
    </w:p>
    <w:p w14:paraId="2727512C" w14:textId="77777777" w:rsidR="00AF34BE" w:rsidRPr="00AF34BE" w:rsidRDefault="00AF34BE" w:rsidP="00AF34BE">
      <w:pPr>
        <w:pStyle w:val="Sinespaciado"/>
        <w:spacing w:before="240" w:after="240" w:line="360" w:lineRule="auto"/>
        <w:ind w:left="708"/>
        <w:jc w:val="both"/>
        <w:rPr>
          <w:rFonts w:ascii="Palatino Linotype" w:hAnsi="Palatino Linotype"/>
          <w:i/>
          <w:iCs/>
          <w:sz w:val="22"/>
          <w:szCs w:val="22"/>
          <w:lang w:val="es-ES"/>
        </w:rPr>
      </w:pPr>
      <w:r w:rsidRPr="00AF34BE">
        <w:rPr>
          <w:rFonts w:ascii="Palatino Linotype" w:hAnsi="Palatino Linotype"/>
          <w:i/>
          <w:iCs/>
          <w:sz w:val="22"/>
          <w:szCs w:val="22"/>
          <w:lang w:val="es-ES"/>
        </w:rPr>
        <w:t>Artículo 143. Para los efectos de esta Ley se considera información confidencial, la clasificada como tal, de manera permanente, por su naturaleza, cuando:</w:t>
      </w:r>
    </w:p>
    <w:p w14:paraId="2A61DEC0" w14:textId="77777777" w:rsidR="00AF34BE" w:rsidRPr="00AF34BE" w:rsidRDefault="00AF34BE" w:rsidP="00AF34BE">
      <w:pPr>
        <w:pStyle w:val="Sinespaciado"/>
        <w:spacing w:before="240" w:after="240" w:line="360" w:lineRule="auto"/>
        <w:ind w:left="708"/>
        <w:jc w:val="both"/>
        <w:rPr>
          <w:rFonts w:ascii="Palatino Linotype" w:hAnsi="Palatino Linotype"/>
          <w:i/>
          <w:iCs/>
          <w:sz w:val="22"/>
          <w:szCs w:val="22"/>
          <w:lang w:val="es-ES"/>
        </w:rPr>
      </w:pPr>
      <w:r w:rsidRPr="00AF34BE">
        <w:rPr>
          <w:rFonts w:ascii="Palatino Linotype" w:hAnsi="Palatino Linotype"/>
          <w:i/>
          <w:iCs/>
          <w:sz w:val="22"/>
          <w:szCs w:val="22"/>
          <w:lang w:val="es-ES"/>
        </w:rPr>
        <w:t>I. Se refiera a la información privada y los datos personales concernientes a una persona física o jurídico colectiva identificada o identificable;</w:t>
      </w:r>
    </w:p>
    <w:p w14:paraId="07AB3675" w14:textId="77777777" w:rsidR="00AF34BE" w:rsidRPr="00AF34BE" w:rsidRDefault="00AF34BE" w:rsidP="00AF34BE">
      <w:pPr>
        <w:pStyle w:val="Sinespaciado"/>
        <w:spacing w:before="240" w:after="240" w:line="360" w:lineRule="auto"/>
        <w:ind w:left="708"/>
        <w:jc w:val="both"/>
        <w:rPr>
          <w:rFonts w:ascii="Palatino Linotype" w:hAnsi="Palatino Linotype"/>
          <w:i/>
          <w:iCs/>
          <w:sz w:val="22"/>
          <w:szCs w:val="22"/>
          <w:lang w:val="es-ES"/>
        </w:rPr>
      </w:pPr>
      <w:r w:rsidRPr="00AF34BE">
        <w:rPr>
          <w:rFonts w:ascii="Palatino Linotype" w:hAnsi="Palatino Linotype"/>
          <w:i/>
          <w:iCs/>
          <w:sz w:val="22"/>
          <w:szCs w:val="22"/>
          <w:lang w:val="es-ES"/>
        </w:rPr>
        <w:t>II. Los secretos bancario, fiduciario, industrial, comercial, fiscal, bursátil y postal, cuya titularidad corresponda a particulares, sujetos de derecho internacional o a sujetos obligados cuando no involucren el ejercicio de recursos públicos; y</w:t>
      </w:r>
    </w:p>
    <w:p w14:paraId="4E54DDA7" w14:textId="77777777" w:rsidR="00AF34BE" w:rsidRPr="00AF34BE" w:rsidRDefault="00AF34BE" w:rsidP="00AF34BE">
      <w:pPr>
        <w:pStyle w:val="Sinespaciado"/>
        <w:spacing w:before="240" w:after="240" w:line="360" w:lineRule="auto"/>
        <w:ind w:left="708"/>
        <w:jc w:val="both"/>
        <w:rPr>
          <w:rFonts w:ascii="Palatino Linotype" w:hAnsi="Palatino Linotype"/>
          <w:i/>
          <w:iCs/>
          <w:sz w:val="22"/>
          <w:szCs w:val="22"/>
          <w:lang w:val="es-ES"/>
        </w:rPr>
      </w:pPr>
      <w:r w:rsidRPr="00AF34BE">
        <w:rPr>
          <w:rFonts w:ascii="Palatino Linotype" w:hAnsi="Palatino Linotype"/>
          <w:i/>
          <w:iCs/>
          <w:sz w:val="22"/>
          <w:szCs w:val="22"/>
          <w:lang w:val="es-ES"/>
        </w:rPr>
        <w:t>III. La que presenten los particulares a los sujetos obligados, de conformidad con lo dispuesto por las leyes o los tratados internacionales.</w:t>
      </w:r>
    </w:p>
    <w:p w14:paraId="28C81D85" w14:textId="77777777" w:rsidR="00AF34BE" w:rsidRPr="00AF34BE" w:rsidRDefault="00AF34BE" w:rsidP="00AF34BE">
      <w:pPr>
        <w:pStyle w:val="Sinespaciado"/>
        <w:spacing w:before="240" w:after="240" w:line="360" w:lineRule="auto"/>
        <w:ind w:left="708"/>
        <w:jc w:val="both"/>
        <w:rPr>
          <w:rFonts w:ascii="Palatino Linotype" w:hAnsi="Palatino Linotype"/>
          <w:i/>
          <w:iCs/>
          <w:sz w:val="22"/>
          <w:szCs w:val="22"/>
          <w:lang w:val="es-ES"/>
        </w:rPr>
      </w:pPr>
      <w:r w:rsidRPr="00AF34BE">
        <w:rPr>
          <w:rFonts w:ascii="Palatino Linotype" w:hAnsi="Palatino Linotype"/>
          <w:i/>
          <w:iCs/>
          <w:sz w:val="22"/>
          <w:szCs w:val="22"/>
          <w:lang w:val="es-ES"/>
        </w:rPr>
        <w:t>La información confidencial no estará sujeta a temporalidad alguna y sólo podrán tener acceso a ella los titulares de la misma, sus representantes y los servidores públicos facultados para ello.</w:t>
      </w:r>
    </w:p>
    <w:p w14:paraId="161B495F" w14:textId="379DEF70" w:rsidR="009E10E2" w:rsidRDefault="00AF34BE" w:rsidP="005B4890">
      <w:pPr>
        <w:pStyle w:val="Sinespaciado"/>
        <w:spacing w:before="240" w:after="240" w:line="360" w:lineRule="auto"/>
        <w:ind w:left="708"/>
        <w:jc w:val="both"/>
        <w:rPr>
          <w:rFonts w:ascii="Palatino Linotype" w:hAnsi="Palatino Linotype"/>
          <w:i/>
          <w:iCs/>
          <w:sz w:val="22"/>
          <w:szCs w:val="22"/>
          <w:lang w:val="es-ES"/>
        </w:rPr>
      </w:pPr>
      <w:r w:rsidRPr="00AF34BE">
        <w:rPr>
          <w:rFonts w:ascii="Palatino Linotype" w:hAnsi="Palatino Linotype"/>
          <w:i/>
          <w:iCs/>
          <w:sz w:val="22"/>
          <w:szCs w:val="22"/>
          <w:lang w:val="es-ES"/>
        </w:rPr>
        <w:lastRenderedPageBreak/>
        <w:t>No se considerará confidencial la información que se encuentre en los registros públicos o en fuentes de acceso público, ni tampoco la que sea considerada por la presente ley como información pública.</w:t>
      </w:r>
    </w:p>
    <w:p w14:paraId="6D9DD1CB" w14:textId="496A207B" w:rsidR="000D685B" w:rsidRPr="00B36484" w:rsidRDefault="00AF34BE" w:rsidP="00AF34BE">
      <w:pPr>
        <w:pStyle w:val="Sinespaciado"/>
        <w:spacing w:before="240" w:after="240" w:line="360" w:lineRule="auto"/>
        <w:jc w:val="both"/>
        <w:rPr>
          <w:rFonts w:ascii="Palatino Linotype" w:hAnsi="Palatino Linotype"/>
          <w:lang w:val="es-ES"/>
        </w:rPr>
      </w:pPr>
      <w:r w:rsidRPr="00B36484">
        <w:rPr>
          <w:rFonts w:ascii="Palatino Linotype" w:hAnsi="Palatino Linotype"/>
          <w:lang w:val="es-ES"/>
        </w:rPr>
        <w:t xml:space="preserve">Bajo tal premisa, </w:t>
      </w:r>
      <w:r w:rsidR="00A96892">
        <w:rPr>
          <w:rFonts w:ascii="Palatino Linotype" w:hAnsi="Palatino Linotype"/>
          <w:lang w:val="es-ES"/>
        </w:rPr>
        <w:t xml:space="preserve">como se puede apreciar de los numérales transcritos </w:t>
      </w:r>
      <w:r w:rsidR="00D14200">
        <w:rPr>
          <w:rFonts w:ascii="Palatino Linotype" w:hAnsi="Palatino Linotype"/>
          <w:lang w:val="es-ES"/>
        </w:rPr>
        <w:t xml:space="preserve">no se </w:t>
      </w:r>
      <w:r w:rsidR="00E73FB3">
        <w:rPr>
          <w:rFonts w:ascii="Palatino Linotype" w:hAnsi="Palatino Linotype"/>
          <w:lang w:val="es-ES"/>
        </w:rPr>
        <w:t xml:space="preserve">actualiza ninguna </w:t>
      </w:r>
      <w:r w:rsidR="001A275F">
        <w:rPr>
          <w:rFonts w:ascii="Palatino Linotype" w:hAnsi="Palatino Linotype"/>
          <w:lang w:val="es-ES"/>
        </w:rPr>
        <w:t>de las causales enmarcadas en dichos artículos</w:t>
      </w:r>
      <w:r w:rsidR="00B25F6F">
        <w:rPr>
          <w:rFonts w:ascii="Palatino Linotype" w:hAnsi="Palatino Linotype"/>
          <w:lang w:val="es-ES"/>
        </w:rPr>
        <w:t xml:space="preserve">, ya que como se ha establecido únicamente se solicita un estadístico de la información solicitada </w:t>
      </w:r>
      <w:r w:rsidR="00FA275B">
        <w:rPr>
          <w:rFonts w:ascii="Palatino Linotype" w:hAnsi="Palatino Linotype"/>
          <w:lang w:val="es-ES"/>
        </w:rPr>
        <w:t xml:space="preserve">por lo que </w:t>
      </w:r>
      <w:r w:rsidR="00E22096">
        <w:rPr>
          <w:rFonts w:ascii="Palatino Linotype" w:hAnsi="Palatino Linotype"/>
          <w:lang w:val="es-ES"/>
        </w:rPr>
        <w:t xml:space="preserve">para el asunto que nos ocupa no es necesaria la calificación de la información. </w:t>
      </w:r>
    </w:p>
    <w:p w14:paraId="6BD6507F" w14:textId="6754E00B" w:rsidR="00627E93" w:rsidRDefault="00627E93" w:rsidP="00431841">
      <w:pPr>
        <w:pStyle w:val="Sinespaciado"/>
        <w:spacing w:before="240" w:after="240" w:line="360" w:lineRule="auto"/>
        <w:jc w:val="both"/>
        <w:rPr>
          <w:rFonts w:ascii="Palatino Linotype" w:hAnsi="Palatino Linotype"/>
          <w:lang w:val="es-ES"/>
        </w:rPr>
      </w:pPr>
      <w:r>
        <w:rPr>
          <w:rFonts w:ascii="Palatino Linotype" w:hAnsi="Palatino Linotype"/>
          <w:lang w:val="es-ES"/>
        </w:rPr>
        <w:t>Ahora bien, resulta oportuno señalar que la hoy parte recurrente aludió que falta información, sin embargo, es necesario tener en cuenta las siguientes consideraciones de hecho y derecho.</w:t>
      </w:r>
    </w:p>
    <w:p w14:paraId="21D40596" w14:textId="6695849F" w:rsidR="007059F8" w:rsidRDefault="00627E93" w:rsidP="007059F8">
      <w:pPr>
        <w:pStyle w:val="Sinespaciado"/>
        <w:spacing w:before="240" w:after="240" w:line="360" w:lineRule="auto"/>
        <w:ind w:firstLine="708"/>
        <w:jc w:val="both"/>
        <w:rPr>
          <w:rFonts w:ascii="Palatino Linotype" w:hAnsi="Palatino Linotype"/>
          <w:i/>
          <w:iCs/>
          <w:lang w:val="es-ES"/>
        </w:rPr>
      </w:pPr>
      <w:r w:rsidRPr="007059F8">
        <w:rPr>
          <w:rFonts w:ascii="Palatino Linotype" w:hAnsi="Palatino Linotype"/>
          <w:i/>
          <w:iCs/>
          <w:lang w:val="es-ES"/>
        </w:rPr>
        <w:t xml:space="preserve"> </w:t>
      </w:r>
      <w:r w:rsidR="007059F8" w:rsidRPr="007059F8">
        <w:rPr>
          <w:rFonts w:ascii="Palatino Linotype" w:hAnsi="Palatino Linotype"/>
          <w:i/>
          <w:iCs/>
          <w:lang w:val="es-ES"/>
        </w:rPr>
        <w:t>Artículo 31.- Son atribuciones de los ayuntamientos:</w:t>
      </w:r>
    </w:p>
    <w:p w14:paraId="110DBA7B" w14:textId="1E897553" w:rsidR="007059F8" w:rsidRDefault="007059F8" w:rsidP="007059F8">
      <w:pPr>
        <w:pStyle w:val="Sinespaciado"/>
        <w:spacing w:before="240" w:after="240" w:line="360" w:lineRule="auto"/>
        <w:ind w:firstLine="708"/>
        <w:jc w:val="both"/>
        <w:rPr>
          <w:rFonts w:ascii="Palatino Linotype" w:hAnsi="Palatino Linotype"/>
          <w:i/>
          <w:iCs/>
          <w:lang w:val="es-ES"/>
        </w:rPr>
      </w:pPr>
      <w:r>
        <w:rPr>
          <w:rFonts w:ascii="Palatino Linotype" w:hAnsi="Palatino Linotype"/>
          <w:i/>
          <w:iCs/>
          <w:lang w:val="es-ES"/>
        </w:rPr>
        <w:t>…</w:t>
      </w:r>
    </w:p>
    <w:p w14:paraId="1A66AE39" w14:textId="180546F6" w:rsidR="007059F8" w:rsidRDefault="007059F8" w:rsidP="007059F8">
      <w:pPr>
        <w:pStyle w:val="Sinespaciado"/>
        <w:spacing w:before="240" w:after="240" w:line="360" w:lineRule="auto"/>
        <w:ind w:left="708"/>
        <w:jc w:val="both"/>
        <w:rPr>
          <w:rFonts w:ascii="Palatino Linotype" w:hAnsi="Palatino Linotype"/>
          <w:i/>
          <w:iCs/>
          <w:lang w:val="es-ES"/>
        </w:rPr>
      </w:pPr>
      <w:r w:rsidRPr="007059F8">
        <w:rPr>
          <w:rFonts w:ascii="Palatino Linotype" w:hAnsi="Palatino Linotype"/>
          <w:i/>
          <w:iCs/>
          <w:lang w:val="es-ES"/>
        </w:rPr>
        <w:t xml:space="preserve">I. </w:t>
      </w:r>
      <w:proofErr w:type="spellStart"/>
      <w:r w:rsidRPr="007059F8">
        <w:rPr>
          <w:rFonts w:ascii="Palatino Linotype" w:hAnsi="Palatino Linotype"/>
          <w:i/>
          <w:iCs/>
          <w:lang w:val="es-ES"/>
        </w:rPr>
        <w:t>Sextus</w:t>
      </w:r>
      <w:proofErr w:type="spellEnd"/>
      <w:r w:rsidRPr="007059F8">
        <w:rPr>
          <w:rFonts w:ascii="Palatino Linotype" w:hAnsi="Palatino Linotype"/>
          <w:i/>
          <w:iCs/>
          <w:lang w:val="es-ES"/>
        </w:rPr>
        <w:t>. Formular, aprobar, implementar y ejecutar los programas y acciones</w:t>
      </w:r>
      <w:r>
        <w:rPr>
          <w:rFonts w:ascii="Palatino Linotype" w:hAnsi="Palatino Linotype"/>
          <w:i/>
          <w:iCs/>
          <w:lang w:val="es-ES"/>
        </w:rPr>
        <w:t xml:space="preserve"> </w:t>
      </w:r>
      <w:r w:rsidRPr="007059F8">
        <w:rPr>
          <w:rFonts w:ascii="Palatino Linotype" w:hAnsi="Palatino Linotype"/>
          <w:i/>
          <w:iCs/>
          <w:lang w:val="es-ES"/>
        </w:rPr>
        <w:t>para la prevención, atención y en su caso, el pago de las responsabilidades económicas en los conflictos laborales;</w:t>
      </w:r>
    </w:p>
    <w:p w14:paraId="1D8015A0" w14:textId="67DCF6D6" w:rsidR="007059F8" w:rsidRDefault="007059F8" w:rsidP="007059F8">
      <w:pPr>
        <w:pStyle w:val="Sinespaciado"/>
        <w:spacing w:before="240" w:after="240" w:line="360" w:lineRule="auto"/>
        <w:ind w:left="708"/>
        <w:jc w:val="both"/>
        <w:rPr>
          <w:rFonts w:ascii="Palatino Linotype" w:hAnsi="Palatino Linotype"/>
          <w:i/>
          <w:iCs/>
          <w:lang w:val="es-ES"/>
        </w:rPr>
      </w:pPr>
      <w:r>
        <w:rPr>
          <w:rFonts w:ascii="Palatino Linotype" w:hAnsi="Palatino Linotype"/>
          <w:i/>
          <w:iCs/>
          <w:lang w:val="es-ES"/>
        </w:rPr>
        <w:t>…</w:t>
      </w:r>
    </w:p>
    <w:p w14:paraId="22F6696E" w14:textId="38F2EEBB" w:rsidR="007059F8" w:rsidRDefault="007059F8" w:rsidP="007059F8">
      <w:pPr>
        <w:pStyle w:val="Sinespaciado"/>
        <w:spacing w:before="240" w:after="240" w:line="360" w:lineRule="auto"/>
        <w:ind w:left="708"/>
        <w:jc w:val="both"/>
        <w:rPr>
          <w:rFonts w:ascii="Palatino Linotype" w:hAnsi="Palatino Linotype"/>
          <w:i/>
          <w:iCs/>
        </w:rPr>
      </w:pPr>
      <w:r w:rsidRPr="007059F8">
        <w:rPr>
          <w:rFonts w:ascii="Palatino Linotype" w:hAnsi="Palatino Linotype"/>
          <w:i/>
          <w:iCs/>
        </w:rPr>
        <w:t>Artículo 48.- El presidente municipal tiene las siguientes atribuciones:</w:t>
      </w:r>
    </w:p>
    <w:p w14:paraId="5ABD5A58" w14:textId="0BF8F92D" w:rsidR="007059F8" w:rsidRDefault="007059F8" w:rsidP="007059F8">
      <w:pPr>
        <w:pStyle w:val="Sinespaciado"/>
        <w:spacing w:before="240" w:after="240" w:line="360" w:lineRule="auto"/>
        <w:ind w:left="708"/>
        <w:jc w:val="both"/>
        <w:rPr>
          <w:rFonts w:ascii="Palatino Linotype" w:hAnsi="Palatino Linotype"/>
          <w:i/>
          <w:iCs/>
        </w:rPr>
      </w:pPr>
      <w:r>
        <w:rPr>
          <w:rFonts w:ascii="Palatino Linotype" w:hAnsi="Palatino Linotype"/>
          <w:i/>
          <w:iCs/>
        </w:rPr>
        <w:t>…</w:t>
      </w:r>
    </w:p>
    <w:p w14:paraId="697BEFF6" w14:textId="5361FCA6" w:rsidR="007059F8" w:rsidRDefault="007059F8" w:rsidP="007059F8">
      <w:pPr>
        <w:pStyle w:val="Sinespaciado"/>
        <w:spacing w:before="240" w:after="240" w:line="360" w:lineRule="auto"/>
        <w:ind w:left="708"/>
        <w:jc w:val="both"/>
        <w:rPr>
          <w:rFonts w:ascii="Palatino Linotype" w:hAnsi="Palatino Linotype"/>
          <w:i/>
          <w:iCs/>
        </w:rPr>
      </w:pPr>
      <w:r w:rsidRPr="007059F8">
        <w:rPr>
          <w:rFonts w:ascii="Palatino Linotype" w:hAnsi="Palatino Linotype"/>
          <w:i/>
          <w:iCs/>
        </w:rPr>
        <w:lastRenderedPageBreak/>
        <w:t>IV Bis. Vigilar y ejecutar los programas y acciones para la prevención, atención y en su caso, el pago de las responsabilidades económicas de los Ayuntamientos de los conflictos laborales;</w:t>
      </w:r>
    </w:p>
    <w:p w14:paraId="2C462001" w14:textId="77777777" w:rsidR="003839E6" w:rsidRPr="003839E6" w:rsidRDefault="003839E6" w:rsidP="003839E6">
      <w:pPr>
        <w:pStyle w:val="Sinespaciado"/>
        <w:spacing w:before="240" w:after="240" w:line="360" w:lineRule="auto"/>
        <w:ind w:left="708"/>
        <w:jc w:val="both"/>
        <w:rPr>
          <w:rFonts w:ascii="Palatino Linotype" w:hAnsi="Palatino Linotype"/>
          <w:i/>
          <w:iCs/>
        </w:rPr>
      </w:pPr>
      <w:r w:rsidRPr="003839E6">
        <w:rPr>
          <w:rFonts w:ascii="Palatino Linotype" w:hAnsi="Palatino Linotype"/>
          <w:i/>
          <w:iCs/>
        </w:rPr>
        <w:t>IV Ter. Entregar al cabildo de forma mensual, la relación detallada del contingente económico de litigios laborales en contra del Ayuntamiento para la implementación de los programas y acciones para la prevención, atención y en su caso, el pago de las responsabilidades económicas de los Ayuntamientos de los conflictos laborales, en términos de lo dispuesto por la Ley de Transparencia y Acceso a la Información Pública del Estado de México y Municipios y la Ley de Protección de Datos Personales en posesión de sujetos obligados del Estado de México y Municipios;</w:t>
      </w:r>
    </w:p>
    <w:p w14:paraId="1946A274" w14:textId="77777777" w:rsidR="003839E6" w:rsidRPr="003839E6" w:rsidRDefault="003839E6" w:rsidP="003839E6">
      <w:pPr>
        <w:pStyle w:val="Sinespaciado"/>
        <w:spacing w:before="240" w:after="240" w:line="360" w:lineRule="auto"/>
        <w:ind w:left="708"/>
        <w:jc w:val="both"/>
        <w:rPr>
          <w:rFonts w:ascii="Palatino Linotype" w:hAnsi="Palatino Linotype"/>
          <w:i/>
          <w:iCs/>
        </w:rPr>
      </w:pPr>
      <w:r w:rsidRPr="003839E6">
        <w:rPr>
          <w:rFonts w:ascii="Palatino Linotype" w:hAnsi="Palatino Linotype"/>
          <w:i/>
          <w:iCs/>
        </w:rPr>
        <w:t>V. Convocar a sesiones ordinarias y extraordinarias a los integrantes del ayuntamiento;</w:t>
      </w:r>
    </w:p>
    <w:p w14:paraId="712649AA" w14:textId="499B226C" w:rsidR="007059F8" w:rsidRDefault="003839E6" w:rsidP="003839E6">
      <w:pPr>
        <w:pStyle w:val="Sinespaciado"/>
        <w:spacing w:before="240" w:after="240" w:line="360" w:lineRule="auto"/>
        <w:ind w:left="708"/>
        <w:jc w:val="both"/>
        <w:rPr>
          <w:rFonts w:ascii="Palatino Linotype" w:hAnsi="Palatino Linotype"/>
          <w:i/>
          <w:iCs/>
        </w:rPr>
      </w:pPr>
      <w:r w:rsidRPr="003839E6">
        <w:rPr>
          <w:rFonts w:ascii="Palatino Linotype" w:hAnsi="Palatino Linotype"/>
          <w:i/>
          <w:iCs/>
        </w:rPr>
        <w:t>V. Bis. Elaborar, con la aprobación del cabildo, el presupuesto correspondiente al pago de las responsabilidades económicas derivadas de los conflictos laborales;</w:t>
      </w:r>
    </w:p>
    <w:p w14:paraId="5F8462B2" w14:textId="45B76467" w:rsidR="003839E6" w:rsidRDefault="003839E6" w:rsidP="003839E6">
      <w:pPr>
        <w:pStyle w:val="Sinespaciado"/>
        <w:spacing w:before="240" w:after="240" w:line="360" w:lineRule="auto"/>
        <w:ind w:left="708"/>
        <w:jc w:val="both"/>
        <w:rPr>
          <w:rFonts w:ascii="Palatino Linotype" w:hAnsi="Palatino Linotype"/>
          <w:i/>
          <w:iCs/>
        </w:rPr>
      </w:pPr>
      <w:r>
        <w:rPr>
          <w:rFonts w:ascii="Palatino Linotype" w:hAnsi="Palatino Linotype"/>
          <w:i/>
          <w:iCs/>
        </w:rPr>
        <w:t>…</w:t>
      </w:r>
    </w:p>
    <w:p w14:paraId="2793AA39" w14:textId="0DBE696B" w:rsidR="003839E6" w:rsidRDefault="003839E6" w:rsidP="003839E6">
      <w:pPr>
        <w:pStyle w:val="Sinespaciado"/>
        <w:spacing w:before="240" w:after="240" w:line="360" w:lineRule="auto"/>
        <w:ind w:left="708"/>
        <w:jc w:val="both"/>
        <w:rPr>
          <w:rFonts w:ascii="Palatino Linotype" w:hAnsi="Palatino Linotype"/>
          <w:i/>
          <w:iCs/>
        </w:rPr>
      </w:pPr>
      <w:r w:rsidRPr="003839E6">
        <w:rPr>
          <w:rFonts w:ascii="Palatino Linotype" w:hAnsi="Palatino Linotype"/>
          <w:i/>
          <w:iCs/>
        </w:rPr>
        <w:t>VI. Ter. Informar al cabildo de los casos de terminación y recisión de las relaciones laborales que se presenten independientemente de su causa, así como de las acciones que al respecto se deban tener para evitar los conflictos laborales, en términos de lo dispuesto por la Ley de Transparencia y Acceso a la Información Pública del Estado de México y Municipios y la Ley de Protección de Datos Personales en posesión de sujetos obligados del Estado de México y Municipios;</w:t>
      </w:r>
    </w:p>
    <w:p w14:paraId="6D63955F" w14:textId="77777777" w:rsidR="003839E6" w:rsidRPr="003839E6" w:rsidRDefault="003839E6" w:rsidP="003839E6">
      <w:pPr>
        <w:pStyle w:val="Sinespaciado"/>
        <w:spacing w:before="240" w:after="240" w:line="360" w:lineRule="auto"/>
        <w:ind w:left="708"/>
        <w:jc w:val="both"/>
        <w:rPr>
          <w:rFonts w:ascii="Palatino Linotype" w:hAnsi="Palatino Linotype"/>
          <w:i/>
          <w:iCs/>
        </w:rPr>
      </w:pPr>
      <w:r w:rsidRPr="003839E6">
        <w:rPr>
          <w:rFonts w:ascii="Palatino Linotype" w:hAnsi="Palatino Linotype"/>
          <w:i/>
          <w:iCs/>
        </w:rPr>
        <w:lastRenderedPageBreak/>
        <w:t>Artículo 53.- Los síndicos tendrán las siguientes atribuciones:</w:t>
      </w:r>
    </w:p>
    <w:p w14:paraId="20665AA5" w14:textId="5F416305" w:rsidR="003839E6" w:rsidRPr="003839E6" w:rsidRDefault="00E03CB8" w:rsidP="003839E6">
      <w:pPr>
        <w:pStyle w:val="Sinespaciado"/>
        <w:spacing w:before="240" w:after="240" w:line="360" w:lineRule="auto"/>
        <w:ind w:left="708"/>
        <w:jc w:val="both"/>
        <w:rPr>
          <w:rFonts w:ascii="Palatino Linotype" w:hAnsi="Palatino Linotype"/>
          <w:i/>
          <w:iCs/>
        </w:rPr>
      </w:pPr>
      <w:r>
        <w:rPr>
          <w:rFonts w:ascii="Palatino Linotype" w:hAnsi="Palatino Linotype"/>
          <w:i/>
          <w:iCs/>
        </w:rPr>
        <w:t>…</w:t>
      </w:r>
    </w:p>
    <w:p w14:paraId="2EAC06C8" w14:textId="77777777" w:rsidR="003839E6" w:rsidRPr="003839E6" w:rsidRDefault="003839E6" w:rsidP="003839E6">
      <w:pPr>
        <w:pStyle w:val="Sinespaciado"/>
        <w:spacing w:before="240" w:after="240" w:line="360" w:lineRule="auto"/>
        <w:ind w:left="708"/>
        <w:jc w:val="both"/>
        <w:rPr>
          <w:rFonts w:ascii="Palatino Linotype" w:hAnsi="Palatino Linotype"/>
          <w:i/>
          <w:iCs/>
        </w:rPr>
      </w:pPr>
      <w:r w:rsidRPr="003839E6">
        <w:rPr>
          <w:rFonts w:ascii="Palatino Linotype" w:hAnsi="Palatino Linotype"/>
          <w:i/>
          <w:iCs/>
        </w:rPr>
        <w:t>I Bis. Supervisar a los representantes legales asignados por el Ayuntamiento, en la correcta atención y defensa de los litigios laborales;</w:t>
      </w:r>
    </w:p>
    <w:p w14:paraId="5CDEE910" w14:textId="6A8093A6" w:rsidR="003839E6" w:rsidRDefault="003839E6" w:rsidP="003839E6">
      <w:pPr>
        <w:pStyle w:val="Sinespaciado"/>
        <w:spacing w:before="240" w:after="240" w:line="360" w:lineRule="auto"/>
        <w:ind w:left="708"/>
        <w:jc w:val="both"/>
        <w:rPr>
          <w:rFonts w:ascii="Palatino Linotype" w:hAnsi="Palatino Linotype"/>
          <w:i/>
          <w:iCs/>
        </w:rPr>
      </w:pPr>
      <w:r w:rsidRPr="003839E6">
        <w:rPr>
          <w:rFonts w:ascii="Palatino Linotype" w:hAnsi="Palatino Linotype"/>
          <w:i/>
          <w:iCs/>
        </w:rPr>
        <w:t>I Ter. Informar al presidente, en caso de cualquier irregularidad en la atención y/o defensa de los litigios laborales seguidos ante las autoridades laborales competentes.</w:t>
      </w:r>
    </w:p>
    <w:p w14:paraId="45910269" w14:textId="45EADDAE" w:rsidR="00132751" w:rsidRDefault="00132751" w:rsidP="00D01A9A">
      <w:pPr>
        <w:tabs>
          <w:tab w:val="left" w:pos="709"/>
        </w:tabs>
        <w:spacing w:line="360" w:lineRule="auto"/>
        <w:jc w:val="both"/>
        <w:rPr>
          <w:rFonts w:ascii="Palatino Linotype" w:hAnsi="Palatino Linotype"/>
          <w:sz w:val="24"/>
          <w:lang w:val="es-ES"/>
        </w:rPr>
      </w:pPr>
      <w:r>
        <w:rPr>
          <w:rFonts w:ascii="Palatino Linotype" w:hAnsi="Palatino Linotype"/>
          <w:sz w:val="24"/>
          <w:lang w:val="es-ES"/>
        </w:rPr>
        <w:t xml:space="preserve">Ante tal circunstancia, tenemos que el sujeto obligado remitió información </w:t>
      </w:r>
      <w:r w:rsidR="001D3E00">
        <w:rPr>
          <w:rFonts w:ascii="Palatino Linotype" w:hAnsi="Palatino Linotype"/>
          <w:sz w:val="24"/>
          <w:lang w:val="es-ES"/>
        </w:rPr>
        <w:t xml:space="preserve">expedida por el área que </w:t>
      </w:r>
      <w:r>
        <w:rPr>
          <w:rFonts w:ascii="Palatino Linotype" w:hAnsi="Palatino Linotype"/>
          <w:sz w:val="24"/>
          <w:lang w:val="es-ES"/>
        </w:rPr>
        <w:t xml:space="preserve">de conformidad con su cuadro normativo aplicable, </w:t>
      </w:r>
      <w:r w:rsidR="001D3E00">
        <w:rPr>
          <w:rFonts w:ascii="Palatino Linotype" w:hAnsi="Palatino Linotype"/>
          <w:sz w:val="24"/>
          <w:lang w:val="es-ES"/>
        </w:rPr>
        <w:t>contaba con los requerimientos, por ende, se denota que al haber existido un pronunciamiento respecto a las demandas laborales ya entrego lo que en sus archivos obra.</w:t>
      </w:r>
    </w:p>
    <w:p w14:paraId="52CD32AA" w14:textId="77777777" w:rsidR="00892C7D" w:rsidRDefault="00892C7D" w:rsidP="00892C7D">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 xml:space="preserve">Bajo ese tenor, el sujeto obligado al llevar a cabo la función de </w:t>
      </w:r>
      <w:r w:rsidRPr="001B2140">
        <w:rPr>
          <w:rFonts w:ascii="Palatino Linotype" w:hAnsi="Palatino Linotype" w:cs="Arial"/>
          <w:sz w:val="24"/>
          <w:szCs w:val="24"/>
        </w:rPr>
        <w:t>la conciliación, tramitación y decisión de los conflictos de trabajo que se susciten entre las trabajadoras o los trabajadores y las y los patrones, solo entre aquéllos o solo entre éstos, derivados de las relaciones de trabajo o de hechos íntimamente ligados con ellas</w:t>
      </w:r>
      <w:r>
        <w:rPr>
          <w:rFonts w:ascii="Palatino Linotype" w:hAnsi="Palatino Linotype" w:cs="Arial"/>
          <w:sz w:val="24"/>
          <w:szCs w:val="24"/>
        </w:rPr>
        <w:t>, aplica los dispositivos legales inmersos en la Constitución General y la Ley Federal del Trabajo.</w:t>
      </w:r>
    </w:p>
    <w:p w14:paraId="251D731C" w14:textId="77777777" w:rsidR="00892C7D" w:rsidRDefault="00892C7D" w:rsidP="00892C7D">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Esta autoridad administrativa parte de la premisa normativa que regula los expedientes laborales ante las juntas de conciliación y arbitraje, en términos de lo dispuesto por la Ley Federal del Trabajo, ordenamiento jurídico aplicable al sujeto obligado.</w:t>
      </w:r>
    </w:p>
    <w:p w14:paraId="75D5BA5B" w14:textId="77777777" w:rsidR="00892C7D" w:rsidRDefault="00892C7D" w:rsidP="00892C7D">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Así, en términos de lo que dispone la Ley Federal del Trabajo, las resoluciones de los tribunales laborales son los acuerdos, las que corresponden a simples determinaciones de trámite o cuando decidan cualquier cuestión dentro del negocio; autos incidentales o resoluciones interlocutorias, aquellas que resuelven dentro o fuera de juicio un incidente y </w:t>
      </w:r>
      <w:r w:rsidRPr="002C01DF">
        <w:rPr>
          <w:rFonts w:ascii="Palatino Linotype" w:hAnsi="Palatino Linotype" w:cs="Arial"/>
          <w:b/>
          <w:sz w:val="24"/>
          <w:szCs w:val="24"/>
        </w:rPr>
        <w:t>los laudos que deciden sobre el fondo del asunto</w:t>
      </w:r>
      <w:r>
        <w:rPr>
          <w:rStyle w:val="Refdenotaalpie"/>
          <w:rFonts w:ascii="Palatino Linotype" w:hAnsi="Palatino Linotype" w:cs="Arial"/>
          <w:sz w:val="24"/>
          <w:szCs w:val="24"/>
        </w:rPr>
        <w:footnoteReference w:id="2"/>
      </w:r>
      <w:r>
        <w:rPr>
          <w:rFonts w:ascii="Palatino Linotype" w:hAnsi="Palatino Linotype" w:cs="Arial"/>
          <w:sz w:val="24"/>
          <w:szCs w:val="24"/>
        </w:rPr>
        <w:t>.</w:t>
      </w:r>
    </w:p>
    <w:p w14:paraId="235B3650" w14:textId="77777777" w:rsidR="00892C7D" w:rsidRDefault="00892C7D" w:rsidP="00892C7D">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Asimismo, los numerales 840, 841 y 848 de la citada ley federal, señalan en lo que nos interesa:</w:t>
      </w:r>
    </w:p>
    <w:p w14:paraId="7D3F5B46" w14:textId="77777777" w:rsidR="00892C7D" w:rsidRPr="00A74F4B" w:rsidRDefault="00892C7D" w:rsidP="00892C7D">
      <w:pPr>
        <w:tabs>
          <w:tab w:val="left" w:pos="709"/>
        </w:tabs>
        <w:spacing w:line="360" w:lineRule="auto"/>
        <w:ind w:left="851"/>
        <w:jc w:val="both"/>
        <w:rPr>
          <w:rFonts w:ascii="Palatino Linotype" w:hAnsi="Palatino Linotype" w:cs="Arial"/>
          <w:i/>
          <w:sz w:val="24"/>
          <w:szCs w:val="24"/>
        </w:rPr>
      </w:pPr>
      <w:r w:rsidRPr="00A74F4B">
        <w:rPr>
          <w:rFonts w:ascii="Palatino Linotype" w:hAnsi="Palatino Linotype"/>
          <w:i/>
        </w:rPr>
        <w:t>Artículo 841. Los laudos se dictarán a verdad sabida y buena fe guardada, y apreciando los hechos en conciencia, sin necesidad de sujetarse a reglas o formulismos sobre estimación de las pruebas, pero las Juntas de Conciliación y Arbitraje están obligadas a estudiar pormenorizadamente las rendidas, haciendo la valoración de las mismas. Asimismo, expresarán los motivos y fundamentos legales en que se apoyan.</w:t>
      </w:r>
    </w:p>
    <w:p w14:paraId="029D7FD3" w14:textId="77777777" w:rsidR="00892C7D" w:rsidRPr="00A74F4B" w:rsidRDefault="00892C7D" w:rsidP="00892C7D">
      <w:pPr>
        <w:tabs>
          <w:tab w:val="left" w:pos="709"/>
        </w:tabs>
        <w:spacing w:line="360" w:lineRule="auto"/>
        <w:ind w:left="851"/>
        <w:jc w:val="both"/>
        <w:rPr>
          <w:rFonts w:ascii="Palatino Linotype" w:hAnsi="Palatino Linotype" w:cs="Arial"/>
          <w:i/>
          <w:sz w:val="24"/>
          <w:szCs w:val="24"/>
        </w:rPr>
      </w:pPr>
      <w:r w:rsidRPr="00A74F4B">
        <w:rPr>
          <w:rFonts w:ascii="Palatino Linotype" w:hAnsi="Palatino Linotype"/>
          <w:i/>
        </w:rPr>
        <w:t>Artículo 842.- Los laudos deben ser claros, precisos y congruentes con la demanda, contestación, y demás pretensiones deducidas en el juicio oportunamente.</w:t>
      </w:r>
    </w:p>
    <w:p w14:paraId="6F3D6AA3" w14:textId="77777777" w:rsidR="00892C7D" w:rsidRPr="00A74F4B" w:rsidRDefault="00892C7D" w:rsidP="00892C7D">
      <w:pPr>
        <w:tabs>
          <w:tab w:val="left" w:pos="709"/>
        </w:tabs>
        <w:spacing w:line="360" w:lineRule="auto"/>
        <w:ind w:left="851"/>
        <w:jc w:val="both"/>
        <w:rPr>
          <w:rFonts w:ascii="Palatino Linotype" w:hAnsi="Palatino Linotype" w:cs="Arial"/>
          <w:b/>
          <w:i/>
          <w:sz w:val="24"/>
          <w:szCs w:val="24"/>
        </w:rPr>
      </w:pPr>
      <w:r w:rsidRPr="00A74F4B">
        <w:rPr>
          <w:rFonts w:ascii="Palatino Linotype" w:hAnsi="Palatino Linotype"/>
          <w:b/>
          <w:i/>
        </w:rPr>
        <w:t>Artículo 848.-</w:t>
      </w:r>
      <w:r w:rsidRPr="00A74F4B">
        <w:rPr>
          <w:rFonts w:ascii="Palatino Linotype" w:hAnsi="Palatino Linotype"/>
          <w:i/>
        </w:rPr>
        <w:t xml:space="preserve"> </w:t>
      </w:r>
      <w:r w:rsidRPr="00A74F4B">
        <w:rPr>
          <w:rFonts w:ascii="Palatino Linotype" w:hAnsi="Palatino Linotype"/>
          <w:b/>
          <w:i/>
        </w:rPr>
        <w:t>Las resoluciones de las Juntas no admiten ningún recurso. Las Juntas no pueden revocar sus resoluciones.</w:t>
      </w:r>
    </w:p>
    <w:p w14:paraId="2230D6C5" w14:textId="77777777" w:rsidR="00892C7D" w:rsidRPr="00A74F4B" w:rsidRDefault="00892C7D" w:rsidP="00892C7D">
      <w:pPr>
        <w:tabs>
          <w:tab w:val="left" w:pos="709"/>
        </w:tabs>
        <w:spacing w:line="360" w:lineRule="auto"/>
        <w:ind w:left="851"/>
        <w:jc w:val="both"/>
        <w:rPr>
          <w:rFonts w:ascii="Palatino Linotype" w:hAnsi="Palatino Linotype" w:cs="Arial"/>
          <w:i/>
          <w:sz w:val="24"/>
          <w:szCs w:val="24"/>
        </w:rPr>
      </w:pPr>
      <w:r w:rsidRPr="00A74F4B">
        <w:rPr>
          <w:rFonts w:ascii="Palatino Linotype" w:hAnsi="Palatino Linotype"/>
          <w:i/>
        </w:rPr>
        <w:t>Las partes pueden exigir la responsabilidad en que incurran los miembros de la Junta.</w:t>
      </w:r>
    </w:p>
    <w:p w14:paraId="46AC0F2B" w14:textId="77777777" w:rsidR="00892C7D" w:rsidRDefault="00892C7D" w:rsidP="00892C7D">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 xml:space="preserve">De los dispositivos legales se desprende la particularidad de que el laudo decide el fondo del asunto y una vez emitido por las juntas, no admite medio de impugnación ordinario, existiendo una restricción a que las juntas revoquen sus determinaciones, lo que permite colegir que los laudos causan ejecutoria por </w:t>
      </w:r>
      <w:r>
        <w:rPr>
          <w:rFonts w:ascii="Palatino Linotype" w:hAnsi="Palatino Linotype" w:cs="Arial"/>
          <w:sz w:val="24"/>
          <w:szCs w:val="24"/>
        </w:rPr>
        <w:lastRenderedPageBreak/>
        <w:t xml:space="preserve">ministerio de ley, es decir, que en términos de lo dispuesto por el numeral 848 de la Ley Federal en comento no prevé </w:t>
      </w:r>
      <w:r w:rsidRPr="00F80ECC">
        <w:rPr>
          <w:rFonts w:ascii="Palatino Linotype" w:hAnsi="Palatino Linotype" w:cs="Arial"/>
          <w:sz w:val="24"/>
          <w:szCs w:val="24"/>
        </w:rPr>
        <w:t xml:space="preserve">medio ordinario de impugnación que permita </w:t>
      </w:r>
      <w:r>
        <w:rPr>
          <w:rFonts w:ascii="Palatino Linotype" w:hAnsi="Palatino Linotype" w:cs="Arial"/>
          <w:sz w:val="24"/>
          <w:szCs w:val="24"/>
        </w:rPr>
        <w:t>combatirlo o refutarlo, siendo éste ejecutable.</w:t>
      </w:r>
    </w:p>
    <w:p w14:paraId="51CEC906" w14:textId="77777777" w:rsidR="00892C7D" w:rsidRDefault="00892C7D" w:rsidP="00892C7D">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 xml:space="preserve">Asimismo, el numeral 140 fracciones VI y VIII regulan supuestos de reserva que serán aplicados excepcionalmente, cuando por razones de interés público se pueda vulnerar la conducción de los expedientes judiciales o de los procedimientos administrativos seguidos en forma de juicio, </w:t>
      </w:r>
      <w:r w:rsidRPr="00592F1F">
        <w:rPr>
          <w:rFonts w:ascii="Palatino Linotype" w:hAnsi="Palatino Linotype" w:cs="Arial"/>
          <w:sz w:val="24"/>
          <w:szCs w:val="24"/>
          <w:u w:val="single"/>
        </w:rPr>
        <w:t>en tanto no hayan quedado firmes</w:t>
      </w:r>
      <w:r>
        <w:rPr>
          <w:rFonts w:ascii="Palatino Linotype" w:hAnsi="Palatino Linotype" w:cs="Arial"/>
          <w:sz w:val="24"/>
          <w:szCs w:val="24"/>
        </w:rPr>
        <w:t xml:space="preserve"> o </w:t>
      </w:r>
      <w:r w:rsidRPr="000518BA">
        <w:rPr>
          <w:rFonts w:ascii="Palatino Linotype" w:hAnsi="Palatino Linotype" w:cs="Arial"/>
          <w:sz w:val="24"/>
          <w:szCs w:val="24"/>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w:t>
      </w:r>
      <w:r w:rsidRPr="00592F1F">
        <w:rPr>
          <w:rFonts w:ascii="Palatino Linotype" w:hAnsi="Palatino Linotype" w:cs="Arial"/>
          <w:sz w:val="24"/>
          <w:szCs w:val="24"/>
          <w:u w:val="single"/>
        </w:rPr>
        <w:t>en tanto no hayan quedado firmes</w:t>
      </w:r>
      <w:r w:rsidRPr="000518BA">
        <w:rPr>
          <w:rFonts w:ascii="Palatino Linotype" w:hAnsi="Palatino Linotype" w:cs="Arial"/>
          <w:sz w:val="24"/>
          <w:szCs w:val="24"/>
        </w:rPr>
        <w:t xml:space="preserve"> o afecte la administración de justicia o la seguridad de un denunciante, querellante o testigo, así como sus familias, en los términos de las disp</w:t>
      </w:r>
      <w:r>
        <w:rPr>
          <w:rFonts w:ascii="Palatino Linotype" w:hAnsi="Palatino Linotype" w:cs="Arial"/>
          <w:sz w:val="24"/>
          <w:szCs w:val="24"/>
        </w:rPr>
        <w:t>osiciones jurídicas aplicables.</w:t>
      </w:r>
    </w:p>
    <w:p w14:paraId="0502D44F" w14:textId="77777777" w:rsidR="00892C7D" w:rsidRDefault="00892C7D" w:rsidP="00892C7D">
      <w:pPr>
        <w:tabs>
          <w:tab w:val="left" w:pos="709"/>
        </w:tabs>
        <w:spacing w:line="360" w:lineRule="auto"/>
        <w:jc w:val="both"/>
        <w:rPr>
          <w:rFonts w:ascii="Palatino Linotype" w:hAnsi="Palatino Linotype" w:cs="Arial"/>
          <w:sz w:val="24"/>
          <w:szCs w:val="24"/>
          <w:u w:val="single"/>
        </w:rPr>
      </w:pPr>
      <w:r>
        <w:rPr>
          <w:rFonts w:ascii="Palatino Linotype" w:hAnsi="Palatino Linotype" w:cs="Arial"/>
          <w:sz w:val="24"/>
          <w:szCs w:val="24"/>
        </w:rPr>
        <w:t xml:space="preserve">Bajo lo anterior, para no vulnerar la conducción de expedientes judiciales o de procedimientos administrativos seguidos en forma de juicio </w:t>
      </w:r>
      <w:r w:rsidRPr="00215CD4">
        <w:rPr>
          <w:rFonts w:ascii="Palatino Linotype" w:hAnsi="Palatino Linotype" w:cs="Arial"/>
          <w:sz w:val="24"/>
          <w:szCs w:val="24"/>
          <w:u w:val="single"/>
        </w:rPr>
        <w:t>se requiere que éstos no hayan quedado firmes o causado ejecutoria.</w:t>
      </w:r>
    </w:p>
    <w:p w14:paraId="5897881B" w14:textId="77777777" w:rsidR="00892C7D" w:rsidRDefault="00892C7D" w:rsidP="00892C7D">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 xml:space="preserve">Lo anterior se concatena de manera robustecedora con lo dispuesto por el numeral Trigésimo parte </w:t>
      </w:r>
      <w:r w:rsidRPr="0003226C">
        <w:rPr>
          <w:rFonts w:ascii="Palatino Linotype" w:hAnsi="Palatino Linotype" w:cs="Arial"/>
          <w:i/>
          <w:sz w:val="24"/>
          <w:szCs w:val="24"/>
        </w:rPr>
        <w:t>in fine</w:t>
      </w:r>
      <w:r>
        <w:rPr>
          <w:rFonts w:ascii="Palatino Linotype" w:hAnsi="Palatino Linotype" w:cs="Arial"/>
          <w:sz w:val="24"/>
          <w:szCs w:val="24"/>
        </w:rPr>
        <w:t xml:space="preserve"> de los </w:t>
      </w:r>
      <w:r w:rsidRPr="0006366A">
        <w:rPr>
          <w:rFonts w:ascii="Palatino Linotype" w:hAnsi="Palatino Linotype" w:cs="Arial"/>
          <w:sz w:val="24"/>
          <w:szCs w:val="24"/>
        </w:rPr>
        <w:t>Lineamientos Generales en Materia de Clasificación y Desclasificación de la Información, así como para la Elaboración de Versiones Pública</w:t>
      </w:r>
      <w:r>
        <w:rPr>
          <w:rFonts w:ascii="Palatino Linotype" w:hAnsi="Palatino Linotype" w:cs="Arial"/>
          <w:sz w:val="24"/>
          <w:szCs w:val="24"/>
        </w:rPr>
        <w:t xml:space="preserve">, el cual señala en lo que nos interesa: </w:t>
      </w:r>
    </w:p>
    <w:p w14:paraId="484D507F" w14:textId="77777777" w:rsidR="00892C7D" w:rsidRPr="0006366A" w:rsidRDefault="00892C7D" w:rsidP="00892C7D">
      <w:pPr>
        <w:pStyle w:val="Prrafodelista"/>
        <w:autoSpaceDE w:val="0"/>
        <w:autoSpaceDN w:val="0"/>
        <w:adjustRightInd w:val="0"/>
        <w:spacing w:before="240" w:after="160" w:line="360" w:lineRule="auto"/>
        <w:ind w:left="851"/>
        <w:jc w:val="both"/>
        <w:rPr>
          <w:rFonts w:ascii="Palatino Linotype" w:eastAsiaTheme="minorHAnsi" w:hAnsi="Palatino Linotype" w:cstheme="minorBidi"/>
          <w:i/>
          <w:sz w:val="22"/>
          <w:szCs w:val="22"/>
          <w:lang w:val="es-MX" w:eastAsia="en-US"/>
        </w:rPr>
      </w:pPr>
      <w:r w:rsidRPr="0006366A">
        <w:rPr>
          <w:rFonts w:ascii="Palatino Linotype" w:eastAsiaTheme="minorHAnsi" w:hAnsi="Palatino Linotype" w:cstheme="minorBidi"/>
          <w:i/>
          <w:sz w:val="22"/>
          <w:szCs w:val="22"/>
          <w:lang w:val="es-MX" w:eastAsia="en-US"/>
        </w:rPr>
        <w:lastRenderedPageBreak/>
        <w:t>Trigésimo.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w:t>
      </w:r>
    </w:p>
    <w:p w14:paraId="5915E610" w14:textId="77777777" w:rsidR="00892C7D" w:rsidRPr="0006366A" w:rsidRDefault="00892C7D" w:rsidP="00892C7D">
      <w:pPr>
        <w:pStyle w:val="Prrafodelista"/>
        <w:autoSpaceDE w:val="0"/>
        <w:autoSpaceDN w:val="0"/>
        <w:adjustRightInd w:val="0"/>
        <w:spacing w:before="240" w:after="160" w:line="360" w:lineRule="auto"/>
        <w:ind w:left="851"/>
        <w:jc w:val="both"/>
        <w:rPr>
          <w:rFonts w:ascii="Palatino Linotype" w:eastAsiaTheme="minorHAnsi" w:hAnsi="Palatino Linotype" w:cstheme="minorBidi"/>
          <w:i/>
          <w:sz w:val="22"/>
          <w:szCs w:val="22"/>
          <w:lang w:val="es-MX" w:eastAsia="en-US"/>
        </w:rPr>
      </w:pPr>
      <w:r w:rsidRPr="0006366A">
        <w:rPr>
          <w:rFonts w:ascii="Palatino Linotype" w:eastAsiaTheme="minorHAnsi" w:hAnsi="Palatino Linotype" w:cstheme="minorBidi"/>
          <w:i/>
          <w:sz w:val="22"/>
          <w:szCs w:val="22"/>
          <w:lang w:val="es-MX" w:eastAsia="en-US"/>
        </w:rPr>
        <w:t>I. La existencia de un juicio o procedimiento administrativo materialmente jurisdiccional, que se encuentre en trámite, y</w:t>
      </w:r>
    </w:p>
    <w:p w14:paraId="3827CA0E" w14:textId="77777777" w:rsidR="00892C7D" w:rsidRPr="0006366A" w:rsidRDefault="00892C7D" w:rsidP="00892C7D">
      <w:pPr>
        <w:pStyle w:val="Prrafodelista"/>
        <w:autoSpaceDE w:val="0"/>
        <w:autoSpaceDN w:val="0"/>
        <w:adjustRightInd w:val="0"/>
        <w:spacing w:before="240" w:after="160" w:line="360" w:lineRule="auto"/>
        <w:ind w:left="851"/>
        <w:jc w:val="both"/>
        <w:rPr>
          <w:rFonts w:ascii="Palatino Linotype" w:eastAsiaTheme="minorHAnsi" w:hAnsi="Palatino Linotype" w:cstheme="minorBidi"/>
          <w:i/>
          <w:sz w:val="22"/>
          <w:szCs w:val="22"/>
          <w:lang w:val="es-MX" w:eastAsia="en-US"/>
        </w:rPr>
      </w:pPr>
      <w:r w:rsidRPr="0006366A">
        <w:rPr>
          <w:rFonts w:ascii="Palatino Linotype" w:eastAsiaTheme="minorHAnsi" w:hAnsi="Palatino Linotype" w:cstheme="minorBidi"/>
          <w:i/>
          <w:sz w:val="22"/>
          <w:szCs w:val="22"/>
          <w:lang w:val="es-MX" w:eastAsia="en-US"/>
        </w:rPr>
        <w:t>II. Que la información solicitada se refiera a actuaciones, diligencias o constancias propias del procedimiento.</w:t>
      </w:r>
    </w:p>
    <w:p w14:paraId="697F578C" w14:textId="77777777" w:rsidR="00892C7D" w:rsidRPr="0006366A" w:rsidRDefault="00892C7D" w:rsidP="00892C7D">
      <w:pPr>
        <w:pStyle w:val="Prrafodelista"/>
        <w:autoSpaceDE w:val="0"/>
        <w:autoSpaceDN w:val="0"/>
        <w:adjustRightInd w:val="0"/>
        <w:spacing w:before="240" w:after="160" w:line="360" w:lineRule="auto"/>
        <w:ind w:left="851"/>
        <w:jc w:val="both"/>
        <w:rPr>
          <w:rFonts w:ascii="Palatino Linotype" w:eastAsiaTheme="minorHAnsi" w:hAnsi="Palatino Linotype" w:cstheme="minorBidi"/>
          <w:i/>
          <w:sz w:val="22"/>
          <w:szCs w:val="22"/>
          <w:lang w:val="es-MX" w:eastAsia="en-US"/>
        </w:rPr>
      </w:pPr>
      <w:r w:rsidRPr="0006366A">
        <w:rPr>
          <w:rFonts w:ascii="Palatino Linotype" w:eastAsiaTheme="minorHAnsi" w:hAnsi="Palatino Linotype" w:cstheme="minorBidi"/>
          <w:i/>
          <w:sz w:val="22"/>
          <w:szCs w:val="22"/>
          <w:lang w:val="es-MX" w:eastAsia="en-US"/>
        </w:rPr>
        <w:t>Para los efectos del primer párrafo de este numeral, se considera procedimiento seguido en forma de juicio a aquel formalmente administrativo, pero materialmente jurisdiccional; esto es, en el que concurran los siguientes elementos:</w:t>
      </w:r>
    </w:p>
    <w:p w14:paraId="554E753E" w14:textId="77777777" w:rsidR="00892C7D" w:rsidRPr="0006366A" w:rsidRDefault="00892C7D" w:rsidP="00892C7D">
      <w:pPr>
        <w:pStyle w:val="Prrafodelista"/>
        <w:autoSpaceDE w:val="0"/>
        <w:autoSpaceDN w:val="0"/>
        <w:adjustRightInd w:val="0"/>
        <w:spacing w:before="240" w:after="160" w:line="360" w:lineRule="auto"/>
        <w:ind w:left="851"/>
        <w:jc w:val="both"/>
        <w:rPr>
          <w:rFonts w:ascii="Palatino Linotype" w:eastAsiaTheme="minorHAnsi" w:hAnsi="Palatino Linotype" w:cstheme="minorBidi"/>
          <w:i/>
          <w:sz w:val="22"/>
          <w:szCs w:val="22"/>
          <w:lang w:val="es-MX" w:eastAsia="en-US"/>
        </w:rPr>
      </w:pPr>
      <w:r w:rsidRPr="0006366A">
        <w:rPr>
          <w:rFonts w:ascii="Palatino Linotype" w:eastAsiaTheme="minorHAnsi" w:hAnsi="Palatino Linotype" w:cstheme="minorBidi"/>
          <w:i/>
          <w:sz w:val="22"/>
          <w:szCs w:val="22"/>
          <w:lang w:val="es-MX" w:eastAsia="en-US"/>
        </w:rPr>
        <w:t xml:space="preserve">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14:paraId="3DF4AE21" w14:textId="77777777" w:rsidR="00892C7D" w:rsidRPr="0006366A" w:rsidRDefault="00892C7D" w:rsidP="00892C7D">
      <w:pPr>
        <w:pStyle w:val="Prrafodelista"/>
        <w:autoSpaceDE w:val="0"/>
        <w:autoSpaceDN w:val="0"/>
        <w:adjustRightInd w:val="0"/>
        <w:spacing w:before="240" w:after="160" w:line="360" w:lineRule="auto"/>
        <w:ind w:left="851"/>
        <w:jc w:val="both"/>
        <w:rPr>
          <w:rFonts w:ascii="Palatino Linotype" w:eastAsiaTheme="minorHAnsi" w:hAnsi="Palatino Linotype" w:cstheme="minorBidi"/>
          <w:i/>
          <w:sz w:val="22"/>
          <w:szCs w:val="22"/>
          <w:lang w:val="es-MX" w:eastAsia="en-US"/>
        </w:rPr>
      </w:pPr>
      <w:r w:rsidRPr="0006366A">
        <w:rPr>
          <w:rFonts w:ascii="Palatino Linotype" w:eastAsiaTheme="minorHAnsi" w:hAnsi="Palatino Linotype" w:cstheme="minorBidi"/>
          <w:i/>
          <w:sz w:val="22"/>
          <w:szCs w:val="22"/>
          <w:lang w:val="es-MX" w:eastAsia="en-US"/>
        </w:rPr>
        <w:t>2. Que se cumplan las formalidades esenciales del procedimiento.</w:t>
      </w:r>
    </w:p>
    <w:p w14:paraId="6EC90353" w14:textId="77777777" w:rsidR="00892C7D" w:rsidRPr="0006366A" w:rsidRDefault="00892C7D" w:rsidP="00892C7D">
      <w:pPr>
        <w:pStyle w:val="Prrafodelista"/>
        <w:autoSpaceDE w:val="0"/>
        <w:autoSpaceDN w:val="0"/>
        <w:adjustRightInd w:val="0"/>
        <w:spacing w:before="240" w:after="160" w:line="360" w:lineRule="auto"/>
        <w:ind w:left="851"/>
        <w:jc w:val="both"/>
        <w:rPr>
          <w:rFonts w:ascii="Palatino Linotype" w:eastAsiaTheme="minorHAnsi" w:hAnsi="Palatino Linotype" w:cstheme="minorBidi"/>
          <w:b/>
          <w:i/>
          <w:sz w:val="22"/>
          <w:szCs w:val="22"/>
          <w:lang w:val="es-MX" w:eastAsia="en-US"/>
        </w:rPr>
      </w:pPr>
      <w:r w:rsidRPr="00592F1F">
        <w:rPr>
          <w:rFonts w:ascii="Palatino Linotype" w:eastAsiaTheme="minorHAnsi" w:hAnsi="Palatino Linotype" w:cstheme="minorBidi"/>
          <w:b/>
          <w:i/>
          <w:sz w:val="22"/>
          <w:szCs w:val="22"/>
          <w:u w:val="single"/>
          <w:lang w:val="es-MX" w:eastAsia="en-US"/>
        </w:rPr>
        <w:t>No serán objeto de reserva las resoluciones interlocutorias o definitivas que se dicten dentro de los procedimientos o con las que se concluya el mismo.</w:t>
      </w:r>
      <w:r w:rsidRPr="0006366A">
        <w:rPr>
          <w:rFonts w:ascii="Palatino Linotype" w:eastAsiaTheme="minorHAnsi" w:hAnsi="Palatino Linotype" w:cstheme="minorBidi"/>
          <w:b/>
          <w:i/>
          <w:sz w:val="22"/>
          <w:szCs w:val="22"/>
          <w:lang w:val="es-MX" w:eastAsia="en-US"/>
        </w:rPr>
        <w:t xml:space="preserve"> En estos casos deberá otorgarse acceso a la resolución en versión pública, testando la información clasificada</w:t>
      </w:r>
    </w:p>
    <w:p w14:paraId="5E4729D6" w14:textId="55B60860" w:rsidR="00892C7D" w:rsidRPr="00892C7D" w:rsidRDefault="00892C7D" w:rsidP="00D01A9A">
      <w:pPr>
        <w:tabs>
          <w:tab w:val="left" w:pos="709"/>
        </w:tabs>
        <w:spacing w:line="360" w:lineRule="auto"/>
        <w:jc w:val="both"/>
        <w:rPr>
          <w:rFonts w:ascii="Palatino Linotype" w:hAnsi="Palatino Linotype" w:cs="Arial"/>
          <w:sz w:val="24"/>
          <w:szCs w:val="24"/>
          <w:u w:val="single"/>
        </w:rPr>
      </w:pPr>
      <w:r>
        <w:rPr>
          <w:rFonts w:ascii="Palatino Linotype" w:hAnsi="Palatino Linotype" w:cs="Arial"/>
          <w:sz w:val="24"/>
          <w:szCs w:val="24"/>
        </w:rPr>
        <w:t xml:space="preserve">De los dispositivos legales, se logra desprender que </w:t>
      </w:r>
      <w:r w:rsidRPr="002C01DF">
        <w:rPr>
          <w:rFonts w:ascii="Palatino Linotype" w:hAnsi="Palatino Linotype" w:cs="Arial"/>
          <w:sz w:val="24"/>
          <w:szCs w:val="24"/>
          <w:u w:val="single"/>
        </w:rPr>
        <w:t xml:space="preserve">para que se actualice la excepción al derecho de acceso a la información en el presente asunto, el juicio o </w:t>
      </w:r>
      <w:r w:rsidRPr="002C01DF">
        <w:rPr>
          <w:rFonts w:ascii="Palatino Linotype" w:hAnsi="Palatino Linotype" w:cs="Arial"/>
          <w:sz w:val="24"/>
          <w:szCs w:val="24"/>
          <w:u w:val="single"/>
        </w:rPr>
        <w:lastRenderedPageBreak/>
        <w:t xml:space="preserve">procedimiento administrativo </w:t>
      </w:r>
      <w:r>
        <w:rPr>
          <w:rFonts w:ascii="Palatino Linotype" w:hAnsi="Palatino Linotype" w:cs="Arial"/>
          <w:sz w:val="24"/>
          <w:szCs w:val="24"/>
          <w:u w:val="single"/>
        </w:rPr>
        <w:t>se debe encontrar en trámite y no haber quedado firme o haber causado estado.</w:t>
      </w:r>
    </w:p>
    <w:p w14:paraId="232D22E9" w14:textId="2C76808B" w:rsidR="00E07725" w:rsidRDefault="001D3E00" w:rsidP="00D01A9A">
      <w:pPr>
        <w:tabs>
          <w:tab w:val="left" w:pos="709"/>
        </w:tabs>
        <w:spacing w:line="360" w:lineRule="auto"/>
        <w:jc w:val="both"/>
        <w:rPr>
          <w:rFonts w:ascii="Palatino Linotype" w:hAnsi="Palatino Linotype"/>
          <w:sz w:val="24"/>
          <w:lang w:val="es-ES"/>
        </w:rPr>
      </w:pPr>
      <w:r>
        <w:rPr>
          <w:rFonts w:ascii="Palatino Linotype" w:hAnsi="Palatino Linotype"/>
          <w:sz w:val="24"/>
          <w:lang w:val="es-ES"/>
        </w:rPr>
        <w:t xml:space="preserve">Ahora bien, respecto a la clasificación de los procedimientos en trámite, es de señalar que el criterio de esta ponencia resolutora ha establecido que dichos procedimientos toda vez que no han causado estado, no se puede hacer entrega de </w:t>
      </w:r>
      <w:r w:rsidR="00892C7D">
        <w:rPr>
          <w:rFonts w:ascii="Palatino Linotype" w:hAnsi="Palatino Linotype"/>
          <w:sz w:val="24"/>
          <w:lang w:val="es-ES"/>
        </w:rPr>
        <w:t>estos</w:t>
      </w:r>
      <w:r>
        <w:rPr>
          <w:rFonts w:ascii="Palatino Linotype" w:hAnsi="Palatino Linotype"/>
          <w:sz w:val="24"/>
          <w:lang w:val="es-ES"/>
        </w:rPr>
        <w:t xml:space="preserve"> ya que </w:t>
      </w:r>
      <w:r w:rsidR="00E07725">
        <w:rPr>
          <w:rFonts w:ascii="Palatino Linotype" w:hAnsi="Palatino Linotype"/>
          <w:sz w:val="24"/>
          <w:lang w:val="es-ES"/>
        </w:rPr>
        <w:t>podría afectar o vulnerar la conducción de los procedimientos que aun no han causado estado.</w:t>
      </w:r>
    </w:p>
    <w:p w14:paraId="592E1323" w14:textId="01BA601B" w:rsidR="00492951" w:rsidRDefault="00492951" w:rsidP="00D01A9A">
      <w:pPr>
        <w:tabs>
          <w:tab w:val="left" w:pos="709"/>
        </w:tabs>
        <w:spacing w:line="360" w:lineRule="auto"/>
        <w:jc w:val="both"/>
        <w:rPr>
          <w:rFonts w:ascii="Palatino Linotype" w:hAnsi="Palatino Linotype"/>
          <w:sz w:val="24"/>
          <w:lang w:val="es-ES"/>
        </w:rPr>
      </w:pPr>
      <w:r>
        <w:rPr>
          <w:rFonts w:ascii="Palatino Linotype" w:hAnsi="Palatino Linotype"/>
          <w:sz w:val="24"/>
          <w:lang w:val="es-ES"/>
        </w:rPr>
        <w:t>No pensando de óptica mencionar que la parte recurrente únicamente solicito una relación de todos los juicios laborales del sujeto obligado, esto es, un estadístico, por lo que se tienen por satisfechas sus pretensiones.</w:t>
      </w:r>
    </w:p>
    <w:p w14:paraId="57E2342B" w14:textId="419328CC" w:rsidR="00D01A9A" w:rsidRPr="00716043" w:rsidRDefault="00D01A9A" w:rsidP="00D01A9A">
      <w:pPr>
        <w:tabs>
          <w:tab w:val="left" w:pos="709"/>
        </w:tabs>
        <w:spacing w:line="360" w:lineRule="auto"/>
        <w:jc w:val="both"/>
        <w:rPr>
          <w:rFonts w:ascii="Palatino Linotype" w:hAnsi="Palatino Linotype"/>
          <w:color w:val="000000"/>
          <w:sz w:val="24"/>
          <w:szCs w:val="24"/>
          <w:lang w:val="es-ES"/>
        </w:rPr>
      </w:pPr>
      <w:r w:rsidRPr="00716043">
        <w:rPr>
          <w:rFonts w:ascii="Palatino Linotype" w:hAnsi="Palatino Linotype"/>
          <w:sz w:val="24"/>
          <w:lang w:val="es-ES"/>
        </w:rPr>
        <w:t xml:space="preserve">Es insoslayable señalar que este Órgano Garante no puede pronunciarse sobre la veracidad de dicha información máxime que al momento en que se pone a disposición para su consulta, se presume que esta es veraz, tan es así que queda registrada en el Sistema de Acceso a Información Mexiquense </w:t>
      </w:r>
      <w:r w:rsidRPr="00716043">
        <w:rPr>
          <w:rFonts w:ascii="Palatino Linotype" w:hAnsi="Palatino Linotype"/>
          <w:color w:val="000000"/>
          <w:sz w:val="24"/>
          <w:szCs w:val="24"/>
          <w:lang w:val="es-ES"/>
        </w:rPr>
        <w:t>y los alcances del recurso de revisión que contempla la Ley vigente de la materia tiene fines y alcances diversos, no contemplando en la procedibilidad del mismo la veracidad de la información.</w:t>
      </w:r>
    </w:p>
    <w:p w14:paraId="1BF831B6" w14:textId="77777777" w:rsidR="00D01A9A" w:rsidRPr="00716043" w:rsidRDefault="00D01A9A" w:rsidP="00D01A9A">
      <w:pPr>
        <w:pStyle w:val="Default"/>
        <w:spacing w:before="240" w:after="360" w:line="360" w:lineRule="auto"/>
        <w:jc w:val="both"/>
        <w:rPr>
          <w:rFonts w:ascii="Palatino Linotype" w:hAnsi="Palatino Linotype"/>
          <w:lang w:val="es-ES"/>
        </w:rPr>
      </w:pPr>
      <w:r w:rsidRPr="00716043">
        <w:rPr>
          <w:rFonts w:ascii="Palatino Linotype" w:hAnsi="Palatino Linotype"/>
          <w:lang w:val="es-ES"/>
        </w:rPr>
        <w:t>Sirviendo de apoyo a lo anterior por analogía, el criterio 31-10 emitido por el ahora Instituto Nacional de Transparencia, Acceso a la Información y Protección de Datos Personales, que a la letra dice:</w:t>
      </w:r>
    </w:p>
    <w:p w14:paraId="1B97CFA9" w14:textId="34D833FA" w:rsidR="00D01A9A" w:rsidRDefault="00D01A9A" w:rsidP="00D01A9A">
      <w:pPr>
        <w:pStyle w:val="Default"/>
        <w:spacing w:before="240" w:after="360" w:line="360" w:lineRule="auto"/>
        <w:ind w:left="851" w:right="850"/>
        <w:jc w:val="both"/>
        <w:rPr>
          <w:rFonts w:ascii="Palatino Linotype" w:hAnsi="Palatino Linotype"/>
          <w:i/>
          <w:sz w:val="22"/>
          <w:szCs w:val="20"/>
          <w:lang w:val="es-ES"/>
        </w:rPr>
      </w:pPr>
      <w:r w:rsidRPr="00716043">
        <w:rPr>
          <w:rFonts w:ascii="Palatino Linotype" w:hAnsi="Palatino Linotype"/>
          <w:i/>
          <w:sz w:val="22"/>
          <w:szCs w:val="20"/>
          <w:lang w:val="es-ES"/>
        </w:rPr>
        <w:t xml:space="preserve">“El Instituto Federal de Acceso a la Información y Protección de Datos </w:t>
      </w:r>
      <w:r w:rsidRPr="00716043">
        <w:rPr>
          <w:rFonts w:ascii="Palatino Linotype" w:hAnsi="Palatino Linotype"/>
          <w:b/>
          <w:i/>
          <w:sz w:val="22"/>
          <w:szCs w:val="20"/>
          <w:lang w:val="es-ES"/>
        </w:rPr>
        <w:t xml:space="preserve">no cuenta con facultades para pronunciarse respecto de la veracidad de </w:t>
      </w:r>
      <w:r w:rsidRPr="00716043">
        <w:rPr>
          <w:rFonts w:ascii="Palatino Linotype" w:hAnsi="Palatino Linotype"/>
          <w:b/>
          <w:i/>
          <w:sz w:val="22"/>
          <w:szCs w:val="20"/>
          <w:lang w:val="es-ES"/>
        </w:rPr>
        <w:lastRenderedPageBreak/>
        <w:t>los documentos proporcionados por los sujetos obligados.</w:t>
      </w:r>
      <w:r w:rsidRPr="00716043">
        <w:rPr>
          <w:rFonts w:ascii="Palatino Linotype" w:hAnsi="Palatino Linotype"/>
          <w:i/>
          <w:sz w:val="22"/>
          <w:szCs w:val="20"/>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BE26982" w14:textId="77777777" w:rsidR="00492951" w:rsidRPr="00716043" w:rsidRDefault="00492951" w:rsidP="00492951">
      <w:pPr>
        <w:tabs>
          <w:tab w:val="left" w:pos="709"/>
        </w:tabs>
        <w:spacing w:line="360" w:lineRule="auto"/>
        <w:jc w:val="both"/>
        <w:rPr>
          <w:rFonts w:ascii="Palatino Linotype" w:hAnsi="Palatino Linotype"/>
          <w:color w:val="000000"/>
          <w:sz w:val="24"/>
          <w:szCs w:val="24"/>
          <w:lang w:val="es-ES"/>
        </w:rPr>
      </w:pPr>
      <w:r w:rsidRPr="00716043">
        <w:rPr>
          <w:rFonts w:ascii="Palatino Linotype" w:hAnsi="Palatino Linotype"/>
          <w:sz w:val="24"/>
          <w:lang w:val="es-ES"/>
        </w:rPr>
        <w:t xml:space="preserve">Es insoslayable señalar que este Órgano Garante no puede pronunciarse sobre la veracidad de dicha información máxime que al momento en que se pone a disposición para su consulta, se presume que esta es veraz, tan es así que queda registrada en el Sistema de Acceso a Información Mexiquense </w:t>
      </w:r>
      <w:r w:rsidRPr="00716043">
        <w:rPr>
          <w:rFonts w:ascii="Palatino Linotype" w:hAnsi="Palatino Linotype"/>
          <w:color w:val="000000"/>
          <w:sz w:val="24"/>
          <w:szCs w:val="24"/>
          <w:lang w:val="es-ES"/>
        </w:rPr>
        <w:t>y los alcances del recurso de revisión que contempla la Ley vigente de la materia tiene fines y alcances diversos, no contemplando en la procedibilidad de este la veracidad de la información.</w:t>
      </w:r>
    </w:p>
    <w:p w14:paraId="57F6738C" w14:textId="77777777" w:rsidR="00492951" w:rsidRPr="00716043" w:rsidRDefault="00492951" w:rsidP="00492951">
      <w:pPr>
        <w:pStyle w:val="Default"/>
        <w:spacing w:before="240" w:after="360" w:line="360" w:lineRule="auto"/>
        <w:jc w:val="both"/>
        <w:rPr>
          <w:rFonts w:ascii="Palatino Linotype" w:hAnsi="Palatino Linotype"/>
          <w:lang w:val="es-ES"/>
        </w:rPr>
      </w:pPr>
      <w:r w:rsidRPr="00716043">
        <w:rPr>
          <w:rFonts w:ascii="Palatino Linotype" w:hAnsi="Palatino Linotype"/>
          <w:lang w:val="es-ES"/>
        </w:rPr>
        <w:t>Sirviendo de apoyo a lo anterior por analogía, el criterio 31-10 emitido por el ahora Instituto Nacional de Transparencia, Acceso a la Información y Protección de Datos Personales, que a la letra dice:</w:t>
      </w:r>
    </w:p>
    <w:p w14:paraId="654ED230" w14:textId="3DA19C79" w:rsidR="00492951" w:rsidRPr="00716043" w:rsidRDefault="00492951" w:rsidP="00492951">
      <w:pPr>
        <w:pStyle w:val="Default"/>
        <w:spacing w:before="240" w:after="360" w:line="360" w:lineRule="auto"/>
        <w:ind w:left="851" w:right="850"/>
        <w:jc w:val="both"/>
        <w:rPr>
          <w:rFonts w:ascii="Palatino Linotype" w:hAnsi="Palatino Linotype"/>
          <w:i/>
          <w:sz w:val="22"/>
          <w:szCs w:val="20"/>
          <w:lang w:val="es-ES"/>
        </w:rPr>
      </w:pPr>
      <w:r w:rsidRPr="00716043">
        <w:rPr>
          <w:rFonts w:ascii="Palatino Linotype" w:hAnsi="Palatino Linotype"/>
          <w:i/>
          <w:sz w:val="22"/>
          <w:szCs w:val="20"/>
          <w:lang w:val="es-ES"/>
        </w:rPr>
        <w:lastRenderedPageBreak/>
        <w:t xml:space="preserve">“El Instituto Federal de Acceso a la Información y Protección de Datos </w:t>
      </w:r>
      <w:r w:rsidRPr="00716043">
        <w:rPr>
          <w:rFonts w:ascii="Palatino Linotype" w:hAnsi="Palatino Linotype"/>
          <w:b/>
          <w:i/>
          <w:sz w:val="22"/>
          <w:szCs w:val="20"/>
          <w:lang w:val="es-ES"/>
        </w:rPr>
        <w:t>no cuenta con facultades para pronunciarse respecto de la veracidad de los documentos proporcionados por los sujetos obligados.</w:t>
      </w:r>
      <w:r w:rsidRPr="00716043">
        <w:rPr>
          <w:rFonts w:ascii="Palatino Linotype" w:hAnsi="Palatino Linotype"/>
          <w:i/>
          <w:sz w:val="22"/>
          <w:szCs w:val="20"/>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D5D74AC" w14:textId="6EA53C7D" w:rsidR="00321CA8" w:rsidRDefault="004329AC" w:rsidP="004329AC">
      <w:pPr>
        <w:pStyle w:val="Sinespaciado"/>
        <w:tabs>
          <w:tab w:val="left" w:pos="2195"/>
        </w:tabs>
        <w:spacing w:before="240" w:after="240" w:line="360" w:lineRule="auto"/>
        <w:jc w:val="both"/>
        <w:rPr>
          <w:rFonts w:ascii="Palatino Linotype" w:hAnsi="Palatino Linotype"/>
          <w:lang w:val="es-ES"/>
        </w:rPr>
      </w:pPr>
      <w:r>
        <w:rPr>
          <w:rFonts w:ascii="Palatino Linotype" w:hAnsi="Palatino Linotype"/>
          <w:lang w:val="es-ES"/>
        </w:rPr>
        <w:t>Así entonces, al haber existido un pronunciamiento por parte del sujeto obligado y aunado a que dio respuesta a todos y cada uno de los requerimientos vertidos por la parte solicitante en su petición, se considera pertinente confirmar la respuesta otorgada.</w:t>
      </w:r>
    </w:p>
    <w:p w14:paraId="7A151610" w14:textId="31FEE1EF" w:rsidR="000E06EE" w:rsidRPr="00404C34" w:rsidRDefault="000E06EE" w:rsidP="00CE17AD">
      <w:pPr>
        <w:tabs>
          <w:tab w:val="left" w:pos="709"/>
        </w:tabs>
        <w:spacing w:before="240" w:line="360" w:lineRule="auto"/>
        <w:ind w:right="51"/>
        <w:jc w:val="both"/>
        <w:rPr>
          <w:rFonts w:ascii="Palatino Linotype" w:hAnsi="Palatino Linotype"/>
          <w:sz w:val="24"/>
          <w:szCs w:val="24"/>
          <w:lang w:val="es-ES"/>
        </w:rPr>
      </w:pPr>
      <w:r w:rsidRPr="00404C34">
        <w:rPr>
          <w:rFonts w:ascii="Palatino Linotype" w:hAnsi="Palatino Linotype"/>
          <w:sz w:val="24"/>
          <w:szCs w:val="24"/>
          <w:lang w:val="es-ES"/>
        </w:rPr>
        <w:t xml:space="preserve">Por lo tanto, en consecuencia y en mérito de lo expuesto en líneas anteriores, resultan  infundadas las razones o motivos de inconformidad que arguye El Recurrente en su medio de impugnación que fue materia de estudio, por ello </w:t>
      </w:r>
      <w:r w:rsidRPr="00404C34">
        <w:rPr>
          <w:rFonts w:ascii="Palatino Linotype" w:hAnsi="Palatino Linotype" w:cs="Arial"/>
          <w:b/>
          <w:sz w:val="24"/>
          <w:lang w:val="es-ES"/>
        </w:rPr>
        <w:t xml:space="preserve">con fundamento en la fracción II del artículo 186, </w:t>
      </w:r>
      <w:r w:rsidRPr="00404C34">
        <w:rPr>
          <w:rFonts w:ascii="Palatino Linotype" w:hAnsi="Palatino Linotype" w:cs="Arial"/>
          <w:sz w:val="24"/>
          <w:lang w:val="es-ES"/>
        </w:rPr>
        <w:t xml:space="preserve">de la Ley de Transparencia y Acceso a la Información Pública del Estado de México y Municipios, se </w:t>
      </w:r>
      <w:r w:rsidRPr="00404C34">
        <w:rPr>
          <w:rFonts w:ascii="Palatino Linotype" w:hAnsi="Palatino Linotype" w:cs="Arial"/>
          <w:b/>
          <w:sz w:val="24"/>
          <w:lang w:val="es-ES"/>
        </w:rPr>
        <w:lastRenderedPageBreak/>
        <w:t>Confirma</w:t>
      </w:r>
      <w:r w:rsidRPr="00404C34">
        <w:rPr>
          <w:rFonts w:ascii="Palatino Linotype" w:hAnsi="Palatino Linotype"/>
          <w:sz w:val="24"/>
          <w:szCs w:val="24"/>
          <w:lang w:val="es-ES"/>
        </w:rPr>
        <w:t>, la respuesta a la solicitud de información número</w:t>
      </w:r>
      <w:r w:rsidR="009D04F7">
        <w:rPr>
          <w:rFonts w:ascii="Palatino Linotype" w:hAnsi="Palatino Linotype"/>
          <w:sz w:val="24"/>
          <w:szCs w:val="24"/>
          <w:lang w:val="es-ES"/>
        </w:rPr>
        <w:t xml:space="preserve"> </w:t>
      </w:r>
      <w:r w:rsidR="00892C7D" w:rsidRPr="00A04B99">
        <w:rPr>
          <w:rFonts w:ascii="Palatino Linotype" w:hAnsi="Palatino Linotype" w:cs="Arial"/>
          <w:b/>
          <w:sz w:val="24"/>
          <w:lang w:val="es-ES" w:eastAsia="es-MX"/>
        </w:rPr>
        <w:t>00039/ATLACOM/IP/2021</w:t>
      </w:r>
      <w:r w:rsidRPr="00404C34">
        <w:rPr>
          <w:rFonts w:ascii="Palatino Linotype" w:hAnsi="Palatino Linotype"/>
          <w:sz w:val="24"/>
          <w:szCs w:val="24"/>
          <w:lang w:val="es-ES"/>
        </w:rPr>
        <w:t>, que han sido materia del presente fallo.</w:t>
      </w:r>
    </w:p>
    <w:p w14:paraId="55F44CEB" w14:textId="3D82E8F7" w:rsidR="00A118BD" w:rsidRDefault="000E06EE" w:rsidP="000E06EE">
      <w:pPr>
        <w:tabs>
          <w:tab w:val="left" w:pos="8931"/>
        </w:tabs>
        <w:spacing w:before="240" w:line="360" w:lineRule="auto"/>
        <w:ind w:right="51"/>
        <w:jc w:val="both"/>
        <w:rPr>
          <w:rFonts w:ascii="Palatino Linotype" w:hAnsi="Palatino Linotype"/>
          <w:sz w:val="24"/>
          <w:szCs w:val="24"/>
          <w:lang w:val="es-ES"/>
        </w:rPr>
      </w:pPr>
      <w:r w:rsidRPr="00404C34">
        <w:rPr>
          <w:rFonts w:ascii="Palatino Linotype" w:hAnsi="Palatino Linotype"/>
          <w:sz w:val="24"/>
          <w:szCs w:val="24"/>
          <w:lang w:val="es-ES"/>
        </w:rPr>
        <w:t>Por lo antes expuesto y fundado es de resolverse y,</w:t>
      </w:r>
    </w:p>
    <w:p w14:paraId="62302797" w14:textId="77777777" w:rsidR="00942FDD" w:rsidRPr="00404C34" w:rsidRDefault="00942FDD" w:rsidP="000E06EE">
      <w:pPr>
        <w:tabs>
          <w:tab w:val="left" w:pos="8931"/>
        </w:tabs>
        <w:spacing w:before="240" w:line="360" w:lineRule="auto"/>
        <w:ind w:right="51"/>
        <w:jc w:val="both"/>
        <w:rPr>
          <w:rFonts w:ascii="Palatino Linotype" w:hAnsi="Palatino Linotype"/>
          <w:sz w:val="24"/>
          <w:szCs w:val="24"/>
          <w:lang w:val="es-ES"/>
        </w:rPr>
      </w:pPr>
    </w:p>
    <w:p w14:paraId="3CC592D8" w14:textId="029F46A8" w:rsidR="00916105" w:rsidRPr="00404C34" w:rsidRDefault="000E06EE" w:rsidP="00916105">
      <w:pPr>
        <w:spacing w:before="240" w:line="360" w:lineRule="auto"/>
        <w:jc w:val="center"/>
        <w:rPr>
          <w:rFonts w:ascii="Palatino Linotype" w:eastAsia="Times New Roman" w:hAnsi="Palatino Linotype"/>
          <w:b/>
          <w:bCs/>
          <w:spacing w:val="60"/>
          <w:sz w:val="28"/>
          <w:lang w:val="es-ES"/>
        </w:rPr>
      </w:pPr>
      <w:r w:rsidRPr="00404C34">
        <w:rPr>
          <w:rFonts w:ascii="Palatino Linotype" w:eastAsia="Times New Roman" w:hAnsi="Palatino Linotype"/>
          <w:b/>
          <w:bCs/>
          <w:spacing w:val="60"/>
          <w:sz w:val="28"/>
          <w:lang w:val="es-ES"/>
        </w:rPr>
        <w:t>SE    RESUELVE</w:t>
      </w:r>
    </w:p>
    <w:p w14:paraId="37CDD8B5" w14:textId="121259D0" w:rsidR="000E06EE" w:rsidRPr="00404C34" w:rsidRDefault="000E06EE" w:rsidP="000E06EE">
      <w:pPr>
        <w:spacing w:before="240" w:line="360" w:lineRule="auto"/>
        <w:jc w:val="both"/>
        <w:rPr>
          <w:rFonts w:ascii="Palatino Linotype" w:hAnsi="Palatino Linotype" w:cs="Arial"/>
          <w:sz w:val="24"/>
          <w:lang w:val="es-ES"/>
        </w:rPr>
      </w:pPr>
      <w:r w:rsidRPr="00404C34">
        <w:rPr>
          <w:rFonts w:ascii="Palatino Linotype" w:hAnsi="Palatino Linotype" w:cs="Arial"/>
          <w:b/>
          <w:sz w:val="28"/>
          <w:szCs w:val="28"/>
          <w:lang w:val="es-ES"/>
        </w:rPr>
        <w:t>PRIMERO.</w:t>
      </w:r>
      <w:r w:rsidRPr="00404C34">
        <w:rPr>
          <w:rFonts w:ascii="Palatino Linotype" w:hAnsi="Palatino Linotype" w:cs="Arial"/>
          <w:lang w:val="es-ES"/>
        </w:rPr>
        <w:t xml:space="preserve">  </w:t>
      </w:r>
      <w:r w:rsidRPr="00404C34">
        <w:rPr>
          <w:rFonts w:ascii="Palatino Linotype" w:hAnsi="Palatino Linotype" w:cs="Arial"/>
          <w:sz w:val="24"/>
          <w:lang w:val="es-ES"/>
        </w:rPr>
        <w:t xml:space="preserve">Se </w:t>
      </w:r>
      <w:r w:rsidRPr="00404C34">
        <w:rPr>
          <w:rFonts w:ascii="Palatino Linotype" w:hAnsi="Palatino Linotype" w:cs="Arial"/>
          <w:b/>
          <w:sz w:val="24"/>
          <w:lang w:val="es-ES"/>
        </w:rPr>
        <w:t xml:space="preserve">Confirma </w:t>
      </w:r>
      <w:r w:rsidRPr="00404C34">
        <w:rPr>
          <w:rFonts w:ascii="Palatino Linotype" w:hAnsi="Palatino Linotype" w:cs="Arial"/>
          <w:bCs/>
          <w:sz w:val="24"/>
          <w:lang w:val="es-ES"/>
        </w:rPr>
        <w:t>la</w:t>
      </w:r>
      <w:r w:rsidRPr="00404C34">
        <w:rPr>
          <w:rFonts w:ascii="Palatino Linotype" w:hAnsi="Palatino Linotype" w:cs="Arial"/>
          <w:b/>
          <w:sz w:val="24"/>
          <w:lang w:val="es-ES"/>
        </w:rPr>
        <w:t xml:space="preserve"> </w:t>
      </w:r>
      <w:r w:rsidRPr="00404C34">
        <w:rPr>
          <w:rFonts w:ascii="Palatino Linotype" w:hAnsi="Palatino Linotype"/>
          <w:sz w:val="24"/>
          <w:szCs w:val="24"/>
          <w:lang w:val="es-ES"/>
        </w:rPr>
        <w:t xml:space="preserve">respuesta a la solicitud de información número </w:t>
      </w:r>
      <w:r w:rsidR="00892C7D" w:rsidRPr="00A04B99">
        <w:rPr>
          <w:rFonts w:ascii="Palatino Linotype" w:hAnsi="Palatino Linotype" w:cs="Arial"/>
          <w:b/>
          <w:sz w:val="24"/>
          <w:lang w:val="es-ES" w:eastAsia="es-MX"/>
        </w:rPr>
        <w:t>00039/ATLACOM/IP/2021</w:t>
      </w:r>
      <w:r w:rsidRPr="00404C34">
        <w:rPr>
          <w:rFonts w:ascii="Palatino Linotype" w:hAnsi="Palatino Linotype"/>
          <w:i/>
          <w:lang w:val="es-ES"/>
        </w:rPr>
        <w:t xml:space="preserve">, </w:t>
      </w:r>
      <w:r w:rsidRPr="00404C34">
        <w:rPr>
          <w:rFonts w:ascii="Palatino Linotype" w:hAnsi="Palatino Linotype" w:cs="Arial"/>
          <w:sz w:val="24"/>
          <w:lang w:val="es-ES"/>
        </w:rPr>
        <w:t xml:space="preserve">por resultar infundadas las razones o motivos de inconformidad hechas valer por el recurrente, en términos del </w:t>
      </w:r>
      <w:r w:rsidRPr="00404C34">
        <w:rPr>
          <w:rFonts w:ascii="Palatino Linotype" w:hAnsi="Palatino Linotype" w:cs="Arial"/>
          <w:b/>
          <w:sz w:val="24"/>
          <w:lang w:val="es-ES"/>
        </w:rPr>
        <w:t xml:space="preserve">Considerando </w:t>
      </w:r>
      <w:r w:rsidR="003D4CC3">
        <w:rPr>
          <w:rFonts w:ascii="Palatino Linotype" w:hAnsi="Palatino Linotype" w:cs="Arial"/>
          <w:b/>
          <w:sz w:val="24"/>
          <w:lang w:val="es-ES"/>
        </w:rPr>
        <w:t>Cuarto</w:t>
      </w:r>
      <w:r w:rsidRPr="00404C34">
        <w:rPr>
          <w:rFonts w:ascii="Palatino Linotype" w:hAnsi="Palatino Linotype" w:cs="Arial"/>
          <w:b/>
          <w:sz w:val="24"/>
          <w:lang w:val="es-ES"/>
        </w:rPr>
        <w:t xml:space="preserve"> </w:t>
      </w:r>
      <w:r w:rsidRPr="00404C34">
        <w:rPr>
          <w:rFonts w:ascii="Palatino Linotype" w:hAnsi="Palatino Linotype" w:cs="Arial"/>
          <w:sz w:val="24"/>
          <w:lang w:val="es-ES"/>
        </w:rPr>
        <w:t>de la presente resolución.</w:t>
      </w:r>
    </w:p>
    <w:p w14:paraId="78B8ED8F" w14:textId="17F3EC1E" w:rsidR="00916105" w:rsidRPr="00404C34" w:rsidRDefault="000E06EE" w:rsidP="000E06EE">
      <w:pPr>
        <w:autoSpaceDE w:val="0"/>
        <w:autoSpaceDN w:val="0"/>
        <w:adjustRightInd w:val="0"/>
        <w:spacing w:before="240" w:line="360" w:lineRule="auto"/>
        <w:ind w:right="49"/>
        <w:jc w:val="both"/>
        <w:rPr>
          <w:rFonts w:ascii="Palatino Linotype" w:hAnsi="Palatino Linotype" w:cs="Arial"/>
          <w:sz w:val="24"/>
          <w:szCs w:val="24"/>
          <w:lang w:val="es-ES"/>
        </w:rPr>
      </w:pPr>
      <w:r w:rsidRPr="00404C34">
        <w:rPr>
          <w:rFonts w:ascii="Palatino Linotype" w:hAnsi="Palatino Linotype" w:cs="Arial"/>
          <w:b/>
          <w:sz w:val="28"/>
          <w:szCs w:val="28"/>
          <w:lang w:val="es-ES"/>
        </w:rPr>
        <w:t>SEGUNDO.</w:t>
      </w:r>
      <w:r w:rsidRPr="00404C34">
        <w:rPr>
          <w:rFonts w:ascii="Palatino Linotype" w:hAnsi="Palatino Linotype" w:cs="Arial"/>
          <w:lang w:val="es-ES"/>
        </w:rPr>
        <w:t xml:space="preserve"> </w:t>
      </w:r>
      <w:r w:rsidRPr="00404C34">
        <w:rPr>
          <w:rFonts w:ascii="Palatino Linotype" w:hAnsi="Palatino Linotype" w:cs="Arial"/>
          <w:b/>
          <w:sz w:val="24"/>
          <w:szCs w:val="24"/>
          <w:lang w:val="es-ES"/>
        </w:rPr>
        <w:t>Notifíquese</w:t>
      </w:r>
      <w:r w:rsidRPr="00404C34">
        <w:rPr>
          <w:rFonts w:ascii="Palatino Linotype" w:hAnsi="Palatino Linotype" w:cs="Arial"/>
          <w:b/>
          <w:i/>
          <w:sz w:val="24"/>
          <w:szCs w:val="24"/>
          <w:lang w:val="es-ES"/>
        </w:rPr>
        <w:t xml:space="preserve"> </w:t>
      </w:r>
      <w:r w:rsidRPr="00404C34">
        <w:rPr>
          <w:rFonts w:ascii="Palatino Linotype" w:hAnsi="Palatino Linotype" w:cs="Arial"/>
          <w:sz w:val="24"/>
          <w:szCs w:val="24"/>
          <w:lang w:val="es-ES"/>
        </w:rPr>
        <w:t>la presente resolución al Titular de la Unidad de Transparencia del</w:t>
      </w:r>
      <w:r w:rsidRPr="00404C34">
        <w:rPr>
          <w:rFonts w:ascii="Palatino Linotype" w:hAnsi="Palatino Linotype" w:cs="Arial"/>
          <w:b/>
          <w:sz w:val="24"/>
          <w:szCs w:val="24"/>
          <w:lang w:val="es-ES"/>
        </w:rPr>
        <w:t xml:space="preserve"> sujeto obligado</w:t>
      </w:r>
      <w:r w:rsidRPr="00404C34">
        <w:rPr>
          <w:rFonts w:ascii="Palatino Linotype" w:hAnsi="Palatino Linotype" w:cs="Arial"/>
          <w:sz w:val="24"/>
          <w:szCs w:val="24"/>
          <w:lang w:val="es-ES"/>
        </w:rPr>
        <w:t>.</w:t>
      </w:r>
    </w:p>
    <w:p w14:paraId="7AC4B42E" w14:textId="6C6BC037" w:rsidR="000E06EE" w:rsidRDefault="000E06EE" w:rsidP="000E06EE">
      <w:pPr>
        <w:tabs>
          <w:tab w:val="left" w:pos="8647"/>
        </w:tabs>
        <w:spacing w:before="240" w:line="360" w:lineRule="auto"/>
        <w:ind w:right="51"/>
        <w:jc w:val="both"/>
        <w:rPr>
          <w:rFonts w:ascii="Palatino Linotype" w:hAnsi="Palatino Linotype" w:cs="Arial"/>
          <w:sz w:val="24"/>
          <w:szCs w:val="24"/>
          <w:lang w:val="es-ES"/>
        </w:rPr>
      </w:pPr>
      <w:r w:rsidRPr="00404C34">
        <w:rPr>
          <w:rFonts w:ascii="Palatino Linotype" w:hAnsi="Palatino Linotype" w:cs="Arial"/>
          <w:b/>
          <w:sz w:val="28"/>
          <w:szCs w:val="24"/>
          <w:lang w:val="es-ES"/>
        </w:rPr>
        <w:t>TERCERO</w:t>
      </w:r>
      <w:r w:rsidRPr="00404C34">
        <w:rPr>
          <w:rFonts w:ascii="Palatino Linotype" w:hAnsi="Palatino Linotype" w:cs="Arial"/>
          <w:sz w:val="24"/>
          <w:szCs w:val="24"/>
          <w:lang w:val="es-ES"/>
        </w:rPr>
        <w:t>. Se hace del conocimiento al recurrente</w:t>
      </w:r>
      <w:r w:rsidRPr="00404C34">
        <w:rPr>
          <w:rFonts w:ascii="Palatino Linotype" w:hAnsi="Palatino Linotype" w:cs="Arial"/>
          <w:b/>
          <w:sz w:val="24"/>
          <w:szCs w:val="24"/>
          <w:lang w:val="es-ES"/>
        </w:rPr>
        <w:t xml:space="preserve"> </w:t>
      </w:r>
      <w:r w:rsidRPr="00404C34">
        <w:rPr>
          <w:rFonts w:ascii="Palatino Linotype" w:hAnsi="Palatino Linotype" w:cs="Arial"/>
          <w:sz w:val="24"/>
          <w:szCs w:val="24"/>
          <w:lang w:val="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7CBA018D" w14:textId="06DA7CEE" w:rsidR="00942FDD" w:rsidRDefault="00942FDD" w:rsidP="000E06EE">
      <w:pPr>
        <w:tabs>
          <w:tab w:val="left" w:pos="8647"/>
        </w:tabs>
        <w:spacing w:before="240" w:line="360" w:lineRule="auto"/>
        <w:ind w:right="51"/>
        <w:jc w:val="both"/>
        <w:rPr>
          <w:rFonts w:ascii="Palatino Linotype" w:hAnsi="Palatino Linotype" w:cs="Arial"/>
          <w:sz w:val="24"/>
          <w:szCs w:val="24"/>
          <w:lang w:val="es-ES"/>
        </w:rPr>
      </w:pPr>
    </w:p>
    <w:p w14:paraId="06F76FEF" w14:textId="77777777" w:rsidR="00942FDD" w:rsidRDefault="00942FDD" w:rsidP="000E06EE">
      <w:pPr>
        <w:tabs>
          <w:tab w:val="left" w:pos="8647"/>
        </w:tabs>
        <w:spacing w:before="240" w:line="360" w:lineRule="auto"/>
        <w:ind w:right="51"/>
        <w:jc w:val="both"/>
        <w:rPr>
          <w:rFonts w:ascii="Palatino Linotype" w:hAnsi="Palatino Linotype" w:cs="Arial"/>
          <w:sz w:val="24"/>
          <w:szCs w:val="24"/>
          <w:lang w:val="es-ES"/>
        </w:rPr>
      </w:pPr>
    </w:p>
    <w:p w14:paraId="69C41783" w14:textId="4FD64AC9" w:rsidR="00942FDD" w:rsidRPr="00DF074F" w:rsidRDefault="00942FDD" w:rsidP="00DF074F">
      <w:pPr>
        <w:spacing w:after="0" w:line="360" w:lineRule="auto"/>
        <w:jc w:val="both"/>
        <w:rPr>
          <w:rFonts w:ascii="Palatino Linotype" w:hAnsi="Palatino Linotype" w:cs="Arial"/>
          <w:sz w:val="24"/>
          <w:szCs w:val="24"/>
          <w:lang w:val="es-ES_tradnl"/>
        </w:rPr>
      </w:pPr>
      <w:r w:rsidRPr="00397556">
        <w:rPr>
          <w:rFonts w:ascii="Palatino Linotype" w:hAnsi="Palatino Linotype" w:cs="Arial"/>
          <w:sz w:val="24"/>
          <w:szCs w:val="24"/>
          <w:lang w:val="es-ES_tradnl"/>
        </w:rPr>
        <w:lastRenderedPageBreak/>
        <w:t>ASÍ LO RESUELVE, POR UNANIMIDAD DE VOTOS DE LOS PRESENTES EL PLENO DEL</w:t>
      </w:r>
      <w:r w:rsidRPr="00397556">
        <w:rPr>
          <w:rFonts w:ascii="Palatino Linotype" w:eastAsia="Arial Unicode MS" w:hAnsi="Palatino Linotype" w:cs="Arial"/>
          <w:sz w:val="24"/>
          <w:szCs w:val="24"/>
          <w:lang w:val="es-ES_tradnl"/>
        </w:rPr>
        <w:t xml:space="preserve"> INSTITUTO DE TRANSPARENCIA, ACCESO A LA INFORMACIÓN PÚBLICA Y PROTECCIÓN DE DATOS PERSONALES DEL ESTADO DE MÉXICO Y MUNICIPIOS</w:t>
      </w:r>
      <w:r w:rsidRPr="00397556">
        <w:rPr>
          <w:rFonts w:ascii="Palatino Linotype" w:hAnsi="Palatino Linotype" w:cs="Arial"/>
          <w:sz w:val="24"/>
          <w:szCs w:val="24"/>
          <w:lang w:val="es-ES_tradnl"/>
        </w:rPr>
        <w:t>, CONFORMADO POR LOS COMISIONADOS ZULEMA MARTÍNEZ SÁNCHEZ, EVA ABAID YAPUR, JOSÉ GUADALUPE LUNA HERNÁNDEZ</w:t>
      </w:r>
      <w:r w:rsidRPr="00942FDD">
        <w:rPr>
          <w:rFonts w:ascii="Palatino Linotype" w:hAnsi="Palatino Linotype" w:cs="Arial"/>
          <w:sz w:val="24"/>
          <w:szCs w:val="24"/>
          <w:lang w:val="es-ES_tradnl"/>
        </w:rPr>
        <w:t xml:space="preserve"> </w:t>
      </w:r>
      <w:r w:rsidRPr="00397556">
        <w:rPr>
          <w:rFonts w:ascii="Palatino Linotype" w:hAnsi="Palatino Linotype" w:cs="Arial"/>
          <w:sz w:val="24"/>
          <w:szCs w:val="24"/>
          <w:lang w:val="es-ES_tradnl"/>
        </w:rPr>
        <w:t xml:space="preserve">EMITIENDO VOTO PARTICULAR, JAVIER MARTÍNEZ CRUZ Y LUIS GUSTAVO PARRA NORIEGA, EN LA </w:t>
      </w:r>
      <w:r>
        <w:rPr>
          <w:rFonts w:ascii="Palatino Linotype" w:hAnsi="Palatino Linotype" w:cs="Arial"/>
          <w:sz w:val="24"/>
          <w:szCs w:val="24"/>
          <w:lang w:val="es-ES_tradnl"/>
        </w:rPr>
        <w:t xml:space="preserve">VIGÉSIMA </w:t>
      </w:r>
      <w:r w:rsidRPr="00397556">
        <w:rPr>
          <w:rFonts w:ascii="Palatino Linotype" w:hAnsi="Palatino Linotype" w:cs="Arial"/>
          <w:sz w:val="24"/>
          <w:szCs w:val="24"/>
          <w:lang w:val="es-ES_tradnl"/>
        </w:rPr>
        <w:t xml:space="preserve">SESIÓN ORDINARIA CELEBRADA EL </w:t>
      </w:r>
      <w:r>
        <w:rPr>
          <w:rFonts w:ascii="Palatino Linotype" w:hAnsi="Palatino Linotype" w:cs="Arial"/>
          <w:sz w:val="24"/>
          <w:szCs w:val="24"/>
          <w:lang w:val="es-ES_tradnl"/>
        </w:rPr>
        <w:t>NUEVE DE JUNIO</w:t>
      </w:r>
      <w:r w:rsidRPr="00397556">
        <w:rPr>
          <w:rFonts w:ascii="Palatino Linotype" w:hAnsi="Palatino Linotype" w:cs="Arial"/>
          <w:sz w:val="24"/>
          <w:szCs w:val="24"/>
          <w:lang w:val="es-ES_tradnl"/>
        </w:rPr>
        <w:t xml:space="preserve"> DE DOS MIL VEINTIUNO, ANTE EL SECRETARIO TÉCNICO DEL PLENO, ALEXIS TAPIA RAMÍREZ.--------------------------------------------------------------------------------------------------------------------------------------------------------------------------------</w:t>
      </w:r>
      <w:r>
        <w:rPr>
          <w:rFonts w:ascii="Palatino Linotype" w:hAnsi="Palatino Linotype" w:cs="Arial"/>
          <w:sz w:val="24"/>
          <w:szCs w:val="24"/>
          <w:lang w:val="es-ES_tradnl"/>
        </w:rPr>
        <w:t>-----</w:t>
      </w:r>
      <w:r w:rsidRPr="00397556">
        <w:rPr>
          <w:rFonts w:ascii="Palatino Linotype" w:hAnsi="Palatino Linotype" w:cs="Arial"/>
          <w:sz w:val="24"/>
          <w:szCs w:val="24"/>
          <w:lang w:val="es-ES_tradnl"/>
        </w:rPr>
        <w:t>-----------------------------------------------------------------------------------------------------------------------------------------------------------------------------------------------------------------------------------------------------------------------------------------------------------------------------------------------------------------------------------------------------------------------------------------------------------------------------------------------------------------------------------------------------------------------------------------------------------------------------------------------------------------------------------------------------------------------------------------------------------------------------------------------------------------------------------------------------------------------------------------------------------------------------------------------------------------------------------------------------------------------------------------------------------------------------------------------------------------------------------------------------------------------------------------------------------------------------------------------------------------------------------------------</w:t>
      </w:r>
      <w:r w:rsidR="00DF074F">
        <w:rPr>
          <w:rFonts w:ascii="Palatino Linotype" w:hAnsi="Palatino Linotype" w:cs="Arial"/>
          <w:sz w:val="24"/>
          <w:szCs w:val="24"/>
          <w:lang w:val="es-ES_tradnl"/>
        </w:rPr>
        <w:t>-------------------------------</w:t>
      </w:r>
    </w:p>
    <w:p w14:paraId="22C6EF28" w14:textId="77777777" w:rsidR="00942FDD" w:rsidRPr="000A6753" w:rsidRDefault="00942FDD" w:rsidP="00942FDD">
      <w:pPr>
        <w:spacing w:after="0"/>
        <w:rPr>
          <w:sz w:val="18"/>
          <w:lang w:val="es-ES_tradnl"/>
        </w:rPr>
      </w:pPr>
      <w:r w:rsidRPr="00397556">
        <w:rPr>
          <w:sz w:val="18"/>
          <w:lang w:val="es-ES_tradnl"/>
        </w:rPr>
        <w:t>ZMS/OSAM/MAEM</w:t>
      </w:r>
    </w:p>
    <w:p w14:paraId="5A2C9589" w14:textId="6AEA544E" w:rsidR="00DD13E2" w:rsidRDefault="00DD13E2" w:rsidP="00942FDD">
      <w:pPr>
        <w:spacing w:after="0" w:line="360" w:lineRule="auto"/>
        <w:jc w:val="both"/>
        <w:rPr>
          <w:sz w:val="18"/>
          <w:lang w:val="es-ES"/>
        </w:rPr>
      </w:pPr>
    </w:p>
    <w:p w14:paraId="6AFFD922" w14:textId="77777777" w:rsidR="00DF074F" w:rsidRDefault="00DF074F" w:rsidP="00942FDD">
      <w:pPr>
        <w:spacing w:after="0" w:line="360" w:lineRule="auto"/>
        <w:jc w:val="both"/>
        <w:rPr>
          <w:sz w:val="18"/>
          <w:lang w:val="es-ES"/>
        </w:rPr>
      </w:pPr>
    </w:p>
    <w:p w14:paraId="7439DE91" w14:textId="77777777" w:rsidR="00DF074F" w:rsidRDefault="00DF074F" w:rsidP="00942FDD">
      <w:pPr>
        <w:spacing w:after="0" w:line="360" w:lineRule="auto"/>
        <w:jc w:val="both"/>
        <w:rPr>
          <w:sz w:val="18"/>
          <w:lang w:val="es-ES"/>
        </w:rPr>
      </w:pPr>
    </w:p>
    <w:p w14:paraId="6B1C4C32" w14:textId="77777777" w:rsidR="00DF074F" w:rsidRDefault="00DF074F" w:rsidP="00942FDD">
      <w:pPr>
        <w:spacing w:after="0" w:line="360" w:lineRule="auto"/>
        <w:jc w:val="both"/>
        <w:rPr>
          <w:sz w:val="18"/>
          <w:lang w:val="es-ES"/>
        </w:rPr>
      </w:pPr>
    </w:p>
    <w:p w14:paraId="37A40D2E" w14:textId="77777777" w:rsidR="00DF074F" w:rsidRDefault="00DF074F" w:rsidP="00942FDD">
      <w:pPr>
        <w:spacing w:after="0" w:line="360" w:lineRule="auto"/>
        <w:jc w:val="both"/>
        <w:rPr>
          <w:sz w:val="18"/>
          <w:lang w:val="es-ES"/>
        </w:rPr>
      </w:pPr>
    </w:p>
    <w:p w14:paraId="2B9A70A8" w14:textId="77777777" w:rsidR="00DF074F" w:rsidRPr="00A118BD" w:rsidRDefault="00DF074F" w:rsidP="00942FDD">
      <w:pPr>
        <w:spacing w:after="0" w:line="360" w:lineRule="auto"/>
        <w:jc w:val="both"/>
        <w:rPr>
          <w:sz w:val="18"/>
          <w:lang w:val="es-ES"/>
        </w:rPr>
      </w:pPr>
    </w:p>
    <w:sectPr w:rsidR="00DF074F" w:rsidRPr="00A118BD" w:rsidSect="00E93B27">
      <w:headerReference w:type="even" r:id="rId9"/>
      <w:headerReference w:type="default" r:id="rId10"/>
      <w:footerReference w:type="default" r:id="rId11"/>
      <w:headerReference w:type="first" r:id="rId12"/>
      <w:footerReference w:type="first" r:id="rId13"/>
      <w:pgSz w:w="12240" w:h="15840"/>
      <w:pgMar w:top="1417" w:right="2034"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D05C4F" w14:textId="77777777" w:rsidR="009559B1" w:rsidRDefault="009559B1" w:rsidP="00E15E85">
      <w:pPr>
        <w:spacing w:after="0" w:line="240" w:lineRule="auto"/>
      </w:pPr>
      <w:r>
        <w:separator/>
      </w:r>
    </w:p>
  </w:endnote>
  <w:endnote w:type="continuationSeparator" w:id="0">
    <w:p w14:paraId="1AAEC9ED" w14:textId="77777777" w:rsidR="009559B1" w:rsidRDefault="009559B1"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0E91A"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82C87">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82C87">
      <w:rPr>
        <w:rFonts w:ascii="Palatino Linotype" w:hAnsi="Palatino Linotype"/>
        <w:bCs/>
        <w:noProof/>
        <w:sz w:val="20"/>
      </w:rPr>
      <w:t>23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48C4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82C8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82C87">
      <w:rPr>
        <w:rFonts w:ascii="Palatino Linotype" w:hAnsi="Palatino Linotype"/>
        <w:bCs/>
        <w:noProof/>
        <w:sz w:val="20"/>
      </w:rPr>
      <w:t>23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435C3F" w14:textId="77777777" w:rsidR="009559B1" w:rsidRDefault="009559B1" w:rsidP="00E15E85">
      <w:pPr>
        <w:spacing w:after="0" w:line="240" w:lineRule="auto"/>
      </w:pPr>
      <w:r>
        <w:separator/>
      </w:r>
    </w:p>
  </w:footnote>
  <w:footnote w:type="continuationSeparator" w:id="0">
    <w:p w14:paraId="37AECD10" w14:textId="77777777" w:rsidR="009559B1" w:rsidRDefault="009559B1" w:rsidP="00E15E85">
      <w:pPr>
        <w:spacing w:after="0" w:line="240" w:lineRule="auto"/>
      </w:pPr>
      <w:r>
        <w:continuationSeparator/>
      </w:r>
    </w:p>
  </w:footnote>
  <w:footnote w:id="1">
    <w:p w14:paraId="67414457" w14:textId="77777777" w:rsidR="000E06EE" w:rsidRPr="00615B4B" w:rsidRDefault="000E06EE" w:rsidP="000E06EE">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4DE7B2B8" w14:textId="77777777" w:rsidR="000E06EE" w:rsidRPr="00615B4B" w:rsidRDefault="000E06EE" w:rsidP="000E06EE">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6ACC64A" w14:textId="77777777" w:rsidR="00892C7D" w:rsidRDefault="00892C7D" w:rsidP="00892C7D">
      <w:pPr>
        <w:pStyle w:val="Textonotapie"/>
      </w:pPr>
      <w:r>
        <w:rPr>
          <w:rStyle w:val="Refdenotaalpie"/>
        </w:rPr>
        <w:footnoteRef/>
      </w:r>
      <w:r>
        <w:t xml:space="preserve"> </w:t>
      </w:r>
      <w:r w:rsidRPr="00615B4B">
        <w:rPr>
          <w:rFonts w:ascii="Palatino Linotype" w:hAnsi="Palatino Linotype"/>
        </w:rPr>
        <w:t>Artículo 837 de la Ley Federal del Trabajo.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AF2E4" w14:textId="3366A3D3" w:rsidR="00DF074F" w:rsidRDefault="009559B1">
    <w:pPr>
      <w:pStyle w:val="Encabezado"/>
    </w:pPr>
    <w:r>
      <w:rPr>
        <w:noProof/>
        <w:lang w:val="es-MX" w:eastAsia="es-MX"/>
      </w:rPr>
      <w:pict w14:anchorId="03A7B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6614954"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F9B06" w14:textId="5393FFFA" w:rsidR="00E15E85" w:rsidRDefault="009559B1">
    <w:pPr>
      <w:pStyle w:val="Encabezado"/>
    </w:pPr>
    <w:r>
      <w:rPr>
        <w:noProof/>
        <w:lang w:val="es-MX" w:eastAsia="es-MX"/>
      </w:rPr>
      <w:pict w14:anchorId="6FD00B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6614955"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671"/>
      <w:gridCol w:w="4394"/>
    </w:tblGrid>
    <w:tr w:rsidR="00E15E85" w14:paraId="6CAB856C" w14:textId="77777777" w:rsidTr="00DF074F">
      <w:trPr>
        <w:trHeight w:val="227"/>
      </w:trPr>
      <w:tc>
        <w:tcPr>
          <w:tcW w:w="5671" w:type="dxa"/>
          <w:hideMark/>
        </w:tcPr>
        <w:p w14:paraId="623AEC53"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0989205F" w14:textId="4C084437" w:rsidR="00E15E85" w:rsidRPr="00D56BC3" w:rsidRDefault="00341648" w:rsidP="00E94BA2">
          <w:pPr>
            <w:spacing w:after="120" w:line="256" w:lineRule="auto"/>
            <w:ind w:left="-486" w:right="214" w:firstLine="1585"/>
            <w:jc w:val="right"/>
            <w:rPr>
              <w:rFonts w:ascii="Palatino Linotype" w:hAnsi="Palatino Linotype" w:cs="Arial"/>
              <w:bCs/>
              <w:sz w:val="24"/>
              <w:lang w:eastAsia="es-MX"/>
            </w:rPr>
          </w:pPr>
          <w:r w:rsidRPr="00341648">
            <w:rPr>
              <w:rFonts w:ascii="Palatino Linotype" w:hAnsi="Palatino Linotype" w:cs="Arial"/>
              <w:bCs/>
              <w:sz w:val="24"/>
              <w:lang w:eastAsia="es-MX"/>
            </w:rPr>
            <w:t>0</w:t>
          </w:r>
          <w:r w:rsidR="005052FC">
            <w:rPr>
              <w:rFonts w:ascii="Palatino Linotype" w:hAnsi="Palatino Linotype" w:cs="Arial"/>
              <w:bCs/>
              <w:sz w:val="24"/>
              <w:lang w:eastAsia="es-MX"/>
            </w:rPr>
            <w:t>1</w:t>
          </w:r>
          <w:r w:rsidR="00A04B99">
            <w:rPr>
              <w:rFonts w:ascii="Palatino Linotype" w:hAnsi="Palatino Linotype" w:cs="Arial"/>
              <w:bCs/>
              <w:sz w:val="24"/>
              <w:lang w:eastAsia="es-MX"/>
            </w:rPr>
            <w:t>270</w:t>
          </w:r>
          <w:r w:rsidRPr="00341648">
            <w:rPr>
              <w:rFonts w:ascii="Palatino Linotype" w:hAnsi="Palatino Linotype" w:cs="Arial"/>
              <w:bCs/>
              <w:sz w:val="24"/>
              <w:lang w:eastAsia="es-MX"/>
            </w:rPr>
            <w:t>/INFOEM/IP/RR/202</w:t>
          </w:r>
          <w:r w:rsidR="005052FC">
            <w:rPr>
              <w:rFonts w:ascii="Palatino Linotype" w:hAnsi="Palatino Linotype" w:cs="Arial"/>
              <w:bCs/>
              <w:sz w:val="24"/>
              <w:lang w:eastAsia="es-MX"/>
            </w:rPr>
            <w:t>1</w:t>
          </w:r>
        </w:p>
      </w:tc>
    </w:tr>
    <w:tr w:rsidR="00E15E85" w14:paraId="368666D3" w14:textId="77777777" w:rsidTr="00DF074F">
      <w:trPr>
        <w:trHeight w:val="242"/>
      </w:trPr>
      <w:tc>
        <w:tcPr>
          <w:tcW w:w="5671" w:type="dxa"/>
          <w:hideMark/>
        </w:tcPr>
        <w:p w14:paraId="0B2A60D2"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73D11102" w14:textId="0533A09C" w:rsidR="00E15E85" w:rsidRDefault="00A04B99" w:rsidP="00E15E85">
          <w:pPr>
            <w:spacing w:after="120" w:line="256" w:lineRule="auto"/>
            <w:ind w:left="-486" w:right="214" w:firstLine="284"/>
            <w:jc w:val="right"/>
            <w:rPr>
              <w:rFonts w:ascii="Palatino Linotype" w:hAnsi="Palatino Linotype" w:cs="Arial"/>
              <w:szCs w:val="20"/>
            </w:rPr>
          </w:pPr>
          <w:r w:rsidRPr="00A04B99">
            <w:rPr>
              <w:rFonts w:ascii="Palatino Linotype" w:hAnsi="Palatino Linotype" w:cs="Arial"/>
              <w:szCs w:val="20"/>
            </w:rPr>
            <w:t>Ayuntamiento de Atlacomulco</w:t>
          </w:r>
        </w:p>
      </w:tc>
    </w:tr>
    <w:tr w:rsidR="00E15E85" w14:paraId="5435A98B" w14:textId="77777777" w:rsidTr="00DF074F">
      <w:trPr>
        <w:trHeight w:val="342"/>
      </w:trPr>
      <w:tc>
        <w:tcPr>
          <w:tcW w:w="5671" w:type="dxa"/>
          <w:hideMark/>
        </w:tcPr>
        <w:p w14:paraId="5D23721C"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3DD849F"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29B614E9" w14:textId="77777777"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6"/>
      <w:gridCol w:w="3969"/>
    </w:tblGrid>
    <w:tr w:rsidR="00E15E85" w14:paraId="5AB28EE3" w14:textId="77777777" w:rsidTr="00DF074F">
      <w:trPr>
        <w:trHeight w:val="227"/>
      </w:trPr>
      <w:tc>
        <w:tcPr>
          <w:tcW w:w="6096" w:type="dxa"/>
          <w:hideMark/>
        </w:tcPr>
        <w:p w14:paraId="20B35CA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69" w:type="dxa"/>
          <w:hideMark/>
        </w:tcPr>
        <w:p w14:paraId="1BF680A9" w14:textId="0523D92B" w:rsidR="00E15E85" w:rsidRPr="00B4142F" w:rsidRDefault="00341648" w:rsidP="00E94BA2">
          <w:pPr>
            <w:spacing w:after="120" w:line="256" w:lineRule="auto"/>
            <w:ind w:left="-486" w:right="214" w:firstLine="1408"/>
            <w:jc w:val="right"/>
            <w:rPr>
              <w:rFonts w:ascii="Palatino Linotype" w:hAnsi="Palatino Linotype" w:cs="Arial"/>
              <w:szCs w:val="20"/>
            </w:rPr>
          </w:pPr>
          <w:r w:rsidRPr="00341648">
            <w:rPr>
              <w:rFonts w:ascii="Palatino Linotype" w:hAnsi="Palatino Linotype" w:cs="Arial"/>
              <w:szCs w:val="20"/>
            </w:rPr>
            <w:t>0</w:t>
          </w:r>
          <w:r w:rsidR="005052FC">
            <w:rPr>
              <w:rFonts w:ascii="Palatino Linotype" w:hAnsi="Palatino Linotype" w:cs="Arial"/>
              <w:szCs w:val="20"/>
            </w:rPr>
            <w:t>1</w:t>
          </w:r>
          <w:r w:rsidR="00A04B99">
            <w:rPr>
              <w:rFonts w:ascii="Palatino Linotype" w:hAnsi="Palatino Linotype" w:cs="Arial"/>
              <w:szCs w:val="20"/>
            </w:rPr>
            <w:t>270</w:t>
          </w:r>
          <w:r w:rsidRPr="00341648">
            <w:rPr>
              <w:rFonts w:ascii="Palatino Linotype" w:hAnsi="Palatino Linotype" w:cs="Arial"/>
              <w:szCs w:val="20"/>
            </w:rPr>
            <w:t>/INFOEM/IP/RR/202</w:t>
          </w:r>
          <w:r w:rsidR="005052FC">
            <w:rPr>
              <w:rFonts w:ascii="Palatino Linotype" w:hAnsi="Palatino Linotype" w:cs="Arial"/>
              <w:szCs w:val="20"/>
            </w:rPr>
            <w:t>1</w:t>
          </w:r>
        </w:p>
      </w:tc>
    </w:tr>
    <w:tr w:rsidR="00E15E85" w14:paraId="13BA9BA8" w14:textId="77777777" w:rsidTr="00DF074F">
      <w:trPr>
        <w:trHeight w:val="196"/>
      </w:trPr>
      <w:tc>
        <w:tcPr>
          <w:tcW w:w="6096" w:type="dxa"/>
          <w:hideMark/>
        </w:tcPr>
        <w:p w14:paraId="0F207CD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69" w:type="dxa"/>
          <w:hideMark/>
        </w:tcPr>
        <w:p w14:paraId="6C625743" w14:textId="218AA60C" w:rsidR="00E15E85" w:rsidRPr="00F06FED" w:rsidRDefault="00C82C87"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xxxxxxxxxxxxxxxxxx</w:t>
          </w:r>
          <w:proofErr w:type="spellEnd"/>
        </w:p>
      </w:tc>
    </w:tr>
    <w:tr w:rsidR="00E15E85" w14:paraId="3AA51E97" w14:textId="77777777" w:rsidTr="00DF074F">
      <w:trPr>
        <w:trHeight w:val="242"/>
      </w:trPr>
      <w:tc>
        <w:tcPr>
          <w:tcW w:w="6096" w:type="dxa"/>
          <w:hideMark/>
        </w:tcPr>
        <w:p w14:paraId="78F22850"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69" w:type="dxa"/>
          <w:hideMark/>
        </w:tcPr>
        <w:p w14:paraId="7D016C4F" w14:textId="07A92A47" w:rsidR="00E15E85" w:rsidRDefault="00A04B99" w:rsidP="0015550A">
          <w:pPr>
            <w:spacing w:after="120" w:line="256" w:lineRule="auto"/>
            <w:ind w:left="-495" w:right="214" w:firstLine="567"/>
            <w:jc w:val="right"/>
            <w:rPr>
              <w:rFonts w:ascii="Palatino Linotype" w:hAnsi="Palatino Linotype" w:cs="Arial"/>
              <w:szCs w:val="20"/>
            </w:rPr>
          </w:pPr>
          <w:r w:rsidRPr="00A04B99">
            <w:rPr>
              <w:rFonts w:ascii="Palatino Linotype" w:hAnsi="Palatino Linotype" w:cs="Arial"/>
              <w:szCs w:val="20"/>
            </w:rPr>
            <w:t>Ayuntamiento de Atlacomulco</w:t>
          </w:r>
        </w:p>
      </w:tc>
    </w:tr>
    <w:tr w:rsidR="00E15E85" w14:paraId="4B575BC9" w14:textId="77777777" w:rsidTr="00DF074F">
      <w:trPr>
        <w:trHeight w:val="342"/>
      </w:trPr>
      <w:tc>
        <w:tcPr>
          <w:tcW w:w="6096" w:type="dxa"/>
          <w:hideMark/>
        </w:tcPr>
        <w:p w14:paraId="6B93657D"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969" w:type="dxa"/>
          <w:hideMark/>
        </w:tcPr>
        <w:p w14:paraId="10A95610"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168FBCB" w14:textId="289B248A" w:rsidR="00E15E85" w:rsidRDefault="009559B1">
    <w:pPr>
      <w:pStyle w:val="Encabezado"/>
    </w:pPr>
    <w:r>
      <w:rPr>
        <w:noProof/>
        <w:lang w:val="es-MX" w:eastAsia="es-MX"/>
      </w:rPr>
      <w:pict w14:anchorId="62D57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6614953"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F14A0"/>
    <w:multiLevelType w:val="hybridMultilevel"/>
    <w:tmpl w:val="F1C0DB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6B1C0C"/>
    <w:multiLevelType w:val="hybridMultilevel"/>
    <w:tmpl w:val="759C7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C374A0"/>
    <w:multiLevelType w:val="hybridMultilevel"/>
    <w:tmpl w:val="D2F24C8C"/>
    <w:lvl w:ilvl="0" w:tplc="62A24FB4">
      <w:start w:val="4"/>
      <w:numFmt w:val="upperRoman"/>
      <w:lvlText w:val="%1."/>
      <w:lvlJc w:val="righ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
    <w:nsid w:val="0F915A9C"/>
    <w:multiLevelType w:val="hybridMultilevel"/>
    <w:tmpl w:val="B4F0D7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
    <w:nsid w:val="13D21891"/>
    <w:multiLevelType w:val="hybridMultilevel"/>
    <w:tmpl w:val="1DE08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A04EDE"/>
    <w:multiLevelType w:val="hybridMultilevel"/>
    <w:tmpl w:val="421EF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18191F58"/>
    <w:multiLevelType w:val="hybridMultilevel"/>
    <w:tmpl w:val="22126660"/>
    <w:lvl w:ilvl="0" w:tplc="0C72EAD6">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nsid w:val="1E7B0204"/>
    <w:multiLevelType w:val="hybridMultilevel"/>
    <w:tmpl w:val="ECA40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F327E0B"/>
    <w:multiLevelType w:val="hybridMultilevel"/>
    <w:tmpl w:val="624A4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F430F4B"/>
    <w:multiLevelType w:val="hybridMultilevel"/>
    <w:tmpl w:val="C30062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F9E21C6"/>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FF10D8E"/>
    <w:multiLevelType w:val="hybridMultilevel"/>
    <w:tmpl w:val="8118E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7C27017"/>
    <w:multiLevelType w:val="hybridMultilevel"/>
    <w:tmpl w:val="F80EBAE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28F444DB"/>
    <w:multiLevelType w:val="hybridMultilevel"/>
    <w:tmpl w:val="995499C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AC03D60"/>
    <w:multiLevelType w:val="hybridMultilevel"/>
    <w:tmpl w:val="BA3CFDC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D7C1E8B"/>
    <w:multiLevelType w:val="hybridMultilevel"/>
    <w:tmpl w:val="15224236"/>
    <w:lvl w:ilvl="0" w:tplc="6A162EBA">
      <w:start w:val="1"/>
      <w:numFmt w:val="upperRoman"/>
      <w:lvlText w:val="%1."/>
      <w:lvlJc w:val="left"/>
      <w:pPr>
        <w:ind w:left="840" w:hanging="720"/>
      </w:pPr>
      <w:rPr>
        <w:rFonts w:hint="default"/>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2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nsid w:val="4ABF5054"/>
    <w:multiLevelType w:val="hybridMultilevel"/>
    <w:tmpl w:val="DA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CC7469F"/>
    <w:multiLevelType w:val="hybridMultilevel"/>
    <w:tmpl w:val="F326A26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67C256F"/>
    <w:multiLevelType w:val="hybridMultilevel"/>
    <w:tmpl w:val="A000CB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A7A4A2D"/>
    <w:multiLevelType w:val="hybridMultilevel"/>
    <w:tmpl w:val="50181B50"/>
    <w:lvl w:ilvl="0" w:tplc="FBCC7566">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1">
    <w:nsid w:val="5B157DB9"/>
    <w:multiLevelType w:val="hybridMultilevel"/>
    <w:tmpl w:val="18640776"/>
    <w:numStyleLink w:val="Estiloimportado2"/>
  </w:abstractNum>
  <w:abstractNum w:abstractNumId="32">
    <w:nsid w:val="6BFA1597"/>
    <w:multiLevelType w:val="hybridMultilevel"/>
    <w:tmpl w:val="CCDA7FF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3">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4">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nsid w:val="75AD2CE2"/>
    <w:multiLevelType w:val="hybridMultilevel"/>
    <w:tmpl w:val="2BE2C7D6"/>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nsid w:val="790F7A4C"/>
    <w:multiLevelType w:val="hybridMultilevel"/>
    <w:tmpl w:val="17C2E26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3"/>
  </w:num>
  <w:num w:numId="2">
    <w:abstractNumId w:val="9"/>
  </w:num>
  <w:num w:numId="3">
    <w:abstractNumId w:val="27"/>
  </w:num>
  <w:num w:numId="4">
    <w:abstractNumId w:val="23"/>
  </w:num>
  <w:num w:numId="5">
    <w:abstractNumId w:val="31"/>
  </w:num>
  <w:num w:numId="6">
    <w:abstractNumId w:val="10"/>
  </w:num>
  <w:num w:numId="7">
    <w:abstractNumId w:val="35"/>
  </w:num>
  <w:num w:numId="8">
    <w:abstractNumId w:val="24"/>
  </w:num>
  <w:num w:numId="9">
    <w:abstractNumId w:val="17"/>
  </w:num>
  <w:num w:numId="10">
    <w:abstractNumId w:val="34"/>
  </w:num>
  <w:num w:numId="11">
    <w:abstractNumId w:val="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4"/>
  </w:num>
  <w:num w:numId="15">
    <w:abstractNumId w:val="12"/>
  </w:num>
  <w:num w:numId="16">
    <w:abstractNumId w:val="14"/>
  </w:num>
  <w:num w:numId="17">
    <w:abstractNumId w:val="18"/>
  </w:num>
  <w:num w:numId="18">
    <w:abstractNumId w:val="2"/>
  </w:num>
  <w:num w:numId="19">
    <w:abstractNumId w:val="26"/>
  </w:num>
  <w:num w:numId="20">
    <w:abstractNumId w:val="20"/>
  </w:num>
  <w:num w:numId="21">
    <w:abstractNumId w:val="13"/>
  </w:num>
  <w:num w:numId="22">
    <w:abstractNumId w:val="11"/>
  </w:num>
  <w:num w:numId="23">
    <w:abstractNumId w:val="5"/>
  </w:num>
  <w:num w:numId="24">
    <w:abstractNumId w:val="7"/>
  </w:num>
  <w:num w:numId="25">
    <w:abstractNumId w:val="37"/>
  </w:num>
  <w:num w:numId="26">
    <w:abstractNumId w:val="21"/>
  </w:num>
  <w:num w:numId="27">
    <w:abstractNumId w:val="0"/>
  </w:num>
  <w:num w:numId="28">
    <w:abstractNumId w:val="29"/>
  </w:num>
  <w:num w:numId="29">
    <w:abstractNumId w:val="3"/>
  </w:num>
  <w:num w:numId="30">
    <w:abstractNumId w:val="8"/>
  </w:num>
  <w:num w:numId="31">
    <w:abstractNumId w:val="25"/>
  </w:num>
  <w:num w:numId="32">
    <w:abstractNumId w:val="1"/>
  </w:num>
  <w:num w:numId="33">
    <w:abstractNumId w:val="32"/>
  </w:num>
  <w:num w:numId="34">
    <w:abstractNumId w:val="19"/>
  </w:num>
  <w:num w:numId="35">
    <w:abstractNumId w:val="16"/>
  </w:num>
  <w:num w:numId="36">
    <w:abstractNumId w:val="36"/>
  </w:num>
  <w:num w:numId="37">
    <w:abstractNumId w:val="30"/>
  </w:num>
  <w:num w:numId="38">
    <w:abstractNumId w:val="22"/>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10CBE"/>
    <w:rsid w:val="00013BCB"/>
    <w:rsid w:val="00020399"/>
    <w:rsid w:val="00020EE0"/>
    <w:rsid w:val="000222F7"/>
    <w:rsid w:val="000227FA"/>
    <w:rsid w:val="0003050E"/>
    <w:rsid w:val="00032CF7"/>
    <w:rsid w:val="00035EDB"/>
    <w:rsid w:val="00035F8F"/>
    <w:rsid w:val="00041425"/>
    <w:rsid w:val="0004795A"/>
    <w:rsid w:val="00050DB5"/>
    <w:rsid w:val="00052D4F"/>
    <w:rsid w:val="00053ED1"/>
    <w:rsid w:val="00062CBD"/>
    <w:rsid w:val="00073973"/>
    <w:rsid w:val="00074A99"/>
    <w:rsid w:val="000751FB"/>
    <w:rsid w:val="00076643"/>
    <w:rsid w:val="00080E38"/>
    <w:rsid w:val="00082DF3"/>
    <w:rsid w:val="00083664"/>
    <w:rsid w:val="000B00E1"/>
    <w:rsid w:val="000B2E9E"/>
    <w:rsid w:val="000B3319"/>
    <w:rsid w:val="000B44D6"/>
    <w:rsid w:val="000B5CA4"/>
    <w:rsid w:val="000B7E7A"/>
    <w:rsid w:val="000B7F0D"/>
    <w:rsid w:val="000C4D36"/>
    <w:rsid w:val="000C59EE"/>
    <w:rsid w:val="000D23C7"/>
    <w:rsid w:val="000D5294"/>
    <w:rsid w:val="000D685B"/>
    <w:rsid w:val="000D7FDC"/>
    <w:rsid w:val="000E06EE"/>
    <w:rsid w:val="000E2FED"/>
    <w:rsid w:val="000E64FC"/>
    <w:rsid w:val="000F019E"/>
    <w:rsid w:val="000F0611"/>
    <w:rsid w:val="000F278F"/>
    <w:rsid w:val="000F2A0E"/>
    <w:rsid w:val="000F51C0"/>
    <w:rsid w:val="00101A20"/>
    <w:rsid w:val="0011750A"/>
    <w:rsid w:val="0012266D"/>
    <w:rsid w:val="00122B28"/>
    <w:rsid w:val="00122BE3"/>
    <w:rsid w:val="00125254"/>
    <w:rsid w:val="00125BD4"/>
    <w:rsid w:val="00130D58"/>
    <w:rsid w:val="00132751"/>
    <w:rsid w:val="00132E81"/>
    <w:rsid w:val="00133526"/>
    <w:rsid w:val="00134741"/>
    <w:rsid w:val="0013766D"/>
    <w:rsid w:val="00143758"/>
    <w:rsid w:val="001501D2"/>
    <w:rsid w:val="0015550A"/>
    <w:rsid w:val="00171798"/>
    <w:rsid w:val="00171BD5"/>
    <w:rsid w:val="0018251E"/>
    <w:rsid w:val="00183623"/>
    <w:rsid w:val="00195489"/>
    <w:rsid w:val="001A275F"/>
    <w:rsid w:val="001A32DE"/>
    <w:rsid w:val="001B066D"/>
    <w:rsid w:val="001B3E5E"/>
    <w:rsid w:val="001C0F7D"/>
    <w:rsid w:val="001C28D0"/>
    <w:rsid w:val="001C3E01"/>
    <w:rsid w:val="001C3F41"/>
    <w:rsid w:val="001C7069"/>
    <w:rsid w:val="001D3E00"/>
    <w:rsid w:val="001E0DD6"/>
    <w:rsid w:val="001E5993"/>
    <w:rsid w:val="002019BD"/>
    <w:rsid w:val="002052F6"/>
    <w:rsid w:val="00207283"/>
    <w:rsid w:val="00207FE7"/>
    <w:rsid w:val="00210DAF"/>
    <w:rsid w:val="00217E99"/>
    <w:rsid w:val="0022398E"/>
    <w:rsid w:val="00223C2F"/>
    <w:rsid w:val="00224181"/>
    <w:rsid w:val="00233D51"/>
    <w:rsid w:val="0024055C"/>
    <w:rsid w:val="00241578"/>
    <w:rsid w:val="0025319F"/>
    <w:rsid w:val="00253A3D"/>
    <w:rsid w:val="00253C58"/>
    <w:rsid w:val="00257B00"/>
    <w:rsid w:val="00260563"/>
    <w:rsid w:val="002606F0"/>
    <w:rsid w:val="0026534C"/>
    <w:rsid w:val="002677ED"/>
    <w:rsid w:val="00272144"/>
    <w:rsid w:val="00272DDD"/>
    <w:rsid w:val="0027329E"/>
    <w:rsid w:val="00287512"/>
    <w:rsid w:val="002902D7"/>
    <w:rsid w:val="00293868"/>
    <w:rsid w:val="00294D34"/>
    <w:rsid w:val="00294E65"/>
    <w:rsid w:val="002A0B8E"/>
    <w:rsid w:val="002A1820"/>
    <w:rsid w:val="002A30B2"/>
    <w:rsid w:val="002A42E4"/>
    <w:rsid w:val="002A6F17"/>
    <w:rsid w:val="002B144D"/>
    <w:rsid w:val="002B1A4F"/>
    <w:rsid w:val="002B78A2"/>
    <w:rsid w:val="002C42B8"/>
    <w:rsid w:val="002C5AC2"/>
    <w:rsid w:val="002C6BFF"/>
    <w:rsid w:val="002D3785"/>
    <w:rsid w:val="002F7CFF"/>
    <w:rsid w:val="003011A8"/>
    <w:rsid w:val="003034F4"/>
    <w:rsid w:val="0030350B"/>
    <w:rsid w:val="00307CD9"/>
    <w:rsid w:val="00311C5E"/>
    <w:rsid w:val="00313972"/>
    <w:rsid w:val="003139F1"/>
    <w:rsid w:val="00313FE3"/>
    <w:rsid w:val="003160E8"/>
    <w:rsid w:val="00317B8A"/>
    <w:rsid w:val="00320C95"/>
    <w:rsid w:val="00321CA8"/>
    <w:rsid w:val="00327444"/>
    <w:rsid w:val="00330A95"/>
    <w:rsid w:val="003341B0"/>
    <w:rsid w:val="00334E11"/>
    <w:rsid w:val="00337B49"/>
    <w:rsid w:val="00341648"/>
    <w:rsid w:val="00342A59"/>
    <w:rsid w:val="00343929"/>
    <w:rsid w:val="00345C5E"/>
    <w:rsid w:val="0034696E"/>
    <w:rsid w:val="003470B1"/>
    <w:rsid w:val="003474F2"/>
    <w:rsid w:val="0035101A"/>
    <w:rsid w:val="00352EC2"/>
    <w:rsid w:val="00356C52"/>
    <w:rsid w:val="00356CFE"/>
    <w:rsid w:val="00357BFC"/>
    <w:rsid w:val="00365A3D"/>
    <w:rsid w:val="003800CC"/>
    <w:rsid w:val="0038226F"/>
    <w:rsid w:val="00382E48"/>
    <w:rsid w:val="003839E6"/>
    <w:rsid w:val="00385299"/>
    <w:rsid w:val="0039084D"/>
    <w:rsid w:val="00394CC7"/>
    <w:rsid w:val="003B465B"/>
    <w:rsid w:val="003B5697"/>
    <w:rsid w:val="003B6912"/>
    <w:rsid w:val="003C5897"/>
    <w:rsid w:val="003D2A1C"/>
    <w:rsid w:val="003D2BD6"/>
    <w:rsid w:val="003D4CC3"/>
    <w:rsid w:val="003E2AE6"/>
    <w:rsid w:val="003F1C78"/>
    <w:rsid w:val="003F6C6C"/>
    <w:rsid w:val="00411827"/>
    <w:rsid w:val="00415ED7"/>
    <w:rsid w:val="0041722B"/>
    <w:rsid w:val="00417CD4"/>
    <w:rsid w:val="0042378C"/>
    <w:rsid w:val="004254FE"/>
    <w:rsid w:val="004275EB"/>
    <w:rsid w:val="00431841"/>
    <w:rsid w:val="004329AC"/>
    <w:rsid w:val="00437C82"/>
    <w:rsid w:val="00437E85"/>
    <w:rsid w:val="00446E5D"/>
    <w:rsid w:val="004867DE"/>
    <w:rsid w:val="00486FE1"/>
    <w:rsid w:val="00487F76"/>
    <w:rsid w:val="004920D8"/>
    <w:rsid w:val="00492244"/>
    <w:rsid w:val="00492951"/>
    <w:rsid w:val="00493023"/>
    <w:rsid w:val="004931E7"/>
    <w:rsid w:val="004A2BFB"/>
    <w:rsid w:val="004A4E4D"/>
    <w:rsid w:val="004B7E95"/>
    <w:rsid w:val="004C0C26"/>
    <w:rsid w:val="004C3693"/>
    <w:rsid w:val="004C7CFF"/>
    <w:rsid w:val="004D2991"/>
    <w:rsid w:val="004D2D22"/>
    <w:rsid w:val="004D6125"/>
    <w:rsid w:val="004E271B"/>
    <w:rsid w:val="004E2DAC"/>
    <w:rsid w:val="004E6DB3"/>
    <w:rsid w:val="004F05B2"/>
    <w:rsid w:val="004F5D95"/>
    <w:rsid w:val="005052FC"/>
    <w:rsid w:val="0050780F"/>
    <w:rsid w:val="00511AC9"/>
    <w:rsid w:val="0051435E"/>
    <w:rsid w:val="005166D5"/>
    <w:rsid w:val="00520D69"/>
    <w:rsid w:val="00527856"/>
    <w:rsid w:val="00527C6A"/>
    <w:rsid w:val="00531D07"/>
    <w:rsid w:val="005329E8"/>
    <w:rsid w:val="00541FE3"/>
    <w:rsid w:val="00547297"/>
    <w:rsid w:val="00555555"/>
    <w:rsid w:val="005733EB"/>
    <w:rsid w:val="00574649"/>
    <w:rsid w:val="0057576D"/>
    <w:rsid w:val="00575BEF"/>
    <w:rsid w:val="0058641D"/>
    <w:rsid w:val="005A7D62"/>
    <w:rsid w:val="005B1DF4"/>
    <w:rsid w:val="005B4890"/>
    <w:rsid w:val="005C143B"/>
    <w:rsid w:val="005D17CF"/>
    <w:rsid w:val="005D6951"/>
    <w:rsid w:val="005E601C"/>
    <w:rsid w:val="005E61EA"/>
    <w:rsid w:val="005F014F"/>
    <w:rsid w:val="005F183E"/>
    <w:rsid w:val="005F27DF"/>
    <w:rsid w:val="005F32D2"/>
    <w:rsid w:val="005F4C74"/>
    <w:rsid w:val="00611799"/>
    <w:rsid w:val="00612A6A"/>
    <w:rsid w:val="00614FDD"/>
    <w:rsid w:val="00616784"/>
    <w:rsid w:val="006200A2"/>
    <w:rsid w:val="00623294"/>
    <w:rsid w:val="00624C9F"/>
    <w:rsid w:val="00625316"/>
    <w:rsid w:val="00627E93"/>
    <w:rsid w:val="00630582"/>
    <w:rsid w:val="00631B59"/>
    <w:rsid w:val="00634239"/>
    <w:rsid w:val="00636D22"/>
    <w:rsid w:val="00637A11"/>
    <w:rsid w:val="00650FCE"/>
    <w:rsid w:val="00653B08"/>
    <w:rsid w:val="00654533"/>
    <w:rsid w:val="00654B56"/>
    <w:rsid w:val="00664CA7"/>
    <w:rsid w:val="00673CFD"/>
    <w:rsid w:val="00680423"/>
    <w:rsid w:val="006810B9"/>
    <w:rsid w:val="006866FB"/>
    <w:rsid w:val="00690A52"/>
    <w:rsid w:val="006A1167"/>
    <w:rsid w:val="006A6A6C"/>
    <w:rsid w:val="006A6F87"/>
    <w:rsid w:val="006B2E10"/>
    <w:rsid w:val="006C1A4F"/>
    <w:rsid w:val="006C4A13"/>
    <w:rsid w:val="006D080D"/>
    <w:rsid w:val="006D27AC"/>
    <w:rsid w:val="006D7C07"/>
    <w:rsid w:val="006E09A0"/>
    <w:rsid w:val="006E375A"/>
    <w:rsid w:val="006F1EF7"/>
    <w:rsid w:val="006F28F3"/>
    <w:rsid w:val="006F2EA8"/>
    <w:rsid w:val="006F46D5"/>
    <w:rsid w:val="00702AB3"/>
    <w:rsid w:val="007059F8"/>
    <w:rsid w:val="00707CD8"/>
    <w:rsid w:val="0071132A"/>
    <w:rsid w:val="00712DB8"/>
    <w:rsid w:val="0071620F"/>
    <w:rsid w:val="007222CB"/>
    <w:rsid w:val="00732C05"/>
    <w:rsid w:val="00755099"/>
    <w:rsid w:val="0075781D"/>
    <w:rsid w:val="00761B6C"/>
    <w:rsid w:val="0077680C"/>
    <w:rsid w:val="0079194D"/>
    <w:rsid w:val="00793344"/>
    <w:rsid w:val="00793FB4"/>
    <w:rsid w:val="007A0267"/>
    <w:rsid w:val="007A1EFA"/>
    <w:rsid w:val="007B5366"/>
    <w:rsid w:val="007B7A2B"/>
    <w:rsid w:val="007C1445"/>
    <w:rsid w:val="007C5165"/>
    <w:rsid w:val="007C6936"/>
    <w:rsid w:val="007D276C"/>
    <w:rsid w:val="007D48FA"/>
    <w:rsid w:val="007E2959"/>
    <w:rsid w:val="007E5600"/>
    <w:rsid w:val="007F0FE4"/>
    <w:rsid w:val="008265FF"/>
    <w:rsid w:val="00830CB0"/>
    <w:rsid w:val="00834F4B"/>
    <w:rsid w:val="0084425F"/>
    <w:rsid w:val="00845C1C"/>
    <w:rsid w:val="00851B59"/>
    <w:rsid w:val="00857F9A"/>
    <w:rsid w:val="00860F0A"/>
    <w:rsid w:val="0086434B"/>
    <w:rsid w:val="00871B5D"/>
    <w:rsid w:val="00872278"/>
    <w:rsid w:val="0087230C"/>
    <w:rsid w:val="00873EF8"/>
    <w:rsid w:val="00875499"/>
    <w:rsid w:val="00881D0D"/>
    <w:rsid w:val="008904FC"/>
    <w:rsid w:val="00892C7D"/>
    <w:rsid w:val="008A0C8F"/>
    <w:rsid w:val="008A12F6"/>
    <w:rsid w:val="008A6D5F"/>
    <w:rsid w:val="008A7A86"/>
    <w:rsid w:val="008B34EC"/>
    <w:rsid w:val="008C2D55"/>
    <w:rsid w:val="008C316F"/>
    <w:rsid w:val="008D33FE"/>
    <w:rsid w:val="008E0DD2"/>
    <w:rsid w:val="008E0E21"/>
    <w:rsid w:val="008E5141"/>
    <w:rsid w:val="008F084E"/>
    <w:rsid w:val="008F7A52"/>
    <w:rsid w:val="0090367F"/>
    <w:rsid w:val="009050B2"/>
    <w:rsid w:val="00913AAE"/>
    <w:rsid w:val="00916105"/>
    <w:rsid w:val="00917901"/>
    <w:rsid w:val="00925375"/>
    <w:rsid w:val="00934F23"/>
    <w:rsid w:val="00940EBE"/>
    <w:rsid w:val="00942FDD"/>
    <w:rsid w:val="00943223"/>
    <w:rsid w:val="00944134"/>
    <w:rsid w:val="0094613F"/>
    <w:rsid w:val="0095157B"/>
    <w:rsid w:val="00951B8D"/>
    <w:rsid w:val="009559B1"/>
    <w:rsid w:val="00956134"/>
    <w:rsid w:val="00963155"/>
    <w:rsid w:val="00964C9E"/>
    <w:rsid w:val="00967DF2"/>
    <w:rsid w:val="0097286C"/>
    <w:rsid w:val="00976A80"/>
    <w:rsid w:val="00980401"/>
    <w:rsid w:val="009838CD"/>
    <w:rsid w:val="009845EC"/>
    <w:rsid w:val="00985E6C"/>
    <w:rsid w:val="009877A2"/>
    <w:rsid w:val="00991CC2"/>
    <w:rsid w:val="00992273"/>
    <w:rsid w:val="00994336"/>
    <w:rsid w:val="00997030"/>
    <w:rsid w:val="009A0459"/>
    <w:rsid w:val="009A11C4"/>
    <w:rsid w:val="009A4B31"/>
    <w:rsid w:val="009B4889"/>
    <w:rsid w:val="009B76BF"/>
    <w:rsid w:val="009C2FB1"/>
    <w:rsid w:val="009C682B"/>
    <w:rsid w:val="009C75A5"/>
    <w:rsid w:val="009D04F7"/>
    <w:rsid w:val="009D427C"/>
    <w:rsid w:val="009D4C08"/>
    <w:rsid w:val="009E10E2"/>
    <w:rsid w:val="009E3B36"/>
    <w:rsid w:val="009E5649"/>
    <w:rsid w:val="009F30E4"/>
    <w:rsid w:val="009F477F"/>
    <w:rsid w:val="009F4D4F"/>
    <w:rsid w:val="009F6268"/>
    <w:rsid w:val="009F7948"/>
    <w:rsid w:val="00A04B99"/>
    <w:rsid w:val="00A113D3"/>
    <w:rsid w:val="00A118BD"/>
    <w:rsid w:val="00A153E0"/>
    <w:rsid w:val="00A15A9C"/>
    <w:rsid w:val="00A21B83"/>
    <w:rsid w:val="00A21DA5"/>
    <w:rsid w:val="00A253C5"/>
    <w:rsid w:val="00A34786"/>
    <w:rsid w:val="00A401A6"/>
    <w:rsid w:val="00A447F3"/>
    <w:rsid w:val="00A459D0"/>
    <w:rsid w:val="00A46AA9"/>
    <w:rsid w:val="00A70873"/>
    <w:rsid w:val="00A70BE5"/>
    <w:rsid w:val="00A74AE1"/>
    <w:rsid w:val="00A75D74"/>
    <w:rsid w:val="00A77CBE"/>
    <w:rsid w:val="00A80C74"/>
    <w:rsid w:val="00A852B7"/>
    <w:rsid w:val="00A863D6"/>
    <w:rsid w:val="00A92C85"/>
    <w:rsid w:val="00A948EF"/>
    <w:rsid w:val="00A96892"/>
    <w:rsid w:val="00A96B06"/>
    <w:rsid w:val="00AA2733"/>
    <w:rsid w:val="00AA2CB1"/>
    <w:rsid w:val="00AA4538"/>
    <w:rsid w:val="00AA5258"/>
    <w:rsid w:val="00AA72F0"/>
    <w:rsid w:val="00AB2460"/>
    <w:rsid w:val="00AC1215"/>
    <w:rsid w:val="00AC1D50"/>
    <w:rsid w:val="00AC4880"/>
    <w:rsid w:val="00AC5FA1"/>
    <w:rsid w:val="00AE1180"/>
    <w:rsid w:val="00AE2701"/>
    <w:rsid w:val="00AE5540"/>
    <w:rsid w:val="00AE6C3B"/>
    <w:rsid w:val="00AF2CBB"/>
    <w:rsid w:val="00AF34BE"/>
    <w:rsid w:val="00B020D7"/>
    <w:rsid w:val="00B052B4"/>
    <w:rsid w:val="00B10B28"/>
    <w:rsid w:val="00B10BF8"/>
    <w:rsid w:val="00B11FA7"/>
    <w:rsid w:val="00B12DA8"/>
    <w:rsid w:val="00B13C8E"/>
    <w:rsid w:val="00B165EF"/>
    <w:rsid w:val="00B17A1D"/>
    <w:rsid w:val="00B20422"/>
    <w:rsid w:val="00B252F9"/>
    <w:rsid w:val="00B258A2"/>
    <w:rsid w:val="00B25F6F"/>
    <w:rsid w:val="00B34A6D"/>
    <w:rsid w:val="00B355AB"/>
    <w:rsid w:val="00B36484"/>
    <w:rsid w:val="00B37167"/>
    <w:rsid w:val="00B40651"/>
    <w:rsid w:val="00B43530"/>
    <w:rsid w:val="00B43E9E"/>
    <w:rsid w:val="00B44BB1"/>
    <w:rsid w:val="00B50BD7"/>
    <w:rsid w:val="00B51395"/>
    <w:rsid w:val="00B51AF4"/>
    <w:rsid w:val="00B54578"/>
    <w:rsid w:val="00B553D5"/>
    <w:rsid w:val="00B57A54"/>
    <w:rsid w:val="00B66DDA"/>
    <w:rsid w:val="00B67466"/>
    <w:rsid w:val="00B74369"/>
    <w:rsid w:val="00B75085"/>
    <w:rsid w:val="00B86E3B"/>
    <w:rsid w:val="00B90BC9"/>
    <w:rsid w:val="00BA225C"/>
    <w:rsid w:val="00BA2458"/>
    <w:rsid w:val="00BA2908"/>
    <w:rsid w:val="00BA3963"/>
    <w:rsid w:val="00BA68FA"/>
    <w:rsid w:val="00BA73A8"/>
    <w:rsid w:val="00BB5CAD"/>
    <w:rsid w:val="00BC1280"/>
    <w:rsid w:val="00BC1A30"/>
    <w:rsid w:val="00BC1C0A"/>
    <w:rsid w:val="00BC4EF7"/>
    <w:rsid w:val="00BD3741"/>
    <w:rsid w:val="00BD5907"/>
    <w:rsid w:val="00BD652F"/>
    <w:rsid w:val="00BE2882"/>
    <w:rsid w:val="00BE35D8"/>
    <w:rsid w:val="00BF1F57"/>
    <w:rsid w:val="00BF2F26"/>
    <w:rsid w:val="00C06006"/>
    <w:rsid w:val="00C13508"/>
    <w:rsid w:val="00C13DE9"/>
    <w:rsid w:val="00C16071"/>
    <w:rsid w:val="00C1645F"/>
    <w:rsid w:val="00C203E8"/>
    <w:rsid w:val="00C25BA8"/>
    <w:rsid w:val="00C546B6"/>
    <w:rsid w:val="00C56A1E"/>
    <w:rsid w:val="00C56C4E"/>
    <w:rsid w:val="00C63001"/>
    <w:rsid w:val="00C6478B"/>
    <w:rsid w:val="00C64C22"/>
    <w:rsid w:val="00C66E70"/>
    <w:rsid w:val="00C76926"/>
    <w:rsid w:val="00C80AEF"/>
    <w:rsid w:val="00C80C5C"/>
    <w:rsid w:val="00C82C87"/>
    <w:rsid w:val="00C9038E"/>
    <w:rsid w:val="00CA211D"/>
    <w:rsid w:val="00CA3C0C"/>
    <w:rsid w:val="00CA66CE"/>
    <w:rsid w:val="00CA79BC"/>
    <w:rsid w:val="00CA7BDA"/>
    <w:rsid w:val="00CD19EF"/>
    <w:rsid w:val="00CD55BD"/>
    <w:rsid w:val="00CD7242"/>
    <w:rsid w:val="00CE17AD"/>
    <w:rsid w:val="00CE7A1C"/>
    <w:rsid w:val="00CF2196"/>
    <w:rsid w:val="00CF53DF"/>
    <w:rsid w:val="00D01A9A"/>
    <w:rsid w:val="00D120B9"/>
    <w:rsid w:val="00D12C9D"/>
    <w:rsid w:val="00D14200"/>
    <w:rsid w:val="00D15363"/>
    <w:rsid w:val="00D16237"/>
    <w:rsid w:val="00D2129D"/>
    <w:rsid w:val="00D214D7"/>
    <w:rsid w:val="00D22632"/>
    <w:rsid w:val="00D24D84"/>
    <w:rsid w:val="00D25862"/>
    <w:rsid w:val="00D27526"/>
    <w:rsid w:val="00D30D0C"/>
    <w:rsid w:val="00D329E5"/>
    <w:rsid w:val="00D352E2"/>
    <w:rsid w:val="00D405E6"/>
    <w:rsid w:val="00D41F41"/>
    <w:rsid w:val="00D55CE4"/>
    <w:rsid w:val="00D56BC3"/>
    <w:rsid w:val="00D67629"/>
    <w:rsid w:val="00D70FE3"/>
    <w:rsid w:val="00D75F50"/>
    <w:rsid w:val="00D8485C"/>
    <w:rsid w:val="00D86447"/>
    <w:rsid w:val="00D874D8"/>
    <w:rsid w:val="00D9010D"/>
    <w:rsid w:val="00D95936"/>
    <w:rsid w:val="00D96638"/>
    <w:rsid w:val="00D97375"/>
    <w:rsid w:val="00DA598F"/>
    <w:rsid w:val="00DB544F"/>
    <w:rsid w:val="00DB584E"/>
    <w:rsid w:val="00DB6BBE"/>
    <w:rsid w:val="00DB731A"/>
    <w:rsid w:val="00DC12D8"/>
    <w:rsid w:val="00DC3B85"/>
    <w:rsid w:val="00DC4C5B"/>
    <w:rsid w:val="00DC6685"/>
    <w:rsid w:val="00DC71F8"/>
    <w:rsid w:val="00DD06D5"/>
    <w:rsid w:val="00DD0F9F"/>
    <w:rsid w:val="00DD13E2"/>
    <w:rsid w:val="00DD16A6"/>
    <w:rsid w:val="00DD2508"/>
    <w:rsid w:val="00DD2E78"/>
    <w:rsid w:val="00DE404C"/>
    <w:rsid w:val="00DE6EF1"/>
    <w:rsid w:val="00DF074F"/>
    <w:rsid w:val="00DF5AFA"/>
    <w:rsid w:val="00E001CC"/>
    <w:rsid w:val="00E039B7"/>
    <w:rsid w:val="00E03CB8"/>
    <w:rsid w:val="00E07725"/>
    <w:rsid w:val="00E10982"/>
    <w:rsid w:val="00E10DEE"/>
    <w:rsid w:val="00E11F69"/>
    <w:rsid w:val="00E158AD"/>
    <w:rsid w:val="00E15E85"/>
    <w:rsid w:val="00E20DFF"/>
    <w:rsid w:val="00E22096"/>
    <w:rsid w:val="00E221C1"/>
    <w:rsid w:val="00E30AF5"/>
    <w:rsid w:val="00E34874"/>
    <w:rsid w:val="00E34FA5"/>
    <w:rsid w:val="00E372DA"/>
    <w:rsid w:val="00E44464"/>
    <w:rsid w:val="00E44BBB"/>
    <w:rsid w:val="00E57F62"/>
    <w:rsid w:val="00E623FA"/>
    <w:rsid w:val="00E64D3E"/>
    <w:rsid w:val="00E738B6"/>
    <w:rsid w:val="00E73FB3"/>
    <w:rsid w:val="00E819A2"/>
    <w:rsid w:val="00E83C46"/>
    <w:rsid w:val="00E8593B"/>
    <w:rsid w:val="00E85DB7"/>
    <w:rsid w:val="00E87E34"/>
    <w:rsid w:val="00E91B25"/>
    <w:rsid w:val="00E92E34"/>
    <w:rsid w:val="00E92E4B"/>
    <w:rsid w:val="00E93B27"/>
    <w:rsid w:val="00E94BA2"/>
    <w:rsid w:val="00E95D7C"/>
    <w:rsid w:val="00EA0D06"/>
    <w:rsid w:val="00EA2A41"/>
    <w:rsid w:val="00EA4B96"/>
    <w:rsid w:val="00EA663A"/>
    <w:rsid w:val="00EB1C9E"/>
    <w:rsid w:val="00EB2D51"/>
    <w:rsid w:val="00EB551F"/>
    <w:rsid w:val="00EC601F"/>
    <w:rsid w:val="00EC7EDE"/>
    <w:rsid w:val="00ED007C"/>
    <w:rsid w:val="00ED3DC4"/>
    <w:rsid w:val="00ED466F"/>
    <w:rsid w:val="00ED6532"/>
    <w:rsid w:val="00ED7C88"/>
    <w:rsid w:val="00EE109E"/>
    <w:rsid w:val="00EE3C39"/>
    <w:rsid w:val="00EE5CB5"/>
    <w:rsid w:val="00EE7CBC"/>
    <w:rsid w:val="00EF2AE9"/>
    <w:rsid w:val="00F07156"/>
    <w:rsid w:val="00F10E76"/>
    <w:rsid w:val="00F3348A"/>
    <w:rsid w:val="00F342A1"/>
    <w:rsid w:val="00F433DC"/>
    <w:rsid w:val="00F46209"/>
    <w:rsid w:val="00F47641"/>
    <w:rsid w:val="00F72E4A"/>
    <w:rsid w:val="00F77632"/>
    <w:rsid w:val="00F812A0"/>
    <w:rsid w:val="00F84AD2"/>
    <w:rsid w:val="00F87F64"/>
    <w:rsid w:val="00F9756D"/>
    <w:rsid w:val="00FA1E45"/>
    <w:rsid w:val="00FA275B"/>
    <w:rsid w:val="00FB23D6"/>
    <w:rsid w:val="00FB2D04"/>
    <w:rsid w:val="00FB660C"/>
    <w:rsid w:val="00FC2F6B"/>
    <w:rsid w:val="00FD04A9"/>
    <w:rsid w:val="00FD2984"/>
    <w:rsid w:val="00FD3BFD"/>
    <w:rsid w:val="00FE0916"/>
    <w:rsid w:val="00FE23FB"/>
    <w:rsid w:val="00FE2CEA"/>
    <w:rsid w:val="00FE515D"/>
    <w:rsid w:val="00FF78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07488F"/>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A4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6CFE"/>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Fuentedeprrafopredeter"/>
    <w:uiPriority w:val="99"/>
    <w:semiHidden/>
    <w:unhideWhenUsed/>
    <w:rsid w:val="00446E5D"/>
    <w:rPr>
      <w:color w:val="605E5C"/>
      <w:shd w:val="clear" w:color="auto" w:fill="E1DFDD"/>
    </w:rPr>
  </w:style>
  <w:style w:type="character" w:styleId="Hipervnculovisitado">
    <w:name w:val="FollowedHyperlink"/>
    <w:basedOn w:val="Fuentedeprrafopredeter"/>
    <w:uiPriority w:val="99"/>
    <w:semiHidden/>
    <w:unhideWhenUsed/>
    <w:rsid w:val="007059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6334">
      <w:bodyDiv w:val="1"/>
      <w:marLeft w:val="0"/>
      <w:marRight w:val="0"/>
      <w:marTop w:val="0"/>
      <w:marBottom w:val="0"/>
      <w:divBdr>
        <w:top w:val="none" w:sz="0" w:space="0" w:color="auto"/>
        <w:left w:val="none" w:sz="0" w:space="0" w:color="auto"/>
        <w:bottom w:val="none" w:sz="0" w:space="0" w:color="auto"/>
        <w:right w:val="none" w:sz="0" w:space="0" w:color="auto"/>
      </w:divBdr>
    </w:div>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33890792">
      <w:bodyDiv w:val="1"/>
      <w:marLeft w:val="0"/>
      <w:marRight w:val="0"/>
      <w:marTop w:val="0"/>
      <w:marBottom w:val="0"/>
      <w:divBdr>
        <w:top w:val="none" w:sz="0" w:space="0" w:color="auto"/>
        <w:left w:val="none" w:sz="0" w:space="0" w:color="auto"/>
        <w:bottom w:val="none" w:sz="0" w:space="0" w:color="auto"/>
        <w:right w:val="none" w:sz="0" w:space="0" w:color="auto"/>
      </w:divBdr>
    </w:div>
    <w:div w:id="51007276">
      <w:bodyDiv w:val="1"/>
      <w:marLeft w:val="0"/>
      <w:marRight w:val="0"/>
      <w:marTop w:val="0"/>
      <w:marBottom w:val="0"/>
      <w:divBdr>
        <w:top w:val="none" w:sz="0" w:space="0" w:color="auto"/>
        <w:left w:val="none" w:sz="0" w:space="0" w:color="auto"/>
        <w:bottom w:val="none" w:sz="0" w:space="0" w:color="auto"/>
        <w:right w:val="none" w:sz="0" w:space="0" w:color="auto"/>
      </w:divBdr>
    </w:div>
    <w:div w:id="60642932">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97482702">
      <w:bodyDiv w:val="1"/>
      <w:marLeft w:val="0"/>
      <w:marRight w:val="0"/>
      <w:marTop w:val="0"/>
      <w:marBottom w:val="0"/>
      <w:divBdr>
        <w:top w:val="none" w:sz="0" w:space="0" w:color="auto"/>
        <w:left w:val="none" w:sz="0" w:space="0" w:color="auto"/>
        <w:bottom w:val="none" w:sz="0" w:space="0" w:color="auto"/>
        <w:right w:val="none" w:sz="0" w:space="0" w:color="auto"/>
      </w:divBdr>
    </w:div>
    <w:div w:id="133529469">
      <w:bodyDiv w:val="1"/>
      <w:marLeft w:val="0"/>
      <w:marRight w:val="0"/>
      <w:marTop w:val="0"/>
      <w:marBottom w:val="0"/>
      <w:divBdr>
        <w:top w:val="none" w:sz="0" w:space="0" w:color="auto"/>
        <w:left w:val="none" w:sz="0" w:space="0" w:color="auto"/>
        <w:bottom w:val="none" w:sz="0" w:space="0" w:color="auto"/>
        <w:right w:val="none" w:sz="0" w:space="0" w:color="auto"/>
      </w:divBdr>
    </w:div>
    <w:div w:id="241526654">
      <w:bodyDiv w:val="1"/>
      <w:marLeft w:val="0"/>
      <w:marRight w:val="0"/>
      <w:marTop w:val="0"/>
      <w:marBottom w:val="0"/>
      <w:divBdr>
        <w:top w:val="none" w:sz="0" w:space="0" w:color="auto"/>
        <w:left w:val="none" w:sz="0" w:space="0" w:color="auto"/>
        <w:bottom w:val="none" w:sz="0" w:space="0" w:color="auto"/>
        <w:right w:val="none" w:sz="0" w:space="0" w:color="auto"/>
      </w:divBdr>
    </w:div>
    <w:div w:id="242498223">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4674110">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287859570">
      <w:bodyDiv w:val="1"/>
      <w:marLeft w:val="0"/>
      <w:marRight w:val="0"/>
      <w:marTop w:val="0"/>
      <w:marBottom w:val="0"/>
      <w:divBdr>
        <w:top w:val="none" w:sz="0" w:space="0" w:color="auto"/>
        <w:left w:val="none" w:sz="0" w:space="0" w:color="auto"/>
        <w:bottom w:val="none" w:sz="0" w:space="0" w:color="auto"/>
        <w:right w:val="none" w:sz="0" w:space="0" w:color="auto"/>
      </w:divBdr>
    </w:div>
    <w:div w:id="312879880">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144448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38985317">
      <w:bodyDiv w:val="1"/>
      <w:marLeft w:val="0"/>
      <w:marRight w:val="0"/>
      <w:marTop w:val="0"/>
      <w:marBottom w:val="0"/>
      <w:divBdr>
        <w:top w:val="none" w:sz="0" w:space="0" w:color="auto"/>
        <w:left w:val="none" w:sz="0" w:space="0" w:color="auto"/>
        <w:bottom w:val="none" w:sz="0" w:space="0" w:color="auto"/>
        <w:right w:val="none" w:sz="0" w:space="0" w:color="auto"/>
      </w:divBdr>
    </w:div>
    <w:div w:id="448814752">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98812158">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39438903">
      <w:bodyDiv w:val="1"/>
      <w:marLeft w:val="0"/>
      <w:marRight w:val="0"/>
      <w:marTop w:val="0"/>
      <w:marBottom w:val="0"/>
      <w:divBdr>
        <w:top w:val="none" w:sz="0" w:space="0" w:color="auto"/>
        <w:left w:val="none" w:sz="0" w:space="0" w:color="auto"/>
        <w:bottom w:val="none" w:sz="0" w:space="0" w:color="auto"/>
        <w:right w:val="none" w:sz="0" w:space="0" w:color="auto"/>
      </w:divBdr>
    </w:div>
    <w:div w:id="548146200">
      <w:bodyDiv w:val="1"/>
      <w:marLeft w:val="0"/>
      <w:marRight w:val="0"/>
      <w:marTop w:val="0"/>
      <w:marBottom w:val="0"/>
      <w:divBdr>
        <w:top w:val="none" w:sz="0" w:space="0" w:color="auto"/>
        <w:left w:val="none" w:sz="0" w:space="0" w:color="auto"/>
        <w:bottom w:val="none" w:sz="0" w:space="0" w:color="auto"/>
        <w:right w:val="none" w:sz="0" w:space="0" w:color="auto"/>
      </w:divBdr>
      <w:divsChild>
        <w:div w:id="1253203775">
          <w:marLeft w:val="0"/>
          <w:marRight w:val="0"/>
          <w:marTop w:val="0"/>
          <w:marBottom w:val="0"/>
          <w:divBdr>
            <w:top w:val="none" w:sz="0" w:space="0" w:color="auto"/>
            <w:left w:val="none" w:sz="0" w:space="0" w:color="auto"/>
            <w:bottom w:val="none" w:sz="0" w:space="0" w:color="auto"/>
            <w:right w:val="none" w:sz="0" w:space="0" w:color="auto"/>
          </w:divBdr>
          <w:divsChild>
            <w:div w:id="388068662">
              <w:marLeft w:val="0"/>
              <w:marRight w:val="0"/>
              <w:marTop w:val="0"/>
              <w:marBottom w:val="0"/>
              <w:divBdr>
                <w:top w:val="none" w:sz="0" w:space="0" w:color="auto"/>
                <w:left w:val="none" w:sz="0" w:space="0" w:color="auto"/>
                <w:bottom w:val="none" w:sz="0" w:space="0" w:color="auto"/>
                <w:right w:val="none" w:sz="0" w:space="0" w:color="auto"/>
              </w:divBdr>
              <w:divsChild>
                <w:div w:id="183961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99293119">
      <w:bodyDiv w:val="1"/>
      <w:marLeft w:val="0"/>
      <w:marRight w:val="0"/>
      <w:marTop w:val="0"/>
      <w:marBottom w:val="0"/>
      <w:divBdr>
        <w:top w:val="none" w:sz="0" w:space="0" w:color="auto"/>
        <w:left w:val="none" w:sz="0" w:space="0" w:color="auto"/>
        <w:bottom w:val="none" w:sz="0" w:space="0" w:color="auto"/>
        <w:right w:val="none" w:sz="0" w:space="0" w:color="auto"/>
      </w:divBdr>
    </w:div>
    <w:div w:id="603928119">
      <w:bodyDiv w:val="1"/>
      <w:marLeft w:val="0"/>
      <w:marRight w:val="0"/>
      <w:marTop w:val="0"/>
      <w:marBottom w:val="0"/>
      <w:divBdr>
        <w:top w:val="none" w:sz="0" w:space="0" w:color="auto"/>
        <w:left w:val="none" w:sz="0" w:space="0" w:color="auto"/>
        <w:bottom w:val="none" w:sz="0" w:space="0" w:color="auto"/>
        <w:right w:val="none" w:sz="0" w:space="0" w:color="auto"/>
      </w:divBdr>
      <w:divsChild>
        <w:div w:id="321617743">
          <w:marLeft w:val="0"/>
          <w:marRight w:val="0"/>
          <w:marTop w:val="0"/>
          <w:marBottom w:val="0"/>
          <w:divBdr>
            <w:top w:val="none" w:sz="0" w:space="0" w:color="auto"/>
            <w:left w:val="none" w:sz="0" w:space="0" w:color="auto"/>
            <w:bottom w:val="none" w:sz="0" w:space="0" w:color="auto"/>
            <w:right w:val="none" w:sz="0" w:space="0" w:color="auto"/>
          </w:divBdr>
          <w:divsChild>
            <w:div w:id="2054648146">
              <w:marLeft w:val="0"/>
              <w:marRight w:val="0"/>
              <w:marTop w:val="0"/>
              <w:marBottom w:val="0"/>
              <w:divBdr>
                <w:top w:val="none" w:sz="0" w:space="0" w:color="auto"/>
                <w:left w:val="none" w:sz="0" w:space="0" w:color="auto"/>
                <w:bottom w:val="none" w:sz="0" w:space="0" w:color="auto"/>
                <w:right w:val="none" w:sz="0" w:space="0" w:color="auto"/>
              </w:divBdr>
              <w:divsChild>
                <w:div w:id="159188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952986">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37420492">
      <w:bodyDiv w:val="1"/>
      <w:marLeft w:val="0"/>
      <w:marRight w:val="0"/>
      <w:marTop w:val="0"/>
      <w:marBottom w:val="0"/>
      <w:divBdr>
        <w:top w:val="none" w:sz="0" w:space="0" w:color="auto"/>
        <w:left w:val="none" w:sz="0" w:space="0" w:color="auto"/>
        <w:bottom w:val="none" w:sz="0" w:space="0" w:color="auto"/>
        <w:right w:val="none" w:sz="0" w:space="0" w:color="auto"/>
      </w:divBdr>
    </w:div>
    <w:div w:id="649987631">
      <w:bodyDiv w:val="1"/>
      <w:marLeft w:val="0"/>
      <w:marRight w:val="0"/>
      <w:marTop w:val="0"/>
      <w:marBottom w:val="0"/>
      <w:divBdr>
        <w:top w:val="none" w:sz="0" w:space="0" w:color="auto"/>
        <w:left w:val="none" w:sz="0" w:space="0" w:color="auto"/>
        <w:bottom w:val="none" w:sz="0" w:space="0" w:color="auto"/>
        <w:right w:val="none" w:sz="0" w:space="0" w:color="auto"/>
      </w:divBdr>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62129092">
      <w:bodyDiv w:val="1"/>
      <w:marLeft w:val="0"/>
      <w:marRight w:val="0"/>
      <w:marTop w:val="0"/>
      <w:marBottom w:val="0"/>
      <w:divBdr>
        <w:top w:val="none" w:sz="0" w:space="0" w:color="auto"/>
        <w:left w:val="none" w:sz="0" w:space="0" w:color="auto"/>
        <w:bottom w:val="none" w:sz="0" w:space="0" w:color="auto"/>
        <w:right w:val="none" w:sz="0" w:space="0" w:color="auto"/>
      </w:divBdr>
    </w:div>
    <w:div w:id="667489547">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2839432">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5059308">
      <w:bodyDiv w:val="1"/>
      <w:marLeft w:val="0"/>
      <w:marRight w:val="0"/>
      <w:marTop w:val="0"/>
      <w:marBottom w:val="0"/>
      <w:divBdr>
        <w:top w:val="none" w:sz="0" w:space="0" w:color="auto"/>
        <w:left w:val="none" w:sz="0" w:space="0" w:color="auto"/>
        <w:bottom w:val="none" w:sz="0" w:space="0" w:color="auto"/>
        <w:right w:val="none" w:sz="0" w:space="0" w:color="auto"/>
      </w:divBdr>
    </w:div>
    <w:div w:id="806970345">
      <w:bodyDiv w:val="1"/>
      <w:marLeft w:val="0"/>
      <w:marRight w:val="0"/>
      <w:marTop w:val="0"/>
      <w:marBottom w:val="0"/>
      <w:divBdr>
        <w:top w:val="none" w:sz="0" w:space="0" w:color="auto"/>
        <w:left w:val="none" w:sz="0" w:space="0" w:color="auto"/>
        <w:bottom w:val="none" w:sz="0" w:space="0" w:color="auto"/>
        <w:right w:val="none" w:sz="0" w:space="0" w:color="auto"/>
      </w:divBdr>
    </w:div>
    <w:div w:id="834884818">
      <w:bodyDiv w:val="1"/>
      <w:marLeft w:val="0"/>
      <w:marRight w:val="0"/>
      <w:marTop w:val="0"/>
      <w:marBottom w:val="0"/>
      <w:divBdr>
        <w:top w:val="none" w:sz="0" w:space="0" w:color="auto"/>
        <w:left w:val="none" w:sz="0" w:space="0" w:color="auto"/>
        <w:bottom w:val="none" w:sz="0" w:space="0" w:color="auto"/>
        <w:right w:val="none" w:sz="0" w:space="0" w:color="auto"/>
      </w:divBdr>
    </w:div>
    <w:div w:id="842011980">
      <w:bodyDiv w:val="1"/>
      <w:marLeft w:val="0"/>
      <w:marRight w:val="0"/>
      <w:marTop w:val="0"/>
      <w:marBottom w:val="0"/>
      <w:divBdr>
        <w:top w:val="none" w:sz="0" w:space="0" w:color="auto"/>
        <w:left w:val="none" w:sz="0" w:space="0" w:color="auto"/>
        <w:bottom w:val="none" w:sz="0" w:space="0" w:color="auto"/>
        <w:right w:val="none" w:sz="0" w:space="0" w:color="auto"/>
      </w:divBdr>
    </w:div>
    <w:div w:id="849687109">
      <w:bodyDiv w:val="1"/>
      <w:marLeft w:val="0"/>
      <w:marRight w:val="0"/>
      <w:marTop w:val="0"/>
      <w:marBottom w:val="0"/>
      <w:divBdr>
        <w:top w:val="none" w:sz="0" w:space="0" w:color="auto"/>
        <w:left w:val="none" w:sz="0" w:space="0" w:color="auto"/>
        <w:bottom w:val="none" w:sz="0" w:space="0" w:color="auto"/>
        <w:right w:val="none" w:sz="0" w:space="0" w:color="auto"/>
      </w:divBdr>
    </w:div>
    <w:div w:id="850068177">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53961774">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79584926">
      <w:bodyDiv w:val="1"/>
      <w:marLeft w:val="0"/>
      <w:marRight w:val="0"/>
      <w:marTop w:val="0"/>
      <w:marBottom w:val="0"/>
      <w:divBdr>
        <w:top w:val="none" w:sz="0" w:space="0" w:color="auto"/>
        <w:left w:val="none" w:sz="0" w:space="0" w:color="auto"/>
        <w:bottom w:val="none" w:sz="0" w:space="0" w:color="auto"/>
        <w:right w:val="none" w:sz="0" w:space="0" w:color="auto"/>
      </w:divBdr>
    </w:div>
    <w:div w:id="885995636">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899051608">
      <w:bodyDiv w:val="1"/>
      <w:marLeft w:val="0"/>
      <w:marRight w:val="0"/>
      <w:marTop w:val="0"/>
      <w:marBottom w:val="0"/>
      <w:divBdr>
        <w:top w:val="none" w:sz="0" w:space="0" w:color="auto"/>
        <w:left w:val="none" w:sz="0" w:space="0" w:color="auto"/>
        <w:bottom w:val="none" w:sz="0" w:space="0" w:color="auto"/>
        <w:right w:val="none" w:sz="0" w:space="0" w:color="auto"/>
      </w:divBdr>
    </w:div>
    <w:div w:id="912935252">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64579967">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3457981">
      <w:bodyDiv w:val="1"/>
      <w:marLeft w:val="0"/>
      <w:marRight w:val="0"/>
      <w:marTop w:val="0"/>
      <w:marBottom w:val="0"/>
      <w:divBdr>
        <w:top w:val="none" w:sz="0" w:space="0" w:color="auto"/>
        <w:left w:val="none" w:sz="0" w:space="0" w:color="auto"/>
        <w:bottom w:val="none" w:sz="0" w:space="0" w:color="auto"/>
        <w:right w:val="none" w:sz="0" w:space="0" w:color="auto"/>
      </w:divBdr>
    </w:div>
    <w:div w:id="1095051352">
      <w:bodyDiv w:val="1"/>
      <w:marLeft w:val="0"/>
      <w:marRight w:val="0"/>
      <w:marTop w:val="0"/>
      <w:marBottom w:val="0"/>
      <w:divBdr>
        <w:top w:val="none" w:sz="0" w:space="0" w:color="auto"/>
        <w:left w:val="none" w:sz="0" w:space="0" w:color="auto"/>
        <w:bottom w:val="none" w:sz="0" w:space="0" w:color="auto"/>
        <w:right w:val="none" w:sz="0" w:space="0" w:color="auto"/>
      </w:divBdr>
      <w:divsChild>
        <w:div w:id="1677922076">
          <w:marLeft w:val="0"/>
          <w:marRight w:val="0"/>
          <w:marTop w:val="0"/>
          <w:marBottom w:val="0"/>
          <w:divBdr>
            <w:top w:val="none" w:sz="0" w:space="0" w:color="auto"/>
            <w:left w:val="none" w:sz="0" w:space="0" w:color="auto"/>
            <w:bottom w:val="none" w:sz="0" w:space="0" w:color="auto"/>
            <w:right w:val="none" w:sz="0" w:space="0" w:color="auto"/>
          </w:divBdr>
          <w:divsChild>
            <w:div w:id="1775393094">
              <w:marLeft w:val="0"/>
              <w:marRight w:val="0"/>
              <w:marTop w:val="0"/>
              <w:marBottom w:val="0"/>
              <w:divBdr>
                <w:top w:val="none" w:sz="0" w:space="0" w:color="auto"/>
                <w:left w:val="none" w:sz="0" w:space="0" w:color="auto"/>
                <w:bottom w:val="none" w:sz="0" w:space="0" w:color="auto"/>
                <w:right w:val="none" w:sz="0" w:space="0" w:color="auto"/>
              </w:divBdr>
              <w:divsChild>
                <w:div w:id="4433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282684">
      <w:bodyDiv w:val="1"/>
      <w:marLeft w:val="0"/>
      <w:marRight w:val="0"/>
      <w:marTop w:val="0"/>
      <w:marBottom w:val="0"/>
      <w:divBdr>
        <w:top w:val="none" w:sz="0" w:space="0" w:color="auto"/>
        <w:left w:val="none" w:sz="0" w:space="0" w:color="auto"/>
        <w:bottom w:val="none" w:sz="0" w:space="0" w:color="auto"/>
        <w:right w:val="none" w:sz="0" w:space="0" w:color="auto"/>
      </w:divBdr>
    </w:div>
    <w:div w:id="1112867492">
      <w:bodyDiv w:val="1"/>
      <w:marLeft w:val="0"/>
      <w:marRight w:val="0"/>
      <w:marTop w:val="0"/>
      <w:marBottom w:val="0"/>
      <w:divBdr>
        <w:top w:val="none" w:sz="0" w:space="0" w:color="auto"/>
        <w:left w:val="none" w:sz="0" w:space="0" w:color="auto"/>
        <w:bottom w:val="none" w:sz="0" w:space="0" w:color="auto"/>
        <w:right w:val="none" w:sz="0" w:space="0" w:color="auto"/>
      </w:divBdr>
    </w:div>
    <w:div w:id="1115247911">
      <w:bodyDiv w:val="1"/>
      <w:marLeft w:val="0"/>
      <w:marRight w:val="0"/>
      <w:marTop w:val="0"/>
      <w:marBottom w:val="0"/>
      <w:divBdr>
        <w:top w:val="none" w:sz="0" w:space="0" w:color="auto"/>
        <w:left w:val="none" w:sz="0" w:space="0" w:color="auto"/>
        <w:bottom w:val="none" w:sz="0" w:space="0" w:color="auto"/>
        <w:right w:val="none" w:sz="0" w:space="0" w:color="auto"/>
      </w:divBdr>
    </w:div>
    <w:div w:id="1127316578">
      <w:bodyDiv w:val="1"/>
      <w:marLeft w:val="0"/>
      <w:marRight w:val="0"/>
      <w:marTop w:val="0"/>
      <w:marBottom w:val="0"/>
      <w:divBdr>
        <w:top w:val="none" w:sz="0" w:space="0" w:color="auto"/>
        <w:left w:val="none" w:sz="0" w:space="0" w:color="auto"/>
        <w:bottom w:val="none" w:sz="0" w:space="0" w:color="auto"/>
        <w:right w:val="none" w:sz="0" w:space="0" w:color="auto"/>
      </w:divBdr>
    </w:div>
    <w:div w:id="1139802352">
      <w:bodyDiv w:val="1"/>
      <w:marLeft w:val="0"/>
      <w:marRight w:val="0"/>
      <w:marTop w:val="0"/>
      <w:marBottom w:val="0"/>
      <w:divBdr>
        <w:top w:val="none" w:sz="0" w:space="0" w:color="auto"/>
        <w:left w:val="none" w:sz="0" w:space="0" w:color="auto"/>
        <w:bottom w:val="none" w:sz="0" w:space="0" w:color="auto"/>
        <w:right w:val="none" w:sz="0" w:space="0" w:color="auto"/>
      </w:divBdr>
    </w:div>
    <w:div w:id="1145076419">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241600156">
      <w:bodyDiv w:val="1"/>
      <w:marLeft w:val="0"/>
      <w:marRight w:val="0"/>
      <w:marTop w:val="0"/>
      <w:marBottom w:val="0"/>
      <w:divBdr>
        <w:top w:val="none" w:sz="0" w:space="0" w:color="auto"/>
        <w:left w:val="none" w:sz="0" w:space="0" w:color="auto"/>
        <w:bottom w:val="none" w:sz="0" w:space="0" w:color="auto"/>
        <w:right w:val="none" w:sz="0" w:space="0" w:color="auto"/>
      </w:divBdr>
      <w:divsChild>
        <w:div w:id="927807580">
          <w:marLeft w:val="0"/>
          <w:marRight w:val="0"/>
          <w:marTop w:val="0"/>
          <w:marBottom w:val="0"/>
          <w:divBdr>
            <w:top w:val="none" w:sz="0" w:space="0" w:color="auto"/>
            <w:left w:val="none" w:sz="0" w:space="0" w:color="auto"/>
            <w:bottom w:val="none" w:sz="0" w:space="0" w:color="auto"/>
            <w:right w:val="none" w:sz="0" w:space="0" w:color="auto"/>
          </w:divBdr>
          <w:divsChild>
            <w:div w:id="2042125306">
              <w:marLeft w:val="0"/>
              <w:marRight w:val="0"/>
              <w:marTop w:val="0"/>
              <w:marBottom w:val="0"/>
              <w:divBdr>
                <w:top w:val="none" w:sz="0" w:space="0" w:color="auto"/>
                <w:left w:val="none" w:sz="0" w:space="0" w:color="auto"/>
                <w:bottom w:val="none" w:sz="0" w:space="0" w:color="auto"/>
                <w:right w:val="none" w:sz="0" w:space="0" w:color="auto"/>
              </w:divBdr>
              <w:divsChild>
                <w:div w:id="174819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88577">
      <w:bodyDiv w:val="1"/>
      <w:marLeft w:val="0"/>
      <w:marRight w:val="0"/>
      <w:marTop w:val="0"/>
      <w:marBottom w:val="0"/>
      <w:divBdr>
        <w:top w:val="none" w:sz="0" w:space="0" w:color="auto"/>
        <w:left w:val="none" w:sz="0" w:space="0" w:color="auto"/>
        <w:bottom w:val="none" w:sz="0" w:space="0" w:color="auto"/>
        <w:right w:val="none" w:sz="0" w:space="0" w:color="auto"/>
      </w:divBdr>
    </w:div>
    <w:div w:id="1312710791">
      <w:bodyDiv w:val="1"/>
      <w:marLeft w:val="0"/>
      <w:marRight w:val="0"/>
      <w:marTop w:val="0"/>
      <w:marBottom w:val="0"/>
      <w:divBdr>
        <w:top w:val="none" w:sz="0" w:space="0" w:color="auto"/>
        <w:left w:val="none" w:sz="0" w:space="0" w:color="auto"/>
        <w:bottom w:val="none" w:sz="0" w:space="0" w:color="auto"/>
        <w:right w:val="none" w:sz="0" w:space="0" w:color="auto"/>
      </w:divBdr>
    </w:div>
    <w:div w:id="1332441561">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34063991">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82902747">
      <w:bodyDiv w:val="1"/>
      <w:marLeft w:val="0"/>
      <w:marRight w:val="0"/>
      <w:marTop w:val="0"/>
      <w:marBottom w:val="0"/>
      <w:divBdr>
        <w:top w:val="none" w:sz="0" w:space="0" w:color="auto"/>
        <w:left w:val="none" w:sz="0" w:space="0" w:color="auto"/>
        <w:bottom w:val="none" w:sz="0" w:space="0" w:color="auto"/>
        <w:right w:val="none" w:sz="0" w:space="0" w:color="auto"/>
      </w:divBdr>
    </w:div>
    <w:div w:id="1384717017">
      <w:bodyDiv w:val="1"/>
      <w:marLeft w:val="0"/>
      <w:marRight w:val="0"/>
      <w:marTop w:val="0"/>
      <w:marBottom w:val="0"/>
      <w:divBdr>
        <w:top w:val="none" w:sz="0" w:space="0" w:color="auto"/>
        <w:left w:val="none" w:sz="0" w:space="0" w:color="auto"/>
        <w:bottom w:val="none" w:sz="0" w:space="0" w:color="auto"/>
        <w:right w:val="none" w:sz="0" w:space="0" w:color="auto"/>
      </w:divBdr>
      <w:divsChild>
        <w:div w:id="11227564">
          <w:marLeft w:val="0"/>
          <w:marRight w:val="0"/>
          <w:marTop w:val="0"/>
          <w:marBottom w:val="0"/>
          <w:divBdr>
            <w:top w:val="none" w:sz="0" w:space="0" w:color="auto"/>
            <w:left w:val="none" w:sz="0" w:space="0" w:color="auto"/>
            <w:bottom w:val="none" w:sz="0" w:space="0" w:color="auto"/>
            <w:right w:val="none" w:sz="0" w:space="0" w:color="auto"/>
          </w:divBdr>
          <w:divsChild>
            <w:div w:id="594897867">
              <w:marLeft w:val="0"/>
              <w:marRight w:val="0"/>
              <w:marTop w:val="0"/>
              <w:marBottom w:val="0"/>
              <w:divBdr>
                <w:top w:val="none" w:sz="0" w:space="0" w:color="auto"/>
                <w:left w:val="none" w:sz="0" w:space="0" w:color="auto"/>
                <w:bottom w:val="none" w:sz="0" w:space="0" w:color="auto"/>
                <w:right w:val="none" w:sz="0" w:space="0" w:color="auto"/>
              </w:divBdr>
              <w:divsChild>
                <w:div w:id="16732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218677">
      <w:bodyDiv w:val="1"/>
      <w:marLeft w:val="0"/>
      <w:marRight w:val="0"/>
      <w:marTop w:val="0"/>
      <w:marBottom w:val="0"/>
      <w:divBdr>
        <w:top w:val="none" w:sz="0" w:space="0" w:color="auto"/>
        <w:left w:val="none" w:sz="0" w:space="0" w:color="auto"/>
        <w:bottom w:val="none" w:sz="0" w:space="0" w:color="auto"/>
        <w:right w:val="none" w:sz="0" w:space="0" w:color="auto"/>
      </w:divBdr>
    </w:div>
    <w:div w:id="1407536151">
      <w:bodyDiv w:val="1"/>
      <w:marLeft w:val="0"/>
      <w:marRight w:val="0"/>
      <w:marTop w:val="0"/>
      <w:marBottom w:val="0"/>
      <w:divBdr>
        <w:top w:val="none" w:sz="0" w:space="0" w:color="auto"/>
        <w:left w:val="none" w:sz="0" w:space="0" w:color="auto"/>
        <w:bottom w:val="none" w:sz="0" w:space="0" w:color="auto"/>
        <w:right w:val="none" w:sz="0" w:space="0" w:color="auto"/>
      </w:divBdr>
    </w:div>
    <w:div w:id="1417632497">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39451841">
      <w:bodyDiv w:val="1"/>
      <w:marLeft w:val="0"/>
      <w:marRight w:val="0"/>
      <w:marTop w:val="0"/>
      <w:marBottom w:val="0"/>
      <w:divBdr>
        <w:top w:val="none" w:sz="0" w:space="0" w:color="auto"/>
        <w:left w:val="none" w:sz="0" w:space="0" w:color="auto"/>
        <w:bottom w:val="none" w:sz="0" w:space="0" w:color="auto"/>
        <w:right w:val="none" w:sz="0" w:space="0" w:color="auto"/>
      </w:divBdr>
    </w:div>
    <w:div w:id="1456024766">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66193575">
      <w:bodyDiv w:val="1"/>
      <w:marLeft w:val="0"/>
      <w:marRight w:val="0"/>
      <w:marTop w:val="0"/>
      <w:marBottom w:val="0"/>
      <w:divBdr>
        <w:top w:val="none" w:sz="0" w:space="0" w:color="auto"/>
        <w:left w:val="none" w:sz="0" w:space="0" w:color="auto"/>
        <w:bottom w:val="none" w:sz="0" w:space="0" w:color="auto"/>
        <w:right w:val="none" w:sz="0" w:space="0" w:color="auto"/>
      </w:divBdr>
    </w:div>
    <w:div w:id="1484587301">
      <w:bodyDiv w:val="1"/>
      <w:marLeft w:val="0"/>
      <w:marRight w:val="0"/>
      <w:marTop w:val="0"/>
      <w:marBottom w:val="0"/>
      <w:divBdr>
        <w:top w:val="none" w:sz="0" w:space="0" w:color="auto"/>
        <w:left w:val="none" w:sz="0" w:space="0" w:color="auto"/>
        <w:bottom w:val="none" w:sz="0" w:space="0" w:color="auto"/>
        <w:right w:val="none" w:sz="0" w:space="0" w:color="auto"/>
      </w:divBdr>
    </w:div>
    <w:div w:id="1516770152">
      <w:bodyDiv w:val="1"/>
      <w:marLeft w:val="0"/>
      <w:marRight w:val="0"/>
      <w:marTop w:val="0"/>
      <w:marBottom w:val="0"/>
      <w:divBdr>
        <w:top w:val="none" w:sz="0" w:space="0" w:color="auto"/>
        <w:left w:val="none" w:sz="0" w:space="0" w:color="auto"/>
        <w:bottom w:val="none" w:sz="0" w:space="0" w:color="auto"/>
        <w:right w:val="none" w:sz="0" w:space="0" w:color="auto"/>
      </w:divBdr>
    </w:div>
    <w:div w:id="1537542168">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615139142">
      <w:bodyDiv w:val="1"/>
      <w:marLeft w:val="0"/>
      <w:marRight w:val="0"/>
      <w:marTop w:val="0"/>
      <w:marBottom w:val="0"/>
      <w:divBdr>
        <w:top w:val="none" w:sz="0" w:space="0" w:color="auto"/>
        <w:left w:val="none" w:sz="0" w:space="0" w:color="auto"/>
        <w:bottom w:val="none" w:sz="0" w:space="0" w:color="auto"/>
        <w:right w:val="none" w:sz="0" w:space="0" w:color="auto"/>
      </w:divBdr>
      <w:divsChild>
        <w:div w:id="911308307">
          <w:marLeft w:val="0"/>
          <w:marRight w:val="0"/>
          <w:marTop w:val="0"/>
          <w:marBottom w:val="0"/>
          <w:divBdr>
            <w:top w:val="none" w:sz="0" w:space="0" w:color="auto"/>
            <w:left w:val="none" w:sz="0" w:space="0" w:color="auto"/>
            <w:bottom w:val="none" w:sz="0" w:space="0" w:color="auto"/>
            <w:right w:val="none" w:sz="0" w:space="0" w:color="auto"/>
          </w:divBdr>
          <w:divsChild>
            <w:div w:id="1328634294">
              <w:marLeft w:val="0"/>
              <w:marRight w:val="0"/>
              <w:marTop w:val="0"/>
              <w:marBottom w:val="0"/>
              <w:divBdr>
                <w:top w:val="none" w:sz="0" w:space="0" w:color="auto"/>
                <w:left w:val="none" w:sz="0" w:space="0" w:color="auto"/>
                <w:bottom w:val="none" w:sz="0" w:space="0" w:color="auto"/>
                <w:right w:val="none" w:sz="0" w:space="0" w:color="auto"/>
              </w:divBdr>
              <w:divsChild>
                <w:div w:id="177675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5785629">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701973328">
      <w:bodyDiv w:val="1"/>
      <w:marLeft w:val="0"/>
      <w:marRight w:val="0"/>
      <w:marTop w:val="0"/>
      <w:marBottom w:val="0"/>
      <w:divBdr>
        <w:top w:val="none" w:sz="0" w:space="0" w:color="auto"/>
        <w:left w:val="none" w:sz="0" w:space="0" w:color="auto"/>
        <w:bottom w:val="none" w:sz="0" w:space="0" w:color="auto"/>
        <w:right w:val="none" w:sz="0" w:space="0" w:color="auto"/>
      </w:divBdr>
    </w:div>
    <w:div w:id="1727026083">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820538580">
      <w:bodyDiv w:val="1"/>
      <w:marLeft w:val="0"/>
      <w:marRight w:val="0"/>
      <w:marTop w:val="0"/>
      <w:marBottom w:val="0"/>
      <w:divBdr>
        <w:top w:val="none" w:sz="0" w:space="0" w:color="auto"/>
        <w:left w:val="none" w:sz="0" w:space="0" w:color="auto"/>
        <w:bottom w:val="none" w:sz="0" w:space="0" w:color="auto"/>
        <w:right w:val="none" w:sz="0" w:space="0" w:color="auto"/>
      </w:divBdr>
    </w:div>
    <w:div w:id="1825271191">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881894989">
      <w:bodyDiv w:val="1"/>
      <w:marLeft w:val="0"/>
      <w:marRight w:val="0"/>
      <w:marTop w:val="0"/>
      <w:marBottom w:val="0"/>
      <w:divBdr>
        <w:top w:val="none" w:sz="0" w:space="0" w:color="auto"/>
        <w:left w:val="none" w:sz="0" w:space="0" w:color="auto"/>
        <w:bottom w:val="none" w:sz="0" w:space="0" w:color="auto"/>
        <w:right w:val="none" w:sz="0" w:space="0" w:color="auto"/>
      </w:divBdr>
    </w:div>
    <w:div w:id="1886794781">
      <w:bodyDiv w:val="1"/>
      <w:marLeft w:val="0"/>
      <w:marRight w:val="0"/>
      <w:marTop w:val="0"/>
      <w:marBottom w:val="0"/>
      <w:divBdr>
        <w:top w:val="none" w:sz="0" w:space="0" w:color="auto"/>
        <w:left w:val="none" w:sz="0" w:space="0" w:color="auto"/>
        <w:bottom w:val="none" w:sz="0" w:space="0" w:color="auto"/>
        <w:right w:val="none" w:sz="0" w:space="0" w:color="auto"/>
      </w:divBdr>
    </w:div>
    <w:div w:id="1895391091">
      <w:bodyDiv w:val="1"/>
      <w:marLeft w:val="0"/>
      <w:marRight w:val="0"/>
      <w:marTop w:val="0"/>
      <w:marBottom w:val="0"/>
      <w:divBdr>
        <w:top w:val="none" w:sz="0" w:space="0" w:color="auto"/>
        <w:left w:val="none" w:sz="0" w:space="0" w:color="auto"/>
        <w:bottom w:val="none" w:sz="0" w:space="0" w:color="auto"/>
        <w:right w:val="none" w:sz="0" w:space="0" w:color="auto"/>
      </w:divBdr>
    </w:div>
    <w:div w:id="1901019742">
      <w:bodyDiv w:val="1"/>
      <w:marLeft w:val="0"/>
      <w:marRight w:val="0"/>
      <w:marTop w:val="0"/>
      <w:marBottom w:val="0"/>
      <w:divBdr>
        <w:top w:val="none" w:sz="0" w:space="0" w:color="auto"/>
        <w:left w:val="none" w:sz="0" w:space="0" w:color="auto"/>
        <w:bottom w:val="none" w:sz="0" w:space="0" w:color="auto"/>
        <w:right w:val="none" w:sz="0" w:space="0" w:color="auto"/>
      </w:divBdr>
    </w:div>
    <w:div w:id="1917398266">
      <w:bodyDiv w:val="1"/>
      <w:marLeft w:val="0"/>
      <w:marRight w:val="0"/>
      <w:marTop w:val="0"/>
      <w:marBottom w:val="0"/>
      <w:divBdr>
        <w:top w:val="none" w:sz="0" w:space="0" w:color="auto"/>
        <w:left w:val="none" w:sz="0" w:space="0" w:color="auto"/>
        <w:bottom w:val="none" w:sz="0" w:space="0" w:color="auto"/>
        <w:right w:val="none" w:sz="0" w:space="0" w:color="auto"/>
      </w:divBdr>
    </w:div>
    <w:div w:id="1917978388">
      <w:bodyDiv w:val="1"/>
      <w:marLeft w:val="0"/>
      <w:marRight w:val="0"/>
      <w:marTop w:val="0"/>
      <w:marBottom w:val="0"/>
      <w:divBdr>
        <w:top w:val="none" w:sz="0" w:space="0" w:color="auto"/>
        <w:left w:val="none" w:sz="0" w:space="0" w:color="auto"/>
        <w:bottom w:val="none" w:sz="0" w:space="0" w:color="auto"/>
        <w:right w:val="none" w:sz="0" w:space="0" w:color="auto"/>
      </w:divBdr>
      <w:divsChild>
        <w:div w:id="1228030460">
          <w:marLeft w:val="0"/>
          <w:marRight w:val="0"/>
          <w:marTop w:val="0"/>
          <w:marBottom w:val="0"/>
          <w:divBdr>
            <w:top w:val="none" w:sz="0" w:space="0" w:color="auto"/>
            <w:left w:val="none" w:sz="0" w:space="0" w:color="auto"/>
            <w:bottom w:val="none" w:sz="0" w:space="0" w:color="auto"/>
            <w:right w:val="none" w:sz="0" w:space="0" w:color="auto"/>
          </w:divBdr>
          <w:divsChild>
            <w:div w:id="1148475433">
              <w:marLeft w:val="0"/>
              <w:marRight w:val="0"/>
              <w:marTop w:val="0"/>
              <w:marBottom w:val="0"/>
              <w:divBdr>
                <w:top w:val="none" w:sz="0" w:space="0" w:color="auto"/>
                <w:left w:val="none" w:sz="0" w:space="0" w:color="auto"/>
                <w:bottom w:val="none" w:sz="0" w:space="0" w:color="auto"/>
                <w:right w:val="none" w:sz="0" w:space="0" w:color="auto"/>
              </w:divBdr>
              <w:divsChild>
                <w:div w:id="161135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9702759">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67080810">
      <w:bodyDiv w:val="1"/>
      <w:marLeft w:val="0"/>
      <w:marRight w:val="0"/>
      <w:marTop w:val="0"/>
      <w:marBottom w:val="0"/>
      <w:divBdr>
        <w:top w:val="none" w:sz="0" w:space="0" w:color="auto"/>
        <w:left w:val="none" w:sz="0" w:space="0" w:color="auto"/>
        <w:bottom w:val="none" w:sz="0" w:space="0" w:color="auto"/>
        <w:right w:val="none" w:sz="0" w:space="0" w:color="auto"/>
      </w:divBdr>
    </w:div>
    <w:div w:id="1969433101">
      <w:bodyDiv w:val="1"/>
      <w:marLeft w:val="0"/>
      <w:marRight w:val="0"/>
      <w:marTop w:val="0"/>
      <w:marBottom w:val="0"/>
      <w:divBdr>
        <w:top w:val="none" w:sz="0" w:space="0" w:color="auto"/>
        <w:left w:val="none" w:sz="0" w:space="0" w:color="auto"/>
        <w:bottom w:val="none" w:sz="0" w:space="0" w:color="auto"/>
        <w:right w:val="none" w:sz="0" w:space="0" w:color="auto"/>
      </w:divBdr>
    </w:div>
    <w:div w:id="1987784761">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49601507">
      <w:bodyDiv w:val="1"/>
      <w:marLeft w:val="0"/>
      <w:marRight w:val="0"/>
      <w:marTop w:val="0"/>
      <w:marBottom w:val="0"/>
      <w:divBdr>
        <w:top w:val="none" w:sz="0" w:space="0" w:color="auto"/>
        <w:left w:val="none" w:sz="0" w:space="0" w:color="auto"/>
        <w:bottom w:val="none" w:sz="0" w:space="0" w:color="auto"/>
        <w:right w:val="none" w:sz="0" w:space="0" w:color="auto"/>
      </w:divBdr>
    </w:div>
    <w:div w:id="2059279417">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73498295">
      <w:bodyDiv w:val="1"/>
      <w:marLeft w:val="0"/>
      <w:marRight w:val="0"/>
      <w:marTop w:val="0"/>
      <w:marBottom w:val="0"/>
      <w:divBdr>
        <w:top w:val="none" w:sz="0" w:space="0" w:color="auto"/>
        <w:left w:val="none" w:sz="0" w:space="0" w:color="auto"/>
        <w:bottom w:val="none" w:sz="0" w:space="0" w:color="auto"/>
        <w:right w:val="none" w:sz="0" w:space="0" w:color="auto"/>
      </w:divBdr>
    </w:div>
    <w:div w:id="2078630323">
      <w:bodyDiv w:val="1"/>
      <w:marLeft w:val="0"/>
      <w:marRight w:val="0"/>
      <w:marTop w:val="0"/>
      <w:marBottom w:val="0"/>
      <w:divBdr>
        <w:top w:val="none" w:sz="0" w:space="0" w:color="auto"/>
        <w:left w:val="none" w:sz="0" w:space="0" w:color="auto"/>
        <w:bottom w:val="none" w:sz="0" w:space="0" w:color="auto"/>
        <w:right w:val="none" w:sz="0" w:space="0" w:color="auto"/>
      </w:divBdr>
    </w:div>
    <w:div w:id="2083525394">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095541413">
      <w:bodyDiv w:val="1"/>
      <w:marLeft w:val="0"/>
      <w:marRight w:val="0"/>
      <w:marTop w:val="0"/>
      <w:marBottom w:val="0"/>
      <w:divBdr>
        <w:top w:val="none" w:sz="0" w:space="0" w:color="auto"/>
        <w:left w:val="none" w:sz="0" w:space="0" w:color="auto"/>
        <w:bottom w:val="none" w:sz="0" w:space="0" w:color="auto"/>
        <w:right w:val="none" w:sz="0" w:space="0" w:color="auto"/>
      </w:divBdr>
    </w:div>
    <w:div w:id="2102331376">
      <w:bodyDiv w:val="1"/>
      <w:marLeft w:val="0"/>
      <w:marRight w:val="0"/>
      <w:marTop w:val="0"/>
      <w:marBottom w:val="0"/>
      <w:divBdr>
        <w:top w:val="none" w:sz="0" w:space="0" w:color="auto"/>
        <w:left w:val="none" w:sz="0" w:space="0" w:color="auto"/>
        <w:bottom w:val="none" w:sz="0" w:space="0" w:color="auto"/>
        <w:right w:val="none" w:sz="0" w:space="0" w:color="auto"/>
      </w:divBdr>
    </w:div>
    <w:div w:id="2115662513">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E5B48-9A27-4868-8A09-A76E92960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23</Pages>
  <Words>4739</Words>
  <Characters>26070</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2020-02-13T19:37:00Z</cp:lastPrinted>
  <dcterms:created xsi:type="dcterms:W3CDTF">2021-06-09T18:09:00Z</dcterms:created>
  <dcterms:modified xsi:type="dcterms:W3CDTF">2021-08-04T20:21:00Z</dcterms:modified>
</cp:coreProperties>
</file>