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DD2" w:rsidRDefault="00827DD2">
      <w:pPr>
        <w:widowControl w:val="0"/>
        <w:pBdr>
          <w:top w:val="nil"/>
          <w:left w:val="nil"/>
          <w:bottom w:val="nil"/>
          <w:right w:val="nil"/>
          <w:between w:val="nil"/>
        </w:pBdr>
        <w:spacing w:after="0" w:line="276" w:lineRule="auto"/>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Resolución del Pleno del Instituto de Transparencia, Acceso a la Información Pública y Protección de Datos Personales del Estado de México y Municipios, con domicilio en Metepec, Estado de México, a quince de diciembre de dos mil veintiuno.</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VISTOS</w:t>
      </w:r>
      <w:r>
        <w:rPr>
          <w:rFonts w:ascii="Palatino Linotype" w:eastAsia="Palatino Linotype" w:hAnsi="Palatino Linotype" w:cs="Palatino Linotype"/>
          <w:color w:val="000000"/>
          <w:sz w:val="24"/>
          <w:szCs w:val="24"/>
        </w:rPr>
        <w:t xml:space="preserve"> los expedientes electrónicos formados con motivo de los recursos de revisión número</w:t>
      </w:r>
      <w:r>
        <w:rPr>
          <w:rFonts w:ascii="Palatino Linotype" w:eastAsia="Palatino Linotype" w:hAnsi="Palatino Linotype" w:cs="Palatino Linotype"/>
          <w:b/>
          <w:color w:val="000000"/>
          <w:sz w:val="24"/>
          <w:szCs w:val="24"/>
        </w:rPr>
        <w:t xml:space="preserve"> 05340/INFOEM/IP/RR/202</w:t>
      </w:r>
      <w:r>
        <w:rPr>
          <w:rFonts w:ascii="Palatino Linotype" w:eastAsia="Palatino Linotype" w:hAnsi="Palatino Linotype" w:cs="Palatino Linotype"/>
          <w:b/>
          <w:sz w:val="24"/>
          <w:szCs w:val="24"/>
        </w:rPr>
        <w:t>1</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05341/INFOEM/IP/RR/202</w:t>
      </w:r>
      <w:r>
        <w:rPr>
          <w:rFonts w:ascii="Palatino Linotype" w:eastAsia="Palatino Linotype" w:hAnsi="Palatino Linotype" w:cs="Palatino Linotype"/>
          <w:b/>
          <w:sz w:val="24"/>
          <w:szCs w:val="24"/>
        </w:rPr>
        <w:t>1</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05342/INFOEM/IP/RR/202</w:t>
      </w:r>
      <w:r>
        <w:rPr>
          <w:rFonts w:ascii="Palatino Linotype" w:eastAsia="Palatino Linotype" w:hAnsi="Palatino Linotype" w:cs="Palatino Linotype"/>
          <w:b/>
          <w:sz w:val="24"/>
          <w:szCs w:val="24"/>
        </w:rPr>
        <w:t>1</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05343/INFOEM/IP/RR/202</w:t>
      </w:r>
      <w:r>
        <w:rPr>
          <w:rFonts w:ascii="Palatino Linotype" w:eastAsia="Palatino Linotype" w:hAnsi="Palatino Linotype" w:cs="Palatino Linotype"/>
          <w:b/>
          <w:sz w:val="24"/>
          <w:szCs w:val="24"/>
        </w:rPr>
        <w:t>1</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y</w:t>
      </w:r>
      <w:r>
        <w:rPr>
          <w:rFonts w:ascii="Palatino Linotype" w:eastAsia="Palatino Linotype" w:hAnsi="Palatino Linotype" w:cs="Palatino Linotype"/>
          <w:b/>
          <w:color w:val="000000"/>
          <w:sz w:val="24"/>
          <w:szCs w:val="24"/>
        </w:rPr>
        <w:t xml:space="preserve"> 05344/INFOEM/IP/RR/202</w:t>
      </w:r>
      <w:r>
        <w:rPr>
          <w:rFonts w:ascii="Palatino Linotype" w:eastAsia="Palatino Linotype" w:hAnsi="Palatino Linotype" w:cs="Palatino Linotype"/>
          <w:b/>
          <w:sz w:val="24"/>
          <w:szCs w:val="24"/>
        </w:rPr>
        <w:t>1</w:t>
      </w:r>
      <w:r>
        <w:rPr>
          <w:rFonts w:ascii="Palatino Linotype" w:eastAsia="Palatino Linotype" w:hAnsi="Palatino Linotype" w:cs="Palatino Linotype"/>
          <w:color w:val="000000"/>
          <w:sz w:val="24"/>
          <w:szCs w:val="24"/>
        </w:rPr>
        <w:t xml:space="preserve">, interpuestos por una persona de manera anónima, en lo </w:t>
      </w:r>
      <w:bookmarkStart w:id="0" w:name="_GoBack"/>
      <w:bookmarkEnd w:id="0"/>
      <w:r>
        <w:rPr>
          <w:rFonts w:ascii="Palatino Linotype" w:eastAsia="Palatino Linotype" w:hAnsi="Palatino Linotype" w:cs="Palatino Linotype"/>
          <w:color w:val="000000"/>
          <w:sz w:val="24"/>
          <w:szCs w:val="24"/>
        </w:rPr>
        <w:t xml:space="preserve">sucesivo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contra de las respuestas del </w:t>
      </w:r>
      <w:r>
        <w:rPr>
          <w:rFonts w:ascii="Palatino Linotype" w:eastAsia="Palatino Linotype" w:hAnsi="Palatino Linotype" w:cs="Palatino Linotype"/>
          <w:b/>
          <w:color w:val="000000"/>
          <w:sz w:val="24"/>
          <w:szCs w:val="24"/>
        </w:rPr>
        <w:t>Ayuntamiento de Metepec</w:t>
      </w:r>
      <w:r>
        <w:rPr>
          <w:rFonts w:ascii="Palatino Linotype" w:eastAsia="Palatino Linotype" w:hAnsi="Palatino Linotype" w:cs="Palatino Linotype"/>
          <w:color w:val="000000"/>
          <w:sz w:val="24"/>
          <w:szCs w:val="24"/>
        </w:rPr>
        <w:t>, en lo subsecuente</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se procede a dictar la presente resolución.</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A N T E C E D E N T E S</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PRIMERO.</w:t>
      </w:r>
      <w:r>
        <w:rPr>
          <w:rFonts w:ascii="Palatino Linotype" w:eastAsia="Palatino Linotype" w:hAnsi="Palatino Linotype" w:cs="Palatino Linotype"/>
          <w:color w:val="000000"/>
          <w:sz w:val="26"/>
          <w:szCs w:val="26"/>
        </w:rPr>
        <w:t xml:space="preserve"> </w:t>
      </w:r>
      <w:r>
        <w:rPr>
          <w:rFonts w:ascii="Palatino Linotype" w:eastAsia="Palatino Linotype" w:hAnsi="Palatino Linotype" w:cs="Palatino Linotype"/>
          <w:b/>
          <w:color w:val="000000"/>
          <w:sz w:val="26"/>
          <w:szCs w:val="26"/>
        </w:rPr>
        <w:t>De las Solicitudes de Información.</w:t>
      </w: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 fecha seis de octubre de dos mil veintiuno, el Recurrente presentó a través del Sistema de Acceso a la Información Mexiquense (SAIMEX), solicitudes de información que fueron registradas bajo los números de expediente</w:t>
      </w:r>
      <w:r>
        <w:rPr>
          <w:rFonts w:ascii="Palatino Linotype" w:eastAsia="Palatino Linotype" w:hAnsi="Palatino Linotype" w:cs="Palatino Linotype"/>
          <w:b/>
          <w:color w:val="000000"/>
          <w:sz w:val="24"/>
          <w:szCs w:val="24"/>
        </w:rPr>
        <w:t xml:space="preserve"> 00586/METEPEC/IP/2021</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00585/METEPEC/IP/2021</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00584/METEPEC/IP/2021</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00583/METEPEC/IP/2021</w:t>
      </w:r>
      <w:r>
        <w:rPr>
          <w:rFonts w:ascii="Palatino Linotype" w:eastAsia="Palatino Linotype" w:hAnsi="Palatino Linotype" w:cs="Palatino Linotype"/>
          <w:color w:val="000000"/>
          <w:sz w:val="24"/>
          <w:szCs w:val="24"/>
        </w:rPr>
        <w:t xml:space="preserve"> y</w:t>
      </w:r>
      <w:r>
        <w:rPr>
          <w:rFonts w:ascii="Palatino Linotype" w:eastAsia="Palatino Linotype" w:hAnsi="Palatino Linotype" w:cs="Palatino Linotype"/>
          <w:b/>
          <w:color w:val="000000"/>
          <w:sz w:val="24"/>
          <w:szCs w:val="24"/>
        </w:rPr>
        <w:t xml:space="preserve"> 00582/METEPEC/IP/2021</w:t>
      </w:r>
      <w:r>
        <w:rPr>
          <w:rFonts w:ascii="Palatino Linotype" w:eastAsia="Palatino Linotype" w:hAnsi="Palatino Linotype" w:cs="Palatino Linotype"/>
          <w:color w:val="000000"/>
          <w:sz w:val="24"/>
          <w:szCs w:val="24"/>
        </w:rPr>
        <w:t>,  mediante las cuales solicitó información en el tenor siguiente: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u w:val="single"/>
        </w:rPr>
      </w:pPr>
      <w:r>
        <w:rPr>
          <w:rFonts w:ascii="Palatino Linotype" w:eastAsia="Palatino Linotype" w:hAnsi="Palatino Linotype" w:cs="Palatino Linotype"/>
          <w:b/>
          <w:color w:val="000000"/>
          <w:sz w:val="24"/>
          <w:szCs w:val="24"/>
          <w:u w:val="single"/>
        </w:rPr>
        <w:lastRenderedPageBreak/>
        <w:t>00586/METEPEC/IP/2021</w:t>
      </w:r>
    </w:p>
    <w:p w:rsidR="00827DD2" w:rsidRDefault="00D5686D">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términos de lo que establecen los artículos 39 al 42 del Acuerdo 13/2021 del Órgano Superior de Fiscalización del Estado de México, por el cual se emiten los Lineamientos que Norman la Entrega - Recepción de los Ayuntamientos, sus Dependencias y Organismos Descentralizados Municipales del Estado de México, solicito, copia simple del acuse de recibido, mediante el cual, los servidores públicos salientes que participan en el EQUIPO DE TRANSICIÓN, notifican al Presidente Municipal electo el sobre cerrado identificado como “ADMINISTRACIÓN ENTRANTE” que se incluyó en el oficio girado a la Presidenta Municipal de Metepec por el Órgano Superior de Fiscalización del Estado de México con fecha 21 de septiembre de 2021.” (Sic)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u w:val="single"/>
        </w:rPr>
      </w:pPr>
      <w:r>
        <w:rPr>
          <w:rFonts w:ascii="Palatino Linotype" w:eastAsia="Palatino Linotype" w:hAnsi="Palatino Linotype" w:cs="Palatino Linotype"/>
          <w:b/>
          <w:color w:val="000000"/>
          <w:sz w:val="24"/>
          <w:szCs w:val="24"/>
          <w:u w:val="single"/>
        </w:rPr>
        <w:t>00585/METEPEC/IP/2021</w:t>
      </w:r>
    </w:p>
    <w:p w:rsidR="00827DD2" w:rsidRDefault="00D5686D">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términos de lo que establecen los artículos 39 al 42 del Acuerdo 13/2021 del Órgano Superior de Fiscalización del Estado de México, por el cual se emiten los Lineamientos que Norman la Entrega - Recepción de los Ayuntamientos, sus Dependencias y Organismos Descentralizados Municipales del Estado de México, solicito copia simple del acuse de recibido, mediante el cual, se informa por al Órgano Superior de Fiscalización del Estado de México, sobre la conformación del EQUIPO DE TRANSICIÓN.” (Sic)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u w:val="single"/>
        </w:rPr>
      </w:pPr>
      <w:r>
        <w:rPr>
          <w:rFonts w:ascii="Palatino Linotype" w:eastAsia="Palatino Linotype" w:hAnsi="Palatino Linotype" w:cs="Palatino Linotype"/>
          <w:b/>
          <w:color w:val="000000"/>
          <w:sz w:val="24"/>
          <w:szCs w:val="24"/>
          <w:u w:val="single"/>
        </w:rPr>
        <w:t>00584/METEPEC/IP/2021</w:t>
      </w:r>
    </w:p>
    <w:p w:rsidR="00827DD2" w:rsidRDefault="00D5686D">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términos de lo que establecen los artículos 39 al 42 del Acuerdo 13/2021 del Órgano Superior de Fiscalización del Estado de México, por el cual se emiten los Lineamientos que Norman la Entrega - Recepción de los Ayuntamientos, sus Dependencias y Organismos Descentralizados Municipales del Estado de México, solicito los nombres de las personas que integran EL COMITÉ DE ENLACE en el municipio de Metepec, Estado de México.” (Sic)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u w:val="single"/>
        </w:rPr>
      </w:pPr>
      <w:r>
        <w:rPr>
          <w:rFonts w:ascii="Palatino Linotype" w:eastAsia="Palatino Linotype" w:hAnsi="Palatino Linotype" w:cs="Palatino Linotype"/>
          <w:b/>
          <w:color w:val="000000"/>
          <w:sz w:val="24"/>
          <w:szCs w:val="24"/>
          <w:u w:val="single"/>
        </w:rPr>
        <w:t>00583/METEPEC/IP/2021</w:t>
      </w:r>
    </w:p>
    <w:p w:rsidR="00827DD2" w:rsidRDefault="00D5686D">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términos de lo que establecen los artículos 39 al 42 del Acuerdo 13/2021 del Órgano Superior de Fiscalización del Estado de México, por el cual se emiten los Lineamientos que Norman la Entrega - Recepción de los Ayuntamientos, sus Dependencias y Organismos Descentralizados Municipales del Estado de México, solicito los nombres de las personas que integran el EQUIPO DE TRABAJO en el municipio de Metepec, Estado de México.” (Sic)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u w:val="single"/>
        </w:rPr>
      </w:pPr>
      <w:r>
        <w:rPr>
          <w:rFonts w:ascii="Palatino Linotype" w:eastAsia="Palatino Linotype" w:hAnsi="Palatino Linotype" w:cs="Palatino Linotype"/>
          <w:b/>
          <w:color w:val="000000"/>
          <w:sz w:val="24"/>
          <w:szCs w:val="24"/>
          <w:u w:val="single"/>
        </w:rPr>
        <w:lastRenderedPageBreak/>
        <w:t>00582/METEPEC/IP/2021</w:t>
      </w:r>
    </w:p>
    <w:p w:rsidR="00827DD2" w:rsidRDefault="00D5686D">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términos de lo que establecen los artículos 39 al 42 del Acuerdo 13/2021 del Órgano Superior de Fiscalización del Estado de México, por el cual se emiten los Lineamientos que Norman la Entrega - Recepción de los Ayuntamientos, sus Dependencias y Organismos Descentralizados Municipales del Estado de México, solicito los nombres de las personas que integran el EQUIPO DE TRANSICIÓN en el municipio de Metepec, Estado de México.” (Sic)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Modalidad de entrega: </w:t>
      </w:r>
      <w:r>
        <w:rPr>
          <w:rFonts w:ascii="Palatino Linotype" w:eastAsia="Palatino Linotype" w:hAnsi="Palatino Linotype" w:cs="Palatino Linotype"/>
          <w:b/>
          <w:color w:val="000000"/>
          <w:sz w:val="24"/>
          <w:szCs w:val="24"/>
        </w:rPr>
        <w:t>A través del SAIMEX.</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SEGUNDO. De las respuestas del Sujeto Obligado.</w:t>
      </w: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el expediente electrónico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se observa que el día veintiséis de octubre dos mil veintiuno, el Sujeto Obligado dio respuesta manifestando lo mismo en cada una de ellas al tenor de lo siguiente: </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27DD2" w:rsidRDefault="00827DD2">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827DD2" w:rsidRDefault="00D5686D">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rsidR="00827DD2" w:rsidRDefault="00827DD2">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p>
    <w:p w:rsidR="00827DD2" w:rsidRDefault="00D5686D">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rsidR="00827DD2" w:rsidRDefault="00D5686D">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Alberto Daniel García Curiel” (Sic)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Adjuntando a sus respuestas las carpetas electrónicas denominadas </w:t>
      </w:r>
      <w:r>
        <w:rPr>
          <w:rFonts w:ascii="Palatino Linotype" w:eastAsia="Palatino Linotype" w:hAnsi="Palatino Linotype" w:cs="Palatino Linotype"/>
          <w:b/>
          <w:color w:val="000000"/>
          <w:sz w:val="24"/>
          <w:szCs w:val="24"/>
        </w:rPr>
        <w:t>“586.zip”</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“585.zip”</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“584.zip”</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“583.zip”</w:t>
      </w:r>
      <w:r>
        <w:rPr>
          <w:rFonts w:ascii="Palatino Linotype" w:eastAsia="Palatino Linotype" w:hAnsi="Palatino Linotype" w:cs="Palatino Linotype"/>
          <w:color w:val="000000"/>
          <w:sz w:val="24"/>
          <w:szCs w:val="24"/>
        </w:rPr>
        <w:t xml:space="preserve"> y</w:t>
      </w:r>
      <w:r>
        <w:rPr>
          <w:rFonts w:ascii="Palatino Linotype" w:eastAsia="Palatino Linotype" w:hAnsi="Palatino Linotype" w:cs="Palatino Linotype"/>
          <w:b/>
          <w:color w:val="000000"/>
          <w:sz w:val="24"/>
          <w:szCs w:val="24"/>
        </w:rPr>
        <w:t xml:space="preserve"> “582.zip”</w:t>
      </w:r>
      <w:r>
        <w:rPr>
          <w:rFonts w:ascii="Palatino Linotype" w:eastAsia="Palatino Linotype" w:hAnsi="Palatino Linotype" w:cs="Palatino Linotype"/>
          <w:color w:val="000000"/>
          <w:sz w:val="24"/>
          <w:szCs w:val="24"/>
        </w:rPr>
        <w:t xml:space="preserve">, cuyo contenido no se reproduce debido a </w:t>
      </w:r>
      <w:r>
        <w:rPr>
          <w:rFonts w:ascii="Palatino Linotype" w:eastAsia="Palatino Linotype" w:hAnsi="Palatino Linotype" w:cs="Palatino Linotype"/>
          <w:color w:val="000000"/>
          <w:sz w:val="24"/>
          <w:szCs w:val="24"/>
        </w:rPr>
        <w:lastRenderedPageBreak/>
        <w:t>que es del conocimiento de las partes; no obstante, el mismo será objeto de estudio en el estudio correspondiente.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TERCERO. De los recursos de revisión.</w:t>
      </w: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Inconforme con las respuestas emitidas por el Sujeto Obligado, el Recurrente interpuso los recursos de revisión de mérito en fecha tres de noviembre de dos mil veintiuno, registrados en el sistema electrónico con los expedientes número </w:t>
      </w:r>
      <w:r>
        <w:rPr>
          <w:rFonts w:ascii="Palatino Linotype" w:eastAsia="Palatino Linotype" w:hAnsi="Palatino Linotype" w:cs="Palatino Linotype"/>
          <w:b/>
          <w:color w:val="000000"/>
          <w:sz w:val="24"/>
          <w:szCs w:val="24"/>
        </w:rPr>
        <w:t>05340/INFOEM/IP/RR/2021</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05341/INFOEM/IP/RR/2021</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05342/INFOEM/IP/RR/2021</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05343/INFOEM/IP/RR/2021 </w:t>
      </w:r>
      <w:r>
        <w:rPr>
          <w:rFonts w:ascii="Palatino Linotype" w:eastAsia="Palatino Linotype" w:hAnsi="Palatino Linotype" w:cs="Palatino Linotype"/>
          <w:color w:val="000000"/>
          <w:sz w:val="24"/>
          <w:szCs w:val="24"/>
        </w:rPr>
        <w:t>y</w:t>
      </w:r>
      <w:r>
        <w:rPr>
          <w:rFonts w:ascii="Palatino Linotype" w:eastAsia="Palatino Linotype" w:hAnsi="Palatino Linotype" w:cs="Palatino Linotype"/>
          <w:b/>
          <w:color w:val="000000"/>
          <w:sz w:val="24"/>
          <w:szCs w:val="24"/>
        </w:rPr>
        <w:t xml:space="preserve"> 05344/INFOEM/IP/RR/2021</w:t>
      </w:r>
      <w:r>
        <w:rPr>
          <w:rFonts w:ascii="Palatino Linotype" w:eastAsia="Palatino Linotype" w:hAnsi="Palatino Linotype" w:cs="Palatino Linotype"/>
          <w:color w:val="000000"/>
          <w:sz w:val="24"/>
          <w:szCs w:val="24"/>
        </w:rPr>
        <w:t>, en los cuales manifestó lo siguiente: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05340/INFOEM/IP/RR/2021</w:t>
      </w: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 xml:space="preserve">Acto Impugnado: </w:t>
      </w:r>
      <w:r>
        <w:rPr>
          <w:rFonts w:ascii="Palatino Linotype" w:eastAsia="Palatino Linotype" w:hAnsi="Palatino Linotype" w:cs="Palatino Linotype"/>
          <w:i/>
          <w:color w:val="000000"/>
          <w:sz w:val="24"/>
          <w:szCs w:val="24"/>
        </w:rPr>
        <w:t xml:space="preserve">“Hay argucias identificadas para negar la información No se puede visualizar la información que adjuntan en formato </w:t>
      </w:r>
      <w:proofErr w:type="spellStart"/>
      <w:r>
        <w:rPr>
          <w:rFonts w:ascii="Palatino Linotype" w:eastAsia="Palatino Linotype" w:hAnsi="Palatino Linotype" w:cs="Palatino Linotype"/>
          <w:i/>
          <w:color w:val="000000"/>
          <w:sz w:val="24"/>
          <w:szCs w:val="24"/>
        </w:rPr>
        <w:t>zip</w:t>
      </w:r>
      <w:proofErr w:type="spellEnd"/>
      <w:r>
        <w:rPr>
          <w:rFonts w:ascii="Palatino Linotype" w:eastAsia="Palatino Linotype" w:hAnsi="Palatino Linotype" w:cs="Palatino Linotype"/>
          <w:i/>
          <w:color w:val="000000"/>
          <w:sz w:val="24"/>
          <w:szCs w:val="24"/>
        </w:rPr>
        <w:t>"(Sic)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Razones o Motivos de Inconformidad</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color w:val="000000"/>
          <w:sz w:val="24"/>
          <w:szCs w:val="24"/>
        </w:rPr>
        <w:t xml:space="preserve">“No se puede visualizar la información que adjuntan en formato </w:t>
      </w:r>
      <w:proofErr w:type="spellStart"/>
      <w:r>
        <w:rPr>
          <w:rFonts w:ascii="Palatino Linotype" w:eastAsia="Palatino Linotype" w:hAnsi="Palatino Linotype" w:cs="Palatino Linotype"/>
          <w:i/>
          <w:color w:val="000000"/>
          <w:sz w:val="24"/>
          <w:szCs w:val="24"/>
        </w:rPr>
        <w:t>zip</w:t>
      </w:r>
      <w:proofErr w:type="spellEnd"/>
      <w:r>
        <w:rPr>
          <w:rFonts w:ascii="Palatino Linotype" w:eastAsia="Palatino Linotype" w:hAnsi="Palatino Linotype" w:cs="Palatino Linotype"/>
          <w:i/>
          <w:color w:val="000000"/>
          <w:sz w:val="24"/>
          <w:szCs w:val="24"/>
        </w:rPr>
        <w:t>” (Sic)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05341/INFOEM/IP/RR/2021</w:t>
      </w: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 xml:space="preserve">Acto Impugnado: </w:t>
      </w:r>
      <w:r>
        <w:rPr>
          <w:rFonts w:ascii="Palatino Linotype" w:eastAsia="Palatino Linotype" w:hAnsi="Palatino Linotype" w:cs="Palatino Linotype"/>
          <w:i/>
          <w:color w:val="000000"/>
          <w:sz w:val="24"/>
          <w:szCs w:val="24"/>
        </w:rPr>
        <w:t xml:space="preserve">“Hay argucias identificadas para negar la información No se puede visualizar la información que adjuntan en formato </w:t>
      </w:r>
      <w:proofErr w:type="spellStart"/>
      <w:r>
        <w:rPr>
          <w:rFonts w:ascii="Palatino Linotype" w:eastAsia="Palatino Linotype" w:hAnsi="Palatino Linotype" w:cs="Palatino Linotype"/>
          <w:i/>
          <w:color w:val="000000"/>
          <w:sz w:val="24"/>
          <w:szCs w:val="24"/>
        </w:rPr>
        <w:t>zip</w:t>
      </w:r>
      <w:proofErr w:type="spellEnd"/>
      <w:r>
        <w:rPr>
          <w:rFonts w:ascii="Palatino Linotype" w:eastAsia="Palatino Linotype" w:hAnsi="Palatino Linotype" w:cs="Palatino Linotype"/>
          <w:i/>
          <w:color w:val="000000"/>
          <w:sz w:val="24"/>
          <w:szCs w:val="24"/>
        </w:rPr>
        <w:t>"(Sic)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Razones o Motivos de Inconformidad</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color w:val="000000"/>
          <w:sz w:val="24"/>
          <w:szCs w:val="24"/>
        </w:rPr>
        <w:t xml:space="preserve">“Hay argucias identificadas para negar la información No se puede visualizar la información que adjuntan en formato </w:t>
      </w:r>
      <w:proofErr w:type="spellStart"/>
      <w:r>
        <w:rPr>
          <w:rFonts w:ascii="Palatino Linotype" w:eastAsia="Palatino Linotype" w:hAnsi="Palatino Linotype" w:cs="Palatino Linotype"/>
          <w:i/>
          <w:color w:val="000000"/>
          <w:sz w:val="24"/>
          <w:szCs w:val="24"/>
        </w:rPr>
        <w:t>zip</w:t>
      </w:r>
      <w:proofErr w:type="spellEnd"/>
      <w:r>
        <w:rPr>
          <w:rFonts w:ascii="Palatino Linotype" w:eastAsia="Palatino Linotype" w:hAnsi="Palatino Linotype" w:cs="Palatino Linotype"/>
          <w:i/>
          <w:color w:val="000000"/>
          <w:sz w:val="24"/>
          <w:szCs w:val="24"/>
        </w:rPr>
        <w:t>” (Sic)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lastRenderedPageBreak/>
        <w:t>05342/INFOEM/IP/RR/2021</w:t>
      </w: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 xml:space="preserve">Acto Impugnado: </w:t>
      </w:r>
      <w:r>
        <w:rPr>
          <w:rFonts w:ascii="Palatino Linotype" w:eastAsia="Palatino Linotype" w:hAnsi="Palatino Linotype" w:cs="Palatino Linotype"/>
          <w:i/>
          <w:color w:val="000000"/>
          <w:sz w:val="24"/>
          <w:szCs w:val="24"/>
        </w:rPr>
        <w:t xml:space="preserve">“Hay argucias identificadas para negar la información No se puede visualizar la información que adjuntan en formato </w:t>
      </w:r>
      <w:proofErr w:type="spellStart"/>
      <w:r>
        <w:rPr>
          <w:rFonts w:ascii="Palatino Linotype" w:eastAsia="Palatino Linotype" w:hAnsi="Palatino Linotype" w:cs="Palatino Linotype"/>
          <w:i/>
          <w:color w:val="000000"/>
          <w:sz w:val="24"/>
          <w:szCs w:val="24"/>
        </w:rPr>
        <w:t>zip</w:t>
      </w:r>
      <w:proofErr w:type="spellEnd"/>
      <w:r>
        <w:rPr>
          <w:rFonts w:ascii="Palatino Linotype" w:eastAsia="Palatino Linotype" w:hAnsi="Palatino Linotype" w:cs="Palatino Linotype"/>
          <w:i/>
          <w:color w:val="000000"/>
          <w:sz w:val="24"/>
          <w:szCs w:val="24"/>
        </w:rPr>
        <w:t>"(Sic)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Razones o Motivos de Inconformidad</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color w:val="000000"/>
          <w:sz w:val="24"/>
          <w:szCs w:val="24"/>
        </w:rPr>
        <w:t xml:space="preserve">“Hay argucias identificadas para negar la información No se puede visualizar la información que adjuntan en formato </w:t>
      </w:r>
      <w:proofErr w:type="spellStart"/>
      <w:r>
        <w:rPr>
          <w:rFonts w:ascii="Palatino Linotype" w:eastAsia="Palatino Linotype" w:hAnsi="Palatino Linotype" w:cs="Palatino Linotype"/>
          <w:i/>
          <w:color w:val="000000"/>
          <w:sz w:val="24"/>
          <w:szCs w:val="24"/>
        </w:rPr>
        <w:t>zip</w:t>
      </w:r>
      <w:proofErr w:type="spellEnd"/>
      <w:r>
        <w:rPr>
          <w:rFonts w:ascii="Palatino Linotype" w:eastAsia="Palatino Linotype" w:hAnsi="Palatino Linotype" w:cs="Palatino Linotype"/>
          <w:i/>
          <w:color w:val="000000"/>
          <w:sz w:val="24"/>
          <w:szCs w:val="24"/>
        </w:rPr>
        <w:t>” (Sic)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05343/INFOEM/IP/RR/2021</w:t>
      </w: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 xml:space="preserve">Acto Impugnado: </w:t>
      </w:r>
      <w:r>
        <w:rPr>
          <w:rFonts w:ascii="Palatino Linotype" w:eastAsia="Palatino Linotype" w:hAnsi="Palatino Linotype" w:cs="Palatino Linotype"/>
          <w:i/>
          <w:color w:val="000000"/>
          <w:sz w:val="24"/>
          <w:szCs w:val="24"/>
        </w:rPr>
        <w:t xml:space="preserve">“Hay argucias identificadas para negar la información No se puede visualizar la información que adjuntan en formato </w:t>
      </w:r>
      <w:proofErr w:type="spellStart"/>
      <w:r>
        <w:rPr>
          <w:rFonts w:ascii="Palatino Linotype" w:eastAsia="Palatino Linotype" w:hAnsi="Palatino Linotype" w:cs="Palatino Linotype"/>
          <w:i/>
          <w:color w:val="000000"/>
          <w:sz w:val="24"/>
          <w:szCs w:val="24"/>
        </w:rPr>
        <w:t>zip</w:t>
      </w:r>
      <w:proofErr w:type="spellEnd"/>
      <w:r>
        <w:rPr>
          <w:rFonts w:ascii="Palatino Linotype" w:eastAsia="Palatino Linotype" w:hAnsi="Palatino Linotype" w:cs="Palatino Linotype"/>
          <w:i/>
          <w:color w:val="000000"/>
          <w:sz w:val="24"/>
          <w:szCs w:val="24"/>
        </w:rPr>
        <w:t>"(Sic)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Razones o Motivos de Inconformidad</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color w:val="000000"/>
          <w:sz w:val="24"/>
          <w:szCs w:val="24"/>
        </w:rPr>
        <w:t xml:space="preserve">“Hay argucias identificadas para negar la información No se puede visualizar la información que adjuntan en formato </w:t>
      </w:r>
      <w:proofErr w:type="spellStart"/>
      <w:r>
        <w:rPr>
          <w:rFonts w:ascii="Palatino Linotype" w:eastAsia="Palatino Linotype" w:hAnsi="Palatino Linotype" w:cs="Palatino Linotype"/>
          <w:i/>
          <w:color w:val="000000"/>
          <w:sz w:val="24"/>
          <w:szCs w:val="24"/>
        </w:rPr>
        <w:t>zip</w:t>
      </w:r>
      <w:proofErr w:type="spellEnd"/>
      <w:r>
        <w:rPr>
          <w:rFonts w:ascii="Palatino Linotype" w:eastAsia="Palatino Linotype" w:hAnsi="Palatino Linotype" w:cs="Palatino Linotype"/>
          <w:i/>
          <w:color w:val="000000"/>
          <w:sz w:val="24"/>
          <w:szCs w:val="24"/>
        </w:rPr>
        <w:t>” (Sic)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05344/INFOEM/IP/RR/2021</w:t>
      </w: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 xml:space="preserve">Acto Impugnado: </w:t>
      </w:r>
      <w:r>
        <w:rPr>
          <w:rFonts w:ascii="Palatino Linotype" w:eastAsia="Palatino Linotype" w:hAnsi="Palatino Linotype" w:cs="Palatino Linotype"/>
          <w:i/>
          <w:color w:val="000000"/>
          <w:sz w:val="24"/>
          <w:szCs w:val="24"/>
        </w:rPr>
        <w:t xml:space="preserve">“Hay argucias identificadas para negar la información No se puede visualizar la información que adjuntan en formato </w:t>
      </w:r>
      <w:proofErr w:type="spellStart"/>
      <w:r>
        <w:rPr>
          <w:rFonts w:ascii="Palatino Linotype" w:eastAsia="Palatino Linotype" w:hAnsi="Palatino Linotype" w:cs="Palatino Linotype"/>
          <w:i/>
          <w:color w:val="000000"/>
          <w:sz w:val="24"/>
          <w:szCs w:val="24"/>
        </w:rPr>
        <w:t>zip</w:t>
      </w:r>
      <w:proofErr w:type="spellEnd"/>
      <w:r>
        <w:rPr>
          <w:rFonts w:ascii="Palatino Linotype" w:eastAsia="Palatino Linotype" w:hAnsi="Palatino Linotype" w:cs="Palatino Linotype"/>
          <w:i/>
          <w:color w:val="000000"/>
          <w:sz w:val="24"/>
          <w:szCs w:val="24"/>
        </w:rPr>
        <w:t>"(Sic)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Razones o Motivos de Inconformidad</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color w:val="000000"/>
          <w:sz w:val="24"/>
          <w:szCs w:val="24"/>
        </w:rPr>
        <w:t xml:space="preserve">“Hay argucias identificadas para negar la información No se puede visualizar la información que adjuntan en formato </w:t>
      </w:r>
      <w:proofErr w:type="spellStart"/>
      <w:r>
        <w:rPr>
          <w:rFonts w:ascii="Palatino Linotype" w:eastAsia="Palatino Linotype" w:hAnsi="Palatino Linotype" w:cs="Palatino Linotype"/>
          <w:i/>
          <w:color w:val="000000"/>
          <w:sz w:val="24"/>
          <w:szCs w:val="24"/>
        </w:rPr>
        <w:t>zip</w:t>
      </w:r>
      <w:proofErr w:type="spellEnd"/>
      <w:r>
        <w:rPr>
          <w:rFonts w:ascii="Palatino Linotype" w:eastAsia="Palatino Linotype" w:hAnsi="Palatino Linotype" w:cs="Palatino Linotype"/>
          <w:i/>
          <w:color w:val="000000"/>
          <w:sz w:val="24"/>
          <w:szCs w:val="24"/>
        </w:rPr>
        <w:t>” (Sic)</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CUARTO. Del turno y admisión de los recursos de revisión.</w:t>
      </w: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Medios de impugnación que les fueron turnados por medio del sistema electrónico en términos del numeral 185 fracción I de la Ley de Transparencia y Acceso a la información Pública del Estado de México y Municipios a los Comisionados</w:t>
      </w:r>
      <w:r>
        <w:rPr>
          <w:rFonts w:ascii="Palatino Linotype" w:eastAsia="Palatino Linotype" w:hAnsi="Palatino Linotype" w:cs="Palatino Linotype"/>
          <w:b/>
          <w:color w:val="000000"/>
          <w:sz w:val="24"/>
          <w:szCs w:val="24"/>
        </w:rPr>
        <w:t xml:space="preserve"> José Martínez Vilchis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Luis Gustavo Parra Noriega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Sharon Cristina Morales Martínez</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María del Rosario Mejía Ayala</w:t>
      </w:r>
      <w:r>
        <w:rPr>
          <w:rFonts w:ascii="Palatino Linotype" w:eastAsia="Palatino Linotype" w:hAnsi="Palatino Linotype" w:cs="Palatino Linotype"/>
          <w:color w:val="000000"/>
          <w:sz w:val="24"/>
          <w:szCs w:val="24"/>
        </w:rPr>
        <w:t xml:space="preserve"> y </w:t>
      </w:r>
      <w:r>
        <w:rPr>
          <w:rFonts w:ascii="Palatino Linotype" w:eastAsia="Palatino Linotype" w:hAnsi="Palatino Linotype" w:cs="Palatino Linotype"/>
          <w:b/>
          <w:color w:val="000000"/>
          <w:sz w:val="24"/>
          <w:szCs w:val="24"/>
        </w:rPr>
        <w:t>Guadalupe Ramírez Peña</w:t>
      </w:r>
      <w:r>
        <w:rPr>
          <w:rFonts w:ascii="Palatino Linotype" w:eastAsia="Palatino Linotype" w:hAnsi="Palatino Linotype" w:cs="Palatino Linotype"/>
          <w:color w:val="000000"/>
          <w:sz w:val="24"/>
          <w:szCs w:val="24"/>
        </w:rPr>
        <w:t xml:space="preserve">, respectivamente, para su revisión y análisis sobre la admisión o desechamiento; por lo que en fecha cuatro, cinco, </w:t>
      </w:r>
      <w:r>
        <w:rPr>
          <w:rFonts w:ascii="Palatino Linotype" w:eastAsia="Palatino Linotype" w:hAnsi="Palatino Linotype" w:cs="Palatino Linotype"/>
          <w:color w:val="000000"/>
          <w:sz w:val="24"/>
          <w:szCs w:val="24"/>
        </w:rPr>
        <w:lastRenderedPageBreak/>
        <w:t>ocho y nueve de noviembre de dos mil veintiuno, los recursos de revisión fueron admitidos en la vía interpuesta determinándose en ellos, un plazo de siete días para que las partes manifestaran lo que a su derecho corresponda en términos de las fracciones I, II y III del artículo ya citado.</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QUINTO. De la acumulación de los recursos de revisión.</w:t>
      </w: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la Cuadragésima Primera Sesión Ordinaria del Pleno de este Instituto de Transparencia, Acceso a la Información Pública y Protección de Datos Personales del Estado de México y Municipios, celebrada el dieciocho de noviembre de dos mil veintiuno, al advertir la conexidad de causa y con la finalidad de evitar que se dicten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el </w:t>
      </w:r>
      <w:r>
        <w:rPr>
          <w:rFonts w:ascii="Palatino Linotype" w:eastAsia="Palatino Linotype" w:hAnsi="Palatino Linotype" w:cs="Palatino Linotype"/>
          <w:b/>
          <w:color w:val="000000"/>
          <w:sz w:val="24"/>
          <w:szCs w:val="24"/>
        </w:rPr>
        <w:t>Comisionado José Martínez Vilchis</w:t>
      </w:r>
      <w:r>
        <w:rPr>
          <w:rFonts w:ascii="Palatino Linotype" w:eastAsia="Palatino Linotype" w:hAnsi="Palatino Linotype" w:cs="Palatino Linotype"/>
          <w:color w:val="000000"/>
          <w:sz w:val="24"/>
          <w:szCs w:val="24"/>
        </w:rPr>
        <w:t>.</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SEXTO. De la etapa de instrucción.</w:t>
      </w: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Una vez abierta la etapa de instrucción, se observa que el Sujeto Obligado omitió rendir sus Informes Justificados. Asimismo, el Recurrente no presentó manifestaciones, rindió alegatos ni presentó pruebas que a su derecho convinieran. </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SÉPTIMO. Del cierre de instrucción.</w:t>
      </w: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toda vez que transcurrió el término legal, se decretó el cierre de la etapa de instrucción en los recursos de revisión referidos en fecha dieciocho y veintidós de </w:t>
      </w:r>
      <w:r>
        <w:rPr>
          <w:rFonts w:ascii="Palatino Linotype" w:eastAsia="Palatino Linotype" w:hAnsi="Palatino Linotype" w:cs="Palatino Linotype"/>
          <w:color w:val="000000"/>
          <w:sz w:val="24"/>
          <w:szCs w:val="24"/>
        </w:rPr>
        <w:lastRenderedPageBreak/>
        <w:t>noviembre de dos mil veintiuno, en términos del artículo 185 fracción VI de la Ley de Transparencia y Acceso a la Información Pública del Estado de México y Municipios, iniciando el término legal para dictar resolución definitiva del asunto.</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C O N S I D E R A N D O</w:t>
      </w:r>
    </w:p>
    <w:p w:rsidR="00827DD2" w:rsidRDefault="00827DD2">
      <w:pPr>
        <w:pBdr>
          <w:top w:val="nil"/>
          <w:left w:val="nil"/>
          <w:bottom w:val="nil"/>
          <w:right w:val="nil"/>
          <w:between w:val="nil"/>
        </w:pBdr>
        <w:spacing w:after="0" w:line="360" w:lineRule="auto"/>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PRIMERO. De la competencia.</w:t>
      </w: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 xml:space="preserve">SEGUNDO. Sobre los alcances del recurso de revisión. </w:t>
      </w: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w:t>
      </w:r>
      <w:r>
        <w:rPr>
          <w:rFonts w:ascii="Palatino Linotype" w:eastAsia="Palatino Linotype" w:hAnsi="Palatino Linotype" w:cs="Palatino Linotype"/>
          <w:color w:val="000000"/>
          <w:sz w:val="24"/>
          <w:szCs w:val="24"/>
        </w:rPr>
        <w:lastRenderedPageBreak/>
        <w:t>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TERCERO. Cuestiones de previo y especial pronunciamiento.</w:t>
      </w:r>
    </w:p>
    <w:p w:rsidR="00827DD2" w:rsidRDefault="00D5686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180. </w:t>
      </w:r>
      <w:r>
        <w:rPr>
          <w:rFonts w:ascii="Palatino Linotype" w:eastAsia="Palatino Linotype" w:hAnsi="Palatino Linotype" w:cs="Palatino Linotype"/>
          <w:i/>
        </w:rPr>
        <w:t>El recurso de revisión contendrá:</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 El sujeto obligado ante la cual se presentó la solicitud;</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II. El nombre del solicitante que recurre</w:t>
      </w:r>
      <w:r>
        <w:rPr>
          <w:rFonts w:ascii="Palatino Linotype" w:eastAsia="Palatino Linotype" w:hAnsi="Palatino Linotype" w:cs="Palatino Linotype"/>
          <w:i/>
        </w:rPr>
        <w:t xml:space="preserve"> o de su representante y, en su caso, del tercero interesado, así como la dirección o medio que señale para recibir notificaciones;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III. El número de folio de respuesta de la solicitud de acceso;</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 El acto que se recurre;</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 Las razones o motivos de inconformidad;</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VII. La copia de la respuesta que se impugna y, en su caso, de la notificación correspondiente, en el caso de respuesta de la solicitud; y</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VIII. Firma del recurrente, en su caso, cuando se presente por escrito, requisito sin el cual se dará trámite al recurso.</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Adicionalmente, se podrán anexar las pruebas y demás elementos que considere procedentes someter a juicio del Instituto.</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En ningún caso será necesario que el particular ratifique el recurso de revisión interpuesto.</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En caso de que el recurso se interponga de manera electrónica no será indispensable que contengan los requisitos establecidos en las fracciones II</w:t>
      </w:r>
      <w:r>
        <w:rPr>
          <w:rFonts w:ascii="Palatino Linotype" w:eastAsia="Palatino Linotype" w:hAnsi="Palatino Linotype" w:cs="Palatino Linotype"/>
          <w:i/>
        </w:rPr>
        <w:t>, IV, VII y VIII.</w:t>
      </w:r>
    </w:p>
    <w:p w:rsidR="00827DD2" w:rsidRDefault="00827DD2">
      <w:pPr>
        <w:spacing w:after="0" w:line="360" w:lineRule="auto"/>
        <w:jc w:val="both"/>
        <w:rPr>
          <w:rFonts w:ascii="Palatino Linotype" w:eastAsia="Palatino Linotype" w:hAnsi="Palatino Linotype" w:cs="Palatino Linotype"/>
          <w:b/>
          <w:i/>
          <w:sz w:val="24"/>
          <w:szCs w:val="24"/>
        </w:rPr>
      </w:pPr>
    </w:p>
    <w:p w:rsidR="00827DD2" w:rsidRDefault="00D5686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155.</w:t>
      </w:r>
      <w:r>
        <w:rPr>
          <w:rFonts w:ascii="Palatino Linotype" w:eastAsia="Palatino Linotype" w:hAnsi="Palatino Linotype" w:cs="Palatino Linotype"/>
          <w:i/>
        </w:rPr>
        <w:t xml:space="preserve"> (…)</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w:t>
      </w:r>
      <w:r>
        <w:rPr>
          <w:rFonts w:ascii="Palatino Linotype" w:eastAsia="Palatino Linotype" w:hAnsi="Palatino Linotype" w:cs="Palatino Linotype"/>
          <w:i/>
        </w:rPr>
        <w:t xml:space="preserve"> por parte del sujeto obligado ante quien se presente. No podrá requerirse información adicional con motivo del nombre proporcionado por el solicitante.</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spacing w:after="0" w:line="240" w:lineRule="auto"/>
        <w:ind w:left="567" w:right="567"/>
        <w:jc w:val="center"/>
        <w:rPr>
          <w:rFonts w:ascii="Palatino Linotype" w:eastAsia="Palatino Linotype" w:hAnsi="Palatino Linotype" w:cs="Palatino Linotype"/>
          <w:b/>
          <w:i/>
          <w:u w:val="single"/>
        </w:rPr>
      </w:pPr>
      <w:r>
        <w:rPr>
          <w:rFonts w:ascii="Palatino Linotype" w:eastAsia="Palatino Linotype" w:hAnsi="Palatino Linotype" w:cs="Palatino Linotype"/>
          <w:b/>
          <w:i/>
          <w:u w:val="single"/>
        </w:rPr>
        <w:t>Constitución Política de los Estados Unidos Mexicanos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6</w:t>
      </w:r>
      <w:r>
        <w:rPr>
          <w:rFonts w:ascii="Palatino Linotype" w:eastAsia="Palatino Linotype" w:hAnsi="Palatino Linotype" w:cs="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Para efectos de lo dispuesto en el presente artículo se observará lo siguiente: </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center"/>
        <w:rPr>
          <w:rFonts w:ascii="Palatino Linotype" w:eastAsia="Palatino Linotype" w:hAnsi="Palatino Linotype" w:cs="Palatino Linotype"/>
          <w:b/>
          <w:i/>
          <w:u w:val="single"/>
        </w:rPr>
      </w:pPr>
      <w:r>
        <w:rPr>
          <w:rFonts w:ascii="Palatino Linotype" w:eastAsia="Palatino Linotype" w:hAnsi="Palatino Linotype" w:cs="Palatino Linotype"/>
          <w:b/>
          <w:i/>
          <w:u w:val="single"/>
        </w:rPr>
        <w:t>Constitución Política del Estado Libre y Soberano de México</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5</w:t>
      </w:r>
      <w:r>
        <w:rPr>
          <w:rFonts w:ascii="Palatino Linotype" w:eastAsia="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El derecho a la información será garantizado por el Estado. La ley establecerá las previsiones que permitan asegurar la protección, el respeto y la difusión de este derecho. </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Este derecho se regirá por los principios y bases siguientes: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Toda persona, sin necesidad de acreditar interés alguno o justificar su utilización, tendrá acceso gratuito a la información pública, a sus datos personales o a la rectificación de éstos;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IV.</w:t>
      </w:r>
      <w:r>
        <w:rPr>
          <w:rFonts w:ascii="Palatino Linotype" w:eastAsia="Palatino Linotype" w:hAnsi="Palatino Linotype" w:cs="Palatino Linotype"/>
          <w:i/>
        </w:rPr>
        <w:t xml:space="preserve"> Se establecerán mecanismos de acceso a la información y procedimientos de revisión expeditos que se sustanciarán ante el organismo autónomo especializado e imparcial que establece esta Constitución.</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827DD2" w:rsidRDefault="00827DD2">
      <w:pPr>
        <w:spacing w:after="0" w:line="360" w:lineRule="auto"/>
        <w:ind w:left="567" w:right="567"/>
        <w:jc w:val="both"/>
        <w:rPr>
          <w:rFonts w:ascii="Palatino Linotype" w:eastAsia="Palatino Linotype" w:hAnsi="Palatino Linotype" w:cs="Palatino Linotype"/>
          <w:sz w:val="24"/>
          <w:szCs w:val="24"/>
        </w:rPr>
      </w:pPr>
    </w:p>
    <w:p w:rsidR="00827DD2" w:rsidRDefault="00D5686D">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del contenido del artículo 1 de la Constitución Política de los Estados Unidos Mexicanos, se destaca lo siguiente:</w:t>
      </w:r>
    </w:p>
    <w:p w:rsidR="00827DD2" w:rsidRDefault="00827DD2">
      <w:pPr>
        <w:spacing w:after="0" w:line="240" w:lineRule="auto"/>
        <w:ind w:left="567" w:right="567"/>
        <w:jc w:val="both"/>
        <w:rPr>
          <w:rFonts w:ascii="Palatino Linotype" w:eastAsia="Palatino Linotype" w:hAnsi="Palatino Linotype" w:cs="Palatino Linotype"/>
          <w:sz w:val="24"/>
          <w:szCs w:val="24"/>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1o</w:t>
      </w:r>
      <w:r>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27DD2" w:rsidRDefault="00827DD2">
      <w:pPr>
        <w:spacing w:after="0" w:line="360" w:lineRule="auto"/>
        <w:ind w:left="567" w:right="567"/>
        <w:jc w:val="both"/>
        <w:rPr>
          <w:rFonts w:ascii="Palatino Linotype" w:eastAsia="Palatino Linotype" w:hAnsi="Palatino Linotype" w:cs="Palatino Linotype"/>
          <w:sz w:val="24"/>
          <w:szCs w:val="24"/>
        </w:rPr>
      </w:pPr>
    </w:p>
    <w:p w:rsidR="00827DD2" w:rsidRDefault="00D5686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cual, de una interpretación sistemática, conforme y progresiva del derecho humano de acceso a la información pública se aprecia que toda persona, sin necesidad </w:t>
      </w:r>
      <w:r>
        <w:rPr>
          <w:rFonts w:ascii="Palatino Linotype" w:eastAsia="Palatino Linotype" w:hAnsi="Palatino Linotype" w:cs="Palatino Linotype"/>
          <w:sz w:val="24"/>
          <w:szCs w:val="24"/>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En conclusión, se cubrieron los requisitos de procedencia y procedibilidad y conforme a las constancias que obran en el expediente.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CUARTO. De las causas de improcedencia.</w:t>
      </w: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w:t>
      </w:r>
      <w:r>
        <w:rPr>
          <w:rFonts w:ascii="Palatino Linotype" w:eastAsia="Palatino Linotype" w:hAnsi="Palatino Linotype" w:cs="Palatino Linotype"/>
          <w:color w:val="000000"/>
          <w:sz w:val="24"/>
          <w:szCs w:val="24"/>
        </w:rPr>
        <w:lastRenderedPageBreak/>
        <w:t>que es una figura procesal adoptada en la ley de la materia</w:t>
      </w:r>
      <w:r>
        <w:rPr>
          <w:rFonts w:ascii="Palatino Linotype" w:eastAsia="Palatino Linotype" w:hAnsi="Palatino Linotype" w:cs="Palatino Linotype"/>
          <w:color w:val="000000"/>
          <w:sz w:val="24"/>
          <w:szCs w:val="24"/>
          <w:vertAlign w:val="superscript"/>
        </w:rPr>
        <w:footnoteReference w:id="1"/>
      </w:r>
      <w:r>
        <w:rPr>
          <w:rFonts w:ascii="Palatino Linotype" w:eastAsia="Palatino Linotype" w:hAnsi="Palatino Linotype" w:cs="Palatino Linotype"/>
          <w:color w:val="000000"/>
          <w:sz w:val="24"/>
          <w:szCs w:val="24"/>
        </w:rPr>
        <w:t>, la cual permite dilucidar alguna causal que impida el estudio y resolución, cuando una vez admitido el recurso de revisión se advierta una causa de improcedencia que permita sobreseerlo, sin estudiar el fondo del asunto.</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QUINTO. Estudio y resolución del asunto.</w:t>
      </w: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tanto, es conveniente recordar lo que el hoy Recurrente requirió del Sujeto Obligado que, conforme a los Lineamientos que norman la Entrega-Recepción de los Ayuntamientos, sus Dependencias y Organismo Descentralizados Municipales del Estado de México en sus artículos del 39 al 42, se le haga entrega de lo siguiente: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numPr>
          <w:ilvl w:val="0"/>
          <w:numId w:val="1"/>
        </w:numPr>
        <w:pBdr>
          <w:top w:val="nil"/>
          <w:left w:val="nil"/>
          <w:bottom w:val="nil"/>
          <w:right w:val="nil"/>
          <w:between w:val="nil"/>
        </w:pBdr>
        <w:spacing w:after="0" w:line="360" w:lineRule="auto"/>
        <w:ind w:hanging="42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Copia simple del acuse de recibido del documento con el cual los servidores públicos salientes que participan en el Equipo de Transición, notificaron al Presidente Municipal electo el sobre cerrado identificado como “ADMINISTRACIÓN ENTRANTE” que se incluyó en el oficio girado por el Órgano Superior de Fiscalización del Estado de México (OSFEM) a la Presidente Municipal de Metepec el veintiuno de septiembre de dos mil veintiuno.</w:t>
      </w:r>
    </w:p>
    <w:p w:rsidR="00827DD2" w:rsidRDefault="00D5686D">
      <w:pPr>
        <w:numPr>
          <w:ilvl w:val="0"/>
          <w:numId w:val="1"/>
        </w:numPr>
        <w:pBdr>
          <w:top w:val="nil"/>
          <w:left w:val="nil"/>
          <w:bottom w:val="nil"/>
          <w:right w:val="nil"/>
          <w:between w:val="nil"/>
        </w:pBdr>
        <w:spacing w:after="0" w:line="360" w:lineRule="auto"/>
        <w:ind w:hanging="42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Copia simple del acuse de recibido, mediante el cual se informa al OSFEM sobre la conformación del Equipo de Transición.</w:t>
      </w:r>
    </w:p>
    <w:p w:rsidR="00827DD2" w:rsidRDefault="00D5686D">
      <w:pPr>
        <w:numPr>
          <w:ilvl w:val="0"/>
          <w:numId w:val="1"/>
        </w:numPr>
        <w:pBdr>
          <w:top w:val="nil"/>
          <w:left w:val="nil"/>
          <w:bottom w:val="nil"/>
          <w:right w:val="nil"/>
          <w:between w:val="nil"/>
        </w:pBdr>
        <w:spacing w:after="0" w:line="360" w:lineRule="auto"/>
        <w:ind w:hanging="42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Los nombres de las personas que integran el Comité de Enlace.</w:t>
      </w:r>
    </w:p>
    <w:p w:rsidR="00827DD2" w:rsidRDefault="00D5686D">
      <w:pPr>
        <w:numPr>
          <w:ilvl w:val="0"/>
          <w:numId w:val="1"/>
        </w:numPr>
        <w:pBdr>
          <w:top w:val="nil"/>
          <w:left w:val="nil"/>
          <w:bottom w:val="nil"/>
          <w:right w:val="nil"/>
          <w:between w:val="nil"/>
        </w:pBdr>
        <w:spacing w:after="0" w:line="360" w:lineRule="auto"/>
        <w:ind w:hanging="42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Los nombres de las personas que integran el Equipo de Trabajo.</w:t>
      </w:r>
    </w:p>
    <w:p w:rsidR="00827DD2" w:rsidRDefault="00D5686D">
      <w:pPr>
        <w:numPr>
          <w:ilvl w:val="0"/>
          <w:numId w:val="1"/>
        </w:numPr>
        <w:pBdr>
          <w:top w:val="nil"/>
          <w:left w:val="nil"/>
          <w:bottom w:val="nil"/>
          <w:right w:val="nil"/>
          <w:between w:val="nil"/>
        </w:pBdr>
        <w:spacing w:after="0" w:line="360" w:lineRule="auto"/>
        <w:ind w:hanging="42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Los nombres de las personas que integran el Equipo de Transición.</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 estas solicitudes, el Sujeto Obligado otorgó a cada una de ellas en respuesta una carpeta electrónica con los siguientes archivos electrónicos:</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586</w:t>
      </w:r>
      <w:proofErr w:type="gramStart"/>
      <w:r>
        <w:rPr>
          <w:rFonts w:ascii="Palatino Linotype" w:eastAsia="Palatino Linotype" w:hAnsi="Palatino Linotype" w:cs="Palatino Linotype"/>
          <w:b/>
          <w:color w:val="000000"/>
          <w:sz w:val="24"/>
          <w:szCs w:val="24"/>
        </w:rPr>
        <w:t>.zip</w:t>
      </w:r>
      <w:proofErr w:type="gramEnd"/>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Contiene dos carpetas denominadas </w:t>
      </w:r>
      <w:r>
        <w:rPr>
          <w:rFonts w:ascii="Palatino Linotype" w:eastAsia="Palatino Linotype" w:hAnsi="Palatino Linotype" w:cs="Palatino Linotype"/>
          <w:b/>
          <w:color w:val="000000"/>
          <w:sz w:val="24"/>
          <w:szCs w:val="24"/>
        </w:rPr>
        <w:t>“_MACOSX”</w:t>
      </w:r>
      <w:r>
        <w:rPr>
          <w:rFonts w:ascii="Palatino Linotype" w:eastAsia="Palatino Linotype" w:hAnsi="Palatino Linotype" w:cs="Palatino Linotype"/>
          <w:color w:val="000000"/>
          <w:sz w:val="24"/>
          <w:szCs w:val="24"/>
        </w:rPr>
        <w:t xml:space="preserve"> y </w:t>
      </w:r>
      <w:r>
        <w:rPr>
          <w:rFonts w:ascii="Palatino Linotype" w:eastAsia="Palatino Linotype" w:hAnsi="Palatino Linotype" w:cs="Palatino Linotype"/>
          <w:b/>
          <w:color w:val="000000"/>
          <w:sz w:val="24"/>
          <w:szCs w:val="24"/>
        </w:rPr>
        <w:t>“586”</w:t>
      </w:r>
      <w:r>
        <w:rPr>
          <w:rFonts w:ascii="Palatino Linotype" w:eastAsia="Palatino Linotype" w:hAnsi="Palatino Linotype" w:cs="Palatino Linotype"/>
          <w:color w:val="000000"/>
          <w:sz w:val="24"/>
          <w:szCs w:val="24"/>
        </w:rPr>
        <w:t xml:space="preserve">. </w:t>
      </w:r>
    </w:p>
    <w:p w:rsidR="00827DD2" w:rsidRDefault="00D5686D">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585</w:t>
      </w:r>
      <w:proofErr w:type="gramStart"/>
      <w:r>
        <w:rPr>
          <w:rFonts w:ascii="Palatino Linotype" w:eastAsia="Palatino Linotype" w:hAnsi="Palatino Linotype" w:cs="Palatino Linotype"/>
          <w:b/>
          <w:color w:val="000000"/>
          <w:sz w:val="24"/>
          <w:szCs w:val="24"/>
        </w:rPr>
        <w:t>.zip</w:t>
      </w:r>
      <w:proofErr w:type="gramEnd"/>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Contiene dos carpetas denominadas </w:t>
      </w:r>
      <w:r>
        <w:rPr>
          <w:rFonts w:ascii="Palatino Linotype" w:eastAsia="Palatino Linotype" w:hAnsi="Palatino Linotype" w:cs="Palatino Linotype"/>
          <w:b/>
          <w:color w:val="000000"/>
          <w:sz w:val="24"/>
          <w:szCs w:val="24"/>
        </w:rPr>
        <w:t>“_MACOSX”</w:t>
      </w:r>
      <w:r>
        <w:rPr>
          <w:rFonts w:ascii="Palatino Linotype" w:eastAsia="Palatino Linotype" w:hAnsi="Palatino Linotype" w:cs="Palatino Linotype"/>
          <w:color w:val="000000"/>
          <w:sz w:val="24"/>
          <w:szCs w:val="24"/>
        </w:rPr>
        <w:t xml:space="preserve"> y </w:t>
      </w:r>
      <w:r>
        <w:rPr>
          <w:rFonts w:ascii="Palatino Linotype" w:eastAsia="Palatino Linotype" w:hAnsi="Palatino Linotype" w:cs="Palatino Linotype"/>
          <w:b/>
          <w:color w:val="000000"/>
          <w:sz w:val="24"/>
          <w:szCs w:val="24"/>
        </w:rPr>
        <w:t>“585”</w:t>
      </w:r>
      <w:r>
        <w:rPr>
          <w:rFonts w:ascii="Palatino Linotype" w:eastAsia="Palatino Linotype" w:hAnsi="Palatino Linotype" w:cs="Palatino Linotype"/>
          <w:color w:val="000000"/>
          <w:sz w:val="24"/>
          <w:szCs w:val="24"/>
        </w:rPr>
        <w:t xml:space="preserve">. </w:t>
      </w:r>
    </w:p>
    <w:p w:rsidR="00827DD2" w:rsidRDefault="00D5686D">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584</w:t>
      </w:r>
      <w:proofErr w:type="gramStart"/>
      <w:r>
        <w:rPr>
          <w:rFonts w:ascii="Palatino Linotype" w:eastAsia="Palatino Linotype" w:hAnsi="Palatino Linotype" w:cs="Palatino Linotype"/>
          <w:b/>
          <w:color w:val="000000"/>
          <w:sz w:val="24"/>
          <w:szCs w:val="24"/>
        </w:rPr>
        <w:t>.zip</w:t>
      </w:r>
      <w:proofErr w:type="gramEnd"/>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Contiene dos carpetas denominadas </w:t>
      </w:r>
      <w:r>
        <w:rPr>
          <w:rFonts w:ascii="Palatino Linotype" w:eastAsia="Palatino Linotype" w:hAnsi="Palatino Linotype" w:cs="Palatino Linotype"/>
          <w:b/>
          <w:color w:val="000000"/>
          <w:sz w:val="24"/>
          <w:szCs w:val="24"/>
        </w:rPr>
        <w:t>“_MACOSX”</w:t>
      </w:r>
      <w:r>
        <w:rPr>
          <w:rFonts w:ascii="Palatino Linotype" w:eastAsia="Palatino Linotype" w:hAnsi="Palatino Linotype" w:cs="Palatino Linotype"/>
          <w:color w:val="000000"/>
          <w:sz w:val="24"/>
          <w:szCs w:val="24"/>
        </w:rPr>
        <w:t xml:space="preserve"> y </w:t>
      </w:r>
      <w:r>
        <w:rPr>
          <w:rFonts w:ascii="Palatino Linotype" w:eastAsia="Palatino Linotype" w:hAnsi="Palatino Linotype" w:cs="Palatino Linotype"/>
          <w:b/>
          <w:color w:val="000000"/>
          <w:sz w:val="24"/>
          <w:szCs w:val="24"/>
        </w:rPr>
        <w:t>“584”</w:t>
      </w:r>
      <w:r>
        <w:rPr>
          <w:rFonts w:ascii="Palatino Linotype" w:eastAsia="Palatino Linotype" w:hAnsi="Palatino Linotype" w:cs="Palatino Linotype"/>
          <w:color w:val="000000"/>
          <w:sz w:val="24"/>
          <w:szCs w:val="24"/>
        </w:rPr>
        <w:t xml:space="preserve">. </w:t>
      </w:r>
    </w:p>
    <w:p w:rsidR="00827DD2" w:rsidRDefault="00D5686D">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583</w:t>
      </w:r>
      <w:proofErr w:type="gramStart"/>
      <w:r>
        <w:rPr>
          <w:rFonts w:ascii="Palatino Linotype" w:eastAsia="Palatino Linotype" w:hAnsi="Palatino Linotype" w:cs="Palatino Linotype"/>
          <w:b/>
          <w:color w:val="000000"/>
          <w:sz w:val="24"/>
          <w:szCs w:val="24"/>
        </w:rPr>
        <w:t>.zip</w:t>
      </w:r>
      <w:proofErr w:type="gramEnd"/>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Contiene dos carpetas denominadas </w:t>
      </w:r>
      <w:r>
        <w:rPr>
          <w:rFonts w:ascii="Palatino Linotype" w:eastAsia="Palatino Linotype" w:hAnsi="Palatino Linotype" w:cs="Palatino Linotype"/>
          <w:b/>
          <w:color w:val="000000"/>
          <w:sz w:val="24"/>
          <w:szCs w:val="24"/>
        </w:rPr>
        <w:t>“_MACOSX”</w:t>
      </w:r>
      <w:r>
        <w:rPr>
          <w:rFonts w:ascii="Palatino Linotype" w:eastAsia="Palatino Linotype" w:hAnsi="Palatino Linotype" w:cs="Palatino Linotype"/>
          <w:color w:val="000000"/>
          <w:sz w:val="24"/>
          <w:szCs w:val="24"/>
        </w:rPr>
        <w:t xml:space="preserve"> y </w:t>
      </w:r>
      <w:r>
        <w:rPr>
          <w:rFonts w:ascii="Palatino Linotype" w:eastAsia="Palatino Linotype" w:hAnsi="Palatino Linotype" w:cs="Palatino Linotype"/>
          <w:b/>
          <w:color w:val="000000"/>
          <w:sz w:val="24"/>
          <w:szCs w:val="24"/>
        </w:rPr>
        <w:t>“583”</w:t>
      </w:r>
      <w:r>
        <w:rPr>
          <w:rFonts w:ascii="Palatino Linotype" w:eastAsia="Palatino Linotype" w:hAnsi="Palatino Linotype" w:cs="Palatino Linotype"/>
          <w:color w:val="000000"/>
          <w:sz w:val="24"/>
          <w:szCs w:val="24"/>
        </w:rPr>
        <w:t xml:space="preserve">. </w:t>
      </w:r>
    </w:p>
    <w:p w:rsidR="00827DD2" w:rsidRDefault="00D5686D">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582</w:t>
      </w:r>
      <w:proofErr w:type="gramStart"/>
      <w:r>
        <w:rPr>
          <w:rFonts w:ascii="Palatino Linotype" w:eastAsia="Palatino Linotype" w:hAnsi="Palatino Linotype" w:cs="Palatino Linotype"/>
          <w:b/>
          <w:color w:val="000000"/>
          <w:sz w:val="24"/>
          <w:szCs w:val="24"/>
        </w:rPr>
        <w:t>.zip</w:t>
      </w:r>
      <w:proofErr w:type="gramEnd"/>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Contiene dos carpetas denominadas </w:t>
      </w:r>
      <w:r>
        <w:rPr>
          <w:rFonts w:ascii="Palatino Linotype" w:eastAsia="Palatino Linotype" w:hAnsi="Palatino Linotype" w:cs="Palatino Linotype"/>
          <w:b/>
          <w:color w:val="000000"/>
          <w:sz w:val="24"/>
          <w:szCs w:val="24"/>
        </w:rPr>
        <w:t>“_MACOSX”</w:t>
      </w:r>
      <w:r>
        <w:rPr>
          <w:rFonts w:ascii="Palatino Linotype" w:eastAsia="Palatino Linotype" w:hAnsi="Palatino Linotype" w:cs="Palatino Linotype"/>
          <w:color w:val="000000"/>
          <w:sz w:val="24"/>
          <w:szCs w:val="24"/>
        </w:rPr>
        <w:t xml:space="preserve"> y </w:t>
      </w:r>
      <w:r>
        <w:rPr>
          <w:rFonts w:ascii="Palatino Linotype" w:eastAsia="Palatino Linotype" w:hAnsi="Palatino Linotype" w:cs="Palatino Linotype"/>
          <w:b/>
          <w:color w:val="000000"/>
          <w:sz w:val="24"/>
          <w:szCs w:val="24"/>
        </w:rPr>
        <w:t>“584”</w:t>
      </w:r>
      <w:r>
        <w:rPr>
          <w:rFonts w:ascii="Palatino Linotype" w:eastAsia="Palatino Linotype" w:hAnsi="Palatino Linotype" w:cs="Palatino Linotype"/>
          <w:color w:val="000000"/>
          <w:sz w:val="24"/>
          <w:szCs w:val="24"/>
        </w:rPr>
        <w:t xml:space="preserve">. </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Debido a que los contenidos de las carpetas se repiten en denominación y con el propósito de no caer en confusiones, se debe señalar que los documentos contenidos en todas las carpetas de nombre </w:t>
      </w:r>
      <w:r>
        <w:rPr>
          <w:rFonts w:ascii="Palatino Linotype" w:eastAsia="Palatino Linotype" w:hAnsi="Palatino Linotype" w:cs="Palatino Linotype"/>
          <w:b/>
          <w:color w:val="000000"/>
          <w:sz w:val="24"/>
          <w:szCs w:val="24"/>
        </w:rPr>
        <w:t>“_MACOSX” no son compatibles con el sistema operativo Windows</w:t>
      </w:r>
      <w:r>
        <w:rPr>
          <w:rFonts w:ascii="Palatino Linotype" w:eastAsia="Palatino Linotype" w:hAnsi="Palatino Linotype" w:cs="Palatino Linotype"/>
          <w:color w:val="000000"/>
          <w:sz w:val="24"/>
          <w:szCs w:val="24"/>
        </w:rPr>
        <w:t xml:space="preserve">, sino que sólo pueden ser visualizados en equipos que cuenten con el sistema operativo </w:t>
      </w:r>
      <w:r>
        <w:rPr>
          <w:rFonts w:ascii="Palatino Linotype" w:eastAsia="Palatino Linotype" w:hAnsi="Palatino Linotype" w:cs="Palatino Linotype"/>
          <w:b/>
          <w:color w:val="000000"/>
          <w:sz w:val="24"/>
          <w:szCs w:val="24"/>
        </w:rPr>
        <w:t>Mac OS</w:t>
      </w:r>
      <w:r>
        <w:rPr>
          <w:rFonts w:ascii="Palatino Linotype" w:eastAsia="Palatino Linotype" w:hAnsi="Palatino Linotype" w:cs="Palatino Linotype"/>
          <w:color w:val="000000"/>
          <w:sz w:val="24"/>
          <w:szCs w:val="24"/>
        </w:rPr>
        <w:t xml:space="preserve">, por lo que no se pudo tener acceso a su contenido. Sin embargo, no se omite mencionar que las carpetas denominadas con el número de la solicitud que atienen, </w:t>
      </w:r>
      <w:r>
        <w:rPr>
          <w:rFonts w:ascii="Palatino Linotype" w:eastAsia="Palatino Linotype" w:hAnsi="Palatino Linotype" w:cs="Palatino Linotype"/>
          <w:b/>
          <w:color w:val="000000"/>
          <w:sz w:val="24"/>
          <w:szCs w:val="24"/>
        </w:rPr>
        <w:t>sí permiten visualizar su contenido</w:t>
      </w:r>
      <w:r>
        <w:rPr>
          <w:rFonts w:ascii="Palatino Linotype" w:eastAsia="Palatino Linotype" w:hAnsi="Palatino Linotype" w:cs="Palatino Linotype"/>
          <w:color w:val="000000"/>
          <w:sz w:val="24"/>
          <w:szCs w:val="24"/>
        </w:rPr>
        <w:t>, por lo que el mismo se hará del conocimiento del Recurrente más adelante.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el Recurrente no consideró que las respuestas colmaran sus requerimientos, por lo que interpuso los recursos de revisión de mérito señalando como acto impugnado que no se puede visualizar la información que se adjuntó en formato </w:t>
      </w:r>
      <w:proofErr w:type="spellStart"/>
      <w:r>
        <w:rPr>
          <w:rFonts w:ascii="Palatino Linotype" w:eastAsia="Palatino Linotype" w:hAnsi="Palatino Linotype" w:cs="Palatino Linotype"/>
          <w:color w:val="000000"/>
          <w:sz w:val="24"/>
          <w:szCs w:val="24"/>
        </w:rPr>
        <w:t>zip</w:t>
      </w:r>
      <w:proofErr w:type="spellEnd"/>
      <w:r>
        <w:rPr>
          <w:rFonts w:ascii="Palatino Linotype" w:eastAsia="Palatino Linotype" w:hAnsi="Palatino Linotype" w:cs="Palatino Linotype"/>
          <w:color w:val="000000"/>
          <w:sz w:val="24"/>
          <w:szCs w:val="24"/>
        </w:rPr>
        <w:t>; dando como razones o motivos de inconformidad el mismo señalamiento.</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durante la etapa de instrucción, se resalta que el Recurrente no realizó manifestaciones, vertió alegatos ni presentó pruebas que a su derecho convinieran. Asimismo, el Sujeto Obligado omitió rendir sus Informes Justificados. por consiguiente, es necesario precisar que el Sujeto Obligado, al no rendir su Informe Justificado en el término establecido, con el que pudo manifestar lo que a derecho le asistiera y conviniera, dejó de justificar las razones o motivos que lo llevaron a emitir las respuestas que ahora se impugnan, situación que no </w:t>
      </w:r>
      <w:proofErr w:type="spellStart"/>
      <w:r>
        <w:rPr>
          <w:rFonts w:ascii="Palatino Linotype" w:eastAsia="Palatino Linotype" w:hAnsi="Palatino Linotype" w:cs="Palatino Linotype"/>
          <w:color w:val="000000"/>
          <w:sz w:val="24"/>
          <w:szCs w:val="24"/>
        </w:rPr>
        <w:t>mpide</w:t>
      </w:r>
      <w:proofErr w:type="spellEnd"/>
      <w:r>
        <w:rPr>
          <w:rFonts w:ascii="Palatino Linotype" w:eastAsia="Palatino Linotype" w:hAnsi="Palatino Linotype" w:cs="Palatino Linotype"/>
          <w:color w:val="000000"/>
          <w:sz w:val="24"/>
          <w:szCs w:val="24"/>
        </w:rPr>
        <w:t xml:space="preserve"> que este Órgano Garante conozca y resuelva el presente recurso si se considera lo que al respecto ha señalado la autoridad jurisdiccional al emitir la tesis 2a. XXII/96, con número de registro 200629, en la que se establece lo siguiente:</w:t>
      </w:r>
    </w:p>
    <w:p w:rsidR="00827DD2" w:rsidRDefault="00827DD2">
      <w:pPr>
        <w:spacing w:after="0" w:line="360" w:lineRule="auto"/>
        <w:rPr>
          <w:rFonts w:ascii="Palatino Linotype" w:eastAsia="Palatino Linotype" w:hAnsi="Palatino Linotype" w:cs="Palatino Linotype"/>
          <w:sz w:val="24"/>
          <w:szCs w:val="24"/>
        </w:rPr>
      </w:pPr>
    </w:p>
    <w:p w:rsidR="00827DD2" w:rsidRDefault="00D5686D">
      <w:pPr>
        <w:spacing w:after="0" w:line="240" w:lineRule="auto"/>
        <w:ind w:left="567"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b/>
          <w:i/>
          <w:color w:val="000000"/>
        </w:rPr>
        <w:t>QUEJA, RECURSO DE. LA OMISION DE RENDIR EL INFORME RESPECTIVO NO IMPIDE QUE SE RESUELVA.</w:t>
      </w:r>
      <w:r>
        <w:rPr>
          <w:rFonts w:ascii="Palatino Linotype" w:eastAsia="Palatino Linotype" w:hAnsi="Palatino Linotype" w:cs="Palatino Linotype"/>
          <w:i/>
          <w:color w:val="000000"/>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w:t>
      </w:r>
      <w:r>
        <w:rPr>
          <w:rFonts w:ascii="Palatino Linotype" w:eastAsia="Palatino Linotype" w:hAnsi="Palatino Linotype" w:cs="Palatino Linotype"/>
          <w:i/>
          <w:color w:val="000000"/>
        </w:rPr>
        <w:lastRenderedPageBreak/>
        <w:t>aceptar lo contrario, la resolución del recurso quedaría subordinada indefinidamente a la voluntad de las autoridades responsables en la queja, por ser claro que en tal supuesto, mientras ellas no rindieran el informe justificado, tampoco podría decidirse el recurso de queja. </w:t>
      </w:r>
    </w:p>
    <w:p w:rsidR="00827DD2" w:rsidRDefault="00827DD2">
      <w:pPr>
        <w:spacing w:after="0" w:line="360" w:lineRule="auto"/>
        <w:rPr>
          <w:rFonts w:ascii="Palatino Linotype" w:eastAsia="Palatino Linotype" w:hAnsi="Palatino Linotype" w:cs="Palatino Linotype"/>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se reitera que la falta de informe justificado no impide que este Instituto conozca y resuelva el recurso de revisión, sino que sólo propicia que el Sujeto Obligado pierda la oportunidad de justificar su respuesta y manifestar lo que a su derecho convenga.</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sentido, en primer término, es pertinente enfatizar lo que refiere el artículo 6° de la Constitución Política de los Estados Unidos Mexicanos respecto al derecho de acceso a la información pública, que en su parte conducente señala:</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r>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eastAsia="Palatino Linotype" w:hAnsi="Palatino Linotype" w:cs="Palatino Linotype"/>
          <w:b/>
          <w:i/>
        </w:rPr>
        <w:t>El derecho a la información será garantizado por el Estado.</w:t>
      </w:r>
      <w:r>
        <w:rPr>
          <w:rFonts w:ascii="Palatino Linotype" w:eastAsia="Palatino Linotype" w:hAnsi="Palatino Linotype" w:cs="Palatino Linotype"/>
          <w:i/>
        </w:rPr>
        <w:t xml:space="preserve"> </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Toda persona tiene derecho al libre acceso a información plural y oportuna, así como a buscar, recibir y difundir información e ideas de toda índole por cualquier medio de expresión.</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 Toda la información en posesión de</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cualquier autoridad, entidad, órgano y organismo de los Poderes Ejecutivo, </w:t>
      </w:r>
      <w:r>
        <w:rPr>
          <w:rFonts w:ascii="Palatino Linotype" w:eastAsia="Palatino Linotype" w:hAnsi="Palatino Linotype" w:cs="Palatino Linotype"/>
          <w:i/>
        </w:rPr>
        <w:t xml:space="preserve">Legislativo y Judicial, órganos autónomos, partidos políticos, fideicomisos y fondos públicos, así como de cualquier persona física, moral o sindicato que reciba y ejerza recursos públicos o realice actos de autoridad </w:t>
      </w:r>
      <w:r>
        <w:rPr>
          <w:rFonts w:ascii="Palatino Linotype" w:eastAsia="Palatino Linotype" w:hAnsi="Palatino Linotype" w:cs="Palatino Linotype"/>
          <w:b/>
          <w:i/>
        </w:rPr>
        <w:t>en el ámbito federal, estatal y municipal, es pública</w:t>
      </w:r>
      <w:r>
        <w:rPr>
          <w:rFonts w:ascii="Palatino Linotype" w:eastAsia="Palatino Linotype" w:hAnsi="Palatino Linotype" w:cs="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Pr>
          <w:rFonts w:ascii="Palatino Linotype" w:eastAsia="Palatino Linotype" w:hAnsi="Palatino Linotype" w:cs="Palatino Linotype"/>
          <w:b/>
          <w:i/>
        </w:rPr>
        <w:t>Los sujetos obligados deberán documentar todo acto que derive del ejercicio de sus facultades, competencias o funciones</w:t>
      </w:r>
      <w:r>
        <w:rPr>
          <w:rFonts w:ascii="Palatino Linotype" w:eastAsia="Palatino Linotype" w:hAnsi="Palatino Linotype" w:cs="Palatino Linotype"/>
          <w:i/>
        </w:rPr>
        <w:t>, la ley determinará los supuestos específicos bajo los cuales procederá la declaración de inexistencia de la información.</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 La información que se refiere a la vida privada y los datos personales será protegida en los términos y con las excepciones que fijen las leyes.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V. Los sujetos obligados deberán preservar sus documentos en archivos administrativos actualizados y publicarán, a través de los medios electrónicos disponibles</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la información completa y actualizada sobre el ejercicio de los recursos públicos </w:t>
      </w:r>
      <w:r>
        <w:rPr>
          <w:rFonts w:ascii="Palatino Linotype" w:eastAsia="Palatino Linotype" w:hAnsi="Palatino Linotype" w:cs="Palatino Linotype"/>
          <w:i/>
        </w:rPr>
        <w:t>y los indicadores que permitan rendir cuenta del cumplimiento de sus objetivos y de los resultados obtenidos.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 Las leyes determinarán la manera en que los sujetos obligados deberán hacer pública la información relativa a los recursos públicos que entreguen a personas físicas o morales.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VII. La inobservancia a las disposiciones en materia de acceso a la información pública será sancionada en los términos que dispongan las leyes.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827DD2" w:rsidRDefault="00D5686D">
      <w:pPr>
        <w:spacing w:after="0" w:line="24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t>La ley establecerá aquella información que se considere reservada o confidencial.</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su parte, la Constitución Política del Estado Libre y Soberano de México, en su artículo 5°, dispone en su parte conducente, lo siguiente:</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 </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El derecho a la información será garantizado por el Estado. La ley establecerá las previsiones que permitan asegurar la protección, el respeto y la difusión de este derecho. </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Este derecho se regirá por los principios y bases siguientes:</w:t>
      </w:r>
    </w:p>
    <w:p w:rsidR="00827DD2" w:rsidRDefault="00827DD2">
      <w:pPr>
        <w:spacing w:after="0" w:line="240" w:lineRule="auto"/>
        <w:ind w:left="567" w:right="567"/>
        <w:jc w:val="both"/>
        <w:rPr>
          <w:rFonts w:ascii="Palatino Linotype" w:eastAsia="Palatino Linotype" w:hAnsi="Palatino Linotype" w:cs="Palatino Linotype"/>
          <w:i/>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IV. Se establecerán mecanismos de acceso a la información y procedimientos de revisión expeditos que se sustanciarán ante el organismo autónomo especializado e imparcial que establece esta Constitución.</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VII. La ley reglamentaria, determinará la manera en que los sujetos obligados deberán hacer pública la información relativa a los recursos públicos que entreguen a personas físicas o jurídicas colectivas.</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orden de ideas, la Ley de Transparencia y Acceso a la Información Pública del Estado de México y Municipios, prevé en su artículo 23, fracción IV, lo siguiente:</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IV. Los ayuntamientos y las dependencias, organismos, órganos y entidades de la administración municipal;</w:t>
      </w:r>
    </w:p>
    <w:p w:rsidR="00827DD2" w:rsidRDefault="00D5686D">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En segundo término, atendiendo el motivo de inconformidad hecho valer por el Recurrente consistente en el hecho de que no le es posible visualizar el contenido de las carpetas, se debe tomar en cuenta que el Sujeto Obligado remitió a cada una de las solicitudes la correspondiente carpeta en formato </w:t>
      </w:r>
      <w:proofErr w:type="spellStart"/>
      <w:r>
        <w:rPr>
          <w:rFonts w:ascii="Palatino Linotype" w:eastAsia="Palatino Linotype" w:hAnsi="Palatino Linotype" w:cs="Palatino Linotype"/>
          <w:i/>
          <w:color w:val="000000"/>
          <w:sz w:val="24"/>
          <w:szCs w:val="24"/>
        </w:rPr>
        <w:t>zip</w:t>
      </w:r>
      <w:proofErr w:type="spellEnd"/>
      <w:r>
        <w:rPr>
          <w:rFonts w:ascii="Palatino Linotype" w:eastAsia="Palatino Linotype" w:hAnsi="Palatino Linotype" w:cs="Palatino Linotype"/>
          <w:color w:val="000000"/>
          <w:sz w:val="24"/>
          <w:szCs w:val="24"/>
        </w:rPr>
        <w:t xml:space="preserve">, como ya se señaló con anterioridad, en todas las carpetas se observan dos ficheros, uno de ellos denominado </w:t>
      </w:r>
      <w:r>
        <w:rPr>
          <w:rFonts w:ascii="Palatino Linotype" w:eastAsia="Palatino Linotype" w:hAnsi="Palatino Linotype" w:cs="Palatino Linotype"/>
          <w:b/>
          <w:color w:val="000000"/>
          <w:sz w:val="24"/>
          <w:szCs w:val="24"/>
        </w:rPr>
        <w:t>“_MACOSX”</w:t>
      </w:r>
      <w:r>
        <w:rPr>
          <w:rFonts w:ascii="Palatino Linotype" w:eastAsia="Palatino Linotype" w:hAnsi="Palatino Linotype" w:cs="Palatino Linotype"/>
          <w:color w:val="000000"/>
          <w:sz w:val="24"/>
          <w:szCs w:val="24"/>
        </w:rPr>
        <w:t xml:space="preserve">. De la misma forma, no se debe soslayar el hecho de que en cada una de las carpetas principales, también contiene una carpeta denominada con el número de solicitud correspondiente; para ejemplificar lo anterior, se procederá a la revisión de la respuesta emitida a la solicitud de información </w:t>
      </w:r>
      <w:r>
        <w:rPr>
          <w:rFonts w:ascii="Palatino Linotype" w:eastAsia="Palatino Linotype" w:hAnsi="Palatino Linotype" w:cs="Palatino Linotype"/>
          <w:b/>
          <w:color w:val="000000"/>
          <w:sz w:val="24"/>
          <w:szCs w:val="24"/>
        </w:rPr>
        <w:t>00586/METEPEC/IP/2021</w:t>
      </w:r>
      <w:r>
        <w:rPr>
          <w:rFonts w:ascii="Palatino Linotype" w:eastAsia="Palatino Linotype" w:hAnsi="Palatino Linotype" w:cs="Palatino Linotype"/>
          <w:color w:val="000000"/>
          <w:sz w:val="24"/>
          <w:szCs w:val="24"/>
        </w:rPr>
        <w:t>:</w:t>
      </w:r>
    </w:p>
    <w:p w:rsidR="00827DD2" w:rsidRDefault="0026601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noProof/>
        </w:rPr>
        <mc:AlternateContent>
          <mc:Choice Requires="wps">
            <w:drawing>
              <wp:anchor distT="0" distB="0" distL="114300" distR="114300" simplePos="0" relativeHeight="251658240" behindDoc="0" locked="0" layoutInCell="1" hidden="0" allowOverlap="1" wp14:anchorId="4B8540EF" wp14:editId="5218FE5E">
                <wp:simplePos x="0" y="0"/>
                <wp:positionH relativeFrom="column">
                  <wp:posOffset>396875</wp:posOffset>
                </wp:positionH>
                <wp:positionV relativeFrom="paragraph">
                  <wp:posOffset>308610</wp:posOffset>
                </wp:positionV>
                <wp:extent cx="1013460" cy="384810"/>
                <wp:effectExtent l="19050" t="19050" r="15240" b="15240"/>
                <wp:wrapNone/>
                <wp:docPr id="49" name="Rectángulo 49"/>
                <wp:cNvGraphicFramePr/>
                <a:graphic xmlns:a="http://schemas.openxmlformats.org/drawingml/2006/main">
                  <a:graphicData uri="http://schemas.microsoft.com/office/word/2010/wordprocessingShape">
                    <wps:wsp>
                      <wps:cNvSpPr/>
                      <wps:spPr>
                        <a:xfrm>
                          <a:off x="0" y="0"/>
                          <a:ext cx="1013460" cy="384810"/>
                        </a:xfrm>
                        <a:prstGeom prst="rect">
                          <a:avLst/>
                        </a:prstGeom>
                        <a:noFill/>
                        <a:ln w="28575" cap="flat" cmpd="sng">
                          <a:solidFill>
                            <a:srgbClr val="FF0000"/>
                          </a:solidFill>
                          <a:prstDash val="solid"/>
                          <a:miter lim="800000"/>
                          <a:headEnd type="none" w="sm" len="sm"/>
                          <a:tailEnd type="none" w="sm" len="sm"/>
                        </a:ln>
                      </wps:spPr>
                      <wps:txbx>
                        <w:txbxContent>
                          <w:p w:rsidR="00827DD2" w:rsidRDefault="00827DD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rect w14:anchorId="4B8540EF" id="Rectángulo 49" o:spid="_x0000_s1026" style="position:absolute;left:0;text-align:left;margin-left:31.25pt;margin-top:24.3pt;width:79.8pt;height:30.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" filled="f" strokecolor="red" strokeweight="2.25pt">
                <v:stroke startarrowwidth="narrow" startarrowlength="short" endarrowwidth="narrow" endarrowlength="short"/>
                <v:textbox inset="2.53958mm,2.53958mm,2.53958mm,2.53958mm">
                  <w:txbxContent>
                    <w:p w:rsidR="00827DD2" w:rsidRDefault="00827DD2">
                      <w:pPr>
                        <w:spacing w:after="0" w:line="240" w:lineRule="auto"/>
                        <w:textDirection w:val="btLr"/>
                      </w:pPr>
                    </w:p>
                  </w:txbxContent>
                </v:textbox>
              </v:rect>
            </w:pict>
          </mc:Fallback>
        </mc:AlternateConten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i/>
          <w:noProof/>
        </w:rPr>
        <w:drawing>
          <wp:inline distT="0" distB="0" distL="0" distR="0" wp14:anchorId="505118EB" wp14:editId="5235DA25">
            <wp:extent cx="4969283" cy="3636938"/>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36838" t="24263" r="35552" b="44951"/>
                    <a:stretch>
                      <a:fillRect/>
                    </a:stretch>
                  </pic:blipFill>
                  <pic:spPr>
                    <a:xfrm>
                      <a:off x="0" y="0"/>
                      <a:ext cx="4969283" cy="3636938"/>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3CE8D8D4" wp14:editId="4BD3009A">
                <wp:simplePos x="0" y="0"/>
                <wp:positionH relativeFrom="column">
                  <wp:posOffset>901700</wp:posOffset>
                </wp:positionH>
                <wp:positionV relativeFrom="paragraph">
                  <wp:posOffset>1270000</wp:posOffset>
                </wp:positionV>
                <wp:extent cx="1299210" cy="348615"/>
                <wp:effectExtent l="0" t="0" r="0" b="0"/>
                <wp:wrapNone/>
                <wp:docPr id="46" name="Rectángulo 46"/>
                <wp:cNvGraphicFramePr/>
                <a:graphic xmlns:a="http://schemas.openxmlformats.org/drawingml/2006/main">
                  <a:graphicData uri="http://schemas.microsoft.com/office/word/2010/wordprocessingShape">
                    <wps:wsp>
                      <wps:cNvSpPr/>
                      <wps:spPr>
                        <a:xfrm>
                          <a:off x="0" y="0"/>
                          <a:ext cx="1299210" cy="348615"/>
                        </a:xfrm>
                        <a:prstGeom prst="rect">
                          <a:avLst/>
                        </a:prstGeom>
                        <a:noFill/>
                        <a:ln w="28575" cap="flat" cmpd="sng">
                          <a:solidFill>
                            <a:srgbClr val="FF0000"/>
                          </a:solidFill>
                          <a:prstDash val="solid"/>
                          <a:miter lim="800000"/>
                          <a:headEnd type="none" w="sm" len="sm"/>
                          <a:tailEnd type="none" w="sm" len="sm"/>
                        </a:ln>
                      </wps:spPr>
                      <wps:txbx>
                        <w:txbxContent>
                          <w:p w:rsidR="00827DD2" w:rsidRDefault="00827DD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rect w14:anchorId="3CE8D8D4" id="Rectángulo 46" o:spid="_x0000_s1027" style="position:absolute;left:0;text-align:left;margin-left:71pt;margin-top:100pt;width:102.3pt;height:27.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" filled="f" strokecolor="red" strokeweight="2.25pt">
                <v:stroke startarrowwidth="narrow" startarrowlength="short" endarrowwidth="narrow" endarrowlength="short"/>
                <v:textbox inset="2.53958mm,2.53958mm,2.53958mm,2.53958mm">
                  <w:txbxContent>
                    <w:p w:rsidR="00827DD2" w:rsidRDefault="00827DD2">
                      <w:pPr>
                        <w:spacing w:after="0" w:line="240" w:lineRule="auto"/>
                        <w:textDirection w:val="btLr"/>
                      </w:pPr>
                    </w:p>
                  </w:txbxContent>
                </v:textbox>
              </v:rect>
            </w:pict>
          </mc:Fallback>
        </mc:AlternateConten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Al seleccionar la carpeta </w:t>
      </w:r>
      <w:r>
        <w:rPr>
          <w:rFonts w:ascii="Palatino Linotype" w:eastAsia="Palatino Linotype" w:hAnsi="Palatino Linotype" w:cs="Palatino Linotype"/>
          <w:b/>
          <w:color w:val="000000"/>
          <w:sz w:val="24"/>
          <w:szCs w:val="24"/>
        </w:rPr>
        <w:t>“586”</w:t>
      </w:r>
      <w:r>
        <w:rPr>
          <w:rFonts w:ascii="Palatino Linotype" w:eastAsia="Palatino Linotype" w:hAnsi="Palatino Linotype" w:cs="Palatino Linotype"/>
          <w:color w:val="000000"/>
          <w:sz w:val="24"/>
          <w:szCs w:val="24"/>
        </w:rPr>
        <w:t xml:space="preserve"> se desplegó la siguiente pantalla:</w:t>
      </w:r>
      <w:r w:rsidR="00266018">
        <w:rPr>
          <w:noProof/>
        </w:rPr>
        <mc:AlternateContent>
          <mc:Choice Requires="wps">
            <w:drawing>
              <wp:anchor distT="0" distB="0" distL="114300" distR="114300" simplePos="0" relativeHeight="251660288" behindDoc="0" locked="0" layoutInCell="1" hidden="0" allowOverlap="1" wp14:anchorId="2EADC450" wp14:editId="5B51061B">
                <wp:simplePos x="0" y="0"/>
                <wp:positionH relativeFrom="column">
                  <wp:posOffset>711200</wp:posOffset>
                </wp:positionH>
                <wp:positionV relativeFrom="paragraph">
                  <wp:posOffset>228600</wp:posOffset>
                </wp:positionV>
                <wp:extent cx="638175" cy="361950"/>
                <wp:effectExtent l="0" t="0" r="0" b="0"/>
                <wp:wrapNone/>
                <wp:docPr id="53" name="Rectángulo 53"/>
                <wp:cNvGraphicFramePr/>
                <a:graphic xmlns:a="http://schemas.openxmlformats.org/drawingml/2006/main">
                  <a:graphicData uri="http://schemas.microsoft.com/office/word/2010/wordprocessingShape">
                    <wps:wsp>
                      <wps:cNvSpPr/>
                      <wps:spPr>
                        <a:xfrm>
                          <a:off x="5055488" y="3627600"/>
                          <a:ext cx="581025" cy="304800"/>
                        </a:xfrm>
                        <a:prstGeom prst="rect">
                          <a:avLst/>
                        </a:prstGeom>
                        <a:noFill/>
                        <a:ln w="28575" cap="flat" cmpd="sng">
                          <a:solidFill>
                            <a:srgbClr val="FF0000"/>
                          </a:solidFill>
                          <a:prstDash val="solid"/>
                          <a:miter lim="800000"/>
                          <a:headEnd type="none" w="sm" len="sm"/>
                          <a:tailEnd type="none" w="sm" len="sm"/>
                        </a:ln>
                      </wps:spPr>
                      <wps:txbx>
                        <w:txbxContent>
                          <w:p w:rsidR="00827DD2" w:rsidRDefault="00827DD2">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EADC450" id="Rectángulo 53" o:spid="_x0000_s1028" style="position:absolute;left:0;text-align:left;margin-left:56pt;margin-top:18pt;width:50.2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" filled="f" strokecolor="red" strokeweight="2.25pt">
                <v:stroke startarrowwidth="narrow" startarrowlength="short" endarrowwidth="narrow" endarrowlength="short"/>
                <v:textbox inset="2.53958mm,2.53958mm,2.53958mm,2.53958mm">
                  <w:txbxContent>
                    <w:p w:rsidR="00827DD2" w:rsidRDefault="00827DD2">
                      <w:pPr>
                        <w:spacing w:after="0" w:line="240" w:lineRule="auto"/>
                        <w:textDirection w:val="btLr"/>
                      </w:pPr>
                    </w:p>
                  </w:txbxContent>
                </v:textbox>
              </v:rect>
            </w:pict>
          </mc:Fallback>
        </mc:AlternateConten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14:anchorId="765DC39A" wp14:editId="0625EF59">
            <wp:extent cx="4363009" cy="2934643"/>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7002" t="28942" r="35369" b="38024"/>
                    <a:stretch>
                      <a:fillRect/>
                    </a:stretch>
                  </pic:blipFill>
                  <pic:spPr>
                    <a:xfrm>
                      <a:off x="0" y="0"/>
                      <a:ext cx="4363009" cy="2934643"/>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14:anchorId="785BDB4E" wp14:editId="76F94574">
                <wp:simplePos x="0" y="0"/>
                <wp:positionH relativeFrom="column">
                  <wp:posOffset>1066800</wp:posOffset>
                </wp:positionH>
                <wp:positionV relativeFrom="paragraph">
                  <wp:posOffset>863600</wp:posOffset>
                </wp:positionV>
                <wp:extent cx="1419225" cy="361950"/>
                <wp:effectExtent l="0" t="0" r="0" b="0"/>
                <wp:wrapNone/>
                <wp:docPr id="52" name="Rectángulo 52"/>
                <wp:cNvGraphicFramePr/>
                <a:graphic xmlns:a="http://schemas.openxmlformats.org/drawingml/2006/main">
                  <a:graphicData uri="http://schemas.microsoft.com/office/word/2010/wordprocessingShape">
                    <wps:wsp>
                      <wps:cNvSpPr/>
                      <wps:spPr>
                        <a:xfrm>
                          <a:off x="4664963" y="3627600"/>
                          <a:ext cx="1362075" cy="304800"/>
                        </a:xfrm>
                        <a:prstGeom prst="rect">
                          <a:avLst/>
                        </a:prstGeom>
                        <a:noFill/>
                        <a:ln w="28575" cap="flat" cmpd="sng">
                          <a:solidFill>
                            <a:srgbClr val="FF0000"/>
                          </a:solidFill>
                          <a:prstDash val="solid"/>
                          <a:miter lim="800000"/>
                          <a:headEnd type="none" w="sm" len="sm"/>
                          <a:tailEnd type="none" w="sm" len="sm"/>
                        </a:ln>
                      </wps:spPr>
                      <wps:txbx>
                        <w:txbxContent>
                          <w:p w:rsidR="00827DD2" w:rsidRDefault="00827DD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anchor allowOverlap="1" behindDoc="0" distB="0" distT="0" distL="114300" distR="114300" hidden="0" layoutInCell="1" locked="0" relativeHeight="0" simplePos="0">
                <wp:simplePos x="0" y="0"/>
                <wp:positionH relativeFrom="column">
                  <wp:posOffset>1066800</wp:posOffset>
                </wp:positionH>
                <wp:positionV relativeFrom="paragraph">
                  <wp:posOffset>863600</wp:posOffset>
                </wp:positionV>
                <wp:extent cx="1419225" cy="361950"/>
                <wp:effectExtent b="0" l="0" r="0" t="0"/>
                <wp:wrapNone/>
                <wp:docPr id="52"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1419225" cy="361950"/>
                        </a:xfrm>
                        <a:prstGeom prst="rect"/>
                        <a:ln/>
                      </pic:spPr>
                    </pic:pic>
                  </a:graphicData>
                </a:graphic>
              </wp:anchor>
            </w:drawing>
          </mc:Fallback>
        </mc:AlternateConten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0"/>
          <w:szCs w:val="20"/>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Sin embargo, al seleccionar cualquiera de los ficheros contenidos en la carpeta, se observa lo siguiente tomando de ejemplo el denominado </w:t>
      </w:r>
      <w:r>
        <w:rPr>
          <w:rFonts w:ascii="Palatino Linotype" w:eastAsia="Palatino Linotype" w:hAnsi="Palatino Linotype" w:cs="Palatino Linotype"/>
          <w:b/>
          <w:color w:val="000000"/>
          <w:sz w:val="24"/>
          <w:szCs w:val="24"/>
        </w:rPr>
        <w:t>“_1080-00586-Teso.pdf”</w:t>
      </w:r>
      <w:r>
        <w:rPr>
          <w:rFonts w:ascii="Palatino Linotype" w:eastAsia="Palatino Linotype" w:hAnsi="Palatino Linotype" w:cs="Palatino Linotype"/>
          <w:color w:val="000000"/>
          <w:sz w:val="24"/>
          <w:szCs w:val="24"/>
        </w:rPr>
        <w:t>:</w: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4271859" cy="2826965"/>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8223" t="24849" r="58227" b="35685"/>
                    <a:stretch>
                      <a:fillRect/>
                    </a:stretch>
                  </pic:blipFill>
                  <pic:spPr>
                    <a:xfrm>
                      <a:off x="0" y="0"/>
                      <a:ext cx="4271859" cy="2826965"/>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simplePos x="0" y="0"/>
                <wp:positionH relativeFrom="column">
                  <wp:posOffset>1066800</wp:posOffset>
                </wp:positionH>
                <wp:positionV relativeFrom="paragraph">
                  <wp:posOffset>977900</wp:posOffset>
                </wp:positionV>
                <wp:extent cx="3838575" cy="361950"/>
                <wp:effectExtent l="0" t="0" r="0" b="0"/>
                <wp:wrapNone/>
                <wp:docPr id="48" name="Rectángulo 48"/>
                <wp:cNvGraphicFramePr/>
                <a:graphic xmlns:a="http://schemas.openxmlformats.org/drawingml/2006/main">
                  <a:graphicData uri="http://schemas.microsoft.com/office/word/2010/wordprocessingShape">
                    <wps:wsp>
                      <wps:cNvSpPr/>
                      <wps:spPr>
                        <a:xfrm>
                          <a:off x="3455288" y="3627600"/>
                          <a:ext cx="3781425" cy="304800"/>
                        </a:xfrm>
                        <a:prstGeom prst="rect">
                          <a:avLst/>
                        </a:prstGeom>
                        <a:noFill/>
                        <a:ln w="28575" cap="flat" cmpd="sng">
                          <a:solidFill>
                            <a:srgbClr val="FF0000"/>
                          </a:solidFill>
                          <a:prstDash val="solid"/>
                          <a:miter lim="800000"/>
                          <a:headEnd type="none" w="sm" len="sm"/>
                          <a:tailEnd type="none" w="sm" len="sm"/>
                        </a:ln>
                      </wps:spPr>
                      <wps:txbx>
                        <w:txbxContent>
                          <w:p w:rsidR="00827DD2" w:rsidRDefault="00827DD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anchor allowOverlap="1" behindDoc="0" distB="0" distT="0" distL="114300" distR="114300" hidden="0" layoutInCell="1" locked="0" relativeHeight="0" simplePos="0">
                <wp:simplePos x="0" y="0"/>
                <wp:positionH relativeFrom="column">
                  <wp:posOffset>1066800</wp:posOffset>
                </wp:positionH>
                <wp:positionV relativeFrom="paragraph">
                  <wp:posOffset>977900</wp:posOffset>
                </wp:positionV>
                <wp:extent cx="3838575" cy="361950"/>
                <wp:effectExtent b="0" l="0" r="0" t="0"/>
                <wp:wrapNone/>
                <wp:docPr id="48"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3838575" cy="361950"/>
                        </a:xfrm>
                        <a:prstGeom prst="rect"/>
                        <a:ln/>
                      </pic:spPr>
                    </pic:pic>
                  </a:graphicData>
                </a:graphic>
              </wp:anchor>
            </w:drawing>
          </mc:Fallback>
        </mc:AlternateConten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que </w:t>
      </w:r>
      <w:r>
        <w:rPr>
          <w:rFonts w:ascii="Palatino Linotype" w:eastAsia="Palatino Linotype" w:hAnsi="Palatino Linotype" w:cs="Palatino Linotype"/>
          <w:sz w:val="24"/>
          <w:szCs w:val="24"/>
        </w:rPr>
        <w:t>se</w:t>
      </w:r>
      <w:r>
        <w:rPr>
          <w:rFonts w:ascii="Palatino Linotype" w:eastAsia="Palatino Linotype" w:hAnsi="Palatino Linotype" w:cs="Palatino Linotype"/>
          <w:color w:val="000000"/>
          <w:sz w:val="24"/>
          <w:szCs w:val="24"/>
        </w:rPr>
        <w:t xml:space="preserve"> verificó que lo mismo sucedía en todas los carpetas denominadas </w:t>
      </w:r>
      <w:r>
        <w:rPr>
          <w:rFonts w:ascii="Palatino Linotype" w:eastAsia="Palatino Linotype" w:hAnsi="Palatino Linotype" w:cs="Palatino Linotype"/>
          <w:b/>
          <w:color w:val="000000"/>
          <w:sz w:val="24"/>
          <w:szCs w:val="24"/>
        </w:rPr>
        <w:t>“_MACOSX”</w:t>
      </w:r>
      <w:r>
        <w:rPr>
          <w:rFonts w:ascii="Palatino Linotype" w:eastAsia="Palatino Linotype" w:hAnsi="Palatino Linotype" w:cs="Palatino Linotype"/>
          <w:color w:val="000000"/>
          <w:sz w:val="24"/>
          <w:szCs w:val="24"/>
        </w:rPr>
        <w:t xml:space="preserve"> del resto de las carpetas remitidas por el Sujeto Obligado; sin embargo, siguiendo con la respuesta a la solicitud </w:t>
      </w:r>
      <w:r>
        <w:rPr>
          <w:rFonts w:ascii="Palatino Linotype" w:eastAsia="Palatino Linotype" w:hAnsi="Palatino Linotype" w:cs="Palatino Linotype"/>
          <w:b/>
          <w:color w:val="000000"/>
          <w:sz w:val="24"/>
          <w:szCs w:val="24"/>
        </w:rPr>
        <w:t>00586/METEPEC/IP/2021</w:t>
      </w:r>
      <w:r>
        <w:rPr>
          <w:rFonts w:ascii="Palatino Linotype" w:eastAsia="Palatino Linotype" w:hAnsi="Palatino Linotype" w:cs="Palatino Linotype"/>
          <w:color w:val="000000"/>
          <w:sz w:val="24"/>
          <w:szCs w:val="24"/>
        </w:rPr>
        <w:t xml:space="preserve"> para ejemplificar, la carpeta principal también contiene la carpeta secundaria denominada </w:t>
      </w:r>
      <w:r>
        <w:rPr>
          <w:rFonts w:ascii="Palatino Linotype" w:eastAsia="Palatino Linotype" w:hAnsi="Palatino Linotype" w:cs="Palatino Linotype"/>
          <w:b/>
          <w:color w:val="000000"/>
          <w:sz w:val="24"/>
          <w:szCs w:val="24"/>
        </w:rPr>
        <w:t>“586”</w:t>
      </w:r>
      <w:r>
        <w:rPr>
          <w:rFonts w:ascii="Palatino Linotype" w:eastAsia="Palatino Linotype" w:hAnsi="Palatino Linotype" w:cs="Palatino Linotype"/>
          <w:color w:val="000000"/>
          <w:sz w:val="24"/>
          <w:szCs w:val="24"/>
        </w:rPr>
        <w:t>, como se observa a continuación:</w:t>
      </w:r>
      <w:r>
        <w:rPr>
          <w:noProof/>
        </w:rPr>
        <mc:AlternateContent>
          <mc:Choice Requires="wpg">
            <w:drawing>
              <wp:anchor distT="0" distB="0" distL="114300" distR="114300" simplePos="0" relativeHeight="251663360" behindDoc="0" locked="0" layoutInCell="1" hidden="0" allowOverlap="1">
                <wp:simplePos x="0" y="0"/>
                <wp:positionH relativeFrom="column">
                  <wp:posOffset>762000</wp:posOffset>
                </wp:positionH>
                <wp:positionV relativeFrom="paragraph">
                  <wp:posOffset>1435100</wp:posOffset>
                </wp:positionV>
                <wp:extent cx="638175" cy="361950"/>
                <wp:effectExtent l="0" t="0" r="0" b="0"/>
                <wp:wrapNone/>
                <wp:docPr id="50" name="Rectángulo 50"/>
                <wp:cNvGraphicFramePr/>
                <a:graphic xmlns:a="http://schemas.openxmlformats.org/drawingml/2006/main">
                  <a:graphicData uri="http://schemas.microsoft.com/office/word/2010/wordprocessingShape">
                    <wps:wsp>
                      <wps:cNvSpPr/>
                      <wps:spPr>
                        <a:xfrm>
                          <a:off x="5055488" y="3627600"/>
                          <a:ext cx="581025" cy="304800"/>
                        </a:xfrm>
                        <a:prstGeom prst="rect">
                          <a:avLst/>
                        </a:prstGeom>
                        <a:noFill/>
                        <a:ln w="28575" cap="flat" cmpd="sng">
                          <a:solidFill>
                            <a:srgbClr val="FF0000"/>
                          </a:solidFill>
                          <a:prstDash val="solid"/>
                          <a:miter lim="800000"/>
                          <a:headEnd type="none" w="sm" len="sm"/>
                          <a:tailEnd type="none" w="sm" len="sm"/>
                        </a:ln>
                      </wps:spPr>
                      <wps:txbx>
                        <w:txbxContent>
                          <w:p w:rsidR="00827DD2" w:rsidRDefault="00827DD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anchor allowOverlap="1" behindDoc="0" distB="0" distT="0" distL="114300" distR="114300" hidden="0" layoutInCell="1" locked="0" relativeHeight="0" simplePos="0">
                <wp:simplePos x="0" y="0"/>
                <wp:positionH relativeFrom="column">
                  <wp:posOffset>762000</wp:posOffset>
                </wp:positionH>
                <wp:positionV relativeFrom="paragraph">
                  <wp:posOffset>1435100</wp:posOffset>
                </wp:positionV>
                <wp:extent cx="638175" cy="361950"/>
                <wp:effectExtent b="0" l="0" r="0" t="0"/>
                <wp:wrapNone/>
                <wp:docPr id="50"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638175" cy="361950"/>
                        </a:xfrm>
                        <a:prstGeom prst="rect"/>
                        <a:ln/>
                      </pic:spPr>
                    </pic:pic>
                  </a:graphicData>
                </a:graphic>
              </wp:anchor>
            </w:drawing>
          </mc:Fallback>
        </mc:AlternateConten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4313159" cy="2169340"/>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36838" t="28942" r="35369" b="46209"/>
                    <a:stretch>
                      <a:fillRect/>
                    </a:stretch>
                  </pic:blipFill>
                  <pic:spPr>
                    <a:xfrm>
                      <a:off x="0" y="0"/>
                      <a:ext cx="4313159" cy="2169340"/>
                    </a:xfrm>
                    <a:prstGeom prst="rect">
                      <a:avLst/>
                    </a:prstGeom>
                    <a:ln/>
                  </pic:spPr>
                </pic:pic>
              </a:graphicData>
            </a:graphic>
          </wp:inline>
        </w:drawing>
      </w:r>
      <w:r>
        <w:rPr>
          <w:noProof/>
        </w:rPr>
        <mc:AlternateContent>
          <mc:Choice Requires="wpg">
            <w:drawing>
              <wp:anchor distT="0" distB="0" distL="114300" distR="114300" simplePos="0" relativeHeight="251664384" behindDoc="0" locked="0" layoutInCell="1" hidden="0" allowOverlap="1">
                <wp:simplePos x="0" y="0"/>
                <wp:positionH relativeFrom="column">
                  <wp:posOffset>1117600</wp:posOffset>
                </wp:positionH>
                <wp:positionV relativeFrom="paragraph">
                  <wp:posOffset>838200</wp:posOffset>
                </wp:positionV>
                <wp:extent cx="1228725" cy="361950"/>
                <wp:effectExtent l="0" t="0" r="0" b="0"/>
                <wp:wrapNone/>
                <wp:docPr id="47" name="Rectángulo 47"/>
                <wp:cNvGraphicFramePr/>
                <a:graphic xmlns:a="http://schemas.openxmlformats.org/drawingml/2006/main">
                  <a:graphicData uri="http://schemas.microsoft.com/office/word/2010/wordprocessingShape">
                    <wps:wsp>
                      <wps:cNvSpPr/>
                      <wps:spPr>
                        <a:xfrm>
                          <a:off x="4760213" y="3627600"/>
                          <a:ext cx="1171575" cy="304800"/>
                        </a:xfrm>
                        <a:prstGeom prst="rect">
                          <a:avLst/>
                        </a:prstGeom>
                        <a:noFill/>
                        <a:ln w="28575" cap="flat" cmpd="sng">
                          <a:solidFill>
                            <a:srgbClr val="FF0000"/>
                          </a:solidFill>
                          <a:prstDash val="solid"/>
                          <a:miter lim="800000"/>
                          <a:headEnd type="none" w="sm" len="sm"/>
                          <a:tailEnd type="none" w="sm" len="sm"/>
                        </a:ln>
                      </wps:spPr>
                      <wps:txbx>
                        <w:txbxContent>
                          <w:p w:rsidR="00827DD2" w:rsidRDefault="00827DD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anchor allowOverlap="1" behindDoc="0" distB="0" distT="0" distL="114300" distR="114300" hidden="0" layoutInCell="1" locked="0" relativeHeight="0" simplePos="0">
                <wp:simplePos x="0" y="0"/>
                <wp:positionH relativeFrom="column">
                  <wp:posOffset>1117600</wp:posOffset>
                </wp:positionH>
                <wp:positionV relativeFrom="paragraph">
                  <wp:posOffset>838200</wp:posOffset>
                </wp:positionV>
                <wp:extent cx="1228725" cy="361950"/>
                <wp:effectExtent b="0" l="0" r="0" t="0"/>
                <wp:wrapNone/>
                <wp:docPr id="47"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228725" cy="361950"/>
                        </a:xfrm>
                        <a:prstGeom prst="rect"/>
                        <a:ln/>
                      </pic:spPr>
                    </pic:pic>
                  </a:graphicData>
                </a:graphic>
              </wp:anchor>
            </w:drawing>
          </mc:Fallback>
        </mc:AlternateConten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Dicha carpeta secundaria contiene los siguientes ficheros:</w:t>
      </w:r>
      <w:r>
        <w:rPr>
          <w:noProof/>
        </w:rPr>
        <mc:AlternateContent>
          <mc:Choice Requires="wpg">
            <w:drawing>
              <wp:anchor distT="0" distB="0" distL="114300" distR="114300" simplePos="0" relativeHeight="251665408" behindDoc="0" locked="0" layoutInCell="1" hidden="0" allowOverlap="1">
                <wp:simplePos x="0" y="0"/>
                <wp:positionH relativeFrom="column">
                  <wp:posOffset>723900</wp:posOffset>
                </wp:positionH>
                <wp:positionV relativeFrom="paragraph">
                  <wp:posOffset>254000</wp:posOffset>
                </wp:positionV>
                <wp:extent cx="638175" cy="361950"/>
                <wp:effectExtent l="0" t="0" r="0" b="0"/>
                <wp:wrapNone/>
                <wp:docPr id="54" name="Rectángulo 54"/>
                <wp:cNvGraphicFramePr/>
                <a:graphic xmlns:a="http://schemas.openxmlformats.org/drawingml/2006/main">
                  <a:graphicData uri="http://schemas.microsoft.com/office/word/2010/wordprocessingShape">
                    <wps:wsp>
                      <wps:cNvSpPr/>
                      <wps:spPr>
                        <a:xfrm>
                          <a:off x="5055488" y="3627600"/>
                          <a:ext cx="581025" cy="304800"/>
                        </a:xfrm>
                        <a:prstGeom prst="rect">
                          <a:avLst/>
                        </a:prstGeom>
                        <a:noFill/>
                        <a:ln w="28575" cap="flat" cmpd="sng">
                          <a:solidFill>
                            <a:srgbClr val="FF0000"/>
                          </a:solidFill>
                          <a:prstDash val="solid"/>
                          <a:miter lim="800000"/>
                          <a:headEnd type="none" w="sm" len="sm"/>
                          <a:tailEnd type="none" w="sm" len="sm"/>
                        </a:ln>
                      </wps:spPr>
                      <wps:txbx>
                        <w:txbxContent>
                          <w:p w:rsidR="00827DD2" w:rsidRDefault="00827DD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anchor allowOverlap="1" behindDoc="0" distB="0" distT="0" distL="114300" distR="114300" hidden="0" layoutInCell="1" locked="0" relativeHeight="0" simplePos="0">
                <wp:simplePos x="0" y="0"/>
                <wp:positionH relativeFrom="column">
                  <wp:posOffset>723900</wp:posOffset>
                </wp:positionH>
                <wp:positionV relativeFrom="paragraph">
                  <wp:posOffset>254000</wp:posOffset>
                </wp:positionV>
                <wp:extent cx="638175" cy="361950"/>
                <wp:effectExtent b="0" l="0" r="0" t="0"/>
                <wp:wrapNone/>
                <wp:docPr id="54"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638175" cy="361950"/>
                        </a:xfrm>
                        <a:prstGeom prst="rect"/>
                        <a:ln/>
                      </pic:spPr>
                    </pic:pic>
                  </a:graphicData>
                </a:graphic>
              </wp:anchor>
            </w:drawing>
          </mc:Fallback>
        </mc:AlternateConten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4369958" cy="2237002"/>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36838" t="28356" r="35532" b="46502"/>
                    <a:stretch>
                      <a:fillRect/>
                    </a:stretch>
                  </pic:blipFill>
                  <pic:spPr>
                    <a:xfrm>
                      <a:off x="0" y="0"/>
                      <a:ext cx="4369958" cy="2237002"/>
                    </a:xfrm>
                    <a:prstGeom prst="rect">
                      <a:avLst/>
                    </a:prstGeom>
                    <a:ln/>
                  </pic:spPr>
                </pic:pic>
              </a:graphicData>
            </a:graphic>
          </wp:inline>
        </w:drawing>
      </w:r>
      <w:r>
        <w:rPr>
          <w:noProof/>
        </w:rPr>
        <mc:AlternateContent>
          <mc:Choice Requires="wpg">
            <w:drawing>
              <wp:anchor distT="0" distB="0" distL="114300" distR="114300" simplePos="0" relativeHeight="251666432" behindDoc="0" locked="0" layoutInCell="1" hidden="0" allowOverlap="1">
                <wp:simplePos x="0" y="0"/>
                <wp:positionH relativeFrom="column">
                  <wp:posOffset>1117600</wp:posOffset>
                </wp:positionH>
                <wp:positionV relativeFrom="paragraph">
                  <wp:posOffset>914400</wp:posOffset>
                </wp:positionV>
                <wp:extent cx="1419225" cy="361950"/>
                <wp:effectExtent l="0" t="0" r="0" b="0"/>
                <wp:wrapNone/>
                <wp:docPr id="51" name="Rectángulo 51"/>
                <wp:cNvGraphicFramePr/>
                <a:graphic xmlns:a="http://schemas.openxmlformats.org/drawingml/2006/main">
                  <a:graphicData uri="http://schemas.microsoft.com/office/word/2010/wordprocessingShape">
                    <wps:wsp>
                      <wps:cNvSpPr/>
                      <wps:spPr>
                        <a:xfrm>
                          <a:off x="4664963" y="3627600"/>
                          <a:ext cx="1362075" cy="304800"/>
                        </a:xfrm>
                        <a:prstGeom prst="rect">
                          <a:avLst/>
                        </a:prstGeom>
                        <a:noFill/>
                        <a:ln w="28575" cap="flat" cmpd="sng">
                          <a:solidFill>
                            <a:srgbClr val="FF0000"/>
                          </a:solidFill>
                          <a:prstDash val="solid"/>
                          <a:miter lim="800000"/>
                          <a:headEnd type="none" w="sm" len="sm"/>
                          <a:tailEnd type="none" w="sm" len="sm"/>
                        </a:ln>
                      </wps:spPr>
                      <wps:txbx>
                        <w:txbxContent>
                          <w:p w:rsidR="00827DD2" w:rsidRDefault="00827DD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anchor allowOverlap="1" behindDoc="0" distB="0" distT="0" distL="114300" distR="114300" hidden="0" layoutInCell="1" locked="0" relativeHeight="0" simplePos="0">
                <wp:simplePos x="0" y="0"/>
                <wp:positionH relativeFrom="column">
                  <wp:posOffset>1117600</wp:posOffset>
                </wp:positionH>
                <wp:positionV relativeFrom="paragraph">
                  <wp:posOffset>914400</wp:posOffset>
                </wp:positionV>
                <wp:extent cx="1419225" cy="361950"/>
                <wp:effectExtent b="0" l="0" r="0" t="0"/>
                <wp:wrapNone/>
                <wp:docPr id="51"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1419225" cy="361950"/>
                        </a:xfrm>
                        <a:prstGeom prst="rect"/>
                        <a:ln/>
                      </pic:spPr>
                    </pic:pic>
                  </a:graphicData>
                </a:graphic>
              </wp:anchor>
            </w:drawing>
          </mc:Fallback>
        </mc:AlternateConten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al seleccionar los elementos referidos se despliega los siguientes documentos:</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1080-00586-Teso.pdf</w: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4450168" cy="5597949"/>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l="32397" t="12278" r="31258" b="6449"/>
                    <a:stretch>
                      <a:fillRect/>
                    </a:stretch>
                  </pic:blipFill>
                  <pic:spPr>
                    <a:xfrm>
                      <a:off x="0" y="0"/>
                      <a:ext cx="4450168" cy="5597949"/>
                    </a:xfrm>
                    <a:prstGeom prst="rect">
                      <a:avLst/>
                    </a:prstGeom>
                    <a:ln/>
                  </pic:spPr>
                </pic:pic>
              </a:graphicData>
            </a:graphic>
          </wp:inline>
        </w:drawing>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18"/>
          <w:szCs w:val="18"/>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Mientras que para el siguiente documento se obtiene la siguiente imagen:</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Anexo-00586-Teso.pdf</w: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4591409" cy="5882743"/>
            <wp:effectExtent l="0" t="0" r="0" b="0"/>
            <wp:docPr id="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l="32234" t="11401" r="30928" b="4695"/>
                    <a:stretch>
                      <a:fillRect/>
                    </a:stretch>
                  </pic:blipFill>
                  <pic:spPr>
                    <a:xfrm>
                      <a:off x="0" y="0"/>
                      <a:ext cx="4591409" cy="5882743"/>
                    </a:xfrm>
                    <a:prstGeom prst="rect">
                      <a:avLst/>
                    </a:prstGeom>
                    <a:ln/>
                  </pic:spPr>
                </pic:pic>
              </a:graphicData>
            </a:graphic>
          </wp:inline>
        </w:drawing>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tal forma que, por lo que toca a la solicitud </w:t>
      </w:r>
      <w:r>
        <w:rPr>
          <w:rFonts w:ascii="Palatino Linotype" w:eastAsia="Palatino Linotype" w:hAnsi="Palatino Linotype" w:cs="Palatino Linotype"/>
          <w:b/>
          <w:color w:val="000000"/>
          <w:sz w:val="24"/>
          <w:szCs w:val="24"/>
        </w:rPr>
        <w:t>00586/METEPEC/IP/2021</w:t>
      </w:r>
      <w:r>
        <w:rPr>
          <w:rFonts w:ascii="Palatino Linotype" w:eastAsia="Palatino Linotype" w:hAnsi="Palatino Linotype" w:cs="Palatino Linotype"/>
          <w:color w:val="000000"/>
          <w:sz w:val="24"/>
          <w:szCs w:val="24"/>
        </w:rPr>
        <w:t xml:space="preserve">, se tiene que el Sujeto Obligado remitió el documento solicitado por el Recurrente, en virtud de que el documento denominado </w:t>
      </w:r>
      <w:r>
        <w:rPr>
          <w:rFonts w:ascii="Palatino Linotype" w:eastAsia="Palatino Linotype" w:hAnsi="Palatino Linotype" w:cs="Palatino Linotype"/>
          <w:b/>
          <w:color w:val="000000"/>
          <w:sz w:val="24"/>
          <w:szCs w:val="24"/>
        </w:rPr>
        <w:t xml:space="preserve">“Anexo-00586-Teso.pdf” </w:t>
      </w:r>
      <w:r>
        <w:rPr>
          <w:rFonts w:ascii="Palatino Linotype" w:eastAsia="Palatino Linotype" w:hAnsi="Palatino Linotype" w:cs="Palatino Linotype"/>
          <w:color w:val="000000"/>
          <w:sz w:val="24"/>
          <w:szCs w:val="24"/>
        </w:rPr>
        <w:t>consiste del acuse del oficio TM/1067/2021 dirigido al Coordinador del Comité de Enlace con copia a la Presidente Municipal del Sujeto Obligado con el cual se entregó como anexo el sobre cerrado denominado “ADMINISTRACIÓN ENTRANTE” que contiene claves de usuario, contraseñas e indicaciones para su registro y capacitación del proceso de entrega-recepción de los Ayuntamientos, Dependencia y Organismos Descentralizados Municipales.</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En esa tesitura, si bien es cierto que la carpeta principal remitida por el Sujeto Obligado contiene una carpeta secundaria que, en el caso de esta Ponencia, no pudo ser verificada por no ser compatible con el sistema operativo utilizado, también resulta cierto que </w:t>
      </w:r>
      <w:r>
        <w:rPr>
          <w:rFonts w:ascii="Palatino Linotype" w:eastAsia="Palatino Linotype" w:hAnsi="Palatino Linotype" w:cs="Palatino Linotype"/>
          <w:b/>
          <w:color w:val="000000"/>
          <w:sz w:val="24"/>
          <w:szCs w:val="24"/>
        </w:rPr>
        <w:t>existe otra carpeta secundaria con documentos a los que sí se pudo tener acceso y que colman lo solicitado por el Recurrente.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toda vez que existe la posibilidad de que el Recurrente no haya podido tener acceso a esos documentos por la utilización de otro tipo de software, se considera viable hacer del conocimiento del particular el contenido de los mismos con el propósito de que se satisfaga su derecho de acceso a la información pública. De tal forma que para su solicitud </w:t>
      </w:r>
      <w:r>
        <w:rPr>
          <w:rFonts w:ascii="Palatino Linotype" w:eastAsia="Palatino Linotype" w:hAnsi="Palatino Linotype" w:cs="Palatino Linotype"/>
          <w:b/>
          <w:color w:val="000000"/>
          <w:sz w:val="24"/>
          <w:szCs w:val="24"/>
        </w:rPr>
        <w:t>00585/METEPEC/IP/2021</w:t>
      </w:r>
      <w:r>
        <w:rPr>
          <w:rFonts w:ascii="Palatino Linotype" w:eastAsia="Palatino Linotype" w:hAnsi="Palatino Linotype" w:cs="Palatino Linotype"/>
          <w:color w:val="000000"/>
          <w:sz w:val="24"/>
          <w:szCs w:val="24"/>
        </w:rPr>
        <w:t>, el Sujeto Obligado envío los siguientes documentos:</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0"/>
          <w:szCs w:val="20"/>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1079-00585-Teso.pdf</w: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5090659" cy="6506000"/>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32396" t="11692" r="30928" b="4989"/>
                    <a:stretch>
                      <a:fillRect/>
                    </a:stretch>
                  </pic:blipFill>
                  <pic:spPr>
                    <a:xfrm>
                      <a:off x="0" y="0"/>
                      <a:ext cx="5090659" cy="6506000"/>
                    </a:xfrm>
                    <a:prstGeom prst="rect">
                      <a:avLst/>
                    </a:prstGeom>
                    <a:ln/>
                  </pic:spPr>
                </pic:pic>
              </a:graphicData>
            </a:graphic>
          </wp:inline>
        </w:drawing>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Anexo-00585-Teso.pdf</w: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4872728" cy="6441509"/>
            <wp:effectExtent l="0" t="0" r="0" b="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l="32561" t="11694" r="31093" b="4698"/>
                    <a:stretch>
                      <a:fillRect/>
                    </a:stretch>
                  </pic:blipFill>
                  <pic:spPr>
                    <a:xfrm>
                      <a:off x="0" y="0"/>
                      <a:ext cx="4872728" cy="6441509"/>
                    </a:xfrm>
                    <a:prstGeom prst="rect">
                      <a:avLst/>
                    </a:prstGeom>
                    <a:ln/>
                  </pic:spPr>
                </pic:pic>
              </a:graphicData>
            </a:graphic>
          </wp:inline>
        </w:drawing>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 la solicitud </w:t>
      </w:r>
      <w:r>
        <w:rPr>
          <w:rFonts w:ascii="Palatino Linotype" w:eastAsia="Palatino Linotype" w:hAnsi="Palatino Linotype" w:cs="Palatino Linotype"/>
          <w:b/>
          <w:color w:val="000000"/>
          <w:sz w:val="24"/>
          <w:szCs w:val="24"/>
        </w:rPr>
        <w:t>00584/METEPEC/IP/2021</w:t>
      </w:r>
      <w:r>
        <w:rPr>
          <w:rFonts w:ascii="Palatino Linotype" w:eastAsia="Palatino Linotype" w:hAnsi="Palatino Linotype" w:cs="Palatino Linotype"/>
          <w:color w:val="000000"/>
          <w:sz w:val="24"/>
          <w:szCs w:val="24"/>
        </w:rPr>
        <w:t>, el Sujeto Obligado envío lo siguiente: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1078-00584-Teso.pdf</w: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4227615" cy="5759532"/>
            <wp:effectExtent l="0" t="0" r="1905" b="0"/>
            <wp:docPr id="6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l="32397" t="11985" r="31750" b="6743"/>
                    <a:stretch>
                      <a:fillRect/>
                    </a:stretch>
                  </pic:blipFill>
                  <pic:spPr>
                    <a:xfrm>
                      <a:off x="0" y="0"/>
                      <a:ext cx="4230075" cy="5762883"/>
                    </a:xfrm>
                    <a:prstGeom prst="rect">
                      <a:avLst/>
                    </a:prstGeom>
                    <a:ln/>
                  </pic:spPr>
                </pic:pic>
              </a:graphicData>
            </a:graphic>
          </wp:inline>
        </w:drawing>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Tocante a la solicitud </w:t>
      </w:r>
      <w:r>
        <w:rPr>
          <w:rFonts w:ascii="Palatino Linotype" w:eastAsia="Palatino Linotype" w:hAnsi="Palatino Linotype" w:cs="Palatino Linotype"/>
          <w:b/>
          <w:color w:val="000000"/>
          <w:sz w:val="24"/>
          <w:szCs w:val="24"/>
        </w:rPr>
        <w:t>00583/METEPEC/IP/2021</w:t>
      </w:r>
      <w:r>
        <w:rPr>
          <w:rFonts w:ascii="Palatino Linotype" w:eastAsia="Palatino Linotype" w:hAnsi="Palatino Linotype" w:cs="Palatino Linotype"/>
          <w:color w:val="000000"/>
          <w:sz w:val="24"/>
          <w:szCs w:val="24"/>
        </w:rPr>
        <w:t>, se remitió lo siguiente: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1077-00583-Teso.pdf</w: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4315930" cy="5778352"/>
            <wp:effectExtent l="0" t="0" r="0" b="0"/>
            <wp:docPr id="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l="32397" t="11400" r="31421" b="4403"/>
                    <a:stretch>
                      <a:fillRect/>
                    </a:stretch>
                  </pic:blipFill>
                  <pic:spPr>
                    <a:xfrm>
                      <a:off x="0" y="0"/>
                      <a:ext cx="4315930" cy="5778352"/>
                    </a:xfrm>
                    <a:prstGeom prst="rect">
                      <a:avLst/>
                    </a:prstGeom>
                    <a:ln/>
                  </pic:spPr>
                </pic:pic>
              </a:graphicData>
            </a:graphic>
          </wp:inline>
        </w:drawing>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último, a la solicitud </w:t>
      </w:r>
      <w:r>
        <w:rPr>
          <w:rFonts w:ascii="Palatino Linotype" w:eastAsia="Palatino Linotype" w:hAnsi="Palatino Linotype" w:cs="Palatino Linotype"/>
          <w:b/>
          <w:color w:val="000000"/>
          <w:sz w:val="24"/>
          <w:szCs w:val="24"/>
        </w:rPr>
        <w:t xml:space="preserve">00582/METEPEC/IP/2021 </w:t>
      </w:r>
      <w:r>
        <w:rPr>
          <w:rFonts w:ascii="Palatino Linotype" w:eastAsia="Palatino Linotype" w:hAnsi="Palatino Linotype" w:cs="Palatino Linotype"/>
          <w:color w:val="000000"/>
          <w:sz w:val="24"/>
          <w:szCs w:val="24"/>
        </w:rPr>
        <w:t>le correspondió lo siguiente: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1076-00582-Teso.pdf</w:t>
      </w: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4372780" cy="5786803"/>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l="32397" t="11400" r="31093" b="4110"/>
                    <a:stretch>
                      <a:fillRect/>
                    </a:stretch>
                  </pic:blipFill>
                  <pic:spPr>
                    <a:xfrm>
                      <a:off x="0" y="0"/>
                      <a:ext cx="4372780" cy="5786803"/>
                    </a:xfrm>
                    <a:prstGeom prst="rect">
                      <a:avLst/>
                    </a:prstGeom>
                    <a:ln/>
                  </pic:spPr>
                </pic:pic>
              </a:graphicData>
            </a:graphic>
          </wp:inline>
        </w:drawing>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anterior es necesario realizar el siguiente cuadro comparativo para verificar que las respuestas otorgadas colman las pretensiones del Recurrente: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tbl>
      <w:tblPr>
        <w:tblStyle w:val="a2"/>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3037"/>
        <w:gridCol w:w="3037"/>
      </w:tblGrid>
      <w:tr w:rsidR="00827DD2">
        <w:tc>
          <w:tcPr>
            <w:tcW w:w="3037" w:type="dxa"/>
            <w:shd w:val="clear" w:color="auto" w:fill="D9D9D9"/>
          </w:tcPr>
          <w:p w:rsidR="00827DD2" w:rsidRDefault="00D5686D">
            <w:pPr>
              <w:pBdr>
                <w:top w:val="nil"/>
                <w:left w:val="nil"/>
                <w:bottom w:val="nil"/>
                <w:right w:val="nil"/>
                <w:between w:val="nil"/>
              </w:pBdr>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SOLICITUD</w:t>
            </w:r>
          </w:p>
        </w:tc>
        <w:tc>
          <w:tcPr>
            <w:tcW w:w="3037" w:type="dxa"/>
            <w:shd w:val="clear" w:color="auto" w:fill="D9D9D9"/>
          </w:tcPr>
          <w:p w:rsidR="00827DD2" w:rsidRDefault="00D5686D">
            <w:pPr>
              <w:pBdr>
                <w:top w:val="nil"/>
                <w:left w:val="nil"/>
                <w:bottom w:val="nil"/>
                <w:right w:val="nil"/>
                <w:between w:val="nil"/>
              </w:pBdr>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RESPUESTA</w:t>
            </w:r>
          </w:p>
        </w:tc>
        <w:tc>
          <w:tcPr>
            <w:tcW w:w="3037" w:type="dxa"/>
            <w:shd w:val="clear" w:color="auto" w:fill="D9D9D9"/>
          </w:tcPr>
          <w:p w:rsidR="00827DD2" w:rsidRDefault="00D5686D">
            <w:pPr>
              <w:pBdr>
                <w:top w:val="nil"/>
                <w:left w:val="nil"/>
                <w:bottom w:val="nil"/>
                <w:right w:val="nil"/>
                <w:between w:val="nil"/>
              </w:pBdr>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¿COLMA? SÍ / NO</w:t>
            </w:r>
          </w:p>
        </w:tc>
      </w:tr>
      <w:tr w:rsidR="00827DD2">
        <w:tc>
          <w:tcPr>
            <w:tcW w:w="3037" w:type="dxa"/>
          </w:tcPr>
          <w:p w:rsidR="00827DD2" w:rsidRDefault="00D5686D">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00586/METEPEC/IP/2021</w:t>
            </w:r>
          </w:p>
          <w:p w:rsidR="00827DD2" w:rsidRDefault="00827DD2">
            <w:pPr>
              <w:pBdr>
                <w:top w:val="nil"/>
                <w:left w:val="nil"/>
                <w:bottom w:val="nil"/>
                <w:right w:val="nil"/>
                <w:between w:val="nil"/>
              </w:pBdr>
              <w:jc w:val="both"/>
              <w:rPr>
                <w:rFonts w:ascii="Palatino Linotype" w:eastAsia="Palatino Linotype" w:hAnsi="Palatino Linotype" w:cs="Palatino Linotype"/>
                <w:color w:val="000000"/>
                <w:sz w:val="20"/>
                <w:szCs w:val="20"/>
              </w:rPr>
            </w:pPr>
          </w:p>
          <w:p w:rsidR="00827DD2" w:rsidRDefault="00D5686D">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Copia simple del acuse de recibido, mediante el cual, los servidores públicos salientes que participan en el EQUIPO DE TRANSICIÓN, notifican al Presidente Municipal electo el sobre cerrado identificado como “ADMINISTRACIÓN ENTRANTE”.</w:t>
            </w:r>
          </w:p>
        </w:tc>
        <w:tc>
          <w:tcPr>
            <w:tcW w:w="3037" w:type="dxa"/>
          </w:tcPr>
          <w:p w:rsidR="00827DD2" w:rsidRDefault="00D5686D">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Se remitió acuse del oficio TM/1067/2021 dirigido al Coordinador del Comité de Enlace con copia a la Presidente Municipal del Sujeto Obligado con el cual se entregó como anexo el sobre cerrado denominado “ADMINISTRACIÓN ENTRANTE” que contiene claves de usuario, contraseñas e indicaciones para su registro y capacitación del proceso de entrega-recepción de los Ayuntamientos, Dependencia y Organismos Descentralizados Municipales.</w:t>
            </w:r>
          </w:p>
        </w:tc>
        <w:tc>
          <w:tcPr>
            <w:tcW w:w="3037" w:type="dxa"/>
            <w:vAlign w:val="center"/>
          </w:tcPr>
          <w:p w:rsidR="00827DD2" w:rsidRDefault="00D5686D">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SÍ</w:t>
            </w:r>
          </w:p>
        </w:tc>
      </w:tr>
      <w:tr w:rsidR="00827DD2">
        <w:tc>
          <w:tcPr>
            <w:tcW w:w="3037" w:type="dxa"/>
          </w:tcPr>
          <w:p w:rsidR="00827DD2" w:rsidRDefault="00D5686D">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00585/METEPEC/IP/2021</w:t>
            </w:r>
          </w:p>
          <w:p w:rsidR="00827DD2" w:rsidRDefault="00827DD2">
            <w:pPr>
              <w:pBdr>
                <w:top w:val="nil"/>
                <w:left w:val="nil"/>
                <w:bottom w:val="nil"/>
                <w:right w:val="nil"/>
                <w:between w:val="nil"/>
              </w:pBdr>
              <w:jc w:val="both"/>
              <w:rPr>
                <w:rFonts w:ascii="Palatino Linotype" w:eastAsia="Palatino Linotype" w:hAnsi="Palatino Linotype" w:cs="Palatino Linotype"/>
                <w:color w:val="000000"/>
                <w:sz w:val="20"/>
                <w:szCs w:val="20"/>
              </w:rPr>
            </w:pPr>
          </w:p>
          <w:p w:rsidR="00827DD2" w:rsidRDefault="00D5686D">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Copia simple del acuse de recibido, mediante el cual, se informa al Órgano Superior de Fiscalización del Estado de México, sobre la conformación del Equipo de Transición.</w:t>
            </w:r>
          </w:p>
        </w:tc>
        <w:tc>
          <w:tcPr>
            <w:tcW w:w="3037" w:type="dxa"/>
          </w:tcPr>
          <w:p w:rsidR="00827DD2" w:rsidRDefault="00D5686D">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Se remitió copia del oficio MET/PM/198/2021 dirigido a la Auditora Superior del Órgano Superior de Fiscalización del Estado de México, mediante el cual se informó que el seis de octubre de dos mil veintiuno se recibió el formato de transición denominado “03 Comité de enlace para la transición de la administración pública municipal”, por lo que se envía el mismo formato para dar cumplimiento al artículo 40 de los Lineamientos que norman la entrega-recepción de los </w:t>
            </w:r>
            <w:r>
              <w:rPr>
                <w:rFonts w:ascii="Palatino Linotype" w:eastAsia="Palatino Linotype" w:hAnsi="Palatino Linotype" w:cs="Palatino Linotype"/>
                <w:color w:val="000000"/>
                <w:sz w:val="20"/>
                <w:szCs w:val="20"/>
              </w:rPr>
              <w:lastRenderedPageBreak/>
              <w:t>ayuntamientos, sus dependencias y organismos descentralizados municipales del Estado de México.</w:t>
            </w:r>
          </w:p>
        </w:tc>
        <w:tc>
          <w:tcPr>
            <w:tcW w:w="3037" w:type="dxa"/>
            <w:vAlign w:val="center"/>
          </w:tcPr>
          <w:p w:rsidR="00827DD2" w:rsidRDefault="00D5686D">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SÍ</w:t>
            </w:r>
          </w:p>
        </w:tc>
      </w:tr>
      <w:tr w:rsidR="00827DD2">
        <w:tc>
          <w:tcPr>
            <w:tcW w:w="3037" w:type="dxa"/>
          </w:tcPr>
          <w:p w:rsidR="00827DD2" w:rsidRDefault="00D5686D">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00584/METEPEC/IP/2021</w:t>
            </w:r>
          </w:p>
          <w:p w:rsidR="00827DD2" w:rsidRDefault="00827DD2">
            <w:pPr>
              <w:pBdr>
                <w:top w:val="nil"/>
                <w:left w:val="nil"/>
                <w:bottom w:val="nil"/>
                <w:right w:val="nil"/>
                <w:between w:val="nil"/>
              </w:pBdr>
              <w:jc w:val="center"/>
              <w:rPr>
                <w:rFonts w:ascii="Palatino Linotype" w:eastAsia="Palatino Linotype" w:hAnsi="Palatino Linotype" w:cs="Palatino Linotype"/>
                <w:color w:val="000000"/>
                <w:sz w:val="20"/>
                <w:szCs w:val="20"/>
              </w:rPr>
            </w:pPr>
          </w:p>
          <w:p w:rsidR="00827DD2" w:rsidRDefault="00D5686D">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Nombres de las personas que integran el Comité de Enlace.</w:t>
            </w:r>
          </w:p>
        </w:tc>
        <w:tc>
          <w:tcPr>
            <w:tcW w:w="3037" w:type="dxa"/>
          </w:tcPr>
          <w:p w:rsidR="00827DD2" w:rsidRDefault="00D5686D">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Se remitió el oficio número TM/1111/2021 de fecha 19 de octubre de 2021, suscrito por el Tesorero Municipal, con el cual informó el nombre de las cinco personas que conforman el Comité de Enlace para la Transición.</w:t>
            </w:r>
          </w:p>
        </w:tc>
        <w:tc>
          <w:tcPr>
            <w:tcW w:w="3037" w:type="dxa"/>
            <w:vAlign w:val="center"/>
          </w:tcPr>
          <w:p w:rsidR="00827DD2" w:rsidRDefault="00D5686D">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SÍ</w:t>
            </w:r>
          </w:p>
        </w:tc>
      </w:tr>
      <w:tr w:rsidR="00827DD2">
        <w:tc>
          <w:tcPr>
            <w:tcW w:w="3037" w:type="dxa"/>
          </w:tcPr>
          <w:p w:rsidR="00827DD2" w:rsidRDefault="00D5686D">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00583/METEPEC/IP/2021</w:t>
            </w:r>
          </w:p>
          <w:p w:rsidR="00827DD2" w:rsidRDefault="00827DD2">
            <w:pPr>
              <w:pBdr>
                <w:top w:val="nil"/>
                <w:left w:val="nil"/>
                <w:bottom w:val="nil"/>
                <w:right w:val="nil"/>
                <w:between w:val="nil"/>
              </w:pBdr>
              <w:jc w:val="both"/>
              <w:rPr>
                <w:rFonts w:ascii="Palatino Linotype" w:eastAsia="Palatino Linotype" w:hAnsi="Palatino Linotype" w:cs="Palatino Linotype"/>
                <w:color w:val="000000"/>
                <w:sz w:val="20"/>
                <w:szCs w:val="20"/>
              </w:rPr>
            </w:pPr>
          </w:p>
          <w:p w:rsidR="00827DD2" w:rsidRDefault="00D5686D">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Nombres de las personas que integran el Equipo de Trabajo.</w:t>
            </w:r>
          </w:p>
        </w:tc>
        <w:tc>
          <w:tcPr>
            <w:tcW w:w="3037" w:type="dxa"/>
          </w:tcPr>
          <w:p w:rsidR="00827DD2" w:rsidRDefault="00D5686D">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Se remitió el oficio número TM/1110/2021 de fecha 19 de octubre de 2021, suscrito por el Tesorero Municipal, con el cual informó el nombre de las ocho personas que conforman el Equipo de Trabajo para la Transición.</w:t>
            </w:r>
          </w:p>
        </w:tc>
        <w:tc>
          <w:tcPr>
            <w:tcW w:w="3037" w:type="dxa"/>
            <w:vAlign w:val="center"/>
          </w:tcPr>
          <w:p w:rsidR="00827DD2" w:rsidRDefault="00D5686D">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SÍ</w:t>
            </w:r>
          </w:p>
        </w:tc>
      </w:tr>
      <w:tr w:rsidR="00827DD2">
        <w:tc>
          <w:tcPr>
            <w:tcW w:w="3037" w:type="dxa"/>
          </w:tcPr>
          <w:p w:rsidR="00827DD2" w:rsidRDefault="00D5686D">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00582/METEPEC/IP/2021</w:t>
            </w:r>
          </w:p>
          <w:p w:rsidR="00827DD2" w:rsidRDefault="00827DD2">
            <w:pPr>
              <w:pBdr>
                <w:top w:val="nil"/>
                <w:left w:val="nil"/>
                <w:bottom w:val="nil"/>
                <w:right w:val="nil"/>
                <w:between w:val="nil"/>
              </w:pBdr>
              <w:jc w:val="both"/>
              <w:rPr>
                <w:rFonts w:ascii="Palatino Linotype" w:eastAsia="Palatino Linotype" w:hAnsi="Palatino Linotype" w:cs="Palatino Linotype"/>
                <w:color w:val="000000"/>
                <w:sz w:val="20"/>
                <w:szCs w:val="20"/>
              </w:rPr>
            </w:pPr>
          </w:p>
          <w:p w:rsidR="00827DD2" w:rsidRDefault="00D5686D">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Nombres de las personas que integran el Equipo de Transición.</w:t>
            </w:r>
          </w:p>
        </w:tc>
        <w:tc>
          <w:tcPr>
            <w:tcW w:w="3037" w:type="dxa"/>
          </w:tcPr>
          <w:p w:rsidR="00827DD2" w:rsidRDefault="00D5686D">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Se remitió el oficio número TM/1109/2021 de fecha 19 de octubre de 2021, suscrito por el Tesorero Municipal, con el cual informó los nombres de las personas que integran el Comité de Enlace y el Equipo de Trabajo.</w:t>
            </w:r>
          </w:p>
        </w:tc>
        <w:tc>
          <w:tcPr>
            <w:tcW w:w="3037" w:type="dxa"/>
            <w:vAlign w:val="center"/>
          </w:tcPr>
          <w:p w:rsidR="00827DD2" w:rsidRDefault="00D5686D">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SÍ</w:t>
            </w:r>
          </w:p>
        </w:tc>
      </w:tr>
    </w:tbl>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Cabe señalar que respecto de la solicitud </w:t>
      </w:r>
      <w:r>
        <w:rPr>
          <w:rFonts w:ascii="Palatino Linotype" w:eastAsia="Palatino Linotype" w:hAnsi="Palatino Linotype" w:cs="Palatino Linotype"/>
          <w:b/>
          <w:color w:val="000000"/>
          <w:sz w:val="24"/>
          <w:szCs w:val="24"/>
        </w:rPr>
        <w:t>00582/METEPEC/IP/2021</w:t>
      </w:r>
      <w:r>
        <w:rPr>
          <w:rFonts w:ascii="Palatino Linotype" w:eastAsia="Palatino Linotype" w:hAnsi="Palatino Linotype" w:cs="Palatino Linotype"/>
          <w:color w:val="000000"/>
          <w:sz w:val="24"/>
          <w:szCs w:val="24"/>
        </w:rPr>
        <w:t xml:space="preserve"> en la que se solicitó el nombre de las personas que integran el equipo de transición, la respuesta del Sujeto Obligado consiste en lo señalado en el cuadro anterior, es decir los nombres de los integrantes del Comité de Enlace y del Equipo de Trabajo, esto debido a que en los Lineamientos emitidos por el OSFEM, el Capítulo V se denomina “De los equipos de transición” y en el mismo se regula la integración del equipo de trabajo y el comité de enlace, los que conforman al denominado equipo de transición.</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otra parte, no se omite señalar que el segundo párrafo del artículo 40 de los citados Lineamientos establece lo siguiente: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40.</w:t>
      </w:r>
      <w:r>
        <w:rPr>
          <w:rFonts w:ascii="Palatino Linotype" w:eastAsia="Palatino Linotype" w:hAnsi="Palatino Linotype" w:cs="Palatino Linotype"/>
          <w:i/>
          <w:color w:val="000000"/>
        </w:rPr>
        <w:t xml:space="preserve"> El Equipo de Trabajo se conformará por cuatro servidores públicos, un coordinador y un representante por cada Organismo Público Descentralizado, que deben ser designados por el Presidente Municipal saliente para emprender las acciones que faciliten la entrega-recepción. </w:t>
      </w:r>
    </w:p>
    <w:p w:rsidR="00827DD2" w:rsidRDefault="00827DD2">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p>
    <w:p w:rsidR="00827DD2" w:rsidRDefault="00D5686D">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 xml:space="preserve">El Comité de Enlace se conformará por cinco ciudadanos que de preferencia no pertenezcan a la Administración Pública Municipal saliente, quienes serán designados por el Presidente Municipal electo y fungirán como vínculo operativo y funcional con el Equipo de Trabajo. </w:t>
      </w:r>
    </w:p>
    <w:p w:rsidR="00827DD2" w:rsidRDefault="00827DD2">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p>
    <w:p w:rsidR="00827DD2" w:rsidRDefault="00D5686D">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El Equipo de Trabajo y el Comité de Enlace se integrarán conjuntamente del 20 al 24 de septiembre del año de la elección, momento en el cual iniciarán sus actividades. </w:t>
      </w:r>
    </w:p>
    <w:p w:rsidR="00827DD2" w:rsidRDefault="00827DD2">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p>
    <w:p w:rsidR="00827DD2" w:rsidRDefault="00D5686D">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El Presidente en funciones debe informar mediante oficio al Órgano Superior sobre la integración del Equipo de Trabajo y del Comité de Enlace dentro de los cinco días hábiles siguientes a su conformación, adjuntando en dicho oficio las “Cédulas de transición” correspondientes, disponibles para su descarga en el portal electrónico </w:t>
      </w:r>
      <w:hyperlink r:id="rId29">
        <w:r>
          <w:rPr>
            <w:rFonts w:ascii="Palatino Linotype" w:eastAsia="Palatino Linotype" w:hAnsi="Palatino Linotype" w:cs="Palatino Linotype"/>
            <w:i/>
            <w:color w:val="0563C1"/>
          </w:rPr>
          <w:t>www.osfem.gob.mx</w:t>
        </w:r>
      </w:hyperlink>
      <w:r>
        <w:rPr>
          <w:rFonts w:ascii="Palatino Linotype" w:eastAsia="Palatino Linotype" w:hAnsi="Palatino Linotype" w:cs="Palatino Linotype"/>
          <w:i/>
          <w:color w:val="000000"/>
        </w:rPr>
        <w:t>.</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virtud de lo anterior, dicho párrafo establece que el Comité de Enlace se conformará </w:t>
      </w:r>
      <w:r>
        <w:rPr>
          <w:rFonts w:ascii="Palatino Linotype" w:eastAsia="Palatino Linotype" w:hAnsi="Palatino Linotype" w:cs="Palatino Linotype"/>
          <w:b/>
          <w:color w:val="000000"/>
          <w:sz w:val="24"/>
          <w:szCs w:val="24"/>
        </w:rPr>
        <w:t xml:space="preserve">por cinco ciudadanos que </w:t>
      </w:r>
      <w:r>
        <w:rPr>
          <w:rFonts w:ascii="Palatino Linotype" w:eastAsia="Palatino Linotype" w:hAnsi="Palatino Linotype" w:cs="Palatino Linotype"/>
          <w:b/>
          <w:i/>
          <w:color w:val="000000"/>
          <w:sz w:val="24"/>
          <w:szCs w:val="24"/>
        </w:rPr>
        <w:t>de preferencia</w:t>
      </w:r>
      <w:r>
        <w:rPr>
          <w:rFonts w:ascii="Palatino Linotype" w:eastAsia="Palatino Linotype" w:hAnsi="Palatino Linotype" w:cs="Palatino Linotype"/>
          <w:b/>
          <w:color w:val="000000"/>
          <w:sz w:val="24"/>
          <w:szCs w:val="24"/>
        </w:rPr>
        <w:t xml:space="preserve"> no pertenezcan a la Administración Pública Municipal saliente</w:t>
      </w:r>
      <w:r>
        <w:rPr>
          <w:rFonts w:ascii="Palatino Linotype" w:eastAsia="Palatino Linotype" w:hAnsi="Palatino Linotype" w:cs="Palatino Linotype"/>
          <w:color w:val="000000"/>
          <w:sz w:val="24"/>
          <w:szCs w:val="24"/>
        </w:rPr>
        <w:t xml:space="preserve">, que serán designados por el Presidente Municipal electo; esto significa que existe la posibilidad de que los miembros de dicho Comité </w:t>
      </w:r>
      <w:r>
        <w:rPr>
          <w:rFonts w:ascii="Palatino Linotype" w:eastAsia="Palatino Linotype" w:hAnsi="Palatino Linotype" w:cs="Palatino Linotype"/>
          <w:b/>
          <w:color w:val="000000"/>
          <w:sz w:val="24"/>
          <w:szCs w:val="24"/>
        </w:rPr>
        <w:t>no sean servidores públicos</w:t>
      </w:r>
      <w:r>
        <w:rPr>
          <w:rFonts w:ascii="Palatino Linotype" w:eastAsia="Palatino Linotype" w:hAnsi="Palatino Linotype" w:cs="Palatino Linotype"/>
          <w:color w:val="000000"/>
          <w:sz w:val="24"/>
          <w:szCs w:val="24"/>
        </w:rPr>
        <w:t xml:space="preserve"> sino particulares designados por el Presidente Municipal electo; sin embargo, el citado artículo no estipula específicamente que dichos integrantes deban ser ciudadanos ajenos al servicio público, puesto que al señalar “de preferencia” </w:t>
      </w:r>
      <w:r>
        <w:rPr>
          <w:rFonts w:ascii="Palatino Linotype" w:eastAsia="Palatino Linotype" w:hAnsi="Palatino Linotype" w:cs="Palatino Linotype"/>
          <w:color w:val="000000"/>
          <w:sz w:val="24"/>
          <w:szCs w:val="24"/>
        </w:rPr>
        <w:lastRenderedPageBreak/>
        <w:t>únicamente se debe entender que entre las personas que se vislumbren como posibles miembros del comité, preferiblemente se elijan las que no pertenezcan a la administración saliente, pero no se prohíbe optar por éstos, por tanto se está ante una facultad potestativa del presidente municipal electo.</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Asimismo, no se considera que, en el caso de que los integrantes del Comité de Enlace no sean servidores públicos, la publicación de su nombre sea una trasgresión a su derecho a la protección de sus datos personales, puesto que los integrantes de ese comité actualizan el supuesto previsto en los artículos 3 fracción XLI, 7 y 27 de la Ley de Transparencia estatal, en los que se dispone lo siguiente:</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Artículo 3. </w:t>
      </w:r>
      <w:r>
        <w:rPr>
          <w:rFonts w:ascii="Palatino Linotype" w:eastAsia="Palatino Linotype" w:hAnsi="Palatino Linotype" w:cs="Palatino Linotype"/>
          <w:i/>
          <w:color w:val="000000"/>
        </w:rPr>
        <w:t>Para los efectos de la presente Ley se entenderá por:</w:t>
      </w:r>
    </w:p>
    <w:p w:rsidR="00827DD2" w:rsidRDefault="00D5686D">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827DD2" w:rsidRDefault="00D5686D">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XLI. Sujetos obligados: </w:t>
      </w:r>
      <w:r>
        <w:rPr>
          <w:rFonts w:ascii="Palatino Linotype" w:eastAsia="Palatino Linotype" w:hAnsi="Palatino Linotype" w:cs="Palatino Linotype"/>
          <w:i/>
          <w:color w:val="000000"/>
        </w:rPr>
        <w:t xml:space="preserve">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w:t>
      </w:r>
      <w:r>
        <w:rPr>
          <w:rFonts w:ascii="Palatino Linotype" w:eastAsia="Palatino Linotype" w:hAnsi="Palatino Linotype" w:cs="Palatino Linotype"/>
          <w:b/>
          <w:i/>
          <w:color w:val="000000"/>
          <w:u w:val="single"/>
        </w:rPr>
        <w:t>cualquier persona física</w:t>
      </w:r>
      <w:r>
        <w:rPr>
          <w:rFonts w:ascii="Palatino Linotype" w:eastAsia="Palatino Linotype" w:hAnsi="Palatino Linotype" w:cs="Palatino Linotype"/>
          <w:i/>
          <w:color w:val="000000"/>
        </w:rPr>
        <w:t xml:space="preserve">, jurídico colectiva o sindicato que reciba y ejerza recursos públicos o </w:t>
      </w:r>
      <w:r>
        <w:rPr>
          <w:rFonts w:ascii="Palatino Linotype" w:eastAsia="Palatino Linotype" w:hAnsi="Palatino Linotype" w:cs="Palatino Linotype"/>
          <w:b/>
          <w:i/>
          <w:color w:val="000000"/>
          <w:u w:val="single"/>
        </w:rPr>
        <w:t>realice actos de autoridad en el ámbito estatal y municipal</w:t>
      </w:r>
      <w:r>
        <w:rPr>
          <w:rFonts w:ascii="Palatino Linotype" w:eastAsia="Palatino Linotype" w:hAnsi="Palatino Linotype" w:cs="Palatino Linotype"/>
          <w:i/>
          <w:color w:val="000000"/>
        </w:rPr>
        <w:t>, que deba cumplir con las obligaciones previstas en la presente Ley;</w:t>
      </w:r>
    </w:p>
    <w:p w:rsidR="00827DD2" w:rsidRDefault="00D5686D">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827DD2" w:rsidRDefault="00827DD2">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p>
    <w:p w:rsidR="00827DD2" w:rsidRDefault="00D5686D">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Artículo 7. </w:t>
      </w:r>
      <w:r>
        <w:rPr>
          <w:rFonts w:ascii="Palatino Linotype" w:eastAsia="Palatino Linotype" w:hAnsi="Palatino Linotype" w:cs="Palatino Linotype"/>
          <w:i/>
          <w:color w:val="000000"/>
        </w:rPr>
        <w:t xml:space="preserve">El Estado de México garantizará el efectivo acceso de toda persona a la información en posesión de cualquier entidad, autoridad, órgano y organismo de los poderes Ejecutivo, Legislativo y Judicial, órganos autónomos, partidos políticos, fideicomisos y fondos públicos, </w:t>
      </w:r>
      <w:r>
        <w:rPr>
          <w:rFonts w:ascii="Palatino Linotype" w:eastAsia="Palatino Linotype" w:hAnsi="Palatino Linotype" w:cs="Palatino Linotype"/>
          <w:b/>
          <w:i/>
          <w:color w:val="000000"/>
          <w:u w:val="single"/>
        </w:rPr>
        <w:t>así como de cualquier persona física</w:t>
      </w:r>
      <w:r>
        <w:rPr>
          <w:rFonts w:ascii="Palatino Linotype" w:eastAsia="Palatino Linotype" w:hAnsi="Palatino Linotype" w:cs="Palatino Linotype"/>
          <w:i/>
          <w:color w:val="000000"/>
        </w:rPr>
        <w:t xml:space="preserve">, jurídico colectiva o sindicato que reciba y ejerza recursos públicos o </w:t>
      </w:r>
      <w:r>
        <w:rPr>
          <w:rFonts w:ascii="Palatino Linotype" w:eastAsia="Palatino Linotype" w:hAnsi="Palatino Linotype" w:cs="Palatino Linotype"/>
          <w:b/>
          <w:i/>
          <w:color w:val="000000"/>
          <w:u w:val="single"/>
        </w:rPr>
        <w:t>realice actos de autoridad en el ámbito de competencia del Estado de México y sus municipios</w:t>
      </w:r>
      <w:r>
        <w:rPr>
          <w:rFonts w:ascii="Palatino Linotype" w:eastAsia="Palatino Linotype" w:hAnsi="Palatino Linotype" w:cs="Palatino Linotype"/>
          <w:i/>
          <w:color w:val="000000"/>
        </w:rPr>
        <w:t>.</w:t>
      </w:r>
    </w:p>
    <w:p w:rsidR="00827DD2" w:rsidRDefault="00827DD2">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p>
    <w:p w:rsidR="00827DD2" w:rsidRDefault="00D5686D">
      <w:pPr>
        <w:pBdr>
          <w:top w:val="nil"/>
          <w:left w:val="nil"/>
          <w:bottom w:val="nil"/>
          <w:right w:val="nil"/>
          <w:between w:val="nil"/>
        </w:pBdr>
        <w:spacing w:after="0" w:line="24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lastRenderedPageBreak/>
        <w:t xml:space="preserve">Artículo 27. </w:t>
      </w:r>
      <w:r>
        <w:rPr>
          <w:rFonts w:ascii="Palatino Linotype" w:eastAsia="Palatino Linotype" w:hAnsi="Palatino Linotype" w:cs="Palatino Linotype"/>
          <w:b/>
          <w:i/>
          <w:color w:val="000000"/>
          <w:u w:val="single"/>
        </w:rPr>
        <w:t>Las personas físicas</w:t>
      </w:r>
      <w:r>
        <w:rPr>
          <w:rFonts w:ascii="Palatino Linotype" w:eastAsia="Palatino Linotype" w:hAnsi="Palatino Linotype" w:cs="Palatino Linotype"/>
          <w:i/>
          <w:color w:val="000000"/>
        </w:rPr>
        <w:t xml:space="preserve"> o jurídicas colectivas </w:t>
      </w:r>
      <w:r>
        <w:rPr>
          <w:rFonts w:ascii="Palatino Linotype" w:eastAsia="Palatino Linotype" w:hAnsi="Palatino Linotype" w:cs="Palatino Linotype"/>
          <w:b/>
          <w:i/>
          <w:color w:val="000000"/>
          <w:u w:val="single"/>
        </w:rPr>
        <w:t>que, en el ejercicio de sus actividades, coadyuven en auxilio o colaboración de las entidades públicas</w:t>
      </w:r>
      <w:r>
        <w:rPr>
          <w:rFonts w:ascii="Palatino Linotype" w:eastAsia="Palatino Linotype" w:hAnsi="Palatino Linotype" w:cs="Palatino Linotype"/>
          <w:i/>
          <w:color w:val="000000"/>
        </w:rPr>
        <w:t xml:space="preserve">, o aquellas que ejerzan gasto público, reciban, utilicen o dispongan de recursos públicos, subsidios, o estímulos fiscales </w:t>
      </w:r>
      <w:r>
        <w:rPr>
          <w:rFonts w:ascii="Palatino Linotype" w:eastAsia="Palatino Linotype" w:hAnsi="Palatino Linotype" w:cs="Palatino Linotype"/>
          <w:b/>
          <w:i/>
          <w:color w:val="000000"/>
          <w:u w:val="single"/>
        </w:rPr>
        <w:t>o realicen actos de autoridad, estarán obligadas a entregar la información relacionada con</w:t>
      </w:r>
      <w:r>
        <w:rPr>
          <w:rFonts w:ascii="Palatino Linotype" w:eastAsia="Palatino Linotype" w:hAnsi="Palatino Linotype" w:cs="Palatino Linotype"/>
          <w:i/>
          <w:color w:val="000000"/>
        </w:rPr>
        <w:t xml:space="preserve"> el uso, destino y </w:t>
      </w:r>
      <w:r>
        <w:rPr>
          <w:rFonts w:ascii="Palatino Linotype" w:eastAsia="Palatino Linotype" w:hAnsi="Palatino Linotype" w:cs="Palatino Linotype"/>
          <w:b/>
          <w:i/>
          <w:color w:val="000000"/>
          <w:u w:val="single"/>
        </w:rPr>
        <w:t>actividades al sujeto obligado que</w:t>
      </w:r>
      <w:r>
        <w:rPr>
          <w:rFonts w:ascii="Palatino Linotype" w:eastAsia="Palatino Linotype" w:hAnsi="Palatino Linotype" w:cs="Palatino Linotype"/>
          <w:i/>
          <w:color w:val="000000"/>
        </w:rPr>
        <w:t xml:space="preserve"> entregue el recurso, subsidio u otorgue el estímulo,</w:t>
      </w:r>
      <w:r>
        <w:rPr>
          <w:rFonts w:ascii="Palatino Linotype" w:eastAsia="Palatino Linotype" w:hAnsi="Palatino Linotype" w:cs="Palatino Linotype"/>
          <w:b/>
          <w:i/>
          <w:color w:val="000000"/>
          <w:u w:val="single"/>
        </w:rPr>
        <w:t xml:space="preserve"> supervise o coordine estas actividades.</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Del articulado anterior se desprende que se considera como sujetos obligados a cualquier persona física que por su actividad se considere que realice actos de autoridad, así como aquellas que coadyuven en auxilio o colaboración de entidades pública; por tanto, toda vez que los integrantes del Comité de Enlace relativo al proceso de entrega-recepción de autoridades municipales realizan acciones susceptibles de calificarlas como actos de autoridad además de que coadyuvan en colaboración de Sujeto Obligado, es dable concluir que, aun en el caso de que los integrantes del comité no sean servidores públicos, la publicidad de su nombre no constituye una vulneración a su derecho a la protección de sus datos personales.</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Por lo anterior, resulta evidente que </w:t>
      </w:r>
      <w:r>
        <w:rPr>
          <w:rFonts w:ascii="Palatino Linotype" w:eastAsia="Palatino Linotype" w:hAnsi="Palatino Linotype" w:cs="Palatino Linotype"/>
          <w:sz w:val="24"/>
          <w:szCs w:val="24"/>
        </w:rPr>
        <w:t xml:space="preserve">el Sujeto Obligado, al remitir los documentos descritos anteriormente, emitió un pronunciamiento. Por ende, al existir un pronunciamiento por parte del Sujeto Obligado, 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w:t>
      </w:r>
      <w:r>
        <w:rPr>
          <w:rFonts w:ascii="Palatino Linotype" w:eastAsia="Palatino Linotype" w:hAnsi="Palatino Linotype" w:cs="Palatino Linotype"/>
          <w:sz w:val="24"/>
          <w:szCs w:val="24"/>
        </w:rPr>
        <w:lastRenderedPageBreak/>
        <w:t>Federal de Accesos a la Información y Protección de Datos, que a la letra establece lo siguiente:</w:t>
      </w:r>
    </w:p>
    <w:p w:rsidR="00827DD2" w:rsidRDefault="00827DD2">
      <w:pPr>
        <w:spacing w:after="0" w:line="360" w:lineRule="auto"/>
        <w:jc w:val="both"/>
        <w:rPr>
          <w:rFonts w:ascii="Palatino Linotype" w:eastAsia="Palatino Linotype" w:hAnsi="Palatino Linotype" w:cs="Palatino Linotype"/>
          <w:sz w:val="24"/>
          <w:szCs w:val="24"/>
        </w:rPr>
      </w:pPr>
    </w:p>
    <w:p w:rsidR="00827DD2" w:rsidRDefault="00D5686D">
      <w:pPr>
        <w:spacing w:after="0" w:line="24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conclusión, toda vez que quedó de manifiesto que el Sujeto Obligado atendió las solicitudes del Recurrente otorgando la documentación e información solicitada, es dable considerar que el derecho de acceso a la información pública del particular fue satisfecho; consecuentemente, se estima que los motivos de inconformidad plateados en los recursos de revisión devienen infundados, por lo que es procedente confirmar las respuesta del Sujeto Obligado en razón de los argumentos vertidos en párrafos anteriores.</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en mérito de lo expuesto en líneas anteriores resultan infundadas las razones o motivos de inconformidad que arguye el Recurrente; por ello, con fundamento en el </w:t>
      </w:r>
      <w:r>
        <w:rPr>
          <w:rFonts w:ascii="Palatino Linotype" w:eastAsia="Palatino Linotype" w:hAnsi="Palatino Linotype" w:cs="Palatino Linotype"/>
          <w:color w:val="000000"/>
          <w:sz w:val="24"/>
          <w:szCs w:val="24"/>
        </w:rPr>
        <w:lastRenderedPageBreak/>
        <w:t xml:space="preserve">artículo 186 fracción II de la Ley de Transparencia y Acceso a la Información Pública del Estado de México y Municipios, se </w:t>
      </w:r>
      <w:r>
        <w:rPr>
          <w:rFonts w:ascii="Palatino Linotype" w:eastAsia="Palatino Linotype" w:hAnsi="Palatino Linotype" w:cs="Palatino Linotype"/>
          <w:b/>
          <w:color w:val="000000"/>
          <w:sz w:val="24"/>
          <w:szCs w:val="24"/>
        </w:rPr>
        <w:t>CONFIRMA</w:t>
      </w:r>
      <w:r>
        <w:rPr>
          <w:rFonts w:ascii="Palatino Linotype" w:eastAsia="Palatino Linotype" w:hAnsi="Palatino Linotype" w:cs="Palatino Linotype"/>
          <w:color w:val="000000"/>
          <w:sz w:val="24"/>
          <w:szCs w:val="24"/>
        </w:rPr>
        <w:t xml:space="preserve"> las respuestas a las solicitudes de información pública </w:t>
      </w:r>
      <w:r>
        <w:rPr>
          <w:rFonts w:ascii="Palatino Linotype" w:eastAsia="Palatino Linotype" w:hAnsi="Palatino Linotype" w:cs="Palatino Linotype"/>
          <w:b/>
          <w:color w:val="000000"/>
          <w:sz w:val="24"/>
          <w:szCs w:val="24"/>
        </w:rPr>
        <w:t>00586/METEPEC/IP/2021</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00585/METEPEC/IP/2021</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00584/METEPEC/IP/2021</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00583/METEPEC/IP/2021</w:t>
      </w:r>
      <w:r>
        <w:rPr>
          <w:rFonts w:ascii="Palatino Linotype" w:eastAsia="Palatino Linotype" w:hAnsi="Palatino Linotype" w:cs="Palatino Linotype"/>
          <w:color w:val="000000"/>
          <w:sz w:val="24"/>
          <w:szCs w:val="24"/>
        </w:rPr>
        <w:t xml:space="preserve"> y</w:t>
      </w:r>
      <w:r>
        <w:rPr>
          <w:rFonts w:ascii="Palatino Linotype" w:eastAsia="Palatino Linotype" w:hAnsi="Palatino Linotype" w:cs="Palatino Linotype"/>
          <w:b/>
          <w:color w:val="000000"/>
          <w:sz w:val="24"/>
          <w:szCs w:val="24"/>
        </w:rPr>
        <w:t xml:space="preserve"> 00582/METEPEC/IP/2021</w:t>
      </w:r>
      <w:r>
        <w:rPr>
          <w:rFonts w:ascii="Palatino Linotype" w:eastAsia="Palatino Linotype" w:hAnsi="Palatino Linotype" w:cs="Palatino Linotype"/>
          <w:color w:val="000000"/>
          <w:sz w:val="24"/>
          <w:szCs w:val="24"/>
        </w:rPr>
        <w:t>, que han sido materia del presente fallo, por lo que este Pleno:</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R E S U E L V E</w:t>
      </w:r>
    </w:p>
    <w:p w:rsidR="00827DD2" w:rsidRDefault="00827DD2">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4"/>
          <w:szCs w:val="24"/>
        </w:rPr>
      </w:pPr>
      <w:bookmarkStart w:id="1" w:name="_heading=h.gjdgxs" w:colFirst="0" w:colLast="0"/>
      <w:bookmarkEnd w:id="1"/>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bookmarkStart w:id="2" w:name="_heading=h.30j0zll" w:colFirst="0" w:colLast="0"/>
      <w:bookmarkEnd w:id="2"/>
      <w:r>
        <w:rPr>
          <w:rFonts w:ascii="Palatino Linotype" w:eastAsia="Palatino Linotype" w:hAnsi="Palatino Linotype" w:cs="Palatino Linotype"/>
          <w:b/>
          <w:color w:val="000000"/>
          <w:sz w:val="24"/>
          <w:szCs w:val="24"/>
        </w:rPr>
        <w:t xml:space="preserve">PRIMERO. </w:t>
      </w:r>
      <w:r>
        <w:rPr>
          <w:rFonts w:ascii="Palatino Linotype" w:eastAsia="Palatino Linotype" w:hAnsi="Palatino Linotype" w:cs="Palatino Linotype"/>
          <w:color w:val="000000"/>
          <w:sz w:val="24"/>
          <w:szCs w:val="24"/>
        </w:rPr>
        <w:t xml:space="preserve">Se </w:t>
      </w:r>
      <w:r>
        <w:rPr>
          <w:rFonts w:ascii="Palatino Linotype" w:eastAsia="Palatino Linotype" w:hAnsi="Palatino Linotype" w:cs="Palatino Linotype"/>
          <w:b/>
          <w:color w:val="000000"/>
          <w:sz w:val="24"/>
          <w:szCs w:val="24"/>
        </w:rPr>
        <w:t>CONFIRMAN</w:t>
      </w:r>
      <w:r>
        <w:rPr>
          <w:rFonts w:ascii="Palatino Linotype" w:eastAsia="Palatino Linotype" w:hAnsi="Palatino Linotype" w:cs="Palatino Linotype"/>
          <w:color w:val="000000"/>
          <w:sz w:val="24"/>
          <w:szCs w:val="24"/>
        </w:rPr>
        <w:t xml:space="preserve"> las respuestas del Sujeto Obligado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a las solicitudes de información </w:t>
      </w:r>
      <w:r>
        <w:rPr>
          <w:rFonts w:ascii="Palatino Linotype" w:eastAsia="Palatino Linotype" w:hAnsi="Palatino Linotype" w:cs="Palatino Linotype"/>
          <w:b/>
          <w:color w:val="000000"/>
          <w:sz w:val="24"/>
          <w:szCs w:val="24"/>
        </w:rPr>
        <w:t>00586/METEPEC/IP/2021</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00585/METEPEC/IP/2021</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00584/METEPEC/IP/2021</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00583/METEPEC/IP/2021</w:t>
      </w:r>
      <w:r>
        <w:rPr>
          <w:rFonts w:ascii="Palatino Linotype" w:eastAsia="Palatino Linotype" w:hAnsi="Palatino Linotype" w:cs="Palatino Linotype"/>
          <w:color w:val="000000"/>
          <w:sz w:val="24"/>
          <w:szCs w:val="24"/>
        </w:rPr>
        <w:t xml:space="preserve"> y</w:t>
      </w:r>
      <w:r>
        <w:rPr>
          <w:rFonts w:ascii="Palatino Linotype" w:eastAsia="Palatino Linotype" w:hAnsi="Palatino Linotype" w:cs="Palatino Linotype"/>
          <w:b/>
          <w:color w:val="000000"/>
          <w:sz w:val="24"/>
          <w:szCs w:val="24"/>
        </w:rPr>
        <w:t xml:space="preserve"> 00582/METEPEC/IP/2021</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por resultar infundadas las razones o motivos de inconformidad hechos valer por el Recurrente, en términos del Considerando </w:t>
      </w:r>
      <w:r>
        <w:rPr>
          <w:rFonts w:ascii="Palatino Linotype" w:eastAsia="Palatino Linotype" w:hAnsi="Palatino Linotype" w:cs="Palatino Linotype"/>
          <w:b/>
          <w:color w:val="000000"/>
          <w:sz w:val="24"/>
          <w:szCs w:val="24"/>
        </w:rPr>
        <w:t xml:space="preserve">QUINTO </w:t>
      </w:r>
      <w:r>
        <w:rPr>
          <w:rFonts w:ascii="Palatino Linotype" w:eastAsia="Palatino Linotype" w:hAnsi="Palatino Linotype" w:cs="Palatino Linotype"/>
          <w:color w:val="000000"/>
          <w:sz w:val="24"/>
          <w:szCs w:val="24"/>
        </w:rPr>
        <w:t>de esta resolución.</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SEGUNDO.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Notifíquese</w:t>
      </w:r>
      <w:r>
        <w:rPr>
          <w:rFonts w:ascii="Palatino Linotype" w:eastAsia="Palatino Linotype" w:hAnsi="Palatino Linotype" w:cs="Palatino Linotype"/>
          <w:color w:val="000000"/>
          <w:sz w:val="24"/>
          <w:szCs w:val="24"/>
        </w:rPr>
        <w:t xml:space="preserve"> la presente resolución </w:t>
      </w:r>
      <w:r>
        <w:rPr>
          <w:rFonts w:ascii="Palatino Linotype" w:eastAsia="Palatino Linotype" w:hAnsi="Palatino Linotype" w:cs="Palatino Linotype"/>
          <w:sz w:val="24"/>
          <w:szCs w:val="24"/>
        </w:rPr>
        <w:t>mediante el Sistema de Acceso a la Información Mexiquense</w:t>
      </w:r>
      <w:r>
        <w:rPr>
          <w:rFonts w:ascii="Palatino Linotype" w:eastAsia="Palatino Linotype" w:hAnsi="Palatino Linotype" w:cs="Palatino Linotype"/>
          <w:color w:val="000000"/>
          <w:sz w:val="24"/>
          <w:szCs w:val="24"/>
        </w:rPr>
        <w:t xml:space="preserve"> (SAIMEX</w:t>
      </w:r>
      <w:proofErr w:type="gramStart"/>
      <w:r>
        <w:rPr>
          <w:rFonts w:ascii="Palatino Linotype" w:eastAsia="Palatino Linotype" w:hAnsi="Palatino Linotype" w:cs="Palatino Linotype"/>
          <w:color w:val="000000"/>
          <w:sz w:val="24"/>
          <w:szCs w:val="24"/>
        </w:rPr>
        <w:t>)al</w:t>
      </w:r>
      <w:proofErr w:type="gramEnd"/>
      <w:r>
        <w:rPr>
          <w:rFonts w:ascii="Palatino Linotype" w:eastAsia="Palatino Linotype" w:hAnsi="Palatino Linotype" w:cs="Palatino Linotype"/>
          <w:color w:val="000000"/>
          <w:sz w:val="24"/>
          <w:szCs w:val="24"/>
        </w:rPr>
        <w:t xml:space="preserve"> Titular de la Unidad de Transparencia del Sujeto Obligado.</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TERCERO.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Notifíquese</w:t>
      </w:r>
      <w:r>
        <w:rPr>
          <w:rFonts w:ascii="Palatino Linotype" w:eastAsia="Palatino Linotype" w:hAnsi="Palatino Linotype" w:cs="Palatino Linotype"/>
          <w:color w:val="000000"/>
          <w:sz w:val="24"/>
          <w:szCs w:val="24"/>
        </w:rPr>
        <w:t xml:space="preserve"> al Recurrente</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sz w:val="24"/>
          <w:szCs w:val="24"/>
        </w:rPr>
        <w:t>la presente resolución,</w:t>
      </w:r>
      <w:r>
        <w:t xml:space="preserve"> </w:t>
      </w:r>
      <w:r>
        <w:rPr>
          <w:rFonts w:ascii="Palatino Linotype" w:eastAsia="Palatino Linotype" w:hAnsi="Palatino Linotype" w:cs="Palatino Linotype"/>
          <w:sz w:val="24"/>
          <w:szCs w:val="24"/>
        </w:rPr>
        <w:t xml:space="preserve">a través del Sistema de Acceso a la Información Mexiquense (SAIMEX), y hágase de su conocimiento que, en caso de considerar que la misma le causa algún perjuicio, podrá promover el Juicio de Amparo en los términos de las leyes aplicables, de acuerdo a lo estipulado por el </w:t>
      </w:r>
      <w:r>
        <w:rPr>
          <w:rFonts w:ascii="Palatino Linotype" w:eastAsia="Palatino Linotype" w:hAnsi="Palatino Linotype" w:cs="Palatino Linotype"/>
          <w:sz w:val="24"/>
          <w:szCs w:val="24"/>
        </w:rPr>
        <w:lastRenderedPageBreak/>
        <w:t>artículo 196 de la Ley de Transparencia y Acceso a la Información Pública del Estado de México y Municipios.</w:t>
      </w: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D5686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FD4EE9">
        <w:rPr>
          <w:rFonts w:ascii="Palatino Linotype" w:eastAsia="Palatino Linotype" w:hAnsi="Palatino Linotype" w:cs="Palatino Linotype"/>
          <w:color w:val="000000"/>
          <w:sz w:val="24"/>
          <w:szCs w:val="24"/>
        </w:rPr>
        <w:t xml:space="preserve"> (AUSENCIA JUSTIFICADA)</w:t>
      </w:r>
      <w:r>
        <w:rPr>
          <w:rFonts w:ascii="Palatino Linotype" w:eastAsia="Palatino Linotype" w:hAnsi="Palatino Linotype" w:cs="Palatino Linotype"/>
          <w:color w:val="000000"/>
          <w:sz w:val="24"/>
          <w:szCs w:val="24"/>
        </w:rPr>
        <w:t>, LUIS GUSTAVO PARRA NORIEGA Y GUADALUPE RAMÍREZ PEÑA, EN LA CUADRAGÉSIMA QUINTA SESIÓN ORDINARIA CELEBRADA EL QUINCE DE DICIEMBRE DE DOS MIL VEINTIUNO, ANTE EL SECRETARIO TÉCNICO DEL PLENO, ALEXIS TAPIA RAMÍREZ.------------------------------------------------------------------------------------------------------------------------------------------------------------------------------------ ------------------------------------------------------------------------------------------------------------------------------------------------------------------------------------------------------------------------------------------------------------------------------------------------------------------------------------------------------------------------------------------------------------------------------------------------------------------------------------------------------------------------------------------------------------------------------------------------------------------------------------------------------------------------------------------------------------------------------------------------------------------------------------------------------------------------------------------------------------------------------------------------------------------------------------------------</w:t>
      </w:r>
      <w:r w:rsidR="00266018">
        <w:rPr>
          <w:rFonts w:ascii="Palatino Linotype" w:eastAsia="Palatino Linotype" w:hAnsi="Palatino Linotype" w:cs="Palatino Linotype"/>
          <w:color w:val="000000"/>
          <w:sz w:val="24"/>
          <w:szCs w:val="24"/>
        </w:rPr>
        <w:t>--------------------------------------------------</w:t>
      </w:r>
      <w:r w:rsidR="00FD4EE9">
        <w:rPr>
          <w:rFonts w:ascii="Palatino Linotype" w:eastAsia="Palatino Linotype" w:hAnsi="Palatino Linotype" w:cs="Palatino Linotype"/>
          <w:color w:val="000000"/>
          <w:sz w:val="24"/>
          <w:szCs w:val="24"/>
        </w:rPr>
        <w:t>----------------------</w:t>
      </w:r>
    </w:p>
    <w:p w:rsidR="00827DD2" w:rsidRDefault="00D5686D">
      <w:pPr>
        <w:pBdr>
          <w:top w:val="nil"/>
          <w:left w:val="nil"/>
          <w:bottom w:val="nil"/>
          <w:right w:val="nil"/>
          <w:between w:val="nil"/>
        </w:pBdr>
        <w:spacing w:after="0" w:line="276" w:lineRule="auto"/>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JMV/CCR/</w:t>
      </w:r>
      <w:proofErr w:type="spellStart"/>
      <w:r>
        <w:rPr>
          <w:rFonts w:ascii="Palatino Linotype" w:eastAsia="Palatino Linotype" w:hAnsi="Palatino Linotype" w:cs="Palatino Linotype"/>
          <w:color w:val="000000"/>
          <w:sz w:val="18"/>
          <w:szCs w:val="18"/>
        </w:rPr>
        <w:t>fzh</w:t>
      </w:r>
      <w:proofErr w:type="spellEnd"/>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827DD2">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27DD2" w:rsidRDefault="00827DD2">
      <w:pPr>
        <w:rPr>
          <w:rFonts w:ascii="Palatino Linotype" w:eastAsia="Palatino Linotype" w:hAnsi="Palatino Linotype" w:cs="Palatino Linotype"/>
          <w:sz w:val="24"/>
          <w:szCs w:val="24"/>
        </w:rPr>
      </w:pPr>
    </w:p>
    <w:sectPr w:rsidR="00827DD2">
      <w:headerReference w:type="even" r:id="rId30"/>
      <w:headerReference w:type="default" r:id="rId31"/>
      <w:footerReference w:type="default" r:id="rId32"/>
      <w:headerReference w:type="first" r:id="rId33"/>
      <w:footerReference w:type="first" r:id="rId34"/>
      <w:pgSz w:w="12240" w:h="15840"/>
      <w:pgMar w:top="2977" w:right="1418"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874" w:rsidRDefault="00244874">
      <w:pPr>
        <w:spacing w:after="0" w:line="240" w:lineRule="auto"/>
      </w:pPr>
      <w:r>
        <w:separator/>
      </w:r>
    </w:p>
  </w:endnote>
  <w:endnote w:type="continuationSeparator" w:id="0">
    <w:p w:rsidR="00244874" w:rsidRDefault="00244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D2" w:rsidRDefault="00D5686D">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5DA4">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5DA4">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rsidR="00827DD2" w:rsidRDefault="00827DD2">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D2" w:rsidRDefault="00D5686D">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5DA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5DA4">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rsidR="00827DD2" w:rsidRDefault="00827DD2">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874" w:rsidRDefault="00244874">
      <w:pPr>
        <w:spacing w:after="0" w:line="240" w:lineRule="auto"/>
      </w:pPr>
      <w:r>
        <w:separator/>
      </w:r>
    </w:p>
  </w:footnote>
  <w:footnote w:type="continuationSeparator" w:id="0">
    <w:p w:rsidR="00244874" w:rsidRDefault="00244874">
      <w:pPr>
        <w:spacing w:after="0" w:line="240" w:lineRule="auto"/>
      </w:pPr>
      <w:r>
        <w:continuationSeparator/>
      </w:r>
    </w:p>
  </w:footnote>
  <w:footnote w:id="1">
    <w:p w:rsidR="00827DD2" w:rsidRDefault="00D5686D">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 lo siguiente:</w:t>
      </w:r>
    </w:p>
    <w:p w:rsidR="00827DD2" w:rsidRDefault="00827DD2">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p>
    <w:p w:rsidR="00827DD2" w:rsidRDefault="00D5686D">
      <w:pPr>
        <w:jc w:val="both"/>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 xml:space="preserve">IMPROCEDENCIA Y SOBRESEIMIENTO EN EL JUICIO DE AMPARO. LAS CAUSAS PREVISTAS EN LOS ARTÍCULOS 73 Y 74 DE LA LEY DE LA MATERIA, RESPECTIVAMENTE, NO SON INCOMPATIBLES CON EL ARTÍCULO 25.1 DE LA CONVENCIÓN AMERICANA SOBRE DERECHOS HUMANOS. </w:t>
      </w:r>
    </w:p>
    <w:p w:rsidR="00827DD2" w:rsidRDefault="00D5686D">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Del examen de compatibilidad de los artículos </w:t>
      </w:r>
      <w:hyperlink r:id="rId1">
        <w:r>
          <w:rPr>
            <w:rFonts w:ascii="Palatino Linotype" w:eastAsia="Palatino Linotype" w:hAnsi="Palatino Linotype" w:cs="Palatino Linotype"/>
            <w:i/>
            <w:color w:val="000000"/>
            <w:sz w:val="18"/>
            <w:szCs w:val="18"/>
            <w:u w:val="single"/>
          </w:rPr>
          <w:t>73 y 74 de la Ley de Amparo</w:t>
        </w:r>
      </w:hyperlink>
      <w:r>
        <w:rPr>
          <w:rFonts w:ascii="Palatino Linotype" w:eastAsia="Palatino Linotype" w:hAnsi="Palatino Linotype" w:cs="Palatino Linotype"/>
          <w:i/>
          <w:sz w:val="18"/>
          <w:szCs w:val="18"/>
        </w:rPr>
        <w:t> con el artículo </w:t>
      </w:r>
      <w:hyperlink r:id="rId2">
        <w:r>
          <w:rPr>
            <w:rFonts w:ascii="Palatino Linotype" w:eastAsia="Palatino Linotype" w:hAnsi="Palatino Linotype" w:cs="Palatino Linotype"/>
            <w:i/>
            <w:color w:val="000000"/>
            <w:sz w:val="18"/>
            <w:szCs w:val="18"/>
            <w:u w:val="single"/>
          </w:rPr>
          <w:t>25.1 de la Convención Americana sobre Derechos Humanos</w:t>
        </w:r>
      </w:hyperlink>
      <w:r>
        <w:rPr>
          <w:rFonts w:ascii="Palatino Linotype" w:eastAsia="Palatino Linotype" w:hAnsi="Palatino Linotype" w:cs="Palatino Linotype"/>
          <w:i/>
          <w:sz w:val="18"/>
          <w:szCs w:val="18"/>
        </w:rPr>
        <w:t> </w:t>
      </w:r>
      <w:r>
        <w:rPr>
          <w:rFonts w:ascii="Palatino Linotype" w:eastAsia="Palatino Linotype" w:hAnsi="Palatino Linotype" w:cs="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D2" w:rsidRDefault="000D5DA4">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9214" w:type="dxa"/>
      <w:tblInd w:w="0" w:type="dxa"/>
      <w:tblLayout w:type="fixed"/>
      <w:tblLook w:val="0400" w:firstRow="0" w:lastRow="0" w:firstColumn="0" w:lastColumn="0" w:noHBand="0" w:noVBand="1"/>
    </w:tblPr>
    <w:tblGrid>
      <w:gridCol w:w="5103"/>
      <w:gridCol w:w="4111"/>
    </w:tblGrid>
    <w:tr w:rsidR="00827DD2">
      <w:trPr>
        <w:trHeight w:val="227"/>
      </w:trPr>
      <w:tc>
        <w:tcPr>
          <w:tcW w:w="5103" w:type="dxa"/>
        </w:tcPr>
        <w:p w:rsidR="00827DD2" w:rsidRDefault="00D5686D">
          <w:pPr>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111" w:type="dxa"/>
        </w:tcPr>
        <w:p w:rsidR="00827DD2" w:rsidRDefault="00D5686D">
          <w:pPr>
            <w:ind w:right="71"/>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05340/INFOEM/IP/RR/2021 y Acumulados</w:t>
          </w:r>
        </w:p>
      </w:tc>
    </w:tr>
    <w:tr w:rsidR="00827DD2">
      <w:trPr>
        <w:trHeight w:val="242"/>
      </w:trPr>
      <w:tc>
        <w:tcPr>
          <w:tcW w:w="5103" w:type="dxa"/>
        </w:tcPr>
        <w:p w:rsidR="00827DD2" w:rsidRDefault="00D5686D">
          <w:pPr>
            <w:spacing w:line="36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111" w:type="dxa"/>
        </w:tcPr>
        <w:p w:rsidR="00827DD2" w:rsidRDefault="00D5686D">
          <w:pPr>
            <w:ind w:right="71"/>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Metepec</w:t>
          </w:r>
        </w:p>
      </w:tc>
    </w:tr>
    <w:tr w:rsidR="00827DD2">
      <w:trPr>
        <w:trHeight w:val="342"/>
      </w:trPr>
      <w:tc>
        <w:tcPr>
          <w:tcW w:w="5103" w:type="dxa"/>
        </w:tcPr>
        <w:p w:rsidR="00827DD2" w:rsidRDefault="00D5686D">
          <w:pPr>
            <w:tabs>
              <w:tab w:val="left" w:pos="4892"/>
            </w:tabs>
            <w:spacing w:line="36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Comisionado Ponente:</w:t>
          </w:r>
        </w:p>
      </w:tc>
      <w:tc>
        <w:tcPr>
          <w:tcW w:w="4111" w:type="dxa"/>
        </w:tcPr>
        <w:p w:rsidR="00827DD2" w:rsidRDefault="00D5686D">
          <w:pPr>
            <w:spacing w:line="360" w:lineRule="auto"/>
            <w:ind w:left="-486" w:right="71"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José Martínez Vilchis</w:t>
          </w:r>
        </w:p>
      </w:tc>
    </w:tr>
  </w:tbl>
  <w:p w:rsidR="00827DD2" w:rsidRDefault="000D5DA4">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8.5pt;margin-top:-141.6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9214" w:type="dxa"/>
      <w:tblInd w:w="0" w:type="dxa"/>
      <w:tblLayout w:type="fixed"/>
      <w:tblLook w:val="0400" w:firstRow="0" w:lastRow="0" w:firstColumn="0" w:lastColumn="0" w:noHBand="0" w:noVBand="1"/>
    </w:tblPr>
    <w:tblGrid>
      <w:gridCol w:w="5103"/>
      <w:gridCol w:w="4111"/>
    </w:tblGrid>
    <w:tr w:rsidR="00827DD2">
      <w:trPr>
        <w:trHeight w:val="227"/>
      </w:trPr>
      <w:tc>
        <w:tcPr>
          <w:tcW w:w="5103" w:type="dxa"/>
        </w:tcPr>
        <w:p w:rsidR="00827DD2" w:rsidRDefault="00D5686D">
          <w:pPr>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111" w:type="dxa"/>
        </w:tcPr>
        <w:p w:rsidR="00827DD2" w:rsidRDefault="00D5686D">
          <w:pPr>
            <w:ind w:left="-486" w:right="68" w:firstLine="55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05340/INFOEM/IP/RR/2021 y Acumulados</w:t>
          </w:r>
        </w:p>
      </w:tc>
    </w:tr>
    <w:tr w:rsidR="00827DD2">
      <w:trPr>
        <w:trHeight w:val="196"/>
      </w:trPr>
      <w:tc>
        <w:tcPr>
          <w:tcW w:w="5103" w:type="dxa"/>
        </w:tcPr>
        <w:p w:rsidR="00827DD2" w:rsidRDefault="00D5686D">
          <w:pPr>
            <w:spacing w:line="36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111" w:type="dxa"/>
        </w:tcPr>
        <w:p w:rsidR="00827DD2" w:rsidRDefault="000D5DA4">
          <w:pPr>
            <w:spacing w:line="360" w:lineRule="auto"/>
            <w:ind w:right="68"/>
            <w:jc w:val="right"/>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sz w:val="24"/>
              <w:szCs w:val="24"/>
            </w:rPr>
            <w:t>xxxx</w:t>
          </w:r>
          <w:proofErr w:type="spellEnd"/>
        </w:p>
      </w:tc>
    </w:tr>
    <w:tr w:rsidR="00827DD2">
      <w:trPr>
        <w:trHeight w:val="242"/>
      </w:trPr>
      <w:tc>
        <w:tcPr>
          <w:tcW w:w="5103" w:type="dxa"/>
        </w:tcPr>
        <w:p w:rsidR="00827DD2" w:rsidRDefault="00D5686D">
          <w:pPr>
            <w:spacing w:line="36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111" w:type="dxa"/>
        </w:tcPr>
        <w:p w:rsidR="00827DD2" w:rsidRDefault="00D5686D">
          <w:pPr>
            <w:ind w:left="-70" w:right="6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Metepec</w:t>
          </w:r>
        </w:p>
      </w:tc>
    </w:tr>
    <w:tr w:rsidR="00827DD2">
      <w:trPr>
        <w:trHeight w:val="342"/>
      </w:trPr>
      <w:tc>
        <w:tcPr>
          <w:tcW w:w="5103" w:type="dxa"/>
        </w:tcPr>
        <w:p w:rsidR="00827DD2" w:rsidRDefault="00D5686D">
          <w:pPr>
            <w:tabs>
              <w:tab w:val="left" w:pos="4892"/>
            </w:tabs>
            <w:spacing w:line="36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Comisionado Ponente:</w:t>
          </w:r>
        </w:p>
      </w:tc>
      <w:tc>
        <w:tcPr>
          <w:tcW w:w="4111" w:type="dxa"/>
        </w:tcPr>
        <w:p w:rsidR="00827DD2" w:rsidRDefault="00D5686D">
          <w:pPr>
            <w:spacing w:line="360" w:lineRule="auto"/>
            <w:ind w:left="-486" w:right="68"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José Martínez Vilchis</w:t>
          </w:r>
        </w:p>
      </w:tc>
    </w:tr>
  </w:tbl>
  <w:p w:rsidR="00827DD2" w:rsidRDefault="000D5DA4">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77.9pt;margin-top:-147.7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A337A"/>
    <w:multiLevelType w:val="multilevel"/>
    <w:tmpl w:val="187EE820"/>
    <w:lvl w:ilvl="0">
      <w:start w:val="1"/>
      <w:numFmt w:val="decimal"/>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7724B84"/>
    <w:multiLevelType w:val="multilevel"/>
    <w:tmpl w:val="993E609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DD2"/>
    <w:rsid w:val="000D5DA4"/>
    <w:rsid w:val="00244874"/>
    <w:rsid w:val="00266018"/>
    <w:rsid w:val="00827DD2"/>
    <w:rsid w:val="00D5686D"/>
    <w:rsid w:val="00FD4E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6CF944F-076D-4503-B6CD-57A7202FA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37"/>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3">
    <w:basedOn w:val="TableNormal0"/>
    <w:pPr>
      <w:spacing w:after="0" w:line="240" w:lineRule="auto"/>
    </w:pPr>
    <w:tblPr>
      <w:tblStyleRowBandSize w:val="1"/>
      <w:tblStyleColBandSize w:val="1"/>
      <w:tblCellMar>
        <w:top w:w="0" w:type="dxa"/>
        <w:left w:w="70" w:type="dxa"/>
        <w:bottom w:w="0" w:type="dxa"/>
        <w:right w:w="70" w:type="dxa"/>
      </w:tblCellMar>
    </w:tblPr>
  </w:style>
  <w:style w:type="table" w:customStyle="1" w:styleId="a4">
    <w:basedOn w:val="TableNormal0"/>
    <w:pPr>
      <w:spacing w:after="0" w:line="240" w:lineRule="auto"/>
    </w:pPr>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9.png"/><Relationship Id="rId18" Type="http://schemas.openxmlformats.org/officeDocument/2006/relationships/image" Target="media/image1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8.png"/><Relationship Id="rId34"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7.png"/><Relationship Id="rId20" Type="http://schemas.openxmlformats.org/officeDocument/2006/relationships/image" Target="media/image5.png"/><Relationship Id="rId29" Type="http://schemas.openxmlformats.org/officeDocument/2006/relationships/hyperlink" Target="http://www.osfem.gob.mx"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9" Type="http://schemas.openxmlformats.org/officeDocument/2006/relationships/image" Target="media/image2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M9nN4QwWlnGQ/EdMKBKdi0sN0g==">AMUW2mWj/nMvHb9oNIgWurUpqKZqllzf2KLizFp7bh4l0JzyidGtIY+pYJ95Crbr9OW2XamlVesTOEXkRx77CEMsUIPysO3aTafE0gOj5n0pPV2CnbpYjfHKYdGjbcb6wxdbjVlxXXUw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7789</Words>
  <Characters>42845</Characters>
  <Application>Microsoft Office Word</Application>
  <DocSecurity>0</DocSecurity>
  <Lines>357</Lines>
  <Paragraphs>101</Paragraphs>
  <ScaleCrop>false</ScaleCrop>
  <Company/>
  <LinksUpToDate>false</LinksUpToDate>
  <CharactersWithSpaces>50533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USUARIO-INFOEM</cp:lastModifiedBy>
  <cp:revision>4</cp:revision>
  <dcterms:created xsi:type="dcterms:W3CDTF">2021-11-30T02:12:00Z</dcterms:created>
  <dcterms:modified xsi:type="dcterms:W3CDTF">2022-01-11T20:41:00Z</dcterms:modified>
</cp:coreProperties>
</file>