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A51DD" w14:textId="77777777" w:rsidR="00806132" w:rsidRPr="00F67C70" w:rsidRDefault="009F2361">
      <w:pPr>
        <w:spacing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de fecha veintiocho de abril de dos mil veintiuno.</w:t>
      </w:r>
    </w:p>
    <w:p w14:paraId="0A138AE4" w14:textId="15A73812" w:rsidR="00806132" w:rsidRPr="00F67C70" w:rsidRDefault="009F2361">
      <w:pPr>
        <w:spacing w:before="280"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b/>
        </w:rPr>
        <w:t>VISTO</w:t>
      </w:r>
      <w:r w:rsidRPr="00F67C70">
        <w:rPr>
          <w:rFonts w:ascii="Palatino Linotype" w:eastAsia="Palatino Linotype" w:hAnsi="Palatino Linotype" w:cs="Palatino Linotype"/>
        </w:rPr>
        <w:t xml:space="preserve"> el expediente formado con motivo del recurso de revisión </w:t>
      </w:r>
      <w:r w:rsidRPr="00F67C70">
        <w:rPr>
          <w:rFonts w:ascii="Palatino Linotype" w:eastAsia="Palatino Linotype" w:hAnsi="Palatino Linotype" w:cs="Palatino Linotype"/>
          <w:b/>
        </w:rPr>
        <w:t>01282/INFOEM/IP/RR/2021</w:t>
      </w:r>
      <w:r w:rsidRPr="00F67C70">
        <w:rPr>
          <w:rFonts w:ascii="Palatino Linotype" w:eastAsia="Palatino Linotype" w:hAnsi="Palatino Linotype" w:cs="Palatino Linotype"/>
        </w:rPr>
        <w:t>, promovid</w:t>
      </w:r>
      <w:bookmarkStart w:id="0" w:name="_GoBack"/>
      <w:bookmarkEnd w:id="0"/>
      <w:r w:rsidRPr="00F67C70">
        <w:rPr>
          <w:rFonts w:ascii="Palatino Linotype" w:eastAsia="Palatino Linotype" w:hAnsi="Palatino Linotype" w:cs="Palatino Linotype"/>
        </w:rPr>
        <w:t xml:space="preserve">o por el C. </w:t>
      </w:r>
      <w:r w:rsidR="00F94FC4">
        <w:rPr>
          <w:rFonts w:ascii="Palatino Linotype" w:eastAsia="Palatino Linotype" w:hAnsi="Palatino Linotype" w:cs="Palatino Linotype"/>
          <w:b/>
        </w:rPr>
        <w:t>XXXXXX</w:t>
      </w:r>
      <w:r w:rsidRPr="00F67C70">
        <w:rPr>
          <w:rFonts w:ascii="Palatino Linotype" w:eastAsia="Palatino Linotype" w:hAnsi="Palatino Linotype" w:cs="Palatino Linotype"/>
          <w:b/>
        </w:rPr>
        <w:t xml:space="preserve">, </w:t>
      </w:r>
      <w:r w:rsidRPr="00F67C70">
        <w:rPr>
          <w:rFonts w:ascii="Palatino Linotype" w:eastAsia="Palatino Linotype" w:hAnsi="Palatino Linotype" w:cs="Palatino Linotype"/>
        </w:rPr>
        <w:t xml:space="preserve">a quien en lo sucesivo se le denominará </w:t>
      </w:r>
      <w:r w:rsidRPr="00F67C70">
        <w:rPr>
          <w:rFonts w:ascii="Palatino Linotype" w:eastAsia="Palatino Linotype" w:hAnsi="Palatino Linotype" w:cs="Palatino Linotype"/>
          <w:b/>
        </w:rPr>
        <w:t>EL RECURRENTE</w:t>
      </w:r>
      <w:r w:rsidRPr="00F67C70">
        <w:rPr>
          <w:rFonts w:ascii="Palatino Linotype" w:eastAsia="Palatino Linotype" w:hAnsi="Palatino Linotype" w:cs="Palatino Linotype"/>
        </w:rPr>
        <w:t xml:space="preserve">, en contra de la respuesta emitida por el </w:t>
      </w:r>
      <w:r w:rsidRPr="00F67C70">
        <w:rPr>
          <w:rFonts w:ascii="Palatino Linotype" w:eastAsia="Palatino Linotype" w:hAnsi="Palatino Linotype" w:cs="Palatino Linotype"/>
          <w:b/>
        </w:rPr>
        <w:t>Ayuntamiento de Texcoco,</w:t>
      </w:r>
      <w:r w:rsidRPr="00F67C70">
        <w:rPr>
          <w:rFonts w:ascii="Palatino Linotype" w:eastAsia="Palatino Linotype" w:hAnsi="Palatino Linotype" w:cs="Palatino Linotype"/>
        </w:rPr>
        <w:t xml:space="preserve"> en lo sucesivo </w:t>
      </w:r>
      <w:r w:rsidRPr="00F67C70">
        <w:rPr>
          <w:rFonts w:ascii="Palatino Linotype" w:eastAsia="Palatino Linotype" w:hAnsi="Palatino Linotype" w:cs="Palatino Linotype"/>
          <w:b/>
        </w:rPr>
        <w:t>EL SUJETO OBLIGADO</w:t>
      </w:r>
      <w:r w:rsidRPr="00F67C70">
        <w:rPr>
          <w:rFonts w:ascii="Palatino Linotype" w:eastAsia="Palatino Linotype" w:hAnsi="Palatino Linotype" w:cs="Palatino Linotype"/>
        </w:rPr>
        <w:t xml:space="preserve">, se procede a dictar la presente resolución con base en lo siguiente: </w:t>
      </w:r>
    </w:p>
    <w:p w14:paraId="2AC40D31" w14:textId="77777777" w:rsidR="00806132" w:rsidRPr="00F67C70" w:rsidRDefault="009F2361">
      <w:pPr>
        <w:spacing w:before="280" w:after="280" w:line="360" w:lineRule="auto"/>
        <w:jc w:val="center"/>
        <w:rPr>
          <w:rFonts w:ascii="Palatino Linotype" w:eastAsia="Palatino Linotype" w:hAnsi="Palatino Linotype" w:cs="Palatino Linotype"/>
          <w:b/>
          <w:sz w:val="28"/>
          <w:szCs w:val="28"/>
        </w:rPr>
      </w:pPr>
      <w:r w:rsidRPr="00F67C70">
        <w:rPr>
          <w:rFonts w:ascii="Palatino Linotype" w:eastAsia="Palatino Linotype" w:hAnsi="Palatino Linotype" w:cs="Palatino Linotype"/>
          <w:b/>
          <w:sz w:val="28"/>
          <w:szCs w:val="28"/>
        </w:rPr>
        <w:t>RESULTANDO</w:t>
      </w:r>
    </w:p>
    <w:p w14:paraId="3E3AEBC4" w14:textId="77777777" w:rsidR="00806132" w:rsidRPr="00F67C70" w:rsidRDefault="009F2361">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b/>
          <w:color w:val="000000"/>
        </w:rPr>
      </w:pPr>
      <w:r w:rsidRPr="00F67C70">
        <w:rPr>
          <w:rFonts w:ascii="Palatino Linotype" w:eastAsia="Palatino Linotype" w:hAnsi="Palatino Linotype" w:cs="Palatino Linotype"/>
          <w:b/>
          <w:color w:val="000000"/>
          <w:sz w:val="28"/>
          <w:szCs w:val="28"/>
        </w:rPr>
        <w:t>I.</w:t>
      </w:r>
      <w:r w:rsidRPr="00F67C70">
        <w:rPr>
          <w:rFonts w:ascii="Palatino Linotype" w:eastAsia="Palatino Linotype" w:hAnsi="Palatino Linotype" w:cs="Palatino Linotype"/>
          <w:color w:val="000000"/>
        </w:rPr>
        <w:t xml:space="preserve"> En fecha diez de marzo de dos mil veintiuno, </w:t>
      </w:r>
      <w:r w:rsidRPr="00F67C70">
        <w:rPr>
          <w:rFonts w:ascii="Palatino Linotype" w:eastAsia="Palatino Linotype" w:hAnsi="Palatino Linotype" w:cs="Palatino Linotype"/>
          <w:b/>
          <w:color w:val="000000"/>
        </w:rPr>
        <w:t>EL RECURRENTE</w:t>
      </w:r>
      <w:r w:rsidRPr="00F67C70">
        <w:rPr>
          <w:rFonts w:ascii="Palatino Linotype" w:eastAsia="Palatino Linotype" w:hAnsi="Palatino Linotype" w:cs="Palatino Linotype"/>
          <w:color w:val="000000"/>
        </w:rPr>
        <w:t xml:space="preserve"> presentó a través del Sistema de Acceso a la Información Mexiquense, en lo subsecuente </w:t>
      </w:r>
      <w:r w:rsidRPr="00F67C70">
        <w:rPr>
          <w:rFonts w:ascii="Palatino Linotype" w:eastAsia="Palatino Linotype" w:hAnsi="Palatino Linotype" w:cs="Palatino Linotype"/>
          <w:b/>
          <w:color w:val="000000"/>
        </w:rPr>
        <w:t>EL SAIMEX,</w:t>
      </w:r>
      <w:r w:rsidRPr="00F67C70">
        <w:rPr>
          <w:rFonts w:ascii="Palatino Linotype" w:eastAsia="Palatino Linotype" w:hAnsi="Palatino Linotype" w:cs="Palatino Linotype"/>
          <w:color w:val="000000"/>
        </w:rPr>
        <w:t xml:space="preserve"> ante </w:t>
      </w:r>
      <w:r w:rsidRPr="00F67C70">
        <w:rPr>
          <w:rFonts w:ascii="Palatino Linotype" w:eastAsia="Palatino Linotype" w:hAnsi="Palatino Linotype" w:cs="Palatino Linotype"/>
          <w:b/>
          <w:color w:val="000000"/>
        </w:rPr>
        <w:t>EL SUJETO OBLIGADO</w:t>
      </w:r>
      <w:r w:rsidRPr="00F67C70">
        <w:rPr>
          <w:rFonts w:ascii="Palatino Linotype" w:eastAsia="Palatino Linotype" w:hAnsi="Palatino Linotype" w:cs="Palatino Linotype"/>
          <w:color w:val="000000"/>
        </w:rPr>
        <w:t xml:space="preserve">, la solicitud de acceso a la información pública, a la que se le asignó el número </w:t>
      </w:r>
      <w:r w:rsidRPr="00F67C70">
        <w:rPr>
          <w:rFonts w:ascii="Palatino Linotype" w:eastAsia="Palatino Linotype" w:hAnsi="Palatino Linotype" w:cs="Palatino Linotype"/>
          <w:b/>
          <w:color w:val="000000"/>
        </w:rPr>
        <w:t>00119/TEXCOCO/IP/2021,</w:t>
      </w:r>
      <w:r w:rsidRPr="00F67C70">
        <w:rPr>
          <w:rFonts w:ascii="Palatino Linotype" w:eastAsia="Palatino Linotype" w:hAnsi="Palatino Linotype" w:cs="Palatino Linotype"/>
          <w:color w:val="000000"/>
        </w:rPr>
        <w:t xml:space="preserve"> mediante la cual requirió, lo siguiente:</w:t>
      </w:r>
    </w:p>
    <w:p w14:paraId="7573854F" w14:textId="77777777" w:rsidR="00806132" w:rsidRPr="00F67C70" w:rsidRDefault="009F2361">
      <w:pPr>
        <w:spacing w:before="280" w:after="280"/>
        <w:ind w:left="709" w:right="709"/>
        <w:jc w:val="both"/>
        <w:rPr>
          <w:rFonts w:ascii="Palatino Linotype" w:eastAsia="Palatino Linotype" w:hAnsi="Palatino Linotype" w:cs="Palatino Linotype"/>
          <w:i/>
          <w:sz w:val="22"/>
          <w:szCs w:val="22"/>
        </w:rPr>
      </w:pPr>
      <w:bookmarkStart w:id="1" w:name="_gjdgxs" w:colFirst="0" w:colLast="0"/>
      <w:bookmarkEnd w:id="1"/>
      <w:r w:rsidRPr="00F67C70">
        <w:rPr>
          <w:rFonts w:ascii="Palatino Linotype" w:eastAsia="Palatino Linotype" w:hAnsi="Palatino Linotype" w:cs="Palatino Linotype"/>
          <w:i/>
          <w:sz w:val="22"/>
          <w:szCs w:val="22"/>
        </w:rPr>
        <w:t>“manifestar cualquier erogación relativa al parque municipal denominado alameda, del $$1 de enero de 2021 al 10 de marzo de 2021.” (Sic)</w:t>
      </w:r>
    </w:p>
    <w:p w14:paraId="6BCE0FFF" w14:textId="77777777" w:rsidR="00806132" w:rsidRPr="00F67C70" w:rsidRDefault="009F2361">
      <w:pPr>
        <w:spacing w:before="280" w:after="280"/>
        <w:ind w:right="709"/>
        <w:jc w:val="both"/>
        <w:rPr>
          <w:rFonts w:ascii="Palatino Linotype" w:eastAsia="Palatino Linotype" w:hAnsi="Palatino Linotype" w:cs="Palatino Linotype"/>
          <w:b/>
          <w:sz w:val="22"/>
          <w:szCs w:val="22"/>
        </w:rPr>
      </w:pPr>
      <w:r w:rsidRPr="00F67C70">
        <w:rPr>
          <w:rFonts w:ascii="Palatino Linotype" w:eastAsia="Palatino Linotype" w:hAnsi="Palatino Linotype" w:cs="Palatino Linotype"/>
          <w:b/>
          <w:sz w:val="22"/>
          <w:szCs w:val="22"/>
        </w:rPr>
        <w:t xml:space="preserve">Modalidad de entrega: </w:t>
      </w:r>
      <w:r w:rsidRPr="00F67C70">
        <w:rPr>
          <w:rFonts w:ascii="Palatino Linotype" w:eastAsia="Palatino Linotype" w:hAnsi="Palatino Linotype" w:cs="Palatino Linotype"/>
          <w:sz w:val="22"/>
          <w:szCs w:val="22"/>
        </w:rPr>
        <w:t xml:space="preserve">vía </w:t>
      </w:r>
      <w:r w:rsidRPr="00F67C70">
        <w:rPr>
          <w:rFonts w:ascii="Palatino Linotype" w:eastAsia="Palatino Linotype" w:hAnsi="Palatino Linotype" w:cs="Palatino Linotype"/>
          <w:b/>
          <w:sz w:val="22"/>
          <w:szCs w:val="22"/>
        </w:rPr>
        <w:t>SAIMEX</w:t>
      </w:r>
    </w:p>
    <w:p w14:paraId="5B48A3D8" w14:textId="77777777" w:rsidR="00806132" w:rsidRPr="00F67C70" w:rsidRDefault="009F2361">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II.</w:t>
      </w:r>
      <w:r w:rsidRPr="00F67C70">
        <w:rPr>
          <w:rFonts w:ascii="Palatino Linotype" w:eastAsia="Palatino Linotype" w:hAnsi="Palatino Linotype" w:cs="Palatino Linotype"/>
          <w:color w:val="000000"/>
        </w:rPr>
        <w:t xml:space="preserve"> De conformidad con lo establecido en el artículo 162 de la Ley de Transparencia y Acceso a la Información Pública del Estado de México y Municipios, el doce de marzo de dos mil veintiuno, el Titular de la Unidad de Transparencia del </w:t>
      </w:r>
      <w:r w:rsidRPr="00F67C70">
        <w:rPr>
          <w:rFonts w:ascii="Palatino Linotype" w:eastAsia="Palatino Linotype" w:hAnsi="Palatino Linotype" w:cs="Palatino Linotype"/>
          <w:b/>
          <w:color w:val="000000"/>
        </w:rPr>
        <w:t>SUJETO OBLIGADO</w:t>
      </w:r>
      <w:r w:rsidRPr="00F67C70">
        <w:rPr>
          <w:rFonts w:ascii="Palatino Linotype" w:eastAsia="Palatino Linotype" w:hAnsi="Palatino Linotype" w:cs="Palatino Linotype"/>
          <w:color w:val="000000"/>
        </w:rPr>
        <w:t xml:space="preserve">, turnó el requerimiento de información al Servidor Público Habilitado </w:t>
      </w:r>
      <w:r w:rsidRPr="00F67C70">
        <w:rPr>
          <w:rFonts w:ascii="Palatino Linotype" w:eastAsia="Palatino Linotype" w:hAnsi="Palatino Linotype" w:cs="Palatino Linotype"/>
          <w:color w:val="000000"/>
        </w:rPr>
        <w:lastRenderedPageBreak/>
        <w:t>que estimó competente, a efecto de que realizaran la búsqueda y localización de la información; tal como se desprende a continuación:</w:t>
      </w:r>
    </w:p>
    <w:p w14:paraId="0CC27934" w14:textId="77777777" w:rsidR="00806132" w:rsidRPr="00F67C70" w:rsidRDefault="009F2361">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F67C70">
        <w:rPr>
          <w:noProof/>
          <w:color w:val="000000"/>
        </w:rPr>
        <w:drawing>
          <wp:inline distT="0" distB="0" distL="0" distR="0" wp14:anchorId="4C1C05FD" wp14:editId="6A1E97D2">
            <wp:extent cx="5369832" cy="6903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4306" t="39143" r="9080" b="44258"/>
                    <a:stretch>
                      <a:fillRect/>
                    </a:stretch>
                  </pic:blipFill>
                  <pic:spPr>
                    <a:xfrm>
                      <a:off x="0" y="0"/>
                      <a:ext cx="5369832" cy="690385"/>
                    </a:xfrm>
                    <a:prstGeom prst="rect">
                      <a:avLst/>
                    </a:prstGeom>
                    <a:ln/>
                  </pic:spPr>
                </pic:pic>
              </a:graphicData>
            </a:graphic>
          </wp:inline>
        </w:drawing>
      </w:r>
    </w:p>
    <w:p w14:paraId="1BB06A4D" w14:textId="77777777" w:rsidR="00806132" w:rsidRPr="00F67C70" w:rsidRDefault="009F2361">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III.</w:t>
      </w:r>
      <w:r w:rsidRPr="00F67C70">
        <w:rPr>
          <w:rFonts w:ascii="Palatino Linotype" w:eastAsia="Palatino Linotype" w:hAnsi="Palatino Linotype" w:cs="Palatino Linotype"/>
          <w:color w:val="000000"/>
        </w:rPr>
        <w:t xml:space="preserve"> Posteriormente, el día diecinueve de marzo de dos mil veintiuno, </w:t>
      </w:r>
      <w:r w:rsidRPr="00F67C70">
        <w:rPr>
          <w:rFonts w:ascii="Palatino Linotype" w:eastAsia="Palatino Linotype" w:hAnsi="Palatino Linotype" w:cs="Palatino Linotype"/>
          <w:b/>
          <w:color w:val="000000"/>
        </w:rPr>
        <w:t>EL SUJETO OBLIGADO</w:t>
      </w:r>
      <w:r w:rsidRPr="00F67C70">
        <w:rPr>
          <w:rFonts w:ascii="Palatino Linotype" w:eastAsia="Palatino Linotype" w:hAnsi="Palatino Linotype" w:cs="Palatino Linotype"/>
          <w:color w:val="000000"/>
        </w:rPr>
        <w:t xml:space="preserve"> dio respuesta a la solicitud de acceso a la información pública requerida por </w:t>
      </w:r>
      <w:r w:rsidRPr="00F67C70">
        <w:rPr>
          <w:rFonts w:ascii="Palatino Linotype" w:eastAsia="Palatino Linotype" w:hAnsi="Palatino Linotype" w:cs="Palatino Linotype"/>
          <w:b/>
          <w:color w:val="000000"/>
        </w:rPr>
        <w:t>EL RECURRENTE</w:t>
      </w:r>
      <w:r w:rsidRPr="00F67C70">
        <w:rPr>
          <w:rFonts w:ascii="Palatino Linotype" w:eastAsia="Palatino Linotype" w:hAnsi="Palatino Linotype" w:cs="Palatino Linotype"/>
          <w:color w:val="000000"/>
        </w:rPr>
        <w:t>, adjuntando el archivo electrónico, cuyo contenido se inserta a continuación:</w:t>
      </w:r>
    </w:p>
    <w:p w14:paraId="59EADE78" w14:textId="77777777" w:rsidR="00806132" w:rsidRPr="00F67C70" w:rsidRDefault="009F2361">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color w:val="000000"/>
        </w:rPr>
      </w:pPr>
      <w:r w:rsidRPr="00F67C70">
        <w:rPr>
          <w:noProof/>
          <w:color w:val="000000"/>
        </w:rPr>
        <w:drawing>
          <wp:inline distT="0" distB="0" distL="0" distR="0" wp14:anchorId="32B3361F" wp14:editId="20300D25">
            <wp:extent cx="4627792" cy="4139961"/>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6432" t="23615" r="31586" b="9585"/>
                    <a:stretch>
                      <a:fillRect/>
                    </a:stretch>
                  </pic:blipFill>
                  <pic:spPr>
                    <a:xfrm>
                      <a:off x="0" y="0"/>
                      <a:ext cx="4627792" cy="4139961"/>
                    </a:xfrm>
                    <a:prstGeom prst="rect">
                      <a:avLst/>
                    </a:prstGeom>
                    <a:ln/>
                  </pic:spPr>
                </pic:pic>
              </a:graphicData>
            </a:graphic>
          </wp:inline>
        </w:drawing>
      </w:r>
    </w:p>
    <w:p w14:paraId="22657AE9" w14:textId="77777777" w:rsidR="00806132" w:rsidRPr="00F67C70" w:rsidRDefault="009F2361">
      <w:pPr>
        <w:pBdr>
          <w:top w:val="nil"/>
          <w:left w:val="nil"/>
          <w:bottom w:val="nil"/>
          <w:right w:val="nil"/>
          <w:between w:val="nil"/>
        </w:pBdr>
        <w:tabs>
          <w:tab w:val="left" w:pos="709"/>
        </w:tabs>
        <w:spacing w:before="28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lastRenderedPageBreak/>
        <w:t xml:space="preserve">IV. </w:t>
      </w:r>
      <w:r w:rsidRPr="00F67C70">
        <w:rPr>
          <w:rFonts w:ascii="Palatino Linotype" w:eastAsia="Palatino Linotype" w:hAnsi="Palatino Linotype" w:cs="Palatino Linotype"/>
          <w:color w:val="000000"/>
        </w:rPr>
        <w:t xml:space="preserve">Inconforme con la respuesta del </w:t>
      </w:r>
      <w:r w:rsidRPr="00F67C70">
        <w:rPr>
          <w:rFonts w:ascii="Palatino Linotype" w:eastAsia="Palatino Linotype" w:hAnsi="Palatino Linotype" w:cs="Palatino Linotype"/>
          <w:b/>
          <w:color w:val="000000"/>
        </w:rPr>
        <w:t>SUJETO OBLIGADO</w:t>
      </w:r>
      <w:r w:rsidRPr="00F67C70">
        <w:rPr>
          <w:rFonts w:ascii="Palatino Linotype" w:eastAsia="Palatino Linotype" w:hAnsi="Palatino Linotype" w:cs="Palatino Linotype"/>
          <w:color w:val="000000"/>
        </w:rPr>
        <w:t xml:space="preserve">, en fecha veintidós de marzo de dos mil veintiuno, </w:t>
      </w:r>
      <w:r w:rsidRPr="00F67C70">
        <w:rPr>
          <w:rFonts w:ascii="Palatino Linotype" w:eastAsia="Palatino Linotype" w:hAnsi="Palatino Linotype" w:cs="Palatino Linotype"/>
          <w:b/>
          <w:color w:val="000000"/>
        </w:rPr>
        <w:t>EL RECURRENTE</w:t>
      </w:r>
      <w:r w:rsidRPr="00F67C70">
        <w:rPr>
          <w:rFonts w:ascii="Palatino Linotype" w:eastAsia="Palatino Linotype" w:hAnsi="Palatino Linotype" w:cs="Palatino Linotype"/>
          <w:color w:val="000000"/>
        </w:rPr>
        <w:t>, a través del</w:t>
      </w:r>
      <w:r w:rsidRPr="00F67C70">
        <w:rPr>
          <w:rFonts w:ascii="Palatino Linotype" w:eastAsia="Palatino Linotype" w:hAnsi="Palatino Linotype" w:cs="Palatino Linotype"/>
          <w:b/>
          <w:color w:val="000000"/>
        </w:rPr>
        <w:t xml:space="preserve"> SAIMEX, </w:t>
      </w:r>
      <w:r w:rsidRPr="00F67C70">
        <w:rPr>
          <w:rFonts w:ascii="Palatino Linotype" w:eastAsia="Palatino Linotype" w:hAnsi="Palatino Linotype" w:cs="Palatino Linotype"/>
          <w:color w:val="000000"/>
        </w:rPr>
        <w:t>interpuso el recurso de revisión objeto del presente estudio, al que se le asignó el número al rubro citado, en el que señaló como acto impugnado:</w:t>
      </w:r>
    </w:p>
    <w:p w14:paraId="2A2903E7" w14:textId="77777777" w:rsidR="00806132" w:rsidRPr="00F67C70" w:rsidRDefault="009F2361">
      <w:pPr>
        <w:spacing w:before="280" w:after="280"/>
        <w:ind w:left="709" w:right="70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“contestación a la solicitud de información.” (Sic)</w:t>
      </w:r>
    </w:p>
    <w:p w14:paraId="028784CC" w14:textId="77777777" w:rsidR="00806132" w:rsidRPr="00F67C70" w:rsidRDefault="009F2361">
      <w:p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Asimismo, indicó como razones o motivos de inconformidad:</w:t>
      </w:r>
    </w:p>
    <w:p w14:paraId="23FE2B5A" w14:textId="77777777" w:rsidR="00806132" w:rsidRPr="00F67C70" w:rsidRDefault="009F2361">
      <w:pPr>
        <w:spacing w:before="280" w:after="280"/>
        <w:ind w:left="709" w:right="70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“la titular de tesorería solicita mayor precisión para atender la solicitud de información, como se puede leer en la siguiente transcripción; Al respecto, solicito de la manera más atenta, pueda aclararme ¿ A que erogación se refiere? Dado a que su requerimiento no es conciso y claro. Sin otro particular, es grato quedar de usted como una segura servidora. se procede a precisar, (aunque se considera una traba a la solicitud de acceso). se entiende por erogación: Salida de dinero o gasto de un presupuesto: “El total de las erogaciones anuales suma más de cien millones de pesos”, “El gobierno debe ejercer un mayor control sobre sus erogaciones” En el mismo orden de ideas, cualquier gasto que se efectuó relativo a la alameda municipal, es decir si se ejerció presupuesto para mantener limpia la zona, para podar arboles, adquisición de nueva vegetación, para realizar mejoras en el alumbrado publico, fuentes etc, Es decir; cualquier gasto directo o indirecto relacionado con el parque municipal,.” (Sic)</w:t>
      </w:r>
    </w:p>
    <w:p w14:paraId="68D1D9BC" w14:textId="77777777" w:rsidR="00806132" w:rsidRPr="00F67C70" w:rsidRDefault="009F2361">
      <w:pPr>
        <w:widowControl w:val="0"/>
        <w:pBdr>
          <w:top w:val="nil"/>
          <w:left w:val="nil"/>
          <w:bottom w:val="nil"/>
          <w:right w:val="nil"/>
          <w:between w:val="nil"/>
        </w:pBdr>
        <w:tabs>
          <w:tab w:val="left" w:pos="0"/>
        </w:tabs>
        <w:spacing w:before="280" w:after="280" w:line="360" w:lineRule="auto"/>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b/>
          <w:color w:val="000000"/>
          <w:sz w:val="28"/>
          <w:szCs w:val="28"/>
        </w:rPr>
        <w:t>V.</w:t>
      </w:r>
      <w:r w:rsidRPr="00F67C70">
        <w:rPr>
          <w:rFonts w:ascii="Palatino Linotype" w:eastAsia="Palatino Linotype" w:hAnsi="Palatino Linotype" w:cs="Palatino Linotype"/>
          <w:color w:val="000000"/>
        </w:rPr>
        <w:t xml:space="preserve"> En fecha veintidós de marzo de dos mil veintiuno, el recurso de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a través del </w:t>
      </w:r>
      <w:r w:rsidRPr="00F67C70">
        <w:rPr>
          <w:rFonts w:ascii="Palatino Linotype" w:eastAsia="Palatino Linotype" w:hAnsi="Palatino Linotype" w:cs="Palatino Linotype"/>
          <w:b/>
          <w:color w:val="000000"/>
        </w:rPr>
        <w:t>SAIMEX</w:t>
      </w:r>
      <w:r w:rsidRPr="00F67C70">
        <w:rPr>
          <w:rFonts w:ascii="Palatino Linotype" w:eastAsia="Palatino Linotype" w:hAnsi="Palatino Linotype" w:cs="Palatino Linotype"/>
          <w:color w:val="000000"/>
        </w:rPr>
        <w:t xml:space="preserve">, a la Comisionada </w:t>
      </w:r>
      <w:r w:rsidRPr="00F67C70">
        <w:rPr>
          <w:rFonts w:ascii="Palatino Linotype" w:eastAsia="Palatino Linotype" w:hAnsi="Palatino Linotype" w:cs="Palatino Linotype"/>
          <w:b/>
          <w:color w:val="000000"/>
        </w:rPr>
        <w:t>EVA ABAID YAPUR</w:t>
      </w:r>
      <w:r w:rsidRPr="00F67C70">
        <w:rPr>
          <w:rFonts w:ascii="Palatino Linotype" w:eastAsia="Palatino Linotype" w:hAnsi="Palatino Linotype" w:cs="Palatino Linotype"/>
          <w:color w:val="000000"/>
        </w:rPr>
        <w:t>, a efecto de que decretara su admisión o desechamiento.</w:t>
      </w:r>
    </w:p>
    <w:p w14:paraId="559B016C" w14:textId="77777777" w:rsidR="00806132" w:rsidRPr="00F67C70" w:rsidRDefault="009F2361">
      <w:pPr>
        <w:widowControl w:val="0"/>
        <w:pBdr>
          <w:top w:val="nil"/>
          <w:left w:val="nil"/>
          <w:bottom w:val="nil"/>
          <w:right w:val="nil"/>
          <w:between w:val="nil"/>
        </w:pBdr>
        <w:tabs>
          <w:tab w:val="left" w:pos="0"/>
        </w:tabs>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lastRenderedPageBreak/>
        <w:t>VI.</w:t>
      </w:r>
      <w:r w:rsidRPr="00F67C70">
        <w:rPr>
          <w:rFonts w:ascii="Palatino Linotype" w:eastAsia="Palatino Linotype" w:hAnsi="Palatino Linotype" w:cs="Palatino Linotype"/>
          <w:color w:val="000000"/>
        </w:rPr>
        <w:t xml:space="preserve"> En fecha veinticinco de marzo de dos mil veintiuno, atento a lo dispuesto en el artículo 185, fracciones I, II y IV, de la Ley de Transparencia y Acceso a la Información Pública del Estado de México y Municipios, se acordó la admisión a trámite del referido recurso de revisión; así como, la integración del expediente respectivo, mismo que se puso a disposición de las partes, para que en el plazo máximo de siete días hábiles, </w:t>
      </w:r>
      <w:r w:rsidRPr="00F67C70">
        <w:rPr>
          <w:rFonts w:ascii="Palatino Linotype" w:eastAsia="Palatino Linotype" w:hAnsi="Palatino Linotype" w:cs="Palatino Linotype"/>
          <w:b/>
          <w:color w:val="000000"/>
        </w:rPr>
        <w:t>EL RECURRENTE</w:t>
      </w:r>
      <w:r w:rsidRPr="00F67C70">
        <w:rPr>
          <w:rFonts w:ascii="Palatino Linotype" w:eastAsia="Palatino Linotype" w:hAnsi="Palatino Linotype" w:cs="Palatino Linotype"/>
          <w:color w:val="000000"/>
        </w:rPr>
        <w:t xml:space="preserve"> realizara manifestaciones, alegatos y ofreciera las pruebas que a su derecho conviniera y, en el caso del</w:t>
      </w:r>
      <w:r w:rsidRPr="00F67C70">
        <w:rPr>
          <w:rFonts w:ascii="Palatino Linotype" w:eastAsia="Palatino Linotype" w:hAnsi="Palatino Linotype" w:cs="Palatino Linotype"/>
          <w:b/>
          <w:color w:val="000000"/>
        </w:rPr>
        <w:t xml:space="preserve"> SUJETO OBLIGADO</w:t>
      </w:r>
      <w:r w:rsidRPr="00F67C70">
        <w:rPr>
          <w:rFonts w:ascii="Palatino Linotype" w:eastAsia="Palatino Linotype" w:hAnsi="Palatino Linotype" w:cs="Palatino Linotype"/>
          <w:color w:val="000000"/>
        </w:rPr>
        <w:t>, para que exhibiera el Informe Justificado correspondiente.</w:t>
      </w:r>
    </w:p>
    <w:p w14:paraId="36927D4D" w14:textId="77777777" w:rsidR="00806132" w:rsidRPr="00F67C70" w:rsidRDefault="009F23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VII.</w:t>
      </w:r>
      <w:r w:rsidRPr="00F67C70">
        <w:rPr>
          <w:rFonts w:ascii="Palatino Linotype" w:eastAsia="Palatino Linotype" w:hAnsi="Palatino Linotype" w:cs="Palatino Linotype"/>
          <w:color w:val="000000"/>
        </w:rPr>
        <w:t xml:space="preserve"> De las constancias que obran en el </w:t>
      </w:r>
      <w:r w:rsidRPr="00F67C70">
        <w:rPr>
          <w:rFonts w:ascii="Palatino Linotype" w:eastAsia="Palatino Linotype" w:hAnsi="Palatino Linotype" w:cs="Palatino Linotype"/>
          <w:b/>
          <w:color w:val="000000"/>
        </w:rPr>
        <w:t>SAIMEX</w:t>
      </w:r>
      <w:r w:rsidRPr="00F67C70">
        <w:rPr>
          <w:rFonts w:ascii="Palatino Linotype" w:eastAsia="Palatino Linotype" w:hAnsi="Palatino Linotype" w:cs="Palatino Linotype"/>
          <w:color w:val="000000"/>
        </w:rPr>
        <w:t xml:space="preserve">, se desprende que </w:t>
      </w:r>
      <w:r w:rsidRPr="00F67C70">
        <w:rPr>
          <w:rFonts w:ascii="Palatino Linotype" w:eastAsia="Palatino Linotype" w:hAnsi="Palatino Linotype" w:cs="Palatino Linotype"/>
          <w:b/>
          <w:color w:val="000000"/>
        </w:rPr>
        <w:t xml:space="preserve">EL SUJETO OBLIGADO </w:t>
      </w:r>
      <w:r w:rsidRPr="00F67C70">
        <w:rPr>
          <w:rFonts w:ascii="Palatino Linotype" w:eastAsia="Palatino Linotype" w:hAnsi="Palatino Linotype" w:cs="Palatino Linotype"/>
          <w:color w:val="000000"/>
        </w:rPr>
        <w:t xml:space="preserve">fue omiso en rendir el Informe Justificado correspondiente. Por su parte, </w:t>
      </w:r>
      <w:r w:rsidRPr="00F67C70">
        <w:rPr>
          <w:rFonts w:ascii="Palatino Linotype" w:eastAsia="Palatino Linotype" w:hAnsi="Palatino Linotype" w:cs="Palatino Linotype"/>
          <w:b/>
          <w:color w:val="000000"/>
        </w:rPr>
        <w:t>EL RECURRENTE</w:t>
      </w:r>
      <w:r w:rsidRPr="00F67C70">
        <w:rPr>
          <w:rFonts w:ascii="Palatino Linotype" w:eastAsia="Palatino Linotype" w:hAnsi="Palatino Linotype" w:cs="Palatino Linotype"/>
          <w:color w:val="000000"/>
        </w:rPr>
        <w:t xml:space="preserve"> fue omiso en realizar las manifestaciones que a su derecho conviniera tal y como se aprecia a continuación:</w:t>
      </w:r>
    </w:p>
    <w:p w14:paraId="2CDDD07C" w14:textId="77777777" w:rsidR="00806132" w:rsidRPr="00F67C70" w:rsidRDefault="009F2361">
      <w:pPr>
        <w:widowControl w:val="0"/>
        <w:pBdr>
          <w:top w:val="nil"/>
          <w:left w:val="nil"/>
          <w:bottom w:val="nil"/>
          <w:right w:val="nil"/>
          <w:between w:val="nil"/>
        </w:pBdr>
        <w:tabs>
          <w:tab w:val="left" w:pos="0"/>
        </w:tabs>
        <w:spacing w:before="240" w:after="240" w:line="360" w:lineRule="auto"/>
        <w:jc w:val="center"/>
        <w:rPr>
          <w:rFonts w:ascii="Palatino Linotype" w:eastAsia="Palatino Linotype" w:hAnsi="Palatino Linotype" w:cs="Palatino Linotype"/>
          <w:color w:val="000000"/>
        </w:rPr>
      </w:pPr>
      <w:r w:rsidRPr="00F67C70">
        <w:rPr>
          <w:noProof/>
          <w:color w:val="000000"/>
        </w:rPr>
        <w:drawing>
          <wp:inline distT="0" distB="0" distL="0" distR="0" wp14:anchorId="6E74FBA9" wp14:editId="18E77D94">
            <wp:extent cx="5350160" cy="159304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13993" t="40207" r="13520" b="26604"/>
                    <a:stretch>
                      <a:fillRect/>
                    </a:stretch>
                  </pic:blipFill>
                  <pic:spPr>
                    <a:xfrm>
                      <a:off x="0" y="0"/>
                      <a:ext cx="5350160" cy="1593048"/>
                    </a:xfrm>
                    <a:prstGeom prst="rect">
                      <a:avLst/>
                    </a:prstGeom>
                    <a:ln/>
                  </pic:spPr>
                </pic:pic>
              </a:graphicData>
            </a:graphic>
          </wp:inline>
        </w:drawing>
      </w:r>
    </w:p>
    <w:p w14:paraId="5493F2E5" w14:textId="77777777" w:rsidR="00806132" w:rsidRPr="00F67C70" w:rsidRDefault="009F236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VIII.</w:t>
      </w:r>
      <w:r w:rsidRPr="00F67C70">
        <w:rPr>
          <w:rFonts w:ascii="Palatino Linotype" w:eastAsia="Palatino Linotype" w:hAnsi="Palatino Linotype" w:cs="Palatino Linotype"/>
          <w:color w:val="000000"/>
        </w:rPr>
        <w:t xml:space="preserve"> Una vez analizado el estado procesal que guardaba el expediente, en fecha trece de abril de dos mil veintiuno, la Comisionada Ponente acordó el cierre de instrucción; así como, la remisión del mismo a efecto de ser resuelto, de conformidad </w:t>
      </w:r>
      <w:r w:rsidRPr="00F67C70">
        <w:rPr>
          <w:rFonts w:ascii="Palatino Linotype" w:eastAsia="Palatino Linotype" w:hAnsi="Palatino Linotype" w:cs="Palatino Linotype"/>
          <w:color w:val="000000"/>
        </w:rPr>
        <w:lastRenderedPageBreak/>
        <w:t>con lo establecido en el artículo 185, fracciones VI y VIII de la Ley de Transparencia y Acceso a la Información Pública del Estado de México y Municipios; y,</w:t>
      </w:r>
    </w:p>
    <w:p w14:paraId="4ADA30D4" w14:textId="77777777" w:rsidR="00806132" w:rsidRPr="00F67C70" w:rsidRDefault="009F2361">
      <w:pPr>
        <w:pBdr>
          <w:top w:val="nil"/>
          <w:left w:val="nil"/>
          <w:bottom w:val="nil"/>
          <w:right w:val="nil"/>
          <w:between w:val="nil"/>
        </w:pBdr>
        <w:tabs>
          <w:tab w:val="left" w:pos="709"/>
        </w:tabs>
        <w:spacing w:before="280" w:after="280" w:line="360" w:lineRule="auto"/>
        <w:jc w:val="center"/>
        <w:rPr>
          <w:rFonts w:ascii="Palatino Linotype" w:eastAsia="Palatino Linotype" w:hAnsi="Palatino Linotype" w:cs="Palatino Linotype"/>
          <w:b/>
          <w:color w:val="000000"/>
          <w:sz w:val="28"/>
          <w:szCs w:val="28"/>
        </w:rPr>
      </w:pPr>
      <w:r w:rsidRPr="00F67C70">
        <w:rPr>
          <w:rFonts w:ascii="Palatino Linotype" w:eastAsia="Palatino Linotype" w:hAnsi="Palatino Linotype" w:cs="Palatino Linotype"/>
          <w:b/>
          <w:color w:val="000000"/>
          <w:sz w:val="28"/>
          <w:szCs w:val="28"/>
        </w:rPr>
        <w:t>CONSIDERANDO</w:t>
      </w:r>
    </w:p>
    <w:p w14:paraId="2F901599" w14:textId="77777777" w:rsidR="00806132" w:rsidRPr="00F67C70" w:rsidRDefault="009F2361">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PRIMERO</w:t>
      </w:r>
      <w:r w:rsidRPr="00F67C70">
        <w:rPr>
          <w:rFonts w:ascii="Palatino Linotype" w:eastAsia="Palatino Linotype" w:hAnsi="Palatino Linotype" w:cs="Palatino Linotype"/>
          <w:b/>
          <w:color w:val="000000"/>
        </w:rPr>
        <w:t>. Competencia</w:t>
      </w:r>
      <w:r w:rsidRPr="00F67C70">
        <w:rPr>
          <w:rFonts w:ascii="Palatino Linotype" w:eastAsia="Palatino Linotype" w:hAnsi="Palatino Linotype" w:cs="Palatino Linotype"/>
          <w:color w:val="000000"/>
        </w:rPr>
        <w:t>.</w:t>
      </w:r>
      <w:r w:rsidRPr="00F67C70">
        <w:rPr>
          <w:rFonts w:ascii="Palatino Linotype" w:eastAsia="Palatino Linotype" w:hAnsi="Palatino Linotype" w:cs="Palatino Linotype"/>
          <w:b/>
          <w:color w:val="000000"/>
        </w:rPr>
        <w:t xml:space="preserve"> </w:t>
      </w:r>
      <w:r w:rsidRPr="00F67C70">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5996D97" w14:textId="77777777" w:rsidR="00806132" w:rsidRPr="00F67C70" w:rsidRDefault="009F2361">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A0E1FFC" w14:textId="77777777" w:rsidR="00806132" w:rsidRPr="00F67C70" w:rsidRDefault="009F2361">
      <w:pPr>
        <w:widowControl w:val="0"/>
        <w:pBdr>
          <w:top w:val="nil"/>
          <w:left w:val="nil"/>
          <w:bottom w:val="nil"/>
          <w:right w:val="nil"/>
          <w:between w:val="nil"/>
        </w:pBdr>
        <w:tabs>
          <w:tab w:val="left" w:pos="1701"/>
          <w:tab w:val="left" w:pos="1843"/>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lastRenderedPageBreak/>
        <w:t>SEGUNDO</w:t>
      </w:r>
      <w:r w:rsidRPr="00F67C70">
        <w:rPr>
          <w:rFonts w:ascii="Palatino Linotype" w:eastAsia="Palatino Linotype" w:hAnsi="Palatino Linotype" w:cs="Palatino Linotype"/>
          <w:b/>
          <w:color w:val="000000"/>
        </w:rPr>
        <w:t>. Interés.</w:t>
      </w:r>
      <w:r w:rsidRPr="00F67C70">
        <w:rPr>
          <w:rFonts w:ascii="Palatino Linotype" w:eastAsia="Palatino Linotype" w:hAnsi="Palatino Linotype" w:cs="Palatino Linotype"/>
          <w:color w:val="000000"/>
        </w:rPr>
        <w:t xml:space="preserve"> El recurso de revisión fue interpuesto por parte legítima en atención a que fue presentado por </w:t>
      </w:r>
      <w:r w:rsidRPr="00F67C70">
        <w:rPr>
          <w:rFonts w:ascii="Palatino Linotype" w:eastAsia="Palatino Linotype" w:hAnsi="Palatino Linotype" w:cs="Palatino Linotype"/>
          <w:b/>
          <w:color w:val="000000"/>
        </w:rPr>
        <w:t>EL RECURRENTE</w:t>
      </w:r>
      <w:r w:rsidRPr="00F67C70">
        <w:rPr>
          <w:rFonts w:ascii="Palatino Linotype" w:eastAsia="Palatino Linotype" w:hAnsi="Palatino Linotype" w:cs="Palatino Linotype"/>
          <w:color w:val="000000"/>
        </w:rPr>
        <w:t>, quien formuló la solicitud de información pública.</w:t>
      </w:r>
    </w:p>
    <w:p w14:paraId="7AEDD020" w14:textId="77777777" w:rsidR="00806132" w:rsidRPr="00F67C70" w:rsidRDefault="009F2361">
      <w:pPr>
        <w:widowControl w:val="0"/>
        <w:pBdr>
          <w:top w:val="nil"/>
          <w:left w:val="nil"/>
          <w:bottom w:val="nil"/>
          <w:right w:val="nil"/>
          <w:between w:val="nil"/>
        </w:pBdr>
        <w:tabs>
          <w:tab w:val="left" w:pos="1701"/>
        </w:tabs>
        <w:spacing w:before="240" w:after="280" w:line="360" w:lineRule="auto"/>
        <w:ind w:right="49"/>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TERCERO</w:t>
      </w:r>
      <w:r w:rsidRPr="00F67C70">
        <w:rPr>
          <w:rFonts w:ascii="Palatino Linotype" w:eastAsia="Palatino Linotype" w:hAnsi="Palatino Linotype" w:cs="Palatino Linotype"/>
          <w:b/>
          <w:color w:val="000000"/>
        </w:rPr>
        <w:t xml:space="preserve">. Oportunidad. </w:t>
      </w:r>
      <w:r w:rsidRPr="00F67C70">
        <w:rPr>
          <w:rFonts w:ascii="Palatino Linotype" w:eastAsia="Palatino Linotype" w:hAnsi="Palatino Linotype" w:cs="Palatino Linotype"/>
          <w:color w:val="000000"/>
        </w:rPr>
        <w:t xml:space="preserve">El recurso de revisión fue interpuesto dentro del plazo de quince días hábiles, contados a partir del día siguiente al en que </w:t>
      </w:r>
      <w:r w:rsidRPr="00F67C70">
        <w:rPr>
          <w:rFonts w:ascii="Palatino Linotype" w:eastAsia="Palatino Linotype" w:hAnsi="Palatino Linotype" w:cs="Palatino Linotype"/>
          <w:b/>
          <w:color w:val="000000"/>
        </w:rPr>
        <w:t xml:space="preserve">EL RECURRENTE </w:t>
      </w:r>
      <w:r w:rsidRPr="00F67C70">
        <w:rPr>
          <w:rFonts w:ascii="Palatino Linotype" w:eastAsia="Palatino Linotype" w:hAnsi="Palatino Linotype" w:cs="Palatino Linotype"/>
          <w:color w:val="000000"/>
        </w:rPr>
        <w:t>tuvo conocimiento de la respuesta impugnada; tal y como, lo prevé el artículo 178 de la Ley de Transparencia y Acceso a la Información Pública del Estado de México y Municipios, que establece:</w:t>
      </w:r>
    </w:p>
    <w:p w14:paraId="105643B4" w14:textId="77777777" w:rsidR="00806132" w:rsidRPr="00F67C70" w:rsidRDefault="009F2361">
      <w:pPr>
        <w:spacing w:before="280"/>
        <w:ind w:left="720" w:right="70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b/>
          <w:i/>
          <w:sz w:val="22"/>
          <w:szCs w:val="22"/>
        </w:rPr>
        <w:t>Artículo 178.</w:t>
      </w:r>
      <w:r w:rsidRPr="00F67C70">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8700F67" w14:textId="77777777" w:rsidR="00806132" w:rsidRPr="00F67C70" w:rsidRDefault="009F2361">
      <w:pPr>
        <w:ind w:left="720" w:right="70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E0BD967" w14:textId="77777777" w:rsidR="00806132" w:rsidRPr="00F67C70" w:rsidRDefault="009F2361">
      <w:pPr>
        <w:spacing w:after="280"/>
        <w:ind w:left="720" w:right="70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07A02F58" w14:textId="77777777" w:rsidR="00806132" w:rsidRPr="00F67C70" w:rsidRDefault="009F2361">
      <w:pPr>
        <w:spacing w:before="240"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En esa tesitura, atendiendo a que </w:t>
      </w:r>
      <w:r w:rsidRPr="00F67C70">
        <w:rPr>
          <w:rFonts w:ascii="Palatino Linotype" w:eastAsia="Palatino Linotype" w:hAnsi="Palatino Linotype" w:cs="Palatino Linotype"/>
          <w:b/>
        </w:rPr>
        <w:t>EL SUJETO OBLIGADO</w:t>
      </w:r>
      <w:r w:rsidRPr="00F67C70">
        <w:rPr>
          <w:rFonts w:ascii="Palatino Linotype" w:eastAsia="Palatino Linotype" w:hAnsi="Palatino Linotype" w:cs="Palatino Linotype"/>
        </w:rPr>
        <w:t xml:space="preserve"> notificó la respuesta a la solicitud de acceso a la información pública el día</w:t>
      </w:r>
      <w:r w:rsidRPr="00F67C70">
        <w:rPr>
          <w:rFonts w:ascii="Palatino Linotype" w:eastAsia="Palatino Linotype" w:hAnsi="Palatino Linotype" w:cs="Palatino Linotype"/>
          <w:b/>
        </w:rPr>
        <w:t xml:space="preserve"> diecinueve de marzo de dos mil veintiuno</w:t>
      </w:r>
      <w:r w:rsidRPr="00F67C70">
        <w:rPr>
          <w:rFonts w:ascii="Palatino Linotype" w:eastAsia="Palatino Linotype" w:hAnsi="Palatino Linotype" w:cs="Palatino Linotype"/>
        </w:rPr>
        <w:t>; así, el plazo de quince días hábiles que el artículo 178 de la Ley de la materia otorga al</w:t>
      </w:r>
      <w:r w:rsidRPr="00F67C70">
        <w:rPr>
          <w:rFonts w:ascii="Palatino Linotype" w:eastAsia="Palatino Linotype" w:hAnsi="Palatino Linotype" w:cs="Palatino Linotype"/>
          <w:b/>
        </w:rPr>
        <w:t xml:space="preserve"> RECURRENTE</w:t>
      </w:r>
      <w:r w:rsidRPr="00F67C70">
        <w:rPr>
          <w:rFonts w:ascii="Palatino Linotype" w:eastAsia="Palatino Linotype" w:hAnsi="Palatino Linotype" w:cs="Palatino Linotype"/>
        </w:rPr>
        <w:t xml:space="preserve"> para presentar el respectivo recurso de revisión, transcurrió del </w:t>
      </w:r>
      <w:r w:rsidRPr="00F67C70">
        <w:rPr>
          <w:rFonts w:ascii="Palatino Linotype" w:eastAsia="Palatino Linotype" w:hAnsi="Palatino Linotype" w:cs="Palatino Linotype"/>
          <w:b/>
        </w:rPr>
        <w:t xml:space="preserve">veintidós de marzo al dieciséis de abril de dos mil veintiuno, </w:t>
      </w:r>
      <w:r w:rsidRPr="00F67C70">
        <w:rPr>
          <w:rFonts w:ascii="Palatino Linotype" w:eastAsia="Palatino Linotype" w:hAnsi="Palatino Linotype" w:cs="Palatino Linotype"/>
        </w:rPr>
        <w:t xml:space="preserve">sin contemplar en el cómputo los días veinte, veintiuno, veintisiete, veintiocho de marzo, tres, cuatro, diez y once de abril del presente año; por corresponder a sábados y domingos, considerados como días inhábiles, en términos del artículo 3, fracción X de </w:t>
      </w:r>
      <w:r w:rsidRPr="00F67C70">
        <w:rPr>
          <w:rFonts w:ascii="Palatino Linotype" w:eastAsia="Palatino Linotype" w:hAnsi="Palatino Linotype" w:cs="Palatino Linotype"/>
        </w:rPr>
        <w:lastRenderedPageBreak/>
        <w:t xml:space="preserve">la Ley de Transparencia y Acceso a la Información Pública del Estado de México y Municipios; así como, los días veintinueve, treinta y treinta y uno de marzo, uno y dos de abril de dos mil veintiuno, por corresponder días de suspensión de labores en el Instituto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2744FE2A" w14:textId="77777777" w:rsidR="00806132" w:rsidRPr="00F67C70" w:rsidRDefault="009F2361">
      <w:pPr>
        <w:spacing w:before="240"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En ese tenor, si el recurso de revisión que nos ocupa, se interpuso el</w:t>
      </w:r>
      <w:r w:rsidRPr="00F67C70">
        <w:rPr>
          <w:rFonts w:ascii="Palatino Linotype" w:eastAsia="Palatino Linotype" w:hAnsi="Palatino Linotype" w:cs="Palatino Linotype"/>
          <w:b/>
        </w:rPr>
        <w:t xml:space="preserve"> veintidós de marzo de dos mil veintiuno, </w:t>
      </w:r>
      <w:r w:rsidRPr="00F67C70">
        <w:rPr>
          <w:rFonts w:ascii="Palatino Linotype" w:eastAsia="Palatino Linotype" w:hAnsi="Palatino Linotype" w:cs="Palatino Linotype"/>
        </w:rPr>
        <w:t>éste se encuentra dentro de los márgenes temporales previstos en el precepto legal citado en el párrafo anterior y, por tanto, su interposición se considera oportuna.</w:t>
      </w:r>
    </w:p>
    <w:p w14:paraId="1CD757C5" w14:textId="77777777" w:rsidR="00806132" w:rsidRPr="00F67C70" w:rsidRDefault="009F2361">
      <w:pPr>
        <w:tabs>
          <w:tab w:val="left" w:pos="2422"/>
        </w:tabs>
        <w:spacing w:before="280" w:after="280" w:line="360" w:lineRule="auto"/>
        <w:ind w:right="49"/>
        <w:jc w:val="both"/>
        <w:rPr>
          <w:rFonts w:ascii="Palatino Linotype" w:eastAsia="Palatino Linotype" w:hAnsi="Palatino Linotype" w:cs="Palatino Linotype"/>
          <w:b/>
        </w:rPr>
      </w:pPr>
      <w:r w:rsidRPr="00F67C70">
        <w:rPr>
          <w:rFonts w:ascii="Palatino Linotype" w:eastAsia="Palatino Linotype" w:hAnsi="Palatino Linotype" w:cs="Palatino Linotype"/>
          <w:b/>
          <w:sz w:val="28"/>
          <w:szCs w:val="28"/>
        </w:rPr>
        <w:t>CUARTO</w:t>
      </w:r>
      <w:r w:rsidRPr="00F67C70">
        <w:rPr>
          <w:rFonts w:ascii="Palatino Linotype" w:eastAsia="Palatino Linotype" w:hAnsi="Palatino Linotype" w:cs="Palatino Linotype"/>
          <w:b/>
        </w:rPr>
        <w:t xml:space="preserve">. Procedibilidad. </w:t>
      </w:r>
      <w:r w:rsidRPr="00F67C70">
        <w:rPr>
          <w:rFonts w:ascii="Palatino Linotype" w:eastAsia="Palatino Linotype" w:hAnsi="Palatino Linotype" w:cs="Palatino Linotype"/>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F67C70">
        <w:rPr>
          <w:rFonts w:ascii="Palatino Linotype" w:eastAsia="Palatino Linotype" w:hAnsi="Palatino Linotype" w:cs="Palatino Linotype"/>
          <w:b/>
        </w:rPr>
        <w:t>SAIMEX.</w:t>
      </w:r>
    </w:p>
    <w:p w14:paraId="0C4ED120" w14:textId="77777777" w:rsidR="00806132" w:rsidRPr="00F67C70" w:rsidRDefault="009F2361">
      <w:pPr>
        <w:spacing w:before="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b/>
          <w:sz w:val="28"/>
          <w:szCs w:val="28"/>
        </w:rPr>
        <w:t xml:space="preserve">QUINTO. </w:t>
      </w:r>
      <w:r w:rsidRPr="00F67C70">
        <w:rPr>
          <w:rFonts w:ascii="Palatino Linotype" w:eastAsia="Palatino Linotype" w:hAnsi="Palatino Linotype" w:cs="Palatino Linotype"/>
          <w:b/>
          <w:color w:val="000000"/>
        </w:rPr>
        <w:t>Estudio y resolución del asunto.</w:t>
      </w:r>
      <w:r w:rsidRPr="00F67C70">
        <w:rPr>
          <w:rFonts w:ascii="Palatino Linotype" w:eastAsia="Palatino Linotype" w:hAnsi="Palatino Linotype" w:cs="Palatino Linotype"/>
          <w:color w:val="000000"/>
        </w:rPr>
        <w:t xml:space="preserve"> Del análisis efectuado, se advierte que el </w:t>
      </w:r>
      <w:r w:rsidRPr="00F67C70">
        <w:rPr>
          <w:rFonts w:ascii="Palatino Linotype" w:eastAsia="Palatino Linotype" w:hAnsi="Palatino Linotype" w:cs="Palatino Linotype"/>
        </w:rPr>
        <w:t xml:space="preserve">presente recurso de revisión es procedente, toda vez que se actualiza la hipótesis prevista en la fracción </w:t>
      </w:r>
      <w:r w:rsidRPr="00F67C70">
        <w:rPr>
          <w:rFonts w:ascii="Palatino Linotype" w:eastAsia="Palatino Linotype" w:hAnsi="Palatino Linotype" w:cs="Palatino Linotype"/>
          <w:color w:val="000000"/>
        </w:rPr>
        <w:t>VI</w:t>
      </w:r>
      <w:r w:rsidRPr="00F67C70">
        <w:rPr>
          <w:rFonts w:ascii="Palatino Linotype" w:eastAsia="Palatino Linotype" w:hAnsi="Palatino Linotype" w:cs="Palatino Linotype"/>
        </w:rPr>
        <w:t xml:space="preserve"> del artículo 179 de la ley de la materia, el cual a la letra dice:</w:t>
      </w:r>
    </w:p>
    <w:p w14:paraId="46B960B6" w14:textId="77777777" w:rsidR="00806132" w:rsidRPr="00F67C70" w:rsidRDefault="00806132">
      <w:pPr>
        <w:spacing w:line="360" w:lineRule="auto"/>
        <w:jc w:val="both"/>
        <w:rPr>
          <w:rFonts w:ascii="Palatino Linotype" w:eastAsia="Palatino Linotype" w:hAnsi="Palatino Linotype" w:cs="Palatino Linotype"/>
        </w:rPr>
      </w:pPr>
    </w:p>
    <w:p w14:paraId="50C006C6"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w:t>
      </w:r>
      <w:r w:rsidRPr="00F67C70">
        <w:rPr>
          <w:rFonts w:ascii="Palatino Linotype" w:eastAsia="Palatino Linotype" w:hAnsi="Palatino Linotype" w:cs="Palatino Linotype"/>
          <w:b/>
          <w:i/>
          <w:color w:val="000000"/>
          <w:sz w:val="22"/>
          <w:szCs w:val="22"/>
        </w:rPr>
        <w:t>Artículo 179.</w:t>
      </w:r>
      <w:r w:rsidRPr="00F67C70">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71D0BFE8"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lastRenderedPageBreak/>
        <w:t>…</w:t>
      </w:r>
    </w:p>
    <w:p w14:paraId="705F0949"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b/>
          <w:i/>
          <w:sz w:val="22"/>
          <w:szCs w:val="22"/>
          <w:u w:val="single"/>
        </w:rPr>
        <w:t>VI. La entrega de información que no corresponde con lo solicitado;</w:t>
      </w:r>
    </w:p>
    <w:p w14:paraId="08F425D7" w14:textId="77777777" w:rsidR="00806132" w:rsidRPr="00F67C70" w:rsidRDefault="009F2361">
      <w:pPr>
        <w:ind w:left="851" w:right="901"/>
        <w:jc w:val="both"/>
        <w:rPr>
          <w:rFonts w:ascii="Palatino Linotype" w:eastAsia="Palatino Linotype" w:hAnsi="Palatino Linotype" w:cs="Palatino Linotype"/>
          <w:b/>
          <w:i/>
          <w:color w:val="000000"/>
          <w:sz w:val="22"/>
          <w:szCs w:val="22"/>
        </w:rPr>
      </w:pPr>
      <w:r w:rsidRPr="00F67C70">
        <w:rPr>
          <w:rFonts w:ascii="Palatino Linotype" w:eastAsia="Palatino Linotype" w:hAnsi="Palatino Linotype" w:cs="Palatino Linotype"/>
          <w:b/>
          <w:i/>
          <w:color w:val="000000"/>
          <w:sz w:val="22"/>
          <w:szCs w:val="22"/>
        </w:rPr>
        <w:t>…</w:t>
      </w:r>
      <w:r w:rsidRPr="00F67C70">
        <w:rPr>
          <w:rFonts w:ascii="Palatino Linotype" w:eastAsia="Palatino Linotype" w:hAnsi="Palatino Linotype" w:cs="Palatino Linotype"/>
          <w:i/>
          <w:color w:val="000000"/>
          <w:sz w:val="22"/>
          <w:szCs w:val="22"/>
        </w:rPr>
        <w:t>”</w:t>
      </w:r>
    </w:p>
    <w:p w14:paraId="195C6760"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(Énfasis añadido)</w:t>
      </w:r>
    </w:p>
    <w:p w14:paraId="08F67F2E" w14:textId="77777777" w:rsidR="00806132" w:rsidRPr="00F67C70" w:rsidRDefault="00806132">
      <w:pPr>
        <w:ind w:left="851" w:right="901"/>
        <w:jc w:val="both"/>
        <w:rPr>
          <w:rFonts w:ascii="Palatino Linotype" w:eastAsia="Palatino Linotype" w:hAnsi="Palatino Linotype" w:cs="Palatino Linotype"/>
          <w:i/>
          <w:color w:val="000000"/>
          <w:sz w:val="22"/>
          <w:szCs w:val="22"/>
        </w:rPr>
      </w:pPr>
    </w:p>
    <w:p w14:paraId="7379CF1D" w14:textId="77777777" w:rsidR="00806132" w:rsidRPr="00F67C70" w:rsidRDefault="009F2361">
      <w:pPr>
        <w:widowControl w:val="0"/>
        <w:spacing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En ese tenor, resulta conveniente recordar que </w:t>
      </w:r>
      <w:r w:rsidRPr="00F67C70">
        <w:rPr>
          <w:rFonts w:ascii="Palatino Linotype" w:eastAsia="Palatino Linotype" w:hAnsi="Palatino Linotype" w:cs="Palatino Linotype"/>
          <w:b/>
        </w:rPr>
        <w:t>EL RECURRENTE</w:t>
      </w:r>
      <w:r w:rsidRPr="00F67C70">
        <w:rPr>
          <w:rFonts w:ascii="Palatino Linotype" w:eastAsia="Palatino Linotype" w:hAnsi="Palatino Linotype" w:cs="Palatino Linotype"/>
        </w:rPr>
        <w:t xml:space="preserve"> le solicitó al </w:t>
      </w:r>
      <w:r w:rsidRPr="00F67C70">
        <w:rPr>
          <w:rFonts w:ascii="Palatino Linotype" w:eastAsia="Palatino Linotype" w:hAnsi="Palatino Linotype" w:cs="Palatino Linotype"/>
          <w:b/>
        </w:rPr>
        <w:t xml:space="preserve">SUJETO OBLIGADO </w:t>
      </w:r>
      <w:r w:rsidRPr="00F67C70">
        <w:rPr>
          <w:rFonts w:ascii="Palatino Linotype" w:eastAsia="Palatino Linotype" w:hAnsi="Palatino Linotype" w:cs="Palatino Linotype"/>
        </w:rPr>
        <w:t>conocer cualquier erogación relativa al parque municipal denominado “Alameda”, del 1 de enero al 10 de marzo de 2021.</w:t>
      </w:r>
    </w:p>
    <w:p w14:paraId="230B8FB6" w14:textId="77777777" w:rsidR="00806132" w:rsidRPr="00F67C70" w:rsidRDefault="009F2361">
      <w:pPr>
        <w:spacing w:before="280" w:after="280" w:line="360" w:lineRule="auto"/>
        <w:ind w:right="49"/>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En respuesta </w:t>
      </w:r>
      <w:r w:rsidRPr="00F67C70">
        <w:rPr>
          <w:rFonts w:ascii="Palatino Linotype" w:eastAsia="Palatino Linotype" w:hAnsi="Palatino Linotype" w:cs="Palatino Linotype"/>
          <w:b/>
        </w:rPr>
        <w:t xml:space="preserve">EL SUJETO OBLIGADO </w:t>
      </w:r>
      <w:r w:rsidRPr="00F67C70">
        <w:rPr>
          <w:rFonts w:ascii="Palatino Linotype" w:eastAsia="Palatino Linotype" w:hAnsi="Palatino Linotype" w:cs="Palatino Linotype"/>
        </w:rPr>
        <w:t>entregó el oficio signado por la Tesorera Municipal, mediante el cual le solicitó a la Titular de la Unidad de Transparencia y Acceso a la Información Pública, que le requiriera al solicitante aclarara su solicitud de información debiendo precisar a qué se refería con erogación; pues para dicha servidora pública habilitada la solicitud de información no es clara ni precisa.</w:t>
      </w:r>
    </w:p>
    <w:p w14:paraId="0D94FC7B" w14:textId="77777777" w:rsidR="00806132" w:rsidRPr="00F67C70" w:rsidRDefault="009F2361">
      <w:pPr>
        <w:spacing w:before="280" w:after="280" w:line="360" w:lineRule="auto"/>
        <w:ind w:right="49"/>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Inconforme con dicha respuesta </w:t>
      </w:r>
      <w:r w:rsidRPr="00F67C70">
        <w:rPr>
          <w:rFonts w:ascii="Palatino Linotype" w:eastAsia="Palatino Linotype" w:hAnsi="Palatino Linotype" w:cs="Palatino Linotype"/>
          <w:b/>
        </w:rPr>
        <w:t xml:space="preserve">EL RECURRENTE </w:t>
      </w:r>
      <w:r w:rsidRPr="00F67C70">
        <w:rPr>
          <w:rFonts w:ascii="Palatino Linotype" w:eastAsia="Palatino Linotype" w:hAnsi="Palatino Linotype" w:cs="Palatino Linotype"/>
        </w:rPr>
        <w:t>interpuso el presente medio de impugnación doliéndose medularmente de que no se le diera atención a su solicitud; agregando que a lo que se refería con erogaciones es precisamente a conocer si, se había ejercido presupuesto para llevar a cabo alguna mejora o adquisición en dicho parque.</w:t>
      </w:r>
    </w:p>
    <w:p w14:paraId="27A6B97A" w14:textId="77777777" w:rsidR="00806132" w:rsidRPr="00F67C70" w:rsidRDefault="009F2361">
      <w:pPr>
        <w:widowControl w:val="0"/>
        <w:pBdr>
          <w:top w:val="nil"/>
          <w:left w:val="nil"/>
          <w:bottom w:val="nil"/>
          <w:right w:val="nil"/>
          <w:between w:val="nil"/>
        </w:pBdr>
        <w:tabs>
          <w:tab w:val="left" w:pos="1276"/>
        </w:tabs>
        <w:spacing w:before="240" w:after="280" w:line="360" w:lineRule="auto"/>
        <w:ind w:right="49"/>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 xml:space="preserve">En ese tenor, conviene destacar que tanto </w:t>
      </w:r>
      <w:r w:rsidRPr="00F67C70">
        <w:rPr>
          <w:rFonts w:ascii="Palatino Linotype" w:eastAsia="Palatino Linotype" w:hAnsi="Palatino Linotype" w:cs="Palatino Linotype"/>
          <w:b/>
          <w:color w:val="000000"/>
        </w:rPr>
        <w:t xml:space="preserve">EL SUJETO OBLIGADO </w:t>
      </w:r>
      <w:r w:rsidRPr="00F67C70">
        <w:rPr>
          <w:rFonts w:ascii="Palatino Linotype" w:eastAsia="Palatino Linotype" w:hAnsi="Palatino Linotype" w:cs="Palatino Linotype"/>
          <w:color w:val="000000"/>
        </w:rPr>
        <w:t xml:space="preserve">como </w:t>
      </w:r>
      <w:r w:rsidRPr="00F67C70">
        <w:rPr>
          <w:rFonts w:ascii="Palatino Linotype" w:eastAsia="Palatino Linotype" w:hAnsi="Palatino Linotype" w:cs="Palatino Linotype"/>
          <w:b/>
          <w:color w:val="000000"/>
        </w:rPr>
        <w:t xml:space="preserve">EL RECURRENTE </w:t>
      </w:r>
      <w:r w:rsidRPr="00F67C70">
        <w:rPr>
          <w:rFonts w:ascii="Palatino Linotype" w:eastAsia="Palatino Linotype" w:hAnsi="Palatino Linotype" w:cs="Palatino Linotype"/>
          <w:color w:val="000000"/>
        </w:rPr>
        <w:t>fueron omisos en rendir el Informe Justificado y realizar las manifestaciones correspondientes.</w:t>
      </w:r>
    </w:p>
    <w:p w14:paraId="4226390A" w14:textId="77777777" w:rsidR="00806132" w:rsidRPr="00F67C70" w:rsidRDefault="009F2361">
      <w:pPr>
        <w:widowControl w:val="0"/>
        <w:pBdr>
          <w:top w:val="nil"/>
          <w:left w:val="nil"/>
          <w:bottom w:val="nil"/>
          <w:right w:val="nil"/>
          <w:between w:val="nil"/>
        </w:pBdr>
        <w:tabs>
          <w:tab w:val="left" w:pos="1276"/>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 xml:space="preserve">Bajo ese contexto, este Instituto analizó la totalidad de las constancias que integran el expediente electrónico del </w:t>
      </w:r>
      <w:r w:rsidRPr="00F67C70">
        <w:rPr>
          <w:rFonts w:ascii="Palatino Linotype" w:eastAsia="Palatino Linotype" w:hAnsi="Palatino Linotype" w:cs="Palatino Linotype"/>
          <w:b/>
          <w:color w:val="000000"/>
        </w:rPr>
        <w:t xml:space="preserve">SAIMEX </w:t>
      </w:r>
      <w:r w:rsidRPr="00F67C70">
        <w:rPr>
          <w:rFonts w:ascii="Palatino Linotype" w:eastAsia="Palatino Linotype" w:hAnsi="Palatino Linotype" w:cs="Palatino Linotype"/>
          <w:color w:val="000000"/>
        </w:rPr>
        <w:t xml:space="preserve">se concluye que la controversia en el presente </w:t>
      </w:r>
      <w:r w:rsidRPr="00F67C70">
        <w:rPr>
          <w:rFonts w:ascii="Palatino Linotype" w:eastAsia="Palatino Linotype" w:hAnsi="Palatino Linotype" w:cs="Palatino Linotype"/>
          <w:color w:val="000000"/>
        </w:rPr>
        <w:lastRenderedPageBreak/>
        <w:t xml:space="preserve">asunto radica en que </w:t>
      </w:r>
      <w:r w:rsidRPr="00F67C70">
        <w:rPr>
          <w:rFonts w:ascii="Palatino Linotype" w:eastAsia="Palatino Linotype" w:hAnsi="Palatino Linotype" w:cs="Palatino Linotype"/>
          <w:b/>
          <w:color w:val="000000"/>
        </w:rPr>
        <w:t xml:space="preserve">EL SUJETO OBLIGADO </w:t>
      </w:r>
      <w:r w:rsidRPr="00F67C70">
        <w:rPr>
          <w:rFonts w:ascii="Palatino Linotype" w:eastAsia="Palatino Linotype" w:hAnsi="Palatino Linotype" w:cs="Palatino Linotype"/>
          <w:color w:val="000000"/>
        </w:rPr>
        <w:t>no hizo entrega de la información solicitada.</w:t>
      </w:r>
    </w:p>
    <w:p w14:paraId="4F67058E" w14:textId="77777777" w:rsidR="00806132" w:rsidRPr="00F67C70" w:rsidRDefault="009F2361">
      <w:pPr>
        <w:widowControl w:val="0"/>
        <w:pBdr>
          <w:top w:val="nil"/>
          <w:left w:val="nil"/>
          <w:bottom w:val="nil"/>
          <w:right w:val="nil"/>
          <w:between w:val="nil"/>
        </w:pBdr>
        <w:tabs>
          <w:tab w:val="left" w:pos="1276"/>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Por ello, es importante precisar en primer término lo que respecto al derecho de acceso a la información pública, refiere el artículo 6° de la Constitución Política de los Estados Unidos Mexicanos, que en su parte conducente señala:</w:t>
      </w:r>
    </w:p>
    <w:p w14:paraId="3E4CF905" w14:textId="77777777" w:rsidR="00806132" w:rsidRPr="00F67C70" w:rsidRDefault="009F2361">
      <w:pPr>
        <w:spacing w:before="280"/>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w:t>
      </w:r>
      <w:r w:rsidRPr="00F67C70">
        <w:rPr>
          <w:rFonts w:ascii="Palatino Linotype" w:eastAsia="Palatino Linotype" w:hAnsi="Palatino Linotype" w:cs="Palatino Linotype"/>
          <w:b/>
          <w:i/>
          <w:color w:val="000000"/>
          <w:sz w:val="22"/>
          <w:szCs w:val="22"/>
        </w:rPr>
        <w:t>Artículo 6o</w:t>
      </w:r>
      <w:r w:rsidRPr="00F67C70">
        <w:rPr>
          <w:rFonts w:ascii="Palatino Linotype" w:eastAsia="Palatino Linotype" w:hAnsi="Palatino Linotype" w:cs="Palatino Linotype"/>
          <w:i/>
          <w:color w:val="000000"/>
          <w:sz w:val="22"/>
          <w:szCs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9FA05E4" w14:textId="77777777" w:rsidR="00806132" w:rsidRPr="00F67C70" w:rsidRDefault="009F2361">
      <w:pPr>
        <w:ind w:left="851" w:right="901"/>
        <w:jc w:val="both"/>
        <w:rPr>
          <w:rFonts w:ascii="Palatino Linotype" w:eastAsia="Palatino Linotype" w:hAnsi="Palatino Linotype" w:cs="Palatino Linotype"/>
          <w:b/>
          <w:i/>
          <w:color w:val="000000"/>
          <w:sz w:val="22"/>
          <w:szCs w:val="22"/>
        </w:rPr>
      </w:pPr>
      <w:r w:rsidRPr="00F67C70">
        <w:rPr>
          <w:rFonts w:ascii="Palatino Linotype" w:eastAsia="Palatino Linotype" w:hAnsi="Palatino Linotype" w:cs="Palatino Linotype"/>
          <w:b/>
          <w:i/>
          <w:color w:val="000000"/>
          <w:sz w:val="22"/>
          <w:szCs w:val="22"/>
        </w:rPr>
        <w:t>Toda persona tiene derecho al libre acceso a información plural y oportuna, así como a buscar, recibir y difundir información e ideas de toda índole por cualquier medio de expresión.</w:t>
      </w:r>
    </w:p>
    <w:p w14:paraId="77C0C3D5"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Para efectos de lo dispuesto en el presente artículo se observará lo siguiente:</w:t>
      </w:r>
    </w:p>
    <w:p w14:paraId="3925B193"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A. Para el ejercicio del derecho de acceso a la información, la Federación, los Estados y el Distrito Federal, en el ámbito de sus respectivas competencias, se regirán por los siguientes principios y bases:</w:t>
      </w:r>
    </w:p>
    <w:p w14:paraId="761A1D28"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2DD6FAE"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14:paraId="641252A1"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2DF8E453"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lastRenderedPageBreak/>
        <w:t>IV.  Se establecerán mecanismos de acceso a la información y procedimientos de revisión expeditos que se sustanciarán ante los organismos autónomos especializados e imparciales que establece esta Constitución.</w:t>
      </w:r>
    </w:p>
    <w:p w14:paraId="405C04F7" w14:textId="77777777" w:rsidR="00806132" w:rsidRPr="00F67C70" w:rsidRDefault="009F2361">
      <w:pPr>
        <w:ind w:left="851" w:right="901"/>
        <w:jc w:val="both"/>
        <w:rPr>
          <w:rFonts w:ascii="Palatino Linotype" w:eastAsia="Palatino Linotype" w:hAnsi="Palatino Linotype" w:cs="Palatino Linotype"/>
          <w:b/>
          <w:i/>
          <w:color w:val="000000"/>
          <w:sz w:val="22"/>
          <w:szCs w:val="22"/>
        </w:rPr>
      </w:pPr>
      <w:r w:rsidRPr="00F67C70">
        <w:rPr>
          <w:rFonts w:ascii="Palatino Linotype" w:eastAsia="Palatino Linotype" w:hAnsi="Palatino Linotype" w:cs="Palatino Linotype"/>
          <w:b/>
          <w:i/>
          <w:color w:val="000000"/>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5375624"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 Las leyes determinarán la manera en que los sujetos obligados deberán hacer pública la información relativa a los recursos públicos que entreguen a personas físicas o morales.</w:t>
      </w:r>
    </w:p>
    <w:p w14:paraId="56F077D2"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VII. La inobservancia a las disposiciones en materia de acceso a la información pública será sancionada en los términos que dispongan las leyes.</w:t>
      </w:r>
    </w:p>
    <w:p w14:paraId="62319DD6"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480FFD3"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w:t>
      </w:r>
    </w:p>
    <w:p w14:paraId="03E2F668"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La ley establecerá aquella información que se considere reservada o confidencial.”</w:t>
      </w:r>
    </w:p>
    <w:p w14:paraId="3513A276"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(Énfasis añadido)</w:t>
      </w:r>
    </w:p>
    <w:p w14:paraId="4D4C68ED" w14:textId="77777777" w:rsidR="00806132" w:rsidRPr="00F67C70" w:rsidRDefault="009F2361">
      <w:pPr>
        <w:shd w:val="clear" w:color="auto" w:fill="FFFFFF"/>
        <w:spacing w:after="280" w:line="360" w:lineRule="auto"/>
        <w:jc w:val="both"/>
        <w:rPr>
          <w:rFonts w:ascii="Palatino Linotype" w:eastAsia="Palatino Linotype" w:hAnsi="Palatino Linotype" w:cs="Palatino Linotype"/>
          <w:color w:val="222222"/>
        </w:rPr>
      </w:pPr>
      <w:r w:rsidRPr="00F67C70">
        <w:rPr>
          <w:rFonts w:ascii="Palatino Linotype" w:eastAsia="Palatino Linotype" w:hAnsi="Palatino Linotype" w:cs="Palatino Linotype"/>
          <w:color w:val="222222"/>
        </w:rPr>
        <w:t>Por su parte, la Constitución Política del Estado Libre y Soberano de México, en su artículo 5°, dispone en su parte conducente, lo siguiente:</w:t>
      </w:r>
    </w:p>
    <w:p w14:paraId="076220B2" w14:textId="77777777" w:rsidR="00806132" w:rsidRPr="00F67C70" w:rsidRDefault="009F2361">
      <w:pPr>
        <w:spacing w:before="280"/>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w:t>
      </w:r>
      <w:r w:rsidRPr="00F67C70">
        <w:rPr>
          <w:rFonts w:ascii="Palatino Linotype" w:eastAsia="Palatino Linotype" w:hAnsi="Palatino Linotype" w:cs="Palatino Linotype"/>
          <w:b/>
          <w:i/>
          <w:color w:val="000000"/>
          <w:sz w:val="22"/>
          <w:szCs w:val="22"/>
        </w:rPr>
        <w:t>Artículo 5. …</w:t>
      </w:r>
    </w:p>
    <w:p w14:paraId="5A8D02E9"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b/>
          <w:i/>
          <w:color w:val="000000"/>
          <w:sz w:val="22"/>
          <w:szCs w:val="22"/>
        </w:rPr>
        <w:t>El derecho a la información será garantizado por el Estado.</w:t>
      </w:r>
      <w:r w:rsidRPr="00F67C70">
        <w:rPr>
          <w:rFonts w:ascii="Palatino Linotype" w:eastAsia="Palatino Linotype" w:hAnsi="Palatino Linotype" w:cs="Palatino Linotype"/>
          <w:i/>
          <w:color w:val="000000"/>
          <w:sz w:val="22"/>
          <w:szCs w:val="22"/>
        </w:rPr>
        <w:t xml:space="preserve"> La ley establecerá las previsiones que permitan asegurar la protección, el respeto y la difusión de este derecho.</w:t>
      </w:r>
    </w:p>
    <w:p w14:paraId="6EB591F6" w14:textId="77777777" w:rsidR="00806132" w:rsidRPr="00F67C70" w:rsidRDefault="009F2361">
      <w:pPr>
        <w:ind w:left="851" w:right="901"/>
        <w:jc w:val="both"/>
        <w:rPr>
          <w:rFonts w:ascii="Palatino Linotype" w:eastAsia="Palatino Linotype" w:hAnsi="Palatino Linotype" w:cs="Palatino Linotype"/>
          <w:b/>
          <w:i/>
          <w:color w:val="000000"/>
          <w:sz w:val="22"/>
          <w:szCs w:val="22"/>
        </w:rPr>
      </w:pPr>
      <w:r w:rsidRPr="00F67C70">
        <w:rPr>
          <w:rFonts w:ascii="Palatino Linotype" w:eastAsia="Palatino Linotype" w:hAnsi="Palatino Linotype" w:cs="Palatino Linotype"/>
          <w:b/>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6AD8B18"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Este derecho se regirá por los principios y bases siguientes:</w:t>
      </w:r>
    </w:p>
    <w:p w14:paraId="0ABDF3F6"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 xml:space="preserve">I. Toda la información en posesión de cualquier autoridad, entidad, órgano y organismos de los Poderes Ejecutivo, Legislativo y Judicial, órganos autónomos, </w:t>
      </w:r>
      <w:r w:rsidRPr="00F67C70">
        <w:rPr>
          <w:rFonts w:ascii="Palatino Linotype" w:eastAsia="Palatino Linotype" w:hAnsi="Palatino Linotype" w:cs="Palatino Linotype"/>
          <w:i/>
          <w:color w:val="000000"/>
          <w:sz w:val="22"/>
          <w:szCs w:val="22"/>
        </w:rPr>
        <w:lastRenderedPageBreak/>
        <w:t>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44C87C"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4DCC05A7"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w:t>
      </w:r>
    </w:p>
    <w:p w14:paraId="2701B1E2"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IV. Se establecerán mecanismos de acceso a la información y procedimientos de revisión expeditos que se sustanciarán ante el organismo autónomo especializado e imparcial que establece esta Constitución.</w:t>
      </w:r>
    </w:p>
    <w:p w14:paraId="0711F941"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793F765" w14:textId="77777777" w:rsidR="00806132" w:rsidRPr="00F67C70" w:rsidRDefault="009F2361">
      <w:pPr>
        <w:ind w:left="851" w:right="901"/>
        <w:jc w:val="both"/>
        <w:rPr>
          <w:rFonts w:ascii="Palatino Linotype" w:eastAsia="Palatino Linotype" w:hAnsi="Palatino Linotype" w:cs="Palatino Linotype"/>
          <w:b/>
          <w:i/>
          <w:color w:val="000000"/>
          <w:sz w:val="22"/>
          <w:szCs w:val="22"/>
        </w:rPr>
      </w:pPr>
      <w:r w:rsidRPr="00F67C70">
        <w:rPr>
          <w:rFonts w:ascii="Palatino Linotype" w:eastAsia="Palatino Linotype" w:hAnsi="Palatino Linotype" w:cs="Palatino Linotype"/>
          <w:b/>
          <w:i/>
          <w:color w:val="000000"/>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286D427"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VII. La ley reglamentaria, determinará la manera en que los sujetos obligados deberán hacer pública la información relativa a los recursos públicos que entreguen a personas físicas o jurídicas colectivas.”</w:t>
      </w:r>
    </w:p>
    <w:p w14:paraId="6985BCAC"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(Énfasis añadido)</w:t>
      </w:r>
    </w:p>
    <w:p w14:paraId="4AA410E3" w14:textId="77777777" w:rsidR="00806132" w:rsidRPr="00F67C70" w:rsidRDefault="009F2361">
      <w:pPr>
        <w:shd w:val="clear" w:color="auto" w:fill="FFFFFF"/>
        <w:spacing w:after="280" w:line="360" w:lineRule="auto"/>
        <w:jc w:val="both"/>
        <w:rPr>
          <w:rFonts w:ascii="Palatino Linotype" w:eastAsia="Palatino Linotype" w:hAnsi="Palatino Linotype" w:cs="Palatino Linotype"/>
          <w:color w:val="222222"/>
        </w:rPr>
      </w:pPr>
      <w:r w:rsidRPr="00F67C70">
        <w:rPr>
          <w:rFonts w:ascii="Palatino Linotype" w:eastAsia="Palatino Linotype" w:hAnsi="Palatino Linotype" w:cs="Palatino Linotype"/>
          <w:color w:val="222222"/>
        </w:rPr>
        <w:t>Adicional, tenemos que la Ley de Transparencia y Acceso a la Información Pública del Estado de México y Municipios, prevé en su artículo 23, lo siguiente:</w:t>
      </w:r>
    </w:p>
    <w:p w14:paraId="1328BEB7" w14:textId="77777777" w:rsidR="00806132" w:rsidRPr="00F67C70" w:rsidRDefault="009F2361">
      <w:pPr>
        <w:spacing w:before="280"/>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lastRenderedPageBreak/>
        <w:t>“</w:t>
      </w:r>
      <w:r w:rsidRPr="00F67C70">
        <w:rPr>
          <w:rFonts w:ascii="Palatino Linotype" w:eastAsia="Palatino Linotype" w:hAnsi="Palatino Linotype" w:cs="Palatino Linotype"/>
          <w:b/>
          <w:i/>
          <w:color w:val="000000"/>
          <w:sz w:val="22"/>
          <w:szCs w:val="22"/>
        </w:rPr>
        <w:t xml:space="preserve">Artículo 23. Son sujetos obligados a transparentar y permitir el acceso a su información </w:t>
      </w:r>
      <w:r w:rsidRPr="00F67C70">
        <w:rPr>
          <w:rFonts w:ascii="Palatino Linotype" w:eastAsia="Palatino Linotype" w:hAnsi="Palatino Linotype" w:cs="Palatino Linotype"/>
          <w:i/>
          <w:color w:val="000000"/>
          <w:sz w:val="22"/>
          <w:szCs w:val="22"/>
        </w:rPr>
        <w:t>y proteger los datos personales que obren en su poder:</w:t>
      </w:r>
    </w:p>
    <w:p w14:paraId="1D293BB0"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 El Poder Ejecutivo del Estado de México, las dependencias, organismos auxiliares, órganos, entidades, fideicomisos y fondos públicos, así como la Procuraduría General de Justicia;</w:t>
      </w:r>
    </w:p>
    <w:p w14:paraId="51E3942C"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II. El Poder Legislativo del Estado, los organismos, órganos y entidades de la Legislatura y sus dependencias;</w:t>
      </w:r>
    </w:p>
    <w:p w14:paraId="22B82F88"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III. El Poder Judicial, sus organismos, órganos y entidades, así como el Consejo de la Judicatura del Estado;</w:t>
      </w:r>
    </w:p>
    <w:p w14:paraId="0F043C31" w14:textId="77777777" w:rsidR="00806132" w:rsidRPr="00F67C70" w:rsidRDefault="009F2361">
      <w:pPr>
        <w:ind w:left="851" w:right="901"/>
        <w:jc w:val="both"/>
        <w:rPr>
          <w:rFonts w:ascii="Palatino Linotype" w:eastAsia="Palatino Linotype" w:hAnsi="Palatino Linotype" w:cs="Palatino Linotype"/>
          <w:b/>
          <w:i/>
          <w:color w:val="000000"/>
          <w:sz w:val="22"/>
          <w:szCs w:val="22"/>
        </w:rPr>
      </w:pPr>
      <w:r w:rsidRPr="00F67C70">
        <w:rPr>
          <w:rFonts w:ascii="Palatino Linotype" w:eastAsia="Palatino Linotype" w:hAnsi="Palatino Linotype" w:cs="Palatino Linotype"/>
          <w:b/>
          <w:i/>
          <w:color w:val="000000"/>
          <w:sz w:val="22"/>
          <w:szCs w:val="22"/>
        </w:rPr>
        <w:t>IV. Los ayuntamientos y las dependencias, organismos, órganos y entidades de la administración municipal;</w:t>
      </w:r>
    </w:p>
    <w:p w14:paraId="3085D7BA"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 Los órganos autónomos;</w:t>
      </w:r>
    </w:p>
    <w:p w14:paraId="19B1CFB1"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 Los tribunales administrativos y autoridades jurisdiccionales en materia laboral;</w:t>
      </w:r>
    </w:p>
    <w:p w14:paraId="557979F7"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VII. Los partidos políticos y agrupaciones políticas, en los términos de las disposiciones aplicables;</w:t>
      </w:r>
    </w:p>
    <w:p w14:paraId="3048C934"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VIII. Los fideicomisos y fondos públicos que cuenten con financiamiento público, parcial o total, o con participación de entidades de gobierno;</w:t>
      </w:r>
    </w:p>
    <w:p w14:paraId="735BACE0"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IX. Los sindicatos que reciban y/o ejerzan recursos públicos en el ámbito estatal y municipal;</w:t>
      </w:r>
    </w:p>
    <w:p w14:paraId="1F03F72D"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X. Cualquier persona física o jurídico colectiva que reciba y ejerza recursos públicos en el ámbito estatal o municipal; y</w:t>
      </w:r>
    </w:p>
    <w:p w14:paraId="762E3F1A"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XI. Cualquier otra autoridad, entidad, órgano u organismo de los poderes estatal o municipal, que reciba recursos públicos.</w:t>
      </w:r>
    </w:p>
    <w:p w14:paraId="6737CCC4" w14:textId="77777777" w:rsidR="00806132" w:rsidRPr="00F67C70" w:rsidRDefault="009F2361">
      <w:pPr>
        <w:ind w:left="851" w:right="901"/>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62B77303" w14:textId="77777777" w:rsidR="00806132" w:rsidRPr="00F67C70" w:rsidRDefault="009F2361">
      <w:pPr>
        <w:spacing w:after="280"/>
        <w:ind w:left="851" w:right="902"/>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Los servidores públicos deberán transparentar sus acciones así como garantizar y respetar el derecho de acceso a la información pública.”</w:t>
      </w:r>
    </w:p>
    <w:p w14:paraId="32C424F0" w14:textId="77777777" w:rsidR="00806132" w:rsidRPr="00F67C70" w:rsidRDefault="009F2361">
      <w:pPr>
        <w:spacing w:before="280" w:after="280"/>
        <w:ind w:left="851" w:right="902"/>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(Énfasis añadido)</w:t>
      </w:r>
    </w:p>
    <w:p w14:paraId="29C9E5C7" w14:textId="77777777" w:rsidR="00806132" w:rsidRPr="00F67C70" w:rsidRDefault="009F2361">
      <w:pPr>
        <w:shd w:val="clear" w:color="auto" w:fill="FFFFFF"/>
        <w:spacing w:before="280" w:after="280" w:line="360" w:lineRule="auto"/>
        <w:jc w:val="both"/>
        <w:rPr>
          <w:rFonts w:ascii="Palatino Linotype" w:eastAsia="Palatino Linotype" w:hAnsi="Palatino Linotype" w:cs="Palatino Linotype"/>
          <w:color w:val="222222"/>
        </w:rPr>
      </w:pPr>
      <w:r w:rsidRPr="00F67C70">
        <w:rPr>
          <w:rFonts w:ascii="Palatino Linotype" w:eastAsia="Palatino Linotype" w:hAnsi="Palatino Linotype" w:cs="Palatino Linotype"/>
          <w:color w:val="2222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w:t>
      </w:r>
      <w:r w:rsidRPr="00F67C70">
        <w:rPr>
          <w:rFonts w:ascii="Palatino Linotype" w:eastAsia="Palatino Linotype" w:hAnsi="Palatino Linotype" w:cs="Palatino Linotype"/>
          <w:color w:val="222222"/>
        </w:rPr>
        <w:lastRenderedPageBreak/>
        <w:t>la Ciudad de México, o Municipales, con el fin de que los particulares conozcan toda aquella información que es considerada como pública.</w:t>
      </w:r>
    </w:p>
    <w:p w14:paraId="4180CDEC" w14:textId="77777777" w:rsidR="00806132" w:rsidRPr="00F67C70" w:rsidRDefault="009F2361">
      <w:pPr>
        <w:widowControl w:val="0"/>
        <w:spacing w:before="240" w:after="24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Aunado a lo anterior, los artículos 342, 343, 344 y 345 del Código Financiero del Estado de México y Municipios disponen el sistema y las políticas que deben seguirse para llevar el </w:t>
      </w:r>
      <w:r w:rsidRPr="00F67C70">
        <w:rPr>
          <w:rFonts w:ascii="Palatino Linotype" w:eastAsia="Palatino Linotype" w:hAnsi="Palatino Linotype" w:cs="Palatino Linotype"/>
          <w:b/>
        </w:rPr>
        <w:t>registro contable y presupuestal</w:t>
      </w:r>
      <w:r w:rsidRPr="00F67C70">
        <w:rPr>
          <w:rFonts w:ascii="Palatino Linotype" w:eastAsia="Palatino Linotype" w:hAnsi="Palatino Linotype" w:cs="Palatino Linotype"/>
        </w:rPr>
        <w:t xml:space="preserve"> de las operaciones financieras, en los siguientes términos:</w:t>
      </w:r>
    </w:p>
    <w:p w14:paraId="0568AD48" w14:textId="77777777" w:rsidR="00806132" w:rsidRPr="00F67C70" w:rsidRDefault="009F2361">
      <w:pPr>
        <w:ind w:left="851" w:right="850"/>
        <w:jc w:val="both"/>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i/>
          <w:color w:val="000000"/>
          <w:sz w:val="22"/>
          <w:szCs w:val="22"/>
        </w:rPr>
        <w:t>“</w:t>
      </w:r>
      <w:r w:rsidRPr="00F67C70">
        <w:rPr>
          <w:rFonts w:ascii="Palatino Linotype" w:eastAsia="Palatino Linotype" w:hAnsi="Palatino Linotype" w:cs="Palatino Linotype"/>
          <w:b/>
          <w:i/>
          <w:sz w:val="22"/>
          <w:szCs w:val="22"/>
        </w:rPr>
        <w:t>Artículo 342.-</w:t>
      </w:r>
      <w:r w:rsidRPr="00F67C70">
        <w:rPr>
          <w:rFonts w:ascii="Palatino Linotype" w:eastAsia="Palatino Linotype" w:hAnsi="Palatino Linotype" w:cs="Palatino Linotype"/>
          <w:i/>
          <w:sz w:val="22"/>
          <w:szCs w:val="22"/>
        </w:rPr>
        <w:t xml:space="preserve"> </w:t>
      </w:r>
      <w:r w:rsidRPr="00F67C70">
        <w:rPr>
          <w:rFonts w:ascii="Palatino Linotype" w:eastAsia="Palatino Linotype" w:hAnsi="Palatino Linotype" w:cs="Palatino Linotype"/>
          <w:b/>
          <w:i/>
          <w:sz w:val="22"/>
          <w:szCs w:val="22"/>
        </w:rPr>
        <w:t xml:space="preserve">El registro contable del efecto patrimonial y presupuestal de las operaciones financieras, se realizará conforme al sistema y a las disposiciones que se aprueben en materia </w:t>
      </w:r>
      <w:r w:rsidRPr="00F67C70">
        <w:rPr>
          <w:rFonts w:ascii="Palatino Linotype" w:eastAsia="Palatino Linotype" w:hAnsi="Palatino Linotype" w:cs="Palatino Linotype"/>
          <w:i/>
          <w:sz w:val="22"/>
          <w:szCs w:val="22"/>
        </w:rPr>
        <w:t xml:space="preserve">de </w:t>
      </w:r>
      <w:r w:rsidRPr="00F67C70">
        <w:rPr>
          <w:rFonts w:ascii="Palatino Linotype" w:eastAsia="Palatino Linotype" w:hAnsi="Palatino Linotype" w:cs="Palatino Linotype"/>
          <w:i/>
          <w:color w:val="000000"/>
          <w:sz w:val="22"/>
          <w:szCs w:val="22"/>
        </w:rPr>
        <w:t>planeación</w:t>
      </w: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b/>
          <w:i/>
          <w:sz w:val="22"/>
          <w:szCs w:val="22"/>
        </w:rPr>
        <w:t xml:space="preserve"> programación, presupuestación</w:t>
      </w:r>
      <w:r w:rsidRPr="00F67C70">
        <w:rPr>
          <w:rFonts w:ascii="Palatino Linotype" w:eastAsia="Palatino Linotype" w:hAnsi="Palatino Linotype" w:cs="Palatino Linotype"/>
          <w:i/>
          <w:sz w:val="22"/>
          <w:szCs w:val="22"/>
        </w:rPr>
        <w:t xml:space="preserve">, evaluación y </w:t>
      </w:r>
      <w:r w:rsidRPr="00F67C70">
        <w:rPr>
          <w:rFonts w:ascii="Palatino Linotype" w:eastAsia="Palatino Linotype" w:hAnsi="Palatino Linotype" w:cs="Palatino Linotype"/>
          <w:b/>
          <w:i/>
          <w:color w:val="000000"/>
          <w:sz w:val="22"/>
          <w:szCs w:val="22"/>
        </w:rPr>
        <w:t>contabilidad</w:t>
      </w:r>
      <w:r w:rsidRPr="00F67C70">
        <w:rPr>
          <w:rFonts w:ascii="Palatino Linotype" w:eastAsia="Palatino Linotype" w:hAnsi="Palatino Linotype" w:cs="Palatino Linotype"/>
          <w:b/>
          <w:i/>
          <w:sz w:val="22"/>
          <w:szCs w:val="22"/>
        </w:rPr>
        <w:t xml:space="preserve"> gubernamental.</w:t>
      </w:r>
      <w:r w:rsidRPr="00F67C70">
        <w:rPr>
          <w:rFonts w:ascii="Palatino Linotype" w:eastAsia="Palatino Linotype" w:hAnsi="Palatino Linotype" w:cs="Palatino Linotype"/>
          <w:i/>
          <w:sz w:val="22"/>
          <w:szCs w:val="22"/>
        </w:rPr>
        <w:t xml:space="preserve"> </w:t>
      </w:r>
    </w:p>
    <w:p w14:paraId="1BCC4EC4" w14:textId="77777777" w:rsidR="00806132" w:rsidRPr="00F67C70" w:rsidRDefault="009F2361">
      <w:pPr>
        <w:ind w:left="851" w:right="850"/>
        <w:jc w:val="both"/>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b/>
          <w:i/>
          <w:color w:val="000000"/>
          <w:sz w:val="22"/>
          <w:szCs w:val="22"/>
        </w:rPr>
        <w:t>…</w:t>
      </w:r>
    </w:p>
    <w:p w14:paraId="07F6841B" w14:textId="77777777" w:rsidR="00806132" w:rsidRPr="00F67C70" w:rsidRDefault="009F2361">
      <w:pPr>
        <w:ind w:left="851" w:right="850"/>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343.-</w:t>
      </w:r>
      <w:r w:rsidRPr="00F67C70">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1736BD8D" w14:textId="77777777" w:rsidR="00806132" w:rsidRPr="00F67C70" w:rsidRDefault="009F2361">
      <w:pPr>
        <w:ind w:left="851" w:right="850"/>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2A12977A" w14:textId="77777777" w:rsidR="00806132" w:rsidRPr="00F67C70" w:rsidRDefault="00806132">
      <w:pPr>
        <w:ind w:left="851" w:right="850"/>
        <w:jc w:val="both"/>
        <w:rPr>
          <w:rFonts w:ascii="Palatino Linotype" w:eastAsia="Palatino Linotype" w:hAnsi="Palatino Linotype" w:cs="Palatino Linotype"/>
          <w:i/>
          <w:sz w:val="22"/>
          <w:szCs w:val="22"/>
        </w:rPr>
      </w:pPr>
    </w:p>
    <w:p w14:paraId="2649E137" w14:textId="77777777" w:rsidR="00806132" w:rsidRPr="00F67C70" w:rsidRDefault="009F2361">
      <w:pPr>
        <w:ind w:left="851" w:right="850"/>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F67C70">
        <w:rPr>
          <w:rFonts w:ascii="Palatino Linotype" w:eastAsia="Palatino Linotype" w:hAnsi="Palatino Linotype" w:cs="Palatino Linotype"/>
          <w:i/>
          <w:sz w:val="22"/>
          <w:szCs w:val="22"/>
        </w:rPr>
        <w:t xml:space="preserve">en el caso de los Municipios se hará por la Tesorería. </w:t>
      </w:r>
    </w:p>
    <w:p w14:paraId="7B51AFCD" w14:textId="77777777" w:rsidR="00806132" w:rsidRPr="00F67C70" w:rsidRDefault="009F2361">
      <w:pPr>
        <w:ind w:left="851" w:right="51"/>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 xml:space="preserve">Derogado. </w:t>
      </w:r>
    </w:p>
    <w:p w14:paraId="07D24DDA" w14:textId="77777777" w:rsidR="00806132" w:rsidRPr="00F67C70" w:rsidRDefault="009F2361">
      <w:pPr>
        <w:ind w:left="851" w:right="850"/>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F67C70">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2A0159C5" w14:textId="77777777" w:rsidR="00806132" w:rsidRPr="00F67C70" w:rsidRDefault="009F2361">
      <w:pPr>
        <w:ind w:left="851" w:right="51"/>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lastRenderedPageBreak/>
        <w:t>…</w:t>
      </w:r>
    </w:p>
    <w:p w14:paraId="10DDAF8A" w14:textId="77777777" w:rsidR="00806132" w:rsidRPr="00F67C70" w:rsidRDefault="009F2361">
      <w:pPr>
        <w:ind w:left="851" w:right="850"/>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345.-</w:t>
      </w:r>
      <w:r w:rsidRPr="00F67C70">
        <w:rPr>
          <w:rFonts w:ascii="Palatino Linotype" w:eastAsia="Palatino Linotype" w:hAnsi="Palatino Linotype" w:cs="Palatino Linotype"/>
          <w:i/>
          <w:sz w:val="22"/>
          <w:szCs w:val="22"/>
        </w:rPr>
        <w:t xml:space="preserve"> </w:t>
      </w:r>
      <w:r w:rsidRPr="00F67C70">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F67C70">
        <w:rPr>
          <w:rFonts w:ascii="Palatino Linotype" w:eastAsia="Palatino Linotype" w:hAnsi="Palatino Linotype" w:cs="Palatino Linotype"/>
          <w:i/>
          <w:sz w:val="22"/>
          <w:szCs w:val="22"/>
        </w:rPr>
        <w:t xml:space="preserve">, la remitirán en un plazo que no excederá de seis meses al Archivo Contable Gubernamental. </w:t>
      </w:r>
      <w:r w:rsidRPr="00F67C70">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F67C70">
        <w:rPr>
          <w:rFonts w:ascii="Palatino Linotype" w:eastAsia="Palatino Linotype" w:hAnsi="Palatino Linotype" w:cs="Palatino Linotype"/>
          <w:i/>
          <w:sz w:val="22"/>
          <w:szCs w:val="22"/>
        </w:rPr>
        <w:t xml:space="preserve">. </w:t>
      </w:r>
    </w:p>
    <w:p w14:paraId="23A3F3DC" w14:textId="77777777" w:rsidR="00806132" w:rsidRPr="00F67C70" w:rsidRDefault="00806132">
      <w:pPr>
        <w:ind w:left="851" w:right="850"/>
        <w:jc w:val="both"/>
        <w:rPr>
          <w:rFonts w:ascii="Palatino Linotype" w:eastAsia="Palatino Linotype" w:hAnsi="Palatino Linotype" w:cs="Palatino Linotype"/>
          <w:i/>
          <w:sz w:val="22"/>
          <w:szCs w:val="22"/>
        </w:rPr>
      </w:pPr>
    </w:p>
    <w:p w14:paraId="63CF17A3" w14:textId="77777777" w:rsidR="00806132" w:rsidRPr="00F67C70" w:rsidRDefault="009F2361">
      <w:pPr>
        <w:ind w:left="851" w:right="850"/>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sz w:val="22"/>
          <w:szCs w:val="22"/>
        </w:rPr>
        <w:t>El plazo señalado en el párrafo anterior, empezará a contar a partir de la publicación en el Periódico Oficial, del decreto correspondiente.</w:t>
      </w:r>
      <w:r w:rsidRPr="00F67C70">
        <w:rPr>
          <w:rFonts w:ascii="Palatino Linotype" w:eastAsia="Palatino Linotype" w:hAnsi="Palatino Linotype" w:cs="Palatino Linotype"/>
          <w:i/>
          <w:color w:val="000000"/>
          <w:sz w:val="22"/>
          <w:szCs w:val="22"/>
        </w:rPr>
        <w:t xml:space="preserve"> “</w:t>
      </w:r>
    </w:p>
    <w:p w14:paraId="1ACAA474" w14:textId="77777777" w:rsidR="00806132" w:rsidRPr="00F67C70" w:rsidRDefault="00806132">
      <w:pPr>
        <w:ind w:left="851" w:right="850"/>
        <w:jc w:val="both"/>
        <w:rPr>
          <w:rFonts w:ascii="Palatino Linotype" w:eastAsia="Palatino Linotype" w:hAnsi="Palatino Linotype" w:cs="Palatino Linotype"/>
          <w:i/>
          <w:color w:val="000000"/>
          <w:sz w:val="22"/>
          <w:szCs w:val="22"/>
        </w:rPr>
      </w:pPr>
    </w:p>
    <w:p w14:paraId="6B13C09E" w14:textId="77777777" w:rsidR="00806132" w:rsidRPr="00F67C70" w:rsidRDefault="009F2361">
      <w:pPr>
        <w:ind w:left="851" w:right="850"/>
        <w:jc w:val="both"/>
        <w:rPr>
          <w:rFonts w:ascii="Palatino Linotype" w:eastAsia="Palatino Linotype" w:hAnsi="Palatino Linotype" w:cs="Palatino Linotype"/>
          <w:i/>
          <w:color w:val="000000"/>
          <w:sz w:val="22"/>
          <w:szCs w:val="22"/>
        </w:rPr>
      </w:pPr>
      <w:r w:rsidRPr="00F67C70">
        <w:rPr>
          <w:rFonts w:ascii="Palatino Linotype" w:eastAsia="Palatino Linotype" w:hAnsi="Palatino Linotype" w:cs="Palatino Linotype"/>
          <w:i/>
          <w:color w:val="000000"/>
          <w:sz w:val="22"/>
          <w:szCs w:val="22"/>
        </w:rPr>
        <w:t>(Énfasis añadido)</w:t>
      </w:r>
    </w:p>
    <w:p w14:paraId="6FD15C5D" w14:textId="77777777" w:rsidR="00806132" w:rsidRPr="00F67C70" w:rsidRDefault="009F2361">
      <w:pP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rPr>
        <w:t>De una interpretación sistemática de los artículos transcritos, se desprende primeramente que el</w:t>
      </w:r>
      <w:r w:rsidRPr="00F67C70">
        <w:rPr>
          <w:rFonts w:ascii="Palatino Linotype" w:eastAsia="Palatino Linotype" w:hAnsi="Palatino Linotype" w:cs="Palatino Linotype"/>
          <w:color w:val="000000"/>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4DD15C70" w14:textId="77777777" w:rsidR="00806132" w:rsidRPr="00F67C70" w:rsidRDefault="009F2361">
      <w:pPr>
        <w:spacing w:before="240" w:after="24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w:t>
      </w:r>
      <w:r w:rsidRPr="00F67C70">
        <w:rPr>
          <w:rFonts w:ascii="Palatino Linotype" w:eastAsia="Palatino Linotype" w:hAnsi="Palatino Linotype" w:cs="Palatino Linotype"/>
        </w:rPr>
        <w:lastRenderedPageBreak/>
        <w:t xml:space="preserve">Instituto para el Desarrollo Técnico de las Haciendas Públicas (INDETEC) señalan las siguientes definiciones de las palabras registro contable y registro presupuestario: </w:t>
      </w:r>
    </w:p>
    <w:p w14:paraId="73D409E1" w14:textId="77777777" w:rsidR="00806132" w:rsidRPr="00F67C70" w:rsidRDefault="009F2361">
      <w:pPr>
        <w:ind w:left="851" w:right="899"/>
        <w:jc w:val="both"/>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b/>
          <w:i/>
        </w:rPr>
        <w:t>“</w:t>
      </w:r>
      <w:r w:rsidRPr="00F67C70">
        <w:rPr>
          <w:rFonts w:ascii="Palatino Linotype" w:eastAsia="Palatino Linotype" w:hAnsi="Palatino Linotype" w:cs="Palatino Linotype"/>
          <w:b/>
          <w:i/>
          <w:sz w:val="22"/>
          <w:szCs w:val="22"/>
        </w:rPr>
        <w:t xml:space="preserve">REGISTRO CONTABLE </w:t>
      </w:r>
    </w:p>
    <w:p w14:paraId="288BEABC"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1AB8FAA7" w14:textId="77777777" w:rsidR="00806132" w:rsidRPr="00F67C70" w:rsidRDefault="00806132">
      <w:pPr>
        <w:ind w:left="851" w:right="899"/>
        <w:jc w:val="both"/>
        <w:rPr>
          <w:rFonts w:ascii="Palatino Linotype" w:eastAsia="Palatino Linotype" w:hAnsi="Palatino Linotype" w:cs="Palatino Linotype"/>
          <w:b/>
          <w:i/>
          <w:sz w:val="22"/>
          <w:szCs w:val="22"/>
        </w:rPr>
      </w:pPr>
    </w:p>
    <w:p w14:paraId="45748FAA" w14:textId="77777777" w:rsidR="00806132" w:rsidRPr="00F67C70" w:rsidRDefault="009F2361">
      <w:pPr>
        <w:ind w:left="851" w:right="899"/>
        <w:jc w:val="both"/>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b/>
          <w:i/>
          <w:sz w:val="22"/>
          <w:szCs w:val="22"/>
        </w:rPr>
        <w:t>“REGISTRO PRESUPUESTARIO</w:t>
      </w:r>
    </w:p>
    <w:p w14:paraId="23B85309"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Asiento contable de las erogaciones realizadas por las dependencias y entidades con relación a la asignación, modificación y ejercicio de los recursos presupuestarios que se les hayan autorizado.” (Sic)</w:t>
      </w:r>
    </w:p>
    <w:p w14:paraId="715657C8" w14:textId="77777777" w:rsidR="00806132" w:rsidRPr="00F67C70" w:rsidRDefault="009F2361">
      <w:pP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Por otra parte, se establece que el sistema de contabilidad sobre base acumulativa total se sustentará en los principios de contabilidad gubernamental.</w:t>
      </w:r>
    </w:p>
    <w:p w14:paraId="187299DB" w14:textId="77777777" w:rsidR="00806132" w:rsidRPr="00F67C70" w:rsidRDefault="009F2361">
      <w:pP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7F852652" w14:textId="77777777" w:rsidR="00806132" w:rsidRPr="00F67C70" w:rsidRDefault="009F2361">
      <w:pPr>
        <w:spacing w:before="240" w:after="24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Correlativo a lo anterior, es preciso referir una definición de </w:t>
      </w:r>
      <w:r w:rsidRPr="00F67C70">
        <w:rPr>
          <w:rFonts w:ascii="Palatino Linotype" w:eastAsia="Palatino Linotype" w:hAnsi="Palatino Linotype" w:cs="Palatino Linotype"/>
          <w:i/>
        </w:rPr>
        <w:t>póliza contable</w:t>
      </w:r>
      <w:r w:rsidRPr="00F67C70">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321C07BC" w14:textId="77777777" w:rsidR="00806132" w:rsidRPr="00F67C70" w:rsidRDefault="009F2361">
      <w:pPr>
        <w:ind w:left="851" w:right="902"/>
        <w:jc w:val="both"/>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b/>
          <w:i/>
          <w:sz w:val="22"/>
          <w:szCs w:val="22"/>
        </w:rPr>
        <w:t>PÓLIZA CONTABLE</w:t>
      </w:r>
    </w:p>
    <w:p w14:paraId="78617928" w14:textId="77777777" w:rsidR="00806132" w:rsidRPr="00F67C70" w:rsidRDefault="009F2361">
      <w:pPr>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(sic)</w:t>
      </w:r>
    </w:p>
    <w:p w14:paraId="4E71E6C5" w14:textId="77777777" w:rsidR="00806132" w:rsidRPr="00F67C70" w:rsidRDefault="009F2361">
      <w:pPr>
        <w:spacing w:before="240" w:after="24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Así, se advierte que la </w:t>
      </w:r>
      <w:r w:rsidRPr="00F67C70">
        <w:rPr>
          <w:rFonts w:ascii="Palatino Linotype" w:eastAsia="Palatino Linotype" w:hAnsi="Palatino Linotype" w:cs="Palatino Linotype"/>
          <w:i/>
        </w:rPr>
        <w:t>póliza contable</w:t>
      </w:r>
      <w:r w:rsidRPr="00F67C70">
        <w:rPr>
          <w:rFonts w:ascii="Palatino Linotype" w:eastAsia="Palatino Linotype" w:hAnsi="Palatino Linotype" w:cs="Palatino Linotype"/>
        </w:rPr>
        <w:t xml:space="preserve"> constituye un registro contable y presupuestal con el que cuentan los Municipios para el registro de sus operaciones relacionadas </w:t>
      </w:r>
      <w:r w:rsidRPr="00F67C70">
        <w:rPr>
          <w:rFonts w:ascii="Palatino Linotype" w:eastAsia="Palatino Linotype" w:hAnsi="Palatino Linotype" w:cs="Palatino Linotype"/>
        </w:rPr>
        <w:lastRenderedPageBreak/>
        <w:t>con sus ingresos y egresos y se anexan los documentos o comprobantes que justifiquen las anotaciones y cantidades en ellas registradas, lo que permite la identificación plena de dichas operaciones.</w:t>
      </w:r>
    </w:p>
    <w:p w14:paraId="02AEFB7F" w14:textId="77777777" w:rsidR="00806132" w:rsidRPr="00F67C70" w:rsidRDefault="009F2361">
      <w:pPr>
        <w:spacing w:before="240" w:after="240" w:line="360" w:lineRule="auto"/>
        <w:jc w:val="both"/>
        <w:rPr>
          <w:rFonts w:ascii="Palatino Linotype" w:eastAsia="Palatino Linotype" w:hAnsi="Palatino Linotype" w:cs="Palatino Linotype"/>
          <w:b/>
        </w:rPr>
      </w:pPr>
      <w:r w:rsidRPr="00F67C70">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F67C70">
        <w:rPr>
          <w:rFonts w:ascii="Palatino Linotype" w:eastAsia="Palatino Linotype" w:hAnsi="Palatino Linotype" w:cs="Palatino Linotype"/>
          <w:i/>
        </w:rPr>
        <w:t>pólizas de egresos</w:t>
      </w:r>
      <w:r w:rsidRPr="00F67C70">
        <w:rPr>
          <w:rFonts w:ascii="Palatino Linotype" w:eastAsia="Palatino Linotype" w:hAnsi="Palatino Linotype" w:cs="Palatino Linotype"/>
        </w:rPr>
        <w:t xml:space="preserve">, son aquellas en las cuales se anotan diariamente las operaciones que representan gastos, es decir, salidas de dinero para </w:t>
      </w:r>
      <w:r w:rsidRPr="00F67C70">
        <w:rPr>
          <w:rFonts w:ascii="Palatino Linotype" w:eastAsia="Palatino Linotype" w:hAnsi="Palatino Linotype" w:cs="Palatino Linotype"/>
          <w:b/>
        </w:rPr>
        <w:t>EL SUJETO OBLIGADO</w:t>
      </w:r>
      <w:r w:rsidRPr="00F67C70">
        <w:rPr>
          <w:rFonts w:ascii="Palatino Linotype" w:eastAsia="Palatino Linotype" w:hAnsi="Palatino Linotype" w:cs="Palatino Linotype"/>
        </w:rPr>
        <w:t xml:space="preserve">, las que además, deben encontrarse acompañadas </w:t>
      </w:r>
      <w:r w:rsidRPr="00F67C70">
        <w:rPr>
          <w:rFonts w:ascii="Palatino Linotype" w:eastAsia="Palatino Linotype" w:hAnsi="Palatino Linotype" w:cs="Palatino Linotype"/>
          <w:b/>
        </w:rPr>
        <w:t xml:space="preserve">de las documentales que sirven de soporte de dicho movimiento. </w:t>
      </w:r>
    </w:p>
    <w:p w14:paraId="0DF2E825" w14:textId="77777777" w:rsidR="00806132" w:rsidRPr="00F67C70" w:rsidRDefault="009F2361">
      <w:pPr>
        <w:spacing w:before="240" w:after="24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color w:val="000000"/>
        </w:rPr>
        <w:t>Bajo ese contexto, el Instructivo del Módulo I para la Integración del Informe Trimestral de los Sujetos de Fiscalización Municipales para el Ejercicio 2021, contiene los formatos e información que debe ser proporcionada para la integración de los informes trimestrales en el Submódulo-Pólizas</w:t>
      </w:r>
      <w:r w:rsidRPr="00F67C70">
        <w:rPr>
          <w:rFonts w:ascii="Palatino Linotype" w:eastAsia="Palatino Linotype" w:hAnsi="Palatino Linotype" w:cs="Palatino Linotype"/>
        </w:rPr>
        <w:t xml:space="preserve">, siendo uno de ellos la información relativa a las </w:t>
      </w:r>
      <w:r w:rsidRPr="00F67C70">
        <w:rPr>
          <w:rFonts w:ascii="Palatino Linotype" w:eastAsia="Palatino Linotype" w:hAnsi="Palatino Linotype" w:cs="Palatino Linotype"/>
          <w:i/>
        </w:rPr>
        <w:t>pólizas de egresos con los documentos comprobatorios,</w:t>
      </w:r>
      <w:r w:rsidRPr="00F67C70">
        <w:rPr>
          <w:rFonts w:ascii="Palatino Linotype" w:eastAsia="Palatino Linotype" w:hAnsi="Palatino Linotype" w:cs="Palatino Linotype"/>
        </w:rPr>
        <w:t xml:space="preserve"> de tal manera que, dichos formatos constituyen un soporte documental de que la información solicitada por el hoy </w:t>
      </w:r>
      <w:r w:rsidRPr="00F67C70">
        <w:rPr>
          <w:rFonts w:ascii="Palatino Linotype" w:eastAsia="Palatino Linotype" w:hAnsi="Palatino Linotype" w:cs="Palatino Linotype"/>
          <w:b/>
        </w:rPr>
        <w:t>RECURRENTE</w:t>
      </w:r>
      <w:r w:rsidRPr="00F67C70">
        <w:rPr>
          <w:rFonts w:ascii="Palatino Linotype" w:eastAsia="Palatino Linotype" w:hAnsi="Palatino Linotype" w:cs="Palatino Linotype"/>
        </w:rPr>
        <w:t xml:space="preserve"> obra en los archivos del </w:t>
      </w:r>
      <w:r w:rsidRPr="00F67C70">
        <w:rPr>
          <w:rFonts w:ascii="Palatino Linotype" w:eastAsia="Palatino Linotype" w:hAnsi="Palatino Linotype" w:cs="Palatino Linotype"/>
          <w:b/>
        </w:rPr>
        <w:t>SUJETO OBLIGADO</w:t>
      </w:r>
      <w:r w:rsidRPr="00F67C70">
        <w:rPr>
          <w:rFonts w:ascii="Palatino Linotype" w:eastAsia="Palatino Linotype" w:hAnsi="Palatino Linotype" w:cs="Palatino Linotype"/>
        </w:rPr>
        <w:t>, insertando a manera de referencia, el formato correspondiente:</w:t>
      </w:r>
    </w:p>
    <w:p w14:paraId="3AC07EFA" w14:textId="77777777" w:rsidR="00806132" w:rsidRPr="00F67C70" w:rsidRDefault="009F2361">
      <w:pPr>
        <w:spacing w:before="240" w:after="240" w:line="360" w:lineRule="auto"/>
        <w:jc w:val="center"/>
        <w:rPr>
          <w:rFonts w:ascii="Palatino Linotype" w:eastAsia="Palatino Linotype" w:hAnsi="Palatino Linotype" w:cs="Palatino Linotype"/>
          <w:color w:val="000000"/>
        </w:rPr>
      </w:pPr>
      <w:r w:rsidRPr="00F67C70">
        <w:rPr>
          <w:noProof/>
        </w:rPr>
        <w:lastRenderedPageBreak/>
        <w:drawing>
          <wp:inline distT="0" distB="0" distL="0" distR="0" wp14:anchorId="03C961EC" wp14:editId="5FBE5554">
            <wp:extent cx="5395558" cy="314038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l="14950" t="34250" r="54425" b="34045"/>
                    <a:stretch>
                      <a:fillRect/>
                    </a:stretch>
                  </pic:blipFill>
                  <pic:spPr>
                    <a:xfrm>
                      <a:off x="0" y="0"/>
                      <a:ext cx="5395558" cy="3140387"/>
                    </a:xfrm>
                    <a:prstGeom prst="rect">
                      <a:avLst/>
                    </a:prstGeom>
                    <a:ln/>
                  </pic:spPr>
                </pic:pic>
              </a:graphicData>
            </a:graphic>
          </wp:inline>
        </w:drawing>
      </w:r>
    </w:p>
    <w:p w14:paraId="05D41BC2" w14:textId="77777777" w:rsidR="00806132" w:rsidRPr="00F67C70" w:rsidRDefault="009F2361">
      <w:pPr>
        <w:spacing w:before="240" w:after="240" w:line="360" w:lineRule="auto"/>
        <w:jc w:val="center"/>
        <w:rPr>
          <w:rFonts w:ascii="Palatino Linotype" w:eastAsia="Palatino Linotype" w:hAnsi="Palatino Linotype" w:cs="Palatino Linotype"/>
          <w:color w:val="000000"/>
        </w:rPr>
      </w:pPr>
      <w:r w:rsidRPr="00F67C70">
        <w:rPr>
          <w:noProof/>
        </w:rPr>
        <w:lastRenderedPageBreak/>
        <w:drawing>
          <wp:inline distT="0" distB="0" distL="0" distR="0" wp14:anchorId="23DC5301" wp14:editId="56691EE2">
            <wp:extent cx="5076071" cy="5282654"/>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l="30858" t="16594" r="27988" b="7226"/>
                    <a:stretch>
                      <a:fillRect/>
                    </a:stretch>
                  </pic:blipFill>
                  <pic:spPr>
                    <a:xfrm>
                      <a:off x="0" y="0"/>
                      <a:ext cx="5076071" cy="5282654"/>
                    </a:xfrm>
                    <a:prstGeom prst="rect">
                      <a:avLst/>
                    </a:prstGeom>
                    <a:ln/>
                  </pic:spPr>
                </pic:pic>
              </a:graphicData>
            </a:graphic>
          </wp:inline>
        </w:drawing>
      </w:r>
    </w:p>
    <w:p w14:paraId="35399A46" w14:textId="77777777" w:rsidR="00806132" w:rsidRPr="00F67C70" w:rsidRDefault="009F2361">
      <w:pP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Sin ser óbice de lo mencionado, es de señalar que la información que es entregada al OSFEM</w:t>
      </w:r>
      <w:r w:rsidRPr="00F67C70">
        <w:rPr>
          <w:rFonts w:ascii="Palatino Linotype" w:eastAsia="Palatino Linotype" w:hAnsi="Palatino Linotype" w:cs="Palatino Linotype"/>
        </w:rPr>
        <w:t>,</w:t>
      </w:r>
      <w:r w:rsidRPr="00F67C70">
        <w:rPr>
          <w:rFonts w:ascii="Palatino Linotype" w:eastAsia="Palatino Linotype" w:hAnsi="Palatino Linotype" w:cs="Palatino Linotype"/>
          <w:color w:val="000000"/>
        </w:rPr>
        <w:t xml:space="preserve"> junto con el Informe Trimestral, si bien se remite dentro de los veinte días posteriores al término del mes correspondiente, también lo es que, la documentación materia de estudio </w:t>
      </w:r>
      <w:r w:rsidRPr="00F67C70">
        <w:rPr>
          <w:rFonts w:ascii="Palatino Linotype" w:eastAsia="Palatino Linotype" w:hAnsi="Palatino Linotype" w:cs="Palatino Linotype"/>
          <w:b/>
          <w:color w:val="000000"/>
        </w:rPr>
        <w:t>debe ser generada y entregada al momento de realizar los movimientos respectivos,</w:t>
      </w:r>
      <w:r w:rsidRPr="00F67C70">
        <w:rPr>
          <w:rFonts w:ascii="Palatino Linotype" w:eastAsia="Palatino Linotype" w:hAnsi="Palatino Linotype" w:cs="Palatino Linotype"/>
          <w:color w:val="000000"/>
        </w:rPr>
        <w:t xml:space="preserve"> por lo que, </w:t>
      </w:r>
      <w:r w:rsidRPr="00F67C70">
        <w:rPr>
          <w:rFonts w:ascii="Palatino Linotype" w:eastAsia="Palatino Linotype" w:hAnsi="Palatino Linotype" w:cs="Palatino Linotype"/>
          <w:b/>
          <w:color w:val="000000"/>
        </w:rPr>
        <w:t xml:space="preserve">debe de obrar en sus archivos las facturas referentes </w:t>
      </w:r>
      <w:r w:rsidRPr="00F67C70">
        <w:rPr>
          <w:rFonts w:ascii="Palatino Linotype" w:eastAsia="Palatino Linotype" w:hAnsi="Palatino Linotype" w:cs="Palatino Linotype"/>
          <w:color w:val="000000"/>
        </w:rPr>
        <w:t xml:space="preserve">de manera enunciativa más no limitativa a las partidas de materiales de </w:t>
      </w:r>
      <w:r w:rsidRPr="00F67C70">
        <w:rPr>
          <w:rFonts w:ascii="Palatino Linotype" w:eastAsia="Palatino Linotype" w:hAnsi="Palatino Linotype" w:cs="Palatino Linotype"/>
          <w:color w:val="000000"/>
        </w:rPr>
        <w:lastRenderedPageBreak/>
        <w:t>administración, emisión de documentos y artículos oficiales (2100); alimentos y utensilios (2200); materiales de construcción y reparación (2400); combustibles, lubricantes y aditivos(2600); materiales y suministros para seguridad (2800); servicios generales (3000); servicios de traslado y viáticos (3700); servicios oficiales (3800); ayudas sociales (4400); mobiliario y equipo de administración  (5100); mobiliario y equipo de administración (5100), entre otras.</w:t>
      </w:r>
    </w:p>
    <w:p w14:paraId="7DE03D20" w14:textId="77777777" w:rsidR="00806132" w:rsidRPr="00F67C70" w:rsidRDefault="009F2361">
      <w:pPr>
        <w:spacing w:before="240" w:after="24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 xml:space="preserve">Cabe destacar, que el ordenamiento legal en cita refiere que todo registro contable y presupuestal </w:t>
      </w:r>
      <w:r w:rsidRPr="00F67C70">
        <w:rPr>
          <w:rFonts w:ascii="Palatino Linotype" w:eastAsia="Palatino Linotype" w:hAnsi="Palatino Linotype" w:cs="Palatino Linotype"/>
          <w:b/>
          <w:color w:val="000000"/>
        </w:rPr>
        <w:t>deberá estar soportado con los documentos comprobatorios originales</w:t>
      </w:r>
      <w:r w:rsidRPr="00F67C70">
        <w:rPr>
          <w:rFonts w:ascii="Palatino Linotype" w:eastAsia="Palatino Linotype" w:hAnsi="Palatino Linotype" w:cs="Palatino Linotype"/>
          <w:color w:val="000000"/>
        </w:rPr>
        <w:t>, como lo son las facturas, los que deberán permanecer en custodia y conservación de la Unidad administrativa correspondiente y a disposición del OSFEM; por un término de cinco años contados a partir del ejercicio presupuestal siguiente al que corresponda.</w:t>
      </w:r>
    </w:p>
    <w:p w14:paraId="1E9602B1"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Ahora bien, toda vez que la información referida puede contener datos personales que podrían afectar a personas físicas; por lo que, se ordena la entrega de las mismas en </w:t>
      </w:r>
      <w:r w:rsidRPr="00F67C70">
        <w:rPr>
          <w:rFonts w:ascii="Palatino Linotype" w:eastAsia="Palatino Linotype" w:hAnsi="Palatino Linotype" w:cs="Palatino Linotype"/>
          <w:b/>
        </w:rPr>
        <w:t>versión pública</w:t>
      </w:r>
      <w:r w:rsidRPr="00F67C70">
        <w:rPr>
          <w:rFonts w:ascii="Palatino Linotype" w:eastAsia="Palatino Linotype" w:hAnsi="Palatino Linotype" w:cs="Palatino Linotype"/>
        </w:rPr>
        <w:t xml:space="preserve">, lo cual es de señalar que no opera con la simple supresión de datos que se haga en los documentos de que se trate o con la simple decisión que tome el Servidor Público Habilitado o el Responsable de la Unidad de Transparencia del </w:t>
      </w:r>
      <w:r w:rsidRPr="00F67C70">
        <w:rPr>
          <w:rFonts w:ascii="Palatino Linotype" w:eastAsia="Palatino Linotype" w:hAnsi="Palatino Linotype" w:cs="Palatino Linotype"/>
          <w:b/>
        </w:rPr>
        <w:t>SUJETO OBLIGADO</w:t>
      </w:r>
      <w:r w:rsidRPr="00F67C70">
        <w:rPr>
          <w:rFonts w:ascii="Palatino Linotype" w:eastAsia="Palatino Linotype" w:hAnsi="Palatino Linotype" w:cs="Palatino Linotype"/>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7BF202C2"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lastRenderedPageBreak/>
        <w:t>“Artículo 3.</w:t>
      </w:r>
      <w:r w:rsidRPr="00F67C70">
        <w:rPr>
          <w:rFonts w:ascii="Palatino Linotype" w:eastAsia="Palatino Linotype" w:hAnsi="Palatino Linotype" w:cs="Palatino Linotype"/>
          <w:i/>
          <w:sz w:val="22"/>
          <w:szCs w:val="22"/>
        </w:rPr>
        <w:t xml:space="preserve"> Para los efectos de la presente Ley se entenderá por:</w:t>
      </w:r>
    </w:p>
    <w:p w14:paraId="0E60D11A"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IX. Datos personales:</w:t>
      </w:r>
      <w:r w:rsidRPr="00F67C70">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w:t>
      </w:r>
    </w:p>
    <w:p w14:paraId="33429967"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XX. Información clasificada:</w:t>
      </w:r>
      <w:r w:rsidRPr="00F67C70">
        <w:rPr>
          <w:rFonts w:ascii="Palatino Linotype" w:eastAsia="Palatino Linotype" w:hAnsi="Palatino Linotype" w:cs="Palatino Linotype"/>
          <w:i/>
          <w:sz w:val="22"/>
          <w:szCs w:val="22"/>
        </w:rPr>
        <w:t xml:space="preserve"> Aquella considerada por la presente Ley como reservada o confidencial;</w:t>
      </w:r>
    </w:p>
    <w:p w14:paraId="1D03DEC9"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 xml:space="preserve">XXI. Información confidencial: </w:t>
      </w:r>
      <w:r w:rsidRPr="00F67C70">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8867ABE"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XXXII. Protección de Datos Personales:</w:t>
      </w:r>
      <w:r w:rsidRPr="00F67C70">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1A1FADEE"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XLV. Versión pública:</w:t>
      </w:r>
      <w:r w:rsidRPr="00F67C70">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C60544F"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6.</w:t>
      </w:r>
      <w:r w:rsidRPr="00F67C70">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68F342A"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49.</w:t>
      </w:r>
      <w:r w:rsidRPr="00F67C70">
        <w:rPr>
          <w:rFonts w:ascii="Palatino Linotype" w:eastAsia="Palatino Linotype" w:hAnsi="Palatino Linotype" w:cs="Palatino Linotype"/>
          <w:i/>
          <w:sz w:val="22"/>
          <w:szCs w:val="22"/>
        </w:rPr>
        <w:t xml:space="preserve"> Los Comités de Transparencia tendrán las siguientes atribuciones:</w:t>
      </w:r>
    </w:p>
    <w:p w14:paraId="5ED10473"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VIII.</w:t>
      </w:r>
      <w:r w:rsidRPr="00F67C70">
        <w:rPr>
          <w:rFonts w:ascii="Palatino Linotype" w:eastAsia="Palatino Linotype" w:hAnsi="Palatino Linotype" w:cs="Palatino Linotype"/>
          <w:i/>
          <w:sz w:val="22"/>
          <w:szCs w:val="22"/>
        </w:rPr>
        <w:t xml:space="preserve"> Aprobar, modificar o revocar la clasificación de la información…”</w:t>
      </w:r>
    </w:p>
    <w:p w14:paraId="13A49DC6"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53.</w:t>
      </w:r>
      <w:r w:rsidRPr="00F67C70">
        <w:rPr>
          <w:rFonts w:ascii="Palatino Linotype" w:eastAsia="Palatino Linotype" w:hAnsi="Palatino Linotype" w:cs="Palatino Linotype"/>
          <w:i/>
          <w:sz w:val="22"/>
          <w:szCs w:val="22"/>
        </w:rPr>
        <w:t xml:space="preserve"> Las Unidades de Transparencia tendrán las siguientes funciones:</w:t>
      </w:r>
    </w:p>
    <w:p w14:paraId="2D458148"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X.</w:t>
      </w:r>
      <w:r w:rsidRPr="00F67C70">
        <w:rPr>
          <w:rFonts w:ascii="Palatino Linotype" w:eastAsia="Palatino Linotype" w:hAnsi="Palatino Linotype" w:cs="Palatino Linotype"/>
          <w:i/>
          <w:sz w:val="22"/>
          <w:szCs w:val="22"/>
        </w:rPr>
        <w:t xml:space="preserve"> Presentar ante el Comité, el proyecto de clasificación de información…” </w:t>
      </w:r>
    </w:p>
    <w:p w14:paraId="5E7D8484"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59.</w:t>
      </w:r>
      <w:r w:rsidRPr="00F67C70">
        <w:rPr>
          <w:rFonts w:ascii="Palatino Linotype" w:eastAsia="Palatino Linotype" w:hAnsi="Palatino Linotype" w:cs="Palatino Linotype"/>
          <w:i/>
          <w:sz w:val="22"/>
          <w:szCs w:val="22"/>
        </w:rPr>
        <w:t xml:space="preserve"> Los servidores públicos habilitados tendrán las funciones siguientes:</w:t>
      </w:r>
    </w:p>
    <w:p w14:paraId="1051A23C"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V.</w:t>
      </w:r>
      <w:r w:rsidRPr="00F67C70">
        <w:rPr>
          <w:rFonts w:ascii="Palatino Linotype" w:eastAsia="Palatino Linotype" w:hAnsi="Palatino Linotype" w:cs="Palatino Linotype"/>
          <w:i/>
          <w:sz w:val="22"/>
          <w:szCs w:val="22"/>
        </w:rPr>
        <w:t xml:space="preserve"> Integrar y presentar al responsable de la Unidad de Transparencia la propuesta de clasificación de información, la cual tendrá los fundamentos y argumentos en que se basa dicha propuesta…”</w:t>
      </w:r>
    </w:p>
    <w:p w14:paraId="26C988F4"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137.</w:t>
      </w:r>
      <w:r w:rsidRPr="00F67C70">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w:t>
      </w:r>
      <w:r w:rsidRPr="00F67C70">
        <w:rPr>
          <w:rFonts w:ascii="Palatino Linotype" w:eastAsia="Palatino Linotype" w:hAnsi="Palatino Linotype" w:cs="Palatino Linotype"/>
          <w:i/>
          <w:sz w:val="22"/>
          <w:szCs w:val="22"/>
        </w:rPr>
        <w:lastRenderedPageBreak/>
        <w:t>pública en la que se testen las partes o secciones clasificadas, indicando su contenido de manera genérica y fundando y motivando su clasificación.”</w:t>
      </w:r>
    </w:p>
    <w:p w14:paraId="1C97B21D"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143.</w:t>
      </w:r>
      <w:r w:rsidRPr="00F67C70">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14:paraId="0298C23A" w14:textId="77777777" w:rsidR="00806132" w:rsidRPr="00F67C70" w:rsidRDefault="009F2361">
      <w:pPr>
        <w:spacing w:before="120" w:after="120"/>
        <w:ind w:left="851" w:right="902"/>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I.</w:t>
      </w:r>
      <w:r w:rsidRPr="00F67C70">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r w:rsidRPr="00F67C70">
        <w:rPr>
          <w:rFonts w:ascii="Palatino Linotype" w:eastAsia="Palatino Linotype" w:hAnsi="Palatino Linotype" w:cs="Palatino Linotype"/>
          <w:b/>
          <w:i/>
          <w:sz w:val="22"/>
          <w:szCs w:val="22"/>
        </w:rPr>
        <w:t>”</w:t>
      </w:r>
    </w:p>
    <w:p w14:paraId="395FEDAF"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F67C70">
        <w:rPr>
          <w:rFonts w:ascii="Palatino Linotype" w:eastAsia="Palatino Linotype" w:hAnsi="Palatino Linotype" w:cs="Palatino Linotype"/>
          <w:b/>
        </w:rPr>
        <w:t>SUJETO OBLIGADO</w:t>
      </w:r>
      <w:r w:rsidRPr="00F67C70">
        <w:rPr>
          <w:rFonts w:ascii="Palatino Linotype" w:eastAsia="Palatino Linotype" w:hAnsi="Palatino Linotype" w:cs="Palatino Linotype"/>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302E1869"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736B49B6"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“Artículo 149.</w:t>
      </w:r>
      <w:r w:rsidRPr="00F67C70">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w:t>
      </w:r>
      <w:r w:rsidRPr="00F67C70">
        <w:rPr>
          <w:rFonts w:ascii="Palatino Linotype" w:eastAsia="Palatino Linotype" w:hAnsi="Palatino Linotype" w:cs="Palatino Linotype"/>
          <w:b/>
          <w:i/>
          <w:sz w:val="22"/>
          <w:szCs w:val="22"/>
        </w:rPr>
        <w:t>”</w:t>
      </w:r>
    </w:p>
    <w:p w14:paraId="75F7B596"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Es decir, </w:t>
      </w:r>
      <w:r w:rsidRPr="00F67C70">
        <w:rPr>
          <w:rFonts w:ascii="Palatino Linotype" w:eastAsia="Palatino Linotype" w:hAnsi="Palatino Linotype" w:cs="Palatino Linotype"/>
          <w:b/>
        </w:rPr>
        <w:t>EL SUJETO OBLIGADO</w:t>
      </w:r>
      <w:r w:rsidRPr="00F67C70">
        <w:rPr>
          <w:rFonts w:ascii="Palatino Linotype" w:eastAsia="Palatino Linotype" w:hAnsi="Palatino Linotype" w:cs="Palatino Linotype"/>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w:t>
      </w:r>
      <w:r w:rsidRPr="00F67C70">
        <w:rPr>
          <w:rFonts w:ascii="Palatino Linotype" w:eastAsia="Palatino Linotype" w:hAnsi="Palatino Linotype" w:cs="Palatino Linotype"/>
        </w:rPr>
        <w:lastRenderedPageBreak/>
        <w:t>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del solicitante.</w:t>
      </w:r>
    </w:p>
    <w:p w14:paraId="3AFE400A"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el Registro Federal de Contribuyentes (RFC), la Clave Única de Registro de Población (CURP), así como, los números de Cuenta Bancarios, que sean exclusivamente de particulares.</w:t>
      </w:r>
    </w:p>
    <w:p w14:paraId="46EBA5E9"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En cuanto al </w:t>
      </w:r>
      <w:r w:rsidRPr="00F67C70">
        <w:rPr>
          <w:rFonts w:ascii="Palatino Linotype" w:eastAsia="Palatino Linotype" w:hAnsi="Palatino Linotype" w:cs="Palatino Linotype"/>
          <w:b/>
        </w:rPr>
        <w:t>RFC</w:t>
      </w:r>
      <w:r w:rsidRPr="00F67C70">
        <w:rPr>
          <w:rFonts w:ascii="Palatino Linotype" w:eastAsia="Palatino Linotype" w:hAnsi="Palatino Linotype" w:cs="Palatino Linotype"/>
        </w:rPr>
        <w:t xml:space="preserve"> de personas físicas constituye un dato personal, ya que para su obtención es necesario acreditar ante la autoridad fiscal previamente la identidad de la persona, su fecha de nacimiento, entre otros aspectos.</w:t>
      </w:r>
    </w:p>
    <w:p w14:paraId="5948B329"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550E0BBA"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lastRenderedPageBreak/>
        <w:t>Lo anterior es compartido por el Instituto Nacional de Transparencia, Acceso a la Información y Protección de Datos Personales (INAI), a través del Criterio 19/2017, el cual es del tenor literal siguiente:</w:t>
      </w:r>
    </w:p>
    <w:p w14:paraId="16E4C4A0"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b/>
          <w:i/>
          <w:sz w:val="22"/>
          <w:szCs w:val="22"/>
        </w:rPr>
        <w:t>“</w:t>
      </w:r>
      <w:r w:rsidRPr="00F67C70">
        <w:rPr>
          <w:rFonts w:ascii="Palatino Linotype" w:eastAsia="Palatino Linotype" w:hAnsi="Palatino Linotype" w:cs="Palatino Linotype"/>
          <w:i/>
          <w:sz w:val="22"/>
          <w:szCs w:val="22"/>
        </w:rPr>
        <w:t>Registro Federal de Contribuyentes (RFC) de personas físicas. El RFC es una clave de carácter fiscal, única e irrepetible, que permite identificar al titular, su edad y fecha de nacimiento, por lo que es un dato personal de carácter confidencial.</w:t>
      </w:r>
    </w:p>
    <w:p w14:paraId="6157F0BC"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Resoluciones:</w:t>
      </w:r>
    </w:p>
    <w:p w14:paraId="05BB487F"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i/>
          <w:sz w:val="22"/>
          <w:szCs w:val="22"/>
        </w:rPr>
        <w:tab/>
        <w:t>RRA 0189/17. Morena. 08 de febrero de 2017. Por unanimidad. Comisionado Ponente Joel Salas Suárez.</w:t>
      </w:r>
    </w:p>
    <w:p w14:paraId="7CD8EEB3"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i/>
          <w:sz w:val="22"/>
          <w:szCs w:val="22"/>
        </w:rPr>
        <w:tab/>
        <w:t xml:space="preserve">RRA 0677/17. Universidad Nacional Autónoma de México. 08 de marzo de 2017. Por unanimidad. Comisionado Ponente Rosendoevgueni Monterrey Chepov. </w:t>
      </w:r>
    </w:p>
    <w:p w14:paraId="294A3C92"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i/>
          <w:sz w:val="22"/>
          <w:szCs w:val="22"/>
        </w:rPr>
        <w:tab/>
        <w:t>RRA 1564/17. Tribunal Electoral del Poder Judicial de la Federación. 26 de abril de 2017. Por unanimidad. Comisionado Ponente Oscar Mauricio Guerra Ford.</w:t>
      </w:r>
      <w:r w:rsidRPr="00F67C70">
        <w:rPr>
          <w:rFonts w:ascii="Palatino Linotype" w:eastAsia="Palatino Linotype" w:hAnsi="Palatino Linotype" w:cs="Palatino Linotype"/>
          <w:b/>
          <w:i/>
          <w:sz w:val="22"/>
          <w:szCs w:val="22"/>
        </w:rPr>
        <w:t>”</w:t>
      </w:r>
    </w:p>
    <w:p w14:paraId="2002641D"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w:t>
      </w:r>
      <w:r w:rsidRPr="00F67C70">
        <w:rPr>
          <w:rFonts w:ascii="Palatino Linotype" w:eastAsia="Palatino Linotype" w:hAnsi="Palatino Linotype" w:cs="Palatino Linotype"/>
          <w:b/>
        </w:rPr>
        <w:t>a una persona física</w:t>
      </w:r>
      <w:r w:rsidRPr="00F67C70">
        <w:rPr>
          <w:rFonts w:ascii="Palatino Linotype" w:eastAsia="Palatino Linotype" w:hAnsi="Palatino Linotype" w:cs="Palatino Linotype"/>
        </w:rPr>
        <w:t xml:space="preserve"> identificada e identificable; sin embargo, para las personas jurídico colectivas; así como para los proveedores, es un dato que </w:t>
      </w:r>
      <w:r w:rsidRPr="00F67C70">
        <w:rPr>
          <w:rFonts w:ascii="Palatino Linotype" w:eastAsia="Palatino Linotype" w:hAnsi="Palatino Linotype" w:cs="Palatino Linotype"/>
          <w:b/>
        </w:rPr>
        <w:t xml:space="preserve">EL SUJETO OBLIGADO </w:t>
      </w:r>
      <w:r w:rsidRPr="00F67C70">
        <w:rPr>
          <w:rFonts w:ascii="Palatino Linotype" w:eastAsia="Palatino Linotype" w:hAnsi="Palatino Linotype" w:cs="Palatino Linotype"/>
        </w:rPr>
        <w:t>deberá dejar visible.</w:t>
      </w:r>
    </w:p>
    <w:p w14:paraId="16C7736C"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CA3A343"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lastRenderedPageBreak/>
        <w:t xml:space="preserve">Argumento que es compartido por el Instituto Nacional de Transparencia, Acceso a la Información y Protección de Datos Personales (INAI), conforme al criterio número 18/2017, el cual refiere: </w:t>
      </w:r>
    </w:p>
    <w:p w14:paraId="2CBB47EA"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“Clave Única de Registro de Población (CURP).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7C2982D"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Resoluciones:</w:t>
      </w:r>
    </w:p>
    <w:p w14:paraId="6F54CAB7"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i/>
          <w:sz w:val="22"/>
          <w:szCs w:val="22"/>
        </w:rPr>
        <w:tab/>
        <w:t>RRA 3995/16. Secretaría de la Defensa Nacional. 1 de febrero de 2017. Por unanimidad. Comisionado Ponente Rosendoevgueni Monterrey Chepov.</w:t>
      </w:r>
    </w:p>
    <w:p w14:paraId="22F1BC8D"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i/>
          <w:sz w:val="22"/>
          <w:szCs w:val="22"/>
        </w:rPr>
        <w:tab/>
        <w:t xml:space="preserve">RRA 0937/17. Senado de la República. 15 de marzo de 2017. Por unanimidad. Comisionada Ponente Ximena Puente de la Mora. </w:t>
      </w:r>
    </w:p>
    <w:p w14:paraId="2EDB409F"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w:t>
      </w:r>
      <w:r w:rsidRPr="00F67C70">
        <w:rPr>
          <w:rFonts w:ascii="Palatino Linotype" w:eastAsia="Palatino Linotype" w:hAnsi="Palatino Linotype" w:cs="Palatino Linotype"/>
          <w:i/>
          <w:sz w:val="22"/>
          <w:szCs w:val="22"/>
        </w:rPr>
        <w:tab/>
        <w:t>RRA 0478/17. Secretaría de Relaciones Exteriores. 26 de abril de 2017. Por unanimidad. Comisionada Ponente Areli Cano Guadiana.”</w:t>
      </w:r>
    </w:p>
    <w:p w14:paraId="2C4ACD9C"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4CBE95D7"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14:paraId="46872D7A"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w:t>
      </w:r>
      <w:r w:rsidRPr="00F67C70">
        <w:rPr>
          <w:rFonts w:ascii="Palatino Linotype" w:eastAsia="Palatino Linotype" w:hAnsi="Palatino Linotype" w:cs="Palatino Linotype"/>
        </w:rPr>
        <w:lastRenderedPageBreak/>
        <w:t xml:space="preserve">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14:paraId="4AE86907" w14:textId="77777777" w:rsidR="00806132" w:rsidRPr="00F67C70" w:rsidRDefault="009F2361">
      <w:pPr>
        <w:spacing w:before="240" w:after="240" w:line="360" w:lineRule="auto"/>
        <w:ind w:right="50"/>
        <w:jc w:val="both"/>
        <w:rPr>
          <w:rFonts w:ascii="Palatino Linotype" w:eastAsia="Palatino Linotype" w:hAnsi="Palatino Linotype" w:cs="Palatino Linotype"/>
        </w:rPr>
      </w:pPr>
      <w:r w:rsidRPr="00F67C70">
        <w:rPr>
          <w:rFonts w:ascii="Palatino Linotype" w:eastAsia="Palatino Linotype" w:hAnsi="Palatino Linotype" w:cs="Palatino Linotype"/>
        </w:rPr>
        <w:t xml:space="preserve">Es por esta razón que se debe omitir el o los números de cuentas bancarias de particulares únicamente, en las versiones públicas que de las facturas se hagan, para ser entregadas al no así de los Sujetos Obligados, ya que estas son públicas. </w:t>
      </w:r>
    </w:p>
    <w:p w14:paraId="511204DD" w14:textId="77777777" w:rsidR="00806132" w:rsidRPr="00F67C70" w:rsidRDefault="009F2361">
      <w:pPr>
        <w:spacing w:before="240" w:after="240" w:line="360" w:lineRule="auto"/>
        <w:ind w:right="51"/>
        <w:jc w:val="both"/>
        <w:rPr>
          <w:rFonts w:ascii="Palatino Linotype" w:eastAsia="Palatino Linotype" w:hAnsi="Palatino Linotype" w:cs="Palatino Linotype"/>
        </w:rPr>
      </w:pPr>
      <w:r w:rsidRPr="00F67C70">
        <w:rPr>
          <w:rFonts w:ascii="Palatino Linotype" w:eastAsia="Palatino Linotype" w:hAnsi="Palatino Linotype" w:cs="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14:paraId="3B516B86" w14:textId="77777777" w:rsidR="00806132" w:rsidRPr="00F67C70" w:rsidRDefault="009F2361">
      <w:pPr>
        <w:ind w:left="851" w:right="899"/>
        <w:jc w:val="center"/>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b/>
          <w:i/>
          <w:sz w:val="22"/>
          <w:szCs w:val="22"/>
        </w:rPr>
        <w:t>“CRITERIO 10/13</w:t>
      </w:r>
    </w:p>
    <w:p w14:paraId="3D96DA55"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sidRPr="00F67C70">
        <w:rPr>
          <w:rFonts w:ascii="Palatino Linotype" w:eastAsia="Palatino Linotype" w:hAnsi="Palatino Linotype" w:cs="Palatino Linotype"/>
          <w:b/>
          <w:i/>
          <w:sz w:val="22"/>
          <w:szCs w:val="22"/>
        </w:rPr>
        <w:t>”</w:t>
      </w:r>
    </w:p>
    <w:p w14:paraId="5F42C2DF" w14:textId="77777777" w:rsidR="00806132" w:rsidRPr="00F67C70" w:rsidRDefault="00806132">
      <w:pPr>
        <w:ind w:left="851" w:right="899"/>
        <w:jc w:val="center"/>
        <w:rPr>
          <w:rFonts w:ascii="Palatino Linotype" w:eastAsia="Palatino Linotype" w:hAnsi="Palatino Linotype" w:cs="Palatino Linotype"/>
          <w:b/>
          <w:i/>
          <w:sz w:val="22"/>
          <w:szCs w:val="22"/>
        </w:rPr>
      </w:pPr>
    </w:p>
    <w:p w14:paraId="1F3AD69B" w14:textId="77777777" w:rsidR="00806132" w:rsidRPr="00F67C70" w:rsidRDefault="009F2361">
      <w:pPr>
        <w:ind w:left="851" w:right="899"/>
        <w:jc w:val="center"/>
        <w:rPr>
          <w:rFonts w:ascii="Palatino Linotype" w:eastAsia="Palatino Linotype" w:hAnsi="Palatino Linotype" w:cs="Palatino Linotype"/>
          <w:b/>
          <w:i/>
          <w:sz w:val="22"/>
          <w:szCs w:val="22"/>
        </w:rPr>
      </w:pPr>
      <w:r w:rsidRPr="00F67C70">
        <w:rPr>
          <w:rFonts w:ascii="Palatino Linotype" w:eastAsia="Palatino Linotype" w:hAnsi="Palatino Linotype" w:cs="Palatino Linotype"/>
          <w:b/>
          <w:i/>
          <w:sz w:val="22"/>
          <w:szCs w:val="22"/>
        </w:rPr>
        <w:t>Criterio 11/2017</w:t>
      </w:r>
    </w:p>
    <w:p w14:paraId="2F47B9DF"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lastRenderedPageBreak/>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6DB27760"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Resoluciones:</w:t>
      </w:r>
    </w:p>
    <w:p w14:paraId="729A9622"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 RRA 0448/16. NOTIMEX, Agencia de Noticias del Estado Mexicano. 24 de agosto de 2016. Por unanimidad. Comisionado Ponente Joel Salas Suárez.</w:t>
      </w:r>
    </w:p>
    <w:p w14:paraId="2F7E84B9"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 RRA 2787/16. Colegio de Postgraduados. 01 de noviembre de 2016. Por unanimidad. Comisionado Ponente Francisco Javier Acuña Llamas.</w:t>
      </w:r>
    </w:p>
    <w:p w14:paraId="23B6761D"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 RRA 4756/16. Instituto Mexicano del Seguro Social. 08 de febrero de 2017. Por unanimidad. Comisionado Ponente Oscar Mauricio Guerra Ford.</w:t>
      </w:r>
    </w:p>
    <w:p w14:paraId="29DE0643" w14:textId="77777777" w:rsidR="00806132" w:rsidRPr="00F67C70" w:rsidRDefault="009F2361">
      <w:pPr>
        <w:widowControl w:val="0"/>
        <w:spacing w:before="240" w:after="120" w:line="360" w:lineRule="auto"/>
        <w:jc w:val="both"/>
        <w:rPr>
          <w:rFonts w:ascii="Palatino Linotype" w:eastAsia="Palatino Linotype" w:hAnsi="Palatino Linotype" w:cs="Palatino Linotype"/>
          <w:b/>
        </w:rPr>
      </w:pPr>
      <w:r w:rsidRPr="00F67C70">
        <w:rPr>
          <w:rFonts w:ascii="Palatino Linotype" w:eastAsia="Palatino Linotype" w:hAnsi="Palatino Linotype" w:cs="Palatino Linotype"/>
        </w:rPr>
        <w:t xml:space="preserve">De modo que, las razones o motivos de inconformidad del hoy </w:t>
      </w:r>
      <w:r w:rsidRPr="00F67C70">
        <w:rPr>
          <w:rFonts w:ascii="Palatino Linotype" w:eastAsia="Palatino Linotype" w:hAnsi="Palatino Linotype" w:cs="Palatino Linotype"/>
          <w:b/>
        </w:rPr>
        <w:t xml:space="preserve">RECURRENTE </w:t>
      </w:r>
      <w:r w:rsidRPr="00F67C70">
        <w:rPr>
          <w:rFonts w:ascii="Palatino Linotype" w:eastAsia="Palatino Linotype" w:hAnsi="Palatino Linotype" w:cs="Palatino Linotype"/>
        </w:rPr>
        <w:t xml:space="preserve">devienen </w:t>
      </w:r>
      <w:r w:rsidRPr="00F67C70">
        <w:rPr>
          <w:rFonts w:ascii="Palatino Linotype" w:eastAsia="Palatino Linotype" w:hAnsi="Palatino Linotype" w:cs="Palatino Linotype"/>
          <w:b/>
        </w:rPr>
        <w:t>fundadas</w:t>
      </w:r>
      <w:r w:rsidRPr="00F67C70">
        <w:rPr>
          <w:rFonts w:ascii="Palatino Linotype" w:eastAsia="Palatino Linotype" w:hAnsi="Palatino Linotype" w:cs="Palatino Linotype"/>
        </w:rPr>
        <w:t xml:space="preserve">; por lo que, se actualiza la causal de procedencia establecida en la fracción VI del artículo 179 de la Ley de Transparencia y Acceso a la Información Pública del Estado de México y Municipios, </w:t>
      </w:r>
      <w:r w:rsidRPr="00F67C70">
        <w:rPr>
          <w:rFonts w:ascii="Palatino Linotype" w:eastAsia="Palatino Linotype" w:hAnsi="Palatino Linotype" w:cs="Palatino Linotype"/>
          <w:b/>
        </w:rPr>
        <w:t xml:space="preserve">Revocando </w:t>
      </w:r>
      <w:r w:rsidRPr="00F67C70">
        <w:rPr>
          <w:rFonts w:ascii="Palatino Linotype" w:eastAsia="Palatino Linotype" w:hAnsi="Palatino Linotype" w:cs="Palatino Linotype"/>
        </w:rPr>
        <w:t xml:space="preserve">la respuesta del </w:t>
      </w:r>
      <w:r w:rsidRPr="00F67C70">
        <w:rPr>
          <w:rFonts w:ascii="Palatino Linotype" w:eastAsia="Palatino Linotype" w:hAnsi="Palatino Linotype" w:cs="Palatino Linotype"/>
          <w:b/>
        </w:rPr>
        <w:t xml:space="preserve">SUJETO OBLIGADO </w:t>
      </w:r>
      <w:r w:rsidRPr="00F67C70">
        <w:rPr>
          <w:rFonts w:ascii="Palatino Linotype" w:eastAsia="Palatino Linotype" w:hAnsi="Palatino Linotype" w:cs="Palatino Linotype"/>
        </w:rPr>
        <w:t>otorgada a la solicitud de información que dio origen al presente recurso de revisión; ordenando, la entrega de la información que ha quedado precisada en párrafos anteriores.</w:t>
      </w:r>
    </w:p>
    <w:p w14:paraId="45A2F601" w14:textId="77777777" w:rsidR="00F67C70" w:rsidRDefault="009F2361" w:rsidP="00F67C70">
      <w:pPr>
        <w:widowControl w:val="0"/>
        <w:pBdr>
          <w:top w:val="nil"/>
          <w:left w:val="nil"/>
          <w:bottom w:val="nil"/>
          <w:right w:val="nil"/>
          <w:between w:val="nil"/>
        </w:pBdr>
        <w:tabs>
          <w:tab w:val="left" w:pos="1276"/>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color w:val="000000"/>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14:paraId="17C47103" w14:textId="77777777" w:rsidR="00806132" w:rsidRPr="00F67C70" w:rsidRDefault="009F2361" w:rsidP="00F67C70">
      <w:pPr>
        <w:widowControl w:val="0"/>
        <w:pBdr>
          <w:top w:val="nil"/>
          <w:left w:val="nil"/>
          <w:bottom w:val="nil"/>
          <w:right w:val="nil"/>
          <w:between w:val="nil"/>
        </w:pBdr>
        <w:tabs>
          <w:tab w:val="left" w:pos="1276"/>
        </w:tabs>
        <w:spacing w:before="240" w:after="280" w:line="360" w:lineRule="auto"/>
        <w:jc w:val="center"/>
        <w:rPr>
          <w:rFonts w:ascii="Palatino Linotype" w:eastAsia="Palatino Linotype" w:hAnsi="Palatino Linotype" w:cs="Palatino Linotype"/>
          <w:color w:val="000000"/>
        </w:rPr>
      </w:pPr>
      <w:r w:rsidRPr="00F67C70">
        <w:rPr>
          <w:rFonts w:ascii="Palatino Linotype" w:eastAsia="Palatino Linotype" w:hAnsi="Palatino Linotype" w:cs="Palatino Linotype"/>
          <w:b/>
          <w:sz w:val="28"/>
          <w:szCs w:val="28"/>
        </w:rPr>
        <w:t>RESUELVE</w:t>
      </w:r>
    </w:p>
    <w:p w14:paraId="6630421A" w14:textId="77777777" w:rsidR="00806132" w:rsidRPr="00F67C70" w:rsidRDefault="009F2361">
      <w:pPr>
        <w:spacing w:before="280"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b/>
          <w:color w:val="222222"/>
          <w:sz w:val="28"/>
          <w:szCs w:val="28"/>
        </w:rPr>
        <w:lastRenderedPageBreak/>
        <w:t>PRIMERO</w:t>
      </w:r>
      <w:r w:rsidRPr="00F67C70">
        <w:rPr>
          <w:rFonts w:ascii="Palatino Linotype" w:eastAsia="Palatino Linotype" w:hAnsi="Palatino Linotype" w:cs="Palatino Linotype"/>
          <w:b/>
        </w:rPr>
        <w:t>.</w:t>
      </w:r>
      <w:r w:rsidRPr="00F67C70">
        <w:rPr>
          <w:rFonts w:ascii="Palatino Linotype" w:eastAsia="Palatino Linotype" w:hAnsi="Palatino Linotype" w:cs="Palatino Linotype"/>
        </w:rPr>
        <w:t xml:space="preserve"> Resultan </w:t>
      </w:r>
      <w:r w:rsidRPr="00F67C70">
        <w:rPr>
          <w:rFonts w:ascii="Palatino Linotype" w:eastAsia="Palatino Linotype" w:hAnsi="Palatino Linotype" w:cs="Palatino Linotype"/>
          <w:b/>
        </w:rPr>
        <w:t>fundadas</w:t>
      </w:r>
      <w:r w:rsidRPr="00F67C70">
        <w:rPr>
          <w:rFonts w:ascii="Palatino Linotype" w:eastAsia="Palatino Linotype" w:hAnsi="Palatino Linotype" w:cs="Palatino Linotype"/>
        </w:rPr>
        <w:t xml:space="preserve"> las razones o motivos de inconformidad planteadas por </w:t>
      </w:r>
      <w:r w:rsidRPr="00F67C70">
        <w:rPr>
          <w:rFonts w:ascii="Palatino Linotype" w:eastAsia="Palatino Linotype" w:hAnsi="Palatino Linotype" w:cs="Palatino Linotype"/>
          <w:b/>
        </w:rPr>
        <w:t>EL RECURRENTE</w:t>
      </w:r>
      <w:r w:rsidRPr="00F67C70">
        <w:rPr>
          <w:rFonts w:ascii="Palatino Linotype" w:eastAsia="Palatino Linotype" w:hAnsi="Palatino Linotype" w:cs="Palatino Linotype"/>
        </w:rPr>
        <w:t xml:space="preserve"> en términos del Considerando </w:t>
      </w:r>
      <w:r w:rsidRPr="00F67C70">
        <w:rPr>
          <w:rFonts w:ascii="Palatino Linotype" w:eastAsia="Palatino Linotype" w:hAnsi="Palatino Linotype" w:cs="Palatino Linotype"/>
          <w:b/>
        </w:rPr>
        <w:t>QUINTO</w:t>
      </w:r>
      <w:r w:rsidRPr="00F67C70">
        <w:rPr>
          <w:rFonts w:ascii="Palatino Linotype" w:eastAsia="Palatino Linotype" w:hAnsi="Palatino Linotype" w:cs="Palatino Linotype"/>
        </w:rPr>
        <w:t xml:space="preserve"> de esta Resolución.</w:t>
      </w:r>
    </w:p>
    <w:p w14:paraId="6464BA42" w14:textId="77777777" w:rsidR="00806132" w:rsidRPr="00F67C70" w:rsidRDefault="009F2361">
      <w:pPr>
        <w:widowControl w:val="0"/>
        <w:pBdr>
          <w:top w:val="nil"/>
          <w:left w:val="nil"/>
          <w:bottom w:val="nil"/>
          <w:right w:val="nil"/>
          <w:between w:val="nil"/>
        </w:pBdr>
        <w:tabs>
          <w:tab w:val="left" w:pos="1701"/>
        </w:tabs>
        <w:spacing w:before="240" w:after="280" w:line="360" w:lineRule="auto"/>
        <w:jc w:val="both"/>
        <w:rPr>
          <w:rFonts w:ascii="Palatino Linotype" w:eastAsia="Palatino Linotype" w:hAnsi="Palatino Linotype" w:cs="Palatino Linotype"/>
          <w:color w:val="000000"/>
        </w:rPr>
      </w:pPr>
      <w:r w:rsidRPr="00F67C70">
        <w:rPr>
          <w:rFonts w:ascii="Palatino Linotype" w:eastAsia="Palatino Linotype" w:hAnsi="Palatino Linotype" w:cs="Palatino Linotype"/>
          <w:b/>
          <w:color w:val="000000"/>
          <w:sz w:val="28"/>
          <w:szCs w:val="28"/>
        </w:rPr>
        <w:t>SEGUNDO.</w:t>
      </w:r>
      <w:r w:rsidRPr="00F67C70">
        <w:rPr>
          <w:rFonts w:ascii="Palatino Linotype" w:eastAsia="Palatino Linotype" w:hAnsi="Palatino Linotype" w:cs="Palatino Linotype"/>
          <w:color w:val="000000"/>
        </w:rPr>
        <w:t xml:space="preserve"> Se </w:t>
      </w:r>
      <w:r w:rsidRPr="00F67C70">
        <w:rPr>
          <w:rFonts w:ascii="Palatino Linotype" w:eastAsia="Palatino Linotype" w:hAnsi="Palatino Linotype" w:cs="Palatino Linotype"/>
          <w:b/>
          <w:color w:val="000000"/>
        </w:rPr>
        <w:t xml:space="preserve">REVOCA </w:t>
      </w:r>
      <w:r w:rsidRPr="00F67C70">
        <w:rPr>
          <w:rFonts w:ascii="Palatino Linotype" w:eastAsia="Palatino Linotype" w:hAnsi="Palatino Linotype" w:cs="Palatino Linotype"/>
          <w:color w:val="000000"/>
        </w:rPr>
        <w:t xml:space="preserve">la respuesta del </w:t>
      </w:r>
      <w:r w:rsidRPr="00F67C70">
        <w:rPr>
          <w:rFonts w:ascii="Palatino Linotype" w:eastAsia="Palatino Linotype" w:hAnsi="Palatino Linotype" w:cs="Palatino Linotype"/>
          <w:b/>
          <w:color w:val="000000"/>
        </w:rPr>
        <w:t>SUJETO OBLIGADO</w:t>
      </w:r>
      <w:r w:rsidRPr="00F67C70">
        <w:rPr>
          <w:rFonts w:ascii="Palatino Linotype" w:eastAsia="Palatino Linotype" w:hAnsi="Palatino Linotype" w:cs="Palatino Linotype"/>
          <w:color w:val="000000"/>
        </w:rPr>
        <w:t xml:space="preserve"> y se ordena atienda la solicitud de información que dio origen al recurso de revisión </w:t>
      </w:r>
      <w:r w:rsidRPr="00F67C70">
        <w:rPr>
          <w:rFonts w:ascii="Palatino Linotype" w:eastAsia="Palatino Linotype" w:hAnsi="Palatino Linotype" w:cs="Palatino Linotype"/>
          <w:b/>
          <w:color w:val="000000"/>
        </w:rPr>
        <w:t>01282/INFOEM/IP/RR/2021</w:t>
      </w:r>
      <w:r w:rsidRPr="00F67C70">
        <w:rPr>
          <w:rFonts w:ascii="Palatino Linotype" w:eastAsia="Palatino Linotype" w:hAnsi="Palatino Linotype" w:cs="Palatino Linotype"/>
          <w:color w:val="000000"/>
        </w:rPr>
        <w:t xml:space="preserve">, en términos del Considerando </w:t>
      </w:r>
      <w:r w:rsidRPr="00F67C70">
        <w:rPr>
          <w:rFonts w:ascii="Palatino Linotype" w:eastAsia="Palatino Linotype" w:hAnsi="Palatino Linotype" w:cs="Palatino Linotype"/>
          <w:b/>
          <w:color w:val="000000"/>
        </w:rPr>
        <w:t>QUINTO</w:t>
      </w:r>
      <w:r w:rsidRPr="00F67C70">
        <w:rPr>
          <w:rFonts w:ascii="Palatino Linotype" w:eastAsia="Palatino Linotype" w:hAnsi="Palatino Linotype" w:cs="Palatino Linotype"/>
          <w:color w:val="000000"/>
        </w:rPr>
        <w:t xml:space="preserve"> de la presente resolución y haga entrega al </w:t>
      </w:r>
      <w:r w:rsidRPr="00F67C70">
        <w:rPr>
          <w:rFonts w:ascii="Palatino Linotype" w:eastAsia="Palatino Linotype" w:hAnsi="Palatino Linotype" w:cs="Palatino Linotype"/>
          <w:b/>
          <w:color w:val="000000"/>
        </w:rPr>
        <w:t>RECURRENTE</w:t>
      </w:r>
      <w:r w:rsidRPr="00F67C70">
        <w:rPr>
          <w:rFonts w:ascii="Palatino Linotype" w:eastAsia="Palatino Linotype" w:hAnsi="Palatino Linotype" w:cs="Palatino Linotype"/>
          <w:color w:val="000000"/>
        </w:rPr>
        <w:t xml:space="preserve">, vía </w:t>
      </w:r>
      <w:r w:rsidRPr="00F67C70">
        <w:rPr>
          <w:rFonts w:ascii="Palatino Linotype" w:eastAsia="Palatino Linotype" w:hAnsi="Palatino Linotype" w:cs="Palatino Linotype"/>
          <w:b/>
          <w:color w:val="000000"/>
        </w:rPr>
        <w:t>SAIMEX</w:t>
      </w:r>
      <w:r w:rsidR="00D2182E" w:rsidRPr="00F67C70">
        <w:rPr>
          <w:rFonts w:ascii="Palatino Linotype" w:eastAsia="Palatino Linotype" w:hAnsi="Palatino Linotype" w:cs="Palatino Linotype"/>
          <w:color w:val="000000"/>
        </w:rPr>
        <w:t xml:space="preserve">, de ser procedente en versión pública, </w:t>
      </w:r>
      <w:r w:rsidRPr="00F67C70">
        <w:rPr>
          <w:rFonts w:ascii="Palatino Linotype" w:eastAsia="Palatino Linotype" w:hAnsi="Palatino Linotype" w:cs="Palatino Linotype"/>
          <w:color w:val="000000"/>
        </w:rPr>
        <w:t>de lo siguiente:</w:t>
      </w:r>
    </w:p>
    <w:p w14:paraId="074A5584" w14:textId="77777777" w:rsidR="00806132" w:rsidRPr="00F67C70" w:rsidRDefault="009F2361">
      <w:pPr>
        <w:ind w:left="851" w:right="899" w:hanging="142"/>
        <w:jc w:val="both"/>
        <w:rPr>
          <w:rFonts w:ascii="Palatino Linotype" w:eastAsia="Palatino Linotype" w:hAnsi="Palatino Linotype" w:cs="Palatino Linotype"/>
          <w:i/>
          <w:color w:val="222222"/>
          <w:sz w:val="22"/>
          <w:szCs w:val="22"/>
        </w:rPr>
      </w:pPr>
      <w:r w:rsidRPr="00F67C70">
        <w:rPr>
          <w:rFonts w:ascii="Palatino Linotype" w:eastAsia="Palatino Linotype" w:hAnsi="Palatino Linotype" w:cs="Palatino Linotype"/>
          <w:i/>
          <w:color w:val="222222"/>
          <w:sz w:val="22"/>
          <w:szCs w:val="22"/>
        </w:rPr>
        <w:t xml:space="preserve">“Los documentos donde conste cualquier tipo de erogación de recursos públicos </w:t>
      </w:r>
      <w:r w:rsidR="008C495E" w:rsidRPr="00F67C70">
        <w:rPr>
          <w:rFonts w:ascii="Palatino Linotype" w:eastAsia="Palatino Linotype" w:hAnsi="Palatino Linotype" w:cs="Palatino Linotype"/>
          <w:i/>
          <w:color w:val="222222"/>
          <w:sz w:val="22"/>
          <w:szCs w:val="22"/>
        </w:rPr>
        <w:t>que se hayan ejercido con motivo de obras, mantenimiento o adquisición de bienes para</w:t>
      </w:r>
      <w:r w:rsidRPr="00F67C70">
        <w:rPr>
          <w:rFonts w:ascii="Palatino Linotype" w:eastAsia="Palatino Linotype" w:hAnsi="Palatino Linotype" w:cs="Palatino Linotype"/>
          <w:i/>
          <w:color w:val="222222"/>
          <w:sz w:val="22"/>
          <w:szCs w:val="22"/>
        </w:rPr>
        <w:t xml:space="preserve"> la Alameda Municipal; del 1 de enero al 10 de marzo de 2021.</w:t>
      </w:r>
    </w:p>
    <w:p w14:paraId="49BF4CC5" w14:textId="77777777" w:rsidR="00806132" w:rsidRPr="00F67C70" w:rsidRDefault="00806132">
      <w:pPr>
        <w:ind w:left="851" w:right="899"/>
        <w:jc w:val="both"/>
        <w:rPr>
          <w:rFonts w:ascii="Palatino Linotype" w:eastAsia="Palatino Linotype" w:hAnsi="Palatino Linotype" w:cs="Palatino Linotype"/>
          <w:i/>
          <w:sz w:val="22"/>
          <w:szCs w:val="22"/>
        </w:rPr>
      </w:pPr>
    </w:p>
    <w:p w14:paraId="4AF0F4A9" w14:textId="77777777" w:rsidR="00806132" w:rsidRPr="00F67C70" w:rsidRDefault="009F2361">
      <w:pPr>
        <w:ind w:left="851" w:right="899"/>
        <w:jc w:val="both"/>
        <w:rPr>
          <w:rFonts w:ascii="Palatino Linotype" w:eastAsia="Palatino Linotype" w:hAnsi="Palatino Linotype" w:cs="Palatino Linotype"/>
          <w:i/>
          <w:sz w:val="22"/>
          <w:szCs w:val="22"/>
        </w:rPr>
      </w:pPr>
      <w:r w:rsidRPr="00F67C70">
        <w:rPr>
          <w:rFonts w:ascii="Palatino Linotype" w:eastAsia="Palatino Linotype" w:hAnsi="Palatino Linotype" w:cs="Palatino Linotype"/>
          <w:i/>
          <w:sz w:val="22"/>
          <w:szCs w:val="22"/>
        </w:rPr>
        <w:t xml:space="preserve">Debiendo notificar al </w:t>
      </w:r>
      <w:r w:rsidRPr="00F67C70">
        <w:rPr>
          <w:rFonts w:ascii="Palatino Linotype" w:eastAsia="Palatino Linotype" w:hAnsi="Palatino Linotype" w:cs="Palatino Linotype"/>
          <w:b/>
          <w:i/>
          <w:sz w:val="22"/>
          <w:szCs w:val="22"/>
        </w:rPr>
        <w:t>RECURRENTE</w:t>
      </w:r>
      <w:r w:rsidRPr="00F67C70">
        <w:rPr>
          <w:rFonts w:ascii="Palatino Linotype" w:eastAsia="Palatino Linotype" w:hAnsi="Palatino Linotype" w:cs="Palatino Linotype"/>
          <w:i/>
          <w:sz w:val="22"/>
          <w:szCs w:val="22"/>
        </w:rPr>
        <w:t xml:space="preserve"> el Acuerdo de Clasificación de la información, que emita el Comité de Transparencia con motivo de la versión pública.”</w:t>
      </w:r>
    </w:p>
    <w:p w14:paraId="18E6E218" w14:textId="77777777" w:rsidR="00806132" w:rsidRPr="00F67C70" w:rsidRDefault="009F2361">
      <w:pPr>
        <w:spacing w:before="280" w:after="280" w:line="360" w:lineRule="auto"/>
        <w:ind w:right="51"/>
        <w:jc w:val="both"/>
        <w:rPr>
          <w:rFonts w:ascii="Palatino Linotype" w:eastAsia="Palatino Linotype" w:hAnsi="Palatino Linotype" w:cs="Palatino Linotype"/>
        </w:rPr>
      </w:pPr>
      <w:r w:rsidRPr="00F67C70">
        <w:rPr>
          <w:rFonts w:ascii="Palatino Linotype" w:eastAsia="Palatino Linotype" w:hAnsi="Palatino Linotype" w:cs="Palatino Linotype"/>
          <w:b/>
          <w:color w:val="222222"/>
          <w:sz w:val="28"/>
          <w:szCs w:val="28"/>
        </w:rPr>
        <w:t>TERCERO.</w:t>
      </w:r>
      <w:r w:rsidRPr="00F67C70">
        <w:rPr>
          <w:rFonts w:ascii="Palatino Linotype" w:eastAsia="Palatino Linotype" w:hAnsi="Palatino Linotype" w:cs="Palatino Linotype"/>
          <w:color w:val="222222"/>
        </w:rPr>
        <w:t> </w:t>
      </w:r>
      <w:r w:rsidRPr="00F67C70">
        <w:rPr>
          <w:rFonts w:ascii="Palatino Linotype" w:eastAsia="Palatino Linotype" w:hAnsi="Palatino Linotype" w:cs="Palatino Linotype"/>
          <w:b/>
          <w:color w:val="222222"/>
        </w:rPr>
        <w:t>Notifíquese</w:t>
      </w:r>
      <w:r w:rsidRPr="00F67C70">
        <w:rPr>
          <w:rFonts w:ascii="Palatino Linotype" w:eastAsia="Palatino Linotype" w:hAnsi="Palatino Linotype" w:cs="Palatino Linotype"/>
          <w:color w:val="222222"/>
        </w:rPr>
        <w:t xml:space="preserve"> </w:t>
      </w:r>
      <w:r w:rsidRPr="00F67C70">
        <w:rPr>
          <w:rFonts w:ascii="Palatino Linotype" w:eastAsia="Palatino Linotype" w:hAnsi="Palatino Linotype" w:cs="Palatino Linotype"/>
        </w:rPr>
        <w:t>al Titular de la Unidad de Transparencia del</w:t>
      </w:r>
      <w:r w:rsidRPr="00F67C70">
        <w:t> </w:t>
      </w:r>
      <w:r w:rsidRPr="00F67C70">
        <w:rPr>
          <w:rFonts w:ascii="Palatino Linotype" w:eastAsia="Palatino Linotype" w:hAnsi="Palatino Linotype" w:cs="Palatino Linotype"/>
          <w:b/>
        </w:rPr>
        <w:t>SUJETO OBLIGADO</w:t>
      </w:r>
      <w:r w:rsidRPr="00F67C70">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C7C7F5E" w14:textId="77777777" w:rsidR="00806132" w:rsidRPr="00F67C70" w:rsidRDefault="009F2361">
      <w:pPr>
        <w:spacing w:before="280"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b/>
          <w:sz w:val="28"/>
          <w:szCs w:val="28"/>
        </w:rPr>
        <w:t>CUARTO</w:t>
      </w:r>
      <w:r w:rsidRPr="00F67C70">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Pr="00F67C70">
        <w:rPr>
          <w:rFonts w:ascii="Palatino Linotype" w:eastAsia="Palatino Linotype" w:hAnsi="Palatino Linotype" w:cs="Palatino Linotype"/>
          <w:b/>
        </w:rPr>
        <w:t>SUJETO OBLIGADO</w:t>
      </w:r>
      <w:r w:rsidRPr="00F67C70">
        <w:rPr>
          <w:rFonts w:ascii="Palatino Linotype" w:eastAsia="Palatino Linotype" w:hAnsi="Palatino Linotype" w:cs="Palatino Linotype"/>
        </w:rPr>
        <w:t xml:space="preserve"> que, en caso de negarse a cumplir la presente resolución o hacerlo de </w:t>
      </w:r>
      <w:r w:rsidRPr="00F67C70">
        <w:rPr>
          <w:rFonts w:ascii="Palatino Linotype" w:eastAsia="Palatino Linotype" w:hAnsi="Palatino Linotype" w:cs="Palatino Linotype"/>
        </w:rPr>
        <w:lastRenderedPageBreak/>
        <w:t>manera parcial se actuará de conformidad con lo previsto en los artículos 213, 214, 216 y 217 de dicha Ley.</w:t>
      </w:r>
    </w:p>
    <w:p w14:paraId="7F2F3261" w14:textId="77777777" w:rsidR="00806132" w:rsidRPr="00F67C70" w:rsidRDefault="009F2361">
      <w:pPr>
        <w:spacing w:line="360" w:lineRule="auto"/>
        <w:ind w:right="49"/>
        <w:jc w:val="both"/>
        <w:rPr>
          <w:rFonts w:ascii="Palatino Linotype" w:eastAsia="Palatino Linotype" w:hAnsi="Palatino Linotype" w:cs="Palatino Linotype"/>
          <w:color w:val="222222"/>
        </w:rPr>
      </w:pPr>
      <w:r w:rsidRPr="00F67C70">
        <w:rPr>
          <w:rFonts w:ascii="Palatino Linotype" w:eastAsia="Palatino Linotype" w:hAnsi="Palatino Linotype" w:cs="Palatino Linotype"/>
          <w:b/>
          <w:color w:val="222222"/>
          <w:sz w:val="28"/>
          <w:szCs w:val="28"/>
        </w:rPr>
        <w:t xml:space="preserve">QUINTO. </w:t>
      </w:r>
      <w:r w:rsidRPr="00F67C70">
        <w:rPr>
          <w:rFonts w:ascii="Palatino Linotype" w:eastAsia="Palatino Linotype" w:hAnsi="Palatino Linotype" w:cs="Palatino Linotype"/>
          <w:b/>
          <w:color w:val="222222"/>
        </w:rPr>
        <w:t>Notifíquese</w:t>
      </w:r>
      <w:r w:rsidRPr="00F67C70">
        <w:rPr>
          <w:rFonts w:ascii="Palatino Linotype" w:eastAsia="Palatino Linotype" w:hAnsi="Palatino Linotype" w:cs="Palatino Linotype"/>
          <w:color w:val="222222"/>
        </w:rPr>
        <w:t xml:space="preserve"> al</w:t>
      </w:r>
      <w:r w:rsidRPr="00F67C70">
        <w:rPr>
          <w:rFonts w:ascii="Palatino Linotype" w:eastAsia="Palatino Linotype" w:hAnsi="Palatino Linotype" w:cs="Palatino Linotype"/>
          <w:b/>
          <w:color w:val="222222"/>
        </w:rPr>
        <w:t xml:space="preserve"> RECURRENTE</w:t>
      </w:r>
      <w:r w:rsidRPr="00F67C70">
        <w:rPr>
          <w:rFonts w:ascii="Palatino Linotype" w:eastAsia="Palatino Linotype" w:hAnsi="Palatino Linotype" w:cs="Palatino Linotype"/>
          <w:color w:val="222222"/>
        </w:rPr>
        <w:t xml:space="preserve"> la presente resolución.</w:t>
      </w:r>
    </w:p>
    <w:p w14:paraId="50ACAF8B" w14:textId="77777777" w:rsidR="00806132" w:rsidRPr="00F67C70" w:rsidRDefault="009F2361">
      <w:pPr>
        <w:spacing w:before="280" w:after="280" w:line="360" w:lineRule="auto"/>
        <w:ind w:right="51"/>
        <w:jc w:val="both"/>
        <w:rPr>
          <w:rFonts w:ascii="Palatino Linotype" w:eastAsia="Palatino Linotype" w:hAnsi="Palatino Linotype" w:cs="Palatino Linotype"/>
          <w:color w:val="222222"/>
        </w:rPr>
      </w:pPr>
      <w:r w:rsidRPr="00F67C70">
        <w:rPr>
          <w:rFonts w:ascii="Palatino Linotype" w:eastAsia="Palatino Linotype" w:hAnsi="Palatino Linotype" w:cs="Palatino Linotype"/>
          <w:b/>
          <w:color w:val="222222"/>
          <w:sz w:val="28"/>
          <w:szCs w:val="28"/>
        </w:rPr>
        <w:t>SEXTO.</w:t>
      </w:r>
      <w:r w:rsidRPr="00F67C70">
        <w:rPr>
          <w:rFonts w:ascii="Palatino Linotype" w:eastAsia="Palatino Linotype" w:hAnsi="Palatino Linotype" w:cs="Palatino Linotype"/>
          <w:color w:val="222222"/>
        </w:rPr>
        <w:t xml:space="preserve"> </w:t>
      </w:r>
      <w:r w:rsidRPr="00F67C70">
        <w:rPr>
          <w:rFonts w:ascii="Palatino Linotype" w:eastAsia="Palatino Linotype" w:hAnsi="Palatino Linotype" w:cs="Palatino Linotype"/>
          <w:b/>
          <w:color w:val="222222"/>
        </w:rPr>
        <w:t>Hágase del conocimiento</w:t>
      </w:r>
      <w:r w:rsidRPr="00F67C70">
        <w:rPr>
          <w:rFonts w:ascii="Palatino Linotype" w:eastAsia="Palatino Linotype" w:hAnsi="Palatino Linotype" w:cs="Palatino Linotype"/>
          <w:color w:val="222222"/>
        </w:rPr>
        <w:t xml:space="preserve"> al </w:t>
      </w:r>
      <w:r w:rsidRPr="00F67C70">
        <w:rPr>
          <w:rFonts w:ascii="Palatino Linotype" w:eastAsia="Palatino Linotype" w:hAnsi="Palatino Linotype" w:cs="Palatino Linotype"/>
          <w:b/>
          <w:color w:val="222222"/>
        </w:rPr>
        <w:t>RECURRENTE</w:t>
      </w:r>
      <w:r w:rsidRPr="00F67C70">
        <w:rPr>
          <w:rFonts w:ascii="Palatino Linotype" w:eastAsia="Palatino Linotype" w:hAnsi="Palatino Linotype" w:cs="Palatino Linotype"/>
          <w:color w:val="222222"/>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0BD74E87" w14:textId="77777777" w:rsidR="00806132" w:rsidRPr="00F67C70" w:rsidRDefault="009F2361">
      <w:pPr>
        <w:spacing w:before="280" w:after="280" w:line="360" w:lineRule="auto"/>
        <w:jc w:val="both"/>
        <w:rPr>
          <w:rFonts w:ascii="Palatino Linotype" w:eastAsia="Palatino Linotype" w:hAnsi="Palatino Linotype" w:cs="Palatino Linotype"/>
        </w:rPr>
      </w:pPr>
      <w:bookmarkStart w:id="2" w:name="_30j0zll" w:colFirst="0" w:colLast="0"/>
      <w:bookmarkEnd w:id="2"/>
      <w:r w:rsidRPr="00F67C70">
        <w:rPr>
          <w:rFonts w:ascii="Palatino Linotype" w:eastAsia="Palatino Linotype" w:hAnsi="Palatino Linotype" w:cs="Palatino Linotype"/>
          <w:b/>
          <w:sz w:val="28"/>
          <w:szCs w:val="28"/>
        </w:rPr>
        <w:t>SÉPTIMO</w:t>
      </w:r>
      <w:r w:rsidRPr="00F67C7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w:t>
      </w:r>
    </w:p>
    <w:p w14:paraId="5DEC3B27" w14:textId="77777777" w:rsidR="00806132" w:rsidRPr="00F67C70" w:rsidRDefault="009F2361">
      <w:pPr>
        <w:spacing w:before="280" w:after="280" w:line="360" w:lineRule="auto"/>
        <w:jc w:val="both"/>
        <w:rPr>
          <w:rFonts w:ascii="Palatino Linotype" w:eastAsia="Palatino Linotype" w:hAnsi="Palatino Linotype" w:cs="Palatino Linotype"/>
        </w:rPr>
      </w:pPr>
      <w:r w:rsidRPr="00F67C7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DÉCIMA CUARTA SESIÓN ORDINARIA CELEBRADA EL DÍA VEINTIOCHO DE ABRIL DE DOS MIL VEINTIUNO, ANTE EL SECRETARIO TÉCNICO DEL PLENO, ALEXIS TAPIA RAMÍREZ.</w:t>
      </w:r>
    </w:p>
    <w:p w14:paraId="4AA62427" w14:textId="77777777" w:rsidR="00806132" w:rsidRDefault="009F2361" w:rsidP="00F67C70">
      <w:pPr>
        <w:jc w:val="both"/>
        <w:rPr>
          <w:rFonts w:ascii="Palatino Linotype" w:eastAsia="Palatino Linotype" w:hAnsi="Palatino Linotype" w:cs="Palatino Linotype"/>
          <w:sz w:val="16"/>
          <w:szCs w:val="16"/>
        </w:rPr>
      </w:pPr>
      <w:r w:rsidRPr="00F67C70">
        <w:rPr>
          <w:rFonts w:ascii="Palatino Linotype" w:eastAsia="Palatino Linotype" w:hAnsi="Palatino Linotype" w:cs="Palatino Linotype"/>
          <w:sz w:val="16"/>
          <w:szCs w:val="16"/>
        </w:rPr>
        <w:t>YSM/AMV</w:t>
      </w:r>
      <w:r>
        <w:br w:type="page"/>
      </w:r>
    </w:p>
    <w:p w14:paraId="62C5D5F7" w14:textId="77777777" w:rsidR="00806132" w:rsidRDefault="00806132">
      <w:pPr>
        <w:jc w:val="both"/>
        <w:rPr>
          <w:sz w:val="16"/>
          <w:szCs w:val="16"/>
        </w:rPr>
      </w:pPr>
    </w:p>
    <w:p w14:paraId="5AAE50DA" w14:textId="77777777" w:rsidR="00806132" w:rsidRDefault="00806132"/>
    <w:p w14:paraId="6C609927" w14:textId="77777777" w:rsidR="00806132" w:rsidRDefault="00806132"/>
    <w:p w14:paraId="50E064D4" w14:textId="77777777" w:rsidR="00806132" w:rsidRDefault="00806132"/>
    <w:p w14:paraId="4B88F600" w14:textId="77777777" w:rsidR="00806132" w:rsidRDefault="00806132"/>
    <w:p w14:paraId="605247CC" w14:textId="77777777" w:rsidR="00806132" w:rsidRDefault="00806132"/>
    <w:p w14:paraId="4F99493B" w14:textId="77777777" w:rsidR="00806132" w:rsidRDefault="00806132"/>
    <w:p w14:paraId="469B3A65" w14:textId="77777777" w:rsidR="00806132" w:rsidRDefault="00806132"/>
    <w:sectPr w:rsidR="00806132">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BA82F8" w14:textId="77777777" w:rsidR="000C6025" w:rsidRDefault="000C6025">
      <w:r>
        <w:separator/>
      </w:r>
    </w:p>
  </w:endnote>
  <w:endnote w:type="continuationSeparator" w:id="0">
    <w:p w14:paraId="5A6E3D87" w14:textId="77777777" w:rsidR="000C6025" w:rsidRDefault="000C6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F2C09" w14:textId="77777777" w:rsidR="00806132" w:rsidRDefault="009F236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94FC4">
      <w:rPr>
        <w:rFonts w:ascii="Palatino Linotype" w:eastAsia="Palatino Linotype" w:hAnsi="Palatino Linotype" w:cs="Palatino Linotype"/>
        <w:noProof/>
        <w:color w:val="000000"/>
        <w:sz w:val="22"/>
        <w:szCs w:val="22"/>
      </w:rPr>
      <w:t>6</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94FC4">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0A5FF" w14:textId="77777777" w:rsidR="00806132" w:rsidRDefault="009F2361">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F94FC4">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F94FC4">
      <w:rPr>
        <w:rFonts w:ascii="Palatino Linotype" w:eastAsia="Palatino Linotype" w:hAnsi="Palatino Linotype" w:cs="Palatino Linotype"/>
        <w:noProof/>
        <w:color w:val="000000"/>
        <w:sz w:val="22"/>
        <w:szCs w:val="22"/>
      </w:rPr>
      <w:t>29</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D3C2C" w14:textId="77777777" w:rsidR="000C6025" w:rsidRDefault="000C6025">
      <w:r>
        <w:separator/>
      </w:r>
    </w:p>
  </w:footnote>
  <w:footnote w:type="continuationSeparator" w:id="0">
    <w:p w14:paraId="4845C5D0" w14:textId="77777777" w:rsidR="000C6025" w:rsidRDefault="000C60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DC03D" w14:textId="77777777" w:rsidR="00806132" w:rsidRDefault="00806132">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7FB09" w14:textId="77777777" w:rsidR="00806132" w:rsidRDefault="0080613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tbl>
    <w:tblPr>
      <w:tblStyle w:val="a"/>
      <w:tblW w:w="9356" w:type="dxa"/>
      <w:tblInd w:w="-142" w:type="dxa"/>
      <w:tblLayout w:type="fixed"/>
      <w:tblLook w:val="0400" w:firstRow="0" w:lastRow="0" w:firstColumn="0" w:lastColumn="0" w:noHBand="0" w:noVBand="1"/>
    </w:tblPr>
    <w:tblGrid>
      <w:gridCol w:w="3828"/>
      <w:gridCol w:w="2551"/>
      <w:gridCol w:w="2977"/>
    </w:tblGrid>
    <w:tr w:rsidR="00806132" w14:paraId="69A307CE" w14:textId="77777777">
      <w:tc>
        <w:tcPr>
          <w:tcW w:w="3828" w:type="dxa"/>
          <w:vMerge w:val="restart"/>
        </w:tcPr>
        <w:p w14:paraId="27A66E8C"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3F5CA021" wp14:editId="5F77DBDE">
                <wp:extent cx="1692162" cy="852673"/>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36EBC860"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0E72EAB6" w14:textId="77777777" w:rsidR="00806132" w:rsidRDefault="009F2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01282/INFOEM/IP/RR/2021</w:t>
          </w:r>
        </w:p>
      </w:tc>
    </w:tr>
    <w:tr w:rsidR="00806132" w14:paraId="2906FF04" w14:textId="77777777">
      <w:tc>
        <w:tcPr>
          <w:tcW w:w="3828" w:type="dxa"/>
          <w:vMerge/>
        </w:tcPr>
        <w:p w14:paraId="2E6F52D0" w14:textId="77777777" w:rsidR="00806132" w:rsidRDefault="0080613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7FC8BB64"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52C9F69E" w14:textId="77777777" w:rsidR="00806132" w:rsidRDefault="009F2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p>
      </w:tc>
    </w:tr>
    <w:tr w:rsidR="00806132" w14:paraId="4B72676F" w14:textId="77777777">
      <w:trPr>
        <w:trHeight w:val="228"/>
      </w:trPr>
      <w:tc>
        <w:tcPr>
          <w:tcW w:w="3828" w:type="dxa"/>
          <w:vMerge/>
        </w:tcPr>
        <w:p w14:paraId="0C71FA59" w14:textId="77777777" w:rsidR="00806132" w:rsidRDefault="0080613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1" w:type="dxa"/>
          <w:shd w:val="clear" w:color="auto" w:fill="auto"/>
        </w:tcPr>
        <w:p w14:paraId="0B9DDD29"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tcPr>
        <w:p w14:paraId="423A238B" w14:textId="77777777" w:rsidR="00806132" w:rsidRDefault="009F2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Eva Abaid Yapur</w:t>
          </w:r>
        </w:p>
      </w:tc>
    </w:tr>
  </w:tbl>
  <w:p w14:paraId="7EF6E24A" w14:textId="77777777" w:rsidR="00806132" w:rsidRDefault="0080613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98A8E5" w14:textId="77777777" w:rsidR="00806132" w:rsidRDefault="00806132">
    <w:pPr>
      <w:rPr>
        <w:rFonts w:ascii="Palatino Linotype" w:eastAsia="Palatino Linotype" w:hAnsi="Palatino Linotype" w:cs="Palatino Linotype"/>
        <w:sz w:val="28"/>
        <w:szCs w:val="28"/>
      </w:rPr>
    </w:pPr>
  </w:p>
  <w:tbl>
    <w:tblPr>
      <w:tblStyle w:val="a0"/>
      <w:tblW w:w="9356" w:type="dxa"/>
      <w:tblInd w:w="-142" w:type="dxa"/>
      <w:tblLayout w:type="fixed"/>
      <w:tblLook w:val="0400" w:firstRow="0" w:lastRow="0" w:firstColumn="0" w:lastColumn="0" w:noHBand="0" w:noVBand="1"/>
    </w:tblPr>
    <w:tblGrid>
      <w:gridCol w:w="3828"/>
      <w:gridCol w:w="2552"/>
      <w:gridCol w:w="2976"/>
    </w:tblGrid>
    <w:tr w:rsidR="00806132" w14:paraId="5975FD22" w14:textId="77777777">
      <w:tc>
        <w:tcPr>
          <w:tcW w:w="3828" w:type="dxa"/>
          <w:vMerge w:val="restart"/>
          <w:shd w:val="clear" w:color="auto" w:fill="auto"/>
        </w:tcPr>
        <w:p w14:paraId="2394222C"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143AB13D" wp14:editId="2AAE1F9E">
                <wp:extent cx="1692162" cy="852673"/>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4EFC8AE"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6" w:type="dxa"/>
          <w:shd w:val="clear" w:color="auto" w:fill="auto"/>
          <w:vAlign w:val="center"/>
        </w:tcPr>
        <w:p w14:paraId="7DF274C1" w14:textId="77777777" w:rsidR="00806132" w:rsidRDefault="009F2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01282/INFOEM/IP/RR/2021</w:t>
          </w:r>
        </w:p>
      </w:tc>
    </w:tr>
    <w:tr w:rsidR="00806132" w14:paraId="575D2991" w14:textId="77777777">
      <w:tc>
        <w:tcPr>
          <w:tcW w:w="3828" w:type="dxa"/>
          <w:vMerge/>
          <w:shd w:val="clear" w:color="auto" w:fill="auto"/>
        </w:tcPr>
        <w:p w14:paraId="1E7CE648" w14:textId="77777777" w:rsidR="00806132" w:rsidRDefault="0080613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389B2555"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6" w:type="dxa"/>
          <w:shd w:val="clear" w:color="auto" w:fill="auto"/>
          <w:vAlign w:val="center"/>
        </w:tcPr>
        <w:p w14:paraId="32F40B2A" w14:textId="1C1AA476" w:rsidR="00806132" w:rsidRDefault="00F94FC4">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XXXXXXXXXXXXX</w:t>
          </w:r>
          <w:r w:rsidR="009F2361">
            <w:rPr>
              <w:rFonts w:ascii="Palatino Linotype" w:eastAsia="Palatino Linotype" w:hAnsi="Palatino Linotype" w:cs="Palatino Linotype"/>
              <w:b/>
              <w:sz w:val="22"/>
              <w:szCs w:val="22"/>
            </w:rPr>
            <w:t xml:space="preserve">  </w:t>
          </w:r>
        </w:p>
      </w:tc>
    </w:tr>
    <w:tr w:rsidR="00806132" w14:paraId="3862400C" w14:textId="77777777">
      <w:trPr>
        <w:trHeight w:val="228"/>
      </w:trPr>
      <w:tc>
        <w:tcPr>
          <w:tcW w:w="3828" w:type="dxa"/>
          <w:vMerge/>
          <w:shd w:val="clear" w:color="auto" w:fill="auto"/>
        </w:tcPr>
        <w:p w14:paraId="2C107B51" w14:textId="77777777" w:rsidR="00806132" w:rsidRDefault="0080613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0F578B86"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6" w:type="dxa"/>
          <w:shd w:val="clear" w:color="auto" w:fill="auto"/>
          <w:vAlign w:val="center"/>
        </w:tcPr>
        <w:p w14:paraId="2C9056E4" w14:textId="77777777" w:rsidR="00806132" w:rsidRDefault="009F2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Texcoco</w:t>
          </w:r>
        </w:p>
      </w:tc>
    </w:tr>
    <w:tr w:rsidR="00806132" w14:paraId="7C421763" w14:textId="77777777">
      <w:tc>
        <w:tcPr>
          <w:tcW w:w="3828" w:type="dxa"/>
          <w:vMerge/>
          <w:shd w:val="clear" w:color="auto" w:fill="auto"/>
        </w:tcPr>
        <w:p w14:paraId="2C3FD052" w14:textId="77777777" w:rsidR="00806132" w:rsidRDefault="00806132">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2727A9F7" w14:textId="77777777" w:rsidR="00806132" w:rsidRDefault="009F236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6" w:type="dxa"/>
          <w:shd w:val="clear" w:color="auto" w:fill="auto"/>
        </w:tcPr>
        <w:p w14:paraId="37B029D8" w14:textId="77777777" w:rsidR="00806132" w:rsidRDefault="009F2361">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Eva Abaid Yapur</w:t>
          </w:r>
        </w:p>
      </w:tc>
    </w:tr>
  </w:tbl>
  <w:p w14:paraId="0E881B97" w14:textId="77777777" w:rsidR="00806132" w:rsidRDefault="00806132">
    <w:pPr>
      <w:rPr>
        <w:rFonts w:ascii="Palatino Linotype" w:eastAsia="Palatino Linotype" w:hAnsi="Palatino Linotype" w:cs="Palatino Linotype"/>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32"/>
    <w:rsid w:val="000C6025"/>
    <w:rsid w:val="000F21A6"/>
    <w:rsid w:val="00346F32"/>
    <w:rsid w:val="00806132"/>
    <w:rsid w:val="008C495E"/>
    <w:rsid w:val="009F2361"/>
    <w:rsid w:val="00D201C7"/>
    <w:rsid w:val="00D2182E"/>
    <w:rsid w:val="00F67C70"/>
    <w:rsid w:val="00F94FC4"/>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CAF12F"/>
  <w15:docId w15:val="{B3CC549C-09A0-47CD-AA2A-0BABF0A56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paragraph" w:styleId="Textodeglobo">
    <w:name w:val="Balloon Text"/>
    <w:basedOn w:val="Normal"/>
    <w:link w:val="TextodegloboCar"/>
    <w:uiPriority w:val="99"/>
    <w:semiHidden/>
    <w:unhideWhenUsed/>
    <w:rsid w:val="00F67C7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67C70"/>
    <w:rPr>
      <w:rFonts w:ascii="Lucida Grande" w:hAnsi="Lucida Grande" w:cs="Lucida Grande"/>
      <w:sz w:val="18"/>
      <w:szCs w:val="18"/>
    </w:rPr>
  </w:style>
  <w:style w:type="paragraph" w:styleId="Piedepgina">
    <w:name w:val="footer"/>
    <w:basedOn w:val="Normal"/>
    <w:link w:val="PiedepginaCar"/>
    <w:uiPriority w:val="99"/>
    <w:unhideWhenUsed/>
    <w:rsid w:val="00F94FC4"/>
    <w:pPr>
      <w:tabs>
        <w:tab w:val="center" w:pos="4419"/>
        <w:tab w:val="right" w:pos="8838"/>
      </w:tabs>
    </w:pPr>
  </w:style>
  <w:style w:type="character" w:customStyle="1" w:styleId="PiedepginaCar">
    <w:name w:val="Pie de página Car"/>
    <w:basedOn w:val="Fuentedeprrafopredeter"/>
    <w:link w:val="Piedepgina"/>
    <w:uiPriority w:val="99"/>
    <w:rsid w:val="00F94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7057</Words>
  <Characters>38818</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alejandra mendoza</cp:lastModifiedBy>
  <cp:revision>4</cp:revision>
  <cp:lastPrinted>2021-04-29T16:01:00Z</cp:lastPrinted>
  <dcterms:created xsi:type="dcterms:W3CDTF">2021-04-29T16:01:00Z</dcterms:created>
  <dcterms:modified xsi:type="dcterms:W3CDTF">2021-05-09T01:53:00Z</dcterms:modified>
</cp:coreProperties>
</file>