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05E37" w:rsidP="00D77893" w:rsidRDefault="00B05E37" w14:paraId="7D0F33E6" w14:textId="77777777">
      <w:pPr>
        <w:tabs>
          <w:tab w:val="left" w:pos="8931"/>
        </w:tabs>
        <w:spacing w:after="0" w:line="360" w:lineRule="auto"/>
        <w:rPr>
          <w:rFonts w:cs="Tahoma"/>
          <w:bCs/>
        </w:rPr>
      </w:pPr>
    </w:p>
    <w:p w:rsidRPr="00597EA8" w:rsidR="00446612" w:rsidP="00D77893" w:rsidRDefault="00446612" w14:paraId="1E8D253B" w14:textId="643269BC">
      <w:pPr>
        <w:tabs>
          <w:tab w:val="left" w:pos="8931"/>
        </w:tabs>
        <w:spacing w:after="0" w:line="360" w:lineRule="auto"/>
        <w:rPr>
          <w:rFonts w:eastAsia="Calibri" w:cs="Tahoma"/>
          <w:lang w:val="es-ES"/>
        </w:rPr>
      </w:pPr>
      <w:r w:rsidRPr="00597EA8">
        <w:rPr>
          <w:rFonts w:cs="Tahoma"/>
          <w:bCs/>
        </w:rPr>
        <w:t xml:space="preserve">Resolución del Pleno del Instituto de Transparencia, Acceso a la Información Pública y Protección de Datos Personales del Estado de México y Municipios, con domicilio en Metepec, </w:t>
      </w:r>
      <w:r w:rsidRPr="00597EA8">
        <w:rPr>
          <w:rFonts w:eastAsia="Calibri" w:cs="Tahoma"/>
          <w:lang w:val="es-ES"/>
        </w:rPr>
        <w:t xml:space="preserve">Estado de México, de fecha </w:t>
      </w:r>
      <w:r w:rsidR="00A76A23">
        <w:rPr>
          <w:rFonts w:eastAsia="Calibri" w:cs="Tahoma"/>
          <w:lang w:val="es-ES"/>
        </w:rPr>
        <w:t>primero de diciembre</w:t>
      </w:r>
      <w:r w:rsidRPr="00597EA8">
        <w:rPr>
          <w:rFonts w:eastAsia="Calibri" w:cs="Tahoma"/>
          <w:lang w:val="es-ES"/>
        </w:rPr>
        <w:t xml:space="preserve"> de dos mil veintiuno.  </w:t>
      </w:r>
    </w:p>
    <w:p w:rsidRPr="00597EA8" w:rsidR="00446612" w:rsidP="00D77893" w:rsidRDefault="00446612" w14:paraId="27D9F7DD" w14:textId="77777777">
      <w:pPr>
        <w:spacing w:after="0" w:line="360" w:lineRule="auto"/>
        <w:rPr>
          <w:rFonts w:eastAsia="Calibri" w:cs="Tahoma"/>
          <w:b/>
          <w:bCs/>
          <w:lang w:val="es-ES"/>
        </w:rPr>
      </w:pPr>
    </w:p>
    <w:p w:rsidRPr="001B47B1" w:rsidR="00446612" w:rsidP="00D77893" w:rsidRDefault="00446612" w14:paraId="7006B24C" w14:textId="0A0252C3">
      <w:pPr>
        <w:spacing w:after="0" w:line="360" w:lineRule="auto"/>
        <w:rPr>
          <w:rFonts w:cs="Tahoma"/>
          <w:color w:val="0D0D0D" w:themeColor="text1" w:themeTint="F2"/>
        </w:rPr>
      </w:pPr>
      <w:r w:rsidRPr="0D5FD2EA" w:rsidR="0D5FD2EA">
        <w:rPr>
          <w:rFonts w:eastAsia="Calibri" w:cs="Tahoma"/>
          <w:b w:val="1"/>
          <w:bCs w:val="1"/>
          <w:lang w:val="es-ES"/>
        </w:rPr>
        <w:t xml:space="preserve">VISTO </w:t>
      </w:r>
      <w:r w:rsidRPr="0D5FD2EA" w:rsidR="0D5FD2EA">
        <w:rPr>
          <w:rFonts w:eastAsia="Calibri" w:cs="Tahoma"/>
          <w:lang w:val="es-ES"/>
        </w:rPr>
        <w:t xml:space="preserve">el expediente conformado con motivo del Recurso de Revisión </w:t>
      </w:r>
      <w:r w:rsidRPr="0D5FD2EA" w:rsidR="0D5FD2EA">
        <w:rPr>
          <w:rFonts w:eastAsia="Calibri" w:cs="Tahoma"/>
          <w:b w:val="1"/>
          <w:bCs w:val="1"/>
        </w:rPr>
        <w:t>05031/INFOEM/IP/RR/2021</w:t>
      </w:r>
      <w:r w:rsidRPr="0D5FD2EA" w:rsidR="0D5FD2EA">
        <w:rPr>
          <w:rFonts w:cs="Tahoma"/>
          <w:color w:val="0D0D0D" w:themeColor="text1" w:themeTint="F2" w:themeShade="FF"/>
        </w:rPr>
        <w:t>, interpuesto por</w:t>
      </w:r>
      <w:r w:rsidRPr="0D5FD2EA" w:rsidR="0D5FD2EA">
        <w:rPr>
          <w:rFonts w:cs="Tahoma"/>
          <w:color w:val="0D0D0D" w:themeColor="text1" w:themeTint="F2" w:themeShade="FF"/>
        </w:rPr>
        <w:t xml:space="preserve"> </w:t>
      </w:r>
      <w:r w:rsidRPr="0D5FD2EA" w:rsidR="0D5FD2EA">
        <w:rPr>
          <w:rFonts w:cs="Tahoma"/>
          <w:color w:val="0D0D0D" w:themeColor="text1" w:themeTint="F2" w:themeShade="FF"/>
          <w:highlight w:val="black"/>
        </w:rPr>
        <w:t>XXXXXXXXXXXXXXXXXXXXXXXXX</w:t>
      </w:r>
      <w:r w:rsidRPr="0D5FD2EA" w:rsidR="0D5FD2EA">
        <w:rPr>
          <w:rFonts w:cs="Tahoma"/>
          <w:color w:val="0D0D0D" w:themeColor="text1" w:themeTint="F2" w:themeShade="FF"/>
        </w:rPr>
        <w:t xml:space="preserve"> en lo sucesivo </w:t>
      </w:r>
      <w:r w:rsidRPr="0D5FD2EA" w:rsidR="0D5FD2EA">
        <w:rPr>
          <w:rFonts w:eastAsia="Calibri" w:cs="Tahoma"/>
        </w:rPr>
        <w:t>el</w:t>
      </w:r>
      <w:r w:rsidRPr="0D5FD2EA" w:rsidR="0D5FD2EA">
        <w:rPr>
          <w:rFonts w:cs="Tahoma"/>
          <w:color w:val="0D0D0D" w:themeColor="text1" w:themeTint="F2" w:themeShade="FF"/>
        </w:rPr>
        <w:t xml:space="preserve"> Recurrente o Particular, en contra de la falta de respuesta del Sujeto Obligado, Ayuntamiento de Santo Tomas, a la solicitud de acceso a la información 00048/SANTOTOM/IP/2021</w:t>
      </w:r>
      <w:r w:rsidRPr="0D5FD2EA" w:rsidR="0D5FD2EA">
        <w:rPr>
          <w:rFonts w:cs="Tahoma"/>
          <w:color w:val="0D0D0D" w:themeColor="text1" w:themeTint="F2" w:themeShade="FF"/>
        </w:rPr>
        <w:t>,</w:t>
      </w:r>
      <w:r w:rsidRPr="0D5FD2EA" w:rsidR="0D5FD2EA">
        <w:rPr>
          <w:rFonts w:cs="Tahoma"/>
          <w:color w:val="0D0D0D" w:themeColor="text1" w:themeTint="F2" w:themeShade="FF"/>
        </w:rPr>
        <w:t xml:space="preserve"> se emite la presente Resolución, con base en los Antecedentes y Considerandos que se exponen a continuación:</w:t>
      </w:r>
    </w:p>
    <w:p w:rsidRPr="00597EA8" w:rsidR="00446612" w:rsidP="00D77893" w:rsidRDefault="00446612" w14:paraId="4BF305B8" w14:textId="77777777">
      <w:pPr>
        <w:spacing w:after="0" w:line="360" w:lineRule="auto"/>
        <w:rPr>
          <w:rFonts w:eastAsia="Calibri" w:cs="Tahoma"/>
          <w:b/>
          <w:bCs/>
          <w:lang w:val="es-ES"/>
        </w:rPr>
      </w:pPr>
    </w:p>
    <w:p w:rsidRPr="00597EA8" w:rsidR="00446612" w:rsidP="00D77893" w:rsidRDefault="00446612" w14:paraId="452F4447" w14:textId="77777777">
      <w:pPr>
        <w:spacing w:after="0" w:line="360" w:lineRule="auto"/>
        <w:jc w:val="center"/>
        <w:rPr>
          <w:rFonts w:eastAsia="Calibri" w:cs="Tahoma"/>
          <w:b/>
          <w:bCs/>
          <w:lang w:val="es-ES"/>
        </w:rPr>
      </w:pPr>
      <w:r w:rsidRPr="00597EA8">
        <w:rPr>
          <w:rFonts w:eastAsia="Calibri" w:cs="Tahoma"/>
          <w:b/>
          <w:bCs/>
          <w:lang w:val="es-ES"/>
        </w:rPr>
        <w:t>A N T E C E D E N T E S:</w:t>
      </w:r>
    </w:p>
    <w:p w:rsidRPr="00597EA8" w:rsidR="00446612" w:rsidP="00D77893" w:rsidRDefault="00446612" w14:paraId="415B28DE" w14:textId="77777777">
      <w:pPr>
        <w:spacing w:after="0" w:line="360" w:lineRule="auto"/>
        <w:rPr>
          <w:lang w:val="es-ES"/>
        </w:rPr>
      </w:pPr>
    </w:p>
    <w:p w:rsidRPr="00597EA8" w:rsidR="00446612" w:rsidP="00D77893" w:rsidRDefault="00446612" w14:paraId="613B94A7" w14:textId="77777777">
      <w:pPr>
        <w:spacing w:after="0" w:line="360" w:lineRule="auto"/>
        <w:rPr>
          <w:rFonts w:eastAsia="Calibri" w:cs="Tahoma"/>
          <w:b/>
          <w:bCs/>
          <w:lang w:val="es-ES"/>
        </w:rPr>
      </w:pPr>
      <w:r w:rsidRPr="00597EA8">
        <w:rPr>
          <w:rFonts w:eastAsia="Calibri" w:cs="Tahoma"/>
          <w:b/>
          <w:bCs/>
          <w:lang w:val="es-ES"/>
        </w:rPr>
        <w:t xml:space="preserve">I. Presentación de la solicitud de información. </w:t>
      </w:r>
    </w:p>
    <w:p w:rsidRPr="00597EA8" w:rsidR="00446612" w:rsidP="00D77893" w:rsidRDefault="00446612" w14:paraId="45C2B9DD" w14:textId="77777777">
      <w:pPr>
        <w:spacing w:after="0" w:line="360" w:lineRule="auto"/>
        <w:rPr>
          <w:rFonts w:eastAsia="Calibri" w:cs="Tahoma"/>
          <w:b/>
          <w:bCs/>
          <w:lang w:val="es-ES"/>
        </w:rPr>
      </w:pPr>
    </w:p>
    <w:p w:rsidRPr="00597EA8" w:rsidR="00446612" w:rsidP="00D77893" w:rsidRDefault="00446612" w14:paraId="5A611C0A" w14:textId="67A5B6F7">
      <w:pPr>
        <w:spacing w:after="0" w:line="360" w:lineRule="auto"/>
        <w:rPr>
          <w:rFonts w:cs="Tahoma"/>
        </w:rPr>
      </w:pPr>
      <w:r w:rsidRPr="00597EA8">
        <w:rPr>
          <w:rFonts w:eastAsia="Calibri" w:cs="Tahoma"/>
          <w:lang w:val="es-ES"/>
        </w:rPr>
        <w:t xml:space="preserve">Con fecha </w:t>
      </w:r>
      <w:r w:rsidR="00B81BBA">
        <w:rPr>
          <w:rFonts w:eastAsia="Calibri" w:cs="Tahoma"/>
          <w:lang w:val="es-ES"/>
        </w:rPr>
        <w:t>veinte</w:t>
      </w:r>
      <w:r w:rsidR="00485CC9">
        <w:rPr>
          <w:rFonts w:eastAsia="Calibri" w:cs="Tahoma"/>
          <w:lang w:val="es-ES"/>
        </w:rPr>
        <w:t xml:space="preserve"> de </w:t>
      </w:r>
      <w:r w:rsidR="006274C1">
        <w:rPr>
          <w:rFonts w:eastAsia="Calibri" w:cs="Tahoma"/>
          <w:lang w:val="es-ES"/>
        </w:rPr>
        <w:t>septiembre</w:t>
      </w:r>
      <w:r w:rsidRPr="00597EA8" w:rsidR="00D734C9">
        <w:rPr>
          <w:rFonts w:eastAsia="Calibri" w:cs="Tahoma"/>
          <w:lang w:val="es-ES"/>
        </w:rPr>
        <w:t xml:space="preserve"> </w:t>
      </w:r>
      <w:r w:rsidRPr="00597EA8">
        <w:rPr>
          <w:rFonts w:eastAsia="Calibri" w:cs="Tahoma"/>
          <w:lang w:val="es-ES"/>
        </w:rPr>
        <w:t xml:space="preserve">dos mil veintiuno, el Particular presentó una solicitud de acceso a la información pública, a través del Sistema de Acceso a la Información Mexiquense (SAIMEX), ante el </w:t>
      </w:r>
      <w:r w:rsidRPr="006274C1" w:rsidR="006274C1">
        <w:rPr>
          <w:rFonts w:eastAsia="Calibri" w:cs="Tahoma"/>
        </w:rPr>
        <w:t>Ayuntamiento de Santo Tomas</w:t>
      </w:r>
      <w:r w:rsidRPr="00597EA8">
        <w:rPr>
          <w:rFonts w:cs="Tahoma"/>
        </w:rPr>
        <w:t>, en los siguientes términos:</w:t>
      </w:r>
    </w:p>
    <w:p w:rsidRPr="00597EA8" w:rsidR="00446612" w:rsidP="00D77893" w:rsidRDefault="00446612" w14:paraId="5A7D93C8" w14:textId="77777777">
      <w:pPr>
        <w:spacing w:after="0" w:line="360" w:lineRule="auto"/>
        <w:rPr>
          <w:rFonts w:cs="Tahoma"/>
        </w:rPr>
      </w:pPr>
    </w:p>
    <w:p w:rsidRPr="00597EA8" w:rsidR="00446612" w:rsidP="00D77893" w:rsidRDefault="00446612" w14:paraId="1E9B4BEE" w14:textId="18D8562B">
      <w:pPr>
        <w:tabs>
          <w:tab w:val="left" w:pos="4667"/>
        </w:tabs>
        <w:spacing w:after="0" w:line="360" w:lineRule="auto"/>
        <w:ind w:left="567" w:right="567"/>
        <w:rPr>
          <w:rFonts w:eastAsia="Times New Roman" w:cs="Tahoma"/>
          <w:b/>
          <w:i/>
          <w:iCs/>
          <w:sz w:val="20"/>
          <w:szCs w:val="20"/>
          <w:lang w:eastAsia="es-ES"/>
        </w:rPr>
      </w:pPr>
      <w:r w:rsidRPr="00597EA8">
        <w:rPr>
          <w:rFonts w:eastAsia="Times New Roman" w:cs="Tahoma"/>
          <w:b/>
          <w:i/>
          <w:iCs/>
          <w:sz w:val="20"/>
          <w:szCs w:val="20"/>
          <w:lang w:eastAsia="es-ES"/>
        </w:rPr>
        <w:t>DESCRIPCIÓN CLARA Y PRECISA DE LA INFORMACIÓN SOLICITADA.</w:t>
      </w:r>
    </w:p>
    <w:p w:rsidRPr="00597EA8" w:rsidR="00446612" w:rsidP="00D77893" w:rsidRDefault="006274C1" w14:paraId="46BCAEFF" w14:textId="3E6E6DAA">
      <w:pPr>
        <w:tabs>
          <w:tab w:val="left" w:pos="4667"/>
        </w:tabs>
        <w:spacing w:after="0" w:line="360" w:lineRule="auto"/>
        <w:ind w:left="567" w:right="567"/>
        <w:rPr>
          <w:rFonts w:eastAsia="Times New Roman" w:cs="Tahoma"/>
          <w:bCs/>
          <w:i/>
          <w:iCs/>
          <w:sz w:val="20"/>
          <w:szCs w:val="20"/>
          <w:lang w:eastAsia="es-ES"/>
        </w:rPr>
      </w:pPr>
      <w:r w:rsidRPr="006274C1">
        <w:rPr>
          <w:rFonts w:eastAsia="Times New Roman" w:cs="Tahoma"/>
          <w:bCs/>
          <w:i/>
          <w:iCs/>
          <w:sz w:val="20"/>
          <w:szCs w:val="20"/>
          <w:lang w:eastAsia="es-ES"/>
        </w:rPr>
        <w:t>Solicito me informen cuánto se le debe a cada proveedor del Ayuntamiento.</w:t>
      </w:r>
      <w:r w:rsidRPr="00597EA8" w:rsidR="00446612">
        <w:rPr>
          <w:rFonts w:eastAsia="Times New Roman" w:cs="Tahoma"/>
          <w:bCs/>
          <w:i/>
          <w:iCs/>
          <w:sz w:val="20"/>
          <w:szCs w:val="20"/>
          <w:lang w:eastAsia="es-ES"/>
        </w:rPr>
        <w:t xml:space="preserve"> (Sic) </w:t>
      </w:r>
    </w:p>
    <w:p w:rsidRPr="00597EA8" w:rsidR="00446612" w:rsidP="00D77893" w:rsidRDefault="00446612" w14:paraId="4F9235B1" w14:textId="77777777">
      <w:pPr>
        <w:tabs>
          <w:tab w:val="left" w:pos="4667"/>
        </w:tabs>
        <w:spacing w:after="0" w:line="360" w:lineRule="auto"/>
        <w:ind w:left="567" w:right="567"/>
        <w:rPr>
          <w:rFonts w:eastAsia="Times New Roman" w:cs="Tahoma"/>
          <w:bCs/>
          <w:i/>
          <w:iCs/>
          <w:sz w:val="20"/>
          <w:szCs w:val="20"/>
          <w:lang w:eastAsia="es-ES"/>
        </w:rPr>
      </w:pPr>
    </w:p>
    <w:p w:rsidRPr="0058456F" w:rsidR="00C02E3D" w:rsidP="00C02E3D" w:rsidRDefault="00C02E3D" w14:paraId="4EA50009" w14:textId="77777777">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rsidR="00C02E3D" w:rsidP="00C02E3D" w:rsidRDefault="00C02E3D" w14:paraId="2AFF33B6" w14:textId="77777777">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rsidRPr="00597EA8" w:rsidR="00446612" w:rsidP="00D77893" w:rsidRDefault="00446612" w14:paraId="16DFBE91" w14:textId="77777777">
      <w:pPr>
        <w:spacing w:after="0" w:line="360" w:lineRule="auto"/>
      </w:pPr>
    </w:p>
    <w:p w:rsidRPr="00597EA8" w:rsidR="00446612" w:rsidP="00D77893" w:rsidRDefault="00446612" w14:paraId="209E7BA6" w14:textId="77777777">
      <w:pPr>
        <w:spacing w:after="0" w:line="360" w:lineRule="auto"/>
        <w:rPr>
          <w:rFonts w:eastAsia="Calibri" w:cs="Tahoma"/>
          <w:b/>
          <w:bCs/>
        </w:rPr>
      </w:pPr>
      <w:r w:rsidRPr="00597EA8">
        <w:rPr>
          <w:rFonts w:eastAsia="Calibri" w:cs="Tahoma"/>
          <w:b/>
          <w:bCs/>
        </w:rPr>
        <w:t xml:space="preserve">II. </w:t>
      </w:r>
      <w:r w:rsidRPr="00597EA8">
        <w:rPr>
          <w:rFonts w:eastAsia="Calibri" w:cs="Tahoma"/>
          <w:b/>
        </w:rPr>
        <w:t>Respuesta</w:t>
      </w:r>
      <w:r w:rsidRPr="00597EA8">
        <w:rPr>
          <w:rFonts w:eastAsia="Calibri" w:cs="Tahoma"/>
          <w:b/>
          <w:bCs/>
        </w:rPr>
        <w:t xml:space="preserve"> del Sujeto Obligado.</w:t>
      </w:r>
    </w:p>
    <w:p w:rsidRPr="00597EA8" w:rsidR="00446612" w:rsidP="00D77893" w:rsidRDefault="00446612" w14:paraId="1DF84CB7" w14:textId="77777777">
      <w:pPr>
        <w:spacing w:after="0" w:line="360" w:lineRule="auto"/>
        <w:rPr>
          <w:rFonts w:eastAsia="Calibri" w:cs="Tahoma"/>
          <w:b/>
          <w:bCs/>
        </w:rPr>
      </w:pPr>
    </w:p>
    <w:p w:rsidRPr="00597EA8" w:rsidR="00446612" w:rsidP="00D77893" w:rsidRDefault="00446612" w14:paraId="59A3D462" w14:textId="35A18FB2">
      <w:pPr>
        <w:autoSpaceDE w:val="0"/>
        <w:autoSpaceDN w:val="0"/>
        <w:adjustRightInd w:val="0"/>
        <w:spacing w:after="0" w:line="360" w:lineRule="auto"/>
        <w:rPr>
          <w:rFonts w:eastAsia="Calibri" w:cs="Tahoma"/>
          <w:color w:val="000000"/>
          <w:lang w:val="es-ES"/>
        </w:rPr>
      </w:pPr>
      <w:r w:rsidRPr="00597EA8">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597EA8">
        <w:rPr>
          <w:rFonts w:eastAsia="Calibri" w:cs="Tahoma"/>
          <w:color w:val="000000"/>
          <w:lang w:val="es-ES"/>
        </w:rPr>
        <w:t xml:space="preserve">Sistema de Acceso a la Información Mexiquense (SAIMEX), se advierte que el </w:t>
      </w:r>
      <w:r w:rsidRPr="006274C1" w:rsidR="006274C1">
        <w:rPr>
          <w:rFonts w:eastAsia="Calibri" w:cs="Tahoma"/>
          <w:b/>
          <w:bCs/>
        </w:rPr>
        <w:t>Ayuntamiento de Santo Tomas</w:t>
      </w:r>
      <w:r w:rsidRPr="00597EA8">
        <w:rPr>
          <w:rFonts w:eastAsia="Calibri" w:cs="Tahoma"/>
          <w:bCs/>
          <w:color w:val="000000"/>
        </w:rPr>
        <w:t xml:space="preserve">, omitió dar respuesta, por lo que </w:t>
      </w:r>
      <w:r w:rsidRPr="00597EA8">
        <w:rPr>
          <w:rFonts w:eastAsia="Calibri" w:cs="Tahoma"/>
          <w:b/>
          <w:color w:val="000000"/>
        </w:rPr>
        <w:t xml:space="preserve">se configura la </w:t>
      </w:r>
      <w:r w:rsidRPr="00597EA8">
        <w:rPr>
          <w:rFonts w:eastAsia="Calibri" w:cs="Tahoma"/>
          <w:b/>
          <w:color w:val="000000"/>
          <w:lang w:val="es-ES"/>
        </w:rPr>
        <w:t>negativa ficta</w:t>
      </w:r>
      <w:r w:rsidRPr="00597EA8">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597EA8" w:rsidR="00446612" w:rsidP="00D77893" w:rsidRDefault="00446612" w14:paraId="7D178D83" w14:textId="77777777">
      <w:pPr>
        <w:spacing w:after="0" w:line="360" w:lineRule="auto"/>
      </w:pPr>
    </w:p>
    <w:p w:rsidRPr="00597EA8" w:rsidR="00446612" w:rsidP="00D77893" w:rsidRDefault="00446612" w14:paraId="0B9CD999" w14:textId="067AE65B">
      <w:pPr>
        <w:autoSpaceDE w:val="0"/>
        <w:autoSpaceDN w:val="0"/>
        <w:adjustRightInd w:val="0"/>
        <w:spacing w:after="0" w:line="360" w:lineRule="auto"/>
        <w:rPr>
          <w:rFonts w:eastAsia="Calibri" w:cs="Tahoma"/>
          <w:b/>
          <w:color w:val="000000"/>
        </w:rPr>
      </w:pPr>
      <w:r w:rsidRPr="00597EA8">
        <w:rPr>
          <w:rFonts w:eastAsia="Calibri" w:cs="Tahoma"/>
          <w:b/>
          <w:color w:val="000000"/>
        </w:rPr>
        <w:t>III. Interposición de</w:t>
      </w:r>
      <w:r w:rsidR="00485CC9">
        <w:rPr>
          <w:rFonts w:eastAsia="Calibri" w:cs="Tahoma"/>
          <w:b/>
          <w:color w:val="000000"/>
        </w:rPr>
        <w:t>l</w:t>
      </w:r>
      <w:r w:rsidRPr="00597EA8">
        <w:rPr>
          <w:rFonts w:eastAsia="Calibri" w:cs="Tahoma"/>
          <w:b/>
          <w:color w:val="000000"/>
        </w:rPr>
        <w:t xml:space="preserve"> Recurso de Revisión. </w:t>
      </w:r>
    </w:p>
    <w:p w:rsidRPr="00597EA8" w:rsidR="00446612" w:rsidP="00D77893" w:rsidRDefault="00446612" w14:paraId="1B547191" w14:textId="77777777">
      <w:pPr>
        <w:spacing w:after="0" w:line="360" w:lineRule="auto"/>
        <w:rPr>
          <w:rFonts w:eastAsia="Times New Roman" w:cs="Tahoma"/>
          <w:bCs/>
          <w:color w:val="auto"/>
          <w:lang w:eastAsia="es-ES"/>
        </w:rPr>
      </w:pPr>
    </w:p>
    <w:p w:rsidRPr="00597EA8" w:rsidR="00446612" w:rsidP="00D77893" w:rsidRDefault="00446612" w14:paraId="119576E2" w14:textId="6A73E445">
      <w:pPr>
        <w:spacing w:after="0" w:line="360" w:lineRule="auto"/>
        <w:rPr>
          <w:rFonts w:eastAsia="Times New Roman" w:cs="Tahoma"/>
          <w:bCs/>
          <w:color w:val="auto"/>
          <w:lang w:eastAsia="es-ES"/>
        </w:rPr>
      </w:pPr>
      <w:r w:rsidRPr="00597EA8">
        <w:rPr>
          <w:rFonts w:eastAsia="Times New Roman" w:cs="Tahoma"/>
          <w:bCs/>
          <w:color w:val="auto"/>
          <w:lang w:eastAsia="es-ES"/>
        </w:rPr>
        <w:t xml:space="preserve">Con </w:t>
      </w:r>
      <w:r w:rsidR="00C02E3D">
        <w:rPr>
          <w:rFonts w:eastAsia="Times New Roman" w:cs="Tahoma"/>
          <w:bCs/>
          <w:color w:val="auto"/>
          <w:lang w:eastAsia="es-ES"/>
        </w:rPr>
        <w:t xml:space="preserve">fecha </w:t>
      </w:r>
      <w:r w:rsidR="006274C1">
        <w:rPr>
          <w:rFonts w:eastAsia="Times New Roman" w:cs="Tahoma"/>
          <w:bCs/>
          <w:color w:val="auto"/>
          <w:lang w:eastAsia="es-ES"/>
        </w:rPr>
        <w:t>doce de octubre</w:t>
      </w:r>
      <w:r w:rsidRPr="00597EA8">
        <w:rPr>
          <w:rFonts w:eastAsia="Times New Roman" w:cs="Tahoma"/>
          <w:bCs/>
          <w:color w:val="auto"/>
          <w:lang w:eastAsia="es-ES"/>
        </w:rPr>
        <w:t xml:space="preserve"> de dos mil veintiuno, se recibió en este Instituto, a través del </w:t>
      </w:r>
      <w:r w:rsidRPr="00597EA8">
        <w:rPr>
          <w:rFonts w:eastAsia="Times New Roman" w:cs="Tahoma"/>
          <w:bCs/>
          <w:color w:val="auto"/>
          <w:lang w:val="es-ES" w:eastAsia="es-ES"/>
        </w:rPr>
        <w:t>Sistema de Acceso a la Información Mexiquense (SAIMEX)</w:t>
      </w:r>
      <w:r w:rsidRPr="00597EA8">
        <w:rPr>
          <w:rFonts w:eastAsia="Times New Roman" w:cs="Tahoma"/>
          <w:bCs/>
          <w:color w:val="auto"/>
          <w:lang w:eastAsia="es-ES"/>
        </w:rPr>
        <w:t>, Recurso de Revisión interpuesto por la parte Recurrente, en contra de la falta de respuesta del Sujeto Obligado,</w:t>
      </w:r>
      <w:r w:rsidRPr="00597EA8">
        <w:rPr>
          <w:rFonts w:cs="Tahoma"/>
          <w:bCs/>
        </w:rPr>
        <w:t xml:space="preserve"> en los términos siguientes:</w:t>
      </w:r>
    </w:p>
    <w:p w:rsidRPr="00597EA8" w:rsidR="00446612" w:rsidP="00D77893" w:rsidRDefault="00446612" w14:paraId="2DFE8036" w14:textId="77777777">
      <w:pPr>
        <w:spacing w:after="0" w:line="360" w:lineRule="auto"/>
        <w:rPr>
          <w:rFonts w:eastAsia="Times New Roman" w:cs="Tahoma"/>
          <w:bCs/>
          <w:color w:val="auto"/>
          <w:lang w:eastAsia="es-ES"/>
        </w:rPr>
      </w:pPr>
    </w:p>
    <w:p w:rsidRPr="00597EA8" w:rsidR="00446612" w:rsidP="00D77893" w:rsidRDefault="00446612" w14:paraId="178975BB" w14:textId="77777777">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“ACTO IMPUGNADO</w:t>
      </w:r>
    </w:p>
    <w:p w:rsidRPr="00597EA8" w:rsidR="00446612" w:rsidP="00D77893" w:rsidRDefault="006274C1" w14:paraId="0F763FCF" w14:textId="6EDD86D4">
      <w:pPr>
        <w:spacing w:after="0" w:line="360" w:lineRule="auto"/>
        <w:ind w:left="567" w:right="567"/>
        <w:rPr>
          <w:rFonts w:eastAsia="Times New Roman" w:cs="Tahoma"/>
          <w:bCs/>
          <w:i/>
          <w:color w:val="auto"/>
          <w:sz w:val="20"/>
          <w:szCs w:val="20"/>
          <w:lang w:eastAsia="es-ES"/>
        </w:rPr>
      </w:pPr>
      <w:r w:rsidRPr="006274C1">
        <w:rPr>
          <w:rFonts w:eastAsia="Times New Roman" w:cs="Tahoma"/>
          <w:bCs/>
          <w:i/>
          <w:color w:val="auto"/>
          <w:sz w:val="20"/>
          <w:szCs w:val="20"/>
          <w:lang w:eastAsia="es-ES"/>
        </w:rPr>
        <w:t>La falta de respuesta</w:t>
      </w:r>
      <w:r w:rsidRPr="00597EA8" w:rsidR="00446612">
        <w:rPr>
          <w:rFonts w:eastAsia="Times New Roman" w:cs="Tahoma"/>
          <w:bCs/>
          <w:i/>
          <w:color w:val="auto"/>
          <w:sz w:val="20"/>
          <w:szCs w:val="20"/>
          <w:lang w:eastAsia="es-ES"/>
        </w:rPr>
        <w:t>” (Sic.)</w:t>
      </w:r>
    </w:p>
    <w:p w:rsidRPr="00597EA8" w:rsidR="00446612" w:rsidP="00D77893" w:rsidRDefault="00446612" w14:paraId="467A9681" w14:textId="77777777">
      <w:pPr>
        <w:spacing w:after="0" w:line="360" w:lineRule="auto"/>
        <w:ind w:left="567" w:right="567"/>
        <w:rPr>
          <w:rFonts w:eastAsia="Times New Roman" w:cs="Tahoma"/>
          <w:bCs/>
          <w:i/>
          <w:color w:val="auto"/>
          <w:sz w:val="20"/>
          <w:szCs w:val="20"/>
          <w:lang w:eastAsia="es-ES"/>
        </w:rPr>
      </w:pPr>
    </w:p>
    <w:p w:rsidRPr="00597EA8" w:rsidR="00446612" w:rsidP="00D77893" w:rsidRDefault="00446612" w14:paraId="67ECB671" w14:textId="77777777">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“RAZONES O MOTIVOS DE LA INCONFORMIDAD</w:t>
      </w:r>
    </w:p>
    <w:p w:rsidRPr="00597EA8" w:rsidR="00446612" w:rsidP="00D77893" w:rsidRDefault="006274C1" w14:paraId="7F1FF63F" w14:textId="32BA07ED">
      <w:pPr>
        <w:spacing w:after="0" w:line="360" w:lineRule="auto"/>
        <w:ind w:left="567" w:right="567"/>
        <w:rPr>
          <w:rFonts w:eastAsia="Times New Roman" w:cs="Tahoma"/>
          <w:bCs/>
          <w:color w:val="auto"/>
          <w:sz w:val="20"/>
          <w:szCs w:val="20"/>
          <w:lang w:eastAsia="es-ES"/>
        </w:rPr>
      </w:pPr>
      <w:r w:rsidRPr="006274C1">
        <w:rPr>
          <w:rFonts w:eastAsia="Times New Roman" w:cs="Tahoma"/>
          <w:bCs/>
          <w:i/>
          <w:color w:val="auto"/>
          <w:sz w:val="20"/>
          <w:szCs w:val="20"/>
          <w:lang w:eastAsia="es-ES"/>
        </w:rPr>
        <w:t>El sujeto obligado no me entregó la información solicitada y ya se venció el término para el efecto. Lo que pedí se encuentra en su BALANZA DE COMPROBACION DETALLADA actualizada al mes de septiembre de 2021.</w:t>
      </w:r>
      <w:r w:rsidRPr="00597EA8" w:rsidR="00446612">
        <w:rPr>
          <w:rFonts w:eastAsia="Times New Roman" w:cs="Tahoma"/>
          <w:bCs/>
          <w:i/>
          <w:color w:val="auto"/>
          <w:sz w:val="20"/>
          <w:szCs w:val="20"/>
          <w:lang w:eastAsia="es-ES"/>
        </w:rPr>
        <w:t>” (Sic)</w:t>
      </w:r>
    </w:p>
    <w:p w:rsidRPr="00597EA8" w:rsidR="00446612" w:rsidP="00D77893" w:rsidRDefault="00446612" w14:paraId="0836CFFE" w14:textId="77777777">
      <w:pPr>
        <w:spacing w:after="0" w:line="360" w:lineRule="auto"/>
        <w:rPr>
          <w:rFonts w:eastAsia="Times New Roman" w:cs="Tahoma"/>
          <w:bCs/>
          <w:color w:val="auto"/>
          <w:lang w:eastAsia="es-ES"/>
        </w:rPr>
      </w:pPr>
    </w:p>
    <w:p w:rsidRPr="00597EA8" w:rsidR="00446612" w:rsidP="00D77893" w:rsidRDefault="00446612" w14:paraId="39D5F58D" w14:textId="77777777">
      <w:pPr>
        <w:spacing w:after="0" w:line="360" w:lineRule="auto"/>
        <w:rPr>
          <w:rFonts w:eastAsia="Batang" w:cs="Tahoma"/>
          <w:b/>
          <w:bCs/>
          <w:color w:val="000000"/>
        </w:rPr>
      </w:pPr>
      <w:r w:rsidRPr="00597EA8">
        <w:rPr>
          <w:rFonts w:eastAsia="Calibri" w:cs="Tahoma"/>
          <w:b/>
          <w:color w:val="000000"/>
        </w:rPr>
        <w:t xml:space="preserve">IV. </w:t>
      </w:r>
      <w:r w:rsidRPr="00597EA8">
        <w:rPr>
          <w:rFonts w:eastAsia="Batang" w:cs="Tahoma"/>
          <w:b/>
          <w:bCs/>
          <w:color w:val="000000"/>
        </w:rPr>
        <w:t>Trámite de los Recursos de Revisión</w:t>
      </w:r>
      <w:r w:rsidRPr="00597EA8">
        <w:rPr>
          <w:rFonts w:eastAsia="Calibri" w:cs="Tahoma"/>
          <w:b/>
          <w:color w:val="000000"/>
        </w:rPr>
        <w:t xml:space="preserve"> </w:t>
      </w:r>
      <w:r w:rsidRPr="00597EA8">
        <w:rPr>
          <w:rFonts w:eastAsia="Batang" w:cs="Tahoma"/>
          <w:b/>
          <w:bCs/>
          <w:color w:val="000000"/>
        </w:rPr>
        <w:t>ante este Instituto.</w:t>
      </w:r>
    </w:p>
    <w:p w:rsidRPr="00597EA8" w:rsidR="00446612" w:rsidP="00D77893" w:rsidRDefault="00446612" w14:paraId="6039F77D" w14:textId="77777777">
      <w:pPr>
        <w:spacing w:after="0" w:line="360" w:lineRule="auto"/>
        <w:rPr>
          <w:rFonts w:eastAsia="Batang" w:cs="Tahoma"/>
          <w:bCs/>
          <w:color w:val="000000"/>
        </w:rPr>
      </w:pPr>
    </w:p>
    <w:p w:rsidRPr="00597EA8" w:rsidR="00446612" w:rsidP="00D77893" w:rsidRDefault="00446612" w14:paraId="2AD86B60" w14:textId="3CDAFC5F">
      <w:pPr>
        <w:spacing w:after="0" w:line="360" w:lineRule="auto"/>
        <w:rPr>
          <w:rFonts w:eastAsia="Batang" w:cs="Tahoma"/>
          <w:bCs/>
        </w:rPr>
      </w:pPr>
      <w:r w:rsidRPr="00597EA8">
        <w:rPr>
          <w:rFonts w:eastAsia="Batang" w:cs="Tahoma"/>
          <w:b/>
          <w:bCs/>
        </w:rPr>
        <w:lastRenderedPageBreak/>
        <w:t xml:space="preserve">a) Turno del Medio de Impugnación. </w:t>
      </w:r>
      <w:r w:rsidRPr="00597EA8">
        <w:rPr>
          <w:rFonts w:eastAsia="Batang" w:cs="Tahoma"/>
          <w:bCs/>
        </w:rPr>
        <w:t xml:space="preserve">El </w:t>
      </w:r>
      <w:r w:rsidR="006274C1">
        <w:rPr>
          <w:rFonts w:eastAsia="Times New Roman" w:cs="Tahoma"/>
          <w:bCs/>
          <w:color w:val="auto"/>
          <w:lang w:eastAsia="es-ES"/>
        </w:rPr>
        <w:t>doce de octubre</w:t>
      </w:r>
      <w:r w:rsidRPr="00597EA8" w:rsidR="00184833">
        <w:rPr>
          <w:rFonts w:eastAsia="Times New Roman" w:cs="Tahoma"/>
          <w:bCs/>
          <w:color w:val="auto"/>
          <w:lang w:eastAsia="es-ES"/>
        </w:rPr>
        <w:t xml:space="preserve"> de dos mil veintiuno</w:t>
      </w:r>
      <w:r w:rsidRPr="00597EA8">
        <w:rPr>
          <w:rFonts w:eastAsia="Batang" w:cs="Tahoma"/>
          <w:bCs/>
        </w:rPr>
        <w:t xml:space="preserve">, el </w:t>
      </w:r>
      <w:r w:rsidRPr="00597EA8">
        <w:rPr>
          <w:rFonts w:eastAsia="Calibri" w:cs="Tahoma"/>
          <w:lang w:val="es-ES"/>
        </w:rPr>
        <w:t>Sistema de Acceso a la Información Mexiquense (SAIMEX),</w:t>
      </w:r>
      <w:r w:rsidRPr="00597EA8">
        <w:rPr>
          <w:rFonts w:eastAsia="Batang" w:cs="Tahoma"/>
          <w:bCs/>
        </w:rPr>
        <w:t xml:space="preserve"> asignó el número de expediente </w:t>
      </w:r>
      <w:r w:rsidRPr="006274C1" w:rsidR="006274C1">
        <w:rPr>
          <w:rFonts w:eastAsia="Batang" w:cs="Tahoma"/>
          <w:b/>
        </w:rPr>
        <w:t>05031/INFOEM/IP/RR/2021</w:t>
      </w:r>
      <w:r w:rsidRPr="00597EA8">
        <w:rPr>
          <w:rFonts w:eastAsia="Batang" w:cs="Tahoma"/>
          <w:bCs/>
        </w:rPr>
        <w:t xml:space="preserve">, al medio de impugnación que nos ocupa, con base en el sistema aprobado por el Pleno de este Órgano Garante y lo turnó al Comisionado Ponente </w:t>
      </w:r>
      <w:r w:rsidRPr="00597EA8">
        <w:rPr>
          <w:rFonts w:eastAsia="Batang" w:cs="Tahoma"/>
          <w:b/>
        </w:rPr>
        <w:t>Luis Gustavo Parra Noriega</w:t>
      </w:r>
      <w:r w:rsidRPr="00597EA8">
        <w:rPr>
          <w:rFonts w:eastAsia="Batang" w:cs="Tahoma"/>
          <w:bCs/>
        </w:rPr>
        <w:t>, para los efectos del artículo 185, fracción I de la Ley de Transparencia y Acceso a la Información Pública del Estado de México y Municipios.</w:t>
      </w:r>
    </w:p>
    <w:p w:rsidRPr="00597EA8" w:rsidR="00446612" w:rsidP="00D77893" w:rsidRDefault="00446612" w14:paraId="4B9C0A1B" w14:textId="77777777">
      <w:pPr>
        <w:spacing w:after="0" w:line="360" w:lineRule="auto"/>
        <w:rPr>
          <w:rFonts w:eastAsia="Batang" w:cs="Tahoma"/>
          <w:b/>
          <w:bCs/>
        </w:rPr>
      </w:pPr>
    </w:p>
    <w:p w:rsidRPr="00597EA8" w:rsidR="00446612" w:rsidP="00D77893" w:rsidRDefault="00446612" w14:paraId="3C3C8B8B" w14:textId="78D7A810">
      <w:pPr>
        <w:spacing w:after="0" w:line="360" w:lineRule="auto"/>
        <w:rPr>
          <w:rFonts w:eastAsia="Times New Roman" w:cs="Tahoma"/>
          <w:bCs/>
          <w:lang w:val="es-ES_tradnl" w:eastAsia="es-ES"/>
        </w:rPr>
      </w:pPr>
      <w:r w:rsidRPr="00597EA8">
        <w:rPr>
          <w:rFonts w:eastAsia="Times New Roman" w:cs="Tahoma"/>
          <w:b/>
          <w:bCs/>
          <w:lang w:eastAsia="es-ES"/>
        </w:rPr>
        <w:t>b) Admisión del Recurso de Revisión</w:t>
      </w:r>
      <w:r w:rsidRPr="00597EA8">
        <w:rPr>
          <w:rFonts w:eastAsia="Times New Roman" w:cs="Tahoma"/>
          <w:b/>
          <w:bCs/>
          <w:lang w:val="es-ES_tradnl" w:eastAsia="es-ES"/>
        </w:rPr>
        <w:t xml:space="preserve">. </w:t>
      </w:r>
      <w:r w:rsidRPr="00597EA8">
        <w:rPr>
          <w:rFonts w:eastAsia="Times New Roman" w:cs="Tahoma"/>
          <w:bCs/>
          <w:lang w:val="es-ES_tradnl" w:eastAsia="es-ES"/>
        </w:rPr>
        <w:t xml:space="preserve">El </w:t>
      </w:r>
      <w:r w:rsidR="00BD62F4">
        <w:rPr>
          <w:rFonts w:eastAsia="Times New Roman" w:cs="Tahoma"/>
          <w:bCs/>
          <w:lang w:eastAsia="es-ES"/>
        </w:rPr>
        <w:t>quince</w:t>
      </w:r>
      <w:r w:rsidR="006274C1">
        <w:rPr>
          <w:rFonts w:eastAsia="Times New Roman" w:cs="Tahoma"/>
          <w:bCs/>
          <w:lang w:eastAsia="es-ES"/>
        </w:rPr>
        <w:t xml:space="preserve"> de octubre</w:t>
      </w:r>
      <w:r w:rsidRPr="00597EA8" w:rsidR="00184833">
        <w:rPr>
          <w:rFonts w:eastAsia="Times New Roman" w:cs="Tahoma"/>
          <w:bCs/>
          <w:lang w:eastAsia="es-ES"/>
        </w:rPr>
        <w:t xml:space="preserve"> de </w:t>
      </w:r>
      <w:r w:rsidRPr="00597EA8">
        <w:rPr>
          <w:rFonts w:eastAsia="Times New Roman" w:cs="Tahoma"/>
          <w:bCs/>
          <w:lang w:eastAsia="es-ES"/>
        </w:rPr>
        <w:t>dos mil veintiuno</w:t>
      </w:r>
      <w:r w:rsidRPr="00597EA8">
        <w:rPr>
          <w:rFonts w:eastAsia="Times New Roman"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47582A">
        <w:rPr>
          <w:rFonts w:eastAsia="Times New Roman" w:cs="Tahoma"/>
          <w:bCs/>
          <w:lang w:val="es-ES_tradnl" w:eastAsia="es-ES"/>
        </w:rPr>
        <w:t xml:space="preserve">, el </w:t>
      </w:r>
      <w:r w:rsidR="00BD62F4">
        <w:rPr>
          <w:rFonts w:eastAsia="Times New Roman" w:cs="Tahoma"/>
          <w:bCs/>
          <w:lang w:val="es-ES_tradnl" w:eastAsia="es-ES"/>
        </w:rPr>
        <w:t>dieciocho de octubre</w:t>
      </w:r>
      <w:r w:rsidR="00485CC9">
        <w:rPr>
          <w:rFonts w:eastAsia="Times New Roman" w:cs="Tahoma"/>
          <w:bCs/>
          <w:lang w:val="es-ES_tradnl" w:eastAsia="es-ES"/>
        </w:rPr>
        <w:t xml:space="preserve"> de dos mil veintiuno</w:t>
      </w:r>
      <w:r w:rsidRPr="00597EA8">
        <w:rPr>
          <w:rFonts w:eastAsia="Times New Roman" w:cs="Tahoma"/>
          <w:bCs/>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597EA8" w:rsidR="00446612" w:rsidP="00D77893" w:rsidRDefault="00446612" w14:paraId="79C23640" w14:textId="77777777">
      <w:pPr>
        <w:spacing w:after="0" w:line="360" w:lineRule="auto"/>
        <w:rPr>
          <w:rFonts w:eastAsia="Times New Roman" w:cs="Tahoma"/>
          <w:b/>
          <w:bCs/>
          <w:lang w:eastAsia="es-ES"/>
        </w:rPr>
      </w:pPr>
    </w:p>
    <w:p w:rsidRPr="00F469B3" w:rsidR="0021404A" w:rsidP="0021404A" w:rsidRDefault="00B05E37" w14:paraId="7A5FAFFA" w14:textId="3A38679C">
      <w:pPr>
        <w:spacing w:line="360" w:lineRule="auto"/>
        <w:rPr>
          <w:rFonts w:cs="Tahoma"/>
          <w:bCs/>
          <w:lang w:val="es-ES_tradnl"/>
        </w:rPr>
      </w:pPr>
      <w:r>
        <w:rPr>
          <w:b/>
          <w:bCs/>
          <w:noProof/>
        </w:rPr>
        <mc:AlternateContent>
          <mc:Choice Requires="wps">
            <w:drawing>
              <wp:anchor distT="0" distB="0" distL="114300" distR="114300" simplePos="0" relativeHeight="251659264" behindDoc="0" locked="0" layoutInCell="1" allowOverlap="1" wp14:anchorId="20EBA4B0" wp14:editId="4144E2AA">
                <wp:simplePos x="0" y="0"/>
                <wp:positionH relativeFrom="column">
                  <wp:posOffset>215671</wp:posOffset>
                </wp:positionH>
                <wp:positionV relativeFrom="paragraph">
                  <wp:posOffset>1423989</wp:posOffset>
                </wp:positionV>
                <wp:extent cx="5584197" cy="1775012"/>
                <wp:effectExtent l="0" t="0" r="35560" b="34925"/>
                <wp:wrapNone/>
                <wp:docPr id="1" name="Conector recto 1"/>
                <wp:cNvGraphicFramePr/>
                <a:graphic xmlns:a="http://schemas.openxmlformats.org/drawingml/2006/main">
                  <a:graphicData uri="http://schemas.microsoft.com/office/word/2010/wordprocessingShape">
                    <wps:wsp>
                      <wps:cNvCnPr/>
                      <wps:spPr>
                        <a:xfrm flipV="1">
                          <a:off x="0" y="0"/>
                          <a:ext cx="5584197" cy="17750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7pt,112.15pt" to="456.7pt,251.9pt" w14:anchorId="7303C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TvwQEAAM8DAAAOAAAAZHJzL2Uyb0RvYy54bWysU02P0zAQvSPxHyzfaZKK0iVquoeu4IKg&#10;goW71xk3lvylsWnSf8/YaQMChATi4vhj3pt5bya7+8kadgaM2ruON6uaM3DS99qdOv758c2LO85i&#10;Eq4Xxjvo+AUiv98/f7YbQwtrP3jTAzIicbEdQ8eHlEJbVVEOYEVc+QCOHpVHKxId8VT1KEZit6Za&#10;1/WravTYB/QSYqTbh/mR7wu/UiDTB6UiJGY6TrWlsmJZn/Ja7XeiPaEIg5bXMsQ/VGGFdpR0oXoQ&#10;SbCvqH+hslqij16llfS28kppCUUDqWnqn9R8GkSAooXMiWGxKf4/Wvn+fESme+odZ05YatGBGiWT&#10;R4b5w5rs0RhiS6EHd8TrKYYjZsGTQsuU0eFLpsg3JIpNxeHL4jBMiUm63GzuXjavt5xJemu2203d&#10;rDN/NRNleMCY3oK3LG86brTLFohWnN/FNIfeQgiXC5tLKbt0MZCDjfsIimRRyrmoMlBwMMjOgkZB&#10;SAkuFWmUukRnmNLGLMC6pP0j8BqfoVCG7W/AC6Jk9i4tYKudx99lT9OtZDXH3xyYdWcLnnx/KU0q&#10;1tDUFHOvE57H8sdzgX//D/ffAAAA//8DAFBLAwQUAAYACAAAACEA2IQcJOEAAAAKAQAADwAAAGRy&#10;cy9kb3ducmV2LnhtbEyPQU+DQBSE7yb+h80z8WLsUqCmRZbGGPXQnlo1sbcH+wRS9i1htxT/vevJ&#10;HiczmfkmX0+mEyMNrrWsYD6LQBBXVrdcK/h4f71fgnAeWWNnmRT8kIN1cX2VY6btmXc07n0tQgm7&#10;DBU03veZlK5qyKCb2Z44eN92MOiDHGqpBzyHctPJOIoepMGWw0KDPT03VB33J6Pg4Kx7+dyU49tx&#10;t5nwbuvjr0ordXszPT2C8DT5/zD84Qd0KAJTaU+snegUJGm44hXEcZqACIHVPElBlAoWUbIEWeTy&#10;8kLxCwAA//8DAFBLAQItABQABgAIAAAAIQC2gziS/gAAAOEBAAATAAAAAAAAAAAAAAAAAAAAAABb&#10;Q29udGVudF9UeXBlc10ueG1sUEsBAi0AFAAGAAgAAAAhADj9If/WAAAAlAEAAAsAAAAAAAAAAAAA&#10;AAAALwEAAF9yZWxzLy5yZWxzUEsBAi0AFAAGAAgAAAAhABKCtO/BAQAAzwMAAA4AAAAAAAAAAAAA&#10;AAAALgIAAGRycy9lMm9Eb2MueG1sUEsBAi0AFAAGAAgAAAAhANiEHCThAAAACgEAAA8AAAAAAAAA&#10;AAAAAAAAGwQAAGRycy9kb3ducmV2LnhtbFBLBQYAAAAABAAEAPMAAAApBQAAAAA=&#10;">
                <v:stroke joinstyle="miter"/>
              </v:line>
            </w:pict>
          </mc:Fallback>
        </mc:AlternateContent>
      </w:r>
      <w:r w:rsidRPr="00597EA8" w:rsidR="00446612">
        <w:rPr>
          <w:b/>
          <w:bCs/>
        </w:rPr>
        <w:t xml:space="preserve">c) </w:t>
      </w:r>
      <w:r w:rsidRPr="00597EA8" w:rsidR="00446612">
        <w:rPr>
          <w:b/>
          <w:lang w:val="es-ES_tradnl"/>
        </w:rPr>
        <w:t xml:space="preserve">Informe Justificado o Manifestaciones. </w:t>
      </w:r>
      <w:r w:rsidRPr="00F469B3" w:rsidR="0021404A">
        <w:rPr>
          <w:rFonts w:cs="Tahoma"/>
          <w:bCs/>
          <w:lang w:val="es-ES_tradnl"/>
        </w:rPr>
        <w:t>El vein</w:t>
      </w:r>
      <w:r w:rsidR="00E548A1">
        <w:rPr>
          <w:rFonts w:cs="Tahoma"/>
          <w:bCs/>
          <w:lang w:val="es-ES_tradnl"/>
        </w:rPr>
        <w:t>tinueve</w:t>
      </w:r>
      <w:r w:rsidRPr="00F469B3" w:rsidR="0021404A">
        <w:rPr>
          <w:rFonts w:cs="Tahoma"/>
          <w:bCs/>
          <w:lang w:val="es-ES_tradnl"/>
        </w:rPr>
        <w:t xml:space="preserve"> de octubre de dos mil veintiuno, se recibió, a través del Sistema de Acceso a la Información Mexiquense (SAIMEX), el Informe Justificado, del Sujeto Obligado, por medio del oficio número </w:t>
      </w:r>
      <w:r w:rsidR="00E548A1">
        <w:rPr>
          <w:rFonts w:cs="Tahoma"/>
          <w:bCs/>
          <w:lang w:val="es-ES_tradnl"/>
        </w:rPr>
        <w:t>ST/</w:t>
      </w:r>
      <w:r w:rsidR="00A76A23">
        <w:rPr>
          <w:rFonts w:cs="Tahoma"/>
          <w:bCs/>
          <w:lang w:val="es-ES_tradnl"/>
        </w:rPr>
        <w:t>TM/0118/2021</w:t>
      </w:r>
      <w:r w:rsidRPr="00F469B3" w:rsidR="0021404A">
        <w:rPr>
          <w:rFonts w:cs="Tahoma"/>
          <w:bCs/>
          <w:lang w:val="es-ES_tradnl"/>
        </w:rPr>
        <w:t xml:space="preserve">, </w:t>
      </w:r>
      <w:r w:rsidR="00A76A23">
        <w:rPr>
          <w:rFonts w:cs="Tahoma"/>
          <w:bCs/>
          <w:lang w:val="es-ES_tradnl"/>
        </w:rPr>
        <w:t>de fecha quince de octubre de dos mil veintiuno</w:t>
      </w:r>
      <w:r w:rsidRPr="00F469B3" w:rsidR="0021404A">
        <w:rPr>
          <w:rFonts w:cs="Tahoma"/>
          <w:bCs/>
          <w:lang w:val="es-ES_tradnl"/>
        </w:rPr>
        <w:t xml:space="preserve">, suscrito por </w:t>
      </w:r>
      <w:r w:rsidR="00A76A23">
        <w:rPr>
          <w:rFonts w:cs="Tahoma"/>
          <w:bCs/>
          <w:lang w:val="es-ES_tradnl"/>
        </w:rPr>
        <w:t xml:space="preserve">el Tesorero Municipal </w:t>
      </w:r>
      <w:r w:rsidRPr="00F469B3" w:rsidR="0021404A">
        <w:rPr>
          <w:rFonts w:cs="Tahoma"/>
          <w:bCs/>
          <w:lang w:val="es-ES_tradnl"/>
        </w:rPr>
        <w:t xml:space="preserve">y dirigido al Recurrente, </w:t>
      </w:r>
      <w:r w:rsidR="00A76A23">
        <w:rPr>
          <w:rFonts w:cs="Tahoma"/>
          <w:bCs/>
          <w:lang w:val="es-ES_tradnl"/>
        </w:rPr>
        <w:t>tal como se muestra a continuación</w:t>
      </w:r>
      <w:r w:rsidRPr="00F469B3" w:rsidR="0021404A">
        <w:rPr>
          <w:rFonts w:cs="Tahoma"/>
          <w:bCs/>
          <w:lang w:val="es-ES_tradnl"/>
        </w:rPr>
        <w:t xml:space="preserve">: </w:t>
      </w:r>
    </w:p>
    <w:p w:rsidRPr="00F469B3" w:rsidR="0021404A" w:rsidP="00A76A23" w:rsidRDefault="00A76A23" w14:paraId="084CEA48" w14:textId="06877322">
      <w:pPr>
        <w:spacing w:line="360" w:lineRule="auto"/>
        <w:jc w:val="center"/>
        <w:rPr>
          <w:rFonts w:cs="Tahoma"/>
          <w:bCs/>
          <w:szCs w:val="24"/>
        </w:rPr>
      </w:pPr>
      <w:r>
        <w:rPr>
          <w:rFonts w:cs="Tahoma"/>
          <w:bCs/>
          <w:noProof/>
          <w:szCs w:val="24"/>
        </w:rPr>
        <w:lastRenderedPageBreak/>
        <w:drawing>
          <wp:inline distT="0" distB="0" distL="0" distR="0" wp14:anchorId="155897ED" wp14:editId="3B04BAEA">
            <wp:extent cx="5137278" cy="5652655"/>
            <wp:effectExtent l="0" t="0" r="635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7991" cy="5686449"/>
                    </a:xfrm>
                    <a:prstGeom prst="rect">
                      <a:avLst/>
                    </a:prstGeom>
                  </pic:spPr>
                </pic:pic>
              </a:graphicData>
            </a:graphic>
          </wp:inline>
        </w:drawing>
      </w:r>
    </w:p>
    <w:p w:rsidRPr="00F469B3" w:rsidR="0021404A" w:rsidP="0021404A" w:rsidRDefault="0021404A" w14:paraId="7ECD7451" w14:textId="1BD97A5D">
      <w:pPr>
        <w:spacing w:line="360" w:lineRule="auto"/>
        <w:rPr>
          <w:rFonts w:cs="Tahoma"/>
          <w:b/>
          <w:szCs w:val="24"/>
        </w:rPr>
      </w:pPr>
      <w:r w:rsidRPr="00F469B3">
        <w:rPr>
          <w:rFonts w:cs="Tahoma"/>
          <w:b/>
        </w:rPr>
        <w:t>d)</w:t>
      </w:r>
      <w:r w:rsidRPr="00F469B3">
        <w:rPr>
          <w:rFonts w:cs="Tahoma"/>
          <w:lang w:val="es-ES_tradnl"/>
        </w:rPr>
        <w:t xml:space="preserve"> </w:t>
      </w:r>
      <w:r w:rsidRPr="00F469B3">
        <w:rPr>
          <w:b/>
        </w:rPr>
        <w:t xml:space="preserve">Vista del Informe Justificado: </w:t>
      </w:r>
      <w:r w:rsidRPr="00F469B3">
        <w:t xml:space="preserve">El </w:t>
      </w:r>
      <w:r w:rsidR="00A76A23">
        <w:t>diecinueve de noviembre</w:t>
      </w:r>
      <w:r w:rsidRPr="00F469B3">
        <w:t xml:space="preserve"> de dos mil veintiuno, se dictó el acuerdo mediante el cual </w:t>
      </w:r>
      <w:r w:rsidRPr="00F469B3">
        <w:rPr>
          <w:b/>
        </w:rPr>
        <w:t>se puso a la vista de</w:t>
      </w:r>
      <w:r w:rsidR="00BD62F4">
        <w:rPr>
          <w:b/>
        </w:rPr>
        <w:t xml:space="preserve">l </w:t>
      </w:r>
      <w:r w:rsidRPr="00F469B3">
        <w:rPr>
          <w:b/>
        </w:rPr>
        <w:t>Particular el Informe Justificado,</w:t>
      </w:r>
      <w:r w:rsidRPr="00F469B3">
        <w:t xml:space="preserve"> entregado por el Sujeto Obligado, así como el documento adjunto, por modificar la respuesta inicial, el cual fue notificado a las partes, a través del Sistema de Acceso a la Información Mexiquense (SAIMEX), el mismo día de mes y año. </w:t>
      </w:r>
      <w:r w:rsidRPr="00F469B3">
        <w:rPr>
          <w:b/>
          <w:bCs/>
        </w:rPr>
        <w:t>Cabe señalar que el Recurrente, fue omiso en realizar alguna manifestación que a su derecho conviniera y asistiera.</w:t>
      </w:r>
    </w:p>
    <w:p w:rsidRPr="003F5E0D" w:rsidR="0021404A" w:rsidP="0021404A" w:rsidRDefault="0021404A" w14:paraId="2AF43C77" w14:textId="77777777">
      <w:pPr>
        <w:spacing w:line="360" w:lineRule="auto"/>
        <w:ind w:right="-28"/>
        <w:contextualSpacing/>
        <w:rPr>
          <w:rFonts w:cs="Tahoma"/>
          <w:lang w:val="es-ES_tradnl"/>
        </w:rPr>
      </w:pPr>
    </w:p>
    <w:p w:rsidR="0021404A" w:rsidP="0021404A" w:rsidRDefault="0021404A" w14:paraId="76C07094" w14:textId="31586418">
      <w:pPr>
        <w:spacing w:line="360" w:lineRule="auto"/>
        <w:contextualSpacing/>
        <w:rPr>
          <w:rFonts w:cs="Tahoma"/>
          <w:i/>
        </w:rPr>
      </w:pPr>
      <w:r>
        <w:rPr>
          <w:rFonts w:cs="Tahoma"/>
          <w:b/>
        </w:rPr>
        <w:t xml:space="preserve">e) Recurso de Revisión Desistido. </w:t>
      </w:r>
      <w:r>
        <w:rPr>
          <w:rFonts w:cs="Tahoma"/>
        </w:rPr>
        <w:t xml:space="preserve">El </w:t>
      </w:r>
      <w:r w:rsidR="00A76A23">
        <w:rPr>
          <w:rFonts w:cs="Tahoma"/>
        </w:rPr>
        <w:t>diecinueve</w:t>
      </w:r>
      <w:r>
        <w:rPr>
          <w:rFonts w:cs="Tahoma"/>
        </w:rPr>
        <w:t xml:space="preserve"> de noviembre de dos mil veintiuno, el Recurrente, a través del Sistema de Acceso a la Información Mexiquense (SAIMEX), se desistió del Recurso de Revisión y señaló como razón de dicha situación la siguiente: </w:t>
      </w:r>
      <w:r w:rsidRPr="00BF2920">
        <w:rPr>
          <w:rFonts w:cs="Tahoma"/>
          <w:i/>
        </w:rPr>
        <w:t>“</w:t>
      </w:r>
      <w:r w:rsidRPr="00A76A23" w:rsidR="00A76A23">
        <w:rPr>
          <w:rFonts w:cs="Tahoma"/>
          <w:i/>
        </w:rPr>
        <w:t>Me entregaron la información. Gracias.</w:t>
      </w:r>
      <w:r>
        <w:rPr>
          <w:rFonts w:cs="Tahoma"/>
          <w:i/>
        </w:rPr>
        <w:t>”</w:t>
      </w:r>
    </w:p>
    <w:p w:rsidRPr="003F5E0D" w:rsidR="0021404A" w:rsidP="0021404A" w:rsidRDefault="0021404A" w14:paraId="4FABC551" w14:textId="77777777">
      <w:pPr>
        <w:spacing w:line="360" w:lineRule="auto"/>
        <w:contextualSpacing/>
        <w:rPr>
          <w:rFonts w:cs="Tahoma"/>
          <w:b/>
          <w:sz w:val="18"/>
        </w:rPr>
      </w:pPr>
    </w:p>
    <w:p w:rsidRPr="00BF2920" w:rsidR="0021404A" w:rsidP="0021404A" w:rsidRDefault="0021404A" w14:paraId="0BBD8F78" w14:textId="2CC53F96">
      <w:pPr>
        <w:spacing w:line="360" w:lineRule="auto"/>
        <w:contextualSpacing/>
        <w:rPr>
          <w:rFonts w:cs="Tahoma"/>
          <w:b/>
        </w:rPr>
      </w:pPr>
      <w:r>
        <w:rPr>
          <w:rFonts w:cs="Tahoma"/>
          <w:b/>
        </w:rPr>
        <w:t xml:space="preserve">f) Cierre de instrucción. </w:t>
      </w:r>
      <w:r w:rsidRPr="00473F17">
        <w:rPr>
          <w:rFonts w:cs="Tahoma"/>
        </w:rPr>
        <w:t xml:space="preserve">El </w:t>
      </w:r>
      <w:r w:rsidR="00BD62F4">
        <w:rPr>
          <w:rFonts w:cs="Tahoma"/>
        </w:rPr>
        <w:t>veinticinco</w:t>
      </w:r>
      <w:r w:rsidR="00A76A23">
        <w:rPr>
          <w:rFonts w:cs="Tahoma"/>
        </w:rPr>
        <w:t xml:space="preserve"> </w:t>
      </w:r>
      <w:r w:rsidRPr="00682008">
        <w:rPr>
          <w:rFonts w:cs="Tahoma"/>
        </w:rPr>
        <w:t>de noviembre</w:t>
      </w:r>
      <w:r>
        <w:rPr>
          <w:rFonts w:cs="Tahoma"/>
        </w:rPr>
        <w:t xml:space="preserve"> </w:t>
      </w:r>
      <w:r w:rsidRPr="00473F17">
        <w:rPr>
          <w:rFonts w:cs="Tahoma"/>
        </w:rPr>
        <w:t>de dos mil ve</w:t>
      </w:r>
      <w:r>
        <w:rPr>
          <w:rFonts w:cs="Tahoma"/>
        </w:rPr>
        <w:t>intiuno</w:t>
      </w:r>
      <w:r w:rsidRPr="00473F17">
        <w:rPr>
          <w:rFonts w:cs="Tahoma"/>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Pr="003F5E0D" w:rsidR="0021404A" w:rsidP="0021404A" w:rsidRDefault="0021404A" w14:paraId="0235964F" w14:textId="77777777">
      <w:pPr>
        <w:spacing w:line="360" w:lineRule="auto"/>
        <w:contextualSpacing/>
        <w:rPr>
          <w:rFonts w:cs="Tahoma"/>
          <w:b/>
          <w:sz w:val="18"/>
        </w:rPr>
      </w:pPr>
    </w:p>
    <w:p w:rsidR="0021404A" w:rsidP="0021404A" w:rsidRDefault="0021404A" w14:paraId="5CD41283" w14:textId="77777777">
      <w:pPr>
        <w:spacing w:line="360" w:lineRule="auto"/>
        <w:contextualSpacing/>
        <w:rPr>
          <w:rFonts w:cs="Tahoma"/>
          <w:color w:val="000000"/>
        </w:rPr>
      </w:pPr>
      <w:r w:rsidRPr="00473F17">
        <w:rPr>
          <w:rFonts w:cs="Tahoma"/>
          <w:color w:val="000000"/>
        </w:rPr>
        <w:t xml:space="preserve">En razón de que fue debidamente sustanciado el expediente electrónico y no existe diligencia pendiente de desahogo, se emite la Resolución que conforme a Derecho proceda, de acuerdo con los siguientes: </w:t>
      </w:r>
    </w:p>
    <w:p w:rsidRPr="0021404A" w:rsidR="00446612" w:rsidP="00D77893" w:rsidRDefault="00446612" w14:paraId="5293751B" w14:textId="77777777">
      <w:pPr>
        <w:spacing w:after="0" w:line="360" w:lineRule="auto"/>
        <w:rPr>
          <w:rFonts w:eastAsia="Times New Roman" w:cs="Tahoma"/>
          <w:bCs/>
          <w:iCs/>
          <w:color w:val="auto"/>
          <w:lang w:eastAsia="es-ES"/>
        </w:rPr>
      </w:pPr>
    </w:p>
    <w:p w:rsidR="00C02E3D" w:rsidP="00E548A1" w:rsidRDefault="00C02E3D" w14:paraId="78D4EFBD" w14:textId="1358A278">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6B4CAC" w:rsidR="00C02E3D" w:rsidP="00E548A1" w:rsidRDefault="00C02E3D" w14:paraId="4A5D9B80" w14:textId="77777777">
      <w:pPr>
        <w:spacing w:after="0" w:line="360" w:lineRule="auto"/>
        <w:jc w:val="center"/>
        <w:rPr>
          <w:rFonts w:eastAsia="Times New Roman" w:cs="Tahoma"/>
          <w:b/>
          <w:color w:val="auto"/>
          <w:lang w:val="es-ES" w:eastAsia="es-ES"/>
        </w:rPr>
      </w:pPr>
    </w:p>
    <w:p w:rsidR="0021404A" w:rsidP="00E548A1" w:rsidRDefault="0021404A" w14:paraId="79D68D02" w14:textId="7A3DD6CA">
      <w:pPr>
        <w:spacing w:after="0" w:line="360" w:lineRule="auto"/>
        <w:contextualSpacing/>
        <w:rPr>
          <w:rFonts w:eastAsia="Batang" w:cs="Tahoma"/>
          <w:b/>
          <w:bCs/>
        </w:rPr>
      </w:pPr>
      <w:r w:rsidRPr="00473F17">
        <w:rPr>
          <w:rFonts w:eastAsia="Batang" w:cs="Tahoma"/>
          <w:b/>
          <w:bCs/>
        </w:rPr>
        <w:t xml:space="preserve">PRIMERO. Competencia. </w:t>
      </w:r>
    </w:p>
    <w:p w:rsidRPr="00473F17" w:rsidR="0021404A" w:rsidP="00E548A1" w:rsidRDefault="0021404A" w14:paraId="31660396" w14:textId="77777777">
      <w:pPr>
        <w:spacing w:after="0" w:line="360" w:lineRule="auto"/>
        <w:contextualSpacing/>
        <w:rPr>
          <w:rFonts w:eastAsia="Batang" w:cs="Tahoma"/>
          <w:b/>
          <w:bCs/>
        </w:rPr>
      </w:pPr>
    </w:p>
    <w:p w:rsidR="0021404A" w:rsidP="00E548A1" w:rsidRDefault="0021404A" w14:paraId="36EC90DF" w14:textId="77777777">
      <w:pPr>
        <w:spacing w:after="0" w:line="360" w:lineRule="auto"/>
        <w:contextualSpacing/>
        <w:rPr>
          <w:rFonts w:cs="Tahoma"/>
          <w:shd w:val="clear" w:color="auto" w:fill="FFFFFF"/>
        </w:rPr>
      </w:pPr>
      <w:r w:rsidRPr="00473F17">
        <w:rPr>
          <w:rFonts w:cs="Tahoma"/>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eastAsia="Calibri" w:cs="Tahoma"/>
          <w:bCs/>
          <w:lang w:val="es-ES"/>
        </w:rPr>
        <w:t xml:space="preserve">vigésimo </w:t>
      </w:r>
      <w:r w:rsidRPr="003D6881">
        <w:rPr>
          <w:rFonts w:eastAsia="Calibri" w:cs="Tahoma"/>
          <w:bCs/>
          <w:lang w:val="es-ES"/>
        </w:rPr>
        <w:t xml:space="preserve">segundo, </w:t>
      </w:r>
      <w:r>
        <w:rPr>
          <w:rFonts w:eastAsia="Calibri" w:cs="Tahoma"/>
          <w:bCs/>
          <w:lang w:val="es-ES"/>
        </w:rPr>
        <w:t>vigésimo tercero y vigésimo cuarto</w:t>
      </w:r>
      <w:r w:rsidRPr="00473F17">
        <w:rPr>
          <w:rFonts w:cs="Tahoma"/>
          <w:shd w:val="clear" w:color="auto" w:fill="FFFFFF"/>
        </w:rPr>
        <w:t xml:space="preserve">, fracciones I, II, III, IV y V, de la Constitución Política del Estado Libre y Soberano de México; 1°, 8°, 9°, 10, 37 y 42, fracciones I, II y III, de la Ley General de Transparencia y Acceso a la Información Pública; </w:t>
      </w:r>
      <w:r w:rsidRPr="00473F17">
        <w:rPr>
          <w:rFonts w:cs="Tahoma"/>
          <w:shd w:val="clear" w:color="auto" w:fill="FFFFFF"/>
        </w:rPr>
        <w:lastRenderedPageBreak/>
        <w:t>1°, 2°, fracciones II y IV; 13,  29, 36, fracciones I y II; 176, 178, 179, 181 párrafo tercero, 185, 188 y 189 de la Ley Transparencia y Acceso a la Información Pública del Estado de México y Municipios;</w:t>
      </w:r>
      <w:r w:rsidRPr="00473F17">
        <w:rPr>
          <w:rStyle w:val="apple-converted-space"/>
          <w:rFonts w:cs="Tahoma"/>
          <w:shd w:val="clear" w:color="auto" w:fill="FFFFFF"/>
        </w:rPr>
        <w:t xml:space="preserve"> 7°, </w:t>
      </w:r>
      <w:r w:rsidRPr="00473F17">
        <w:rPr>
          <w:rFonts w:cs="Tahoma"/>
        </w:rPr>
        <w:t xml:space="preserve">9°, fracciones I y XXIV y 11 </w:t>
      </w:r>
      <w:r w:rsidRPr="00473F17">
        <w:rPr>
          <w:rFonts w:cs="Tahoma"/>
          <w:shd w:val="clear" w:color="auto" w:fill="FFFFFF"/>
        </w:rPr>
        <w:t>del Reglamento Interior del Instituto de Transparencia, Acceso a la Información Pública y Protección de Datos Personales del Estado de México y Municipios.</w:t>
      </w:r>
    </w:p>
    <w:p w:rsidRPr="00473F17" w:rsidR="0021404A" w:rsidP="00E548A1" w:rsidRDefault="0021404A" w14:paraId="2C7E7A54" w14:textId="77777777">
      <w:pPr>
        <w:spacing w:after="0" w:line="360" w:lineRule="auto"/>
        <w:contextualSpacing/>
        <w:rPr>
          <w:rFonts w:cs="Tahoma"/>
          <w:shd w:val="clear" w:color="auto" w:fill="FFFFFF"/>
        </w:rPr>
      </w:pPr>
    </w:p>
    <w:p w:rsidRPr="00473F17" w:rsidR="0021404A" w:rsidP="00E548A1" w:rsidRDefault="0021404A" w14:paraId="0B27AEA7" w14:textId="77777777">
      <w:pPr>
        <w:autoSpaceDE w:val="0"/>
        <w:autoSpaceDN w:val="0"/>
        <w:adjustRightInd w:val="0"/>
        <w:spacing w:after="0" w:line="360" w:lineRule="auto"/>
        <w:contextualSpacing/>
        <w:rPr>
          <w:rFonts w:eastAsia="Calibri" w:cs="Tahoma"/>
          <w:color w:val="000000"/>
          <w:lang w:eastAsia="es-MX"/>
        </w:rPr>
      </w:pPr>
      <w:r w:rsidRPr="00473F17">
        <w:rPr>
          <w:rFonts w:eastAsia="Calibri" w:cs="Tahoma"/>
          <w:b/>
          <w:color w:val="000000"/>
          <w:lang w:eastAsia="es-MX"/>
        </w:rPr>
        <w:t>SEGUNDO</w:t>
      </w:r>
      <w:r w:rsidRPr="00473F17">
        <w:rPr>
          <w:rFonts w:eastAsia="Calibri" w:cs="Tahoma"/>
          <w:color w:val="000000"/>
          <w:lang w:eastAsia="es-MX"/>
        </w:rPr>
        <w:t xml:space="preserve">. </w:t>
      </w:r>
      <w:r>
        <w:rPr>
          <w:rFonts w:eastAsia="Calibri" w:cs="Tahoma"/>
          <w:b/>
          <w:color w:val="000000"/>
          <w:lang w:eastAsia="es-MX"/>
        </w:rPr>
        <w:t xml:space="preserve">Causales de improcedencia. </w:t>
      </w:r>
    </w:p>
    <w:p w:rsidRPr="005557CA" w:rsidR="0021404A" w:rsidP="00E548A1" w:rsidRDefault="0021404A" w14:paraId="0C63F0BF" w14:textId="77777777">
      <w:pPr>
        <w:autoSpaceDE w:val="0"/>
        <w:autoSpaceDN w:val="0"/>
        <w:adjustRightInd w:val="0"/>
        <w:spacing w:after="0" w:line="360" w:lineRule="auto"/>
        <w:rPr>
          <w:rFonts w:eastAsia="Calibri" w:cs="Tahoma"/>
          <w:color w:val="000000"/>
          <w:lang w:eastAsia="es-MX"/>
        </w:rPr>
      </w:pPr>
    </w:p>
    <w:p w:rsidRPr="00473F17" w:rsidR="0021404A" w:rsidP="00E548A1" w:rsidRDefault="0021404A" w14:paraId="71178C13" w14:textId="77777777">
      <w:pPr>
        <w:autoSpaceDE w:val="0"/>
        <w:autoSpaceDN w:val="0"/>
        <w:adjustRightInd w:val="0"/>
        <w:spacing w:after="0" w:line="360" w:lineRule="auto"/>
        <w:contextualSpacing/>
        <w:rPr>
          <w:rFonts w:eastAsia="Calibri" w:cs="Tahoma"/>
          <w:color w:val="000000"/>
          <w:lang w:eastAsia="es-MX"/>
        </w:rPr>
      </w:pPr>
      <w:r w:rsidRPr="00473F17">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73F17" w:rsidR="0021404A" w:rsidP="00E548A1" w:rsidRDefault="0021404A" w14:paraId="2F65BA0D" w14:textId="77777777">
      <w:pPr>
        <w:autoSpaceDE w:val="0"/>
        <w:autoSpaceDN w:val="0"/>
        <w:adjustRightInd w:val="0"/>
        <w:spacing w:after="0" w:line="360" w:lineRule="auto"/>
        <w:contextualSpacing/>
        <w:rPr>
          <w:rFonts w:eastAsia="Calibri" w:cs="Tahoma"/>
          <w:color w:val="000000"/>
          <w:lang w:eastAsia="es-MX"/>
        </w:rPr>
      </w:pPr>
    </w:p>
    <w:p w:rsidRPr="00473F17" w:rsidR="0021404A" w:rsidP="00E548A1" w:rsidRDefault="0021404A" w14:paraId="6C9F5604" w14:textId="77777777">
      <w:pPr>
        <w:autoSpaceDE w:val="0"/>
        <w:autoSpaceDN w:val="0"/>
        <w:adjustRightInd w:val="0"/>
        <w:spacing w:after="0" w:line="360" w:lineRule="auto"/>
        <w:contextualSpacing/>
        <w:rPr>
          <w:rFonts w:eastAsia="Calibri" w:cs="Tahoma"/>
          <w:color w:val="000000"/>
          <w:lang w:eastAsia="es-MX"/>
        </w:rPr>
      </w:pPr>
      <w:r w:rsidRPr="00473F17">
        <w:rPr>
          <w:rFonts w:eastAsia="Calibri" w:cs="Tahoma"/>
          <w:color w:val="000000"/>
          <w:lang w:eastAsia="es-MX"/>
        </w:rPr>
        <w:t xml:space="preserve">En el presente caso, </w:t>
      </w:r>
      <w:r w:rsidRPr="005557CA">
        <w:rPr>
          <w:rFonts w:eastAsia="Calibri" w:cs="Tahoma"/>
          <w:b/>
          <w:color w:val="000000"/>
          <w:lang w:eastAsia="es-MX"/>
        </w:rPr>
        <w:t>no se actualiza ninguna de las causales de improcedencia</w:t>
      </w:r>
      <w:r w:rsidRPr="00473F17">
        <w:rPr>
          <w:rFonts w:eastAsia="Calibri" w:cs="Tahoma"/>
          <w:color w:val="000000"/>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21404A" w:rsidP="00E548A1" w:rsidRDefault="0021404A" w14:paraId="37B3DABA" w14:textId="77777777">
      <w:pPr>
        <w:autoSpaceDE w:val="0"/>
        <w:autoSpaceDN w:val="0"/>
        <w:adjustRightInd w:val="0"/>
        <w:spacing w:after="0" w:line="360" w:lineRule="auto"/>
        <w:contextualSpacing/>
        <w:rPr>
          <w:rFonts w:eastAsia="Calibri" w:cs="Tahoma"/>
          <w:b/>
          <w:color w:val="000000"/>
          <w:lang w:eastAsia="es-MX"/>
        </w:rPr>
      </w:pPr>
    </w:p>
    <w:p w:rsidRPr="00682008" w:rsidR="0021404A" w:rsidP="00E548A1" w:rsidRDefault="0021404A" w14:paraId="09DAF468" w14:textId="77777777">
      <w:pPr>
        <w:spacing w:after="0" w:line="360" w:lineRule="auto"/>
        <w:rPr>
          <w:rFonts w:cs="Tahoma"/>
          <w:bCs/>
        </w:rPr>
      </w:pPr>
      <w:r w:rsidRPr="00682008">
        <w:rPr>
          <w:rFonts w:cs="Tahoma"/>
          <w:bCs/>
        </w:rPr>
        <w:t xml:space="preserve">Asimismo, se actualiza la causal de procedencia del Recurso de Revisión señalada en el artículo 179, fracción VI, de la Ley en cita, pues el Recurrente se inconformó con la entrega de información que no corresponde con lo solicitado. </w:t>
      </w:r>
    </w:p>
    <w:p w:rsidRPr="005557CA" w:rsidR="0021404A" w:rsidP="00E548A1" w:rsidRDefault="0021404A" w14:paraId="13DC8A33" w14:textId="77777777">
      <w:pPr>
        <w:autoSpaceDE w:val="0"/>
        <w:autoSpaceDN w:val="0"/>
        <w:adjustRightInd w:val="0"/>
        <w:spacing w:after="0" w:line="360" w:lineRule="auto"/>
        <w:rPr>
          <w:rFonts w:eastAsia="Calibri" w:cs="Tahoma"/>
          <w:b/>
          <w:color w:val="000000"/>
          <w:lang w:eastAsia="es-MX"/>
        </w:rPr>
      </w:pPr>
      <w:r w:rsidRPr="005557CA">
        <w:rPr>
          <w:rFonts w:eastAsia="Calibri" w:cs="Tahoma"/>
          <w:b/>
          <w:color w:val="000000"/>
          <w:lang w:eastAsia="es-MX"/>
        </w:rPr>
        <w:lastRenderedPageBreak/>
        <w:t>TERCERO. Causales de sobreseimiento.</w:t>
      </w:r>
    </w:p>
    <w:p w:rsidRPr="00473F17" w:rsidR="0021404A" w:rsidP="00E548A1" w:rsidRDefault="0021404A" w14:paraId="0EAE74FC" w14:textId="77777777">
      <w:pPr>
        <w:autoSpaceDE w:val="0"/>
        <w:autoSpaceDN w:val="0"/>
        <w:adjustRightInd w:val="0"/>
        <w:spacing w:after="0" w:line="360" w:lineRule="auto"/>
        <w:contextualSpacing/>
        <w:rPr>
          <w:rFonts w:eastAsia="Calibri" w:cs="Tahoma"/>
          <w:b/>
          <w:color w:val="000000"/>
          <w:lang w:eastAsia="es-MX"/>
        </w:rPr>
      </w:pPr>
    </w:p>
    <w:p w:rsidRPr="00264982" w:rsidR="0021404A" w:rsidP="00E548A1" w:rsidRDefault="0021404A" w14:paraId="55CAB2B3" w14:textId="77777777">
      <w:pPr>
        <w:spacing w:after="0" w:line="360" w:lineRule="auto"/>
        <w:rPr>
          <w:rFonts w:cs="Tahoma"/>
        </w:rPr>
      </w:pPr>
      <w:r w:rsidRPr="00264982">
        <w:rPr>
          <w:rFonts w:cs="Tahoma"/>
        </w:rPr>
        <w:t>Por ser de previo y especial pronunciamiento, este Instituto analiza si se actualiza alguna causal de sobreseimiento.</w:t>
      </w:r>
    </w:p>
    <w:p w:rsidR="0021404A" w:rsidP="00E548A1" w:rsidRDefault="0021404A" w14:paraId="5C365DFC" w14:textId="77777777">
      <w:pPr>
        <w:spacing w:after="0" w:line="360" w:lineRule="auto"/>
        <w:rPr>
          <w:rFonts w:cs="Tahoma"/>
        </w:rPr>
      </w:pPr>
    </w:p>
    <w:p w:rsidRPr="00512962" w:rsidR="0021404A" w:rsidP="00E548A1" w:rsidRDefault="0021404A" w14:paraId="2CC06809" w14:textId="77777777">
      <w:pPr>
        <w:widowControl w:val="0"/>
        <w:spacing w:after="0" w:line="360" w:lineRule="auto"/>
        <w:rPr>
          <w:rFonts w:eastAsia="Calibri" w:cs="Tahoma"/>
          <w:lang w:eastAsia="es-ES_tradnl"/>
        </w:rPr>
      </w:pPr>
      <w:r w:rsidRPr="004E591C">
        <w:rPr>
          <w:rFonts w:cs="Tahoma"/>
        </w:rPr>
        <w:t xml:space="preserve">El artículo 192 de la </w:t>
      </w:r>
      <w:r w:rsidRPr="004E591C">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eastAsia="Calibri" w:cs="Tahoma"/>
          <w:lang w:eastAsia="es-ES_tradnl"/>
        </w:rPr>
        <w:t>del análisis realizado por este Instituto, se advierte que</w:t>
      </w:r>
      <w:r w:rsidRPr="004E591C">
        <w:rPr>
          <w:rFonts w:eastAsia="Calibri" w:cs="Tahoma"/>
          <w:b/>
          <w:lang w:eastAsia="es-ES_tradnl"/>
        </w:rPr>
        <w:t xml:space="preserve"> no se configuran las causales establecidas en las fracciones II, </w:t>
      </w:r>
      <w:r>
        <w:rPr>
          <w:rFonts w:eastAsia="Calibri" w:cs="Tahoma"/>
          <w:b/>
          <w:lang w:eastAsia="es-ES_tradnl"/>
        </w:rPr>
        <w:t>III, IV y V,</w:t>
      </w:r>
      <w:r w:rsidRPr="004E591C">
        <w:rPr>
          <w:rFonts w:eastAsia="Calibri" w:cs="Tahoma"/>
          <w:b/>
          <w:lang w:eastAsia="es-ES_tradnl"/>
        </w:rPr>
        <w:t xml:space="preserve"> </w:t>
      </w:r>
      <w:r w:rsidRPr="004E591C">
        <w:rPr>
          <w:rFonts w:eastAsia="Calibri" w:cs="Tahoma"/>
          <w:lang w:eastAsia="es-ES_tradnl"/>
        </w:rPr>
        <w:t>toda vez que no hay constancias en el expediente en</w:t>
      </w:r>
      <w:r>
        <w:rPr>
          <w:rFonts w:eastAsia="Calibri" w:cs="Tahoma"/>
          <w:lang w:eastAsia="es-ES_tradnl"/>
        </w:rPr>
        <w:t xml:space="preserve"> que se actúa, de que el R</w:t>
      </w:r>
      <w:r w:rsidRPr="004E591C">
        <w:rPr>
          <w:rFonts w:eastAsia="Calibri" w:cs="Tahoma"/>
          <w:lang w:eastAsia="es-ES_tradnl"/>
        </w:rPr>
        <w:t xml:space="preserve">ecurrente haya fallecido, sobreviniera alguna causal de improcedencia, </w:t>
      </w:r>
      <w:r w:rsidRPr="00512962">
        <w:rPr>
          <w:rFonts w:eastAsia="Calibri" w:cs="Tahoma"/>
          <w:lang w:eastAsia="es-ES_tradnl"/>
        </w:rPr>
        <w:t>que el Sujeto Obligado hubiese modificado o revocado el acto impugnado o bien, haya quedado sin materia.</w:t>
      </w:r>
    </w:p>
    <w:p w:rsidR="0021404A" w:rsidP="00E548A1" w:rsidRDefault="0021404A" w14:paraId="6C63F2CA" w14:textId="77777777">
      <w:pPr>
        <w:spacing w:after="0" w:line="360" w:lineRule="auto"/>
        <w:contextualSpacing/>
        <w:rPr>
          <w:rFonts w:cs="Tahoma"/>
        </w:rPr>
      </w:pPr>
    </w:p>
    <w:p w:rsidR="0021404A" w:rsidP="00E548A1" w:rsidRDefault="0021404A" w14:paraId="51662133" w14:textId="3EC37309">
      <w:pPr>
        <w:spacing w:after="0" w:line="360" w:lineRule="auto"/>
        <w:rPr>
          <w:rFonts w:eastAsia="Calibri" w:cs="Tahoma"/>
          <w:lang w:eastAsia="es-ES_tradnl"/>
        </w:rPr>
      </w:pPr>
      <w:r w:rsidRPr="000F6B9F">
        <w:rPr>
          <w:rFonts w:cs="Tahoma"/>
        </w:rPr>
        <w:t xml:space="preserve">No obstante, por lo que hace a la hipótesis prevista en la fracción I, a saber, que </w:t>
      </w:r>
      <w:r>
        <w:rPr>
          <w:rFonts w:cs="Tahoma"/>
        </w:rPr>
        <w:t>el</w:t>
      </w:r>
      <w:r w:rsidRPr="000F6B9F">
        <w:rPr>
          <w:rFonts w:cs="Tahoma"/>
        </w:rPr>
        <w:t xml:space="preserve"> </w:t>
      </w:r>
      <w:r>
        <w:rPr>
          <w:rFonts w:cs="Tahoma"/>
        </w:rPr>
        <w:t>s</w:t>
      </w:r>
      <w:r w:rsidRPr="000F6B9F">
        <w:rPr>
          <w:rFonts w:cs="Tahoma"/>
        </w:rPr>
        <w:t xml:space="preserve">olicitante se haya desistido del Medio de Impugnación, se colige en </w:t>
      </w:r>
      <w:r>
        <w:rPr>
          <w:rFonts w:cs="Tahoma"/>
        </w:rPr>
        <w:t>el ahora Recurrente</w:t>
      </w:r>
      <w:r w:rsidRPr="000F6B9F">
        <w:rPr>
          <w:rFonts w:cs="Tahoma"/>
        </w:rPr>
        <w:t xml:space="preserve"> se desistió expresamente del presente Recurso de Revisión, a través del Sistema de Acceso a la Información Mexiquense</w:t>
      </w:r>
      <w:r>
        <w:rPr>
          <w:rFonts w:cs="Tahoma"/>
        </w:rPr>
        <w:t xml:space="preserve"> (SAIMEX)</w:t>
      </w:r>
      <w:r w:rsidRPr="000F6B9F">
        <w:rPr>
          <w:rFonts w:cs="Tahoma"/>
        </w:rPr>
        <w:t xml:space="preserve">, el </w:t>
      </w:r>
      <w:r>
        <w:rPr>
          <w:rFonts w:cs="Tahoma"/>
        </w:rPr>
        <w:t>diecinueve de noviembre de dos mil veintiuno,</w:t>
      </w:r>
      <w:r w:rsidRPr="005B0196">
        <w:rPr>
          <w:rFonts w:eastAsia="Calibri" w:cs="Tahoma"/>
          <w:lang w:eastAsia="es-ES_tradnl"/>
        </w:rPr>
        <w:t xml:space="preserve"> </w:t>
      </w:r>
      <w:r>
        <w:rPr>
          <w:rFonts w:eastAsia="Calibri" w:cs="Tahoma"/>
          <w:lang w:eastAsia="es-ES_tradnl"/>
        </w:rPr>
        <w:t>como se observa a continuación:</w:t>
      </w:r>
    </w:p>
    <w:p w:rsidR="0021404A" w:rsidP="00E548A1" w:rsidRDefault="00B05E37" w14:paraId="56147812" w14:textId="339E33E4">
      <w:pPr>
        <w:spacing w:after="0" w:line="360" w:lineRule="auto"/>
        <w:rPr>
          <w:noProof/>
        </w:rPr>
      </w:pPr>
      <w:r>
        <w:rPr>
          <w:noProof/>
        </w:rPr>
        <mc:AlternateContent>
          <mc:Choice Requires="wps">
            <w:drawing>
              <wp:anchor distT="0" distB="0" distL="114300" distR="114300" simplePos="0" relativeHeight="251660288" behindDoc="0" locked="0" layoutInCell="1" allowOverlap="1" wp14:anchorId="573985E6" wp14:editId="52005AE4">
                <wp:simplePos x="0" y="0"/>
                <wp:positionH relativeFrom="column">
                  <wp:posOffset>484614</wp:posOffset>
                </wp:positionH>
                <wp:positionV relativeFrom="paragraph">
                  <wp:posOffset>12262</wp:posOffset>
                </wp:positionV>
                <wp:extent cx="5413052" cy="2254216"/>
                <wp:effectExtent l="0" t="0" r="35560" b="32385"/>
                <wp:wrapNone/>
                <wp:docPr id="2" name="Conector recto 2"/>
                <wp:cNvGraphicFramePr/>
                <a:graphic xmlns:a="http://schemas.openxmlformats.org/drawingml/2006/main">
                  <a:graphicData uri="http://schemas.microsoft.com/office/word/2010/wordprocessingShape">
                    <wps:wsp>
                      <wps:cNvCnPr/>
                      <wps:spPr>
                        <a:xfrm flipV="1">
                          <a:off x="0" y="0"/>
                          <a:ext cx="5413052" cy="22542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38.15pt,.95pt" to="464.35pt,178.45pt" w14:anchorId="0EB21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KwAEAAM8DAAAOAAAAZHJzL2Uyb0RvYy54bWysU8uu0zAQ3SPxD5b3NA9ur1DU9C56BRsE&#10;Fa+9rzNuLPmlsWnSv2fstAEBQgKxcfyYc2bOmcnuYbaGnQGj9q7nzabmDJz0g3annn/+9PrFK85i&#10;Em4Qxjvo+QUif9g/f7abQgetH70ZABmRuNhNoedjSqGrqihHsCJufABHj8qjFYmOeKoGFBOxW1O1&#10;dX1fTR6HgF5CjHT7uDzyfeFXCmR6r1SExEzPqbZUVizrU16r/U50JxRh1PJahviHKqzQjpKuVI8i&#10;CfYV9S9UVkv00au0kd5WXiktoWggNU39k5qPowhQtJA5Maw2xf9HK9+dj8j00POWMycstehAjZLJ&#10;I8P8YW32aAqxo9CDO+L1FMMRs+BZoWXK6PCF2l8sIFFsLg5fVodhTkzS5faueVlvKZWkt7bd3rXN&#10;feavFqJMGDCmN+Aty5ueG+2yBaIT57cxLaG3EMLlwpZSyi5dDORg4z6AIlmUcimqDBQcDLKzoFEQ&#10;UoJLzTV1ic4wpY1ZgXVJ+0fgNT5DoQzb34BXRMnsXVrBVjuPv8ue5lvJaom/ObDozhY8+eFSmlSs&#10;oakp5l4nPI/lj+cC//4f7r8BAAD//wMAUEsDBBQABgAIAAAAIQCB4h014AAAAAgBAAAPAAAAZHJz&#10;L2Rvd25yZXYueG1sTI/BTsMwEETvSPyDtUi9IOqQirQJcSqE2h7KqQUkuG3iJYka21HspuHvWU5w&#10;nJ3RzNt8PZlOjDT41lkF9/MIBNnK6dbWCt5et3crED6g1dg5Swq+ycO6uL7KMdPuYg80HkMtuMT6&#10;DBU0IfSZlL5qyKCfu54se19uMBhYDrXUA1643HQyjqJEGmwtLzTY03ND1el4Ngo+vfOb93057k6H&#10;/YS3LyH+qLRSs5vp6RFEoCn8heEXn9GhYKbSna32olOwTBac5HsKgu00Xi1BlAoWD0kKssjl/weK&#10;HwAAAP//AwBQSwECLQAUAAYACAAAACEAtoM4kv4AAADhAQAAEwAAAAAAAAAAAAAAAAAAAAAAW0Nv&#10;bnRlbnRfVHlwZXNdLnhtbFBLAQItABQABgAIAAAAIQA4/SH/1gAAAJQBAAALAAAAAAAAAAAAAAAA&#10;AC8BAABfcmVscy8ucmVsc1BLAQItABQABgAIAAAAIQDqt/SKwAEAAM8DAAAOAAAAAAAAAAAAAAAA&#10;AC4CAABkcnMvZTJvRG9jLnhtbFBLAQItABQABgAIAAAAIQCB4h014AAAAAgBAAAPAAAAAAAAAAAA&#10;AAAAABoEAABkcnMvZG93bnJldi54bWxQSwUGAAAAAAQABADzAAAAJwUAAAAA&#10;">
                <v:stroke joinstyle="miter"/>
              </v:line>
            </w:pict>
          </mc:Fallback>
        </mc:AlternateContent>
      </w:r>
    </w:p>
    <w:p w:rsidR="0021404A" w:rsidP="00E548A1" w:rsidRDefault="0021404A" w14:paraId="6A4F1C82" w14:textId="0E3ABDFB">
      <w:pPr>
        <w:spacing w:after="0" w:line="360" w:lineRule="auto"/>
        <w:contextualSpacing/>
        <w:jc w:val="center"/>
        <w:rPr>
          <w:rFonts w:eastAsia="Calibri" w:cs="Tahoma"/>
          <w:bCs/>
          <w:color w:val="000000"/>
          <w:lang w:eastAsia="es-ES_tradnl"/>
        </w:rPr>
      </w:pPr>
      <w:r>
        <w:rPr>
          <w:rFonts w:eastAsia="Calibri" w:cs="Tahoma"/>
          <w:bCs/>
          <w:noProof/>
          <w:color w:val="000000"/>
          <w:lang w:eastAsia="es-ES_tradnl"/>
        </w:rPr>
        <w:lastRenderedPageBreak/>
        <w:drawing>
          <wp:inline distT="0" distB="0" distL="0" distR="0" wp14:anchorId="7E97086B" wp14:editId="3B08835E">
            <wp:extent cx="2712317" cy="2645228"/>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2719312" cy="2652050"/>
                    </a:xfrm>
                    <a:prstGeom prst="rect">
                      <a:avLst/>
                    </a:prstGeom>
                  </pic:spPr>
                </pic:pic>
              </a:graphicData>
            </a:graphic>
          </wp:inline>
        </w:drawing>
      </w:r>
    </w:p>
    <w:p w:rsidR="0021404A" w:rsidP="00E548A1" w:rsidRDefault="0021404A" w14:paraId="78059C7C" w14:textId="77777777">
      <w:pPr>
        <w:spacing w:after="0" w:line="360" w:lineRule="auto"/>
        <w:contextualSpacing/>
        <w:rPr>
          <w:rFonts w:eastAsia="Calibri" w:cs="Tahoma"/>
          <w:bCs/>
          <w:color w:val="000000"/>
          <w:lang w:eastAsia="es-ES_tradnl"/>
        </w:rPr>
      </w:pPr>
    </w:p>
    <w:p w:rsidR="0021404A" w:rsidP="00E548A1" w:rsidRDefault="0021404A" w14:paraId="0A514B85" w14:textId="2F976673">
      <w:pPr>
        <w:spacing w:after="0" w:line="360" w:lineRule="auto"/>
        <w:contextualSpacing/>
        <w:rPr>
          <w:rFonts w:eastAsia="Calibri" w:cs="Tahoma"/>
          <w:bCs/>
          <w:color w:val="000000"/>
          <w:lang w:eastAsia="es-ES_tradnl"/>
        </w:rPr>
      </w:pPr>
      <w:r>
        <w:rPr>
          <w:rFonts w:eastAsia="Calibri" w:cs="Tahoma"/>
          <w:bCs/>
          <w:color w:val="000000"/>
          <w:lang w:eastAsia="es-ES_tradnl"/>
        </w:rPr>
        <w:t xml:space="preserve">En ese orden de ideas y conforme a las constancias que integran el expediente electrónico del Medio de Impugnación, se aprecia que el Recurrente se desistió del Recurso de Revisión a través del siguiente motivo o razón </w:t>
      </w:r>
      <w:r>
        <w:rPr>
          <w:rFonts w:eastAsia="Calibri" w:cs="Tahoma"/>
          <w:bCs/>
          <w:i/>
          <w:color w:val="000000"/>
          <w:lang w:eastAsia="es-ES_tradnl"/>
        </w:rPr>
        <w:t>“</w:t>
      </w:r>
      <w:r w:rsidRPr="00E548A1" w:rsidR="00E548A1">
        <w:rPr>
          <w:rFonts w:eastAsia="Calibri" w:cs="Tahoma"/>
          <w:bCs/>
          <w:i/>
          <w:color w:val="000000"/>
          <w:lang w:eastAsia="es-ES_tradnl"/>
        </w:rPr>
        <w:t>Me entregaron la información. Gracias.</w:t>
      </w:r>
      <w:r>
        <w:rPr>
          <w:rFonts w:eastAsia="Calibri" w:cs="Tahoma"/>
          <w:bCs/>
          <w:i/>
          <w:color w:val="000000"/>
          <w:lang w:eastAsia="es-ES_tradnl"/>
        </w:rPr>
        <w:t>”</w:t>
      </w:r>
    </w:p>
    <w:p w:rsidR="0021404A" w:rsidP="00E548A1" w:rsidRDefault="0021404A" w14:paraId="6BCAD434" w14:textId="77777777">
      <w:pPr>
        <w:spacing w:after="0" w:line="360" w:lineRule="auto"/>
        <w:contextualSpacing/>
        <w:rPr>
          <w:rFonts w:eastAsia="Calibri" w:cs="Tahoma"/>
          <w:bCs/>
          <w:color w:val="000000"/>
          <w:lang w:eastAsia="es-ES_tradnl"/>
        </w:rPr>
      </w:pPr>
    </w:p>
    <w:p w:rsidR="0021404A" w:rsidP="00E548A1" w:rsidRDefault="0021404A" w14:paraId="5F3BB325" w14:textId="0CAD6AF1">
      <w:pPr>
        <w:spacing w:after="0" w:line="360" w:lineRule="auto"/>
        <w:contextualSpacing/>
        <w:rPr>
          <w:rFonts w:eastAsia="Calibri" w:cs="Tahoma"/>
          <w:lang w:eastAsia="es-ES_tradnl"/>
        </w:rPr>
      </w:pPr>
      <w:r>
        <w:rPr>
          <w:rFonts w:eastAsia="Calibri" w:cs="Tahoma"/>
          <w:bCs/>
          <w:color w:val="000000"/>
          <w:lang w:eastAsia="es-ES_tradnl"/>
        </w:rPr>
        <w:t xml:space="preserve">De lo anterior, se aprecia que el Particular </w:t>
      </w:r>
      <w:r>
        <w:rPr>
          <w:rFonts w:eastAsia="Calibri" w:cs="Tahoma"/>
          <w:b/>
          <w:bCs/>
          <w:color w:val="000000"/>
          <w:lang w:eastAsia="es-ES_tradnl"/>
        </w:rPr>
        <w:t xml:space="preserve">manifestó expresamente su voluntad de desistirse del Recurso de Revisión </w:t>
      </w:r>
      <w:r w:rsidRPr="00E548A1" w:rsidR="00E548A1">
        <w:rPr>
          <w:rFonts w:eastAsia="Calibri" w:cs="Tahoma"/>
          <w:b/>
          <w:bCs/>
        </w:rPr>
        <w:t>05031/INFOEM/IP/RR/2021</w:t>
      </w:r>
      <w:r>
        <w:rPr>
          <w:rFonts w:eastAsia="Calibri" w:cs="Tahoma"/>
          <w:b/>
          <w:bCs/>
        </w:rPr>
        <w:t>,</w:t>
      </w:r>
      <w:r>
        <w:rPr>
          <w:rFonts w:eastAsia="Calibri" w:cs="Tahoma"/>
        </w:rPr>
        <w:t xml:space="preserve"> dado que, el Sujeto Obligado le envió el documento que contenía la información peticionada</w:t>
      </w:r>
      <w:r>
        <w:rPr>
          <w:rFonts w:eastAsia="Calibri" w:cs="Tahoma"/>
          <w:b/>
          <w:bCs/>
        </w:rPr>
        <w:t xml:space="preserve">, </w:t>
      </w:r>
      <w:r>
        <w:rPr>
          <w:rFonts w:eastAsia="Calibri" w:cs="Tahoma"/>
          <w:lang w:eastAsia="es-ES_tradnl"/>
        </w:rPr>
        <w:t>en consecuencia, se estima que se actualiza el supuesto previsto en el artículo 192, fracción I, de la Ley de Transparencia y Acceso a la Información Pública del Estado de México y Municipios.</w:t>
      </w:r>
    </w:p>
    <w:p w:rsidR="0021404A" w:rsidP="00E548A1" w:rsidRDefault="0021404A" w14:paraId="10546DC8" w14:textId="77777777">
      <w:pPr>
        <w:spacing w:after="0" w:line="360" w:lineRule="auto"/>
        <w:contextualSpacing/>
        <w:rPr>
          <w:rFonts w:eastAsia="Calibri" w:cs="Tahoma"/>
          <w:lang w:eastAsia="es-ES_tradnl"/>
        </w:rPr>
      </w:pPr>
    </w:p>
    <w:p w:rsidR="0021404A" w:rsidP="00E548A1" w:rsidRDefault="0021404A" w14:paraId="1204553F" w14:textId="77777777">
      <w:pPr>
        <w:spacing w:after="0" w:line="360" w:lineRule="auto"/>
        <w:rPr>
          <w:rFonts w:eastAsia="Calibri" w:cs="Tahoma"/>
          <w:lang w:eastAsia="es-ES_tradnl"/>
        </w:rPr>
      </w:pPr>
      <w:r>
        <w:rPr>
          <w:rFonts w:eastAsia="Calibri" w:cs="Tahoma"/>
          <w:lang w:eastAsia="es-ES_tradnl"/>
        </w:rPr>
        <w:t xml:space="preserve">En ese tenor, resulta aplicable la Jurisprudencia número </w:t>
      </w:r>
      <w:r w:rsidRPr="000B7BD0">
        <w:rPr>
          <w:rFonts w:eastAsia="Calibri" w:cs="Tahoma"/>
          <w:lang w:eastAsia="es-ES_tradnl"/>
        </w:rPr>
        <w:t>1a./J. 65/2005</w:t>
      </w:r>
      <w:r>
        <w:rPr>
          <w:rFonts w:eastAsia="Calibri" w:cs="Tahoma"/>
          <w:lang w:eastAsia="es-ES_tradnl"/>
        </w:rPr>
        <w:t>, Semanario Judicial de la Federación y su Gaceta, Novena Época,</w:t>
      </w:r>
      <w:r w:rsidRPr="00EA6E8E">
        <w:rPr>
          <w:rFonts w:eastAsia="Calibri" w:cs="Tahoma"/>
          <w:lang w:eastAsia="es-ES_tradnl"/>
        </w:rPr>
        <w:t xml:space="preserve"> </w:t>
      </w:r>
      <w:r>
        <w:rPr>
          <w:rFonts w:eastAsia="Calibri" w:cs="Tahoma"/>
          <w:lang w:eastAsia="es-ES_tradnl"/>
        </w:rPr>
        <w:t>Tomo XXII, julio de dos mil cinco, página ciento sesenta y uno, que establece lo siguiente:</w:t>
      </w:r>
    </w:p>
    <w:p w:rsidR="0021404A" w:rsidP="00E548A1" w:rsidRDefault="0021404A" w14:paraId="4B46FF38" w14:textId="77777777">
      <w:pPr>
        <w:spacing w:after="0" w:line="360" w:lineRule="auto"/>
        <w:rPr>
          <w:rFonts w:eastAsia="Calibri" w:cs="Tahoma"/>
          <w:lang w:eastAsia="es-ES_tradnl"/>
        </w:rPr>
      </w:pPr>
    </w:p>
    <w:p w:rsidRPr="00B05E37" w:rsidR="0021404A" w:rsidP="00E548A1" w:rsidRDefault="0021404A" w14:paraId="7DB9DD0F" w14:textId="77777777">
      <w:pPr>
        <w:spacing w:after="0" w:line="360" w:lineRule="auto"/>
        <w:ind w:left="567" w:right="567"/>
        <w:rPr>
          <w:rFonts w:eastAsia="Calibri" w:cs="Tahoma"/>
          <w:i/>
          <w:sz w:val="20"/>
          <w:szCs w:val="20"/>
          <w:lang w:val="es-ES" w:eastAsia="es-ES_tradnl"/>
        </w:rPr>
      </w:pPr>
      <w:r w:rsidRPr="00B05E37">
        <w:rPr>
          <w:rFonts w:eastAsia="Calibri" w:cs="Tahoma"/>
          <w:i/>
          <w:sz w:val="20"/>
          <w:szCs w:val="20"/>
          <w:lang w:val="es-ES" w:eastAsia="es-ES_tradnl"/>
        </w:rPr>
        <w:t>“</w:t>
      </w:r>
      <w:r w:rsidRPr="00B05E37">
        <w:rPr>
          <w:rFonts w:eastAsia="Calibri" w:cs="Tahoma"/>
          <w:b/>
          <w:i/>
          <w:sz w:val="20"/>
          <w:szCs w:val="20"/>
          <w:lang w:val="es-ES" w:eastAsia="es-ES_tradnl"/>
        </w:rPr>
        <w:t>DESISTIMIENTO DE LA INSTANCIA. SURTE EFECTOS DESDE EL MOMENTO EN QUE SE PRESENTA EL ESCRITO CORRESPONDIENTE.</w:t>
      </w:r>
      <w:r w:rsidRPr="00B05E37">
        <w:rPr>
          <w:rFonts w:eastAsia="Calibri" w:cs="Tahoma"/>
          <w:i/>
          <w:sz w:val="20"/>
          <w:szCs w:val="20"/>
          <w:lang w:val="es-ES" w:eastAsia="es-ES_tradnl"/>
        </w:rPr>
        <w:cr/>
        <w:t xml:space="preserve">Los órganos jurisdiccionales tienen conocimiento de las pretensiones de las partes sólo a partir de </w:t>
      </w:r>
      <w:r w:rsidRPr="00B05E37">
        <w:rPr>
          <w:rFonts w:eastAsia="Calibri" w:cs="Tahoma"/>
          <w:i/>
          <w:sz w:val="20"/>
          <w:szCs w:val="20"/>
          <w:lang w:val="es-ES" w:eastAsia="es-ES_tradnl"/>
        </w:rPr>
        <w:lastRenderedPageBreak/>
        <w:t>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21404A" w:rsidP="00E548A1" w:rsidRDefault="0021404A" w14:paraId="5E6280DC" w14:textId="77777777">
      <w:pPr>
        <w:spacing w:after="0" w:line="360" w:lineRule="auto"/>
        <w:contextualSpacing/>
        <w:rPr>
          <w:rFonts w:eastAsia="Calibri" w:cs="Tahoma"/>
          <w:bCs/>
          <w:color w:val="000000"/>
          <w:lang w:eastAsia="es-ES_tradnl"/>
        </w:rPr>
      </w:pPr>
    </w:p>
    <w:p w:rsidRPr="00EA6E8E" w:rsidR="0021404A" w:rsidP="00E548A1" w:rsidRDefault="0021404A" w14:paraId="03F64DDE" w14:textId="77777777">
      <w:pPr>
        <w:spacing w:after="0" w:line="360" w:lineRule="auto"/>
        <w:rPr>
          <w:rFonts w:cs="Tahoma"/>
        </w:rPr>
      </w:pPr>
      <w:r>
        <w:rPr>
          <w:rFonts w:cs="Tahoma"/>
        </w:rPr>
        <w:t>Conforme a lo citado, se puede colegir que cuando el Recurrente presente un escrito de desistimiento, 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este, es decir, todos los derechos y obligaciones de las partes.</w:t>
      </w:r>
    </w:p>
    <w:p w:rsidR="0021404A" w:rsidP="00E548A1" w:rsidRDefault="0021404A" w14:paraId="1B15FE3D" w14:textId="77777777">
      <w:pPr>
        <w:spacing w:after="0" w:line="360" w:lineRule="auto"/>
        <w:rPr>
          <w:rFonts w:cs="Tahoma"/>
        </w:rPr>
      </w:pPr>
    </w:p>
    <w:p w:rsidRPr="00141846" w:rsidR="0021404A" w:rsidP="00E548A1" w:rsidRDefault="0021404A" w14:paraId="35C733AA" w14:textId="77777777">
      <w:pPr>
        <w:spacing w:after="0" w:line="360" w:lineRule="auto"/>
        <w:rPr>
          <w:rFonts w:cs="Tahoma"/>
          <w:bCs/>
        </w:rPr>
      </w:pPr>
      <w:r w:rsidRPr="00141846">
        <w:rPr>
          <w:rFonts w:cs="Tahoma"/>
          <w:bCs/>
        </w:rPr>
        <w:t xml:space="preserve">Así, toda vez que este Instituto constató que el Recurrente se desistió por la vía idónea para realizar dicha acción, a saber, por el Sistema de Acceso a la Información Mexiquense (SAIMEX), resulta procedente </w:t>
      </w:r>
      <w:r w:rsidRPr="00141846">
        <w:rPr>
          <w:rFonts w:cs="Tahoma"/>
          <w:b/>
          <w:bCs/>
        </w:rPr>
        <w:t xml:space="preserve">SOBRESEER </w:t>
      </w:r>
      <w:r w:rsidRPr="00141846">
        <w:rPr>
          <w:rFonts w:cs="Tahoma"/>
          <w:bCs/>
        </w:rPr>
        <w:t>el presente Recurso de Revisión.</w:t>
      </w:r>
    </w:p>
    <w:p w:rsidR="0021404A" w:rsidP="00E548A1" w:rsidRDefault="0021404A" w14:paraId="3615E1DE" w14:textId="77777777">
      <w:pPr>
        <w:spacing w:after="0" w:line="360" w:lineRule="auto"/>
        <w:rPr>
          <w:rFonts w:cs="Tahoma"/>
        </w:rPr>
      </w:pPr>
    </w:p>
    <w:p w:rsidR="0021404A" w:rsidP="00E548A1" w:rsidRDefault="0021404A" w14:paraId="0086C4B7" w14:textId="77777777">
      <w:pPr>
        <w:spacing w:after="0" w:line="360" w:lineRule="auto"/>
        <w:rPr>
          <w:rFonts w:cs="Tahoma"/>
          <w:b/>
          <w:bCs/>
        </w:rPr>
      </w:pPr>
      <w:r w:rsidRPr="00B41F43">
        <w:rPr>
          <w:rFonts w:cs="Tahoma"/>
          <w:b/>
          <w:bCs/>
        </w:rPr>
        <w:t>CUARTO. Decisión</w:t>
      </w:r>
    </w:p>
    <w:p w:rsidRPr="00B41F43" w:rsidR="0021404A" w:rsidP="00E548A1" w:rsidRDefault="0021404A" w14:paraId="4D354366" w14:textId="77777777">
      <w:pPr>
        <w:spacing w:after="0" w:line="360" w:lineRule="auto"/>
        <w:rPr>
          <w:rFonts w:cs="Tahoma"/>
          <w:b/>
          <w:bCs/>
        </w:rPr>
      </w:pPr>
    </w:p>
    <w:p w:rsidRPr="00141846" w:rsidR="0021404A" w:rsidP="00E548A1" w:rsidRDefault="0021404A" w14:paraId="0F676C43" w14:textId="77777777">
      <w:pPr>
        <w:spacing w:after="0" w:line="360" w:lineRule="auto"/>
        <w:rPr>
          <w:rFonts w:cs="Tahoma"/>
          <w:lang w:val="es-ES"/>
        </w:rPr>
      </w:pPr>
      <w:r w:rsidRPr="00141846">
        <w:rPr>
          <w:rFonts w:cs="Tahoma"/>
          <w:lang w:val="es-ES"/>
        </w:rPr>
        <w:t xml:space="preserve">Con fundamento en lo dispuesto en el artículo 186, fracción I de la Ley de Transparencia y Acceso a la Información Pública del Estado de México y Municipios, se considera procedente </w:t>
      </w:r>
      <w:r w:rsidRPr="00141846">
        <w:rPr>
          <w:rFonts w:cs="Tahoma"/>
          <w:b/>
          <w:lang w:val="es-ES"/>
        </w:rPr>
        <w:lastRenderedPageBreak/>
        <w:t xml:space="preserve">SOBRESEER </w:t>
      </w:r>
      <w:r w:rsidRPr="00141846">
        <w:rPr>
          <w:rFonts w:cs="Tahoma"/>
          <w:lang w:val="es-ES"/>
        </w:rPr>
        <w:t>los Recursos de Revisión, en virtud de que se actualiza la hipótesis normativa prevista en la fracción I, del artículo 192, del citado ordenamiento legal.</w:t>
      </w:r>
    </w:p>
    <w:p w:rsidR="0021404A" w:rsidP="00E548A1" w:rsidRDefault="0021404A" w14:paraId="0DB0FADE" w14:textId="77777777">
      <w:pPr>
        <w:pStyle w:val="Prrafodelista"/>
        <w:autoSpaceDE w:val="0"/>
        <w:autoSpaceDN w:val="0"/>
        <w:adjustRightInd w:val="0"/>
        <w:spacing w:after="0" w:line="360" w:lineRule="auto"/>
        <w:ind w:left="0"/>
        <w:rPr>
          <w:rFonts w:cs="Arial"/>
        </w:rPr>
      </w:pPr>
    </w:p>
    <w:p w:rsidRPr="00682008" w:rsidR="0021404A" w:rsidP="00E548A1" w:rsidRDefault="0021404A" w14:paraId="5994D6C9" w14:textId="77777777">
      <w:pPr>
        <w:spacing w:after="0" w:line="360" w:lineRule="auto"/>
        <w:rPr>
          <w:rFonts w:cs="Tahoma"/>
          <w:b/>
          <w:bCs/>
          <w:iCs/>
          <w:lang w:val="es-ES"/>
        </w:rPr>
      </w:pPr>
      <w:r w:rsidRPr="00682008">
        <w:rPr>
          <w:rFonts w:cs="Tahoma"/>
          <w:b/>
          <w:bCs/>
          <w:iCs/>
          <w:lang w:val="es-ES"/>
        </w:rPr>
        <w:t>Términos de la Resolución para conocimiento del Particular.</w:t>
      </w:r>
    </w:p>
    <w:p w:rsidRPr="00682008" w:rsidR="0021404A" w:rsidP="00E548A1" w:rsidRDefault="0021404A" w14:paraId="3E00C971" w14:textId="77777777">
      <w:pPr>
        <w:spacing w:after="0" w:line="360" w:lineRule="auto"/>
        <w:rPr>
          <w:rFonts w:cs="Tahoma"/>
          <w:b/>
          <w:iCs/>
        </w:rPr>
      </w:pPr>
    </w:p>
    <w:p w:rsidR="0021404A" w:rsidP="00E548A1" w:rsidRDefault="0021404A" w14:paraId="3F3CC785" w14:textId="77777777">
      <w:pPr>
        <w:spacing w:after="0" w:line="360" w:lineRule="auto"/>
        <w:rPr>
          <w:rFonts w:cs="Tahoma"/>
          <w:bCs/>
          <w:iCs/>
        </w:rPr>
      </w:pPr>
      <w:r w:rsidRPr="00682008">
        <w:rPr>
          <w:rFonts w:cs="Tahoma"/>
          <w:bCs/>
          <w:iCs/>
        </w:rPr>
        <w:t xml:space="preserve">Se le hace del conocimiento al ahora Recurrente que, en el presente caso, al desistirse del Medio de Impugnación, por haber recibido la información peticionada, se actualiza la causal de sobreseimiento, establecida en el artículo 192, fracción I, de la Ley de la materia. </w:t>
      </w:r>
    </w:p>
    <w:p w:rsidR="0021404A" w:rsidP="00E548A1" w:rsidRDefault="0021404A" w14:paraId="19BF207F" w14:textId="77777777">
      <w:pPr>
        <w:spacing w:after="0" w:line="360" w:lineRule="auto"/>
        <w:rPr>
          <w:rFonts w:cs="Tahoma"/>
          <w:bCs/>
          <w:iCs/>
        </w:rPr>
      </w:pPr>
    </w:p>
    <w:p w:rsidRPr="00682008" w:rsidR="0021404A" w:rsidP="00E548A1" w:rsidRDefault="0021404A" w14:paraId="544E602F" w14:textId="77777777">
      <w:pPr>
        <w:spacing w:after="0" w:line="360" w:lineRule="auto"/>
        <w:rPr>
          <w:rFonts w:cs="Tahoma"/>
          <w:bCs/>
          <w:iCs/>
        </w:rPr>
      </w:pPr>
      <w:r w:rsidRPr="00682008">
        <w:rPr>
          <w:rFonts w:cs="Tahoma"/>
          <w:bCs/>
          <w:iCs/>
        </w:rPr>
        <w:t xml:space="preserve">Finalmente, la labor </w:t>
      </w:r>
      <w:r>
        <w:rPr>
          <w:rFonts w:cs="Tahoma"/>
          <w:bCs/>
          <w:iCs/>
        </w:rPr>
        <w:t>del Instituto de Transparencia, Acceso a la Información Pública y Protección de Datos Personales del Estado de México y Municipios</w:t>
      </w:r>
      <w:r w:rsidRPr="00682008">
        <w:rPr>
          <w:rFonts w:cs="Tahoma"/>
          <w:bCs/>
          <w:iCs/>
        </w:rPr>
        <w:t>, es apoyar a la población a acceder a la información pública y garantizar la protección de sus datos personales.</w:t>
      </w:r>
    </w:p>
    <w:p w:rsidR="0021404A" w:rsidP="00E548A1" w:rsidRDefault="0021404A" w14:paraId="12E79F7A" w14:textId="77777777">
      <w:pPr>
        <w:pStyle w:val="Prrafodelista"/>
        <w:autoSpaceDE w:val="0"/>
        <w:autoSpaceDN w:val="0"/>
        <w:adjustRightInd w:val="0"/>
        <w:spacing w:after="0" w:line="360" w:lineRule="auto"/>
        <w:ind w:left="0"/>
        <w:rPr>
          <w:rFonts w:cs="Arial"/>
        </w:rPr>
      </w:pPr>
    </w:p>
    <w:p w:rsidRPr="00766ACC" w:rsidR="0021404A" w:rsidP="00E548A1" w:rsidRDefault="0021404A" w14:paraId="5ADDCA09" w14:textId="77777777">
      <w:pPr>
        <w:spacing w:after="0" w:line="360" w:lineRule="auto"/>
        <w:rPr>
          <w:rFonts w:cs="Arial"/>
          <w:bCs/>
        </w:rPr>
      </w:pPr>
      <w:r w:rsidRPr="00F143B3">
        <w:rPr>
          <w:rFonts w:cs="Arial"/>
          <w:bCs/>
        </w:rPr>
        <w:t>Por lo expuesto y fundado, el Pleno de este Instituto:</w:t>
      </w:r>
    </w:p>
    <w:p w:rsidR="0021404A" w:rsidP="00E548A1" w:rsidRDefault="0021404A" w14:paraId="099C9663" w14:textId="77777777">
      <w:pPr>
        <w:spacing w:after="0" w:line="360" w:lineRule="auto"/>
        <w:jc w:val="center"/>
        <w:rPr>
          <w:rFonts w:cs="Arial"/>
          <w:b/>
          <w:bCs/>
        </w:rPr>
      </w:pPr>
    </w:p>
    <w:p w:rsidRPr="00F143B3" w:rsidR="0021404A" w:rsidP="00E548A1" w:rsidRDefault="0021404A" w14:paraId="574202A5" w14:textId="77777777">
      <w:pPr>
        <w:spacing w:after="0" w:line="360" w:lineRule="auto"/>
        <w:jc w:val="center"/>
        <w:rPr>
          <w:rFonts w:cs="Arial"/>
          <w:bCs/>
        </w:rPr>
      </w:pPr>
      <w:r w:rsidRPr="00F143B3">
        <w:rPr>
          <w:rFonts w:cs="Arial"/>
          <w:b/>
          <w:bCs/>
        </w:rPr>
        <w:t>R</w:t>
      </w:r>
      <w:r>
        <w:rPr>
          <w:rFonts w:cs="Arial"/>
          <w:b/>
          <w:bCs/>
        </w:rPr>
        <w:t xml:space="preserve"> </w:t>
      </w:r>
      <w:r w:rsidRPr="00F143B3">
        <w:rPr>
          <w:rFonts w:cs="Arial"/>
          <w:b/>
          <w:bCs/>
        </w:rPr>
        <w:t>E</w:t>
      </w:r>
      <w:r>
        <w:rPr>
          <w:rFonts w:cs="Arial"/>
          <w:b/>
          <w:bCs/>
        </w:rPr>
        <w:t xml:space="preserve"> </w:t>
      </w:r>
      <w:r w:rsidRPr="00F143B3">
        <w:rPr>
          <w:rFonts w:cs="Arial"/>
          <w:b/>
          <w:bCs/>
        </w:rPr>
        <w:t>S</w:t>
      </w:r>
      <w:r>
        <w:rPr>
          <w:rFonts w:cs="Arial"/>
          <w:b/>
          <w:bCs/>
        </w:rPr>
        <w:t xml:space="preserve"> </w:t>
      </w:r>
      <w:r w:rsidRPr="00F143B3">
        <w:rPr>
          <w:rFonts w:cs="Arial"/>
          <w:b/>
          <w:bCs/>
        </w:rPr>
        <w:t>U</w:t>
      </w:r>
      <w:r>
        <w:rPr>
          <w:rFonts w:cs="Arial"/>
          <w:b/>
          <w:bCs/>
        </w:rPr>
        <w:t xml:space="preserve"> </w:t>
      </w:r>
      <w:r w:rsidRPr="00F143B3">
        <w:rPr>
          <w:rFonts w:cs="Arial"/>
          <w:b/>
          <w:bCs/>
        </w:rPr>
        <w:t>E</w:t>
      </w:r>
      <w:r>
        <w:rPr>
          <w:rFonts w:cs="Arial"/>
          <w:b/>
          <w:bCs/>
        </w:rPr>
        <w:t xml:space="preserve"> </w:t>
      </w:r>
      <w:r w:rsidRPr="00F143B3">
        <w:rPr>
          <w:rFonts w:cs="Arial"/>
          <w:b/>
          <w:bCs/>
        </w:rPr>
        <w:t>L</w:t>
      </w:r>
      <w:r>
        <w:rPr>
          <w:rFonts w:cs="Arial"/>
          <w:b/>
          <w:bCs/>
        </w:rPr>
        <w:t xml:space="preserve"> </w:t>
      </w:r>
      <w:r w:rsidRPr="00F143B3">
        <w:rPr>
          <w:rFonts w:cs="Arial"/>
          <w:b/>
          <w:bCs/>
        </w:rPr>
        <w:t>V</w:t>
      </w:r>
      <w:r>
        <w:rPr>
          <w:rFonts w:cs="Arial"/>
          <w:b/>
          <w:bCs/>
        </w:rPr>
        <w:t xml:space="preserve"> </w:t>
      </w:r>
      <w:r w:rsidRPr="00F143B3">
        <w:rPr>
          <w:rFonts w:cs="Arial"/>
          <w:b/>
          <w:bCs/>
        </w:rPr>
        <w:t>E</w:t>
      </w:r>
      <w:r>
        <w:rPr>
          <w:rFonts w:cs="Arial"/>
          <w:b/>
          <w:bCs/>
        </w:rPr>
        <w:t>:</w:t>
      </w:r>
    </w:p>
    <w:p w:rsidRPr="00F143B3" w:rsidR="0021404A" w:rsidP="00E548A1" w:rsidRDefault="0021404A" w14:paraId="1A6C5401" w14:textId="77777777">
      <w:pPr>
        <w:spacing w:after="0" w:line="360" w:lineRule="auto"/>
        <w:rPr>
          <w:rFonts w:cs="Arial"/>
          <w:bCs/>
        </w:rPr>
      </w:pPr>
    </w:p>
    <w:p w:rsidR="0021404A" w:rsidP="00E548A1" w:rsidRDefault="0021404A" w14:paraId="48DF5898" w14:textId="61C59496">
      <w:pPr>
        <w:spacing w:after="0" w:line="360" w:lineRule="auto"/>
        <w:rPr>
          <w:rFonts w:cs="Arial"/>
          <w:bCs/>
          <w:lang w:val="es-ES"/>
        </w:rPr>
      </w:pPr>
      <w:r w:rsidRPr="00F143B3">
        <w:rPr>
          <w:rFonts w:cs="Arial"/>
          <w:b/>
          <w:bCs/>
          <w:lang w:val="es-ES"/>
        </w:rPr>
        <w:t xml:space="preserve">PRIMERO. </w:t>
      </w:r>
      <w:r w:rsidRPr="00F143B3">
        <w:rPr>
          <w:rFonts w:cs="Arial"/>
          <w:bCs/>
          <w:lang w:val="es-ES"/>
        </w:rPr>
        <w:t xml:space="preserve">Se </w:t>
      </w:r>
      <w:r w:rsidRPr="00F143B3">
        <w:rPr>
          <w:rFonts w:cs="Arial"/>
          <w:b/>
          <w:bCs/>
          <w:lang w:val="es-ES"/>
        </w:rPr>
        <w:t>SOBRESEE</w:t>
      </w:r>
      <w:r>
        <w:rPr>
          <w:rFonts w:cs="Arial"/>
          <w:b/>
          <w:bCs/>
          <w:lang w:val="es-ES"/>
        </w:rPr>
        <w:t xml:space="preserve"> </w:t>
      </w:r>
      <w:r>
        <w:rPr>
          <w:rFonts w:cs="Arial"/>
          <w:bCs/>
          <w:lang w:val="es-ES"/>
        </w:rPr>
        <w:t>el</w:t>
      </w:r>
      <w:r w:rsidRPr="00F143B3">
        <w:rPr>
          <w:rFonts w:cs="Arial"/>
          <w:bCs/>
          <w:lang w:val="es-ES"/>
        </w:rPr>
        <w:t xml:space="preserve"> </w:t>
      </w:r>
      <w:r>
        <w:rPr>
          <w:rFonts w:cs="Arial"/>
          <w:bCs/>
          <w:lang w:val="es-ES"/>
        </w:rPr>
        <w:t xml:space="preserve">Recurso de Revisión número </w:t>
      </w:r>
      <w:r w:rsidRPr="00E548A1" w:rsidR="00E548A1">
        <w:rPr>
          <w:rFonts w:eastAsia="Calibri" w:cs="Tahoma"/>
          <w:b/>
          <w:bCs/>
        </w:rPr>
        <w:t>05031/INFOEM/IP/RR/2021</w:t>
      </w:r>
      <w:r w:rsidRPr="00F143B3">
        <w:rPr>
          <w:rFonts w:cs="Arial"/>
          <w:bCs/>
          <w:lang w:val="es-ES"/>
        </w:rPr>
        <w:t xml:space="preserve">, </w:t>
      </w:r>
      <w:r>
        <w:rPr>
          <w:rFonts w:cs="Arial"/>
          <w:b/>
          <w:bCs/>
          <w:lang w:val="es-ES"/>
        </w:rPr>
        <w:t>por haberse desistido expresamente el Recurrente</w:t>
      </w:r>
      <w:r w:rsidRPr="00F143B3">
        <w:rPr>
          <w:rFonts w:cs="Arial"/>
          <w:bCs/>
          <w:lang w:val="es-ES"/>
        </w:rPr>
        <w:t>, en términos de</w:t>
      </w:r>
      <w:r w:rsidR="00B05E37">
        <w:rPr>
          <w:rFonts w:cs="Arial"/>
          <w:bCs/>
          <w:lang w:val="es-ES"/>
        </w:rPr>
        <w:t xml:space="preserve"> </w:t>
      </w:r>
      <w:r w:rsidRPr="00F143B3">
        <w:rPr>
          <w:rFonts w:cs="Arial"/>
          <w:bCs/>
          <w:lang w:val="es-ES"/>
        </w:rPr>
        <w:t>l</w:t>
      </w:r>
      <w:r w:rsidR="00B05E37">
        <w:rPr>
          <w:rFonts w:cs="Arial"/>
          <w:bCs/>
          <w:lang w:val="es-ES"/>
        </w:rPr>
        <w:t xml:space="preserve">os </w:t>
      </w:r>
      <w:r w:rsidRPr="00F143B3">
        <w:rPr>
          <w:rFonts w:cs="Arial"/>
          <w:bCs/>
          <w:lang w:val="es-ES"/>
        </w:rPr>
        <w:t>Considerando</w:t>
      </w:r>
      <w:r w:rsidR="00B05E37">
        <w:rPr>
          <w:rFonts w:cs="Arial"/>
          <w:bCs/>
          <w:lang w:val="es-ES"/>
        </w:rPr>
        <w:t>s</w:t>
      </w:r>
      <w:r w:rsidRPr="00F143B3">
        <w:rPr>
          <w:rFonts w:cs="Arial"/>
          <w:bCs/>
          <w:lang w:val="es-ES"/>
        </w:rPr>
        <w:t xml:space="preserve"> </w:t>
      </w:r>
      <w:r>
        <w:rPr>
          <w:rFonts w:cs="Arial"/>
          <w:b/>
          <w:bCs/>
          <w:lang w:val="es-ES"/>
        </w:rPr>
        <w:t xml:space="preserve">TERCERO </w:t>
      </w:r>
      <w:r w:rsidRPr="00B41F43">
        <w:rPr>
          <w:rFonts w:cs="Arial"/>
          <w:lang w:val="es-ES"/>
        </w:rPr>
        <w:t>y</w:t>
      </w:r>
      <w:r>
        <w:rPr>
          <w:rFonts w:cs="Arial"/>
          <w:b/>
          <w:bCs/>
          <w:lang w:val="es-ES"/>
        </w:rPr>
        <w:t xml:space="preserve"> CUARTO </w:t>
      </w:r>
      <w:r w:rsidRPr="00F143B3">
        <w:rPr>
          <w:rFonts w:cs="Arial"/>
          <w:bCs/>
          <w:lang w:val="es-ES"/>
        </w:rPr>
        <w:t xml:space="preserve">de la presente </w:t>
      </w:r>
      <w:r>
        <w:rPr>
          <w:rFonts w:cs="Arial"/>
          <w:bCs/>
          <w:lang w:val="es-ES"/>
        </w:rPr>
        <w:t>R</w:t>
      </w:r>
      <w:r w:rsidRPr="00F143B3">
        <w:rPr>
          <w:rFonts w:cs="Arial"/>
          <w:bCs/>
          <w:lang w:val="es-ES"/>
        </w:rPr>
        <w:t>esolución.</w:t>
      </w:r>
    </w:p>
    <w:p w:rsidRPr="00F36D08" w:rsidR="0021404A" w:rsidP="00E548A1" w:rsidRDefault="0021404A" w14:paraId="3B569BD5" w14:textId="77777777">
      <w:pPr>
        <w:spacing w:after="0" w:line="360" w:lineRule="auto"/>
        <w:rPr>
          <w:rFonts w:cs="Arial"/>
          <w:bCs/>
          <w:lang w:val="es-ES"/>
        </w:rPr>
      </w:pPr>
    </w:p>
    <w:p w:rsidRPr="00F143B3" w:rsidR="0021404A" w:rsidP="00E548A1" w:rsidRDefault="0021404A" w14:paraId="04A50157" w14:textId="77777777">
      <w:pPr>
        <w:spacing w:after="0" w:line="360" w:lineRule="auto"/>
        <w:rPr>
          <w:rFonts w:cs="Arial"/>
          <w:b/>
          <w:bCs/>
          <w:lang w:val="es-ES"/>
        </w:rPr>
      </w:pPr>
      <w:r w:rsidRPr="00F143B3">
        <w:rPr>
          <w:rFonts w:cs="Arial"/>
          <w:b/>
          <w:bCs/>
          <w:lang w:val="es-ES"/>
        </w:rPr>
        <w:t>SEGUNDO.</w:t>
      </w:r>
      <w:r w:rsidRPr="00F143B3">
        <w:rPr>
          <w:rFonts w:cs="Arial"/>
          <w:bCs/>
          <w:lang w:val="es-ES"/>
        </w:rPr>
        <w:t xml:space="preserve"> </w:t>
      </w:r>
      <w:r w:rsidRPr="00F143B3">
        <w:rPr>
          <w:rFonts w:cs="Arial"/>
          <w:b/>
          <w:bCs/>
          <w:lang w:val="es-ES"/>
        </w:rPr>
        <w:t xml:space="preserve">NOTIFÍQUESE </w:t>
      </w:r>
      <w:r w:rsidRPr="00F143B3">
        <w:rPr>
          <w:rFonts w:cs="Arial"/>
          <w:bCs/>
          <w:lang w:val="es-ES"/>
        </w:rPr>
        <w:t>la presente resolución</w:t>
      </w:r>
      <w:r w:rsidRPr="00F143B3">
        <w:rPr>
          <w:rFonts w:cs="Arial"/>
          <w:b/>
          <w:bCs/>
          <w:lang w:val="es-ES"/>
        </w:rPr>
        <w:t xml:space="preserve"> </w:t>
      </w:r>
      <w:r>
        <w:rPr>
          <w:rFonts w:cs="Arial"/>
          <w:bCs/>
          <w:lang w:val="es-ES"/>
        </w:rPr>
        <w:t>al</w:t>
      </w:r>
      <w:r w:rsidRPr="00F143B3">
        <w:rPr>
          <w:rFonts w:cs="Arial"/>
          <w:bCs/>
          <w:lang w:val="es-ES"/>
        </w:rPr>
        <w:t xml:space="preserve"> Titular de la Unidad de Transparencia del </w:t>
      </w:r>
      <w:r w:rsidRPr="00372255">
        <w:rPr>
          <w:rFonts w:cs="Arial"/>
          <w:bCs/>
          <w:lang w:val="es-ES"/>
        </w:rPr>
        <w:t>Sujeto Obligado.</w:t>
      </w:r>
    </w:p>
    <w:p w:rsidRPr="00F143B3" w:rsidR="0021404A" w:rsidP="00E548A1" w:rsidRDefault="0021404A" w14:paraId="49311A9B" w14:textId="77777777">
      <w:pPr>
        <w:spacing w:after="0" w:line="360" w:lineRule="auto"/>
        <w:rPr>
          <w:rFonts w:cs="Arial"/>
          <w:bCs/>
          <w:lang w:val="es-ES"/>
        </w:rPr>
      </w:pPr>
    </w:p>
    <w:p w:rsidRPr="00E70AC4" w:rsidR="0021404A" w:rsidP="00E548A1" w:rsidRDefault="0021404A" w14:paraId="7BD68864" w14:textId="77777777">
      <w:pPr>
        <w:spacing w:after="0" w:line="360" w:lineRule="auto"/>
        <w:ind w:right="-93"/>
        <w:rPr>
          <w:rFonts w:cs="Tahoma"/>
        </w:rPr>
      </w:pPr>
      <w:r w:rsidRPr="00F143B3">
        <w:rPr>
          <w:rFonts w:cs="Arial"/>
          <w:b/>
          <w:bCs/>
          <w:lang w:val="es-ES"/>
        </w:rPr>
        <w:t>TERCERO.</w:t>
      </w:r>
      <w:r w:rsidRPr="00F143B3">
        <w:rPr>
          <w:rFonts w:cs="Arial"/>
          <w:bCs/>
          <w:lang w:val="es-ES"/>
        </w:rPr>
        <w:t xml:space="preserve"> </w:t>
      </w:r>
      <w:r w:rsidRPr="00E70AC4">
        <w:rPr>
          <w:rFonts w:cs="Tahoma"/>
          <w:b/>
        </w:rPr>
        <w:t>NOTIFÍQUESE</w:t>
      </w:r>
      <w:r w:rsidRPr="00E70AC4">
        <w:rPr>
          <w:rFonts w:cs="Tahoma"/>
        </w:rPr>
        <w:t xml:space="preserve"> al Recurrente la presente Resolución</w:t>
      </w:r>
      <w:r>
        <w:rPr>
          <w:rFonts w:cs="Tahoma"/>
        </w:rPr>
        <w:t xml:space="preserve">, </w:t>
      </w:r>
      <w:r>
        <w:rPr>
          <w:rFonts w:eastAsia="Calibri" w:cs="Tahoma"/>
          <w:bCs/>
          <w:color w:val="000000"/>
          <w:lang w:val="es-ES"/>
        </w:rPr>
        <w:t>a través del Sistema de Acceso a la Información Mexiquense (SAIMEX);</w:t>
      </w:r>
      <w:r w:rsidRPr="00E70AC4">
        <w:rPr>
          <w:rFonts w:cs="Tahoma"/>
        </w:rPr>
        <w:t xml:space="preserve"> asimismo, se hace de su conocimiento que de conformidad con lo establecido en el artículo 196 de la Ley de Transparencia y Acceso a la </w:t>
      </w:r>
      <w:r w:rsidRPr="00E70AC4">
        <w:rPr>
          <w:rFonts w:cs="Tahoma"/>
        </w:rPr>
        <w:lastRenderedPageBreak/>
        <w:t>Información Pública del Estado de México y Municipios, podrá promover el Municipios, podrá promover el Juicio de Amparo en los términos de las leyes aplicables.</w:t>
      </w:r>
    </w:p>
    <w:p w:rsidRPr="00471A5E" w:rsidR="0021404A" w:rsidP="00E548A1" w:rsidRDefault="0021404A" w14:paraId="703B6D98" w14:textId="77777777">
      <w:pPr>
        <w:spacing w:after="0" w:line="360" w:lineRule="auto"/>
        <w:rPr>
          <w:rFonts w:cs="Tahoma"/>
          <w:lang w:val="es-ES"/>
        </w:rPr>
      </w:pPr>
    </w:p>
    <w:p w:rsidR="0021404A" w:rsidP="00E548A1" w:rsidRDefault="0021404A" w14:paraId="32E8576E" w14:textId="0F52EE8F">
      <w:pPr>
        <w:spacing w:after="0" w:line="360" w:lineRule="auto"/>
        <w:rPr>
          <w:rFonts w:cs="Tahoma"/>
          <w:bCs/>
          <w:lang w:val="es-ES_tradnl" w:eastAsia="es-MX"/>
        </w:rPr>
      </w:pPr>
      <w:r w:rsidRPr="00BF259E">
        <w:rPr>
          <w:rFonts w:cs="Tahoma"/>
          <w:bCs/>
          <w:lang w:val="es-ES_tradnl" w:eastAsia="es-MX"/>
        </w:rPr>
        <w:t xml:space="preserve">ASÍ LO RESUELVE, POR </w:t>
      </w:r>
      <w:r w:rsidRPr="00BF259E">
        <w:rPr>
          <w:rFonts w:cs="Tahoma"/>
          <w:b/>
          <w:bCs/>
          <w:lang w:val="es-ES_tradnl" w:eastAsia="es-MX"/>
        </w:rPr>
        <w:t>UNANIMIDAD</w:t>
      </w:r>
      <w:r w:rsidRPr="00BF259E">
        <w:rPr>
          <w:rFonts w:cs="Tahoma"/>
          <w:bCs/>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cs="Tahoma"/>
          <w:bCs/>
          <w:lang w:val="es-ES_tradnl" w:eastAsia="es-MX"/>
        </w:rPr>
        <w:t>CUADRAGÉSIMA</w:t>
      </w:r>
      <w:r w:rsidRPr="00BF259E">
        <w:rPr>
          <w:rFonts w:cs="Tahoma"/>
          <w:bCs/>
          <w:lang w:val="es-ES_tradnl" w:eastAsia="es-MX"/>
        </w:rPr>
        <w:t xml:space="preserve"> </w:t>
      </w:r>
      <w:r w:rsidR="00A76A23">
        <w:rPr>
          <w:rFonts w:cs="Tahoma"/>
          <w:bCs/>
          <w:lang w:val="es-ES_tradnl" w:eastAsia="es-MX"/>
        </w:rPr>
        <w:t xml:space="preserve">TERCERA </w:t>
      </w:r>
      <w:r w:rsidRPr="00BF259E">
        <w:rPr>
          <w:rFonts w:cs="Tahoma"/>
          <w:bCs/>
          <w:lang w:val="es-ES_tradnl" w:eastAsia="es-MX"/>
        </w:rPr>
        <w:t xml:space="preserve">SESIÓN ORDINARIA, CELEBRADA EL </w:t>
      </w:r>
      <w:r w:rsidR="00A76A23">
        <w:rPr>
          <w:rFonts w:cs="Tahoma"/>
          <w:bCs/>
          <w:lang w:eastAsia="es-MX"/>
        </w:rPr>
        <w:t>PRIMERO DE DICIEMBRE</w:t>
      </w:r>
      <w:r w:rsidRPr="00BF259E">
        <w:rPr>
          <w:rFonts w:cs="Tahoma"/>
          <w:bCs/>
          <w:lang w:eastAsia="es-MX"/>
        </w:rPr>
        <w:t xml:space="preserve"> DE DOS MIL VEINTIUNO</w:t>
      </w:r>
      <w:r w:rsidRPr="00BF259E">
        <w:rPr>
          <w:rFonts w:cs="Tahoma"/>
          <w:bCs/>
          <w:lang w:val="es-ES_tradnl" w:eastAsia="es-MX"/>
        </w:rPr>
        <w:t>, ANTE EL SECRETARIO TÉCNICO DEL PLENO, ALEXIS TAPIA RAMÍREZ.</w:t>
      </w:r>
    </w:p>
    <w:p w:rsidRPr="00607863" w:rsidR="00A024E7" w:rsidP="00607863" w:rsidRDefault="00A024E7" w14:paraId="43FEE121" w14:textId="0CA4C975">
      <w:pPr>
        <w:rPr>
          <w:rFonts w:cs="Tahoma"/>
          <w:bCs/>
          <w:lang w:val="es-ES_tradnl" w:eastAsia="es-MX"/>
        </w:rPr>
      </w:pPr>
      <w:r>
        <w:br w:type="page"/>
      </w:r>
    </w:p>
    <w:p w:rsidR="00E749CF" w:rsidP="00D77893" w:rsidRDefault="00E749CF" w14:paraId="1D79E0EB" w14:textId="77777777">
      <w:pPr>
        <w:spacing w:after="0"/>
      </w:pPr>
    </w:p>
    <w:sectPr w:rsidR="00E749CF" w:rsidSect="00E157D3">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1B5D" w:rsidP="00446612" w:rsidRDefault="00C61B5D" w14:paraId="5FDC3CBC" w14:textId="77777777">
      <w:pPr>
        <w:spacing w:after="0" w:line="240" w:lineRule="auto"/>
      </w:pPr>
      <w:r>
        <w:separator/>
      </w:r>
    </w:p>
  </w:endnote>
  <w:endnote w:type="continuationSeparator" w:id="0">
    <w:p w:rsidR="00C61B5D" w:rsidP="00446612" w:rsidRDefault="00C61B5D" w14:paraId="3455C9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rsidR="00E157D3" w:rsidRDefault="00694B06" w14:paraId="21A8897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E157D3" w:rsidRDefault="00E157D3" w14:paraId="59ADF63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157D3" w:rsidRDefault="00694B06" w14:paraId="50D610B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6FD1">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6FD1">
              <w:rPr>
                <w:b/>
                <w:bCs/>
                <w:noProof/>
              </w:rPr>
              <w:t>20</w:t>
            </w:r>
            <w:r>
              <w:rPr>
                <w:b/>
                <w:bCs/>
                <w:sz w:val="24"/>
                <w:szCs w:val="24"/>
              </w:rPr>
              <w:fldChar w:fldCharType="end"/>
            </w:r>
          </w:p>
        </w:sdtContent>
      </w:sdt>
    </w:sdtContent>
  </w:sdt>
  <w:p w:rsidR="00E157D3" w:rsidRDefault="00E157D3" w14:paraId="3F4B3B4F"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rsidR="00E157D3" w:rsidRDefault="00694B06" w14:paraId="0909626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6FD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6FD1">
              <w:rPr>
                <w:b/>
                <w:bCs/>
                <w:noProof/>
              </w:rPr>
              <w:t>20</w:t>
            </w:r>
            <w:r>
              <w:rPr>
                <w:b/>
                <w:bCs/>
                <w:sz w:val="24"/>
                <w:szCs w:val="24"/>
              </w:rPr>
              <w:fldChar w:fldCharType="end"/>
            </w:r>
          </w:p>
        </w:sdtContent>
      </w:sdt>
    </w:sdtContent>
  </w:sdt>
  <w:p w:rsidR="00E157D3" w:rsidRDefault="00E157D3" w14:paraId="4811C9E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1B5D" w:rsidP="00446612" w:rsidRDefault="00C61B5D" w14:paraId="77E6E157" w14:textId="77777777">
      <w:pPr>
        <w:spacing w:after="0" w:line="240" w:lineRule="auto"/>
      </w:pPr>
      <w:r>
        <w:separator/>
      </w:r>
    </w:p>
  </w:footnote>
  <w:footnote w:type="continuationSeparator" w:id="0">
    <w:p w:rsidR="00C61B5D" w:rsidP="00446612" w:rsidRDefault="00C61B5D" w14:paraId="709812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157D3" w:rsidTr="00E157D3" w14:paraId="30AD973C" w14:textId="77777777">
      <w:trPr>
        <w:trHeight w:val="132"/>
      </w:trPr>
      <w:tc>
        <w:tcPr>
          <w:tcW w:w="2691" w:type="dxa"/>
        </w:tcPr>
        <w:p w:rsidRPr="00E152D8" w:rsidR="00E157D3" w:rsidP="00E157D3" w:rsidRDefault="00694B06" w14:paraId="3641B509"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157D3" w:rsidP="00E157D3" w:rsidRDefault="00694B06" w14:paraId="11CAEB32" w14:textId="77777777">
          <w:pPr>
            <w:tabs>
              <w:tab w:val="right" w:pos="8838"/>
            </w:tabs>
            <w:ind w:left="-28" w:right="-32"/>
            <w:rPr>
              <w:rFonts w:eastAsia="Calibri" w:cs="Tahoma"/>
            </w:rPr>
          </w:pPr>
          <w:r w:rsidRPr="00EE1572">
            <w:rPr>
              <w:rFonts w:eastAsia="Calibri" w:cs="Tahoma"/>
            </w:rPr>
            <w:t>03846/INFOEM/IP/RR/2020</w:t>
          </w:r>
        </w:p>
      </w:tc>
    </w:tr>
    <w:tr w:rsidRPr="00E152D8" w:rsidR="00E157D3" w:rsidTr="00E157D3" w14:paraId="6BF8C0A5" w14:textId="77777777">
      <w:trPr>
        <w:trHeight w:val="261"/>
      </w:trPr>
      <w:tc>
        <w:tcPr>
          <w:tcW w:w="2691" w:type="dxa"/>
        </w:tcPr>
        <w:p w:rsidRPr="00E152D8" w:rsidR="00E157D3" w:rsidP="00E157D3" w:rsidRDefault="00694B06" w14:paraId="0E8FA9DF"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157D3" w:rsidP="00E157D3" w:rsidRDefault="00694B06" w14:paraId="38749805"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157D3" w:rsidTr="00E157D3" w14:paraId="16A455BA" w14:textId="77777777">
      <w:trPr>
        <w:trHeight w:val="261"/>
      </w:trPr>
      <w:tc>
        <w:tcPr>
          <w:tcW w:w="2691" w:type="dxa"/>
        </w:tcPr>
        <w:p w:rsidRPr="00E152D8" w:rsidR="00E157D3" w:rsidP="00E157D3" w:rsidRDefault="00694B06" w14:paraId="4103690F"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157D3" w:rsidP="00E157D3" w:rsidRDefault="00694B06" w14:paraId="3AE24CA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157D3" w:rsidRDefault="00607863" w14:paraId="397981FC" w14:textId="77777777">
    <w:pPr>
      <w:pStyle w:val="Encabezado"/>
    </w:pPr>
    <w:r>
      <w:rPr>
        <w:noProof/>
      </w:rPr>
      <w:pict w14:anchorId="2F5889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8"/>
    </w:tblGrid>
    <w:tr w:rsidRPr="00E152D8" w:rsidR="00E157D3" w:rsidTr="00074756" w14:paraId="62895B20" w14:textId="77777777">
      <w:trPr>
        <w:trHeight w:val="138"/>
      </w:trPr>
      <w:tc>
        <w:tcPr>
          <w:tcW w:w="2410" w:type="dxa"/>
          <w:vAlign w:val="bottom"/>
        </w:tcPr>
        <w:p w:rsidRPr="00E152D8" w:rsidR="00E157D3" w:rsidP="00E157D3" w:rsidRDefault="00694B06" w14:paraId="10FA75F6"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8" w:type="dxa"/>
        </w:tcPr>
        <w:p w:rsidR="00074756" w:rsidP="00E157D3" w:rsidRDefault="00074756" w14:paraId="300F06B2" w14:textId="77777777">
          <w:pPr>
            <w:tabs>
              <w:tab w:val="right" w:pos="8838"/>
            </w:tabs>
            <w:ind w:right="-32"/>
            <w:rPr>
              <w:rFonts w:eastAsia="Calibri" w:cs="Tahoma"/>
              <w:lang w:val="es-MX"/>
            </w:rPr>
          </w:pPr>
        </w:p>
        <w:p w:rsidRPr="00B5390A" w:rsidR="00E157D3" w:rsidP="00E157D3" w:rsidRDefault="006274C1" w14:paraId="738C258C" w14:textId="5A2B1848">
          <w:pPr>
            <w:tabs>
              <w:tab w:val="right" w:pos="8838"/>
            </w:tabs>
            <w:ind w:right="-32"/>
            <w:rPr>
              <w:rFonts w:eastAsia="Calibri" w:cs="Tahoma"/>
            </w:rPr>
          </w:pPr>
          <w:r w:rsidRPr="006274C1">
            <w:rPr>
              <w:rFonts w:eastAsia="Calibri" w:cs="Tahoma"/>
              <w:lang w:val="es-MX"/>
            </w:rPr>
            <w:t>05031/INFOEM/IP/RR/2021</w:t>
          </w:r>
        </w:p>
      </w:tc>
    </w:tr>
    <w:tr w:rsidRPr="00E152D8" w:rsidR="00E157D3" w:rsidTr="00074756" w14:paraId="756073FA" w14:textId="77777777">
      <w:trPr>
        <w:trHeight w:val="273"/>
      </w:trPr>
      <w:tc>
        <w:tcPr>
          <w:tcW w:w="2410" w:type="dxa"/>
        </w:tcPr>
        <w:p w:rsidRPr="00E152D8" w:rsidR="00E157D3" w:rsidP="00E157D3" w:rsidRDefault="00694B06" w14:paraId="4A79D0C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8" w:type="dxa"/>
        </w:tcPr>
        <w:p w:rsidRPr="001D33D1" w:rsidR="00E157D3" w:rsidP="00E157D3" w:rsidRDefault="006274C1" w14:paraId="3E4B9A04" w14:textId="105B3F74">
          <w:pPr>
            <w:tabs>
              <w:tab w:val="right" w:pos="8838"/>
            </w:tabs>
            <w:ind w:left="-28" w:right="-32"/>
            <w:rPr>
              <w:rFonts w:eastAsia="Calibri" w:cs="Tahoma"/>
              <w:lang w:val="es-MX"/>
            </w:rPr>
          </w:pPr>
          <w:r w:rsidRPr="006274C1">
            <w:rPr>
              <w:rFonts w:eastAsia="Calibri" w:cs="Tahoma"/>
              <w:lang w:val="es-MX"/>
            </w:rPr>
            <w:t>Ayuntamiento de Santo Tomas</w:t>
          </w:r>
        </w:p>
      </w:tc>
    </w:tr>
    <w:tr w:rsidRPr="00E152D8" w:rsidR="00E157D3" w:rsidTr="00074756" w14:paraId="7775F58C" w14:textId="77777777">
      <w:trPr>
        <w:trHeight w:val="273"/>
      </w:trPr>
      <w:tc>
        <w:tcPr>
          <w:tcW w:w="2410" w:type="dxa"/>
        </w:tcPr>
        <w:p w:rsidRPr="00E152D8" w:rsidR="00E157D3" w:rsidP="00E157D3" w:rsidRDefault="00694B06" w14:paraId="104E2693"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8" w:type="dxa"/>
        </w:tcPr>
        <w:p w:rsidRPr="00E152D8" w:rsidR="00E157D3" w:rsidP="00E157D3" w:rsidRDefault="00694B06" w14:paraId="212A867C"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E157D3" w:rsidP="00E157D3" w:rsidRDefault="00607863" w14:paraId="0359E609" w14:textId="77777777">
    <w:pPr>
      <w:pStyle w:val="Encabezado"/>
    </w:pPr>
    <w:r>
      <w:rPr>
        <w:noProof/>
      </w:rPr>
      <w:pict w14:anchorId="729DBB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15pt;width:663.5pt;height:12in;z-index:-251656192;mso-wrap-edited:f;mso-width-percent:0;mso-height-percent:0;mso-position-horizontal-relative:margin;mso-position-vertical-relative:margin;mso-width-percent:0;mso-height-percent:0" alt=""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546"/>
    </w:tblGrid>
    <w:tr w:rsidRPr="00E152D8" w:rsidR="00B81BBA" w:rsidTr="0D5FD2EA" w14:paraId="53B6A051" w14:textId="77777777">
      <w:trPr>
        <w:trHeight w:val="132"/>
      </w:trPr>
      <w:tc>
        <w:tcPr>
          <w:tcW w:w="2691" w:type="dxa"/>
          <w:tcMar/>
        </w:tcPr>
        <w:p w:rsidRPr="00E152D8" w:rsidR="00B81BBA" w:rsidP="00B81BBA" w:rsidRDefault="00B81BBA" w14:paraId="5BB20725" w14:textId="77777777">
          <w:pPr>
            <w:tabs>
              <w:tab w:val="right" w:pos="8838"/>
            </w:tabs>
            <w:ind w:right="-105"/>
            <w:rPr>
              <w:rFonts w:eastAsia="Calibri" w:cs="Tahoma"/>
              <w:b/>
              <w:lang w:val="es-MX"/>
            </w:rPr>
          </w:pPr>
          <w:r w:rsidRPr="00E152D8">
            <w:rPr>
              <w:rFonts w:eastAsia="Calibri" w:cs="Tahoma"/>
              <w:b/>
              <w:lang w:val="es-MX"/>
            </w:rPr>
            <w:t>Recurso de Revisión:</w:t>
          </w:r>
        </w:p>
      </w:tc>
      <w:tc>
        <w:tcPr>
          <w:tcW w:w="3546" w:type="dxa"/>
          <w:tcMar/>
        </w:tcPr>
        <w:p w:rsidRPr="00446612" w:rsidR="00B81BBA" w:rsidP="00B81BBA" w:rsidRDefault="006274C1" w14:paraId="57C8F6F3" w14:textId="22DF6AFF">
          <w:pPr>
            <w:tabs>
              <w:tab w:val="right" w:pos="8838"/>
            </w:tabs>
            <w:ind w:left="-111" w:right="-32"/>
            <w:rPr>
              <w:rFonts w:eastAsia="Calibri" w:cs="Tahoma"/>
            </w:rPr>
          </w:pPr>
          <w:r w:rsidRPr="006274C1">
            <w:t>05031/INFOEM/IP/RR/2021</w:t>
          </w:r>
        </w:p>
      </w:tc>
    </w:tr>
    <w:tr w:rsidRPr="00E152D8" w:rsidR="00B81BBA" w:rsidTr="0D5FD2EA" w14:paraId="5EF85151" w14:textId="77777777">
      <w:trPr>
        <w:trHeight w:val="132"/>
      </w:trPr>
      <w:tc>
        <w:tcPr>
          <w:tcW w:w="2691" w:type="dxa"/>
          <w:tcMar/>
        </w:tcPr>
        <w:p w:rsidRPr="00E152D8" w:rsidR="00B81BBA" w:rsidP="00B81BBA" w:rsidRDefault="00B81BBA" w14:paraId="20312DAD" w14:textId="77777777">
          <w:pPr>
            <w:tabs>
              <w:tab w:val="right" w:pos="8838"/>
            </w:tabs>
            <w:ind w:right="-105"/>
            <w:rPr>
              <w:rFonts w:eastAsia="Calibri" w:cs="Tahoma"/>
              <w:b/>
              <w:lang w:val="es-MX"/>
            </w:rPr>
          </w:pPr>
          <w:r w:rsidRPr="00E152D8">
            <w:rPr>
              <w:rFonts w:eastAsia="Calibri" w:cs="Tahoma"/>
              <w:b/>
              <w:lang w:val="es-MX"/>
            </w:rPr>
            <w:t>Recurrente:</w:t>
          </w:r>
        </w:p>
      </w:tc>
      <w:tc>
        <w:tcPr>
          <w:tcW w:w="3546" w:type="dxa"/>
          <w:tcMar/>
        </w:tcPr>
        <w:p w:rsidRPr="00E152D8" w:rsidR="00B81BBA" w:rsidP="00B81BBA" w:rsidRDefault="006274C1" w14:paraId="19B20F0E" w14:textId="12A1C1C2">
          <w:pPr>
            <w:tabs>
              <w:tab w:val="right" w:pos="8838"/>
            </w:tabs>
            <w:ind w:left="-111" w:right="-109"/>
            <w:rPr>
              <w:rFonts w:eastAsia="Calibri" w:cs="Tahoma"/>
              <w:lang w:val="es-MX"/>
            </w:rPr>
          </w:pPr>
          <w:r w:rsidRPr="0D5FD2EA" w:rsidR="0D5FD2EA">
            <w:rPr>
              <w:rFonts w:eastAsia="Calibri" w:cs="Tahoma"/>
              <w:highlight w:val="black"/>
              <w:lang w:val="es-MX"/>
            </w:rPr>
            <w:t>XXXXXXXXXXXXXXXXXXXXXX</w:t>
          </w:r>
          <w:r w:rsidRPr="0D5FD2EA" w:rsidR="0D5FD2EA">
            <w:rPr>
              <w:rFonts w:eastAsia="Calibri" w:cs="Tahoma"/>
              <w:lang w:val="es-MX"/>
            </w:rPr>
            <w:t xml:space="preserve"> </w:t>
          </w:r>
          <w:r w:rsidRPr="0D5FD2EA" w:rsidR="0D5FD2EA">
            <w:rPr>
              <w:rFonts w:eastAsia="Calibri" w:cs="Tahoma"/>
              <w:highlight w:val="black"/>
              <w:lang w:val="es-MX"/>
            </w:rPr>
            <w:t>XXXXXX</w:t>
          </w:r>
        </w:p>
      </w:tc>
    </w:tr>
    <w:tr w:rsidRPr="00E152D8" w:rsidR="00E157D3" w:rsidTr="0D5FD2EA" w14:paraId="5405399E" w14:textId="77777777">
      <w:trPr>
        <w:trHeight w:val="261"/>
      </w:trPr>
      <w:tc>
        <w:tcPr>
          <w:tcW w:w="2691" w:type="dxa"/>
          <w:tcMar/>
        </w:tcPr>
        <w:p w:rsidRPr="00E152D8" w:rsidR="00E157D3" w:rsidP="00E157D3" w:rsidRDefault="00694B06" w14:paraId="77548A5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Mar/>
        </w:tcPr>
        <w:p w:rsidRPr="00872C62" w:rsidR="00E157D3" w:rsidP="00446612" w:rsidRDefault="006274C1" w14:paraId="014BCD07" w14:textId="3E5C8F33">
          <w:pPr>
            <w:tabs>
              <w:tab w:val="right" w:pos="8838"/>
            </w:tabs>
            <w:ind w:left="-103" w:right="-32"/>
            <w:rPr>
              <w:rFonts w:eastAsia="Calibri" w:cs="Tahoma"/>
              <w:lang w:val="es-MX"/>
            </w:rPr>
          </w:pPr>
          <w:r w:rsidRPr="006274C1">
            <w:rPr>
              <w:rFonts w:eastAsia="Calibri" w:cs="Tahoma"/>
              <w:lang w:val="es-MX"/>
            </w:rPr>
            <w:t>Ayuntamiento de Santo Tomas</w:t>
          </w:r>
        </w:p>
      </w:tc>
    </w:tr>
    <w:tr w:rsidRPr="00E152D8" w:rsidR="00E157D3" w:rsidTr="0D5FD2EA" w14:paraId="660C8E88" w14:textId="77777777">
      <w:trPr>
        <w:trHeight w:val="261"/>
      </w:trPr>
      <w:tc>
        <w:tcPr>
          <w:tcW w:w="2691" w:type="dxa"/>
          <w:tcMar/>
        </w:tcPr>
        <w:p w:rsidRPr="00E152D8" w:rsidR="00E157D3" w:rsidP="00E157D3" w:rsidRDefault="00694B06" w14:paraId="67804574"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6" w:type="dxa"/>
          <w:tcMar/>
        </w:tcPr>
        <w:p w:rsidRPr="00E152D8" w:rsidR="00E157D3" w:rsidP="00E157D3" w:rsidRDefault="00694B06" w14:paraId="3EF55D64"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E157D3" w:rsidP="00E157D3" w:rsidRDefault="00607863" w14:paraId="0AC4E302" w14:textId="77777777">
    <w:pPr>
      <w:pStyle w:val="Encabezado"/>
      <w:tabs>
        <w:tab w:val="left" w:pos="5812"/>
      </w:tabs>
    </w:pPr>
    <w:r>
      <w:rPr>
        <w:noProof/>
      </w:rPr>
      <w:pict w14:anchorId="281E878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7pt;width:663.5pt;height:12in;z-index:-251655168;mso-wrap-edited:f;mso-width-percent:0;mso-height-percent:0;mso-position-horizontal-relative:margin;mso-position-vertical-relative:margin;mso-width-percent:0;mso-height-percent:0" alt=""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66C68"/>
    <w:multiLevelType w:val="hybridMultilevel"/>
    <w:tmpl w:val="46C0C5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12"/>
    <w:rsid w:val="000433D7"/>
    <w:rsid w:val="00074756"/>
    <w:rsid w:val="0013113D"/>
    <w:rsid w:val="00162B27"/>
    <w:rsid w:val="00171145"/>
    <w:rsid w:val="00184833"/>
    <w:rsid w:val="001B0608"/>
    <w:rsid w:val="001B47B1"/>
    <w:rsid w:val="001F5DE1"/>
    <w:rsid w:val="0021404A"/>
    <w:rsid w:val="0024174E"/>
    <w:rsid w:val="00273A88"/>
    <w:rsid w:val="00282D3F"/>
    <w:rsid w:val="002A72AA"/>
    <w:rsid w:val="002C5E85"/>
    <w:rsid w:val="002F74D7"/>
    <w:rsid w:val="00386B6B"/>
    <w:rsid w:val="003907E8"/>
    <w:rsid w:val="003B5DE7"/>
    <w:rsid w:val="00414768"/>
    <w:rsid w:val="00446612"/>
    <w:rsid w:val="0047006C"/>
    <w:rsid w:val="0047582A"/>
    <w:rsid w:val="00485CC9"/>
    <w:rsid w:val="004B4B58"/>
    <w:rsid w:val="004E4CDC"/>
    <w:rsid w:val="00522E87"/>
    <w:rsid w:val="0056409F"/>
    <w:rsid w:val="005827AE"/>
    <w:rsid w:val="00597EA8"/>
    <w:rsid w:val="00604199"/>
    <w:rsid w:val="00607863"/>
    <w:rsid w:val="006274C1"/>
    <w:rsid w:val="006316D2"/>
    <w:rsid w:val="00694B06"/>
    <w:rsid w:val="006B385F"/>
    <w:rsid w:val="00786FD1"/>
    <w:rsid w:val="007B4FF8"/>
    <w:rsid w:val="007E6D08"/>
    <w:rsid w:val="00960CDC"/>
    <w:rsid w:val="009C2E86"/>
    <w:rsid w:val="00A024E7"/>
    <w:rsid w:val="00A0312C"/>
    <w:rsid w:val="00A76A23"/>
    <w:rsid w:val="00A97F30"/>
    <w:rsid w:val="00AE2675"/>
    <w:rsid w:val="00AF072E"/>
    <w:rsid w:val="00B05E37"/>
    <w:rsid w:val="00B37252"/>
    <w:rsid w:val="00B3756B"/>
    <w:rsid w:val="00B81BBA"/>
    <w:rsid w:val="00BD62F4"/>
    <w:rsid w:val="00C02E3D"/>
    <w:rsid w:val="00C13A64"/>
    <w:rsid w:val="00C3234D"/>
    <w:rsid w:val="00C61B5D"/>
    <w:rsid w:val="00D56C46"/>
    <w:rsid w:val="00D660EA"/>
    <w:rsid w:val="00D734C9"/>
    <w:rsid w:val="00D759F8"/>
    <w:rsid w:val="00D77893"/>
    <w:rsid w:val="00E02A69"/>
    <w:rsid w:val="00E157D3"/>
    <w:rsid w:val="00E2286D"/>
    <w:rsid w:val="00E548A1"/>
    <w:rsid w:val="00E749CF"/>
    <w:rsid w:val="00E856A6"/>
    <w:rsid w:val="00EE5316"/>
    <w:rsid w:val="00EF3ED1"/>
    <w:rsid w:val="00EF460E"/>
    <w:rsid w:val="00F20AE2"/>
    <w:rsid w:val="00F224CF"/>
    <w:rsid w:val="00F32D09"/>
    <w:rsid w:val="00F64629"/>
    <w:rsid w:val="00F76A59"/>
    <w:rsid w:val="00F8466E"/>
    <w:rsid w:val="0D5FD2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DD85B"/>
  <w15:chartTrackingRefBased/>
  <w15:docId w15:val="{70CD3646-32B6-4A36-96B2-9B9FCB3E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661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4661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46612"/>
    <w:rPr>
      <w:rFonts w:ascii="Palatino Linotype" w:hAnsi="Palatino Linotype"/>
      <w:color w:val="000000" w:themeColor="text1"/>
    </w:rPr>
  </w:style>
  <w:style w:type="paragraph" w:styleId="Piedepgina">
    <w:name w:val="footer"/>
    <w:basedOn w:val="Normal"/>
    <w:link w:val="PiedepginaCar"/>
    <w:uiPriority w:val="99"/>
    <w:unhideWhenUsed/>
    <w:rsid w:val="0044661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46612"/>
    <w:rPr>
      <w:rFonts w:ascii="Palatino Linotype" w:hAnsi="Palatino Linotype"/>
      <w:color w:val="000000" w:themeColor="text1"/>
    </w:rPr>
  </w:style>
  <w:style w:type="table" w:styleId="Tablaconcuadrcula">
    <w:name w:val="Table Grid"/>
    <w:basedOn w:val="Tablanormal"/>
    <w:uiPriority w:val="39"/>
    <w:qFormat/>
    <w:rsid w:val="0044661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46612"/>
    <w:rPr>
      <w:rFonts w:ascii="Times New Roman" w:hAnsi="Times New Roman" w:cs="Times New Roman"/>
      <w:sz w:val="24"/>
      <w:szCs w:val="24"/>
    </w:rPr>
  </w:style>
  <w:style w:type="character" w:styleId="Hipervnculo">
    <w:name w:val="Hyperlink"/>
    <w:basedOn w:val="Fuentedeprrafopredeter"/>
    <w:uiPriority w:val="99"/>
    <w:unhideWhenUsed/>
    <w:rsid w:val="00386B6B"/>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5CC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1404A"/>
    <w:rPr>
      <w:rFonts w:ascii="Palatino Linotype" w:hAnsi="Palatino Linotype"/>
      <w:color w:val="000000" w:themeColor="text1"/>
    </w:rPr>
  </w:style>
  <w:style w:type="character" w:styleId="apple-converted-space" w:customStyle="1">
    <w:name w:val="apple-converted-space"/>
    <w:basedOn w:val="Fuentedeprrafopredeter"/>
    <w:rsid w:val="00214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159012">
      <w:bodyDiv w:val="1"/>
      <w:marLeft w:val="0"/>
      <w:marRight w:val="0"/>
      <w:marTop w:val="0"/>
      <w:marBottom w:val="0"/>
      <w:divBdr>
        <w:top w:val="none" w:sz="0" w:space="0" w:color="auto"/>
        <w:left w:val="none" w:sz="0" w:space="0" w:color="auto"/>
        <w:bottom w:val="none" w:sz="0" w:space="0" w:color="auto"/>
        <w:right w:val="none" w:sz="0" w:space="0" w:color="auto"/>
      </w:divBdr>
    </w:div>
    <w:div w:id="1308629061">
      <w:bodyDiv w:val="1"/>
      <w:marLeft w:val="0"/>
      <w:marRight w:val="0"/>
      <w:marTop w:val="0"/>
      <w:marBottom w:val="0"/>
      <w:divBdr>
        <w:top w:val="none" w:sz="0" w:space="0" w:color="auto"/>
        <w:left w:val="none" w:sz="0" w:space="0" w:color="auto"/>
        <w:bottom w:val="none" w:sz="0" w:space="0" w:color="auto"/>
        <w:right w:val="none" w:sz="0" w:space="0" w:color="auto"/>
      </w:divBdr>
    </w:div>
    <w:div w:id="20071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00e1504b833947f6"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ba4a495-94eb-4279-aff0-40837fa215aa}"/>
      </w:docPartPr>
      <w:docPartBody>
        <w:p w14:paraId="0D5FD2E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6B684-79E0-483F-BF92-3F8F274E88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2021-12-01T02:36:00.0000000Z</dcterms:created>
  <dcterms:modified xsi:type="dcterms:W3CDTF">2021-12-03T18:04:04.7677497Z</dcterms:modified>
</coreProperties>
</file>