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8AA" w:rsidRPr="008D589D" w:rsidRDefault="008E48AA" w:rsidP="008E48AA">
      <w:pPr>
        <w:shd w:val="clear" w:color="auto" w:fill="FFFFFF"/>
        <w:spacing w:line="360" w:lineRule="auto"/>
        <w:jc w:val="both"/>
        <w:rPr>
          <w:rFonts w:ascii="Palatino Linotype" w:hAnsi="Palatino Linotype" w:cs="Arial"/>
          <w:color w:val="000000"/>
          <w:lang w:eastAsia="es-MX"/>
        </w:rPr>
      </w:pPr>
      <w:r w:rsidRPr="008D589D">
        <w:rPr>
          <w:rFonts w:ascii="Palatino Linotype" w:hAnsi="Palatino Linotype" w:cs="Arial"/>
          <w:color w:val="000000"/>
          <w:lang w:eastAsia="es-MX"/>
        </w:rPr>
        <w:t>Resolución del Pleno del Instituto de Transparencia, Acceso a la Información Pública y Protección de Datos Personales del Estado de México y Municipios, con domicilio en Metepec, Estado de México, a cuatro de noviembre dos mil veintiuno.</w:t>
      </w:r>
    </w:p>
    <w:p w:rsidR="008E48AA" w:rsidRPr="008D589D" w:rsidRDefault="008E48AA" w:rsidP="008E48AA">
      <w:pPr>
        <w:shd w:val="clear" w:color="auto" w:fill="FFFFFF"/>
        <w:spacing w:line="360" w:lineRule="auto"/>
        <w:jc w:val="both"/>
        <w:rPr>
          <w:rFonts w:ascii="Palatino Linotype" w:hAnsi="Palatino Linotype" w:cs="Arial"/>
          <w:color w:val="000000"/>
          <w:lang w:eastAsia="es-MX"/>
        </w:rPr>
      </w:pPr>
    </w:p>
    <w:p w:rsidR="008E48AA" w:rsidRPr="008D589D" w:rsidRDefault="008E48AA" w:rsidP="008E48AA">
      <w:pPr>
        <w:tabs>
          <w:tab w:val="left" w:pos="1701"/>
        </w:tabs>
        <w:spacing w:line="360" w:lineRule="auto"/>
        <w:jc w:val="both"/>
        <w:rPr>
          <w:rFonts w:ascii="Palatino Linotype" w:hAnsi="Palatino Linotype" w:cs="Arial"/>
          <w:b/>
        </w:rPr>
      </w:pPr>
      <w:r w:rsidRPr="008D589D">
        <w:rPr>
          <w:rFonts w:ascii="Palatino Linotype" w:hAnsi="Palatino Linotype" w:cs="Arial"/>
          <w:b/>
        </w:rPr>
        <w:t>VISTO</w:t>
      </w:r>
      <w:r w:rsidRPr="008D589D">
        <w:rPr>
          <w:rFonts w:ascii="Palatino Linotype" w:hAnsi="Palatino Linotype" w:cs="Arial"/>
        </w:rPr>
        <w:t xml:space="preserve"> el expediente electrónico formado con motivo del recurso de revisión número </w:t>
      </w:r>
      <w:r w:rsidRPr="008D589D">
        <w:rPr>
          <w:rFonts w:ascii="Palatino Linotype" w:hAnsi="Palatino Linotype" w:cs="Arial"/>
          <w:b/>
        </w:rPr>
        <w:t>0</w:t>
      </w:r>
      <w:r w:rsidRPr="008D589D">
        <w:rPr>
          <w:rFonts w:ascii="Palatino Linotype" w:hAnsi="Palatino Linotype" w:cs="Arial"/>
          <w:b/>
          <w:bCs/>
          <w:lang w:eastAsia="es-MX"/>
        </w:rPr>
        <w:t>4595/INFOEM/IP/RR/2021</w:t>
      </w:r>
      <w:r w:rsidRPr="008D589D">
        <w:rPr>
          <w:rFonts w:ascii="Palatino Linotype" w:hAnsi="Palatino Linotype" w:cs="Arial"/>
        </w:rPr>
        <w:t xml:space="preserve">, interpuesto por el </w:t>
      </w:r>
      <w:r w:rsidRPr="008D589D">
        <w:rPr>
          <w:rFonts w:ascii="Palatino Linotype" w:hAnsi="Palatino Linotype" w:cs="Arial"/>
          <w:b/>
        </w:rPr>
        <w:t xml:space="preserve">C. </w:t>
      </w:r>
      <w:r w:rsidR="000211E6">
        <w:rPr>
          <w:rFonts w:ascii="Palatino Linotype" w:hAnsi="Palatino Linotype" w:cs="Arial"/>
          <w:b/>
        </w:rPr>
        <w:t>xxxxxxxxxxxxxxxxxxxxxxxxxxxxx</w:t>
      </w:r>
      <w:bookmarkStart w:id="0" w:name="_GoBack"/>
      <w:bookmarkEnd w:id="0"/>
      <w:r w:rsidRPr="008D589D">
        <w:rPr>
          <w:rFonts w:ascii="Palatino Linotype" w:hAnsi="Palatino Linotype" w:cs="Arial"/>
        </w:rPr>
        <w:t>, en lo sucesivo el</w:t>
      </w:r>
      <w:r w:rsidRPr="008D589D">
        <w:rPr>
          <w:rFonts w:ascii="Palatino Linotype" w:hAnsi="Palatino Linotype" w:cs="Arial"/>
          <w:b/>
        </w:rPr>
        <w:t xml:space="preserve"> Recurrente</w:t>
      </w:r>
      <w:r w:rsidRPr="008D589D">
        <w:rPr>
          <w:rFonts w:ascii="Palatino Linotype" w:hAnsi="Palatino Linotype" w:cs="Arial"/>
        </w:rPr>
        <w:t xml:space="preserve">, en contra de la respuesta de la </w:t>
      </w:r>
      <w:r w:rsidRPr="008D589D">
        <w:rPr>
          <w:rFonts w:ascii="Palatino Linotype" w:hAnsi="Palatino Linotype" w:cs="Arial"/>
          <w:b/>
        </w:rPr>
        <w:t>Junta de Caminos del Estado de México</w:t>
      </w:r>
      <w:r w:rsidRPr="008D589D">
        <w:rPr>
          <w:rFonts w:ascii="Palatino Linotype" w:hAnsi="Palatino Linotype" w:cs="Arial"/>
        </w:rPr>
        <w:t>,</w:t>
      </w:r>
      <w:r w:rsidRPr="008D589D">
        <w:rPr>
          <w:rFonts w:ascii="Palatino Linotype" w:hAnsi="Palatino Linotype" w:cs="Arial"/>
          <w:b/>
        </w:rPr>
        <w:t xml:space="preserve"> </w:t>
      </w:r>
      <w:r w:rsidRPr="008D589D">
        <w:rPr>
          <w:rFonts w:ascii="Palatino Linotype" w:hAnsi="Palatino Linotype" w:cs="Arial"/>
        </w:rPr>
        <w:t>en lo subsecuente</w:t>
      </w:r>
      <w:r w:rsidRPr="008D589D">
        <w:rPr>
          <w:rFonts w:ascii="Palatino Linotype" w:hAnsi="Palatino Linotype" w:cs="Arial"/>
          <w:b/>
        </w:rPr>
        <w:t xml:space="preserve"> El Sujeto Obligado, </w:t>
      </w:r>
      <w:r w:rsidRPr="008D589D">
        <w:rPr>
          <w:rFonts w:ascii="Palatino Linotype" w:hAnsi="Palatino Linotype" w:cs="Arial"/>
        </w:rPr>
        <w:t>se procede a dictar la presente resolución.</w:t>
      </w:r>
    </w:p>
    <w:p w:rsidR="008E48AA" w:rsidRPr="008D589D" w:rsidRDefault="008E48AA" w:rsidP="008E48AA">
      <w:pPr>
        <w:tabs>
          <w:tab w:val="left" w:pos="1701"/>
        </w:tabs>
        <w:spacing w:line="360" w:lineRule="auto"/>
        <w:jc w:val="both"/>
        <w:rPr>
          <w:rFonts w:ascii="Palatino Linotype" w:hAnsi="Palatino Linotype" w:cs="Arial"/>
        </w:rPr>
      </w:pPr>
    </w:p>
    <w:p w:rsidR="008E48AA" w:rsidRPr="008D589D" w:rsidRDefault="008E48AA" w:rsidP="008E48AA">
      <w:pPr>
        <w:spacing w:line="360" w:lineRule="auto"/>
        <w:jc w:val="center"/>
        <w:rPr>
          <w:rFonts w:ascii="Palatino Linotype" w:hAnsi="Palatino Linotype" w:cs="Arial"/>
          <w:b/>
          <w:sz w:val="28"/>
        </w:rPr>
      </w:pPr>
      <w:r w:rsidRPr="008D589D">
        <w:rPr>
          <w:rFonts w:ascii="Palatino Linotype" w:hAnsi="Palatino Linotype" w:cs="Arial"/>
          <w:b/>
          <w:sz w:val="28"/>
        </w:rPr>
        <w:t>A N T E C E D E N T E S</w:t>
      </w:r>
    </w:p>
    <w:p w:rsidR="008E48AA" w:rsidRPr="008D589D" w:rsidRDefault="008E48AA" w:rsidP="008E48AA">
      <w:pPr>
        <w:spacing w:line="360" w:lineRule="auto"/>
        <w:jc w:val="center"/>
        <w:rPr>
          <w:rFonts w:ascii="Palatino Linotype" w:hAnsi="Palatino Linotype" w:cs="Arial"/>
          <w:b/>
        </w:rPr>
      </w:pPr>
    </w:p>
    <w:p w:rsidR="008E48AA" w:rsidRPr="008D589D" w:rsidRDefault="008E48AA" w:rsidP="008E48AA">
      <w:pPr>
        <w:spacing w:line="360" w:lineRule="auto"/>
        <w:jc w:val="both"/>
        <w:rPr>
          <w:rFonts w:ascii="Palatino Linotype" w:hAnsi="Palatino Linotype" w:cs="Arial"/>
          <w:b/>
          <w:sz w:val="28"/>
        </w:rPr>
      </w:pPr>
      <w:r w:rsidRPr="008D589D">
        <w:rPr>
          <w:rFonts w:ascii="Palatino Linotype" w:hAnsi="Palatino Linotype" w:cs="Arial"/>
          <w:b/>
          <w:sz w:val="28"/>
        </w:rPr>
        <w:t>PRIMERO. De la solicitud de información.</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 xml:space="preserve">En fecha trece de julio de dos mil veintiuno, el </w:t>
      </w:r>
      <w:r w:rsidRPr="008D589D">
        <w:rPr>
          <w:rFonts w:ascii="Palatino Linotype" w:hAnsi="Palatino Linotype" w:cs="Arial"/>
          <w:b/>
        </w:rPr>
        <w:t>Recurrente</w:t>
      </w:r>
      <w:r w:rsidRPr="008D589D">
        <w:rPr>
          <w:rFonts w:ascii="Palatino Linotype" w:hAnsi="Palatino Linotype" w:cs="Arial"/>
        </w:rPr>
        <w:t xml:space="preserve">, presentó a través del Sistema de Acceso a la Información Mexiquense </w:t>
      </w:r>
      <w:r w:rsidRPr="008D589D">
        <w:rPr>
          <w:rFonts w:ascii="Palatino Linotype" w:hAnsi="Palatino Linotype" w:cs="Arial"/>
          <w:b/>
        </w:rPr>
        <w:t>(SAIMEX),</w:t>
      </w:r>
      <w:r w:rsidRPr="008D589D">
        <w:rPr>
          <w:rFonts w:ascii="Palatino Linotype" w:hAnsi="Palatino Linotype" w:cs="Arial"/>
        </w:rPr>
        <w:t xml:space="preserve"> ante el </w:t>
      </w:r>
      <w:r w:rsidRPr="008D589D">
        <w:rPr>
          <w:rFonts w:ascii="Palatino Linotype" w:hAnsi="Palatino Linotype" w:cs="Arial"/>
          <w:b/>
        </w:rPr>
        <w:t>Sujeto Obligado</w:t>
      </w:r>
      <w:r w:rsidRPr="008D589D">
        <w:rPr>
          <w:rFonts w:ascii="Palatino Linotype" w:hAnsi="Palatino Linotype" w:cs="Arial"/>
        </w:rPr>
        <w:t xml:space="preserve">, la solicitud de acceso a la información pública, a la que se le asignó el número de expediente </w:t>
      </w:r>
      <w:r w:rsidRPr="008D589D">
        <w:rPr>
          <w:rFonts w:ascii="Palatino Linotype" w:hAnsi="Palatino Linotype" w:cs="Arial"/>
          <w:b/>
        </w:rPr>
        <w:t>00038/JC/IP/2021</w:t>
      </w:r>
      <w:r w:rsidRPr="008D589D">
        <w:rPr>
          <w:rFonts w:ascii="Palatino Linotype" w:hAnsi="Palatino Linotype" w:cs="Arial"/>
        </w:rPr>
        <w:t>, mediante la cual solicitó lo siguiente:</w:t>
      </w:r>
    </w:p>
    <w:p w:rsidR="008E48AA" w:rsidRPr="008D589D" w:rsidRDefault="008E48AA" w:rsidP="008E48AA">
      <w:pPr>
        <w:pStyle w:val="Sinespaciado"/>
      </w:pPr>
    </w:p>
    <w:p w:rsidR="008E48AA" w:rsidRPr="008D589D" w:rsidRDefault="008E48AA" w:rsidP="008E48AA">
      <w:pPr>
        <w:spacing w:line="276" w:lineRule="auto"/>
        <w:ind w:left="567" w:right="567"/>
        <w:jc w:val="both"/>
        <w:rPr>
          <w:rFonts w:ascii="Palatino Linotype" w:hAnsi="Palatino Linotype"/>
          <w:i/>
          <w:lang w:eastAsia="es-MX"/>
        </w:rPr>
      </w:pPr>
      <w:r w:rsidRPr="008D589D">
        <w:rPr>
          <w:rFonts w:ascii="Palatino Linotype" w:hAnsi="Palatino Linotype"/>
          <w:i/>
        </w:rPr>
        <w:t>“</w:t>
      </w:r>
      <w:r w:rsidRPr="008D589D">
        <w:rPr>
          <w:rFonts w:ascii="Palatino Linotype" w:hAnsi="Palatino Linotype"/>
          <w:i/>
          <w:lang w:eastAsia="es-MX"/>
        </w:rPr>
        <w:t xml:space="preserve">Monto anual que se le ha pagado al concesionario del contrato del PPS Vialidades, desde el inicio del contrato a la fecha. Multas que ha impuesto el gobierno del estado al concesionario del PPS </w:t>
      </w:r>
      <w:proofErr w:type="gramStart"/>
      <w:r w:rsidRPr="008D589D">
        <w:rPr>
          <w:rFonts w:ascii="Palatino Linotype" w:hAnsi="Palatino Linotype"/>
          <w:i/>
          <w:lang w:eastAsia="es-MX"/>
        </w:rPr>
        <w:t>Vialidades ,</w:t>
      </w:r>
      <w:proofErr w:type="gramEnd"/>
      <w:r w:rsidRPr="008D589D">
        <w:rPr>
          <w:rFonts w:ascii="Palatino Linotype" w:hAnsi="Palatino Linotype"/>
          <w:i/>
          <w:lang w:eastAsia="es-MX"/>
        </w:rPr>
        <w:t xml:space="preserve"> por algún incumplimiento de contrato. Desglosar por multa, monto y motivo. Copia del contrato y Modificaciones al contrato.</w:t>
      </w:r>
      <w:r w:rsidRPr="008D589D">
        <w:rPr>
          <w:rFonts w:ascii="Palatino Linotype" w:hAnsi="Palatino Linotype"/>
          <w:i/>
        </w:rPr>
        <w:t>”</w:t>
      </w:r>
      <w:r w:rsidRPr="008D589D">
        <w:rPr>
          <w:rFonts w:ascii="Palatino Linotype" w:hAnsi="Palatino Linotype"/>
          <w:i/>
          <w:lang w:val="es-ES_tradnl"/>
        </w:rPr>
        <w:t xml:space="preserve"> (Sic).</w:t>
      </w:r>
    </w:p>
    <w:p w:rsidR="008E48AA" w:rsidRPr="008D589D" w:rsidRDefault="008E48AA" w:rsidP="008E48AA">
      <w:pPr>
        <w:pStyle w:val="Sinespaciado"/>
      </w:pPr>
    </w:p>
    <w:p w:rsidR="008E48AA" w:rsidRPr="008D589D" w:rsidRDefault="008E48AA" w:rsidP="008E48AA">
      <w:pPr>
        <w:tabs>
          <w:tab w:val="left" w:pos="5647"/>
        </w:tabs>
        <w:spacing w:line="360" w:lineRule="auto"/>
        <w:ind w:right="850"/>
        <w:jc w:val="both"/>
        <w:rPr>
          <w:rFonts w:ascii="Palatino Linotype" w:hAnsi="Palatino Linotype"/>
          <w:color w:val="000000"/>
        </w:rPr>
      </w:pPr>
      <w:r w:rsidRPr="008D589D">
        <w:rPr>
          <w:rFonts w:ascii="Palatino Linotype" w:hAnsi="Palatino Linotype"/>
          <w:b/>
          <w:lang w:val="es-ES_tradnl"/>
        </w:rPr>
        <w:t>MODALIDAD DE ENTREGA:</w:t>
      </w:r>
      <w:r w:rsidRPr="008D589D">
        <w:rPr>
          <w:rFonts w:ascii="Palatino Linotype" w:hAnsi="Palatino Linotype"/>
          <w:lang w:val="es-ES_tradnl"/>
        </w:rPr>
        <w:t xml:space="preserve"> </w:t>
      </w:r>
      <w:r w:rsidRPr="008D589D">
        <w:rPr>
          <w:rFonts w:ascii="Palatino Linotype" w:hAnsi="Palatino Linotype"/>
          <w:color w:val="000000"/>
        </w:rPr>
        <w:t xml:space="preserve">A través del </w:t>
      </w:r>
      <w:r w:rsidRPr="008D589D">
        <w:rPr>
          <w:rFonts w:ascii="Palatino Linotype" w:hAnsi="Palatino Linotype"/>
          <w:b/>
          <w:color w:val="000000"/>
        </w:rPr>
        <w:t>SAIMEX</w:t>
      </w:r>
      <w:r w:rsidRPr="008D589D">
        <w:rPr>
          <w:rFonts w:ascii="Palatino Linotype" w:hAnsi="Palatino Linotype"/>
          <w:color w:val="000000"/>
        </w:rPr>
        <w:t>.</w:t>
      </w:r>
    </w:p>
    <w:p w:rsidR="008E48AA" w:rsidRPr="008D589D" w:rsidRDefault="008E48AA" w:rsidP="008E48AA">
      <w:pPr>
        <w:spacing w:line="360" w:lineRule="auto"/>
        <w:jc w:val="both"/>
        <w:rPr>
          <w:rFonts w:ascii="Palatino Linotype" w:hAnsi="Palatino Linotype" w:cs="Arial"/>
          <w:b/>
          <w:sz w:val="28"/>
        </w:rPr>
      </w:pPr>
    </w:p>
    <w:p w:rsidR="008E48AA" w:rsidRPr="008D589D" w:rsidRDefault="008E48AA" w:rsidP="008E48AA">
      <w:pPr>
        <w:spacing w:line="360" w:lineRule="auto"/>
        <w:jc w:val="both"/>
        <w:rPr>
          <w:rFonts w:ascii="Palatino Linotype" w:hAnsi="Palatino Linotype" w:cs="Arial"/>
          <w:b/>
          <w:sz w:val="28"/>
        </w:rPr>
      </w:pPr>
      <w:r w:rsidRPr="008D589D">
        <w:rPr>
          <w:rFonts w:ascii="Palatino Linotype" w:hAnsi="Palatino Linotype" w:cs="Arial"/>
          <w:b/>
          <w:sz w:val="28"/>
        </w:rPr>
        <w:lastRenderedPageBreak/>
        <w:t xml:space="preserve">SEGUNDO. De la solicitud de prórroga por parte del Sujeto Obligado. </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 xml:space="preserve">De las constancias que obran en el sistema SAIMEX, se advierte que en fecha dieciséis de agosto de dos mil veintiuno, </w:t>
      </w:r>
      <w:r w:rsidRPr="008D589D">
        <w:rPr>
          <w:rFonts w:ascii="Palatino Linotype" w:hAnsi="Palatino Linotype" w:cs="Arial"/>
          <w:b/>
        </w:rPr>
        <w:t>El Sujeto Obligado</w:t>
      </w:r>
      <w:r w:rsidRPr="008D589D">
        <w:rPr>
          <w:rFonts w:ascii="Palatino Linotype" w:hAnsi="Palatino Linotype" w:cs="Arial"/>
        </w:rPr>
        <w:t xml:space="preserve"> solicitó una ampliación de plazo, para dar respuesta a la solicitud de información, en los siguientes términos:</w:t>
      </w:r>
    </w:p>
    <w:p w:rsidR="008E48AA" w:rsidRPr="008D589D" w:rsidRDefault="008E48AA" w:rsidP="008E48AA">
      <w:pPr>
        <w:pStyle w:val="Sinespaciado"/>
      </w:pP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8E48AA" w:rsidRPr="008D589D" w:rsidRDefault="008E48AA" w:rsidP="008E48AA">
      <w:pPr>
        <w:ind w:left="567" w:right="567"/>
        <w:jc w:val="both"/>
        <w:rPr>
          <w:rFonts w:ascii="Palatino Linotype" w:hAnsi="Palatino Linotype"/>
          <w:i/>
          <w:sz w:val="22"/>
          <w:lang w:eastAsia="es-MX"/>
        </w:rPr>
      </w:pP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Se adjunta oficio de respuesta No. 0332/201, y acta de la Décima Séptima Sesión Extraordinaria del ejercicio 2021, del Comité de Transparencia de este Organismo.</w:t>
      </w:r>
    </w:p>
    <w:p w:rsidR="008E48AA" w:rsidRPr="008D589D" w:rsidRDefault="008E48AA" w:rsidP="008E48AA">
      <w:pPr>
        <w:ind w:left="567" w:right="567"/>
        <w:jc w:val="both"/>
        <w:rPr>
          <w:rFonts w:ascii="Palatino Linotype" w:hAnsi="Palatino Linotype"/>
          <w:i/>
          <w:sz w:val="22"/>
          <w:lang w:eastAsia="es-MX"/>
        </w:rPr>
      </w:pP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ING. ARTURO RENÉ JUÁREZ GARCÍA</w:t>
      </w: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Responsable de la Unidad de Transparencia” (Sic).</w:t>
      </w:r>
    </w:p>
    <w:p w:rsidR="008E48AA" w:rsidRPr="008D589D" w:rsidRDefault="008E48AA" w:rsidP="008E48AA">
      <w:pPr>
        <w:ind w:right="567"/>
        <w:jc w:val="both"/>
        <w:rPr>
          <w:rFonts w:ascii="Palatino Linotype" w:hAnsi="Palatino Linotype"/>
          <w:i/>
          <w:sz w:val="22"/>
          <w:lang w:eastAsia="es-MX"/>
        </w:rPr>
      </w:pPr>
    </w:p>
    <w:p w:rsidR="008E48AA" w:rsidRPr="008D589D" w:rsidRDefault="008E48AA" w:rsidP="008E48AA">
      <w:pPr>
        <w:pStyle w:val="Prrafodelista"/>
        <w:numPr>
          <w:ilvl w:val="0"/>
          <w:numId w:val="2"/>
        </w:numPr>
        <w:ind w:right="567"/>
        <w:jc w:val="both"/>
        <w:rPr>
          <w:rFonts w:ascii="Palatino Linotype" w:hAnsi="Palatino Linotype"/>
          <w:sz w:val="22"/>
          <w:lang w:eastAsia="es-MX"/>
        </w:rPr>
      </w:pPr>
      <w:r w:rsidRPr="008D589D">
        <w:rPr>
          <w:rFonts w:ascii="Palatino Linotype" w:hAnsi="Palatino Linotype"/>
          <w:sz w:val="22"/>
          <w:lang w:eastAsia="es-MX"/>
        </w:rPr>
        <w:t xml:space="preserve">Adjuntando a dicha solicitud de prórroga, los archivos denominados </w:t>
      </w:r>
      <w:r w:rsidRPr="008D589D">
        <w:rPr>
          <w:rFonts w:ascii="Palatino Linotype" w:hAnsi="Palatino Linotype"/>
          <w:i/>
          <w:sz w:val="22"/>
          <w:lang w:eastAsia="es-MX"/>
        </w:rPr>
        <w:t xml:space="preserve">“17a. sesión extraordinaria 2021.pdf” </w:t>
      </w:r>
      <w:r w:rsidRPr="008D589D">
        <w:rPr>
          <w:rFonts w:ascii="Palatino Linotype" w:hAnsi="Palatino Linotype"/>
          <w:sz w:val="22"/>
          <w:lang w:eastAsia="es-MX"/>
        </w:rPr>
        <w:t>y</w:t>
      </w:r>
      <w:r w:rsidRPr="008D589D">
        <w:rPr>
          <w:rFonts w:ascii="Palatino Linotype" w:hAnsi="Palatino Linotype"/>
          <w:i/>
          <w:sz w:val="22"/>
          <w:lang w:eastAsia="es-MX"/>
        </w:rPr>
        <w:t xml:space="preserve"> “oficio 332_2021 - aprobación de ampliación de plazo.pdf”</w:t>
      </w:r>
      <w:r w:rsidRPr="008D589D">
        <w:rPr>
          <w:rFonts w:ascii="Palatino Linotype" w:hAnsi="Palatino Linotype"/>
          <w:sz w:val="22"/>
          <w:lang w:eastAsia="es-MX"/>
        </w:rPr>
        <w:t>; los cuales, no se inserta por ser del conocimiento de las partes.</w:t>
      </w:r>
    </w:p>
    <w:p w:rsidR="008E48AA" w:rsidRPr="008D589D" w:rsidRDefault="008E48AA" w:rsidP="008E48AA">
      <w:pPr>
        <w:spacing w:line="360" w:lineRule="auto"/>
        <w:jc w:val="both"/>
        <w:rPr>
          <w:rFonts w:ascii="Palatino Linotype" w:hAnsi="Palatino Linotype" w:cs="Arial"/>
          <w:b/>
          <w:sz w:val="28"/>
        </w:rPr>
      </w:pPr>
    </w:p>
    <w:p w:rsidR="008E48AA" w:rsidRPr="008D589D" w:rsidRDefault="008E48AA" w:rsidP="008E48AA">
      <w:pPr>
        <w:spacing w:line="360" w:lineRule="auto"/>
        <w:jc w:val="both"/>
        <w:rPr>
          <w:rFonts w:ascii="Palatino Linotype" w:hAnsi="Palatino Linotype" w:cs="Arial"/>
          <w:b/>
          <w:sz w:val="28"/>
        </w:rPr>
      </w:pPr>
      <w:r w:rsidRPr="008D589D">
        <w:rPr>
          <w:rFonts w:ascii="Palatino Linotype" w:hAnsi="Palatino Linotype" w:cs="Arial"/>
          <w:b/>
          <w:sz w:val="28"/>
        </w:rPr>
        <w:t xml:space="preserve">TERCERO. De la respuesta del Sujeto Obligado. </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 xml:space="preserve">De las constancias que obran en el sistema SAIMEX, se advierte que en fecha veintiséis de agosto de dos mil veintiuno, </w:t>
      </w:r>
      <w:r w:rsidRPr="008D589D">
        <w:rPr>
          <w:rFonts w:ascii="Palatino Linotype" w:hAnsi="Palatino Linotype" w:cs="Arial"/>
          <w:b/>
        </w:rPr>
        <w:t>El Sujeto Obligado</w:t>
      </w:r>
      <w:r w:rsidRPr="008D589D">
        <w:rPr>
          <w:rFonts w:ascii="Palatino Linotype" w:hAnsi="Palatino Linotype" w:cs="Arial"/>
        </w:rPr>
        <w:t xml:space="preserve"> emitió la respuesta en los siguientes términos:</w:t>
      </w:r>
    </w:p>
    <w:p w:rsidR="008E48AA" w:rsidRPr="008D589D" w:rsidRDefault="008E48AA" w:rsidP="008E48AA">
      <w:pPr>
        <w:pStyle w:val="Sinespaciado"/>
      </w:pP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“Se adjunta oficio de respuesta 0350/2021, oficio de respuesta del Servidor Público Habilitado de la Dirección de Conservación de Caminos y acta de la Vigésima Sesión Extraordinaria del ejercicio 2021, del Comité de Transparencia</w:t>
      </w:r>
    </w:p>
    <w:p w:rsidR="008E48AA" w:rsidRPr="008D589D" w:rsidRDefault="008E48AA" w:rsidP="008E48AA">
      <w:pPr>
        <w:ind w:left="567" w:right="567"/>
        <w:jc w:val="both"/>
        <w:rPr>
          <w:rFonts w:ascii="Palatino Linotype" w:hAnsi="Palatino Linotype"/>
          <w:i/>
          <w:sz w:val="22"/>
          <w:lang w:eastAsia="es-MX"/>
        </w:rPr>
      </w:pP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ATENTAMENTE</w:t>
      </w:r>
    </w:p>
    <w:p w:rsidR="008E48AA" w:rsidRPr="008D589D" w:rsidRDefault="008E48AA" w:rsidP="008E48AA">
      <w:pPr>
        <w:ind w:left="567" w:right="567"/>
        <w:jc w:val="both"/>
        <w:rPr>
          <w:rFonts w:ascii="Palatino Linotype" w:hAnsi="Palatino Linotype"/>
          <w:i/>
          <w:sz w:val="22"/>
          <w:lang w:eastAsia="es-MX"/>
        </w:rPr>
      </w:pPr>
      <w:r w:rsidRPr="008D589D">
        <w:rPr>
          <w:rFonts w:ascii="Palatino Linotype" w:hAnsi="Palatino Linotype"/>
          <w:i/>
          <w:sz w:val="22"/>
          <w:lang w:eastAsia="es-MX"/>
        </w:rPr>
        <w:t>ING. ARTURO RENÉ JUÁREZ GARCÍA” (Sic).</w:t>
      </w:r>
    </w:p>
    <w:p w:rsidR="008E48AA" w:rsidRPr="008D589D" w:rsidRDefault="008E48AA" w:rsidP="008E48AA">
      <w:pPr>
        <w:ind w:right="567"/>
        <w:jc w:val="both"/>
        <w:rPr>
          <w:rFonts w:ascii="Palatino Linotype" w:hAnsi="Palatino Linotype"/>
          <w:i/>
          <w:lang w:eastAsia="es-MX"/>
        </w:rPr>
      </w:pPr>
    </w:p>
    <w:p w:rsidR="008E48AA" w:rsidRPr="008D589D" w:rsidRDefault="008E48AA" w:rsidP="008E48AA">
      <w:pPr>
        <w:pStyle w:val="Prrafodelista"/>
        <w:numPr>
          <w:ilvl w:val="0"/>
          <w:numId w:val="2"/>
        </w:numPr>
        <w:ind w:right="567"/>
        <w:jc w:val="both"/>
        <w:rPr>
          <w:rFonts w:ascii="Palatino Linotype" w:hAnsi="Palatino Linotype"/>
          <w:lang w:eastAsia="es-MX"/>
        </w:rPr>
      </w:pPr>
      <w:r w:rsidRPr="008D589D">
        <w:rPr>
          <w:rFonts w:ascii="Palatino Linotype" w:hAnsi="Palatino Linotype"/>
          <w:lang w:eastAsia="es-MX"/>
        </w:rPr>
        <w:t xml:space="preserve">Adjuntando a dicha respuesta, los archivos denominados </w:t>
      </w:r>
      <w:r w:rsidRPr="008D589D">
        <w:rPr>
          <w:rFonts w:ascii="Palatino Linotype" w:hAnsi="Palatino Linotype"/>
          <w:i/>
          <w:lang w:eastAsia="es-MX"/>
        </w:rPr>
        <w:t xml:space="preserve">“20va. Sesión Extraordinaria 2021 (24082021).pdf” </w:t>
      </w:r>
      <w:r w:rsidRPr="008D589D">
        <w:rPr>
          <w:rFonts w:ascii="Palatino Linotype" w:hAnsi="Palatino Linotype"/>
          <w:lang w:eastAsia="es-MX"/>
        </w:rPr>
        <w:t>y</w:t>
      </w:r>
      <w:r w:rsidRPr="008D589D">
        <w:rPr>
          <w:rFonts w:ascii="Palatino Linotype" w:hAnsi="Palatino Linotype"/>
          <w:i/>
          <w:lang w:eastAsia="es-MX"/>
        </w:rPr>
        <w:t xml:space="preserve"> “Oficio de respuesta 0350_2021 y </w:t>
      </w:r>
      <w:r w:rsidRPr="008D589D">
        <w:rPr>
          <w:rFonts w:ascii="Palatino Linotype" w:hAnsi="Palatino Linotype"/>
          <w:i/>
          <w:lang w:eastAsia="es-MX"/>
        </w:rPr>
        <w:lastRenderedPageBreak/>
        <w:t>anexo.pdf”</w:t>
      </w:r>
      <w:r w:rsidRPr="008D589D">
        <w:rPr>
          <w:rFonts w:ascii="Palatino Linotype" w:hAnsi="Palatino Linotype"/>
          <w:lang w:eastAsia="es-MX"/>
        </w:rPr>
        <w:t>; los cuales, no se insertan por ser del conocimiento de las partes, sin embargo, será motivo de estudio en el Considerando correspondiente.</w:t>
      </w:r>
    </w:p>
    <w:p w:rsidR="008E48AA" w:rsidRPr="008D589D" w:rsidRDefault="008E48AA" w:rsidP="008E48AA">
      <w:pPr>
        <w:ind w:left="567" w:right="567"/>
        <w:jc w:val="both"/>
        <w:rPr>
          <w:rFonts w:ascii="Palatino Linotype" w:hAnsi="Palatino Linotype"/>
          <w:i/>
          <w:lang w:eastAsia="es-MX"/>
        </w:rPr>
      </w:pPr>
    </w:p>
    <w:p w:rsidR="008E48AA" w:rsidRPr="008D589D" w:rsidRDefault="008E48AA" w:rsidP="008E48AA">
      <w:pPr>
        <w:ind w:left="567" w:right="567"/>
        <w:jc w:val="both"/>
        <w:rPr>
          <w:rFonts w:ascii="Palatino Linotype" w:hAnsi="Palatino Linotype"/>
          <w:i/>
          <w:lang w:eastAsia="es-MX"/>
        </w:rPr>
      </w:pPr>
    </w:p>
    <w:p w:rsidR="008E48AA" w:rsidRPr="008D589D" w:rsidRDefault="008E48AA" w:rsidP="008E48AA">
      <w:pPr>
        <w:spacing w:line="360" w:lineRule="auto"/>
        <w:jc w:val="both"/>
        <w:rPr>
          <w:rFonts w:ascii="Palatino Linotype" w:hAnsi="Palatino Linotype" w:cs="Arial"/>
          <w:b/>
          <w:sz w:val="28"/>
        </w:rPr>
      </w:pPr>
      <w:r w:rsidRPr="008D589D">
        <w:rPr>
          <w:rFonts w:ascii="Palatino Linotype" w:hAnsi="Palatino Linotype" w:cs="Arial"/>
          <w:b/>
          <w:sz w:val="28"/>
        </w:rPr>
        <w:t>CUARTO. Del recurso de revisión.</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 xml:space="preserve">Inconforme con la respuesta por parte del </w:t>
      </w:r>
      <w:r w:rsidRPr="008D589D">
        <w:rPr>
          <w:rFonts w:ascii="Palatino Linotype" w:hAnsi="Palatino Linotype" w:cs="Arial"/>
          <w:b/>
        </w:rPr>
        <w:t>Sujeto Obligado</w:t>
      </w:r>
      <w:r w:rsidRPr="008D589D">
        <w:rPr>
          <w:rFonts w:ascii="Palatino Linotype" w:hAnsi="Palatino Linotype" w:cs="Arial"/>
        </w:rPr>
        <w:t xml:space="preserve">, el ahora </w:t>
      </w:r>
      <w:r w:rsidRPr="008D589D">
        <w:rPr>
          <w:rFonts w:ascii="Palatino Linotype" w:hAnsi="Palatino Linotype" w:cs="Arial"/>
          <w:b/>
        </w:rPr>
        <w:t>Recurrente</w:t>
      </w:r>
      <w:r w:rsidRPr="008D589D">
        <w:rPr>
          <w:rFonts w:ascii="Palatino Linotype" w:hAnsi="Palatino Linotype" w:cs="Arial"/>
        </w:rPr>
        <w:t xml:space="preserve"> interpuso el presente recurso de revisión en fecha seis de septiembre de dos mil veintiuno, el cual fue registrado</w:t>
      </w:r>
      <w:r w:rsidRPr="008D589D">
        <w:rPr>
          <w:rFonts w:ascii="Palatino Linotype" w:hAnsi="Palatino Linotype" w:cs="Arial"/>
          <w:b/>
        </w:rPr>
        <w:t xml:space="preserve"> </w:t>
      </w:r>
      <w:r w:rsidRPr="008D589D">
        <w:rPr>
          <w:rFonts w:ascii="Palatino Linotype" w:hAnsi="Palatino Linotype" w:cs="Arial"/>
        </w:rPr>
        <w:t xml:space="preserve">en el sistema electrónico con el expediente número </w:t>
      </w:r>
      <w:r w:rsidRPr="008D589D">
        <w:rPr>
          <w:rFonts w:ascii="Palatino Linotype" w:hAnsi="Palatino Linotype" w:cs="Arial"/>
          <w:b/>
          <w:bCs/>
          <w:lang w:eastAsia="es-MX"/>
        </w:rPr>
        <w:t>04595/INFOEM/IP/RR/2021</w:t>
      </w:r>
      <w:r w:rsidRPr="008D589D">
        <w:rPr>
          <w:rFonts w:ascii="Palatino Linotype" w:hAnsi="Palatino Linotype" w:cs="Arial"/>
        </w:rPr>
        <w:t>, en el cual aduce, las siguientes manifestaciones:</w:t>
      </w:r>
    </w:p>
    <w:p w:rsidR="008E48AA" w:rsidRPr="008D589D" w:rsidRDefault="008E48AA" w:rsidP="008E48AA">
      <w:pPr>
        <w:pStyle w:val="Sinespaciado"/>
      </w:pPr>
    </w:p>
    <w:p w:rsidR="008E48AA" w:rsidRPr="008D589D" w:rsidRDefault="008E48AA" w:rsidP="008E48AA">
      <w:pPr>
        <w:pStyle w:val="Sinespaciado"/>
        <w:rPr>
          <w:sz w:val="10"/>
        </w:rPr>
      </w:pPr>
    </w:p>
    <w:p w:rsidR="008E48AA" w:rsidRPr="008D589D" w:rsidRDefault="008E48AA" w:rsidP="008E48AA">
      <w:pPr>
        <w:pStyle w:val="Prrafodelista"/>
        <w:numPr>
          <w:ilvl w:val="0"/>
          <w:numId w:val="1"/>
        </w:numPr>
        <w:jc w:val="both"/>
        <w:rPr>
          <w:rFonts w:ascii="Palatino Linotype" w:hAnsi="Palatino Linotype" w:cs="Arial"/>
          <w:b/>
        </w:rPr>
      </w:pPr>
      <w:r w:rsidRPr="008D589D">
        <w:rPr>
          <w:rFonts w:ascii="Palatino Linotype" w:hAnsi="Palatino Linotype" w:cs="Arial"/>
          <w:b/>
        </w:rPr>
        <w:t>Acto Impugnado:</w:t>
      </w:r>
    </w:p>
    <w:p w:rsidR="008E48AA" w:rsidRPr="008D589D" w:rsidRDefault="008E48AA" w:rsidP="008E48AA">
      <w:pPr>
        <w:ind w:left="851"/>
        <w:jc w:val="both"/>
        <w:rPr>
          <w:rFonts w:ascii="Palatino Linotype" w:hAnsi="Palatino Linotype"/>
          <w:i/>
          <w:sz w:val="22"/>
          <w:lang w:eastAsia="es-MX"/>
        </w:rPr>
      </w:pPr>
      <w:r w:rsidRPr="008D589D">
        <w:rPr>
          <w:rFonts w:ascii="Palatino Linotype" w:hAnsi="Palatino Linotype"/>
          <w:i/>
          <w:color w:val="000000"/>
          <w:sz w:val="22"/>
        </w:rPr>
        <w:t xml:space="preserve">“Solicité a la Junta de Caminos me proporcionara información relativa al monto anual que se la ha pagado al concesionario de PPS </w:t>
      </w:r>
      <w:proofErr w:type="gramStart"/>
      <w:r w:rsidRPr="008D589D">
        <w:rPr>
          <w:rFonts w:ascii="Palatino Linotype" w:hAnsi="Palatino Linotype"/>
          <w:i/>
          <w:color w:val="000000"/>
          <w:sz w:val="22"/>
        </w:rPr>
        <w:t>Vialidades ,</w:t>
      </w:r>
      <w:proofErr w:type="gramEnd"/>
      <w:r w:rsidRPr="008D589D">
        <w:rPr>
          <w:rFonts w:ascii="Palatino Linotype" w:hAnsi="Palatino Linotype"/>
          <w:i/>
          <w:color w:val="000000"/>
          <w:sz w:val="22"/>
        </w:rPr>
        <w:t xml:space="preserve"> desde el inicio del contrato a la fecha. El número de multas y el monto de cada una de ellas que se ha impuesto a este concesionario por incumplimiento de contrato , así como la copia del contrato y modificaciones al contrato que se han efectuado a la fecha. La respuesta de la dependencia, es que la información fue clasificada durante 5 años, por lo que no se puede acceder a ella.” (Sic).</w:t>
      </w:r>
    </w:p>
    <w:p w:rsidR="008E48AA" w:rsidRPr="008D589D" w:rsidRDefault="008E48AA" w:rsidP="008E48AA">
      <w:pPr>
        <w:pStyle w:val="Sinespaciado"/>
        <w:rPr>
          <w:sz w:val="12"/>
        </w:rPr>
      </w:pPr>
    </w:p>
    <w:p w:rsidR="008E48AA" w:rsidRPr="008D589D" w:rsidRDefault="008E48AA" w:rsidP="008E48AA">
      <w:pPr>
        <w:pStyle w:val="Sinespaciado"/>
        <w:rPr>
          <w:sz w:val="12"/>
        </w:rPr>
      </w:pPr>
    </w:p>
    <w:p w:rsidR="008E48AA" w:rsidRPr="008D589D" w:rsidRDefault="008E48AA" w:rsidP="008E48AA">
      <w:pPr>
        <w:pStyle w:val="Sinespaciado"/>
        <w:rPr>
          <w:sz w:val="12"/>
        </w:rPr>
      </w:pPr>
    </w:p>
    <w:p w:rsidR="008E48AA" w:rsidRPr="008D589D" w:rsidRDefault="008E48AA" w:rsidP="008E48AA">
      <w:pPr>
        <w:pStyle w:val="Prrafodelista"/>
        <w:numPr>
          <w:ilvl w:val="0"/>
          <w:numId w:val="1"/>
        </w:numPr>
        <w:jc w:val="both"/>
        <w:rPr>
          <w:rFonts w:ascii="Palatino Linotype" w:hAnsi="Palatino Linotype" w:cs="Arial"/>
        </w:rPr>
      </w:pPr>
      <w:r w:rsidRPr="008D589D">
        <w:rPr>
          <w:rFonts w:ascii="Palatino Linotype" w:hAnsi="Palatino Linotype" w:cs="Arial"/>
          <w:b/>
        </w:rPr>
        <w:t>Razones o Motivos de Inconformidad</w:t>
      </w:r>
      <w:r w:rsidRPr="008D589D">
        <w:rPr>
          <w:rFonts w:ascii="Palatino Linotype" w:hAnsi="Palatino Linotype" w:cs="Arial"/>
        </w:rPr>
        <w:t xml:space="preserve">: </w:t>
      </w:r>
    </w:p>
    <w:p w:rsidR="008E48AA" w:rsidRPr="008D589D" w:rsidRDefault="008E48AA" w:rsidP="008E48AA">
      <w:pPr>
        <w:tabs>
          <w:tab w:val="left" w:pos="851"/>
        </w:tabs>
        <w:ind w:left="851"/>
        <w:jc w:val="both"/>
        <w:rPr>
          <w:rFonts w:ascii="Palatino Linotype" w:hAnsi="Palatino Linotype"/>
          <w:i/>
          <w:sz w:val="22"/>
          <w:lang w:eastAsia="es-MX"/>
        </w:rPr>
      </w:pPr>
      <w:r w:rsidRPr="008D589D">
        <w:rPr>
          <w:rFonts w:ascii="Palatino Linotype" w:hAnsi="Palatino Linotype" w:cs="Arial"/>
          <w:i/>
          <w:sz w:val="22"/>
        </w:rPr>
        <w:t>“</w:t>
      </w:r>
      <w:r w:rsidRPr="008D589D">
        <w:rPr>
          <w:rFonts w:ascii="Palatino Linotype" w:hAnsi="Palatino Linotype"/>
          <w:i/>
          <w:color w:val="000000"/>
          <w:sz w:val="22"/>
        </w:rPr>
        <w:t>La información que solicitó es relativa al uso y ejercicio de recursos públicos que ejerce la Junta de Caminos y no ha lugar a la clasificación de la información pues el uso y ejercicio de recursos públicos debe ser público. Darse a conocer no viola derechos ni de la autoridad ni de terceros ni los pone en riesgo. No existe justificación para que sea clasificada. En virtud de ello, solicitó el recurso de revisión y se ordene se entregue la información solicitada.” (Sic)</w:t>
      </w:r>
    </w:p>
    <w:p w:rsidR="008E48AA" w:rsidRPr="008D589D" w:rsidRDefault="008E48AA" w:rsidP="008E48AA">
      <w:pPr>
        <w:pStyle w:val="Sinespaciado"/>
        <w:rPr>
          <w:rFonts w:ascii="Palatino Linotype" w:eastAsiaTheme="minorHAnsi" w:hAnsi="Palatino Linotype" w:cs="Arial"/>
          <w:b/>
          <w:sz w:val="22"/>
          <w:szCs w:val="22"/>
          <w:lang w:eastAsia="en-US"/>
        </w:rPr>
      </w:pPr>
    </w:p>
    <w:p w:rsidR="008E48AA" w:rsidRPr="008D589D" w:rsidRDefault="008E48AA" w:rsidP="008E48AA">
      <w:pPr>
        <w:pStyle w:val="Prrafodelista"/>
        <w:numPr>
          <w:ilvl w:val="0"/>
          <w:numId w:val="2"/>
        </w:numPr>
        <w:ind w:right="567"/>
        <w:jc w:val="both"/>
        <w:rPr>
          <w:rFonts w:ascii="Palatino Linotype" w:hAnsi="Palatino Linotype"/>
          <w:lang w:eastAsia="es-MX"/>
        </w:rPr>
      </w:pPr>
      <w:r w:rsidRPr="008D589D">
        <w:rPr>
          <w:rFonts w:ascii="Palatino Linotype" w:hAnsi="Palatino Linotype"/>
          <w:lang w:eastAsia="es-MX"/>
        </w:rPr>
        <w:t xml:space="preserve">Adjuntando a dicho recurso, el archivo electrónico denominado </w:t>
      </w:r>
      <w:r w:rsidRPr="008D589D">
        <w:rPr>
          <w:rFonts w:ascii="Palatino Linotype" w:hAnsi="Palatino Linotype"/>
          <w:i/>
          <w:lang w:eastAsia="es-MX"/>
        </w:rPr>
        <w:t>“Oficio de respuesta 0350_2021 y anexo.pdf”</w:t>
      </w:r>
      <w:r w:rsidRPr="008D589D">
        <w:rPr>
          <w:rFonts w:ascii="Palatino Linotype" w:hAnsi="Palatino Linotype"/>
          <w:lang w:eastAsia="es-MX"/>
        </w:rPr>
        <w:t>, cuyo contenido, es la respuesta del Sujeto Obligado.</w:t>
      </w:r>
    </w:p>
    <w:p w:rsidR="008E48AA" w:rsidRPr="008D589D" w:rsidRDefault="008E48AA" w:rsidP="008E48AA">
      <w:pPr>
        <w:spacing w:line="360" w:lineRule="auto"/>
        <w:jc w:val="both"/>
        <w:rPr>
          <w:rFonts w:ascii="Palatino Linotype" w:hAnsi="Palatino Linotype" w:cs="Arial"/>
          <w:b/>
          <w:sz w:val="28"/>
        </w:rPr>
      </w:pPr>
    </w:p>
    <w:p w:rsidR="008E48AA" w:rsidRPr="008D589D" w:rsidRDefault="008E48AA" w:rsidP="008E48AA">
      <w:pPr>
        <w:spacing w:line="360" w:lineRule="auto"/>
        <w:jc w:val="both"/>
        <w:rPr>
          <w:rFonts w:ascii="Palatino Linotype" w:hAnsi="Palatino Linotype" w:cs="Arial"/>
          <w:b/>
          <w:sz w:val="28"/>
        </w:rPr>
      </w:pPr>
      <w:r w:rsidRPr="008D589D">
        <w:rPr>
          <w:rFonts w:ascii="Palatino Linotype" w:hAnsi="Palatino Linotype" w:cs="Arial"/>
          <w:b/>
          <w:sz w:val="28"/>
        </w:rPr>
        <w:t>QUINTO. Del turno del recurso de revisión.</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 xml:space="preserve">Medio de impugnación que le fue turnado al Comisionado Presidente </w:t>
      </w:r>
      <w:r w:rsidRPr="008D589D">
        <w:rPr>
          <w:rFonts w:ascii="Palatino Linotype" w:hAnsi="Palatino Linotype" w:cs="Arial"/>
          <w:b/>
        </w:rPr>
        <w:t>José Martínez Vilchis</w:t>
      </w:r>
      <w:r w:rsidRPr="008D589D">
        <w:rPr>
          <w:rFonts w:ascii="Palatino Linotype" w:hAnsi="Palatino Linotype" w:cs="Arial"/>
        </w:rPr>
        <w:t xml:space="preserve">, por medio del sistema electrónico, en términos del arábigo 185, fracción I, de </w:t>
      </w:r>
      <w:r w:rsidRPr="008D589D">
        <w:rPr>
          <w:rFonts w:ascii="Palatino Linotype" w:hAnsi="Palatino Linotype" w:cs="Arial"/>
        </w:rPr>
        <w:lastRenderedPageBreak/>
        <w:t>la Ley de Transparencia y Acceso a la información Pública del Estado de México y Municipios, del cual recayó acuerdo de admisión en fecha diez de septiembre del año en curso, determinándose en él, un plazo de siete días para que las partes manifestaran lo que a su derecho corresponda en términos del numeral ya citado.</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spacing w:line="360" w:lineRule="auto"/>
        <w:jc w:val="both"/>
        <w:rPr>
          <w:rFonts w:ascii="Palatino Linotype" w:hAnsi="Palatino Linotype" w:cs="Arial"/>
          <w:b/>
          <w:sz w:val="28"/>
        </w:rPr>
      </w:pPr>
      <w:r w:rsidRPr="008D589D">
        <w:rPr>
          <w:rFonts w:ascii="Palatino Linotype" w:hAnsi="Palatino Linotype" w:cs="Arial"/>
          <w:b/>
          <w:sz w:val="28"/>
        </w:rPr>
        <w:t>SEXTO. De la etapa de manifestaciones y/o alegatos.</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 xml:space="preserve">Así, una vez transcurrido el término legal referido se destaca que </w:t>
      </w:r>
      <w:r w:rsidRPr="008D589D">
        <w:rPr>
          <w:rFonts w:ascii="Palatino Linotype" w:hAnsi="Palatino Linotype" w:cs="Arial"/>
          <w:b/>
        </w:rPr>
        <w:t>El Sujeto Obligado</w:t>
      </w:r>
      <w:r w:rsidRPr="008D589D">
        <w:rPr>
          <w:rFonts w:ascii="Palatino Linotype" w:hAnsi="Palatino Linotype" w:cs="Arial"/>
        </w:rPr>
        <w:t xml:space="preserve"> en fecha veinte de septiembre del año en curso, remitió su Informe Justificado mediante el archivo electrónico denominado </w:t>
      </w:r>
      <w:r w:rsidRPr="008D589D">
        <w:rPr>
          <w:rFonts w:ascii="Palatino Linotype" w:hAnsi="Palatino Linotype" w:cs="Arial"/>
          <w:i/>
        </w:rPr>
        <w:t>“</w:t>
      </w:r>
      <w:r w:rsidRPr="008D589D">
        <w:rPr>
          <w:rFonts w:ascii="Palatino Linotype" w:hAnsi="Palatino Linotype" w:cs="Arial"/>
          <w:i/>
        </w:rPr>
        <w:tab/>
        <w:t>INFORME JUSTIFICADO-RR 04595.pdf”</w:t>
      </w:r>
      <w:r w:rsidRPr="008D589D">
        <w:rPr>
          <w:rFonts w:ascii="Palatino Linotype" w:hAnsi="Palatino Linotype" w:cs="Arial"/>
        </w:rPr>
        <w:t xml:space="preserve">; el cual, se puso a la vista a fin de que el </w:t>
      </w:r>
      <w:r w:rsidRPr="008D589D">
        <w:rPr>
          <w:rFonts w:ascii="Palatino Linotype" w:hAnsi="Palatino Linotype" w:cs="Arial"/>
          <w:b/>
        </w:rPr>
        <w:t>Recurrente</w:t>
      </w:r>
      <w:r w:rsidRPr="008D589D">
        <w:rPr>
          <w:rFonts w:ascii="Palatino Linotype" w:hAnsi="Palatino Linotype" w:cs="Arial"/>
        </w:rPr>
        <w:t xml:space="preserve"> emitiera alegatos, pruebas o manifestaciones, lo anterior de conformidad con la siguiente imagen:</w:t>
      </w:r>
    </w:p>
    <w:p w:rsidR="008E48AA" w:rsidRPr="008D589D" w:rsidRDefault="008E48AA" w:rsidP="008E48AA">
      <w:pPr>
        <w:pStyle w:val="Sinespaciado"/>
      </w:pP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noProof/>
          <w:lang w:val="es-MX" w:eastAsia="es-MX"/>
        </w:rPr>
        <w:drawing>
          <wp:inline distT="0" distB="0" distL="0" distR="0" wp14:anchorId="54A2903A" wp14:editId="7B83DE6D">
            <wp:extent cx="5753100" cy="18192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819275"/>
                    </a:xfrm>
                    <a:prstGeom prst="rect">
                      <a:avLst/>
                    </a:prstGeom>
                    <a:noFill/>
                    <a:ln>
                      <a:noFill/>
                    </a:ln>
                  </pic:spPr>
                </pic:pic>
              </a:graphicData>
            </a:graphic>
          </wp:inline>
        </w:drawing>
      </w:r>
    </w:p>
    <w:p w:rsidR="008E48AA" w:rsidRPr="008D589D" w:rsidRDefault="008E48AA" w:rsidP="008E48AA">
      <w:pPr>
        <w:pStyle w:val="Sinespaciado"/>
      </w:pPr>
    </w:p>
    <w:p w:rsidR="008E48AA" w:rsidRPr="008D589D" w:rsidRDefault="008E48AA" w:rsidP="008E48AA">
      <w:pPr>
        <w:tabs>
          <w:tab w:val="left" w:pos="3206"/>
        </w:tabs>
        <w:spacing w:line="360" w:lineRule="auto"/>
        <w:jc w:val="both"/>
        <w:rPr>
          <w:rFonts w:ascii="Palatino Linotype" w:hAnsi="Palatino Linotype" w:cs="Arial"/>
          <w:b/>
          <w:sz w:val="28"/>
        </w:rPr>
      </w:pPr>
      <w:r w:rsidRPr="008D589D">
        <w:rPr>
          <w:rFonts w:ascii="Palatino Linotype" w:hAnsi="Palatino Linotype" w:cs="Arial"/>
          <w:b/>
          <w:sz w:val="28"/>
        </w:rPr>
        <w:t>SÉPTIMO. Del cierre de instrucción.</w:t>
      </w:r>
      <w:r w:rsidRPr="008D589D">
        <w:rPr>
          <w:rFonts w:ascii="Palatino Linotype" w:hAnsi="Palatino Linotype" w:cs="Arial"/>
          <w:b/>
          <w:sz w:val="28"/>
        </w:rPr>
        <w:tab/>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Así, una vez transcurrido el término legal, se decretó el cierre de instrucción en fecha veintiocho de septiembre del año en curso, en términos del artículo 185, Fracción VI, de la Ley de Transparencia y Acceso a la Información Pública del Estado de México y Municipios, iniciando el término legal para dictar resolución definitiva del asunto.</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tabs>
          <w:tab w:val="left" w:pos="3206"/>
        </w:tabs>
        <w:spacing w:line="360" w:lineRule="auto"/>
        <w:jc w:val="both"/>
        <w:rPr>
          <w:rFonts w:ascii="Palatino Linotype" w:hAnsi="Palatino Linotype" w:cs="Arial"/>
          <w:b/>
          <w:sz w:val="28"/>
        </w:rPr>
      </w:pPr>
      <w:r w:rsidRPr="008D589D">
        <w:rPr>
          <w:rFonts w:ascii="Palatino Linotype" w:hAnsi="Palatino Linotype" w:cs="Arial"/>
          <w:b/>
          <w:sz w:val="28"/>
        </w:rPr>
        <w:lastRenderedPageBreak/>
        <w:t>OCTAVO. De la ampliación de término para resolver.</w:t>
      </w:r>
      <w:r w:rsidRPr="008D589D">
        <w:rPr>
          <w:rFonts w:ascii="Palatino Linotype" w:hAnsi="Palatino Linotype" w:cs="Arial"/>
          <w:b/>
          <w:sz w:val="28"/>
        </w:rPr>
        <w:tab/>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Cabe señalar que en fecha veinticinco de octubre del año en curso, se amplió el término para resolver los recursos de revisión en términos del artículo 180, párrafo tercero de la Ley de Transparencia y Acceso a la Información Pública del Estado de México y Municipios, por un plazo de quince días hábiles.</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spacing w:line="360" w:lineRule="auto"/>
        <w:jc w:val="center"/>
        <w:rPr>
          <w:rFonts w:ascii="Palatino Linotype" w:hAnsi="Palatino Linotype" w:cs="Arial"/>
          <w:b/>
          <w:sz w:val="28"/>
        </w:rPr>
      </w:pPr>
      <w:r w:rsidRPr="008D589D">
        <w:rPr>
          <w:rFonts w:ascii="Palatino Linotype" w:hAnsi="Palatino Linotype" w:cs="Arial"/>
          <w:b/>
          <w:sz w:val="28"/>
        </w:rPr>
        <w:t xml:space="preserve">C O N S I D E R A N D O </w:t>
      </w:r>
    </w:p>
    <w:p w:rsidR="008E48AA" w:rsidRPr="008D589D" w:rsidRDefault="008E48AA" w:rsidP="008E48AA">
      <w:pPr>
        <w:spacing w:line="360" w:lineRule="auto"/>
        <w:jc w:val="center"/>
        <w:rPr>
          <w:rFonts w:ascii="Palatino Linotype" w:hAnsi="Palatino Linotype" w:cs="Arial"/>
          <w:b/>
          <w:sz w:val="14"/>
        </w:rPr>
      </w:pPr>
    </w:p>
    <w:p w:rsidR="008E48AA" w:rsidRPr="008D589D" w:rsidRDefault="008E48AA" w:rsidP="008E48AA">
      <w:pPr>
        <w:spacing w:line="360" w:lineRule="auto"/>
        <w:jc w:val="both"/>
        <w:rPr>
          <w:rFonts w:ascii="Palatino Linotype" w:hAnsi="Palatino Linotype" w:cs="Arial"/>
          <w:sz w:val="28"/>
        </w:rPr>
      </w:pPr>
      <w:r w:rsidRPr="008D589D">
        <w:rPr>
          <w:rFonts w:ascii="Palatino Linotype" w:hAnsi="Palatino Linotype" w:cs="Arial"/>
          <w:b/>
          <w:sz w:val="28"/>
        </w:rPr>
        <w:t>PRIMERO. De la competencia</w:t>
      </w:r>
      <w:r w:rsidRPr="008D589D">
        <w:rPr>
          <w:rFonts w:ascii="Palatino Linotype" w:hAnsi="Palatino Linotype" w:cs="Arial"/>
          <w:sz w:val="28"/>
        </w:rPr>
        <w:t>.</w:t>
      </w: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autoSpaceDE w:val="0"/>
        <w:autoSpaceDN w:val="0"/>
        <w:adjustRightInd w:val="0"/>
        <w:spacing w:line="360" w:lineRule="auto"/>
        <w:jc w:val="both"/>
        <w:rPr>
          <w:rFonts w:ascii="Palatino Linotype" w:hAnsi="Palatino Linotype" w:cs="Arial"/>
          <w:b/>
          <w:sz w:val="28"/>
        </w:rPr>
      </w:pPr>
      <w:r w:rsidRPr="008D589D">
        <w:rPr>
          <w:rFonts w:ascii="Palatino Linotype" w:hAnsi="Palatino Linotype" w:cs="Arial"/>
          <w:b/>
          <w:sz w:val="28"/>
        </w:rPr>
        <w:t xml:space="preserve">SEGUNDO. De los alcances del Recurso de Revisión. </w:t>
      </w:r>
    </w:p>
    <w:p w:rsidR="008E48AA" w:rsidRPr="008D589D" w:rsidRDefault="008E48AA" w:rsidP="008E48AA">
      <w:pPr>
        <w:autoSpaceDE w:val="0"/>
        <w:autoSpaceDN w:val="0"/>
        <w:adjustRightInd w:val="0"/>
        <w:spacing w:line="360" w:lineRule="auto"/>
        <w:jc w:val="both"/>
        <w:rPr>
          <w:rFonts w:ascii="Palatino Linotype" w:hAnsi="Palatino Linotype" w:cs="Arial"/>
        </w:rPr>
      </w:pPr>
      <w:r w:rsidRPr="008D589D">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8D589D">
        <w:rPr>
          <w:rFonts w:ascii="Palatino Linotype" w:hAnsi="Palatino Linotype" w:cs="Arial"/>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E48AA" w:rsidRPr="008D589D" w:rsidRDefault="008E48AA" w:rsidP="008E48AA">
      <w:pPr>
        <w:pStyle w:val="Prrafodelista"/>
        <w:autoSpaceDE w:val="0"/>
        <w:autoSpaceDN w:val="0"/>
        <w:adjustRightInd w:val="0"/>
        <w:spacing w:line="360" w:lineRule="auto"/>
        <w:ind w:left="0"/>
        <w:jc w:val="both"/>
        <w:rPr>
          <w:rFonts w:ascii="Palatino Linotype" w:hAnsi="Palatino Linotype" w:cs="Arial"/>
        </w:rPr>
      </w:pPr>
    </w:p>
    <w:p w:rsidR="008E48AA" w:rsidRPr="008D589D" w:rsidRDefault="008E48AA" w:rsidP="008E48AA">
      <w:pPr>
        <w:autoSpaceDE w:val="0"/>
        <w:autoSpaceDN w:val="0"/>
        <w:adjustRightInd w:val="0"/>
        <w:spacing w:line="360" w:lineRule="auto"/>
        <w:jc w:val="both"/>
        <w:rPr>
          <w:rFonts w:ascii="Palatino Linotype" w:hAnsi="Palatino Linotype" w:cs="Arial"/>
          <w:b/>
          <w:sz w:val="28"/>
        </w:rPr>
      </w:pPr>
      <w:r w:rsidRPr="008D589D">
        <w:rPr>
          <w:rFonts w:ascii="Palatino Linotype" w:hAnsi="Palatino Linotype" w:cs="Arial"/>
          <w:b/>
          <w:sz w:val="28"/>
        </w:rPr>
        <w:t xml:space="preserve">TERCERO. Del estudio de las causas de improcedencia. </w:t>
      </w:r>
    </w:p>
    <w:p w:rsidR="008E48AA" w:rsidRPr="008D589D" w:rsidRDefault="008E48AA" w:rsidP="008E48AA">
      <w:pPr>
        <w:autoSpaceDE w:val="0"/>
        <w:autoSpaceDN w:val="0"/>
        <w:adjustRightInd w:val="0"/>
        <w:spacing w:line="360" w:lineRule="auto"/>
        <w:jc w:val="both"/>
        <w:rPr>
          <w:rFonts w:ascii="Palatino Linotype" w:hAnsi="Palatino Linotype" w:cs="Arial"/>
        </w:rPr>
      </w:pPr>
      <w:r w:rsidRPr="008D589D">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E48AA" w:rsidRPr="008D589D" w:rsidRDefault="008E48AA" w:rsidP="008E48AA">
      <w:pPr>
        <w:autoSpaceDE w:val="0"/>
        <w:autoSpaceDN w:val="0"/>
        <w:adjustRightInd w:val="0"/>
        <w:spacing w:line="360" w:lineRule="auto"/>
        <w:jc w:val="both"/>
        <w:rPr>
          <w:rFonts w:ascii="Palatino Linotype" w:hAnsi="Palatino Linotype" w:cs="Arial"/>
        </w:rPr>
      </w:pPr>
    </w:p>
    <w:p w:rsidR="008E48AA" w:rsidRPr="008D589D" w:rsidRDefault="008E48AA" w:rsidP="008E48AA">
      <w:pPr>
        <w:ind w:left="851" w:right="851"/>
        <w:jc w:val="both"/>
        <w:rPr>
          <w:rFonts w:ascii="Palatino Linotype" w:hAnsi="Palatino Linotype"/>
          <w:b/>
          <w:bCs/>
          <w:i/>
          <w:sz w:val="22"/>
          <w:szCs w:val="22"/>
          <w:lang w:eastAsia="es-MX"/>
        </w:rPr>
      </w:pPr>
      <w:r w:rsidRPr="008D589D">
        <w:rPr>
          <w:rFonts w:ascii="Palatino Linotype" w:hAnsi="Palatino Linotype"/>
          <w:b/>
          <w:bCs/>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rsidR="008E48AA" w:rsidRPr="008D589D" w:rsidRDefault="008E48AA" w:rsidP="008E48AA">
      <w:pPr>
        <w:pStyle w:val="Prrafodelista"/>
        <w:autoSpaceDE w:val="0"/>
        <w:autoSpaceDN w:val="0"/>
        <w:adjustRightInd w:val="0"/>
        <w:ind w:left="851" w:right="851"/>
        <w:jc w:val="both"/>
        <w:rPr>
          <w:rFonts w:ascii="Palatino Linotype" w:hAnsi="Palatino Linotype" w:cs="Arial"/>
          <w:sz w:val="22"/>
          <w:szCs w:val="22"/>
        </w:rPr>
      </w:pPr>
      <w:r w:rsidRPr="008D589D">
        <w:rPr>
          <w:rFonts w:ascii="Palatino Linotype" w:hAnsi="Palatino Linotype"/>
          <w:i/>
          <w:sz w:val="22"/>
          <w:szCs w:val="22"/>
        </w:rPr>
        <w:t>Del examen de compatibilidad de los artículos</w:t>
      </w:r>
      <w:r w:rsidRPr="008D589D">
        <w:rPr>
          <w:rStyle w:val="apple-converted-space"/>
          <w:rFonts w:ascii="Palatino Linotype" w:hAnsi="Palatino Linotype"/>
          <w:i/>
          <w:sz w:val="22"/>
          <w:szCs w:val="22"/>
        </w:rPr>
        <w:t> </w:t>
      </w:r>
      <w:hyperlink r:id="rId8" w:history="1">
        <w:r w:rsidRPr="008D589D">
          <w:rPr>
            <w:rStyle w:val="Hipervnculo"/>
            <w:rFonts w:ascii="Palatino Linotype" w:eastAsia="Calibri" w:hAnsi="Palatino Linotype"/>
            <w:i/>
            <w:sz w:val="22"/>
            <w:szCs w:val="22"/>
          </w:rPr>
          <w:t>73 y 74 de la Ley de Amparo</w:t>
        </w:r>
      </w:hyperlink>
      <w:r w:rsidRPr="008D589D">
        <w:rPr>
          <w:rStyle w:val="apple-converted-space"/>
          <w:rFonts w:ascii="Palatino Linotype" w:hAnsi="Palatino Linotype"/>
          <w:i/>
          <w:sz w:val="22"/>
          <w:szCs w:val="22"/>
        </w:rPr>
        <w:t> </w:t>
      </w:r>
      <w:r w:rsidRPr="008D589D">
        <w:rPr>
          <w:rFonts w:ascii="Palatino Linotype" w:hAnsi="Palatino Linotype"/>
          <w:i/>
          <w:sz w:val="22"/>
          <w:szCs w:val="22"/>
        </w:rPr>
        <w:t>con el artículo</w:t>
      </w:r>
      <w:r w:rsidRPr="008D589D">
        <w:rPr>
          <w:rStyle w:val="apple-converted-space"/>
          <w:rFonts w:ascii="Palatino Linotype" w:hAnsi="Palatino Linotype"/>
          <w:i/>
          <w:sz w:val="22"/>
          <w:szCs w:val="22"/>
        </w:rPr>
        <w:t> </w:t>
      </w:r>
      <w:hyperlink r:id="rId9" w:history="1">
        <w:r w:rsidRPr="008D589D">
          <w:rPr>
            <w:rStyle w:val="Hipervnculo"/>
            <w:rFonts w:ascii="Palatino Linotype" w:eastAsia="Calibri" w:hAnsi="Palatino Linotype"/>
            <w:i/>
            <w:sz w:val="22"/>
            <w:szCs w:val="22"/>
          </w:rPr>
          <w:t>25.1 de la Convención Americana sobre Derechos Humanos</w:t>
        </w:r>
      </w:hyperlink>
      <w:r w:rsidRPr="008D589D">
        <w:rPr>
          <w:rStyle w:val="apple-converted-space"/>
          <w:rFonts w:ascii="Palatino Linotype" w:hAnsi="Palatino Linotype"/>
          <w:i/>
          <w:sz w:val="22"/>
          <w:szCs w:val="22"/>
        </w:rPr>
        <w:t> </w:t>
      </w:r>
      <w:r w:rsidRPr="008D589D">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D589D">
        <w:rPr>
          <w:rFonts w:ascii="Palatino Linotype" w:hAnsi="Palatino Linotype"/>
          <w:i/>
          <w:sz w:val="22"/>
          <w:szCs w:val="22"/>
        </w:rPr>
        <w:t xml:space="preserve"> en virtud de que el propósito de condicionar el acceso a los tribunales para evitar un sobrecargo de casos sin mérito, es en sí legítimo, por lo que </w:t>
      </w:r>
      <w:r w:rsidRPr="008D589D">
        <w:rPr>
          <w:rFonts w:ascii="Palatino Linotype" w:hAnsi="Palatino Linotype"/>
          <w:i/>
          <w:sz w:val="22"/>
          <w:szCs w:val="22"/>
        </w:rPr>
        <w:lastRenderedPageBreak/>
        <w:t xml:space="preserve">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D589D">
        <w:rPr>
          <w:rFonts w:ascii="Palatino Linotype" w:hAnsi="Palatino Linotype"/>
          <w:i/>
          <w:sz w:val="22"/>
          <w:szCs w:val="22"/>
        </w:rPr>
        <w:t>concesoria</w:t>
      </w:r>
      <w:proofErr w:type="spellEnd"/>
      <w:r w:rsidRPr="008D589D">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E48AA" w:rsidRPr="008D589D" w:rsidRDefault="008E48AA" w:rsidP="008E48AA">
      <w:pPr>
        <w:pStyle w:val="Prrafodelista"/>
        <w:autoSpaceDE w:val="0"/>
        <w:autoSpaceDN w:val="0"/>
        <w:adjustRightInd w:val="0"/>
        <w:spacing w:line="360" w:lineRule="auto"/>
        <w:ind w:left="0"/>
        <w:jc w:val="both"/>
        <w:rPr>
          <w:rFonts w:ascii="Palatino Linotype" w:hAnsi="Palatino Linotype" w:cs="Arial"/>
        </w:rPr>
      </w:pPr>
    </w:p>
    <w:p w:rsidR="008E48AA" w:rsidRPr="008D589D" w:rsidRDefault="008E48AA" w:rsidP="008E48AA">
      <w:pPr>
        <w:autoSpaceDE w:val="0"/>
        <w:autoSpaceDN w:val="0"/>
        <w:adjustRightInd w:val="0"/>
        <w:spacing w:line="360" w:lineRule="auto"/>
        <w:jc w:val="both"/>
        <w:rPr>
          <w:rFonts w:ascii="Palatino Linotype" w:hAnsi="Palatino Linotype" w:cs="Arial"/>
        </w:rPr>
      </w:pPr>
      <w:r w:rsidRPr="008D589D">
        <w:rPr>
          <w:rFonts w:ascii="Palatino Linotype" w:hAnsi="Palatino Linotype" w:cs="Arial"/>
        </w:rPr>
        <w:t>Por lo que una vez que se analizó el expediente en estudio se cae en la cuenta de que no se actualiza ninguna de las casuales a continuación transcritas:</w:t>
      </w:r>
    </w:p>
    <w:p w:rsidR="008E48AA" w:rsidRPr="008D589D" w:rsidRDefault="008E48AA" w:rsidP="008E48AA">
      <w:pPr>
        <w:pStyle w:val="Sinespaciado"/>
      </w:pP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w:t>
      </w:r>
      <w:r w:rsidRPr="008D589D">
        <w:rPr>
          <w:rFonts w:ascii="Palatino Linotype" w:hAnsi="Palatino Linotype" w:cs="Arial"/>
          <w:b/>
          <w:i/>
          <w:sz w:val="22"/>
          <w:szCs w:val="22"/>
        </w:rPr>
        <w:t>Artículo 191.</w:t>
      </w:r>
      <w:r w:rsidRPr="008D589D">
        <w:rPr>
          <w:rFonts w:ascii="Palatino Linotype" w:hAnsi="Palatino Linotype" w:cs="Arial"/>
          <w:i/>
          <w:sz w:val="22"/>
          <w:szCs w:val="22"/>
        </w:rPr>
        <w:t xml:space="preserve"> El recurso será desechado por improcedente cuando:  </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 xml:space="preserve">I. Sea extemporáneo por haber transcurrido el plazo establecido en la presente Ley, a partir de la respuesta;  </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 xml:space="preserve">II. Se esté tramitando ante el Poder Judicial de la Federación algún recurso o medio de defensa interpuesto por el recurrente;  </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 xml:space="preserve">III. No actualice alguno de los supuestos previstos en la presente Ley;  </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IV. No se haya desahogado la prevención en los términos establecidos en la presente Ley;</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 xml:space="preserve">V. Se impugne la veracidad de la información proporcionada;  </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 xml:space="preserve">VI. Se trate de una consulta, o trámite en específico; y  </w:t>
      </w:r>
    </w:p>
    <w:p w:rsidR="008E48AA" w:rsidRPr="008D589D" w:rsidRDefault="008E48AA" w:rsidP="008E48AA">
      <w:pPr>
        <w:pStyle w:val="Prrafodelista"/>
        <w:autoSpaceDE w:val="0"/>
        <w:autoSpaceDN w:val="0"/>
        <w:adjustRightInd w:val="0"/>
        <w:ind w:right="850"/>
        <w:jc w:val="both"/>
        <w:rPr>
          <w:rFonts w:ascii="Palatino Linotype" w:hAnsi="Palatino Linotype" w:cs="Arial"/>
          <w:i/>
          <w:sz w:val="22"/>
          <w:szCs w:val="22"/>
        </w:rPr>
      </w:pPr>
      <w:r w:rsidRPr="008D589D">
        <w:rPr>
          <w:rFonts w:ascii="Palatino Linotype" w:hAnsi="Palatino Linotype" w:cs="Arial"/>
          <w:i/>
          <w:sz w:val="22"/>
          <w:szCs w:val="22"/>
        </w:rPr>
        <w:t>VII. El recurrente amplíe su solicitud en el recurso de revisión, únicamente respecto de los nuevos contenidos.”</w:t>
      </w:r>
    </w:p>
    <w:p w:rsidR="008E48AA" w:rsidRPr="008D589D" w:rsidRDefault="008E48AA" w:rsidP="008E48AA">
      <w:pPr>
        <w:pStyle w:val="Prrafodelista"/>
        <w:autoSpaceDE w:val="0"/>
        <w:autoSpaceDN w:val="0"/>
        <w:adjustRightInd w:val="0"/>
        <w:spacing w:line="360" w:lineRule="auto"/>
        <w:ind w:right="850"/>
        <w:jc w:val="both"/>
        <w:rPr>
          <w:rFonts w:ascii="Palatino Linotype" w:hAnsi="Palatino Linotype" w:cs="Arial"/>
          <w:i/>
        </w:rPr>
      </w:pPr>
    </w:p>
    <w:p w:rsidR="008E48AA" w:rsidRPr="008D589D" w:rsidRDefault="008E48AA" w:rsidP="008E48AA">
      <w:pPr>
        <w:autoSpaceDE w:val="0"/>
        <w:autoSpaceDN w:val="0"/>
        <w:adjustRightInd w:val="0"/>
        <w:spacing w:line="360" w:lineRule="auto"/>
        <w:jc w:val="both"/>
        <w:rPr>
          <w:rFonts w:ascii="Palatino Linotype" w:hAnsi="Palatino Linotype" w:cs="Arial"/>
        </w:rPr>
      </w:pPr>
      <w:r w:rsidRPr="008D589D">
        <w:rPr>
          <w:rFonts w:ascii="Palatino Linotype" w:hAnsi="Palatino Linotype" w:cs="Arial"/>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8E48AA" w:rsidRPr="008D589D" w:rsidRDefault="008E48AA" w:rsidP="008E48AA">
      <w:pPr>
        <w:pStyle w:val="Prrafodelista"/>
        <w:autoSpaceDE w:val="0"/>
        <w:autoSpaceDN w:val="0"/>
        <w:adjustRightInd w:val="0"/>
        <w:spacing w:line="360" w:lineRule="auto"/>
        <w:ind w:left="0"/>
        <w:jc w:val="both"/>
        <w:rPr>
          <w:rFonts w:ascii="Palatino Linotype" w:hAnsi="Palatino Linotype" w:cs="Arial"/>
        </w:rPr>
      </w:pPr>
    </w:p>
    <w:p w:rsidR="008E48AA" w:rsidRPr="008D589D" w:rsidRDefault="008E48AA" w:rsidP="008E48AA">
      <w:pPr>
        <w:pStyle w:val="Prrafodelista"/>
        <w:autoSpaceDE w:val="0"/>
        <w:autoSpaceDN w:val="0"/>
        <w:adjustRightInd w:val="0"/>
        <w:spacing w:line="360" w:lineRule="auto"/>
        <w:ind w:left="0"/>
        <w:jc w:val="both"/>
        <w:rPr>
          <w:rFonts w:ascii="Palatino Linotype" w:hAnsi="Palatino Linotype" w:cs="Arial"/>
        </w:rPr>
      </w:pPr>
      <w:r w:rsidRPr="008D589D">
        <w:rPr>
          <w:rFonts w:ascii="Palatino Linotype" w:hAnsi="Palatino Linotype" w:cs="Arial"/>
        </w:rPr>
        <w:lastRenderedPageBreak/>
        <w:t xml:space="preserve">Así las cosas, al no existir causas de improcedencia invocadas por las partes ni advertidas de oficio por este Resolutor, se </w:t>
      </w:r>
      <w:proofErr w:type="gramStart"/>
      <w:r w:rsidRPr="008D589D">
        <w:rPr>
          <w:rFonts w:ascii="Palatino Linotype" w:hAnsi="Palatino Linotype" w:cs="Arial"/>
        </w:rPr>
        <w:t>procede</w:t>
      </w:r>
      <w:proofErr w:type="gramEnd"/>
      <w:r w:rsidRPr="008D589D">
        <w:rPr>
          <w:rFonts w:ascii="Palatino Linotype" w:hAnsi="Palatino Linotype" w:cs="Arial"/>
        </w:rPr>
        <w:t xml:space="preserve"> al análisis del fondo de los asuntos en los siguientes términos.</w:t>
      </w:r>
    </w:p>
    <w:p w:rsidR="008E48AA" w:rsidRPr="008D589D" w:rsidRDefault="008E48AA" w:rsidP="008E48AA">
      <w:pPr>
        <w:pStyle w:val="Prrafodelista"/>
        <w:autoSpaceDE w:val="0"/>
        <w:autoSpaceDN w:val="0"/>
        <w:adjustRightInd w:val="0"/>
        <w:spacing w:line="360" w:lineRule="auto"/>
        <w:ind w:left="0"/>
        <w:jc w:val="both"/>
        <w:rPr>
          <w:rFonts w:ascii="Palatino Linotype" w:hAnsi="Palatino Linotype" w:cs="Arial"/>
        </w:rPr>
      </w:pPr>
    </w:p>
    <w:p w:rsidR="008E48AA" w:rsidRPr="008D589D" w:rsidRDefault="008E48AA" w:rsidP="008E48AA">
      <w:pPr>
        <w:pStyle w:val="Prrafodelista"/>
        <w:autoSpaceDE w:val="0"/>
        <w:autoSpaceDN w:val="0"/>
        <w:adjustRightInd w:val="0"/>
        <w:spacing w:line="360" w:lineRule="auto"/>
        <w:ind w:left="0"/>
        <w:jc w:val="both"/>
        <w:rPr>
          <w:rFonts w:ascii="Palatino Linotype" w:hAnsi="Palatino Linotype" w:cs="Arial"/>
          <w:sz w:val="28"/>
        </w:rPr>
      </w:pPr>
      <w:r w:rsidRPr="008D589D">
        <w:rPr>
          <w:rFonts w:ascii="Palatino Linotype" w:hAnsi="Palatino Linotype" w:cs="Arial"/>
          <w:b/>
          <w:sz w:val="28"/>
        </w:rPr>
        <w:t>CUARTO. Del estudio y resolución del asunto.</w:t>
      </w:r>
      <w:r w:rsidRPr="008D589D">
        <w:rPr>
          <w:rFonts w:ascii="Palatino Linotype" w:hAnsi="Palatino Linotype" w:cs="Arial"/>
          <w:sz w:val="28"/>
        </w:rPr>
        <w:t xml:space="preserve"> </w:t>
      </w:r>
    </w:p>
    <w:p w:rsidR="008E48AA" w:rsidRPr="008D589D" w:rsidRDefault="008E48AA" w:rsidP="008E48AA">
      <w:pPr>
        <w:autoSpaceDE w:val="0"/>
        <w:autoSpaceDN w:val="0"/>
        <w:adjustRightInd w:val="0"/>
        <w:spacing w:line="360" w:lineRule="auto"/>
        <w:jc w:val="both"/>
        <w:rPr>
          <w:rFonts w:ascii="Palatino Linotype" w:hAnsi="Palatino Linotype" w:cs="Arial"/>
        </w:rPr>
      </w:pPr>
      <w:r w:rsidRPr="008D589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E48AA" w:rsidRPr="008D589D" w:rsidRDefault="008E48AA" w:rsidP="008E48AA">
      <w:pPr>
        <w:autoSpaceDE w:val="0"/>
        <w:autoSpaceDN w:val="0"/>
        <w:adjustRightInd w:val="0"/>
        <w:spacing w:line="360" w:lineRule="auto"/>
        <w:jc w:val="both"/>
        <w:rPr>
          <w:rFonts w:ascii="Palatino Linotype" w:hAnsi="Palatino Linotype" w:cs="Arial"/>
        </w:rPr>
      </w:pPr>
    </w:p>
    <w:p w:rsidR="008E48AA" w:rsidRPr="008D589D" w:rsidRDefault="008E48AA" w:rsidP="008E48AA">
      <w:pPr>
        <w:spacing w:line="360" w:lineRule="auto"/>
        <w:ind w:right="141"/>
        <w:jc w:val="both"/>
        <w:rPr>
          <w:rFonts w:ascii="Palatino Linotype" w:hAnsi="Palatino Linotype"/>
          <w:lang w:eastAsia="es-MX"/>
        </w:rPr>
      </w:pPr>
      <w:r w:rsidRPr="008D589D">
        <w:rPr>
          <w:rFonts w:ascii="Palatino Linotype" w:hAnsi="Palatino Linotype"/>
          <w:lang w:eastAsia="es-MX"/>
        </w:rPr>
        <w:t>En este sentido nuestro estudio versará en determinar si la información remitida mediante respuesta, colma el derecho de acceso a la información solicitado por la</w:t>
      </w:r>
      <w:r w:rsidRPr="008D589D">
        <w:rPr>
          <w:rFonts w:ascii="Palatino Linotype" w:hAnsi="Palatino Linotype"/>
          <w:b/>
          <w:lang w:eastAsia="es-MX"/>
        </w:rPr>
        <w:t xml:space="preserve"> </w:t>
      </w:r>
      <w:r w:rsidRPr="008D589D">
        <w:rPr>
          <w:rFonts w:ascii="Palatino Linotype" w:hAnsi="Palatino Linotype"/>
          <w:lang w:eastAsia="es-MX"/>
        </w:rPr>
        <w:t>parte</w:t>
      </w:r>
      <w:r w:rsidRPr="008D589D">
        <w:rPr>
          <w:rFonts w:ascii="Palatino Linotype" w:hAnsi="Palatino Linotype"/>
          <w:b/>
          <w:lang w:eastAsia="es-MX"/>
        </w:rPr>
        <w:t xml:space="preserve"> Recurrente</w:t>
      </w:r>
      <w:r w:rsidRPr="008D589D">
        <w:rPr>
          <w:rFonts w:ascii="Palatino Linotype" w:hAnsi="Palatino Linotype"/>
          <w:lang w:eastAsia="es-MX"/>
        </w:rPr>
        <w:t>, para ello analizaremos lo solicitado y la información proporcionada.</w:t>
      </w:r>
    </w:p>
    <w:p w:rsidR="008E48AA" w:rsidRPr="008D589D" w:rsidRDefault="008E48AA" w:rsidP="008E48AA">
      <w:pPr>
        <w:spacing w:line="360" w:lineRule="auto"/>
        <w:ind w:right="141"/>
        <w:jc w:val="both"/>
        <w:rPr>
          <w:rFonts w:ascii="Palatino Linotype" w:hAnsi="Palatino Linotype"/>
          <w:sz w:val="16"/>
          <w:lang w:eastAsia="es-MX"/>
        </w:rPr>
      </w:pPr>
    </w:p>
    <w:p w:rsidR="008E48AA" w:rsidRPr="008D589D" w:rsidRDefault="008E48AA" w:rsidP="008E48AA">
      <w:pPr>
        <w:spacing w:line="360" w:lineRule="auto"/>
        <w:ind w:right="141"/>
        <w:jc w:val="both"/>
        <w:rPr>
          <w:rFonts w:ascii="Palatino Linotype" w:hAnsi="Palatino Linotype"/>
          <w:b/>
          <w:lang w:eastAsia="es-MX"/>
        </w:rPr>
      </w:pPr>
      <w:r w:rsidRPr="008D589D">
        <w:rPr>
          <w:rFonts w:ascii="Palatino Linotype" w:hAnsi="Palatino Linotype"/>
          <w:b/>
          <w:lang w:eastAsia="es-MX"/>
        </w:rPr>
        <w:t>REQUERIMIENTOS SOLICITADOS:</w:t>
      </w:r>
    </w:p>
    <w:p w:rsidR="008E48AA" w:rsidRPr="008D589D" w:rsidRDefault="008E48AA" w:rsidP="008E48AA">
      <w:pPr>
        <w:pStyle w:val="Sinespaciado"/>
      </w:pPr>
    </w:p>
    <w:p w:rsidR="008E48AA" w:rsidRPr="008D589D" w:rsidRDefault="008E48AA" w:rsidP="008E48AA">
      <w:pPr>
        <w:pStyle w:val="Prrafodelista"/>
        <w:numPr>
          <w:ilvl w:val="0"/>
          <w:numId w:val="3"/>
        </w:numPr>
        <w:spacing w:line="360" w:lineRule="auto"/>
        <w:ind w:right="141"/>
        <w:jc w:val="both"/>
        <w:rPr>
          <w:sz w:val="10"/>
        </w:rPr>
      </w:pPr>
      <w:r w:rsidRPr="008D589D">
        <w:rPr>
          <w:rFonts w:ascii="Palatino Linotype" w:eastAsiaTheme="minorHAnsi" w:hAnsi="Palatino Linotype"/>
          <w:lang w:eastAsia="es-MX"/>
        </w:rPr>
        <w:t xml:space="preserve">Monto anual que se le ha pagado al concesionario del contrato del PPS Vialidades, desde el inicio del contrato a la fecha. </w:t>
      </w:r>
    </w:p>
    <w:p w:rsidR="008E48AA" w:rsidRPr="008D589D" w:rsidRDefault="008E48AA" w:rsidP="008E48AA">
      <w:pPr>
        <w:pStyle w:val="Prrafodelista"/>
        <w:numPr>
          <w:ilvl w:val="0"/>
          <w:numId w:val="3"/>
        </w:numPr>
        <w:spacing w:line="360" w:lineRule="auto"/>
        <w:ind w:right="141"/>
        <w:jc w:val="both"/>
        <w:rPr>
          <w:sz w:val="10"/>
        </w:rPr>
      </w:pPr>
      <w:r w:rsidRPr="008D589D">
        <w:rPr>
          <w:rFonts w:ascii="Palatino Linotype" w:eastAsiaTheme="minorHAnsi" w:hAnsi="Palatino Linotype"/>
          <w:lang w:eastAsia="es-MX"/>
        </w:rPr>
        <w:t xml:space="preserve">Multas que ha impuesto el Gobierno del Estado al concesionario del PPS Vialidades, por algún incumplimiento de contrato. </w:t>
      </w:r>
    </w:p>
    <w:p w:rsidR="008E48AA" w:rsidRPr="008D589D" w:rsidRDefault="008E48AA" w:rsidP="008E48AA">
      <w:pPr>
        <w:pStyle w:val="Prrafodelista"/>
        <w:numPr>
          <w:ilvl w:val="0"/>
          <w:numId w:val="3"/>
        </w:numPr>
        <w:spacing w:line="360" w:lineRule="auto"/>
        <w:ind w:right="141"/>
        <w:jc w:val="both"/>
        <w:rPr>
          <w:sz w:val="10"/>
        </w:rPr>
      </w:pPr>
      <w:r w:rsidRPr="008D589D">
        <w:rPr>
          <w:rFonts w:ascii="Palatino Linotype" w:eastAsiaTheme="minorHAnsi" w:hAnsi="Palatino Linotype"/>
          <w:lang w:eastAsia="es-MX"/>
        </w:rPr>
        <w:lastRenderedPageBreak/>
        <w:t xml:space="preserve">Desglosar por multa, monto y motivo. </w:t>
      </w:r>
    </w:p>
    <w:p w:rsidR="008E48AA" w:rsidRPr="008D589D" w:rsidRDefault="008E48AA" w:rsidP="008E48AA">
      <w:pPr>
        <w:pStyle w:val="Prrafodelista"/>
        <w:numPr>
          <w:ilvl w:val="0"/>
          <w:numId w:val="3"/>
        </w:numPr>
        <w:spacing w:line="360" w:lineRule="auto"/>
        <w:ind w:right="141"/>
        <w:jc w:val="both"/>
        <w:rPr>
          <w:sz w:val="10"/>
        </w:rPr>
      </w:pPr>
      <w:r w:rsidRPr="008D589D">
        <w:rPr>
          <w:rFonts w:ascii="Palatino Linotype" w:eastAsiaTheme="minorHAnsi" w:hAnsi="Palatino Linotype"/>
          <w:lang w:eastAsia="es-MX"/>
        </w:rPr>
        <w:t>Copia del contrato y Modificaciones al contrato.</w:t>
      </w:r>
    </w:p>
    <w:p w:rsidR="008E48AA" w:rsidRPr="008D589D" w:rsidRDefault="008E48AA" w:rsidP="008E48AA">
      <w:pPr>
        <w:spacing w:line="360" w:lineRule="auto"/>
        <w:ind w:right="141"/>
        <w:jc w:val="both"/>
        <w:rPr>
          <w:rFonts w:ascii="Palatino Linotype" w:hAnsi="Palatino Linotype"/>
          <w:lang w:eastAsia="es-MX"/>
        </w:rPr>
      </w:pPr>
    </w:p>
    <w:p w:rsidR="008E48AA" w:rsidRPr="008D589D" w:rsidRDefault="008E48AA" w:rsidP="008E48AA">
      <w:pPr>
        <w:spacing w:line="360" w:lineRule="auto"/>
        <w:ind w:right="141"/>
        <w:jc w:val="both"/>
        <w:rPr>
          <w:rFonts w:ascii="Palatino Linotype" w:hAnsi="Palatino Linotype"/>
          <w:lang w:eastAsia="es-MX"/>
        </w:rPr>
      </w:pPr>
      <w:r w:rsidRPr="008D589D">
        <w:rPr>
          <w:rFonts w:ascii="Palatino Linotype" w:hAnsi="Palatino Linotype"/>
          <w:lang w:eastAsia="es-MX"/>
        </w:rPr>
        <w:t xml:space="preserve">Atento a la solicitud de información </w:t>
      </w:r>
      <w:r w:rsidRPr="008D589D">
        <w:rPr>
          <w:rFonts w:ascii="Palatino Linotype" w:hAnsi="Palatino Linotype"/>
          <w:b/>
          <w:lang w:eastAsia="es-MX"/>
        </w:rPr>
        <w:t>El Sujeto Obligado</w:t>
      </w:r>
      <w:r w:rsidRPr="008D589D">
        <w:rPr>
          <w:rFonts w:ascii="Palatino Linotype" w:hAnsi="Palatino Linotype"/>
          <w:lang w:eastAsia="es-MX"/>
        </w:rPr>
        <w:t>, emitió su respuesta mediante la cual, remitió lo siguiente:</w:t>
      </w:r>
    </w:p>
    <w:p w:rsidR="008E48AA" w:rsidRPr="008D589D" w:rsidRDefault="008E48AA" w:rsidP="008E48AA">
      <w:pPr>
        <w:spacing w:line="360" w:lineRule="auto"/>
        <w:ind w:right="141"/>
        <w:jc w:val="both"/>
        <w:rPr>
          <w:rFonts w:ascii="Palatino Linotype" w:hAnsi="Palatino Linotype"/>
          <w:lang w:eastAsia="es-MX"/>
        </w:rPr>
      </w:pPr>
    </w:p>
    <w:p w:rsidR="008E48AA" w:rsidRPr="008D589D" w:rsidRDefault="008E48AA" w:rsidP="008E48AA">
      <w:pPr>
        <w:pStyle w:val="Prrafodelista"/>
        <w:numPr>
          <w:ilvl w:val="0"/>
          <w:numId w:val="4"/>
        </w:numPr>
        <w:spacing w:line="360" w:lineRule="auto"/>
        <w:ind w:right="141"/>
        <w:jc w:val="both"/>
        <w:rPr>
          <w:rFonts w:ascii="Palatino Linotype" w:hAnsi="Palatino Linotype"/>
          <w:lang w:eastAsia="es-MX"/>
        </w:rPr>
      </w:pPr>
      <w:r w:rsidRPr="008D589D">
        <w:rPr>
          <w:rFonts w:ascii="Palatino Linotype" w:hAnsi="Palatino Linotype"/>
          <w:lang w:eastAsia="es-MX"/>
        </w:rPr>
        <w:t xml:space="preserve">Oficio número </w:t>
      </w:r>
      <w:r w:rsidRPr="008D589D">
        <w:rPr>
          <w:rFonts w:ascii="Palatino Linotype" w:hAnsi="Palatino Linotype"/>
          <w:b/>
          <w:lang w:eastAsia="es-MX"/>
        </w:rPr>
        <w:t>0350/2021</w:t>
      </w:r>
      <w:r w:rsidRPr="008D589D">
        <w:rPr>
          <w:rFonts w:ascii="Palatino Linotype" w:hAnsi="Palatino Linotype"/>
          <w:lang w:eastAsia="es-MX"/>
        </w:rPr>
        <w:t xml:space="preserve">, de fecha 26 de agosto de 2021, firmado por el Jefe de la Unidad de planeación y Tecnologías de Información y Comunicación y Titular de la Unidad de Transparencia de la Junta de Caminos del Estado de México, mediante el cual, remite el oficio N° 220C0101020100L/283/2021, firmado por el Servidor Público Habilitado de la Dirección de Conservación de Caminos, en el que informa que la información solicitada con número de folio 00038/JC/IP/2021, se encuentra </w:t>
      </w:r>
      <w:r w:rsidRPr="008D589D">
        <w:rPr>
          <w:rFonts w:ascii="Palatino Linotype" w:hAnsi="Palatino Linotype"/>
          <w:b/>
          <w:lang w:eastAsia="es-MX"/>
        </w:rPr>
        <w:t>RESERVADA</w:t>
      </w:r>
      <w:r w:rsidRPr="008D589D">
        <w:rPr>
          <w:rFonts w:ascii="Palatino Linotype" w:hAnsi="Palatino Linotype"/>
          <w:lang w:eastAsia="es-MX"/>
        </w:rPr>
        <w:t xml:space="preserve"> por un periodo de 5 años a partir de su clasificación.</w:t>
      </w:r>
    </w:p>
    <w:p w:rsidR="008E48AA" w:rsidRPr="008D589D" w:rsidRDefault="008E48AA" w:rsidP="008E48AA">
      <w:pPr>
        <w:pStyle w:val="Prrafodelista"/>
        <w:spacing w:line="360" w:lineRule="auto"/>
        <w:ind w:left="720" w:right="141"/>
        <w:jc w:val="both"/>
        <w:rPr>
          <w:rFonts w:ascii="Palatino Linotype" w:hAnsi="Palatino Linotype"/>
          <w:lang w:eastAsia="es-MX"/>
        </w:rPr>
      </w:pPr>
    </w:p>
    <w:p w:rsidR="008E48AA" w:rsidRPr="008D589D" w:rsidRDefault="008E48AA" w:rsidP="008E48AA">
      <w:pPr>
        <w:pStyle w:val="Prrafodelista"/>
        <w:numPr>
          <w:ilvl w:val="0"/>
          <w:numId w:val="4"/>
        </w:numPr>
        <w:spacing w:line="360" w:lineRule="auto"/>
        <w:ind w:right="141"/>
        <w:jc w:val="both"/>
        <w:rPr>
          <w:rFonts w:ascii="Palatino Linotype" w:hAnsi="Palatino Linotype"/>
          <w:lang w:eastAsia="es-MX"/>
        </w:rPr>
      </w:pPr>
      <w:r w:rsidRPr="008D589D">
        <w:rPr>
          <w:rFonts w:ascii="Palatino Linotype" w:hAnsi="Palatino Linotype"/>
          <w:lang w:eastAsia="es-MX"/>
        </w:rPr>
        <w:t xml:space="preserve">Acta de la Vigésima Sesión Extraordinaria, del Ejercicio 2021 del Comité de Transparencia </w:t>
      </w:r>
      <w:r w:rsidRPr="008D589D">
        <w:rPr>
          <w:rFonts w:ascii="Palatino Linotype" w:hAnsi="Palatino Linotype"/>
          <w:b/>
          <w:lang w:eastAsia="es-MX"/>
        </w:rPr>
        <w:t>No. JC/CT/EXT/020-2021</w:t>
      </w:r>
      <w:r w:rsidRPr="008D589D">
        <w:rPr>
          <w:rFonts w:ascii="Palatino Linotype" w:hAnsi="Palatino Linotype"/>
          <w:lang w:eastAsia="es-MX"/>
        </w:rPr>
        <w:t xml:space="preserve">, de fecha 24 de agosto de 2021; mediante la cual, los integrantes del Comité de Transparencia de la Junta de Caminos del Estado de México, aprueban por unanimidad la propuesta de clasificación de información como </w:t>
      </w:r>
      <w:r w:rsidRPr="008D589D">
        <w:rPr>
          <w:rFonts w:ascii="Palatino Linotype" w:hAnsi="Palatino Linotype"/>
          <w:b/>
          <w:lang w:eastAsia="es-MX"/>
        </w:rPr>
        <w:t>RESERVADA</w:t>
      </w:r>
      <w:r w:rsidRPr="008D589D">
        <w:rPr>
          <w:rFonts w:ascii="Palatino Linotype" w:hAnsi="Palatino Linotype"/>
          <w:lang w:eastAsia="es-MX"/>
        </w:rPr>
        <w:t xml:space="preserve">, presentada por el Servidor Público Habilitado de la Dirección de Conservación de Caminos, en la que informan </w:t>
      </w:r>
      <w:r w:rsidRPr="008D589D">
        <w:rPr>
          <w:rFonts w:ascii="Palatino Linotype" w:hAnsi="Palatino Linotype"/>
          <w:b/>
          <w:u w:val="single"/>
          <w:lang w:eastAsia="es-MX"/>
        </w:rPr>
        <w:t>de la existencia de un procedimiento administrativo en trámite en la Unidad Jurídica Consultiva y de Igualdad de Género, con número UJCIG/003/2021, y que aún no ha quedado firme</w:t>
      </w:r>
      <w:r w:rsidRPr="008D589D">
        <w:rPr>
          <w:rFonts w:ascii="Palatino Linotype" w:hAnsi="Palatino Linotype"/>
          <w:lang w:eastAsia="es-MX"/>
        </w:rPr>
        <w:t xml:space="preserve">. </w:t>
      </w:r>
    </w:p>
    <w:p w:rsidR="008E48AA" w:rsidRPr="008D589D" w:rsidRDefault="008E48AA" w:rsidP="008E48AA">
      <w:pPr>
        <w:pStyle w:val="Sinespaciado"/>
      </w:pPr>
    </w:p>
    <w:p w:rsidR="008E48AA" w:rsidRPr="008D589D" w:rsidRDefault="008E48AA" w:rsidP="008E48AA">
      <w:pPr>
        <w:pStyle w:val="Sinespaciado"/>
      </w:pPr>
    </w:p>
    <w:p w:rsidR="008E48AA" w:rsidRPr="008D589D" w:rsidRDefault="008E48AA" w:rsidP="008E48AA">
      <w:pPr>
        <w:spacing w:line="360" w:lineRule="auto"/>
        <w:ind w:right="141"/>
        <w:jc w:val="both"/>
        <w:rPr>
          <w:rFonts w:ascii="Palatino Linotype" w:hAnsi="Palatino Linotype" w:cs="Arial"/>
          <w:bCs/>
        </w:rPr>
      </w:pPr>
      <w:r w:rsidRPr="008D589D">
        <w:rPr>
          <w:rFonts w:ascii="Palatino Linotype" w:hAnsi="Palatino Linotype" w:cs="Arial"/>
          <w:bCs/>
        </w:rPr>
        <w:t xml:space="preserve">Es así que derivado de la respuesta emitida por </w:t>
      </w:r>
      <w:r w:rsidRPr="008D589D">
        <w:rPr>
          <w:rFonts w:ascii="Palatino Linotype" w:hAnsi="Palatino Linotype" w:cs="Arial"/>
          <w:b/>
          <w:bCs/>
        </w:rPr>
        <w:t>El Sujeto Obligado</w:t>
      </w:r>
      <w:r w:rsidRPr="008D589D">
        <w:rPr>
          <w:rFonts w:ascii="Palatino Linotype" w:hAnsi="Palatino Linotype" w:cs="Arial"/>
          <w:bCs/>
        </w:rPr>
        <w:t xml:space="preserve">, </w:t>
      </w:r>
      <w:r w:rsidRPr="008D589D">
        <w:rPr>
          <w:rFonts w:ascii="Palatino Linotype" w:hAnsi="Palatino Linotype" w:cs="Arial"/>
          <w:b/>
          <w:bCs/>
        </w:rPr>
        <w:t>El Recurrente</w:t>
      </w:r>
      <w:r w:rsidRPr="008D589D">
        <w:rPr>
          <w:rFonts w:ascii="Palatino Linotype" w:hAnsi="Palatino Linotype" w:cs="Arial"/>
          <w:bCs/>
        </w:rPr>
        <w:t>, interpuso el presente recurso de revisión, señalando sustancialmente como sus razones o motivos de inconformidad, lo siguiente:</w:t>
      </w:r>
    </w:p>
    <w:p w:rsidR="008E48AA" w:rsidRPr="008D589D" w:rsidRDefault="008E48AA" w:rsidP="008E48AA">
      <w:pPr>
        <w:pStyle w:val="Sinespaciado"/>
        <w:rPr>
          <w:sz w:val="16"/>
        </w:rPr>
      </w:pPr>
    </w:p>
    <w:p w:rsidR="008E48AA" w:rsidRPr="008D589D" w:rsidRDefault="008E48AA" w:rsidP="008E48AA">
      <w:pPr>
        <w:spacing w:line="276" w:lineRule="auto"/>
        <w:ind w:left="426" w:right="283"/>
        <w:jc w:val="both"/>
        <w:rPr>
          <w:rFonts w:ascii="Palatino Linotype" w:hAnsi="Palatino Linotype"/>
          <w:i/>
          <w:sz w:val="22"/>
          <w:lang w:eastAsia="es-MX"/>
        </w:rPr>
      </w:pPr>
      <w:r w:rsidRPr="008D589D">
        <w:rPr>
          <w:rFonts w:ascii="Palatino Linotype" w:hAnsi="Palatino Linotype"/>
          <w:i/>
          <w:sz w:val="22"/>
          <w:lang w:eastAsia="es-MX"/>
        </w:rPr>
        <w:t xml:space="preserve">“…La respuesta de la dependencia, es que </w:t>
      </w:r>
      <w:r w:rsidRPr="008D589D">
        <w:rPr>
          <w:rFonts w:ascii="Palatino Linotype" w:hAnsi="Palatino Linotype"/>
          <w:b/>
          <w:i/>
          <w:sz w:val="22"/>
          <w:u w:val="single"/>
          <w:lang w:eastAsia="es-MX"/>
        </w:rPr>
        <w:t>la información fue clasificada durante 5 años</w:t>
      </w:r>
      <w:r w:rsidRPr="008D589D">
        <w:rPr>
          <w:rFonts w:ascii="Palatino Linotype" w:hAnsi="Palatino Linotype"/>
          <w:i/>
          <w:sz w:val="22"/>
          <w:lang w:eastAsia="es-MX"/>
        </w:rPr>
        <w:t>, por lo que no se puede acceder a ella.”</w:t>
      </w:r>
    </w:p>
    <w:p w:rsidR="008E48AA" w:rsidRPr="008D589D" w:rsidRDefault="008E48AA" w:rsidP="008E48AA">
      <w:pPr>
        <w:pStyle w:val="Sinespaciado"/>
        <w:rPr>
          <w:lang w:eastAsia="es-MX"/>
        </w:rPr>
      </w:pPr>
    </w:p>
    <w:p w:rsidR="008E48AA" w:rsidRPr="008D589D" w:rsidRDefault="008E48AA" w:rsidP="008E48AA">
      <w:pPr>
        <w:spacing w:line="276" w:lineRule="auto"/>
        <w:ind w:left="426" w:right="283"/>
        <w:jc w:val="both"/>
        <w:rPr>
          <w:rFonts w:ascii="Palatino Linotype" w:hAnsi="Palatino Linotype"/>
          <w:i/>
          <w:sz w:val="22"/>
          <w:lang w:eastAsia="es-MX"/>
        </w:rPr>
      </w:pPr>
      <w:r w:rsidRPr="008D589D">
        <w:rPr>
          <w:rFonts w:ascii="Palatino Linotype" w:hAnsi="Palatino Linotype"/>
          <w:i/>
          <w:sz w:val="22"/>
          <w:lang w:eastAsia="es-MX"/>
        </w:rPr>
        <w:t>“La información que solicitó es relativa al uso y ejercicio de recursos públicos que ejerce la Junta de Caminos y no ha lugar a la clasificación de la información pues el uso y ejercicio de recursos públicos debe ser público. Darse a conocer no viola derechos ni de la autoridad ni de terceros ni los pone en riesgo. No existe justificación para que sea clasificada. En virtud de ello, solicitó el recurso de revisión y se ordene se entregue la información solicitada.”</w:t>
      </w:r>
    </w:p>
    <w:p w:rsidR="008E48AA" w:rsidRPr="008D589D" w:rsidRDefault="008E48AA" w:rsidP="008E48AA">
      <w:pPr>
        <w:pStyle w:val="Sinespaciado"/>
      </w:pPr>
    </w:p>
    <w:p w:rsidR="008E48AA" w:rsidRPr="008D589D" w:rsidRDefault="008E48AA" w:rsidP="008E48AA">
      <w:pPr>
        <w:spacing w:line="360" w:lineRule="auto"/>
        <w:jc w:val="both"/>
        <w:rPr>
          <w:rFonts w:ascii="Palatino Linotype" w:hAnsi="Palatino Linotype" w:cs="Arial"/>
          <w:color w:val="000000"/>
        </w:rPr>
      </w:pPr>
      <w:r w:rsidRPr="008D589D">
        <w:rPr>
          <w:rFonts w:ascii="Palatino Linotype" w:hAnsi="Palatino Linotype" w:cs="Arial"/>
          <w:color w:val="000000"/>
        </w:rPr>
        <w:t xml:space="preserve">No obstante lo anterior, </w:t>
      </w:r>
      <w:r w:rsidRPr="008D589D">
        <w:rPr>
          <w:rFonts w:ascii="Palatino Linotype" w:hAnsi="Palatino Linotype" w:cs="Arial"/>
          <w:color w:val="000000"/>
          <w:lang w:eastAsia="es-MX"/>
        </w:rPr>
        <w:t>el</w:t>
      </w:r>
      <w:r w:rsidRPr="008D589D">
        <w:rPr>
          <w:rFonts w:ascii="Palatino Linotype" w:hAnsi="Palatino Linotype" w:cs="Arial"/>
          <w:b/>
          <w:color w:val="000000"/>
          <w:lang w:eastAsia="es-MX"/>
        </w:rPr>
        <w:t xml:space="preserve"> Sujeto Obligado</w:t>
      </w:r>
      <w:r w:rsidRPr="008D589D">
        <w:rPr>
          <w:rFonts w:ascii="Palatino Linotype" w:hAnsi="Palatino Linotype" w:cs="Arial"/>
          <w:color w:val="000000"/>
        </w:rPr>
        <w:t xml:space="preserve"> bajo el principio de máxima publicidad y con el fin de cumplir con la pretensión del </w:t>
      </w:r>
      <w:r w:rsidRPr="008D589D">
        <w:rPr>
          <w:rFonts w:ascii="Palatino Linotype" w:hAnsi="Palatino Linotype" w:cs="Arial"/>
          <w:b/>
          <w:color w:val="000000"/>
        </w:rPr>
        <w:t>Recurrente</w:t>
      </w:r>
      <w:r w:rsidRPr="008D589D">
        <w:rPr>
          <w:rFonts w:ascii="Palatino Linotype" w:hAnsi="Palatino Linotype" w:cs="Arial"/>
          <w:color w:val="000000"/>
        </w:rPr>
        <w:t>, mediante su informe justificado ratificó su respuesta primigenia, argumentado lo siguiente:</w:t>
      </w:r>
    </w:p>
    <w:p w:rsidR="008E48AA" w:rsidRPr="008D589D" w:rsidRDefault="008E48AA" w:rsidP="008E48AA">
      <w:pPr>
        <w:spacing w:line="360" w:lineRule="auto"/>
        <w:jc w:val="center"/>
        <w:rPr>
          <w:rFonts w:ascii="Palatino Linotype" w:hAnsi="Palatino Linotype" w:cs="Arial"/>
          <w:color w:val="000000"/>
        </w:rPr>
      </w:pPr>
      <w:r w:rsidRPr="008D589D">
        <w:rPr>
          <w:rFonts w:ascii="Palatino Linotype" w:hAnsi="Palatino Linotype" w:cs="Arial"/>
          <w:noProof/>
          <w:color w:val="000000"/>
          <w:lang w:val="es-MX" w:eastAsia="es-MX"/>
        </w:rPr>
        <mc:AlternateContent>
          <mc:Choice Requires="wps">
            <w:drawing>
              <wp:anchor distT="0" distB="0" distL="114300" distR="114300" simplePos="0" relativeHeight="251659264" behindDoc="0" locked="0" layoutInCell="1" allowOverlap="1" wp14:anchorId="0CF9083E" wp14:editId="48BDE3C0">
                <wp:simplePos x="0" y="0"/>
                <wp:positionH relativeFrom="column">
                  <wp:posOffset>160268</wp:posOffset>
                </wp:positionH>
                <wp:positionV relativeFrom="paragraph">
                  <wp:posOffset>1364836</wp:posOffset>
                </wp:positionV>
                <wp:extent cx="5407025" cy="715617"/>
                <wp:effectExtent l="19050" t="19050" r="22225" b="27940"/>
                <wp:wrapNone/>
                <wp:docPr id="4" name="Rectángulo 4"/>
                <wp:cNvGraphicFramePr/>
                <a:graphic xmlns:a="http://schemas.openxmlformats.org/drawingml/2006/main">
                  <a:graphicData uri="http://schemas.microsoft.com/office/word/2010/wordprocessingShape">
                    <wps:wsp>
                      <wps:cNvSpPr/>
                      <wps:spPr>
                        <a:xfrm>
                          <a:off x="0" y="0"/>
                          <a:ext cx="5407025" cy="7156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8C5C25" id="Rectángulo 4" o:spid="_x0000_s1026" style="position:absolute;margin-left:12.6pt;margin-top:107.45pt;width:425.75pt;height:5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" filled="f" strokecolor="red" strokeweight="3pt"/>
            </w:pict>
          </mc:Fallback>
        </mc:AlternateContent>
      </w:r>
      <w:r w:rsidRPr="008D589D">
        <w:rPr>
          <w:rFonts w:ascii="Palatino Linotype" w:hAnsi="Palatino Linotype" w:cs="Arial"/>
          <w:noProof/>
          <w:color w:val="000000"/>
          <w:lang w:val="es-MX" w:eastAsia="es-MX"/>
        </w:rPr>
        <w:drawing>
          <wp:inline distT="0" distB="0" distL="0" distR="0" wp14:anchorId="37D7238D" wp14:editId="537BBA27">
            <wp:extent cx="5403850" cy="3458818"/>
            <wp:effectExtent l="76200" t="76200" r="139700" b="142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6077"/>
                    <a:stretch/>
                  </pic:blipFill>
                  <pic:spPr bwMode="auto">
                    <a:xfrm>
                      <a:off x="0" y="0"/>
                      <a:ext cx="5449194" cy="34878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lastRenderedPageBreak/>
        <w:t xml:space="preserve">Ahora bien, es importante señalar que se omite el estudio de la naturaleza jurídica de la información pública solicitada, en virtud de que el </w:t>
      </w:r>
      <w:r w:rsidRPr="008D589D">
        <w:rPr>
          <w:rFonts w:ascii="Palatino Linotype" w:hAnsi="Palatino Linotype"/>
          <w:b/>
        </w:rPr>
        <w:t>Sujeto Obligado</w:t>
      </w:r>
      <w:r w:rsidRPr="008D589D">
        <w:rPr>
          <w:rFonts w:ascii="Palatino Linotype" w:hAnsi="Palatino Linotype"/>
        </w:rPr>
        <w:t xml:space="preserve"> en su respuesta aceptó contar con la información solicitada, de lo que se deduce que, derivado de sus facultades y atribuciones, genera posee y administra dicha información. </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 xml:space="preserve">De hecho el estudio de la naturaleza jurídica de la información pública solicitada, tiene por objeto determinar si ésta la genera, posee o administra el </w:t>
      </w:r>
      <w:r w:rsidRPr="008D589D">
        <w:rPr>
          <w:rFonts w:ascii="Palatino Linotype" w:hAnsi="Palatino Linotype"/>
          <w:b/>
        </w:rPr>
        <w:t>Sujeto Obligado</w:t>
      </w:r>
      <w:r w:rsidRPr="008D589D">
        <w:rPr>
          <w:rFonts w:ascii="Palatino Linotype" w:hAnsi="Palatino Linotype"/>
        </w:rPr>
        <w:t>; sin embargo, en aquellos casos en que éste la asume, ello implica que la genera, posee o administra, por consiguiente, a nada práctico conduce su estudio, ya que se insiste la información pública solicitada, fue asumida por El Sujeto Obligado.</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Por tanto, es importante señalar que el artículo 4, párrafo segundo de la Ley de Transparencia y Acceso a la Información Pública del Estado de México y Municipios, dispone lo siguiente:</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pStyle w:val="Sinespaciado"/>
        <w:ind w:left="567" w:right="567"/>
        <w:jc w:val="both"/>
        <w:rPr>
          <w:rFonts w:ascii="Palatino Linotype" w:hAnsi="Palatino Linotype"/>
          <w:i/>
          <w:sz w:val="22"/>
        </w:rPr>
      </w:pPr>
      <w:r w:rsidRPr="008D589D">
        <w:rPr>
          <w:rFonts w:ascii="Palatino Linotype" w:hAnsi="Palatino Linotype"/>
          <w:i/>
          <w:sz w:val="22"/>
        </w:rPr>
        <w:t>“</w:t>
      </w:r>
      <w:r w:rsidRPr="008D589D">
        <w:rPr>
          <w:rFonts w:ascii="Palatino Linotype" w:hAnsi="Palatino Linotype"/>
          <w:b/>
          <w:i/>
          <w:sz w:val="22"/>
        </w:rPr>
        <w:t>Artículo 4.</w:t>
      </w:r>
      <w:r w:rsidRPr="008D589D">
        <w:rPr>
          <w:rFonts w:ascii="Palatino Linotype" w:hAnsi="Palatino Linotype"/>
          <w:i/>
          <w:sz w:val="22"/>
        </w:rPr>
        <w:t xml:space="preserve"> … </w:t>
      </w:r>
    </w:p>
    <w:p w:rsidR="008E48AA" w:rsidRPr="008D589D" w:rsidRDefault="008E48AA" w:rsidP="008E48AA">
      <w:pPr>
        <w:pStyle w:val="Sinespaciado"/>
        <w:ind w:left="567" w:right="567"/>
        <w:jc w:val="both"/>
        <w:rPr>
          <w:rFonts w:ascii="Palatino Linotype" w:hAnsi="Palatino Linotype"/>
          <w:i/>
          <w:sz w:val="22"/>
        </w:rPr>
      </w:pPr>
      <w:r w:rsidRPr="008D589D">
        <w:rPr>
          <w:rFonts w:ascii="Palatino Linotype" w:hAnsi="Palatino Linotype"/>
          <w:i/>
          <w:sz w:val="22"/>
        </w:rPr>
        <w:t xml:space="preserve"> </w:t>
      </w:r>
      <w:r w:rsidRPr="008D589D">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8D589D">
        <w:rPr>
          <w:rFonts w:ascii="Palatino Linotype" w:hAnsi="Palatino Linotype"/>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8D589D">
        <w:rPr>
          <w:rFonts w:ascii="Palatino Linotype" w:hAnsi="Palatino Linotype"/>
          <w:b/>
          <w:i/>
          <w:sz w:val="22"/>
          <w:u w:val="single"/>
        </w:rPr>
        <w:t>Solo podrá ser clasificada excepcionalmente como reservada temporalmente por razones de interés público, en los términos de las causas legítimas y estrictamente necesarias previstas por esta Ley</w:t>
      </w:r>
      <w:r w:rsidRPr="008D589D">
        <w:rPr>
          <w:rFonts w:ascii="Palatino Linotype" w:hAnsi="Palatino Linotype"/>
          <w:i/>
          <w:sz w:val="22"/>
        </w:rPr>
        <w:t>.</w:t>
      </w:r>
    </w:p>
    <w:p w:rsidR="008E48AA" w:rsidRPr="008D589D" w:rsidRDefault="008E48AA" w:rsidP="008E48AA">
      <w:pPr>
        <w:pStyle w:val="Sinespaciado"/>
        <w:ind w:left="567" w:right="567"/>
        <w:jc w:val="both"/>
        <w:rPr>
          <w:rFonts w:ascii="Palatino Linotype" w:hAnsi="Palatino Linotype"/>
          <w:i/>
          <w:sz w:val="22"/>
        </w:rPr>
      </w:pPr>
      <w:r w:rsidRPr="008D589D">
        <w:rPr>
          <w:rFonts w:ascii="Palatino Linotype" w:hAnsi="Palatino Linotype"/>
          <w:i/>
          <w:sz w:val="22"/>
        </w:rPr>
        <w:t>( ...)”</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 xml:space="preserve">De lo anterior se desprende que la información generada, obtenida, adquirida, transmitida, administrada o en posesión de los Sujetos Obligados, será accesible de manera permanente a cualquier persona, privilegiando el principio de máxima </w:t>
      </w:r>
      <w:r w:rsidRPr="008D589D">
        <w:rPr>
          <w:rFonts w:ascii="Palatino Linotype" w:hAnsi="Palatino Linotype"/>
        </w:rPr>
        <w:lastRenderedPageBreak/>
        <w:t xml:space="preserve">publicidad de la información; sin embargo, ésta también es susceptible de ser clasificada como </w:t>
      </w:r>
      <w:r w:rsidRPr="008D589D">
        <w:rPr>
          <w:rFonts w:ascii="Palatino Linotype" w:hAnsi="Palatino Linotype"/>
          <w:b/>
        </w:rPr>
        <w:t>RESERVADA</w:t>
      </w:r>
      <w:r w:rsidRPr="008D589D">
        <w:rPr>
          <w:rFonts w:ascii="Palatino Linotype" w:hAnsi="Palatino Linotype"/>
        </w:rPr>
        <w:t xml:space="preserve"> siempre que existan razones de interés público, en los términos de la Ley citada.</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 xml:space="preserve">Asimismo, es de recalcar que toda vez que existe un pronunciamiento por parte del </w:t>
      </w:r>
      <w:r w:rsidRPr="008D589D">
        <w:rPr>
          <w:rFonts w:ascii="Palatino Linotype" w:hAnsi="Palatino Linotype"/>
          <w:b/>
        </w:rPr>
        <w:t>Sujeto Obligado</w:t>
      </w:r>
      <w:r w:rsidRPr="008D589D">
        <w:rPr>
          <w:rFonts w:ascii="Palatino Linotype" w:hAnsi="Palatino Linotype"/>
        </w:rPr>
        <w:t xml:space="preserve"> respecto al estado que guarda la información solicitada por el </w:t>
      </w:r>
      <w:r w:rsidRPr="008D589D">
        <w:rPr>
          <w:rFonts w:ascii="Palatino Linotype" w:hAnsi="Palatino Linotype"/>
          <w:b/>
        </w:rPr>
        <w:t>Recurrente</w:t>
      </w:r>
      <w:r w:rsidRPr="008D589D">
        <w:rPr>
          <w:rFonts w:ascii="Palatino Linotype" w:hAnsi="Palatino Linotype"/>
        </w:rPr>
        <w:t>, 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pStyle w:val="Sinespaciado"/>
        <w:ind w:left="567" w:right="567"/>
        <w:jc w:val="both"/>
        <w:rPr>
          <w:rFonts w:ascii="Palatino Linotype" w:hAnsi="Palatino Linotype"/>
          <w:i/>
          <w:sz w:val="22"/>
        </w:rPr>
      </w:pPr>
      <w:r w:rsidRPr="008D589D">
        <w:rPr>
          <w:rFonts w:ascii="Palatino Linotype" w:hAnsi="Palatino Linotype"/>
          <w:i/>
          <w:sz w:val="22"/>
        </w:rPr>
        <w:t>“</w:t>
      </w:r>
      <w:r w:rsidRPr="008D589D">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8D589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8E48AA" w:rsidRPr="008D589D" w:rsidRDefault="008E48AA" w:rsidP="008E48AA">
      <w:pPr>
        <w:spacing w:line="360" w:lineRule="auto"/>
        <w:rPr>
          <w:rFonts w:ascii="Palatino Linotype" w:hAnsi="Palatino Linotype" w:cs="Arial"/>
          <w:color w:val="000000"/>
        </w:rPr>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 xml:space="preserve">De la lectura a la respuesta dada y el Informe Justificado remitido por el </w:t>
      </w:r>
      <w:r w:rsidRPr="008D589D">
        <w:rPr>
          <w:rFonts w:ascii="Palatino Linotype" w:hAnsi="Palatino Linotype"/>
          <w:b/>
        </w:rPr>
        <w:t>Sujeto Obligado</w:t>
      </w:r>
      <w:r w:rsidRPr="008D589D">
        <w:rPr>
          <w:rFonts w:ascii="Palatino Linotype" w:hAnsi="Palatino Linotype"/>
        </w:rPr>
        <w:t xml:space="preserve">, se desglosa que el expediente del </w:t>
      </w:r>
      <w:r w:rsidRPr="008D589D">
        <w:rPr>
          <w:rFonts w:ascii="Palatino Linotype" w:hAnsi="Palatino Linotype"/>
          <w:b/>
          <w:u w:val="single"/>
        </w:rPr>
        <w:t>Proyecto de Prestación de Servicios denominado PPS</w:t>
      </w:r>
      <w:r w:rsidRPr="008D589D">
        <w:rPr>
          <w:rFonts w:ascii="Palatino Linotype" w:hAnsi="Palatino Linotype"/>
        </w:rPr>
        <w:t>, relativa al:</w:t>
      </w:r>
    </w:p>
    <w:p w:rsidR="008E48AA" w:rsidRPr="008D589D" w:rsidRDefault="008E48AA" w:rsidP="008E48AA">
      <w:pPr>
        <w:pStyle w:val="Sinespaciado"/>
      </w:pPr>
    </w:p>
    <w:p w:rsidR="008E48AA" w:rsidRPr="008D589D" w:rsidRDefault="008E48AA" w:rsidP="008E48AA">
      <w:pPr>
        <w:pStyle w:val="Sinespaciado"/>
        <w:numPr>
          <w:ilvl w:val="0"/>
          <w:numId w:val="5"/>
        </w:numPr>
        <w:spacing w:line="360" w:lineRule="auto"/>
        <w:jc w:val="both"/>
        <w:rPr>
          <w:rFonts w:ascii="Palatino Linotype" w:hAnsi="Palatino Linotype"/>
        </w:rPr>
      </w:pPr>
      <w:r w:rsidRPr="008D589D">
        <w:rPr>
          <w:rFonts w:ascii="Palatino Linotype" w:hAnsi="Palatino Linotype"/>
        </w:rPr>
        <w:t>Contrato;</w:t>
      </w:r>
    </w:p>
    <w:p w:rsidR="008E48AA" w:rsidRPr="008D589D" w:rsidRDefault="008E48AA" w:rsidP="008E48AA">
      <w:pPr>
        <w:pStyle w:val="Sinespaciado"/>
        <w:numPr>
          <w:ilvl w:val="0"/>
          <w:numId w:val="5"/>
        </w:numPr>
        <w:spacing w:line="360" w:lineRule="auto"/>
        <w:jc w:val="both"/>
        <w:rPr>
          <w:rFonts w:ascii="Palatino Linotype" w:hAnsi="Palatino Linotype"/>
        </w:rPr>
      </w:pPr>
      <w:r w:rsidRPr="008D589D">
        <w:rPr>
          <w:rFonts w:ascii="Palatino Linotype" w:hAnsi="Palatino Linotype"/>
        </w:rPr>
        <w:t>Convenios Modificatorios al Contrato;</w:t>
      </w:r>
    </w:p>
    <w:p w:rsidR="008E48AA" w:rsidRPr="008D589D" w:rsidRDefault="008E48AA" w:rsidP="008E48AA">
      <w:pPr>
        <w:pStyle w:val="Sinespaciado"/>
        <w:numPr>
          <w:ilvl w:val="0"/>
          <w:numId w:val="5"/>
        </w:numPr>
        <w:spacing w:line="360" w:lineRule="auto"/>
        <w:jc w:val="both"/>
        <w:rPr>
          <w:rFonts w:ascii="Palatino Linotype" w:hAnsi="Palatino Linotype"/>
        </w:rPr>
      </w:pPr>
      <w:r w:rsidRPr="008D589D">
        <w:rPr>
          <w:rFonts w:ascii="Palatino Linotype" w:hAnsi="Palatino Linotype"/>
        </w:rPr>
        <w:t>Información Financiera;</w:t>
      </w:r>
    </w:p>
    <w:p w:rsidR="008E48AA" w:rsidRPr="008D589D" w:rsidRDefault="008E48AA" w:rsidP="008E48AA">
      <w:pPr>
        <w:pStyle w:val="Sinespaciado"/>
        <w:numPr>
          <w:ilvl w:val="0"/>
          <w:numId w:val="5"/>
        </w:numPr>
        <w:spacing w:line="360" w:lineRule="auto"/>
        <w:jc w:val="both"/>
        <w:rPr>
          <w:rFonts w:ascii="Palatino Linotype" w:hAnsi="Palatino Linotype"/>
        </w:rPr>
      </w:pPr>
      <w:r w:rsidRPr="008D589D">
        <w:rPr>
          <w:rFonts w:ascii="Palatino Linotype" w:hAnsi="Palatino Linotype"/>
        </w:rPr>
        <w:t>Acuerdos y toda la documentación y actuaciones que de las mismas se generaron.</w:t>
      </w:r>
    </w:p>
    <w:p w:rsidR="008E48AA" w:rsidRPr="008D589D" w:rsidRDefault="008E48AA" w:rsidP="008E48AA">
      <w:pPr>
        <w:pStyle w:val="Sinespaciado"/>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Se encuentran en Procedimiento Administrativo en trámite que no ha quedado firme, en la Unidad Jurídica Consultiva y de Igualdad de Género, con número UJCIG/003/2021.</w:t>
      </w:r>
    </w:p>
    <w:p w:rsidR="008E48AA" w:rsidRPr="008D589D" w:rsidRDefault="008E48AA" w:rsidP="008E48AA">
      <w:pPr>
        <w:pStyle w:val="Sinespaciado"/>
        <w:spacing w:line="360" w:lineRule="auto"/>
        <w:jc w:val="both"/>
        <w:rPr>
          <w:rFonts w:ascii="Palatino Linotype" w:hAnsi="Palatino Linotype"/>
        </w:rPr>
      </w:pP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Lo anterior, se desprende que el</w:t>
      </w:r>
      <w:r w:rsidRPr="008D589D">
        <w:rPr>
          <w:rFonts w:ascii="Palatino Linotype" w:hAnsi="Palatino Linotype" w:cs="Arial"/>
          <w:b/>
        </w:rPr>
        <w:t xml:space="preserve"> Sujeto Obligado</w:t>
      </w:r>
      <w:r w:rsidRPr="008D589D">
        <w:rPr>
          <w:rFonts w:ascii="Palatino Linotype" w:hAnsi="Palatino Linotype" w:cs="Arial"/>
        </w:rPr>
        <w:t xml:space="preserve">, determinó que la información requerida encuadra en los supuestos del artículo 140, fracción VIII, de la Ley de Transparencia y Acceso a la Información Pública del Estado de México y Municipios. </w:t>
      </w:r>
    </w:p>
    <w:p w:rsidR="008E48AA" w:rsidRPr="008D589D" w:rsidRDefault="008E48AA" w:rsidP="008E48AA">
      <w:pPr>
        <w:autoSpaceDE w:val="0"/>
        <w:autoSpaceDN w:val="0"/>
        <w:adjustRightInd w:val="0"/>
        <w:spacing w:line="360" w:lineRule="auto"/>
        <w:jc w:val="both"/>
        <w:rPr>
          <w:rFonts w:ascii="Palatino Linotype" w:hAnsi="Palatino Linotype" w:cs="Arial"/>
        </w:rPr>
      </w:pPr>
    </w:p>
    <w:p w:rsidR="008E48AA" w:rsidRPr="008D589D" w:rsidRDefault="008E48AA" w:rsidP="008E48AA">
      <w:pPr>
        <w:autoSpaceDE w:val="0"/>
        <w:autoSpaceDN w:val="0"/>
        <w:adjustRightInd w:val="0"/>
        <w:spacing w:line="360" w:lineRule="auto"/>
        <w:jc w:val="both"/>
        <w:rPr>
          <w:rFonts w:ascii="Palatino Linotype" w:hAnsi="Palatino Linotype" w:cs="Arial"/>
        </w:rPr>
      </w:pPr>
      <w:r w:rsidRPr="008D589D">
        <w:rPr>
          <w:rFonts w:ascii="Palatino Linotype" w:hAnsi="Palatino Linotype" w:cs="Arial"/>
        </w:rPr>
        <w:t xml:space="preserve">Por lo que resulta necesario, analizar dicho Acuerdo de Reserva de la información antes referida, entregado por el </w:t>
      </w:r>
      <w:r w:rsidRPr="008D589D">
        <w:rPr>
          <w:rFonts w:ascii="Palatino Linotype" w:hAnsi="Palatino Linotype" w:cs="Arial"/>
          <w:b/>
        </w:rPr>
        <w:t>Sujeto Obligado</w:t>
      </w:r>
      <w:r w:rsidRPr="008D589D">
        <w:rPr>
          <w:rFonts w:ascii="Palatino Linotype" w:hAnsi="Palatino Linotype" w:cs="Arial"/>
        </w:rPr>
        <w:t xml:space="preserve">, en su respuesta e informe justificado, a fin de 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w:t>
      </w:r>
    </w:p>
    <w:p w:rsidR="008E48AA" w:rsidRPr="008D589D" w:rsidRDefault="008E48AA" w:rsidP="008E48AA">
      <w:pPr>
        <w:autoSpaceDE w:val="0"/>
        <w:autoSpaceDN w:val="0"/>
        <w:adjustRightInd w:val="0"/>
        <w:spacing w:line="360" w:lineRule="auto"/>
        <w:jc w:val="both"/>
        <w:rPr>
          <w:rFonts w:ascii="Palatino Linotype" w:hAnsi="Palatino Linotype" w:cs="Arial"/>
        </w:rPr>
      </w:pPr>
    </w:p>
    <w:tbl>
      <w:tblPr>
        <w:tblStyle w:val="Tablaconcuadrcula"/>
        <w:tblW w:w="9072" w:type="dxa"/>
        <w:tblLayout w:type="fixed"/>
        <w:tblLook w:val="04A0" w:firstRow="1" w:lastRow="0" w:firstColumn="1" w:lastColumn="0" w:noHBand="0" w:noVBand="1"/>
      </w:tblPr>
      <w:tblGrid>
        <w:gridCol w:w="1560"/>
        <w:gridCol w:w="1417"/>
        <w:gridCol w:w="6095"/>
      </w:tblGrid>
      <w:tr w:rsidR="008E48AA" w:rsidRPr="008D589D" w:rsidTr="003154FB">
        <w:tc>
          <w:tcPr>
            <w:tcW w:w="1560" w:type="dxa"/>
            <w:tcBorders>
              <w:top w:val="nil"/>
              <w:left w:val="nil"/>
            </w:tcBorders>
          </w:tcPr>
          <w:p w:rsidR="008E48AA" w:rsidRPr="008D589D" w:rsidRDefault="008E48AA" w:rsidP="003154FB">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rsidR="008E48AA" w:rsidRPr="008D589D" w:rsidRDefault="008E48AA" w:rsidP="003154FB">
            <w:pPr>
              <w:pStyle w:val="Prrafodelista"/>
              <w:spacing w:after="120"/>
              <w:ind w:left="47"/>
              <w:jc w:val="center"/>
              <w:rPr>
                <w:rFonts w:ascii="Palatino Linotype" w:hAnsi="Palatino Linotype"/>
                <w:b/>
                <w:sz w:val="20"/>
                <w:szCs w:val="20"/>
              </w:rPr>
            </w:pPr>
            <w:r w:rsidRPr="008D589D">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rsidR="008E48AA" w:rsidRPr="008D589D" w:rsidRDefault="008E48AA" w:rsidP="003154FB">
            <w:pPr>
              <w:pStyle w:val="Prrafodelista"/>
              <w:spacing w:after="120"/>
              <w:ind w:left="47"/>
              <w:jc w:val="center"/>
              <w:rPr>
                <w:rFonts w:ascii="Palatino Linotype" w:hAnsi="Palatino Linotype"/>
                <w:b/>
              </w:rPr>
            </w:pPr>
            <w:r w:rsidRPr="008D589D">
              <w:rPr>
                <w:rFonts w:ascii="Palatino Linotype" w:hAnsi="Palatino Linotype"/>
                <w:b/>
              </w:rPr>
              <w:t>Contenido</w:t>
            </w:r>
          </w:p>
        </w:tc>
      </w:tr>
      <w:tr w:rsidR="008E48AA" w:rsidRPr="008D589D" w:rsidTr="003154FB">
        <w:tc>
          <w:tcPr>
            <w:tcW w:w="1560" w:type="dxa"/>
            <w:vAlign w:val="center"/>
          </w:tcPr>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t>Número de folio de la solicitud</w:t>
            </w:r>
          </w:p>
        </w:tc>
        <w:tc>
          <w:tcPr>
            <w:tcW w:w="1417" w:type="dxa"/>
            <w:tcBorders>
              <w:top w:val="single" w:sz="4" w:space="0" w:color="auto"/>
            </w:tcBorders>
            <w:vAlign w:val="center"/>
          </w:tcPr>
          <w:p w:rsidR="008E48AA" w:rsidRPr="008D589D" w:rsidRDefault="008E48AA" w:rsidP="003154FB">
            <w:pPr>
              <w:spacing w:after="120"/>
              <w:ind w:left="47"/>
              <w:jc w:val="center"/>
              <w:rPr>
                <w:rFonts w:ascii="Palatino Linotype" w:hAnsi="Palatino Linotype"/>
                <w:b/>
              </w:rPr>
            </w:pPr>
            <w:r w:rsidRPr="008D589D">
              <w:rPr>
                <w:rFonts w:ascii="Palatino Linotype" w:hAnsi="Palatino Linotype"/>
                <w:b/>
              </w:rPr>
              <w:t>Sí</w:t>
            </w:r>
          </w:p>
        </w:tc>
        <w:tc>
          <w:tcPr>
            <w:tcW w:w="6095" w:type="dxa"/>
            <w:tcBorders>
              <w:top w:val="single" w:sz="4" w:space="0" w:color="auto"/>
            </w:tcBorders>
            <w:vAlign w:val="center"/>
          </w:tcPr>
          <w:p w:rsidR="008E48AA" w:rsidRPr="008D589D" w:rsidRDefault="008E48AA" w:rsidP="003154FB">
            <w:pPr>
              <w:spacing w:after="120"/>
              <w:ind w:left="-115"/>
              <w:jc w:val="center"/>
              <w:rPr>
                <w:rFonts w:ascii="Palatino Linotype" w:hAnsi="Palatino Linotype"/>
                <w:sz w:val="2"/>
              </w:rPr>
            </w:pPr>
          </w:p>
          <w:p w:rsidR="008E48AA" w:rsidRPr="008D589D" w:rsidRDefault="008E48AA" w:rsidP="003154FB">
            <w:pPr>
              <w:spacing w:after="120"/>
              <w:ind w:left="-115"/>
              <w:jc w:val="center"/>
              <w:rPr>
                <w:rFonts w:ascii="Palatino Linotype" w:hAnsi="Palatino Linotype"/>
              </w:rPr>
            </w:pPr>
            <w:r w:rsidRPr="008D589D">
              <w:object w:dxaOrig="1272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66pt" o:ole="">
                  <v:imagedata r:id="rId11" o:title=""/>
                </v:shape>
                <o:OLEObject Type="Embed" ProgID="PBrush" ShapeID="_x0000_i1025" DrawAspect="Content" ObjectID="_1699690614" r:id="rId12"/>
              </w:object>
            </w:r>
          </w:p>
        </w:tc>
      </w:tr>
      <w:tr w:rsidR="008E48AA" w:rsidRPr="008D589D" w:rsidTr="003154FB">
        <w:tc>
          <w:tcPr>
            <w:tcW w:w="1560" w:type="dxa"/>
            <w:vAlign w:val="center"/>
          </w:tcPr>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t>Referencia de la información solicitada</w:t>
            </w:r>
          </w:p>
        </w:tc>
        <w:tc>
          <w:tcPr>
            <w:tcW w:w="1417" w:type="dxa"/>
            <w:vAlign w:val="center"/>
          </w:tcPr>
          <w:p w:rsidR="008E48AA" w:rsidRPr="008D589D" w:rsidRDefault="008E48AA" w:rsidP="003154FB">
            <w:pPr>
              <w:spacing w:after="120"/>
              <w:ind w:left="47"/>
              <w:jc w:val="center"/>
              <w:rPr>
                <w:rFonts w:ascii="Palatino Linotype" w:hAnsi="Palatino Linotype"/>
                <w:b/>
              </w:rPr>
            </w:pPr>
            <w:r w:rsidRPr="008D589D">
              <w:rPr>
                <w:rFonts w:ascii="Palatino Linotype" w:hAnsi="Palatino Linotype"/>
                <w:b/>
              </w:rPr>
              <w:t>Sí</w:t>
            </w:r>
          </w:p>
        </w:tc>
        <w:tc>
          <w:tcPr>
            <w:tcW w:w="6095" w:type="dxa"/>
            <w:vAlign w:val="center"/>
          </w:tcPr>
          <w:p w:rsidR="008E48AA" w:rsidRPr="008D589D" w:rsidRDefault="008E48AA" w:rsidP="003154FB">
            <w:pPr>
              <w:spacing w:after="120"/>
              <w:jc w:val="center"/>
              <w:rPr>
                <w:rFonts w:ascii="Palatino Linotype" w:hAnsi="Palatino Linotype"/>
                <w:b/>
              </w:rPr>
            </w:pPr>
            <w:r w:rsidRPr="008D589D">
              <w:object w:dxaOrig="12435" w:dyaOrig="2970">
                <v:shape id="_x0000_i1026" type="#_x0000_t75" style="width:293.25pt;height:82.5pt" o:ole="">
                  <v:imagedata r:id="rId13" o:title=""/>
                </v:shape>
                <o:OLEObject Type="Embed" ProgID="PBrush" ShapeID="_x0000_i1026" DrawAspect="Content" ObjectID="_1699690615" r:id="rId14"/>
              </w:object>
            </w:r>
          </w:p>
        </w:tc>
      </w:tr>
      <w:tr w:rsidR="008E48AA" w:rsidRPr="008D589D" w:rsidTr="003154FB">
        <w:tc>
          <w:tcPr>
            <w:tcW w:w="1560" w:type="dxa"/>
            <w:vAlign w:val="center"/>
          </w:tcPr>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8E48AA" w:rsidRPr="008D589D" w:rsidRDefault="008E48AA" w:rsidP="003154FB">
            <w:pPr>
              <w:spacing w:after="120"/>
              <w:ind w:left="47"/>
              <w:jc w:val="center"/>
              <w:rPr>
                <w:rFonts w:ascii="Palatino Linotype" w:hAnsi="Palatino Linotype"/>
                <w:b/>
              </w:rPr>
            </w:pPr>
            <w:r w:rsidRPr="008D589D">
              <w:rPr>
                <w:rFonts w:ascii="Palatino Linotype" w:hAnsi="Palatino Linotype"/>
                <w:b/>
              </w:rPr>
              <w:t>Sí</w:t>
            </w:r>
          </w:p>
        </w:tc>
        <w:tc>
          <w:tcPr>
            <w:tcW w:w="6095" w:type="dxa"/>
            <w:vAlign w:val="center"/>
          </w:tcPr>
          <w:p w:rsidR="008E48AA" w:rsidRPr="008D589D" w:rsidRDefault="008E48AA" w:rsidP="003154FB">
            <w:pPr>
              <w:spacing w:after="120"/>
              <w:jc w:val="center"/>
              <w:rPr>
                <w:rFonts w:ascii="Palatino Linotype" w:hAnsi="Palatino Linotype"/>
                <w:b/>
                <w:noProof/>
                <w:lang w:eastAsia="es-MX"/>
              </w:rPr>
            </w:pPr>
            <w:r w:rsidRPr="008D589D">
              <w:object w:dxaOrig="12645" w:dyaOrig="7125">
                <v:shape id="_x0000_i1027" type="#_x0000_t75" style="width:293.25pt;height:163.5pt" o:ole="">
                  <v:imagedata r:id="rId15" o:title=""/>
                </v:shape>
                <o:OLEObject Type="Embed" ProgID="PBrush" ShapeID="_x0000_i1027" DrawAspect="Content" ObjectID="_1699690616" r:id="rId16"/>
              </w:object>
            </w:r>
          </w:p>
        </w:tc>
      </w:tr>
      <w:tr w:rsidR="008E48AA" w:rsidRPr="008D589D" w:rsidTr="003154FB">
        <w:tc>
          <w:tcPr>
            <w:tcW w:w="1560" w:type="dxa"/>
            <w:vAlign w:val="center"/>
          </w:tcPr>
          <w:p w:rsidR="008E48AA" w:rsidRPr="008D589D" w:rsidRDefault="008E48AA" w:rsidP="003154FB">
            <w:pPr>
              <w:tabs>
                <w:tab w:val="left" w:pos="317"/>
              </w:tabs>
              <w:spacing w:after="120"/>
              <w:jc w:val="center"/>
              <w:rPr>
                <w:rFonts w:ascii="Palatino Linotype" w:hAnsi="Palatino Linotype"/>
                <w:b/>
                <w:sz w:val="16"/>
                <w:szCs w:val="16"/>
              </w:rPr>
            </w:pPr>
            <w:r w:rsidRPr="008D589D">
              <w:rPr>
                <w:rFonts w:ascii="Palatino Linotype" w:hAnsi="Palatino Linotype"/>
                <w:b/>
                <w:sz w:val="16"/>
                <w:szCs w:val="16"/>
              </w:rPr>
              <w:lastRenderedPageBreak/>
              <w:t>Fundamento y Motivación Legal</w:t>
            </w:r>
          </w:p>
        </w:tc>
        <w:tc>
          <w:tcPr>
            <w:tcW w:w="1417" w:type="dxa"/>
            <w:vAlign w:val="center"/>
          </w:tcPr>
          <w:p w:rsidR="008E48AA" w:rsidRPr="008D589D" w:rsidRDefault="008E48AA" w:rsidP="003154FB">
            <w:pPr>
              <w:spacing w:after="120"/>
              <w:ind w:left="47"/>
              <w:jc w:val="center"/>
              <w:rPr>
                <w:rFonts w:ascii="Palatino Linotype" w:hAnsi="Palatino Linotype"/>
                <w:b/>
              </w:rPr>
            </w:pPr>
            <w:r w:rsidRPr="008D589D">
              <w:rPr>
                <w:rFonts w:ascii="Palatino Linotype" w:hAnsi="Palatino Linotype"/>
                <w:b/>
              </w:rPr>
              <w:t>Sí.</w:t>
            </w:r>
          </w:p>
        </w:tc>
        <w:tc>
          <w:tcPr>
            <w:tcW w:w="6095" w:type="dxa"/>
            <w:vAlign w:val="center"/>
          </w:tcPr>
          <w:p w:rsidR="008E48AA" w:rsidRPr="008D589D" w:rsidRDefault="008E48AA" w:rsidP="003154FB">
            <w:pPr>
              <w:spacing w:after="120"/>
              <w:jc w:val="center"/>
              <w:rPr>
                <w:rFonts w:ascii="Palatino Linotype" w:hAnsi="Palatino Linotype"/>
                <w:b/>
                <w:sz w:val="2"/>
              </w:rPr>
            </w:pPr>
            <w:r w:rsidRPr="008D589D">
              <w:object w:dxaOrig="9585" w:dyaOrig="9195">
                <v:shape id="_x0000_i1028" type="#_x0000_t75" style="width:294pt;height:282pt" o:ole="">
                  <v:imagedata r:id="rId17" o:title=""/>
                </v:shape>
                <o:OLEObject Type="Embed" ProgID="PBrush" ShapeID="_x0000_i1028" DrawAspect="Content" ObjectID="_1699690617" r:id="rId18"/>
              </w:object>
            </w:r>
          </w:p>
          <w:p w:rsidR="008E48AA" w:rsidRPr="008D589D" w:rsidRDefault="008E48AA" w:rsidP="003154FB">
            <w:pPr>
              <w:spacing w:after="120"/>
              <w:ind w:left="47"/>
              <w:jc w:val="center"/>
              <w:rPr>
                <w:rFonts w:ascii="Palatino Linotype" w:hAnsi="Palatino Linotype"/>
                <w:b/>
              </w:rPr>
            </w:pPr>
            <w:r w:rsidRPr="008D589D">
              <w:rPr>
                <w:sz w:val="8"/>
              </w:rPr>
              <w:object w:dxaOrig="9510" w:dyaOrig="8640">
                <v:shape id="_x0000_i1029" type="#_x0000_t75" style="width:294pt;height:266.25pt" o:ole="">
                  <v:imagedata r:id="rId19" o:title=""/>
                </v:shape>
                <o:OLEObject Type="Embed" ProgID="PBrush" ShapeID="_x0000_i1029" DrawAspect="Content" ObjectID="_1699690618" r:id="rId20"/>
              </w:object>
            </w:r>
          </w:p>
        </w:tc>
      </w:tr>
      <w:tr w:rsidR="008E48AA" w:rsidRPr="008D589D" w:rsidTr="003154FB">
        <w:tc>
          <w:tcPr>
            <w:tcW w:w="1560" w:type="dxa"/>
            <w:vAlign w:val="center"/>
          </w:tcPr>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rsidR="008E48AA" w:rsidRPr="008D589D" w:rsidRDefault="008E48AA" w:rsidP="003154FB">
            <w:pPr>
              <w:spacing w:after="120"/>
              <w:ind w:left="47"/>
              <w:jc w:val="center"/>
              <w:rPr>
                <w:rFonts w:ascii="Palatino Linotype" w:hAnsi="Palatino Linotype"/>
                <w:b/>
              </w:rPr>
            </w:pPr>
            <w:r w:rsidRPr="008D589D">
              <w:rPr>
                <w:rFonts w:ascii="Palatino Linotype" w:hAnsi="Palatino Linotype"/>
                <w:b/>
              </w:rPr>
              <w:t xml:space="preserve">No </w:t>
            </w:r>
          </w:p>
        </w:tc>
        <w:tc>
          <w:tcPr>
            <w:tcW w:w="6095" w:type="dxa"/>
            <w:vAlign w:val="center"/>
          </w:tcPr>
          <w:p w:rsidR="008E48AA" w:rsidRPr="008D589D" w:rsidRDefault="008E48AA" w:rsidP="003154FB">
            <w:pPr>
              <w:pStyle w:val="Prrafodelista"/>
              <w:spacing w:after="120"/>
              <w:ind w:left="29" w:firstLine="18"/>
              <w:jc w:val="center"/>
            </w:pPr>
            <w:r w:rsidRPr="008D589D">
              <w:object w:dxaOrig="9495" w:dyaOrig="10110">
                <v:shape id="_x0000_i1030" type="#_x0000_t75" style="width:294pt;height:323.25pt" o:ole="">
                  <v:imagedata r:id="rId21" o:title=""/>
                </v:shape>
                <o:OLEObject Type="Embed" ProgID="PBrush" ShapeID="_x0000_i1030" DrawAspect="Content" ObjectID="_1699690619" r:id="rId22"/>
              </w:object>
            </w:r>
            <w:r w:rsidRPr="008D589D">
              <w:t xml:space="preserve"> </w:t>
            </w:r>
            <w:r w:rsidRPr="008D589D">
              <w:object w:dxaOrig="9435" w:dyaOrig="4905">
                <v:shape id="_x0000_i1031" type="#_x0000_t75" style="width:293.25pt;height:196.5pt" o:ole="">
                  <v:imagedata r:id="rId23" o:title=""/>
                </v:shape>
                <o:OLEObject Type="Embed" ProgID="PBrush" ShapeID="_x0000_i1031" DrawAspect="Content" ObjectID="_1699690620" r:id="rId24"/>
              </w:object>
            </w:r>
          </w:p>
          <w:p w:rsidR="008E48AA" w:rsidRPr="008D589D" w:rsidRDefault="008E48AA" w:rsidP="003154FB">
            <w:pPr>
              <w:pStyle w:val="Prrafodelista"/>
              <w:spacing w:after="120"/>
              <w:ind w:left="29" w:firstLine="18"/>
              <w:jc w:val="center"/>
            </w:pPr>
          </w:p>
          <w:p w:rsidR="008E48AA" w:rsidRPr="008D589D" w:rsidRDefault="008E48AA" w:rsidP="003154FB">
            <w:pPr>
              <w:pStyle w:val="Prrafodelista"/>
              <w:spacing w:after="120"/>
              <w:ind w:left="29" w:firstLine="18"/>
              <w:jc w:val="center"/>
            </w:pPr>
          </w:p>
          <w:p w:rsidR="008E48AA" w:rsidRPr="008D589D" w:rsidRDefault="008E48AA" w:rsidP="003154FB">
            <w:pPr>
              <w:pStyle w:val="Prrafodelista"/>
              <w:spacing w:after="120"/>
              <w:ind w:left="29" w:firstLine="18"/>
              <w:jc w:val="center"/>
            </w:pPr>
          </w:p>
        </w:tc>
      </w:tr>
      <w:tr w:rsidR="008E48AA" w:rsidRPr="008D589D" w:rsidTr="003154FB">
        <w:tc>
          <w:tcPr>
            <w:tcW w:w="9072" w:type="dxa"/>
            <w:gridSpan w:val="3"/>
            <w:shd w:val="clear" w:color="auto" w:fill="D9D9D9" w:themeFill="background1" w:themeFillShade="D9"/>
            <w:vAlign w:val="center"/>
          </w:tcPr>
          <w:p w:rsidR="008E48AA" w:rsidRPr="008D589D" w:rsidRDefault="008E48AA" w:rsidP="003154FB">
            <w:pPr>
              <w:pStyle w:val="Prrafodelista"/>
              <w:spacing w:after="120"/>
              <w:ind w:left="29" w:firstLine="18"/>
              <w:jc w:val="center"/>
              <w:rPr>
                <w:rFonts w:ascii="Palatino Linotype" w:hAnsi="Palatino Linotype"/>
              </w:rPr>
            </w:pPr>
            <w:r w:rsidRPr="008D589D">
              <w:rPr>
                <w:rFonts w:ascii="Palatino Linotype" w:hAnsi="Palatino Linotype"/>
                <w:b/>
              </w:rPr>
              <w:lastRenderedPageBreak/>
              <w:t>Prueba de Daño</w:t>
            </w:r>
          </w:p>
        </w:tc>
      </w:tr>
      <w:tr w:rsidR="008E48AA" w:rsidRPr="008D589D" w:rsidTr="003154FB">
        <w:tc>
          <w:tcPr>
            <w:tcW w:w="1560" w:type="dxa"/>
            <w:vAlign w:val="center"/>
          </w:tcPr>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t>Riesgo Real, Demostrable e Identificable</w:t>
            </w:r>
          </w:p>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t>(Modo, Tiempo y Lugar)</w:t>
            </w:r>
          </w:p>
        </w:tc>
        <w:tc>
          <w:tcPr>
            <w:tcW w:w="1417" w:type="dxa"/>
            <w:vAlign w:val="center"/>
          </w:tcPr>
          <w:p w:rsidR="008E48AA" w:rsidRPr="008D589D" w:rsidRDefault="008E48AA" w:rsidP="003154FB">
            <w:pPr>
              <w:pStyle w:val="Prrafodelista"/>
              <w:spacing w:after="120"/>
              <w:ind w:left="29" w:firstLine="18"/>
              <w:jc w:val="center"/>
              <w:rPr>
                <w:rFonts w:ascii="Palatino Linotype" w:hAnsi="Palatino Linotype"/>
                <w:b/>
              </w:rPr>
            </w:pPr>
            <w:r w:rsidRPr="008D589D">
              <w:rPr>
                <w:rFonts w:ascii="Palatino Linotype" w:hAnsi="Palatino Linotype"/>
                <w:b/>
              </w:rPr>
              <w:t>No</w:t>
            </w:r>
          </w:p>
        </w:tc>
        <w:tc>
          <w:tcPr>
            <w:tcW w:w="6095" w:type="dxa"/>
            <w:vAlign w:val="center"/>
          </w:tcPr>
          <w:p w:rsidR="008E48AA" w:rsidRPr="008D589D" w:rsidRDefault="008E48AA" w:rsidP="003154FB">
            <w:pPr>
              <w:pStyle w:val="Prrafodelista"/>
              <w:spacing w:after="120"/>
              <w:ind w:left="29" w:firstLine="18"/>
              <w:jc w:val="center"/>
              <w:rPr>
                <w:rFonts w:ascii="Palatino Linotype" w:hAnsi="Palatino Linotype"/>
              </w:rPr>
            </w:pPr>
            <w:r w:rsidRPr="008D589D">
              <w:object w:dxaOrig="17985" w:dyaOrig="12690">
                <v:shape id="_x0000_i1032" type="#_x0000_t75" style="width:293.25pt;height:228.75pt" o:ole="">
                  <v:imagedata r:id="rId25" o:title=""/>
                </v:shape>
                <o:OLEObject Type="Embed" ProgID="PBrush" ShapeID="_x0000_i1032" DrawAspect="Content" ObjectID="_1699690621" r:id="rId26"/>
              </w:object>
            </w:r>
          </w:p>
        </w:tc>
      </w:tr>
      <w:tr w:rsidR="008E48AA" w:rsidRPr="008D589D" w:rsidTr="003154FB">
        <w:tc>
          <w:tcPr>
            <w:tcW w:w="1560" w:type="dxa"/>
            <w:vAlign w:val="center"/>
          </w:tcPr>
          <w:p w:rsidR="008E48AA" w:rsidRPr="008D589D" w:rsidRDefault="008E48AA" w:rsidP="003154FB">
            <w:pPr>
              <w:spacing w:after="120"/>
              <w:jc w:val="center"/>
              <w:rPr>
                <w:rFonts w:ascii="Palatino Linotype" w:hAnsi="Palatino Linotype"/>
                <w:b/>
                <w:sz w:val="16"/>
                <w:szCs w:val="16"/>
              </w:rPr>
            </w:pPr>
            <w:r w:rsidRPr="008D589D">
              <w:rPr>
                <w:rFonts w:ascii="Palatino Linotype" w:hAnsi="Palatino Linotype"/>
                <w:b/>
                <w:sz w:val="16"/>
                <w:szCs w:val="16"/>
              </w:rPr>
              <w:t>Temporalidad de la Reserva de la información</w:t>
            </w:r>
          </w:p>
        </w:tc>
        <w:tc>
          <w:tcPr>
            <w:tcW w:w="1417" w:type="dxa"/>
            <w:vAlign w:val="center"/>
          </w:tcPr>
          <w:p w:rsidR="008E48AA" w:rsidRPr="008D589D" w:rsidRDefault="008E48AA" w:rsidP="003154FB">
            <w:pPr>
              <w:pStyle w:val="Prrafodelista"/>
              <w:spacing w:after="120"/>
              <w:ind w:left="29" w:firstLine="18"/>
              <w:jc w:val="center"/>
              <w:rPr>
                <w:rFonts w:ascii="Palatino Linotype" w:hAnsi="Palatino Linotype"/>
                <w:b/>
              </w:rPr>
            </w:pPr>
            <w:r w:rsidRPr="008D589D">
              <w:rPr>
                <w:rFonts w:ascii="Palatino Linotype" w:hAnsi="Palatino Linotype"/>
                <w:b/>
              </w:rPr>
              <w:t>Sí</w:t>
            </w:r>
          </w:p>
        </w:tc>
        <w:tc>
          <w:tcPr>
            <w:tcW w:w="6095" w:type="dxa"/>
            <w:vAlign w:val="center"/>
          </w:tcPr>
          <w:p w:rsidR="008E48AA" w:rsidRPr="008D589D" w:rsidRDefault="008E48AA" w:rsidP="003154FB">
            <w:pPr>
              <w:pStyle w:val="Prrafodelista"/>
              <w:spacing w:after="120"/>
              <w:ind w:left="29" w:firstLine="18"/>
              <w:jc w:val="center"/>
            </w:pPr>
            <w:r w:rsidRPr="008D589D">
              <w:object w:dxaOrig="7530" w:dyaOrig="810">
                <v:shape id="_x0000_i1033" type="#_x0000_t75" style="width:294.75pt;height:36.75pt" o:ole="">
                  <v:imagedata r:id="rId27" o:title=""/>
                </v:shape>
                <o:OLEObject Type="Embed" ProgID="PBrush" ShapeID="_x0000_i1033" DrawAspect="Content" ObjectID="_1699690622" r:id="rId28"/>
              </w:object>
            </w:r>
            <w:r w:rsidRPr="008D589D">
              <w:t xml:space="preserve"> </w:t>
            </w:r>
            <w:r w:rsidRPr="008D589D">
              <w:object w:dxaOrig="7530" w:dyaOrig="2565">
                <v:shape id="_x0000_i1034" type="#_x0000_t75" style="width:291pt;height:128.25pt" o:ole="">
                  <v:imagedata r:id="rId29" o:title=""/>
                </v:shape>
                <o:OLEObject Type="Embed" ProgID="PBrush" ShapeID="_x0000_i1034" DrawAspect="Content" ObjectID="_1699690623" r:id="rId30"/>
              </w:object>
            </w:r>
          </w:p>
          <w:p w:rsidR="008E48AA" w:rsidRPr="008D589D" w:rsidRDefault="008E48AA" w:rsidP="003154FB">
            <w:pPr>
              <w:pStyle w:val="Prrafodelista"/>
              <w:spacing w:after="120"/>
              <w:ind w:left="29" w:firstLine="18"/>
              <w:jc w:val="center"/>
              <w:rPr>
                <w:rFonts w:ascii="Palatino Linotype" w:hAnsi="Palatino Linotype"/>
              </w:rPr>
            </w:pPr>
            <w:r w:rsidRPr="008D589D">
              <w:object w:dxaOrig="18120" w:dyaOrig="3435">
                <v:shape id="_x0000_i1035" type="#_x0000_t75" style="width:293.25pt;height:85.5pt" o:ole="">
                  <v:imagedata r:id="rId31" o:title=""/>
                </v:shape>
                <o:OLEObject Type="Embed" ProgID="PBrush" ShapeID="_x0000_i1035" DrawAspect="Content" ObjectID="_1699690624" r:id="rId32"/>
              </w:object>
            </w:r>
          </w:p>
        </w:tc>
      </w:tr>
      <w:tr w:rsidR="008E48AA" w:rsidRPr="008D589D" w:rsidTr="003154FB">
        <w:trPr>
          <w:trHeight w:val="3517"/>
        </w:trPr>
        <w:tc>
          <w:tcPr>
            <w:tcW w:w="1560" w:type="dxa"/>
            <w:vAlign w:val="center"/>
          </w:tcPr>
          <w:p w:rsidR="008E48AA" w:rsidRPr="008D589D" w:rsidRDefault="008E48AA" w:rsidP="003154FB">
            <w:pPr>
              <w:tabs>
                <w:tab w:val="left" w:pos="317"/>
              </w:tabs>
              <w:spacing w:after="120"/>
              <w:jc w:val="center"/>
              <w:rPr>
                <w:rFonts w:ascii="Palatino Linotype" w:hAnsi="Palatino Linotype"/>
                <w:b/>
                <w:sz w:val="16"/>
                <w:szCs w:val="16"/>
              </w:rPr>
            </w:pPr>
            <w:r w:rsidRPr="008D589D">
              <w:rPr>
                <w:rFonts w:ascii="Palatino Linotype" w:hAnsi="Palatino Linotype"/>
                <w:b/>
                <w:sz w:val="16"/>
                <w:szCs w:val="16"/>
              </w:rPr>
              <w:lastRenderedPageBreak/>
              <w:t>Autoridades competentes.</w:t>
            </w:r>
          </w:p>
        </w:tc>
        <w:tc>
          <w:tcPr>
            <w:tcW w:w="1417" w:type="dxa"/>
            <w:vAlign w:val="center"/>
          </w:tcPr>
          <w:p w:rsidR="008E48AA" w:rsidRPr="008D589D" w:rsidRDefault="008E48AA" w:rsidP="003154FB">
            <w:pPr>
              <w:pStyle w:val="Prrafodelista"/>
              <w:spacing w:after="120"/>
              <w:ind w:left="29" w:firstLine="18"/>
              <w:jc w:val="center"/>
              <w:rPr>
                <w:rFonts w:ascii="Palatino Linotype" w:hAnsi="Palatino Linotype"/>
                <w:b/>
              </w:rPr>
            </w:pPr>
            <w:r w:rsidRPr="008D589D">
              <w:rPr>
                <w:rFonts w:ascii="Palatino Linotype" w:hAnsi="Palatino Linotype"/>
                <w:b/>
              </w:rPr>
              <w:t>Sí</w:t>
            </w:r>
          </w:p>
        </w:tc>
        <w:tc>
          <w:tcPr>
            <w:tcW w:w="6095" w:type="dxa"/>
          </w:tcPr>
          <w:p w:rsidR="008E48AA" w:rsidRPr="008D589D" w:rsidRDefault="008E48AA" w:rsidP="003154FB">
            <w:r w:rsidRPr="008D589D">
              <w:object w:dxaOrig="7710" w:dyaOrig="4980">
                <v:shape id="_x0000_i1036" type="#_x0000_t75" style="width:300.75pt;height:194.25pt" o:ole="">
                  <v:imagedata r:id="rId33" o:title=""/>
                </v:shape>
                <o:OLEObject Type="Embed" ProgID="PBrush" ShapeID="_x0000_i1036" DrawAspect="Content" ObjectID="_1699690625" r:id="rId34"/>
              </w:object>
            </w:r>
          </w:p>
          <w:p w:rsidR="008E48AA" w:rsidRPr="008D589D" w:rsidRDefault="008E48AA" w:rsidP="003154FB">
            <w:r w:rsidRPr="008D589D">
              <w:object w:dxaOrig="7650" w:dyaOrig="4470">
                <v:shape id="_x0000_i1037" type="#_x0000_t75" style="width:300.75pt;height:176.25pt" o:ole="">
                  <v:imagedata r:id="rId35" o:title=""/>
                </v:shape>
                <o:OLEObject Type="Embed" ProgID="PBrush" ShapeID="_x0000_i1037" DrawAspect="Content" ObjectID="_1699690626" r:id="rId36"/>
              </w:object>
            </w:r>
          </w:p>
        </w:tc>
      </w:tr>
    </w:tbl>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spacing w:line="360" w:lineRule="auto"/>
        <w:jc w:val="both"/>
        <w:rPr>
          <w:rFonts w:ascii="Palatino Linotype" w:hAnsi="Palatino Linotype" w:cs="Tahoma"/>
          <w:bCs/>
        </w:rPr>
      </w:pPr>
      <w:r w:rsidRPr="008D589D">
        <w:rPr>
          <w:rFonts w:ascii="Palatino Linotype" w:hAnsi="Palatino Linotype"/>
        </w:rPr>
        <w:t>Es así que, del análisis del</w:t>
      </w:r>
      <w:r w:rsidRPr="008D589D">
        <w:rPr>
          <w:rFonts w:ascii="Palatino Linotype" w:hAnsi="Palatino Linotype" w:cs="Arial"/>
        </w:rPr>
        <w:t xml:space="preserve"> </w:t>
      </w:r>
      <w:r w:rsidRPr="008D589D">
        <w:rPr>
          <w:rFonts w:ascii="Palatino Linotype" w:hAnsi="Palatino Linotype"/>
          <w:lang w:eastAsia="es-MX"/>
        </w:rPr>
        <w:t xml:space="preserve">Acta de la Vigésima Sesión Extraordinaria, del Ejercicio 2021 del Comité de Transparencia </w:t>
      </w:r>
      <w:r w:rsidRPr="008D589D">
        <w:rPr>
          <w:rFonts w:ascii="Palatino Linotype" w:hAnsi="Palatino Linotype"/>
          <w:b/>
          <w:lang w:eastAsia="es-MX"/>
        </w:rPr>
        <w:t>No. JC/CT/EXT/020-2021</w:t>
      </w:r>
      <w:r w:rsidRPr="008D589D">
        <w:rPr>
          <w:rFonts w:ascii="Palatino Linotype" w:hAnsi="Palatino Linotype"/>
          <w:lang w:eastAsia="es-MX"/>
        </w:rPr>
        <w:t>, de fecha 24 de agosto de 2021</w:t>
      </w:r>
      <w:r w:rsidRPr="008D589D">
        <w:rPr>
          <w:rFonts w:ascii="Palatino Linotype" w:hAnsi="Palatino Linotype" w:cs="Arial"/>
        </w:rPr>
        <w:t xml:space="preserve">, emitida por el Comité de Transparencia, </w:t>
      </w:r>
      <w:r w:rsidRPr="008D589D">
        <w:rPr>
          <w:rFonts w:ascii="Palatino Linotype" w:hAnsi="Palatino Linotype" w:cs="Tahoma"/>
          <w:bCs/>
        </w:rPr>
        <w:t>es menester precisar que para que se trate de un</w:t>
      </w:r>
      <w:r w:rsidRPr="008D589D">
        <w:rPr>
          <w:rFonts w:ascii="Palatino Linotype" w:hAnsi="Palatino Linotype" w:cs="Tahoma"/>
          <w:b/>
          <w:bCs/>
        </w:rPr>
        <w:t xml:space="preserve"> </w:t>
      </w:r>
      <w:r w:rsidRPr="008D589D">
        <w:rPr>
          <w:rFonts w:ascii="Palatino Linotype" w:hAnsi="Palatino Linotype" w:cs="Tahoma"/>
          <w:bCs/>
        </w:rPr>
        <w:t xml:space="preserve">juicio o procedimiento administrativo materialmente jurisdiccional, debe cumplirse con lo dispuesto en los Lineamientos Generales en materia de clasificación y desclasificación de la información, así como lo sostenido por la Segunda Sala de la Suprema Corte de Justicia de la Nación, en la Tesis 2a./J. 22/2003, consistente en que un </w:t>
      </w:r>
      <w:r w:rsidRPr="008D589D">
        <w:rPr>
          <w:rFonts w:ascii="Palatino Linotype" w:hAnsi="Palatino Linotype" w:cs="Tahoma"/>
          <w:bCs/>
          <w:i/>
        </w:rPr>
        <w:lastRenderedPageBreak/>
        <w:t>“procedimiento en forma de juicio”</w:t>
      </w:r>
      <w:r w:rsidRPr="008D589D">
        <w:rPr>
          <w:rFonts w:ascii="Palatino Linotype" w:hAnsi="Palatino Linotype" w:cs="Tahoma"/>
          <w:bCs/>
        </w:rPr>
        <w:t xml:space="preserve">, debe entenderse </w:t>
      </w:r>
      <w:r w:rsidRPr="008D589D">
        <w:rPr>
          <w:rFonts w:ascii="Palatino Linotype" w:hAnsi="Palatino Linotype" w:cs="Tahoma"/>
          <w:bCs/>
          <w:i/>
        </w:rPr>
        <w:t>lato sensu</w:t>
      </w:r>
      <w:r w:rsidRPr="008D589D">
        <w:rPr>
          <w:rFonts w:ascii="Palatino Linotype" w:hAnsi="Palatino Linotype" w:cs="Tahoma"/>
          <w:bCs/>
        </w:rPr>
        <w:t>, no únicamente comprendiendo los procedimientos en que la autoridad dirime una controversia entre las partes, sino que deben incluir todos aquellos procedimientos en que una autoridad frente a la particular, prepara su resolución definitiva, aunque sólo sea un trámite para cumplir con la garantía de audiencia,</w:t>
      </w:r>
      <w:r w:rsidRPr="008D589D">
        <w:rPr>
          <w:rFonts w:ascii="Palatino Linotype" w:hAnsi="Palatino Linotype" w:cs="Tahoma"/>
          <w:b/>
          <w:bCs/>
        </w:rPr>
        <w:t xml:space="preserve"> </w:t>
      </w:r>
      <w:r w:rsidRPr="008D589D">
        <w:rPr>
          <w:rFonts w:ascii="Palatino Linotype" w:hAnsi="Palatino Linotype" w:cs="Tahoma"/>
          <w:bCs/>
        </w:rPr>
        <w:t>tal como se muestra a continuación:</w:t>
      </w:r>
    </w:p>
    <w:p w:rsidR="008E48AA" w:rsidRPr="008D589D" w:rsidRDefault="008E48AA" w:rsidP="008E48AA">
      <w:pPr>
        <w:spacing w:line="360" w:lineRule="auto"/>
        <w:jc w:val="both"/>
        <w:rPr>
          <w:rFonts w:ascii="Palatino Linotype" w:hAnsi="Palatino Linotype" w:cs="Tahoma"/>
          <w:bCs/>
        </w:rPr>
      </w:pPr>
    </w:p>
    <w:p w:rsidR="008E48AA" w:rsidRPr="008D589D" w:rsidRDefault="008E48AA" w:rsidP="008E48AA">
      <w:pPr>
        <w:ind w:left="567" w:right="567"/>
        <w:jc w:val="both"/>
        <w:rPr>
          <w:rFonts w:ascii="Palatino Linotype" w:hAnsi="Palatino Linotype" w:cs="Tahoma"/>
          <w:b/>
          <w:bCs/>
          <w:i/>
          <w:sz w:val="22"/>
        </w:rPr>
      </w:pPr>
      <w:r w:rsidRPr="008D589D">
        <w:rPr>
          <w:rFonts w:ascii="Palatino Linotype" w:hAnsi="Palatino Linotype" w:cs="Tahoma"/>
          <w:bCs/>
          <w:i/>
          <w:sz w:val="22"/>
        </w:rPr>
        <w:t>“</w:t>
      </w:r>
      <w:r w:rsidRPr="008D589D">
        <w:rPr>
          <w:rFonts w:ascii="Palatino Linotype" w:hAnsi="Palatino Linotype" w:cs="Tahoma"/>
          <w:b/>
          <w:bCs/>
          <w:i/>
          <w:sz w:val="22"/>
        </w:rPr>
        <w:t xml:space="preserve">PROCEDIMIENTOS EN FORMA DE JUICIO SEGUIDOS POR AUTORIDADES DISTINTAS DE TRIBUNALES A QUE SE REFIERE EL ARTÍCULO 114, FRACCIÓN II, PÁRRAFO SEGUNDO, DE LA LEY DE AMPARO. SU CONCEPTO COMPRENDE TANTO AQUELLOS EN QUE LA AUTORIDAD DIRIME UNA CONTROVERSIA ENTRE PARTES CONTENDIENTES, COMO LOS PROCEDIMIENTOS MEDIANTE LOS QUE LA AUTORIDAD PREPARA SU RESOLUCIÓN DEFINITIVA CON INTERVENCIÓN DEL PARTICULAR. </w:t>
      </w:r>
      <w:r w:rsidRPr="008D589D">
        <w:rPr>
          <w:rFonts w:ascii="Palatino Linotype" w:hAnsi="Palatino Linotype" w:cs="Tahoma"/>
          <w:bCs/>
          <w:i/>
          <w:sz w:val="22"/>
        </w:rPr>
        <w:t xml:space="preserve">La Ley de Amparo establece que tratándose de actos dentro de un procedimiento, la </w:t>
      </w:r>
      <w:r w:rsidRPr="008D589D">
        <w:rPr>
          <w:rFonts w:ascii="Palatino Linotype" w:hAnsi="Palatino Linotype" w:cs="Tahoma"/>
          <w:b/>
          <w:bCs/>
          <w:i/>
          <w:sz w:val="22"/>
        </w:rPr>
        <w:t>regla general, con algunas excepciones, es que el juicio constitucional sólo procede hasta la resolución definitiva,</w:t>
      </w:r>
      <w:r w:rsidRPr="008D589D">
        <w:rPr>
          <w:rFonts w:ascii="Palatino Linotype" w:hAnsi="Palatino Linotype" w:cs="Tahoma"/>
          <w:bCs/>
          <w:i/>
          <w:sz w:val="22"/>
        </w:rPr>
        <w:t xml:space="preserve"> ocasión en la cual cabe alegar tanto violaciones de fondo como de procedimiento, sistema que tiene el propósito de armonizar la protección de las garantías constitucionales del gobernado, con la necesidad de asegurar la </w:t>
      </w:r>
      <w:proofErr w:type="spellStart"/>
      <w:r w:rsidRPr="008D589D">
        <w:rPr>
          <w:rFonts w:ascii="Palatino Linotype" w:hAnsi="Palatino Linotype" w:cs="Tahoma"/>
          <w:bCs/>
          <w:i/>
          <w:sz w:val="22"/>
        </w:rPr>
        <w:t>expeditez</w:t>
      </w:r>
      <w:proofErr w:type="spellEnd"/>
      <w:r w:rsidRPr="008D589D">
        <w:rPr>
          <w:rFonts w:ascii="Palatino Linotype" w:hAnsi="Palatino Linotype" w:cs="Tahoma"/>
          <w:bCs/>
          <w:i/>
          <w:sz w:val="22"/>
        </w:rPr>
        <w:t xml:space="preserve"> de las diligencias procedimentales. Tal es la estructura que dicha Ley adopta en el amparo directo, así como en los procedimientos de ejecución y en los procedimientos de remate, como lo establece en sus artículos </w:t>
      </w:r>
      <w:hyperlink r:id="rId37" w:history="1">
        <w:r w:rsidRPr="008D589D">
          <w:rPr>
            <w:rStyle w:val="Hipervnculo"/>
            <w:rFonts w:ascii="Palatino Linotype" w:eastAsiaTheme="majorEastAsia" w:hAnsi="Palatino Linotype" w:cs="Tahoma"/>
            <w:bCs/>
            <w:i/>
            <w:sz w:val="22"/>
          </w:rPr>
          <w:t>158</w:t>
        </w:r>
      </w:hyperlink>
      <w:r w:rsidRPr="008D589D">
        <w:rPr>
          <w:rFonts w:ascii="Palatino Linotype" w:hAnsi="Palatino Linotype" w:cs="Tahoma"/>
          <w:bCs/>
          <w:i/>
          <w:sz w:val="22"/>
        </w:rPr>
        <w:t xml:space="preserve"> y </w:t>
      </w:r>
      <w:hyperlink r:id="rId38" w:history="1">
        <w:r w:rsidRPr="008D589D">
          <w:rPr>
            <w:rStyle w:val="Hipervnculo"/>
            <w:rFonts w:ascii="Palatino Linotype" w:eastAsiaTheme="majorEastAsia" w:hAnsi="Palatino Linotype" w:cs="Tahoma"/>
            <w:bCs/>
            <w:i/>
            <w:sz w:val="22"/>
          </w:rPr>
          <w:t>114, fracción III</w:t>
        </w:r>
      </w:hyperlink>
      <w:r w:rsidRPr="008D589D">
        <w:rPr>
          <w:rFonts w:ascii="Palatino Linotype" w:hAnsi="Palatino Linotype" w:cs="Tahoma"/>
          <w:bCs/>
          <w:i/>
          <w:sz w:val="22"/>
        </w:rPr>
        <w:t xml:space="preserve">, respectivamente. Por tanto, </w:t>
      </w:r>
      <w:r w:rsidRPr="008D589D">
        <w:rPr>
          <w:rFonts w:ascii="Palatino Linotype" w:hAnsi="Palatino Linotype" w:cs="Tahoma"/>
          <w:b/>
          <w:bCs/>
          <w:i/>
          <w:sz w:val="22"/>
        </w:rPr>
        <w:t xml:space="preserve">al establecer el segundo párrafo de la fracción II del artículo 114 acabado de citar, que cuando el acto reclamado de autoridades distintas de tribunales judiciales, administrativos o del trabajo, emanen de un procedimiento en forma de juicio, el amparo sólo procede en contra de la resolución definitiva, </w:t>
      </w:r>
      <w:r w:rsidRPr="008D589D">
        <w:rPr>
          <w:rFonts w:ascii="Palatino Linotype" w:hAnsi="Palatino Linotype" w:cs="Tahoma"/>
          <w:b/>
          <w:bCs/>
          <w:i/>
          <w:sz w:val="22"/>
          <w:u w:val="single"/>
        </w:rPr>
        <w:t>debe interpretarse de manera amplia</w:t>
      </w:r>
      <w:r w:rsidRPr="008D589D">
        <w:rPr>
          <w:rFonts w:ascii="Palatino Linotype" w:hAnsi="Palatino Linotype" w:cs="Tahoma"/>
          <w:b/>
          <w:bCs/>
          <w:i/>
          <w:sz w:val="22"/>
        </w:rPr>
        <w:t xml:space="preserve"> la expresión "procedimiento en forma de juicio", comprendiendo aquellos en que la autoridad dirime una controversia entre partes contendientes, así como todos los procedimientos en que la autoridad, frente al particular, prepara su resolución definitiva, aunque sólo sea un trámite para cumplir con la garantía de audiencia, pues si en todos ellos se reclaman actos dentro de procedimiento, en todos debe de aplicarse la misma regla, conclusión que es acorde con la interpretación literal de dicho párrafo.</w:t>
      </w:r>
      <w:r w:rsidRPr="008D589D">
        <w:rPr>
          <w:rFonts w:ascii="Palatino Linotype" w:hAnsi="Palatino Linotype" w:cs="Tahoma"/>
          <w:bCs/>
          <w:i/>
          <w:sz w:val="22"/>
        </w:rPr>
        <w:t>”</w:t>
      </w:r>
    </w:p>
    <w:p w:rsidR="008E48AA" w:rsidRPr="008D589D" w:rsidRDefault="008E48AA" w:rsidP="008E48AA">
      <w:pPr>
        <w:pStyle w:val="Prrafodelista"/>
        <w:spacing w:line="360" w:lineRule="auto"/>
        <w:ind w:left="0"/>
        <w:jc w:val="both"/>
        <w:rPr>
          <w:rFonts w:ascii="Palatino Linotype" w:hAnsi="Palatino Linotype" w:cs="Arial"/>
        </w:rPr>
      </w:pPr>
    </w:p>
    <w:p w:rsidR="008E48AA" w:rsidRPr="008D589D" w:rsidRDefault="008E48AA" w:rsidP="008E48AA">
      <w:pPr>
        <w:pStyle w:val="Prrafodelista"/>
        <w:spacing w:line="360" w:lineRule="auto"/>
        <w:ind w:left="0"/>
        <w:jc w:val="both"/>
        <w:rPr>
          <w:rFonts w:ascii="Palatino Linotype" w:hAnsi="Palatino Linotype" w:cs="Arial"/>
        </w:rPr>
      </w:pPr>
    </w:p>
    <w:p w:rsidR="008E48AA" w:rsidRPr="008D589D" w:rsidRDefault="008E48AA" w:rsidP="008E48AA">
      <w:pPr>
        <w:spacing w:line="360" w:lineRule="auto"/>
        <w:jc w:val="both"/>
        <w:rPr>
          <w:rFonts w:ascii="Palatino Linotype" w:hAnsi="Palatino Linotype"/>
        </w:rPr>
      </w:pPr>
      <w:r w:rsidRPr="008D589D">
        <w:rPr>
          <w:rFonts w:ascii="Palatino Linotype" w:hAnsi="Palatino Linotype"/>
        </w:rPr>
        <w:lastRenderedPageBreak/>
        <w:t xml:space="preserve">Ahora bien, para el caso de la información de carácter </w:t>
      </w:r>
      <w:r w:rsidRPr="008D589D">
        <w:rPr>
          <w:rFonts w:ascii="Palatino Linotype" w:hAnsi="Palatino Linotype"/>
          <w:b/>
        </w:rPr>
        <w:t>RESERVADA</w:t>
      </w:r>
      <w:r w:rsidRPr="008D589D">
        <w:rPr>
          <w:rFonts w:ascii="Palatino Linotype" w:hAnsi="Palatino Linotype"/>
        </w:rPr>
        <w:t>, se debe atender a lo establecido en los artículos 122, 125, 126, 127, 128, 129, 130, 131, 132, 133, 134, 135, 137, 140 fracción VIII, 141 y 142, de la Ley de Transparencia Estatal, que a la letra estipulan lo siguiente:</w:t>
      </w:r>
    </w:p>
    <w:p w:rsidR="008E48AA" w:rsidRPr="008D589D" w:rsidRDefault="008E48AA" w:rsidP="008E48AA">
      <w:pPr>
        <w:pStyle w:val="Sinespaciado"/>
      </w:pPr>
    </w:p>
    <w:p w:rsidR="008E48AA" w:rsidRPr="008D589D" w:rsidRDefault="008E48AA" w:rsidP="008E48AA">
      <w:pPr>
        <w:ind w:left="567" w:right="567"/>
        <w:jc w:val="both"/>
        <w:rPr>
          <w:rFonts w:ascii="Palatino Linotype" w:hAnsi="Palatino Linotype"/>
          <w:i/>
          <w:sz w:val="22"/>
          <w:szCs w:val="22"/>
        </w:rPr>
      </w:pPr>
      <w:r w:rsidRPr="008D589D">
        <w:rPr>
          <w:rFonts w:ascii="Palatino Linotype" w:hAnsi="Palatino Linotype"/>
          <w:b/>
          <w:bCs/>
          <w:i/>
          <w:sz w:val="22"/>
          <w:szCs w:val="22"/>
        </w:rPr>
        <w:t xml:space="preserve">“Artículo 122. </w:t>
      </w:r>
      <w:r w:rsidRPr="008D589D">
        <w:rPr>
          <w:rFonts w:ascii="Palatino Linotype" w:hAnsi="Palatino Linotype"/>
          <w:i/>
          <w:sz w:val="22"/>
          <w:szCs w:val="22"/>
        </w:rPr>
        <w:t xml:space="preserve">La clasificación es el proceso mediante el cual el sujeto obligado determina que la información en su poder </w:t>
      </w:r>
      <w:proofErr w:type="spellStart"/>
      <w:r w:rsidRPr="008D589D">
        <w:rPr>
          <w:rFonts w:ascii="Palatino Linotype" w:hAnsi="Palatino Linotype"/>
          <w:i/>
          <w:sz w:val="22"/>
          <w:szCs w:val="22"/>
        </w:rPr>
        <w:t>actualiza</w:t>
      </w:r>
      <w:proofErr w:type="spellEnd"/>
      <w:r w:rsidRPr="008D589D">
        <w:rPr>
          <w:rFonts w:ascii="Palatino Linotype" w:hAnsi="Palatino Linotype"/>
          <w:i/>
          <w:sz w:val="22"/>
          <w:szCs w:val="22"/>
        </w:rPr>
        <w:t xml:space="preserve"> alguno de los supuestos de reserva o confidencialidad, de conformidad con lo dispuesto en el presente título.</w:t>
      </w:r>
    </w:p>
    <w:p w:rsidR="008E48AA" w:rsidRPr="008D589D" w:rsidRDefault="008E48AA" w:rsidP="008E48AA">
      <w:pPr>
        <w:ind w:left="567" w:right="567"/>
        <w:jc w:val="both"/>
        <w:rPr>
          <w:rFonts w:ascii="Palatino Linotype" w:hAnsi="Palatino Linotype"/>
          <w:i/>
          <w:sz w:val="22"/>
          <w:szCs w:val="22"/>
        </w:rPr>
      </w:pPr>
      <w:r w:rsidRPr="008D589D">
        <w:rPr>
          <w:rFonts w:ascii="Palatino Linotype" w:hAnsi="Palatino Linotype"/>
          <w:i/>
          <w:sz w:val="22"/>
          <w:szCs w:val="22"/>
        </w:rPr>
        <w:t xml:space="preserve"> </w:t>
      </w:r>
    </w:p>
    <w:p w:rsidR="008E48AA" w:rsidRPr="008D589D" w:rsidRDefault="008E48AA" w:rsidP="008E48AA">
      <w:pPr>
        <w:ind w:left="567" w:right="567"/>
        <w:jc w:val="both"/>
        <w:rPr>
          <w:rFonts w:ascii="Palatino Linotype" w:hAnsi="Palatino Linotype"/>
          <w:i/>
          <w:sz w:val="22"/>
          <w:szCs w:val="22"/>
        </w:rPr>
      </w:pPr>
      <w:r w:rsidRPr="008D589D">
        <w:rPr>
          <w:rFonts w:ascii="Palatino Linotype" w:hAnsi="Palatino Linotype"/>
          <w:i/>
          <w:sz w:val="22"/>
          <w:szCs w:val="22"/>
        </w:rPr>
        <w:t xml:space="preserve">Los supuestos de reserva o confidencialidad previstos en las leyes deberán ser acordes con las bases, principios y disposiciones establecidos en la Ley General y, en ningún caso, podrán contravenirla. </w:t>
      </w:r>
    </w:p>
    <w:p w:rsidR="008E48AA" w:rsidRPr="008D589D" w:rsidRDefault="008E48AA" w:rsidP="008E48AA">
      <w:pPr>
        <w:ind w:left="567" w:right="567"/>
        <w:jc w:val="both"/>
        <w:rPr>
          <w:rFonts w:ascii="Palatino Linotype" w:hAnsi="Palatino Linotype"/>
          <w:i/>
          <w:sz w:val="22"/>
          <w:szCs w:val="22"/>
        </w:rPr>
      </w:pPr>
    </w:p>
    <w:p w:rsidR="008E48AA" w:rsidRPr="008D589D" w:rsidRDefault="008E48AA" w:rsidP="008E48AA">
      <w:pPr>
        <w:ind w:left="567" w:right="567"/>
        <w:jc w:val="both"/>
        <w:rPr>
          <w:rFonts w:ascii="Palatino Linotype" w:hAnsi="Palatino Linotype"/>
          <w:i/>
          <w:sz w:val="22"/>
          <w:szCs w:val="22"/>
        </w:rPr>
      </w:pPr>
      <w:r w:rsidRPr="008D589D">
        <w:rPr>
          <w:rFonts w:ascii="Palatino Linotype" w:hAnsi="Palatino Linotype"/>
          <w:i/>
          <w:sz w:val="22"/>
          <w:szCs w:val="22"/>
        </w:rPr>
        <w:t>Los titulares de las áreas de los sujetos obligados serán los responsables de clasificar la información, de conformidad con lo dispuesto en la presente Ley y demás disposiciones jurídicas aplicables.</w:t>
      </w:r>
    </w:p>
    <w:p w:rsidR="008E48AA" w:rsidRPr="008D589D" w:rsidRDefault="008E48AA" w:rsidP="008E48AA">
      <w:pPr>
        <w:ind w:left="567" w:right="567"/>
        <w:jc w:val="both"/>
        <w:rPr>
          <w:rFonts w:ascii="Palatino Linotype"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125. </w:t>
      </w:r>
      <w:r w:rsidRPr="008D589D">
        <w:rPr>
          <w:rFonts w:ascii="Palatino Linotype" w:eastAsia="Calibri" w:hAnsi="Palatino Linotype"/>
          <w:b/>
          <w:i/>
          <w:sz w:val="22"/>
          <w:szCs w:val="22"/>
          <w:u w:val="single"/>
        </w:rPr>
        <w:t>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i/>
          <w:sz w:val="22"/>
          <w:szCs w:val="22"/>
          <w:u w:val="single"/>
        </w:rPr>
        <w:t>Los titulares de las áreas deberán determinar que el plazo de reserva sea el estrictamente necesario para proteger la información mientras subsistan las causas que dieron origen a la clasificación</w:t>
      </w:r>
      <w:r w:rsidRPr="008D589D">
        <w:rPr>
          <w:rFonts w:ascii="Palatino Linotype" w:eastAsia="Calibri" w:hAnsi="Palatino Linotype"/>
          <w:i/>
          <w:sz w:val="22"/>
          <w:szCs w:val="22"/>
        </w:rPr>
        <w:t xml:space="preserve">, salvaguardando el interés público protegido y tomarán en cuenta las razones que justifican el periodo de reserva establecido.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i/>
          <w:sz w:val="22"/>
          <w:szCs w:val="22"/>
          <w:u w:val="single"/>
        </w:rPr>
        <w:t>Excepcionalmente los sujetos obligados con la aprobación de su Comité de Transparencia, podrán ampliar el periodo de reserva hasta por un plazo de cinco años adicionales y por una sola vez, siempre y cuando justifiquen que subsisten las causas que dieron origen</w:t>
      </w:r>
      <w:r w:rsidRPr="008D589D">
        <w:rPr>
          <w:rFonts w:ascii="Palatino Linotype" w:eastAsia="Calibri" w:hAnsi="Palatino Linotype"/>
          <w:i/>
          <w:sz w:val="22"/>
          <w:szCs w:val="22"/>
        </w:rPr>
        <w:t xml:space="preserve"> a su clasificación, mediante la aplicación de una prueba de daño.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i/>
          <w:sz w:val="22"/>
          <w:szCs w:val="22"/>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w:t>
      </w:r>
      <w:r w:rsidRPr="008D589D">
        <w:rPr>
          <w:rFonts w:ascii="Palatino Linotype" w:eastAsia="Calibri" w:hAnsi="Palatino Linotype"/>
          <w:i/>
          <w:sz w:val="22"/>
          <w:szCs w:val="22"/>
        </w:rPr>
        <w:lastRenderedPageBreak/>
        <w:t>motivada, aplicando la prueba de daño y señalando el plazo de reserva, por lo menos con tres meses de anticipación al vencimiento del periodo.</w:t>
      </w:r>
    </w:p>
    <w:p w:rsidR="008E48AA" w:rsidRPr="008D589D" w:rsidRDefault="008E48AA" w:rsidP="008E48AA">
      <w:pPr>
        <w:ind w:left="567" w:right="567"/>
        <w:jc w:val="both"/>
        <w:rPr>
          <w:rFonts w:ascii="Palatino Linotype" w:eastAsia="Calibri" w:hAnsi="Palatino Linotype"/>
          <w:b/>
          <w:bCs/>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126. </w:t>
      </w:r>
      <w:r w:rsidRPr="008D589D">
        <w:rPr>
          <w:rFonts w:ascii="Palatino Linotype" w:eastAsia="Calibri" w:hAnsi="Palatino Linotype"/>
          <w:i/>
          <w:sz w:val="22"/>
          <w:szCs w:val="22"/>
        </w:rPr>
        <w:t xml:space="preserve">Cada área del sujeto obligado elaborará un índice de los expedientes clasificados como reservados, por área responsable de la información y tema.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i/>
          <w:sz w:val="22"/>
          <w:szCs w:val="22"/>
        </w:rPr>
        <w:t xml:space="preserve">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127. </w:t>
      </w:r>
      <w:r w:rsidRPr="008D589D">
        <w:rPr>
          <w:rFonts w:ascii="Palatino Linotype" w:eastAsia="Calibri" w:hAnsi="Palatino Linotype"/>
          <w:i/>
          <w:sz w:val="22"/>
          <w:szCs w:val="22"/>
        </w:rPr>
        <w:t>Los índices de los expedientes clasificados como reservados serán información pública y deberán ser publicados en el sitio de internet de los sujetos obligados, así como en la Plataforma Nacional.</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i/>
          <w:sz w:val="22"/>
          <w:szCs w:val="22"/>
        </w:rPr>
        <w:t>En ningún caso el índice será considerado como información reservada.</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128. </w:t>
      </w:r>
      <w:r w:rsidRPr="008D589D">
        <w:rPr>
          <w:rFonts w:ascii="Palatino Linotype" w:eastAsia="Calibri" w:hAnsi="Palatino Linotype"/>
          <w:b/>
          <w:i/>
          <w:sz w:val="22"/>
          <w:szCs w:val="22"/>
          <w:u w:val="single"/>
        </w:rPr>
        <w:t>En los casos en que se niegue el acceso a la información, por actualizarse alguno de los supuestos de clasificación, el Comité de Transparencia deberá confirmar, modificar o revocar la decisión</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i/>
          <w:sz w:val="22"/>
          <w:szCs w:val="22"/>
          <w:u w:val="single"/>
        </w:rPr>
        <w:t>Para motivar la clasificación de la información y la ampliación del plazo de reserva</w:t>
      </w:r>
      <w:r w:rsidRPr="008D589D">
        <w:rPr>
          <w:rFonts w:ascii="Palatino Linotype" w:eastAsia="Calibri" w:hAnsi="Palatino Linotype"/>
          <w:i/>
          <w:sz w:val="22"/>
          <w:szCs w:val="22"/>
        </w:rPr>
        <w:t xml:space="preserve">, se deberán señalar las razones, motivos o circunstancias especiales que llevaron al sujeto obligado a concluir que el caso particular se ajusta al supuesto previsto por la norma legal invocada como fundamento. Además, </w:t>
      </w:r>
      <w:r w:rsidRPr="008D589D">
        <w:rPr>
          <w:rFonts w:ascii="Palatino Linotype" w:eastAsia="Calibri" w:hAnsi="Palatino Linotype"/>
          <w:b/>
          <w:i/>
          <w:sz w:val="22"/>
          <w:szCs w:val="22"/>
          <w:u w:val="single"/>
        </w:rPr>
        <w:t>el sujeto obligado deberá, en todo momento, aplicar una prueba de daño</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i/>
          <w:sz w:val="22"/>
          <w:szCs w:val="22"/>
          <w:u w:val="single"/>
        </w:rPr>
        <w:t>Tratándose de aquélla información que actualice los supuestos de clasificación, deberá señalarse el plazo al que estará sujeto la reserva</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129. </w:t>
      </w:r>
      <w:r w:rsidRPr="008D589D">
        <w:rPr>
          <w:rFonts w:ascii="Palatino Linotype" w:eastAsia="Calibri" w:hAnsi="Palatino Linotype"/>
          <w:b/>
          <w:i/>
          <w:sz w:val="22"/>
          <w:szCs w:val="22"/>
          <w:u w:val="single"/>
        </w:rPr>
        <w:t>En la aplicación de la prueba de daño, el sujeto obligado deberá precisar las razones objetivas por las que la apertura de la información generaría una afectación, justificando qu</w:t>
      </w:r>
      <w:r w:rsidRPr="008D589D">
        <w:rPr>
          <w:rFonts w:ascii="Palatino Linotype" w:eastAsia="Calibri" w:hAnsi="Palatino Linotype"/>
          <w:i/>
          <w:sz w:val="22"/>
          <w:szCs w:val="22"/>
        </w:rPr>
        <w:t xml:space="preserve">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I. </w:t>
      </w:r>
      <w:r w:rsidRPr="008D589D">
        <w:rPr>
          <w:rFonts w:ascii="Palatino Linotype" w:eastAsia="Calibri" w:hAnsi="Palatino Linotype"/>
          <w:b/>
          <w:i/>
          <w:sz w:val="22"/>
          <w:szCs w:val="22"/>
          <w:u w:val="single"/>
        </w:rPr>
        <w:t>La divulgación de la información representa un riesgo real, demostrable e identificable del perjuicio significativo al interés público o a la seguridad pública</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II. </w:t>
      </w:r>
      <w:r w:rsidRPr="008D589D">
        <w:rPr>
          <w:rFonts w:ascii="Palatino Linotype" w:eastAsia="Calibri" w:hAnsi="Palatino Linotype"/>
          <w:b/>
          <w:i/>
          <w:sz w:val="22"/>
          <w:szCs w:val="22"/>
          <w:u w:val="single"/>
        </w:rPr>
        <w:t>El riesgo de perjuicio que supondría la divulgación supera el interés público general de que se difunda</w:t>
      </w:r>
      <w:r w:rsidRPr="008D589D">
        <w:rPr>
          <w:rFonts w:ascii="Palatino Linotype" w:eastAsia="Calibri" w:hAnsi="Palatino Linotype"/>
          <w:i/>
          <w:sz w:val="22"/>
          <w:szCs w:val="22"/>
        </w:rPr>
        <w:t xml:space="preserve">; y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lastRenderedPageBreak/>
        <w:t xml:space="preserve">III. </w:t>
      </w:r>
      <w:r w:rsidRPr="008D589D">
        <w:rPr>
          <w:rFonts w:ascii="Palatino Linotype" w:eastAsia="Calibri" w:hAnsi="Palatino Linotype"/>
          <w:b/>
          <w:i/>
          <w:sz w:val="22"/>
          <w:szCs w:val="22"/>
          <w:u w:val="single"/>
        </w:rPr>
        <w:t>La limitación se adecua al principio de proporcionalidad y representa el medio menos restrictivo disponible representa el medio menos restrictivo disponible para evitar el perjuicio</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130. </w:t>
      </w:r>
      <w:r w:rsidRPr="008D589D">
        <w:rPr>
          <w:rFonts w:ascii="Palatino Linotype" w:eastAsia="Calibri" w:hAnsi="Palatino Linotype"/>
          <w:i/>
          <w:sz w:val="22"/>
          <w:szCs w:val="22"/>
        </w:rPr>
        <w:t>Los sujetos obligados deberán aplicar, de manera restrictiva y limitada, las excepciones al derecho de acceso a la información y sólo podrán invocarlas cuando acrediten su procedencia, sin ampliar las excepciones o supuestos de reserva o confidencialidad previstos en la Ley General y la presente Ley, aduciendo analogía o mayoría de razón.</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131. </w:t>
      </w:r>
      <w:r w:rsidRPr="008D589D">
        <w:rPr>
          <w:rFonts w:ascii="Palatino Linotype" w:eastAsia="Calibri" w:hAnsi="Palatino Linotype"/>
          <w:b/>
          <w:i/>
          <w:sz w:val="22"/>
          <w:szCs w:val="22"/>
          <w:u w:val="single"/>
        </w:rPr>
        <w:t>La carga de la prueba para justificar toda negativa de acceso a la información, por actualizarse cualquiera de los supuestos de clasificación previstos en esta Ley corresponderá a los sujetos obligados</w:t>
      </w:r>
      <w:r w:rsidRPr="008D589D">
        <w:rPr>
          <w:rFonts w:ascii="Palatino Linotype" w:eastAsia="Calibri" w:hAnsi="Palatino Linotype"/>
          <w:i/>
          <w:sz w:val="22"/>
          <w:szCs w:val="22"/>
        </w:rPr>
        <w:t xml:space="preserve">; en tal caso deberá fundar y motivar debidamente la clasificación de la información, de conformidad con lo previsto en la presente Ley.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132. </w:t>
      </w:r>
      <w:r w:rsidRPr="008D589D">
        <w:rPr>
          <w:rFonts w:ascii="Palatino Linotype" w:eastAsia="Calibri" w:hAnsi="Palatino Linotype"/>
          <w:b/>
          <w:i/>
          <w:sz w:val="22"/>
          <w:szCs w:val="22"/>
          <w:u w:val="single"/>
        </w:rPr>
        <w:t>La clasificación de la información se llevará a cabo en el momento en que</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I. </w:t>
      </w:r>
      <w:r w:rsidRPr="008D589D">
        <w:rPr>
          <w:rFonts w:ascii="Palatino Linotype" w:eastAsia="Calibri" w:hAnsi="Palatino Linotype"/>
          <w:i/>
          <w:sz w:val="22"/>
          <w:szCs w:val="22"/>
        </w:rPr>
        <w:t xml:space="preserve">Se reciba una solicitud de acceso a la información;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II. </w:t>
      </w:r>
      <w:r w:rsidRPr="008D589D">
        <w:rPr>
          <w:rFonts w:ascii="Palatino Linotype" w:eastAsia="Calibri" w:hAnsi="Palatino Linotype"/>
          <w:b/>
          <w:i/>
          <w:sz w:val="22"/>
          <w:szCs w:val="22"/>
          <w:u w:val="single"/>
        </w:rPr>
        <w:t>Se determine mediante resolución de autoridad competente</w:t>
      </w:r>
      <w:r w:rsidRPr="008D589D">
        <w:rPr>
          <w:rFonts w:ascii="Palatino Linotype" w:eastAsia="Calibri" w:hAnsi="Palatino Linotype"/>
          <w:i/>
          <w:sz w:val="22"/>
          <w:szCs w:val="22"/>
        </w:rPr>
        <w:t xml:space="preserve">; o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III. </w:t>
      </w:r>
      <w:r w:rsidRPr="008D589D">
        <w:rPr>
          <w:rFonts w:ascii="Palatino Linotype" w:eastAsia="Calibri" w:hAnsi="Palatino Linotype"/>
          <w:i/>
          <w:sz w:val="22"/>
          <w:szCs w:val="22"/>
        </w:rPr>
        <w:t xml:space="preserve">Se generen versiones públicas para dar cumplimiento a las obligaciones de transparencia previstas en esta Ley.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i/>
          <w:sz w:val="22"/>
          <w:szCs w:val="22"/>
          <w:u w:val="single"/>
        </w:rPr>
        <w:t>Tratándose de información reservada, los titulares de las áreas deberán revisar la clasificación al momento de la recepción de una solicitud, para verificar si subsisten las causas que le dieron origen</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133. </w:t>
      </w:r>
      <w:r w:rsidRPr="008D589D">
        <w:rPr>
          <w:rFonts w:ascii="Palatino Linotype" w:eastAsia="Calibri" w:hAnsi="Palatino Linotype"/>
          <w:i/>
          <w:sz w:val="22"/>
          <w:szCs w:val="22"/>
        </w:rPr>
        <w:t xml:space="preserve">Los documentos clasificados total o parcialmente deberán llevar una leyenda que indique tal carácter, la fecha de clasificación, el fundamento legal y, en su caso, el periodo de reserva.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134. </w:t>
      </w:r>
      <w:r w:rsidRPr="008D589D">
        <w:rPr>
          <w:rFonts w:ascii="Palatino Linotype" w:eastAsia="Calibri" w:hAnsi="Palatino Linotype"/>
          <w:i/>
          <w:sz w:val="22"/>
          <w:szCs w:val="22"/>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i/>
          <w:sz w:val="22"/>
          <w:szCs w:val="22"/>
        </w:rPr>
        <w:t>En ningún caso se podrán clasificar documentos antes de que se genere la información.</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i/>
          <w:sz w:val="22"/>
          <w:szCs w:val="22"/>
          <w:u w:val="single"/>
        </w:rPr>
        <w:t>La clasificación de información se realizará conforme a un análisis caso por caso, mediante la aplicación de la prueba de daño</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lastRenderedPageBreak/>
        <w:t xml:space="preserve">Artículo 135. </w:t>
      </w:r>
      <w:r w:rsidRPr="008D589D">
        <w:rPr>
          <w:rFonts w:ascii="Palatino Linotype" w:eastAsia="Calibri" w:hAnsi="Palatino Linotype"/>
          <w:i/>
          <w:sz w:val="22"/>
          <w:szCs w:val="22"/>
        </w:rPr>
        <w:t>Los lineamientos generales que se emitan al respecto en materia de clasificación de la información reservada y confidencial y, para la elaboración de versiones públicas, serán de observancia obligatoria para los sujetos obligados.</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137. </w:t>
      </w:r>
      <w:r w:rsidRPr="008D589D">
        <w:rPr>
          <w:rFonts w:ascii="Palatino Linotype" w:eastAsia="Calibri" w:hAnsi="Palatino Linotype"/>
          <w:i/>
          <w:sz w:val="22"/>
          <w:szCs w:val="22"/>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Artículo 140. </w:t>
      </w:r>
      <w:r w:rsidRPr="008D589D">
        <w:rPr>
          <w:rFonts w:ascii="Palatino Linotype" w:eastAsia="Calibri" w:hAnsi="Palatino Linotype"/>
          <w:i/>
          <w:sz w:val="22"/>
          <w:szCs w:val="22"/>
        </w:rPr>
        <w:t xml:space="preserve">El acceso a la información pública será restringido excepcionalmente, cuando por razones de interés público, ésta sea clasificada como reservada, conforme a los criterios siguientes: </w:t>
      </w:r>
    </w:p>
    <w:p w:rsidR="008E48AA" w:rsidRPr="008D589D" w:rsidRDefault="008E48AA" w:rsidP="008E48AA">
      <w:pPr>
        <w:ind w:left="567" w:right="567"/>
        <w:jc w:val="both"/>
        <w:rPr>
          <w:rFonts w:ascii="Palatino Linotype" w:eastAsia="Calibri" w:hAnsi="Palatino Linotype"/>
          <w:i/>
          <w:sz w:val="22"/>
          <w:szCs w:val="22"/>
        </w:rPr>
      </w:pPr>
    </w:p>
    <w:p w:rsidR="008E48AA" w:rsidRPr="008D589D" w:rsidRDefault="008E48AA" w:rsidP="008E48AA">
      <w:pPr>
        <w:ind w:left="567" w:right="567"/>
        <w:jc w:val="both"/>
        <w:rPr>
          <w:rFonts w:ascii="Palatino Linotype" w:eastAsia="Calibri" w:hAnsi="Palatino Linotype"/>
          <w:b/>
          <w:bCs/>
          <w:i/>
          <w:sz w:val="22"/>
          <w:szCs w:val="22"/>
        </w:rPr>
      </w:pPr>
      <w:r w:rsidRPr="008D589D">
        <w:rPr>
          <w:rFonts w:ascii="Palatino Linotype" w:eastAsia="Calibri" w:hAnsi="Palatino Linotype"/>
          <w:b/>
          <w:bCs/>
          <w:i/>
          <w:sz w:val="22"/>
          <w:szCs w:val="22"/>
        </w:rPr>
        <w:t>(…)</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 xml:space="preserve">VIII. </w:t>
      </w:r>
      <w:r w:rsidRPr="008D589D">
        <w:rPr>
          <w:rFonts w:ascii="Palatino Linotype" w:eastAsia="Calibri" w:hAnsi="Palatino Linotype"/>
          <w:i/>
          <w:sz w:val="22"/>
          <w:szCs w:val="22"/>
        </w:rPr>
        <w:t xml:space="preserve">Vulnere la conducción de los expedientes judiciales o de los procedimientos administrativos seguidos en forma de juicio, en tanto no hayan quedado firmes; </w:t>
      </w:r>
    </w:p>
    <w:p w:rsidR="008E48AA" w:rsidRPr="008D589D" w:rsidRDefault="008E48AA" w:rsidP="008E48AA">
      <w:pPr>
        <w:ind w:left="567" w:right="567"/>
        <w:jc w:val="both"/>
        <w:rPr>
          <w:rFonts w:ascii="Palatino Linotype" w:eastAsia="Calibri" w:hAnsi="Palatino Linotype"/>
          <w:i/>
          <w:sz w:val="22"/>
          <w:szCs w:val="22"/>
        </w:rPr>
      </w:pPr>
      <w:r w:rsidRPr="008D589D">
        <w:rPr>
          <w:rFonts w:ascii="Palatino Linotype" w:eastAsia="Calibri" w:hAnsi="Palatino Linotype"/>
          <w:b/>
          <w:bCs/>
          <w:i/>
          <w:sz w:val="22"/>
          <w:szCs w:val="22"/>
        </w:rPr>
        <w:t>(…)</w:t>
      </w:r>
      <w:r w:rsidRPr="008D589D">
        <w:rPr>
          <w:rFonts w:ascii="Palatino Linotype" w:eastAsia="Calibri" w:hAnsi="Palatino Linotype"/>
          <w:i/>
          <w:sz w:val="22"/>
          <w:szCs w:val="22"/>
        </w:rPr>
        <w:t xml:space="preserve"> </w:t>
      </w:r>
    </w:p>
    <w:p w:rsidR="008E48AA" w:rsidRPr="008D589D" w:rsidRDefault="008E48AA" w:rsidP="008E48AA">
      <w:pPr>
        <w:ind w:left="567" w:right="567"/>
        <w:jc w:val="both"/>
        <w:rPr>
          <w:rFonts w:ascii="Palatino Linotype" w:eastAsia="Calibri" w:hAnsi="Palatino Linotype"/>
          <w:i/>
        </w:rPr>
      </w:pPr>
    </w:p>
    <w:p w:rsidR="008E48AA" w:rsidRPr="008D589D" w:rsidRDefault="008E48AA" w:rsidP="008E48AA">
      <w:pPr>
        <w:ind w:left="567" w:right="567"/>
        <w:jc w:val="both"/>
        <w:rPr>
          <w:rFonts w:ascii="Palatino Linotype" w:hAnsi="Palatino Linotype"/>
          <w:i/>
          <w:sz w:val="22"/>
        </w:rPr>
      </w:pPr>
      <w:r w:rsidRPr="008D589D">
        <w:rPr>
          <w:rFonts w:ascii="Palatino Linotype" w:eastAsia="Calibri" w:hAnsi="Palatino Linotype"/>
          <w:b/>
          <w:bCs/>
          <w:i/>
          <w:sz w:val="22"/>
        </w:rPr>
        <w:t xml:space="preserve">Artículo 141. </w:t>
      </w:r>
      <w:r w:rsidRPr="008D589D">
        <w:rPr>
          <w:rFonts w:ascii="Palatino Linotype" w:eastAsia="Calibri" w:hAnsi="Palatino Linotype"/>
          <w:b/>
          <w:i/>
          <w:sz w:val="22"/>
          <w:u w:val="single"/>
        </w:rPr>
        <w:t>Las causales de reserva previstas en este Capítulo se deberán fundar y motivar, a través de la aplicación de la prueba de daño a la que se hace referencia en el presente Título</w:t>
      </w:r>
      <w:r w:rsidRPr="008D589D">
        <w:rPr>
          <w:rFonts w:ascii="Palatino Linotype" w:eastAsia="Calibri" w:hAnsi="Palatino Linotype"/>
          <w:i/>
          <w:sz w:val="22"/>
        </w:rPr>
        <w:t>.</w:t>
      </w:r>
    </w:p>
    <w:p w:rsidR="008E48AA" w:rsidRPr="008D589D" w:rsidRDefault="008E48AA" w:rsidP="008E48AA">
      <w:pPr>
        <w:ind w:left="567" w:right="567"/>
        <w:jc w:val="both"/>
        <w:rPr>
          <w:rFonts w:ascii="Palatino Linotype" w:hAnsi="Palatino Linotype"/>
          <w:i/>
          <w:sz w:val="22"/>
        </w:rPr>
      </w:pPr>
    </w:p>
    <w:p w:rsidR="008E48AA" w:rsidRPr="008D589D" w:rsidRDefault="008E48AA" w:rsidP="008E48AA">
      <w:pPr>
        <w:ind w:left="567" w:right="567"/>
        <w:jc w:val="both"/>
        <w:rPr>
          <w:rFonts w:ascii="Palatino Linotype" w:hAnsi="Palatino Linotype"/>
          <w:i/>
          <w:sz w:val="22"/>
        </w:rPr>
      </w:pPr>
      <w:r w:rsidRPr="008D589D">
        <w:rPr>
          <w:rFonts w:ascii="Palatino Linotype" w:hAnsi="Palatino Linotype"/>
          <w:b/>
          <w:bCs/>
          <w:i/>
          <w:sz w:val="22"/>
        </w:rPr>
        <w:t xml:space="preserve">Artículo 142. </w:t>
      </w:r>
      <w:r w:rsidRPr="008D589D">
        <w:rPr>
          <w:rFonts w:ascii="Palatino Linotype" w:hAnsi="Palatino Linotype"/>
          <w:i/>
          <w:sz w:val="22"/>
        </w:rPr>
        <w:t xml:space="preserve">Bajo ninguna circunstancia podrá invocarse el carácter de reservado cuando: </w:t>
      </w:r>
    </w:p>
    <w:p w:rsidR="008E48AA" w:rsidRPr="008D589D" w:rsidRDefault="008E48AA" w:rsidP="008E48AA">
      <w:pPr>
        <w:ind w:left="567" w:right="567"/>
        <w:jc w:val="both"/>
        <w:rPr>
          <w:rFonts w:ascii="Palatino Linotype" w:hAnsi="Palatino Linotype"/>
          <w:i/>
          <w:sz w:val="22"/>
        </w:rPr>
      </w:pPr>
      <w:r w:rsidRPr="008D589D">
        <w:rPr>
          <w:rFonts w:ascii="Palatino Linotype" w:hAnsi="Palatino Linotype"/>
          <w:b/>
          <w:bCs/>
          <w:i/>
          <w:sz w:val="22"/>
        </w:rPr>
        <w:t xml:space="preserve">I. </w:t>
      </w:r>
      <w:r w:rsidRPr="008D589D">
        <w:rPr>
          <w:rFonts w:ascii="Palatino Linotype" w:hAnsi="Palatino Linotype"/>
          <w:i/>
          <w:sz w:val="22"/>
        </w:rPr>
        <w:t xml:space="preserve">Se trate de violaciones graves de derechos humanos, calificada así por autoridad competente; </w:t>
      </w:r>
    </w:p>
    <w:p w:rsidR="008E48AA" w:rsidRPr="008D589D" w:rsidRDefault="008E48AA" w:rsidP="008E48AA">
      <w:pPr>
        <w:ind w:left="567" w:right="567"/>
        <w:jc w:val="both"/>
        <w:rPr>
          <w:rFonts w:ascii="Palatino Linotype" w:hAnsi="Palatino Linotype"/>
          <w:i/>
          <w:sz w:val="22"/>
        </w:rPr>
      </w:pPr>
      <w:r w:rsidRPr="008D589D">
        <w:rPr>
          <w:rFonts w:ascii="Palatino Linotype" w:hAnsi="Palatino Linotype"/>
          <w:b/>
          <w:bCs/>
          <w:i/>
          <w:sz w:val="22"/>
        </w:rPr>
        <w:t xml:space="preserve">II. </w:t>
      </w:r>
      <w:r w:rsidRPr="008D589D">
        <w:rPr>
          <w:rFonts w:ascii="Palatino Linotype" w:hAnsi="Palatino Linotype"/>
          <w:i/>
          <w:sz w:val="22"/>
        </w:rPr>
        <w:t xml:space="preserve">Se trate de la investigación de posibles violaciones graves de derechos humanos aun cuando no exista pronunciamiento previo de autoridad competente, cuando se determine, a partir de criterios cuantitativos y cualitativos la trascendencia social de las violaciones; </w:t>
      </w:r>
    </w:p>
    <w:p w:rsidR="008E48AA" w:rsidRPr="008D589D" w:rsidRDefault="008E48AA" w:rsidP="008E48AA">
      <w:pPr>
        <w:ind w:left="567" w:right="567"/>
        <w:jc w:val="both"/>
        <w:rPr>
          <w:rFonts w:ascii="Palatino Linotype" w:hAnsi="Palatino Linotype"/>
          <w:i/>
          <w:sz w:val="22"/>
        </w:rPr>
      </w:pPr>
      <w:r w:rsidRPr="008D589D">
        <w:rPr>
          <w:rFonts w:ascii="Palatino Linotype" w:hAnsi="Palatino Linotype"/>
          <w:b/>
          <w:bCs/>
          <w:i/>
          <w:sz w:val="22"/>
        </w:rPr>
        <w:t xml:space="preserve">III. </w:t>
      </w:r>
      <w:r w:rsidRPr="008D589D">
        <w:rPr>
          <w:rFonts w:ascii="Palatino Linotype" w:hAnsi="Palatino Linotype"/>
          <w:i/>
          <w:sz w:val="22"/>
        </w:rPr>
        <w:t xml:space="preserve">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rsidR="008E48AA" w:rsidRPr="008D589D" w:rsidRDefault="008E48AA" w:rsidP="008E48AA">
      <w:pPr>
        <w:ind w:left="709" w:right="567" w:hanging="142"/>
        <w:jc w:val="both"/>
        <w:rPr>
          <w:rFonts w:ascii="Palatino Linotype" w:hAnsi="Palatino Linotype"/>
          <w:i/>
          <w:sz w:val="22"/>
        </w:rPr>
      </w:pPr>
      <w:r w:rsidRPr="008D589D">
        <w:rPr>
          <w:rFonts w:ascii="Palatino Linotype" w:hAnsi="Palatino Linotype"/>
          <w:b/>
          <w:bCs/>
          <w:i/>
          <w:sz w:val="22"/>
        </w:rPr>
        <w:t xml:space="preserve">IV. </w:t>
      </w:r>
      <w:r w:rsidRPr="008D589D">
        <w:rPr>
          <w:rFonts w:ascii="Palatino Linotype" w:hAnsi="Palatino Linotype"/>
          <w:i/>
          <w:sz w:val="22"/>
        </w:rPr>
        <w:t>Se trate de información relacionada con actos de corrupción de conformidad con las disposiciones jurídicas aplicables.”</w:t>
      </w:r>
    </w:p>
    <w:p w:rsidR="008E48AA" w:rsidRPr="008D589D" w:rsidRDefault="008E48AA" w:rsidP="008E48AA">
      <w:pPr>
        <w:spacing w:line="360" w:lineRule="auto"/>
        <w:ind w:right="567"/>
        <w:jc w:val="both"/>
        <w:rPr>
          <w:rFonts w:ascii="Palatino Linotype" w:hAnsi="Palatino Linotype"/>
        </w:rPr>
      </w:pPr>
    </w:p>
    <w:p w:rsidR="008E48AA" w:rsidRPr="008D589D" w:rsidRDefault="008E48AA" w:rsidP="008E48AA">
      <w:pPr>
        <w:spacing w:line="360" w:lineRule="auto"/>
        <w:jc w:val="both"/>
        <w:rPr>
          <w:rFonts w:ascii="Palatino Linotype" w:hAnsi="Palatino Linotype"/>
        </w:rPr>
      </w:pPr>
      <w:r w:rsidRPr="008D589D">
        <w:rPr>
          <w:rFonts w:ascii="Palatino Linotype" w:hAnsi="Palatino Linotype"/>
        </w:rPr>
        <w:t xml:space="preserve">Así como lo dispuesto por los Lineamientos Generales en materia de Clasificación y Desclasificación de la Información, así como para la Elaboración de Versiones Públicas, atendiendo a lo dispuesto en los identificados como Décimo Tercero, Décimo Cuarto, </w:t>
      </w:r>
      <w:r w:rsidRPr="008D589D">
        <w:rPr>
          <w:rFonts w:ascii="Palatino Linotype" w:hAnsi="Palatino Linotype"/>
        </w:rPr>
        <w:lastRenderedPageBreak/>
        <w:t>Trigésimo, Quincuagésimo Primero, Quincuagésimo Segundo y Quincuagésimo Tercero.</w:t>
      </w:r>
    </w:p>
    <w:p w:rsidR="008E48AA" w:rsidRPr="008D589D" w:rsidRDefault="008E48AA" w:rsidP="008E48AA">
      <w:pPr>
        <w:spacing w:line="360" w:lineRule="auto"/>
        <w:jc w:val="both"/>
        <w:rPr>
          <w:rFonts w:ascii="Palatino Linotype" w:hAnsi="Palatino Linotype"/>
        </w:rPr>
      </w:pPr>
    </w:p>
    <w:p w:rsidR="008E48AA" w:rsidRPr="008D589D" w:rsidRDefault="008E48AA" w:rsidP="008E48AA">
      <w:pPr>
        <w:spacing w:line="360" w:lineRule="auto"/>
        <w:jc w:val="both"/>
        <w:rPr>
          <w:rFonts w:ascii="Palatino Linotype" w:hAnsi="Palatino Linotype"/>
          <w:lang w:val="es-MX"/>
        </w:rPr>
      </w:pPr>
      <w:r w:rsidRPr="008D589D">
        <w:rPr>
          <w:rFonts w:ascii="Palatino Linotype" w:hAnsi="Palatino Linotype"/>
          <w:lang w:val="es-MX"/>
        </w:rPr>
        <w:t xml:space="preserve">Es así que, en los casos en los que se clasifique información como </w:t>
      </w:r>
      <w:r w:rsidRPr="008D589D">
        <w:rPr>
          <w:rFonts w:ascii="Palatino Linotype" w:hAnsi="Palatino Linotype"/>
          <w:b/>
          <w:lang w:val="es-MX"/>
        </w:rPr>
        <w:t>RESERVADA</w:t>
      </w:r>
      <w:r w:rsidRPr="008D589D">
        <w:rPr>
          <w:rFonts w:ascii="Palatino Linotype" w:hAnsi="Palatino Linotype"/>
          <w:lang w:val="es-MX"/>
        </w:rPr>
        <w:t xml:space="preserve">, el </w:t>
      </w:r>
      <w:r w:rsidRPr="008D589D">
        <w:rPr>
          <w:rFonts w:ascii="Palatino Linotype" w:hAnsi="Palatino Linotype"/>
          <w:b/>
          <w:lang w:val="es-MX"/>
        </w:rPr>
        <w:t>Sujeto Obligado</w:t>
      </w:r>
      <w:r w:rsidRPr="008D589D">
        <w:rPr>
          <w:rFonts w:ascii="Palatino Linotype" w:hAnsi="Palatino Linotype"/>
          <w:lang w:val="es-MX"/>
        </w:rPr>
        <w:t xml:space="preserve"> debe motivar la clasificación, señalando las razones, motivos o circunstancias especiales que lo llevaron a concluir que el caso concreto se ajusta a la hipótesis prevista por la norma legal que fundamenta el acto, debiendo aplicar una </w:t>
      </w:r>
      <w:r w:rsidRPr="008D589D">
        <w:rPr>
          <w:rFonts w:ascii="Palatino Linotype" w:hAnsi="Palatino Linotype"/>
          <w:b/>
          <w:lang w:val="es-MX"/>
        </w:rPr>
        <w:t>prueba de daño</w:t>
      </w:r>
      <w:r w:rsidRPr="008D589D">
        <w:rPr>
          <w:rFonts w:ascii="Palatino Linotype" w:hAnsi="Palatino Linotype"/>
          <w:lang w:val="es-MX"/>
        </w:rPr>
        <w:t>, en la que se precisen:</w:t>
      </w:r>
    </w:p>
    <w:p w:rsidR="008E48AA" w:rsidRPr="008D589D" w:rsidRDefault="008E48AA" w:rsidP="008E48AA">
      <w:pPr>
        <w:spacing w:line="360" w:lineRule="auto"/>
        <w:jc w:val="both"/>
        <w:rPr>
          <w:rFonts w:ascii="Palatino Linotype" w:hAnsi="Palatino Linotype"/>
          <w:lang w:val="es-MX"/>
        </w:rPr>
      </w:pPr>
    </w:p>
    <w:p w:rsidR="008E48AA" w:rsidRPr="008D589D" w:rsidRDefault="008E48AA" w:rsidP="008E48AA">
      <w:pPr>
        <w:pStyle w:val="Prrafodelista"/>
        <w:numPr>
          <w:ilvl w:val="0"/>
          <w:numId w:val="6"/>
        </w:numPr>
        <w:spacing w:line="360" w:lineRule="auto"/>
        <w:jc w:val="both"/>
        <w:rPr>
          <w:rFonts w:ascii="Palatino Linotype" w:hAnsi="Palatino Linotype"/>
          <w:lang w:val="es-MX"/>
        </w:rPr>
      </w:pPr>
      <w:r w:rsidRPr="008D589D">
        <w:rPr>
          <w:rFonts w:ascii="Palatino Linotype" w:hAnsi="Palatino Linotype"/>
          <w:lang w:val="es-MX"/>
        </w:rPr>
        <w:t>Las razones objetivas por las que la exhibición de la información generaría una afectación;</w:t>
      </w:r>
    </w:p>
    <w:p w:rsidR="008E48AA" w:rsidRPr="008D589D" w:rsidRDefault="008E48AA" w:rsidP="008E48AA">
      <w:pPr>
        <w:pStyle w:val="Prrafodelista"/>
        <w:numPr>
          <w:ilvl w:val="0"/>
          <w:numId w:val="6"/>
        </w:numPr>
        <w:spacing w:line="360" w:lineRule="auto"/>
        <w:jc w:val="both"/>
        <w:rPr>
          <w:rFonts w:ascii="Palatino Linotype" w:hAnsi="Palatino Linotype"/>
          <w:lang w:val="es-MX"/>
        </w:rPr>
      </w:pPr>
      <w:r w:rsidRPr="008D589D">
        <w:rPr>
          <w:rFonts w:ascii="Palatino Linotype" w:hAnsi="Palatino Linotype"/>
          <w:lang w:val="es-MX"/>
        </w:rPr>
        <w:t xml:space="preserve"> Justificando que la divulgación de la información representa un riesgo real, demostrable e identificable en perjuicio del interés público o la seguridad pública; </w:t>
      </w:r>
    </w:p>
    <w:p w:rsidR="008E48AA" w:rsidRPr="008D589D" w:rsidRDefault="008E48AA" w:rsidP="008E48AA">
      <w:pPr>
        <w:pStyle w:val="Prrafodelista"/>
        <w:numPr>
          <w:ilvl w:val="0"/>
          <w:numId w:val="6"/>
        </w:numPr>
        <w:spacing w:line="360" w:lineRule="auto"/>
        <w:jc w:val="both"/>
        <w:rPr>
          <w:rFonts w:ascii="Palatino Linotype" w:hAnsi="Palatino Linotype"/>
          <w:lang w:val="es-MX"/>
        </w:rPr>
      </w:pPr>
      <w:r w:rsidRPr="008D589D">
        <w:rPr>
          <w:rFonts w:ascii="Palatino Linotype" w:hAnsi="Palatino Linotype"/>
          <w:lang w:val="es-MX"/>
        </w:rPr>
        <w:t xml:space="preserve">Justificando que el riesgo del perjuicio que supondría dicha divulgación, supera el interés público general de que se difunda; y </w:t>
      </w:r>
    </w:p>
    <w:p w:rsidR="008E48AA" w:rsidRPr="008D589D" w:rsidRDefault="008E48AA" w:rsidP="008E48AA">
      <w:pPr>
        <w:pStyle w:val="Prrafodelista"/>
        <w:numPr>
          <w:ilvl w:val="0"/>
          <w:numId w:val="6"/>
        </w:numPr>
        <w:spacing w:line="360" w:lineRule="auto"/>
        <w:jc w:val="both"/>
        <w:rPr>
          <w:rFonts w:ascii="Palatino Linotype" w:hAnsi="Palatino Linotype"/>
          <w:lang w:val="es-MX"/>
        </w:rPr>
      </w:pPr>
      <w:r w:rsidRPr="008D589D">
        <w:rPr>
          <w:rFonts w:ascii="Palatino Linotype" w:hAnsi="Palatino Linotype"/>
          <w:lang w:val="es-MX"/>
        </w:rPr>
        <w:t>La limitación se adecua al principio de proporcionalidad y representa el medio menos restrictivo disponible para evitar el perjuicio.</w:t>
      </w:r>
    </w:p>
    <w:p w:rsidR="008E48AA" w:rsidRPr="008D589D" w:rsidRDefault="008E48AA" w:rsidP="008E48AA">
      <w:pPr>
        <w:pStyle w:val="Prrafodelista"/>
        <w:spacing w:line="360" w:lineRule="auto"/>
        <w:ind w:left="0"/>
        <w:jc w:val="both"/>
        <w:rPr>
          <w:rFonts w:ascii="Palatino Linotype" w:hAnsi="Palatino Linotype" w:cs="Arial"/>
        </w:rPr>
      </w:pPr>
    </w:p>
    <w:p w:rsidR="008E48AA" w:rsidRPr="008D589D" w:rsidRDefault="008E48AA" w:rsidP="008E48AA">
      <w:pPr>
        <w:pStyle w:val="Prrafodelista"/>
        <w:spacing w:line="360" w:lineRule="auto"/>
        <w:ind w:left="0"/>
        <w:jc w:val="both"/>
        <w:rPr>
          <w:rFonts w:ascii="Palatino Linotype" w:hAnsi="Palatino Linotype" w:cs="Arial"/>
        </w:rPr>
      </w:pPr>
      <w:r w:rsidRPr="008D589D">
        <w:rPr>
          <w:rFonts w:ascii="Palatino Linotype" w:hAnsi="Palatino Linotype" w:cs="Arial"/>
        </w:rPr>
        <w:t xml:space="preserve">Atento a lo anterior, el </w:t>
      </w:r>
      <w:r w:rsidRPr="008D589D">
        <w:rPr>
          <w:rFonts w:ascii="Palatino Linotype" w:hAnsi="Palatino Linotype" w:cs="Arial"/>
          <w:b/>
        </w:rPr>
        <w:t>Sujeto Obligado</w:t>
      </w:r>
      <w:r w:rsidRPr="008D589D">
        <w:rPr>
          <w:rFonts w:ascii="Palatino Linotype" w:hAnsi="Palatino Linotype" w:cs="Arial"/>
        </w:rPr>
        <w:t xml:space="preserve">, no realizó la prueba de daño ni precisó las razones por las cuales la apertura de la información generaría una afectación, para ello no refirió que su divulgación representa un riesgo real, demostrable e identificable; además no estableció que el perjuicio supera de momento el interés público general que pudiera existir sobre la información requerida; pues, podría obstruir las actividades de investigación desempeñadas por la </w:t>
      </w:r>
      <w:r w:rsidRPr="008D589D">
        <w:rPr>
          <w:rFonts w:ascii="Palatino Linotype" w:hAnsi="Palatino Linotype" w:cs="Arial"/>
          <w:b/>
        </w:rPr>
        <w:t xml:space="preserve">Unidad Jurídica Consultiva y de </w:t>
      </w:r>
      <w:r w:rsidRPr="008D589D">
        <w:rPr>
          <w:rFonts w:ascii="Palatino Linotype" w:hAnsi="Palatino Linotype" w:cs="Arial"/>
          <w:b/>
        </w:rPr>
        <w:lastRenderedPageBreak/>
        <w:t>Igualdad de Género</w:t>
      </w:r>
      <w:r w:rsidRPr="008D589D">
        <w:rPr>
          <w:rFonts w:ascii="Palatino Linotype" w:hAnsi="Palatino Linotype" w:cs="Arial"/>
        </w:rPr>
        <w:t xml:space="preserve"> del </w:t>
      </w:r>
      <w:r w:rsidRPr="008D589D">
        <w:rPr>
          <w:rFonts w:ascii="Palatino Linotype" w:hAnsi="Palatino Linotype" w:cs="Arial"/>
          <w:b/>
        </w:rPr>
        <w:t>Sujeto Obligado</w:t>
      </w:r>
      <w:r w:rsidRPr="008D589D">
        <w:rPr>
          <w:rFonts w:ascii="Palatino Linotype" w:hAnsi="Palatino Linotype" w:cs="Arial"/>
        </w:rPr>
        <w:t xml:space="preserve">, con lo que se pondría en riesgo el resultado de la inspección que se lleva a cabo, derivada del procedimiento administrativo de investigación bajo el número de expediente </w:t>
      </w:r>
      <w:r w:rsidRPr="008D589D">
        <w:rPr>
          <w:rFonts w:ascii="Palatino Linotype" w:hAnsi="Palatino Linotype" w:cs="Arial"/>
          <w:b/>
        </w:rPr>
        <w:t>UJCIG/003/2021</w:t>
      </w:r>
      <w:r w:rsidRPr="008D589D">
        <w:rPr>
          <w:rFonts w:ascii="Palatino Linotype" w:hAnsi="Palatino Linotype" w:cs="Arial"/>
        </w:rPr>
        <w:t>.</w:t>
      </w:r>
    </w:p>
    <w:p w:rsidR="008E48AA" w:rsidRPr="008D589D" w:rsidRDefault="008E48AA" w:rsidP="008E48AA">
      <w:pPr>
        <w:pStyle w:val="Prrafodelista"/>
        <w:spacing w:line="360" w:lineRule="auto"/>
        <w:ind w:left="0"/>
        <w:jc w:val="both"/>
        <w:rPr>
          <w:rFonts w:ascii="Palatino Linotype" w:hAnsi="Palatino Linotype" w:cs="Arial"/>
        </w:rPr>
      </w:pP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rPr>
        <w:t xml:space="preserve">Es así que, este Órgano Garante determina que </w:t>
      </w:r>
      <w:r w:rsidRPr="008D589D">
        <w:rPr>
          <w:rFonts w:ascii="Palatino Linotype" w:hAnsi="Palatino Linotype" w:cs="Arial"/>
        </w:rPr>
        <w:t xml:space="preserve">la resolución en el Acuerdo </w:t>
      </w:r>
      <w:r w:rsidRPr="008D589D">
        <w:rPr>
          <w:rFonts w:ascii="Palatino Linotype" w:hAnsi="Palatino Linotype" w:cs="Arial"/>
          <w:b/>
        </w:rPr>
        <w:t>No. JC/CT/EXT/020-2021/SEGUNDO</w:t>
      </w:r>
      <w:r w:rsidRPr="008D589D">
        <w:rPr>
          <w:rFonts w:ascii="Palatino Linotype" w:hAnsi="Palatino Linotype" w:cs="Arial"/>
        </w:rPr>
        <w:t xml:space="preserve">, inmerso en el </w:t>
      </w:r>
      <w:r w:rsidRPr="008D589D">
        <w:rPr>
          <w:rFonts w:ascii="Palatino Linotype" w:hAnsi="Palatino Linotype"/>
          <w:lang w:eastAsia="es-MX"/>
        </w:rPr>
        <w:t xml:space="preserve">Acta de la Vigésima Sesión Extraordinaria, del Ejercicio 2021 del Comité de Transparencia </w:t>
      </w:r>
      <w:r w:rsidRPr="008D589D">
        <w:rPr>
          <w:rFonts w:ascii="Palatino Linotype" w:hAnsi="Palatino Linotype"/>
          <w:b/>
          <w:lang w:eastAsia="es-MX"/>
        </w:rPr>
        <w:t>No. JC/CT/EXT/020-2021</w:t>
      </w:r>
      <w:r w:rsidRPr="008D589D">
        <w:rPr>
          <w:rFonts w:ascii="Palatino Linotype" w:hAnsi="Palatino Linotype"/>
          <w:lang w:eastAsia="es-MX"/>
        </w:rPr>
        <w:t>, de fecha 24 de agosto de 2021</w:t>
      </w:r>
      <w:r w:rsidRPr="008D589D">
        <w:rPr>
          <w:rFonts w:ascii="Palatino Linotype" w:hAnsi="Palatino Linotype" w:cs="Arial"/>
        </w:rPr>
        <w:t xml:space="preserve">, emitida por el Comité de Transparencia no se encuentra debidamente fundada y </w:t>
      </w:r>
      <w:r w:rsidRPr="008D589D">
        <w:rPr>
          <w:rFonts w:ascii="Palatino Linotype" w:hAnsi="Palatino Linotype" w:cs="Arial"/>
          <w:lang w:eastAsia="es-MX"/>
        </w:rPr>
        <w:t xml:space="preserve">motivada, </w:t>
      </w:r>
      <w:r w:rsidRPr="008D589D">
        <w:rPr>
          <w:rFonts w:ascii="Palatino Linotype" w:hAnsi="Palatino Linotype" w:cs="Arial"/>
          <w:color w:val="000000"/>
        </w:rPr>
        <w:t xml:space="preserve">en términos de lo dispuesto en </w:t>
      </w:r>
      <w:r w:rsidRPr="008D589D">
        <w:rPr>
          <w:rFonts w:ascii="Palatino Linotype" w:hAnsi="Palatino Linotype"/>
        </w:rPr>
        <w:t xml:space="preserve">los artículos 128 y 129, de la Ley de Trasparencia y Acceso a la Información Pública del Estado de México y Municipios, </w:t>
      </w:r>
      <w:r w:rsidRPr="008D589D">
        <w:rPr>
          <w:rFonts w:ascii="Palatino Linotype" w:hAnsi="Palatino Linotype" w:cs="Arial"/>
        </w:rPr>
        <w:t>la resolución por medio de la cual el</w:t>
      </w:r>
      <w:r w:rsidRPr="008D589D">
        <w:rPr>
          <w:rFonts w:ascii="Palatino Linotype" w:hAnsi="Palatino Linotype" w:cs="Arial"/>
          <w:b/>
        </w:rPr>
        <w:t xml:space="preserve"> Sujeto Obligado </w:t>
      </w:r>
      <w:r w:rsidRPr="008D589D">
        <w:rPr>
          <w:rFonts w:ascii="Palatino Linotype" w:hAnsi="Palatino Linotype" w:cs="Arial"/>
        </w:rPr>
        <w:t xml:space="preserve">determinó clasificar como información </w:t>
      </w:r>
      <w:r w:rsidRPr="008D589D">
        <w:rPr>
          <w:rFonts w:ascii="Palatino Linotype" w:hAnsi="Palatino Linotype" w:cs="Arial"/>
          <w:b/>
        </w:rPr>
        <w:t>RESERVADA</w:t>
      </w:r>
      <w:r w:rsidRPr="008D589D">
        <w:rPr>
          <w:rFonts w:ascii="Palatino Linotype" w:hAnsi="Palatino Linotype" w:cs="Arial"/>
        </w:rPr>
        <w:t xml:space="preserve"> la documentación antes referida, la cual se encuentran relacionada con la solicitud de información, motivo del presente estudio.</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numPr>
          <w:ilvl w:val="0"/>
          <w:numId w:val="7"/>
        </w:numPr>
        <w:spacing w:after="160" w:line="360" w:lineRule="auto"/>
        <w:jc w:val="both"/>
        <w:rPr>
          <w:rFonts w:ascii="Palatino Linotype" w:hAnsi="Palatino Linotype" w:cs="Arial"/>
          <w:b/>
          <w:i/>
          <w:sz w:val="26"/>
          <w:szCs w:val="26"/>
        </w:rPr>
      </w:pPr>
      <w:r w:rsidRPr="008D589D">
        <w:rPr>
          <w:rFonts w:ascii="Palatino Linotype" w:hAnsi="Palatino Linotype" w:cs="Arial"/>
          <w:b/>
          <w:i/>
          <w:sz w:val="26"/>
          <w:szCs w:val="26"/>
        </w:rPr>
        <w:t>DE LA VERSIÓN PÚBLICA.</w:t>
      </w: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lang w:val="es-MX" w:eastAsia="en-US"/>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8E48AA" w:rsidRPr="008D589D" w:rsidRDefault="008E48AA" w:rsidP="008E48AA">
      <w:pPr>
        <w:spacing w:line="360" w:lineRule="auto"/>
        <w:jc w:val="both"/>
        <w:rPr>
          <w:rFonts w:ascii="Palatino Linotype" w:eastAsiaTheme="minorHAnsi" w:hAnsi="Palatino Linotype" w:cs="Arial"/>
          <w:lang w:val="es-MX" w:eastAsia="en-US"/>
        </w:rPr>
      </w:pP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Artículo 3.</w:t>
      </w:r>
      <w:r w:rsidRPr="008D589D">
        <w:rPr>
          <w:rFonts w:ascii="Palatino Linotype" w:eastAsiaTheme="minorHAnsi" w:hAnsi="Palatino Linotype" w:cs="Arial"/>
          <w:i/>
          <w:sz w:val="22"/>
          <w:szCs w:val="22"/>
          <w:lang w:val="es-MX" w:eastAsia="en-US"/>
        </w:rPr>
        <w:t xml:space="preserve"> Para los efectos de la presente Ley se entenderá por:</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IX. Datos personales:</w:t>
      </w:r>
      <w:r w:rsidRPr="008D589D">
        <w:rPr>
          <w:rFonts w:ascii="Palatino Linotype" w:eastAsiaTheme="minorHAnsi" w:hAnsi="Palatino Linotype" w:cs="Arial"/>
          <w:i/>
          <w:sz w:val="22"/>
          <w:szCs w:val="22"/>
          <w:lang w:val="es-MX" w:eastAsia="en-US"/>
        </w:rPr>
        <w:t xml:space="preserve"> La información concerniente a una persona, identificada o identificable según lo dispuesto por la Ley de Protección de Datos Personales del Estado de México; </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XX.</w:t>
      </w:r>
      <w:r w:rsidRPr="008D589D">
        <w:rPr>
          <w:rFonts w:ascii="Palatino Linotype" w:eastAsiaTheme="minorHAnsi" w:hAnsi="Palatino Linotype" w:cs="Arial"/>
          <w:i/>
          <w:sz w:val="22"/>
          <w:szCs w:val="22"/>
          <w:lang w:val="es-MX" w:eastAsia="en-US"/>
        </w:rPr>
        <w:t xml:space="preserve"> </w:t>
      </w:r>
      <w:r w:rsidRPr="008D589D">
        <w:rPr>
          <w:rFonts w:ascii="Palatino Linotype" w:eastAsiaTheme="minorHAnsi" w:hAnsi="Palatino Linotype" w:cs="Arial"/>
          <w:b/>
          <w:i/>
          <w:sz w:val="22"/>
          <w:szCs w:val="22"/>
          <w:lang w:val="es-MX" w:eastAsia="en-US"/>
        </w:rPr>
        <w:t>Información clasificada:</w:t>
      </w:r>
      <w:r w:rsidRPr="008D589D">
        <w:rPr>
          <w:rFonts w:ascii="Palatino Linotype" w:eastAsiaTheme="minorHAnsi" w:hAnsi="Palatino Linotype" w:cs="Arial"/>
          <w:i/>
          <w:sz w:val="22"/>
          <w:szCs w:val="22"/>
          <w:lang w:val="es-MX" w:eastAsia="en-US"/>
        </w:rPr>
        <w:t xml:space="preserve"> Aquella considerada por la presente Ley como reservada o confidencial;</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lastRenderedPageBreak/>
        <w:t>XXI.</w:t>
      </w:r>
      <w:r w:rsidRPr="008D589D">
        <w:rPr>
          <w:rFonts w:ascii="Palatino Linotype" w:eastAsiaTheme="minorHAnsi" w:hAnsi="Palatino Linotype" w:cs="Arial"/>
          <w:i/>
          <w:sz w:val="22"/>
          <w:szCs w:val="22"/>
          <w:lang w:val="es-MX" w:eastAsia="en-US"/>
        </w:rPr>
        <w:t xml:space="preserve"> </w:t>
      </w:r>
      <w:r w:rsidRPr="008D589D">
        <w:rPr>
          <w:rFonts w:ascii="Palatino Linotype" w:eastAsiaTheme="minorHAnsi" w:hAnsi="Palatino Linotype" w:cs="Arial"/>
          <w:b/>
          <w:i/>
          <w:sz w:val="22"/>
          <w:szCs w:val="22"/>
          <w:lang w:val="es-MX" w:eastAsia="en-US"/>
        </w:rPr>
        <w:t>Información confidencial:</w:t>
      </w:r>
      <w:r w:rsidRPr="008D589D">
        <w:rPr>
          <w:rFonts w:ascii="Palatino Linotype" w:eastAsiaTheme="minorHAnsi" w:hAnsi="Palatino Linotype" w:cs="Arial"/>
          <w:i/>
          <w:sz w:val="22"/>
          <w:szCs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XLV.</w:t>
      </w:r>
      <w:r w:rsidRPr="008D589D">
        <w:rPr>
          <w:rFonts w:ascii="Palatino Linotype" w:eastAsiaTheme="minorHAnsi" w:hAnsi="Palatino Linotype" w:cs="Arial"/>
          <w:i/>
          <w:sz w:val="22"/>
          <w:szCs w:val="22"/>
          <w:lang w:val="es-MX" w:eastAsia="en-US"/>
        </w:rPr>
        <w:t xml:space="preserve"> </w:t>
      </w:r>
      <w:r w:rsidRPr="008D589D">
        <w:rPr>
          <w:rFonts w:ascii="Palatino Linotype" w:eastAsiaTheme="minorHAnsi" w:hAnsi="Palatino Linotype" w:cs="Arial"/>
          <w:b/>
          <w:i/>
          <w:sz w:val="22"/>
          <w:szCs w:val="22"/>
          <w:lang w:val="es-MX" w:eastAsia="en-US"/>
        </w:rPr>
        <w:t>Versión pública:</w:t>
      </w:r>
      <w:r w:rsidRPr="008D589D">
        <w:rPr>
          <w:rFonts w:ascii="Palatino Linotype" w:eastAsiaTheme="minorHAnsi" w:hAnsi="Palatino Linotype" w:cs="Arial"/>
          <w:i/>
          <w:sz w:val="22"/>
          <w:szCs w:val="22"/>
          <w:lang w:val="es-MX" w:eastAsia="en-US"/>
        </w:rPr>
        <w:t xml:space="preserve"> Documento en el que se elimine, suprime o borra la información clasificada como reservada o confidencial para permitir su acceso.</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 xml:space="preserve">Artículo 91. </w:t>
      </w:r>
      <w:r w:rsidRPr="008D589D">
        <w:rPr>
          <w:rFonts w:ascii="Palatino Linotype" w:eastAsiaTheme="minorHAnsi" w:hAnsi="Palatino Linotype" w:cs="Arial"/>
          <w:i/>
          <w:sz w:val="22"/>
          <w:szCs w:val="22"/>
          <w:lang w:val="es-MX" w:eastAsia="en-US"/>
        </w:rPr>
        <w:t>El acceso a la información pública será restringido excepcionalmente, cuando ésta sea clasificada como reservada o confidencial.</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Artículo 132.</w:t>
      </w:r>
      <w:r w:rsidRPr="008D589D">
        <w:rPr>
          <w:rFonts w:ascii="Palatino Linotype" w:eastAsiaTheme="minorHAnsi" w:hAnsi="Palatino Linotype" w:cs="Arial"/>
          <w:i/>
          <w:sz w:val="22"/>
          <w:szCs w:val="22"/>
          <w:lang w:val="es-MX" w:eastAsia="en-US"/>
        </w:rPr>
        <w:t xml:space="preserve"> </w:t>
      </w:r>
      <w:r w:rsidRPr="008D589D">
        <w:rPr>
          <w:rFonts w:ascii="Palatino Linotype" w:eastAsiaTheme="minorHAnsi" w:hAnsi="Palatino Linotype" w:cs="Arial"/>
          <w:i/>
          <w:sz w:val="22"/>
          <w:szCs w:val="22"/>
          <w:u w:val="single"/>
          <w:lang w:val="es-MX" w:eastAsia="en-US"/>
        </w:rPr>
        <w:t>La clasificación de la información se llevará a cabo en el momento en que</w:t>
      </w:r>
      <w:r w:rsidRPr="008D589D">
        <w:rPr>
          <w:rFonts w:ascii="Palatino Linotype" w:eastAsiaTheme="minorHAnsi" w:hAnsi="Palatino Linotype" w:cs="Arial"/>
          <w:i/>
          <w:sz w:val="22"/>
          <w:szCs w:val="22"/>
          <w:lang w:val="es-MX" w:eastAsia="en-US"/>
        </w:rPr>
        <w:t>:</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I.</w:t>
      </w:r>
      <w:r w:rsidRPr="008D589D">
        <w:rPr>
          <w:rFonts w:ascii="Palatino Linotype" w:eastAsiaTheme="minorHAnsi" w:hAnsi="Palatino Linotype" w:cs="Arial"/>
          <w:i/>
          <w:sz w:val="22"/>
          <w:szCs w:val="22"/>
          <w:lang w:val="es-MX" w:eastAsia="en-US"/>
        </w:rPr>
        <w:t xml:space="preserve"> Se reciba una solicitud de acceso a la información;</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II.</w:t>
      </w:r>
      <w:r w:rsidRPr="008D589D">
        <w:rPr>
          <w:rFonts w:ascii="Palatino Linotype" w:eastAsiaTheme="minorHAnsi" w:hAnsi="Palatino Linotype" w:cs="Arial"/>
          <w:i/>
          <w:sz w:val="22"/>
          <w:szCs w:val="22"/>
          <w:lang w:val="es-MX" w:eastAsia="en-US"/>
        </w:rPr>
        <w:t xml:space="preserve"> </w:t>
      </w:r>
      <w:r w:rsidRPr="008D589D">
        <w:rPr>
          <w:rFonts w:ascii="Palatino Linotype" w:eastAsiaTheme="minorHAnsi" w:hAnsi="Palatino Linotype" w:cs="Arial"/>
          <w:i/>
          <w:sz w:val="22"/>
          <w:szCs w:val="22"/>
          <w:u w:val="single"/>
          <w:lang w:val="es-MX" w:eastAsia="en-US"/>
        </w:rPr>
        <w:t>Se determine mediante resolución de autoridad competente; o</w:t>
      </w:r>
    </w:p>
    <w:p w:rsidR="008E48AA" w:rsidRPr="008D589D" w:rsidRDefault="008E48AA" w:rsidP="008E48AA">
      <w:pPr>
        <w:ind w:left="567" w:right="567"/>
        <w:jc w:val="both"/>
        <w:rPr>
          <w:rFonts w:ascii="Palatino Linotype" w:eastAsiaTheme="minorHAnsi" w:hAnsi="Palatino Linotype" w:cs="Arial"/>
          <w:i/>
          <w:sz w:val="22"/>
          <w:szCs w:val="22"/>
          <w:u w:val="single"/>
          <w:lang w:val="es-MX" w:eastAsia="en-US"/>
        </w:rPr>
      </w:pPr>
      <w:r w:rsidRPr="008D589D">
        <w:rPr>
          <w:rFonts w:ascii="Palatino Linotype" w:eastAsiaTheme="minorHAnsi" w:hAnsi="Palatino Linotype" w:cs="Arial"/>
          <w:b/>
          <w:i/>
          <w:sz w:val="22"/>
          <w:szCs w:val="22"/>
          <w:lang w:val="es-MX" w:eastAsia="en-US"/>
        </w:rPr>
        <w:t>III.</w:t>
      </w:r>
      <w:r w:rsidRPr="008D589D">
        <w:rPr>
          <w:rFonts w:ascii="Palatino Linotype" w:eastAsiaTheme="minorHAnsi" w:hAnsi="Palatino Linotype" w:cs="Arial"/>
          <w:i/>
          <w:sz w:val="22"/>
          <w:szCs w:val="22"/>
          <w:lang w:val="es-MX" w:eastAsia="en-US"/>
        </w:rPr>
        <w:t xml:space="preserve"> </w:t>
      </w:r>
      <w:r w:rsidRPr="008D589D">
        <w:rPr>
          <w:rFonts w:ascii="Palatino Linotype" w:eastAsiaTheme="minorHAnsi" w:hAnsi="Palatino Linotype" w:cs="Arial"/>
          <w:i/>
          <w:sz w:val="22"/>
          <w:szCs w:val="22"/>
          <w:u w:val="single"/>
          <w:lang w:val="es-MX" w:eastAsia="en-US"/>
        </w:rPr>
        <w:t>Se generen versiones públicas para dar cumplimiento a las obligaciones de transparencia previstas en esta Ley.</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w:t>
      </w:r>
    </w:p>
    <w:p w:rsidR="008E48AA" w:rsidRPr="008D589D" w:rsidRDefault="008E48AA" w:rsidP="008E48AA">
      <w:pPr>
        <w:spacing w:line="360" w:lineRule="auto"/>
        <w:jc w:val="both"/>
        <w:rPr>
          <w:rFonts w:ascii="Palatino Linotype" w:eastAsiaTheme="minorHAnsi" w:hAnsi="Palatino Linotype" w:cs="Arial"/>
          <w:i/>
          <w:lang w:val="es-MX" w:eastAsia="en-US"/>
        </w:rPr>
      </w:pP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8E48AA" w:rsidRPr="008D589D" w:rsidRDefault="008E48AA" w:rsidP="008E48AA">
      <w:pPr>
        <w:spacing w:line="360" w:lineRule="auto"/>
        <w:jc w:val="both"/>
        <w:rPr>
          <w:rFonts w:ascii="Palatino Linotype" w:eastAsiaTheme="minorHAnsi" w:hAnsi="Palatino Linotype" w:cs="Arial"/>
          <w:lang w:val="es-MX" w:eastAsia="en-US"/>
        </w:rPr>
      </w:pP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lang w:val="es-MX" w:eastAsia="en-US"/>
        </w:rPr>
        <w:t xml:space="preserve">Por otro lado, los </w:t>
      </w:r>
      <w:r w:rsidRPr="008D589D">
        <w:rPr>
          <w:rFonts w:ascii="Palatino Linotype" w:eastAsiaTheme="minorHAnsi" w:hAnsi="Palatino Linotype" w:cs="Arial"/>
          <w:i/>
          <w:lang w:val="es-MX" w:eastAsia="en-US"/>
        </w:rPr>
        <w:t>Lineamientos Generales en Materia de Clasificación y Desclasificación de la Información, así como para la elaboración de Versiones Públicas</w:t>
      </w:r>
      <w:r w:rsidRPr="008D589D">
        <w:rPr>
          <w:rFonts w:ascii="Palatino Linotype" w:eastAsiaTheme="minorHAnsi" w:hAnsi="Palatino Linotype" w:cs="Arial"/>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E48AA" w:rsidRPr="008D589D" w:rsidRDefault="008E48AA" w:rsidP="008E48AA">
      <w:pPr>
        <w:spacing w:line="360" w:lineRule="auto"/>
        <w:jc w:val="both"/>
        <w:rPr>
          <w:rFonts w:ascii="Palatino Linotype" w:eastAsiaTheme="minorHAnsi" w:hAnsi="Palatino Linotype" w:cs="Arial"/>
          <w:lang w:val="es-MX" w:eastAsia="en-US"/>
        </w:rPr>
      </w:pP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lang w:val="es-MX" w:eastAsia="en-US"/>
        </w:rPr>
        <w:lastRenderedPageBreak/>
        <w:t>Entorno a lo que aquí nos interesa, los Lineamientos Quincuagésimo sexto, Quincuagésimo séptimo y Quincuagésimo octavo, establecen lo siguiente:</w:t>
      </w:r>
    </w:p>
    <w:p w:rsidR="008E48AA" w:rsidRPr="008D589D" w:rsidRDefault="008E48AA" w:rsidP="008E48AA">
      <w:pPr>
        <w:pStyle w:val="Sinespaciado"/>
        <w:rPr>
          <w:rFonts w:eastAsiaTheme="minorHAnsi"/>
          <w:lang w:eastAsia="en-US"/>
        </w:rPr>
      </w:pP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Quincuagésimo sexto.</w:t>
      </w:r>
      <w:r w:rsidRPr="008D589D">
        <w:rPr>
          <w:rFonts w:ascii="Palatino Linotype" w:eastAsiaTheme="minorHAnsi" w:hAnsi="Palatino Linotype" w:cs="Arial"/>
          <w:i/>
          <w:sz w:val="22"/>
          <w:szCs w:val="22"/>
          <w:lang w:val="es-MX" w:eastAsia="en-US"/>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Quincuagésimo séptimo.</w:t>
      </w:r>
      <w:r w:rsidRPr="008D589D">
        <w:rPr>
          <w:rFonts w:ascii="Palatino Linotype" w:eastAsiaTheme="minorHAnsi" w:hAnsi="Palatino Linotype" w:cs="Arial"/>
          <w:i/>
          <w:sz w:val="22"/>
          <w:szCs w:val="22"/>
          <w:lang w:val="es-MX" w:eastAsia="en-US"/>
        </w:rPr>
        <w:t xml:space="preserve"> Se considera, en principio, como información pública y no podrá omitirse de las versiones públicas la siguiente:</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 xml:space="preserve"> </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 xml:space="preserve">I. La relativa a las Obligaciones de Transparencia que contempla el Título V de la Ley General y las demás disposiciones legales aplicables; </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 xml:space="preserve">II. El nombre de los servidores públicos en los documentos, y sus firmas autógrafas, cuando sean utilizados en el ejercicio de las facultades conferidas para el desempeño del servicio público, y </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i/>
          <w:sz w:val="22"/>
          <w:szCs w:val="22"/>
          <w:lang w:val="es-MX" w:eastAsia="en-US"/>
        </w:rPr>
        <w:t xml:space="preserve">Lo anterior, siempre y cuando no se acredite alguna causal de clasificación, prevista en las leyes o en los tratados internaciones suscritos por el Estado mexicano. </w:t>
      </w: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p>
    <w:p w:rsidR="008E48AA" w:rsidRPr="008D589D" w:rsidRDefault="008E48AA" w:rsidP="008E48AA">
      <w:pPr>
        <w:ind w:left="567" w:right="567"/>
        <w:jc w:val="both"/>
        <w:rPr>
          <w:rFonts w:ascii="Palatino Linotype" w:eastAsiaTheme="minorHAnsi" w:hAnsi="Palatino Linotype" w:cs="Arial"/>
          <w:i/>
          <w:sz w:val="22"/>
          <w:szCs w:val="22"/>
          <w:lang w:val="es-MX" w:eastAsia="en-US"/>
        </w:rPr>
      </w:pPr>
      <w:r w:rsidRPr="008D589D">
        <w:rPr>
          <w:rFonts w:ascii="Palatino Linotype" w:eastAsiaTheme="minorHAnsi" w:hAnsi="Palatino Linotype" w:cs="Arial"/>
          <w:b/>
          <w:i/>
          <w:sz w:val="22"/>
          <w:szCs w:val="22"/>
          <w:lang w:val="es-MX" w:eastAsia="en-US"/>
        </w:rPr>
        <w:t>Quincuagésimo octavo.</w:t>
      </w:r>
      <w:r w:rsidRPr="008D589D">
        <w:rPr>
          <w:rFonts w:ascii="Palatino Linotype" w:eastAsiaTheme="minorHAnsi" w:hAnsi="Palatino Linotype" w:cs="Arial"/>
          <w:i/>
          <w:sz w:val="22"/>
          <w:szCs w:val="22"/>
          <w:lang w:val="es-MX" w:eastAsia="en-US"/>
        </w:rPr>
        <w:t xml:space="preserve"> Los sujetos obligados garantizarán que los sistemas o medios empleados para eliminar la información en las versiones públicas no permitan la recuperación o visualización de la misma.</w:t>
      </w:r>
    </w:p>
    <w:p w:rsidR="008E48AA" w:rsidRPr="008D589D" w:rsidRDefault="008E48AA" w:rsidP="008E48AA">
      <w:pPr>
        <w:spacing w:line="360" w:lineRule="auto"/>
        <w:jc w:val="both"/>
        <w:rPr>
          <w:rFonts w:ascii="Palatino Linotype" w:eastAsiaTheme="minorHAnsi" w:hAnsi="Palatino Linotype" w:cs="Arial"/>
          <w:i/>
          <w:lang w:val="es-MX" w:eastAsia="en-US"/>
        </w:rPr>
      </w:pP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lang w:val="es-MX" w:eastAsia="en-U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8D589D">
        <w:rPr>
          <w:rFonts w:ascii="Palatino Linotype" w:eastAsiaTheme="minorHAnsi" w:hAnsi="Palatino Linotype" w:cs="Arial"/>
          <w:lang w:val="es-MX" w:eastAsia="en-US"/>
        </w:rPr>
        <w:lastRenderedPageBreak/>
        <w:t>motivos por las que no se aprecian determinados datos -ya sea porque se testan o suprimen- deja al solicitante en estado de incertidumbre, al no conocer o comprender porque no aparecen en la documentación respectiva.</w:t>
      </w:r>
    </w:p>
    <w:p w:rsidR="008E48AA" w:rsidRPr="008D589D" w:rsidRDefault="008E48AA" w:rsidP="008E48AA">
      <w:pPr>
        <w:spacing w:line="360" w:lineRule="auto"/>
        <w:jc w:val="both"/>
        <w:rPr>
          <w:rFonts w:ascii="Palatino Linotype" w:eastAsiaTheme="minorHAnsi" w:hAnsi="Palatino Linotype" w:cs="Arial"/>
          <w:lang w:val="es-MX" w:eastAsia="en-US"/>
        </w:rPr>
      </w:pP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lang w:val="es-MX" w:eastAsia="en-US"/>
        </w:rPr>
        <w:t>Por lo que respecta al Acuerdo del Comité de Transparencia que la sustente la versión pública, de la documentación a entregar, deberá ser notificado mediante el SAIMEX.</w:t>
      </w:r>
    </w:p>
    <w:p w:rsidR="008E48AA" w:rsidRPr="008D589D" w:rsidRDefault="008E48AA" w:rsidP="008E48AA">
      <w:pPr>
        <w:spacing w:line="360" w:lineRule="auto"/>
        <w:jc w:val="both"/>
        <w:rPr>
          <w:rFonts w:ascii="Palatino Linotype" w:eastAsiaTheme="minorHAnsi" w:hAnsi="Palatino Linotype" w:cs="Arial"/>
          <w:lang w:val="es-MX" w:eastAsia="en-US"/>
        </w:rPr>
      </w:pPr>
    </w:p>
    <w:p w:rsidR="008E48AA" w:rsidRPr="008D589D" w:rsidRDefault="008E48AA" w:rsidP="008E48AA">
      <w:pPr>
        <w:spacing w:line="360" w:lineRule="auto"/>
        <w:jc w:val="both"/>
        <w:rPr>
          <w:rFonts w:ascii="Palatino Linotype" w:hAnsi="Palatino Linotype"/>
          <w:lang w:val="es-MX"/>
        </w:rPr>
      </w:pPr>
      <w:r w:rsidRPr="008D589D">
        <w:rPr>
          <w:rFonts w:ascii="Palatino Linotype" w:hAnsi="Palatino Linotype" w:cs="Arial"/>
          <w:bCs/>
          <w:lang w:val="es-MX"/>
        </w:rPr>
        <w:t xml:space="preserve">En ese tenor y de acuerdo a la interpretación en el orden administrativo que le da la Ley de la materia a este Instituto específicamente, en términos de su artículo 36, fracción I, </w:t>
      </w:r>
      <w:r w:rsidRPr="008D589D">
        <w:rPr>
          <w:rFonts w:ascii="Palatino Linotype" w:hAnsi="Palatino Linotype" w:cs="Arial"/>
          <w:lang w:val="es-MX"/>
        </w:rPr>
        <w:t xml:space="preserve">de la Ley de Transparencia y Acceso a la Información Pública del Estado de México y Municipios, </w:t>
      </w:r>
      <w:r w:rsidRPr="008D589D">
        <w:rPr>
          <w:rFonts w:ascii="Palatino Linotype" w:hAnsi="Palatino Linotype" w:cs="Arial"/>
          <w:bCs/>
          <w:lang w:val="es-MX"/>
        </w:rPr>
        <w:t>a efecto de salvaguardar el derecho de acceso a la información pública consignado a favor del Recurrente.</w:t>
      </w:r>
    </w:p>
    <w:p w:rsidR="008E48AA" w:rsidRPr="008D589D" w:rsidRDefault="008E48AA" w:rsidP="008E48AA">
      <w:pPr>
        <w:spacing w:line="360" w:lineRule="auto"/>
        <w:jc w:val="both"/>
        <w:rPr>
          <w:rFonts w:ascii="Palatino Linotype" w:hAnsi="Palatino Linotype"/>
          <w:lang w:val="es-MX"/>
        </w:rPr>
      </w:pPr>
    </w:p>
    <w:p w:rsidR="008E48AA" w:rsidRPr="008D589D" w:rsidRDefault="008E48AA" w:rsidP="008E48AA">
      <w:pPr>
        <w:spacing w:line="360" w:lineRule="auto"/>
        <w:jc w:val="both"/>
        <w:rPr>
          <w:rFonts w:ascii="Palatino Linotype" w:hAnsi="Palatino Linotype"/>
          <w:lang w:val="es-MX"/>
        </w:rPr>
      </w:pPr>
      <w:r w:rsidRPr="008D589D">
        <w:rPr>
          <w:rFonts w:ascii="Palatino Linotype" w:hAnsi="Palatino Linotype"/>
          <w:lang w:val="es-MX"/>
        </w:rPr>
        <w:t xml:space="preserve">En mérito de lo expuesto en líneas anteriores, resultan fundados los motivos de inconformidad esgrimidos por el </w:t>
      </w:r>
      <w:r w:rsidRPr="008D589D">
        <w:rPr>
          <w:rFonts w:ascii="Palatino Linotype" w:hAnsi="Palatino Linotype"/>
          <w:b/>
          <w:lang w:val="es-MX"/>
        </w:rPr>
        <w:t>Recurrente</w:t>
      </w:r>
      <w:r w:rsidRPr="008D589D">
        <w:rPr>
          <w:rFonts w:ascii="Palatino Linotype" w:hAnsi="Palatino Linotype"/>
          <w:lang w:val="es-MX"/>
        </w:rPr>
        <w:t xml:space="preserve"> en su medio de impugnación que fue materia de estudio, por ello </w:t>
      </w:r>
      <w:r w:rsidRPr="008D589D">
        <w:rPr>
          <w:rFonts w:ascii="Palatino Linotype" w:hAnsi="Palatino Linotype" w:cs="Arial"/>
          <w:lang w:val="es-MX"/>
        </w:rPr>
        <w:t>con fundamento en la</w:t>
      </w:r>
      <w:r w:rsidRPr="008D589D">
        <w:rPr>
          <w:rFonts w:ascii="Palatino Linotype" w:hAnsi="Palatino Linotype" w:cs="Arial"/>
          <w:b/>
          <w:lang w:val="es-MX"/>
        </w:rPr>
        <w:t xml:space="preserve"> </w:t>
      </w:r>
      <w:r w:rsidRPr="008D589D">
        <w:rPr>
          <w:rFonts w:ascii="Palatino Linotype" w:hAnsi="Palatino Linotype" w:cs="Arial"/>
          <w:i/>
          <w:lang w:val="es-MX"/>
        </w:rPr>
        <w:t>primera hipótesis</w:t>
      </w:r>
      <w:r w:rsidRPr="008D589D">
        <w:rPr>
          <w:rFonts w:ascii="Palatino Linotype" w:hAnsi="Palatino Linotype" w:cs="Arial"/>
          <w:b/>
          <w:lang w:val="es-MX"/>
        </w:rPr>
        <w:t xml:space="preserve"> </w:t>
      </w:r>
      <w:r w:rsidRPr="008D589D">
        <w:rPr>
          <w:rFonts w:ascii="Palatino Linotype" w:hAnsi="Palatino Linotype" w:cs="Arial"/>
          <w:lang w:val="es-MX"/>
        </w:rPr>
        <w:t>de la fracción III,</w:t>
      </w:r>
      <w:r w:rsidRPr="008D589D">
        <w:rPr>
          <w:rFonts w:ascii="Palatino Linotype" w:hAnsi="Palatino Linotype" w:cs="Arial"/>
          <w:b/>
          <w:lang w:val="es-MX"/>
        </w:rPr>
        <w:t xml:space="preserve"> </w:t>
      </w:r>
      <w:r w:rsidRPr="008D589D">
        <w:rPr>
          <w:rFonts w:ascii="Palatino Linotype" w:hAnsi="Palatino Linotype" w:cs="Arial"/>
          <w:lang w:val="es-MX"/>
        </w:rPr>
        <w:t>del artículo 186,</w:t>
      </w:r>
      <w:r w:rsidRPr="008D589D">
        <w:rPr>
          <w:rFonts w:ascii="Palatino Linotype" w:hAnsi="Palatino Linotype" w:cs="Arial"/>
          <w:b/>
          <w:lang w:val="es-MX"/>
        </w:rPr>
        <w:t xml:space="preserve"> </w:t>
      </w:r>
      <w:r w:rsidRPr="008D589D">
        <w:rPr>
          <w:rFonts w:ascii="Palatino Linotype" w:hAnsi="Palatino Linotype" w:cs="Arial"/>
          <w:lang w:val="es-MX"/>
        </w:rPr>
        <w:t xml:space="preserve">de la Ley de Transparencia y Acceso a la Información Pública del Estado de México y Municipios, se </w:t>
      </w:r>
      <w:r w:rsidRPr="008D589D">
        <w:rPr>
          <w:rFonts w:ascii="Palatino Linotype" w:hAnsi="Palatino Linotype" w:cs="Arial"/>
          <w:b/>
          <w:lang w:val="es-MX"/>
        </w:rPr>
        <w:t xml:space="preserve">REVOCA </w:t>
      </w:r>
      <w:r w:rsidRPr="008D589D">
        <w:rPr>
          <w:rFonts w:ascii="Palatino Linotype" w:hAnsi="Palatino Linotype" w:cs="Arial"/>
          <w:lang w:val="es-MX"/>
        </w:rPr>
        <w:t>la respuesta a la solicitud de información número</w:t>
      </w:r>
      <w:r w:rsidRPr="008D589D">
        <w:rPr>
          <w:rFonts w:ascii="Palatino Linotype" w:hAnsi="Palatino Linotype"/>
          <w:b/>
          <w:lang w:val="es-MX"/>
        </w:rPr>
        <w:t xml:space="preserve"> </w:t>
      </w:r>
      <w:r w:rsidRPr="008D589D">
        <w:rPr>
          <w:rFonts w:ascii="Palatino Linotype" w:hAnsi="Palatino Linotype" w:cs="Arial"/>
          <w:b/>
          <w:lang w:val="es-MX"/>
        </w:rPr>
        <w:t>00038/JC/IP/2021</w:t>
      </w:r>
      <w:r w:rsidRPr="008D589D">
        <w:rPr>
          <w:rFonts w:ascii="Palatino Linotype" w:hAnsi="Palatino Linotype" w:cs="Arial"/>
          <w:lang w:val="es-MX"/>
        </w:rPr>
        <w:t>,</w:t>
      </w:r>
      <w:r w:rsidRPr="008D589D">
        <w:rPr>
          <w:rFonts w:ascii="Palatino Linotype" w:hAnsi="Palatino Linotype" w:cs="Arial"/>
          <w:b/>
          <w:lang w:val="es-MX"/>
        </w:rPr>
        <w:t xml:space="preserve"> </w:t>
      </w:r>
      <w:r w:rsidRPr="008D589D">
        <w:rPr>
          <w:rFonts w:ascii="Palatino Linotype" w:hAnsi="Palatino Linotype"/>
          <w:lang w:val="es-MX"/>
        </w:rPr>
        <w:t>que ha sido materia del presente fallo.</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pStyle w:val="Sinespaciado"/>
        <w:spacing w:line="360" w:lineRule="auto"/>
        <w:jc w:val="both"/>
        <w:rPr>
          <w:rFonts w:ascii="Palatino Linotype" w:hAnsi="Palatino Linotype"/>
        </w:rPr>
      </w:pPr>
      <w:r w:rsidRPr="008D589D">
        <w:rPr>
          <w:rFonts w:ascii="Palatino Linotype" w:hAnsi="Palatino Linotype"/>
        </w:rPr>
        <w:t>Por lo antes expuesto y fundado es de resolverse y,</w:t>
      </w:r>
    </w:p>
    <w:p w:rsidR="008E48AA" w:rsidRPr="008D589D" w:rsidRDefault="008E48AA" w:rsidP="008E48AA">
      <w:pPr>
        <w:pStyle w:val="Sinespaciado"/>
        <w:spacing w:line="360" w:lineRule="auto"/>
        <w:jc w:val="center"/>
        <w:rPr>
          <w:rFonts w:ascii="Palatino Linotype" w:hAnsi="Palatino Linotype"/>
        </w:rPr>
      </w:pPr>
    </w:p>
    <w:p w:rsidR="008E48AA" w:rsidRPr="008D589D" w:rsidRDefault="008E48AA" w:rsidP="008E48AA">
      <w:pPr>
        <w:pStyle w:val="Sinespaciado"/>
        <w:spacing w:line="360" w:lineRule="auto"/>
        <w:jc w:val="center"/>
        <w:rPr>
          <w:rFonts w:ascii="Palatino Linotype" w:hAnsi="Palatino Linotype"/>
        </w:rPr>
      </w:pPr>
    </w:p>
    <w:p w:rsidR="008E48AA" w:rsidRPr="008D589D" w:rsidRDefault="008E48AA" w:rsidP="008E48AA">
      <w:pPr>
        <w:pStyle w:val="Sinespaciado"/>
        <w:spacing w:line="360" w:lineRule="auto"/>
        <w:jc w:val="center"/>
        <w:rPr>
          <w:rFonts w:ascii="Palatino Linotype" w:hAnsi="Palatino Linotype"/>
        </w:rPr>
      </w:pPr>
    </w:p>
    <w:p w:rsidR="008E48AA" w:rsidRPr="008D589D" w:rsidRDefault="008E48AA" w:rsidP="008E48AA">
      <w:pPr>
        <w:pStyle w:val="Sinespaciado"/>
        <w:spacing w:line="360" w:lineRule="auto"/>
        <w:jc w:val="center"/>
        <w:rPr>
          <w:rFonts w:ascii="Palatino Linotype" w:hAnsi="Palatino Linotype"/>
        </w:rPr>
      </w:pPr>
    </w:p>
    <w:p w:rsidR="008E48AA" w:rsidRPr="008D589D" w:rsidRDefault="008E48AA" w:rsidP="008E48AA">
      <w:pPr>
        <w:spacing w:line="360" w:lineRule="auto"/>
        <w:jc w:val="center"/>
        <w:rPr>
          <w:rFonts w:ascii="Palatino Linotype" w:hAnsi="Palatino Linotype"/>
          <w:b/>
          <w:sz w:val="28"/>
          <w:lang w:val="pt-BR"/>
        </w:rPr>
      </w:pPr>
      <w:r w:rsidRPr="008D589D">
        <w:rPr>
          <w:rFonts w:ascii="Palatino Linotype" w:hAnsi="Palatino Linotype"/>
          <w:b/>
          <w:sz w:val="28"/>
          <w:lang w:val="pt-BR"/>
        </w:rPr>
        <w:lastRenderedPageBreak/>
        <w:t>S E   R E S U E L V E</w:t>
      </w:r>
    </w:p>
    <w:p w:rsidR="008E48AA" w:rsidRPr="008D589D" w:rsidRDefault="008E48AA" w:rsidP="008E48AA">
      <w:pPr>
        <w:spacing w:line="360" w:lineRule="auto"/>
        <w:jc w:val="center"/>
        <w:rPr>
          <w:rFonts w:ascii="Palatino Linotype" w:hAnsi="Palatino Linotype"/>
          <w:b/>
          <w:lang w:val="pt-BR"/>
        </w:rPr>
      </w:pP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lang w:val="es-MX" w:eastAsia="en-US"/>
        </w:rPr>
      </w:pPr>
      <w:r w:rsidRPr="008D589D">
        <w:rPr>
          <w:rFonts w:ascii="Palatino Linotype" w:eastAsiaTheme="minorHAnsi" w:hAnsi="Palatino Linotype" w:cs="Arial"/>
          <w:b/>
          <w:sz w:val="28"/>
          <w:szCs w:val="28"/>
          <w:lang w:val="es-ES_tradnl" w:eastAsia="en-US"/>
        </w:rPr>
        <w:t>PRIMERO.</w:t>
      </w:r>
      <w:r w:rsidRPr="008D589D">
        <w:rPr>
          <w:rFonts w:ascii="Palatino Linotype" w:eastAsiaTheme="minorHAnsi" w:hAnsi="Palatino Linotype" w:cs="Arial"/>
          <w:lang w:val="es-ES_tradnl" w:eastAsia="en-US"/>
        </w:rPr>
        <w:t xml:space="preserve"> </w:t>
      </w:r>
      <w:r w:rsidRPr="008D589D">
        <w:rPr>
          <w:rFonts w:ascii="Palatino Linotype" w:eastAsiaTheme="minorHAnsi" w:hAnsi="Palatino Linotype" w:cs="Arial"/>
          <w:lang w:val="es-MX" w:eastAsia="en-US"/>
        </w:rPr>
        <w:t>Se</w:t>
      </w:r>
      <w:r w:rsidRPr="008D589D">
        <w:rPr>
          <w:rFonts w:ascii="Palatino Linotype" w:eastAsiaTheme="minorHAnsi" w:hAnsi="Palatino Linotype" w:cs="Arial"/>
          <w:b/>
          <w:lang w:val="es-MX" w:eastAsia="en-US"/>
        </w:rPr>
        <w:t xml:space="preserve"> REVOCA </w:t>
      </w:r>
      <w:r w:rsidRPr="008D589D">
        <w:rPr>
          <w:rFonts w:ascii="Palatino Linotype" w:eastAsia="Arial Unicode MS" w:hAnsi="Palatino Linotype" w:cs="Arial"/>
          <w:lang w:val="es-MX" w:eastAsia="en-US"/>
        </w:rPr>
        <w:t xml:space="preserve">la respuesta entregada por </w:t>
      </w:r>
      <w:r w:rsidRPr="008D589D">
        <w:rPr>
          <w:rFonts w:ascii="Palatino Linotype" w:eastAsia="Arial Unicode MS" w:hAnsi="Palatino Linotype" w:cs="Arial"/>
          <w:b/>
          <w:lang w:val="es-MX" w:eastAsia="en-US"/>
        </w:rPr>
        <w:t xml:space="preserve">El Sujeto Obligado </w:t>
      </w:r>
      <w:r w:rsidRPr="008D589D">
        <w:rPr>
          <w:rFonts w:ascii="Palatino Linotype" w:eastAsia="Arial Unicode MS" w:hAnsi="Palatino Linotype" w:cs="Arial"/>
          <w:lang w:val="es-MX" w:eastAsia="en-US"/>
        </w:rPr>
        <w:t xml:space="preserve">a la solicitud de información número </w:t>
      </w:r>
      <w:r w:rsidRPr="008D589D">
        <w:rPr>
          <w:rFonts w:ascii="Palatino Linotype" w:eastAsiaTheme="minorHAnsi" w:hAnsi="Palatino Linotype" w:cs="Arial"/>
          <w:b/>
          <w:lang w:val="es-MX" w:eastAsia="en-US"/>
        </w:rPr>
        <w:t>00038/JC/IP/2021</w:t>
      </w:r>
      <w:r w:rsidRPr="008D589D">
        <w:rPr>
          <w:rFonts w:ascii="Palatino Linotype" w:eastAsiaTheme="minorHAnsi" w:hAnsi="Palatino Linotype" w:cs="Arial"/>
          <w:lang w:val="es-MX" w:eastAsia="en-US"/>
        </w:rPr>
        <w:t>, por resultar fundados los motivos de inconformidad vertidos por el</w:t>
      </w:r>
      <w:r w:rsidRPr="008D589D">
        <w:rPr>
          <w:rFonts w:ascii="Palatino Linotype" w:eastAsiaTheme="minorHAnsi" w:hAnsi="Palatino Linotype" w:cs="Arial"/>
          <w:b/>
          <w:lang w:val="es-MX" w:eastAsia="en-US"/>
        </w:rPr>
        <w:t xml:space="preserve"> Recurrente</w:t>
      </w:r>
      <w:r w:rsidRPr="008D589D">
        <w:rPr>
          <w:rFonts w:ascii="Palatino Linotype" w:eastAsiaTheme="minorHAnsi" w:hAnsi="Palatino Linotype" w:cs="Arial"/>
          <w:lang w:val="es-MX" w:eastAsia="en-US"/>
        </w:rPr>
        <w:t xml:space="preserve">, en términos del Considerando </w:t>
      </w:r>
      <w:r w:rsidRPr="008D589D">
        <w:rPr>
          <w:rFonts w:ascii="Palatino Linotype" w:eastAsiaTheme="minorHAnsi" w:hAnsi="Palatino Linotype" w:cs="Arial"/>
          <w:b/>
          <w:lang w:val="es-MX" w:eastAsia="en-US"/>
        </w:rPr>
        <w:t>CUARTO</w:t>
      </w:r>
      <w:r w:rsidRPr="008D589D">
        <w:rPr>
          <w:rFonts w:ascii="Palatino Linotype" w:eastAsiaTheme="minorHAnsi" w:hAnsi="Palatino Linotype" w:cs="Arial"/>
          <w:lang w:val="es-MX" w:eastAsia="en-US"/>
        </w:rPr>
        <w:t xml:space="preserve"> de ésta resolución.</w:t>
      </w: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lang w:val="es-MX" w:eastAsia="en-US"/>
        </w:rPr>
      </w:pPr>
    </w:p>
    <w:p w:rsidR="008E48AA" w:rsidRPr="008D589D" w:rsidRDefault="008E48AA" w:rsidP="008E48AA">
      <w:pPr>
        <w:spacing w:line="360" w:lineRule="auto"/>
        <w:jc w:val="both"/>
        <w:rPr>
          <w:rFonts w:ascii="Palatino Linotype" w:eastAsiaTheme="minorHAnsi" w:hAnsi="Palatino Linotype" w:cs="Arial"/>
          <w:lang w:val="es-MX" w:eastAsia="en-US"/>
        </w:rPr>
      </w:pPr>
      <w:r w:rsidRPr="008D589D">
        <w:rPr>
          <w:rFonts w:ascii="Palatino Linotype" w:eastAsiaTheme="minorHAnsi" w:hAnsi="Palatino Linotype" w:cs="Arial"/>
          <w:b/>
          <w:sz w:val="28"/>
          <w:szCs w:val="28"/>
          <w:lang w:val="es-MX" w:eastAsia="en-US"/>
        </w:rPr>
        <w:t>SEGUNDO.</w:t>
      </w:r>
      <w:r w:rsidRPr="008D589D">
        <w:rPr>
          <w:rFonts w:ascii="Palatino Linotype" w:eastAsiaTheme="minorHAnsi" w:hAnsi="Palatino Linotype" w:cs="Arial"/>
          <w:lang w:val="es-MX" w:eastAsia="en-US"/>
        </w:rPr>
        <w:t xml:space="preserve"> Se </w:t>
      </w:r>
      <w:r w:rsidRPr="008D589D">
        <w:rPr>
          <w:rFonts w:ascii="Palatino Linotype" w:eastAsiaTheme="minorHAnsi" w:hAnsi="Palatino Linotype" w:cs="Arial"/>
          <w:b/>
          <w:lang w:val="es-MX" w:eastAsia="en-US"/>
        </w:rPr>
        <w:t>ORDENA</w:t>
      </w:r>
      <w:r w:rsidRPr="008D589D">
        <w:rPr>
          <w:rFonts w:ascii="Palatino Linotype" w:eastAsiaTheme="minorHAnsi" w:hAnsi="Palatino Linotype" w:cs="Arial"/>
          <w:lang w:val="es-MX" w:eastAsia="en-US"/>
        </w:rPr>
        <w:t xml:space="preserve"> al </w:t>
      </w:r>
      <w:r w:rsidRPr="008D589D">
        <w:rPr>
          <w:rFonts w:ascii="Palatino Linotype" w:eastAsiaTheme="minorHAnsi" w:hAnsi="Palatino Linotype" w:cs="Arial"/>
          <w:b/>
          <w:lang w:val="es-MX" w:eastAsia="en-US"/>
        </w:rPr>
        <w:t>Sujeto Obligado</w:t>
      </w:r>
      <w:r w:rsidRPr="008D589D">
        <w:rPr>
          <w:rFonts w:ascii="Palatino Linotype" w:eastAsiaTheme="minorHAnsi" w:hAnsi="Palatino Linotype" w:cs="Arial"/>
          <w:lang w:val="es-MX" w:eastAsia="en-US"/>
        </w:rPr>
        <w:t xml:space="preserve"> haga entrega al </w:t>
      </w:r>
      <w:r w:rsidRPr="008D589D">
        <w:rPr>
          <w:rFonts w:ascii="Palatino Linotype" w:eastAsiaTheme="minorHAnsi" w:hAnsi="Palatino Linotype" w:cs="Arial"/>
          <w:b/>
          <w:lang w:val="es-MX" w:eastAsia="en-US"/>
        </w:rPr>
        <w:t xml:space="preserve">Recurrente </w:t>
      </w:r>
      <w:r w:rsidRPr="008D589D">
        <w:rPr>
          <w:rFonts w:ascii="Palatino Linotype" w:eastAsiaTheme="minorHAnsi" w:hAnsi="Palatino Linotype" w:cs="Arial"/>
          <w:lang w:val="es-MX" w:eastAsia="en-US"/>
        </w:rPr>
        <w:t xml:space="preserve">en términos del Considerando </w:t>
      </w:r>
      <w:r w:rsidRPr="008D589D">
        <w:rPr>
          <w:rFonts w:ascii="Palatino Linotype" w:eastAsiaTheme="minorHAnsi" w:hAnsi="Palatino Linotype" w:cs="Arial"/>
          <w:b/>
          <w:lang w:val="es-MX" w:eastAsia="en-US"/>
        </w:rPr>
        <w:t xml:space="preserve">CUARTO </w:t>
      </w:r>
      <w:r w:rsidRPr="008D589D">
        <w:rPr>
          <w:rFonts w:ascii="Palatino Linotype" w:eastAsiaTheme="minorHAnsi" w:hAnsi="Palatino Linotype" w:cs="Arial"/>
          <w:lang w:val="es-MX" w:eastAsia="en-US"/>
        </w:rPr>
        <w:t>de esta resolución, a través del</w:t>
      </w:r>
      <w:r w:rsidRPr="008D589D">
        <w:rPr>
          <w:rFonts w:ascii="Palatino Linotype" w:eastAsiaTheme="minorHAnsi" w:hAnsi="Palatino Linotype" w:cs="Arial"/>
          <w:b/>
          <w:lang w:val="es-MX" w:eastAsia="en-US"/>
        </w:rPr>
        <w:t xml:space="preserve"> </w:t>
      </w:r>
      <w:r w:rsidRPr="008D589D">
        <w:rPr>
          <w:rFonts w:ascii="Palatino Linotype" w:eastAsiaTheme="minorHAnsi" w:hAnsi="Palatino Linotype" w:cs="Arial"/>
          <w:szCs w:val="22"/>
          <w:lang w:val="es-MX" w:eastAsia="en-US"/>
        </w:rPr>
        <w:t xml:space="preserve">Sistema de Acceso a la Información Mexiquense </w:t>
      </w:r>
      <w:r w:rsidRPr="008D589D">
        <w:rPr>
          <w:rFonts w:ascii="Palatino Linotype" w:eastAsiaTheme="minorHAnsi" w:hAnsi="Palatino Linotype" w:cs="Arial"/>
          <w:b/>
          <w:szCs w:val="22"/>
          <w:lang w:val="es-MX" w:eastAsia="en-US"/>
        </w:rPr>
        <w:t>(SAIMEX)</w:t>
      </w:r>
      <w:r w:rsidRPr="008D589D">
        <w:rPr>
          <w:rFonts w:ascii="Palatino Linotype" w:eastAsiaTheme="minorHAnsi" w:hAnsi="Palatino Linotype" w:cs="Arial"/>
          <w:lang w:val="es-MX" w:eastAsia="en-US"/>
        </w:rPr>
        <w:t>, de ser procedente en versión pública, desde el inicio del contrato a la fecha de la solicitud de información, lo siguiente:</w:t>
      </w:r>
    </w:p>
    <w:p w:rsidR="008E48AA" w:rsidRPr="008D589D" w:rsidRDefault="008E48AA" w:rsidP="008E48AA">
      <w:pPr>
        <w:spacing w:line="360" w:lineRule="auto"/>
        <w:jc w:val="both"/>
        <w:rPr>
          <w:rFonts w:ascii="Palatino Linotype" w:eastAsiaTheme="minorHAnsi" w:hAnsi="Palatino Linotype" w:cs="Arial"/>
          <w:lang w:val="es-MX" w:eastAsia="en-US"/>
        </w:rPr>
      </w:pPr>
    </w:p>
    <w:p w:rsidR="008E48AA" w:rsidRPr="008D589D" w:rsidRDefault="008E48AA" w:rsidP="008E48AA">
      <w:pPr>
        <w:pStyle w:val="Prrafodelista"/>
        <w:numPr>
          <w:ilvl w:val="0"/>
          <w:numId w:val="8"/>
        </w:numPr>
        <w:spacing w:line="276" w:lineRule="auto"/>
        <w:jc w:val="both"/>
        <w:rPr>
          <w:rFonts w:ascii="Palatino Linotype" w:eastAsiaTheme="minorHAnsi" w:hAnsi="Palatino Linotype" w:cs="Arial"/>
          <w:lang w:val="es-MX" w:eastAsia="en-US"/>
        </w:rPr>
      </w:pPr>
      <w:r w:rsidRPr="008D589D">
        <w:rPr>
          <w:rFonts w:ascii="Palatino Linotype" w:eastAsiaTheme="minorHAnsi" w:hAnsi="Palatino Linotype"/>
          <w:lang w:eastAsia="es-MX"/>
        </w:rPr>
        <w:t xml:space="preserve">Documento donde conste el monto anual pagado al concesionario del Proyecto de Prestación de Servicios denominado PPS. </w:t>
      </w:r>
    </w:p>
    <w:p w:rsidR="008E48AA" w:rsidRPr="008D589D" w:rsidRDefault="008E48AA" w:rsidP="008E48AA">
      <w:pPr>
        <w:pStyle w:val="Prrafodelista"/>
        <w:spacing w:line="276" w:lineRule="auto"/>
        <w:ind w:left="720"/>
        <w:jc w:val="both"/>
        <w:rPr>
          <w:rFonts w:ascii="Palatino Linotype" w:eastAsiaTheme="minorHAnsi" w:hAnsi="Palatino Linotype" w:cs="Arial"/>
          <w:lang w:val="es-MX" w:eastAsia="en-US"/>
        </w:rPr>
      </w:pPr>
    </w:p>
    <w:p w:rsidR="008E48AA" w:rsidRPr="008D589D" w:rsidRDefault="008E48AA" w:rsidP="008E48AA">
      <w:pPr>
        <w:pStyle w:val="Prrafodelista"/>
        <w:numPr>
          <w:ilvl w:val="0"/>
          <w:numId w:val="8"/>
        </w:numPr>
        <w:spacing w:line="276" w:lineRule="auto"/>
        <w:jc w:val="both"/>
        <w:rPr>
          <w:rFonts w:ascii="Palatino Linotype" w:eastAsiaTheme="minorHAnsi" w:hAnsi="Palatino Linotype" w:cs="Arial"/>
          <w:lang w:val="es-MX" w:eastAsia="en-US"/>
        </w:rPr>
      </w:pPr>
      <w:r w:rsidRPr="008D589D">
        <w:rPr>
          <w:rFonts w:ascii="Palatino Linotype" w:eastAsiaTheme="minorHAnsi" w:hAnsi="Palatino Linotype"/>
          <w:lang w:eastAsia="es-MX"/>
        </w:rPr>
        <w:t>Documento donde conste el monto y motivo de las multas que ha impuesto el Gobierno del Estado de México al concesionario del Proyecto de Prestación de Servicios denominado PPS, por incumplimiento de contrato.</w:t>
      </w:r>
    </w:p>
    <w:p w:rsidR="008E48AA" w:rsidRPr="008D589D" w:rsidRDefault="008E48AA" w:rsidP="008E48AA">
      <w:pPr>
        <w:pStyle w:val="Prrafodelista"/>
        <w:spacing w:line="276" w:lineRule="auto"/>
        <w:ind w:left="720"/>
        <w:jc w:val="both"/>
        <w:rPr>
          <w:rFonts w:eastAsiaTheme="minorHAnsi"/>
          <w:lang w:val="es-MX" w:eastAsia="en-US"/>
        </w:rPr>
      </w:pPr>
    </w:p>
    <w:p w:rsidR="008E48AA" w:rsidRPr="008D589D" w:rsidRDefault="008E48AA" w:rsidP="008E48AA">
      <w:pPr>
        <w:pStyle w:val="Prrafodelista"/>
        <w:numPr>
          <w:ilvl w:val="0"/>
          <w:numId w:val="8"/>
        </w:numPr>
        <w:spacing w:line="276" w:lineRule="auto"/>
        <w:jc w:val="both"/>
        <w:rPr>
          <w:rFonts w:ascii="Palatino Linotype" w:eastAsiaTheme="minorHAnsi" w:hAnsi="Palatino Linotype" w:cs="Arial"/>
          <w:lang w:val="es-MX" w:eastAsia="en-US"/>
        </w:rPr>
      </w:pPr>
      <w:r w:rsidRPr="008D589D">
        <w:rPr>
          <w:rFonts w:ascii="Palatino Linotype" w:eastAsiaTheme="minorHAnsi" w:hAnsi="Palatino Linotype"/>
          <w:lang w:eastAsia="es-MX"/>
        </w:rPr>
        <w:t>El Contrato y los convenios modificatorios al contrato formalizado con el concesionario del Proyecto de Prestación de Servicios denominado PPS.</w:t>
      </w:r>
    </w:p>
    <w:p w:rsidR="008E48AA" w:rsidRPr="008D589D" w:rsidRDefault="008E48AA" w:rsidP="008E48AA">
      <w:pPr>
        <w:rPr>
          <w:lang w:val="es-MX"/>
        </w:rPr>
      </w:pPr>
    </w:p>
    <w:p w:rsidR="008E48AA" w:rsidRPr="008D589D" w:rsidRDefault="008E48AA" w:rsidP="008E48AA">
      <w:pPr>
        <w:spacing w:line="276" w:lineRule="auto"/>
        <w:ind w:left="567" w:right="567"/>
        <w:jc w:val="both"/>
        <w:rPr>
          <w:rFonts w:ascii="Palatino Linotype" w:eastAsiaTheme="minorHAnsi" w:hAnsi="Palatino Linotype" w:cs="Arial"/>
          <w:i/>
          <w:sz w:val="22"/>
          <w:szCs w:val="23"/>
          <w:lang w:val="es-MX" w:eastAsia="en-US"/>
        </w:rPr>
      </w:pPr>
      <w:r w:rsidRPr="008D589D">
        <w:rPr>
          <w:rFonts w:ascii="Palatino Linotype" w:eastAsiaTheme="minorHAnsi" w:hAnsi="Palatino Linotype" w:cs="Arial"/>
          <w:i/>
          <w:sz w:val="22"/>
          <w:szCs w:val="23"/>
          <w:lang w:val="es-MX" w:eastAsia="en-U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8D589D">
        <w:rPr>
          <w:rFonts w:ascii="Palatino Linotype" w:eastAsiaTheme="minorHAnsi" w:hAnsi="Palatino Linotype" w:cs="Arial"/>
          <w:b/>
          <w:i/>
          <w:sz w:val="22"/>
          <w:szCs w:val="23"/>
          <w:lang w:val="es-MX" w:eastAsia="en-US"/>
        </w:rPr>
        <w:t>Recurrente</w:t>
      </w:r>
      <w:r w:rsidRPr="008D589D">
        <w:rPr>
          <w:rFonts w:ascii="Palatino Linotype" w:eastAsiaTheme="minorHAnsi" w:hAnsi="Palatino Linotype" w:cs="Arial"/>
          <w:i/>
          <w:sz w:val="22"/>
          <w:szCs w:val="23"/>
          <w:lang w:val="es-MX" w:eastAsia="en-US"/>
        </w:rPr>
        <w:t>.</w:t>
      </w:r>
    </w:p>
    <w:p w:rsidR="008E48AA" w:rsidRPr="008D589D" w:rsidRDefault="008E48AA" w:rsidP="008E48AA">
      <w:pPr>
        <w:spacing w:line="276" w:lineRule="auto"/>
        <w:ind w:left="567" w:right="567"/>
        <w:jc w:val="both"/>
        <w:rPr>
          <w:rFonts w:ascii="Palatino Linotype" w:eastAsiaTheme="minorHAnsi" w:hAnsi="Palatino Linotype" w:cs="Arial"/>
          <w:i/>
          <w:sz w:val="22"/>
          <w:szCs w:val="23"/>
          <w:lang w:val="es-MX" w:eastAsia="en-US"/>
        </w:rPr>
      </w:pPr>
    </w:p>
    <w:p w:rsidR="008E48AA" w:rsidRPr="008D589D" w:rsidRDefault="008E48AA" w:rsidP="008E48AA">
      <w:pPr>
        <w:spacing w:line="276" w:lineRule="auto"/>
        <w:ind w:left="567" w:right="567"/>
        <w:jc w:val="both"/>
        <w:rPr>
          <w:rFonts w:ascii="Palatino Linotype" w:hAnsi="Palatino Linotype" w:cs="Arial"/>
          <w:i/>
          <w:sz w:val="22"/>
          <w:szCs w:val="22"/>
        </w:rPr>
      </w:pPr>
      <w:r w:rsidRPr="008D589D">
        <w:rPr>
          <w:rFonts w:ascii="Palatino Linotype" w:hAnsi="Palatino Linotype" w:cs="Arial"/>
          <w:i/>
          <w:sz w:val="22"/>
          <w:szCs w:val="22"/>
        </w:rPr>
        <w:lastRenderedPageBreak/>
        <w:t xml:space="preserve">De ser el caso que la información respecto de la que se ordena la entrega de la información descrita en </w:t>
      </w:r>
      <w:r w:rsidRPr="008D589D">
        <w:rPr>
          <w:rFonts w:ascii="Palatino Linotype" w:hAnsi="Palatino Linotype" w:cs="Arial"/>
          <w:b/>
          <w:i/>
          <w:sz w:val="22"/>
          <w:szCs w:val="22"/>
        </w:rPr>
        <w:t>Resolutivo SEGUNDO</w:t>
      </w:r>
      <w:r w:rsidRPr="008D589D">
        <w:rPr>
          <w:rFonts w:ascii="Palatino Linotype" w:hAnsi="Palatino Linotype" w:cs="Arial"/>
          <w:i/>
          <w:sz w:val="22"/>
          <w:szCs w:val="22"/>
        </w:rPr>
        <w:t xml:space="preserve">, inciso 2) </w:t>
      </w:r>
      <w:r w:rsidRPr="008D589D">
        <w:rPr>
          <w:rFonts w:ascii="Palatino Linotype" w:hAnsi="Palatino Linotype" w:cs="Arial"/>
          <w:b/>
          <w:i/>
          <w:sz w:val="22"/>
          <w:szCs w:val="22"/>
          <w:u w:val="single"/>
        </w:rPr>
        <w:t>no haya causado estado y concurra con alguna causal de reserva</w:t>
      </w:r>
      <w:r w:rsidRPr="008D589D">
        <w:rPr>
          <w:rFonts w:ascii="Palatino Linotype" w:hAnsi="Palatino Linotype" w:cs="Arial"/>
          <w:i/>
          <w:sz w:val="22"/>
          <w:szCs w:val="22"/>
        </w:rPr>
        <w:t xml:space="preserve">, el </w:t>
      </w:r>
      <w:r w:rsidRPr="008D589D">
        <w:rPr>
          <w:rFonts w:ascii="Palatino Linotype" w:hAnsi="Palatino Linotype" w:cs="Arial"/>
          <w:b/>
          <w:i/>
          <w:sz w:val="22"/>
          <w:szCs w:val="22"/>
        </w:rPr>
        <w:t>Sujeto Obligado</w:t>
      </w:r>
      <w:r w:rsidRPr="008D589D">
        <w:rPr>
          <w:rFonts w:ascii="Palatino Linotype" w:hAnsi="Palatino Linotype" w:cs="Arial"/>
          <w:i/>
          <w:sz w:val="22"/>
          <w:szCs w:val="22"/>
        </w:rPr>
        <w:t xml:space="preserve"> deberá emitir y entregar el Acuerdo de Clasificación como </w:t>
      </w:r>
      <w:r w:rsidRPr="008D589D">
        <w:rPr>
          <w:rFonts w:ascii="Palatino Linotype" w:hAnsi="Palatino Linotype" w:cs="Arial"/>
          <w:b/>
          <w:i/>
          <w:sz w:val="22"/>
          <w:szCs w:val="22"/>
        </w:rPr>
        <w:t>INFORMACIÓN RESERVADA</w:t>
      </w:r>
      <w:r w:rsidRPr="008D589D">
        <w:rPr>
          <w:rFonts w:ascii="Palatino Linotype" w:hAnsi="Palatino Linotype" w:cs="Arial"/>
          <w:i/>
          <w:sz w:val="22"/>
          <w:szCs w:val="22"/>
        </w:rPr>
        <w:t xml:space="preserve"> que emita el Comité de Transparencia, de conformidad con los artículos 128, 129, 135 y 140, de la Ley de Transparencia y Acceso a la Información Pública del Estado de México y Municipios, que sustente su clasificación</w:t>
      </w:r>
      <w:r w:rsidRPr="008D589D">
        <w:t xml:space="preserve"> </w:t>
      </w:r>
      <w:r w:rsidRPr="008D589D">
        <w:rPr>
          <w:rFonts w:ascii="Palatino Linotype" w:hAnsi="Palatino Linotype" w:cs="Arial"/>
          <w:i/>
          <w:sz w:val="22"/>
          <w:szCs w:val="22"/>
        </w:rPr>
        <w:t xml:space="preserve">en términos del </w:t>
      </w:r>
      <w:r w:rsidRPr="008D589D">
        <w:rPr>
          <w:rFonts w:ascii="Palatino Linotype" w:hAnsi="Palatino Linotype" w:cs="Arial"/>
          <w:b/>
          <w:i/>
          <w:sz w:val="22"/>
          <w:szCs w:val="22"/>
        </w:rPr>
        <w:t>Considerando Cuarto</w:t>
      </w:r>
      <w:r w:rsidRPr="008D589D">
        <w:rPr>
          <w:rFonts w:ascii="Palatino Linotype" w:hAnsi="Palatino Linotype" w:cs="Arial"/>
          <w:i/>
          <w:sz w:val="22"/>
          <w:szCs w:val="22"/>
        </w:rPr>
        <w:t xml:space="preserve"> de esta resolución.</w:t>
      </w: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b/>
          <w:sz w:val="28"/>
          <w:szCs w:val="28"/>
          <w:lang w:val="es-ES_tradnl" w:eastAsia="en-US"/>
        </w:rPr>
      </w:pP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8D589D">
        <w:rPr>
          <w:rFonts w:ascii="Palatino Linotype" w:eastAsiaTheme="minorHAnsi" w:hAnsi="Palatino Linotype" w:cs="Arial"/>
          <w:b/>
          <w:sz w:val="28"/>
          <w:szCs w:val="28"/>
          <w:lang w:val="es-ES_tradnl" w:eastAsia="en-US"/>
        </w:rPr>
        <w:t xml:space="preserve">TERCERO. </w:t>
      </w:r>
      <w:r w:rsidRPr="008D589D">
        <w:rPr>
          <w:rFonts w:ascii="Palatino Linotype" w:eastAsiaTheme="minorHAnsi" w:hAnsi="Palatino Linotype" w:cs="Arial"/>
          <w:b/>
          <w:szCs w:val="28"/>
          <w:lang w:val="es-ES_tradnl" w:eastAsia="en-US"/>
        </w:rPr>
        <w:t>NOTIFÍQUESE</w:t>
      </w:r>
      <w:r w:rsidRPr="008D589D">
        <w:rPr>
          <w:rFonts w:ascii="Palatino Linotype" w:eastAsiaTheme="minorHAnsi" w:hAnsi="Palatino Linotype" w:cs="Arial"/>
          <w:b/>
          <w:sz w:val="28"/>
          <w:szCs w:val="28"/>
          <w:lang w:val="es-ES_tradnl" w:eastAsia="en-US"/>
        </w:rPr>
        <w:t xml:space="preserve"> </w:t>
      </w:r>
      <w:r w:rsidRPr="008D589D">
        <w:rPr>
          <w:rFonts w:ascii="Palatino Linotype" w:eastAsiaTheme="minorHAnsi" w:hAnsi="Palatino Linotype" w:cs="Arial"/>
          <w:szCs w:val="28"/>
          <w:lang w:val="es-ES_tradnl" w:eastAsia="en-US"/>
        </w:rPr>
        <w:t xml:space="preserve">la presente resolución al Titular de la Unidad de Transparencia del </w:t>
      </w:r>
      <w:r w:rsidRPr="008D589D">
        <w:rPr>
          <w:rFonts w:ascii="Palatino Linotype" w:eastAsiaTheme="minorHAnsi" w:hAnsi="Palatino Linotype" w:cs="Arial"/>
          <w:b/>
          <w:szCs w:val="28"/>
          <w:lang w:val="es-ES_tradnl" w:eastAsia="en-US"/>
        </w:rPr>
        <w:t>Sujeto Obligado</w:t>
      </w:r>
      <w:r w:rsidRPr="008D589D">
        <w:rPr>
          <w:rFonts w:ascii="Palatino Linotype" w:eastAsiaTheme="minorHAnsi" w:hAnsi="Palatino Linotype" w:cs="Arial"/>
          <w:szCs w:val="28"/>
          <w:lang w:val="es-ES_tradnl" w:eastAsia="en-U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rsidR="008E48AA" w:rsidRPr="008D589D" w:rsidRDefault="008E48AA" w:rsidP="008E48AA">
      <w:pPr>
        <w:spacing w:line="360" w:lineRule="auto"/>
        <w:jc w:val="both"/>
        <w:rPr>
          <w:rFonts w:ascii="Palatino Linotype" w:eastAsiaTheme="minorHAnsi" w:hAnsi="Palatino Linotype" w:cs="Arial"/>
          <w:bCs/>
          <w:szCs w:val="28"/>
          <w:lang w:val="es-MX" w:eastAsia="en-US"/>
        </w:rPr>
      </w:pPr>
      <w:r w:rsidRPr="008D589D">
        <w:rPr>
          <w:rFonts w:ascii="Palatino Linotype" w:eastAsiaTheme="minorHAnsi" w:hAnsi="Palatino Linotype" w:cs="Arial"/>
          <w:b/>
          <w:bCs/>
          <w:sz w:val="28"/>
          <w:szCs w:val="28"/>
          <w:lang w:val="es-MX" w:eastAsia="en-US"/>
        </w:rPr>
        <w:t>CUARTO.</w:t>
      </w:r>
      <w:r w:rsidRPr="008D589D">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8D589D">
        <w:rPr>
          <w:rFonts w:ascii="Palatino Linotype" w:eastAsiaTheme="minorHAnsi" w:hAnsi="Palatino Linotype" w:cs="Arial"/>
          <w:b/>
          <w:bCs/>
          <w:szCs w:val="28"/>
          <w:lang w:val="es-MX" w:eastAsia="en-US"/>
        </w:rPr>
        <w:t>Sujeto Obligado</w:t>
      </w:r>
      <w:r w:rsidRPr="008D589D">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b/>
          <w:szCs w:val="28"/>
          <w:lang w:val="es-MX" w:eastAsia="en-US"/>
        </w:rPr>
      </w:pPr>
    </w:p>
    <w:p w:rsidR="008E48AA" w:rsidRPr="008D589D" w:rsidRDefault="008E48AA" w:rsidP="008E48AA">
      <w:pPr>
        <w:autoSpaceDE w:val="0"/>
        <w:autoSpaceDN w:val="0"/>
        <w:adjustRightInd w:val="0"/>
        <w:spacing w:line="360" w:lineRule="auto"/>
        <w:ind w:right="49"/>
        <w:jc w:val="both"/>
        <w:rPr>
          <w:rFonts w:ascii="Palatino Linotype" w:eastAsiaTheme="minorHAnsi" w:hAnsi="Palatino Linotype" w:cs="Arial"/>
          <w:lang w:val="es-MX" w:eastAsia="en-US"/>
        </w:rPr>
      </w:pPr>
      <w:r w:rsidRPr="008D589D">
        <w:rPr>
          <w:rFonts w:ascii="Palatino Linotype" w:eastAsiaTheme="minorHAnsi" w:hAnsi="Palatino Linotype" w:cs="Arial"/>
          <w:b/>
          <w:sz w:val="28"/>
          <w:szCs w:val="28"/>
          <w:lang w:val="es-MX" w:eastAsia="en-US"/>
        </w:rPr>
        <w:t>QUINTO.</w:t>
      </w:r>
      <w:r w:rsidRPr="008D589D">
        <w:rPr>
          <w:rFonts w:ascii="Palatino Linotype" w:eastAsiaTheme="minorHAnsi" w:hAnsi="Palatino Linotype" w:cs="Arial"/>
          <w:b/>
          <w:lang w:val="es-MX" w:eastAsia="en-US"/>
        </w:rPr>
        <w:t xml:space="preserve"> NOTIFÍQUESE</w:t>
      </w:r>
      <w:r w:rsidRPr="008D589D">
        <w:rPr>
          <w:rFonts w:ascii="Palatino Linotype" w:eastAsiaTheme="minorHAnsi" w:hAnsi="Palatino Linotype" w:cs="Arial"/>
          <w:lang w:val="es-MX" w:eastAsia="en-US"/>
        </w:rPr>
        <w:t xml:space="preserve"> al </w:t>
      </w:r>
      <w:r w:rsidRPr="008D589D">
        <w:rPr>
          <w:rFonts w:ascii="Palatino Linotype" w:eastAsiaTheme="minorHAnsi" w:hAnsi="Palatino Linotype" w:cs="Arial"/>
          <w:b/>
          <w:lang w:val="es-MX" w:eastAsia="en-US"/>
        </w:rPr>
        <w:t>Recurrente</w:t>
      </w:r>
      <w:r w:rsidRPr="008D589D">
        <w:rPr>
          <w:rFonts w:ascii="Palatino Linotype" w:eastAsiaTheme="minorHAnsi" w:hAnsi="Palatino Linotype" w:cs="Arial"/>
          <w:lang w:val="es-MX" w:eastAsia="en-US"/>
        </w:rPr>
        <w:t xml:space="preserve"> la presente resolución a través del </w:t>
      </w:r>
      <w:r w:rsidRPr="008D589D">
        <w:rPr>
          <w:rFonts w:ascii="Palatino Linotype" w:eastAsiaTheme="minorHAnsi" w:hAnsi="Palatino Linotype" w:cs="Arial"/>
          <w:szCs w:val="22"/>
          <w:lang w:val="es-MX" w:eastAsia="en-US"/>
        </w:rPr>
        <w:t xml:space="preserve">Sistema de Acceso a la Información Mexiquense </w:t>
      </w:r>
      <w:r w:rsidRPr="008D589D">
        <w:rPr>
          <w:rFonts w:ascii="Palatino Linotype" w:eastAsiaTheme="minorHAnsi" w:hAnsi="Palatino Linotype" w:cs="Arial"/>
          <w:b/>
          <w:szCs w:val="22"/>
          <w:lang w:val="es-MX" w:eastAsia="en-US"/>
        </w:rPr>
        <w:t>(SAIMEX)</w:t>
      </w:r>
      <w:r w:rsidRPr="008D589D">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8E48AA" w:rsidRPr="008D589D" w:rsidRDefault="008E48AA" w:rsidP="008E48AA">
      <w:pPr>
        <w:spacing w:line="360" w:lineRule="auto"/>
        <w:jc w:val="both"/>
        <w:rPr>
          <w:rFonts w:ascii="Palatino Linotype" w:hAnsi="Palatino Linotype" w:cs="Arial"/>
        </w:rPr>
      </w:pPr>
    </w:p>
    <w:p w:rsidR="008E48AA" w:rsidRPr="008D589D" w:rsidRDefault="008E48AA" w:rsidP="008E48AA">
      <w:pPr>
        <w:spacing w:line="360" w:lineRule="auto"/>
        <w:jc w:val="both"/>
        <w:rPr>
          <w:rFonts w:ascii="Palatino Linotype" w:hAnsi="Palatino Linotype" w:cs="Arial"/>
        </w:rPr>
      </w:pPr>
      <w:r w:rsidRPr="008D589D">
        <w:rPr>
          <w:rFonts w:ascii="Palatino Linotype" w:hAnsi="Palatino Linotype" w:cs="Arial"/>
        </w:rPr>
        <w:t>ASÍ LO RESUELVE, POR UNANIMIDAD DE VOTOS, EL PLENO DEL</w:t>
      </w:r>
      <w:r w:rsidRPr="008D589D">
        <w:rPr>
          <w:rFonts w:ascii="Palatino Linotype" w:eastAsia="Arial Unicode MS" w:hAnsi="Palatino Linotype" w:cs="Arial"/>
        </w:rPr>
        <w:t xml:space="preserve"> INSTITUTO DE TRANSPARENCIA, ACCESO A LA INFORMACIÓN PÚBLICA Y PROTECCIÓN DE DATOS PERSONALES DEL ESTADO DE MÉXICO Y MUNICIPIOS</w:t>
      </w:r>
      <w:r w:rsidRPr="008D589D">
        <w:rPr>
          <w:rFonts w:ascii="Palatino Linotype" w:hAnsi="Palatino Linotype" w:cs="Arial"/>
        </w:rPr>
        <w:t>, CONFORMADO POR LOS COMISIONADOS JOSÉ MARTÍNEZ VILCHIS; MARÍA DEL ROSARIO MEJÍA AYALA; SHARON CRISTINA MORALES MARTÍNEZ; LUIS GUSTAVO PARRA NORIEGA</w:t>
      </w:r>
      <w:r w:rsidR="008D589D">
        <w:rPr>
          <w:rFonts w:ascii="Palatino Linotype" w:hAnsi="Palatino Linotype" w:cs="Arial"/>
        </w:rPr>
        <w:t xml:space="preserve"> (EMITIENDO VOTO PARTICULAR)</w:t>
      </w:r>
      <w:r w:rsidR="008D589D" w:rsidRPr="008D589D">
        <w:rPr>
          <w:rFonts w:ascii="Palatino Linotype" w:hAnsi="Palatino Linotype" w:cs="Arial"/>
        </w:rPr>
        <w:t xml:space="preserve"> </w:t>
      </w:r>
      <w:r w:rsidRPr="008D589D">
        <w:rPr>
          <w:rFonts w:ascii="Palatino Linotype" w:hAnsi="Palatino Linotype" w:cs="Arial"/>
        </w:rPr>
        <w:t xml:space="preserve">Y GUADALUPE RAMÍREZ PEÑA; EN LA TRIGÉSIMA NOVENA SESIÓN ORDINARIA CELEBRADA EL </w:t>
      </w:r>
      <w:r w:rsidRPr="008D589D">
        <w:rPr>
          <w:rFonts w:ascii="Palatino Linotype" w:hAnsi="Palatino Linotype" w:cs="Arial"/>
          <w:color w:val="000000"/>
          <w:lang w:eastAsia="es-MX"/>
        </w:rPr>
        <w:t>CUATRO DE NOVIEMBRE DE</w:t>
      </w:r>
      <w:r w:rsidRPr="008D589D">
        <w:rPr>
          <w:rFonts w:ascii="Palatino Linotype" w:hAnsi="Palatino Linotype" w:cs="Arial"/>
        </w:rPr>
        <w:t xml:space="preserve"> DOS MIL VEINTIUNO, ANTE EL SECRETARIO TÉCNICO, ALEXIS TAPIA RAMÍREZ.---------------------------------------------------------------------------------------------------------------------------------------------------------------------------------------------------------------------------------------------------------------------------------------------------------------------------------------------------------------------------------------------------------------------------------------------------------------------------------------------------------------------------------------------------------------------------------------------------------------------------------------------------------------------------------------------------------------------------------------------------------------------------------------------------------------------------------------------------------------------------------------------------------------------------------------------------------------------------------------------------------------------------------------------------------------------------------------------------------------------------------------------------------------------------------------------------------------------------------------------------------------------------------------------------------------------------------------------------------------------------------------------------------------------------------------------------------------------------------------------------------------------------------------------------------------------------------------------------------------------------------------------------------------------------------------------------------------------</w:t>
      </w:r>
      <w:r w:rsidR="008D589D">
        <w:rPr>
          <w:rFonts w:ascii="Palatino Linotype" w:hAnsi="Palatino Linotype" w:cs="Arial"/>
        </w:rPr>
        <w:t>----</w:t>
      </w:r>
    </w:p>
    <w:p w:rsidR="008E48AA" w:rsidRPr="009B630A" w:rsidRDefault="008E48AA" w:rsidP="008E48AA">
      <w:pPr>
        <w:spacing w:line="360" w:lineRule="auto"/>
        <w:jc w:val="both"/>
        <w:rPr>
          <w:rFonts w:ascii="Palatino Linotype" w:hAnsi="Palatino Linotype"/>
          <w:sz w:val="18"/>
        </w:rPr>
      </w:pPr>
      <w:r w:rsidRPr="008D589D">
        <w:rPr>
          <w:rFonts w:ascii="Palatino Linotype" w:hAnsi="Palatino Linotype" w:cs="Arial"/>
          <w:sz w:val="18"/>
        </w:rPr>
        <w:t>JMV/CCR/</w:t>
      </w:r>
      <w:proofErr w:type="spellStart"/>
      <w:r w:rsidRPr="008D589D">
        <w:rPr>
          <w:rFonts w:ascii="Palatino Linotype" w:hAnsi="Palatino Linotype" w:cs="Arial"/>
          <w:sz w:val="18"/>
        </w:rPr>
        <w:t>jasm</w:t>
      </w:r>
      <w:proofErr w:type="spellEnd"/>
    </w:p>
    <w:p w:rsidR="008E48AA" w:rsidRPr="003E56C9" w:rsidRDefault="008E48AA" w:rsidP="008E48AA"/>
    <w:p w:rsidR="005349E6" w:rsidRDefault="005349E6"/>
    <w:sectPr w:rsidR="005349E6" w:rsidSect="00BA5422">
      <w:headerReference w:type="even" r:id="rId39"/>
      <w:headerReference w:type="default" r:id="rId40"/>
      <w:footerReference w:type="default" r:id="rId41"/>
      <w:headerReference w:type="first" r:id="rId42"/>
      <w:footerReference w:type="first" r:id="rId43"/>
      <w:pgSz w:w="12240" w:h="15840"/>
      <w:pgMar w:top="1857"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F11" w:rsidRDefault="00FF2F11">
      <w:r>
        <w:separator/>
      </w:r>
    </w:p>
  </w:endnote>
  <w:endnote w:type="continuationSeparator" w:id="0">
    <w:p w:rsidR="00FF2F11" w:rsidRDefault="00FF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95" w:rsidRPr="00BA5422" w:rsidRDefault="008E48AA" w:rsidP="0043515A">
    <w:pPr>
      <w:pStyle w:val="Piedepgina"/>
      <w:jc w:val="right"/>
      <w:rPr>
        <w:rFonts w:ascii="Palatino Linotype" w:hAnsi="Palatino Linotype" w:cs="Arial"/>
        <w:sz w:val="20"/>
        <w:szCs w:val="20"/>
      </w:rPr>
    </w:pPr>
    <w:r w:rsidRPr="00BA5422">
      <w:rPr>
        <w:rFonts w:ascii="Palatino Linotype" w:hAnsi="Palatino Linotype" w:cs="Arial"/>
        <w:bCs/>
        <w:sz w:val="20"/>
        <w:szCs w:val="20"/>
      </w:rPr>
      <w:t xml:space="preserve">Página </w:t>
    </w:r>
    <w:r w:rsidRPr="00BA5422">
      <w:rPr>
        <w:rFonts w:ascii="Palatino Linotype" w:hAnsi="Palatino Linotype" w:cs="Arial"/>
        <w:bCs/>
        <w:sz w:val="20"/>
        <w:szCs w:val="20"/>
      </w:rPr>
      <w:fldChar w:fldCharType="begin"/>
    </w:r>
    <w:r w:rsidRPr="00BA5422">
      <w:rPr>
        <w:rFonts w:ascii="Palatino Linotype" w:hAnsi="Palatino Linotype" w:cs="Arial"/>
        <w:bCs/>
        <w:sz w:val="20"/>
        <w:szCs w:val="20"/>
      </w:rPr>
      <w:instrText>PAGE</w:instrText>
    </w:r>
    <w:r w:rsidRPr="00BA5422">
      <w:rPr>
        <w:rFonts w:ascii="Palatino Linotype" w:hAnsi="Palatino Linotype" w:cs="Arial"/>
        <w:bCs/>
        <w:sz w:val="20"/>
        <w:szCs w:val="20"/>
      </w:rPr>
      <w:fldChar w:fldCharType="separate"/>
    </w:r>
    <w:r w:rsidR="000211E6">
      <w:rPr>
        <w:rFonts w:ascii="Palatino Linotype" w:hAnsi="Palatino Linotype" w:cs="Arial"/>
        <w:bCs/>
        <w:noProof/>
        <w:sz w:val="20"/>
        <w:szCs w:val="20"/>
      </w:rPr>
      <w:t>32</w:t>
    </w:r>
    <w:r w:rsidRPr="00BA5422">
      <w:rPr>
        <w:rFonts w:ascii="Palatino Linotype" w:hAnsi="Palatino Linotype" w:cs="Arial"/>
        <w:bCs/>
        <w:sz w:val="20"/>
        <w:szCs w:val="20"/>
      </w:rPr>
      <w:fldChar w:fldCharType="end"/>
    </w:r>
    <w:r w:rsidRPr="00BA5422">
      <w:rPr>
        <w:rFonts w:ascii="Palatino Linotype" w:hAnsi="Palatino Linotype" w:cs="Arial"/>
        <w:sz w:val="20"/>
        <w:szCs w:val="20"/>
      </w:rPr>
      <w:t xml:space="preserve"> de </w:t>
    </w:r>
    <w:r w:rsidRPr="00BA5422">
      <w:rPr>
        <w:rFonts w:ascii="Palatino Linotype" w:hAnsi="Palatino Linotype" w:cs="Arial"/>
        <w:bCs/>
        <w:sz w:val="20"/>
        <w:szCs w:val="20"/>
      </w:rPr>
      <w:fldChar w:fldCharType="begin"/>
    </w:r>
    <w:r w:rsidRPr="00BA5422">
      <w:rPr>
        <w:rFonts w:ascii="Palatino Linotype" w:hAnsi="Palatino Linotype" w:cs="Arial"/>
        <w:bCs/>
        <w:sz w:val="20"/>
        <w:szCs w:val="20"/>
      </w:rPr>
      <w:instrText>NUMPAGES</w:instrText>
    </w:r>
    <w:r w:rsidRPr="00BA5422">
      <w:rPr>
        <w:rFonts w:ascii="Palatino Linotype" w:hAnsi="Palatino Linotype" w:cs="Arial"/>
        <w:bCs/>
        <w:sz w:val="20"/>
        <w:szCs w:val="20"/>
      </w:rPr>
      <w:fldChar w:fldCharType="separate"/>
    </w:r>
    <w:r w:rsidR="000211E6">
      <w:rPr>
        <w:rFonts w:ascii="Palatino Linotype" w:hAnsi="Palatino Linotype" w:cs="Arial"/>
        <w:bCs/>
        <w:noProof/>
        <w:sz w:val="20"/>
        <w:szCs w:val="20"/>
      </w:rPr>
      <w:t>32</w:t>
    </w:r>
    <w:r w:rsidRPr="00BA5422">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995" w:rsidRPr="00BA5422" w:rsidRDefault="008E48AA" w:rsidP="0043515A">
    <w:pPr>
      <w:pStyle w:val="Piedepgina"/>
      <w:jc w:val="right"/>
      <w:rPr>
        <w:rFonts w:ascii="Palatino Linotype" w:hAnsi="Palatino Linotype" w:cs="Arial"/>
        <w:sz w:val="20"/>
        <w:szCs w:val="20"/>
      </w:rPr>
    </w:pPr>
    <w:r w:rsidRPr="00BA5422">
      <w:rPr>
        <w:rFonts w:ascii="Palatino Linotype" w:hAnsi="Palatino Linotype" w:cs="Arial"/>
        <w:bCs/>
        <w:sz w:val="20"/>
        <w:szCs w:val="20"/>
      </w:rPr>
      <w:t xml:space="preserve">Página </w:t>
    </w:r>
    <w:r w:rsidRPr="00BA5422">
      <w:rPr>
        <w:rFonts w:ascii="Palatino Linotype" w:hAnsi="Palatino Linotype" w:cs="Arial"/>
        <w:bCs/>
        <w:sz w:val="20"/>
        <w:szCs w:val="20"/>
      </w:rPr>
      <w:fldChar w:fldCharType="begin"/>
    </w:r>
    <w:r w:rsidRPr="00BA5422">
      <w:rPr>
        <w:rFonts w:ascii="Palatino Linotype" w:hAnsi="Palatino Linotype" w:cs="Arial"/>
        <w:bCs/>
        <w:sz w:val="20"/>
        <w:szCs w:val="20"/>
      </w:rPr>
      <w:instrText>PAGE</w:instrText>
    </w:r>
    <w:r w:rsidRPr="00BA5422">
      <w:rPr>
        <w:rFonts w:ascii="Palatino Linotype" w:hAnsi="Palatino Linotype" w:cs="Arial"/>
        <w:bCs/>
        <w:sz w:val="20"/>
        <w:szCs w:val="20"/>
      </w:rPr>
      <w:fldChar w:fldCharType="separate"/>
    </w:r>
    <w:r w:rsidR="000211E6">
      <w:rPr>
        <w:rFonts w:ascii="Palatino Linotype" w:hAnsi="Palatino Linotype" w:cs="Arial"/>
        <w:bCs/>
        <w:noProof/>
        <w:sz w:val="20"/>
        <w:szCs w:val="20"/>
      </w:rPr>
      <w:t>1</w:t>
    </w:r>
    <w:r w:rsidRPr="00BA5422">
      <w:rPr>
        <w:rFonts w:ascii="Palatino Linotype" w:hAnsi="Palatino Linotype" w:cs="Arial"/>
        <w:bCs/>
        <w:sz w:val="20"/>
        <w:szCs w:val="20"/>
      </w:rPr>
      <w:fldChar w:fldCharType="end"/>
    </w:r>
    <w:r w:rsidRPr="00BA5422">
      <w:rPr>
        <w:rFonts w:ascii="Palatino Linotype" w:hAnsi="Palatino Linotype" w:cs="Arial"/>
        <w:sz w:val="20"/>
        <w:szCs w:val="20"/>
      </w:rPr>
      <w:t xml:space="preserve"> de </w:t>
    </w:r>
    <w:r w:rsidRPr="00BA5422">
      <w:rPr>
        <w:rFonts w:ascii="Palatino Linotype" w:hAnsi="Palatino Linotype" w:cs="Arial"/>
        <w:bCs/>
        <w:sz w:val="20"/>
        <w:szCs w:val="20"/>
      </w:rPr>
      <w:fldChar w:fldCharType="begin"/>
    </w:r>
    <w:r w:rsidRPr="00BA5422">
      <w:rPr>
        <w:rFonts w:ascii="Palatino Linotype" w:hAnsi="Palatino Linotype" w:cs="Arial"/>
        <w:bCs/>
        <w:sz w:val="20"/>
        <w:szCs w:val="20"/>
      </w:rPr>
      <w:instrText>NUMPAGES</w:instrText>
    </w:r>
    <w:r w:rsidRPr="00BA5422">
      <w:rPr>
        <w:rFonts w:ascii="Palatino Linotype" w:hAnsi="Palatino Linotype" w:cs="Arial"/>
        <w:bCs/>
        <w:sz w:val="20"/>
        <w:szCs w:val="20"/>
      </w:rPr>
      <w:fldChar w:fldCharType="separate"/>
    </w:r>
    <w:r w:rsidR="000211E6">
      <w:rPr>
        <w:rFonts w:ascii="Palatino Linotype" w:hAnsi="Palatino Linotype" w:cs="Arial"/>
        <w:bCs/>
        <w:noProof/>
        <w:sz w:val="20"/>
        <w:szCs w:val="20"/>
      </w:rPr>
      <w:t>32</w:t>
    </w:r>
    <w:r w:rsidRPr="00BA5422">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F11" w:rsidRDefault="00FF2F11">
      <w:r>
        <w:separator/>
      </w:r>
    </w:p>
  </w:footnote>
  <w:footnote w:type="continuationSeparator" w:id="0">
    <w:p w:rsidR="00FF2F11" w:rsidRDefault="00FF2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47F" w:rsidRDefault="000211E6">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AE5995" w:rsidRPr="008F2CCC" w:rsidTr="00BA5422">
      <w:tc>
        <w:tcPr>
          <w:tcW w:w="2552" w:type="dxa"/>
          <w:shd w:val="clear" w:color="auto" w:fill="auto"/>
        </w:tcPr>
        <w:p w:rsidR="00AE5995" w:rsidRPr="00807CDA" w:rsidRDefault="008E48AA"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AE5995" w:rsidRPr="00BA5422" w:rsidRDefault="008E48AA" w:rsidP="00BA5422">
          <w:pPr>
            <w:spacing w:line="276" w:lineRule="auto"/>
            <w:jc w:val="right"/>
            <w:rPr>
              <w:rFonts w:ascii="Palatino Linotype" w:hAnsi="Palatino Linotype"/>
              <w:sz w:val="22"/>
              <w:szCs w:val="22"/>
              <w:lang w:val="es-ES_tradnl"/>
            </w:rPr>
          </w:pPr>
          <w:r w:rsidRPr="00BA5422">
            <w:rPr>
              <w:rFonts w:ascii="Palatino Linotype" w:hAnsi="Palatino Linotype"/>
              <w:sz w:val="22"/>
              <w:szCs w:val="22"/>
              <w:lang w:val="es-ES_tradnl"/>
            </w:rPr>
            <w:t>04595/INFOEM/IP/RR/2021</w:t>
          </w:r>
        </w:p>
      </w:tc>
    </w:tr>
    <w:tr w:rsidR="00AE5995" w:rsidRPr="008F2CCC" w:rsidTr="00BA5422">
      <w:tc>
        <w:tcPr>
          <w:tcW w:w="2552" w:type="dxa"/>
          <w:shd w:val="clear" w:color="auto" w:fill="auto"/>
        </w:tcPr>
        <w:p w:rsidR="00AE5995" w:rsidRPr="00807CDA" w:rsidRDefault="008E48AA"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BA5422" w:rsidRPr="00BA5422" w:rsidRDefault="008E48AA" w:rsidP="00BA5422">
          <w:pPr>
            <w:ind w:left="1304" w:right="-103"/>
            <w:jc w:val="both"/>
            <w:rPr>
              <w:rFonts w:ascii="Palatino Linotype" w:hAnsi="Palatino Linotype" w:cs="Arial"/>
              <w:sz w:val="22"/>
              <w:szCs w:val="22"/>
            </w:rPr>
          </w:pPr>
          <w:r w:rsidRPr="00BA5422">
            <w:rPr>
              <w:rFonts w:ascii="Palatino Linotype" w:hAnsi="Palatino Linotype" w:cs="Arial"/>
              <w:sz w:val="22"/>
              <w:szCs w:val="22"/>
            </w:rPr>
            <w:t xml:space="preserve">     </w:t>
          </w:r>
          <w:r>
            <w:rPr>
              <w:rFonts w:ascii="Palatino Linotype" w:hAnsi="Palatino Linotype" w:cs="Arial"/>
              <w:sz w:val="22"/>
              <w:szCs w:val="22"/>
            </w:rPr>
            <w:t xml:space="preserve">   </w:t>
          </w:r>
          <w:r w:rsidRPr="00BA5422">
            <w:rPr>
              <w:rFonts w:ascii="Palatino Linotype" w:hAnsi="Palatino Linotype" w:cs="Arial"/>
              <w:sz w:val="22"/>
              <w:szCs w:val="22"/>
            </w:rPr>
            <w:t xml:space="preserve">Junta de Caminos </w:t>
          </w:r>
        </w:p>
        <w:p w:rsidR="00AE5995" w:rsidRPr="00BA5422" w:rsidRDefault="008E48AA" w:rsidP="00BA5422">
          <w:pPr>
            <w:spacing w:line="276" w:lineRule="auto"/>
            <w:jc w:val="right"/>
            <w:rPr>
              <w:rFonts w:ascii="Palatino Linotype" w:hAnsi="Palatino Linotype"/>
              <w:sz w:val="22"/>
              <w:szCs w:val="22"/>
              <w:lang w:val="es-ES_tradnl"/>
            </w:rPr>
          </w:pPr>
          <w:r w:rsidRPr="00BA5422">
            <w:rPr>
              <w:rFonts w:ascii="Palatino Linotype" w:hAnsi="Palatino Linotype" w:cs="Arial"/>
              <w:sz w:val="22"/>
              <w:szCs w:val="22"/>
            </w:rPr>
            <w:t>del Estado de México</w:t>
          </w:r>
        </w:p>
      </w:tc>
    </w:tr>
    <w:tr w:rsidR="00AE5995" w:rsidRPr="008F2CCC" w:rsidTr="00BA5422">
      <w:trPr>
        <w:trHeight w:val="228"/>
      </w:trPr>
      <w:tc>
        <w:tcPr>
          <w:tcW w:w="2552" w:type="dxa"/>
          <w:shd w:val="clear" w:color="auto" w:fill="auto"/>
        </w:tcPr>
        <w:p w:rsidR="00AE5995" w:rsidRPr="00807CDA" w:rsidRDefault="008E48AA"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AE5995" w:rsidRPr="00BA5422" w:rsidRDefault="008E48AA" w:rsidP="0043515A">
          <w:pPr>
            <w:spacing w:line="276" w:lineRule="auto"/>
            <w:jc w:val="right"/>
            <w:rPr>
              <w:rFonts w:ascii="Palatino Linotype" w:hAnsi="Palatino Linotype"/>
              <w:sz w:val="22"/>
              <w:szCs w:val="22"/>
              <w:lang w:val="es-ES_tradnl"/>
            </w:rPr>
          </w:pPr>
          <w:r w:rsidRPr="00BA5422">
            <w:rPr>
              <w:rFonts w:ascii="Palatino Linotype" w:hAnsi="Palatino Linotype"/>
              <w:sz w:val="22"/>
              <w:szCs w:val="22"/>
              <w:lang w:val="es-ES_tradnl"/>
            </w:rPr>
            <w:t>José Martínez Vilchis</w:t>
          </w:r>
        </w:p>
      </w:tc>
    </w:tr>
  </w:tbl>
  <w:p w:rsidR="00AE5995" w:rsidRPr="001779E0" w:rsidRDefault="000211E6"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45pt;margin-top:-110.3pt;width:609.4pt;height:793.75pt;z-index:-251655168;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AE5995" w:rsidRPr="00BA5422" w:rsidTr="00BA5422">
      <w:tc>
        <w:tcPr>
          <w:tcW w:w="2835" w:type="dxa"/>
          <w:shd w:val="clear" w:color="auto" w:fill="auto"/>
        </w:tcPr>
        <w:p w:rsidR="00AE5995" w:rsidRPr="00BA5422" w:rsidRDefault="008E48AA" w:rsidP="007B296A">
          <w:pPr>
            <w:spacing w:line="276" w:lineRule="auto"/>
            <w:jc w:val="both"/>
            <w:rPr>
              <w:rFonts w:ascii="Palatino Linotype" w:hAnsi="Palatino Linotype"/>
              <w:sz w:val="22"/>
              <w:szCs w:val="22"/>
              <w:lang w:val="es-ES_tradnl"/>
            </w:rPr>
          </w:pPr>
          <w:r w:rsidRPr="00BA5422">
            <w:rPr>
              <w:rFonts w:ascii="Palatino Linotype" w:hAnsi="Palatino Linotype"/>
              <w:sz w:val="22"/>
              <w:szCs w:val="22"/>
              <w:lang w:val="es-ES_tradnl"/>
            </w:rPr>
            <w:t>Recurso de revisión:</w:t>
          </w:r>
        </w:p>
      </w:tc>
      <w:tc>
        <w:tcPr>
          <w:tcW w:w="3685" w:type="dxa"/>
          <w:shd w:val="clear" w:color="auto" w:fill="auto"/>
          <w:vAlign w:val="center"/>
        </w:tcPr>
        <w:p w:rsidR="00AE5995" w:rsidRPr="00BA5422" w:rsidRDefault="008E48AA" w:rsidP="007B296A">
          <w:pPr>
            <w:spacing w:line="276" w:lineRule="auto"/>
            <w:jc w:val="right"/>
            <w:rPr>
              <w:rFonts w:ascii="Palatino Linotype" w:hAnsi="Palatino Linotype"/>
              <w:sz w:val="22"/>
              <w:szCs w:val="22"/>
              <w:lang w:val="es-ES_tradnl"/>
            </w:rPr>
          </w:pPr>
          <w:r w:rsidRPr="00BA5422">
            <w:rPr>
              <w:rFonts w:ascii="Palatino Linotype" w:hAnsi="Palatino Linotype"/>
              <w:sz w:val="22"/>
              <w:szCs w:val="22"/>
              <w:lang w:val="es-ES_tradnl"/>
            </w:rPr>
            <w:t>04595/INFOEM/IP/RR/2021</w:t>
          </w:r>
        </w:p>
      </w:tc>
    </w:tr>
    <w:tr w:rsidR="00AE5995" w:rsidRPr="00BA5422" w:rsidTr="00BA5422">
      <w:tc>
        <w:tcPr>
          <w:tcW w:w="2835" w:type="dxa"/>
          <w:shd w:val="clear" w:color="auto" w:fill="auto"/>
          <w:vAlign w:val="center"/>
        </w:tcPr>
        <w:p w:rsidR="00AE5995" w:rsidRPr="00BA5422" w:rsidRDefault="008E48AA" w:rsidP="007B296A">
          <w:pPr>
            <w:spacing w:line="276" w:lineRule="auto"/>
            <w:jc w:val="both"/>
            <w:rPr>
              <w:rFonts w:ascii="Palatino Linotype" w:hAnsi="Palatino Linotype"/>
              <w:sz w:val="22"/>
              <w:szCs w:val="22"/>
              <w:lang w:val="es-ES_tradnl"/>
            </w:rPr>
          </w:pPr>
          <w:r w:rsidRPr="00BA5422">
            <w:rPr>
              <w:rFonts w:ascii="Palatino Linotype" w:hAnsi="Palatino Linotype"/>
              <w:sz w:val="22"/>
              <w:szCs w:val="22"/>
              <w:lang w:val="es-ES_tradnl"/>
            </w:rPr>
            <w:t>Recurrente:</w:t>
          </w:r>
        </w:p>
      </w:tc>
      <w:tc>
        <w:tcPr>
          <w:tcW w:w="3685" w:type="dxa"/>
          <w:shd w:val="clear" w:color="auto" w:fill="auto"/>
          <w:vAlign w:val="center"/>
        </w:tcPr>
        <w:p w:rsidR="00AE5995" w:rsidRPr="00BA5422" w:rsidRDefault="000211E6" w:rsidP="007B296A">
          <w:pPr>
            <w:spacing w:line="276" w:lineRule="auto"/>
            <w:jc w:val="right"/>
            <w:rPr>
              <w:rFonts w:ascii="Palatino Linotype" w:hAnsi="Palatino Linotype"/>
              <w:sz w:val="22"/>
              <w:szCs w:val="22"/>
              <w:lang w:val="es-ES_tradnl"/>
            </w:rPr>
          </w:pPr>
          <w:proofErr w:type="spellStart"/>
          <w:r>
            <w:rPr>
              <w:rFonts w:ascii="Palatino Linotype" w:hAnsi="Palatino Linotype" w:cs="Arial"/>
              <w:sz w:val="22"/>
              <w:szCs w:val="22"/>
            </w:rPr>
            <w:t>xxxxxxxxxxxxxxxxxxxxxxxxxx</w:t>
          </w:r>
          <w:proofErr w:type="spellEnd"/>
        </w:p>
      </w:tc>
    </w:tr>
    <w:tr w:rsidR="00AE5995" w:rsidRPr="00BA5422" w:rsidTr="00BA5422">
      <w:trPr>
        <w:trHeight w:val="228"/>
      </w:trPr>
      <w:tc>
        <w:tcPr>
          <w:tcW w:w="2835" w:type="dxa"/>
          <w:shd w:val="clear" w:color="auto" w:fill="auto"/>
        </w:tcPr>
        <w:p w:rsidR="00AE5995" w:rsidRPr="00BA5422" w:rsidRDefault="008E48AA" w:rsidP="007B296A">
          <w:pPr>
            <w:spacing w:line="276" w:lineRule="auto"/>
            <w:jc w:val="both"/>
            <w:rPr>
              <w:rFonts w:ascii="Palatino Linotype" w:hAnsi="Palatino Linotype"/>
              <w:sz w:val="22"/>
              <w:szCs w:val="22"/>
              <w:lang w:val="es-ES_tradnl"/>
            </w:rPr>
          </w:pPr>
          <w:r w:rsidRPr="00BA5422">
            <w:rPr>
              <w:rFonts w:ascii="Palatino Linotype" w:hAnsi="Palatino Linotype"/>
              <w:sz w:val="22"/>
              <w:szCs w:val="22"/>
              <w:lang w:val="es-ES_tradnl"/>
            </w:rPr>
            <w:t>Sujeto Obligado:</w:t>
          </w:r>
        </w:p>
      </w:tc>
      <w:tc>
        <w:tcPr>
          <w:tcW w:w="3685" w:type="dxa"/>
          <w:shd w:val="clear" w:color="auto" w:fill="auto"/>
          <w:vAlign w:val="center"/>
        </w:tcPr>
        <w:p w:rsidR="00BA5422" w:rsidRPr="00BA5422" w:rsidRDefault="008E48AA" w:rsidP="007B296A">
          <w:pPr>
            <w:spacing w:line="276" w:lineRule="auto"/>
            <w:ind w:left="1304" w:right="-103"/>
            <w:jc w:val="both"/>
            <w:rPr>
              <w:rFonts w:ascii="Palatino Linotype" w:hAnsi="Palatino Linotype" w:cs="Arial"/>
              <w:sz w:val="22"/>
              <w:szCs w:val="22"/>
            </w:rPr>
          </w:pPr>
          <w:r w:rsidRPr="00BA5422">
            <w:rPr>
              <w:rFonts w:ascii="Palatino Linotype" w:hAnsi="Palatino Linotype" w:cs="Arial"/>
              <w:sz w:val="22"/>
              <w:szCs w:val="22"/>
            </w:rPr>
            <w:t xml:space="preserve">     Junta de Caminos </w:t>
          </w:r>
        </w:p>
        <w:p w:rsidR="00AE5995" w:rsidRPr="00BA5422" w:rsidRDefault="008E48AA" w:rsidP="007B296A">
          <w:pPr>
            <w:spacing w:line="276" w:lineRule="auto"/>
            <w:ind w:left="1304" w:right="-103"/>
            <w:jc w:val="both"/>
            <w:rPr>
              <w:rFonts w:ascii="Palatino Linotype" w:hAnsi="Palatino Linotype" w:cs="Arial"/>
              <w:sz w:val="22"/>
              <w:szCs w:val="22"/>
            </w:rPr>
          </w:pPr>
          <w:r w:rsidRPr="00BA5422">
            <w:rPr>
              <w:rFonts w:ascii="Palatino Linotype" w:hAnsi="Palatino Linotype" w:cs="Arial"/>
              <w:sz w:val="22"/>
              <w:szCs w:val="22"/>
            </w:rPr>
            <w:t>del Estado de México</w:t>
          </w:r>
        </w:p>
      </w:tc>
    </w:tr>
    <w:tr w:rsidR="00AE5995" w:rsidRPr="00BA5422" w:rsidTr="00BA5422">
      <w:tc>
        <w:tcPr>
          <w:tcW w:w="2835" w:type="dxa"/>
          <w:shd w:val="clear" w:color="auto" w:fill="auto"/>
        </w:tcPr>
        <w:p w:rsidR="00AE5995" w:rsidRPr="00BA5422" w:rsidRDefault="008E48AA" w:rsidP="007B296A">
          <w:pPr>
            <w:spacing w:line="276" w:lineRule="auto"/>
            <w:jc w:val="both"/>
            <w:rPr>
              <w:rFonts w:ascii="Palatino Linotype" w:hAnsi="Palatino Linotype"/>
              <w:sz w:val="22"/>
              <w:szCs w:val="22"/>
              <w:lang w:val="es-ES_tradnl"/>
            </w:rPr>
          </w:pPr>
          <w:r w:rsidRPr="00BA5422">
            <w:rPr>
              <w:rFonts w:ascii="Palatino Linotype" w:hAnsi="Palatino Linotype"/>
              <w:sz w:val="22"/>
              <w:szCs w:val="22"/>
              <w:lang w:val="es-ES_tradnl"/>
            </w:rPr>
            <w:t>Comisionado Ponente:</w:t>
          </w:r>
        </w:p>
      </w:tc>
      <w:tc>
        <w:tcPr>
          <w:tcW w:w="3685" w:type="dxa"/>
          <w:shd w:val="clear" w:color="auto" w:fill="auto"/>
        </w:tcPr>
        <w:p w:rsidR="00AE5995" w:rsidRPr="00BA5422" w:rsidRDefault="008E48AA" w:rsidP="007B296A">
          <w:pPr>
            <w:spacing w:line="276" w:lineRule="auto"/>
            <w:jc w:val="right"/>
            <w:rPr>
              <w:rFonts w:ascii="Palatino Linotype" w:hAnsi="Palatino Linotype"/>
              <w:sz w:val="22"/>
              <w:szCs w:val="22"/>
              <w:lang w:val="es-ES_tradnl"/>
            </w:rPr>
          </w:pPr>
          <w:r w:rsidRPr="00BA5422">
            <w:rPr>
              <w:rFonts w:ascii="Palatino Linotype" w:hAnsi="Palatino Linotype"/>
              <w:sz w:val="22"/>
              <w:szCs w:val="22"/>
              <w:lang w:val="es-ES_tradnl"/>
            </w:rPr>
            <w:t>José Martínez Vilchis</w:t>
          </w:r>
        </w:p>
      </w:tc>
    </w:tr>
  </w:tbl>
  <w:p w:rsidR="00AE5995" w:rsidRPr="009F1AB6" w:rsidRDefault="000211E6">
    <w:pPr>
      <w:pStyle w:val="Encabezado"/>
      <w:rPr>
        <w:sz w:val="10"/>
      </w:rPr>
    </w:pPr>
    <w:r>
      <w:rPr>
        <w:noProof/>
        <w:sz w:val="22"/>
        <w:szCs w:val="2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8.8pt;margin-top:-142.45pt;width:614.95pt;height:801pt;z-index:-251657216;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6F6CBB"/>
    <w:multiLevelType w:val="hybridMultilevel"/>
    <w:tmpl w:val="0B1232AA"/>
    <w:lvl w:ilvl="0" w:tplc="02F0309C">
      <w:start w:val="1"/>
      <w:numFmt w:val="decimal"/>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0E3CA7"/>
    <w:multiLevelType w:val="hybridMultilevel"/>
    <w:tmpl w:val="A91C1CBC"/>
    <w:lvl w:ilvl="0" w:tplc="BFA0FF2A">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6703DF"/>
    <w:multiLevelType w:val="hybridMultilevel"/>
    <w:tmpl w:val="7A322D82"/>
    <w:lvl w:ilvl="0" w:tplc="2B5CD3D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8AA"/>
    <w:rsid w:val="000211E6"/>
    <w:rsid w:val="005349E6"/>
    <w:rsid w:val="00581107"/>
    <w:rsid w:val="008D589D"/>
    <w:rsid w:val="008E48AA"/>
    <w:rsid w:val="00EE4565"/>
    <w:rsid w:val="00FF2F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ECD5678-D4EE-4F9B-B1DD-0897B2931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48A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48A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E48AA"/>
    <w:rPr>
      <w:rFonts w:eastAsiaTheme="minorEastAsia"/>
      <w:sz w:val="24"/>
      <w:szCs w:val="24"/>
      <w:lang w:val="es-ES_tradnl" w:eastAsia="es-ES"/>
    </w:rPr>
  </w:style>
  <w:style w:type="paragraph" w:styleId="Piedepgina">
    <w:name w:val="footer"/>
    <w:basedOn w:val="Normal"/>
    <w:link w:val="PiedepginaCar"/>
    <w:uiPriority w:val="99"/>
    <w:unhideWhenUsed/>
    <w:rsid w:val="008E48A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E48A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48A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48A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E48AA"/>
  </w:style>
  <w:style w:type="character" w:styleId="Hipervnculo">
    <w:name w:val="Hyperlink"/>
    <w:aliases w:val="Hipervínculo1,Hipervínculo11,Hipervínculo12,Hipervínculo13,Hipervínculo14,Hipervínculo15"/>
    <w:basedOn w:val="Fuentedeprrafopredeter"/>
    <w:uiPriority w:val="99"/>
    <w:unhideWhenUsed/>
    <w:rsid w:val="008E48AA"/>
    <w:rPr>
      <w:color w:val="0563C1" w:themeColor="hyperlink"/>
      <w:u w:val="single"/>
    </w:rPr>
  </w:style>
  <w:style w:type="table" w:styleId="Tablaconcuadrcula">
    <w:name w:val="Table Grid"/>
    <w:basedOn w:val="Tablanormal"/>
    <w:uiPriority w:val="59"/>
    <w:rsid w:val="008E48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8E48A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E48AA"/>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oleObject" Target="embeddings/oleObject12.bin"/><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hyperlink" Target="javascript:AbrirModal(2)"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9.bin"/><Relationship Id="rId36" Type="http://schemas.openxmlformats.org/officeDocument/2006/relationships/oleObject" Target="embeddings/oleObject13.bin"/><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footer" Target="footer2.xml"/><Relationship Id="rId8" Type="http://schemas.openxmlformats.org/officeDocument/2006/relationships/hyperlink" Target="javascript:AbrirModal(1)" TargetMode="Externa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javascript:AbrirModal(3)" TargetMode="External"/><Relationship Id="rId20" Type="http://schemas.openxmlformats.org/officeDocument/2006/relationships/oleObject" Target="embeddings/oleObject5.bin"/><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32</Pages>
  <Words>7373</Words>
  <Characters>40554</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cp:revision>
  <dcterms:created xsi:type="dcterms:W3CDTF">2021-11-04T15:34:00Z</dcterms:created>
  <dcterms:modified xsi:type="dcterms:W3CDTF">2021-11-29T17:30:00Z</dcterms:modified>
</cp:coreProperties>
</file>