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DA3CBF">
        <w:rPr>
          <w:rFonts w:ascii="Palatino Linotype" w:eastAsia="Times New Roman" w:hAnsi="Palatino Linotype" w:cs="Arial"/>
          <w:color w:val="000000"/>
          <w:sz w:val="24"/>
          <w:szCs w:val="24"/>
          <w:lang w:eastAsia="es-MX"/>
        </w:rPr>
        <w:t xml:space="preserve">a </w:t>
      </w:r>
      <w:r w:rsidR="009A1358">
        <w:rPr>
          <w:rFonts w:ascii="Palatino Linotype" w:eastAsia="Times New Roman" w:hAnsi="Palatino Linotype" w:cs="Arial"/>
          <w:color w:val="000000"/>
          <w:sz w:val="24"/>
          <w:szCs w:val="24"/>
          <w:lang w:eastAsia="es-MX"/>
        </w:rPr>
        <w:t>diez de marzo de dos mil veintiuno</w:t>
      </w:r>
      <w:r w:rsidR="00DA3CBF">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D4142" w:rsidRPr="00ED4142"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FE7EA1">
        <w:rPr>
          <w:rFonts w:ascii="Palatino Linotype" w:hAnsi="Palatino Linotype" w:cs="Arial"/>
          <w:b/>
          <w:bCs/>
          <w:sz w:val="24"/>
          <w:lang w:eastAsia="es-MX"/>
        </w:rPr>
        <w:t>6205</w:t>
      </w:r>
      <w:r w:rsidR="00ED4142">
        <w:rPr>
          <w:rFonts w:ascii="Palatino Linotype" w:hAnsi="Palatino Linotype" w:cs="Arial"/>
          <w:b/>
          <w:bCs/>
          <w:sz w:val="24"/>
          <w:lang w:eastAsia="es-MX"/>
        </w:rPr>
        <w:t>/INFOEM/IP/RR/20</w:t>
      </w:r>
      <w:r w:rsidR="00E92058">
        <w:rPr>
          <w:rFonts w:ascii="Palatino Linotype" w:hAnsi="Palatino Linotype" w:cs="Arial"/>
          <w:b/>
          <w:bCs/>
          <w:sz w:val="24"/>
          <w:lang w:eastAsia="es-MX"/>
        </w:rPr>
        <w:t>20</w:t>
      </w:r>
      <w:r>
        <w:rPr>
          <w:rFonts w:ascii="Palatino Linotype" w:hAnsi="Palatino Linotype" w:cs="Arial"/>
          <w:sz w:val="24"/>
        </w:rPr>
        <w:t xml:space="preserve">, </w:t>
      </w:r>
      <w:r w:rsidR="00614FDD">
        <w:rPr>
          <w:rFonts w:ascii="Palatino Linotype" w:hAnsi="Palatino Linotype" w:cs="Arial"/>
          <w:sz w:val="24"/>
        </w:rPr>
        <w:t xml:space="preserve">interpuesto </w:t>
      </w:r>
      <w:r w:rsidR="00ED4142">
        <w:rPr>
          <w:rFonts w:ascii="Palatino Linotype" w:hAnsi="Palatino Linotype" w:cs="Arial"/>
          <w:sz w:val="24"/>
        </w:rPr>
        <w:t>por</w:t>
      </w:r>
      <w:r w:rsidR="00FE7EA1">
        <w:rPr>
          <w:rFonts w:ascii="Palatino Linotype" w:hAnsi="Palatino Linotype" w:cs="Arial"/>
          <w:sz w:val="24"/>
        </w:rPr>
        <w:t xml:space="preserve"> un particular</w:t>
      </w:r>
      <w:r w:rsidR="007628B7">
        <w:rPr>
          <w:rFonts w:ascii="Palatino Linotype" w:hAnsi="Palatino Linotype" w:cs="Arial"/>
          <w:sz w:val="24"/>
        </w:rPr>
        <w:t xml:space="preserve">, </w:t>
      </w:r>
      <w:r w:rsidR="00ED4142">
        <w:rPr>
          <w:rFonts w:ascii="Palatino Linotype" w:hAnsi="Palatino Linotype" w:cs="Arial"/>
          <w:sz w:val="24"/>
        </w:rPr>
        <w:t xml:space="preserve">en lo subsecuente </w:t>
      </w:r>
      <w:r w:rsidR="00ED4142">
        <w:rPr>
          <w:rFonts w:ascii="Palatino Linotype" w:hAnsi="Palatino Linotype" w:cs="Arial"/>
          <w:b/>
          <w:bCs/>
          <w:sz w:val="24"/>
        </w:rPr>
        <w:t>El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7628B7">
        <w:rPr>
          <w:rFonts w:ascii="Palatino Linotype" w:hAnsi="Palatino Linotype" w:cs="Arial"/>
          <w:sz w:val="24"/>
          <w:szCs w:val="24"/>
        </w:rPr>
        <w:t>l</w:t>
      </w:r>
      <w:r w:rsidR="00A202F3">
        <w:rPr>
          <w:rFonts w:ascii="Palatino Linotype" w:hAnsi="Palatino Linotype" w:cs="Arial"/>
          <w:sz w:val="24"/>
          <w:szCs w:val="24"/>
        </w:rPr>
        <w:t xml:space="preserve"> </w:t>
      </w:r>
      <w:r w:rsidR="007628B7">
        <w:rPr>
          <w:rFonts w:ascii="Palatino Linotype" w:hAnsi="Palatino Linotype" w:cs="Arial"/>
          <w:b/>
          <w:sz w:val="24"/>
          <w:szCs w:val="24"/>
        </w:rPr>
        <w:t xml:space="preserve">Ayuntamiento de </w:t>
      </w:r>
      <w:r w:rsidR="00FE7EA1" w:rsidRPr="00FE7EA1">
        <w:rPr>
          <w:rFonts w:ascii="Palatino Linotype" w:hAnsi="Palatino Linotype" w:cs="Arial"/>
          <w:b/>
          <w:sz w:val="24"/>
          <w:szCs w:val="24"/>
        </w:rPr>
        <w:t>Teotihuacán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FE7EA1">
        <w:rPr>
          <w:rFonts w:ascii="Palatino Linotype" w:hAnsi="Palatino Linotype" w:cs="Arial"/>
          <w:sz w:val="24"/>
        </w:rPr>
        <w:t>veinticinco de noviembre</w:t>
      </w:r>
      <w:r w:rsidR="00E92058">
        <w:rPr>
          <w:rFonts w:ascii="Palatino Linotype" w:hAnsi="Palatino Linotype" w:cs="Arial"/>
          <w:sz w:val="24"/>
        </w:rPr>
        <w:t xml:space="preserve"> de dos mil veinte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FE7EA1" w:rsidRPr="00FE7EA1">
        <w:rPr>
          <w:rFonts w:ascii="Palatino Linotype" w:hAnsi="Palatino Linotype" w:cs="Arial"/>
          <w:b/>
          <w:sz w:val="24"/>
        </w:rPr>
        <w:t>00134/TEOTIHUA/IP/2020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FE7EA1" w:rsidRPr="00FE7EA1">
        <w:rPr>
          <w:rFonts w:ascii="Palatino Linotype" w:hAnsi="Palatino Linotype"/>
          <w:i/>
          <w:color w:val="000000"/>
        </w:rPr>
        <w:t xml:space="preserve">documentación sobre las </w:t>
      </w:r>
      <w:proofErr w:type="spellStart"/>
      <w:r w:rsidR="00FE7EA1" w:rsidRPr="00FE7EA1">
        <w:rPr>
          <w:rFonts w:ascii="Palatino Linotype" w:hAnsi="Palatino Linotype"/>
          <w:i/>
          <w:color w:val="000000"/>
        </w:rPr>
        <w:t>lícitaciones</w:t>
      </w:r>
      <w:proofErr w:type="spellEnd"/>
      <w:r w:rsidR="00FE7EA1" w:rsidRPr="00FE7EA1">
        <w:rPr>
          <w:rFonts w:ascii="Palatino Linotype" w:hAnsi="Palatino Linotype"/>
          <w:i/>
          <w:color w:val="000000"/>
        </w:rPr>
        <w:t xml:space="preserve"> públicas, invitación restringida y </w:t>
      </w:r>
      <w:proofErr w:type="spellStart"/>
      <w:r w:rsidR="00FE7EA1" w:rsidRPr="00FE7EA1">
        <w:rPr>
          <w:rFonts w:ascii="Palatino Linotype" w:hAnsi="Palatino Linotype"/>
          <w:i/>
          <w:color w:val="000000"/>
        </w:rPr>
        <w:t>adjudicacioens</w:t>
      </w:r>
      <w:proofErr w:type="spellEnd"/>
      <w:r w:rsidR="00FE7EA1" w:rsidRPr="00FE7EA1">
        <w:rPr>
          <w:rFonts w:ascii="Palatino Linotype" w:hAnsi="Palatino Linotype"/>
          <w:i/>
          <w:color w:val="000000"/>
        </w:rPr>
        <w:t xml:space="preserve"> directas realizadas en el año 2018, 2019 y 2020</w:t>
      </w:r>
      <w:r w:rsidR="007628B7" w:rsidRPr="007628B7">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D95F44">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1708D" w:rsidRPr="0081708D" w:rsidRDefault="00E15E85" w:rsidP="00FE7EA1">
      <w:pPr>
        <w:spacing w:before="240" w:line="360" w:lineRule="auto"/>
        <w:jc w:val="both"/>
        <w:rPr>
          <w:rFonts w:ascii="Palatino Linotype" w:hAnsi="Palatino Linotype" w:cs="Arial"/>
          <w:i/>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FE7EA1">
        <w:rPr>
          <w:rFonts w:ascii="Palatino Linotype" w:hAnsi="Palatino Linotype" w:cs="Arial"/>
          <w:sz w:val="24"/>
        </w:rPr>
        <w:t>dieciséis de diciembre</w:t>
      </w:r>
      <w:r w:rsidR="00D95F44">
        <w:rPr>
          <w:rFonts w:ascii="Palatino Linotype" w:hAnsi="Palatino Linotype" w:cs="Arial"/>
          <w:sz w:val="24"/>
        </w:rPr>
        <w:t xml:space="preserve"> de dos mil veinte,</w:t>
      </w:r>
      <w:r w:rsidR="00DA598F">
        <w:rPr>
          <w:rFonts w:ascii="Palatino Linotype" w:hAnsi="Palatino Linotype" w:cs="Arial"/>
          <w:sz w:val="24"/>
        </w:rPr>
        <w:t xml:space="preserve"> dio respuest</w:t>
      </w:r>
      <w:r w:rsidR="00FE7EA1">
        <w:rPr>
          <w:rFonts w:ascii="Palatino Linotype" w:hAnsi="Palatino Linotype" w:cs="Arial"/>
          <w:sz w:val="24"/>
        </w:rPr>
        <w:t>a a la solicitud de información, al tenor de lo siguiente:</w:t>
      </w:r>
    </w:p>
    <w:p w:rsidR="00FE7EA1" w:rsidRPr="00FE7EA1" w:rsidRDefault="00FE7EA1" w:rsidP="00AD1E53">
      <w:pPr>
        <w:spacing w:before="240" w:line="360" w:lineRule="auto"/>
        <w:ind w:left="567" w:right="567"/>
        <w:jc w:val="both"/>
        <w:rPr>
          <w:rFonts w:ascii="Palatino Linotype" w:hAnsi="Palatino Linotype" w:cs="Arial"/>
          <w:i/>
          <w:sz w:val="24"/>
        </w:rPr>
      </w:pPr>
      <w:r w:rsidRPr="00FE7EA1">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E7EA1" w:rsidRPr="00FE7EA1" w:rsidRDefault="00FE7EA1" w:rsidP="00AD1E53">
      <w:pPr>
        <w:spacing w:before="240" w:line="360" w:lineRule="auto"/>
        <w:ind w:left="567" w:right="567"/>
        <w:jc w:val="both"/>
        <w:rPr>
          <w:rFonts w:ascii="Palatino Linotype" w:hAnsi="Palatino Linotype" w:cs="Arial"/>
          <w:i/>
          <w:sz w:val="24"/>
        </w:rPr>
      </w:pPr>
      <w:r w:rsidRPr="00FE7EA1">
        <w:rPr>
          <w:rFonts w:ascii="Palatino Linotype" w:hAnsi="Palatino Linotype" w:cs="Arial"/>
          <w:i/>
          <w:sz w:val="24"/>
        </w:rPr>
        <w:t xml:space="preserve">La información solicitada la puede encontrar en la siguiente liga electrónica: https://www.ipomex.org.mx/ipo3/lgt/indice/TEOTIHUACAN/art_92_xxix_a.web Además se le informa que las licitaciones públicas referentes a las obras públicas del ejercicio fiscal 2020 </w:t>
      </w:r>
      <w:proofErr w:type="spellStart"/>
      <w:r w:rsidRPr="00FE7EA1">
        <w:rPr>
          <w:rFonts w:ascii="Palatino Linotype" w:hAnsi="Palatino Linotype" w:cs="Arial"/>
          <w:i/>
          <w:sz w:val="24"/>
        </w:rPr>
        <w:t>aun</w:t>
      </w:r>
      <w:proofErr w:type="spellEnd"/>
      <w:r w:rsidRPr="00FE7EA1">
        <w:rPr>
          <w:rFonts w:ascii="Palatino Linotype" w:hAnsi="Palatino Linotype" w:cs="Arial"/>
          <w:i/>
          <w:sz w:val="24"/>
        </w:rPr>
        <w:t xml:space="preserve"> no se concluyen por lo que no ha sido publicada la documentación correspondiente, en cuanto se ejecuten será publicada toda la documentación relacionada a las obras ejecutadas en el 2020.</w:t>
      </w:r>
    </w:p>
    <w:p w:rsidR="00FE7EA1" w:rsidRPr="00FE7EA1" w:rsidRDefault="00FE7EA1" w:rsidP="00AD1E53">
      <w:pPr>
        <w:spacing w:before="240" w:line="360" w:lineRule="auto"/>
        <w:ind w:left="567" w:right="567"/>
        <w:jc w:val="both"/>
        <w:rPr>
          <w:rFonts w:ascii="Palatino Linotype" w:hAnsi="Palatino Linotype" w:cs="Arial"/>
          <w:i/>
          <w:sz w:val="24"/>
        </w:rPr>
      </w:pPr>
      <w:r w:rsidRPr="00FE7EA1">
        <w:rPr>
          <w:rFonts w:ascii="Palatino Linotype" w:hAnsi="Palatino Linotype" w:cs="Arial"/>
          <w:i/>
          <w:sz w:val="24"/>
        </w:rPr>
        <w:t>ATENTAMENTE</w:t>
      </w:r>
    </w:p>
    <w:p w:rsidR="0081708D" w:rsidRDefault="00FE7EA1" w:rsidP="00AD1E53">
      <w:pPr>
        <w:spacing w:before="240" w:line="360" w:lineRule="auto"/>
        <w:ind w:left="567" w:right="567"/>
        <w:jc w:val="both"/>
        <w:rPr>
          <w:rFonts w:ascii="Palatino Linotype" w:hAnsi="Palatino Linotype" w:cs="Arial"/>
          <w:i/>
          <w:sz w:val="24"/>
        </w:rPr>
      </w:pPr>
      <w:r w:rsidRPr="00FE7EA1">
        <w:rPr>
          <w:rFonts w:ascii="Palatino Linotype" w:hAnsi="Palatino Linotype" w:cs="Arial"/>
          <w:i/>
          <w:sz w:val="24"/>
        </w:rPr>
        <w:t>C. MARCO ANTONIO MACÍAS DE LA O</w:t>
      </w:r>
    </w:p>
    <w:p w:rsidR="00E15E85" w:rsidRPr="00441A94" w:rsidRDefault="00E15E85" w:rsidP="0081708D">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950F0A">
        <w:rPr>
          <w:rFonts w:ascii="Palatino Linotype" w:hAnsi="Palatino Linotype" w:cs="Arial"/>
          <w:sz w:val="24"/>
          <w:szCs w:val="24"/>
        </w:rPr>
        <w:t>fecha</w:t>
      </w:r>
      <w:r w:rsidR="00F174A7">
        <w:rPr>
          <w:rFonts w:ascii="Palatino Linotype" w:hAnsi="Palatino Linotype" w:cs="Arial"/>
          <w:sz w:val="24"/>
          <w:szCs w:val="24"/>
        </w:rPr>
        <w:t xml:space="preserve"> </w:t>
      </w:r>
      <w:r w:rsidR="00CC23E2">
        <w:rPr>
          <w:rFonts w:ascii="Palatino Linotype" w:hAnsi="Palatino Linotype" w:cs="Arial"/>
          <w:sz w:val="24"/>
          <w:szCs w:val="24"/>
        </w:rPr>
        <w:t>dieci</w:t>
      </w:r>
      <w:r w:rsidR="00950F0A">
        <w:rPr>
          <w:rFonts w:ascii="Palatino Linotype" w:hAnsi="Palatino Linotype" w:cs="Arial"/>
          <w:sz w:val="24"/>
          <w:szCs w:val="24"/>
        </w:rPr>
        <w:t xml:space="preserve">siete de </w:t>
      </w:r>
      <w:r w:rsidR="00CC23E2">
        <w:rPr>
          <w:rFonts w:ascii="Palatino Linotype" w:hAnsi="Palatino Linotype" w:cs="Arial"/>
          <w:sz w:val="24"/>
          <w:szCs w:val="24"/>
        </w:rPr>
        <w:t>diciembre</w:t>
      </w:r>
      <w:r w:rsidR="003B49C0">
        <w:rPr>
          <w:rFonts w:ascii="Palatino Linotype" w:hAnsi="Palatino Linotype" w:cs="Arial"/>
          <w:sz w:val="24"/>
          <w:szCs w:val="24"/>
        </w:rPr>
        <w:t xml:space="preserve">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w:t>
      </w:r>
      <w:r w:rsidRPr="0096643B">
        <w:rPr>
          <w:rFonts w:ascii="Palatino Linotype" w:hAnsi="Palatino Linotype" w:cs="Arial"/>
          <w:sz w:val="24"/>
          <w:szCs w:val="24"/>
        </w:rPr>
        <w:lastRenderedPageBreak/>
        <w:t xml:space="preserve">sistema electrónico con el expediente número </w:t>
      </w:r>
      <w:r w:rsidR="006200A2">
        <w:rPr>
          <w:rFonts w:ascii="Palatino Linotype" w:hAnsi="Palatino Linotype" w:cs="Arial"/>
          <w:b/>
          <w:bCs/>
          <w:sz w:val="24"/>
          <w:szCs w:val="24"/>
          <w:lang w:eastAsia="es-MX"/>
        </w:rPr>
        <w:t>0</w:t>
      </w:r>
      <w:r w:rsidR="00CC23E2">
        <w:rPr>
          <w:rFonts w:ascii="Palatino Linotype" w:hAnsi="Palatino Linotype" w:cs="Arial"/>
          <w:b/>
          <w:bCs/>
          <w:sz w:val="24"/>
          <w:szCs w:val="24"/>
          <w:lang w:eastAsia="es-MX"/>
        </w:rPr>
        <w:t>6205</w:t>
      </w:r>
      <w:r w:rsidR="003B49C0">
        <w:rPr>
          <w:rFonts w:ascii="Palatino Linotype" w:hAnsi="Palatino Linotype" w:cs="Arial"/>
          <w:b/>
          <w:bCs/>
          <w:sz w:val="24"/>
          <w:szCs w:val="24"/>
          <w:lang w:eastAsia="es-MX"/>
        </w:rPr>
        <w:t>/INFOEM/IP/RR/2020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AD1E53" w:rsidP="00E15E85">
      <w:pPr>
        <w:spacing w:before="240"/>
        <w:jc w:val="both"/>
        <w:rPr>
          <w:rFonts w:ascii="Palatino Linotype" w:hAnsi="Palatino Linotype" w:cs="Arial"/>
          <w:b/>
          <w:sz w:val="24"/>
        </w:rPr>
      </w:pPr>
      <w:r>
        <w:rPr>
          <w:rFonts w:ascii="Palatino Linotype" w:hAnsi="Palatino Linotype" w:cs="Arial"/>
          <w:b/>
          <w:sz w:val="24"/>
        </w:rPr>
        <w:t xml:space="preserve"> </w:t>
      </w:r>
      <w:r w:rsidR="00E66D6D">
        <w:rPr>
          <w:rFonts w:ascii="Palatino Linotype" w:hAnsi="Palatino Linotype" w:cs="Arial"/>
          <w:b/>
          <w:sz w:val="24"/>
        </w:rPr>
        <w:t xml:space="preserve"> </w:t>
      </w:r>
      <w:r w:rsidR="00E15E85">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CC23E2" w:rsidRPr="00CC23E2">
        <w:rPr>
          <w:rFonts w:ascii="Palatino Linotype" w:hAnsi="Palatino Linotype"/>
          <w:i/>
          <w:color w:val="000000"/>
        </w:rPr>
        <w:t xml:space="preserve">no entrega la </w:t>
      </w:r>
      <w:proofErr w:type="spellStart"/>
      <w:r w:rsidR="00CC23E2" w:rsidRPr="00CC23E2">
        <w:rPr>
          <w:rFonts w:ascii="Palatino Linotype" w:hAnsi="Palatino Linotype"/>
          <w:i/>
          <w:color w:val="000000"/>
        </w:rPr>
        <w:t>informacion</w:t>
      </w:r>
      <w:proofErr w:type="spellEnd"/>
      <w:r w:rsidR="00CC23E2" w:rsidRPr="00CC23E2">
        <w:rPr>
          <w:rFonts w:ascii="Palatino Linotype" w:hAnsi="Palatino Linotype"/>
          <w:i/>
          <w:color w:val="000000"/>
        </w:rPr>
        <w:t xml:space="preserve"> solicitada</w:t>
      </w:r>
      <w:r w:rsidR="00DA3CBF">
        <w:rPr>
          <w:rFonts w:ascii="Palatino Linotype" w:hAnsi="Palatino Linotype"/>
          <w:i/>
          <w:color w:val="000000"/>
        </w:rPr>
        <w:t xml:space="preserve">” </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CC23E2" w:rsidRPr="00CC23E2">
        <w:rPr>
          <w:rFonts w:ascii="Palatino Linotype" w:hAnsi="Palatino Linotype" w:cs="Arial"/>
          <w:i/>
        </w:rPr>
        <w:t xml:space="preserve">solo hace entrega un enlace </w:t>
      </w:r>
      <w:proofErr w:type="spellStart"/>
      <w:r w:rsidR="00CC23E2" w:rsidRPr="00CC23E2">
        <w:rPr>
          <w:rFonts w:ascii="Palatino Linotype" w:hAnsi="Palatino Linotype" w:cs="Arial"/>
          <w:i/>
        </w:rPr>
        <w:t>electronico</w:t>
      </w:r>
      <w:proofErr w:type="spellEnd"/>
      <w:r w:rsidR="00CC23E2" w:rsidRPr="00CC23E2">
        <w:rPr>
          <w:rFonts w:ascii="Palatino Linotype" w:hAnsi="Palatino Linotype" w:cs="Arial"/>
          <w:i/>
        </w:rPr>
        <w:t xml:space="preserve"> el cual no cuenta con la </w:t>
      </w:r>
      <w:proofErr w:type="spellStart"/>
      <w:r w:rsidR="00CC23E2" w:rsidRPr="00CC23E2">
        <w:rPr>
          <w:rFonts w:ascii="Palatino Linotype" w:hAnsi="Palatino Linotype" w:cs="Arial"/>
          <w:i/>
        </w:rPr>
        <w:t>informacion</w:t>
      </w:r>
      <w:proofErr w:type="spellEnd"/>
      <w:r w:rsidR="00CC23E2" w:rsidRPr="00CC23E2">
        <w:rPr>
          <w:rFonts w:ascii="Palatino Linotype" w:hAnsi="Palatino Linotype" w:cs="Arial"/>
          <w:i/>
        </w:rPr>
        <w:t xml:space="preserve"> solicitada, ya que se </w:t>
      </w:r>
      <w:proofErr w:type="spellStart"/>
      <w:r w:rsidR="00CC23E2" w:rsidRPr="00CC23E2">
        <w:rPr>
          <w:rFonts w:ascii="Palatino Linotype" w:hAnsi="Palatino Linotype" w:cs="Arial"/>
          <w:i/>
        </w:rPr>
        <w:t>pidio</w:t>
      </w:r>
      <w:proofErr w:type="spellEnd"/>
      <w:r w:rsidR="00CC23E2" w:rsidRPr="00CC23E2">
        <w:rPr>
          <w:rFonts w:ascii="Palatino Linotype" w:hAnsi="Palatino Linotype" w:cs="Arial"/>
          <w:i/>
        </w:rPr>
        <w:t xml:space="preserve"> </w:t>
      </w:r>
      <w:proofErr w:type="spellStart"/>
      <w:r w:rsidR="00CC23E2" w:rsidRPr="00CC23E2">
        <w:rPr>
          <w:rFonts w:ascii="Palatino Linotype" w:hAnsi="Palatino Linotype" w:cs="Arial"/>
          <w:i/>
        </w:rPr>
        <w:t>documentacion</w:t>
      </w:r>
      <w:proofErr w:type="spellEnd"/>
      <w:r w:rsidR="00CC23E2" w:rsidRPr="00CC23E2">
        <w:rPr>
          <w:rFonts w:ascii="Palatino Linotype" w:hAnsi="Palatino Linotype" w:cs="Arial"/>
          <w:i/>
        </w:rPr>
        <w:t xml:space="preserve"> de las mismas</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9073D"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CC23E2">
        <w:rPr>
          <w:rFonts w:ascii="Palatino Linotype" w:hAnsi="Palatino Linotype" w:cs="Arial"/>
          <w:sz w:val="24"/>
          <w:szCs w:val="24"/>
        </w:rPr>
        <w:t>veinte de enero de dos mil veintiuno</w:t>
      </w:r>
      <w:r>
        <w:rPr>
          <w:rFonts w:ascii="Palatino Linotype" w:hAnsi="Palatino Linotype" w:cs="Arial"/>
          <w:sz w:val="24"/>
          <w:szCs w:val="24"/>
        </w:rPr>
        <w:t>, determinándose en él, un plazo de siete días para que las partes manifestaran lo que a su derecho corresponda en términos del numeral ya citado.</w:t>
      </w:r>
    </w:p>
    <w:p w:rsidR="004E5F55" w:rsidRDefault="004E5F5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87346">
        <w:rPr>
          <w:rFonts w:ascii="Palatino Linotype" w:hAnsi="Palatino Linotype" w:cs="Arial"/>
          <w:sz w:val="24"/>
          <w:szCs w:val="24"/>
        </w:rPr>
        <w:t>fue omiso en presentar</w:t>
      </w:r>
      <w:r w:rsidR="006200A2">
        <w:rPr>
          <w:rFonts w:ascii="Palatino Linotype" w:hAnsi="Palatino Linotype" w:cs="Arial"/>
          <w:sz w:val="24"/>
          <w:szCs w:val="24"/>
        </w:rPr>
        <w:t xml:space="preserve">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087D51">
        <w:rPr>
          <w:rFonts w:ascii="Palatino Linotype" w:hAnsi="Palatino Linotype" w:cs="Arial"/>
          <w:sz w:val="24"/>
          <w:szCs w:val="24"/>
        </w:rPr>
        <w:t xml:space="preserve"> el plazo establecido</w:t>
      </w:r>
      <w:r w:rsidR="0081708D">
        <w:rPr>
          <w:rFonts w:ascii="Palatino Linotype" w:hAnsi="Palatino Linotype" w:cs="Arial"/>
          <w:sz w:val="24"/>
          <w:szCs w:val="24"/>
        </w:rPr>
        <w:t xml:space="preserve"> no</w:t>
      </w:r>
      <w:r w:rsidR="00087D51">
        <w:rPr>
          <w:rFonts w:ascii="Palatino Linotype" w:hAnsi="Palatino Linotype" w:cs="Arial"/>
          <w:sz w:val="24"/>
          <w:szCs w:val="24"/>
        </w:rPr>
        <w:t xml:space="preserve"> se presentó manifestación</w:t>
      </w:r>
      <w:r w:rsidR="0081708D">
        <w:rPr>
          <w:rFonts w:ascii="Palatino Linotype" w:hAnsi="Palatino Linotype" w:cs="Arial"/>
          <w:sz w:val="24"/>
          <w:szCs w:val="24"/>
        </w:rPr>
        <w:t xml:space="preserve"> por parte del recurrente, </w:t>
      </w:r>
      <w:r w:rsidR="00755099">
        <w:rPr>
          <w:rFonts w:ascii="Palatino Linotype" w:hAnsi="Palatino Linotype" w:cs="Arial"/>
          <w:sz w:val="24"/>
          <w:szCs w:val="24"/>
        </w:rPr>
        <w:t xml:space="preserve">por lo cual en fecha </w:t>
      </w:r>
      <w:r w:rsidR="00987346">
        <w:rPr>
          <w:rFonts w:ascii="Palatino Linotype" w:hAnsi="Palatino Linotype" w:cs="Arial"/>
          <w:sz w:val="24"/>
          <w:szCs w:val="24"/>
        </w:rPr>
        <w:t>cuatro de enero</w:t>
      </w:r>
      <w:r w:rsidR="000773C1">
        <w:rPr>
          <w:rFonts w:ascii="Palatino Linotype" w:hAnsi="Palatino Linotype" w:cs="Arial"/>
          <w:sz w:val="24"/>
          <w:szCs w:val="24"/>
        </w:rPr>
        <w:t xml:space="preserve"> </w:t>
      </w:r>
      <w:r w:rsidR="001C7069">
        <w:rPr>
          <w:rFonts w:ascii="Palatino Linotype" w:hAnsi="Palatino Linotype" w:cs="Arial"/>
          <w:sz w:val="24"/>
          <w:szCs w:val="24"/>
        </w:rPr>
        <w:t>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 xml:space="preserve">racción VI de la Ley de Transparencia y </w:t>
      </w:r>
      <w:r w:rsidRPr="003E076B">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rsidR="00827BCB" w:rsidRDefault="00827BCB" w:rsidP="00827BC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SEXTO. De la ampliación del término para resolver.</w:t>
      </w:r>
    </w:p>
    <w:p w:rsidR="00AE2701" w:rsidRDefault="00827BCB" w:rsidP="00827BCB">
      <w:pPr>
        <w:pStyle w:val="Sinespaciado"/>
        <w:spacing w:line="360" w:lineRule="auto"/>
        <w:jc w:val="both"/>
        <w:rPr>
          <w:rFonts w:ascii="Palatino Linotype" w:hAnsi="Palatino Linotype" w:cs="Arial"/>
        </w:rPr>
      </w:pPr>
      <w:r>
        <w:rPr>
          <w:rFonts w:ascii="Palatino Linotype" w:hAnsi="Palatino Linotype" w:cs="Arial"/>
        </w:rPr>
        <w:t>En fecha cinco de marzo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D92017" w:rsidRDefault="00D92017" w:rsidP="00D92017">
      <w:pPr>
        <w:spacing w:after="0" w:line="360" w:lineRule="auto"/>
        <w:jc w:val="both"/>
        <w:rPr>
          <w:rFonts w:ascii="Palatino Linotype" w:hAnsi="Palatino Linotype" w:cs="Arial"/>
          <w:sz w:val="24"/>
          <w:szCs w:val="24"/>
        </w:rPr>
      </w:pPr>
      <w:r w:rsidRPr="00BD4B78">
        <w:rPr>
          <w:rFonts w:ascii="Palatino Linotype" w:hAnsi="Palatino Linotype" w:cs="Arial"/>
          <w:sz w:val="24"/>
          <w:szCs w:val="24"/>
        </w:rPr>
        <w:t xml:space="preserve">Aunado a lo anterior, este Órgano Garante estima pertinente realizar un pronunciamiento ya que consientes de la situación que se vive en la actualidad a fin </w:t>
      </w:r>
      <w:r w:rsidRPr="00BD4B78">
        <w:rPr>
          <w:rFonts w:ascii="Palatino Linotype" w:hAnsi="Palatino Linotype" w:cs="Arial"/>
          <w:sz w:val="24"/>
          <w:szCs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D92017" w:rsidRPr="00D92017" w:rsidRDefault="00D92017" w:rsidP="00D92017">
      <w:pPr>
        <w:spacing w:after="0" w:line="360" w:lineRule="auto"/>
        <w:jc w:val="both"/>
        <w:rPr>
          <w:rFonts w:ascii="Palatino Linotype" w:hAnsi="Palatino Linotype" w:cs="Arial"/>
          <w:sz w:val="24"/>
          <w:szCs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Estudio oficioso o a petición de parte que no </w:t>
      </w:r>
      <w:proofErr w:type="gramStart"/>
      <w:r>
        <w:rPr>
          <w:rFonts w:ascii="Palatino Linotype" w:hAnsi="Palatino Linotype" w:cs="Arial"/>
        </w:rPr>
        <w:t>son</w:t>
      </w:r>
      <w:proofErr w:type="gramEnd"/>
      <w:r>
        <w:rPr>
          <w:rFonts w:ascii="Palatino Linotype" w:hAnsi="Palatino Linotype" w:cs="Arial"/>
        </w:rPr>
        <w:t xml:space="preserve">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332CFA" w:rsidRPr="0081708D" w:rsidRDefault="005D0870" w:rsidP="006E7722">
      <w:pPr>
        <w:pStyle w:val="Prrafodelista"/>
        <w:numPr>
          <w:ilvl w:val="0"/>
          <w:numId w:val="2"/>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D</w:t>
      </w:r>
      <w:r w:rsidRPr="005D0870">
        <w:rPr>
          <w:rFonts w:ascii="Palatino Linotype" w:hAnsi="Palatino Linotype" w:cs="Arial"/>
          <w:color w:val="000000" w:themeColor="text1"/>
        </w:rPr>
        <w:t>ocumentación sobre las licitaciones públicas, invitación restringida y adjudicaciones directas realizadas en el año 2018, 2019 y 2020</w:t>
      </w:r>
      <w:r w:rsidR="0081708D" w:rsidRPr="0081708D">
        <w:rPr>
          <w:rFonts w:ascii="Palatino Linotype" w:hAnsi="Palatino Linotype" w:cs="Arial"/>
          <w:color w:val="000000" w:themeColor="text1"/>
        </w:rPr>
        <w:t>.</w:t>
      </w:r>
    </w:p>
    <w:p w:rsidR="005F0A95" w:rsidRDefault="007D0FF6" w:rsidP="00A859D1">
      <w:pPr>
        <w:spacing w:before="240" w:line="480" w:lineRule="auto"/>
        <w:jc w:val="both"/>
        <w:rPr>
          <w:rFonts w:ascii="Palatino Linotype" w:hAnsi="Palatino Linotype"/>
          <w:sz w:val="24"/>
          <w:szCs w:val="24"/>
        </w:rPr>
      </w:pPr>
      <w:r w:rsidRPr="00E739DB">
        <w:rPr>
          <w:rFonts w:ascii="Palatino Linotype" w:hAnsi="Palatino Linotype"/>
          <w:color w:val="000000"/>
          <w:sz w:val="24"/>
          <w:lang w:val="es-ES_tradnl"/>
        </w:rPr>
        <w:lastRenderedPageBreak/>
        <w:t xml:space="preserve">Ahora bien, en respuesta a los requerimientos formulados por el particular, el </w:t>
      </w:r>
      <w:r w:rsidRPr="00E739DB">
        <w:rPr>
          <w:rFonts w:ascii="Palatino Linotype" w:hAnsi="Palatino Linotype"/>
          <w:b/>
          <w:color w:val="000000"/>
          <w:sz w:val="24"/>
          <w:lang w:val="es-ES_tradnl"/>
        </w:rPr>
        <w:t xml:space="preserve">sujeto obligado </w:t>
      </w:r>
      <w:r w:rsidR="00E739DB" w:rsidRPr="00E739DB">
        <w:rPr>
          <w:rFonts w:ascii="Palatino Linotype" w:hAnsi="Palatino Linotype"/>
          <w:bCs/>
          <w:color w:val="000000"/>
          <w:sz w:val="24"/>
          <w:lang w:val="es-ES_tradnl"/>
        </w:rPr>
        <w:t xml:space="preserve">remitió respuesta en fecha dieciséis de diciembre de dos mil veinte </w:t>
      </w:r>
      <w:r>
        <w:rPr>
          <w:rFonts w:ascii="Palatino Linotype" w:hAnsi="Palatino Linotype"/>
          <w:sz w:val="24"/>
          <w:szCs w:val="24"/>
        </w:rPr>
        <w:t>que consisten en lo siguiente:</w:t>
      </w:r>
    </w:p>
    <w:tbl>
      <w:tblPr>
        <w:tblW w:w="8400" w:type="dxa"/>
        <w:jc w:val="center"/>
        <w:tblCellSpacing w:w="0" w:type="dxa"/>
        <w:tblCellMar>
          <w:left w:w="0" w:type="dxa"/>
          <w:right w:w="0" w:type="dxa"/>
        </w:tblCellMar>
        <w:tblLook w:val="04A0" w:firstRow="1" w:lastRow="0" w:firstColumn="1" w:lastColumn="0" w:noHBand="0" w:noVBand="1"/>
      </w:tblPr>
      <w:tblGrid>
        <w:gridCol w:w="8797"/>
      </w:tblGrid>
      <w:tr w:rsidR="00E739DB" w:rsidRPr="00E739DB" w:rsidTr="00E739DB">
        <w:trPr>
          <w:trHeight w:val="300"/>
          <w:tblCellSpacing w:w="0" w:type="dxa"/>
          <w:jc w:val="center"/>
        </w:trPr>
        <w:tc>
          <w:tcPr>
            <w:tcW w:w="0" w:type="auto"/>
            <w:vAlign w:val="center"/>
            <w:hideMark/>
          </w:tcPr>
          <w:p w:rsidR="00E739DB" w:rsidRPr="00E739DB" w:rsidRDefault="00E739DB" w:rsidP="00E739DB">
            <w:pPr>
              <w:spacing w:after="0" w:line="240" w:lineRule="auto"/>
              <w:ind w:left="709" w:right="887"/>
              <w:jc w:val="right"/>
              <w:rPr>
                <w:rFonts w:ascii="Times New Roman" w:eastAsia="Times New Roman" w:hAnsi="Times New Roman" w:cs="Times New Roman"/>
                <w:sz w:val="24"/>
                <w:szCs w:val="24"/>
                <w:lang w:eastAsia="es-MX"/>
              </w:rPr>
            </w:pPr>
            <w:r w:rsidRPr="00E739DB">
              <w:rPr>
                <w:rFonts w:ascii="Verdana" w:eastAsia="Times New Roman" w:hAnsi="Verdana" w:cs="Times New Roman"/>
                <w:sz w:val="18"/>
                <w:szCs w:val="18"/>
                <w:lang w:eastAsia="es-MX"/>
              </w:rPr>
              <w:t>Folio de la solicitud: 00134/TEOTIHUA/IP/2020</w:t>
            </w:r>
          </w:p>
        </w:tc>
      </w:tr>
      <w:tr w:rsidR="00E739DB" w:rsidRPr="00E739DB" w:rsidTr="00E739DB">
        <w:trPr>
          <w:trHeight w:val="450"/>
          <w:tblCellSpacing w:w="0" w:type="dxa"/>
          <w:jc w:val="center"/>
        </w:trPr>
        <w:tc>
          <w:tcPr>
            <w:tcW w:w="0" w:type="auto"/>
            <w:vAlign w:val="center"/>
            <w:hideMark/>
          </w:tcPr>
          <w:p w:rsidR="00E739DB" w:rsidRPr="00E739DB" w:rsidRDefault="00E739DB" w:rsidP="00E739DB">
            <w:pPr>
              <w:spacing w:after="0" w:line="240" w:lineRule="auto"/>
              <w:ind w:left="709" w:right="887"/>
              <w:jc w:val="right"/>
              <w:rPr>
                <w:rFonts w:ascii="Times New Roman" w:eastAsia="Times New Roman" w:hAnsi="Times New Roman" w:cs="Times New Roman"/>
                <w:sz w:val="24"/>
                <w:szCs w:val="24"/>
                <w:lang w:eastAsia="es-MX"/>
              </w:rPr>
            </w:pPr>
          </w:p>
        </w:tc>
      </w:tr>
      <w:tr w:rsidR="00E739DB" w:rsidRPr="00E739DB" w:rsidTr="00E739DB">
        <w:trPr>
          <w:trHeight w:val="150"/>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r w:rsidRPr="00E739DB">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739DB" w:rsidRPr="00E739DB" w:rsidTr="00E739DB">
        <w:trPr>
          <w:trHeight w:val="375"/>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p>
        </w:tc>
      </w:tr>
      <w:tr w:rsidR="00E739DB" w:rsidRPr="00E739DB" w:rsidTr="00E739DB">
        <w:trPr>
          <w:trHeight w:val="150"/>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r w:rsidRPr="00E739DB">
              <w:rPr>
                <w:rFonts w:ascii="Verdana" w:eastAsia="Times New Roman" w:hAnsi="Verdana" w:cs="Times New Roman"/>
                <w:sz w:val="18"/>
                <w:szCs w:val="18"/>
                <w:lang w:eastAsia="es-MX"/>
              </w:rPr>
              <w:t xml:space="preserve">La información solicitada la puede encontrar en la siguiente liga electrónica: https://www.ipomex.org.mx/ipo3/lgt/indice/TEOTIHUACAN/art_92_xxix_a.web Además se le informa que las licitaciones públicas referentes a las obras públicas del ejercicio fiscal 2020 </w:t>
            </w:r>
            <w:proofErr w:type="spellStart"/>
            <w:r w:rsidRPr="00E739DB">
              <w:rPr>
                <w:rFonts w:ascii="Verdana" w:eastAsia="Times New Roman" w:hAnsi="Verdana" w:cs="Times New Roman"/>
                <w:sz w:val="18"/>
                <w:szCs w:val="18"/>
                <w:lang w:eastAsia="es-MX"/>
              </w:rPr>
              <w:t>aun</w:t>
            </w:r>
            <w:proofErr w:type="spellEnd"/>
            <w:r w:rsidRPr="00E739DB">
              <w:rPr>
                <w:rFonts w:ascii="Verdana" w:eastAsia="Times New Roman" w:hAnsi="Verdana" w:cs="Times New Roman"/>
                <w:sz w:val="18"/>
                <w:szCs w:val="18"/>
                <w:lang w:eastAsia="es-MX"/>
              </w:rPr>
              <w:t xml:space="preserve"> no se concluyen por lo que no ha sido publicada la documentación correspondiente, en cuanto se ejecuten será publicada toda la documentación relacionada a las obras ejecutadas en el 2020.</w:t>
            </w:r>
          </w:p>
        </w:tc>
      </w:tr>
      <w:tr w:rsidR="00E739DB" w:rsidRPr="00E739DB" w:rsidTr="00E739DB">
        <w:trPr>
          <w:trHeight w:val="375"/>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p>
        </w:tc>
      </w:tr>
      <w:tr w:rsidR="00E739DB" w:rsidRPr="00E739DB" w:rsidTr="00E739DB">
        <w:trPr>
          <w:trHeight w:val="150"/>
          <w:tblCellSpacing w:w="0" w:type="dxa"/>
          <w:jc w:val="center"/>
        </w:trPr>
        <w:tc>
          <w:tcPr>
            <w:tcW w:w="0" w:type="auto"/>
            <w:vAlign w:val="center"/>
            <w:hideMark/>
          </w:tcPr>
          <w:p w:rsidR="00E739DB" w:rsidRPr="00E739DB" w:rsidRDefault="00E739DB" w:rsidP="00E739DB">
            <w:pPr>
              <w:spacing w:after="0" w:line="240" w:lineRule="auto"/>
              <w:ind w:left="709" w:right="887"/>
              <w:jc w:val="center"/>
              <w:rPr>
                <w:rFonts w:ascii="Times New Roman" w:eastAsia="Times New Roman" w:hAnsi="Times New Roman" w:cs="Times New Roman"/>
                <w:sz w:val="20"/>
                <w:szCs w:val="20"/>
                <w:lang w:eastAsia="es-MX"/>
              </w:rPr>
            </w:pPr>
          </w:p>
        </w:tc>
      </w:tr>
      <w:tr w:rsidR="00E739DB" w:rsidRPr="00E739DB" w:rsidTr="00E739DB">
        <w:trPr>
          <w:trHeight w:val="150"/>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0"/>
                <w:szCs w:val="20"/>
                <w:lang w:eastAsia="es-MX"/>
              </w:rPr>
            </w:pPr>
          </w:p>
        </w:tc>
      </w:tr>
      <w:tr w:rsidR="00E739DB" w:rsidRPr="00E739DB" w:rsidTr="00E739DB">
        <w:trPr>
          <w:trHeight w:val="150"/>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r w:rsidRPr="00E739DB">
              <w:rPr>
                <w:rFonts w:ascii="Verdana" w:eastAsia="Times New Roman" w:hAnsi="Verdana" w:cs="Times New Roman"/>
                <w:sz w:val="18"/>
                <w:szCs w:val="18"/>
                <w:lang w:eastAsia="es-MX"/>
              </w:rPr>
              <w:t>ATENTAMENTE</w:t>
            </w:r>
          </w:p>
        </w:tc>
      </w:tr>
      <w:tr w:rsidR="00E739DB" w:rsidRPr="00E739DB" w:rsidTr="00E739DB">
        <w:trPr>
          <w:trHeight w:val="225"/>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p>
        </w:tc>
      </w:tr>
      <w:tr w:rsidR="00E739DB" w:rsidRPr="00E739DB" w:rsidTr="00E739DB">
        <w:trPr>
          <w:trHeight w:val="150"/>
          <w:tblCellSpacing w:w="0" w:type="dxa"/>
          <w:jc w:val="center"/>
        </w:trPr>
        <w:tc>
          <w:tcPr>
            <w:tcW w:w="0" w:type="auto"/>
            <w:vAlign w:val="center"/>
            <w:hideMark/>
          </w:tcPr>
          <w:p w:rsidR="00E739DB" w:rsidRPr="00E739DB" w:rsidRDefault="00E739DB" w:rsidP="00E739DB">
            <w:pPr>
              <w:spacing w:after="0" w:line="240" w:lineRule="auto"/>
              <w:ind w:left="709" w:right="887"/>
              <w:rPr>
                <w:rFonts w:ascii="Times New Roman" w:eastAsia="Times New Roman" w:hAnsi="Times New Roman" w:cs="Times New Roman"/>
                <w:sz w:val="24"/>
                <w:szCs w:val="24"/>
                <w:lang w:eastAsia="es-MX"/>
              </w:rPr>
            </w:pPr>
            <w:r w:rsidRPr="00E739DB">
              <w:rPr>
                <w:rFonts w:ascii="Verdana" w:eastAsia="Times New Roman" w:hAnsi="Verdana" w:cs="Times New Roman"/>
                <w:sz w:val="18"/>
                <w:szCs w:val="18"/>
                <w:lang w:eastAsia="es-MX"/>
              </w:rPr>
              <w:t>C. MARCO ANTONIO MACÍAS DE LA O</w:t>
            </w:r>
          </w:p>
        </w:tc>
      </w:tr>
    </w:tbl>
    <w:p w:rsidR="00E739DB" w:rsidRDefault="00E739DB" w:rsidP="00A859D1">
      <w:pPr>
        <w:spacing w:before="240" w:line="480" w:lineRule="auto"/>
        <w:jc w:val="both"/>
        <w:rPr>
          <w:rFonts w:ascii="Palatino Linotype" w:hAnsi="Palatino Linotype"/>
          <w:sz w:val="24"/>
          <w:szCs w:val="24"/>
        </w:rPr>
      </w:pPr>
    </w:p>
    <w:p w:rsidR="00F319C4" w:rsidRDefault="00AC44EF" w:rsidP="00E62963">
      <w:pPr>
        <w:spacing w:before="240" w:line="360" w:lineRule="auto"/>
        <w:jc w:val="both"/>
        <w:rPr>
          <w:rFonts w:ascii="Palatino Linotype" w:hAnsi="Palatino Linotype" w:cs="Arial"/>
          <w:sz w:val="24"/>
        </w:rPr>
      </w:pPr>
      <w:r>
        <w:rPr>
          <w:rFonts w:ascii="Palatino Linotype" w:hAnsi="Palatino Linotype" w:cs="Arial"/>
          <w:sz w:val="24"/>
        </w:rPr>
        <w:t xml:space="preserve">Por su parte, el recurrente se adoleció de la respuesta proporcionada, arguyendo que </w:t>
      </w:r>
      <w:r w:rsidR="00E739DB">
        <w:rPr>
          <w:rFonts w:ascii="Palatino Linotype" w:hAnsi="Palatino Linotype" w:cs="Arial"/>
          <w:sz w:val="24"/>
        </w:rPr>
        <w:t xml:space="preserve">solo </w:t>
      </w:r>
      <w:proofErr w:type="gramStart"/>
      <w:r w:rsidR="00E739DB">
        <w:rPr>
          <w:rFonts w:ascii="Palatino Linotype" w:hAnsi="Palatino Linotype" w:cs="Arial"/>
          <w:sz w:val="24"/>
        </w:rPr>
        <w:t>se  hace</w:t>
      </w:r>
      <w:proofErr w:type="gramEnd"/>
      <w:r w:rsidR="00E739DB">
        <w:rPr>
          <w:rFonts w:ascii="Palatino Linotype" w:hAnsi="Palatino Linotype" w:cs="Arial"/>
          <w:sz w:val="24"/>
        </w:rPr>
        <w:t xml:space="preserve"> entrega de un enlace electrónico el cual no cuenta con la información solicitada</w:t>
      </w:r>
      <w:r w:rsidR="00946ACC">
        <w:rPr>
          <w:rFonts w:ascii="Palatino Linotype" w:hAnsi="Palatino Linotype" w:cs="Arial"/>
          <w:sz w:val="24"/>
        </w:rPr>
        <w:t>.</w:t>
      </w:r>
    </w:p>
    <w:p w:rsidR="002437D9" w:rsidRDefault="002437D9" w:rsidP="00E62963">
      <w:pPr>
        <w:spacing w:before="240" w:line="360" w:lineRule="auto"/>
        <w:jc w:val="both"/>
        <w:rPr>
          <w:rFonts w:ascii="Palatino Linotype" w:hAnsi="Palatino Linotype" w:cs="Arial"/>
          <w:sz w:val="24"/>
        </w:rPr>
      </w:pPr>
      <w:r>
        <w:rPr>
          <w:rFonts w:ascii="Palatino Linotype" w:hAnsi="Palatino Linotype" w:cs="Arial"/>
          <w:sz w:val="24"/>
        </w:rPr>
        <w:t xml:space="preserve">El enlace electrónico al que hace referencia el sujeto Obligado </w:t>
      </w:r>
      <w:r w:rsidR="00A67B8F">
        <w:rPr>
          <w:rFonts w:ascii="Palatino Linotype" w:hAnsi="Palatino Linotype" w:cs="Arial"/>
          <w:sz w:val="24"/>
        </w:rPr>
        <w:t>redirige a su portal de Ipomex, dicha fracción se refiere únicamente a los procedimientos de licitación pública e invitaci</w:t>
      </w:r>
      <w:r w:rsidR="00E72FFA">
        <w:rPr>
          <w:rFonts w:ascii="Palatino Linotype" w:hAnsi="Palatino Linotype" w:cs="Arial"/>
          <w:sz w:val="24"/>
        </w:rPr>
        <w:t>ón restringida</w:t>
      </w:r>
      <w:r w:rsidR="00676EB8">
        <w:rPr>
          <w:rFonts w:ascii="Palatino Linotype" w:hAnsi="Palatino Linotype" w:cs="Arial"/>
          <w:sz w:val="24"/>
        </w:rPr>
        <w:t xml:space="preserve">, sin embargo al momento de abrir </w:t>
      </w:r>
      <w:r w:rsidR="00F13505">
        <w:rPr>
          <w:rFonts w:ascii="Palatino Linotype" w:hAnsi="Palatino Linotype" w:cs="Arial"/>
          <w:sz w:val="24"/>
        </w:rPr>
        <w:t xml:space="preserve">2018 se puede observar que </w:t>
      </w:r>
      <w:r w:rsidR="00F13505">
        <w:rPr>
          <w:rFonts w:ascii="Palatino Linotype" w:hAnsi="Palatino Linotype" w:cs="Arial"/>
          <w:sz w:val="24"/>
        </w:rPr>
        <w:lastRenderedPageBreak/>
        <w:t xml:space="preserve">existen 32 registros en los cuales hay hipervínculos que al accesar remiten a una liga la cual contiene la leyenda “No aplica”, </w:t>
      </w:r>
      <w:r w:rsidR="00E72FFA">
        <w:rPr>
          <w:rFonts w:ascii="Palatino Linotype" w:hAnsi="Palatino Linotype" w:cs="Arial"/>
          <w:sz w:val="24"/>
        </w:rPr>
        <w:t>tal como se muestra en la siguiente</w:t>
      </w:r>
      <w:r w:rsidR="00F13505">
        <w:rPr>
          <w:rFonts w:ascii="Palatino Linotype" w:hAnsi="Palatino Linotype" w:cs="Arial"/>
          <w:sz w:val="24"/>
        </w:rPr>
        <w:t>s imágenes</w:t>
      </w:r>
      <w:r w:rsidR="00E72FFA">
        <w:rPr>
          <w:rFonts w:ascii="Palatino Linotype" w:hAnsi="Palatino Linotype" w:cs="Arial"/>
          <w:sz w:val="24"/>
        </w:rPr>
        <w:t>:</w:t>
      </w:r>
    </w:p>
    <w:p w:rsidR="0077099A" w:rsidRDefault="00E72FFA" w:rsidP="00E62963">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39B1BA1C" wp14:editId="723D9C23">
            <wp:extent cx="5760720" cy="26974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97480"/>
                    </a:xfrm>
                    <a:prstGeom prst="rect">
                      <a:avLst/>
                    </a:prstGeom>
                    <a:noFill/>
                    <a:ln>
                      <a:noFill/>
                    </a:ln>
                  </pic:spPr>
                </pic:pic>
              </a:graphicData>
            </a:graphic>
          </wp:inline>
        </w:drawing>
      </w:r>
      <w:r w:rsidR="005B548F">
        <w:rPr>
          <w:rFonts w:ascii="Palatino Linotype" w:hAnsi="Palatino Linotype" w:cs="Arial"/>
          <w:noProof/>
          <w:sz w:val="24"/>
          <w:lang w:eastAsia="es-MX"/>
        </w:rPr>
        <w:drawing>
          <wp:inline distT="0" distB="0" distL="0" distR="0" wp14:anchorId="3E768F72" wp14:editId="6569D178">
            <wp:extent cx="5760720" cy="44888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88815"/>
                    </a:xfrm>
                    <a:prstGeom prst="rect">
                      <a:avLst/>
                    </a:prstGeom>
                    <a:noFill/>
                    <a:ln>
                      <a:noFill/>
                    </a:ln>
                  </pic:spPr>
                </pic:pic>
              </a:graphicData>
            </a:graphic>
          </wp:inline>
        </w:drawing>
      </w:r>
    </w:p>
    <w:p w:rsidR="0077099A" w:rsidRDefault="0077099A" w:rsidP="00E62963">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760720" cy="6446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446520"/>
                    </a:xfrm>
                    <a:prstGeom prst="rect">
                      <a:avLst/>
                    </a:prstGeom>
                    <a:noFill/>
                    <a:ln>
                      <a:noFill/>
                    </a:ln>
                  </pic:spPr>
                </pic:pic>
              </a:graphicData>
            </a:graphic>
          </wp:inline>
        </w:drawing>
      </w:r>
      <w:r>
        <w:rPr>
          <w:rFonts w:ascii="Palatino Linotype" w:hAnsi="Palatino Linotype" w:cs="Arial"/>
          <w:noProof/>
          <w:sz w:val="24"/>
          <w:lang w:eastAsia="es-MX"/>
        </w:rPr>
        <w:lastRenderedPageBreak/>
        <w:drawing>
          <wp:inline distT="0" distB="0" distL="0" distR="0">
            <wp:extent cx="5753100" cy="50596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059680"/>
                    </a:xfrm>
                    <a:prstGeom prst="rect">
                      <a:avLst/>
                    </a:prstGeom>
                    <a:noFill/>
                    <a:ln>
                      <a:noFill/>
                    </a:ln>
                  </pic:spPr>
                </pic:pic>
              </a:graphicData>
            </a:graphic>
          </wp:inline>
        </w:drawing>
      </w:r>
    </w:p>
    <w:p w:rsidR="0077099A" w:rsidRDefault="0077099A" w:rsidP="00E62963">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extent cx="5623560" cy="18592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7513" cy="1860587"/>
                    </a:xfrm>
                    <a:prstGeom prst="rect">
                      <a:avLst/>
                    </a:prstGeom>
                    <a:noFill/>
                    <a:ln>
                      <a:noFill/>
                    </a:ln>
                  </pic:spPr>
                </pic:pic>
              </a:graphicData>
            </a:graphic>
          </wp:inline>
        </w:drawing>
      </w:r>
    </w:p>
    <w:p w:rsidR="00E72FFA" w:rsidRDefault="00E95DEA" w:rsidP="00E62963">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Por cuanto hace a la información referente a las adjudicaciones directas </w:t>
      </w:r>
      <w:r w:rsidR="002A0A70">
        <w:rPr>
          <w:rFonts w:ascii="Palatino Linotype" w:hAnsi="Palatino Linotype" w:cs="Arial"/>
          <w:sz w:val="24"/>
        </w:rPr>
        <w:t>no realiza manifestaci</w:t>
      </w:r>
      <w:r w:rsidR="00CB20BC">
        <w:rPr>
          <w:rFonts w:ascii="Palatino Linotype" w:hAnsi="Palatino Linotype" w:cs="Arial"/>
          <w:sz w:val="24"/>
        </w:rPr>
        <w:t>ón alguna, sin embarg</w:t>
      </w:r>
      <w:r w:rsidR="0087249B">
        <w:rPr>
          <w:rFonts w:ascii="Palatino Linotype" w:hAnsi="Palatino Linotype" w:cs="Arial"/>
          <w:sz w:val="24"/>
        </w:rPr>
        <w:t>o en el listado de fracciones en el portal Ipomex del Sujeto Obligado se observa que lo referente a la información sobre adjudicaciones directas se encuentra en la fracción XXIX B, como se muestra en la siguiente imagen:</w:t>
      </w:r>
    </w:p>
    <w:p w:rsidR="0087249B" w:rsidRDefault="0087249B" w:rsidP="00E62963">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extent cx="5753100" cy="4221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221480"/>
                    </a:xfrm>
                    <a:prstGeom prst="rect">
                      <a:avLst/>
                    </a:prstGeom>
                    <a:noFill/>
                    <a:ln>
                      <a:noFill/>
                    </a:ln>
                  </pic:spPr>
                </pic:pic>
              </a:graphicData>
            </a:graphic>
          </wp:inline>
        </w:drawing>
      </w: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En este sentido, es pertinente enfatizar lo que respecto al derecho de acceso a la información pública, refiere el artículo 6° de la Constitución Política de los Estados Unidos Mexicanos, que en su parte conducente señala:</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w:t>
      </w:r>
      <w:r w:rsidRPr="00BF0BA6">
        <w:rPr>
          <w:rFonts w:ascii="Palatino Linotype" w:hAnsi="Palatino Linotype"/>
          <w:i/>
        </w:rPr>
        <w:lastRenderedPageBreak/>
        <w:t xml:space="preserve">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w:t>
      </w:r>
      <w:r w:rsidRPr="00BF0BA6">
        <w:rPr>
          <w:rFonts w:ascii="Palatino Linotype" w:hAnsi="Palatino Linotype"/>
          <w:b/>
          <w:i/>
        </w:rPr>
        <w:lastRenderedPageBreak/>
        <w:t xml:space="preserve">ejercicio de los recursos públicos </w:t>
      </w:r>
      <w:r w:rsidRPr="00BF0BA6">
        <w:rPr>
          <w:rFonts w:ascii="Palatino Linotype" w:hAnsi="Palatino Linotype"/>
          <w:i/>
        </w:rPr>
        <w:t>y los indicadores que permitan rendir cuenta del cumplimiento de sus objetivos y de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w:t>
      </w:r>
    </w:p>
    <w:p w:rsidR="00946ACC" w:rsidRPr="00C24D80" w:rsidRDefault="00946ACC" w:rsidP="00946AC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w:t>
      </w:r>
      <w:r w:rsidRPr="00BF0BA6">
        <w:rPr>
          <w:rFonts w:ascii="Palatino Linotype" w:hAnsi="Palatino Linotype"/>
          <w:i/>
        </w:rPr>
        <w:lastRenderedPageBreak/>
        <w:t>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lastRenderedPageBreak/>
        <w:t>En ese orden de ideas, la Ley de Transparencia y Acceso a la Información Pública del Estado de México y Municipios, prevé en su artículo 23, fracción IV,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946ACC" w:rsidRPr="00BF0BA6" w:rsidRDefault="00946ACC" w:rsidP="00946ACC">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946ACC" w:rsidRDefault="00946ACC" w:rsidP="00946ACC">
      <w:pPr>
        <w:pStyle w:val="Sinespaciado"/>
        <w:spacing w:line="360" w:lineRule="auto"/>
        <w:jc w:val="both"/>
        <w:rPr>
          <w:rFonts w:ascii="Palatino Linotype" w:hAnsi="Palatino Linotype"/>
        </w:rPr>
      </w:pPr>
    </w:p>
    <w:p w:rsidR="00453729" w:rsidRPr="00E05D10" w:rsidRDefault="00453729" w:rsidP="00453729">
      <w:pPr>
        <w:spacing w:before="240" w:after="240" w:line="360" w:lineRule="auto"/>
        <w:jc w:val="both"/>
        <w:rPr>
          <w:rFonts w:ascii="Palatino Linotype" w:hAnsi="Palatino Linotype" w:cs="Arial"/>
          <w:sz w:val="24"/>
        </w:rPr>
      </w:pPr>
      <w:r w:rsidRPr="004D5ECF">
        <w:rPr>
          <w:rFonts w:ascii="Palatino Linotype" w:hAnsi="Palatino Linotype" w:cs="Arial"/>
          <w:sz w:val="24"/>
        </w:rPr>
        <w:t xml:space="preserve">Es así que, que </w:t>
      </w:r>
      <w:r>
        <w:rPr>
          <w:rFonts w:ascii="Palatino Linotype" w:hAnsi="Palatino Linotype" w:cs="Arial"/>
          <w:b/>
          <w:sz w:val="24"/>
        </w:rPr>
        <w:t>e</w:t>
      </w:r>
      <w:r w:rsidRPr="004D5ECF">
        <w:rPr>
          <w:rFonts w:ascii="Palatino Linotype" w:hAnsi="Palatino Linotype" w:cs="Arial"/>
          <w:b/>
          <w:sz w:val="24"/>
        </w:rPr>
        <w:t>l Sujeto Obligado</w:t>
      </w:r>
      <w:r w:rsidRPr="004D5ECF">
        <w:rPr>
          <w:rFonts w:ascii="Palatino Linotype" w:hAnsi="Palatino Linotype" w:cs="Arial"/>
          <w:sz w:val="24"/>
        </w:rPr>
        <w:t xml:space="preserve"> pudiera contar con</w:t>
      </w:r>
      <w:r>
        <w:rPr>
          <w:rFonts w:ascii="Palatino Linotype" w:hAnsi="Palatino Linotype" w:cs="Arial"/>
          <w:sz w:val="24"/>
        </w:rPr>
        <w:t xml:space="preserve"> </w:t>
      </w:r>
      <w:r w:rsidRPr="00D24616">
        <w:rPr>
          <w:rFonts w:ascii="Palatino Linotype" w:hAnsi="Palatino Linotype" w:cs="Arial"/>
          <w:sz w:val="24"/>
        </w:rPr>
        <w:t>los</w:t>
      </w:r>
      <w:r>
        <w:rPr>
          <w:rFonts w:ascii="Palatino Linotype" w:hAnsi="Palatino Linotype" w:cs="Arial"/>
          <w:sz w:val="24"/>
        </w:rPr>
        <w:t xml:space="preserve"> expedientes completos de</w:t>
      </w:r>
      <w:r w:rsidRPr="00D24616">
        <w:rPr>
          <w:rFonts w:ascii="Palatino Linotype" w:hAnsi="Palatino Linotype" w:cs="Arial"/>
          <w:sz w:val="24"/>
        </w:rPr>
        <w:t xml:space="preserve"> </w:t>
      </w:r>
      <w:r w:rsidRPr="00AD3B16">
        <w:rPr>
          <w:rFonts w:ascii="Palatino Linotype" w:hAnsi="Palatino Linotype" w:cs="Arial"/>
          <w:sz w:val="24"/>
        </w:rPr>
        <w:t>los procedimientos de licitación pública, adjudicación directa e invitación restringida realizados por la Dirección de Obras Públicas y la Jefatura de Adquisiciones en el año 2018</w:t>
      </w:r>
      <w:r w:rsidRPr="004D5ECF">
        <w:rPr>
          <w:rFonts w:ascii="Palatino Linotype" w:hAnsi="Palatino Linotype" w:cs="Arial"/>
          <w:sz w:val="24"/>
        </w:rPr>
        <w:t>,</w:t>
      </w:r>
      <w:r>
        <w:rPr>
          <w:rFonts w:ascii="Palatino Linotype" w:hAnsi="Palatino Linotype" w:cs="Arial"/>
          <w:sz w:val="24"/>
        </w:rPr>
        <w:t xml:space="preserve"> </w:t>
      </w:r>
      <w:r w:rsidRPr="004D5ECF">
        <w:rPr>
          <w:rFonts w:ascii="Palatino Linotype" w:hAnsi="Palatino Linotype" w:cs="Arial"/>
          <w:sz w:val="24"/>
        </w:rPr>
        <w:t>p</w:t>
      </w:r>
      <w:r w:rsidRPr="004D5ECF">
        <w:rPr>
          <w:rFonts w:ascii="Palatino Linotype" w:hAnsi="Palatino Linotype" w:cs="Arial"/>
          <w:sz w:val="24"/>
          <w:szCs w:val="24"/>
        </w:rPr>
        <w:t xml:space="preserve">or </w:t>
      </w:r>
      <w:r>
        <w:rPr>
          <w:rFonts w:ascii="Palatino Linotype" w:hAnsi="Palatino Linotype" w:cs="Arial"/>
          <w:sz w:val="24"/>
          <w:szCs w:val="24"/>
        </w:rPr>
        <w:t>ello</w:t>
      </w:r>
      <w:r w:rsidRPr="004D5ECF">
        <w:rPr>
          <w:rFonts w:ascii="Palatino Linotype" w:hAnsi="Palatino Linotype" w:cs="Arial"/>
          <w:sz w:val="24"/>
          <w:szCs w:val="24"/>
        </w:rPr>
        <w:t xml:space="preserve"> es dable ordenar una búsqueda exhaustiva y razonable de la información solicitada y la entrega en</w:t>
      </w:r>
      <w:r>
        <w:rPr>
          <w:rFonts w:ascii="Palatino Linotype" w:hAnsi="Palatino Linotype" w:cs="Arial"/>
          <w:sz w:val="24"/>
          <w:szCs w:val="24"/>
        </w:rPr>
        <w:t xml:space="preserve"> versión pública en su caso, de</w:t>
      </w:r>
      <w:r w:rsidRPr="00A731D7">
        <w:rPr>
          <w:rFonts w:ascii="Palatino Linotype" w:hAnsi="Palatino Linotype" w:cs="Arial"/>
          <w:sz w:val="24"/>
          <w:szCs w:val="24"/>
        </w:rPr>
        <w:t xml:space="preserve"> </w:t>
      </w:r>
      <w:r>
        <w:rPr>
          <w:rFonts w:ascii="Palatino Linotype" w:hAnsi="Palatino Linotype" w:cs="Arial"/>
          <w:sz w:val="24"/>
          <w:szCs w:val="24"/>
        </w:rPr>
        <w:t>los expedientes referidos, en base a las consideraciones de derecho que a continuación se plasman.</w:t>
      </w:r>
    </w:p>
    <w:p w:rsidR="00453729" w:rsidRDefault="00453729" w:rsidP="00453729">
      <w:pPr>
        <w:spacing w:after="0" w:line="360" w:lineRule="auto"/>
        <w:jc w:val="both"/>
        <w:rPr>
          <w:rFonts w:ascii="Palatino Linotype" w:hAnsi="Palatino Linotype" w:cs="Arial"/>
          <w:sz w:val="24"/>
          <w:szCs w:val="24"/>
        </w:rPr>
      </w:pPr>
    </w:p>
    <w:p w:rsidR="00403740" w:rsidRDefault="00403740" w:rsidP="0040374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Ahora bien, este Instituto como ente garante del derecho de acceso a la información realizó un análisis literal y armónico de la solicitud de origen y advirtió que el particular refirió que </w:t>
      </w:r>
      <w:r>
        <w:rPr>
          <w:rFonts w:ascii="Palatino Linotype" w:hAnsi="Palatino Linotype" w:cs="Arial"/>
        </w:rPr>
        <w:lastRenderedPageBreak/>
        <w:t>requería información que corresponde a la fracción XI del artículo 92 de la Ley de Transparencia y Acceso a la Información Pública del Estado de México y Municipios.</w:t>
      </w:r>
    </w:p>
    <w:p w:rsidR="00403740" w:rsidRDefault="00403740" w:rsidP="00403740">
      <w:pPr>
        <w:spacing w:before="100" w:beforeAutospacing="1" w:after="100" w:afterAutospacing="1" w:line="360" w:lineRule="auto"/>
        <w:jc w:val="both"/>
        <w:rPr>
          <w:rFonts w:ascii="Palatino Linotype" w:hAnsi="Palatino Linotype" w:cs="Times New Roman"/>
        </w:rPr>
      </w:pPr>
      <w:r>
        <w:rPr>
          <w:rFonts w:ascii="Palatino Linotype" w:hAnsi="Palatino Linotype" w:cs="Arial"/>
        </w:rPr>
        <w:t xml:space="preserve">Así las cosas, el artículo invocado establece </w:t>
      </w:r>
      <w:r>
        <w:rPr>
          <w:rFonts w:ascii="Palatino Linotype" w:hAnsi="Palatino Linotype"/>
        </w:rPr>
        <w:t xml:space="preserve">aquella información que los Sujetos Obligados deben poner a disposición del público de manera permanente y actualizada de forma sencilla, precisa y entendible, en los respectivos medios electrónicos, de acuerdo con sus facultades, atribuciones, funciones u objeto social; dentro de la cual se destacan </w:t>
      </w:r>
      <w:r>
        <w:rPr>
          <w:rFonts w:ascii="Palatino Linotype" w:hAnsi="Palatino Linotype"/>
          <w:b/>
        </w:rPr>
        <w:t>las contrataciones generadas con motivo de licitaciones públicas o procedimientos de invitación restringida y adjudicaciones directas</w:t>
      </w:r>
      <w:r>
        <w:rPr>
          <w:rFonts w:ascii="Palatino Linotype" w:hAnsi="Palatino Linotype"/>
        </w:rPr>
        <w:t>, señalando la convocatoria, nombre de participantes, nombre de ganadores, área solicitante, convocatorias, dictámenes y fallo de adjudicación, contrato y, en su caso, sus anexos, los mecanismos de vigilancia y supervisión, origen de los recursos, informes de avances, convenio de terminación, finiquito, por cuanto hace a las adjudicaciones directas, la propuesta enviada por el participante, los motivos y fundamentos legales, la autorización del ejercicio de la opción, cotizaciones consideradas, nombre de la persona física o jurídica colectiva, número, fecha, monto del contrato y el plazo de entrega mecanismos de vigilancia, supervisión, los informes de avance sobre las obras o servicios, convenio de terminación, finiquito. Sirve de sustento el precepto legal en cita: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rPr>
        <w:t>“</w:t>
      </w:r>
      <w:r>
        <w:rPr>
          <w:rFonts w:ascii="Palatino Linotype" w:hAnsi="Palatino Linotype"/>
          <w:i/>
          <w:sz w:val="22"/>
          <w:szCs w:val="22"/>
        </w:rPr>
        <w:t xml:space="preserve">Capítulo II De las Obligaciones de Transparencia Comunes </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b/>
          <w:i/>
          <w:sz w:val="22"/>
          <w:szCs w:val="22"/>
        </w:rPr>
        <w:t>Artículo 92</w:t>
      </w:r>
      <w:r>
        <w:rPr>
          <w:rFonts w:ascii="Palatino Linotype" w:hAnsi="Palatino Linotype"/>
          <w:i/>
          <w:sz w:val="22"/>
          <w:szCs w:val="22"/>
        </w:rPr>
        <w:t>. Los sujetos obligados, por lo menos, de los temas, documentos y políticas que a continuación se señalan: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a) De licitaciones públicas o procedimientos de invitación restringida: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 La convocatoria o invitación emitida, así como los fundamentos legales aplicados para llevarla a cabo;</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2) Los nombres de los participantes o invitados;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3) El nombre del ganador y las razones que lo justifican;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4) El área solicitante y la responsable de su ejecución;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5) Las convocatorias e invitaciones emitidas;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6) Los dictámenes y fallo de adjudicación;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7) El contrato y, en su caso, sus anexos;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8) Los mecanismos de vigilancia y supervisión, incluyendo en su caso, los estudios de impacto urbano y ambiental, según corresponda;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9) La partida presupuestal, de conformidad con el clasificador por objeto del gasto, en el caso de ser aplicable;</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10) Origen de los recursos especificando si son federales, estatales o municipales, así como el tipo de fondo de participación o aportación respectiva;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11) Los convenios modificatorios que, en su caso, sean firmados, precisando el objeto y la fecha de celebración;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12) Los informes de avance físico y financiero sobre las obras o servicios contratados;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 xml:space="preserve">13) El convenio de terminación; y </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14) El finiquito.</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b) De las adjudicaciones directas: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 La propuesta enviada por el participante;</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2) Los motivos y fundamentos legales aplicados para llevarla a cabo;</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3) La autorización del ejercicio de la opción;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4) En su caso, las cotizaciones consideradas, especificando los nombres de los proveedores y sus montos;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5) El nombre de la persona física o jurídica colectiva adjudicada;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6) La unidad administrativa solicitante y la responsable de su ejecución;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7) El número, fecha, el monto del contrato y el plazo de entrega o de ejecución de los servicios u obra;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8) Los mecanismos de vigilancia y supervisión, incluyendo, en su caso, los estudios de impacto urbano y ambiental, según corresponda;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9) Los informes de avance sobre las obras o servicios contratados;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10) El convenio de terminación; y</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sz w:val="22"/>
          <w:szCs w:val="22"/>
        </w:rPr>
      </w:pPr>
      <w:r>
        <w:rPr>
          <w:rFonts w:ascii="Palatino Linotype" w:hAnsi="Palatino Linotype"/>
          <w:b/>
          <w:i/>
          <w:sz w:val="22"/>
          <w:szCs w:val="22"/>
        </w:rPr>
        <w:t>11) El finiquito</w:t>
      </w:r>
      <w:r>
        <w:rPr>
          <w:rFonts w:ascii="Palatino Linotype" w:hAnsi="Palatino Linotype"/>
          <w:i/>
          <w:sz w:val="22"/>
          <w:szCs w:val="22"/>
        </w:rPr>
        <w:t>…”</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cs="Arial"/>
          <w:sz w:val="22"/>
          <w:szCs w:val="22"/>
        </w:rPr>
      </w:pPr>
      <w:r>
        <w:rPr>
          <w:rFonts w:ascii="Palatino Linotype" w:hAnsi="Palatino Linotype" w:cs="Arial"/>
          <w:sz w:val="22"/>
          <w:szCs w:val="22"/>
        </w:rPr>
        <w:t>(Énfasis añadido)</w:t>
      </w:r>
    </w:p>
    <w:p w:rsidR="00403740" w:rsidRDefault="00403740" w:rsidP="00403740">
      <w:pPr>
        <w:spacing w:before="100" w:beforeAutospacing="1" w:after="100" w:afterAutospacing="1" w:line="360" w:lineRule="auto"/>
        <w:jc w:val="both"/>
        <w:rPr>
          <w:rFonts w:ascii="Palatino Linotype" w:eastAsia="Calibri" w:hAnsi="Palatino Linotype" w:cs="Times New Roman"/>
          <w:sz w:val="24"/>
        </w:rPr>
      </w:pPr>
      <w:r>
        <w:rPr>
          <w:rFonts w:ascii="Palatino Linotype" w:eastAsia="Calibri" w:hAnsi="Palatino Linotype"/>
        </w:rPr>
        <w:t>Aunado lo anterior, es importante referir que el Organismo Garante Nacional en el estudio de su resolución refirió que la fracción que aplicaba al caso concreto era la fracción XXIX.</w:t>
      </w:r>
    </w:p>
    <w:p w:rsidR="00403740" w:rsidRDefault="00403740" w:rsidP="00403740">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t xml:space="preserve">Una vez apuntado lo anterior, este Instituto analizó la normatividad que rige al municipio de Ixtapan de la Sal, a fin de dar claridad al </w:t>
      </w:r>
      <w:r>
        <w:rPr>
          <w:rFonts w:ascii="Palatino Linotype" w:eastAsia="Calibri" w:hAnsi="Palatino Linotype"/>
          <w:b/>
        </w:rPr>
        <w:t>RECURRENTE</w:t>
      </w:r>
      <w:r>
        <w:rPr>
          <w:rFonts w:ascii="Palatino Linotype" w:eastAsia="Calibri" w:hAnsi="Palatino Linotype"/>
        </w:rPr>
        <w:t xml:space="preserve"> respecto del alcance de la solicitud de origen, específicamente en la naturaleza jurídica de lo referente a las licitaciones públicas, siendo toral resaltar lo siguiente:</w:t>
      </w:r>
    </w:p>
    <w:p w:rsidR="00403740" w:rsidRDefault="00403740" w:rsidP="00403740">
      <w:pPr>
        <w:spacing w:line="360" w:lineRule="auto"/>
        <w:jc w:val="both"/>
        <w:rPr>
          <w:rFonts w:ascii="Palatino Linotype" w:eastAsia="Times New Roman" w:hAnsi="Palatino Linotype" w:cs="Arial"/>
          <w:noProof/>
          <w:color w:val="000000"/>
          <w:szCs w:val="24"/>
          <w:lang w:eastAsia="es-MX"/>
        </w:rPr>
      </w:pPr>
      <w:r>
        <w:rPr>
          <w:rFonts w:ascii="Palatino Linotype" w:hAnsi="Palatino Linotype" w:cs="Arial"/>
          <w:noProof/>
          <w:color w:val="000000"/>
          <w:lang w:eastAsia="es-MX"/>
        </w:rPr>
        <w:t xml:space="preserve">De lo expuesto con anterioridad, se desprende que </w:t>
      </w:r>
      <w:r>
        <w:rPr>
          <w:rFonts w:ascii="Palatino Linotype" w:hAnsi="Palatino Linotype" w:cs="Arial"/>
          <w:b/>
          <w:noProof/>
          <w:color w:val="000000"/>
          <w:lang w:eastAsia="es-MX"/>
        </w:rPr>
        <w:t xml:space="preserve">El Sujeto Obligado </w:t>
      </w:r>
      <w:r>
        <w:rPr>
          <w:rFonts w:ascii="Palatino Linotype" w:hAnsi="Palatino Linotype" w:cs="Arial"/>
          <w:noProof/>
          <w:color w:val="000000"/>
          <w:lang w:eastAsia="es-MX"/>
        </w:rPr>
        <w:t xml:space="preserve">se auxilia de diversas Direcciones, Departamentos y Órganos para cumplir con sus fines y objetivos, resultando de nuestro interés la Dirección de Obras Públicas. En este tenor, resulta aplicable el Título Octavo  del Bando Municipal del </w:t>
      </w:r>
      <w:r>
        <w:rPr>
          <w:rFonts w:ascii="Palatino Linotype" w:hAnsi="Palatino Linotype" w:cs="Arial"/>
          <w:b/>
          <w:bCs/>
          <w:noProof/>
          <w:color w:val="000000"/>
          <w:lang w:eastAsia="es-MX"/>
        </w:rPr>
        <w:t xml:space="preserve">Sujeto Obligado, </w:t>
      </w:r>
      <w:r>
        <w:rPr>
          <w:rFonts w:ascii="Palatino Linotype" w:hAnsi="Palatino Linotype" w:cs="Arial"/>
          <w:noProof/>
          <w:color w:val="000000"/>
          <w:lang w:eastAsia="es-MX"/>
        </w:rPr>
        <w:t>porciones normativas que disponen a la literalidad lo sigueinte:</w:t>
      </w:r>
    </w:p>
    <w:p w:rsidR="00403740" w:rsidRDefault="00403740" w:rsidP="00403740">
      <w:pPr>
        <w:spacing w:before="240" w:line="360" w:lineRule="auto"/>
        <w:ind w:left="851" w:right="851"/>
        <w:jc w:val="center"/>
        <w:rPr>
          <w:rFonts w:ascii="Palatino Linotype" w:hAnsi="Palatino Linotype" w:cs="Arial"/>
          <w:i/>
          <w:iCs/>
          <w:lang w:eastAsia="es-ES"/>
        </w:rPr>
      </w:pPr>
      <w:r>
        <w:rPr>
          <w:rFonts w:ascii="Palatino Linotype" w:hAnsi="Palatino Linotype" w:cs="Arial"/>
          <w:i/>
          <w:iCs/>
        </w:rPr>
        <w:lastRenderedPageBreak/>
        <w:t>TÍTULO OCTAVO</w:t>
      </w:r>
    </w:p>
    <w:p w:rsidR="00403740" w:rsidRDefault="00403740" w:rsidP="00403740">
      <w:pPr>
        <w:spacing w:before="240" w:line="360" w:lineRule="auto"/>
        <w:ind w:left="851" w:right="851"/>
        <w:jc w:val="center"/>
        <w:rPr>
          <w:rFonts w:ascii="Palatino Linotype" w:hAnsi="Palatino Linotype" w:cs="Arial"/>
          <w:i/>
          <w:iCs/>
        </w:rPr>
      </w:pPr>
      <w:r>
        <w:rPr>
          <w:rFonts w:ascii="Palatino Linotype" w:hAnsi="Palatino Linotype" w:cs="Arial"/>
          <w:i/>
          <w:iCs/>
        </w:rPr>
        <w:t>DE LAS OBRAS PÚBLICAS Y DESARROLLO URBANO</w:t>
      </w:r>
    </w:p>
    <w:p w:rsidR="00403740" w:rsidRDefault="00403740" w:rsidP="00403740">
      <w:pPr>
        <w:spacing w:before="240" w:line="360" w:lineRule="auto"/>
        <w:ind w:left="851" w:right="851"/>
        <w:jc w:val="center"/>
        <w:rPr>
          <w:rFonts w:ascii="Palatino Linotype" w:hAnsi="Palatino Linotype" w:cs="Arial"/>
          <w:i/>
          <w:iCs/>
        </w:rPr>
      </w:pPr>
      <w:r>
        <w:rPr>
          <w:rFonts w:ascii="Palatino Linotype" w:hAnsi="Palatino Linotype" w:cs="Arial"/>
          <w:i/>
          <w:iCs/>
        </w:rPr>
        <w:t>CAPÍTULO I</w:t>
      </w:r>
    </w:p>
    <w:p w:rsidR="00403740" w:rsidRDefault="00403740" w:rsidP="00403740">
      <w:pPr>
        <w:spacing w:before="240" w:line="360" w:lineRule="auto"/>
        <w:ind w:left="851" w:right="851"/>
        <w:jc w:val="center"/>
        <w:rPr>
          <w:rFonts w:ascii="Palatino Linotype" w:hAnsi="Palatino Linotype" w:cs="Arial"/>
          <w:i/>
          <w:iCs/>
        </w:rPr>
      </w:pPr>
      <w:r>
        <w:rPr>
          <w:rFonts w:ascii="Palatino Linotype" w:hAnsi="Palatino Linotype" w:cs="Arial"/>
          <w:i/>
          <w:iCs/>
        </w:rPr>
        <w:t>OBRAS PÚBLICAS</w:t>
      </w:r>
    </w:p>
    <w:p w:rsidR="00403740" w:rsidRDefault="00403740" w:rsidP="00403740">
      <w:pPr>
        <w:spacing w:before="240" w:line="360" w:lineRule="auto"/>
        <w:ind w:left="851" w:right="851"/>
        <w:jc w:val="both"/>
        <w:rPr>
          <w:rFonts w:ascii="Palatino Linotype" w:hAnsi="Palatino Linotype" w:cs="Arial"/>
          <w:i/>
          <w:iCs/>
        </w:rPr>
      </w:pPr>
      <w:r>
        <w:rPr>
          <w:rFonts w:ascii="Palatino Linotype" w:hAnsi="Palatino Linotype" w:cs="Arial"/>
          <w:i/>
          <w:iCs/>
        </w:rPr>
        <w:t>ARTÍCULO 136.- El Ayuntamiento, de conformidad con las Leyes Federales aplicables, el Código Administrativo del Estado de México, así como sus reglamentos respectivos, tiene las siguientes atribuciones en materia de obra pública:</w:t>
      </w:r>
    </w:p>
    <w:p w:rsidR="00403740" w:rsidRDefault="00403740" w:rsidP="00403740">
      <w:pPr>
        <w:spacing w:before="240" w:line="360" w:lineRule="auto"/>
        <w:ind w:left="851" w:right="851"/>
        <w:jc w:val="both"/>
        <w:rPr>
          <w:rFonts w:ascii="Palatino Linotype" w:hAnsi="Palatino Linotype" w:cs="Arial"/>
          <w:i/>
          <w:iCs/>
        </w:rPr>
      </w:pP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Elaborar y evaluar los programas anuales de obras públicas, de conformidad con los objetivos y lineamientos del Plan de Desarrollo Municipal y los que se deriven del Plan Nacional de Desarrollo;</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Coordinarse con las dependencias competentes para ejecutar proyectos que fortalezcan la designación de Pueblo Mágico;</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Proponer para su análisis, discusión y aprobación por el Cabildo, la integración del Comité Interno de Obra Pública;</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b/>
          <w:i/>
          <w:iCs/>
          <w:sz w:val="22"/>
          <w:szCs w:val="22"/>
          <w:u w:val="single"/>
        </w:rPr>
        <w:t>Realizar los estudios técnicos, sociales y de impacto ambiental, así como los proyectos ejecutivos de las obras públicas incluidas en los programas anuales</w:t>
      </w:r>
      <w:r>
        <w:rPr>
          <w:rFonts w:ascii="Palatino Linotype" w:hAnsi="Palatino Linotype" w:cs="Arial"/>
          <w:i/>
          <w:iCs/>
          <w:sz w:val="22"/>
          <w:szCs w:val="22"/>
        </w:rPr>
        <w:t>;</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b/>
          <w:i/>
          <w:iCs/>
          <w:sz w:val="22"/>
          <w:szCs w:val="22"/>
          <w:u w:val="single"/>
        </w:rPr>
      </w:pPr>
      <w:r>
        <w:rPr>
          <w:rFonts w:ascii="Palatino Linotype" w:hAnsi="Palatino Linotype" w:cs="Arial"/>
          <w:b/>
          <w:i/>
          <w:iCs/>
          <w:sz w:val="22"/>
          <w:szCs w:val="22"/>
          <w:u w:val="single"/>
        </w:rPr>
        <w:t>Ejecutar las obras públicas de los programas anuales aprobados ya sea por administración o por contrato;</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b/>
          <w:i/>
          <w:iCs/>
          <w:sz w:val="22"/>
          <w:szCs w:val="22"/>
          <w:u w:val="single"/>
        </w:rPr>
      </w:pPr>
      <w:r>
        <w:rPr>
          <w:rFonts w:ascii="Palatino Linotype" w:hAnsi="Palatino Linotype" w:cs="Arial"/>
          <w:b/>
          <w:i/>
          <w:iCs/>
          <w:sz w:val="22"/>
          <w:szCs w:val="22"/>
          <w:u w:val="single"/>
        </w:rPr>
        <w:lastRenderedPageBreak/>
        <w:t>Licitar, concursar o asignar, en su caso, servicios de obra y las obras públicas aprobadas en los programas anuales, de conformidad con la normatividad de la fuente de recursos y montos aprobados;</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Elaborar los contratos de obra pública y gestionar el pago de anticipos; y estimaciones hasta su finiquito;</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Revisar las estimaciones de obra, gestionar los pagos correspondientes hasta el finiquito de las obras, así como dar vista al órgano de control interno, sobre las posibles sanciones a que se hagan acreedores los contratistas por incumplimiento de los términos pactados;</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Supervisar y ejecutar pruebas de control de calidad, a fin de verificar que todas las obras del programa anual se ejecuten de conformidad con el proyecto y las especificaciones técnicas respectivas estipuladas en el contrato;</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Elaborar las actas de entrega recepción de las obras concluidas de conformidad con las normas establecidas;</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Elaborar estudios y proyectos de ingeniería civil;</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Construir obras viales e instalar los equipos y el señalamiento para el control vial;</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Gestionar la expropiación de inmuebles por causas de interés público, con arreglo a lo que determine la ley aplicable;</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Promover en la ejecución de obras públicas la participación de la ciudadanía, de la iniciativa privada y de las dependencias federales y estatales competentes, a través de los mecanismos que el presente Bando establece;</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lastRenderedPageBreak/>
        <w:t>Celebrar convenios con particulares, dependencias y Organismos Federales, Estatales y Municipales para la ejecución de obras públicas;</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Elaborar los informes de avance de las obras públicas que la normatividad de los distintos programas establece y entregarlos dentro de los plazos previstos a las instancias respectivas;</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Gestionar recursos financieros, mediante los diferentes programas federales y estatales para la ejecución de la obra pública;</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Rescindir contratos de obra pública;</w:t>
      </w:r>
    </w:p>
    <w:p w:rsidR="00403740" w:rsidRDefault="00403740" w:rsidP="006E7722">
      <w:pPr>
        <w:pStyle w:val="Prrafodelista"/>
        <w:numPr>
          <w:ilvl w:val="0"/>
          <w:numId w:val="4"/>
        </w:numPr>
        <w:spacing w:before="240" w:after="160" w:line="360" w:lineRule="auto"/>
        <w:ind w:right="851"/>
        <w:jc w:val="both"/>
        <w:rPr>
          <w:rFonts w:ascii="Palatino Linotype" w:hAnsi="Palatino Linotype" w:cs="Arial"/>
          <w:i/>
          <w:iCs/>
          <w:sz w:val="22"/>
          <w:szCs w:val="22"/>
        </w:rPr>
      </w:pPr>
      <w:r>
        <w:rPr>
          <w:rFonts w:ascii="Palatino Linotype" w:hAnsi="Palatino Linotype" w:cs="Arial"/>
          <w:i/>
          <w:iCs/>
          <w:sz w:val="22"/>
          <w:szCs w:val="22"/>
        </w:rPr>
        <w:t xml:space="preserve"> Las demás que establezcan los ordenamientos legales aplicables.” </w:t>
      </w:r>
      <w:r>
        <w:rPr>
          <w:rFonts w:ascii="Palatino Linotype" w:hAnsi="Palatino Linotype" w:cs="Arial"/>
          <w:b/>
          <w:bCs/>
          <w:i/>
          <w:iCs/>
          <w:sz w:val="22"/>
          <w:szCs w:val="22"/>
        </w:rPr>
        <w:t>[Sic]</w:t>
      </w:r>
    </w:p>
    <w:p w:rsidR="00403740" w:rsidRDefault="00403740" w:rsidP="00403740">
      <w:pPr>
        <w:pStyle w:val="Prrafodelista"/>
        <w:spacing w:before="240" w:after="160" w:line="360" w:lineRule="auto"/>
        <w:ind w:left="1080" w:right="851"/>
        <w:jc w:val="both"/>
        <w:rPr>
          <w:rFonts w:ascii="Palatino Linotype" w:hAnsi="Palatino Linotype" w:cs="Arial"/>
          <w:i/>
          <w:iCs/>
          <w:sz w:val="22"/>
          <w:szCs w:val="22"/>
        </w:rPr>
      </w:pPr>
    </w:p>
    <w:p w:rsidR="00403740" w:rsidRDefault="00403740" w:rsidP="00403740">
      <w:pPr>
        <w:spacing w:line="360" w:lineRule="auto"/>
        <w:jc w:val="both"/>
        <w:rPr>
          <w:rFonts w:ascii="Palatino Linotype" w:hAnsi="Palatino Linotype" w:cs="Arial"/>
          <w:noProof/>
          <w:color w:val="000000"/>
          <w:sz w:val="24"/>
          <w:szCs w:val="24"/>
          <w:lang w:eastAsia="es-MX"/>
        </w:rPr>
      </w:pPr>
      <w:r>
        <w:rPr>
          <w:rFonts w:ascii="Palatino Linotype" w:hAnsi="Palatino Linotype" w:cs="Arial"/>
          <w:noProof/>
          <w:color w:val="000000"/>
          <w:lang w:eastAsia="es-MX"/>
        </w:rPr>
        <w:t xml:space="preserve">En efecto de la normatividad previamente plasmada se desprende que el Director de Obras Públicas funge como el </w:t>
      </w:r>
      <w:r>
        <w:rPr>
          <w:rFonts w:ascii="Palatino Linotype" w:hAnsi="Palatino Linotype" w:cs="Arial"/>
          <w:b/>
          <w:bCs/>
          <w:noProof/>
          <w:color w:val="000000"/>
          <w:lang w:eastAsia="es-MX"/>
        </w:rPr>
        <w:t xml:space="preserve">Sujeto Habilitado Competente </w:t>
      </w:r>
      <w:r>
        <w:rPr>
          <w:rFonts w:ascii="Palatino Linotype" w:hAnsi="Palatino Linotype" w:cs="Arial"/>
          <w:noProof/>
          <w:color w:val="000000"/>
          <w:lang w:eastAsia="es-MX"/>
        </w:rPr>
        <w:t xml:space="preserve">para atender los requerimientos formulados por el particular. Lo anterior en razón de que su esfera competencial lo constriñe a generar, poseer y administrar las licitaciones en materia de obra pública. </w:t>
      </w:r>
    </w:p>
    <w:p w:rsidR="00403740" w:rsidRDefault="00403740" w:rsidP="00403740">
      <w:pPr>
        <w:spacing w:line="360" w:lineRule="auto"/>
        <w:jc w:val="both"/>
        <w:rPr>
          <w:rFonts w:ascii="Palatino Linotype" w:hAnsi="Palatino Linotype" w:cs="Arial"/>
          <w:noProof/>
          <w:color w:val="000000"/>
          <w:lang w:eastAsia="es-MX"/>
        </w:rPr>
      </w:pPr>
    </w:p>
    <w:p w:rsidR="00403740" w:rsidRDefault="00403740" w:rsidP="00403740">
      <w:pPr>
        <w:spacing w:line="360" w:lineRule="auto"/>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Adicionalmente, de acuerdo a la naturaleza de la información solicitada se concluye que ésta es de interés general y alcance público, robustece lo anterior los artículos 24, fracción XII y 92, fracción XXIX de la Ley de Transparencia y Acceso a la Información Pública del Estado de México y Municipios, porciones normativas que disponen a la literalidad lo siguiente: </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“Artículo 24. </w:t>
      </w:r>
      <w:r>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403740" w:rsidRDefault="00403740" w:rsidP="00403740">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lastRenderedPageBreak/>
        <w:t>(…)</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XII. </w:t>
      </w:r>
      <w:r>
        <w:rPr>
          <w:rFonts w:ascii="Palatino Linotype" w:hAnsi="Palatino Linotype"/>
          <w:b/>
          <w:i/>
          <w:sz w:val="22"/>
          <w:szCs w:val="22"/>
          <w:u w:val="single"/>
        </w:rPr>
        <w:t>Publicar y mantener actualizada la información relativa a las obligaciones generales de transparencia</w:t>
      </w:r>
      <w:r>
        <w:rPr>
          <w:rFonts w:ascii="Palatino Linotype" w:hAnsi="Palatino Linotype"/>
          <w:i/>
          <w:sz w:val="22"/>
          <w:szCs w:val="22"/>
        </w:rPr>
        <w:t xml:space="preserve"> previstas en la presente Ley o determinadas así por el Instituto, y en general aquella que sea de interés público;</w:t>
      </w:r>
    </w:p>
    <w:p w:rsidR="00403740" w:rsidRDefault="00403740" w:rsidP="00403740">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Artículo 92. </w:t>
      </w:r>
      <w:r>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rsidR="00403740" w:rsidRDefault="00403740" w:rsidP="00403740">
      <w:pPr>
        <w:spacing w:before="240" w:line="360" w:lineRule="auto"/>
        <w:ind w:left="851" w:right="851"/>
        <w:jc w:val="both"/>
        <w:rPr>
          <w:rFonts w:ascii="Palatino Linotype" w:hAnsi="Palatino Linotype"/>
          <w:b/>
          <w:i/>
          <w:sz w:val="24"/>
          <w:szCs w:val="24"/>
          <w:u w:val="single"/>
        </w:rPr>
      </w:pPr>
      <w:r>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403740" w:rsidRDefault="00403740" w:rsidP="00403740">
      <w:pPr>
        <w:spacing w:before="240" w:line="360" w:lineRule="auto"/>
        <w:ind w:left="851" w:right="851"/>
        <w:jc w:val="both"/>
        <w:rPr>
          <w:rFonts w:ascii="Palatino Linotype" w:hAnsi="Palatino Linotype"/>
          <w:b/>
          <w:i/>
          <w:u w:val="single"/>
        </w:rPr>
      </w:pPr>
      <w:r>
        <w:rPr>
          <w:rFonts w:ascii="Palatino Linotype" w:hAnsi="Palatino Linotype"/>
          <w:b/>
          <w:i/>
          <w:u w:val="single"/>
        </w:rPr>
        <w:t xml:space="preserve">a) De licitaciones públicas o procedimientos de invitación restringida: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 La convocatoria o invitación emitida, así como los fundamentos legales aplicados para llevarla a cabo;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2) Los nombres de los participantes o invitados;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3) El nombre del ganador y las razones que lo justifican;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4) El área solicitante y la responsable de su ejecución;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lastRenderedPageBreak/>
        <w:t xml:space="preserve">5) Las convocatorias e invitaciones emitidas;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6) Los dictámenes y fallo de adjudicación;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7) El contrato y, en su caso, sus anexos;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8) Los mecanismos de vigilancia y supervisión, incluyendo en su caso, los estudios de impacto urbano y ambiental, según corresponda;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9) La partida presupuestal, de conformidad con el clasificador por objeto del gasto, en el caso de ser aplicable;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10) Origen de los recursos especificando si son federales, estatales o municipales, así como el tipo de fondo de participación o aportación respectiva;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11) Los convenios modificatorios que, en su caso, sean firmados, precisando el objeto y la fecha de celebración;</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 12) Los informes de avance físico y financiero sobre las obras o servicios contratados; 13) El convenio de terminación; y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14) El finiquito. </w:t>
      </w:r>
    </w:p>
    <w:p w:rsidR="00403740" w:rsidRDefault="00403740" w:rsidP="00403740">
      <w:pPr>
        <w:spacing w:before="240" w:line="360" w:lineRule="auto"/>
        <w:ind w:left="851" w:right="851"/>
        <w:jc w:val="both"/>
        <w:rPr>
          <w:rFonts w:ascii="Palatino Linotype" w:hAnsi="Palatino Linotype"/>
          <w:b/>
          <w:i/>
          <w:u w:val="single"/>
        </w:rPr>
      </w:pPr>
      <w:r>
        <w:rPr>
          <w:rFonts w:ascii="Palatino Linotype" w:hAnsi="Palatino Linotype"/>
          <w:b/>
          <w:i/>
          <w:u w:val="single"/>
        </w:rPr>
        <w:t xml:space="preserve">b) De las adjudicaciones directas: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 La propuesta enviada por el participante;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2) Los motivos y fundamentos legales aplicados para llevarla a cabo;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3) La autorización del ejercicio de la opción;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lastRenderedPageBreak/>
        <w:t xml:space="preserve">4) En su caso, las cotizaciones consideradas, especificando los nombres de los proveedores y sus montos;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5) El nombre de la persona física o jurídica colectiva adjudicada;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6) La unidad administrativa solicitante y la responsable de su ejecución;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7) El número, fecha, el monto del contrato y el plazo de entrega o de ejecución de los servicios u obra;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8) Los mecanismos de vigilancia y supervisión, incluyendo, en su caso, los estudios de impacto urbano y ambiental, según corresponda;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9) Los informes de avance sobre las obras o servicios contratados;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10) El convenio de terminación; y </w:t>
      </w:r>
    </w:p>
    <w:p w:rsidR="00403740" w:rsidRDefault="00403740" w:rsidP="00403740">
      <w:pPr>
        <w:spacing w:before="240" w:line="360" w:lineRule="auto"/>
        <w:ind w:left="851" w:right="851"/>
        <w:jc w:val="both"/>
        <w:rPr>
          <w:rFonts w:ascii="Palatino Linotype" w:hAnsi="Palatino Linotype" w:cs="Arial"/>
          <w:b/>
          <w:bCs/>
          <w:i/>
        </w:rPr>
      </w:pPr>
      <w:r>
        <w:rPr>
          <w:rFonts w:ascii="Palatino Linotype" w:hAnsi="Palatino Linotype"/>
          <w:i/>
        </w:rPr>
        <w:t xml:space="preserve">11) El finiquito.” </w:t>
      </w:r>
      <w:r>
        <w:rPr>
          <w:rFonts w:ascii="Palatino Linotype" w:hAnsi="Palatino Linotype"/>
          <w:b/>
          <w:bCs/>
          <w:i/>
        </w:rPr>
        <w:t>[Sic]</w:t>
      </w:r>
    </w:p>
    <w:p w:rsidR="00453729" w:rsidRPr="00AA3EDB" w:rsidRDefault="00453729" w:rsidP="00453729">
      <w:pPr>
        <w:autoSpaceDE w:val="0"/>
        <w:autoSpaceDN w:val="0"/>
        <w:adjustRightInd w:val="0"/>
        <w:spacing w:after="120" w:line="240" w:lineRule="auto"/>
        <w:ind w:left="709" w:right="616"/>
        <w:jc w:val="both"/>
        <w:rPr>
          <w:rFonts w:ascii="Palatino Linotype" w:eastAsia="Times New Roman" w:hAnsi="Palatino Linotype" w:cs="Times New Roman"/>
          <w:b/>
          <w:i/>
          <w:lang w:val="es-ES" w:eastAsia="es-ES"/>
        </w:rPr>
      </w:pPr>
    </w:p>
    <w:p w:rsidR="00453729" w:rsidRPr="009249DB" w:rsidRDefault="00453729" w:rsidP="00453729">
      <w:pPr>
        <w:autoSpaceDE w:val="0"/>
        <w:autoSpaceDN w:val="0"/>
        <w:adjustRightInd w:val="0"/>
        <w:spacing w:after="120" w:line="240" w:lineRule="auto"/>
        <w:ind w:right="618"/>
        <w:jc w:val="both"/>
        <w:rPr>
          <w:rFonts w:ascii="Palatino Linotype" w:eastAsia="Times New Roman" w:hAnsi="Palatino Linotype" w:cs="Times New Roman"/>
          <w:i/>
          <w:lang w:val="es-ES" w:eastAsia="es-ES"/>
        </w:rPr>
      </w:pPr>
    </w:p>
    <w:p w:rsidR="00453729" w:rsidRPr="009249DB" w:rsidRDefault="00453729" w:rsidP="00453729">
      <w:pPr>
        <w:spacing w:after="0"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Del análisis sistemático y armónico de la normatividad previamente plasmada se desprende que dentro de las atribuciones de los Ayuntamientos se encuentra el Convenir, contratar o concesionar la ejecución de obras públicas municipales, asimismo entre sus atribuciones encontramos el  acordar el destino y uso de sus bienes inmuebles, ello a través de su Dirección de Obras Púbicas, quien deberá planear y coordinar los proyectos de obras públicas y servicios relacionados con las mismas que autorice el Ayuntamiento, una vez que se cumplan los requisitos de licitación</w:t>
      </w:r>
      <w:r>
        <w:rPr>
          <w:rFonts w:ascii="Palatino Linotype" w:eastAsia="Calibri" w:hAnsi="Palatino Linotype" w:cs="Times New Roman"/>
          <w:sz w:val="24"/>
          <w:szCs w:val="24"/>
        </w:rPr>
        <w:t xml:space="preserve"> y otros que determine la Ley de la materia</w:t>
      </w:r>
      <w:r w:rsidRPr="009249DB">
        <w:rPr>
          <w:rFonts w:ascii="Palatino Linotype" w:eastAsia="Calibri" w:hAnsi="Palatino Linotype" w:cs="Times New Roman"/>
          <w:sz w:val="24"/>
          <w:szCs w:val="24"/>
        </w:rPr>
        <w:t>.</w:t>
      </w:r>
    </w:p>
    <w:p w:rsidR="00453729" w:rsidRPr="009249DB" w:rsidRDefault="00453729" w:rsidP="00453729">
      <w:pPr>
        <w:spacing w:after="0" w:line="360" w:lineRule="auto"/>
        <w:jc w:val="both"/>
        <w:rPr>
          <w:rFonts w:ascii="Palatino Linotype" w:eastAsia="Calibri" w:hAnsi="Palatino Linotype" w:cs="Times New Roman"/>
          <w:sz w:val="24"/>
          <w:szCs w:val="24"/>
        </w:rPr>
      </w:pPr>
    </w:p>
    <w:p w:rsidR="00453729" w:rsidRPr="009249DB" w:rsidRDefault="00453729" w:rsidP="00453729">
      <w:pPr>
        <w:spacing w:after="0"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lastRenderedPageBreak/>
        <w:t xml:space="preserve">En base a lo anterior, el Director de Obras Públicas tiene entre sus atribuciones el Administrar y ejercer, en el ámbito de su competencia, de manera coordinada con el Tesorero </w:t>
      </w:r>
      <w:r>
        <w:rPr>
          <w:rFonts w:ascii="Palatino Linotype" w:eastAsia="Calibri" w:hAnsi="Palatino Linotype" w:cs="Times New Roman"/>
          <w:sz w:val="24"/>
          <w:szCs w:val="24"/>
        </w:rPr>
        <w:t>M</w:t>
      </w:r>
      <w:r w:rsidRPr="009249DB">
        <w:rPr>
          <w:rFonts w:ascii="Palatino Linotype" w:eastAsia="Calibri" w:hAnsi="Palatino Linotype" w:cs="Times New Roman"/>
          <w:sz w:val="24"/>
          <w:szCs w:val="24"/>
        </w:rPr>
        <w:t xml:space="preserve">unicipal, </w:t>
      </w:r>
      <w:r w:rsidRPr="009249DB">
        <w:rPr>
          <w:rFonts w:ascii="Palatino Linotype" w:eastAsia="Calibri" w:hAnsi="Palatino Linotype" w:cs="Times New Roman"/>
          <w:sz w:val="24"/>
          <w:szCs w:val="24"/>
          <w:u w:val="single"/>
        </w:rPr>
        <w:t>los recursos públicos destinados a la planeación, programación, presupuestación, adjudicación, contratación, ejecución y control de la obra pública</w:t>
      </w:r>
      <w:r w:rsidRPr="009249DB">
        <w:rPr>
          <w:rFonts w:ascii="Palatino Linotype" w:eastAsia="Calibri" w:hAnsi="Palatino Linotype" w:cs="Times New Roman"/>
          <w:sz w:val="24"/>
          <w:szCs w:val="24"/>
        </w:rPr>
        <w:t>, conforme a las disposiciones legales aplicables y en congruencia con los planes, programas, especificaciones técnicas, controles y procedimientos administrativos aprobados. Asimismo, dispone que el presidente municipal presentará anualmente al Ayuntamiento a más tardar el 20 de diciembre el proyecto del presupuesto de egresos y la forma en que estará integrado el proyecto del presupuesto de egresos que habrá de ser aprobado por el cabildo municipal.</w:t>
      </w:r>
    </w:p>
    <w:p w:rsidR="00453729" w:rsidRPr="009249DB" w:rsidRDefault="00453729" w:rsidP="00453729">
      <w:pPr>
        <w:spacing w:after="0" w:line="360" w:lineRule="auto"/>
        <w:jc w:val="both"/>
        <w:rPr>
          <w:rFonts w:ascii="Palatino Linotype" w:eastAsia="Calibri" w:hAnsi="Palatino Linotype" w:cs="Times New Roman"/>
          <w:sz w:val="24"/>
          <w:szCs w:val="24"/>
        </w:rPr>
      </w:pPr>
    </w:p>
    <w:p w:rsidR="00453729" w:rsidRPr="009249DB" w:rsidRDefault="00453729" w:rsidP="00453729">
      <w:pPr>
        <w:spacing w:after="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szCs w:val="24"/>
        </w:rPr>
        <w:t>Aunado a lo anteriormente expuesto</w:t>
      </w:r>
      <w:r w:rsidRPr="009249DB">
        <w:rPr>
          <w:rFonts w:ascii="Palatino Linotype" w:eastAsia="Calibri" w:hAnsi="Palatino Linotype" w:cs="Times New Roman"/>
          <w:sz w:val="24"/>
          <w:lang w:val="es-AR"/>
        </w:rPr>
        <w:t xml:space="preserve"> es importante señalar que el </w:t>
      </w:r>
      <w:r w:rsidRPr="009249DB">
        <w:rPr>
          <w:rFonts w:ascii="Palatino Linotype" w:eastAsia="Calibri" w:hAnsi="Palatino Linotype" w:cs="Times New Roman"/>
          <w:b/>
          <w:sz w:val="24"/>
        </w:rPr>
        <w:t>Manual para la Planeación, Programación y Presupuestación Municipal para el Ejercicio Fiscal 2019</w:t>
      </w:r>
      <w:r w:rsidRPr="009249DB">
        <w:rPr>
          <w:rFonts w:ascii="Palatino Linotype" w:eastAsia="Calibri" w:hAnsi="Palatino Linotype" w:cs="Times New Roman"/>
          <w:sz w:val="24"/>
        </w:rPr>
        <w:t>, dentro de su Marco Conceptual numeral 1.2, definen al presupuesto como:</w:t>
      </w:r>
    </w:p>
    <w:p w:rsidR="00453729" w:rsidRPr="009249DB" w:rsidRDefault="00453729" w:rsidP="00453729">
      <w:pPr>
        <w:spacing w:after="0" w:line="240" w:lineRule="auto"/>
        <w:rPr>
          <w:rFonts w:ascii="Times New Roman" w:eastAsia="MS Mincho" w:hAnsi="Times New Roman" w:cs="Times New Roman"/>
          <w:sz w:val="14"/>
          <w:szCs w:val="24"/>
          <w:lang w:eastAsia="es-ES"/>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b/>
          <w:i/>
        </w:rPr>
      </w:pPr>
      <w:r w:rsidRPr="009249DB">
        <w:rPr>
          <w:rFonts w:ascii="Palatino Linotype" w:eastAsia="Calibri" w:hAnsi="Palatino Linotype" w:cs="Times New Roman"/>
          <w:i/>
        </w:rPr>
        <w:t>“</w:t>
      </w:r>
      <w:r w:rsidRPr="009249DB">
        <w:rPr>
          <w:rFonts w:ascii="Palatino Linotype" w:eastAsia="Calibri" w:hAnsi="Palatino Linotype" w:cs="Times New Roman"/>
          <w:b/>
          <w:i/>
        </w:rPr>
        <w:t>I.2 Marco Conceptual</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Definición del Presupuesto.-</w:t>
      </w:r>
      <w:r w:rsidRPr="009249DB">
        <w:rPr>
          <w:rFonts w:ascii="Palatino Linotype" w:eastAsia="Calibri" w:hAnsi="Palatino Linotype" w:cs="Times New Roman"/>
          <w:i/>
        </w:rPr>
        <w:t xml:space="preserve"> Con base en lo que establece el artículo 285, del Código Financiero del Estado de México y Municipios, el </w:t>
      </w:r>
      <w:r w:rsidRPr="009249DB">
        <w:rPr>
          <w:rFonts w:ascii="Palatino Linotype" w:eastAsia="Calibri" w:hAnsi="Palatino Linotype" w:cs="Times New Roman"/>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9249DB">
        <w:rPr>
          <w:rFonts w:ascii="Palatino Linotype" w:eastAsia="Calibri" w:hAnsi="Palatino Linotype" w:cs="Times New Roman"/>
          <w:i/>
        </w:rPr>
        <w:t>.</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En otra perspectiva, </w:t>
      </w:r>
      <w:r w:rsidRPr="009249DB">
        <w:rPr>
          <w:rFonts w:ascii="Palatino Linotype" w:eastAsia="Calibri" w:hAnsi="Palatino Linotype" w:cs="Times New Roman"/>
          <w:b/>
          <w:bCs/>
          <w:i/>
        </w:rPr>
        <w:t>el presupuesto puede definirse como “la expresión contable de los gastos de un determinado período</w:t>
      </w:r>
      <w:r w:rsidRPr="009249DB">
        <w:rPr>
          <w:rFonts w:ascii="Palatino Linotype" w:eastAsia="Calibri" w:hAnsi="Palatino Linotype" w:cs="Times New Roman"/>
          <w:i/>
        </w:rPr>
        <w:t>, obteniendo los límites de autorización por parte del Cabildo para cumplir con los fines políticos, económicos y sociales para dar cumplimiento al mandato legal”.</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lastRenderedPageBreak/>
        <w:t xml:space="preserve">Para efecto de este manual, </w:t>
      </w:r>
      <w:r w:rsidRPr="009249DB">
        <w:rPr>
          <w:rFonts w:ascii="Palatino Linotype" w:eastAsia="Calibri" w:hAnsi="Palatino Linotype" w:cs="Times New Roman"/>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9249DB">
        <w:rPr>
          <w:rFonts w:ascii="Palatino Linotype" w:eastAsia="Calibri" w:hAnsi="Palatino Linotype" w:cs="Times New Roman"/>
          <w:i/>
        </w:rPr>
        <w:t>.</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El presupuesto público involucra los planes, políticas, programas, proyectos, estrategias y objetivos del municipio, como medio efectivo de control del gasto público</w:t>
      </w:r>
      <w:r w:rsidRPr="009249DB">
        <w:rPr>
          <w:rFonts w:ascii="Palatino Linotype" w:eastAsia="Calibri" w:hAnsi="Palatino Linotype" w:cs="Times New Roman"/>
          <w:i/>
        </w:rPr>
        <w:t xml:space="preserve"> y en ellos se fundamentan las diferentes alternativas de asignación de recursos para gastos e inversiones.</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w:t>
      </w:r>
      <w:r w:rsidRPr="009249DB">
        <w:rPr>
          <w:rFonts w:ascii="Palatino Linotype" w:eastAsia="Calibri" w:hAnsi="Palatino Linotype" w:cs="Times New Roman"/>
          <w:i/>
        </w:rPr>
        <w:t>”</w:t>
      </w:r>
    </w:p>
    <w:p w:rsidR="00453729" w:rsidRPr="009249DB" w:rsidRDefault="00453729" w:rsidP="00453729">
      <w:pPr>
        <w:spacing w:before="240" w:after="240" w:line="360" w:lineRule="auto"/>
        <w:contextualSpacing/>
        <w:jc w:val="both"/>
        <w:rPr>
          <w:rFonts w:ascii="Palatino Linotype" w:eastAsia="Calibri" w:hAnsi="Palatino Linotype" w:cs="Times New Roman"/>
          <w:sz w:val="24"/>
        </w:rPr>
      </w:pPr>
    </w:p>
    <w:p w:rsidR="00453729" w:rsidRPr="009249DB" w:rsidRDefault="00453729" w:rsidP="00453729">
      <w:pPr>
        <w:spacing w:before="240" w:after="24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rPr>
        <w:t xml:space="preserve">Del numeral referido, advertimos que el presupuesto es la estimación financiera anticipada, generalmente anual, de los egresos e ingresos del gobierno, necesario para cumplir con los propósitos de un programa determinado, además a través del presupuesto se lleva a cabo una organización para la asignación de recursos públicos, actividad en donde identifican las estructuras programáticas, administrativas y del gasto para la orientación, asignación y ejercicio del recurso, asimismo </w:t>
      </w:r>
      <w:r w:rsidRPr="009249DB">
        <w:rPr>
          <w:rFonts w:ascii="Palatino Linotype" w:eastAsia="Calibri" w:hAnsi="Palatino Linotype" w:cs="Times New Roman"/>
          <w:sz w:val="24"/>
          <w:u w:val="single"/>
        </w:rPr>
        <w:t xml:space="preserve">establece que el presupuesto público involucra los planes, políticas, programas, proyectos, </w:t>
      </w:r>
      <w:r w:rsidRPr="009249DB">
        <w:rPr>
          <w:rFonts w:ascii="Palatino Linotype" w:eastAsia="Calibri" w:hAnsi="Palatino Linotype" w:cs="Times New Roman"/>
          <w:bCs/>
          <w:sz w:val="24"/>
          <w:u w:val="single"/>
        </w:rPr>
        <w:t>estrategias y objetivos del municipio, como medio efectivo de control del gasto público</w:t>
      </w:r>
      <w:r w:rsidRPr="009249DB">
        <w:rPr>
          <w:rFonts w:ascii="Palatino Linotype" w:eastAsia="Calibri" w:hAnsi="Palatino Linotype" w:cs="Times New Roman"/>
          <w:sz w:val="24"/>
          <w:u w:val="single"/>
        </w:rPr>
        <w:t>.</w:t>
      </w:r>
    </w:p>
    <w:p w:rsidR="00453729" w:rsidRPr="009249DB" w:rsidRDefault="00453729" w:rsidP="00453729">
      <w:pPr>
        <w:spacing w:after="0" w:line="360" w:lineRule="auto"/>
        <w:jc w:val="both"/>
        <w:rPr>
          <w:rFonts w:ascii="Palatino Linotype" w:eastAsia="Calibri" w:hAnsi="Palatino Linotype" w:cs="Times New Roman"/>
          <w:sz w:val="24"/>
          <w:szCs w:val="24"/>
        </w:rPr>
      </w:pPr>
    </w:p>
    <w:p w:rsidR="00453729" w:rsidRPr="009249DB" w:rsidRDefault="00453729" w:rsidP="00453729">
      <w:pPr>
        <w:spacing w:after="0" w:line="360" w:lineRule="auto"/>
        <w:jc w:val="both"/>
        <w:rPr>
          <w:rFonts w:ascii="Palatino Linotype" w:eastAsia="Calibri" w:hAnsi="Palatino Linotype" w:cs="Arial"/>
          <w:sz w:val="24"/>
          <w:szCs w:val="24"/>
          <w:lang w:val="es-ES" w:eastAsia="es-ES"/>
        </w:rPr>
      </w:pPr>
      <w:r w:rsidRPr="009249DB">
        <w:rPr>
          <w:rFonts w:ascii="Palatino Linotype" w:eastAsia="Calibri" w:hAnsi="Palatino Linotype" w:cs="Times New Roman"/>
          <w:sz w:val="24"/>
          <w:szCs w:val="24"/>
        </w:rPr>
        <w:t xml:space="preserve">Adicionalmente, a lo antes expuesto, resulta oportuno señalar </w:t>
      </w:r>
      <w:r w:rsidRPr="009249DB">
        <w:rPr>
          <w:rFonts w:ascii="Palatino Linotype" w:eastAsia="Calibri" w:hAnsi="Palatino Linotype" w:cs="Arial"/>
          <w:sz w:val="24"/>
          <w:szCs w:val="24"/>
          <w:lang w:val="es-ES" w:eastAsia="es-ES"/>
        </w:rPr>
        <w:t xml:space="preserve">lo dispuesto en el Libro Décimo Segundo del Código Administrativo del Estado de México, el cual refiere: </w:t>
      </w:r>
    </w:p>
    <w:p w:rsidR="00453729" w:rsidRPr="009249DB" w:rsidRDefault="00453729" w:rsidP="00453729">
      <w:pPr>
        <w:tabs>
          <w:tab w:val="left" w:pos="8647"/>
        </w:tabs>
        <w:spacing w:after="0" w:line="240" w:lineRule="auto"/>
        <w:ind w:right="51"/>
        <w:jc w:val="both"/>
        <w:rPr>
          <w:rFonts w:ascii="Palatino Linotype" w:eastAsia="Calibri" w:hAnsi="Palatino Linotype" w:cs="Arial"/>
          <w:sz w:val="24"/>
          <w:szCs w:val="24"/>
          <w:lang w:val="es-ES" w:eastAsia="es-ES"/>
        </w:rPr>
      </w:pP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r w:rsidRPr="009249DB">
        <w:rPr>
          <w:rFonts w:ascii="Palatino Linotype" w:eastAsia="Calibri" w:hAnsi="Palatino Linotype" w:cs="Times New Roman"/>
          <w:b/>
          <w:bCs/>
          <w:i/>
          <w:lang w:val="es-ES" w:eastAsia="es-ES"/>
        </w:rPr>
        <w:t>Artículo 12.1</w:t>
      </w:r>
      <w:r w:rsidRPr="009249DB">
        <w:rPr>
          <w:rFonts w:ascii="Palatino Linotype" w:eastAsia="Calibri" w:hAnsi="Palatino Linotype" w:cs="Times New Roman"/>
          <w:i/>
          <w:lang w:val="es-ES" w:eastAsia="es-ES"/>
        </w:rPr>
        <w:t xml:space="preserve">.- </w:t>
      </w:r>
      <w:r w:rsidRPr="009249DB">
        <w:rPr>
          <w:rFonts w:ascii="Palatino Linotype" w:eastAsia="Calibri" w:hAnsi="Palatino Linotype" w:cs="Times New Roman"/>
          <w:b/>
          <w:i/>
          <w:lang w:val="es-ES" w:eastAsia="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9249DB">
        <w:rPr>
          <w:rFonts w:ascii="Palatino Linotype" w:eastAsia="Calibri" w:hAnsi="Palatino Linotype" w:cs="Times New Roman"/>
          <w:i/>
          <w:lang w:val="es-ES" w:eastAsia="es-ES"/>
        </w:rPr>
        <w:t xml:space="preserve">: </w:t>
      </w: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 xml:space="preserve">III. </w:t>
      </w:r>
      <w:r w:rsidRPr="009249DB">
        <w:rPr>
          <w:rFonts w:ascii="Palatino Linotype" w:eastAsia="Calibri" w:hAnsi="Palatino Linotype" w:cs="Times New Roman"/>
          <w:b/>
          <w:i/>
          <w:lang w:val="es-ES" w:eastAsia="es-ES"/>
        </w:rPr>
        <w:t>Los ayuntamientos de los municipios del Estado</w:t>
      </w:r>
      <w:r w:rsidRPr="009249DB">
        <w:rPr>
          <w:rFonts w:ascii="Palatino Linotype" w:eastAsia="Calibri" w:hAnsi="Palatino Linotype" w:cs="Times New Roman"/>
          <w:i/>
          <w:lang w:val="es-ES" w:eastAsia="es-ES"/>
        </w:rPr>
        <w:t xml:space="preserve">; </w:t>
      </w: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p>
    <w:p w:rsidR="00453729"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b/>
          <w:i/>
          <w:lang w:val="es-ES" w:eastAsia="es-ES"/>
        </w:rPr>
        <w:lastRenderedPageBreak/>
        <w:t xml:space="preserve">Artículo 12.4.- Se considera obra pública todo trabajo que tenga por objeto principal </w:t>
      </w:r>
      <w:r w:rsidRPr="009249DB">
        <w:rPr>
          <w:rFonts w:ascii="Palatino Linotype" w:eastAsia="Calibri" w:hAnsi="Palatino Linotype" w:cs="Times New Roman"/>
          <w:i/>
          <w:lang w:val="es-ES" w:eastAsia="es-ES"/>
        </w:rPr>
        <w:t xml:space="preserve">construir, instalar, </w:t>
      </w:r>
      <w:r w:rsidRPr="009249DB">
        <w:rPr>
          <w:rFonts w:ascii="Palatino Linotype" w:eastAsia="Calibri" w:hAnsi="Palatino Linotype" w:cs="Times New Roman"/>
          <w:b/>
          <w:i/>
          <w:lang w:val="es-ES" w:eastAsia="es-ES"/>
        </w:rPr>
        <w:t>ampliar, adecuar, remodelar, restaurar</w:t>
      </w:r>
      <w:r w:rsidRPr="009249DB">
        <w:rPr>
          <w:rFonts w:ascii="Palatino Linotype" w:eastAsia="Calibri" w:hAnsi="Palatino Linotype" w:cs="Times New Roman"/>
          <w:i/>
          <w:lang w:val="es-ES" w:eastAsia="es-ES"/>
        </w:rPr>
        <w:t xml:space="preserve">, conservar, mantener, </w:t>
      </w:r>
      <w:r w:rsidRPr="009249DB">
        <w:rPr>
          <w:rFonts w:ascii="Palatino Linotype" w:eastAsia="Calibri" w:hAnsi="Palatino Linotype" w:cs="Times New Roman"/>
          <w:b/>
          <w:i/>
          <w:lang w:val="es-ES" w:eastAsia="es-ES"/>
        </w:rPr>
        <w:t>modificar o demoler bienes inmuebles propiedad del Estado, de sus dependencias y entidades y de los municipios</w:t>
      </w:r>
      <w:r w:rsidRPr="009249DB">
        <w:rPr>
          <w:rFonts w:ascii="Palatino Linotype" w:eastAsia="Calibri" w:hAnsi="Palatino Linotype" w:cs="Times New Roman"/>
          <w:i/>
          <w:lang w:val="es-ES" w:eastAsia="es-ES"/>
        </w:rPr>
        <w:t xml:space="preserve"> y sus organismos con cargo </w:t>
      </w:r>
      <w:r w:rsidRPr="009249DB">
        <w:rPr>
          <w:rFonts w:ascii="Palatino Linotype" w:eastAsia="Calibri" w:hAnsi="Palatino Linotype" w:cs="Times New Roman"/>
          <w:b/>
          <w:i/>
          <w:lang w:val="es-ES" w:eastAsia="es-ES"/>
        </w:rPr>
        <w:t>a recursos públicos estatales o municipales.</w:t>
      </w:r>
      <w:r w:rsidRPr="009249DB">
        <w:rPr>
          <w:rFonts w:ascii="Palatino Linotype" w:eastAsia="Calibri" w:hAnsi="Palatino Linotype" w:cs="Times New Roman"/>
          <w:i/>
          <w:lang w:val="es-ES" w:eastAsia="es-ES"/>
        </w:rPr>
        <w:t xml:space="preserve"> </w:t>
      </w:r>
    </w:p>
    <w:p w:rsidR="00453729" w:rsidRDefault="00453729" w:rsidP="00453729">
      <w:pPr>
        <w:spacing w:after="0" w:line="240" w:lineRule="auto"/>
        <w:ind w:left="851" w:right="901"/>
        <w:jc w:val="both"/>
        <w:rPr>
          <w:rFonts w:ascii="Palatino Linotype" w:eastAsia="Calibri" w:hAnsi="Palatino Linotype" w:cs="Times New Roman"/>
          <w:i/>
          <w:lang w:val="es-ES"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12.8.-</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Corresponde</w:t>
      </w:r>
      <w:r w:rsidRPr="00B40BC7">
        <w:rPr>
          <w:rFonts w:ascii="Palatino Linotype" w:eastAsia="Times New Roman" w:hAnsi="Palatino Linotype" w:cs="Times New Roman"/>
          <w:i/>
          <w:lang w:eastAsia="es-ES"/>
        </w:rPr>
        <w:t xml:space="preserve"> a la Secretaría del Ramo y </w:t>
      </w:r>
      <w:r w:rsidRPr="00B40BC7">
        <w:rPr>
          <w:rFonts w:ascii="Palatino Linotype" w:eastAsia="Times New Roman" w:hAnsi="Palatino Linotype" w:cs="Times New Roman"/>
          <w:b/>
          <w:i/>
          <w:lang w:eastAsia="es-ES"/>
        </w:rPr>
        <w:t>a los ayuntamientos</w:t>
      </w:r>
      <w:r w:rsidRPr="00B40BC7">
        <w:rPr>
          <w:rFonts w:ascii="Palatino Linotype" w:eastAsia="Times New Roman" w:hAnsi="Palatino Linotype" w:cs="Times New Roman"/>
          <w:i/>
          <w:lang w:eastAsia="es-ES"/>
        </w:rPr>
        <w:t xml:space="preserve">, en el ámbito de sus respectivas competencias, </w:t>
      </w:r>
      <w:r w:rsidRPr="00B40BC7">
        <w:rPr>
          <w:rFonts w:ascii="Palatino Linotype" w:eastAsia="Times New Roman" w:hAnsi="Palatino Linotype" w:cs="Times New Roman"/>
          <w:b/>
          <w:bCs/>
          <w:i/>
          <w:lang w:eastAsia="es-ES"/>
        </w:rPr>
        <w:t>ejecutar la obra pública</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mediante contrato con terceros o por administración directa</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bCs/>
          <w:i/>
          <w:lang w:eastAsia="es-ES"/>
        </w:rPr>
        <w:t>La Secretaría del Ramo podrá autorizar a las dependencias y entidades estatales, a ejecutar obras, por contrato o por administración directa, cuando a su juicio éstas cuenten con elementos propios y organización necesarios</w:t>
      </w:r>
      <w:r w:rsidRPr="00B40BC7">
        <w:rPr>
          <w:rFonts w:ascii="Palatino Linotype" w:eastAsia="Times New Roman" w:hAnsi="Palatino Linotype" w:cs="Times New Roman"/>
          <w:i/>
          <w:lang w:eastAsia="es-ES"/>
        </w:rPr>
        <w:t>. El acuerdo de autorización deberá publicarse en la Gaceta del Gobierno.</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Cs/>
          <w:i/>
          <w:lang w:eastAsia="es-ES"/>
        </w:rPr>
        <w:t>Lo dispuesto en el párrafo anterior será aplicable a los ayuntamientos, tratándose de la realización de obras con cargo a fondos estatales total o parcialmente</w:t>
      </w:r>
      <w:r w:rsidRPr="00B40BC7">
        <w:rPr>
          <w:rFonts w:ascii="Palatino Linotype" w:eastAsia="Times New Roman" w:hAnsi="Palatino Linotype" w:cs="Times New Roman"/>
          <w:b/>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bCs/>
          <w:i/>
          <w:lang w:eastAsia="es-ES"/>
        </w:rPr>
      </w:pPr>
      <w:r w:rsidRPr="00B40BC7">
        <w:rPr>
          <w:rFonts w:ascii="Palatino Linotype" w:eastAsia="Times New Roman" w:hAnsi="Palatino Linotype" w:cs="Times New Roman"/>
          <w:b/>
          <w:bCs/>
          <w:i/>
          <w:lang w:eastAsia="es-ES"/>
        </w:rPr>
        <w:t>Para la mejor planeación de la obra pública en el Estado, las dependencias, entidades y ayuntamientos que ejecuten obra, deberán dar aviso a la Secretaría del Ramo, de sus proyectos y programación de ejecución, independientemente del origen de los recursos.</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Artículo 12.20.-</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Los contratos a que se refiere este Libro, se adjudicarán a través de licitaciones públicas</w:t>
      </w:r>
      <w:r w:rsidRPr="00B40BC7">
        <w:rPr>
          <w:rFonts w:ascii="Palatino Linotype" w:eastAsia="Times New Roman" w:hAnsi="Palatino Linotype" w:cs="Times New Roman"/>
          <w:i/>
          <w:lang w:eastAsia="es-ES"/>
        </w:rPr>
        <w:t>, mediante convocatoria pública.</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12.21.-</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podrán adjudicar contratos para la ejecución de obra pública o servicios</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bCs/>
          <w:i/>
          <w:lang w:eastAsia="es-ES"/>
        </w:rPr>
        <w:t>relacionados con la misma</w:t>
      </w:r>
      <w:r w:rsidRPr="00B40BC7">
        <w:rPr>
          <w:rFonts w:ascii="Palatino Linotype" w:eastAsia="Times New Roman" w:hAnsi="Palatino Linotype" w:cs="Times New Roman"/>
          <w:i/>
          <w:lang w:eastAsia="es-ES"/>
        </w:rPr>
        <w:t xml:space="preserve"> mediante las excepciones al procedimiento de licitación siguientes</w:t>
      </w:r>
      <w:r w:rsidRPr="00B40BC7">
        <w:rPr>
          <w:rFonts w:ascii="Palatino Linotype" w:eastAsia="Times New Roman" w:hAnsi="Palatino Linotype" w:cs="Times New Roman"/>
          <w:b/>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I. Invitación restringida</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II. Adjudicación directa</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12.38.-</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La adjudicación de la obra</w:t>
      </w:r>
      <w:r w:rsidRPr="00B40BC7">
        <w:rPr>
          <w:rFonts w:ascii="Palatino Linotype" w:eastAsia="Times New Roman" w:hAnsi="Palatino Linotype" w:cs="Times New Roman"/>
          <w:i/>
          <w:lang w:eastAsia="es-ES"/>
        </w:rPr>
        <w:t xml:space="preserve"> o servicios relacionados con la misma </w:t>
      </w:r>
      <w:r w:rsidRPr="00B40BC7">
        <w:rPr>
          <w:rFonts w:ascii="Palatino Linotype" w:eastAsia="Times New Roman" w:hAnsi="Palatino Linotype" w:cs="Times New Roman"/>
          <w:b/>
          <w:i/>
          <w:lang w:eastAsia="es-ES"/>
        </w:rPr>
        <w:t>obligará a</w:t>
      </w:r>
      <w:r w:rsidRPr="00B40BC7">
        <w:rPr>
          <w:rFonts w:ascii="Palatino Linotype" w:eastAsia="Times New Roman" w:hAnsi="Palatino Linotype" w:cs="Times New Roman"/>
          <w:i/>
          <w:lang w:eastAsia="es-ES"/>
        </w:rPr>
        <w:t xml:space="preserve"> la dependencia, entidad o </w:t>
      </w:r>
      <w:r w:rsidRPr="00B40BC7">
        <w:rPr>
          <w:rFonts w:ascii="Palatino Linotype" w:eastAsia="Times New Roman" w:hAnsi="Palatino Linotype" w:cs="Times New Roman"/>
          <w:b/>
          <w:i/>
          <w:lang w:eastAsia="es-ES"/>
        </w:rPr>
        <w:t>ayuntamiento y a la persona en que hubiere recaído, a suscribir el contrato respectivo dentro de los diez días hábiles siguientes al de la notificación del fallo.</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Si la dependencia, entidad o ayuntamiento no firmare el contrato dentro del plazo a que se refiere el párrafo anterior, el licitante ganador podrá exigir que se le cubran los gastos que realizo en preparar y elaborar su propuesta.</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Artículo 12.60.-</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podrán realizar obras por administración directa, siempre que posean la capacidad técnica y los elementos necesarios, consistentes en: maquinaria y equipo de construcción, personal técnico, trabajadores y materiales y podrán</w:t>
      </w:r>
      <w:r w:rsidRPr="00B40BC7">
        <w:rPr>
          <w:rFonts w:ascii="Palatino Linotype" w:eastAsia="Times New Roman" w:hAnsi="Palatino Linotype" w:cs="Times New Roman"/>
          <w:i/>
          <w:lang w:eastAsia="es-ES"/>
        </w:rPr>
        <w:t>:</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w:t>
      </w:r>
      <w:r w:rsidRPr="00B40BC7">
        <w:rPr>
          <w:rFonts w:ascii="Palatino Linotype" w:eastAsia="Times New Roman" w:hAnsi="Palatino Linotype" w:cs="Times New Roman"/>
          <w:i/>
          <w:lang w:eastAsia="es-ES"/>
        </w:rPr>
        <w:tab/>
        <w:t xml:space="preserve">Utilizar mano de obra local complementaria, la que necesariamente deberá contratarse por obra determinada; </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II.</w:t>
      </w:r>
      <w:r w:rsidRPr="00B40BC7">
        <w:rPr>
          <w:rFonts w:ascii="Palatino Linotype" w:eastAsia="Times New Roman" w:hAnsi="Palatino Linotype" w:cs="Times New Roman"/>
          <w:i/>
          <w:lang w:eastAsia="es-ES"/>
        </w:rPr>
        <w:tab/>
        <w:t>Alquilar equipo y maquinaria de construcción complementaria;</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III.</w:t>
      </w:r>
      <w:r w:rsidRPr="00B40BC7">
        <w:rPr>
          <w:rFonts w:ascii="Palatino Linotype" w:eastAsia="Times New Roman" w:hAnsi="Palatino Linotype" w:cs="Times New Roman"/>
          <w:i/>
          <w:lang w:eastAsia="es-ES"/>
        </w:rPr>
        <w:tab/>
        <w:t>Utilizar preferentemente los materiales de la región;</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IV.</w:t>
      </w:r>
      <w:r w:rsidRPr="00B40BC7">
        <w:rPr>
          <w:rFonts w:ascii="Palatino Linotype" w:eastAsia="Times New Roman" w:hAnsi="Palatino Linotype" w:cs="Times New Roman"/>
          <w:i/>
          <w:lang w:eastAsia="es-ES"/>
        </w:rPr>
        <w:tab/>
        <w:t>Contratar equipos, instrumentos, elementos prefabricados terminados y materiales u otros bienes que deban ser instalados, montados, colocados o aplicados;</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V.</w:t>
      </w:r>
      <w:r w:rsidRPr="00B40BC7">
        <w:rPr>
          <w:rFonts w:ascii="Palatino Linotype" w:eastAsia="Times New Roman" w:hAnsi="Palatino Linotype" w:cs="Times New Roman"/>
          <w:i/>
          <w:lang w:eastAsia="es-ES"/>
        </w:rPr>
        <w:tab/>
        <w:t>Utilizar servicios de fletes y acarreos complementarios.</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Arial"/>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12.64.-</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conservarán, archivando en forma ordenada la documentación comprobatoria de los actos y contratos materia de este Libro, cuando menos por el lapso de cinco años, contados a partir de la fecha de la recepción de los trabajos</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Arial"/>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(Énfasis añadido)</w:t>
      </w:r>
    </w:p>
    <w:p w:rsidR="00453729" w:rsidRDefault="00453729" w:rsidP="00453729">
      <w:pPr>
        <w:spacing w:after="0" w:line="240" w:lineRule="auto"/>
        <w:ind w:left="851" w:right="901"/>
        <w:jc w:val="both"/>
        <w:rPr>
          <w:rFonts w:ascii="Palatino Linotype" w:eastAsia="Calibri" w:hAnsi="Palatino Linotype" w:cs="Times New Roman"/>
          <w:i/>
          <w:lang w:val="es-ES" w:eastAsia="es-ES"/>
        </w:rPr>
      </w:pPr>
    </w:p>
    <w:p w:rsidR="00453729" w:rsidRPr="009249DB" w:rsidRDefault="00453729" w:rsidP="00453729">
      <w:pPr>
        <w:spacing w:after="0" w:line="360" w:lineRule="auto"/>
        <w:jc w:val="both"/>
        <w:rPr>
          <w:rFonts w:ascii="Palatino Linotype" w:eastAsia="Times New Roman" w:hAnsi="Palatino Linotype" w:cs="Times New Roman"/>
          <w:sz w:val="24"/>
          <w:szCs w:val="24"/>
          <w:lang w:eastAsia="es-ES"/>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De los preceptos referidos, advertimos que se considera obra pública todo trabajo que tenga por objeto principal ampliar, adecuar, remodelar, restaurar, conservar, mantener, modificar o demoler bienes inmuebles propiedad del Estado, de sus dependencias y entidades y de los municipios. </w:t>
      </w:r>
    </w:p>
    <w:p w:rsidR="00453729" w:rsidRDefault="00453729" w:rsidP="00453729">
      <w:pPr>
        <w:autoSpaceDE w:val="0"/>
        <w:autoSpaceDN w:val="0"/>
        <w:adjustRightInd w:val="0"/>
        <w:spacing w:after="0" w:line="360" w:lineRule="auto"/>
        <w:jc w:val="both"/>
        <w:rPr>
          <w:rFonts w:ascii="Palatino Linotype" w:eastAsia="Calibri" w:hAnsi="Palatino Linotype" w:cs="Arial"/>
          <w:b/>
          <w:bCs/>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143ABA">
        <w:rPr>
          <w:rFonts w:ascii="Palatino Linotype" w:eastAsia="Calibri" w:hAnsi="Palatino Linotype" w:cs="Arial"/>
          <w:sz w:val="24"/>
          <w:szCs w:val="24"/>
        </w:rPr>
        <w:t>Asimismo, se establece que,</w:t>
      </w:r>
      <w:r>
        <w:rPr>
          <w:rFonts w:ascii="Palatino Linotype" w:eastAsia="Calibri" w:hAnsi="Palatino Linotype" w:cs="Arial"/>
          <w:sz w:val="24"/>
          <w:szCs w:val="24"/>
        </w:rPr>
        <w:t xml:space="preserve"> para el caso de la ejecución de obra pública mediante contrato, estas se adjudicarán a través de licitación públicas, mediante convocatoria pública, o en su caso, </w:t>
      </w:r>
      <w:r w:rsidRPr="00143ABA">
        <w:rPr>
          <w:rFonts w:ascii="Palatino Linotype" w:eastAsia="Calibri" w:hAnsi="Palatino Linotype" w:cs="Arial"/>
          <w:sz w:val="24"/>
          <w:szCs w:val="24"/>
        </w:rPr>
        <w:t>mediante las excepciones al procedimiento de licitació</w:t>
      </w:r>
      <w:r>
        <w:rPr>
          <w:rFonts w:ascii="Palatino Linotype" w:eastAsia="Calibri" w:hAnsi="Palatino Linotype" w:cs="Arial"/>
          <w:sz w:val="24"/>
          <w:szCs w:val="24"/>
        </w:rPr>
        <w:t>n, siendo estas, la i</w:t>
      </w:r>
      <w:r w:rsidRPr="00143ABA">
        <w:rPr>
          <w:rFonts w:ascii="Palatino Linotype" w:eastAsia="Calibri" w:hAnsi="Palatino Linotype" w:cs="Arial"/>
          <w:sz w:val="24"/>
          <w:szCs w:val="24"/>
        </w:rPr>
        <w:t>nvitación restringida</w:t>
      </w:r>
      <w:r>
        <w:rPr>
          <w:rFonts w:ascii="Palatino Linotype" w:eastAsia="Calibri" w:hAnsi="Palatino Linotype" w:cs="Arial"/>
          <w:sz w:val="24"/>
          <w:szCs w:val="24"/>
        </w:rPr>
        <w:t xml:space="preserve"> y a</w:t>
      </w:r>
      <w:r w:rsidRPr="00143ABA">
        <w:rPr>
          <w:rFonts w:ascii="Palatino Linotype" w:eastAsia="Calibri" w:hAnsi="Palatino Linotype" w:cs="Arial"/>
          <w:sz w:val="24"/>
          <w:szCs w:val="24"/>
        </w:rPr>
        <w:t>djudicación directa.</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lastRenderedPageBreak/>
        <w:t>De igual forma, estipula que l</w:t>
      </w:r>
      <w:r w:rsidRPr="00CD0C56">
        <w:rPr>
          <w:rFonts w:ascii="Palatino Linotype" w:eastAsia="Calibri" w:hAnsi="Palatino Linotype" w:cs="Arial"/>
          <w:sz w:val="24"/>
          <w:szCs w:val="24"/>
        </w:rPr>
        <w:t xml:space="preserve">as dependencias, entidades y ayuntamientos podrán realizar obras por </w:t>
      </w:r>
      <w:r w:rsidRPr="00FA1295">
        <w:rPr>
          <w:rFonts w:ascii="Palatino Linotype" w:eastAsia="Calibri" w:hAnsi="Palatino Linotype" w:cs="Arial"/>
          <w:bCs/>
          <w:sz w:val="24"/>
          <w:szCs w:val="24"/>
        </w:rPr>
        <w:t>administración directa</w:t>
      </w:r>
      <w:r w:rsidRPr="00CD0C56">
        <w:rPr>
          <w:rFonts w:ascii="Palatino Linotype" w:eastAsia="Calibri" w:hAnsi="Palatino Linotype" w:cs="Arial"/>
          <w:sz w:val="24"/>
          <w:szCs w:val="24"/>
        </w:rPr>
        <w:t>, siempre que posean la capacidad técnica y los elementos necesarios, consistentes en: maquinaria y equipo de construcción, personal técnico, trabajadores y materiales</w:t>
      </w:r>
      <w:r>
        <w:rPr>
          <w:rFonts w:ascii="Palatino Linotype" w:eastAsia="Calibri" w:hAnsi="Palatino Linotype" w:cs="Arial"/>
          <w:sz w:val="24"/>
          <w:szCs w:val="24"/>
        </w:rPr>
        <w:t>.</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para cualquiera de las modalidades descritas con anterioridad, el Ayuntamiento tiene la obligación de conservar el archivo de forma ordenada, de la documentación comprobatoria de los actos y contratos de la ejecución de obras, cuando menos por el lapso de cinco años, contados a partir de la fecha de la recepción de los trabajos.</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E44768">
        <w:rPr>
          <w:rFonts w:ascii="Palatino Linotype" w:eastAsia="Calibri" w:hAnsi="Palatino Linotype" w:cs="Arial"/>
          <w:sz w:val="24"/>
          <w:szCs w:val="24"/>
        </w:rPr>
        <w:t xml:space="preserve">En ese orden de ideas, advertimos que para </w:t>
      </w:r>
      <w:r>
        <w:rPr>
          <w:rFonts w:ascii="Palatino Linotype" w:eastAsia="Calibri" w:hAnsi="Palatino Linotype" w:cs="Arial"/>
          <w:sz w:val="24"/>
          <w:szCs w:val="24"/>
        </w:rPr>
        <w:t xml:space="preserve">ejecución de </w:t>
      </w:r>
      <w:proofErr w:type="gramStart"/>
      <w:r>
        <w:rPr>
          <w:rFonts w:ascii="Palatino Linotype" w:eastAsia="Calibri" w:hAnsi="Palatino Linotype" w:cs="Arial"/>
          <w:sz w:val="24"/>
          <w:szCs w:val="24"/>
        </w:rPr>
        <w:t>obras  o</w:t>
      </w:r>
      <w:proofErr w:type="gramEnd"/>
      <w:r>
        <w:rPr>
          <w:rFonts w:ascii="Palatino Linotype" w:eastAsia="Calibri" w:hAnsi="Palatino Linotype" w:cs="Arial"/>
          <w:sz w:val="24"/>
          <w:szCs w:val="24"/>
        </w:rPr>
        <w:t xml:space="preserve"> servicios contratados</w:t>
      </w:r>
      <w:r w:rsidRPr="00E44768">
        <w:rPr>
          <w:rFonts w:ascii="Palatino Linotype" w:eastAsia="Calibri" w:hAnsi="Palatino Linotype" w:cs="Arial"/>
          <w:sz w:val="24"/>
          <w:szCs w:val="24"/>
        </w:rPr>
        <w:t xml:space="preserve"> pudieron realizarse a través de </w:t>
      </w:r>
      <w:r w:rsidRPr="00E44768">
        <w:rPr>
          <w:rFonts w:ascii="Palatino Linotype" w:eastAsia="Calibri" w:hAnsi="Palatino Linotype" w:cs="Arial"/>
          <w:sz w:val="24"/>
          <w:szCs w:val="24"/>
          <w:u w:val="single"/>
        </w:rPr>
        <w:t>invitación restringida, adjudicación directa o administración directa</w:t>
      </w:r>
      <w:r>
        <w:rPr>
          <w:rFonts w:ascii="Palatino Linotype" w:eastAsia="Calibri" w:hAnsi="Palatino Linotype" w:cs="Arial"/>
          <w:sz w:val="24"/>
          <w:szCs w:val="24"/>
        </w:rPr>
        <w:t>, y por ende, cuenta con la</w:t>
      </w:r>
      <w:r w:rsidRPr="00E44768">
        <w:rPr>
          <w:rFonts w:ascii="Palatino Linotype" w:eastAsia="Calibri" w:hAnsi="Palatino Linotype" w:cs="Arial"/>
          <w:sz w:val="24"/>
          <w:szCs w:val="24"/>
        </w:rPr>
        <w:t xml:space="preserve"> atribución de autorizar la entrega de recursos públicos municipales, además contar con los registros contables, financieros y administrativos, que pudieran soportar </w:t>
      </w:r>
      <w:r>
        <w:rPr>
          <w:rFonts w:ascii="Palatino Linotype" w:eastAsia="Calibri" w:hAnsi="Palatino Linotype" w:cs="Arial"/>
          <w:sz w:val="24"/>
          <w:szCs w:val="24"/>
        </w:rPr>
        <w:t>la</w:t>
      </w:r>
      <w:r w:rsidRPr="00E44768">
        <w:rPr>
          <w:rFonts w:ascii="Palatino Linotype" w:eastAsia="Calibri" w:hAnsi="Palatino Linotype" w:cs="Arial"/>
          <w:sz w:val="24"/>
          <w:szCs w:val="24"/>
        </w:rPr>
        <w:t xml:space="preserve"> ejecución de </w:t>
      </w:r>
      <w:r>
        <w:rPr>
          <w:rFonts w:ascii="Palatino Linotype" w:eastAsia="Calibri" w:hAnsi="Palatino Linotype" w:cs="Arial"/>
          <w:sz w:val="24"/>
          <w:szCs w:val="24"/>
        </w:rPr>
        <w:t xml:space="preserve">la </w:t>
      </w:r>
      <w:r w:rsidRPr="00E44768">
        <w:rPr>
          <w:rFonts w:ascii="Palatino Linotype" w:eastAsia="Calibri" w:hAnsi="Palatino Linotype" w:cs="Arial"/>
          <w:sz w:val="24"/>
          <w:szCs w:val="24"/>
        </w:rPr>
        <w:t>obra</w:t>
      </w:r>
      <w:r>
        <w:rPr>
          <w:rFonts w:ascii="Palatino Linotype" w:eastAsia="Calibri" w:hAnsi="Palatino Linotype" w:cs="Arial"/>
          <w:sz w:val="24"/>
          <w:szCs w:val="24"/>
        </w:rPr>
        <w:t xml:space="preserve"> en  referencia.</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Pr="00960F59" w:rsidRDefault="00453729" w:rsidP="00453729">
      <w:pPr>
        <w:spacing w:after="0" w:line="360" w:lineRule="auto"/>
        <w:ind w:right="142"/>
        <w:jc w:val="both"/>
        <w:rPr>
          <w:rFonts w:ascii="Palatino Linotype" w:eastAsia="Times New Roman" w:hAnsi="Palatino Linotype" w:cs="Times New Roman"/>
          <w:sz w:val="24"/>
          <w:szCs w:val="24"/>
          <w:lang w:val="es-ES_tradnl" w:eastAsia="es-ES"/>
        </w:rPr>
      </w:pPr>
      <w:r w:rsidRPr="00960F59">
        <w:rPr>
          <w:rFonts w:ascii="Palatino Linotype" w:eastAsia="Calibri" w:hAnsi="Palatino Linotype" w:cs="Times New Roman"/>
          <w:sz w:val="24"/>
          <w:szCs w:val="24"/>
          <w:lang w:eastAsia="es-MX"/>
        </w:rPr>
        <w:t xml:space="preserve">Aunado a lo antes expuesto, cabe señalar que la información referida forma parte de las Obligaciones de Transparencia Comunes del </w:t>
      </w:r>
      <w:r w:rsidRPr="00960F59">
        <w:rPr>
          <w:rFonts w:ascii="Palatino Linotype" w:eastAsia="Calibri" w:hAnsi="Palatino Linotype" w:cs="Times New Roman"/>
          <w:b/>
          <w:sz w:val="24"/>
          <w:szCs w:val="24"/>
          <w:lang w:eastAsia="es-MX"/>
        </w:rPr>
        <w:t>Sujeto Obligado</w:t>
      </w:r>
      <w:r w:rsidRPr="00960F59">
        <w:rPr>
          <w:rFonts w:ascii="Palatino Linotype" w:eastAsia="Calibri" w:hAnsi="Palatino Linotype" w:cs="Times New Roman"/>
          <w:sz w:val="24"/>
          <w:szCs w:val="24"/>
          <w:lang w:eastAsia="es-MX"/>
        </w:rPr>
        <w:t>,</w:t>
      </w:r>
      <w:r w:rsidRPr="00960F59">
        <w:rPr>
          <w:rFonts w:ascii="Palatino Linotype" w:eastAsia="Times New Roman" w:hAnsi="Palatino Linotype" w:cs="Times New Roman"/>
          <w:sz w:val="24"/>
          <w:szCs w:val="24"/>
          <w:lang w:eastAsia="es-MX"/>
        </w:rPr>
        <w:t xml:space="preserve"> lo que nos </w:t>
      </w:r>
      <w:r w:rsidRPr="00960F59">
        <w:rPr>
          <w:rFonts w:ascii="Palatino Linotype" w:eastAsia="Times New Roman" w:hAnsi="Palatino Linotype" w:cs="Times New Roman"/>
          <w:sz w:val="24"/>
          <w:szCs w:val="24"/>
          <w:lang w:val="es-ES_tradnl" w:eastAsia="es-ES"/>
        </w:rPr>
        <w:t>permite traer a colación lo dispuesto por la fracción XXIX del artículo 92 de la Ley de Transparencia y Acceso a la Información Pública del Estado de México y Municipios en el cual se aprecia lo siguiente:</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Arial"/>
          <w:i/>
        </w:rPr>
      </w:pPr>
      <w:r w:rsidRPr="00960F59">
        <w:rPr>
          <w:rFonts w:ascii="Palatino Linotype" w:eastAsia="Calibri" w:hAnsi="Palatino Linotype" w:cs="Arial"/>
          <w:i/>
        </w:rPr>
        <w:t>“</w:t>
      </w:r>
      <w:r w:rsidRPr="00960F59">
        <w:rPr>
          <w:rFonts w:ascii="Palatino Linotype" w:eastAsia="Calibri" w:hAnsi="Palatino Linotype" w:cs="Arial"/>
          <w:b/>
          <w:i/>
        </w:rPr>
        <w:t>Artículo 92</w:t>
      </w:r>
      <w:r w:rsidRPr="00960F59">
        <w:rPr>
          <w:rFonts w:ascii="Palatino Linotype" w:eastAsia="Calibri" w:hAnsi="Palatino Linotype" w:cs="Arial"/>
          <w:i/>
        </w:rPr>
        <w:t xml:space="preserve">. </w:t>
      </w:r>
      <w:r w:rsidRPr="00960F59">
        <w:rPr>
          <w:rFonts w:ascii="Palatino Linotype" w:eastAsia="Calibri" w:hAnsi="Palatino Linotype" w:cs="Arial"/>
          <w:b/>
          <w:i/>
          <w:u w:val="single"/>
        </w:rPr>
        <w:t>Los sujetos obligados deberán poner a disposición del público de manera permanente y actualizada de forma sencilla, precisa y entendible, en los respectivos medios electrónicos</w:t>
      </w:r>
      <w:r w:rsidRPr="00960F59">
        <w:rPr>
          <w:rFonts w:ascii="Palatino Linotype" w:eastAsia="Calibri" w:hAnsi="Palatino Linotype" w:cs="Arial"/>
          <w:i/>
        </w:rPr>
        <w:t xml:space="preserve">, de acuerdo con sus facultades, atribuciones, funciones u objeto social, según corresponda, la información, </w:t>
      </w:r>
      <w:r w:rsidRPr="00960F59">
        <w:rPr>
          <w:rFonts w:ascii="Palatino Linotype" w:eastAsia="Calibri" w:hAnsi="Palatino Linotype" w:cs="Arial"/>
          <w:b/>
          <w:i/>
          <w:u w:val="single"/>
        </w:rPr>
        <w:t>por lo menos, de los temas, documentos y políticas que a continuación se señalan</w:t>
      </w:r>
      <w:r w:rsidRPr="00960F59">
        <w:rPr>
          <w:rFonts w:ascii="Palatino Linotype" w:eastAsia="Calibri" w:hAnsi="Palatino Linotype" w:cs="Arial"/>
          <w:i/>
        </w:rPr>
        <w:t>:</w:t>
      </w:r>
    </w:p>
    <w:p w:rsidR="00453729" w:rsidRPr="00960F59" w:rsidRDefault="00453729" w:rsidP="00453729">
      <w:pPr>
        <w:tabs>
          <w:tab w:val="left" w:pos="851"/>
        </w:tabs>
        <w:spacing w:before="120" w:after="120" w:line="240" w:lineRule="auto"/>
        <w:ind w:left="851" w:right="851"/>
        <w:jc w:val="both"/>
        <w:rPr>
          <w:rFonts w:ascii="Calibri" w:eastAsia="Calibri" w:hAnsi="Calibri" w:cs="Times New Roman"/>
        </w:rPr>
      </w:pP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XXIX. </w:t>
      </w:r>
      <w:r w:rsidRPr="00960F59">
        <w:rPr>
          <w:rFonts w:ascii="Palatino Linotype" w:eastAsia="Calibri" w:hAnsi="Palatino Linotype" w:cs="Times New Roman"/>
          <w:bCs/>
          <w:i/>
        </w:rPr>
        <w:t xml:space="preserve">La información sobre los procesos y resultados sobre </w:t>
      </w:r>
      <w:r w:rsidRPr="00960F59">
        <w:rPr>
          <w:rFonts w:ascii="Palatino Linotype" w:eastAsia="Calibri" w:hAnsi="Palatino Linotype" w:cs="Times New Roman"/>
          <w:b/>
          <w:i/>
          <w:u w:val="single"/>
        </w:rPr>
        <w:t>procedimientos de adjudicación directa, invitación restringida y licitación de cualquier naturaleza</w:t>
      </w:r>
      <w:r w:rsidRPr="00960F59">
        <w:rPr>
          <w:rFonts w:ascii="Palatino Linotype" w:eastAsia="Calibri" w:hAnsi="Palatino Linotype" w:cs="Times New Roman"/>
          <w:bCs/>
          <w:i/>
        </w:rPr>
        <w:t>, incluyendo la versión pública del expediente respectivo y de los contratos celebrados, que deberán contener, por los menos, lo siguiente</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a) </w:t>
      </w:r>
      <w:r w:rsidRPr="00960F59">
        <w:rPr>
          <w:rFonts w:ascii="Palatino Linotype" w:eastAsia="Calibri" w:hAnsi="Palatino Linotype" w:cs="Times New Roman"/>
          <w:bCs/>
          <w:i/>
        </w:rPr>
        <w:t>De licitaciones públicas o procedimientos de invitación restringida</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 La convocatoria o invitación emitida, así como los fundamentos legales aplicados para llevarla a cabo;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2) </w:t>
      </w:r>
      <w:r w:rsidRPr="00960F59">
        <w:rPr>
          <w:rFonts w:ascii="Palatino Linotype" w:eastAsia="Calibri" w:hAnsi="Palatino Linotype" w:cs="Times New Roman"/>
          <w:bCs/>
          <w:i/>
        </w:rPr>
        <w:t xml:space="preserve">Los nombres de los participantes o invitados;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Cs/>
          <w:i/>
        </w:rPr>
        <w:t>3</w:t>
      </w:r>
      <w:r w:rsidRPr="00960F59">
        <w:rPr>
          <w:rFonts w:ascii="Palatino Linotype" w:eastAsia="Calibri" w:hAnsi="Palatino Linotype" w:cs="Times New Roman"/>
          <w:b/>
          <w:i/>
        </w:rPr>
        <w:t xml:space="preserve">) El nombre del ganador y las razones que lo justifican;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4) </w:t>
      </w:r>
      <w:r w:rsidRPr="00960F59">
        <w:rPr>
          <w:rFonts w:ascii="Palatino Linotype" w:eastAsia="Calibri" w:hAnsi="Palatino Linotype" w:cs="Times New Roman"/>
          <w:bCs/>
          <w:i/>
        </w:rPr>
        <w:t>El área solicitante y la responsable de su ejecución</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5) </w:t>
      </w:r>
      <w:r w:rsidRPr="00960F59">
        <w:rPr>
          <w:rFonts w:ascii="Palatino Linotype" w:eastAsia="Calibri" w:hAnsi="Palatino Linotype" w:cs="Times New Roman"/>
          <w:bCs/>
          <w:i/>
        </w:rPr>
        <w:t>Las convocatorias e invitaciones emitidas</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6) Los dictámenes y fallo de adjudicación;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7) El contrato y, en su caso, sus anexos;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8) Los mecanismos de vigilancia y supervisión, incluyendo en su caso, los estudios de impacto urbano y ambiental, según corresponda;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9) </w:t>
      </w:r>
      <w:r w:rsidRPr="00960F59">
        <w:rPr>
          <w:rFonts w:ascii="Palatino Linotype" w:eastAsia="Calibri" w:hAnsi="Palatino Linotype" w:cs="Times New Roman"/>
          <w:bCs/>
          <w:i/>
        </w:rPr>
        <w:t>La partida presupuestal, de conformidad con el clasificador por objeto del gasto, en el caso de ser aplicable</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10) </w:t>
      </w:r>
      <w:r w:rsidRPr="00960F59">
        <w:rPr>
          <w:rFonts w:ascii="Palatino Linotype" w:eastAsia="Calibri" w:hAnsi="Palatino Linotype" w:cs="Times New Roman"/>
          <w:bCs/>
          <w:i/>
        </w:rPr>
        <w:t>Origen de los recursos especificando si son federales, estatales o municipales, así como el tipo de fondo de participación o aportación respectiva</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11) Los convenios modificatorios que, en su caso, sean firmados, precisando el objeto y la fecha de celebración;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12) Los informes de avance físico y financiero sobre las obras o servicios contratados;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13</w:t>
      </w:r>
      <w:r w:rsidRPr="00960F59">
        <w:rPr>
          <w:rFonts w:ascii="Palatino Linotype" w:eastAsia="Calibri" w:hAnsi="Palatino Linotype" w:cs="Times New Roman"/>
          <w:bCs/>
          <w:i/>
        </w:rPr>
        <w:t xml:space="preserve">) El convenio de terminación; y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14) El finiquito.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Cs/>
          <w:i/>
        </w:rPr>
        <w:t>b) De las adjudicaciones directas</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 </w:t>
      </w:r>
      <w:r w:rsidRPr="00960F59">
        <w:rPr>
          <w:rFonts w:ascii="Palatino Linotype" w:eastAsia="Calibri" w:hAnsi="Palatino Linotype" w:cs="Times New Roman"/>
          <w:bCs/>
          <w:i/>
        </w:rPr>
        <w:t>La propuesta enviada por el participante</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2) </w:t>
      </w:r>
      <w:r w:rsidRPr="00960F59">
        <w:rPr>
          <w:rFonts w:ascii="Palatino Linotype" w:eastAsia="Calibri" w:hAnsi="Palatino Linotype" w:cs="Times New Roman"/>
          <w:bCs/>
          <w:i/>
        </w:rPr>
        <w:t>Los motivos y fundamentos legales aplicados para llevarla a cabo</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3) </w:t>
      </w:r>
      <w:r w:rsidRPr="00960F59">
        <w:rPr>
          <w:rFonts w:ascii="Palatino Linotype" w:eastAsia="Calibri" w:hAnsi="Palatino Linotype" w:cs="Times New Roman"/>
          <w:bCs/>
          <w:i/>
        </w:rPr>
        <w:t>La autorización del ejercicio de la opción</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lastRenderedPageBreak/>
        <w:t xml:space="preserve">4) </w:t>
      </w:r>
      <w:r w:rsidRPr="00960F59">
        <w:rPr>
          <w:rFonts w:ascii="Palatino Linotype" w:eastAsia="Calibri" w:hAnsi="Palatino Linotype" w:cs="Times New Roman"/>
          <w:bCs/>
          <w:i/>
        </w:rPr>
        <w:t xml:space="preserve">En su caso, las cotizaciones consideradas, especificando los nombres de los proveedores y sus montos;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5) El nombre de la persona física o jurídica colectiva adjudicada;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6) La unidad administrativa solicitante y la responsable de su ejecución;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7) El número, fecha, el monto del contrato y el plazo de entrega o de ejecución de los servicios u obra;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8) </w:t>
      </w:r>
      <w:r w:rsidRPr="00960F59">
        <w:rPr>
          <w:rFonts w:ascii="Palatino Linotype" w:eastAsia="Calibri" w:hAnsi="Palatino Linotype" w:cs="Times New Roman"/>
          <w:bCs/>
          <w:i/>
        </w:rPr>
        <w:t>Los mecanismos de vigilancia y supervisión, incluyendo, en su caso, los estudios de impacto urbano y ambiental, según corresponda</w:t>
      </w:r>
      <w:r w:rsidRPr="00960F59">
        <w:rPr>
          <w:rFonts w:ascii="Palatino Linotype" w:eastAsia="Calibri" w:hAnsi="Palatino Linotype" w:cs="Times New Roman"/>
          <w:b/>
          <w:i/>
        </w:rPr>
        <w:t>;</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 9) </w:t>
      </w:r>
      <w:r w:rsidRPr="00960F59">
        <w:rPr>
          <w:rFonts w:ascii="Palatino Linotype" w:eastAsia="Calibri" w:hAnsi="Palatino Linotype" w:cs="Times New Roman"/>
          <w:bCs/>
          <w:i/>
        </w:rPr>
        <w:t>Los informes de avance sobre las obras o servicios contratados</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10) </w:t>
      </w:r>
      <w:r w:rsidRPr="00960F59">
        <w:rPr>
          <w:rFonts w:ascii="Palatino Linotype" w:eastAsia="Calibri" w:hAnsi="Palatino Linotype" w:cs="Times New Roman"/>
          <w:bCs/>
          <w:i/>
        </w:rPr>
        <w:t xml:space="preserve">El convenio de terminación; y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Arial"/>
          <w:bCs/>
          <w:i/>
        </w:rPr>
      </w:pPr>
      <w:r w:rsidRPr="00960F59">
        <w:rPr>
          <w:rFonts w:ascii="Palatino Linotype" w:eastAsia="Calibri" w:hAnsi="Palatino Linotype" w:cs="Times New Roman"/>
          <w:bCs/>
          <w:i/>
        </w:rPr>
        <w:t>11) El finiquito.;</w:t>
      </w:r>
    </w:p>
    <w:p w:rsidR="00453729" w:rsidRPr="00960F59" w:rsidRDefault="00453729" w:rsidP="00453729">
      <w:pPr>
        <w:autoSpaceDE w:val="0"/>
        <w:autoSpaceDN w:val="0"/>
        <w:adjustRightInd w:val="0"/>
        <w:spacing w:before="240" w:line="360" w:lineRule="auto"/>
        <w:jc w:val="both"/>
        <w:rPr>
          <w:rFonts w:ascii="Palatino Linotype" w:eastAsia="Times New Roman" w:hAnsi="Palatino Linotype" w:cs="Times New Roman"/>
          <w:sz w:val="24"/>
          <w:szCs w:val="24"/>
          <w:lang w:val="es-ES_tradnl" w:eastAsia="es-ES"/>
        </w:rPr>
      </w:pPr>
    </w:p>
    <w:p w:rsidR="00453729" w:rsidRPr="00960F59" w:rsidRDefault="00453729" w:rsidP="00453729">
      <w:pPr>
        <w:spacing w:after="0" w:line="360" w:lineRule="auto"/>
        <w:jc w:val="both"/>
        <w:rPr>
          <w:rFonts w:ascii="Palatino Linotype" w:eastAsia="Calibri" w:hAnsi="Palatino Linotype" w:cs="Arial"/>
          <w:sz w:val="24"/>
          <w:szCs w:val="24"/>
        </w:rPr>
      </w:pPr>
      <w:r w:rsidRPr="00960F59">
        <w:rPr>
          <w:rFonts w:ascii="Palatino Linotype" w:eastAsia="Calibri" w:hAnsi="Palatino Linotype" w:cs="Times New Roman"/>
          <w:sz w:val="24"/>
          <w:szCs w:val="24"/>
        </w:rPr>
        <w:t xml:space="preserve">Del numeral citado, se observa que </w:t>
      </w:r>
      <w:r w:rsidRPr="00960F59">
        <w:rPr>
          <w:rFonts w:ascii="Palatino Linotype" w:eastAsia="Calibri" w:hAnsi="Palatino Linotype" w:cs="Arial"/>
          <w:sz w:val="24"/>
          <w:szCs w:val="24"/>
          <w:lang w:eastAsia="es-MX"/>
        </w:rPr>
        <w:t xml:space="preserve">la información solicitada forma parte de las Obligaciones de Transparencia Comunes de los Sujetos Obligados, las cuales deben </w:t>
      </w:r>
      <w:r w:rsidRPr="00960F59">
        <w:rPr>
          <w:rFonts w:ascii="Palatino Linotype" w:eastAsia="Calibri" w:hAnsi="Palatino Linotype" w:cs="Arial"/>
          <w:sz w:val="24"/>
          <w:szCs w:val="24"/>
        </w:rPr>
        <w:t>poner a disposición de manera permanente y actualizada en los respectivos medios electrónicos, como lo es el portal de Información Pública de Oficio Mexiquense (IPOMEX) y por tanto el Sujeto Obligado debe contar con la información requerida.</w:t>
      </w: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En tal tesitura, es de precisarse que resultan </w:t>
      </w:r>
      <w:r>
        <w:rPr>
          <w:rFonts w:ascii="Palatino Linotype" w:eastAsia="Calibri" w:hAnsi="Palatino Linotype" w:cs="Arial"/>
          <w:sz w:val="24"/>
          <w:szCs w:val="24"/>
        </w:rPr>
        <w:t xml:space="preserve">parcialmente </w:t>
      </w:r>
      <w:r w:rsidRPr="009249DB">
        <w:rPr>
          <w:rFonts w:ascii="Palatino Linotype" w:eastAsia="Calibri" w:hAnsi="Palatino Linotype" w:cs="Arial"/>
          <w:sz w:val="24"/>
          <w:szCs w:val="24"/>
        </w:rPr>
        <w:t xml:space="preserve">fundadas las razones o motivos de inconformidad planteados por </w:t>
      </w:r>
      <w:r w:rsidRPr="009249DB">
        <w:rPr>
          <w:rFonts w:ascii="Palatino Linotype" w:eastAsia="Calibri" w:hAnsi="Palatino Linotype" w:cs="Arial"/>
          <w:b/>
          <w:sz w:val="24"/>
          <w:szCs w:val="24"/>
        </w:rPr>
        <w:t>El Recurrente</w:t>
      </w:r>
      <w:r w:rsidRPr="009249DB">
        <w:rPr>
          <w:rFonts w:ascii="Palatino Linotype" w:eastAsia="Calibri" w:hAnsi="Palatino Linotype" w:cs="Arial"/>
          <w:sz w:val="24"/>
          <w:szCs w:val="24"/>
        </w:rPr>
        <w:t>, toda vez que</w:t>
      </w:r>
      <w:r>
        <w:rPr>
          <w:rFonts w:ascii="Palatino Linotype" w:eastAsia="Calibri" w:hAnsi="Palatino Linotype" w:cs="Arial"/>
          <w:sz w:val="24"/>
          <w:szCs w:val="24"/>
        </w:rPr>
        <w:t>, si bien,</w:t>
      </w:r>
      <w:r w:rsidRPr="009249DB">
        <w:rPr>
          <w:rFonts w:ascii="Palatino Linotype" w:eastAsia="Calibri" w:hAnsi="Palatino Linotype" w:cs="Arial"/>
          <w:sz w:val="24"/>
          <w:szCs w:val="24"/>
        </w:rPr>
        <w:t xml:space="preserv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Pr>
          <w:rFonts w:ascii="Palatino Linotype" w:eastAsia="Calibri" w:hAnsi="Palatino Linotype" w:cs="Arial"/>
          <w:sz w:val="24"/>
          <w:szCs w:val="24"/>
        </w:rPr>
        <w:t xml:space="preserve">remitió </w:t>
      </w:r>
      <w:r w:rsidRPr="00AD4BEB">
        <w:rPr>
          <w:rFonts w:ascii="Palatino Linotype" w:eastAsia="Calibri" w:hAnsi="Palatino Linotype" w:cs="Arial"/>
          <w:sz w:val="24"/>
          <w:szCs w:val="24"/>
        </w:rPr>
        <w:t>un listado de las obras públicas realizadas que contiene los encabezados: nombre de la obra, modalidad de contratación, contratista y periodo de ejecución</w:t>
      </w:r>
      <w:r>
        <w:rPr>
          <w:rFonts w:ascii="Palatino Linotype" w:eastAsia="Calibri" w:hAnsi="Palatino Linotype" w:cs="Arial"/>
          <w:sz w:val="24"/>
          <w:szCs w:val="24"/>
        </w:rPr>
        <w:t xml:space="preserve">, así como la declaratoria de inexistencia de la información requerida en el presente apartado, éste no entregó los </w:t>
      </w:r>
      <w:r w:rsidRPr="00292117">
        <w:rPr>
          <w:rFonts w:ascii="Palatino Linotype" w:eastAsia="Calibri" w:hAnsi="Palatino Linotype" w:cs="Arial"/>
          <w:sz w:val="24"/>
          <w:szCs w:val="24"/>
        </w:rPr>
        <w:t>expediente</w:t>
      </w:r>
      <w:r>
        <w:rPr>
          <w:rFonts w:ascii="Palatino Linotype" w:eastAsia="Calibri" w:hAnsi="Palatino Linotype" w:cs="Arial"/>
          <w:sz w:val="24"/>
          <w:szCs w:val="24"/>
        </w:rPr>
        <w:t>s requeridos</w:t>
      </w:r>
      <w:r w:rsidRPr="00292117">
        <w:rPr>
          <w:rFonts w:ascii="Palatino Linotype" w:eastAsia="Calibri" w:hAnsi="Palatino Linotype" w:cs="Arial"/>
          <w:sz w:val="24"/>
          <w:szCs w:val="24"/>
        </w:rPr>
        <w:t xml:space="preserve"> de</w:t>
      </w:r>
      <w:r>
        <w:rPr>
          <w:rFonts w:ascii="Palatino Linotype" w:eastAsia="Calibri" w:hAnsi="Palatino Linotype" w:cs="Arial"/>
          <w:sz w:val="24"/>
          <w:szCs w:val="24"/>
        </w:rPr>
        <w:t xml:space="preserve"> los</w:t>
      </w:r>
      <w:r w:rsidRPr="00292117">
        <w:rPr>
          <w:rFonts w:ascii="Palatino Linotype" w:eastAsia="Calibri" w:hAnsi="Palatino Linotype" w:cs="Arial"/>
          <w:sz w:val="24"/>
          <w:szCs w:val="24"/>
        </w:rPr>
        <w:t xml:space="preserve"> procedimiento</w:t>
      </w:r>
      <w:r>
        <w:rPr>
          <w:rFonts w:ascii="Palatino Linotype" w:eastAsia="Calibri" w:hAnsi="Palatino Linotype" w:cs="Arial"/>
          <w:sz w:val="24"/>
          <w:szCs w:val="24"/>
        </w:rPr>
        <w:t>s</w:t>
      </w:r>
      <w:r w:rsidRPr="00292117">
        <w:rPr>
          <w:rFonts w:ascii="Palatino Linotype" w:eastAsia="Calibri" w:hAnsi="Palatino Linotype" w:cs="Arial"/>
          <w:sz w:val="24"/>
          <w:szCs w:val="24"/>
        </w:rPr>
        <w:t xml:space="preserve"> </w:t>
      </w:r>
      <w:r>
        <w:rPr>
          <w:rFonts w:ascii="Palatino Linotype" w:eastAsia="Calibri" w:hAnsi="Palatino Linotype" w:cs="Arial"/>
          <w:sz w:val="24"/>
          <w:szCs w:val="24"/>
        </w:rPr>
        <w:t>referidos en la solicitud de información realizados por el Ayuntamiento de Atenco.</w:t>
      </w: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lang w:eastAsia="es-MX"/>
        </w:rPr>
      </w:pPr>
      <w:r w:rsidRPr="009249DB">
        <w:rPr>
          <w:rFonts w:ascii="Palatino Linotype" w:eastAsia="Calibri" w:hAnsi="Palatino Linotype" w:cs="Arial"/>
          <w:sz w:val="24"/>
          <w:szCs w:val="24"/>
        </w:rPr>
        <w:lastRenderedPageBreak/>
        <w:t xml:space="preserve">Aunado a lo anterior, toda vez que ha sido demostrada la fuente obligacional del </w:t>
      </w:r>
      <w:r w:rsidRPr="009249DB">
        <w:rPr>
          <w:rFonts w:ascii="Palatino Linotype" w:eastAsia="Calibri" w:hAnsi="Palatino Linotype" w:cs="Arial"/>
          <w:b/>
          <w:sz w:val="24"/>
          <w:szCs w:val="24"/>
        </w:rPr>
        <w:t>Sujeto Obligado</w:t>
      </w:r>
      <w:r w:rsidRPr="009249DB">
        <w:rPr>
          <w:rFonts w:ascii="Palatino Linotype" w:eastAsia="Calibri" w:hAnsi="Palatino Linotype" w:cs="Arial"/>
          <w:sz w:val="24"/>
          <w:szCs w:val="24"/>
        </w:rPr>
        <w:t xml:space="preserve"> de generar, poseer y administrar las do</w:t>
      </w:r>
      <w:r>
        <w:rPr>
          <w:rFonts w:ascii="Palatino Linotype" w:eastAsia="Calibri" w:hAnsi="Palatino Linotype" w:cs="Arial"/>
          <w:sz w:val="24"/>
          <w:szCs w:val="24"/>
        </w:rPr>
        <w:t>cumentales correspondientes a los expedientes completos de</w:t>
      </w:r>
      <w:r w:rsidRPr="009249DB">
        <w:rPr>
          <w:rFonts w:ascii="Palatino Linotype" w:eastAsia="Calibri" w:hAnsi="Palatino Linotype" w:cs="Arial"/>
          <w:sz w:val="24"/>
          <w:szCs w:val="24"/>
        </w:rPr>
        <w:t xml:space="preserve"> </w:t>
      </w:r>
      <w:r w:rsidRPr="001A5FAB">
        <w:rPr>
          <w:rFonts w:ascii="Palatino Linotype" w:eastAsia="Calibri" w:hAnsi="Palatino Linotype" w:cs="Arial"/>
          <w:sz w:val="24"/>
          <w:szCs w:val="24"/>
        </w:rPr>
        <w:t>los procedimientos de licitación pública, invitación restringida y adjudicación directa realizados por la Jefatura de Adquisiciones y la Dirección de Obra Pública en el año 2018</w:t>
      </w:r>
      <w:r w:rsidRPr="009249DB">
        <w:rPr>
          <w:rFonts w:ascii="Palatino Linotype" w:eastAsia="Calibri" w:hAnsi="Palatino Linotype" w:cs="Arial"/>
          <w:sz w:val="24"/>
          <w:szCs w:val="24"/>
        </w:rPr>
        <w:t xml:space="preserve">, es que se colige que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sidRPr="009249DB">
        <w:rPr>
          <w:rFonts w:ascii="Palatino Linotype" w:eastAsia="Calibri" w:hAnsi="Palatino Linotype" w:cs="Arial"/>
          <w:sz w:val="24"/>
          <w:szCs w:val="24"/>
          <w:lang w:eastAsia="es-MX"/>
        </w:rPr>
        <w:t>se encuentra en posibilidad de entregar</w:t>
      </w:r>
      <w:r>
        <w:rPr>
          <w:rFonts w:ascii="Palatino Linotype" w:eastAsia="Calibri" w:hAnsi="Palatino Linotype" w:cs="Arial"/>
          <w:sz w:val="24"/>
          <w:szCs w:val="24"/>
          <w:lang w:eastAsia="es-MX"/>
        </w:rPr>
        <w:t xml:space="preserve"> dicha información</w:t>
      </w:r>
      <w:r w:rsidRPr="00292117">
        <w:rPr>
          <w:rFonts w:ascii="Palatino Linotype" w:eastAsia="Calibri" w:hAnsi="Palatino Linotype" w:cs="Arial"/>
          <w:sz w:val="24"/>
          <w:szCs w:val="24"/>
          <w:lang w:eastAsia="es-MX"/>
        </w:rPr>
        <w:t xml:space="preserve"> en versión pública de ser procedente</w:t>
      </w:r>
      <w:r w:rsidRPr="009249DB">
        <w:rPr>
          <w:rFonts w:ascii="Palatino Linotype" w:eastAsia="Calibri" w:hAnsi="Palatino Linotype" w:cs="Arial"/>
          <w:sz w:val="24"/>
          <w:szCs w:val="24"/>
          <w:lang w:eastAsia="es-MX"/>
        </w:rPr>
        <w:t>.</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lang w:eastAsia="es-MX"/>
        </w:rPr>
      </w:pPr>
    </w:p>
    <w:p w:rsidR="000F4691" w:rsidRPr="000F4691" w:rsidRDefault="000F4691" w:rsidP="000F4691">
      <w:pPr>
        <w:tabs>
          <w:tab w:val="left" w:pos="709"/>
        </w:tabs>
        <w:spacing w:before="240" w:line="360" w:lineRule="auto"/>
        <w:ind w:left="360" w:right="51"/>
        <w:jc w:val="both"/>
        <w:rPr>
          <w:rFonts w:ascii="Palatino Linotype" w:hAnsi="Palatino Linotype"/>
          <w:b/>
          <w:i/>
          <w:sz w:val="28"/>
          <w:u w:val="single"/>
        </w:rPr>
      </w:pPr>
      <w:r w:rsidRPr="000F4691">
        <w:rPr>
          <w:rFonts w:ascii="Palatino Linotype" w:hAnsi="Palatino Linotype"/>
          <w:b/>
          <w:i/>
          <w:sz w:val="28"/>
          <w:u w:val="single"/>
        </w:rPr>
        <w:t>De la Vista a la Dirección de Datos Personales</w:t>
      </w:r>
    </w:p>
    <w:p w:rsidR="000F4691" w:rsidRPr="00E01843" w:rsidRDefault="000F4691" w:rsidP="000F4691">
      <w:pPr>
        <w:tabs>
          <w:tab w:val="left" w:pos="709"/>
        </w:tabs>
        <w:spacing w:before="240" w:line="360" w:lineRule="auto"/>
        <w:ind w:right="51"/>
        <w:jc w:val="both"/>
        <w:rPr>
          <w:rFonts w:ascii="Palatino Linotype" w:hAnsi="Palatino Linotype"/>
          <w:sz w:val="24"/>
          <w:szCs w:val="24"/>
          <w:lang w:val="es-ES"/>
        </w:rPr>
      </w:pPr>
      <w:r w:rsidRPr="00E01843">
        <w:rPr>
          <w:rFonts w:ascii="Palatino Linotype" w:hAnsi="Palatino Linotype"/>
          <w:sz w:val="24"/>
          <w:szCs w:val="24"/>
          <w:lang w:val="es-ES"/>
        </w:rPr>
        <w:t xml:space="preserve">En el asunto de estudio, ha quedado señalado que el Ayuntamiento de </w:t>
      </w:r>
      <w:proofErr w:type="gramStart"/>
      <w:r w:rsidR="005B548F">
        <w:rPr>
          <w:rFonts w:ascii="Palatino Linotype" w:hAnsi="Palatino Linotype"/>
          <w:sz w:val="24"/>
          <w:szCs w:val="24"/>
          <w:lang w:val="es-ES"/>
        </w:rPr>
        <w:t xml:space="preserve">Teotihuacán </w:t>
      </w:r>
      <w:r w:rsidRPr="00E01843">
        <w:rPr>
          <w:rFonts w:ascii="Palatino Linotype" w:hAnsi="Palatino Linotype"/>
          <w:sz w:val="24"/>
          <w:szCs w:val="24"/>
          <w:lang w:val="es-ES"/>
        </w:rPr>
        <w:t xml:space="preserve"> dejó</w:t>
      </w:r>
      <w:proofErr w:type="gramEnd"/>
      <w:r>
        <w:rPr>
          <w:rFonts w:ascii="Palatino Linotype" w:hAnsi="Palatino Linotype"/>
          <w:sz w:val="24"/>
          <w:szCs w:val="24"/>
          <w:lang w:val="es-ES"/>
        </w:rPr>
        <w:t xml:space="preserve"> </w:t>
      </w:r>
      <w:r w:rsidRPr="00E01843">
        <w:rPr>
          <w:rFonts w:ascii="Palatino Linotype" w:hAnsi="Palatino Linotype"/>
          <w:sz w:val="24"/>
          <w:szCs w:val="24"/>
          <w:lang w:val="es-ES"/>
        </w:rPr>
        <w:t>visibl</w:t>
      </w:r>
      <w:r>
        <w:rPr>
          <w:rFonts w:ascii="Palatino Linotype" w:hAnsi="Palatino Linotype"/>
          <w:sz w:val="24"/>
          <w:szCs w:val="24"/>
          <w:lang w:val="es-ES"/>
        </w:rPr>
        <w:t xml:space="preserve">es datos como </w:t>
      </w:r>
      <w:r w:rsidR="005B548F">
        <w:rPr>
          <w:rFonts w:ascii="Palatino Linotype" w:hAnsi="Palatino Linotype"/>
          <w:sz w:val="24"/>
          <w:szCs w:val="24"/>
          <w:lang w:val="es-ES"/>
        </w:rPr>
        <w:t>nombre y firma de los participantes en las convocatorias</w:t>
      </w:r>
      <w:r>
        <w:rPr>
          <w:rFonts w:ascii="Palatino Linotype" w:hAnsi="Palatino Linotype"/>
          <w:sz w:val="24"/>
          <w:szCs w:val="24"/>
          <w:lang w:val="es-ES"/>
        </w:rPr>
        <w:t>, entre otros</w:t>
      </w:r>
      <w:r w:rsidRPr="00E01843">
        <w:rPr>
          <w:rFonts w:ascii="Palatino Linotype" w:hAnsi="Palatino Linotype"/>
          <w:sz w:val="24"/>
          <w:szCs w:val="24"/>
          <w:lang w:val="es-ES"/>
        </w:rPr>
        <w:t>,</w:t>
      </w:r>
      <w:r>
        <w:rPr>
          <w:rFonts w:ascii="Palatino Linotype" w:hAnsi="Palatino Linotype"/>
          <w:sz w:val="24"/>
          <w:szCs w:val="24"/>
          <w:lang w:val="es-ES"/>
        </w:rPr>
        <w:t xml:space="preserve"> </w:t>
      </w:r>
      <w:r w:rsidRPr="00E01843">
        <w:rPr>
          <w:rFonts w:ascii="Palatino Linotype" w:hAnsi="Palatino Linotype"/>
          <w:sz w:val="24"/>
          <w:szCs w:val="24"/>
          <w:lang w:val="es-ES"/>
        </w:rPr>
        <w:t>l</w:t>
      </w:r>
      <w:r>
        <w:rPr>
          <w:rFonts w:ascii="Palatino Linotype" w:hAnsi="Palatino Linotype"/>
          <w:sz w:val="24"/>
          <w:szCs w:val="24"/>
          <w:lang w:val="es-ES"/>
        </w:rPr>
        <w:t>os</w:t>
      </w:r>
      <w:r w:rsidRPr="00E01843">
        <w:rPr>
          <w:rFonts w:ascii="Palatino Linotype" w:hAnsi="Palatino Linotype"/>
          <w:sz w:val="24"/>
          <w:szCs w:val="24"/>
          <w:lang w:val="es-ES"/>
        </w:rPr>
        <w:t xml:space="preserve"> cuales</w:t>
      </w:r>
      <w:r>
        <w:rPr>
          <w:rFonts w:ascii="Palatino Linotype" w:hAnsi="Palatino Linotype"/>
          <w:sz w:val="24"/>
          <w:szCs w:val="24"/>
          <w:lang w:val="es-ES"/>
        </w:rPr>
        <w:t xml:space="preserve"> son considerados como </w:t>
      </w:r>
      <w:r w:rsidRPr="00E01843">
        <w:rPr>
          <w:rFonts w:ascii="Palatino Linotype" w:hAnsi="Palatino Linotype"/>
          <w:sz w:val="24"/>
          <w:szCs w:val="24"/>
          <w:lang w:val="es-ES"/>
        </w:rPr>
        <w:t>confidencial</w:t>
      </w:r>
      <w:r>
        <w:rPr>
          <w:rFonts w:ascii="Palatino Linotype" w:hAnsi="Palatino Linotype"/>
          <w:sz w:val="24"/>
          <w:szCs w:val="24"/>
          <w:lang w:val="es-ES"/>
        </w:rPr>
        <w:t>es</w:t>
      </w:r>
      <w:r w:rsidRPr="00E01843">
        <w:rPr>
          <w:rFonts w:ascii="Palatino Linotype" w:hAnsi="Palatino Linotype"/>
          <w:sz w:val="24"/>
          <w:szCs w:val="24"/>
          <w:lang w:val="es-ES"/>
        </w:rPr>
        <w:t>. Al respecto, la Ley de Transparencia y Acceso a la Información Pública del</w:t>
      </w:r>
      <w:r>
        <w:rPr>
          <w:rFonts w:ascii="Palatino Linotype" w:hAnsi="Palatino Linotype"/>
          <w:sz w:val="24"/>
          <w:szCs w:val="24"/>
          <w:lang w:val="es-ES"/>
        </w:rPr>
        <w:t xml:space="preserve"> </w:t>
      </w:r>
      <w:r w:rsidRPr="00E01843">
        <w:rPr>
          <w:rFonts w:ascii="Palatino Linotype" w:hAnsi="Palatino Linotype"/>
          <w:sz w:val="24"/>
          <w:szCs w:val="24"/>
          <w:lang w:val="es-ES"/>
        </w:rPr>
        <w:t>Estado de México y Municipios establece que es atribución de este Instituto hacer del</w:t>
      </w:r>
      <w:r>
        <w:rPr>
          <w:rFonts w:ascii="Palatino Linotype" w:hAnsi="Palatino Linotype"/>
          <w:sz w:val="24"/>
          <w:szCs w:val="24"/>
          <w:lang w:val="es-ES"/>
        </w:rPr>
        <w:t xml:space="preserve"> </w:t>
      </w:r>
      <w:r w:rsidRPr="00E01843">
        <w:rPr>
          <w:rFonts w:ascii="Palatino Linotype" w:hAnsi="Palatino Linotype"/>
          <w:sz w:val="24"/>
          <w:szCs w:val="24"/>
          <w:lang w:val="es-ES"/>
        </w:rPr>
        <w:t>conocimiento las infracciones a esta Ley.</w:t>
      </w:r>
    </w:p>
    <w:p w:rsidR="000F4691" w:rsidRPr="00E01843" w:rsidRDefault="000F4691" w:rsidP="000F4691">
      <w:pPr>
        <w:tabs>
          <w:tab w:val="left" w:pos="709"/>
        </w:tabs>
        <w:spacing w:before="240" w:line="360" w:lineRule="auto"/>
        <w:ind w:right="51"/>
        <w:jc w:val="both"/>
        <w:rPr>
          <w:rFonts w:ascii="Palatino Linotype" w:hAnsi="Palatino Linotype"/>
          <w:sz w:val="24"/>
          <w:szCs w:val="24"/>
          <w:lang w:val="es-ES"/>
        </w:rPr>
      </w:pPr>
      <w:r w:rsidRPr="00E01843">
        <w:rPr>
          <w:rFonts w:ascii="Palatino Linotype" w:hAnsi="Palatino Linotype"/>
          <w:sz w:val="24"/>
          <w:szCs w:val="24"/>
          <w:lang w:val="es-ES"/>
        </w:rPr>
        <w:t>En ese sentido, de conformidad con lo previsto en el artículo 222, fracciones I y V, de dicho</w:t>
      </w:r>
      <w:r>
        <w:rPr>
          <w:rFonts w:ascii="Palatino Linotype" w:hAnsi="Palatino Linotype"/>
          <w:sz w:val="24"/>
          <w:szCs w:val="24"/>
          <w:lang w:val="es-ES"/>
        </w:rPr>
        <w:t xml:space="preserve"> </w:t>
      </w:r>
      <w:r w:rsidRPr="00E01843">
        <w:rPr>
          <w:rFonts w:ascii="Palatino Linotype" w:hAnsi="Palatino Linotype"/>
          <w:sz w:val="24"/>
          <w:szCs w:val="24"/>
          <w:lang w:val="es-ES"/>
        </w:rPr>
        <w:t>ordenamiento, son causas de sanción por incumplimiento de las obligaciones establecida en</w:t>
      </w:r>
      <w:r>
        <w:rPr>
          <w:rFonts w:ascii="Palatino Linotype" w:hAnsi="Palatino Linotype"/>
          <w:sz w:val="24"/>
          <w:szCs w:val="24"/>
          <w:lang w:val="es-ES"/>
        </w:rPr>
        <w:t xml:space="preserve"> </w:t>
      </w:r>
      <w:r w:rsidRPr="00E01843">
        <w:rPr>
          <w:rFonts w:ascii="Palatino Linotype" w:hAnsi="Palatino Linotype"/>
          <w:sz w:val="24"/>
          <w:szCs w:val="24"/>
          <w:lang w:val="es-ES"/>
        </w:rPr>
        <w:t>la Ley de la materia, entre otras conductas, cualquier acto u omisión que provoque la</w:t>
      </w:r>
      <w:r>
        <w:rPr>
          <w:rFonts w:ascii="Palatino Linotype" w:hAnsi="Palatino Linotype"/>
          <w:sz w:val="24"/>
          <w:szCs w:val="24"/>
          <w:lang w:val="es-ES"/>
        </w:rPr>
        <w:t xml:space="preserve"> </w:t>
      </w:r>
      <w:r w:rsidRPr="00E01843">
        <w:rPr>
          <w:rFonts w:ascii="Palatino Linotype" w:hAnsi="Palatino Linotype"/>
          <w:sz w:val="24"/>
          <w:szCs w:val="24"/>
          <w:lang w:val="es-ES"/>
        </w:rPr>
        <w:t>suspensión o deficiencia en la atención de las solicitudes de información y entregar</w:t>
      </w:r>
      <w:r>
        <w:rPr>
          <w:rFonts w:ascii="Palatino Linotype" w:hAnsi="Palatino Linotype"/>
          <w:sz w:val="24"/>
          <w:szCs w:val="24"/>
          <w:lang w:val="es-ES"/>
        </w:rPr>
        <w:t xml:space="preserve"> </w:t>
      </w:r>
      <w:r w:rsidRPr="00E01843">
        <w:rPr>
          <w:rFonts w:ascii="Palatino Linotype" w:hAnsi="Palatino Linotype"/>
          <w:sz w:val="24"/>
          <w:szCs w:val="24"/>
          <w:lang w:val="es-ES"/>
        </w:rPr>
        <w:t>información clasificada como confidencial fuera de los casos previstos por esta Ley.</w:t>
      </w:r>
    </w:p>
    <w:p w:rsidR="000F4691" w:rsidRPr="0027456E" w:rsidRDefault="000F4691" w:rsidP="000F4691">
      <w:pPr>
        <w:tabs>
          <w:tab w:val="left" w:pos="709"/>
        </w:tabs>
        <w:spacing w:before="240" w:line="360" w:lineRule="auto"/>
        <w:ind w:right="51"/>
        <w:jc w:val="both"/>
        <w:rPr>
          <w:rFonts w:ascii="Palatino Linotype" w:hAnsi="Palatino Linotype"/>
          <w:sz w:val="24"/>
          <w:szCs w:val="24"/>
          <w:lang w:val="es-ES"/>
        </w:rPr>
      </w:pPr>
      <w:r w:rsidRPr="00E01843">
        <w:rPr>
          <w:rFonts w:ascii="Palatino Linotype" w:hAnsi="Palatino Linotype"/>
          <w:sz w:val="24"/>
          <w:szCs w:val="24"/>
          <w:lang w:val="es-ES"/>
        </w:rPr>
        <w:lastRenderedPageBreak/>
        <w:t>Sobre el particular, si bien, la presente resolución no tiene por objetivo investigar y</w:t>
      </w:r>
      <w:r>
        <w:rPr>
          <w:rFonts w:ascii="Palatino Linotype" w:hAnsi="Palatino Linotype"/>
          <w:sz w:val="24"/>
          <w:szCs w:val="24"/>
          <w:lang w:val="es-ES"/>
        </w:rPr>
        <w:t xml:space="preserve"> </w:t>
      </w:r>
      <w:r w:rsidRPr="00E01843">
        <w:rPr>
          <w:rFonts w:ascii="Palatino Linotype" w:hAnsi="Palatino Linotype"/>
          <w:sz w:val="24"/>
          <w:szCs w:val="24"/>
          <w:lang w:val="es-ES"/>
        </w:rPr>
        <w:t>determinar posibles violaciones al derecho de acceso a la información, toda vez que este</w:t>
      </w:r>
      <w:r>
        <w:rPr>
          <w:rFonts w:ascii="Palatino Linotype" w:hAnsi="Palatino Linotype"/>
          <w:sz w:val="24"/>
          <w:szCs w:val="24"/>
          <w:lang w:val="es-ES"/>
        </w:rPr>
        <w:t xml:space="preserve"> </w:t>
      </w:r>
      <w:r w:rsidRPr="00E01843">
        <w:rPr>
          <w:rFonts w:ascii="Palatino Linotype" w:hAnsi="Palatino Linotype"/>
          <w:sz w:val="24"/>
          <w:szCs w:val="24"/>
          <w:lang w:val="es-ES"/>
        </w:rPr>
        <w:t>Organismo Autónomo, advirtió la entrega de la información susceptible de ser clasificada</w:t>
      </w:r>
      <w:r>
        <w:rPr>
          <w:rFonts w:ascii="Palatino Linotype" w:hAnsi="Palatino Linotype"/>
          <w:sz w:val="24"/>
          <w:szCs w:val="24"/>
          <w:lang w:val="es-ES"/>
        </w:rPr>
        <w:t xml:space="preserve"> </w:t>
      </w:r>
      <w:r w:rsidRPr="00E01843">
        <w:rPr>
          <w:rFonts w:ascii="Palatino Linotype" w:hAnsi="Palatino Linotype"/>
          <w:sz w:val="24"/>
          <w:szCs w:val="24"/>
          <w:lang w:val="es-ES"/>
        </w:rPr>
        <w:t>como confidencial, por lo que, se considera procedente dar vista a la Dirección General de</w:t>
      </w:r>
      <w:r>
        <w:rPr>
          <w:rFonts w:ascii="Palatino Linotype" w:hAnsi="Palatino Linotype"/>
          <w:sz w:val="24"/>
          <w:szCs w:val="24"/>
          <w:lang w:val="es-ES"/>
        </w:rPr>
        <w:t xml:space="preserve"> </w:t>
      </w:r>
      <w:r w:rsidRPr="00E01843">
        <w:rPr>
          <w:rFonts w:ascii="Palatino Linotype" w:hAnsi="Palatino Linotype"/>
          <w:sz w:val="24"/>
          <w:szCs w:val="24"/>
          <w:lang w:val="es-ES"/>
        </w:rPr>
        <w:t>Protección de Datos Personales de este Instituto.</w:t>
      </w:r>
    </w:p>
    <w:p w:rsidR="000F4691" w:rsidRDefault="000F4691" w:rsidP="00453729">
      <w:pPr>
        <w:autoSpaceDE w:val="0"/>
        <w:autoSpaceDN w:val="0"/>
        <w:adjustRightInd w:val="0"/>
        <w:spacing w:after="0" w:line="360" w:lineRule="auto"/>
        <w:jc w:val="both"/>
        <w:rPr>
          <w:rFonts w:ascii="Palatino Linotype" w:eastAsia="Calibri" w:hAnsi="Palatino Linotype" w:cs="Arial"/>
          <w:sz w:val="24"/>
          <w:szCs w:val="24"/>
          <w:lang w:eastAsia="es-MX"/>
        </w:rPr>
      </w:pPr>
    </w:p>
    <w:p w:rsidR="00453729" w:rsidRPr="004E118A" w:rsidRDefault="00453729" w:rsidP="00453729">
      <w:pPr>
        <w:spacing w:after="0" w:line="360" w:lineRule="auto"/>
        <w:jc w:val="both"/>
        <w:rPr>
          <w:rFonts w:ascii="Palatino Linotype" w:eastAsia="Calibri" w:hAnsi="Palatino Linotype" w:cs="Arial"/>
          <w:b/>
          <w:i/>
          <w:sz w:val="26"/>
          <w:szCs w:val="26"/>
          <w:u w:val="single"/>
        </w:rPr>
      </w:pPr>
      <w:r w:rsidRPr="004E118A">
        <w:rPr>
          <w:rFonts w:ascii="Palatino Linotype" w:eastAsia="Calibri" w:hAnsi="Palatino Linotype" w:cs="Arial"/>
          <w:b/>
          <w:i/>
          <w:sz w:val="26"/>
          <w:szCs w:val="26"/>
          <w:u w:val="single"/>
        </w:rPr>
        <w:t>DE LA VERSIÓN PÚBLICA.</w:t>
      </w: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3.</w:t>
      </w:r>
      <w:r w:rsidRPr="004E118A">
        <w:rPr>
          <w:rFonts w:ascii="Palatino Linotype" w:eastAsia="Calibri" w:hAnsi="Palatino Linotype" w:cs="Arial"/>
          <w:i/>
        </w:rPr>
        <w:t xml:space="preserve"> Para los efectos de la presente Ley se entenderá por:</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IX. Datos personales:</w:t>
      </w:r>
      <w:r w:rsidRPr="004E118A">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clasificada:</w:t>
      </w:r>
      <w:r w:rsidRPr="004E118A">
        <w:rPr>
          <w:rFonts w:ascii="Palatino Linotype" w:eastAsia="Calibri" w:hAnsi="Palatino Linotype" w:cs="Arial"/>
          <w:i/>
        </w:rPr>
        <w:t xml:space="preserve"> Aquella considerada por la presente Ley como reservada o confidencial;</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XXI.</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confidencial:</w:t>
      </w:r>
      <w:r w:rsidRPr="004E118A">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XLV.</w:t>
      </w:r>
      <w:r w:rsidRPr="004E118A">
        <w:rPr>
          <w:rFonts w:ascii="Palatino Linotype" w:eastAsia="Calibri" w:hAnsi="Palatino Linotype" w:cs="Arial"/>
          <w:i/>
        </w:rPr>
        <w:t xml:space="preserve"> </w:t>
      </w:r>
      <w:r w:rsidRPr="004E118A">
        <w:rPr>
          <w:rFonts w:ascii="Palatino Linotype" w:eastAsia="Calibri" w:hAnsi="Palatino Linotype" w:cs="Arial"/>
          <w:b/>
          <w:i/>
        </w:rPr>
        <w:t>Versión pública:</w:t>
      </w:r>
      <w:r w:rsidRPr="004E118A">
        <w:rPr>
          <w:rFonts w:ascii="Palatino Linotype" w:eastAsia="Calibri" w:hAnsi="Palatino Linotype" w:cs="Arial"/>
          <w:i/>
        </w:rPr>
        <w:t xml:space="preserve"> Documento en el que se elimine, suprime o borra la información clasificada como reservada o confidencial para permitir su acceso.</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 xml:space="preserve">Artículo 91. </w:t>
      </w:r>
      <w:r w:rsidRPr="004E118A">
        <w:rPr>
          <w:rFonts w:ascii="Palatino Linotype" w:eastAsia="Calibri" w:hAnsi="Palatino Linotype" w:cs="Arial"/>
          <w:i/>
        </w:rPr>
        <w:t>El acceso a la información pública será restringido excepcionalmente, cuando ésta sea clasificada como reservada o confidencial.</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132.</w:t>
      </w:r>
      <w:r w:rsidRPr="004E118A">
        <w:rPr>
          <w:rFonts w:ascii="Palatino Linotype" w:eastAsia="Calibri" w:hAnsi="Palatino Linotype" w:cs="Arial"/>
          <w:i/>
        </w:rPr>
        <w:t xml:space="preserve"> </w:t>
      </w:r>
      <w:r w:rsidRPr="004E118A">
        <w:rPr>
          <w:rFonts w:ascii="Palatino Linotype" w:eastAsia="Calibri" w:hAnsi="Palatino Linotype" w:cs="Arial"/>
          <w:i/>
          <w:u w:val="single"/>
        </w:rPr>
        <w:t>La clasificación de la información se llevará a cabo en el momento en que</w:t>
      </w:r>
      <w:r w:rsidRPr="004E118A">
        <w:rPr>
          <w:rFonts w:ascii="Palatino Linotype" w:eastAsia="Calibri" w:hAnsi="Palatino Linotype" w:cs="Arial"/>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w:t>
      </w:r>
      <w:r w:rsidRPr="004E118A">
        <w:rPr>
          <w:rFonts w:ascii="Palatino Linotype" w:eastAsia="Calibri" w:hAnsi="Palatino Linotype" w:cs="Arial"/>
          <w:i/>
        </w:rPr>
        <w:t xml:space="preserve"> Se reciba una solicitud de acceso a la información;</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determine mediante resolución de autoridad competente; o</w:t>
      </w:r>
    </w:p>
    <w:p w:rsidR="00453729" w:rsidRPr="004E118A" w:rsidRDefault="00453729" w:rsidP="00453729">
      <w:pPr>
        <w:spacing w:after="0" w:line="240" w:lineRule="auto"/>
        <w:ind w:left="567" w:right="567"/>
        <w:jc w:val="both"/>
        <w:rPr>
          <w:rFonts w:ascii="Palatino Linotype" w:eastAsia="Calibri" w:hAnsi="Palatino Linotype" w:cs="Arial"/>
          <w:i/>
          <w:u w:val="single"/>
        </w:rPr>
      </w:pPr>
      <w:r w:rsidRPr="004E118A">
        <w:rPr>
          <w:rFonts w:ascii="Palatino Linotype" w:eastAsia="Calibri" w:hAnsi="Palatino Linotype" w:cs="Arial"/>
          <w:b/>
          <w:i/>
        </w:rPr>
        <w:lastRenderedPageBreak/>
        <w:t>III.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generen versiones públicas para dar cumplimiento a las obligaciones de transparencia previstas en esta Ley.</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53729" w:rsidRPr="004E118A" w:rsidRDefault="00453729" w:rsidP="00453729">
      <w:pPr>
        <w:spacing w:after="0" w:line="360" w:lineRule="auto"/>
        <w:jc w:val="both"/>
        <w:rPr>
          <w:rFonts w:ascii="Palatino Linotype" w:eastAsia="Calibri" w:hAnsi="Palatino Linotype" w:cs="Arial"/>
          <w:i/>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 xml:space="preserve">Por otro lado, los </w:t>
      </w:r>
      <w:r w:rsidRPr="004E118A">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4E118A">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Entorno a lo que aquí nos interesa, los Lineamientos Quincuagésimo sexto, Quincuagésimo séptimo y Quincuagésimo octavo, establecen lo siguiente:</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sexto.</w:t>
      </w:r>
      <w:r w:rsidRPr="004E118A">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53729" w:rsidRPr="004E118A" w:rsidRDefault="00453729" w:rsidP="00453729">
      <w:pPr>
        <w:spacing w:after="0" w:line="240" w:lineRule="auto"/>
        <w:ind w:left="567" w:right="567"/>
        <w:jc w:val="both"/>
        <w:rPr>
          <w:rFonts w:ascii="Palatino Linotype" w:eastAsia="Calibri" w:hAnsi="Palatino Linotype" w:cs="Arial"/>
          <w:i/>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séptimo.</w:t>
      </w:r>
      <w:r w:rsidRPr="004E118A">
        <w:rPr>
          <w:rFonts w:ascii="Palatino Linotype" w:eastAsia="Calibri" w:hAnsi="Palatino Linotype" w:cs="Arial"/>
          <w:i/>
        </w:rPr>
        <w:t xml:space="preserve"> Se considera, en principio, como información pública y no podrá omitirse de las versiones públicas la siguiente: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 La relativa a las Obligaciones de Transparencia que contempla el Título V de la Ley General y las demás disposiciones legales aplicables;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lastRenderedPageBreak/>
        <w:t xml:space="preserve">II. El nombre de los servidores públicos en los documentos, y sus firmas autógrafas, cuando sean utilizados en el ejercicio de las facultades conferidas para el desempeño del servicio público, y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453729" w:rsidRPr="004E118A" w:rsidRDefault="00453729" w:rsidP="00453729">
      <w:pPr>
        <w:spacing w:after="0" w:line="240" w:lineRule="auto"/>
        <w:ind w:left="567" w:right="567"/>
        <w:jc w:val="both"/>
        <w:rPr>
          <w:rFonts w:ascii="Palatino Linotype" w:eastAsia="Calibri" w:hAnsi="Palatino Linotype" w:cs="Arial"/>
          <w:i/>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rsidR="00453729" w:rsidRPr="004E118A" w:rsidRDefault="00453729" w:rsidP="00453729">
      <w:pPr>
        <w:spacing w:after="0" w:line="240" w:lineRule="auto"/>
        <w:ind w:left="567" w:right="567"/>
        <w:jc w:val="both"/>
        <w:rPr>
          <w:rFonts w:ascii="Palatino Linotype" w:eastAsia="Calibri" w:hAnsi="Palatino Linotype" w:cs="Arial"/>
          <w:i/>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octavo.</w:t>
      </w:r>
      <w:r w:rsidRPr="004E118A">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rsidR="00453729" w:rsidRPr="004E118A" w:rsidRDefault="00453729" w:rsidP="00453729">
      <w:pPr>
        <w:spacing w:after="0" w:line="360" w:lineRule="auto"/>
        <w:jc w:val="both"/>
        <w:rPr>
          <w:rFonts w:ascii="Palatino Linotype" w:eastAsia="Calibri" w:hAnsi="Palatino Linotype" w:cs="Arial"/>
          <w:i/>
          <w:sz w:val="24"/>
          <w:szCs w:val="24"/>
        </w:rPr>
      </w:pPr>
    </w:p>
    <w:p w:rsidR="00453729" w:rsidRPr="004E118A" w:rsidRDefault="00453729" w:rsidP="00453729">
      <w:pPr>
        <w:spacing w:after="0" w:line="360" w:lineRule="auto"/>
        <w:jc w:val="both"/>
        <w:rPr>
          <w:rFonts w:ascii="Palatino Linotype" w:eastAsia="Calibri" w:hAnsi="Palatino Linotype" w:cs="Arial"/>
          <w:i/>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que respecta al Acuerdo del Comité de Transparencia que la sustente la versión pública, de la documentación a entregar, deberá ser notificado mediante el SAIMEX.</w:t>
      </w: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lang w:eastAsia="es-MX"/>
        </w:rPr>
      </w:pPr>
    </w:p>
    <w:p w:rsidR="00453729" w:rsidRPr="00A87CAD" w:rsidRDefault="00453729" w:rsidP="00453729">
      <w:pPr>
        <w:spacing w:after="0" w:line="360" w:lineRule="auto"/>
        <w:jc w:val="both"/>
        <w:rPr>
          <w:rFonts w:ascii="Palatino Linotype" w:hAnsi="Palatino Linotype" w:cs="Arial"/>
          <w:bCs/>
          <w:sz w:val="24"/>
          <w:szCs w:val="24"/>
        </w:rPr>
      </w:pPr>
    </w:p>
    <w:p w:rsidR="00453729" w:rsidRDefault="00453729" w:rsidP="00453729">
      <w:pPr>
        <w:spacing w:after="0" w:line="360" w:lineRule="auto"/>
        <w:jc w:val="both"/>
        <w:rPr>
          <w:rFonts w:ascii="Palatino Linotype" w:hAnsi="Palatino Linotype" w:cs="Arial"/>
          <w:bCs/>
          <w:sz w:val="24"/>
          <w:szCs w:val="24"/>
        </w:rPr>
      </w:pPr>
      <w:r w:rsidRPr="00A87CAD">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87CAD">
        <w:rPr>
          <w:rFonts w:ascii="Palatino Linotype" w:hAnsi="Palatino Linotype" w:cs="Arial"/>
          <w:sz w:val="24"/>
          <w:szCs w:val="24"/>
        </w:rPr>
        <w:t xml:space="preserve">de la Ley de Transparencia y Acceso a la Información Pública del Estado de México y Municipios, </w:t>
      </w:r>
      <w:r w:rsidRPr="00A87CAD">
        <w:rPr>
          <w:rFonts w:ascii="Palatino Linotype" w:hAnsi="Palatino Linotype" w:cs="Arial"/>
          <w:bCs/>
          <w:sz w:val="24"/>
          <w:szCs w:val="24"/>
        </w:rPr>
        <w:t xml:space="preserve">a efecto de salvaguardar el derecho de acceso a la información pública consignado a favor del </w:t>
      </w:r>
      <w:r w:rsidRPr="00A87CAD">
        <w:rPr>
          <w:rFonts w:ascii="Palatino Linotype" w:hAnsi="Palatino Linotype" w:cs="Arial"/>
          <w:b/>
          <w:bCs/>
          <w:sz w:val="24"/>
          <w:szCs w:val="24"/>
        </w:rPr>
        <w:t>Recurrente</w:t>
      </w:r>
      <w:r w:rsidRPr="00A87CAD">
        <w:rPr>
          <w:rFonts w:ascii="Palatino Linotype" w:hAnsi="Palatino Linotype" w:cs="Arial"/>
          <w:bCs/>
          <w:sz w:val="24"/>
          <w:szCs w:val="24"/>
        </w:rPr>
        <w:t>.</w:t>
      </w:r>
    </w:p>
    <w:p w:rsidR="000F4691" w:rsidRPr="00A87CAD" w:rsidRDefault="000F4691" w:rsidP="00453729">
      <w:pPr>
        <w:spacing w:after="0" w:line="360" w:lineRule="auto"/>
        <w:jc w:val="both"/>
        <w:rPr>
          <w:rFonts w:ascii="Palatino Linotype" w:hAnsi="Palatino Linotype" w:cs="Arial"/>
          <w:sz w:val="24"/>
          <w:szCs w:val="24"/>
        </w:rPr>
      </w:pPr>
    </w:p>
    <w:p w:rsidR="00453729" w:rsidRDefault="00FD601E" w:rsidP="00FD601E">
      <w:pPr>
        <w:pStyle w:val="Sinespaciado"/>
        <w:spacing w:line="360" w:lineRule="auto"/>
        <w:jc w:val="both"/>
        <w:rPr>
          <w:rFonts w:ascii="Palatino Linotype" w:eastAsia="Calibri" w:hAnsi="Palatino Linotype" w:cs="Arial"/>
          <w:szCs w:val="22"/>
          <w:lang w:eastAsia="en-US"/>
        </w:rPr>
      </w:pPr>
      <w:r>
        <w:rPr>
          <w:rFonts w:ascii="Palatino Linotype" w:eastAsia="Calibri" w:hAnsi="Palatino Linotype" w:cs="Arial"/>
          <w:szCs w:val="22"/>
          <w:lang w:eastAsia="en-US"/>
        </w:rPr>
        <w:t xml:space="preserve">Asimismo, toda vez que los documentos requeridos por el particular se encuentran relacionados con la información que los sujetos obligados </w:t>
      </w:r>
      <w:r w:rsidRPr="00E60441">
        <w:rPr>
          <w:rFonts w:ascii="Palatino Linotype" w:eastAsia="Calibri" w:hAnsi="Palatino Linotype" w:cs="Arial"/>
          <w:szCs w:val="22"/>
          <w:lang w:eastAsia="en-US"/>
        </w:rPr>
        <w:t xml:space="preserve">deberán poner a disposición del público de manera permanente y actualizada de forma sencilla, precisa y entendible, en los respectivos medios electrónicos, de acuerdo con sus facultades, atribuciones, funciones u objeto social, según corresponda, </w:t>
      </w:r>
      <w:r>
        <w:rPr>
          <w:rFonts w:ascii="Palatino Linotype" w:eastAsia="Calibri" w:hAnsi="Palatino Linotype" w:cs="Arial"/>
          <w:szCs w:val="22"/>
          <w:lang w:eastAsia="en-US"/>
        </w:rPr>
        <w:t xml:space="preserve">y en virtud de no entregar al hoy recurrente dicha información, </w:t>
      </w:r>
      <w:r w:rsidRPr="00E60441">
        <w:rPr>
          <w:rFonts w:ascii="Palatino Linotype" w:eastAsia="Calibri" w:hAnsi="Palatino Linotype" w:cs="Arial"/>
          <w:szCs w:val="22"/>
          <w:lang w:eastAsia="en-US"/>
        </w:rPr>
        <w:t>se hará del conocimiento de la de la Dirección General Jurídica y de Verificación, de conformidad con el artículo 22, fracciones XIV y XVI del Reglamento Interior del Instituto de Transparencia y Acceso a la Información Pública del Estado de México y Municipios a fin de que determine lo conducente</w:t>
      </w:r>
      <w:r>
        <w:rPr>
          <w:rFonts w:ascii="Palatino Linotype" w:eastAsia="Calibri" w:hAnsi="Palatino Linotype" w:cs="Arial"/>
          <w:szCs w:val="22"/>
          <w:lang w:eastAsia="en-US"/>
        </w:rPr>
        <w:t>.</w:t>
      </w:r>
    </w:p>
    <w:p w:rsidR="00FD601E" w:rsidRPr="00FD601E" w:rsidRDefault="00FD601E" w:rsidP="00FD601E">
      <w:pPr>
        <w:pStyle w:val="Sinespaciado"/>
        <w:spacing w:line="360" w:lineRule="auto"/>
        <w:jc w:val="both"/>
        <w:rPr>
          <w:rFonts w:ascii="Palatino Linotype" w:hAnsi="Palatino Linotype"/>
        </w:rPr>
      </w:pPr>
    </w:p>
    <w:p w:rsidR="00453729" w:rsidRPr="00AB2C05" w:rsidRDefault="00453729" w:rsidP="00453729">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Arial"/>
          <w:sz w:val="24"/>
          <w:szCs w:val="24"/>
          <w:lang w:eastAsia="es-MX"/>
        </w:rPr>
        <w:t>Final</w:t>
      </w:r>
      <w:r w:rsidRPr="00AB2C05">
        <w:rPr>
          <w:rFonts w:ascii="Palatino Linotype" w:eastAsia="Calibri" w:hAnsi="Palatino Linotype" w:cs="Times New Roman"/>
          <w:sz w:val="24"/>
          <w:szCs w:val="24"/>
        </w:rPr>
        <w:t xml:space="preserve">mente, y en mérito de lo expuesto en líneas anteriores, resultan </w:t>
      </w:r>
      <w:r>
        <w:rPr>
          <w:rFonts w:ascii="Palatino Linotype" w:eastAsia="Calibri" w:hAnsi="Palatino Linotype" w:cs="Times New Roman"/>
          <w:sz w:val="24"/>
          <w:szCs w:val="24"/>
        </w:rPr>
        <w:t xml:space="preserve">parcialmente </w:t>
      </w:r>
      <w:r w:rsidRPr="00AB2C05">
        <w:rPr>
          <w:rFonts w:ascii="Palatino Linotype" w:eastAsia="Calibri" w:hAnsi="Palatino Linotype" w:cs="Times New Roman"/>
          <w:sz w:val="24"/>
          <w:szCs w:val="24"/>
        </w:rPr>
        <w:t xml:space="preserve">fundados los motivos </w:t>
      </w:r>
      <w:r>
        <w:rPr>
          <w:rFonts w:ascii="Palatino Linotype" w:eastAsia="Calibri" w:hAnsi="Palatino Linotype" w:cs="Times New Roman"/>
          <w:sz w:val="24"/>
          <w:szCs w:val="24"/>
        </w:rPr>
        <w:t xml:space="preserve">de inconformidad vertidos por </w:t>
      </w:r>
      <w:r w:rsidRPr="00980029">
        <w:rPr>
          <w:rFonts w:ascii="Palatino Linotype" w:eastAsia="Calibri" w:hAnsi="Palatino Linotype" w:cs="Times New Roman"/>
          <w:b/>
          <w:sz w:val="24"/>
          <w:szCs w:val="24"/>
        </w:rPr>
        <w:t>El</w:t>
      </w:r>
      <w:r w:rsidRPr="00AB2C05">
        <w:rPr>
          <w:rFonts w:ascii="Palatino Linotype" w:eastAsia="Calibri" w:hAnsi="Palatino Linotype" w:cs="Times New Roman"/>
          <w:sz w:val="24"/>
          <w:szCs w:val="24"/>
        </w:rPr>
        <w:t xml:space="preserve"> </w:t>
      </w:r>
      <w:r w:rsidRPr="00AB2C05">
        <w:rPr>
          <w:rFonts w:ascii="Palatino Linotype" w:eastAsia="Calibri" w:hAnsi="Palatino Linotype" w:cs="Times New Roman"/>
          <w:b/>
          <w:sz w:val="24"/>
          <w:szCs w:val="24"/>
        </w:rPr>
        <w:t>Recurrente</w:t>
      </w:r>
      <w:r w:rsidRPr="00AB2C05">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Pr>
          <w:rFonts w:ascii="Palatino Linotype" w:eastAsia="Calibri" w:hAnsi="Palatino Linotype" w:cs="Times New Roman"/>
          <w:b/>
          <w:sz w:val="24"/>
          <w:szCs w:val="24"/>
        </w:rPr>
        <w:t>MODIFICA</w:t>
      </w:r>
      <w:r w:rsidRPr="00AB2C05">
        <w:rPr>
          <w:rFonts w:ascii="Palatino Linotype" w:eastAsia="Calibri" w:hAnsi="Palatino Linotype" w:cs="Times New Roman"/>
          <w:b/>
          <w:sz w:val="24"/>
          <w:szCs w:val="24"/>
        </w:rPr>
        <w:t xml:space="preserve"> </w:t>
      </w:r>
      <w:r w:rsidRPr="00AB2C05">
        <w:rPr>
          <w:rFonts w:ascii="Palatino Linotype" w:eastAsia="Calibri" w:hAnsi="Palatino Linotype" w:cs="Times New Roman"/>
          <w:sz w:val="24"/>
          <w:szCs w:val="24"/>
        </w:rPr>
        <w:t xml:space="preserve">la respuesta a la solicitud de información </w:t>
      </w:r>
      <w:r w:rsidR="001E1258" w:rsidRPr="001E1258">
        <w:rPr>
          <w:rFonts w:ascii="Palatino Linotype" w:eastAsia="Calibri" w:hAnsi="Palatino Linotype" w:cs="Arial"/>
          <w:b/>
          <w:sz w:val="24"/>
          <w:szCs w:val="24"/>
        </w:rPr>
        <w:t>00134/TEOTIHUA/IP/2020</w:t>
      </w:r>
      <w:r w:rsidRPr="00AB2C05">
        <w:rPr>
          <w:rFonts w:ascii="Palatino Linotype" w:eastAsia="Calibri" w:hAnsi="Palatino Linotype" w:cs="Arial"/>
          <w:b/>
          <w:sz w:val="24"/>
          <w:szCs w:val="24"/>
        </w:rPr>
        <w:t xml:space="preserve">, </w:t>
      </w:r>
      <w:r w:rsidRPr="00AB2C05">
        <w:rPr>
          <w:rFonts w:ascii="Palatino Linotype" w:eastAsia="Calibri" w:hAnsi="Palatino Linotype" w:cs="Times New Roman"/>
          <w:sz w:val="24"/>
          <w:szCs w:val="24"/>
        </w:rPr>
        <w:t>que ha sido materia del presente fallo.</w:t>
      </w:r>
    </w:p>
    <w:p w:rsidR="00453729" w:rsidRPr="00AB2C05" w:rsidRDefault="00453729" w:rsidP="00453729">
      <w:pPr>
        <w:spacing w:after="0" w:line="360" w:lineRule="auto"/>
        <w:jc w:val="both"/>
        <w:rPr>
          <w:rFonts w:ascii="Arial" w:eastAsia="Calibri" w:hAnsi="Arial" w:cs="Arial"/>
          <w:b/>
          <w:bCs/>
          <w:color w:val="333333"/>
          <w:sz w:val="24"/>
          <w:szCs w:val="24"/>
        </w:rPr>
      </w:pPr>
    </w:p>
    <w:p w:rsidR="00453729" w:rsidRDefault="00453729" w:rsidP="00453729">
      <w:pPr>
        <w:spacing w:after="12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lastRenderedPageBreak/>
        <w:t xml:space="preserve">Por lo antes expuesto y fundado. </w:t>
      </w:r>
    </w:p>
    <w:p w:rsidR="00946ACC" w:rsidRPr="00386404" w:rsidRDefault="00946ACC" w:rsidP="00946ACC">
      <w:pPr>
        <w:pStyle w:val="Sinespaciado"/>
        <w:spacing w:line="360" w:lineRule="auto"/>
        <w:jc w:val="center"/>
        <w:rPr>
          <w:rFonts w:ascii="Palatino Linotype" w:hAnsi="Palatino Linotype"/>
          <w:b/>
          <w:bCs/>
          <w:spacing w:val="60"/>
          <w:lang w:val="es-ES_tradnl"/>
        </w:rPr>
      </w:pPr>
    </w:p>
    <w:p w:rsidR="00946ACC" w:rsidRPr="00350442" w:rsidRDefault="00946ACC" w:rsidP="00946AC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946ACC" w:rsidRPr="00350442" w:rsidRDefault="00946ACC" w:rsidP="00946ACC">
      <w:pPr>
        <w:pStyle w:val="Sinespaciado"/>
        <w:spacing w:line="360" w:lineRule="auto"/>
        <w:jc w:val="both"/>
        <w:rPr>
          <w:rFonts w:ascii="Palatino Linotype" w:hAnsi="Palatino Linotype"/>
          <w:b/>
          <w:bCs/>
          <w:spacing w:val="60"/>
          <w:lang w:val="es-ES_tradnl"/>
        </w:rPr>
      </w:pPr>
    </w:p>
    <w:p w:rsidR="00946ACC" w:rsidRPr="00350442"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lang w:val="es-ES_tradnl"/>
        </w:rPr>
        <w:t>PRIMERO.</w:t>
      </w:r>
      <w:r w:rsidRPr="00350442">
        <w:rPr>
          <w:rFonts w:ascii="Palatino Linotype" w:hAnsi="Palatino Linotype" w:cs="Arial"/>
          <w:lang w:val="es-ES_tradnl"/>
        </w:rPr>
        <w:t xml:space="preserve"> Se </w:t>
      </w:r>
      <w:r w:rsidR="001E1258">
        <w:rPr>
          <w:rFonts w:ascii="Palatino Linotype" w:hAnsi="Palatino Linotype" w:cs="Arial"/>
          <w:b/>
          <w:lang w:val="es-ES_tradnl"/>
        </w:rPr>
        <w:t>MODIFICA</w:t>
      </w:r>
      <w:r w:rsidRPr="00350442">
        <w:rPr>
          <w:rFonts w:ascii="Palatino Linotype" w:hAnsi="Palatino Linotype" w:cs="Arial"/>
          <w:lang w:val="es-ES_tradnl"/>
        </w:rPr>
        <w:t xml:space="preserve"> </w:t>
      </w:r>
      <w:r w:rsidRPr="00350442">
        <w:rPr>
          <w:rFonts w:ascii="Palatino Linotype" w:eastAsia="Arial Unicode MS" w:hAnsi="Palatino Linotype" w:cs="Arial"/>
        </w:rPr>
        <w:t>la respuesta entregada por el Sujeto Obligado</w:t>
      </w:r>
      <w:r w:rsidRPr="00350442">
        <w:rPr>
          <w:rFonts w:ascii="Palatino Linotype" w:eastAsia="Arial Unicode MS" w:hAnsi="Palatino Linotype" w:cs="Arial"/>
          <w:b/>
        </w:rPr>
        <w:t xml:space="preserve"> </w:t>
      </w:r>
      <w:r w:rsidRPr="00350442">
        <w:rPr>
          <w:rFonts w:ascii="Palatino Linotype" w:eastAsia="Arial Unicode MS" w:hAnsi="Palatino Linotype" w:cs="Arial"/>
        </w:rPr>
        <w:t xml:space="preserve">a la solicitud de información número </w:t>
      </w:r>
      <w:r w:rsidR="001E1258" w:rsidRPr="001E1258">
        <w:rPr>
          <w:rFonts w:ascii="Palatino Linotype" w:hAnsi="Palatino Linotype"/>
          <w:b/>
        </w:rPr>
        <w:t>00134/TEOTIHUA/IP/2020</w:t>
      </w:r>
      <w:r w:rsidRPr="00350442">
        <w:rPr>
          <w:rFonts w:ascii="Palatino Linotype" w:eastAsia="Arial Unicode MS" w:hAnsi="Palatino Linotype" w:cs="Arial"/>
        </w:rPr>
        <w:t xml:space="preserve">, por resultar </w:t>
      </w:r>
      <w:r>
        <w:rPr>
          <w:rFonts w:ascii="Palatino Linotype" w:eastAsia="Arial Unicode MS" w:hAnsi="Palatino Linotype" w:cs="Arial"/>
        </w:rPr>
        <w:t>fundados los</w:t>
      </w:r>
      <w:r w:rsidRPr="00350442">
        <w:rPr>
          <w:rFonts w:ascii="Palatino Linotype" w:eastAsia="Arial Unicode MS" w:hAnsi="Palatino Linotype" w:cs="Arial"/>
        </w:rPr>
        <w:t xml:space="preserve"> motivos de inconformidad que arguye el Recurrente, en términos del</w:t>
      </w:r>
      <w:r w:rsidRPr="00350442">
        <w:rPr>
          <w:rFonts w:ascii="Palatino Linotype" w:eastAsia="Arial Unicode MS" w:hAnsi="Palatino Linotype" w:cs="Arial"/>
          <w:b/>
        </w:rPr>
        <w:t xml:space="preserve"> </w:t>
      </w:r>
      <w:r>
        <w:rPr>
          <w:rFonts w:ascii="Palatino Linotype" w:hAnsi="Palatino Linotype" w:cs="Arial"/>
          <w:b/>
        </w:rPr>
        <w:t>Considerando CUAR</w:t>
      </w:r>
      <w:r w:rsidRPr="00350442">
        <w:rPr>
          <w:rFonts w:ascii="Palatino Linotype" w:hAnsi="Palatino Linotype" w:cs="Arial"/>
          <w:b/>
        </w:rPr>
        <w:t xml:space="preserve">TO </w:t>
      </w:r>
      <w:r w:rsidRPr="00350442">
        <w:rPr>
          <w:rFonts w:ascii="Palatino Linotype" w:hAnsi="Palatino Linotype" w:cs="Arial"/>
        </w:rPr>
        <w:t>de la presente resolución.</w:t>
      </w:r>
    </w:p>
    <w:p w:rsidR="00946ACC" w:rsidRPr="00350442" w:rsidRDefault="00946ACC" w:rsidP="00946ACC">
      <w:pPr>
        <w:pStyle w:val="Sinespaciado"/>
        <w:spacing w:line="360" w:lineRule="auto"/>
        <w:jc w:val="both"/>
        <w:rPr>
          <w:rFonts w:ascii="Palatino Linotype" w:hAnsi="Palatino Linotype" w:cs="Arial"/>
        </w:rPr>
      </w:pPr>
    </w:p>
    <w:p w:rsidR="00946ACC" w:rsidRPr="00350442"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lang w:val="es-ES_tradnl"/>
        </w:rPr>
        <w:t>SEGUNDO.</w:t>
      </w:r>
      <w:r w:rsidRPr="00350442">
        <w:rPr>
          <w:rFonts w:ascii="Palatino Linotype" w:hAnsi="Palatino Linotype" w:cs="Arial"/>
        </w:rPr>
        <w:t xml:space="preserve"> Se </w:t>
      </w:r>
      <w:r w:rsidRPr="00350442">
        <w:rPr>
          <w:rFonts w:ascii="Palatino Linotype" w:hAnsi="Palatino Linotype" w:cs="Arial"/>
          <w:b/>
        </w:rPr>
        <w:t>ORDENA</w:t>
      </w:r>
      <w:r w:rsidRPr="00350442">
        <w:rPr>
          <w:rFonts w:ascii="Palatino Linotype" w:hAnsi="Palatino Linotype" w:cs="Arial"/>
        </w:rPr>
        <w:t xml:space="preserve"> al Sujeto Obligado que haga entrega al Recurrente a través del SAIMEX</w:t>
      </w:r>
      <w:r>
        <w:rPr>
          <w:rFonts w:ascii="Palatino Linotype" w:hAnsi="Palatino Linotype" w:cs="Arial"/>
        </w:rPr>
        <w:t xml:space="preserve">, </w:t>
      </w:r>
      <w:r w:rsidR="00867469">
        <w:rPr>
          <w:rFonts w:ascii="Palatino Linotype" w:hAnsi="Palatino Linotype" w:cs="Arial"/>
        </w:rPr>
        <w:t>el o</w:t>
      </w:r>
      <w:r>
        <w:rPr>
          <w:rFonts w:ascii="Palatino Linotype" w:hAnsi="Palatino Linotype" w:cs="Arial"/>
        </w:rPr>
        <w:t xml:space="preserve"> los documentos</w:t>
      </w:r>
      <w:r w:rsidR="00D87582">
        <w:rPr>
          <w:rFonts w:ascii="Palatino Linotype" w:hAnsi="Palatino Linotype" w:cs="Arial"/>
        </w:rPr>
        <w:t>, de ser procedente en versión pública,</w:t>
      </w:r>
      <w:r>
        <w:rPr>
          <w:rFonts w:ascii="Palatino Linotype" w:hAnsi="Palatino Linotype" w:cs="Arial"/>
        </w:rPr>
        <w:t xml:space="preserve"> en donde conste lo </w:t>
      </w:r>
      <w:r w:rsidRPr="00350442">
        <w:rPr>
          <w:rFonts w:ascii="Palatino Linotype" w:hAnsi="Palatino Linotype" w:cs="Arial"/>
        </w:rPr>
        <w:t>siguiente:</w:t>
      </w:r>
    </w:p>
    <w:p w:rsidR="00946ACC" w:rsidRPr="00350442" w:rsidRDefault="00946ACC" w:rsidP="00946ACC">
      <w:pPr>
        <w:pStyle w:val="Sinespaciado"/>
        <w:spacing w:line="360" w:lineRule="auto"/>
        <w:jc w:val="both"/>
        <w:rPr>
          <w:rFonts w:ascii="Palatino Linotype" w:hAnsi="Palatino Linotype" w:cs="Arial"/>
        </w:rPr>
      </w:pPr>
    </w:p>
    <w:p w:rsidR="00826DC7" w:rsidRPr="00B1187E" w:rsidRDefault="00826DC7" w:rsidP="006E7722">
      <w:pPr>
        <w:numPr>
          <w:ilvl w:val="0"/>
          <w:numId w:val="3"/>
        </w:numPr>
        <w:spacing w:after="0" w:line="360" w:lineRule="auto"/>
        <w:jc w:val="both"/>
        <w:rPr>
          <w:rFonts w:ascii="Palatino Linotype" w:eastAsia="Times New Roman" w:hAnsi="Palatino Linotype" w:cs="Times New Roman"/>
          <w:sz w:val="24"/>
          <w:szCs w:val="24"/>
          <w:lang w:val="es-ES" w:eastAsia="es-MX"/>
        </w:rPr>
      </w:pPr>
      <w:r w:rsidRPr="00B1187E">
        <w:rPr>
          <w:rFonts w:ascii="Palatino Linotype" w:eastAsia="Times New Roman" w:hAnsi="Palatino Linotype" w:cs="Times New Roman"/>
          <w:sz w:val="24"/>
          <w:szCs w:val="24"/>
          <w:lang w:val="es-ES" w:eastAsia="es-MX"/>
        </w:rPr>
        <w:t>Los expedientes de los procedimientos de licitación pública, adjudicación directa e invitación restringida realizados por la Dirección de Obras Públicas y la Jefatura de Adquisiciones en el año 2018</w:t>
      </w:r>
      <w:r w:rsidR="005B548F">
        <w:rPr>
          <w:rFonts w:ascii="Palatino Linotype" w:eastAsia="Times New Roman" w:hAnsi="Palatino Linotype" w:cs="Times New Roman"/>
          <w:sz w:val="24"/>
          <w:szCs w:val="24"/>
          <w:lang w:val="es-ES" w:eastAsia="es-MX"/>
        </w:rPr>
        <w:t xml:space="preserve"> y 2019</w:t>
      </w:r>
      <w:r w:rsidR="00453729">
        <w:rPr>
          <w:rFonts w:ascii="Palatino Linotype" w:eastAsia="Times New Roman" w:hAnsi="Palatino Linotype" w:cs="Times New Roman"/>
          <w:sz w:val="24"/>
          <w:szCs w:val="24"/>
          <w:lang w:val="es-ES" w:eastAsia="es-MX"/>
        </w:rPr>
        <w:t>.</w:t>
      </w:r>
    </w:p>
    <w:p w:rsidR="00826DC7" w:rsidRPr="00C56FDF" w:rsidRDefault="00826DC7" w:rsidP="006E7722">
      <w:pPr>
        <w:numPr>
          <w:ilvl w:val="0"/>
          <w:numId w:val="3"/>
        </w:numPr>
        <w:spacing w:after="0" w:line="360" w:lineRule="auto"/>
        <w:jc w:val="both"/>
        <w:rPr>
          <w:rFonts w:ascii="Palatino Linotype" w:eastAsia="Times New Roman" w:hAnsi="Palatino Linotype" w:cs="Times New Roman"/>
          <w:sz w:val="24"/>
          <w:szCs w:val="24"/>
          <w:lang w:val="es-ES" w:eastAsia="es-MX"/>
        </w:rPr>
      </w:pPr>
      <w:r w:rsidRPr="0097669F">
        <w:rPr>
          <w:rFonts w:ascii="Palatino Linotype" w:eastAsia="Times New Roman" w:hAnsi="Palatino Linotype" w:cs="Times New Roman"/>
          <w:sz w:val="24"/>
          <w:szCs w:val="24"/>
          <w:lang w:val="es-ES" w:eastAsia="es-MX"/>
        </w:rPr>
        <w:t xml:space="preserve">Los expedientes de los procedimientos de adjudicación directa realizados por </w:t>
      </w:r>
      <w:r w:rsidR="0089171F" w:rsidRPr="00F955BF">
        <w:rPr>
          <w:rFonts w:ascii="Palatino Linotype" w:hAnsi="Palatino Linotype" w:cs="Arial"/>
          <w:sz w:val="24"/>
          <w:szCs w:val="24"/>
        </w:rPr>
        <w:t xml:space="preserve">la Dirección de Obras Públicas </w:t>
      </w:r>
      <w:r w:rsidR="0089171F">
        <w:rPr>
          <w:rFonts w:ascii="Palatino Linotype" w:hAnsi="Palatino Linotype" w:cs="Arial"/>
          <w:sz w:val="24"/>
          <w:szCs w:val="24"/>
        </w:rPr>
        <w:t xml:space="preserve">y </w:t>
      </w:r>
      <w:r w:rsidRPr="0097669F">
        <w:rPr>
          <w:rFonts w:ascii="Palatino Linotype" w:eastAsia="Times New Roman" w:hAnsi="Palatino Linotype" w:cs="Times New Roman"/>
          <w:sz w:val="24"/>
          <w:szCs w:val="24"/>
          <w:lang w:val="es-ES" w:eastAsia="es-MX"/>
        </w:rPr>
        <w:t>la Jefatura</w:t>
      </w:r>
      <w:r>
        <w:rPr>
          <w:rFonts w:ascii="Palatino Linotype" w:eastAsia="Times New Roman" w:hAnsi="Palatino Linotype" w:cs="Times New Roman"/>
          <w:sz w:val="24"/>
          <w:szCs w:val="24"/>
          <w:lang w:val="es-ES" w:eastAsia="es-MX"/>
        </w:rPr>
        <w:t xml:space="preserve"> de Adquisiciones del periodo que</w:t>
      </w:r>
      <w:r w:rsidR="00453729">
        <w:rPr>
          <w:rFonts w:ascii="Palatino Linotype" w:eastAsia="Times New Roman" w:hAnsi="Palatino Linotype" w:cs="Times New Roman"/>
          <w:sz w:val="24"/>
          <w:szCs w:val="24"/>
          <w:lang w:val="es-ES" w:eastAsia="es-MX"/>
        </w:rPr>
        <w:t xml:space="preserve"> comprende del 01 de enero al 25 de nov</w:t>
      </w:r>
      <w:r>
        <w:rPr>
          <w:rFonts w:ascii="Palatino Linotype" w:eastAsia="Times New Roman" w:hAnsi="Palatino Linotype" w:cs="Times New Roman"/>
          <w:sz w:val="24"/>
          <w:szCs w:val="24"/>
          <w:lang w:val="es-ES" w:eastAsia="es-MX"/>
        </w:rPr>
        <w:t>iembre de 2020.</w:t>
      </w:r>
    </w:p>
    <w:p w:rsidR="00826DC7" w:rsidRDefault="00826DC7" w:rsidP="00826DC7">
      <w:pPr>
        <w:spacing w:after="0" w:line="240" w:lineRule="auto"/>
        <w:ind w:left="993" w:right="425"/>
        <w:jc w:val="both"/>
        <w:rPr>
          <w:rFonts w:ascii="Palatino Linotype" w:hAnsi="Palatino Linotype" w:cs="Arial"/>
          <w:i/>
        </w:rPr>
      </w:pPr>
    </w:p>
    <w:p w:rsidR="00826DC7" w:rsidRDefault="00826DC7" w:rsidP="00826DC7">
      <w:pPr>
        <w:spacing w:after="0" w:line="240" w:lineRule="auto"/>
        <w:ind w:left="993" w:right="425"/>
        <w:jc w:val="both"/>
        <w:rPr>
          <w:rFonts w:ascii="Palatino Linotype" w:hAnsi="Palatino Linotype" w:cs="Arial"/>
          <w:i/>
        </w:rPr>
      </w:pPr>
      <w:r>
        <w:rPr>
          <w:rFonts w:ascii="Palatino Linotype" w:hAnsi="Palatino Linotype" w:cs="Arial"/>
          <w:i/>
        </w:rPr>
        <w:t>En el supuesto de que la información respecto de la que se ordena la entrega en el presente Resolutivo contenga datos susceptibles de clasificar, se deberá generar y entregar la versión pública correspondiente acompañada del acuerdo de clasificación, en términos de lo señalado en el Considerando QUINTO y en los artículos 49 fracción VIII, 132 fracción II de la Ley de Transparencia y Acceso a la Información Pública del Estado de México y Municipios y demás normatividad aplicable.</w:t>
      </w:r>
    </w:p>
    <w:p w:rsidR="00946ACC" w:rsidRPr="003A6F06" w:rsidRDefault="00946ACC" w:rsidP="00946ACC">
      <w:pPr>
        <w:pStyle w:val="Sinespaciado"/>
        <w:spacing w:line="360" w:lineRule="auto"/>
        <w:jc w:val="both"/>
        <w:rPr>
          <w:rFonts w:ascii="Palatino Linotype" w:hAnsi="Palatino Linotype"/>
        </w:rPr>
      </w:pPr>
    </w:p>
    <w:p w:rsidR="00A520EB"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rPr>
        <w:t>TERCERO. Notifíquese</w:t>
      </w:r>
      <w:r w:rsidRPr="00350442">
        <w:rPr>
          <w:rFonts w:ascii="Palatino Linotype" w:hAnsi="Palatino Linotype" w:cs="Arial"/>
          <w:b/>
          <w:i/>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520EB" w:rsidRPr="00350442" w:rsidRDefault="00A520EB" w:rsidP="00946ACC">
      <w:pPr>
        <w:pStyle w:val="Sinespaciado"/>
        <w:spacing w:line="360" w:lineRule="auto"/>
        <w:jc w:val="both"/>
        <w:rPr>
          <w:rFonts w:ascii="Palatino Linotype" w:hAnsi="Palatino Linotype" w:cs="Arial"/>
        </w:rPr>
      </w:pPr>
    </w:p>
    <w:p w:rsidR="00D92017" w:rsidRPr="00BD4B78" w:rsidRDefault="00D92017" w:rsidP="00D92017">
      <w:pPr>
        <w:spacing w:after="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92017" w:rsidRDefault="00D92017" w:rsidP="00946ACC">
      <w:pPr>
        <w:pStyle w:val="Sinespaciado"/>
        <w:spacing w:line="360" w:lineRule="auto"/>
        <w:jc w:val="both"/>
        <w:rPr>
          <w:rFonts w:ascii="Palatino Linotype" w:hAnsi="Palatino Linotype" w:cs="Arial"/>
          <w:b/>
        </w:rPr>
      </w:pPr>
    </w:p>
    <w:p w:rsidR="00CC570A" w:rsidRDefault="00D92017" w:rsidP="0087249B">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00946ACC" w:rsidRPr="00350442">
        <w:rPr>
          <w:rFonts w:ascii="Palatino Linotype" w:hAnsi="Palatino Linotype" w:cs="Arial"/>
          <w:b/>
        </w:rPr>
        <w:t xml:space="preserve">. Notifíquese </w:t>
      </w:r>
      <w:r w:rsidR="00946ACC" w:rsidRPr="00350442">
        <w:rPr>
          <w:rFonts w:ascii="Palatino Linotype" w:hAnsi="Palatino Linotype" w:cs="Arial"/>
        </w:rPr>
        <w:t xml:space="preserve">la presente resolución al Recurrente y hágase de su conocimiento que, </w:t>
      </w:r>
      <w:r w:rsidR="00946ACC" w:rsidRPr="00350442">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946ACC" w:rsidRPr="00350442">
        <w:rPr>
          <w:rStyle w:val="apple-converted-space"/>
          <w:rFonts w:ascii="Palatino Linotype" w:hAnsi="Palatino Linotype"/>
          <w:color w:val="222222"/>
          <w:shd w:val="clear" w:color="auto" w:fill="FFFFFF"/>
        </w:rPr>
        <w:t xml:space="preserve"> </w:t>
      </w:r>
      <w:r w:rsidR="00946ACC" w:rsidRPr="00350442">
        <w:rPr>
          <w:rFonts w:ascii="Palatino Linotype" w:hAnsi="Palatino Linotype"/>
          <w:color w:val="222222"/>
          <w:shd w:val="clear" w:color="auto" w:fill="FFFFFF"/>
        </w:rPr>
        <w:t>podrá promover el Juicio de Amparo en los términos de las leyes aplicables.</w:t>
      </w:r>
    </w:p>
    <w:p w:rsidR="000F4691" w:rsidRDefault="000F4691" w:rsidP="0087249B">
      <w:pPr>
        <w:pStyle w:val="Sinespaciado"/>
        <w:spacing w:line="360" w:lineRule="auto"/>
        <w:jc w:val="both"/>
        <w:rPr>
          <w:rFonts w:ascii="Palatino Linotype" w:hAnsi="Palatino Linotype"/>
          <w:color w:val="222222"/>
          <w:shd w:val="clear" w:color="auto" w:fill="FFFFFF"/>
        </w:rPr>
      </w:pPr>
    </w:p>
    <w:p w:rsidR="000F4691" w:rsidRDefault="000F4691" w:rsidP="0087249B">
      <w:pPr>
        <w:pStyle w:val="Sinespaciado"/>
        <w:spacing w:line="360" w:lineRule="auto"/>
        <w:jc w:val="both"/>
        <w:rPr>
          <w:rFonts w:ascii="Palatino Linotype" w:hAnsi="Palatino Linotype"/>
          <w:color w:val="222222"/>
          <w:shd w:val="clear" w:color="auto" w:fill="FFFFFF"/>
        </w:rPr>
      </w:pPr>
      <w:r w:rsidRPr="00A77124">
        <w:rPr>
          <w:rFonts w:ascii="Palatino Linotype" w:hAnsi="Palatino Linotype" w:cs="Arial"/>
          <w:b/>
          <w:sz w:val="28"/>
          <w:lang w:val="es-ES"/>
        </w:rPr>
        <w:t>SEXTO.</w:t>
      </w:r>
      <w:r w:rsidRPr="00A77124">
        <w:rPr>
          <w:rFonts w:ascii="Palatino Linotype" w:hAnsi="Palatino Linotype" w:cs="Arial"/>
          <w:lang w:val="es-ES"/>
        </w:rPr>
        <w:t xml:space="preserve"> Con fundamento en lo dispuesto en el artículo 24, fracciones XI, XII y XIII del</w:t>
      </w:r>
      <w:r>
        <w:rPr>
          <w:rFonts w:ascii="Palatino Linotype" w:hAnsi="Palatino Linotype" w:cs="Arial"/>
          <w:lang w:val="es-ES"/>
        </w:rPr>
        <w:t xml:space="preserve"> </w:t>
      </w:r>
      <w:r w:rsidRPr="00A77124">
        <w:rPr>
          <w:rFonts w:ascii="Palatino Linotype" w:hAnsi="Palatino Linotype" w:cs="Arial"/>
          <w:lang w:val="es-ES"/>
        </w:rPr>
        <w:t>Reglamento Interior del Instituto de Transparencia, Acceso a la Información Pública y</w:t>
      </w:r>
      <w:r>
        <w:rPr>
          <w:rFonts w:ascii="Palatino Linotype" w:hAnsi="Palatino Linotype" w:cs="Arial"/>
          <w:lang w:val="es-ES"/>
        </w:rPr>
        <w:t xml:space="preserve"> </w:t>
      </w:r>
      <w:r w:rsidRPr="00A77124">
        <w:rPr>
          <w:rFonts w:ascii="Palatino Linotype" w:hAnsi="Palatino Linotype" w:cs="Arial"/>
          <w:lang w:val="es-ES"/>
        </w:rPr>
        <w:t>Protección de Datos Personales del Estado de México y Municipios, gírese oficio a la</w:t>
      </w:r>
      <w:r>
        <w:rPr>
          <w:rFonts w:ascii="Palatino Linotype" w:hAnsi="Palatino Linotype" w:cs="Arial"/>
          <w:lang w:val="es-ES"/>
        </w:rPr>
        <w:t xml:space="preserve"> </w:t>
      </w:r>
      <w:r w:rsidRPr="00A77124">
        <w:rPr>
          <w:rFonts w:ascii="Palatino Linotype" w:hAnsi="Palatino Linotype" w:cs="Arial"/>
          <w:lang w:val="es-ES"/>
        </w:rPr>
        <w:t>Dirección General de Protección de Datos Personales de este Instituto, en términos de</w:t>
      </w:r>
      <w:r>
        <w:rPr>
          <w:rFonts w:ascii="Palatino Linotype" w:hAnsi="Palatino Linotype" w:cs="Arial"/>
          <w:lang w:val="es-ES"/>
        </w:rPr>
        <w:t xml:space="preserve"> </w:t>
      </w:r>
      <w:r w:rsidRPr="00A77124">
        <w:rPr>
          <w:rFonts w:ascii="Palatino Linotype" w:hAnsi="Palatino Linotype" w:cs="Arial"/>
          <w:lang w:val="es-ES"/>
        </w:rPr>
        <w:t>lo</w:t>
      </w:r>
      <w:r>
        <w:rPr>
          <w:rFonts w:ascii="Palatino Linotype" w:hAnsi="Palatino Linotype" w:cs="Arial"/>
          <w:lang w:val="es-ES"/>
        </w:rPr>
        <w:t xml:space="preserve"> </w:t>
      </w:r>
      <w:r w:rsidRPr="00A77124">
        <w:rPr>
          <w:rFonts w:ascii="Palatino Linotype" w:hAnsi="Palatino Linotype" w:cs="Arial"/>
          <w:lang w:val="es-ES"/>
        </w:rPr>
        <w:t xml:space="preserve">dispuesto en el Considerando </w:t>
      </w:r>
      <w:r>
        <w:rPr>
          <w:rFonts w:ascii="Palatino Linotype" w:hAnsi="Palatino Linotype" w:cs="Arial"/>
          <w:lang w:val="es-ES"/>
        </w:rPr>
        <w:t>Cuarto</w:t>
      </w:r>
      <w:r w:rsidRPr="00A77124">
        <w:rPr>
          <w:rFonts w:ascii="Palatino Linotype" w:hAnsi="Palatino Linotype" w:cs="Arial"/>
          <w:lang w:val="es-ES"/>
        </w:rPr>
        <w:t xml:space="preserve"> de la presente Resolución.</w:t>
      </w:r>
    </w:p>
    <w:p w:rsidR="0089171F" w:rsidRDefault="0089171F" w:rsidP="0087249B">
      <w:pPr>
        <w:pStyle w:val="Sinespaciado"/>
        <w:spacing w:line="360" w:lineRule="auto"/>
        <w:jc w:val="both"/>
        <w:rPr>
          <w:rFonts w:ascii="Palatino Linotype" w:hAnsi="Palatino Linotype"/>
          <w:color w:val="222222"/>
          <w:shd w:val="clear" w:color="auto" w:fill="FFFFFF"/>
        </w:rPr>
      </w:pPr>
    </w:p>
    <w:p w:rsidR="00977930" w:rsidRPr="00C61256" w:rsidRDefault="00977930" w:rsidP="00977930">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4"/>
        </w:rPr>
        <w:lastRenderedPageBreak/>
        <w:t xml:space="preserve">SÉPTIMO. </w:t>
      </w:r>
      <w:r w:rsidRPr="00C61256">
        <w:rPr>
          <w:rFonts w:ascii="Palatino Linotype" w:hAnsi="Palatino Linotype" w:cs="Arial"/>
          <w:sz w:val="24"/>
          <w:szCs w:val="24"/>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rsidR="00977930" w:rsidRPr="0087249B" w:rsidRDefault="00977930" w:rsidP="0087249B">
      <w:pPr>
        <w:pStyle w:val="Sinespaciado"/>
        <w:spacing w:line="360" w:lineRule="auto"/>
        <w:jc w:val="both"/>
        <w:rPr>
          <w:rFonts w:ascii="Palatino Linotype" w:hAnsi="Palatino Linotype"/>
          <w:color w:val="222222"/>
          <w:shd w:val="clear" w:color="auto" w:fill="FFFFFF"/>
        </w:rPr>
      </w:pPr>
    </w:p>
    <w:p w:rsidR="00B04BDC" w:rsidRPr="009A1358" w:rsidRDefault="00B04BDC" w:rsidP="009A1358">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w:t>
      </w:r>
      <w:r w:rsidR="009A1358">
        <w:rPr>
          <w:rFonts w:ascii="Palatino Linotype" w:hAnsi="Palatino Linotype" w:cs="Arial"/>
          <w:sz w:val="24"/>
          <w:szCs w:val="24"/>
        </w:rPr>
        <w:t xml:space="preserve"> (EMITIENDO VOTO PARTICULAR CONCURRENTE), </w:t>
      </w:r>
      <w:r>
        <w:rPr>
          <w:rFonts w:ascii="Palatino Linotype" w:hAnsi="Palatino Linotype" w:cs="Arial"/>
          <w:sz w:val="24"/>
          <w:szCs w:val="24"/>
        </w:rPr>
        <w:t xml:space="preserve"> Y LUIS GUSTAVO PARRA NORIEGA</w:t>
      </w:r>
      <w:r w:rsidR="009A1358">
        <w:rPr>
          <w:rFonts w:ascii="Palatino Linotype" w:hAnsi="Palatino Linotype" w:cs="Arial"/>
          <w:sz w:val="24"/>
          <w:szCs w:val="24"/>
        </w:rPr>
        <w:t xml:space="preserve"> (EMITIENDO VOTO PARTICULAR CONCURRENTE)</w:t>
      </w:r>
      <w:r>
        <w:rPr>
          <w:rFonts w:ascii="Palatino Linotype" w:hAnsi="Palatino Linotype" w:cs="Arial"/>
          <w:sz w:val="24"/>
          <w:szCs w:val="24"/>
        </w:rPr>
        <w:t xml:space="preserve">, EN LA </w:t>
      </w:r>
      <w:r w:rsidR="009A1358">
        <w:rPr>
          <w:rFonts w:ascii="Palatino Linotype" w:hAnsi="Palatino Linotype" w:cs="Arial"/>
          <w:sz w:val="24"/>
          <w:szCs w:val="24"/>
        </w:rPr>
        <w:t>OCTAVA</w:t>
      </w:r>
      <w:r w:rsidRPr="009A1358">
        <w:rPr>
          <w:rFonts w:ascii="Palatino Linotype" w:hAnsi="Palatino Linotype" w:cs="Arial"/>
          <w:sz w:val="24"/>
          <w:szCs w:val="24"/>
        </w:rPr>
        <w:t xml:space="preserve"> SESIÓN ORDINARIA CELEBRADA EL </w:t>
      </w:r>
      <w:r w:rsidR="009A1358">
        <w:rPr>
          <w:rFonts w:ascii="Palatino Linotype" w:hAnsi="Palatino Linotype" w:cs="Arial"/>
          <w:sz w:val="24"/>
          <w:szCs w:val="24"/>
        </w:rPr>
        <w:t>DIEZ DE MARZO DE DOS MIL VEINTIUNO</w:t>
      </w:r>
      <w:r w:rsidRPr="009A1358">
        <w:rPr>
          <w:rFonts w:ascii="Palatino Linotype" w:hAnsi="Palatino Linotype" w:cs="Arial"/>
          <w:sz w:val="24"/>
          <w:szCs w:val="24"/>
        </w:rPr>
        <w:t>, AN</w:t>
      </w:r>
      <w:r>
        <w:rPr>
          <w:rFonts w:ascii="Palatino Linotype" w:hAnsi="Palatino Linotype" w:cs="Arial"/>
          <w:sz w:val="24"/>
          <w:szCs w:val="24"/>
        </w:rPr>
        <w:t>TE EL SECRETARIO TÉCNICO DEL PLENO, ALEXIS TAPIA RAMÍREZ.--------------------</w:t>
      </w:r>
      <w:r w:rsidR="009A1358">
        <w:rPr>
          <w:rFonts w:ascii="Palatino Linotype" w:hAnsi="Palatino Linotype" w:cs="Arial"/>
          <w:sz w:val="24"/>
          <w:szCs w:val="24"/>
        </w:rPr>
        <w:t>---------------------------------------------------------------------------------------------------------------------------------------------------------------------------------------------------------------------------------------------------------------------------------------------------------------------------------------------------------------------------------------------------------------------------------------------------------------------------------------------------------------------------------------------------------------------------------------------------------------------------------------------------------------------------------------------------------------------------------------------------</w:t>
      </w:r>
    </w:p>
    <w:p w:rsidR="00B04BDC" w:rsidRPr="002052F6" w:rsidRDefault="00B04BDC" w:rsidP="00B04BDC">
      <w:pPr>
        <w:spacing w:after="0" w:line="240" w:lineRule="auto"/>
        <w:jc w:val="both"/>
        <w:rPr>
          <w:rFonts w:ascii="Palatino Linotype" w:hAnsi="Palatino Linotype" w:cs="Arial"/>
          <w:sz w:val="16"/>
          <w:szCs w:val="16"/>
        </w:rPr>
      </w:pPr>
      <w:bookmarkStart w:id="0" w:name="_GoBack"/>
      <w:bookmarkEnd w:id="0"/>
    </w:p>
    <w:p w:rsidR="00B04BDC" w:rsidRDefault="00F451DF" w:rsidP="00B04BDC">
      <w:pPr>
        <w:spacing w:after="0"/>
      </w:pPr>
      <w:r>
        <w:t>ZMS/OSAM/FJJC</w:t>
      </w:r>
    </w:p>
    <w:p w:rsidR="00DD13E2" w:rsidRDefault="00DD13E2" w:rsidP="00A459D0">
      <w:pPr>
        <w:spacing w:after="0" w:line="360" w:lineRule="auto"/>
        <w:jc w:val="both"/>
      </w:pPr>
    </w:p>
    <w:p w:rsidR="005C23FE" w:rsidRDefault="005C23FE" w:rsidP="00A459D0">
      <w:pPr>
        <w:spacing w:after="0" w:line="360" w:lineRule="auto"/>
        <w:jc w:val="both"/>
      </w:pPr>
    </w:p>
    <w:sectPr w:rsidR="005C23FE" w:rsidSect="00E15E85">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B16" w:rsidRDefault="00EF1B16" w:rsidP="00E15E85">
      <w:pPr>
        <w:spacing w:after="0" w:line="240" w:lineRule="auto"/>
      </w:pPr>
      <w:r>
        <w:separator/>
      </w:r>
    </w:p>
  </w:endnote>
  <w:endnote w:type="continuationSeparator" w:id="0">
    <w:p w:rsidR="00EF1B16" w:rsidRDefault="00EF1B1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5256">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5256">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52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5256">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B16" w:rsidRDefault="00EF1B16" w:rsidP="00E15E85">
      <w:pPr>
        <w:spacing w:after="0" w:line="240" w:lineRule="auto"/>
      </w:pPr>
      <w:r>
        <w:separator/>
      </w:r>
    </w:p>
  </w:footnote>
  <w:footnote w:type="continuationSeparator" w:id="0">
    <w:p w:rsidR="00EF1B16" w:rsidRDefault="00EF1B16"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358" w:rsidRDefault="00EF1B1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2976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F1B1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2976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rsidTr="009A1358">
      <w:trPr>
        <w:trHeight w:val="227"/>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E15E85" w:rsidRPr="00D56BC3" w:rsidRDefault="00B817D9"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9A1358">
            <w:rPr>
              <w:rFonts w:ascii="Palatino Linotype" w:hAnsi="Palatino Linotype" w:cs="Arial"/>
              <w:bCs/>
              <w:sz w:val="24"/>
              <w:lang w:eastAsia="es-MX"/>
            </w:rPr>
            <w:t>6205</w:t>
          </w:r>
          <w:r>
            <w:rPr>
              <w:rFonts w:ascii="Palatino Linotype" w:hAnsi="Palatino Linotype" w:cs="Arial"/>
              <w:bCs/>
              <w:vanish/>
              <w:sz w:val="24"/>
              <w:lang w:eastAsia="es-MX"/>
            </w:rPr>
            <w:t>5275 mil veinteelos participantes en las convocatorias</w:t>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sidR="00005DF6">
            <w:rPr>
              <w:rFonts w:ascii="Palatino Linotype" w:hAnsi="Palatino Linotype" w:cs="Arial"/>
              <w:bCs/>
              <w:sz w:val="24"/>
              <w:lang w:eastAsia="es-MX"/>
            </w:rPr>
            <w:t>/INFOEM/IP/RR/2020</w:t>
          </w:r>
        </w:p>
      </w:tc>
    </w:tr>
    <w:tr w:rsidR="00E15E85" w:rsidTr="009A1358">
      <w:trPr>
        <w:trHeight w:val="242"/>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E15E85" w:rsidRDefault="00005DF6" w:rsidP="00E15E8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9A1358" w:rsidRPr="00FE7EA1">
            <w:rPr>
              <w:rFonts w:ascii="Palatino Linotype" w:hAnsi="Palatino Linotype" w:cs="Arial"/>
              <w:szCs w:val="20"/>
            </w:rPr>
            <w:t>Teotihuacán</w:t>
          </w:r>
        </w:p>
      </w:tc>
    </w:tr>
    <w:tr w:rsidR="00E15E85" w:rsidTr="009A1358">
      <w:trPr>
        <w:trHeight w:val="342"/>
      </w:trPr>
      <w:tc>
        <w:tcPr>
          <w:tcW w:w="5671"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E15E85" w:rsidTr="009A1358">
      <w:trPr>
        <w:trHeight w:val="227"/>
      </w:trPr>
      <w:tc>
        <w:tcPr>
          <w:tcW w:w="5813"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FE7EA1">
            <w:rPr>
              <w:rFonts w:ascii="Palatino Linotype" w:hAnsi="Palatino Linotype" w:cs="Arial"/>
              <w:bCs/>
              <w:sz w:val="24"/>
              <w:lang w:eastAsia="es-MX"/>
            </w:rPr>
            <w:t>6205</w:t>
          </w:r>
          <w:r w:rsidR="00ED4142">
            <w:rPr>
              <w:rFonts w:ascii="Palatino Linotype" w:hAnsi="Palatino Linotype" w:cs="Arial"/>
              <w:bCs/>
              <w:sz w:val="24"/>
              <w:lang w:eastAsia="es-MX"/>
            </w:rPr>
            <w:t>/INFOEM/IP/RR/2020</w:t>
          </w:r>
        </w:p>
      </w:tc>
    </w:tr>
    <w:tr w:rsidR="00E15E85" w:rsidTr="009A1358">
      <w:trPr>
        <w:trHeight w:val="196"/>
      </w:trPr>
      <w:tc>
        <w:tcPr>
          <w:tcW w:w="5813"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rsidR="00E15E85" w:rsidRPr="00F06FED" w:rsidRDefault="00B55256"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rsidTr="009A1358">
      <w:trPr>
        <w:trHeight w:val="242"/>
      </w:trPr>
      <w:tc>
        <w:tcPr>
          <w:tcW w:w="5813"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E15E85" w:rsidRDefault="007628B7" w:rsidP="0015550A">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 xml:space="preserve">Ayuntamiento de </w:t>
          </w:r>
          <w:r w:rsidR="00FE7EA1" w:rsidRPr="00FE7EA1">
            <w:rPr>
              <w:rFonts w:ascii="Palatino Linotype" w:hAnsi="Palatino Linotype" w:cs="Arial"/>
              <w:szCs w:val="20"/>
            </w:rPr>
            <w:t>Teotihuacán</w:t>
          </w:r>
        </w:p>
      </w:tc>
    </w:tr>
    <w:tr w:rsidR="00E15E85" w:rsidTr="009A1358">
      <w:trPr>
        <w:trHeight w:val="342"/>
      </w:trPr>
      <w:tc>
        <w:tcPr>
          <w:tcW w:w="5813"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F1B1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2976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87912"/>
    <w:multiLevelType w:val="hybridMultilevel"/>
    <w:tmpl w:val="5DE20A3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5A4C61"/>
    <w:multiLevelType w:val="hybridMultilevel"/>
    <w:tmpl w:val="EACE63C8"/>
    <w:lvl w:ilvl="0" w:tplc="BFA22DD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4D893CC9"/>
    <w:multiLevelType w:val="hybridMultilevel"/>
    <w:tmpl w:val="48207816"/>
    <w:lvl w:ilvl="0" w:tplc="08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427E0C"/>
    <w:multiLevelType w:val="hybridMultilevel"/>
    <w:tmpl w:val="20FEF8F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5309"/>
    <w:rsid w:val="00005DF6"/>
    <w:rsid w:val="00013BCB"/>
    <w:rsid w:val="00020444"/>
    <w:rsid w:val="00020EE0"/>
    <w:rsid w:val="000222F7"/>
    <w:rsid w:val="0003050E"/>
    <w:rsid w:val="00030869"/>
    <w:rsid w:val="00032CF7"/>
    <w:rsid w:val="00033003"/>
    <w:rsid w:val="00035EDB"/>
    <w:rsid w:val="00035F8F"/>
    <w:rsid w:val="00041425"/>
    <w:rsid w:val="0004795A"/>
    <w:rsid w:val="00050DB5"/>
    <w:rsid w:val="00052D4F"/>
    <w:rsid w:val="00053ED1"/>
    <w:rsid w:val="00060DD9"/>
    <w:rsid w:val="00062CBD"/>
    <w:rsid w:val="00062CDA"/>
    <w:rsid w:val="00063AE7"/>
    <w:rsid w:val="00073973"/>
    <w:rsid w:val="00074A99"/>
    <w:rsid w:val="000751FB"/>
    <w:rsid w:val="00076643"/>
    <w:rsid w:val="000773C1"/>
    <w:rsid w:val="00080E38"/>
    <w:rsid w:val="00082DF3"/>
    <w:rsid w:val="00083664"/>
    <w:rsid w:val="00087D51"/>
    <w:rsid w:val="00096CF9"/>
    <w:rsid w:val="00097F38"/>
    <w:rsid w:val="000A3740"/>
    <w:rsid w:val="000B00E1"/>
    <w:rsid w:val="000B3319"/>
    <w:rsid w:val="000B5CA4"/>
    <w:rsid w:val="000C4D36"/>
    <w:rsid w:val="000C59EE"/>
    <w:rsid w:val="000D23C7"/>
    <w:rsid w:val="000D5294"/>
    <w:rsid w:val="000D6771"/>
    <w:rsid w:val="000D7FDC"/>
    <w:rsid w:val="000E2FED"/>
    <w:rsid w:val="000E56A4"/>
    <w:rsid w:val="000F019E"/>
    <w:rsid w:val="000F0611"/>
    <w:rsid w:val="000F1F3A"/>
    <w:rsid w:val="000F2A0E"/>
    <w:rsid w:val="000F4691"/>
    <w:rsid w:val="000F7A3C"/>
    <w:rsid w:val="0011750A"/>
    <w:rsid w:val="0012266D"/>
    <w:rsid w:val="00125254"/>
    <w:rsid w:val="00130D58"/>
    <w:rsid w:val="001318DC"/>
    <w:rsid w:val="00132E81"/>
    <w:rsid w:val="001374A4"/>
    <w:rsid w:val="00143758"/>
    <w:rsid w:val="00146A93"/>
    <w:rsid w:val="001501D2"/>
    <w:rsid w:val="001527DE"/>
    <w:rsid w:val="0015550A"/>
    <w:rsid w:val="00171798"/>
    <w:rsid w:val="00171BD5"/>
    <w:rsid w:val="0017203D"/>
    <w:rsid w:val="0018251E"/>
    <w:rsid w:val="0018257F"/>
    <w:rsid w:val="00183623"/>
    <w:rsid w:val="00186938"/>
    <w:rsid w:val="00195489"/>
    <w:rsid w:val="001A32DE"/>
    <w:rsid w:val="001B066D"/>
    <w:rsid w:val="001B160D"/>
    <w:rsid w:val="001B3E5E"/>
    <w:rsid w:val="001C0F7D"/>
    <w:rsid w:val="001C28D0"/>
    <w:rsid w:val="001C3E01"/>
    <w:rsid w:val="001C3F41"/>
    <w:rsid w:val="001C7069"/>
    <w:rsid w:val="001E1258"/>
    <w:rsid w:val="001E5993"/>
    <w:rsid w:val="00200395"/>
    <w:rsid w:val="002019BD"/>
    <w:rsid w:val="002052F6"/>
    <w:rsid w:val="00207283"/>
    <w:rsid w:val="00217E99"/>
    <w:rsid w:val="00223C2F"/>
    <w:rsid w:val="00224181"/>
    <w:rsid w:val="00230DC3"/>
    <w:rsid w:val="00233D51"/>
    <w:rsid w:val="0024055C"/>
    <w:rsid w:val="00241578"/>
    <w:rsid w:val="00241B8C"/>
    <w:rsid w:val="002437D9"/>
    <w:rsid w:val="0025319F"/>
    <w:rsid w:val="00253C58"/>
    <w:rsid w:val="00260563"/>
    <w:rsid w:val="002606F0"/>
    <w:rsid w:val="0026534C"/>
    <w:rsid w:val="002677ED"/>
    <w:rsid w:val="00272144"/>
    <w:rsid w:val="00287512"/>
    <w:rsid w:val="002902D7"/>
    <w:rsid w:val="00294D34"/>
    <w:rsid w:val="002A067D"/>
    <w:rsid w:val="002A0A70"/>
    <w:rsid w:val="002A0B8E"/>
    <w:rsid w:val="002A1820"/>
    <w:rsid w:val="002A30B2"/>
    <w:rsid w:val="002A3ED1"/>
    <w:rsid w:val="002A42E4"/>
    <w:rsid w:val="002A6F17"/>
    <w:rsid w:val="002B144D"/>
    <w:rsid w:val="002B1A4F"/>
    <w:rsid w:val="002B48E4"/>
    <w:rsid w:val="002B718C"/>
    <w:rsid w:val="002C42B8"/>
    <w:rsid w:val="002C5AC2"/>
    <w:rsid w:val="002C6BFF"/>
    <w:rsid w:val="002D1CF7"/>
    <w:rsid w:val="002E10F7"/>
    <w:rsid w:val="002F2076"/>
    <w:rsid w:val="002F539F"/>
    <w:rsid w:val="003011A8"/>
    <w:rsid w:val="003028D1"/>
    <w:rsid w:val="003034F4"/>
    <w:rsid w:val="0030350B"/>
    <w:rsid w:val="00304087"/>
    <w:rsid w:val="00307CD9"/>
    <w:rsid w:val="003126D8"/>
    <w:rsid w:val="00313FE3"/>
    <w:rsid w:val="00314E07"/>
    <w:rsid w:val="003160E8"/>
    <w:rsid w:val="003162D8"/>
    <w:rsid w:val="00317B8A"/>
    <w:rsid w:val="00325FAA"/>
    <w:rsid w:val="0032711F"/>
    <w:rsid w:val="00330A95"/>
    <w:rsid w:val="00332CFA"/>
    <w:rsid w:val="003341B0"/>
    <w:rsid w:val="00334E11"/>
    <w:rsid w:val="00336F11"/>
    <w:rsid w:val="00337B49"/>
    <w:rsid w:val="00342A59"/>
    <w:rsid w:val="00343929"/>
    <w:rsid w:val="00345C5E"/>
    <w:rsid w:val="0034696E"/>
    <w:rsid w:val="003470B1"/>
    <w:rsid w:val="003474F2"/>
    <w:rsid w:val="00347F2C"/>
    <w:rsid w:val="0035101A"/>
    <w:rsid w:val="003522E2"/>
    <w:rsid w:val="00357BFC"/>
    <w:rsid w:val="003665BA"/>
    <w:rsid w:val="00382E48"/>
    <w:rsid w:val="00385299"/>
    <w:rsid w:val="00386EC3"/>
    <w:rsid w:val="0039084D"/>
    <w:rsid w:val="00394CC7"/>
    <w:rsid w:val="003A544E"/>
    <w:rsid w:val="003B465B"/>
    <w:rsid w:val="003B49C0"/>
    <w:rsid w:val="003B5697"/>
    <w:rsid w:val="003C1F07"/>
    <w:rsid w:val="003C5897"/>
    <w:rsid w:val="003E2AE6"/>
    <w:rsid w:val="003E68C8"/>
    <w:rsid w:val="003F6C6C"/>
    <w:rsid w:val="00403740"/>
    <w:rsid w:val="0041137A"/>
    <w:rsid w:val="00411827"/>
    <w:rsid w:val="00415ED7"/>
    <w:rsid w:val="0041722B"/>
    <w:rsid w:val="0042378C"/>
    <w:rsid w:val="004254FE"/>
    <w:rsid w:val="004265E4"/>
    <w:rsid w:val="00433F0F"/>
    <w:rsid w:val="00437C82"/>
    <w:rsid w:val="00437E85"/>
    <w:rsid w:val="00443C6C"/>
    <w:rsid w:val="00447C95"/>
    <w:rsid w:val="00453729"/>
    <w:rsid w:val="0047358F"/>
    <w:rsid w:val="00481600"/>
    <w:rsid w:val="004867DE"/>
    <w:rsid w:val="00486FE1"/>
    <w:rsid w:val="00492244"/>
    <w:rsid w:val="004931E7"/>
    <w:rsid w:val="004A2BFB"/>
    <w:rsid w:val="004A4E4D"/>
    <w:rsid w:val="004B1B38"/>
    <w:rsid w:val="004C0C26"/>
    <w:rsid w:val="004C12F9"/>
    <w:rsid w:val="004C3693"/>
    <w:rsid w:val="004C74FB"/>
    <w:rsid w:val="004D2991"/>
    <w:rsid w:val="004E271B"/>
    <w:rsid w:val="004E5F55"/>
    <w:rsid w:val="004E6DB3"/>
    <w:rsid w:val="004F05B2"/>
    <w:rsid w:val="004F0802"/>
    <w:rsid w:val="004F4C76"/>
    <w:rsid w:val="005073CF"/>
    <w:rsid w:val="0050780F"/>
    <w:rsid w:val="00511AC9"/>
    <w:rsid w:val="0051435E"/>
    <w:rsid w:val="00515641"/>
    <w:rsid w:val="00525565"/>
    <w:rsid w:val="00527856"/>
    <w:rsid w:val="00527C6A"/>
    <w:rsid w:val="00531D07"/>
    <w:rsid w:val="005329E8"/>
    <w:rsid w:val="00554258"/>
    <w:rsid w:val="0056434F"/>
    <w:rsid w:val="005727E1"/>
    <w:rsid w:val="005733EB"/>
    <w:rsid w:val="0057576D"/>
    <w:rsid w:val="0058641D"/>
    <w:rsid w:val="0059073D"/>
    <w:rsid w:val="005A7D62"/>
    <w:rsid w:val="005B1DF4"/>
    <w:rsid w:val="005B548F"/>
    <w:rsid w:val="005C10B2"/>
    <w:rsid w:val="005C23FE"/>
    <w:rsid w:val="005D0870"/>
    <w:rsid w:val="005D17CF"/>
    <w:rsid w:val="005E015A"/>
    <w:rsid w:val="005E601C"/>
    <w:rsid w:val="005F014F"/>
    <w:rsid w:val="005F0A95"/>
    <w:rsid w:val="005F27D1"/>
    <w:rsid w:val="005F27DF"/>
    <w:rsid w:val="005F32D2"/>
    <w:rsid w:val="00611799"/>
    <w:rsid w:val="00614FDD"/>
    <w:rsid w:val="00616784"/>
    <w:rsid w:val="006200A2"/>
    <w:rsid w:val="00624C9F"/>
    <w:rsid w:val="00630582"/>
    <w:rsid w:val="00631B59"/>
    <w:rsid w:val="00634239"/>
    <w:rsid w:val="00634FC9"/>
    <w:rsid w:val="00637A11"/>
    <w:rsid w:val="00650FCE"/>
    <w:rsid w:val="00651B07"/>
    <w:rsid w:val="00653AE3"/>
    <w:rsid w:val="00653B08"/>
    <w:rsid w:val="00654533"/>
    <w:rsid w:val="00654B56"/>
    <w:rsid w:val="00657E2A"/>
    <w:rsid w:val="0066339D"/>
    <w:rsid w:val="00664CA7"/>
    <w:rsid w:val="00665024"/>
    <w:rsid w:val="00673CFD"/>
    <w:rsid w:val="00676EB8"/>
    <w:rsid w:val="00680423"/>
    <w:rsid w:val="006866FB"/>
    <w:rsid w:val="006A1167"/>
    <w:rsid w:val="006B2E10"/>
    <w:rsid w:val="006C1A4F"/>
    <w:rsid w:val="006C2C4B"/>
    <w:rsid w:val="006C35AF"/>
    <w:rsid w:val="006D27AC"/>
    <w:rsid w:val="006E63CF"/>
    <w:rsid w:val="006E7722"/>
    <w:rsid w:val="006F2EA8"/>
    <w:rsid w:val="006F46D5"/>
    <w:rsid w:val="00702AB3"/>
    <w:rsid w:val="00707CD8"/>
    <w:rsid w:val="00710683"/>
    <w:rsid w:val="0071132A"/>
    <w:rsid w:val="00712DB8"/>
    <w:rsid w:val="007152E4"/>
    <w:rsid w:val="0071620F"/>
    <w:rsid w:val="00717B4F"/>
    <w:rsid w:val="00721C6D"/>
    <w:rsid w:val="007222CB"/>
    <w:rsid w:val="00732C05"/>
    <w:rsid w:val="007475FB"/>
    <w:rsid w:val="00751252"/>
    <w:rsid w:val="00755099"/>
    <w:rsid w:val="007577B1"/>
    <w:rsid w:val="00757BDB"/>
    <w:rsid w:val="007617A3"/>
    <w:rsid w:val="007628B7"/>
    <w:rsid w:val="0077099A"/>
    <w:rsid w:val="0077680C"/>
    <w:rsid w:val="00776C31"/>
    <w:rsid w:val="0079194D"/>
    <w:rsid w:val="00793344"/>
    <w:rsid w:val="00793FB4"/>
    <w:rsid w:val="007A0267"/>
    <w:rsid w:val="007A1EFA"/>
    <w:rsid w:val="007B5366"/>
    <w:rsid w:val="007B6215"/>
    <w:rsid w:val="007B7A2B"/>
    <w:rsid w:val="007C1445"/>
    <w:rsid w:val="007C5165"/>
    <w:rsid w:val="007D0FF6"/>
    <w:rsid w:val="007D276C"/>
    <w:rsid w:val="007D48FA"/>
    <w:rsid w:val="007E2959"/>
    <w:rsid w:val="007F5C41"/>
    <w:rsid w:val="0080459B"/>
    <w:rsid w:val="00807E66"/>
    <w:rsid w:val="0081708D"/>
    <w:rsid w:val="008259CA"/>
    <w:rsid w:val="00826DC7"/>
    <w:rsid w:val="00827BCB"/>
    <w:rsid w:val="00834953"/>
    <w:rsid w:val="00834F4B"/>
    <w:rsid w:val="00837327"/>
    <w:rsid w:val="0084425F"/>
    <w:rsid w:val="00845C1C"/>
    <w:rsid w:val="00850B11"/>
    <w:rsid w:val="0085564E"/>
    <w:rsid w:val="00857F9A"/>
    <w:rsid w:val="00860F0A"/>
    <w:rsid w:val="00861BED"/>
    <w:rsid w:val="00867469"/>
    <w:rsid w:val="00871B5D"/>
    <w:rsid w:val="00872278"/>
    <w:rsid w:val="0087249B"/>
    <w:rsid w:val="00873EF8"/>
    <w:rsid w:val="00875499"/>
    <w:rsid w:val="00880162"/>
    <w:rsid w:val="00881D0D"/>
    <w:rsid w:val="00883D82"/>
    <w:rsid w:val="008904FC"/>
    <w:rsid w:val="0089171F"/>
    <w:rsid w:val="008A0C8F"/>
    <w:rsid w:val="008A12F6"/>
    <w:rsid w:val="008A7A86"/>
    <w:rsid w:val="008B34EC"/>
    <w:rsid w:val="008C0698"/>
    <w:rsid w:val="008C2D55"/>
    <w:rsid w:val="008C314B"/>
    <w:rsid w:val="008D33FE"/>
    <w:rsid w:val="008E0DD2"/>
    <w:rsid w:val="008E0E21"/>
    <w:rsid w:val="008E3F2C"/>
    <w:rsid w:val="008E5141"/>
    <w:rsid w:val="008E7C09"/>
    <w:rsid w:val="008F084E"/>
    <w:rsid w:val="008F77B1"/>
    <w:rsid w:val="008F7A52"/>
    <w:rsid w:val="009050B2"/>
    <w:rsid w:val="00905D13"/>
    <w:rsid w:val="00910B64"/>
    <w:rsid w:val="00925375"/>
    <w:rsid w:val="00940EBE"/>
    <w:rsid w:val="00943223"/>
    <w:rsid w:val="00944134"/>
    <w:rsid w:val="0094613F"/>
    <w:rsid w:val="00946ACC"/>
    <w:rsid w:val="009472F0"/>
    <w:rsid w:val="00950F0A"/>
    <w:rsid w:val="0095157B"/>
    <w:rsid w:val="00956134"/>
    <w:rsid w:val="009614DA"/>
    <w:rsid w:val="00962BB1"/>
    <w:rsid w:val="00963155"/>
    <w:rsid w:val="0097286C"/>
    <w:rsid w:val="00976A80"/>
    <w:rsid w:val="00977930"/>
    <w:rsid w:val="00980401"/>
    <w:rsid w:val="009838CD"/>
    <w:rsid w:val="00985E6C"/>
    <w:rsid w:val="00987346"/>
    <w:rsid w:val="009877A2"/>
    <w:rsid w:val="00991CC2"/>
    <w:rsid w:val="00992273"/>
    <w:rsid w:val="00993CE1"/>
    <w:rsid w:val="00994336"/>
    <w:rsid w:val="00997030"/>
    <w:rsid w:val="009A0459"/>
    <w:rsid w:val="009A0AC5"/>
    <w:rsid w:val="009A1358"/>
    <w:rsid w:val="009B4889"/>
    <w:rsid w:val="009B76BF"/>
    <w:rsid w:val="009C75A5"/>
    <w:rsid w:val="009D08A9"/>
    <w:rsid w:val="009D427C"/>
    <w:rsid w:val="009D4C08"/>
    <w:rsid w:val="009E1F9F"/>
    <w:rsid w:val="009E279C"/>
    <w:rsid w:val="009E3B36"/>
    <w:rsid w:val="009E5649"/>
    <w:rsid w:val="009F30E4"/>
    <w:rsid w:val="009F4D4F"/>
    <w:rsid w:val="009F6268"/>
    <w:rsid w:val="009F7948"/>
    <w:rsid w:val="00A11FE2"/>
    <w:rsid w:val="00A1241A"/>
    <w:rsid w:val="00A202F3"/>
    <w:rsid w:val="00A21B83"/>
    <w:rsid w:val="00A24CAB"/>
    <w:rsid w:val="00A253C5"/>
    <w:rsid w:val="00A27CE2"/>
    <w:rsid w:val="00A36240"/>
    <w:rsid w:val="00A401A6"/>
    <w:rsid w:val="00A40AA7"/>
    <w:rsid w:val="00A447F3"/>
    <w:rsid w:val="00A459D0"/>
    <w:rsid w:val="00A461A9"/>
    <w:rsid w:val="00A46750"/>
    <w:rsid w:val="00A520EB"/>
    <w:rsid w:val="00A62E49"/>
    <w:rsid w:val="00A67B8F"/>
    <w:rsid w:val="00A70873"/>
    <w:rsid w:val="00A70BE5"/>
    <w:rsid w:val="00A75D74"/>
    <w:rsid w:val="00A77CBE"/>
    <w:rsid w:val="00A859D1"/>
    <w:rsid w:val="00A863D6"/>
    <w:rsid w:val="00A92C85"/>
    <w:rsid w:val="00A948EF"/>
    <w:rsid w:val="00AA08D9"/>
    <w:rsid w:val="00AA2CB1"/>
    <w:rsid w:val="00AA4538"/>
    <w:rsid w:val="00AA5258"/>
    <w:rsid w:val="00AA5274"/>
    <w:rsid w:val="00AC1215"/>
    <w:rsid w:val="00AC1D50"/>
    <w:rsid w:val="00AC44EF"/>
    <w:rsid w:val="00AC4880"/>
    <w:rsid w:val="00AC5FA1"/>
    <w:rsid w:val="00AD1E53"/>
    <w:rsid w:val="00AE1180"/>
    <w:rsid w:val="00AE2701"/>
    <w:rsid w:val="00AE6C3B"/>
    <w:rsid w:val="00AF32D3"/>
    <w:rsid w:val="00B013A0"/>
    <w:rsid w:val="00B020D7"/>
    <w:rsid w:val="00B04BDC"/>
    <w:rsid w:val="00B052B4"/>
    <w:rsid w:val="00B10B28"/>
    <w:rsid w:val="00B1167B"/>
    <w:rsid w:val="00B11FA7"/>
    <w:rsid w:val="00B12DA8"/>
    <w:rsid w:val="00B13C8E"/>
    <w:rsid w:val="00B1456E"/>
    <w:rsid w:val="00B165EF"/>
    <w:rsid w:val="00B16B3F"/>
    <w:rsid w:val="00B16B88"/>
    <w:rsid w:val="00B17A1D"/>
    <w:rsid w:val="00B20422"/>
    <w:rsid w:val="00B252F9"/>
    <w:rsid w:val="00B258A2"/>
    <w:rsid w:val="00B25D15"/>
    <w:rsid w:val="00B2770A"/>
    <w:rsid w:val="00B27CB2"/>
    <w:rsid w:val="00B34A6D"/>
    <w:rsid w:val="00B355AB"/>
    <w:rsid w:val="00B43530"/>
    <w:rsid w:val="00B44BB1"/>
    <w:rsid w:val="00B50BD7"/>
    <w:rsid w:val="00B51395"/>
    <w:rsid w:val="00B51AF4"/>
    <w:rsid w:val="00B54578"/>
    <w:rsid w:val="00B55256"/>
    <w:rsid w:val="00B553D5"/>
    <w:rsid w:val="00B57A54"/>
    <w:rsid w:val="00B66DEA"/>
    <w:rsid w:val="00B67466"/>
    <w:rsid w:val="00B7353E"/>
    <w:rsid w:val="00B74369"/>
    <w:rsid w:val="00B817D9"/>
    <w:rsid w:val="00B86E3B"/>
    <w:rsid w:val="00B90BC9"/>
    <w:rsid w:val="00B942F0"/>
    <w:rsid w:val="00BA225C"/>
    <w:rsid w:val="00BA2458"/>
    <w:rsid w:val="00BA2908"/>
    <w:rsid w:val="00BA5A1B"/>
    <w:rsid w:val="00BA68FA"/>
    <w:rsid w:val="00BB5E16"/>
    <w:rsid w:val="00BB6D63"/>
    <w:rsid w:val="00BC1280"/>
    <w:rsid w:val="00BC1A30"/>
    <w:rsid w:val="00BC1C0A"/>
    <w:rsid w:val="00BC1F65"/>
    <w:rsid w:val="00BC4EF7"/>
    <w:rsid w:val="00BD19FA"/>
    <w:rsid w:val="00BD3741"/>
    <w:rsid w:val="00BD5907"/>
    <w:rsid w:val="00BD652F"/>
    <w:rsid w:val="00BE21CE"/>
    <w:rsid w:val="00BE35D8"/>
    <w:rsid w:val="00BE6D2F"/>
    <w:rsid w:val="00BF1F57"/>
    <w:rsid w:val="00BF2F26"/>
    <w:rsid w:val="00BF4940"/>
    <w:rsid w:val="00C06006"/>
    <w:rsid w:val="00C06B0B"/>
    <w:rsid w:val="00C13508"/>
    <w:rsid w:val="00C16071"/>
    <w:rsid w:val="00C203E8"/>
    <w:rsid w:val="00C2391B"/>
    <w:rsid w:val="00C24AE8"/>
    <w:rsid w:val="00C25BA8"/>
    <w:rsid w:val="00C40CA7"/>
    <w:rsid w:val="00C50262"/>
    <w:rsid w:val="00C522A3"/>
    <w:rsid w:val="00C546B6"/>
    <w:rsid w:val="00C56A1E"/>
    <w:rsid w:val="00C56C4E"/>
    <w:rsid w:val="00C62BDF"/>
    <w:rsid w:val="00C62E8E"/>
    <w:rsid w:val="00C63001"/>
    <w:rsid w:val="00C6478B"/>
    <w:rsid w:val="00C64C22"/>
    <w:rsid w:val="00C66E70"/>
    <w:rsid w:val="00C7723D"/>
    <w:rsid w:val="00C7747D"/>
    <w:rsid w:val="00C80AEF"/>
    <w:rsid w:val="00CA3C0C"/>
    <w:rsid w:val="00CA7BDA"/>
    <w:rsid w:val="00CB20BC"/>
    <w:rsid w:val="00CC23E2"/>
    <w:rsid w:val="00CC3276"/>
    <w:rsid w:val="00CC4E94"/>
    <w:rsid w:val="00CC570A"/>
    <w:rsid w:val="00CD18A3"/>
    <w:rsid w:val="00CD55BD"/>
    <w:rsid w:val="00CF53DF"/>
    <w:rsid w:val="00D001A0"/>
    <w:rsid w:val="00D120B9"/>
    <w:rsid w:val="00D12C9D"/>
    <w:rsid w:val="00D12DF8"/>
    <w:rsid w:val="00D15363"/>
    <w:rsid w:val="00D16237"/>
    <w:rsid w:val="00D22632"/>
    <w:rsid w:val="00D2369C"/>
    <w:rsid w:val="00D24D84"/>
    <w:rsid w:val="00D25862"/>
    <w:rsid w:val="00D27526"/>
    <w:rsid w:val="00D30D0C"/>
    <w:rsid w:val="00D352E2"/>
    <w:rsid w:val="00D405E6"/>
    <w:rsid w:val="00D41F41"/>
    <w:rsid w:val="00D54321"/>
    <w:rsid w:val="00D54B1C"/>
    <w:rsid w:val="00D55CE4"/>
    <w:rsid w:val="00D56BC3"/>
    <w:rsid w:val="00D64864"/>
    <w:rsid w:val="00D67629"/>
    <w:rsid w:val="00D70FE3"/>
    <w:rsid w:val="00D75452"/>
    <w:rsid w:val="00D8485C"/>
    <w:rsid w:val="00D86447"/>
    <w:rsid w:val="00D874D8"/>
    <w:rsid w:val="00D87582"/>
    <w:rsid w:val="00D9010D"/>
    <w:rsid w:val="00D91C17"/>
    <w:rsid w:val="00D92017"/>
    <w:rsid w:val="00D95208"/>
    <w:rsid w:val="00D95936"/>
    <w:rsid w:val="00D95F44"/>
    <w:rsid w:val="00D96638"/>
    <w:rsid w:val="00D97375"/>
    <w:rsid w:val="00DA3CBF"/>
    <w:rsid w:val="00DA454A"/>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D6EDF"/>
    <w:rsid w:val="00DE6EF1"/>
    <w:rsid w:val="00DF5AFA"/>
    <w:rsid w:val="00E039B7"/>
    <w:rsid w:val="00E03B09"/>
    <w:rsid w:val="00E10982"/>
    <w:rsid w:val="00E10DEE"/>
    <w:rsid w:val="00E158AD"/>
    <w:rsid w:val="00E15E85"/>
    <w:rsid w:val="00E20DFF"/>
    <w:rsid w:val="00E221C1"/>
    <w:rsid w:val="00E30AF5"/>
    <w:rsid w:val="00E34874"/>
    <w:rsid w:val="00E34FA5"/>
    <w:rsid w:val="00E372DA"/>
    <w:rsid w:val="00E41A23"/>
    <w:rsid w:val="00E4433C"/>
    <w:rsid w:val="00E44464"/>
    <w:rsid w:val="00E44BBB"/>
    <w:rsid w:val="00E57F62"/>
    <w:rsid w:val="00E623FA"/>
    <w:rsid w:val="00E62963"/>
    <w:rsid w:val="00E66D6D"/>
    <w:rsid w:val="00E72FFA"/>
    <w:rsid w:val="00E738B6"/>
    <w:rsid w:val="00E739DB"/>
    <w:rsid w:val="00E77E8B"/>
    <w:rsid w:val="00E819A2"/>
    <w:rsid w:val="00E8593B"/>
    <w:rsid w:val="00E85DB7"/>
    <w:rsid w:val="00E86869"/>
    <w:rsid w:val="00E87E34"/>
    <w:rsid w:val="00E91B25"/>
    <w:rsid w:val="00E92058"/>
    <w:rsid w:val="00E92E34"/>
    <w:rsid w:val="00E94BA2"/>
    <w:rsid w:val="00E95D7C"/>
    <w:rsid w:val="00E95DEA"/>
    <w:rsid w:val="00EA0D06"/>
    <w:rsid w:val="00EA1894"/>
    <w:rsid w:val="00EA4B96"/>
    <w:rsid w:val="00EA663A"/>
    <w:rsid w:val="00EB1C9E"/>
    <w:rsid w:val="00EB2D51"/>
    <w:rsid w:val="00EB551F"/>
    <w:rsid w:val="00EC601F"/>
    <w:rsid w:val="00EC7EDE"/>
    <w:rsid w:val="00ED007C"/>
    <w:rsid w:val="00ED3DC4"/>
    <w:rsid w:val="00ED4142"/>
    <w:rsid w:val="00ED466F"/>
    <w:rsid w:val="00ED6532"/>
    <w:rsid w:val="00EE109E"/>
    <w:rsid w:val="00EE3C39"/>
    <w:rsid w:val="00EE5CB5"/>
    <w:rsid w:val="00EF1B16"/>
    <w:rsid w:val="00EF285B"/>
    <w:rsid w:val="00EF2AE9"/>
    <w:rsid w:val="00EF487A"/>
    <w:rsid w:val="00F07156"/>
    <w:rsid w:val="00F07680"/>
    <w:rsid w:val="00F13505"/>
    <w:rsid w:val="00F174A7"/>
    <w:rsid w:val="00F319C4"/>
    <w:rsid w:val="00F3348A"/>
    <w:rsid w:val="00F342A1"/>
    <w:rsid w:val="00F36C4A"/>
    <w:rsid w:val="00F433DC"/>
    <w:rsid w:val="00F451DF"/>
    <w:rsid w:val="00F619F4"/>
    <w:rsid w:val="00F72E4A"/>
    <w:rsid w:val="00F75E36"/>
    <w:rsid w:val="00F77632"/>
    <w:rsid w:val="00F812A0"/>
    <w:rsid w:val="00F87F64"/>
    <w:rsid w:val="00F959EF"/>
    <w:rsid w:val="00F9756D"/>
    <w:rsid w:val="00FA1E45"/>
    <w:rsid w:val="00FA569C"/>
    <w:rsid w:val="00FB7C6A"/>
    <w:rsid w:val="00FC2F6B"/>
    <w:rsid w:val="00FC796F"/>
    <w:rsid w:val="00FD04A9"/>
    <w:rsid w:val="00FD2984"/>
    <w:rsid w:val="00FD601E"/>
    <w:rsid w:val="00FE0916"/>
    <w:rsid w:val="00FE2CEA"/>
    <w:rsid w:val="00FE515D"/>
    <w:rsid w:val="00FE7E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BB26B0D-29C4-416B-8CF7-FCE58354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374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4141352">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31137855">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7472502">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4109414">
      <w:bodyDiv w:val="1"/>
      <w:marLeft w:val="0"/>
      <w:marRight w:val="0"/>
      <w:marTop w:val="0"/>
      <w:marBottom w:val="0"/>
      <w:divBdr>
        <w:top w:val="none" w:sz="0" w:space="0" w:color="auto"/>
        <w:left w:val="none" w:sz="0" w:space="0" w:color="auto"/>
        <w:bottom w:val="none" w:sz="0" w:space="0" w:color="auto"/>
        <w:right w:val="none" w:sz="0" w:space="0" w:color="auto"/>
      </w:divBdr>
    </w:div>
    <w:div w:id="1131829360">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63304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6894816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8461547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1020924">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D244D-1A25-4B0B-BE1C-E4240E24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42</Pages>
  <Words>8865</Words>
  <Characters>48760</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2020-02-11T00:15:00Z</cp:lastPrinted>
  <dcterms:created xsi:type="dcterms:W3CDTF">2021-02-04T20:51:00Z</dcterms:created>
  <dcterms:modified xsi:type="dcterms:W3CDTF">2021-04-07T17:15:00Z</dcterms:modified>
</cp:coreProperties>
</file>