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cuatro de noviembre de dos mil veintiuno.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02689/INFOEM/IP/RR/2021</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XXXXXXXX XXXXX</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emitida a la solicitud de información con número de folio </w:t>
      </w:r>
      <w:r w:rsidDel="00000000" w:rsidR="00000000" w:rsidRPr="00000000">
        <w:rPr>
          <w:rFonts w:ascii="Palatino Linotype" w:cs="Palatino Linotype" w:eastAsia="Palatino Linotype" w:hAnsi="Palatino Linotype"/>
          <w:b w:val="1"/>
          <w:rtl w:val="0"/>
        </w:rPr>
        <w:t xml:space="preserve">00300/TLALNEPA/IP/2021</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Tlalnepantla de Baz</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veintitrés de abril de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En relacion a las obras que se están realizando en el fraccionamiento jacarandas, me pueden informar si instalaron o van instalar un comité de contraloría social</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para que los ciudadanos vigilen la obra y evitar actos de corrupción.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De ser así pido me informe los datos de contacto de la persona servidora pública responsable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.“(sic)</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08">
      <w:pPr>
        <w:ind w:right="1043"/>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observa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en fecha seis de mayo de dos mil veintiuno, emitió respuesta, en los siguientes términos:</w:t>
      </w:r>
    </w:p>
    <w:p w:rsidR="00000000" w:rsidDel="00000000" w:rsidP="00000000" w:rsidRDefault="00000000" w:rsidRPr="00000000" w14:paraId="0000000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anexa respuesta respectiva.”</w:t>
      </w:r>
    </w:p>
    <w:p w:rsidR="00000000" w:rsidDel="00000000" w:rsidP="00000000" w:rsidRDefault="00000000" w:rsidRPr="00000000" w14:paraId="0000000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tab/>
      </w:r>
    </w:p>
    <w:p w:rsidR="00000000" w:rsidDel="00000000" w:rsidP="00000000" w:rsidRDefault="00000000" w:rsidRPr="00000000" w14:paraId="0000000E">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el Sujeto Obligado adjuntó el archivo electrónico denominado “</w:t>
      </w:r>
      <w:hyperlink r:id="rId7">
        <w:r w:rsidDel="00000000" w:rsidR="00000000" w:rsidRPr="00000000">
          <w:rPr>
            <w:rFonts w:ascii="Palatino Linotype" w:cs="Palatino Linotype" w:eastAsia="Palatino Linotype" w:hAnsi="Palatino Linotype"/>
            <w:b w:val="1"/>
            <w:color w:val="67c19d"/>
            <w:u w:val="single"/>
            <w:rtl w:val="0"/>
          </w:rPr>
          <w:t xml:space="preserve">RESP_SAIMEX_00300_CONTRALORIA.pdf</w:t>
        </w:r>
      </w:hyperlink>
      <w:r w:rsidDel="00000000" w:rsidR="00000000" w:rsidRPr="00000000">
        <w:rPr>
          <w:rFonts w:ascii="Palatino Linotype" w:cs="Palatino Linotype" w:eastAsia="Palatino Linotype" w:hAnsi="Palatino Linotype"/>
          <w:rtl w:val="0"/>
        </w:rPr>
        <w:t xml:space="preserve">” que contiene:</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TLA/CIM/SPH/071/2021 de fecha 04 de mayo de 2021 por medio del cual la Servidora Pública Habilitada de la Contraloría Interna Municipal refiere que de conformidad con las funciones de la Subcontraloría de Auditoría Administrativa, Financiera de Obra y Social se adjunta el oficio TLA/CIM/SCA/0338/2021 con la información requerida.</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TLA/CIM/SCA/0338/2021 de fecha 03 de mayo de 2021 por medio del cual el Subcontralor de Auditoría Administrativa Financiera, de Obra y Social informa que debido a la pandemia de enfermedad generada por el VIRUS SARS-Cov2(COVID-19), motivos de la contingencia sanitaria y en recomendación de los tres niveles de Gobierno Federal, Estatal y Municipal que prevalece no se convocó a asamblea para la conformación de los Comités Ciudadanos de Control y Vigilancia (COCICOVIS) y por más medidas preventivas de la Secretaria de Salud en el Municipio de Tlalnepantla de Baz, hasta que existan las disposiciones oficiales, para llevar a cabo dicha actividad.</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Agregando que considerando el periodo de ejecución de las obras se determina que estos coinciden con el periodo de la Contingencia Sanitaria, por lo que se acuerda que de conformidad a las excepciones establecidas en el CAPÍTULO VI relativo a la CONSTITUCIÓN DEL COCICOVI en el artículo VIGÉSIMO QUINTO de los Lineamientos Generales de Operación </w:t>
      </w:r>
      <w:r w:rsidDel="00000000" w:rsidR="00000000" w:rsidRPr="00000000">
        <w:rPr>
          <w:rFonts w:ascii="Palatino Linotype" w:cs="Palatino Linotype" w:eastAsia="Palatino Linotype" w:hAnsi="Palatino Linotype"/>
          <w:sz w:val="22"/>
          <w:szCs w:val="22"/>
          <w:rtl w:val="0"/>
        </w:rPr>
        <w:t xml:space="preserve">del Programa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Contraloría Social del Gobierno del Estado de México, publicados en la gaceta No. 44 del Gobierno del Estado de México el 31 de agosto de 2020 La Dirección de la </w:t>
      </w:r>
      <w:r w:rsidDel="00000000" w:rsidR="00000000" w:rsidRPr="00000000">
        <w:rPr>
          <w:rFonts w:ascii="Palatino Linotype" w:cs="Palatino Linotype" w:eastAsia="Palatino Linotype" w:hAnsi="Palatino Linotype"/>
          <w:sz w:val="22"/>
          <w:szCs w:val="22"/>
          <w:rtl w:val="0"/>
        </w:rPr>
        <w:t xml:space="preserve">Secretaría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las entidades administrativas podrán determinar la viabilidad de la constitución del COCICOVI considerando los casos fortuitos o de fuerza mayor.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Del mismo modo agrega que conforme al oficio 2180000400600T/050/2021 de fecha 13 de abril de 2021 el Director General de Contraloría y Evaluación Social de la Secretaría de la Contraloría del Gobierno del Estado de México informó a la Contraloría Interna Municipal que el 04 de abril iniciaron las campañas electorales de los candidatos a Diputados Federales; de igual manera, el 30 de abril iniciaron las campañas electorales de los candidatos a Ayuntamientos y Diputados Locales, en las que se considera la veda electoral, que impide a las autoridades de los tres órdenes de gobierno difundir toda propaganda gubernamental y ejecuta programas que implique la entrega a la población de materiales, alimentos o cualquier elemento que forme parte de sus programas asistenciales o de promoción y desarrollo social, por lo que el Programa de Contraloría Social se suspendió del 04 de abril al 06 de junio de 2021, en virtud de que no atiende eventualidades o emergencias, tal y como lo establece el artículo 261 del Código Electoral del Estado de México, tampoco difunde campañas de información de las autoridades electorales, o aquellas relacionadas con los servicios educativos y de salud, o  las necesarias para la protección civil en casos de emergencia, según lo establece el artículo 209 de la Ley General de Instituciones y Procedimientos Electorales.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relación a los datos de contacto del servidor público responsable, proporciona el número telefónico, extensión del Departamento de Auditoría de Obra y Social por ser la unidad administrativa competente de la constitución del Comité Ciudadano de Control y Vigilancia.</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Sujeto Obligado interpuso recurso de revisión a través del SAIMEX con fecha seis de mayo de dos mil veintiuno, a través del cual expresó lo siguiente:</w:t>
      </w:r>
    </w:p>
    <w:p w:rsidR="00000000" w:rsidDel="00000000" w:rsidP="00000000" w:rsidRDefault="00000000" w:rsidRPr="00000000" w14:paraId="00000016">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7">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 “La omisión de entregar información</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18">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A">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“No </w:t>
      </w:r>
      <w:r w:rsidDel="00000000" w:rsidR="00000000" w:rsidRPr="00000000">
        <w:rPr>
          <w:rFonts w:ascii="Palatino Linotype" w:cs="Palatino Linotype" w:eastAsia="Palatino Linotype" w:hAnsi="Palatino Linotype"/>
          <w:b w:val="1"/>
          <w:i w:val="1"/>
          <w:sz w:val="22"/>
          <w:szCs w:val="22"/>
          <w:u w:val="single"/>
          <w:rtl w:val="0"/>
        </w:rPr>
        <w:t xml:space="preserve">informaron cosas que yo no pedi</w:t>
      </w:r>
      <w:r w:rsidDel="00000000" w:rsidR="00000000" w:rsidRPr="00000000">
        <w:rPr>
          <w:rFonts w:ascii="Palatino Linotype" w:cs="Palatino Linotype" w:eastAsia="Palatino Linotype" w:hAnsi="Palatino Linotype"/>
          <w:i w:val="1"/>
          <w:sz w:val="22"/>
          <w:szCs w:val="22"/>
          <w:rtl w:val="0"/>
        </w:rPr>
        <w:t xml:space="preserve">, argumentando que por el periodo electoral no han realizado actividades de contraloría social, cuando </w:t>
      </w:r>
      <w:r w:rsidDel="00000000" w:rsidR="00000000" w:rsidRPr="00000000">
        <w:rPr>
          <w:rFonts w:ascii="Palatino Linotype" w:cs="Palatino Linotype" w:eastAsia="Palatino Linotype" w:hAnsi="Palatino Linotype"/>
          <w:b w:val="1"/>
          <w:i w:val="1"/>
          <w:sz w:val="22"/>
          <w:szCs w:val="22"/>
          <w:u w:val="single"/>
          <w:rtl w:val="0"/>
        </w:rPr>
        <w:t xml:space="preserve">la ley es clara y dice que las actividades institucionales no deben suspenderse por periodo electoral.</w:t>
      </w:r>
      <w:r w:rsidDel="00000000" w:rsidR="00000000" w:rsidRPr="00000000">
        <w:rPr>
          <w:rFonts w:ascii="Palatino Linotype" w:cs="Palatino Linotype" w:eastAsia="Palatino Linotype" w:hAnsi="Palatino Linotype"/>
          <w:i w:val="1"/>
          <w:rtl w:val="0"/>
        </w:rPr>
        <w:t xml:space="preserve">” (sic)</w:t>
        <w:tab/>
      </w:r>
    </w:p>
    <w:p w:rsidR="00000000" w:rsidDel="00000000" w:rsidP="00000000" w:rsidRDefault="00000000" w:rsidRPr="00000000" w14:paraId="0000001B">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C">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w:t>
      </w:r>
      <w:r w:rsidDel="00000000" w:rsidR="00000000" w:rsidRPr="00000000">
        <w:rPr>
          <w:rFonts w:ascii="Palatino Linotype" w:cs="Palatino Linotype" w:eastAsia="Palatino Linotype" w:hAnsi="Palatino Linotype"/>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02689/INFOEM/IP/RR/2021 </w:t>
      </w:r>
      <w:r w:rsidDel="00000000" w:rsidR="00000000" w:rsidRPr="00000000">
        <w:rPr>
          <w:rFonts w:ascii="Palatino Linotype" w:cs="Palatino Linotype" w:eastAsia="Palatino Linotype" w:hAnsi="Palatino Linotype"/>
          <w:rtl w:val="0"/>
        </w:rPr>
        <w:t xml:space="preserve">fue turnado a la Comisionado Ponente Guadalupe Ramírez Peña; a efecto de presentar al Pleno el proyecto de resolución correspondiente.</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En fecha once de mayo de dos mil veintiuno, en términos de lo dispuesto en el artículo 185 fracciones I, II y IV de la Ley de Transparencia y Acceso a la Información Pública del Estado de México y Municipios, se admitió a trámite el presente recurso de revisión.</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Informe de justificación.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diecinueve de mayo de dos mil veintiuno, rindió su informe de justificación adjuntando el archivo denominado “</w:t>
      </w:r>
      <w:hyperlink r:id="rId8">
        <w:r w:rsidDel="00000000" w:rsidR="00000000" w:rsidRPr="00000000">
          <w:rPr>
            <w:rFonts w:ascii="Palatino Linotype" w:cs="Palatino Linotype" w:eastAsia="Palatino Linotype" w:hAnsi="Palatino Linotype"/>
            <w:b w:val="1"/>
            <w:color w:val="67c19d"/>
            <w:u w:val="single"/>
            <w:rtl w:val="0"/>
          </w:rPr>
          <w:t xml:space="preserve">MANIFESTACIONES_RR_02689.pdf</w:t>
        </w:r>
      </w:hyperlink>
      <w:r w:rsidDel="00000000" w:rsidR="00000000" w:rsidRPr="00000000">
        <w:rPr>
          <w:rFonts w:ascii="Palatino Linotype" w:cs="Palatino Linotype" w:eastAsia="Palatino Linotype" w:hAnsi="Palatino Linotype"/>
          <w:rtl w:val="0"/>
        </w:rPr>
        <w:t xml:space="preserve">” que contiene:</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UTAIM/1205/2021 de fecha 19 de mayo de 2021 a través del cual el Titular de la Unidad de Transparencia del Sujeto Obligado rindió informe justificado manifestando entre otras cosas que la solicitud se turnó a la Contraloría Interna Municipal por ser el área competente, del mismo manifiesta que en la página del Municipio de Tlalnepantla en la dirección electrónica </w:t>
      </w:r>
      <w:hyperlink r:id="rId9">
        <w:r w:rsidDel="00000000" w:rsidR="00000000" w:rsidRPr="00000000">
          <w:rPr>
            <w:rFonts w:ascii="Palatino Linotype" w:cs="Palatino Linotype" w:eastAsia="Palatino Linotype" w:hAnsi="Palatino Linotype"/>
            <w:b w:val="0"/>
            <w:i w:val="0"/>
            <w:smallCaps w:val="0"/>
            <w:strike w:val="0"/>
            <w:color w:val="0000ff"/>
            <w:sz w:val="22"/>
            <w:szCs w:val="22"/>
            <w:u w:val="single"/>
            <w:shd w:fill="auto" w:val="clear"/>
            <w:vertAlign w:val="baseline"/>
            <w:rtl w:val="0"/>
          </w:rPr>
          <w:t xml:space="preserve">http://www.tlalnepantla.gob.mx/</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el apartado “Mecanismos de Participación Ciudadana”, podrá encontrar información relativa a los COCIVOVIS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qué son, cuáles son sus objetivos, funciones, como se integran y el contacto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razón por la cual solicita se sobresea el asunto con fundamento en lo establecido en el artículo 192, fracción III.</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TLA/CIM/SPH/0083/2021 de fecha 17 de mayo de 2021 rinde informe justificado manifestando que la Subcontraloría de Auditoría Administrativa, Financiera, de Oba y Social emite respuesta.</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TLA/CIM/SCA/0396/2021 de fecha 13 de mayo de 2021 por medio del cual el Subcontralor de Auditoría Administrativa Financiera, de Obra y Social rinde informe justificado refiriendo entre otras cosas que debido a la pandemia de enfermedad generada por el VIRUS SARS-Cov2(COVID-19), motivos de la contingencia sanitaria y en recomendación de los tres niveles de Gobierno Federal, Estatal y Municipal que prevalece no se convocó a asamblea para la conformación de los Comités Ciudadanos de Control y Vigilancia (COCICOVIS) y por más medidas preventivas de la </w:t>
      </w:r>
      <w:r w:rsidDel="00000000" w:rsidR="00000000" w:rsidRPr="00000000">
        <w:rPr>
          <w:rFonts w:ascii="Palatino Linotype" w:cs="Palatino Linotype" w:eastAsia="Palatino Linotype" w:hAnsi="Palatino Linotype"/>
          <w:sz w:val="22"/>
          <w:szCs w:val="22"/>
          <w:rtl w:val="0"/>
        </w:rPr>
        <w:t xml:space="preserve">Secretaría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Salud en el Municipio de Tlalnepantla de Baz, hasta que existan las disposiciones oficiales, para llevar a cabo dicha actividad.</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Agregando que considerando el periodo de ejecución de las obras se determina que estos coinciden con el periodo de la Contingencia Sanitaria, por lo que se acuerda que de conformidad a las excepciones establecidas en el CAPÍTULO VI relativo a la CONSTITUCIÓN DEL COCICOVI en el artículo VIGÉSIMO QUINTO de los Lineamientos Generales de Operación </w:t>
      </w:r>
      <w:r w:rsidDel="00000000" w:rsidR="00000000" w:rsidRPr="00000000">
        <w:rPr>
          <w:rFonts w:ascii="Palatino Linotype" w:cs="Palatino Linotype" w:eastAsia="Palatino Linotype" w:hAnsi="Palatino Linotype"/>
          <w:sz w:val="22"/>
          <w:szCs w:val="22"/>
          <w:rtl w:val="0"/>
        </w:rPr>
        <w:t xml:space="preserve">del Programa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Contraloría Social del Gobierno del Estado de México, publicados en la gaceta No. 44 del Gobierno del Estado de México el 31 de agosto de 2020 La Dirección de la Secretaria y las entidades administrativas podrán determinar la viabilidad de la constitución del COCICOVI considerando los casos fortuitos o de fuerza mayor, por lo que no es posible la constitución del COCICOVI de dicha obra pública,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Del mismo modo agrega que conforme al oficio 2180000400600T/050/2021 de fecha 13 de abril de 2021 el Director General de Contraloría y Evaluación Social de la Secretaría de la Contraloría del Gobierno del Estado de México informó a la Contraloría Interna Municipal que el 04 de abril iniciaron las campañas electorales de los candidatos a Diputados Federales; de igual manera, el 30 de abril iniciaron las campañas electorales de los candidatos a Ayuntamientos y Diputados Locales, en las que se considera la veda electoral, que impide a las autoridades de los tres órdenes de gobierno difundir toda propaganda gubernamental y ejecuta programas que implique la entrega a la población de materiales, alimentos o cualquier elemento que forme parte de sus programas asistenciales o de promoción y desarrollo social, por lo que el Programa de Contraloría Social se suspendió del 04 de abril al 06 de junio de 2021, en virtud de que no atiende eventualidades o emergencias, tal y como lo establece el artículo 261 del Código Electoral del Estado de México, tampoco difunde campañas de información de las autoridades electorales, o aquellas relacionadas con los servicios educativos y de salud, o  las necesarias para la protección civil en casos de emergencia, según lo establece el artículo 209 de la Ley General de Instituciones y Procedimientos Electorales.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relación a los datos de contacto del servidor público responsable, proporciona el número telefónico, extensión del Departamento de Auditoría de Obra y Social por ser la unidad administrativa competente de la constitución del Comité Ciudadano de Control y Vigilancia.</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mencionarse que en fecha 12 de agosto de 2021 se dio vista del informe justificado con la finalidad de que el impetrante realizara las manifestaciones que estime pertinentes.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veintitrés de agosto de dos mil veintiuno, en la Segunda Sesión Extraordinaria</w:t>
      </w:r>
      <w:r w:rsidDel="00000000" w:rsidR="00000000" w:rsidRPr="00000000">
        <w:rPr>
          <w:rFonts w:ascii="Palatino Linotype" w:cs="Palatino Linotype" w:eastAsia="Palatino Linotype" w:hAnsi="Palatino Linotype"/>
          <w:rtl w:val="0"/>
        </w:rPr>
        <w:t xml:space="preserve">, el Pleno del Instituto aprobó el returno del recurso de revisión indicado al rubro a la Ponencia de la </w:t>
      </w:r>
      <w:r w:rsidDel="00000000" w:rsidR="00000000" w:rsidRPr="00000000">
        <w:rPr>
          <w:rFonts w:ascii="Palatino Linotype" w:cs="Palatino Linotype" w:eastAsia="Palatino Linotype" w:hAnsi="Palatino Linotype"/>
          <w:b w:val="1"/>
          <w:rtl w:val="0"/>
        </w:rPr>
        <w:t xml:space="preserve">Comisionada Guadalupe Ramírez Peña</w:t>
      </w:r>
      <w:r w:rsidDel="00000000" w:rsidR="00000000" w:rsidRPr="00000000">
        <w:rPr>
          <w:rFonts w:ascii="Palatino Linotype" w:cs="Palatino Linotype" w:eastAsia="Palatino Linotype" w:hAnsi="Palatino Linotype"/>
          <w:rtl w:val="0"/>
        </w:rPr>
        <w:t xml:space="preserve"> para su estudio y resolución</w:t>
      </w:r>
      <w:r w:rsidDel="00000000" w:rsidR="00000000" w:rsidRPr="00000000">
        <w:rPr>
          <w:rtl w:val="0"/>
        </w:rPr>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plazo para emitir resolución</w:t>
      </w:r>
      <w:r w:rsidDel="00000000" w:rsidR="00000000" w:rsidRPr="00000000">
        <w:rPr>
          <w:rFonts w:ascii="Palatino Linotype" w:cs="Palatino Linotype" w:eastAsia="Palatino Linotype" w:hAnsi="Palatino Linotype"/>
          <w:rtl w:val="0"/>
        </w:rPr>
        <w:t xml:space="preserve">. En fecha once de agosto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En fecha cinco de octubre de dos mil veintiuno, anualidad en curso,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r w:rsidDel="00000000" w:rsidR="00000000" w:rsidRPr="00000000">
        <w:rPr>
          <w:rtl w:val="0"/>
        </w:rPr>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Sujeto Obligado proporcionó respuesta a la solicitud de información el seis de mayo de dos mil veintiuno, mientras que el recurrente interpuso el recurso de revisión el mismo día en que le fue notificada la respuesta, por ende, dentro del término legal que prevé el arábigo de referencia.</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222222"/>
          <w:rtl w:val="0"/>
        </w:rPr>
        <w:t xml:space="preserve">Además, por cuanto hace a la procedibilidad de los recursos de revisión, es de suma importancia señalar que la parte recurrente se identifica como "</w:t>
      </w:r>
      <w:r w:rsidDel="00000000" w:rsidR="00000000" w:rsidRPr="00000000">
        <w:rPr>
          <w:rFonts w:ascii="Palatino Linotype" w:cs="Palatino Linotype" w:eastAsia="Palatino Linotype" w:hAnsi="Palatino Linotype"/>
          <w:b w:val="1"/>
          <w:color w:val="222222"/>
          <w:rtl w:val="0"/>
        </w:rPr>
        <w:t xml:space="preserve">                      </w:t>
      </w:r>
      <w:r w:rsidDel="00000000" w:rsidR="00000000" w:rsidRPr="00000000">
        <w:rPr>
          <w:rFonts w:ascii="Palatino Linotype" w:cs="Palatino Linotype" w:eastAsia="Palatino Linotype" w:hAnsi="Palatino Linotype"/>
          <w:color w:val="222222"/>
          <w:rtl w:val="0"/>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r w:rsidDel="00000000" w:rsidR="00000000" w:rsidRPr="00000000">
        <w:rPr>
          <w:rtl w:val="0"/>
        </w:rPr>
      </w:r>
    </w:p>
    <w:p w:rsidR="00000000" w:rsidDel="00000000" w:rsidP="00000000" w:rsidRDefault="00000000" w:rsidRPr="00000000" w14:paraId="00000030">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w:t>
      </w:r>
      <w:r w:rsidDel="00000000" w:rsidR="00000000" w:rsidRPr="00000000">
        <w:rPr>
          <w:rFonts w:ascii="Palatino Linotype" w:cs="Palatino Linotype" w:eastAsia="Palatino Linotype" w:hAnsi="Palatino Linotype"/>
          <w:b w:val="1"/>
          <w:i w:val="1"/>
          <w:color w:val="222222"/>
          <w:sz w:val="22"/>
          <w:szCs w:val="22"/>
          <w:rtl w:val="0"/>
        </w:rPr>
        <w:t xml:space="preserve">Las solicitudes anónimas</w:t>
      </w:r>
      <w:r w:rsidDel="00000000" w:rsidR="00000000" w:rsidRPr="00000000">
        <w:rPr>
          <w:rFonts w:ascii="Palatino Linotype" w:cs="Palatino Linotype" w:eastAsia="Palatino Linotype" w:hAnsi="Palatino Linotype"/>
          <w:i w:val="1"/>
          <w:color w:val="222222"/>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color w:val="222222"/>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color w:val="222222"/>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1">
      <w:pPr>
        <w:shd w:fill="ffffff" w:val="clear"/>
        <w:ind w:left="851" w:right="851" w:firstLine="0"/>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2">
      <w:pPr>
        <w:shd w:fill="ffffff" w:val="clear"/>
        <w:spacing w:after="240" w:before="240" w:line="360" w:lineRule="auto"/>
        <w:jc w:val="both"/>
        <w:rPr>
          <w:rFonts w:ascii="Arial" w:cs="Arial" w:eastAsia="Arial" w:hAnsi="Arial"/>
          <w:color w:val="222222"/>
        </w:rPr>
      </w:pPr>
      <w:r w:rsidDel="00000000" w:rsidR="00000000" w:rsidRPr="00000000">
        <w:rPr>
          <w:rFonts w:ascii="Palatino Linotype" w:cs="Palatino Linotype" w:eastAsia="Palatino Linotype" w:hAnsi="Palatino Linotype"/>
          <w:color w:val="222222"/>
          <w:rtl w:val="0"/>
        </w:rPr>
        <w:t xml:space="preserve">Robusteciendo lo anterior se encuentra lo dispuesto en el artículo 6, Apartado A, fracciones III de la Constitución Política de los Estados Unidos Mexicanos que establece:</w:t>
      </w:r>
      <w:r w:rsidDel="00000000" w:rsidR="00000000" w:rsidRPr="00000000">
        <w:rPr>
          <w:rtl w:val="0"/>
        </w:rPr>
      </w:r>
    </w:p>
    <w:p w:rsidR="00000000" w:rsidDel="00000000" w:rsidP="00000000" w:rsidRDefault="00000000" w:rsidRPr="00000000" w14:paraId="00000033">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w:t>
      </w:r>
      <w:r w:rsidDel="00000000" w:rsidR="00000000" w:rsidRPr="00000000">
        <w:rPr>
          <w:rFonts w:ascii="Palatino Linotype" w:cs="Palatino Linotype" w:eastAsia="Palatino Linotype" w:hAnsi="Palatino Linotype"/>
          <w:b w:val="1"/>
          <w:i w:val="1"/>
          <w:color w:val="222222"/>
          <w:sz w:val="22"/>
          <w:szCs w:val="22"/>
          <w:rtl w:val="0"/>
        </w:rPr>
        <w:t xml:space="preserve">Artículo 6.-</w:t>
      </w:r>
      <w:r w:rsidDel="00000000" w:rsidR="00000000" w:rsidRPr="00000000">
        <w:rPr>
          <w:rFonts w:ascii="Palatino Linotype" w:cs="Palatino Linotype" w:eastAsia="Palatino Linotype" w:hAnsi="Palatino Linotype"/>
          <w:i w:val="1"/>
          <w:color w:val="222222"/>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r w:rsidDel="00000000" w:rsidR="00000000" w:rsidRPr="00000000">
        <w:rPr>
          <w:rtl w:val="0"/>
        </w:rPr>
      </w:r>
    </w:p>
    <w:p w:rsidR="00000000" w:rsidDel="00000000" w:rsidP="00000000" w:rsidRDefault="00000000" w:rsidRPr="00000000" w14:paraId="00000034">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Para efectos de lo dispuesto en el presente artículo se observará lo siguiente:</w:t>
      </w:r>
      <w:r w:rsidDel="00000000" w:rsidR="00000000" w:rsidRPr="00000000">
        <w:rPr>
          <w:rtl w:val="0"/>
        </w:rPr>
      </w:r>
    </w:p>
    <w:p w:rsidR="00000000" w:rsidDel="00000000" w:rsidP="00000000" w:rsidRDefault="00000000" w:rsidRPr="00000000" w14:paraId="00000035">
      <w:pPr>
        <w:shd w:fill="ffffff" w:val="clear"/>
        <w:ind w:left="851" w:right="851" w:firstLine="0"/>
        <w:jc w:val="both"/>
        <w:rPr>
          <w:rFonts w:ascii="Palatino Linotype" w:cs="Palatino Linotype" w:eastAsia="Palatino Linotype" w:hAnsi="Palatino Linotype"/>
          <w:i w:val="1"/>
          <w:color w:val="222222"/>
          <w:sz w:val="22"/>
          <w:szCs w:val="22"/>
        </w:rPr>
      </w:pPr>
      <w:r w:rsidDel="00000000" w:rsidR="00000000" w:rsidRPr="00000000">
        <w:rPr>
          <w:rtl w:val="0"/>
        </w:rPr>
      </w:r>
    </w:p>
    <w:p w:rsidR="00000000" w:rsidDel="00000000" w:rsidP="00000000" w:rsidRDefault="00000000" w:rsidRPr="00000000" w14:paraId="00000036">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A. Para el ejercicio del derecho de acceso a la información, la Federación, los Estados y el Distrito Federal,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37">
      <w:pPr>
        <w:shd w:fill="ffffff" w:val="clear"/>
        <w:ind w:left="851" w:right="851" w:firstLine="0"/>
        <w:jc w:val="both"/>
        <w:rPr>
          <w:rFonts w:ascii="Palatino Linotype" w:cs="Palatino Linotype" w:eastAsia="Palatino Linotype" w:hAnsi="Palatino Linotype"/>
          <w:i w:val="1"/>
          <w:color w:val="222222"/>
          <w:sz w:val="22"/>
          <w:szCs w:val="22"/>
        </w:rPr>
      </w:pPr>
      <w:r w:rsidDel="00000000" w:rsidR="00000000" w:rsidRPr="00000000">
        <w:rPr>
          <w:rtl w:val="0"/>
        </w:rPr>
      </w:r>
    </w:p>
    <w:p w:rsidR="00000000" w:rsidDel="00000000" w:rsidP="00000000" w:rsidRDefault="00000000" w:rsidRPr="00000000" w14:paraId="00000038">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III. Toda persona, sin necesidad de acreditar interés alguno o justificar su utilización, tendrá acceso gratuito a la información pública, a sus datos personales o a la rectificación de éstos.” (Sic)</w:t>
      </w:r>
      <w:r w:rsidDel="00000000" w:rsidR="00000000" w:rsidRPr="00000000">
        <w:rPr>
          <w:rtl w:val="0"/>
        </w:rPr>
      </w:r>
    </w:p>
    <w:p w:rsidR="00000000" w:rsidDel="00000000" w:rsidP="00000000" w:rsidRDefault="00000000" w:rsidRPr="00000000" w14:paraId="00000039">
      <w:pPr>
        <w:shd w:fill="ffffff" w:val="clear"/>
        <w:spacing w:after="240" w:before="240" w:lineRule="auto"/>
        <w:ind w:left="567" w:right="474"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 </w:t>
      </w:r>
      <w:r w:rsidDel="00000000" w:rsidR="00000000" w:rsidRPr="00000000">
        <w:rPr>
          <w:rtl w:val="0"/>
        </w:rPr>
      </w:r>
    </w:p>
    <w:p w:rsidR="00000000" w:rsidDel="00000000" w:rsidP="00000000" w:rsidRDefault="00000000" w:rsidRPr="00000000" w14:paraId="0000003A">
      <w:pPr>
        <w:shd w:fill="ffffff" w:val="clear"/>
        <w:spacing w:after="240" w:before="240" w:line="360" w:lineRule="auto"/>
        <w:jc w:val="both"/>
        <w:rPr>
          <w:rFonts w:ascii="Arial" w:cs="Arial" w:eastAsia="Arial" w:hAnsi="Arial"/>
          <w:color w:val="222222"/>
        </w:rPr>
      </w:pPr>
      <w:r w:rsidDel="00000000" w:rsidR="00000000" w:rsidRPr="00000000">
        <w:rPr>
          <w:rFonts w:ascii="Palatino Linotype" w:cs="Palatino Linotype" w:eastAsia="Palatino Linotype" w:hAnsi="Palatino Linotype"/>
          <w:color w:val="222222"/>
          <w:rtl w:val="0"/>
        </w:rPr>
        <w:t xml:space="preserve">Así como el artículo 5 fracción III, párrafo vigésimo segundo, vigésimo tercero y vigésimo cuarto, de la Constitución Política del Estado Libre y Soberano de México, que determina lo siguiente:</w:t>
      </w:r>
      <w:r w:rsidDel="00000000" w:rsidR="00000000" w:rsidRPr="00000000">
        <w:rPr>
          <w:rtl w:val="0"/>
        </w:rPr>
      </w:r>
    </w:p>
    <w:p w:rsidR="00000000" w:rsidDel="00000000" w:rsidP="00000000" w:rsidRDefault="00000000" w:rsidRPr="00000000" w14:paraId="0000003B">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w:t>
      </w:r>
      <w:r w:rsidDel="00000000" w:rsidR="00000000" w:rsidRPr="00000000">
        <w:rPr>
          <w:rFonts w:ascii="Palatino Linotype" w:cs="Palatino Linotype" w:eastAsia="Palatino Linotype" w:hAnsi="Palatino Linotype"/>
          <w:b w:val="1"/>
          <w:i w:val="1"/>
          <w:color w:val="222222"/>
          <w:sz w:val="22"/>
          <w:szCs w:val="22"/>
          <w:rtl w:val="0"/>
        </w:rPr>
        <w:t xml:space="preserve">Artículo 5.-</w:t>
      </w:r>
      <w:r w:rsidDel="00000000" w:rsidR="00000000" w:rsidRPr="00000000">
        <w:rPr>
          <w:rFonts w:ascii="Palatino Linotype" w:cs="Palatino Linotype" w:eastAsia="Palatino Linotype" w:hAnsi="Palatino Linotype"/>
          <w:i w:val="1"/>
          <w:color w:val="222222"/>
          <w:sz w:val="22"/>
          <w:szCs w:val="22"/>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r w:rsidDel="00000000" w:rsidR="00000000" w:rsidRPr="00000000">
        <w:rPr>
          <w:rtl w:val="0"/>
        </w:rPr>
      </w:r>
    </w:p>
    <w:p w:rsidR="00000000" w:rsidDel="00000000" w:rsidP="00000000" w:rsidRDefault="00000000" w:rsidRPr="00000000" w14:paraId="0000003C">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w:t>
      </w:r>
      <w:r w:rsidDel="00000000" w:rsidR="00000000" w:rsidRPr="00000000">
        <w:rPr>
          <w:rtl w:val="0"/>
        </w:rPr>
      </w:r>
    </w:p>
    <w:p w:rsidR="00000000" w:rsidDel="00000000" w:rsidP="00000000" w:rsidRDefault="00000000" w:rsidRPr="00000000" w14:paraId="0000003D">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Toda persona en el Estado de México, tiene derecho al libre acceso a la información plural y oportuna, así como a buscar recibir y difundir información e ideas de toda índole por cualquier medio de expresión.</w:t>
      </w:r>
      <w:r w:rsidDel="00000000" w:rsidR="00000000" w:rsidRPr="00000000">
        <w:rPr>
          <w:rtl w:val="0"/>
        </w:rPr>
      </w:r>
    </w:p>
    <w:p w:rsidR="00000000" w:rsidDel="00000000" w:rsidP="00000000" w:rsidRDefault="00000000" w:rsidRPr="00000000" w14:paraId="0000003E">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w:t>
      </w:r>
      <w:r w:rsidDel="00000000" w:rsidR="00000000" w:rsidRPr="00000000">
        <w:rPr>
          <w:rtl w:val="0"/>
        </w:rPr>
      </w:r>
    </w:p>
    <w:p w:rsidR="00000000" w:rsidDel="00000000" w:rsidP="00000000" w:rsidRDefault="00000000" w:rsidRPr="00000000" w14:paraId="0000003F">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El derecho a la información será garantizado por el Estado. La ley establecerá las previsiones que permitan asegurar la protección, el respeto y la difusión de este derecho.</w:t>
      </w:r>
      <w:r w:rsidDel="00000000" w:rsidR="00000000" w:rsidRPr="00000000">
        <w:rPr>
          <w:rtl w:val="0"/>
        </w:rPr>
      </w:r>
    </w:p>
    <w:p w:rsidR="00000000" w:rsidDel="00000000" w:rsidP="00000000" w:rsidRDefault="00000000" w:rsidRPr="00000000" w14:paraId="00000040">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r w:rsidDel="00000000" w:rsidR="00000000" w:rsidRPr="00000000">
        <w:rPr>
          <w:rtl w:val="0"/>
        </w:rPr>
      </w:r>
    </w:p>
    <w:p w:rsidR="00000000" w:rsidDel="00000000" w:rsidP="00000000" w:rsidRDefault="00000000" w:rsidRPr="00000000" w14:paraId="00000041">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III. Toda persona, sin necesidad de acreditar interés alguno o justificar su utilización, tendrá acceso gratuito a la información pública, a sus datos personales o a la rectificación de éstos;</w:t>
      </w:r>
      <w:r w:rsidDel="00000000" w:rsidR="00000000" w:rsidRPr="00000000">
        <w:rPr>
          <w:rtl w:val="0"/>
        </w:rPr>
      </w:r>
    </w:p>
    <w:p w:rsidR="00000000" w:rsidDel="00000000" w:rsidP="00000000" w:rsidRDefault="00000000" w:rsidRPr="00000000" w14:paraId="00000042">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w:t>
      </w:r>
      <w:r w:rsidDel="00000000" w:rsidR="00000000" w:rsidRPr="00000000">
        <w:rPr>
          <w:rtl w:val="0"/>
        </w:rPr>
      </w:r>
    </w:p>
    <w:p w:rsidR="00000000" w:rsidDel="00000000" w:rsidP="00000000" w:rsidRDefault="00000000" w:rsidRPr="00000000" w14:paraId="00000043">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r w:rsidDel="00000000" w:rsidR="00000000" w:rsidRPr="00000000">
        <w:rPr>
          <w:rtl w:val="0"/>
        </w:rPr>
      </w:r>
    </w:p>
    <w:p w:rsidR="00000000" w:rsidDel="00000000" w:rsidP="00000000" w:rsidRDefault="00000000" w:rsidRPr="00000000" w14:paraId="00000044">
      <w:pPr>
        <w:shd w:fill="ffffff" w:val="clear"/>
        <w:ind w:left="851" w:right="851" w:firstLine="0"/>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45">
      <w:pPr>
        <w:shd w:fill="ffffff" w:val="clear"/>
        <w:spacing w:after="240" w:before="240" w:line="360" w:lineRule="auto"/>
        <w:jc w:val="both"/>
        <w:rPr>
          <w:rFonts w:ascii="Arial" w:cs="Arial" w:eastAsia="Arial" w:hAnsi="Arial"/>
          <w:color w:val="222222"/>
        </w:rPr>
      </w:pPr>
      <w:r w:rsidDel="00000000" w:rsidR="00000000" w:rsidRPr="00000000">
        <w:rPr>
          <w:rFonts w:ascii="Palatino Linotype" w:cs="Palatino Linotype" w:eastAsia="Palatino Linotype" w:hAnsi="Palatino Linotype"/>
          <w:color w:val="222222"/>
          <w:rtl w:val="0"/>
        </w:rPr>
        <w:t xml:space="preserve">Por otra parte, del contenido del artículo 1 de la Constitución Política de los Estados</w:t>
      </w:r>
      <w:r w:rsidDel="00000000" w:rsidR="00000000" w:rsidRPr="00000000">
        <w:rPr>
          <w:rtl w:val="0"/>
        </w:rPr>
      </w:r>
    </w:p>
    <w:p w:rsidR="00000000" w:rsidDel="00000000" w:rsidP="00000000" w:rsidRDefault="00000000" w:rsidRPr="00000000" w14:paraId="00000046">
      <w:pPr>
        <w:shd w:fill="ffffff" w:val="clear"/>
        <w:spacing w:after="240" w:before="240" w:line="360" w:lineRule="auto"/>
        <w:jc w:val="both"/>
        <w:rPr>
          <w:rFonts w:ascii="Arial" w:cs="Arial" w:eastAsia="Arial" w:hAnsi="Arial"/>
          <w:color w:val="222222"/>
        </w:rPr>
      </w:pPr>
      <w:r w:rsidDel="00000000" w:rsidR="00000000" w:rsidRPr="00000000">
        <w:rPr>
          <w:rFonts w:ascii="Palatino Linotype" w:cs="Palatino Linotype" w:eastAsia="Palatino Linotype" w:hAnsi="Palatino Linotype"/>
          <w:color w:val="222222"/>
          <w:rtl w:val="0"/>
        </w:rPr>
        <w:t xml:space="preserve">Unidos mexicanos, se destaca lo siguiente:</w:t>
      </w:r>
      <w:r w:rsidDel="00000000" w:rsidR="00000000" w:rsidRPr="00000000">
        <w:rPr>
          <w:rtl w:val="0"/>
        </w:rPr>
      </w:r>
    </w:p>
    <w:p w:rsidR="00000000" w:rsidDel="00000000" w:rsidP="00000000" w:rsidRDefault="00000000" w:rsidRPr="00000000" w14:paraId="00000047">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w:t>
      </w:r>
      <w:r w:rsidDel="00000000" w:rsidR="00000000" w:rsidRPr="00000000">
        <w:rPr>
          <w:rFonts w:ascii="Palatino Linotype" w:cs="Palatino Linotype" w:eastAsia="Palatino Linotype" w:hAnsi="Palatino Linotype"/>
          <w:b w:val="1"/>
          <w:i w:val="1"/>
          <w:color w:val="222222"/>
          <w:sz w:val="22"/>
          <w:szCs w:val="22"/>
          <w:rtl w:val="0"/>
        </w:rPr>
        <w:t xml:space="preserve">Artículo 1</w:t>
      </w:r>
      <w:r w:rsidDel="00000000" w:rsidR="00000000" w:rsidRPr="00000000">
        <w:rPr>
          <w:rFonts w:ascii="Palatino Linotype" w:cs="Palatino Linotype" w:eastAsia="Palatino Linotype" w:hAnsi="Palatino Linotype"/>
          <w:i w:val="1"/>
          <w:color w:val="222222"/>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48">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49">
      <w:pPr>
        <w:shd w:fill="ffffff" w:val="clear"/>
        <w:ind w:left="851" w:right="851"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r w:rsidDel="00000000" w:rsidR="00000000" w:rsidRPr="00000000">
        <w:rPr>
          <w:rtl w:val="0"/>
        </w:rPr>
      </w:r>
    </w:p>
    <w:p w:rsidR="00000000" w:rsidDel="00000000" w:rsidP="00000000" w:rsidRDefault="00000000" w:rsidRPr="00000000" w14:paraId="0000004A">
      <w:pPr>
        <w:shd w:fill="ffffff" w:val="clear"/>
        <w:spacing w:after="240" w:before="240" w:lineRule="auto"/>
        <w:jc w:val="both"/>
        <w:rPr>
          <w:rFonts w:ascii="Arial" w:cs="Arial" w:eastAsia="Arial" w:hAnsi="Arial"/>
          <w:color w:val="222222"/>
        </w:rPr>
      </w:pPr>
      <w:r w:rsidDel="00000000" w:rsidR="00000000" w:rsidRPr="00000000">
        <w:rPr>
          <w:rFonts w:ascii="Arial" w:cs="Arial" w:eastAsia="Arial" w:hAnsi="Arial"/>
          <w:i w:val="1"/>
          <w:color w:val="222222"/>
          <w:sz w:val="23"/>
          <w:szCs w:val="23"/>
          <w:rtl w:val="0"/>
        </w:rPr>
        <w:t xml:space="preserve"> </w:t>
      </w:r>
      <w:r w:rsidDel="00000000" w:rsidR="00000000" w:rsidRPr="00000000">
        <w:rPr>
          <w:rtl w:val="0"/>
        </w:rPr>
      </w:r>
    </w:p>
    <w:p w:rsidR="00000000" w:rsidDel="00000000" w:rsidP="00000000" w:rsidRDefault="00000000" w:rsidRPr="00000000" w14:paraId="0000004B">
      <w:pPr>
        <w:shd w:fill="ffffff" w:val="clear"/>
        <w:spacing w:after="240" w:before="240"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color w:val="222222"/>
          <w:rtl w:val="0"/>
        </w:rPr>
        <w:t xml:space="preserve">derecho fundamental exime a quien lo ejerce</w:t>
      </w:r>
      <w:r w:rsidDel="00000000" w:rsidR="00000000" w:rsidRPr="00000000">
        <w:rPr>
          <w:rFonts w:ascii="Palatino Linotype" w:cs="Palatino Linotype" w:eastAsia="Palatino Linotype" w:hAnsi="Palatino Linotype"/>
          <w:color w:val="222222"/>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4C">
      <w:pPr>
        <w:shd w:fill="ffffff" w:val="clear"/>
        <w:spacing w:after="240" w:before="240"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4D">
      <w:pPr>
        <w:shd w:fill="ffffff" w:val="clear"/>
        <w:ind w:left="851" w:right="758" w:firstLine="0"/>
        <w:jc w:val="both"/>
        <w:rPr>
          <w:rFonts w:ascii="Arial" w:cs="Arial" w:eastAsia="Arial" w:hAnsi="Arial"/>
          <w:color w:val="222222"/>
        </w:rPr>
      </w:pP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tl w:val="0"/>
        </w:rPr>
      </w:r>
    </w:p>
    <w:p w:rsidR="00000000" w:rsidDel="00000000" w:rsidP="00000000" w:rsidRDefault="00000000" w:rsidRPr="00000000" w14:paraId="0000004E">
      <w:pPr>
        <w:shd w:fill="ffffff" w:val="clear"/>
        <w:ind w:left="851" w:right="851" w:firstLine="0"/>
        <w:jc w:val="both"/>
        <w:rPr>
          <w:rFonts w:ascii="Arial" w:cs="Arial" w:eastAsia="Arial" w:hAnsi="Arial"/>
          <w:color w:val="222222"/>
          <w:sz w:val="22"/>
          <w:szCs w:val="22"/>
        </w:rPr>
      </w:pPr>
      <w:r w:rsidDel="00000000" w:rsidR="00000000" w:rsidRPr="00000000">
        <w:rPr>
          <w:rFonts w:ascii="Palatino Linotype" w:cs="Palatino Linotype" w:eastAsia="Palatino Linotype" w:hAnsi="Palatino Linotype"/>
          <w:i w:val="1"/>
          <w:color w:val="222222"/>
          <w:sz w:val="22"/>
          <w:szCs w:val="22"/>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r w:rsidDel="00000000" w:rsidR="00000000" w:rsidRPr="00000000">
        <w:rPr>
          <w:rtl w:val="0"/>
        </w:rPr>
      </w:r>
    </w:p>
    <w:p w:rsidR="00000000" w:rsidDel="00000000" w:rsidP="00000000" w:rsidRDefault="00000000" w:rsidRPr="00000000" w14:paraId="0000004F">
      <w:pPr>
        <w:shd w:fill="ffffff" w:val="clear"/>
        <w:jc w:val="both"/>
        <w:rPr>
          <w:color w:val="222222"/>
        </w:rPr>
      </w:pPr>
      <w:r w:rsidDel="00000000" w:rsidR="00000000" w:rsidRPr="00000000">
        <w:rPr>
          <w:rFonts w:ascii="Palatino Linotype" w:cs="Palatino Linotype" w:eastAsia="Palatino Linotype" w:hAnsi="Palatino Linotype"/>
          <w:color w:val="222222"/>
          <w:rtl w:val="0"/>
        </w:rPr>
        <w:t xml:space="preserve"> </w:t>
      </w:r>
      <w:r w:rsidDel="00000000" w:rsidR="00000000" w:rsidRPr="00000000">
        <w:rPr>
          <w:rtl w:val="0"/>
        </w:rPr>
      </w:r>
    </w:p>
    <w:p w:rsidR="00000000" w:rsidDel="00000000" w:rsidP="00000000" w:rsidRDefault="00000000" w:rsidRPr="00000000" w14:paraId="00000050">
      <w:pPr>
        <w:shd w:fill="ffffff" w:val="clear"/>
        <w:spacing w:after="240" w:before="240" w:line="360" w:lineRule="auto"/>
        <w:jc w:val="both"/>
        <w:rPr>
          <w:color w:val="222222"/>
        </w:rPr>
      </w:pPr>
      <w:r w:rsidDel="00000000" w:rsidR="00000000" w:rsidRPr="00000000">
        <w:rPr>
          <w:rFonts w:ascii="Palatino Linotype" w:cs="Palatino Linotype" w:eastAsia="Palatino Linotype" w:hAnsi="Palatino Linotype"/>
          <w:color w:val="222222"/>
          <w:rtl w:val="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r w:rsidDel="00000000" w:rsidR="00000000" w:rsidRPr="00000000">
        <w:rPr>
          <w:rtl w:val="0"/>
        </w:rPr>
      </w:r>
    </w:p>
    <w:p w:rsidR="00000000" w:rsidDel="00000000" w:rsidP="00000000" w:rsidRDefault="00000000" w:rsidRPr="00000000" w14:paraId="00000051">
      <w:pPr>
        <w:shd w:fill="ffffff" w:val="clear"/>
        <w:spacing w:after="240" w:before="240" w:line="360" w:lineRule="auto"/>
        <w:jc w:val="both"/>
        <w:rPr>
          <w:color w:val="222222"/>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que obran en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parte del Sujeto Obligado satisface el requerimiento del ahora recurrente, o en su caso procede ordenar la entrega de la información faltante.</w:t>
      </w:r>
      <w:r w:rsidDel="00000000" w:rsidR="00000000" w:rsidRPr="00000000">
        <w:rPr>
          <w:rtl w:val="0"/>
        </w:rPr>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Antes de entrar al estudio de la presente resolución es preciso determinar si resulta procedente la interposición del recurso de revisión al rubro anotado, toda vez que se actualiza la hipótesis prevista en el artículo 179, fracción I de la ley de la materia, que a la letra dice:</w:t>
      </w:r>
    </w:p>
    <w:p w:rsidR="00000000" w:rsidDel="00000000" w:rsidP="00000000" w:rsidRDefault="00000000" w:rsidRPr="00000000" w14:paraId="00000053">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4">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55">
      <w:pPr>
        <w:ind w:left="1276" w:right="175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6">
      <w:pPr>
        <w:ind w:left="1268" w:right="1043"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7">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Primeramente, es de suma importancia mencionar que del análisis de la solicitud de información motivo del recurso de revisión que ahora se resuelve se advierte que la recurrente en su solicitud número </w:t>
      </w:r>
      <w:r w:rsidDel="00000000" w:rsidR="00000000" w:rsidRPr="00000000">
        <w:rPr>
          <w:rFonts w:ascii="Palatino Linotype" w:cs="Palatino Linotype" w:eastAsia="Palatino Linotype" w:hAnsi="Palatino Linotype"/>
          <w:b w:val="1"/>
          <w:rtl w:val="0"/>
        </w:rPr>
        <w:t xml:space="preserve">00300/TLALNEPA/IP/2021, </w:t>
      </w:r>
      <w:r w:rsidDel="00000000" w:rsidR="00000000" w:rsidRPr="00000000">
        <w:rPr>
          <w:rFonts w:ascii="Palatino Linotype" w:cs="Palatino Linotype" w:eastAsia="Palatino Linotype" w:hAnsi="Palatino Linotype"/>
          <w:rtl w:val="0"/>
        </w:rPr>
        <w:t xml:space="preserve">en relación a las obras que se están realizando en el Fraccionamiento Jacarandas,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requirió que se le proporcionará lo siguiente:</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s>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 se instaló o van a instalar un Comité de Contraloría Social para que los ciudadanos vigilen la obra y evitar actos de corrupción.</w:t>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9"/>
        </w:tabs>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ser así requiere se lo proporcionen los datos de contacto de la servidora pública responsable.</w:t>
      </w:r>
    </w:p>
    <w:p w:rsidR="00000000" w:rsidDel="00000000" w:rsidP="00000000" w:rsidRDefault="00000000" w:rsidRPr="00000000" w14:paraId="0000005A">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Primeramente, es necesario hacer referencia que, con motivo de la solicitud de información del recurrente, el sujeto obligado al momento de responder a través del Subcontralor de Auditoría Administrativa Financiera, de Obra y Social informó que debido a la pandemia de enfermedad generada por el VIRUS SARS-Cov2(COVID-19), motivos de la contingencia sanitaria y en recomendación de los tres niveles de Gobierno Federal, Estatal y Municipal que prevalece no se convocó a asamblea para la conformación de los Comités Ciudadanos de Control y Vigilancia (COCICOVIS) y por más medidas preventivas de la Secretaría de Salud en el Municipio de Tlalnepantla de Baz, hasta que existan las disposiciones oficiales, para llevar a cabo dicha actividad.</w:t>
      </w:r>
    </w:p>
    <w:p w:rsidR="00000000" w:rsidDel="00000000" w:rsidP="00000000" w:rsidRDefault="00000000" w:rsidRPr="00000000" w14:paraId="0000005C">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Agregando que considerando el periodo de ejecución de las obras se determina que estos coinciden con el periodo de la Contingencia Sanitaria, por lo que se acuerda que de conformidad a las excepciones establecidas en el CAPÍTULO VI relativo a la CONSTITUCIÓN DEL COCICOVI en el artículo VIGÉSIMO QUINTO de los Lineamientos Generales de Operación del Programa de Contraloría Social del Gobierno del Estado de México, publicados en la gaceta No. 44 del Gobierno del Estado de México el 31 de agosto de 2020 La Dirección de la Secretaría y las entidades administrativas podrán determinar la viabilidad de la constitución del COCICOVI considerando los casos fortuitos o de fuerza mayor.</w:t>
      </w:r>
    </w:p>
    <w:p w:rsidR="00000000" w:rsidDel="00000000" w:rsidP="00000000" w:rsidRDefault="00000000" w:rsidRPr="00000000" w14:paraId="0000005D">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mismo modo agregó que conforme al oficio 2180000400600T/050/2021 de fecha 13 de abril de 2021 el Director General de Contraloría y Evaluación Social de la Secretaría de la Contraloría del Gobierno del Estado de México informó a la Contraloría Interna Municipal que el 04 de abril iniciaron las campañas electorales de los candidatos a Diputados Federales; de igual manera, el 30 de abril iniciaron las campañas electorales de los candidatos a Ayuntamientos y Diputados Locales, en las que se considera la veda electoral, que impide a las autoridades de los tres órdenes de gobierno difundir toda propaganda gubernamental y ejecuta programas que implique la entrega a la población de materiales, alimentos o cualquier elemento que forme parte de sus programas asistenciales o de promoción y desarrollo social, por lo que el Programa de Contraloría Social se suspendió del 04 de abril al 06 de junio de 2021, en virtud de que no atiende eventualidades o emergencias, tal y como lo establece el artículo 261 del Código Electoral del Estado de México, tampoco difunde campañas de información de las autoridades electorales, o aquellas relacionadas con los servicios educativos y de salud, o  las necesarias para la protección civil en casos de emergencia, según lo establece el artículo 209 de la Ley General de Instituciones y Procedimientos Electorales.</w:t>
      </w:r>
    </w:p>
    <w:p w:rsidR="00000000" w:rsidDel="00000000" w:rsidP="00000000" w:rsidRDefault="00000000" w:rsidRPr="00000000" w14:paraId="0000005E">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a los datos de contacto del servidor público responsable, proporciona el número telefónico, extensión del Departamento de Auditoría de Obra y Social por ser la unidad administrativa competente de la constitución del Comité Ciudadano de Control y Vigilancia.</w:t>
      </w:r>
    </w:p>
    <w:p w:rsidR="00000000" w:rsidDel="00000000" w:rsidP="00000000" w:rsidRDefault="00000000" w:rsidRPr="00000000" w14:paraId="0000005F">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estar inconforme con la respuesta, el hoy recurrente interpuso el presente medio de impugnación manifestando como acto impugnado la omisión entregar información, y como motivos o razones de inconformidad sustancialmente refirió que le informaron cosas que no pidió, argumentando que por el periodo electoral no han realizado actividades de Contraloría Social, empero la ley es clara y dice que las actividades institucionales no deben suspenderse por periodo electoral.</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hacer notar que el Sujeto Obligado al momento de rendir informe justificado refirió entre otras cosas que la solicitud se turnó a la Contraloría Interna Municipal por ser el área competente, del mismo manifiesta que en la página del Municipio de Tlalnepantla en la dirección electrónica </w:t>
      </w:r>
      <w:hyperlink r:id="rId10">
        <w:r w:rsidDel="00000000" w:rsidR="00000000" w:rsidRPr="00000000">
          <w:rPr>
            <w:rFonts w:ascii="Palatino Linotype" w:cs="Palatino Linotype" w:eastAsia="Palatino Linotype" w:hAnsi="Palatino Linotype"/>
            <w:color w:val="000000"/>
            <w:u w:val="single"/>
            <w:rtl w:val="0"/>
          </w:rPr>
          <w:t xml:space="preserve">http://www.tlalnepantla.gob.mx/</w:t>
        </w:r>
      </w:hyperlink>
      <w:r w:rsidDel="00000000" w:rsidR="00000000" w:rsidRPr="00000000">
        <w:rPr>
          <w:rFonts w:ascii="Palatino Linotype" w:cs="Palatino Linotype" w:eastAsia="Palatino Linotype" w:hAnsi="Palatino Linotype"/>
          <w:rtl w:val="0"/>
        </w:rPr>
        <w:t xml:space="preserve"> en el apartado “Mecanismos de Participación Ciudadana”, podrá encontrar información relativa a los COCIVOVIS (</w:t>
      </w:r>
      <w:r w:rsidDel="00000000" w:rsidR="00000000" w:rsidRPr="00000000">
        <w:rPr>
          <w:rFonts w:ascii="Palatino Linotype" w:cs="Palatino Linotype" w:eastAsia="Palatino Linotype" w:hAnsi="Palatino Linotype"/>
          <w:i w:val="1"/>
          <w:rtl w:val="0"/>
        </w:rPr>
        <w:t xml:space="preserve">qué son, cuáles son sus objetivos, funciones, como se integran y el contacto</w:t>
      </w:r>
      <w:r w:rsidDel="00000000" w:rsidR="00000000" w:rsidRPr="00000000">
        <w:rPr>
          <w:rFonts w:ascii="Palatino Linotype" w:cs="Palatino Linotype" w:eastAsia="Palatino Linotype" w:hAnsi="Palatino Linotype"/>
          <w:rtl w:val="0"/>
        </w:rPr>
        <w:t xml:space="preserve">), razón por la cual solicita se sobresea el asunto con fundamento en lo establecido en el artículo 192, fracción III.</w:t>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mencionarse que en fecha 12 de agosto de 2021 se dio vista del informe justificado con la finalidad de que el impetrante realizara las manifestaciones que estime pertinentes.</w:t>
      </w:r>
    </w:p>
    <w:p w:rsidR="00000000" w:rsidDel="00000000" w:rsidP="00000000" w:rsidRDefault="00000000" w:rsidRPr="00000000" w14:paraId="00000062">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 deber analizar el marco normativo que otorga competencia al Ayuntamiento de Tlalnepantla de Baz</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para atender los requerimientos de información.</w:t>
      </w:r>
    </w:p>
    <w:p w:rsidR="00000000" w:rsidDel="00000000" w:rsidP="00000000" w:rsidRDefault="00000000" w:rsidRPr="00000000" w14:paraId="00000063">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considera pertinente referir que la Contraloría Social es el mecanismo de participación ciudadana que tiene como objetivo observar y vigilar que los programas sociales y obra pública, trámites y servicios gubernamentales se lleven a cabo con apego a la ley, es de agregar que la Contraloría Social está constituida por ciudadanos elegidos por los beneficiarios de un programa social, obra pública o acción, así como los usuarios de los trámites o servicios que participan en la observancia, vigilancia, inspección y escrutinio público de las mismas; otorgando transparencia  para verificar  la correcta aplicación de los recursos públicos.</w:t>
      </w:r>
    </w:p>
    <w:p w:rsidR="00000000" w:rsidDel="00000000" w:rsidP="00000000" w:rsidRDefault="00000000" w:rsidRPr="00000000" w14:paraId="00000064">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los COCICOVIS, debe mencionarse que la Ley Orgánica Municipal del Estado de México, establece:</w:t>
      </w:r>
    </w:p>
    <w:p w:rsidR="00000000" w:rsidDel="00000000" w:rsidP="00000000" w:rsidRDefault="00000000" w:rsidRPr="00000000" w14:paraId="0000006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ayuntamientos promoverán la constitución de comités ciudadanos de control y vigilancia</w:t>
      </w:r>
      <w:r w:rsidDel="00000000" w:rsidR="00000000" w:rsidRPr="00000000">
        <w:rPr>
          <w:rFonts w:ascii="Palatino Linotype" w:cs="Palatino Linotype" w:eastAsia="Palatino Linotype" w:hAnsi="Palatino Linotype"/>
          <w:i w:val="1"/>
          <w:sz w:val="22"/>
          <w:szCs w:val="22"/>
          <w:rtl w:val="0"/>
        </w:rPr>
        <w:t xml:space="preserve">, los que serán responsables de supervisar la obra pública estatal y municipal.</w:t>
      </w:r>
    </w:p>
    <w:p w:rsidR="00000000" w:rsidDel="00000000" w:rsidP="00000000" w:rsidRDefault="00000000" w:rsidRPr="00000000" w14:paraId="00000066">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B.-</w:t>
      </w:r>
      <w:r w:rsidDel="00000000" w:rsidR="00000000" w:rsidRPr="00000000">
        <w:rPr>
          <w:rFonts w:ascii="Palatino Linotype" w:cs="Palatino Linotype" w:eastAsia="Palatino Linotype" w:hAnsi="Palatino Linotype"/>
          <w:i w:val="1"/>
          <w:sz w:val="22"/>
          <w:szCs w:val="22"/>
          <w:rtl w:val="0"/>
        </w:rPr>
        <w:t xml:space="preserve"> Los comités ciudadanos de control y vigilancia </w:t>
      </w:r>
      <w:r w:rsidDel="00000000" w:rsidR="00000000" w:rsidRPr="00000000">
        <w:rPr>
          <w:rFonts w:ascii="Palatino Linotype" w:cs="Palatino Linotype" w:eastAsia="Palatino Linotype" w:hAnsi="Palatino Linotype"/>
          <w:b w:val="1"/>
          <w:i w:val="1"/>
          <w:sz w:val="22"/>
          <w:szCs w:val="22"/>
          <w:u w:val="single"/>
          <w:rtl w:val="0"/>
        </w:rPr>
        <w:t xml:space="preserve">estarán integrados por tres vecinos de la localidad en la que se construya la obra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serán electos en asamblea general</w:t>
      </w:r>
      <w:r w:rsidDel="00000000" w:rsidR="00000000" w:rsidRPr="00000000">
        <w:rPr>
          <w:rFonts w:ascii="Palatino Linotype" w:cs="Palatino Linotype" w:eastAsia="Palatino Linotype" w:hAnsi="Palatino Linotype"/>
          <w:i w:val="1"/>
          <w:sz w:val="22"/>
          <w:szCs w:val="22"/>
          <w:rtl w:val="0"/>
        </w:rPr>
        <w:t xml:space="preserve">, por los ciudadanos beneficiados por aquélla. El cargo de integrante del comité será honorífico.</w:t>
      </w:r>
    </w:p>
    <w:p w:rsidR="00000000" w:rsidDel="00000000" w:rsidP="00000000" w:rsidRDefault="00000000" w:rsidRPr="00000000" w14:paraId="00000068">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podrán ser integrantes de los comités las personas que sean dirigentes de organizaciones políticas o servidores públicos.</w:t>
      </w:r>
    </w:p>
    <w:p w:rsidR="00000000" w:rsidDel="00000000" w:rsidP="00000000" w:rsidRDefault="00000000" w:rsidRPr="00000000" w14:paraId="0000006A">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C.-</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Para cada obra estatal o municipal se constituirá un comité ciudadano de control y vigilancia</w:t>
      </w:r>
      <w:r w:rsidDel="00000000" w:rsidR="00000000" w:rsidRPr="00000000">
        <w:rPr>
          <w:rFonts w:ascii="Palatino Linotype" w:cs="Palatino Linotype" w:eastAsia="Palatino Linotype" w:hAnsi="Palatino Linotype"/>
          <w:i w:val="1"/>
          <w:sz w:val="22"/>
          <w:szCs w:val="22"/>
          <w:rtl w:val="0"/>
        </w:rPr>
        <w:t xml:space="preserve">. Sin embargo, en aquellos casos en que las características técnicas o las dimensiones de la obra lo ameriten, podrán integrarse más de uno.</w:t>
      </w:r>
    </w:p>
    <w:p w:rsidR="00000000" w:rsidDel="00000000" w:rsidP="00000000" w:rsidRDefault="00000000" w:rsidRPr="00000000" w14:paraId="0000006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D.-</w:t>
      </w:r>
      <w:r w:rsidDel="00000000" w:rsidR="00000000" w:rsidRPr="00000000">
        <w:rPr>
          <w:rFonts w:ascii="Palatino Linotype" w:cs="Palatino Linotype" w:eastAsia="Palatino Linotype" w:hAnsi="Palatino Linotype"/>
          <w:i w:val="1"/>
          <w:sz w:val="22"/>
          <w:szCs w:val="22"/>
          <w:rtl w:val="0"/>
        </w:rPr>
        <w:t xml:space="preserve"> Los comités ciudadanos de control y vigilancia tendrán además, las siguientes funciones:</w:t>
      </w:r>
    </w:p>
    <w:p w:rsidR="00000000" w:rsidDel="00000000" w:rsidP="00000000" w:rsidRDefault="00000000" w:rsidRPr="00000000" w14:paraId="0000006E">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Vigilar que la obra pública se realice de acuerdo al expediente técnico y dentro de la normatividad correspondiente;</w:t>
      </w:r>
    </w:p>
    <w:p w:rsidR="00000000" w:rsidDel="00000000" w:rsidP="00000000" w:rsidRDefault="00000000" w:rsidRPr="00000000" w14:paraId="0000007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Participar como observador en los procesos o actos administrativos relacionados con la adjudicación o concesión de la ejecución de la obra;</w:t>
      </w:r>
    </w:p>
    <w:p w:rsidR="00000000" w:rsidDel="00000000" w:rsidP="00000000" w:rsidRDefault="00000000" w:rsidRPr="00000000" w14:paraId="0000007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Hacer visitas de inspección y llevar registro de sus resultados;</w:t>
      </w:r>
    </w:p>
    <w:p w:rsidR="00000000" w:rsidDel="00000000" w:rsidP="00000000" w:rsidRDefault="00000000" w:rsidRPr="00000000" w14:paraId="0000007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Verificar la calidad con que se realiza la obra pública,</w:t>
      </w:r>
    </w:p>
    <w:p w:rsidR="00000000" w:rsidDel="00000000" w:rsidP="00000000" w:rsidRDefault="00000000" w:rsidRPr="00000000" w14:paraId="0000007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Hacer del conocimiento de las autoridades correspondientes las irregularidades que observe durante el desempeño de sus funciones o las quejas que reciba de la ciudadanía, con motivo de las obras objeto de supervisión,</w:t>
      </w:r>
    </w:p>
    <w:p w:rsidR="00000000" w:rsidDel="00000000" w:rsidP="00000000" w:rsidRDefault="00000000" w:rsidRPr="00000000" w14:paraId="0000007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Integrar un archivo con la documentación que se derive de la supervisión de las obras,</w:t>
      </w:r>
    </w:p>
    <w:p w:rsidR="00000000" w:rsidDel="00000000" w:rsidP="00000000" w:rsidRDefault="00000000" w:rsidRPr="00000000" w14:paraId="0000007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Intervenir en los actos de entrega-recepción de las obras y acciones, informando a los vecinos el resultado del desempeño de sus funciones; y</w:t>
      </w:r>
    </w:p>
    <w:p w:rsidR="00000000" w:rsidDel="00000000" w:rsidP="00000000" w:rsidRDefault="00000000" w:rsidRPr="00000000" w14:paraId="0000007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Promover el adecuado mantenimiento de la obra pública ante las autoridades municipales.</w:t>
      </w:r>
    </w:p>
    <w:p w:rsidR="00000000" w:rsidDel="00000000" w:rsidP="00000000" w:rsidRDefault="00000000" w:rsidRPr="00000000" w14:paraId="00000077">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E.-</w:t>
      </w:r>
      <w:r w:rsidDel="00000000" w:rsidR="00000000" w:rsidRPr="00000000">
        <w:rPr>
          <w:rFonts w:ascii="Palatino Linotype" w:cs="Palatino Linotype" w:eastAsia="Palatino Linotype" w:hAnsi="Palatino Linotype"/>
          <w:i w:val="1"/>
          <w:sz w:val="22"/>
          <w:szCs w:val="22"/>
          <w:rtl w:val="0"/>
        </w:rPr>
        <w:t xml:space="preserve"> Los comités ciudadanos de control y vigilancia deberán apoyarse en las contralorías municipal y estatal y coadyuvar con el órgano de control interno municipal en el desempeño de las funciones a que se refieren las fracciones VII y VIII del artículo 112 de esta ley.</w:t>
      </w:r>
    </w:p>
    <w:p w:rsidR="00000000" w:rsidDel="00000000" w:rsidP="00000000" w:rsidRDefault="00000000" w:rsidRPr="00000000" w14:paraId="0000007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F.-</w:t>
      </w:r>
      <w:r w:rsidDel="00000000" w:rsidR="00000000" w:rsidRPr="00000000">
        <w:rPr>
          <w:rFonts w:ascii="Palatino Linotype" w:cs="Palatino Linotype" w:eastAsia="Palatino Linotype" w:hAnsi="Palatino Linotype"/>
          <w:i w:val="1"/>
          <w:sz w:val="22"/>
          <w:szCs w:val="22"/>
          <w:rtl w:val="0"/>
        </w:rPr>
        <w:t xml:space="preserve"> Las dependencias y entidades de la administración pública municipal que construyan las obras o realicen las acciones, explicarán a los comités ciudadanos de control y vigilancia, las características físicas y financieras de las obras y les proporcionarán, antes del inicio de la obra, el resumen del expediente técnico respectivo y darles el apoyo, las facilidades y la información necesaria para el desempeño de sus funciones.</w:t>
      </w:r>
    </w:p>
    <w:p w:rsidR="00000000" w:rsidDel="00000000" w:rsidP="00000000" w:rsidRDefault="00000000" w:rsidRPr="00000000" w14:paraId="0000007B">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G.-</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Las dependencias y entidades señaladas en el artículo anterior harán la entrega-recepción de las obras ante los integrantes de los comités ciudadanos de control y vigilancia</w:t>
      </w:r>
      <w:r w:rsidDel="00000000" w:rsidR="00000000" w:rsidRPr="00000000">
        <w:rPr>
          <w:rFonts w:ascii="Palatino Linotype" w:cs="Palatino Linotype" w:eastAsia="Palatino Linotype" w:hAnsi="Palatino Linotype"/>
          <w:i w:val="1"/>
          <w:sz w:val="22"/>
          <w:szCs w:val="22"/>
          <w:rtl w:val="0"/>
        </w:rPr>
        <w:t xml:space="preserve"> y de los vecinos de la localidad beneficiados con la obra.</w:t>
      </w:r>
    </w:p>
    <w:p w:rsidR="00000000" w:rsidDel="00000000" w:rsidP="00000000" w:rsidRDefault="00000000" w:rsidRPr="00000000" w14:paraId="0000007D">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H.-</w:t>
      </w:r>
      <w:r w:rsidDel="00000000" w:rsidR="00000000" w:rsidRPr="00000000">
        <w:rPr>
          <w:rFonts w:ascii="Palatino Linotype" w:cs="Palatino Linotype" w:eastAsia="Palatino Linotype" w:hAnsi="Palatino Linotype"/>
          <w:i w:val="1"/>
          <w:sz w:val="22"/>
          <w:szCs w:val="22"/>
          <w:rtl w:val="0"/>
        </w:rPr>
        <w:t xml:space="preserve"> Los comités ciudadanos de control y vigilancia regularán su actividad por los lineamientos que expidan las secretarías de Finanzas. y Planeación, de la Contraloría y de la Coordinación General de Apoyo Municipal, cuando las obras se realicen, parcial o totalmente, con recursos del Estado.</w:t>
      </w:r>
    </w:p>
    <w:p w:rsidR="00000000" w:rsidDel="00000000" w:rsidP="00000000" w:rsidRDefault="00000000" w:rsidRPr="00000000" w14:paraId="0000007F">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1">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anterior se aprecia que </w:t>
      </w:r>
      <w:r w:rsidDel="00000000" w:rsidR="00000000" w:rsidRPr="00000000">
        <w:rPr>
          <w:rFonts w:ascii="Palatino Linotype" w:cs="Palatino Linotype" w:eastAsia="Palatino Linotype" w:hAnsi="Palatino Linotype"/>
          <w:b w:val="1"/>
          <w:rtl w:val="0"/>
        </w:rPr>
        <w:t xml:space="preserve">es obligación de los ayuntamientos por cada obra estatal o municipal constituir un comité ciudadano de control y vigilancia</w:t>
      </w:r>
      <w:r w:rsidDel="00000000" w:rsidR="00000000" w:rsidRPr="00000000">
        <w:rPr>
          <w:rFonts w:ascii="Palatino Linotype" w:cs="Palatino Linotype" w:eastAsia="Palatino Linotype" w:hAnsi="Palatino Linotype"/>
          <w:rtl w:val="0"/>
        </w:rPr>
        <w:t xml:space="preserve">, como se integran, cuáles son sus funciones, al respecto cabe agregar que en el caso del Sujeto Obligado, la organización, operación, conformación, capacitación, asesoría, atención y seguimiento de la </w:t>
      </w:r>
      <w:r w:rsidDel="00000000" w:rsidR="00000000" w:rsidRPr="00000000">
        <w:rPr>
          <w:rFonts w:ascii="Palatino Linotype" w:cs="Palatino Linotype" w:eastAsia="Palatino Linotype" w:hAnsi="Palatino Linotype"/>
          <w:b w:val="1"/>
          <w:rtl w:val="0"/>
        </w:rPr>
        <w:t xml:space="preserve">Contraloría  Social </w:t>
      </w:r>
      <w:r w:rsidDel="00000000" w:rsidR="00000000" w:rsidRPr="00000000">
        <w:rPr>
          <w:rFonts w:ascii="Palatino Linotype" w:cs="Palatino Linotype" w:eastAsia="Palatino Linotype" w:hAnsi="Palatino Linotype"/>
          <w:rtl w:val="0"/>
        </w:rPr>
        <w:t xml:space="preserve">la realiza a través de la Subcontraloría de  Auditoría Administrativa Financiera de Obra y Social y el Departamento de Auditoría de Obra y Social, labor realizada en coordinación con la Secretaría de la Contraloría del Gobierno del Estado de México (SECOGEM), en el caso de aplicación de recursos de participaciones Federales, Estatales y/o combinados.</w:t>
      </w:r>
    </w:p>
    <w:p w:rsidR="00000000" w:rsidDel="00000000" w:rsidP="00000000" w:rsidRDefault="00000000" w:rsidRPr="00000000" w14:paraId="00000082">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debe mencionarse que el Sujeto Obligado al momento de emitir respuesta, así como al rendir informe justificado refirió sustancialmente:</w:t>
      </w:r>
    </w:p>
    <w:p w:rsidR="00000000" w:rsidDel="00000000" w:rsidP="00000000" w:rsidRDefault="00000000" w:rsidRPr="00000000" w14:paraId="00000083">
      <w:pPr>
        <w:shd w:fill="ffffff" w:val="clea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48325" cy="4114800"/>
            <wp:effectExtent b="0" l="0" r="0" t="0"/>
            <wp:docPr id="37" name="image2.png"/>
            <a:graphic>
              <a:graphicData uri="http://schemas.openxmlformats.org/drawingml/2006/picture">
                <pic:pic>
                  <pic:nvPicPr>
                    <pic:cNvPr id="0" name="image2.png"/>
                    <pic:cNvPicPr preferRelativeResize="0"/>
                  </pic:nvPicPr>
                  <pic:blipFill>
                    <a:blip r:embed="rId11"/>
                    <a:srcRect b="25467" l="3734" r="62491" t="32891"/>
                    <a:stretch>
                      <a:fillRect/>
                    </a:stretch>
                  </pic:blipFill>
                  <pic:spPr>
                    <a:xfrm>
                      <a:off x="0" y="0"/>
                      <a:ext cx="5648325"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aprecia que el Sujeto Obligado asume que está ejecutando la obra referida por el recurrente, empero con motivo de la contingencia sanitaria generada por el COVID-19, no realizó la constitución del COCICOVI respectivo, motivo por el cual está imposibilitado para entregar lo peticionado, circunstancia que se corroboró al consultar la dirección electrónica proporcionada por el Sujeto Obligado al momento de rendir informe justificado en la cual no se advierte registro del COCICOVI.</w:t>
      </w:r>
    </w:p>
    <w:p w:rsidR="00000000" w:rsidDel="00000000" w:rsidP="00000000" w:rsidRDefault="00000000" w:rsidRPr="00000000" w14:paraId="00000085">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si bien pretende justificar su actuar en los Lineamientos de Operación del Programa de Contraloría y Evaluación Social publicados en Gaceta de Gobierno el 31 de agosto de 2020, que establecen:</w:t>
      </w:r>
    </w:p>
    <w:p w:rsidR="00000000" w:rsidDel="00000000" w:rsidP="00000000" w:rsidRDefault="00000000" w:rsidRPr="00000000" w14:paraId="0000008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VIGÉSIMO QUINTO.</w:t>
      </w:r>
      <w:r w:rsidDel="00000000" w:rsidR="00000000" w:rsidRPr="00000000">
        <w:rPr>
          <w:rFonts w:ascii="Palatino Linotype" w:cs="Palatino Linotype" w:eastAsia="Palatino Linotype" w:hAnsi="Palatino Linotype"/>
          <w:i w:val="1"/>
          <w:sz w:val="22"/>
          <w:szCs w:val="22"/>
          <w:rtl w:val="0"/>
        </w:rPr>
        <w:t xml:space="preserve"> La Dirección General de la Secretaría y </w:t>
      </w:r>
      <w:r w:rsidDel="00000000" w:rsidR="00000000" w:rsidRPr="00000000">
        <w:rPr>
          <w:rFonts w:ascii="Palatino Linotype" w:cs="Palatino Linotype" w:eastAsia="Palatino Linotype" w:hAnsi="Palatino Linotype"/>
          <w:b w:val="1"/>
          <w:i w:val="1"/>
          <w:sz w:val="22"/>
          <w:szCs w:val="22"/>
          <w:u w:val="single"/>
          <w:rtl w:val="0"/>
        </w:rPr>
        <w:t xml:space="preserve">las entidades administrativas podrán determinar la viabilidad de la constitución del COCICOVI, considerando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retraso en la entrega del recurso presupuestal;</w:t>
      </w:r>
    </w:p>
    <w:p w:rsidR="00000000" w:rsidDel="00000000" w:rsidP="00000000" w:rsidRDefault="00000000" w:rsidRPr="00000000" w14:paraId="0000008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avance físico de más del 30% en una obra pública, avalado por la Entidad Administrativa;</w:t>
      </w:r>
    </w:p>
    <w:p w:rsidR="00000000" w:rsidDel="00000000" w:rsidP="00000000" w:rsidRDefault="00000000" w:rsidRPr="00000000" w14:paraId="0000008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operatividad del programa social;</w:t>
      </w:r>
    </w:p>
    <w:p w:rsidR="00000000" w:rsidDel="00000000" w:rsidP="00000000" w:rsidRDefault="00000000" w:rsidRPr="00000000" w14:paraId="0000008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situación de orden social adversa u opuesta a la operación o ejecución de la acción, o propia de la zona;</w:t>
      </w:r>
    </w:p>
    <w:p w:rsidR="00000000" w:rsidDel="00000000" w:rsidP="00000000" w:rsidRDefault="00000000" w:rsidRPr="00000000" w14:paraId="0000008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temporalidad establecida en las Reglas de Operación;</w:t>
      </w:r>
    </w:p>
    <w:p w:rsidR="00000000" w:rsidDel="00000000" w:rsidP="00000000" w:rsidRDefault="00000000" w:rsidRPr="00000000" w14:paraId="0000008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casos fortuitos o de fuerza mayor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Los reportes ciudadanos tratándose de trámites o servicios;</w:t>
      </w:r>
    </w:p>
    <w:p w:rsidR="00000000" w:rsidDel="00000000" w:rsidP="00000000" w:rsidRDefault="00000000" w:rsidRPr="00000000" w14:paraId="0000008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Si la fecha de concertación no se determina en más de tres ocasiones por la Entidad Administrativa; y</w:t>
      </w:r>
    </w:p>
    <w:p w:rsidR="00000000" w:rsidDel="00000000" w:rsidP="00000000" w:rsidRDefault="00000000" w:rsidRPr="00000000" w14:paraId="0000008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Si es voluntad de las y los beneficiarios, de las y los usuarios o de la Asamblea.</w:t>
      </w:r>
    </w:p>
    <w:p w:rsidR="00000000" w:rsidDel="00000000" w:rsidP="00000000" w:rsidRDefault="00000000" w:rsidRPr="00000000" w14:paraId="00000090">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2">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debe mencionarse que</w:t>
      </w:r>
      <w:r w:rsidDel="00000000" w:rsidR="00000000" w:rsidRPr="00000000">
        <w:rPr>
          <w:rFonts w:ascii="Arial" w:cs="Arial" w:eastAsia="Arial" w:hAnsi="Arial"/>
          <w:color w:val="242424"/>
          <w:sz w:val="22"/>
          <w:szCs w:val="22"/>
          <w:rtl w:val="0"/>
        </w:rPr>
        <w:t xml:space="preserve"> </w:t>
      </w:r>
      <w:r w:rsidDel="00000000" w:rsidR="00000000" w:rsidRPr="00000000">
        <w:rPr>
          <w:rFonts w:ascii="Palatino Linotype" w:cs="Palatino Linotype" w:eastAsia="Palatino Linotype" w:hAnsi="Palatino Linotype"/>
          <w:rtl w:val="0"/>
        </w:rPr>
        <w:t xml:space="preserve">en seguimiento al debido cumplimiento del Programa de Obra Anual (POA) autorizado para cada ejercicio fiscal, una vez contratadas las obras autorizadas en el POA se debe realizar una debida difusión de las mismas, en las zonas beneficiadas, así como la invitación y convocatoria a asambleas a través de las diferentes áreas implicadas para la elección por votación de los Contralores Sociales para constituir los Comités Ciudadanos de Control y Vigilancia  (COCICOVl'S) de obras a realizar, en estricta observancia a lo establecido particularmente en la Ley Orgánica Municipal vigente en la Entidad.</w:t>
      </w:r>
    </w:p>
    <w:p w:rsidR="00000000" w:rsidDel="00000000" w:rsidP="00000000" w:rsidRDefault="00000000" w:rsidRPr="00000000" w14:paraId="00000093">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al no haber generado la información requerida por el recurrente, con la finalidad de garantizar el pleno ejercicio derecho de acceso a la información pública este Órgano Garante considera pertinente ordenar al Sujeto Obligado que a través de su Comité de Transparencia emita la</w:t>
      </w:r>
      <w:r w:rsidDel="00000000" w:rsidR="00000000" w:rsidRPr="00000000">
        <w:rPr>
          <w:rFonts w:ascii="Palatino Linotype" w:cs="Palatino Linotype" w:eastAsia="Palatino Linotype" w:hAnsi="Palatino Linotype"/>
          <w:b w:val="1"/>
          <w:rtl w:val="0"/>
        </w:rPr>
        <w:t xml:space="preserve"> declaratoria de inexistencia</w:t>
      </w:r>
      <w:r w:rsidDel="00000000" w:rsidR="00000000" w:rsidRPr="00000000">
        <w:rPr>
          <w:rFonts w:ascii="Palatino Linotype" w:cs="Palatino Linotype" w:eastAsia="Palatino Linotype" w:hAnsi="Palatino Linotype"/>
          <w:rtl w:val="0"/>
        </w:rPr>
        <w:t xml:space="preserve">, debidamente fundado y motivado conforme a lo dispuesto en los artículos 19, 49 fracción III, 169 fracción II y 170 de la Ley de Transparencia y Acceso a la Información Pública del Estado de México y Municipios, que establecen la forma en que los Sujetos Obligados deben dar curso; preceptos que se transcriben a continuación:</w:t>
      </w:r>
    </w:p>
    <w:p w:rsidR="00000000" w:rsidDel="00000000" w:rsidP="00000000" w:rsidRDefault="00000000" w:rsidRPr="00000000" w14:paraId="00000094">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 Se presume que la información debe existir si se refiere a las facultades, competencias y funciones que los ordenamientos jurídicos aplicables otorgan a los sujetos obligados.</w:t>
      </w:r>
      <w:r w:rsidDel="00000000" w:rsidR="00000000" w:rsidRPr="00000000">
        <w:rPr>
          <w:rtl w:val="0"/>
        </w:rPr>
      </w:r>
    </w:p>
    <w:p w:rsidR="00000000" w:rsidDel="00000000" w:rsidP="00000000" w:rsidRDefault="00000000" w:rsidRPr="00000000" w14:paraId="00000095">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6">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Del="00000000" w:rsidR="00000000" w:rsidRPr="00000000">
        <w:rPr>
          <w:rtl w:val="0"/>
        </w:rPr>
      </w:r>
    </w:p>
    <w:p w:rsidR="00000000" w:rsidDel="00000000" w:rsidP="00000000" w:rsidRDefault="00000000" w:rsidRPr="00000000" w14:paraId="00000097">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w:t>
      </w:r>
      <w:r w:rsidDel="00000000" w:rsidR="00000000" w:rsidRPr="00000000">
        <w:rPr>
          <w:rtl w:val="0"/>
        </w:rPr>
      </w:r>
    </w:p>
    <w:p w:rsidR="00000000" w:rsidDel="00000000" w:rsidP="00000000" w:rsidRDefault="00000000" w:rsidRPr="00000000" w14:paraId="00000098">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9">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i w:val="1"/>
          <w:sz w:val="22"/>
          <w:szCs w:val="22"/>
          <w:rtl w:val="0"/>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r w:rsidDel="00000000" w:rsidR="00000000" w:rsidRPr="00000000">
        <w:rPr>
          <w:rtl w:val="0"/>
        </w:rPr>
      </w:r>
    </w:p>
    <w:p w:rsidR="00000000" w:rsidDel="00000000" w:rsidP="00000000" w:rsidRDefault="00000000" w:rsidRPr="00000000" w14:paraId="0000009A">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169.</w:t>
      </w:r>
      <w:r w:rsidDel="00000000" w:rsidR="00000000" w:rsidRPr="00000000">
        <w:rPr>
          <w:rFonts w:ascii="Palatino Linotype" w:cs="Palatino Linotype" w:eastAsia="Palatino Linotype" w:hAnsi="Palatino Linotype"/>
          <w:i w:val="1"/>
          <w:sz w:val="22"/>
          <w:szCs w:val="22"/>
          <w:rtl w:val="0"/>
        </w:rPr>
        <w:t xml:space="preserve"> Cuando la información no se encuentre en los archivos del sujeto obligado, el Comité de Transparencia:</w:t>
      </w:r>
      <w:r w:rsidDel="00000000" w:rsidR="00000000" w:rsidRPr="00000000">
        <w:rPr>
          <w:rtl w:val="0"/>
        </w:rPr>
      </w:r>
    </w:p>
    <w:p w:rsidR="00000000" w:rsidDel="00000000" w:rsidP="00000000" w:rsidRDefault="00000000" w:rsidRPr="00000000" w14:paraId="0000009B">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C">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i w:val="1"/>
          <w:sz w:val="22"/>
          <w:szCs w:val="22"/>
          <w:rtl w:val="0"/>
        </w:rPr>
        <w:t xml:space="preserve">II. Expedirá una resolución que confirme la inexistencia del documento;…</w:t>
      </w:r>
      <w:r w:rsidDel="00000000" w:rsidR="00000000" w:rsidRPr="00000000">
        <w:rPr>
          <w:rtl w:val="0"/>
        </w:rPr>
      </w:r>
    </w:p>
    <w:p w:rsidR="00000000" w:rsidDel="00000000" w:rsidP="00000000" w:rsidRDefault="00000000" w:rsidRPr="00000000" w14:paraId="0000009D">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E">
      <w:pPr>
        <w:shd w:fill="ffffff" w:val="clear"/>
        <w:ind w:left="851" w:right="851" w:firstLine="0"/>
        <w:jc w:val="both"/>
        <w:rPr>
          <w:rFonts w:ascii="Georgia" w:cs="Georgia" w:eastAsia="Georgia" w:hAnsi="Georgia"/>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170.</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Del="00000000" w:rsidR="00000000" w:rsidRPr="00000000">
        <w:rPr>
          <w:rtl w:val="0"/>
        </w:rPr>
      </w:r>
    </w:p>
    <w:p w:rsidR="00000000" w:rsidDel="00000000" w:rsidP="00000000" w:rsidRDefault="00000000" w:rsidRPr="00000000" w14:paraId="0000009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se desprende, que los sujetos obligados deben emitir la Declaratoria de Inexistencia precisando de manera enunciativa más no limitativa, las áreas en las que se instruyó la búsqueda, las respuestas otorgadas por los Servidores Públicos habilitados y las circunstancias que tomó en cuenta para determinar que la información requerida no obra en los archivos, debiendo notificar al interesado de tal circunstancia.</w:t>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a lo anterior, los Criterios 0003-11 y 0004-11, emitidos por el Pleno de este Instituto, publicados en el periódico oficial del Estado de México “Gaceta del Gobierno”, el diecinueve de octubre de dos mil once, que establecen lo siguiente:</w:t>
      </w:r>
    </w:p>
    <w:p w:rsidR="00000000" w:rsidDel="00000000" w:rsidP="00000000" w:rsidRDefault="00000000" w:rsidRPr="00000000" w14:paraId="000000A1">
      <w:pPr>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0003-11</w:t>
      </w:r>
    </w:p>
    <w:p w:rsidR="00000000" w:rsidDel="00000000" w:rsidP="00000000" w:rsidRDefault="00000000" w:rsidRPr="00000000" w14:paraId="000000A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CONCEPTO DE, EN MATERIA DE TRANSPARENCIA.</w:t>
      </w:r>
      <w:r w:rsidDel="00000000" w:rsidR="00000000" w:rsidRPr="00000000">
        <w:rPr>
          <w:rFonts w:ascii="Palatino Linotype" w:cs="Palatino Linotype" w:eastAsia="Palatino Linotype" w:hAnsi="Palatino Linotype"/>
          <w:i w:val="1"/>
          <w:sz w:val="22"/>
          <w:szCs w:val="22"/>
          <w:rtl w:val="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00000" w:rsidDel="00000000" w:rsidP="00000000" w:rsidRDefault="00000000" w:rsidRPr="00000000" w14:paraId="000000A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00000" w:rsidDel="00000000" w:rsidP="00000000" w:rsidRDefault="00000000" w:rsidRPr="00000000" w14:paraId="000000A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En los casos en que por las atribuciones conferidas al Sujeto Obligado éste debió generar, administrar o poseer la información, pero en incumplimiento a la normatividad respectiva no llevó a cabo ninguna de es acciones.</w:t>
      </w:r>
    </w:p>
    <w:p w:rsidR="00000000" w:rsidDel="00000000" w:rsidP="00000000" w:rsidRDefault="00000000" w:rsidRPr="00000000" w14:paraId="000000A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00000" w:rsidDel="00000000" w:rsidP="00000000" w:rsidRDefault="00000000" w:rsidRPr="00000000" w14:paraId="000000A6">
      <w:pPr>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0004-11</w:t>
      </w:r>
    </w:p>
    <w:p w:rsidR="00000000" w:rsidDel="00000000" w:rsidP="00000000" w:rsidRDefault="00000000" w:rsidRPr="00000000" w14:paraId="000000A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DECLARATORIA DE LA. ALCANCES Y PROCEDIMIENTOS</w:t>
      </w:r>
      <w:r w:rsidDel="00000000" w:rsidR="00000000" w:rsidRPr="00000000">
        <w:rPr>
          <w:rFonts w:ascii="Palatino Linotype" w:cs="Palatino Linotype" w:eastAsia="Palatino Linotype" w:hAnsi="Palatino Linotype"/>
          <w:i w:val="1"/>
          <w:sz w:val="22"/>
          <w:szCs w:val="22"/>
          <w:rtl w:val="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00000" w:rsidDel="00000000" w:rsidP="00000000" w:rsidRDefault="00000000" w:rsidRPr="00000000" w14:paraId="000000A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Bajo el entendido de que dicha búsqueda exhaustiva permitirá dos determinaciones:</w:t>
      </w:r>
    </w:p>
    <w:p w:rsidR="00000000" w:rsidDel="00000000" w:rsidP="00000000" w:rsidRDefault="00000000" w:rsidRPr="00000000" w14:paraId="000000A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1ª) Que se localice la documentación que contenga la información solicitada y de ser así la información pueda entregarse al solicitante en la forma en que se encuentra disponible, o</w:t>
      </w:r>
    </w:p>
    <w:p w:rsidR="00000000" w:rsidDel="00000000" w:rsidP="00000000" w:rsidRDefault="00000000" w:rsidRPr="00000000" w14:paraId="000000A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00000" w:rsidDel="00000000" w:rsidP="00000000" w:rsidRDefault="00000000" w:rsidRPr="00000000" w14:paraId="000000A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000000" w:rsidDel="00000000" w:rsidP="00000000" w:rsidRDefault="00000000" w:rsidRPr="00000000" w14:paraId="000000A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la declaratoria de inexistencia no es un mero trámite por el cual de manera mecánica o simple manifieste que la información no existe en sus archivos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cuando la misma por disposición legal debería de obrar, sino que su contenido y alcance implica la responsabilidad y atribución del Comité de Transparencia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 instruir una búsqueda exhaustiva a todas y cada una de las áreas administrativas de las que se compone, para localizar los documentos que contengan la información materia de una solicitud, asimismo, para supervisar que esa búsqueda se lleve a cabo en todas y cada una de las áreas de que se compone dicho órgano, con fundamento en el artículo 162 de la Ley de Transparencia y acceso a la Información Pública del Estado de México y Municipios.</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el entendido de que dicha búsqueda exhaustiva permitirá:</w:t>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000000" w:rsidDel="00000000" w:rsidP="00000000" w:rsidRDefault="00000000" w:rsidRPr="00000000" w14:paraId="000000A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actualizarse esta primera hipótesis, la información debe entregarse al </w:t>
      </w:r>
      <w:r w:rsidDel="00000000" w:rsidR="00000000" w:rsidRPr="00000000">
        <w:rPr>
          <w:rFonts w:ascii="Palatino Linotype" w:cs="Palatino Linotype" w:eastAsia="Palatino Linotype" w:hAnsi="Palatino Linotype"/>
          <w:b w:val="1"/>
          <w:i w:val="1"/>
          <w:rtl w:val="0"/>
        </w:rPr>
        <w:t xml:space="preserve">Recurrente </w:t>
      </w:r>
      <w:r w:rsidDel="00000000" w:rsidR="00000000" w:rsidRPr="00000000">
        <w:rPr>
          <w:rFonts w:ascii="Palatino Linotype" w:cs="Palatino Linotype" w:eastAsia="Palatino Linotype" w:hAnsi="Palatino Linotype"/>
          <w:rtl w:val="0"/>
        </w:rPr>
        <w:t xml:space="preserve">a través del o los documentos fuente.</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Que no se localice documento alguno que contenga la información requerida, en este supuesto, el Comité de Transparencia deberá resolver la declaratoria de inexistencia de la información y notificarla al recurrente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y a este Pleno.</w:t>
      </w:r>
    </w:p>
    <w:p w:rsidR="00000000" w:rsidDel="00000000" w:rsidP="00000000" w:rsidRDefault="00000000" w:rsidRPr="00000000" w14:paraId="000000B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 los requisitos formales y sustanciales señalados, la declaratoria de inexistencia de la información debe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que se tomaron en cuenta para llegar a determinar que no obra en sus archivos las información requerida. Con el fin de que el particular pueda tener certeza de que se hizo una búsqueda exhaustiva de la información solicitada y que se le dio la adecuada atención a su solicitud, bajo el entendido que la búsqueda es un elemento previo acreditable antes de la emisión del acuerdo de inexistencia.</w:t>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efecto, la búsqueda exhaustiva presupone que el Comité deba tomar o acordar las medidas pertinentes para la debida localización dentro de la dependencia de la información solicitada, y en general de adoptar cualquier otra medida que considere conducente para tales efectos y velar por la certeza en el derecho de acceso a la información, y sólo agotadas las medidas necesarias de búsqueda de la información, y en caso de no encontrarla. Procede expedir una resolución que confirme la inexistencia de la información o documento solicitado y notificar el acuerdo correspondiente.</w:t>
      </w:r>
    </w:p>
    <w:p w:rsidR="00000000" w:rsidDel="00000000" w:rsidP="00000000" w:rsidRDefault="00000000" w:rsidRPr="00000000" w14:paraId="000000B3">
      <w:pPr>
        <w:shd w:fill="ffffff" w:val="clea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mencionado con anterioridad, este Órgano Garante considera fundadas las razones o motivos de inconformidad que plantea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de tal manera que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B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w:t>
      </w:r>
      <w:r w:rsidDel="00000000" w:rsidR="00000000" w:rsidRPr="00000000">
        <w:rPr>
          <w:rFonts w:ascii="Palatino Linotype" w:cs="Palatino Linotype" w:eastAsia="Palatino Linotype" w:hAnsi="Palatino Linotype"/>
          <w:highlight w:val="white"/>
          <w:rtl w:val="0"/>
        </w:rPr>
        <w:t xml:space="preserve">párrafos vigésimo noveno, trigésimo y trigésimo primero fracciones IV y V </w:t>
      </w:r>
      <w:r w:rsidDel="00000000" w:rsidR="00000000" w:rsidRPr="00000000">
        <w:rPr>
          <w:rFonts w:ascii="Palatino Linotype" w:cs="Palatino Linotype" w:eastAsia="Palatino Linotype" w:hAnsi="Palatino Linotype"/>
          <w:rtl w:val="0"/>
        </w:rPr>
        <w:t xml:space="preserve">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28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fundados los motivos de inconformidad aducidos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02689/INFOEM/IP/RR/2021</w:t>
      </w:r>
      <w:r w:rsidDel="00000000" w:rsidR="00000000" w:rsidRPr="00000000">
        <w:rPr>
          <w:rFonts w:ascii="Palatino Linotype" w:cs="Palatino Linotype" w:eastAsia="Palatino Linotype" w:hAnsi="Palatino Linotype"/>
          <w:rtl w:val="0"/>
        </w:rPr>
        <w:t xml:space="preserve">, en términos de los argumentos de derecho señalados en el considerando Cuarto, por ende,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del Considerando Cuarto, haga entrega a través del SAIMEX, de lo siguiente:</w:t>
      </w:r>
      <w:r w:rsidDel="00000000" w:rsidR="00000000" w:rsidRPr="00000000">
        <w:rPr>
          <w:rtl w:val="0"/>
        </w:rPr>
      </w:r>
    </w:p>
    <w:p w:rsidR="00000000" w:rsidDel="00000000" w:rsidP="00000000" w:rsidRDefault="00000000" w:rsidRPr="00000000" w14:paraId="000000B8">
      <w:pPr>
        <w:numPr>
          <w:ilvl w:val="0"/>
          <w:numId w:val="6"/>
        </w:numPr>
        <w:spacing w:after="240" w:before="240" w:line="360" w:lineRule="auto"/>
        <w:ind w:left="720"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3"/>
          <w:szCs w:val="23"/>
          <w:rtl w:val="0"/>
        </w:rPr>
        <w:t xml:space="preserve">Acuerdo de Inexistencia, en términos de la Ley de Transparencia y Acceso a la Información Pública del Estado de México y Municipios, en el que funde y motive las razones por las que no obra en sus archivos la información requerida por el recurrente.</w:t>
      </w:r>
      <w:r w:rsidDel="00000000" w:rsidR="00000000" w:rsidRPr="00000000">
        <w:rPr>
          <w:rtl w:val="0"/>
        </w:rPr>
      </w:r>
    </w:p>
    <w:p w:rsidR="00000000" w:rsidDel="00000000" w:rsidP="00000000" w:rsidRDefault="00000000" w:rsidRPr="00000000" w14:paraId="000000B9">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Tercero. Notifíquese </w:t>
      </w:r>
      <w:r w:rsidDel="00000000" w:rsidR="00000000" w:rsidRPr="00000000">
        <w:rPr>
          <w:rFonts w:ascii="Palatino Linotype" w:cs="Palatino Linotype" w:eastAsia="Palatino Linotype" w:hAnsi="Palatino Linotype"/>
          <w:highlight w:val="white"/>
          <w:rtl w:val="0"/>
        </w:rPr>
        <w:t xml:space="preserve">al Titular de la Unidad de Transparencia del</w:t>
      </w:r>
      <w:r w:rsidDel="00000000" w:rsidR="00000000" w:rsidRPr="00000000">
        <w:rPr>
          <w:rFonts w:ascii="Palatino Linotype" w:cs="Palatino Linotype" w:eastAsia="Palatino Linotype" w:hAnsi="Palatino Linotype"/>
          <w:b w:val="1"/>
          <w:highlight w:val="white"/>
          <w:rtl w:val="0"/>
        </w:rPr>
        <w:t xml:space="preserve"> SUJETO OBLIGADO</w:t>
      </w:r>
      <w:r w:rsidDel="00000000" w:rsidR="00000000" w:rsidRPr="00000000">
        <w:rPr>
          <w:rFonts w:ascii="Palatino Linotype" w:cs="Palatino Linotype" w:eastAsia="Palatino Linotype" w:hAnsi="Palatino Linotype"/>
          <w:highlight w:val="whit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al 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159 de la Ley General de Transparencia y Acceso a la Información Pública y en el artículo 196 de la Ley de Transparencia y Acceso a la Información Pública del Estado de México y Municipios, podrá impugnar vía recurso de inconformidad ante el Instituto Nacional de Transparencia, Acceso a la Información y Protección de Datos Personales, o bien, vía Juicio de Amparo en términos de las leyes aplicables.</w:t>
      </w:r>
    </w:p>
    <w:p w:rsidR="00000000" w:rsidDel="00000000" w:rsidP="00000000" w:rsidRDefault="00000000" w:rsidRPr="00000000" w14:paraId="000000BC">
      <w:pPr>
        <w:tabs>
          <w:tab w:val="left" w:pos="709"/>
        </w:tabs>
        <w:spacing w:after="240" w:before="240" w:line="360" w:lineRule="auto"/>
        <w:jc w:val="both"/>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DE NOVIEMBRE DE DOS MIL VEINTIUNO, ANTE EL SECRETARIO TÉCNICO DEL PLENO ALEXIS TAPIA RAMÍREZ. </w:t>
      </w:r>
    </w:p>
    <w:p w:rsidR="00000000" w:rsidDel="00000000" w:rsidP="00000000" w:rsidRDefault="00000000" w:rsidRPr="00000000" w14:paraId="000000BD">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-438784</wp:posOffset>
          </wp:positionV>
          <wp:extent cx="7635600" cy="9943200"/>
          <wp:effectExtent b="0" l="0" r="0" t="0"/>
          <wp:wrapNone/>
          <wp:docPr id="3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CB">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CC">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02689/INFOEM/IP/RR/2021</w:t>
          </w:r>
        </w:p>
      </w:tc>
    </w:tr>
    <w:tr>
      <w:trPr>
        <w:cantSplit w:val="0"/>
        <w:tblHeader w:val="0"/>
      </w:trPr>
      <w:tc>
        <w:tcPr>
          <w:vAlign w:val="center"/>
        </w:tcPr>
        <w:p w:rsidR="00000000" w:rsidDel="00000000" w:rsidP="00000000" w:rsidRDefault="00000000" w:rsidRPr="00000000" w14:paraId="000000CD">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0CE">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XXXXXXXX XXXXX</w:t>
          </w:r>
        </w:p>
      </w:tc>
    </w:tr>
    <w:tr>
      <w:trPr>
        <w:cantSplit w:val="0"/>
        <w:trHeight w:val="228" w:hRule="atLeast"/>
        <w:tblHeader w:val="0"/>
      </w:trPr>
      <w:tc>
        <w:tcPr>
          <w:vAlign w:val="center"/>
        </w:tcPr>
        <w:p w:rsidR="00000000" w:rsidDel="00000000" w:rsidP="00000000" w:rsidRDefault="00000000" w:rsidRPr="00000000" w14:paraId="000000C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0D0">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Tlalnepantla de Baz</w:t>
          </w:r>
        </w:p>
      </w:tc>
    </w:tr>
    <w:tr>
      <w:trPr>
        <w:cantSplit w:val="0"/>
        <w:tblHeader w:val="0"/>
      </w:trPr>
      <w:tc>
        <w:tcPr>
          <w:vAlign w:val="center"/>
        </w:tcPr>
        <w:p w:rsidR="00000000" w:rsidDel="00000000" w:rsidP="00000000" w:rsidRDefault="00000000" w:rsidRPr="00000000" w14:paraId="000000D1">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D2">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D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D6">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02689/INFOEM/IP/RR/2021</w:t>
          </w:r>
        </w:p>
      </w:tc>
    </w:tr>
    <w:tr>
      <w:trPr>
        <w:cantSplit w:val="0"/>
        <w:trHeight w:val="228" w:hRule="atLeast"/>
        <w:tblHeader w:val="0"/>
      </w:trPr>
      <w:tc>
        <w:tcPr>
          <w:vAlign w:val="center"/>
        </w:tcPr>
        <w:p w:rsidR="00000000" w:rsidDel="00000000" w:rsidP="00000000" w:rsidRDefault="00000000" w:rsidRPr="00000000" w14:paraId="000000D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0D8">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Tlalnepantla de Baz</w:t>
          </w:r>
        </w:p>
      </w:tc>
    </w:tr>
    <w:tr>
      <w:trPr>
        <w:cantSplit w:val="0"/>
        <w:tblHeader w:val="0"/>
      </w:trPr>
      <w:tc>
        <w:tcPr>
          <w:vAlign w:val="center"/>
        </w:tcPr>
        <w:p w:rsidR="00000000" w:rsidDel="00000000" w:rsidP="00000000" w:rsidRDefault="00000000" w:rsidRPr="00000000" w14:paraId="000000D9">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DA">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-1249679</wp:posOffset>
          </wp:positionV>
          <wp:extent cx="7635163" cy="9944100"/>
          <wp:effectExtent b="0" l="0" r="0" t="0"/>
          <wp:wrapNone/>
          <wp:docPr id="3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b w:val="1"/>
      </w:rPr>
    </w:lvl>
    <w:lvl w:ilvl="1">
      <w:start w:val="1"/>
      <w:numFmt w:val="decimal"/>
      <w:lvlText w:val="%1.%2."/>
      <w:lvlJc w:val="left"/>
      <w:pPr>
        <w:ind w:left="1155" w:hanging="435"/>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319FA"/>
    <w:pPr>
      <w:spacing w:after="0" w:line="240" w:lineRule="auto"/>
    </w:pPr>
    <w:rPr>
      <w:rFonts w:ascii="Times New Roman" w:cs="Times New Roman" w:eastAsia="Times New Roman" w:hAnsi="Times New Roman"/>
      <w:sz w:val="24"/>
      <w:szCs w:val="24"/>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319FA"/>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7319FA"/>
    <w:rPr>
      <w:rFonts w:eastAsiaTheme="minorEastAsia"/>
      <w:sz w:val="24"/>
      <w:szCs w:val="24"/>
      <w:lang w:eastAsia="es-ES" w:val="es-ES_tradnl"/>
    </w:rPr>
  </w:style>
  <w:style w:type="paragraph" w:styleId="Piedepgina">
    <w:name w:val="footer"/>
    <w:basedOn w:val="Normal"/>
    <w:link w:val="PiedepginaCar"/>
    <w:uiPriority w:val="99"/>
    <w:unhideWhenUsed w:val="1"/>
    <w:rsid w:val="007319FA"/>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7319FA"/>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319FA"/>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319FA"/>
    <w:pPr>
      <w:ind w:left="708"/>
    </w:pPr>
    <w:rPr>
      <w:sz w:val="22"/>
      <w:szCs w:val="22"/>
      <w:lang w:eastAsia="en-US"/>
    </w:rPr>
  </w:style>
  <w:style w:type="character" w:styleId="normaltextrun" w:customStyle="1">
    <w:name w:val="normaltextrun"/>
    <w:basedOn w:val="Fuentedeprrafopredeter"/>
    <w:rsid w:val="007319FA"/>
  </w:style>
  <w:style w:type="character" w:styleId="apple-converted-space" w:customStyle="1">
    <w:name w:val="apple-converted-space"/>
    <w:basedOn w:val="Fuentedeprrafopredeter"/>
    <w:rsid w:val="007319FA"/>
  </w:style>
  <w:style w:type="paragraph" w:styleId="NormalWeb">
    <w:name w:val="Normal (Web)"/>
    <w:basedOn w:val="Normal"/>
    <w:uiPriority w:val="99"/>
    <w:unhideWhenUsed w:val="1"/>
    <w:rsid w:val="007319FA"/>
    <w:pPr>
      <w:spacing w:after="100" w:afterAutospacing="1" w:before="100" w:beforeAutospacing="1"/>
    </w:pPr>
    <w:rPr>
      <w:lang w:eastAsia="es-MX"/>
    </w:rPr>
  </w:style>
  <w:style w:type="paragraph" w:styleId="Sinespaciado">
    <w:name w:val="No Spacing"/>
    <w:aliases w:val="Francesa,INAI"/>
    <w:link w:val="SinespaciadoCar"/>
    <w:uiPriority w:val="1"/>
    <w:qFormat w:val="1"/>
    <w:rsid w:val="007319FA"/>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7319FA"/>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7319FA"/>
    <w:rPr>
      <w:b w:val="1"/>
      <w:bCs w:val="1"/>
    </w:rPr>
  </w:style>
  <w:style w:type="paragraph" w:styleId="Default" w:customStyle="1">
    <w:name w:val="Default"/>
    <w:rsid w:val="007319FA"/>
    <w:pPr>
      <w:autoSpaceDE w:val="0"/>
      <w:autoSpaceDN w:val="0"/>
      <w:adjustRightInd w:val="0"/>
      <w:spacing w:after="0" w:line="240" w:lineRule="auto"/>
    </w:pPr>
    <w:rPr>
      <w:rFonts w:ascii="Arial" w:cs="Arial" w:hAnsi="Arial"/>
      <w:color w:val="000000"/>
      <w:sz w:val="24"/>
      <w:szCs w:val="24"/>
    </w:rPr>
  </w:style>
  <w:style w:type="character" w:styleId="Hipervnculo">
    <w:name w:val="Hyperlink"/>
    <w:basedOn w:val="Fuentedeprrafopredeter"/>
    <w:uiPriority w:val="99"/>
    <w:unhideWhenUsed w:val="1"/>
    <w:rsid w:val="00942935"/>
    <w:rPr>
      <w:color w:val="0000ff"/>
      <w:u w:val="single"/>
    </w:rPr>
  </w:style>
  <w:style w:type="character" w:styleId="UnresolvedMention" w:customStyle="1">
    <w:name w:val="Unresolved Mention"/>
    <w:basedOn w:val="Fuentedeprrafopredeter"/>
    <w:uiPriority w:val="99"/>
    <w:semiHidden w:val="1"/>
    <w:unhideWhenUsed w:val="1"/>
    <w:rsid w:val="00893C71"/>
    <w:rPr>
      <w:color w:val="605e5c"/>
      <w:shd w:color="auto" w:fill="e1dfdd" w:val="clear"/>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rsid w:val="003F081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3F081F"/>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F081F"/>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www.tlalnepantla.gob.mx/"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lalnepantla.gob.mx/"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aimex.org.mx/saimex/solicitud/downloadAttach/1125889.page" TargetMode="External"/><Relationship Id="rId8" Type="http://schemas.openxmlformats.org/officeDocument/2006/relationships/hyperlink" Target="https://www.saimex.org.mx/saimex/solicitud/downloadAttach/1137267.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KRJBpRcbtnbfUa67/xIQX26bzw==">AMUW2mVBlCV7/H11npzbmeoMi6Hj6QGB7eekrsEEJOHXMCgCOk7cu8M5g/yjCPgwzuaA5fohTPvg1Btw2KDuETy1d6wdYQq4+HkUww3TEziaxQRI+ybFEMd1+I/cBGUt6MRYBZHYk23cCfHDlX14cVDBnuGCmL1UkxYAIrMYrynkkhX2bH2ul1o=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2021-10-19T18:26:00Z</dcterms:created>
  <dc:creator>Usu</dc:creator>
</cp:coreProperties>
</file>