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14810" w:rsidRDefault="00F14810" w:rsidP="00FF76D5">
      <w:pPr>
        <w:spacing w:after="0" w:line="360" w:lineRule="auto"/>
        <w:ind w:right="48"/>
        <w:rPr>
          <w:rFonts w:ascii="Palatino Linotype" w:eastAsia="MS Mincho" w:hAnsi="Palatino Linotype" w:cs="Times New Roman"/>
          <w:b/>
          <w:sz w:val="24"/>
          <w:szCs w:val="24"/>
          <w:lang w:val="es-ES_tradnl" w:eastAsia="es-ES"/>
        </w:rPr>
      </w:pPr>
    </w:p>
    <w:p w:rsidR="00F14810" w:rsidRPr="001E5FA2" w:rsidRDefault="00F14810" w:rsidP="00F14810">
      <w:pPr>
        <w:spacing w:after="0" w:line="360" w:lineRule="auto"/>
        <w:ind w:right="48"/>
        <w:jc w:val="center"/>
        <w:rPr>
          <w:rFonts w:ascii="Palatino Linotype" w:eastAsia="MS Mincho" w:hAnsi="Palatino Linotype" w:cs="Times New Roman"/>
          <w:b/>
          <w:sz w:val="24"/>
          <w:szCs w:val="24"/>
          <w:lang w:val="es-ES_tradnl" w:eastAsia="es-ES"/>
        </w:rPr>
      </w:pPr>
      <w:r w:rsidRPr="001E5FA2">
        <w:rPr>
          <w:rFonts w:ascii="Palatino Linotype" w:eastAsia="MS Mincho" w:hAnsi="Palatino Linotype" w:cs="Times New Roman"/>
          <w:b/>
          <w:sz w:val="24"/>
          <w:szCs w:val="24"/>
          <w:lang w:val="es-ES_tradnl" w:eastAsia="es-ES"/>
        </w:rPr>
        <w:t>RESUMEN</w:t>
      </w:r>
    </w:p>
    <w:p w:rsidR="00F14810" w:rsidRPr="001E5FA2" w:rsidRDefault="00F14810" w:rsidP="00F14810">
      <w:pPr>
        <w:spacing w:after="0" w:line="360" w:lineRule="auto"/>
        <w:ind w:right="48"/>
        <w:jc w:val="center"/>
        <w:rPr>
          <w:rFonts w:ascii="Palatino Linotype" w:eastAsia="MS Mincho" w:hAnsi="Palatino Linotype" w:cs="Times New Roman"/>
          <w:b/>
          <w:sz w:val="24"/>
          <w:szCs w:val="24"/>
          <w:lang w:val="es-ES_tradnl" w:eastAsia="es-ES"/>
        </w:rPr>
      </w:pPr>
    </w:p>
    <w:p w:rsidR="00F14810" w:rsidRPr="001E5FA2" w:rsidRDefault="00F14810" w:rsidP="00F14810">
      <w:pPr>
        <w:tabs>
          <w:tab w:val="left" w:pos="0"/>
          <w:tab w:val="center" w:pos="4419"/>
          <w:tab w:val="right" w:pos="8838"/>
        </w:tabs>
        <w:spacing w:after="0" w:line="360" w:lineRule="auto"/>
        <w:jc w:val="both"/>
        <w:rPr>
          <w:rFonts w:ascii="Palatino Linotype" w:eastAsia="MS Mincho" w:hAnsi="Palatino Linotype" w:cs="Times New Roman"/>
          <w:sz w:val="24"/>
          <w:szCs w:val="24"/>
          <w:lang w:val="es-ES_tradnl" w:eastAsia="es-ES"/>
        </w:rPr>
      </w:pPr>
      <w:r w:rsidRPr="001E5FA2">
        <w:rPr>
          <w:rFonts w:ascii="Palatino Linotype" w:eastAsia="MS Mincho" w:hAnsi="Palatino Linotype" w:cs="Times New Roman"/>
          <w:b/>
          <w:sz w:val="24"/>
          <w:szCs w:val="24"/>
          <w:lang w:val="es-ES_tradnl" w:eastAsia="es-ES"/>
        </w:rPr>
        <w:t xml:space="preserve">Tema: </w:t>
      </w:r>
      <w:r w:rsidRPr="001E5FA2">
        <w:rPr>
          <w:rFonts w:ascii="Palatino Linotype" w:eastAsia="MS Mincho" w:hAnsi="Palatino Linotype" w:cs="Times New Roman"/>
          <w:sz w:val="24"/>
          <w:szCs w:val="24"/>
          <w:lang w:val="es-ES_tradnl" w:eastAsia="es-ES"/>
        </w:rPr>
        <w:t xml:space="preserve">Legalidad de la respuesta otorgada por el </w:t>
      </w:r>
      <w:r w:rsidR="00FF76D5" w:rsidRPr="001E5FA2">
        <w:rPr>
          <w:rFonts w:ascii="Palatino Linotype" w:eastAsia="MS Mincho" w:hAnsi="Palatino Linotype" w:cs="Times New Roman"/>
          <w:sz w:val="24"/>
          <w:szCs w:val="24"/>
          <w:lang w:val="es-ES_tradnl" w:eastAsia="es-ES"/>
        </w:rPr>
        <w:t>Ayuntamiento de Ecatepec de Morelos</w:t>
      </w:r>
      <w:r w:rsidRPr="001E5FA2">
        <w:rPr>
          <w:rFonts w:ascii="Palatino Linotype" w:eastAsia="MS Mincho" w:hAnsi="Palatino Linotype" w:cs="Times New Roman"/>
          <w:sz w:val="24"/>
          <w:szCs w:val="24"/>
          <w:lang w:val="es-ES_tradnl" w:eastAsia="es-ES"/>
        </w:rPr>
        <w:t xml:space="preserve">. </w:t>
      </w:r>
    </w:p>
    <w:p w:rsidR="00F14810" w:rsidRPr="001E5FA2" w:rsidRDefault="00F14810" w:rsidP="00F14810">
      <w:pPr>
        <w:tabs>
          <w:tab w:val="left" w:pos="0"/>
          <w:tab w:val="center" w:pos="4419"/>
          <w:tab w:val="right" w:pos="8838"/>
        </w:tabs>
        <w:spacing w:after="0" w:line="360" w:lineRule="auto"/>
        <w:rPr>
          <w:rFonts w:ascii="Palatino Linotype" w:eastAsia="MS Mincho" w:hAnsi="Palatino Linotype" w:cs="Times New Roman"/>
          <w:sz w:val="24"/>
          <w:szCs w:val="24"/>
          <w:lang w:val="es-ES_tradnl" w:eastAsia="es-ES"/>
        </w:rPr>
      </w:pPr>
    </w:p>
    <w:p w:rsidR="00F14810" w:rsidRPr="001E5FA2" w:rsidRDefault="00F14810" w:rsidP="00F14810">
      <w:pPr>
        <w:tabs>
          <w:tab w:val="left" w:pos="0"/>
          <w:tab w:val="center" w:pos="4419"/>
          <w:tab w:val="right" w:pos="8838"/>
        </w:tabs>
        <w:spacing w:after="0" w:line="360" w:lineRule="auto"/>
        <w:jc w:val="both"/>
        <w:rPr>
          <w:rFonts w:ascii="Palatino Linotype" w:eastAsia="MS Mincho" w:hAnsi="Palatino Linotype" w:cs="Times New Roman"/>
          <w:sz w:val="24"/>
          <w:szCs w:val="24"/>
          <w:lang w:val="es-ES_tradnl" w:eastAsia="es-ES"/>
        </w:rPr>
      </w:pPr>
      <w:r w:rsidRPr="001E5FA2">
        <w:rPr>
          <w:rFonts w:ascii="Palatino Linotype" w:eastAsia="MS Mincho" w:hAnsi="Palatino Linotype" w:cs="Times New Roman"/>
          <w:b/>
          <w:sz w:val="24"/>
          <w:szCs w:val="24"/>
          <w:lang w:val="es-ES_tradnl" w:eastAsia="es-ES"/>
        </w:rPr>
        <w:t xml:space="preserve">El caso: </w:t>
      </w:r>
      <w:r w:rsidRPr="001E5FA2">
        <w:rPr>
          <w:rFonts w:ascii="Palatino Linotype" w:eastAsia="MS Mincho" w:hAnsi="Palatino Linotype" w:cs="Times New Roman"/>
          <w:sz w:val="24"/>
          <w:szCs w:val="24"/>
          <w:lang w:val="es-ES_tradnl" w:eastAsia="es-ES"/>
        </w:rPr>
        <w:t xml:space="preserve">Una persona solicitó </w:t>
      </w:r>
      <w:r w:rsidR="00FF76D5" w:rsidRPr="001E5FA2">
        <w:rPr>
          <w:rFonts w:ascii="Palatino Linotype" w:eastAsia="MS Mincho" w:hAnsi="Palatino Linotype" w:cs="Times New Roman"/>
          <w:sz w:val="24"/>
          <w:szCs w:val="24"/>
          <w:lang w:val="es-ES_tradnl" w:eastAsia="es-ES"/>
        </w:rPr>
        <w:t>del Panteón de Santa María Chiconautla los ingresos durante el ejercicio fiscal 2020, quien administra los recursos, concepto de los cobros con su fundament</w:t>
      </w:r>
      <w:r w:rsidR="00300BBA" w:rsidRPr="001E5FA2">
        <w:rPr>
          <w:rFonts w:ascii="Palatino Linotype" w:eastAsia="MS Mincho" w:hAnsi="Palatino Linotype" w:cs="Times New Roman"/>
          <w:sz w:val="24"/>
          <w:szCs w:val="24"/>
          <w:lang w:val="es-ES_tradnl" w:eastAsia="es-ES"/>
        </w:rPr>
        <w:t>o legal, quien faculta a la delegación para hacer el cobro de cuotas, en base a que ordenamiento jurídico y a donde se destinan los ingresos.</w:t>
      </w:r>
    </w:p>
    <w:p w:rsidR="00300BBA" w:rsidRPr="001E5FA2" w:rsidRDefault="00300BBA" w:rsidP="00300BBA">
      <w:pPr>
        <w:pStyle w:val="Prrafodelista"/>
        <w:spacing w:after="0" w:line="360" w:lineRule="auto"/>
        <w:ind w:left="0" w:right="48"/>
        <w:jc w:val="both"/>
        <w:rPr>
          <w:rFonts w:ascii="Palatino Linotype" w:eastAsia="MS Mincho" w:hAnsi="Palatino Linotype" w:cs="Times New Roman"/>
          <w:sz w:val="24"/>
          <w:szCs w:val="24"/>
          <w:lang w:val="es-ES_tradnl" w:eastAsia="es-ES"/>
        </w:rPr>
      </w:pPr>
    </w:p>
    <w:p w:rsidR="00300BBA" w:rsidRPr="001E5FA2" w:rsidRDefault="00300BBA" w:rsidP="00300BBA">
      <w:pPr>
        <w:pStyle w:val="Prrafodelista"/>
        <w:spacing w:after="0" w:line="360" w:lineRule="auto"/>
        <w:ind w:left="0" w:right="48"/>
        <w:jc w:val="both"/>
        <w:rPr>
          <w:rFonts w:ascii="Palatino Linotype" w:eastAsia="MS Mincho" w:hAnsi="Palatino Linotype" w:cs="Arial"/>
          <w:i/>
          <w:sz w:val="24"/>
          <w:szCs w:val="24"/>
          <w:lang w:val="es-ES_tradnl" w:eastAsia="es-ES"/>
        </w:rPr>
      </w:pPr>
      <w:r w:rsidRPr="001E5FA2">
        <w:rPr>
          <w:rFonts w:ascii="Palatino Linotype" w:hAnsi="Palatino Linotype"/>
          <w:iCs/>
          <w:color w:val="000000"/>
          <w:sz w:val="24"/>
          <w:szCs w:val="24"/>
        </w:rPr>
        <w:t xml:space="preserve">En  respuesta, el SUJETO OBLIGADO emitió un documento de la Dirección de Servicios Públicos, mediante la cual refiere que </w:t>
      </w:r>
      <w:r w:rsidRPr="001E5FA2">
        <w:rPr>
          <w:rFonts w:ascii="Palatino Linotype" w:hAnsi="Palatino Linotype"/>
          <w:sz w:val="24"/>
          <w:szCs w:val="24"/>
        </w:rPr>
        <w:t xml:space="preserve">tiene a sus cargo tres panteones los cuales son el Panteón Antiguo, el Panteón de San Efrén y el Panteón de San Isidro </w:t>
      </w:r>
      <w:proofErr w:type="spellStart"/>
      <w:r w:rsidRPr="001E5FA2">
        <w:rPr>
          <w:rFonts w:ascii="Palatino Linotype" w:hAnsi="Palatino Linotype"/>
          <w:sz w:val="24"/>
          <w:szCs w:val="24"/>
        </w:rPr>
        <w:t>Atlautenco</w:t>
      </w:r>
      <w:proofErr w:type="spellEnd"/>
      <w:r w:rsidRPr="001E5FA2">
        <w:rPr>
          <w:rFonts w:ascii="Palatino Linotype" w:hAnsi="Palatino Linotype"/>
          <w:sz w:val="24"/>
          <w:szCs w:val="24"/>
        </w:rPr>
        <w:t>, por tal motivo, no son la instancia competente para responder dicha solicitud de información, asimismo, manifestó que dicha solicitud debería ser remitida a la Dirección de Gobierno</w:t>
      </w:r>
      <w:r w:rsidR="006F53C6" w:rsidRPr="001E5FA2">
        <w:rPr>
          <w:rFonts w:ascii="Palatino Linotype" w:hAnsi="Palatino Linotype"/>
          <w:sz w:val="24"/>
          <w:szCs w:val="24"/>
        </w:rPr>
        <w:t>, ya que ellos son los indicados de regular el tema de las mesas directivas de COPACI y sus Delegados, los cuales manejan los panteones de los pueblos.</w:t>
      </w:r>
    </w:p>
    <w:p w:rsidR="00F14810" w:rsidRPr="001E5FA2" w:rsidRDefault="00F14810" w:rsidP="00F14810">
      <w:pPr>
        <w:spacing w:after="0" w:line="360" w:lineRule="auto"/>
        <w:jc w:val="both"/>
        <w:rPr>
          <w:rFonts w:ascii="Palatino Linotype" w:eastAsiaTheme="minorEastAsia" w:hAnsi="Palatino Linotype"/>
          <w:sz w:val="23"/>
          <w:szCs w:val="23"/>
          <w:lang w:eastAsia="es-ES"/>
        </w:rPr>
      </w:pPr>
    </w:p>
    <w:p w:rsidR="00F14810" w:rsidRPr="001E5FA2" w:rsidRDefault="00F14810" w:rsidP="00F14810">
      <w:pPr>
        <w:tabs>
          <w:tab w:val="left" w:pos="0"/>
          <w:tab w:val="center" w:pos="4419"/>
          <w:tab w:val="right" w:pos="8838"/>
        </w:tabs>
        <w:spacing w:after="0" w:line="360" w:lineRule="auto"/>
        <w:jc w:val="both"/>
        <w:rPr>
          <w:rFonts w:ascii="Palatino Linotype" w:eastAsia="MS Mincho" w:hAnsi="Palatino Linotype" w:cs="Times New Roman"/>
          <w:sz w:val="24"/>
          <w:szCs w:val="24"/>
          <w:lang w:val="es-ES_tradnl" w:eastAsia="es-ES"/>
        </w:rPr>
      </w:pPr>
      <w:r w:rsidRPr="001E5FA2">
        <w:rPr>
          <w:rFonts w:ascii="Palatino Linotype" w:eastAsiaTheme="minorEastAsia" w:hAnsi="Palatino Linotype"/>
          <w:b/>
          <w:sz w:val="23"/>
          <w:szCs w:val="23"/>
          <w:lang w:eastAsia="es-ES"/>
        </w:rPr>
        <w:t>Propuesta:</w:t>
      </w:r>
      <w:r w:rsidRPr="001E5FA2">
        <w:rPr>
          <w:rFonts w:ascii="Palatino Linotype" w:eastAsiaTheme="minorEastAsia" w:hAnsi="Palatino Linotype"/>
          <w:sz w:val="23"/>
          <w:szCs w:val="23"/>
          <w:lang w:eastAsia="es-ES"/>
        </w:rPr>
        <w:t xml:space="preserve"> Al tenor de lo anterior, </w:t>
      </w:r>
      <w:r w:rsidR="00300BBA" w:rsidRPr="001E5FA2">
        <w:rPr>
          <w:rFonts w:ascii="Palatino Linotype" w:eastAsiaTheme="minorEastAsia" w:hAnsi="Palatino Linotype"/>
          <w:sz w:val="23"/>
          <w:szCs w:val="23"/>
          <w:lang w:eastAsia="es-ES"/>
        </w:rPr>
        <w:t>se advierte que conforme al artículo 162 de la Ley de Transparencia y Acceso a la Información Pública del Estado de México y Municipios, la solicitud de información no se turnó a todas la áreas competentes que cuentan con la información, o deban tenerla de acuerdo a su facultades</w:t>
      </w:r>
      <w:r w:rsidR="006F53C6" w:rsidRPr="001E5FA2">
        <w:rPr>
          <w:rFonts w:ascii="Palatino Linotype" w:eastAsiaTheme="minorEastAsia" w:hAnsi="Palatino Linotype"/>
          <w:sz w:val="23"/>
          <w:szCs w:val="23"/>
          <w:lang w:eastAsia="es-ES"/>
        </w:rPr>
        <w:t>, competencias y func</w:t>
      </w:r>
      <w:r w:rsidR="00C44265" w:rsidRPr="001E5FA2">
        <w:rPr>
          <w:rFonts w:ascii="Palatino Linotype" w:eastAsiaTheme="minorEastAsia" w:hAnsi="Palatino Linotype"/>
          <w:sz w:val="23"/>
          <w:szCs w:val="23"/>
          <w:lang w:eastAsia="es-ES"/>
        </w:rPr>
        <w:t>iones, por lo que no se realizó</w:t>
      </w:r>
      <w:r w:rsidR="006F53C6" w:rsidRPr="001E5FA2">
        <w:rPr>
          <w:rFonts w:ascii="Palatino Linotype" w:eastAsiaTheme="minorEastAsia" w:hAnsi="Palatino Linotype"/>
          <w:sz w:val="23"/>
          <w:szCs w:val="23"/>
          <w:lang w:eastAsia="es-ES"/>
        </w:rPr>
        <w:t xml:space="preserve"> la búsqueda exhaustiva y razonable.</w:t>
      </w:r>
      <w:r w:rsidR="00172D3B" w:rsidRPr="001E5FA2">
        <w:rPr>
          <w:rFonts w:ascii="Palatino Linotype" w:eastAsiaTheme="minorEastAsia" w:hAnsi="Palatino Linotype"/>
          <w:sz w:val="23"/>
          <w:szCs w:val="23"/>
          <w:lang w:eastAsia="es-ES"/>
        </w:rPr>
        <w:t xml:space="preserve"> </w:t>
      </w:r>
    </w:p>
    <w:p w:rsidR="00F14810" w:rsidRPr="001E5FA2" w:rsidRDefault="00F14810" w:rsidP="00F14810">
      <w:pPr>
        <w:tabs>
          <w:tab w:val="left" w:pos="0"/>
          <w:tab w:val="center" w:pos="4419"/>
          <w:tab w:val="right" w:pos="8838"/>
        </w:tabs>
        <w:spacing w:after="0" w:line="360" w:lineRule="auto"/>
        <w:jc w:val="both"/>
        <w:rPr>
          <w:rFonts w:ascii="Palatino Linotype" w:hAnsi="Palatino Linotype"/>
          <w:b/>
          <w:sz w:val="24"/>
          <w:szCs w:val="24"/>
        </w:rPr>
      </w:pPr>
      <w:r w:rsidRPr="001E5FA2">
        <w:rPr>
          <w:rFonts w:ascii="Palatino Linotype" w:hAnsi="Palatino Linotype"/>
          <w:b/>
          <w:sz w:val="24"/>
          <w:szCs w:val="24"/>
        </w:rPr>
        <w:lastRenderedPageBreak/>
        <w:t xml:space="preserve">Puntos resolutivos: </w:t>
      </w:r>
    </w:p>
    <w:p w:rsidR="00F14810" w:rsidRPr="001E5FA2" w:rsidRDefault="00F14810" w:rsidP="00F14810">
      <w:pPr>
        <w:spacing w:after="0" w:line="360" w:lineRule="auto"/>
        <w:ind w:right="48"/>
        <w:jc w:val="center"/>
        <w:rPr>
          <w:rFonts w:ascii="Palatino Linotype" w:eastAsia="MS Mincho" w:hAnsi="Palatino Linotype" w:cs="Times New Roman"/>
          <w:b/>
          <w:sz w:val="24"/>
          <w:szCs w:val="24"/>
          <w:lang w:val="es-ES_tradnl" w:eastAsia="es-ES"/>
        </w:rPr>
      </w:pPr>
    </w:p>
    <w:p w:rsidR="00172D3B" w:rsidRPr="001E5FA2" w:rsidRDefault="00172D3B" w:rsidP="00172D3B">
      <w:pPr>
        <w:pStyle w:val="Prrafodelista"/>
        <w:ind w:left="851" w:right="615"/>
        <w:jc w:val="both"/>
        <w:rPr>
          <w:rFonts w:ascii="Palatino Linotype" w:eastAsia="Times New Roman" w:hAnsi="Palatino Linotype" w:cs="Arial"/>
          <w:bCs/>
          <w:i/>
        </w:rPr>
      </w:pPr>
      <w:r w:rsidRPr="001E5FA2">
        <w:rPr>
          <w:rFonts w:ascii="Palatino Linotype" w:eastAsia="Times New Roman" w:hAnsi="Palatino Linotype" w:cs="Arial"/>
          <w:b/>
          <w:i/>
        </w:rPr>
        <w:t>PRIMERO.</w:t>
      </w:r>
      <w:r w:rsidRPr="001E5FA2">
        <w:rPr>
          <w:rFonts w:ascii="Palatino Linotype" w:eastAsia="Times New Roman" w:hAnsi="Palatino Linotype" w:cs="Arial"/>
          <w:i/>
        </w:rPr>
        <w:t xml:space="preserve"> Resultan  fundadas las </w:t>
      </w:r>
      <w:r w:rsidRPr="001E5FA2">
        <w:rPr>
          <w:rFonts w:ascii="Palatino Linotype" w:eastAsia="Times New Roman" w:hAnsi="Palatino Linotype" w:cs="Arial"/>
          <w:i/>
          <w:lang w:val="es-ES"/>
        </w:rPr>
        <w:t xml:space="preserve">razones o motivos de inconformidad hechos valer en el recurso de revisión </w:t>
      </w:r>
      <w:r w:rsidRPr="001E5FA2">
        <w:rPr>
          <w:rFonts w:ascii="Palatino Linotype" w:eastAsia="Times New Roman" w:hAnsi="Palatino Linotype" w:cs="Arial"/>
          <w:b/>
          <w:bCs/>
          <w:i/>
        </w:rPr>
        <w:t>00803/INFOEM/IP/RR/2021</w:t>
      </w:r>
      <w:r w:rsidRPr="001E5FA2">
        <w:rPr>
          <w:rFonts w:ascii="Palatino Linotype" w:eastAsia="Times New Roman" w:hAnsi="Palatino Linotype" w:cs="Arial"/>
          <w:bCs/>
          <w:i/>
        </w:rPr>
        <w:t xml:space="preserve">, en términos del Considerando </w:t>
      </w:r>
      <w:r w:rsidRPr="001E5FA2">
        <w:rPr>
          <w:rFonts w:ascii="Palatino Linotype" w:eastAsia="Times New Roman" w:hAnsi="Palatino Linotype" w:cs="Arial"/>
          <w:b/>
          <w:bCs/>
          <w:i/>
        </w:rPr>
        <w:t>QUINTO</w:t>
      </w:r>
      <w:r w:rsidRPr="001E5FA2">
        <w:rPr>
          <w:rFonts w:ascii="Palatino Linotype" w:eastAsia="Times New Roman" w:hAnsi="Palatino Linotype" w:cs="Arial"/>
          <w:bCs/>
          <w:i/>
        </w:rPr>
        <w:t xml:space="preserve">  de la presente resolución.</w:t>
      </w:r>
    </w:p>
    <w:p w:rsidR="00172D3B" w:rsidRPr="001E5FA2" w:rsidRDefault="00172D3B" w:rsidP="00172D3B">
      <w:pPr>
        <w:pStyle w:val="Prrafodelista"/>
        <w:ind w:left="851" w:right="615"/>
        <w:jc w:val="both"/>
        <w:rPr>
          <w:rFonts w:ascii="Palatino Linotype" w:eastAsia="Times New Roman" w:hAnsi="Palatino Linotype" w:cs="Arial"/>
          <w:bCs/>
          <w:i/>
        </w:rPr>
      </w:pPr>
    </w:p>
    <w:p w:rsidR="00172D3B" w:rsidRPr="001E5FA2" w:rsidRDefault="00172D3B" w:rsidP="00172D3B">
      <w:pPr>
        <w:pStyle w:val="Prrafodelista"/>
        <w:ind w:left="851" w:right="615"/>
        <w:jc w:val="both"/>
        <w:rPr>
          <w:rFonts w:ascii="Palatino Linotype" w:eastAsia="Times New Roman" w:hAnsi="Palatino Linotype" w:cs="Arial"/>
          <w:bCs/>
          <w:i/>
        </w:rPr>
      </w:pPr>
      <w:r w:rsidRPr="001E5FA2">
        <w:rPr>
          <w:rFonts w:ascii="Palatino Linotype" w:eastAsia="Times New Roman" w:hAnsi="Palatino Linotype" w:cs="Arial"/>
          <w:b/>
          <w:i/>
        </w:rPr>
        <w:t>SEGUNDO.</w:t>
      </w:r>
      <w:r w:rsidRPr="001E5FA2">
        <w:rPr>
          <w:rFonts w:ascii="Palatino Linotype" w:eastAsia="Times New Roman" w:hAnsi="Palatino Linotype" w:cs="Arial"/>
          <w:i/>
        </w:rPr>
        <w:t xml:space="preserve"> </w:t>
      </w:r>
      <w:r w:rsidRPr="001E5FA2">
        <w:rPr>
          <w:rFonts w:ascii="Palatino Linotype" w:eastAsia="Times New Roman" w:hAnsi="Palatino Linotype" w:cs="Arial"/>
          <w:i/>
          <w:lang w:val="es-ES"/>
        </w:rPr>
        <w:t xml:space="preserve">Se </w:t>
      </w:r>
      <w:r w:rsidRPr="001E5FA2">
        <w:rPr>
          <w:rFonts w:ascii="Palatino Linotype" w:eastAsia="Times New Roman" w:hAnsi="Palatino Linotype" w:cs="Arial"/>
          <w:b/>
          <w:i/>
          <w:lang w:val="es-ES"/>
        </w:rPr>
        <w:t>REVOCA</w:t>
      </w:r>
      <w:r w:rsidRPr="001E5FA2">
        <w:rPr>
          <w:rFonts w:ascii="Palatino Linotype" w:eastAsia="Times New Roman" w:hAnsi="Palatino Linotype" w:cs="Arial"/>
          <w:i/>
          <w:lang w:val="es-ES"/>
        </w:rPr>
        <w:t xml:space="preserve"> la respuesta emitida por el </w:t>
      </w:r>
      <w:r w:rsidRPr="001E5FA2">
        <w:rPr>
          <w:rFonts w:ascii="Palatino Linotype" w:eastAsia="Times New Roman" w:hAnsi="Palatino Linotype" w:cs="Arial"/>
          <w:i/>
        </w:rPr>
        <w:t xml:space="preserve">Ayuntamiento de Ecatepec de Morelos </w:t>
      </w:r>
      <w:r w:rsidRPr="001E5FA2">
        <w:rPr>
          <w:rFonts w:ascii="Palatino Linotype" w:eastAsia="Times New Roman" w:hAnsi="Palatino Linotype" w:cs="Arial"/>
          <w:i/>
          <w:lang w:val="es-ES"/>
        </w:rPr>
        <w:t xml:space="preserve">y se </w:t>
      </w:r>
      <w:r w:rsidRPr="001E5FA2">
        <w:rPr>
          <w:rFonts w:ascii="Palatino Linotype" w:eastAsia="Times New Roman" w:hAnsi="Palatino Linotype" w:cs="Arial"/>
          <w:b/>
          <w:i/>
          <w:lang w:val="es-ES"/>
        </w:rPr>
        <w:t>ORDENA</w:t>
      </w:r>
      <w:r w:rsidRPr="001E5FA2">
        <w:rPr>
          <w:rFonts w:ascii="Palatino Linotype" w:eastAsia="Times New Roman" w:hAnsi="Palatino Linotype" w:cs="Arial"/>
          <w:i/>
          <w:lang w:val="es-ES"/>
        </w:rPr>
        <w:t xml:space="preserve"> entregar vía Sistema de Acceso a la Información Mexiquense (SAIMEX)</w:t>
      </w:r>
      <w:r w:rsidRPr="001E5FA2">
        <w:rPr>
          <w:rFonts w:ascii="Palatino Linotype" w:eastAsia="Times New Roman" w:hAnsi="Palatino Linotype" w:cs="Arial"/>
          <w:bCs/>
          <w:i/>
        </w:rPr>
        <w:t>, de ser procedente en versión pública, previa búsqueda exhaustiva  y razonable, la siguiente información del Panteón de Santa María Chiconautla:</w:t>
      </w:r>
    </w:p>
    <w:p w:rsidR="00172D3B" w:rsidRPr="001E5FA2" w:rsidRDefault="00172D3B" w:rsidP="00172D3B">
      <w:pPr>
        <w:pStyle w:val="Prrafodelista"/>
        <w:ind w:left="851" w:right="615"/>
        <w:jc w:val="both"/>
        <w:rPr>
          <w:rFonts w:ascii="Palatino Linotype" w:eastAsia="Times New Roman" w:hAnsi="Palatino Linotype" w:cs="Arial"/>
          <w:bCs/>
          <w:i/>
        </w:rPr>
      </w:pPr>
    </w:p>
    <w:p w:rsidR="00172D3B" w:rsidRPr="001E5FA2" w:rsidRDefault="00172D3B" w:rsidP="00172D3B">
      <w:pPr>
        <w:pStyle w:val="Prrafodelista"/>
        <w:ind w:left="851" w:right="615"/>
        <w:jc w:val="both"/>
        <w:rPr>
          <w:rFonts w:ascii="Palatino Linotype" w:eastAsia="Times New Roman" w:hAnsi="Palatino Linotype" w:cs="Arial"/>
          <w:b/>
          <w:bCs/>
          <w:i/>
        </w:rPr>
      </w:pPr>
      <w:r w:rsidRPr="001E5FA2">
        <w:rPr>
          <w:rFonts w:ascii="Palatino Linotype" w:eastAsia="Times New Roman" w:hAnsi="Palatino Linotype" w:cs="Arial"/>
          <w:b/>
          <w:i/>
        </w:rPr>
        <w:t>a). Ingresos durante el ejercicio fiscal dos mil veinte;</w:t>
      </w:r>
    </w:p>
    <w:p w:rsidR="00172D3B" w:rsidRPr="001E5FA2" w:rsidRDefault="00172D3B" w:rsidP="00172D3B">
      <w:pPr>
        <w:pStyle w:val="Prrafodelista"/>
        <w:ind w:left="851" w:right="615"/>
        <w:jc w:val="both"/>
        <w:rPr>
          <w:rFonts w:ascii="Palatino Linotype" w:eastAsia="Times New Roman" w:hAnsi="Palatino Linotype" w:cs="Arial"/>
          <w:b/>
          <w:bCs/>
          <w:i/>
        </w:rPr>
      </w:pPr>
      <w:r w:rsidRPr="001E5FA2">
        <w:rPr>
          <w:rFonts w:ascii="Palatino Linotype" w:eastAsia="Times New Roman" w:hAnsi="Palatino Linotype" w:cs="Arial"/>
          <w:b/>
          <w:i/>
        </w:rPr>
        <w:t>b). Documento o documento donde conste quien es el encargado de  administrar los ingresos;</w:t>
      </w:r>
    </w:p>
    <w:p w:rsidR="00172D3B" w:rsidRPr="001E5FA2" w:rsidRDefault="00172D3B" w:rsidP="00172D3B">
      <w:pPr>
        <w:pStyle w:val="Prrafodelista"/>
        <w:ind w:left="851" w:right="615"/>
        <w:jc w:val="both"/>
        <w:rPr>
          <w:rFonts w:ascii="Palatino Linotype" w:eastAsia="Times New Roman" w:hAnsi="Palatino Linotype" w:cs="Arial"/>
          <w:b/>
          <w:bCs/>
          <w:i/>
        </w:rPr>
      </w:pPr>
      <w:r w:rsidRPr="001E5FA2">
        <w:rPr>
          <w:rFonts w:ascii="Palatino Linotype" w:eastAsia="Times New Roman" w:hAnsi="Palatino Linotype" w:cs="Arial"/>
          <w:b/>
          <w:i/>
        </w:rPr>
        <w:t>c). Concepto de los ingresos y su fundamento legal;</w:t>
      </w:r>
    </w:p>
    <w:p w:rsidR="00172D3B" w:rsidRPr="001E5FA2" w:rsidRDefault="00172D3B" w:rsidP="00172D3B">
      <w:pPr>
        <w:pStyle w:val="Prrafodelista"/>
        <w:ind w:left="851" w:right="615"/>
        <w:jc w:val="both"/>
        <w:rPr>
          <w:rFonts w:ascii="Palatino Linotype" w:eastAsia="Times New Roman" w:hAnsi="Palatino Linotype" w:cs="Arial"/>
          <w:b/>
          <w:bCs/>
          <w:i/>
        </w:rPr>
      </w:pPr>
      <w:r w:rsidRPr="001E5FA2">
        <w:rPr>
          <w:rFonts w:ascii="Palatino Linotype" w:eastAsia="Times New Roman" w:hAnsi="Palatino Linotype" w:cs="Arial"/>
          <w:b/>
          <w:i/>
        </w:rPr>
        <w:t>d). Documento o documentos donde conste la facultad de la delegación para el cobro por concepto de los servicios de panteón y su fundamento legal; y</w:t>
      </w:r>
    </w:p>
    <w:p w:rsidR="00172D3B" w:rsidRPr="001E5FA2" w:rsidRDefault="00172D3B" w:rsidP="00172D3B">
      <w:pPr>
        <w:pStyle w:val="Prrafodelista"/>
        <w:ind w:left="851" w:right="615"/>
        <w:jc w:val="both"/>
        <w:rPr>
          <w:rFonts w:ascii="Palatino Linotype" w:eastAsia="Times New Roman" w:hAnsi="Palatino Linotype" w:cs="Arial"/>
          <w:b/>
          <w:bCs/>
          <w:i/>
        </w:rPr>
      </w:pPr>
      <w:r w:rsidRPr="001E5FA2">
        <w:rPr>
          <w:rFonts w:ascii="Palatino Linotype" w:eastAsia="Times New Roman" w:hAnsi="Palatino Linotype" w:cs="Arial"/>
          <w:b/>
          <w:bCs/>
          <w:i/>
        </w:rPr>
        <w:t>e). Documento o documentos donde conste el destino de los ingresos por concepto de servicios de panteón.</w:t>
      </w:r>
    </w:p>
    <w:p w:rsidR="00172D3B" w:rsidRPr="001E5FA2" w:rsidRDefault="00172D3B" w:rsidP="00172D3B">
      <w:pPr>
        <w:pStyle w:val="Prrafodelista"/>
        <w:ind w:left="851" w:right="615"/>
        <w:jc w:val="both"/>
        <w:rPr>
          <w:rFonts w:ascii="Palatino Linotype" w:eastAsia="Times New Roman" w:hAnsi="Palatino Linotype" w:cs="Arial"/>
          <w:bCs/>
          <w:i/>
        </w:rPr>
      </w:pPr>
    </w:p>
    <w:p w:rsidR="00172D3B" w:rsidRPr="001E5FA2" w:rsidRDefault="00172D3B" w:rsidP="00172D3B">
      <w:pPr>
        <w:pStyle w:val="Prrafodelista"/>
        <w:ind w:left="851" w:right="615"/>
        <w:jc w:val="both"/>
        <w:rPr>
          <w:rFonts w:ascii="Palatino Linotype" w:eastAsia="Times New Roman" w:hAnsi="Palatino Linotype" w:cs="Arial"/>
          <w:i/>
          <w:lang w:val="es-ES"/>
        </w:rPr>
      </w:pPr>
      <w:r w:rsidRPr="001E5FA2">
        <w:rPr>
          <w:rFonts w:ascii="Palatino Linotype" w:eastAsia="Times New Roman" w:hAnsi="Palatino Linotype" w:cs="Arial"/>
          <w:i/>
          <w:lang w:val="es-ES"/>
        </w:rPr>
        <w:t xml:space="preserve">Para el caso de que el </w:t>
      </w:r>
      <w:r w:rsidRPr="001E5FA2">
        <w:rPr>
          <w:rFonts w:ascii="Palatino Linotype" w:eastAsia="Times New Roman" w:hAnsi="Palatino Linotype" w:cs="Arial"/>
          <w:b/>
          <w:i/>
          <w:lang w:val="es-ES"/>
        </w:rPr>
        <w:t>SUJETO OBLIGADO,</w:t>
      </w:r>
      <w:r w:rsidRPr="001E5FA2">
        <w:rPr>
          <w:rFonts w:ascii="Palatino Linotype" w:eastAsia="Times New Roman" w:hAnsi="Palatino Linotype" w:cs="Arial"/>
          <w:i/>
          <w:lang w:val="es-ES"/>
        </w:rPr>
        <w:t xml:space="preserve"> no haya generado la información relativa al inciso d), deberá de manifestar de manera clara y precisa las razones que expliquen las causas por las cuales no se hay generado, poseído o administrado la información.</w:t>
      </w:r>
    </w:p>
    <w:p w:rsidR="006F53C6" w:rsidRPr="001E5FA2" w:rsidRDefault="006F53C6" w:rsidP="006F53C6">
      <w:pPr>
        <w:pStyle w:val="Prrafodelista"/>
        <w:spacing w:after="0" w:line="360" w:lineRule="auto"/>
        <w:ind w:left="851" w:right="615"/>
        <w:jc w:val="both"/>
        <w:rPr>
          <w:rFonts w:ascii="Palatino Linotype" w:hAnsi="Palatino Linotype" w:cs="Arial"/>
          <w:b/>
          <w:bCs/>
          <w:i/>
          <w:sz w:val="20"/>
          <w:szCs w:val="24"/>
        </w:rPr>
      </w:pPr>
    </w:p>
    <w:p w:rsidR="00F14810" w:rsidRPr="001E5FA2" w:rsidRDefault="00F14810" w:rsidP="00F14810">
      <w:pPr>
        <w:spacing w:after="0" w:line="360" w:lineRule="auto"/>
        <w:ind w:right="48"/>
        <w:jc w:val="center"/>
        <w:rPr>
          <w:rFonts w:ascii="Palatino Linotype" w:eastAsia="MS Mincho" w:hAnsi="Palatino Linotype" w:cs="Times New Roman"/>
          <w:b/>
          <w:sz w:val="24"/>
          <w:szCs w:val="24"/>
          <w:lang w:val="es-ES_tradnl" w:eastAsia="es-ES"/>
        </w:rPr>
      </w:pPr>
    </w:p>
    <w:p w:rsidR="00F14810" w:rsidRPr="001E5FA2" w:rsidRDefault="00F14810" w:rsidP="00F14810">
      <w:pPr>
        <w:spacing w:after="0" w:line="360" w:lineRule="auto"/>
        <w:ind w:right="48"/>
        <w:jc w:val="center"/>
        <w:rPr>
          <w:rFonts w:ascii="Palatino Linotype" w:eastAsia="MS Mincho" w:hAnsi="Palatino Linotype" w:cs="Times New Roman"/>
          <w:b/>
          <w:sz w:val="24"/>
          <w:szCs w:val="24"/>
          <w:lang w:val="es-ES_tradnl" w:eastAsia="es-ES"/>
        </w:rPr>
      </w:pPr>
    </w:p>
    <w:p w:rsidR="00F14810" w:rsidRPr="001E5FA2" w:rsidRDefault="00F14810" w:rsidP="00F14810">
      <w:pPr>
        <w:spacing w:after="0" w:line="360" w:lineRule="auto"/>
        <w:ind w:right="48"/>
        <w:jc w:val="center"/>
        <w:rPr>
          <w:rFonts w:ascii="Palatino Linotype" w:eastAsia="MS Mincho" w:hAnsi="Palatino Linotype" w:cs="Times New Roman"/>
          <w:b/>
          <w:sz w:val="24"/>
          <w:szCs w:val="24"/>
          <w:lang w:val="es-ES_tradnl" w:eastAsia="es-ES"/>
        </w:rPr>
      </w:pPr>
    </w:p>
    <w:p w:rsidR="00F14810" w:rsidRPr="001E5FA2" w:rsidRDefault="00F14810" w:rsidP="00F14810">
      <w:pPr>
        <w:spacing w:after="0" w:line="360" w:lineRule="auto"/>
        <w:ind w:right="48"/>
        <w:jc w:val="center"/>
        <w:rPr>
          <w:rFonts w:ascii="Palatino Linotype" w:eastAsia="MS Mincho" w:hAnsi="Palatino Linotype" w:cs="Times New Roman"/>
          <w:b/>
          <w:sz w:val="24"/>
          <w:szCs w:val="24"/>
          <w:lang w:val="es-ES_tradnl" w:eastAsia="es-ES"/>
        </w:rPr>
      </w:pPr>
    </w:p>
    <w:p w:rsidR="00F14810" w:rsidRPr="001E5FA2" w:rsidRDefault="00F14810" w:rsidP="00F14810">
      <w:pPr>
        <w:spacing w:after="0" w:line="360" w:lineRule="auto"/>
        <w:ind w:right="48"/>
        <w:jc w:val="center"/>
        <w:rPr>
          <w:rFonts w:ascii="Palatino Linotype" w:eastAsia="MS Mincho" w:hAnsi="Palatino Linotype" w:cs="Times New Roman"/>
          <w:b/>
          <w:sz w:val="24"/>
          <w:szCs w:val="24"/>
          <w:lang w:val="es-ES_tradnl" w:eastAsia="es-ES"/>
        </w:rPr>
      </w:pPr>
    </w:p>
    <w:p w:rsidR="00F14810" w:rsidRPr="001E5FA2" w:rsidRDefault="00F14810" w:rsidP="006F53C6">
      <w:pPr>
        <w:spacing w:after="0" w:line="360" w:lineRule="auto"/>
        <w:ind w:right="48"/>
        <w:rPr>
          <w:rFonts w:ascii="Palatino Linotype" w:eastAsia="MS Mincho" w:hAnsi="Palatino Linotype" w:cs="Times New Roman"/>
          <w:b/>
          <w:sz w:val="24"/>
          <w:szCs w:val="24"/>
          <w:lang w:val="es-ES_tradnl" w:eastAsia="es-ES"/>
        </w:rPr>
      </w:pPr>
    </w:p>
    <w:p w:rsidR="00F14810" w:rsidRPr="001E5FA2" w:rsidRDefault="00F14810" w:rsidP="00F14810">
      <w:pPr>
        <w:spacing w:after="0" w:line="360" w:lineRule="auto"/>
        <w:ind w:right="48"/>
        <w:jc w:val="center"/>
        <w:rPr>
          <w:rFonts w:ascii="Palatino Linotype" w:eastAsia="MS Mincho" w:hAnsi="Palatino Linotype" w:cs="Times New Roman"/>
          <w:b/>
          <w:sz w:val="24"/>
          <w:szCs w:val="24"/>
          <w:lang w:val="es-ES_tradnl" w:eastAsia="es-ES"/>
        </w:rPr>
      </w:pPr>
      <w:r w:rsidRPr="001E5FA2">
        <w:rPr>
          <w:rFonts w:ascii="Palatino Linotype" w:eastAsia="MS Mincho" w:hAnsi="Palatino Linotype" w:cs="Times New Roman"/>
          <w:b/>
          <w:sz w:val="24"/>
          <w:szCs w:val="24"/>
          <w:lang w:val="es-ES_tradnl" w:eastAsia="es-ES"/>
        </w:rPr>
        <w:t>LÍNEAS ARGUMENTATIVAS.</w:t>
      </w:r>
    </w:p>
    <w:p w:rsidR="00F14810" w:rsidRPr="001E5FA2" w:rsidRDefault="00F14810" w:rsidP="00F14810">
      <w:pPr>
        <w:spacing w:after="0" w:line="360" w:lineRule="auto"/>
        <w:ind w:right="48"/>
        <w:jc w:val="both"/>
        <w:rPr>
          <w:rFonts w:ascii="Palatino Linotype" w:eastAsia="Arial Unicode MS" w:hAnsi="Palatino Linotype" w:cs="Arial"/>
          <w:b/>
          <w:sz w:val="24"/>
          <w:szCs w:val="24"/>
          <w:lang w:val="es-ES_tradnl" w:eastAsia="es-ES"/>
        </w:rPr>
      </w:pPr>
    </w:p>
    <w:p w:rsidR="00F14810" w:rsidRPr="001E5FA2" w:rsidRDefault="00F14810" w:rsidP="00F14810">
      <w:pPr>
        <w:spacing w:after="0" w:line="360" w:lineRule="auto"/>
        <w:ind w:right="48"/>
        <w:jc w:val="both"/>
        <w:rPr>
          <w:rFonts w:ascii="Palatino Linotype" w:eastAsia="Arial Unicode MS" w:hAnsi="Palatino Linotype" w:cs="Arial"/>
          <w:sz w:val="24"/>
          <w:szCs w:val="24"/>
          <w:lang w:val="es-ES_tradnl" w:eastAsia="es-ES"/>
        </w:rPr>
      </w:pPr>
      <w:r w:rsidRPr="001E5FA2">
        <w:rPr>
          <w:rFonts w:ascii="Palatino Linotype" w:eastAsia="Arial Unicode MS" w:hAnsi="Palatino Linotype" w:cs="Arial"/>
          <w:b/>
          <w:sz w:val="24"/>
          <w:szCs w:val="24"/>
          <w:lang w:val="es-ES_tradnl" w:eastAsia="es-ES"/>
        </w:rPr>
        <w:t>DEBERES DE LAS AUTORIDADES</w:t>
      </w:r>
      <w:r w:rsidRPr="001E5FA2">
        <w:rPr>
          <w:rFonts w:ascii="Palatino Linotype" w:eastAsia="Arial Unicode MS" w:hAnsi="Palatino Linotype" w:cs="Arial"/>
          <w:sz w:val="24"/>
          <w:szCs w:val="24"/>
          <w:lang w:val="es-ES_tradnl" w:eastAsia="es-ES"/>
        </w:rPr>
        <w:t>. El derecho de acceso a la información pública es un derecho humano constitucionalmente reconocido. Todas las autoridades en el ámbito de sus competencias tienen la obligación de respetarlo, protegerlo y garantizarlo.</w:t>
      </w:r>
    </w:p>
    <w:p w:rsidR="00F14810" w:rsidRPr="001E5FA2" w:rsidRDefault="00F14810" w:rsidP="00F14810">
      <w:pPr>
        <w:spacing w:after="0" w:line="360" w:lineRule="auto"/>
        <w:ind w:right="48"/>
        <w:jc w:val="both"/>
        <w:rPr>
          <w:rFonts w:ascii="Palatino Linotype" w:eastAsia="Arial Unicode MS" w:hAnsi="Palatino Linotype" w:cs="Arial"/>
          <w:sz w:val="24"/>
          <w:szCs w:val="24"/>
          <w:lang w:val="es-ES_tradnl" w:eastAsia="es-ES"/>
        </w:rPr>
      </w:pPr>
    </w:p>
    <w:p w:rsidR="00F14810" w:rsidRPr="001E5FA2" w:rsidRDefault="00F14810" w:rsidP="00F14810">
      <w:pPr>
        <w:spacing w:after="0" w:line="360" w:lineRule="auto"/>
        <w:ind w:right="48"/>
        <w:jc w:val="both"/>
        <w:rPr>
          <w:rFonts w:ascii="Palatino Linotype" w:eastAsia="Calibri" w:hAnsi="Palatino Linotype" w:cs="Times New Roman"/>
          <w:sz w:val="24"/>
          <w:szCs w:val="24"/>
          <w:lang w:val="es-ES_tradnl" w:eastAsia="es-ES"/>
        </w:rPr>
      </w:pPr>
      <w:r w:rsidRPr="001E5FA2">
        <w:rPr>
          <w:rFonts w:ascii="Palatino Linotype" w:eastAsia="Calibri" w:hAnsi="Palatino Linotype" w:cs="Times New Roman"/>
          <w:b/>
          <w:sz w:val="24"/>
          <w:szCs w:val="24"/>
          <w:lang w:val="es-ES_tradnl" w:eastAsia="es-ES"/>
        </w:rPr>
        <w:t>DE LA GARANTÍA DE PROPORCIONAR LA INFORMACIÓN PÚBLICA GUBERNAMENTAL.</w:t>
      </w:r>
      <w:r w:rsidRPr="001E5FA2">
        <w:rPr>
          <w:rFonts w:ascii="Palatino Linotype" w:eastAsia="Calibri" w:hAnsi="Palatino Linotype" w:cs="Times New Roman"/>
          <w:sz w:val="24"/>
          <w:szCs w:val="24"/>
          <w:lang w:val="es-ES_tradnl" w:eastAsia="es-ES"/>
        </w:rPr>
        <w:t xml:space="preserve"> Los sujetos obligados tienen el deber de entregar la información solicitada en los términos en los que esta fue generada, poseída o administrada.</w:t>
      </w:r>
    </w:p>
    <w:p w:rsidR="00F14810" w:rsidRPr="001E5FA2" w:rsidRDefault="00F14810" w:rsidP="00F14810">
      <w:pPr>
        <w:spacing w:after="0" w:line="360" w:lineRule="auto"/>
        <w:ind w:right="48"/>
        <w:jc w:val="both"/>
        <w:rPr>
          <w:rFonts w:ascii="Palatino Linotype" w:eastAsia="Arial Unicode MS" w:hAnsi="Palatino Linotype" w:cs="Arial"/>
          <w:sz w:val="24"/>
          <w:szCs w:val="24"/>
          <w:lang w:val="es-ES_tradnl" w:eastAsia="es-ES"/>
        </w:rPr>
      </w:pPr>
    </w:p>
    <w:p w:rsidR="00F14810" w:rsidRPr="001E5FA2" w:rsidRDefault="00F14810" w:rsidP="00F14810">
      <w:pPr>
        <w:spacing w:after="0" w:line="360" w:lineRule="auto"/>
        <w:ind w:right="48"/>
        <w:rPr>
          <w:rFonts w:ascii="Palatino Linotype" w:eastAsia="Calibri" w:hAnsi="Palatino Linotype" w:cs="Times New Roman"/>
          <w:b/>
          <w:sz w:val="24"/>
          <w:szCs w:val="24"/>
          <w:lang w:val="es-ES_tradnl" w:eastAsia="es-ES"/>
        </w:rPr>
      </w:pPr>
    </w:p>
    <w:p w:rsidR="00F14810" w:rsidRPr="001E5FA2" w:rsidRDefault="00F14810" w:rsidP="00F14810">
      <w:pPr>
        <w:spacing w:after="0" w:line="360" w:lineRule="auto"/>
        <w:ind w:right="48"/>
        <w:rPr>
          <w:rFonts w:ascii="Palatino Linotype" w:eastAsia="Calibri" w:hAnsi="Palatino Linotype" w:cs="Times New Roman"/>
          <w:b/>
          <w:sz w:val="24"/>
          <w:szCs w:val="24"/>
          <w:lang w:val="es-ES_tradnl" w:eastAsia="es-ES"/>
        </w:rPr>
      </w:pPr>
    </w:p>
    <w:p w:rsidR="00F14810" w:rsidRPr="001E5FA2" w:rsidRDefault="00F14810" w:rsidP="00F14810">
      <w:pPr>
        <w:spacing w:after="0" w:line="360" w:lineRule="auto"/>
        <w:ind w:right="48"/>
        <w:rPr>
          <w:rFonts w:ascii="Palatino Linotype" w:eastAsia="Calibri" w:hAnsi="Palatino Linotype" w:cs="Times New Roman"/>
          <w:b/>
          <w:sz w:val="24"/>
          <w:szCs w:val="24"/>
          <w:lang w:val="es-ES_tradnl" w:eastAsia="es-ES"/>
        </w:rPr>
      </w:pPr>
    </w:p>
    <w:p w:rsidR="00F14810" w:rsidRPr="001E5FA2" w:rsidRDefault="00F14810" w:rsidP="00F14810">
      <w:pPr>
        <w:spacing w:after="0" w:line="360" w:lineRule="auto"/>
        <w:ind w:right="48"/>
        <w:rPr>
          <w:rFonts w:ascii="Palatino Linotype" w:eastAsia="Calibri" w:hAnsi="Palatino Linotype" w:cs="Times New Roman"/>
          <w:b/>
          <w:sz w:val="24"/>
          <w:szCs w:val="24"/>
          <w:lang w:val="es-ES_tradnl" w:eastAsia="es-ES"/>
        </w:rPr>
      </w:pPr>
    </w:p>
    <w:p w:rsidR="00F14810" w:rsidRPr="001E5FA2" w:rsidRDefault="00F14810" w:rsidP="00F14810">
      <w:pPr>
        <w:spacing w:after="0" w:line="360" w:lineRule="auto"/>
        <w:ind w:right="48"/>
        <w:rPr>
          <w:rFonts w:ascii="Palatino Linotype" w:eastAsia="Calibri" w:hAnsi="Palatino Linotype" w:cs="Times New Roman"/>
          <w:b/>
          <w:sz w:val="24"/>
          <w:szCs w:val="24"/>
          <w:lang w:val="es-ES_tradnl" w:eastAsia="es-ES"/>
        </w:rPr>
      </w:pPr>
    </w:p>
    <w:p w:rsidR="00F14810" w:rsidRPr="001E5FA2" w:rsidRDefault="00F14810" w:rsidP="00F14810">
      <w:pPr>
        <w:spacing w:after="0" w:line="360" w:lineRule="auto"/>
        <w:ind w:right="48"/>
        <w:rPr>
          <w:rFonts w:ascii="Palatino Linotype" w:eastAsia="Calibri" w:hAnsi="Palatino Linotype" w:cs="Times New Roman"/>
          <w:b/>
          <w:sz w:val="24"/>
          <w:szCs w:val="24"/>
          <w:lang w:val="es-ES_tradnl" w:eastAsia="es-ES"/>
        </w:rPr>
      </w:pPr>
    </w:p>
    <w:p w:rsidR="00F14810" w:rsidRPr="001E5FA2" w:rsidRDefault="00F14810" w:rsidP="00F14810">
      <w:pPr>
        <w:spacing w:after="0" w:line="360" w:lineRule="auto"/>
        <w:ind w:right="48"/>
        <w:rPr>
          <w:rFonts w:ascii="Palatino Linotype" w:eastAsia="Calibri" w:hAnsi="Palatino Linotype" w:cs="Times New Roman"/>
          <w:b/>
          <w:sz w:val="24"/>
          <w:szCs w:val="24"/>
          <w:lang w:val="es-ES_tradnl" w:eastAsia="es-ES"/>
        </w:rPr>
      </w:pPr>
    </w:p>
    <w:p w:rsidR="00F14810" w:rsidRPr="001E5FA2" w:rsidRDefault="00F14810" w:rsidP="00F14810">
      <w:pPr>
        <w:spacing w:after="0" w:line="360" w:lineRule="auto"/>
        <w:ind w:right="48"/>
        <w:rPr>
          <w:rFonts w:ascii="Palatino Linotype" w:eastAsia="Calibri" w:hAnsi="Palatino Linotype" w:cs="Times New Roman"/>
          <w:b/>
          <w:sz w:val="24"/>
          <w:szCs w:val="24"/>
          <w:lang w:val="es-ES_tradnl" w:eastAsia="es-ES"/>
        </w:rPr>
      </w:pPr>
    </w:p>
    <w:p w:rsidR="00F14810" w:rsidRPr="001E5FA2" w:rsidRDefault="00F14810" w:rsidP="00F14810">
      <w:pPr>
        <w:spacing w:after="0" w:line="360" w:lineRule="auto"/>
        <w:ind w:right="48"/>
        <w:rPr>
          <w:rFonts w:ascii="Palatino Linotype" w:eastAsia="Calibri" w:hAnsi="Palatino Linotype" w:cs="Times New Roman"/>
          <w:b/>
          <w:sz w:val="24"/>
          <w:szCs w:val="24"/>
          <w:lang w:val="es-ES_tradnl" w:eastAsia="es-ES"/>
        </w:rPr>
      </w:pPr>
    </w:p>
    <w:p w:rsidR="00F14810" w:rsidRPr="001E5FA2" w:rsidRDefault="00F14810" w:rsidP="00F14810">
      <w:pPr>
        <w:spacing w:after="0" w:line="360" w:lineRule="auto"/>
        <w:ind w:right="48"/>
        <w:rPr>
          <w:rFonts w:ascii="Palatino Linotype" w:eastAsia="Calibri" w:hAnsi="Palatino Linotype" w:cs="Times New Roman"/>
          <w:b/>
          <w:sz w:val="24"/>
          <w:szCs w:val="24"/>
          <w:lang w:val="es-ES_tradnl" w:eastAsia="es-ES"/>
        </w:rPr>
      </w:pPr>
    </w:p>
    <w:p w:rsidR="00F14810" w:rsidRPr="001E5FA2" w:rsidRDefault="00F14810" w:rsidP="00F14810">
      <w:pPr>
        <w:spacing w:after="0" w:line="360" w:lineRule="auto"/>
        <w:ind w:right="48"/>
        <w:rPr>
          <w:rFonts w:ascii="Palatino Linotype" w:eastAsia="Calibri" w:hAnsi="Palatino Linotype" w:cs="Times New Roman"/>
          <w:b/>
          <w:sz w:val="24"/>
          <w:szCs w:val="24"/>
          <w:lang w:val="es-ES_tradnl" w:eastAsia="es-ES"/>
        </w:rPr>
      </w:pPr>
    </w:p>
    <w:p w:rsidR="00F14810" w:rsidRPr="001E5FA2" w:rsidRDefault="00F14810" w:rsidP="00F14810">
      <w:pPr>
        <w:spacing w:after="0" w:line="360" w:lineRule="auto"/>
        <w:ind w:right="48"/>
        <w:rPr>
          <w:rFonts w:ascii="Palatino Linotype" w:eastAsia="Calibri" w:hAnsi="Palatino Linotype" w:cs="Times New Roman"/>
          <w:b/>
          <w:sz w:val="24"/>
          <w:szCs w:val="24"/>
          <w:lang w:val="es-ES_tradnl" w:eastAsia="es-ES"/>
        </w:rPr>
      </w:pPr>
    </w:p>
    <w:p w:rsidR="00837711" w:rsidRPr="001E5FA2" w:rsidRDefault="00837711" w:rsidP="00F14810">
      <w:pPr>
        <w:spacing w:after="0" w:line="360" w:lineRule="auto"/>
        <w:ind w:right="48"/>
        <w:rPr>
          <w:rFonts w:ascii="Palatino Linotype" w:eastAsia="Calibri" w:hAnsi="Palatino Linotype" w:cs="Times New Roman"/>
          <w:b/>
          <w:sz w:val="24"/>
          <w:szCs w:val="24"/>
          <w:lang w:val="es-ES_tradnl" w:eastAsia="es-ES"/>
        </w:rPr>
      </w:pPr>
    </w:p>
    <w:p w:rsidR="00F14810" w:rsidRPr="001E5FA2" w:rsidRDefault="00F14810" w:rsidP="00F14810">
      <w:pPr>
        <w:spacing w:after="0" w:line="360" w:lineRule="auto"/>
        <w:ind w:right="48"/>
        <w:jc w:val="center"/>
        <w:rPr>
          <w:rFonts w:ascii="Palatino Linotype" w:eastAsia="MS Mincho" w:hAnsi="Palatino Linotype" w:cs="Times New Roman"/>
          <w:b/>
          <w:sz w:val="24"/>
          <w:szCs w:val="24"/>
          <w:lang w:val="es-ES_tradnl" w:eastAsia="es-ES"/>
        </w:rPr>
      </w:pPr>
    </w:p>
    <w:p w:rsidR="00F14810" w:rsidRPr="001E5FA2" w:rsidRDefault="00F14810" w:rsidP="00F14810">
      <w:pPr>
        <w:spacing w:after="0" w:line="360" w:lineRule="auto"/>
        <w:ind w:right="48"/>
        <w:jc w:val="center"/>
        <w:rPr>
          <w:rFonts w:ascii="Palatino Linotype" w:eastAsia="MS Mincho" w:hAnsi="Palatino Linotype" w:cs="Times New Roman"/>
          <w:b/>
          <w:sz w:val="24"/>
          <w:szCs w:val="24"/>
          <w:lang w:val="es-ES_tradnl" w:eastAsia="es-ES"/>
        </w:rPr>
      </w:pPr>
    </w:p>
    <w:p w:rsidR="00F14810" w:rsidRPr="001E5FA2" w:rsidRDefault="00F14810" w:rsidP="00F14810">
      <w:pPr>
        <w:spacing w:after="0" w:line="360" w:lineRule="auto"/>
        <w:ind w:right="48"/>
        <w:jc w:val="center"/>
        <w:rPr>
          <w:rFonts w:ascii="Palatino Linotype" w:eastAsia="MS Mincho" w:hAnsi="Palatino Linotype" w:cs="Times New Roman"/>
          <w:sz w:val="24"/>
          <w:szCs w:val="24"/>
          <w:lang w:val="es-ES_tradnl" w:eastAsia="es-ES"/>
        </w:rPr>
      </w:pPr>
      <w:r w:rsidRPr="001E5FA2">
        <w:rPr>
          <w:rFonts w:ascii="Palatino Linotype" w:eastAsia="MS Mincho" w:hAnsi="Palatino Linotype" w:cs="Times New Roman"/>
          <w:b/>
          <w:sz w:val="24"/>
          <w:szCs w:val="24"/>
          <w:lang w:val="es-ES_tradnl" w:eastAsia="es-ES"/>
        </w:rPr>
        <w:lastRenderedPageBreak/>
        <w:t>ÍNDICE</w:t>
      </w:r>
      <w:r w:rsidRPr="001E5FA2">
        <w:rPr>
          <w:rFonts w:ascii="Palatino Linotype" w:eastAsia="MS Mincho" w:hAnsi="Palatino Linotype" w:cs="Times New Roman"/>
          <w:sz w:val="24"/>
          <w:szCs w:val="24"/>
          <w:lang w:val="es-ES_tradnl" w:eastAsia="es-ES"/>
        </w:rPr>
        <w:t>.</w:t>
      </w:r>
    </w:p>
    <w:sdt>
      <w:sdtPr>
        <w:rPr>
          <w:rFonts w:ascii="Palatino Linotype" w:hAnsi="Palatino Linotype"/>
          <w:lang w:val="es-ES"/>
        </w:rPr>
        <w:id w:val="-1797436068"/>
        <w:docPartObj>
          <w:docPartGallery w:val="Table of Contents"/>
          <w:docPartUnique/>
        </w:docPartObj>
      </w:sdtPr>
      <w:sdtEndPr>
        <w:rPr>
          <w:b/>
          <w:bCs/>
        </w:rPr>
      </w:sdtEndPr>
      <w:sdtContent>
        <w:p w:rsidR="00F14810" w:rsidRPr="001E5FA2" w:rsidRDefault="00F14810" w:rsidP="00F14810">
          <w:pPr>
            <w:keepNext/>
            <w:keepLines/>
            <w:spacing w:after="0" w:line="360" w:lineRule="auto"/>
            <w:ind w:right="48"/>
            <w:rPr>
              <w:rFonts w:ascii="Palatino Linotype" w:eastAsiaTheme="majorEastAsia" w:hAnsi="Palatino Linotype" w:cstheme="majorBidi"/>
              <w:b/>
              <w:sz w:val="24"/>
              <w:szCs w:val="24"/>
              <w:lang w:eastAsia="es-MX"/>
            </w:rPr>
          </w:pPr>
        </w:p>
        <w:p w:rsidR="00EE2277" w:rsidRPr="001E5FA2" w:rsidRDefault="00F14810" w:rsidP="00EE2277">
          <w:pPr>
            <w:pStyle w:val="TDC1"/>
            <w:tabs>
              <w:tab w:val="right" w:leader="dot" w:pos="9394"/>
            </w:tabs>
            <w:spacing w:line="360" w:lineRule="auto"/>
            <w:rPr>
              <w:rFonts w:ascii="Palatino Linotype" w:eastAsiaTheme="minorEastAsia" w:hAnsi="Palatino Linotype"/>
              <w:b/>
              <w:noProof/>
              <w:sz w:val="24"/>
              <w:lang w:eastAsia="es-MX"/>
            </w:rPr>
          </w:pPr>
          <w:r w:rsidRPr="001E5FA2">
            <w:rPr>
              <w:rFonts w:ascii="Palatino Linotype" w:hAnsi="Palatino Linotype" w:cstheme="minorHAnsi"/>
              <w:b/>
              <w:bCs/>
              <w:sz w:val="24"/>
              <w:szCs w:val="24"/>
              <w:lang w:val="es-ES"/>
            </w:rPr>
            <w:fldChar w:fldCharType="begin"/>
          </w:r>
          <w:r w:rsidRPr="001E5FA2">
            <w:rPr>
              <w:rFonts w:ascii="Palatino Linotype" w:hAnsi="Palatino Linotype" w:cstheme="minorHAnsi"/>
              <w:b/>
              <w:bCs/>
              <w:sz w:val="24"/>
              <w:szCs w:val="24"/>
              <w:lang w:val="es-ES"/>
            </w:rPr>
            <w:instrText xml:space="preserve"> TOC \o "1-3" \h \z \u </w:instrText>
          </w:r>
          <w:r w:rsidRPr="001E5FA2">
            <w:rPr>
              <w:rFonts w:ascii="Palatino Linotype" w:hAnsi="Palatino Linotype" w:cstheme="minorHAnsi"/>
              <w:b/>
              <w:bCs/>
              <w:sz w:val="24"/>
              <w:szCs w:val="24"/>
              <w:lang w:val="es-ES"/>
            </w:rPr>
            <w:fldChar w:fldCharType="separate"/>
          </w:r>
          <w:hyperlink w:anchor="_Toc67584825" w:history="1">
            <w:r w:rsidR="00EE2277" w:rsidRPr="001E5FA2">
              <w:rPr>
                <w:rStyle w:val="Hipervnculo"/>
                <w:rFonts w:ascii="Palatino Linotype" w:eastAsia="MS Gothic" w:hAnsi="Palatino Linotype" w:cs="Times New Roman"/>
                <w:b/>
                <w:noProof/>
                <w:sz w:val="24"/>
                <w:lang w:val="de-DE"/>
              </w:rPr>
              <w:t>A N T E C E D E N T E S</w:t>
            </w:r>
            <w:r w:rsidR="00EE2277" w:rsidRPr="001E5FA2">
              <w:rPr>
                <w:rFonts w:ascii="Palatino Linotype" w:hAnsi="Palatino Linotype"/>
                <w:b/>
                <w:noProof/>
                <w:webHidden/>
                <w:sz w:val="24"/>
              </w:rPr>
              <w:tab/>
            </w:r>
            <w:r w:rsidR="00EE2277" w:rsidRPr="001E5FA2">
              <w:rPr>
                <w:rFonts w:ascii="Palatino Linotype" w:hAnsi="Palatino Linotype"/>
                <w:b/>
                <w:noProof/>
                <w:webHidden/>
                <w:sz w:val="24"/>
              </w:rPr>
              <w:fldChar w:fldCharType="begin"/>
            </w:r>
            <w:r w:rsidR="00EE2277" w:rsidRPr="001E5FA2">
              <w:rPr>
                <w:rFonts w:ascii="Palatino Linotype" w:hAnsi="Palatino Linotype"/>
                <w:b/>
                <w:noProof/>
                <w:webHidden/>
                <w:sz w:val="24"/>
              </w:rPr>
              <w:instrText xml:space="preserve"> PAGEREF _Toc67584825 \h </w:instrText>
            </w:r>
            <w:r w:rsidR="00EE2277" w:rsidRPr="001E5FA2">
              <w:rPr>
                <w:rFonts w:ascii="Palatino Linotype" w:hAnsi="Palatino Linotype"/>
                <w:b/>
                <w:noProof/>
                <w:webHidden/>
                <w:sz w:val="24"/>
              </w:rPr>
            </w:r>
            <w:r w:rsidR="00EE2277" w:rsidRPr="001E5FA2">
              <w:rPr>
                <w:rFonts w:ascii="Palatino Linotype" w:hAnsi="Palatino Linotype"/>
                <w:b/>
                <w:noProof/>
                <w:webHidden/>
                <w:sz w:val="24"/>
              </w:rPr>
              <w:fldChar w:fldCharType="separate"/>
            </w:r>
            <w:r w:rsidR="00EE2277" w:rsidRPr="001E5FA2">
              <w:rPr>
                <w:rFonts w:ascii="Palatino Linotype" w:hAnsi="Palatino Linotype"/>
                <w:b/>
                <w:noProof/>
                <w:webHidden/>
                <w:sz w:val="24"/>
              </w:rPr>
              <w:t>5</w:t>
            </w:r>
            <w:r w:rsidR="00EE2277" w:rsidRPr="001E5FA2">
              <w:rPr>
                <w:rFonts w:ascii="Palatino Linotype" w:hAnsi="Palatino Linotype"/>
                <w:b/>
                <w:noProof/>
                <w:webHidden/>
                <w:sz w:val="24"/>
              </w:rPr>
              <w:fldChar w:fldCharType="end"/>
            </w:r>
          </w:hyperlink>
        </w:p>
        <w:p w:rsidR="00EE2277" w:rsidRPr="001E5FA2" w:rsidRDefault="0038595A" w:rsidP="00EE2277">
          <w:pPr>
            <w:pStyle w:val="TDC1"/>
            <w:tabs>
              <w:tab w:val="right" w:leader="dot" w:pos="9394"/>
            </w:tabs>
            <w:spacing w:line="360" w:lineRule="auto"/>
            <w:rPr>
              <w:rFonts w:ascii="Palatino Linotype" w:eastAsiaTheme="minorEastAsia" w:hAnsi="Palatino Linotype"/>
              <w:b/>
              <w:noProof/>
              <w:sz w:val="24"/>
              <w:lang w:eastAsia="es-MX"/>
            </w:rPr>
          </w:pPr>
          <w:hyperlink w:anchor="_Toc67584826" w:history="1">
            <w:r w:rsidR="00EE2277" w:rsidRPr="001E5FA2">
              <w:rPr>
                <w:rStyle w:val="Hipervnculo"/>
                <w:rFonts w:ascii="Palatino Linotype" w:eastAsia="MS Gothic" w:hAnsi="Palatino Linotype" w:cs="Times New Roman"/>
                <w:b/>
                <w:noProof/>
                <w:sz w:val="24"/>
              </w:rPr>
              <w:t>CONSIDERANDO</w:t>
            </w:r>
            <w:r w:rsidR="00EE2277" w:rsidRPr="001E5FA2">
              <w:rPr>
                <w:rFonts w:ascii="Palatino Linotype" w:hAnsi="Palatino Linotype"/>
                <w:b/>
                <w:noProof/>
                <w:webHidden/>
                <w:sz w:val="24"/>
              </w:rPr>
              <w:tab/>
            </w:r>
            <w:r w:rsidR="00EE2277" w:rsidRPr="001E5FA2">
              <w:rPr>
                <w:rFonts w:ascii="Palatino Linotype" w:hAnsi="Palatino Linotype"/>
                <w:b/>
                <w:noProof/>
                <w:webHidden/>
                <w:sz w:val="24"/>
              </w:rPr>
              <w:fldChar w:fldCharType="begin"/>
            </w:r>
            <w:r w:rsidR="00EE2277" w:rsidRPr="001E5FA2">
              <w:rPr>
                <w:rFonts w:ascii="Palatino Linotype" w:hAnsi="Palatino Linotype"/>
                <w:b/>
                <w:noProof/>
                <w:webHidden/>
                <w:sz w:val="24"/>
              </w:rPr>
              <w:instrText xml:space="preserve"> PAGEREF _Toc67584826 \h </w:instrText>
            </w:r>
            <w:r w:rsidR="00EE2277" w:rsidRPr="001E5FA2">
              <w:rPr>
                <w:rFonts w:ascii="Palatino Linotype" w:hAnsi="Palatino Linotype"/>
                <w:b/>
                <w:noProof/>
                <w:webHidden/>
                <w:sz w:val="24"/>
              </w:rPr>
            </w:r>
            <w:r w:rsidR="00EE2277" w:rsidRPr="001E5FA2">
              <w:rPr>
                <w:rFonts w:ascii="Palatino Linotype" w:hAnsi="Palatino Linotype"/>
                <w:b/>
                <w:noProof/>
                <w:webHidden/>
                <w:sz w:val="24"/>
              </w:rPr>
              <w:fldChar w:fldCharType="separate"/>
            </w:r>
            <w:r w:rsidR="00EE2277" w:rsidRPr="001E5FA2">
              <w:rPr>
                <w:rFonts w:ascii="Palatino Linotype" w:hAnsi="Palatino Linotype"/>
                <w:b/>
                <w:noProof/>
                <w:webHidden/>
                <w:sz w:val="24"/>
              </w:rPr>
              <w:t>8</w:t>
            </w:r>
            <w:r w:rsidR="00EE2277" w:rsidRPr="001E5FA2">
              <w:rPr>
                <w:rFonts w:ascii="Palatino Linotype" w:hAnsi="Palatino Linotype"/>
                <w:b/>
                <w:noProof/>
                <w:webHidden/>
                <w:sz w:val="24"/>
              </w:rPr>
              <w:fldChar w:fldCharType="end"/>
            </w:r>
          </w:hyperlink>
        </w:p>
        <w:p w:rsidR="00EE2277" w:rsidRPr="001E5FA2" w:rsidRDefault="0038595A" w:rsidP="00EE2277">
          <w:pPr>
            <w:pStyle w:val="TDC1"/>
            <w:tabs>
              <w:tab w:val="right" w:leader="dot" w:pos="9394"/>
            </w:tabs>
            <w:spacing w:line="360" w:lineRule="auto"/>
            <w:rPr>
              <w:rFonts w:ascii="Palatino Linotype" w:eastAsiaTheme="minorEastAsia" w:hAnsi="Palatino Linotype"/>
              <w:b/>
              <w:noProof/>
              <w:sz w:val="24"/>
              <w:lang w:eastAsia="es-MX"/>
            </w:rPr>
          </w:pPr>
          <w:hyperlink w:anchor="_Toc67584827" w:history="1">
            <w:r w:rsidR="00EE2277" w:rsidRPr="001E5FA2">
              <w:rPr>
                <w:rStyle w:val="Hipervnculo"/>
                <w:rFonts w:ascii="Palatino Linotype" w:eastAsia="MS Mincho" w:hAnsi="Palatino Linotype" w:cstheme="majorBidi"/>
                <w:b/>
                <w:noProof/>
                <w:sz w:val="24"/>
                <w:lang w:val="es-ES_tradnl" w:eastAsia="es-ES"/>
              </w:rPr>
              <w:t>PRIMERO</w:t>
            </w:r>
            <w:r w:rsidR="00EE2277" w:rsidRPr="001E5FA2">
              <w:rPr>
                <w:rStyle w:val="Hipervnculo"/>
                <w:rFonts w:ascii="Palatino Linotype" w:eastAsia="MS Gothic" w:hAnsi="Palatino Linotype" w:cs="Times New Roman"/>
                <w:b/>
                <w:noProof/>
                <w:sz w:val="24"/>
              </w:rPr>
              <w:t>. De la competencia.</w:t>
            </w:r>
            <w:r w:rsidR="00EE2277" w:rsidRPr="001E5FA2">
              <w:rPr>
                <w:rFonts w:ascii="Palatino Linotype" w:hAnsi="Palatino Linotype"/>
                <w:b/>
                <w:noProof/>
                <w:webHidden/>
                <w:sz w:val="24"/>
              </w:rPr>
              <w:tab/>
            </w:r>
            <w:r w:rsidR="00EE2277" w:rsidRPr="001E5FA2">
              <w:rPr>
                <w:rFonts w:ascii="Palatino Linotype" w:hAnsi="Palatino Linotype"/>
                <w:b/>
                <w:noProof/>
                <w:webHidden/>
                <w:sz w:val="24"/>
              </w:rPr>
              <w:fldChar w:fldCharType="begin"/>
            </w:r>
            <w:r w:rsidR="00EE2277" w:rsidRPr="001E5FA2">
              <w:rPr>
                <w:rFonts w:ascii="Palatino Linotype" w:hAnsi="Palatino Linotype"/>
                <w:b/>
                <w:noProof/>
                <w:webHidden/>
                <w:sz w:val="24"/>
              </w:rPr>
              <w:instrText xml:space="preserve"> PAGEREF _Toc67584827 \h </w:instrText>
            </w:r>
            <w:r w:rsidR="00EE2277" w:rsidRPr="001E5FA2">
              <w:rPr>
                <w:rFonts w:ascii="Palatino Linotype" w:hAnsi="Palatino Linotype"/>
                <w:b/>
                <w:noProof/>
                <w:webHidden/>
                <w:sz w:val="24"/>
              </w:rPr>
            </w:r>
            <w:r w:rsidR="00EE2277" w:rsidRPr="001E5FA2">
              <w:rPr>
                <w:rFonts w:ascii="Palatino Linotype" w:hAnsi="Palatino Linotype"/>
                <w:b/>
                <w:noProof/>
                <w:webHidden/>
                <w:sz w:val="24"/>
              </w:rPr>
              <w:fldChar w:fldCharType="separate"/>
            </w:r>
            <w:r w:rsidR="00EE2277" w:rsidRPr="001E5FA2">
              <w:rPr>
                <w:rFonts w:ascii="Palatino Linotype" w:hAnsi="Palatino Linotype"/>
                <w:b/>
                <w:noProof/>
                <w:webHidden/>
                <w:sz w:val="24"/>
              </w:rPr>
              <w:t>8</w:t>
            </w:r>
            <w:r w:rsidR="00EE2277" w:rsidRPr="001E5FA2">
              <w:rPr>
                <w:rFonts w:ascii="Palatino Linotype" w:hAnsi="Palatino Linotype"/>
                <w:b/>
                <w:noProof/>
                <w:webHidden/>
                <w:sz w:val="24"/>
              </w:rPr>
              <w:fldChar w:fldCharType="end"/>
            </w:r>
          </w:hyperlink>
        </w:p>
        <w:p w:rsidR="00EE2277" w:rsidRPr="001E5FA2" w:rsidRDefault="0038595A" w:rsidP="00EE2277">
          <w:pPr>
            <w:pStyle w:val="TDC1"/>
            <w:tabs>
              <w:tab w:val="right" w:leader="dot" w:pos="9394"/>
            </w:tabs>
            <w:spacing w:line="360" w:lineRule="auto"/>
            <w:rPr>
              <w:rFonts w:ascii="Palatino Linotype" w:eastAsiaTheme="minorEastAsia" w:hAnsi="Palatino Linotype"/>
              <w:b/>
              <w:noProof/>
              <w:sz w:val="24"/>
              <w:lang w:eastAsia="es-MX"/>
            </w:rPr>
          </w:pPr>
          <w:hyperlink w:anchor="_Toc67584828" w:history="1">
            <w:r w:rsidR="00EE2277" w:rsidRPr="001E5FA2">
              <w:rPr>
                <w:rStyle w:val="Hipervnculo"/>
                <w:rFonts w:ascii="Palatino Linotype" w:eastAsia="MS Mincho" w:hAnsi="Palatino Linotype" w:cstheme="majorBidi"/>
                <w:b/>
                <w:noProof/>
                <w:sz w:val="24"/>
                <w:lang w:val="es-ES_tradnl" w:eastAsia="es-ES"/>
              </w:rPr>
              <w:t>SEGUNDO</w:t>
            </w:r>
            <w:r w:rsidR="00EE2277" w:rsidRPr="001E5FA2">
              <w:rPr>
                <w:rStyle w:val="Hipervnculo"/>
                <w:rFonts w:ascii="Palatino Linotype" w:eastAsia="MS Gothic" w:hAnsi="Palatino Linotype" w:cs="Times New Roman"/>
                <w:b/>
                <w:noProof/>
                <w:sz w:val="24"/>
              </w:rPr>
              <w:t>. De la oportunidad y procedibilidad del recurso de revisión.</w:t>
            </w:r>
            <w:r w:rsidR="00EE2277" w:rsidRPr="001E5FA2">
              <w:rPr>
                <w:rFonts w:ascii="Palatino Linotype" w:hAnsi="Palatino Linotype"/>
                <w:b/>
                <w:noProof/>
                <w:webHidden/>
                <w:sz w:val="24"/>
              </w:rPr>
              <w:tab/>
            </w:r>
            <w:r w:rsidR="00EE2277" w:rsidRPr="001E5FA2">
              <w:rPr>
                <w:rFonts w:ascii="Palatino Linotype" w:hAnsi="Palatino Linotype"/>
                <w:b/>
                <w:noProof/>
                <w:webHidden/>
                <w:sz w:val="24"/>
              </w:rPr>
              <w:fldChar w:fldCharType="begin"/>
            </w:r>
            <w:r w:rsidR="00EE2277" w:rsidRPr="001E5FA2">
              <w:rPr>
                <w:rFonts w:ascii="Palatino Linotype" w:hAnsi="Palatino Linotype"/>
                <w:b/>
                <w:noProof/>
                <w:webHidden/>
                <w:sz w:val="24"/>
              </w:rPr>
              <w:instrText xml:space="preserve"> PAGEREF _Toc67584828 \h </w:instrText>
            </w:r>
            <w:r w:rsidR="00EE2277" w:rsidRPr="001E5FA2">
              <w:rPr>
                <w:rFonts w:ascii="Palatino Linotype" w:hAnsi="Palatino Linotype"/>
                <w:b/>
                <w:noProof/>
                <w:webHidden/>
                <w:sz w:val="24"/>
              </w:rPr>
            </w:r>
            <w:r w:rsidR="00EE2277" w:rsidRPr="001E5FA2">
              <w:rPr>
                <w:rFonts w:ascii="Palatino Linotype" w:hAnsi="Palatino Linotype"/>
                <w:b/>
                <w:noProof/>
                <w:webHidden/>
                <w:sz w:val="24"/>
              </w:rPr>
              <w:fldChar w:fldCharType="separate"/>
            </w:r>
            <w:r w:rsidR="00EE2277" w:rsidRPr="001E5FA2">
              <w:rPr>
                <w:rFonts w:ascii="Palatino Linotype" w:hAnsi="Palatino Linotype"/>
                <w:b/>
                <w:noProof/>
                <w:webHidden/>
                <w:sz w:val="24"/>
              </w:rPr>
              <w:t>9</w:t>
            </w:r>
            <w:r w:rsidR="00EE2277" w:rsidRPr="001E5FA2">
              <w:rPr>
                <w:rFonts w:ascii="Palatino Linotype" w:hAnsi="Palatino Linotype"/>
                <w:b/>
                <w:noProof/>
                <w:webHidden/>
                <w:sz w:val="24"/>
              </w:rPr>
              <w:fldChar w:fldCharType="end"/>
            </w:r>
          </w:hyperlink>
        </w:p>
        <w:p w:rsidR="00EE2277" w:rsidRPr="001E5FA2" w:rsidRDefault="0038595A" w:rsidP="00EE2277">
          <w:pPr>
            <w:pStyle w:val="TDC1"/>
            <w:tabs>
              <w:tab w:val="right" w:leader="dot" w:pos="9394"/>
            </w:tabs>
            <w:spacing w:line="360" w:lineRule="auto"/>
            <w:rPr>
              <w:rFonts w:ascii="Palatino Linotype" w:eastAsiaTheme="minorEastAsia" w:hAnsi="Palatino Linotype"/>
              <w:b/>
              <w:noProof/>
              <w:sz w:val="24"/>
              <w:lang w:eastAsia="es-MX"/>
            </w:rPr>
          </w:pPr>
          <w:hyperlink w:anchor="_Toc67584829" w:history="1">
            <w:r w:rsidR="00EE2277" w:rsidRPr="001E5FA2">
              <w:rPr>
                <w:rStyle w:val="Hipervnculo"/>
                <w:rFonts w:ascii="Palatino Linotype" w:eastAsia="MS Mincho" w:hAnsi="Palatino Linotype" w:cstheme="majorBidi"/>
                <w:b/>
                <w:noProof/>
                <w:sz w:val="24"/>
                <w:lang w:val="es-ES_tradnl" w:eastAsia="es-ES"/>
              </w:rPr>
              <w:t>TERCERO. De previo y especial pronunciamiento</w:t>
            </w:r>
            <w:r w:rsidR="00EE2277" w:rsidRPr="001E5FA2">
              <w:rPr>
                <w:rFonts w:ascii="Palatino Linotype" w:hAnsi="Palatino Linotype"/>
                <w:b/>
                <w:noProof/>
                <w:webHidden/>
                <w:sz w:val="24"/>
              </w:rPr>
              <w:tab/>
            </w:r>
            <w:r w:rsidR="00EE2277" w:rsidRPr="001E5FA2">
              <w:rPr>
                <w:rFonts w:ascii="Palatino Linotype" w:hAnsi="Palatino Linotype"/>
                <w:b/>
                <w:noProof/>
                <w:webHidden/>
                <w:sz w:val="24"/>
              </w:rPr>
              <w:fldChar w:fldCharType="begin"/>
            </w:r>
            <w:r w:rsidR="00EE2277" w:rsidRPr="001E5FA2">
              <w:rPr>
                <w:rFonts w:ascii="Palatino Linotype" w:hAnsi="Palatino Linotype"/>
                <w:b/>
                <w:noProof/>
                <w:webHidden/>
                <w:sz w:val="24"/>
              </w:rPr>
              <w:instrText xml:space="preserve"> PAGEREF _Toc67584829 \h </w:instrText>
            </w:r>
            <w:r w:rsidR="00EE2277" w:rsidRPr="001E5FA2">
              <w:rPr>
                <w:rFonts w:ascii="Palatino Linotype" w:hAnsi="Palatino Linotype"/>
                <w:b/>
                <w:noProof/>
                <w:webHidden/>
                <w:sz w:val="24"/>
              </w:rPr>
            </w:r>
            <w:r w:rsidR="00EE2277" w:rsidRPr="001E5FA2">
              <w:rPr>
                <w:rFonts w:ascii="Palatino Linotype" w:hAnsi="Palatino Linotype"/>
                <w:b/>
                <w:noProof/>
                <w:webHidden/>
                <w:sz w:val="24"/>
              </w:rPr>
              <w:fldChar w:fldCharType="separate"/>
            </w:r>
            <w:r w:rsidR="00EE2277" w:rsidRPr="001E5FA2">
              <w:rPr>
                <w:rFonts w:ascii="Palatino Linotype" w:hAnsi="Palatino Linotype"/>
                <w:b/>
                <w:noProof/>
                <w:webHidden/>
                <w:sz w:val="24"/>
              </w:rPr>
              <w:t>10</w:t>
            </w:r>
            <w:r w:rsidR="00EE2277" w:rsidRPr="001E5FA2">
              <w:rPr>
                <w:rFonts w:ascii="Palatino Linotype" w:hAnsi="Palatino Linotype"/>
                <w:b/>
                <w:noProof/>
                <w:webHidden/>
                <w:sz w:val="24"/>
              </w:rPr>
              <w:fldChar w:fldCharType="end"/>
            </w:r>
          </w:hyperlink>
        </w:p>
        <w:p w:rsidR="00EE2277" w:rsidRPr="001E5FA2" w:rsidRDefault="0038595A" w:rsidP="00EE2277">
          <w:pPr>
            <w:pStyle w:val="TDC1"/>
            <w:tabs>
              <w:tab w:val="right" w:leader="dot" w:pos="9394"/>
            </w:tabs>
            <w:spacing w:line="360" w:lineRule="auto"/>
            <w:rPr>
              <w:rFonts w:ascii="Palatino Linotype" w:eastAsiaTheme="minorEastAsia" w:hAnsi="Palatino Linotype"/>
              <w:b/>
              <w:noProof/>
              <w:sz w:val="24"/>
              <w:lang w:eastAsia="es-MX"/>
            </w:rPr>
          </w:pPr>
          <w:hyperlink w:anchor="_Toc67584830" w:history="1">
            <w:r w:rsidR="00EE2277" w:rsidRPr="001E5FA2">
              <w:rPr>
                <w:rStyle w:val="Hipervnculo"/>
                <w:rFonts w:ascii="Palatino Linotype" w:eastAsia="MS Gothic" w:hAnsi="Palatino Linotype" w:cstheme="majorBidi"/>
                <w:b/>
                <w:noProof/>
                <w:sz w:val="24"/>
                <w:lang w:val="es-ES_tradnl" w:eastAsia="es-ES"/>
              </w:rPr>
              <w:t>CUARTO. Planteamiento de la Litis</w:t>
            </w:r>
            <w:r w:rsidR="00EE2277" w:rsidRPr="001E5FA2">
              <w:rPr>
                <w:rFonts w:ascii="Palatino Linotype" w:hAnsi="Palatino Linotype"/>
                <w:b/>
                <w:noProof/>
                <w:webHidden/>
                <w:sz w:val="24"/>
              </w:rPr>
              <w:tab/>
            </w:r>
            <w:r w:rsidR="00EE2277" w:rsidRPr="001E5FA2">
              <w:rPr>
                <w:rFonts w:ascii="Palatino Linotype" w:hAnsi="Palatino Linotype"/>
                <w:b/>
                <w:noProof/>
                <w:webHidden/>
                <w:sz w:val="24"/>
              </w:rPr>
              <w:fldChar w:fldCharType="begin"/>
            </w:r>
            <w:r w:rsidR="00EE2277" w:rsidRPr="001E5FA2">
              <w:rPr>
                <w:rFonts w:ascii="Palatino Linotype" w:hAnsi="Palatino Linotype"/>
                <w:b/>
                <w:noProof/>
                <w:webHidden/>
                <w:sz w:val="24"/>
              </w:rPr>
              <w:instrText xml:space="preserve"> PAGEREF _Toc67584830 \h </w:instrText>
            </w:r>
            <w:r w:rsidR="00EE2277" w:rsidRPr="001E5FA2">
              <w:rPr>
                <w:rFonts w:ascii="Palatino Linotype" w:hAnsi="Palatino Linotype"/>
                <w:b/>
                <w:noProof/>
                <w:webHidden/>
                <w:sz w:val="24"/>
              </w:rPr>
            </w:r>
            <w:r w:rsidR="00EE2277" w:rsidRPr="001E5FA2">
              <w:rPr>
                <w:rFonts w:ascii="Palatino Linotype" w:hAnsi="Palatino Linotype"/>
                <w:b/>
                <w:noProof/>
                <w:webHidden/>
                <w:sz w:val="24"/>
              </w:rPr>
              <w:fldChar w:fldCharType="separate"/>
            </w:r>
            <w:r w:rsidR="00EE2277" w:rsidRPr="001E5FA2">
              <w:rPr>
                <w:rFonts w:ascii="Palatino Linotype" w:hAnsi="Palatino Linotype"/>
                <w:b/>
                <w:noProof/>
                <w:webHidden/>
                <w:sz w:val="24"/>
              </w:rPr>
              <w:t>14</w:t>
            </w:r>
            <w:r w:rsidR="00EE2277" w:rsidRPr="001E5FA2">
              <w:rPr>
                <w:rFonts w:ascii="Palatino Linotype" w:hAnsi="Palatino Linotype"/>
                <w:b/>
                <w:noProof/>
                <w:webHidden/>
                <w:sz w:val="24"/>
              </w:rPr>
              <w:fldChar w:fldCharType="end"/>
            </w:r>
          </w:hyperlink>
        </w:p>
        <w:p w:rsidR="00EE2277" w:rsidRPr="001E5FA2" w:rsidRDefault="0038595A" w:rsidP="00EE2277">
          <w:pPr>
            <w:pStyle w:val="TDC1"/>
            <w:tabs>
              <w:tab w:val="right" w:leader="dot" w:pos="9394"/>
            </w:tabs>
            <w:spacing w:line="360" w:lineRule="auto"/>
            <w:rPr>
              <w:rFonts w:ascii="Palatino Linotype" w:eastAsiaTheme="minorEastAsia" w:hAnsi="Palatino Linotype"/>
              <w:b/>
              <w:noProof/>
              <w:sz w:val="24"/>
              <w:lang w:eastAsia="es-MX"/>
            </w:rPr>
          </w:pPr>
          <w:hyperlink w:anchor="_Toc67584831" w:history="1">
            <w:r w:rsidR="00EE2277" w:rsidRPr="001E5FA2">
              <w:rPr>
                <w:rStyle w:val="Hipervnculo"/>
                <w:rFonts w:ascii="Palatino Linotype" w:eastAsia="MS Gothic" w:hAnsi="Palatino Linotype" w:cstheme="majorBidi"/>
                <w:b/>
                <w:noProof/>
                <w:sz w:val="24"/>
                <w:lang w:val="es-ES_tradnl" w:eastAsia="es-ES"/>
              </w:rPr>
              <w:t>QUINTO. Del estudio y resolución del recurso de revisión.</w:t>
            </w:r>
            <w:r w:rsidR="00EE2277" w:rsidRPr="001E5FA2">
              <w:rPr>
                <w:rFonts w:ascii="Palatino Linotype" w:hAnsi="Palatino Linotype"/>
                <w:b/>
                <w:noProof/>
                <w:webHidden/>
                <w:sz w:val="24"/>
              </w:rPr>
              <w:tab/>
            </w:r>
            <w:r w:rsidR="00EE2277" w:rsidRPr="001E5FA2">
              <w:rPr>
                <w:rFonts w:ascii="Palatino Linotype" w:hAnsi="Palatino Linotype"/>
                <w:b/>
                <w:noProof/>
                <w:webHidden/>
                <w:sz w:val="24"/>
              </w:rPr>
              <w:fldChar w:fldCharType="begin"/>
            </w:r>
            <w:r w:rsidR="00EE2277" w:rsidRPr="001E5FA2">
              <w:rPr>
                <w:rFonts w:ascii="Palatino Linotype" w:hAnsi="Palatino Linotype"/>
                <w:b/>
                <w:noProof/>
                <w:webHidden/>
                <w:sz w:val="24"/>
              </w:rPr>
              <w:instrText xml:space="preserve"> PAGEREF _Toc67584831 \h </w:instrText>
            </w:r>
            <w:r w:rsidR="00EE2277" w:rsidRPr="001E5FA2">
              <w:rPr>
                <w:rFonts w:ascii="Palatino Linotype" w:hAnsi="Palatino Linotype"/>
                <w:b/>
                <w:noProof/>
                <w:webHidden/>
                <w:sz w:val="24"/>
              </w:rPr>
            </w:r>
            <w:r w:rsidR="00EE2277" w:rsidRPr="001E5FA2">
              <w:rPr>
                <w:rFonts w:ascii="Palatino Linotype" w:hAnsi="Palatino Linotype"/>
                <w:b/>
                <w:noProof/>
                <w:webHidden/>
                <w:sz w:val="24"/>
              </w:rPr>
              <w:fldChar w:fldCharType="separate"/>
            </w:r>
            <w:r w:rsidR="00EE2277" w:rsidRPr="001E5FA2">
              <w:rPr>
                <w:rFonts w:ascii="Palatino Linotype" w:hAnsi="Palatino Linotype"/>
                <w:b/>
                <w:noProof/>
                <w:webHidden/>
                <w:sz w:val="24"/>
              </w:rPr>
              <w:t>16</w:t>
            </w:r>
            <w:r w:rsidR="00EE2277" w:rsidRPr="001E5FA2">
              <w:rPr>
                <w:rFonts w:ascii="Palatino Linotype" w:hAnsi="Palatino Linotype"/>
                <w:b/>
                <w:noProof/>
                <w:webHidden/>
                <w:sz w:val="24"/>
              </w:rPr>
              <w:fldChar w:fldCharType="end"/>
            </w:r>
          </w:hyperlink>
        </w:p>
        <w:p w:rsidR="00EE2277" w:rsidRPr="001E5FA2" w:rsidRDefault="0038595A" w:rsidP="00EE2277">
          <w:pPr>
            <w:pStyle w:val="TDC1"/>
            <w:tabs>
              <w:tab w:val="right" w:leader="dot" w:pos="9394"/>
            </w:tabs>
            <w:spacing w:line="360" w:lineRule="auto"/>
            <w:rPr>
              <w:rFonts w:ascii="Palatino Linotype" w:eastAsiaTheme="minorEastAsia" w:hAnsi="Palatino Linotype"/>
              <w:b/>
              <w:noProof/>
              <w:sz w:val="24"/>
              <w:lang w:eastAsia="es-MX"/>
            </w:rPr>
          </w:pPr>
          <w:hyperlink w:anchor="_Toc67584832" w:history="1">
            <w:r w:rsidR="00EE2277" w:rsidRPr="001E5FA2">
              <w:rPr>
                <w:rStyle w:val="Hipervnculo"/>
                <w:rFonts w:ascii="Palatino Linotype" w:eastAsia="MS Gothic" w:hAnsi="Palatino Linotype" w:cstheme="majorBidi"/>
                <w:b/>
                <w:noProof/>
                <w:sz w:val="24"/>
                <w:lang w:val="es-ES_tradnl" w:eastAsia="es-ES"/>
              </w:rPr>
              <w:t>I. Fuente Obligacional.</w:t>
            </w:r>
            <w:r w:rsidR="00EE2277" w:rsidRPr="001E5FA2">
              <w:rPr>
                <w:rFonts w:ascii="Palatino Linotype" w:hAnsi="Palatino Linotype"/>
                <w:b/>
                <w:noProof/>
                <w:webHidden/>
                <w:sz w:val="24"/>
              </w:rPr>
              <w:tab/>
            </w:r>
            <w:r w:rsidR="00EE2277" w:rsidRPr="001E5FA2">
              <w:rPr>
                <w:rFonts w:ascii="Palatino Linotype" w:hAnsi="Palatino Linotype"/>
                <w:b/>
                <w:noProof/>
                <w:webHidden/>
                <w:sz w:val="24"/>
              </w:rPr>
              <w:fldChar w:fldCharType="begin"/>
            </w:r>
            <w:r w:rsidR="00EE2277" w:rsidRPr="001E5FA2">
              <w:rPr>
                <w:rFonts w:ascii="Palatino Linotype" w:hAnsi="Palatino Linotype"/>
                <w:b/>
                <w:noProof/>
                <w:webHidden/>
                <w:sz w:val="24"/>
              </w:rPr>
              <w:instrText xml:space="preserve"> PAGEREF _Toc67584832 \h </w:instrText>
            </w:r>
            <w:r w:rsidR="00EE2277" w:rsidRPr="001E5FA2">
              <w:rPr>
                <w:rFonts w:ascii="Palatino Linotype" w:hAnsi="Palatino Linotype"/>
                <w:b/>
                <w:noProof/>
                <w:webHidden/>
                <w:sz w:val="24"/>
              </w:rPr>
            </w:r>
            <w:r w:rsidR="00EE2277" w:rsidRPr="001E5FA2">
              <w:rPr>
                <w:rFonts w:ascii="Palatino Linotype" w:hAnsi="Palatino Linotype"/>
                <w:b/>
                <w:noProof/>
                <w:webHidden/>
                <w:sz w:val="24"/>
              </w:rPr>
              <w:fldChar w:fldCharType="separate"/>
            </w:r>
            <w:r w:rsidR="00EE2277" w:rsidRPr="001E5FA2">
              <w:rPr>
                <w:rFonts w:ascii="Palatino Linotype" w:hAnsi="Palatino Linotype"/>
                <w:b/>
                <w:noProof/>
                <w:webHidden/>
                <w:sz w:val="24"/>
              </w:rPr>
              <w:t>16</w:t>
            </w:r>
            <w:r w:rsidR="00EE2277" w:rsidRPr="001E5FA2">
              <w:rPr>
                <w:rFonts w:ascii="Palatino Linotype" w:hAnsi="Palatino Linotype"/>
                <w:b/>
                <w:noProof/>
                <w:webHidden/>
                <w:sz w:val="24"/>
              </w:rPr>
              <w:fldChar w:fldCharType="end"/>
            </w:r>
          </w:hyperlink>
        </w:p>
        <w:p w:rsidR="00EE2277" w:rsidRPr="001E5FA2" w:rsidRDefault="0038595A" w:rsidP="00EE2277">
          <w:pPr>
            <w:pStyle w:val="TDC1"/>
            <w:tabs>
              <w:tab w:val="right" w:leader="dot" w:pos="9394"/>
            </w:tabs>
            <w:spacing w:line="360" w:lineRule="auto"/>
            <w:rPr>
              <w:rFonts w:ascii="Palatino Linotype" w:eastAsiaTheme="minorEastAsia" w:hAnsi="Palatino Linotype"/>
              <w:b/>
              <w:noProof/>
              <w:sz w:val="24"/>
              <w:lang w:eastAsia="es-MX"/>
            </w:rPr>
          </w:pPr>
          <w:hyperlink w:anchor="_Toc67584833" w:history="1">
            <w:r w:rsidR="00EE2277" w:rsidRPr="001E5FA2">
              <w:rPr>
                <w:rStyle w:val="Hipervnculo"/>
                <w:rFonts w:ascii="Palatino Linotype" w:eastAsia="MS Gothic" w:hAnsi="Palatino Linotype" w:cstheme="majorBidi"/>
                <w:b/>
                <w:noProof/>
                <w:sz w:val="24"/>
                <w:lang w:val="es-ES_tradnl" w:eastAsia="es-ES"/>
              </w:rPr>
              <w:t>II. De la información solicitada y la respuesta del Sujeto Obligado.</w:t>
            </w:r>
            <w:r w:rsidR="00EE2277" w:rsidRPr="001E5FA2">
              <w:rPr>
                <w:rFonts w:ascii="Palatino Linotype" w:hAnsi="Palatino Linotype"/>
                <w:b/>
                <w:noProof/>
                <w:webHidden/>
                <w:sz w:val="24"/>
              </w:rPr>
              <w:tab/>
            </w:r>
            <w:r w:rsidR="00EE2277" w:rsidRPr="001E5FA2">
              <w:rPr>
                <w:rFonts w:ascii="Palatino Linotype" w:hAnsi="Palatino Linotype"/>
                <w:b/>
                <w:noProof/>
                <w:webHidden/>
                <w:sz w:val="24"/>
              </w:rPr>
              <w:fldChar w:fldCharType="begin"/>
            </w:r>
            <w:r w:rsidR="00EE2277" w:rsidRPr="001E5FA2">
              <w:rPr>
                <w:rFonts w:ascii="Palatino Linotype" w:hAnsi="Palatino Linotype"/>
                <w:b/>
                <w:noProof/>
                <w:webHidden/>
                <w:sz w:val="24"/>
              </w:rPr>
              <w:instrText xml:space="preserve"> PAGEREF _Toc67584833 \h </w:instrText>
            </w:r>
            <w:r w:rsidR="00EE2277" w:rsidRPr="001E5FA2">
              <w:rPr>
                <w:rFonts w:ascii="Palatino Linotype" w:hAnsi="Palatino Linotype"/>
                <w:b/>
                <w:noProof/>
                <w:webHidden/>
                <w:sz w:val="24"/>
              </w:rPr>
            </w:r>
            <w:r w:rsidR="00EE2277" w:rsidRPr="001E5FA2">
              <w:rPr>
                <w:rFonts w:ascii="Palatino Linotype" w:hAnsi="Palatino Linotype"/>
                <w:b/>
                <w:noProof/>
                <w:webHidden/>
                <w:sz w:val="24"/>
              </w:rPr>
              <w:fldChar w:fldCharType="separate"/>
            </w:r>
            <w:r w:rsidR="00EE2277" w:rsidRPr="001E5FA2">
              <w:rPr>
                <w:rFonts w:ascii="Palatino Linotype" w:hAnsi="Palatino Linotype"/>
                <w:b/>
                <w:noProof/>
                <w:webHidden/>
                <w:sz w:val="24"/>
              </w:rPr>
              <w:t>18</w:t>
            </w:r>
            <w:r w:rsidR="00EE2277" w:rsidRPr="001E5FA2">
              <w:rPr>
                <w:rFonts w:ascii="Palatino Linotype" w:hAnsi="Palatino Linotype"/>
                <w:b/>
                <w:noProof/>
                <w:webHidden/>
                <w:sz w:val="24"/>
              </w:rPr>
              <w:fldChar w:fldCharType="end"/>
            </w:r>
          </w:hyperlink>
        </w:p>
        <w:p w:rsidR="00EE2277" w:rsidRPr="001E5FA2" w:rsidRDefault="0038595A" w:rsidP="00EE2277">
          <w:pPr>
            <w:pStyle w:val="TDC1"/>
            <w:tabs>
              <w:tab w:val="right" w:leader="dot" w:pos="9394"/>
            </w:tabs>
            <w:spacing w:line="360" w:lineRule="auto"/>
            <w:rPr>
              <w:rFonts w:ascii="Palatino Linotype" w:eastAsiaTheme="minorEastAsia" w:hAnsi="Palatino Linotype"/>
              <w:b/>
              <w:noProof/>
              <w:sz w:val="24"/>
              <w:lang w:eastAsia="es-MX"/>
            </w:rPr>
          </w:pPr>
          <w:hyperlink w:anchor="_Toc67584834" w:history="1">
            <w:r w:rsidR="00EE2277" w:rsidRPr="001E5FA2">
              <w:rPr>
                <w:rStyle w:val="Hipervnculo"/>
                <w:rFonts w:ascii="Palatino Linotype" w:hAnsi="Palatino Linotype" w:cs="Times New Roman"/>
                <w:b/>
                <w:noProof/>
                <w:sz w:val="24"/>
                <w:lang w:eastAsia="es-ES_tradnl"/>
              </w:rPr>
              <w:t xml:space="preserve">SEXTO. </w:t>
            </w:r>
            <w:r w:rsidR="00EE2277" w:rsidRPr="001E5FA2">
              <w:rPr>
                <w:rStyle w:val="Hipervnculo"/>
                <w:rFonts w:ascii="Palatino Linotype" w:hAnsi="Palatino Linotype"/>
                <w:b/>
                <w:noProof/>
                <w:sz w:val="24"/>
              </w:rPr>
              <w:t xml:space="preserve"> De la elaboración de la versión pública.</w:t>
            </w:r>
            <w:r w:rsidR="00EE2277" w:rsidRPr="001E5FA2">
              <w:rPr>
                <w:rFonts w:ascii="Palatino Linotype" w:hAnsi="Palatino Linotype"/>
                <w:b/>
                <w:noProof/>
                <w:webHidden/>
                <w:sz w:val="24"/>
              </w:rPr>
              <w:tab/>
            </w:r>
            <w:r w:rsidR="00EE2277" w:rsidRPr="001E5FA2">
              <w:rPr>
                <w:rFonts w:ascii="Palatino Linotype" w:hAnsi="Palatino Linotype"/>
                <w:b/>
                <w:noProof/>
                <w:webHidden/>
                <w:sz w:val="24"/>
              </w:rPr>
              <w:fldChar w:fldCharType="begin"/>
            </w:r>
            <w:r w:rsidR="00EE2277" w:rsidRPr="001E5FA2">
              <w:rPr>
                <w:rFonts w:ascii="Palatino Linotype" w:hAnsi="Palatino Linotype"/>
                <w:b/>
                <w:noProof/>
                <w:webHidden/>
                <w:sz w:val="24"/>
              </w:rPr>
              <w:instrText xml:space="preserve"> PAGEREF _Toc67584834 \h </w:instrText>
            </w:r>
            <w:r w:rsidR="00EE2277" w:rsidRPr="001E5FA2">
              <w:rPr>
                <w:rFonts w:ascii="Palatino Linotype" w:hAnsi="Palatino Linotype"/>
                <w:b/>
                <w:noProof/>
                <w:webHidden/>
                <w:sz w:val="24"/>
              </w:rPr>
            </w:r>
            <w:r w:rsidR="00EE2277" w:rsidRPr="001E5FA2">
              <w:rPr>
                <w:rFonts w:ascii="Palatino Linotype" w:hAnsi="Palatino Linotype"/>
                <w:b/>
                <w:noProof/>
                <w:webHidden/>
                <w:sz w:val="24"/>
              </w:rPr>
              <w:fldChar w:fldCharType="separate"/>
            </w:r>
            <w:r w:rsidR="00EE2277" w:rsidRPr="001E5FA2">
              <w:rPr>
                <w:rFonts w:ascii="Palatino Linotype" w:hAnsi="Palatino Linotype"/>
                <w:b/>
                <w:noProof/>
                <w:webHidden/>
                <w:sz w:val="24"/>
              </w:rPr>
              <w:t>25</w:t>
            </w:r>
            <w:r w:rsidR="00EE2277" w:rsidRPr="001E5FA2">
              <w:rPr>
                <w:rFonts w:ascii="Palatino Linotype" w:hAnsi="Palatino Linotype"/>
                <w:b/>
                <w:noProof/>
                <w:webHidden/>
                <w:sz w:val="24"/>
              </w:rPr>
              <w:fldChar w:fldCharType="end"/>
            </w:r>
          </w:hyperlink>
        </w:p>
        <w:p w:rsidR="00EE2277" w:rsidRPr="001E5FA2" w:rsidRDefault="0038595A" w:rsidP="00EE2277">
          <w:pPr>
            <w:pStyle w:val="TDC3"/>
            <w:tabs>
              <w:tab w:val="right" w:leader="dot" w:pos="9394"/>
            </w:tabs>
            <w:spacing w:line="360" w:lineRule="auto"/>
            <w:ind w:left="0"/>
            <w:rPr>
              <w:rFonts w:ascii="Palatino Linotype" w:eastAsiaTheme="minorEastAsia" w:hAnsi="Palatino Linotype"/>
              <w:b/>
              <w:noProof/>
              <w:sz w:val="24"/>
              <w:lang w:eastAsia="es-MX"/>
            </w:rPr>
          </w:pPr>
          <w:hyperlink w:anchor="_Toc67584835" w:history="1">
            <w:r w:rsidR="00EE2277" w:rsidRPr="001E5FA2">
              <w:rPr>
                <w:rStyle w:val="Hipervnculo"/>
                <w:rFonts w:ascii="Palatino Linotype" w:hAnsi="Palatino Linotype" w:cs="Arial"/>
                <w:b/>
                <w:noProof/>
                <w:sz w:val="24"/>
              </w:rPr>
              <w:t>I. Requisitos previos.</w:t>
            </w:r>
            <w:r w:rsidR="00EE2277" w:rsidRPr="001E5FA2">
              <w:rPr>
                <w:rFonts w:ascii="Palatino Linotype" w:hAnsi="Palatino Linotype"/>
                <w:b/>
                <w:noProof/>
                <w:webHidden/>
                <w:sz w:val="24"/>
              </w:rPr>
              <w:tab/>
            </w:r>
            <w:r w:rsidR="00EE2277" w:rsidRPr="001E5FA2">
              <w:rPr>
                <w:rFonts w:ascii="Palatino Linotype" w:hAnsi="Palatino Linotype"/>
                <w:b/>
                <w:noProof/>
                <w:webHidden/>
                <w:sz w:val="24"/>
              </w:rPr>
              <w:fldChar w:fldCharType="begin"/>
            </w:r>
            <w:r w:rsidR="00EE2277" w:rsidRPr="001E5FA2">
              <w:rPr>
                <w:rFonts w:ascii="Palatino Linotype" w:hAnsi="Palatino Linotype"/>
                <w:b/>
                <w:noProof/>
                <w:webHidden/>
                <w:sz w:val="24"/>
              </w:rPr>
              <w:instrText xml:space="preserve"> PAGEREF _Toc67584835 \h </w:instrText>
            </w:r>
            <w:r w:rsidR="00EE2277" w:rsidRPr="001E5FA2">
              <w:rPr>
                <w:rFonts w:ascii="Palatino Linotype" w:hAnsi="Palatino Linotype"/>
                <w:b/>
                <w:noProof/>
                <w:webHidden/>
                <w:sz w:val="24"/>
              </w:rPr>
            </w:r>
            <w:r w:rsidR="00EE2277" w:rsidRPr="001E5FA2">
              <w:rPr>
                <w:rFonts w:ascii="Palatino Linotype" w:hAnsi="Palatino Linotype"/>
                <w:b/>
                <w:noProof/>
                <w:webHidden/>
                <w:sz w:val="24"/>
              </w:rPr>
              <w:fldChar w:fldCharType="separate"/>
            </w:r>
            <w:r w:rsidR="00EE2277" w:rsidRPr="001E5FA2">
              <w:rPr>
                <w:rFonts w:ascii="Palatino Linotype" w:hAnsi="Palatino Linotype"/>
                <w:b/>
                <w:noProof/>
                <w:webHidden/>
                <w:sz w:val="24"/>
              </w:rPr>
              <w:t>26</w:t>
            </w:r>
            <w:r w:rsidR="00EE2277" w:rsidRPr="001E5FA2">
              <w:rPr>
                <w:rFonts w:ascii="Palatino Linotype" w:hAnsi="Palatino Linotype"/>
                <w:b/>
                <w:noProof/>
                <w:webHidden/>
                <w:sz w:val="24"/>
              </w:rPr>
              <w:fldChar w:fldCharType="end"/>
            </w:r>
          </w:hyperlink>
        </w:p>
        <w:p w:rsidR="00EE2277" w:rsidRPr="001E5FA2" w:rsidRDefault="0038595A" w:rsidP="00EE2277">
          <w:pPr>
            <w:pStyle w:val="TDC3"/>
            <w:tabs>
              <w:tab w:val="right" w:leader="dot" w:pos="9394"/>
            </w:tabs>
            <w:spacing w:line="360" w:lineRule="auto"/>
            <w:ind w:left="0"/>
            <w:rPr>
              <w:rFonts w:ascii="Palatino Linotype" w:eastAsiaTheme="minorEastAsia" w:hAnsi="Palatino Linotype"/>
              <w:b/>
              <w:noProof/>
              <w:sz w:val="24"/>
              <w:lang w:eastAsia="es-MX"/>
            </w:rPr>
          </w:pPr>
          <w:hyperlink w:anchor="_Toc67584836" w:history="1">
            <w:r w:rsidR="00EE2277" w:rsidRPr="001E5FA2">
              <w:rPr>
                <w:rStyle w:val="Hipervnculo"/>
                <w:rFonts w:ascii="Palatino Linotype" w:hAnsi="Palatino Linotype" w:cs="Arial"/>
                <w:b/>
                <w:noProof/>
                <w:sz w:val="24"/>
              </w:rPr>
              <w:t>II. Supuestos de clasificación.</w:t>
            </w:r>
            <w:r w:rsidR="00EE2277" w:rsidRPr="001E5FA2">
              <w:rPr>
                <w:rFonts w:ascii="Palatino Linotype" w:hAnsi="Palatino Linotype"/>
                <w:b/>
                <w:noProof/>
                <w:webHidden/>
                <w:sz w:val="24"/>
              </w:rPr>
              <w:tab/>
            </w:r>
            <w:r w:rsidR="00EE2277" w:rsidRPr="001E5FA2">
              <w:rPr>
                <w:rFonts w:ascii="Palatino Linotype" w:hAnsi="Palatino Linotype"/>
                <w:b/>
                <w:noProof/>
                <w:webHidden/>
                <w:sz w:val="24"/>
              </w:rPr>
              <w:fldChar w:fldCharType="begin"/>
            </w:r>
            <w:r w:rsidR="00EE2277" w:rsidRPr="001E5FA2">
              <w:rPr>
                <w:rFonts w:ascii="Palatino Linotype" w:hAnsi="Palatino Linotype"/>
                <w:b/>
                <w:noProof/>
                <w:webHidden/>
                <w:sz w:val="24"/>
              </w:rPr>
              <w:instrText xml:space="preserve"> PAGEREF _Toc67584836 \h </w:instrText>
            </w:r>
            <w:r w:rsidR="00EE2277" w:rsidRPr="001E5FA2">
              <w:rPr>
                <w:rFonts w:ascii="Palatino Linotype" w:hAnsi="Palatino Linotype"/>
                <w:b/>
                <w:noProof/>
                <w:webHidden/>
                <w:sz w:val="24"/>
              </w:rPr>
            </w:r>
            <w:r w:rsidR="00EE2277" w:rsidRPr="001E5FA2">
              <w:rPr>
                <w:rFonts w:ascii="Palatino Linotype" w:hAnsi="Palatino Linotype"/>
                <w:b/>
                <w:noProof/>
                <w:webHidden/>
                <w:sz w:val="24"/>
              </w:rPr>
              <w:fldChar w:fldCharType="separate"/>
            </w:r>
            <w:r w:rsidR="00EE2277" w:rsidRPr="001E5FA2">
              <w:rPr>
                <w:rFonts w:ascii="Palatino Linotype" w:hAnsi="Palatino Linotype"/>
                <w:b/>
                <w:noProof/>
                <w:webHidden/>
                <w:sz w:val="24"/>
              </w:rPr>
              <w:t>28</w:t>
            </w:r>
            <w:r w:rsidR="00EE2277" w:rsidRPr="001E5FA2">
              <w:rPr>
                <w:rFonts w:ascii="Palatino Linotype" w:hAnsi="Palatino Linotype"/>
                <w:b/>
                <w:noProof/>
                <w:webHidden/>
                <w:sz w:val="24"/>
              </w:rPr>
              <w:fldChar w:fldCharType="end"/>
            </w:r>
          </w:hyperlink>
        </w:p>
        <w:p w:rsidR="00EE2277" w:rsidRPr="001E5FA2" w:rsidRDefault="0038595A" w:rsidP="00EE2277">
          <w:pPr>
            <w:pStyle w:val="TDC3"/>
            <w:tabs>
              <w:tab w:val="right" w:leader="dot" w:pos="9394"/>
            </w:tabs>
            <w:spacing w:line="360" w:lineRule="auto"/>
            <w:ind w:left="0"/>
            <w:rPr>
              <w:rFonts w:ascii="Palatino Linotype" w:eastAsiaTheme="minorEastAsia" w:hAnsi="Palatino Linotype"/>
              <w:b/>
              <w:noProof/>
              <w:sz w:val="24"/>
              <w:lang w:eastAsia="es-MX"/>
            </w:rPr>
          </w:pPr>
          <w:hyperlink w:anchor="_Toc67584837" w:history="1">
            <w:r w:rsidR="00EE2277" w:rsidRPr="001E5FA2">
              <w:rPr>
                <w:rStyle w:val="Hipervnculo"/>
                <w:rFonts w:ascii="Palatino Linotype" w:hAnsi="Palatino Linotype" w:cs="Arial"/>
                <w:b/>
                <w:noProof/>
                <w:sz w:val="24"/>
              </w:rPr>
              <w:t>III. La intervención del Comité de Transparencia.</w:t>
            </w:r>
            <w:r w:rsidR="00EE2277" w:rsidRPr="001E5FA2">
              <w:rPr>
                <w:rFonts w:ascii="Palatino Linotype" w:hAnsi="Palatino Linotype"/>
                <w:b/>
                <w:noProof/>
                <w:webHidden/>
                <w:sz w:val="24"/>
              </w:rPr>
              <w:tab/>
            </w:r>
            <w:r w:rsidR="00EE2277" w:rsidRPr="001E5FA2">
              <w:rPr>
                <w:rFonts w:ascii="Palatino Linotype" w:hAnsi="Palatino Linotype"/>
                <w:b/>
                <w:noProof/>
                <w:webHidden/>
                <w:sz w:val="24"/>
              </w:rPr>
              <w:fldChar w:fldCharType="begin"/>
            </w:r>
            <w:r w:rsidR="00EE2277" w:rsidRPr="001E5FA2">
              <w:rPr>
                <w:rFonts w:ascii="Palatino Linotype" w:hAnsi="Palatino Linotype"/>
                <w:b/>
                <w:noProof/>
                <w:webHidden/>
                <w:sz w:val="24"/>
              </w:rPr>
              <w:instrText xml:space="preserve"> PAGEREF _Toc67584837 \h </w:instrText>
            </w:r>
            <w:r w:rsidR="00EE2277" w:rsidRPr="001E5FA2">
              <w:rPr>
                <w:rFonts w:ascii="Palatino Linotype" w:hAnsi="Palatino Linotype"/>
                <w:b/>
                <w:noProof/>
                <w:webHidden/>
                <w:sz w:val="24"/>
              </w:rPr>
            </w:r>
            <w:r w:rsidR="00EE2277" w:rsidRPr="001E5FA2">
              <w:rPr>
                <w:rFonts w:ascii="Palatino Linotype" w:hAnsi="Palatino Linotype"/>
                <w:b/>
                <w:noProof/>
                <w:webHidden/>
                <w:sz w:val="24"/>
              </w:rPr>
              <w:fldChar w:fldCharType="separate"/>
            </w:r>
            <w:r w:rsidR="00EE2277" w:rsidRPr="001E5FA2">
              <w:rPr>
                <w:rFonts w:ascii="Palatino Linotype" w:hAnsi="Palatino Linotype"/>
                <w:b/>
                <w:noProof/>
                <w:webHidden/>
                <w:sz w:val="24"/>
              </w:rPr>
              <w:t>31</w:t>
            </w:r>
            <w:r w:rsidR="00EE2277" w:rsidRPr="001E5FA2">
              <w:rPr>
                <w:rFonts w:ascii="Palatino Linotype" w:hAnsi="Palatino Linotype"/>
                <w:b/>
                <w:noProof/>
                <w:webHidden/>
                <w:sz w:val="24"/>
              </w:rPr>
              <w:fldChar w:fldCharType="end"/>
            </w:r>
          </w:hyperlink>
        </w:p>
        <w:p w:rsidR="00EE2277" w:rsidRPr="001E5FA2" w:rsidRDefault="0038595A" w:rsidP="00EE2277">
          <w:pPr>
            <w:pStyle w:val="TDC1"/>
            <w:tabs>
              <w:tab w:val="right" w:leader="dot" w:pos="9394"/>
            </w:tabs>
            <w:spacing w:line="360" w:lineRule="auto"/>
            <w:rPr>
              <w:rFonts w:ascii="Palatino Linotype" w:eastAsiaTheme="minorEastAsia" w:hAnsi="Palatino Linotype"/>
              <w:b/>
              <w:noProof/>
              <w:sz w:val="24"/>
              <w:lang w:eastAsia="es-MX"/>
            </w:rPr>
          </w:pPr>
          <w:hyperlink w:anchor="_Toc67584838" w:history="1">
            <w:r w:rsidR="00EE2277" w:rsidRPr="001E5FA2">
              <w:rPr>
                <w:rStyle w:val="Hipervnculo"/>
                <w:rFonts w:ascii="Palatino Linotype" w:hAnsi="Palatino Linotype" w:cs="Times New Roman"/>
                <w:b/>
                <w:noProof/>
                <w:sz w:val="24"/>
                <w:lang w:eastAsia="es-ES_tradnl"/>
              </w:rPr>
              <w:t xml:space="preserve">SÉPTIMO. </w:t>
            </w:r>
            <w:r w:rsidR="00EE2277" w:rsidRPr="001E5FA2">
              <w:rPr>
                <w:rStyle w:val="Hipervnculo"/>
                <w:rFonts w:ascii="Palatino Linotype" w:hAnsi="Palatino Linotype"/>
                <w:b/>
                <w:noProof/>
                <w:sz w:val="24"/>
              </w:rPr>
              <w:t xml:space="preserve"> De la decisión</w:t>
            </w:r>
            <w:r w:rsidR="00EE2277" w:rsidRPr="001E5FA2">
              <w:rPr>
                <w:rFonts w:ascii="Palatino Linotype" w:hAnsi="Palatino Linotype"/>
                <w:b/>
                <w:noProof/>
                <w:webHidden/>
                <w:sz w:val="24"/>
              </w:rPr>
              <w:tab/>
            </w:r>
            <w:r w:rsidR="00EE2277" w:rsidRPr="001E5FA2">
              <w:rPr>
                <w:rFonts w:ascii="Palatino Linotype" w:hAnsi="Palatino Linotype"/>
                <w:b/>
                <w:noProof/>
                <w:webHidden/>
                <w:sz w:val="24"/>
              </w:rPr>
              <w:fldChar w:fldCharType="begin"/>
            </w:r>
            <w:r w:rsidR="00EE2277" w:rsidRPr="001E5FA2">
              <w:rPr>
                <w:rFonts w:ascii="Palatino Linotype" w:hAnsi="Palatino Linotype"/>
                <w:b/>
                <w:noProof/>
                <w:webHidden/>
                <w:sz w:val="24"/>
              </w:rPr>
              <w:instrText xml:space="preserve"> PAGEREF _Toc67584838 \h </w:instrText>
            </w:r>
            <w:r w:rsidR="00EE2277" w:rsidRPr="001E5FA2">
              <w:rPr>
                <w:rFonts w:ascii="Palatino Linotype" w:hAnsi="Palatino Linotype"/>
                <w:b/>
                <w:noProof/>
                <w:webHidden/>
                <w:sz w:val="24"/>
              </w:rPr>
            </w:r>
            <w:r w:rsidR="00EE2277" w:rsidRPr="001E5FA2">
              <w:rPr>
                <w:rFonts w:ascii="Palatino Linotype" w:hAnsi="Palatino Linotype"/>
                <w:b/>
                <w:noProof/>
                <w:webHidden/>
                <w:sz w:val="24"/>
              </w:rPr>
              <w:fldChar w:fldCharType="separate"/>
            </w:r>
            <w:r w:rsidR="00EE2277" w:rsidRPr="001E5FA2">
              <w:rPr>
                <w:rFonts w:ascii="Palatino Linotype" w:hAnsi="Palatino Linotype"/>
                <w:b/>
                <w:noProof/>
                <w:webHidden/>
                <w:sz w:val="24"/>
              </w:rPr>
              <w:t>36</w:t>
            </w:r>
            <w:r w:rsidR="00EE2277" w:rsidRPr="001E5FA2">
              <w:rPr>
                <w:rFonts w:ascii="Palatino Linotype" w:hAnsi="Palatino Linotype"/>
                <w:b/>
                <w:noProof/>
                <w:webHidden/>
                <w:sz w:val="24"/>
              </w:rPr>
              <w:fldChar w:fldCharType="end"/>
            </w:r>
          </w:hyperlink>
        </w:p>
        <w:p w:rsidR="00EE2277" w:rsidRPr="001E5FA2" w:rsidRDefault="0038595A" w:rsidP="00EE2277">
          <w:pPr>
            <w:pStyle w:val="TDC1"/>
            <w:tabs>
              <w:tab w:val="right" w:leader="dot" w:pos="9394"/>
            </w:tabs>
            <w:spacing w:line="360" w:lineRule="auto"/>
            <w:rPr>
              <w:rFonts w:ascii="Palatino Linotype" w:eastAsiaTheme="minorEastAsia" w:hAnsi="Palatino Linotype"/>
              <w:b/>
              <w:noProof/>
              <w:sz w:val="24"/>
              <w:lang w:eastAsia="es-MX"/>
            </w:rPr>
          </w:pPr>
          <w:hyperlink w:anchor="_Toc67584839" w:history="1">
            <w:r w:rsidR="00EE2277" w:rsidRPr="001E5FA2">
              <w:rPr>
                <w:rStyle w:val="Hipervnculo"/>
                <w:rFonts w:ascii="Palatino Linotype" w:eastAsia="Times New Roman" w:hAnsi="Palatino Linotype" w:cstheme="majorBidi"/>
                <w:b/>
                <w:noProof/>
                <w:sz w:val="24"/>
                <w:lang w:val="es-ES_tradnl" w:eastAsia="es-ES"/>
              </w:rPr>
              <w:t>R E S O L U T I V O S</w:t>
            </w:r>
            <w:r w:rsidR="00EE2277" w:rsidRPr="001E5FA2">
              <w:rPr>
                <w:rFonts w:ascii="Palatino Linotype" w:hAnsi="Palatino Linotype"/>
                <w:b/>
                <w:noProof/>
                <w:webHidden/>
                <w:sz w:val="24"/>
              </w:rPr>
              <w:tab/>
            </w:r>
            <w:r w:rsidR="00EE2277" w:rsidRPr="001E5FA2">
              <w:rPr>
                <w:rFonts w:ascii="Palatino Linotype" w:hAnsi="Palatino Linotype"/>
                <w:b/>
                <w:noProof/>
                <w:webHidden/>
                <w:sz w:val="24"/>
              </w:rPr>
              <w:fldChar w:fldCharType="begin"/>
            </w:r>
            <w:r w:rsidR="00EE2277" w:rsidRPr="001E5FA2">
              <w:rPr>
                <w:rFonts w:ascii="Palatino Linotype" w:hAnsi="Palatino Linotype"/>
                <w:b/>
                <w:noProof/>
                <w:webHidden/>
                <w:sz w:val="24"/>
              </w:rPr>
              <w:instrText xml:space="preserve"> PAGEREF _Toc67584839 \h </w:instrText>
            </w:r>
            <w:r w:rsidR="00EE2277" w:rsidRPr="001E5FA2">
              <w:rPr>
                <w:rFonts w:ascii="Palatino Linotype" w:hAnsi="Palatino Linotype"/>
                <w:b/>
                <w:noProof/>
                <w:webHidden/>
                <w:sz w:val="24"/>
              </w:rPr>
            </w:r>
            <w:r w:rsidR="00EE2277" w:rsidRPr="001E5FA2">
              <w:rPr>
                <w:rFonts w:ascii="Palatino Linotype" w:hAnsi="Palatino Linotype"/>
                <w:b/>
                <w:noProof/>
                <w:webHidden/>
                <w:sz w:val="24"/>
              </w:rPr>
              <w:fldChar w:fldCharType="separate"/>
            </w:r>
            <w:r w:rsidR="00EE2277" w:rsidRPr="001E5FA2">
              <w:rPr>
                <w:rFonts w:ascii="Palatino Linotype" w:hAnsi="Palatino Linotype"/>
                <w:b/>
                <w:noProof/>
                <w:webHidden/>
                <w:sz w:val="24"/>
              </w:rPr>
              <w:t>38</w:t>
            </w:r>
            <w:r w:rsidR="00EE2277" w:rsidRPr="001E5FA2">
              <w:rPr>
                <w:rFonts w:ascii="Palatino Linotype" w:hAnsi="Palatino Linotype"/>
                <w:b/>
                <w:noProof/>
                <w:webHidden/>
                <w:sz w:val="24"/>
              </w:rPr>
              <w:fldChar w:fldCharType="end"/>
            </w:r>
          </w:hyperlink>
        </w:p>
        <w:p w:rsidR="00F14810" w:rsidRPr="001E5FA2" w:rsidRDefault="00F14810" w:rsidP="00F14810">
          <w:pPr>
            <w:spacing w:after="0" w:line="360" w:lineRule="auto"/>
            <w:ind w:right="48"/>
            <w:rPr>
              <w:rFonts w:ascii="Palatino Linotype" w:hAnsi="Palatino Linotype"/>
            </w:rPr>
          </w:pPr>
          <w:r w:rsidRPr="001E5FA2">
            <w:rPr>
              <w:rFonts w:ascii="Palatino Linotype" w:hAnsi="Palatino Linotype" w:cstheme="minorHAnsi"/>
              <w:b/>
              <w:bCs/>
              <w:sz w:val="24"/>
              <w:szCs w:val="24"/>
              <w:lang w:val="es-ES"/>
            </w:rPr>
            <w:fldChar w:fldCharType="end"/>
          </w:r>
        </w:p>
      </w:sdtContent>
    </w:sdt>
    <w:p w:rsidR="00FF76D5" w:rsidRPr="001E5FA2" w:rsidRDefault="00FF76D5" w:rsidP="00F14810">
      <w:pPr>
        <w:spacing w:after="0" w:line="360" w:lineRule="auto"/>
        <w:ind w:right="48"/>
        <w:jc w:val="both"/>
        <w:rPr>
          <w:rFonts w:ascii="Palatino Linotype" w:eastAsia="MS Mincho" w:hAnsi="Palatino Linotype" w:cs="Times New Roman"/>
          <w:sz w:val="24"/>
          <w:szCs w:val="24"/>
          <w:lang w:val="es-ES_tradnl" w:eastAsia="es-ES"/>
        </w:rPr>
      </w:pPr>
    </w:p>
    <w:p w:rsidR="00FF76D5" w:rsidRPr="001E5FA2" w:rsidRDefault="00FF76D5" w:rsidP="00F14810">
      <w:pPr>
        <w:spacing w:after="0" w:line="360" w:lineRule="auto"/>
        <w:ind w:right="48"/>
        <w:jc w:val="both"/>
        <w:rPr>
          <w:rFonts w:ascii="Palatino Linotype" w:eastAsia="MS Mincho" w:hAnsi="Palatino Linotype" w:cs="Times New Roman"/>
          <w:sz w:val="24"/>
          <w:szCs w:val="24"/>
          <w:lang w:val="es-ES_tradnl" w:eastAsia="es-ES"/>
        </w:rPr>
      </w:pPr>
    </w:p>
    <w:p w:rsidR="00FF76D5" w:rsidRPr="001E5FA2" w:rsidRDefault="00FF76D5" w:rsidP="00F14810">
      <w:pPr>
        <w:spacing w:after="0" w:line="360" w:lineRule="auto"/>
        <w:ind w:right="48"/>
        <w:jc w:val="both"/>
        <w:rPr>
          <w:rFonts w:ascii="Palatino Linotype" w:eastAsia="MS Mincho" w:hAnsi="Palatino Linotype" w:cs="Times New Roman"/>
          <w:sz w:val="24"/>
          <w:szCs w:val="24"/>
          <w:lang w:val="es-ES_tradnl" w:eastAsia="es-ES"/>
        </w:rPr>
      </w:pPr>
    </w:p>
    <w:p w:rsidR="00F14810" w:rsidRPr="001E5FA2" w:rsidRDefault="00F14810" w:rsidP="00F14810">
      <w:pPr>
        <w:spacing w:after="0" w:line="360" w:lineRule="auto"/>
        <w:ind w:right="48"/>
        <w:jc w:val="both"/>
        <w:rPr>
          <w:rFonts w:ascii="Palatino Linotype" w:eastAsia="MS Mincho" w:hAnsi="Palatino Linotype" w:cs="Times New Roman"/>
          <w:sz w:val="24"/>
          <w:szCs w:val="24"/>
          <w:lang w:val="es-ES_tradnl" w:eastAsia="es-ES"/>
        </w:rPr>
      </w:pPr>
      <w:r w:rsidRPr="001E5FA2">
        <w:rPr>
          <w:rFonts w:ascii="Palatino Linotype" w:eastAsia="MS Mincho" w:hAnsi="Palatino Linotype" w:cs="Times New Roman"/>
          <w:sz w:val="24"/>
          <w:szCs w:val="24"/>
          <w:lang w:val="es-ES_tradnl" w:eastAsia="es-ES"/>
        </w:rPr>
        <w:lastRenderedPageBreak/>
        <w:t>Resolución del Pleno del Instituto de Transparencia, Acceso a la Información Pública y Protección de Datos Personales del Estado de México y Municipios, con domicilio en Metepec, Estado de México; de fecha siete (07) de abril  de dos mil veintiuno.</w:t>
      </w:r>
    </w:p>
    <w:p w:rsidR="00F14810" w:rsidRPr="001E5FA2" w:rsidRDefault="00F14810" w:rsidP="00F14810">
      <w:pPr>
        <w:spacing w:after="0" w:line="360" w:lineRule="auto"/>
        <w:ind w:right="48"/>
        <w:jc w:val="both"/>
        <w:rPr>
          <w:rFonts w:ascii="Palatino Linotype" w:eastAsia="MS Mincho" w:hAnsi="Palatino Linotype" w:cs="Times New Roman"/>
          <w:sz w:val="24"/>
          <w:szCs w:val="24"/>
          <w:lang w:val="es-ES_tradnl" w:eastAsia="es-ES"/>
        </w:rPr>
      </w:pPr>
    </w:p>
    <w:p w:rsidR="00F14810" w:rsidRPr="001E5FA2" w:rsidRDefault="00F14810" w:rsidP="00F14810">
      <w:pPr>
        <w:spacing w:after="0" w:line="360" w:lineRule="auto"/>
        <w:ind w:right="48"/>
        <w:jc w:val="both"/>
        <w:rPr>
          <w:rFonts w:ascii="Palatino Linotype" w:hAnsi="Palatino Linotype"/>
          <w:b/>
        </w:rPr>
      </w:pPr>
      <w:r w:rsidRPr="001E5FA2">
        <w:rPr>
          <w:rFonts w:ascii="Palatino Linotype" w:eastAsia="MS Mincho" w:hAnsi="Palatino Linotype" w:cs="Times New Roman"/>
          <w:b/>
          <w:sz w:val="24"/>
          <w:szCs w:val="24"/>
          <w:lang w:val="es-ES_tradnl" w:eastAsia="es-ES"/>
        </w:rPr>
        <w:t>VISTO</w:t>
      </w:r>
      <w:r w:rsidRPr="001E5FA2">
        <w:rPr>
          <w:rFonts w:ascii="Palatino Linotype" w:eastAsia="MS Mincho" w:hAnsi="Palatino Linotype" w:cs="Times New Roman"/>
          <w:sz w:val="24"/>
          <w:szCs w:val="24"/>
          <w:lang w:val="es-ES_tradnl" w:eastAsia="es-ES"/>
        </w:rPr>
        <w:t xml:space="preserve"> el expediente electrónico formado con motivo del recurso de revisión</w:t>
      </w:r>
      <w:r w:rsidRPr="001E5FA2">
        <w:rPr>
          <w:rFonts w:ascii="Palatino Linotype" w:eastAsia="MS Mincho" w:hAnsi="Palatino Linotype" w:cs="Arial"/>
          <w:b/>
          <w:bCs/>
          <w:sz w:val="24"/>
          <w:szCs w:val="24"/>
          <w:lang w:val="es-ES_tradnl" w:eastAsia="es-ES"/>
        </w:rPr>
        <w:t xml:space="preserve">, </w:t>
      </w:r>
      <w:r w:rsidRPr="001E5FA2">
        <w:rPr>
          <w:rFonts w:ascii="Palatino Linotype" w:hAnsi="Palatino Linotype" w:cs="Arial"/>
          <w:b/>
          <w:bCs/>
          <w:sz w:val="24"/>
          <w:lang w:eastAsia="es-MX"/>
        </w:rPr>
        <w:t xml:space="preserve">00803/INFOEM/IP/RR/2021 </w:t>
      </w:r>
      <w:r w:rsidRPr="001E5FA2">
        <w:rPr>
          <w:rFonts w:ascii="Palatino Linotype" w:eastAsia="MS Mincho" w:hAnsi="Palatino Linotype" w:cs="Times New Roman"/>
          <w:sz w:val="24"/>
          <w:szCs w:val="24"/>
          <w:lang w:val="es-ES_tradnl" w:eastAsia="es-ES"/>
        </w:rPr>
        <w:t>promovido por</w:t>
      </w:r>
      <w:r w:rsidRPr="001E5FA2">
        <w:rPr>
          <w:rFonts w:ascii="Palatino Linotype" w:hAnsi="Palatino Linotype"/>
          <w:b/>
          <w:sz w:val="24"/>
          <w:szCs w:val="24"/>
        </w:rPr>
        <w:t xml:space="preserve"> </w:t>
      </w:r>
      <w:r w:rsidR="00925DD5" w:rsidRPr="00925DD5">
        <w:rPr>
          <w:rFonts w:ascii="Palatino Linotype" w:hAnsi="Palatino Linotype"/>
          <w:b/>
          <w:sz w:val="24"/>
          <w:szCs w:val="24"/>
          <w:highlight w:val="black"/>
        </w:rPr>
        <w:t>---------------------------------------</w:t>
      </w:r>
      <w:r w:rsidRPr="001E5FA2">
        <w:rPr>
          <w:rFonts w:ascii="Palatino Linotype" w:hAnsi="Palatino Linotype"/>
          <w:sz w:val="24"/>
          <w:szCs w:val="24"/>
        </w:rPr>
        <w:t xml:space="preserve"> a través del Sistema de Accesos a la Información Mexiquense (SAIMEX), quien en los sucesivo será identificado como</w:t>
      </w:r>
      <w:r w:rsidRPr="001E5FA2">
        <w:rPr>
          <w:rFonts w:ascii="Palatino Linotype" w:hAnsi="Palatino Linotype"/>
          <w:b/>
          <w:sz w:val="24"/>
          <w:szCs w:val="24"/>
        </w:rPr>
        <w:t xml:space="preserve"> </w:t>
      </w:r>
      <w:r w:rsidRPr="001E5FA2">
        <w:rPr>
          <w:rFonts w:ascii="Palatino Linotype" w:eastAsia="MS Mincho" w:hAnsi="Palatino Linotype" w:cs="Arial"/>
          <w:b/>
          <w:sz w:val="24"/>
          <w:szCs w:val="24"/>
          <w:lang w:val="es-ES_tradnl" w:eastAsia="es-ES"/>
        </w:rPr>
        <w:t>RECURRENTE</w:t>
      </w:r>
      <w:r w:rsidRPr="001E5FA2">
        <w:rPr>
          <w:rFonts w:ascii="Palatino Linotype" w:eastAsia="MS Mincho" w:hAnsi="Palatino Linotype" w:cs="Arial"/>
          <w:sz w:val="24"/>
          <w:szCs w:val="24"/>
          <w:lang w:val="es-ES_tradnl" w:eastAsia="es-ES"/>
        </w:rPr>
        <w:t xml:space="preserve">, en contra de la respuesta del </w:t>
      </w:r>
      <w:r w:rsidRPr="001E5FA2">
        <w:rPr>
          <w:rFonts w:ascii="Palatino Linotype" w:eastAsia="MS Mincho" w:hAnsi="Palatino Linotype" w:cs="Arial"/>
          <w:b/>
          <w:sz w:val="24"/>
          <w:szCs w:val="24"/>
          <w:lang w:val="es-ES_tradnl" w:eastAsia="es-ES"/>
        </w:rPr>
        <w:t xml:space="preserve">Ayuntamiento de Ecatepec de Morelos </w:t>
      </w:r>
      <w:r w:rsidRPr="001E5FA2">
        <w:rPr>
          <w:rFonts w:ascii="Palatino Linotype" w:eastAsia="MS Mincho" w:hAnsi="Palatino Linotype" w:cs="Times New Roman"/>
          <w:sz w:val="24"/>
          <w:szCs w:val="24"/>
          <w:lang w:val="es-ES_tradnl" w:eastAsia="es-ES"/>
        </w:rPr>
        <w:t>en lo sucesivo el</w:t>
      </w:r>
      <w:r w:rsidRPr="001E5FA2">
        <w:rPr>
          <w:rFonts w:ascii="Palatino Linotype" w:eastAsia="MS Mincho" w:hAnsi="Palatino Linotype" w:cs="Times New Roman"/>
          <w:b/>
          <w:sz w:val="24"/>
          <w:szCs w:val="24"/>
          <w:lang w:val="es-ES_tradnl" w:eastAsia="es-ES"/>
        </w:rPr>
        <w:t xml:space="preserve"> SUJETO OBLIGADO</w:t>
      </w:r>
      <w:r w:rsidRPr="001E5FA2">
        <w:rPr>
          <w:rFonts w:ascii="Palatino Linotype" w:eastAsia="MS Mincho" w:hAnsi="Palatino Linotype" w:cs="Times New Roman"/>
          <w:bCs/>
          <w:sz w:val="24"/>
          <w:szCs w:val="24"/>
          <w:lang w:val="es-ES_tradnl" w:eastAsia="es-ES"/>
        </w:rPr>
        <w:t>,</w:t>
      </w:r>
      <w:r w:rsidRPr="001E5FA2">
        <w:rPr>
          <w:rFonts w:ascii="Palatino Linotype" w:eastAsia="MS Mincho" w:hAnsi="Palatino Linotype" w:cs="Times New Roman"/>
          <w:b/>
          <w:sz w:val="24"/>
          <w:szCs w:val="24"/>
          <w:lang w:val="es-ES_tradnl" w:eastAsia="es-ES"/>
        </w:rPr>
        <w:t xml:space="preserve"> </w:t>
      </w:r>
      <w:r w:rsidRPr="001E5FA2">
        <w:rPr>
          <w:rFonts w:ascii="Palatino Linotype" w:eastAsia="MS Mincho" w:hAnsi="Palatino Linotype" w:cs="Times New Roman"/>
          <w:sz w:val="24"/>
          <w:szCs w:val="24"/>
          <w:lang w:val="es-ES_tradnl" w:eastAsia="es-ES"/>
        </w:rPr>
        <w:t>se procede a dictar la presente resolución, con base en los siguientes:</w:t>
      </w:r>
    </w:p>
    <w:p w:rsidR="00F14810" w:rsidRPr="001E5FA2" w:rsidRDefault="00F14810" w:rsidP="00F14810">
      <w:pPr>
        <w:spacing w:after="0" w:line="360" w:lineRule="auto"/>
        <w:ind w:right="48"/>
        <w:jc w:val="both"/>
        <w:rPr>
          <w:rFonts w:ascii="Palatino Linotype" w:eastAsia="MS Mincho" w:hAnsi="Palatino Linotype" w:cs="Times New Roman"/>
          <w:b/>
          <w:sz w:val="24"/>
          <w:szCs w:val="24"/>
          <w:lang w:val="es-ES_tradnl" w:eastAsia="es-ES"/>
        </w:rPr>
      </w:pPr>
    </w:p>
    <w:p w:rsidR="00F14810" w:rsidRPr="001E5FA2" w:rsidRDefault="00F14810" w:rsidP="00F14810">
      <w:pPr>
        <w:keepNext/>
        <w:keepLines/>
        <w:spacing w:after="0" w:line="360" w:lineRule="auto"/>
        <w:ind w:right="48"/>
        <w:jc w:val="center"/>
        <w:outlineLvl w:val="0"/>
        <w:rPr>
          <w:rFonts w:ascii="Palatino Linotype" w:eastAsia="MS Gothic" w:hAnsi="Palatino Linotype" w:cs="Times New Roman"/>
          <w:b/>
          <w:sz w:val="24"/>
          <w:szCs w:val="32"/>
          <w:lang w:val="de-DE"/>
        </w:rPr>
      </w:pPr>
      <w:bookmarkStart w:id="0" w:name="_Toc67584825"/>
      <w:r w:rsidRPr="001E5FA2">
        <w:rPr>
          <w:rFonts w:ascii="Palatino Linotype" w:eastAsia="MS Gothic" w:hAnsi="Palatino Linotype" w:cs="Times New Roman"/>
          <w:b/>
          <w:sz w:val="24"/>
          <w:szCs w:val="32"/>
          <w:lang w:val="de-DE"/>
        </w:rPr>
        <w:t>A N T E C E D E N T E S</w:t>
      </w:r>
      <w:bookmarkEnd w:id="0"/>
    </w:p>
    <w:p w:rsidR="00F14810" w:rsidRPr="001E5FA2" w:rsidRDefault="00F14810" w:rsidP="00F14810">
      <w:pPr>
        <w:spacing w:after="0" w:line="360" w:lineRule="auto"/>
        <w:ind w:right="48"/>
        <w:rPr>
          <w:rFonts w:ascii="Palatino Linotype" w:hAnsi="Palatino Linotype"/>
          <w:lang w:val="de-DE"/>
        </w:rPr>
      </w:pPr>
    </w:p>
    <w:p w:rsidR="00F14810" w:rsidRPr="001E5FA2" w:rsidRDefault="00F14810" w:rsidP="00F14810">
      <w:pPr>
        <w:numPr>
          <w:ilvl w:val="0"/>
          <w:numId w:val="1"/>
        </w:numPr>
        <w:spacing w:after="0" w:line="360" w:lineRule="auto"/>
        <w:ind w:left="0" w:right="48" w:firstLine="0"/>
        <w:contextualSpacing/>
        <w:jc w:val="both"/>
        <w:rPr>
          <w:rFonts w:ascii="Palatino Linotype" w:eastAsia="Calibri" w:hAnsi="Palatino Linotype" w:cs="Arial"/>
          <w:sz w:val="24"/>
          <w:szCs w:val="24"/>
          <w:lang w:val="es-ES" w:eastAsia="es-ES"/>
        </w:rPr>
      </w:pPr>
      <w:r w:rsidRPr="001E5FA2">
        <w:rPr>
          <w:rFonts w:ascii="Palatino Linotype" w:eastAsia="Calibri" w:hAnsi="Palatino Linotype" w:cs="Arial"/>
          <w:sz w:val="24"/>
          <w:szCs w:val="24"/>
          <w:lang w:val="es-ES" w:eastAsia="es-ES"/>
        </w:rPr>
        <w:t>El día doce (12) de febrero de dos mil veintiuno,</w:t>
      </w:r>
      <w:r w:rsidRPr="001E5FA2">
        <w:rPr>
          <w:rFonts w:ascii="Palatino Linotype" w:eastAsia="Calibri" w:hAnsi="Palatino Linotype" w:cs="Times New Roman"/>
          <w:sz w:val="24"/>
          <w:szCs w:val="24"/>
          <w:lang w:val="es-ES" w:eastAsia="es-ES"/>
        </w:rPr>
        <w:t xml:space="preserve"> se presentó </w:t>
      </w:r>
      <w:r w:rsidRPr="001E5FA2">
        <w:rPr>
          <w:rFonts w:ascii="Palatino Linotype" w:eastAsia="Calibri" w:hAnsi="Palatino Linotype" w:cs="Arial"/>
          <w:sz w:val="24"/>
          <w:szCs w:val="24"/>
          <w:lang w:val="es-ES" w:eastAsia="es-ES"/>
        </w:rPr>
        <w:t xml:space="preserve">ante el </w:t>
      </w:r>
      <w:r w:rsidRPr="001E5FA2">
        <w:rPr>
          <w:rFonts w:ascii="Palatino Linotype" w:eastAsia="Calibri" w:hAnsi="Palatino Linotype" w:cs="Arial"/>
          <w:b/>
          <w:sz w:val="24"/>
          <w:szCs w:val="24"/>
          <w:lang w:val="es-ES" w:eastAsia="es-ES"/>
        </w:rPr>
        <w:t>SUJETO OBLIGADO</w:t>
      </w:r>
      <w:r w:rsidRPr="001E5FA2">
        <w:rPr>
          <w:rFonts w:ascii="Palatino Linotype" w:eastAsia="Calibri" w:hAnsi="Palatino Linotype" w:cs="Arial"/>
          <w:sz w:val="24"/>
          <w:szCs w:val="24"/>
          <w:lang w:val="es-ES_tradnl" w:eastAsia="es-ES"/>
        </w:rPr>
        <w:t xml:space="preserve"> vía </w:t>
      </w:r>
      <w:r w:rsidRPr="001E5FA2">
        <w:rPr>
          <w:rFonts w:ascii="Palatino Linotype" w:eastAsia="Calibri" w:hAnsi="Palatino Linotype" w:cs="Arial"/>
          <w:sz w:val="24"/>
          <w:szCs w:val="24"/>
          <w:lang w:val="es-ES" w:eastAsia="es-ES"/>
        </w:rPr>
        <w:t xml:space="preserve">Sistema de Acceso a la Información Mexiquense </w:t>
      </w:r>
      <w:r w:rsidRPr="001E5FA2">
        <w:rPr>
          <w:rFonts w:ascii="Palatino Linotype" w:eastAsia="Calibri" w:hAnsi="Palatino Linotype" w:cs="Arial"/>
          <w:b/>
          <w:sz w:val="24"/>
          <w:szCs w:val="24"/>
          <w:lang w:val="es-ES" w:eastAsia="es-ES"/>
        </w:rPr>
        <w:t>SAIMEX</w:t>
      </w:r>
      <w:r w:rsidRPr="001E5FA2">
        <w:rPr>
          <w:rFonts w:ascii="Palatino Linotype" w:eastAsia="Calibri" w:hAnsi="Palatino Linotype" w:cs="Arial"/>
          <w:sz w:val="24"/>
          <w:szCs w:val="24"/>
          <w:lang w:val="es-ES" w:eastAsia="es-ES"/>
        </w:rPr>
        <w:t xml:space="preserve">, la solicitud de información pública registrada con el número </w:t>
      </w:r>
      <w:r w:rsidRPr="001E5FA2">
        <w:rPr>
          <w:rFonts w:ascii="Palatino Linotype" w:eastAsia="Calibri" w:hAnsi="Palatino Linotype" w:cs="Arial"/>
          <w:b/>
          <w:bCs/>
          <w:sz w:val="24"/>
          <w:szCs w:val="24"/>
          <w:lang w:eastAsia="es-ES"/>
        </w:rPr>
        <w:t> </w:t>
      </w:r>
      <w:r w:rsidRPr="001E5FA2">
        <w:rPr>
          <w:rFonts w:ascii="Palatino Linotype" w:hAnsi="Palatino Linotype"/>
          <w:b/>
          <w:bCs/>
          <w:sz w:val="24"/>
          <w:szCs w:val="24"/>
        </w:rPr>
        <w:t>00091/ECATEPEC/IP/2021</w:t>
      </w:r>
      <w:r w:rsidR="00EE2277" w:rsidRPr="001E5FA2">
        <w:rPr>
          <w:rFonts w:ascii="Palatino Linotype" w:hAnsi="Palatino Linotype"/>
          <w:b/>
          <w:bCs/>
          <w:sz w:val="24"/>
          <w:szCs w:val="24"/>
        </w:rPr>
        <w:t xml:space="preserve">, </w:t>
      </w:r>
      <w:r w:rsidRPr="001E5FA2">
        <w:rPr>
          <w:rFonts w:ascii="Palatino Linotype" w:hAnsi="Palatino Linotype"/>
          <w:b/>
          <w:bCs/>
          <w:sz w:val="24"/>
          <w:szCs w:val="24"/>
        </w:rPr>
        <w:t xml:space="preserve"> </w:t>
      </w:r>
      <w:r w:rsidRPr="001E5FA2">
        <w:rPr>
          <w:rFonts w:ascii="Palatino Linotype" w:eastAsia="Calibri" w:hAnsi="Palatino Linotype" w:cs="Arial"/>
          <w:sz w:val="24"/>
          <w:szCs w:val="24"/>
          <w:lang w:val="es-ES" w:eastAsia="es-ES"/>
        </w:rPr>
        <w:t>mediante la cual solicitó:</w:t>
      </w:r>
    </w:p>
    <w:p w:rsidR="00F14810" w:rsidRPr="001E5FA2" w:rsidRDefault="00F14810" w:rsidP="00F14810">
      <w:pPr>
        <w:spacing w:after="0" w:line="360" w:lineRule="auto"/>
        <w:ind w:left="426" w:right="48"/>
        <w:contextualSpacing/>
        <w:jc w:val="both"/>
        <w:rPr>
          <w:rFonts w:ascii="Palatino Linotype" w:eastAsia="Calibri" w:hAnsi="Palatino Linotype" w:cs="Arial"/>
          <w:sz w:val="24"/>
          <w:szCs w:val="24"/>
          <w:lang w:val="es-ES" w:eastAsia="es-ES"/>
        </w:rPr>
      </w:pPr>
    </w:p>
    <w:p w:rsidR="00F14810" w:rsidRPr="001E5FA2" w:rsidRDefault="00F14810" w:rsidP="00F14810">
      <w:pPr>
        <w:spacing w:after="0" w:line="360" w:lineRule="auto"/>
        <w:ind w:left="567" w:right="615"/>
        <w:contextualSpacing/>
        <w:jc w:val="both"/>
        <w:rPr>
          <w:rFonts w:ascii="Palatino Linotype" w:hAnsi="Palatino Linotype"/>
          <w:i/>
          <w:iCs/>
          <w:color w:val="000000"/>
        </w:rPr>
      </w:pPr>
      <w:r w:rsidRPr="001E5FA2">
        <w:rPr>
          <w:rFonts w:ascii="Palatino Linotype" w:hAnsi="Palatino Linotype"/>
          <w:i/>
          <w:iCs/>
          <w:color w:val="000000"/>
        </w:rPr>
        <w:t>“</w:t>
      </w:r>
      <w:r w:rsidRPr="001E5FA2">
        <w:rPr>
          <w:rFonts w:ascii="Palatino Linotype" w:hAnsi="Palatino Linotype"/>
          <w:i/>
          <w:color w:val="000000"/>
        </w:rPr>
        <w:t xml:space="preserve">solicito atentamente la siguiente información: 1. ingresos del panteón del pueblo de Santa María Chiconautla durante el ejercicio fiscal 2020. 2. Quien administra los recursos financieros obtenidos en el panteón del Pueblo de Santa María Chiconautla 3. </w:t>
      </w:r>
      <w:proofErr w:type="spellStart"/>
      <w:r w:rsidRPr="001E5FA2">
        <w:rPr>
          <w:rFonts w:ascii="Palatino Linotype" w:hAnsi="Palatino Linotype"/>
          <w:i/>
          <w:color w:val="000000"/>
        </w:rPr>
        <w:t>Cuales</w:t>
      </w:r>
      <w:proofErr w:type="spellEnd"/>
      <w:r w:rsidRPr="001E5FA2">
        <w:rPr>
          <w:rFonts w:ascii="Palatino Linotype" w:hAnsi="Palatino Linotype"/>
          <w:i/>
          <w:color w:val="000000"/>
        </w:rPr>
        <w:t xml:space="preserve"> son los cobros que se hacen en el panteón del Pueblo de Santa María Chiconautla, cual es el monto que se cobra, </w:t>
      </w:r>
      <w:proofErr w:type="spellStart"/>
      <w:r w:rsidRPr="001E5FA2">
        <w:rPr>
          <w:rFonts w:ascii="Palatino Linotype" w:hAnsi="Palatino Linotype"/>
          <w:i/>
          <w:color w:val="000000"/>
        </w:rPr>
        <w:t>por que</w:t>
      </w:r>
      <w:proofErr w:type="spellEnd"/>
      <w:r w:rsidRPr="001E5FA2">
        <w:rPr>
          <w:rFonts w:ascii="Palatino Linotype" w:hAnsi="Palatino Linotype"/>
          <w:i/>
          <w:color w:val="000000"/>
        </w:rPr>
        <w:t xml:space="preserve"> concepto y con fundamento en que ley, por ejemplo, inhumaciones, exhumación, etc. 4. Quien faculta a la delegación del pueblo de Santa </w:t>
      </w:r>
      <w:proofErr w:type="spellStart"/>
      <w:r w:rsidRPr="001E5FA2">
        <w:rPr>
          <w:rFonts w:ascii="Palatino Linotype" w:hAnsi="Palatino Linotype"/>
          <w:i/>
          <w:color w:val="000000"/>
        </w:rPr>
        <w:t>Maria</w:t>
      </w:r>
      <w:proofErr w:type="spellEnd"/>
      <w:r w:rsidRPr="001E5FA2">
        <w:rPr>
          <w:rFonts w:ascii="Palatino Linotype" w:hAnsi="Palatino Linotype"/>
          <w:i/>
          <w:color w:val="000000"/>
        </w:rPr>
        <w:t xml:space="preserve"> Chiconautla, a </w:t>
      </w:r>
      <w:r w:rsidRPr="001E5FA2">
        <w:rPr>
          <w:rFonts w:ascii="Palatino Linotype" w:hAnsi="Palatino Linotype"/>
          <w:i/>
          <w:color w:val="000000"/>
        </w:rPr>
        <w:lastRenderedPageBreak/>
        <w:t>cobrar cuotas del panteón de dicha comunidad y en base a que ordenamiento jurídico, 5. A donde se destinan los ingresos por concepto de panteón del Pueblo de Santa María Chiconautla.</w:t>
      </w:r>
      <w:r w:rsidRPr="001E5FA2">
        <w:rPr>
          <w:rFonts w:ascii="Palatino Linotype" w:hAnsi="Palatino Linotype"/>
          <w:i/>
          <w:iCs/>
          <w:color w:val="000000"/>
        </w:rPr>
        <w:t>” (Sic)</w:t>
      </w:r>
    </w:p>
    <w:p w:rsidR="00F14810" w:rsidRPr="001E5FA2" w:rsidRDefault="00F14810" w:rsidP="00F14810">
      <w:pPr>
        <w:spacing w:after="0" w:line="360" w:lineRule="auto"/>
        <w:ind w:right="48"/>
        <w:contextualSpacing/>
        <w:jc w:val="both"/>
        <w:rPr>
          <w:rFonts w:ascii="Palatino Linotype" w:eastAsia="Times New Roman" w:hAnsi="Palatino Linotype" w:cs="Arial"/>
          <w:sz w:val="24"/>
          <w:szCs w:val="24"/>
          <w:lang w:val="es-ES" w:eastAsia="es-ES"/>
        </w:rPr>
      </w:pPr>
    </w:p>
    <w:p w:rsidR="00F14810" w:rsidRPr="001E5FA2" w:rsidRDefault="00F14810" w:rsidP="00F14810">
      <w:pPr>
        <w:numPr>
          <w:ilvl w:val="0"/>
          <w:numId w:val="1"/>
        </w:numPr>
        <w:spacing w:after="0" w:line="360" w:lineRule="auto"/>
        <w:ind w:left="0" w:right="48" w:firstLine="0"/>
        <w:contextualSpacing/>
        <w:jc w:val="both"/>
        <w:rPr>
          <w:rFonts w:ascii="Palatino Linotype" w:eastAsiaTheme="minorEastAsia" w:hAnsi="Palatino Linotype" w:cs="Arial"/>
          <w:i/>
          <w:sz w:val="24"/>
          <w:szCs w:val="24"/>
          <w:lang w:val="es-ES_tradnl" w:eastAsia="es-ES"/>
        </w:rPr>
      </w:pPr>
      <w:r w:rsidRPr="001E5FA2">
        <w:rPr>
          <w:rFonts w:ascii="Palatino Linotype" w:eastAsiaTheme="minorEastAsia" w:hAnsi="Palatino Linotype" w:cs="Arial"/>
          <w:sz w:val="24"/>
          <w:szCs w:val="24"/>
          <w:lang w:val="es-ES_tradnl" w:eastAsia="es-ES"/>
        </w:rPr>
        <w:t xml:space="preserve">Se hace constar que se señaló como modalidad de entrega de la información a través del Sistema de Acceso a la Información Mexiquense </w:t>
      </w:r>
      <w:r w:rsidRPr="001E5FA2">
        <w:rPr>
          <w:rFonts w:ascii="Palatino Linotype" w:eastAsiaTheme="minorEastAsia" w:hAnsi="Palatino Linotype" w:cs="Arial"/>
          <w:b/>
          <w:sz w:val="24"/>
          <w:szCs w:val="24"/>
          <w:lang w:val="es-ES_tradnl" w:eastAsia="es-ES"/>
        </w:rPr>
        <w:t xml:space="preserve">(SAIMEX). </w:t>
      </w:r>
    </w:p>
    <w:p w:rsidR="00F14810" w:rsidRPr="001E5FA2" w:rsidRDefault="00F14810" w:rsidP="00F14810">
      <w:pPr>
        <w:spacing w:after="0" w:line="360" w:lineRule="auto"/>
        <w:ind w:right="48"/>
        <w:contextualSpacing/>
        <w:jc w:val="both"/>
        <w:rPr>
          <w:rFonts w:ascii="Palatino Linotype" w:eastAsiaTheme="minorEastAsia" w:hAnsi="Palatino Linotype" w:cs="Arial"/>
          <w:i/>
          <w:sz w:val="24"/>
          <w:szCs w:val="24"/>
          <w:lang w:val="es-ES_tradnl" w:eastAsia="es-ES"/>
        </w:rPr>
      </w:pPr>
    </w:p>
    <w:p w:rsidR="00F14810" w:rsidRPr="001E5FA2" w:rsidRDefault="00F14810" w:rsidP="00F14810">
      <w:pPr>
        <w:numPr>
          <w:ilvl w:val="0"/>
          <w:numId w:val="1"/>
        </w:numPr>
        <w:spacing w:after="0" w:line="360" w:lineRule="auto"/>
        <w:ind w:left="0" w:right="48" w:firstLine="0"/>
        <w:contextualSpacing/>
        <w:jc w:val="both"/>
        <w:rPr>
          <w:rFonts w:ascii="Palatino Linotype" w:eastAsia="MS Mincho" w:hAnsi="Palatino Linotype" w:cs="Arial"/>
          <w:sz w:val="24"/>
          <w:lang w:val="es-ES_tradnl" w:eastAsia="es-ES"/>
        </w:rPr>
      </w:pPr>
      <w:r w:rsidRPr="001E5FA2">
        <w:rPr>
          <w:rFonts w:ascii="Palatino Linotype" w:eastAsia="Calibri" w:hAnsi="Palatino Linotype" w:cs="Arial"/>
          <w:sz w:val="24"/>
          <w:szCs w:val="24"/>
          <w:lang w:val="es-ES" w:eastAsia="es-ES"/>
        </w:rPr>
        <w:t xml:space="preserve"> El </w:t>
      </w:r>
      <w:r w:rsidRPr="001E5FA2">
        <w:rPr>
          <w:rFonts w:ascii="Palatino Linotype" w:eastAsia="Calibri" w:hAnsi="Palatino Linotype" w:cs="Arial"/>
          <w:b/>
          <w:sz w:val="24"/>
          <w:szCs w:val="24"/>
          <w:lang w:val="es-ES" w:eastAsia="es-ES"/>
        </w:rPr>
        <w:t>SUJETO OBLIGADO</w:t>
      </w:r>
      <w:r w:rsidRPr="001E5FA2">
        <w:rPr>
          <w:rFonts w:ascii="Palatino Linotype" w:eastAsia="Calibri" w:hAnsi="Palatino Linotype" w:cs="Arial"/>
          <w:sz w:val="24"/>
          <w:szCs w:val="24"/>
          <w:lang w:val="es-ES" w:eastAsia="es-ES"/>
        </w:rPr>
        <w:t xml:space="preserve"> el día</w:t>
      </w:r>
      <w:r w:rsidRPr="001E5FA2">
        <w:rPr>
          <w:rFonts w:ascii="Palatino Linotype" w:eastAsia="MS Mincho" w:hAnsi="Palatino Linotype" w:cs="Arial"/>
          <w:sz w:val="24"/>
          <w:lang w:val="es-ES_tradnl" w:eastAsia="es-ES"/>
        </w:rPr>
        <w:t xml:space="preserve"> veinticuatro (24) de febrero  de </w:t>
      </w:r>
      <w:r w:rsidRPr="001E5FA2">
        <w:rPr>
          <w:rFonts w:ascii="Palatino Linotype" w:eastAsia="Calibri" w:hAnsi="Palatino Linotype" w:cs="Arial"/>
          <w:sz w:val="24"/>
          <w:szCs w:val="24"/>
          <w:lang w:val="es-ES" w:eastAsia="es-ES"/>
        </w:rPr>
        <w:t xml:space="preserve">dos mil veintiuno en respuesta a la solicitud de información señaló lo siguiente: </w:t>
      </w:r>
    </w:p>
    <w:p w:rsidR="00F14810" w:rsidRPr="001E5FA2" w:rsidRDefault="00F14810" w:rsidP="00F14810">
      <w:pPr>
        <w:spacing w:after="0" w:line="360" w:lineRule="auto"/>
        <w:ind w:right="48"/>
        <w:contextualSpacing/>
        <w:jc w:val="both"/>
        <w:rPr>
          <w:rFonts w:ascii="Palatino Linotype" w:eastAsia="MS Mincho" w:hAnsi="Palatino Linotype" w:cs="Arial"/>
          <w:sz w:val="24"/>
          <w:lang w:val="es-ES_tradnl" w:eastAsia="es-ES"/>
        </w:rPr>
      </w:pPr>
    </w:p>
    <w:tbl>
      <w:tblPr>
        <w:tblW w:w="7526" w:type="dxa"/>
        <w:jc w:val="center"/>
        <w:tblCellSpacing w:w="0" w:type="dxa"/>
        <w:tblCellMar>
          <w:left w:w="0" w:type="dxa"/>
          <w:right w:w="0" w:type="dxa"/>
        </w:tblCellMar>
        <w:tblLook w:val="04A0" w:firstRow="1" w:lastRow="0" w:firstColumn="1" w:lastColumn="0" w:noHBand="0" w:noVBand="1"/>
      </w:tblPr>
      <w:tblGrid>
        <w:gridCol w:w="7526"/>
      </w:tblGrid>
      <w:tr w:rsidR="00F14810" w:rsidRPr="001E5FA2" w:rsidTr="00F14810">
        <w:trPr>
          <w:trHeight w:val="275"/>
          <w:tblCellSpacing w:w="0" w:type="dxa"/>
          <w:jc w:val="center"/>
        </w:trPr>
        <w:tc>
          <w:tcPr>
            <w:tcW w:w="0" w:type="auto"/>
            <w:vAlign w:val="center"/>
            <w:hideMark/>
          </w:tcPr>
          <w:p w:rsidR="00F14810" w:rsidRPr="001E5FA2" w:rsidRDefault="00F14810" w:rsidP="00F14810">
            <w:pPr>
              <w:spacing w:after="0" w:line="240" w:lineRule="auto"/>
              <w:jc w:val="right"/>
              <w:rPr>
                <w:rFonts w:ascii="Palatino Linotype" w:eastAsia="Times New Roman" w:hAnsi="Palatino Linotype" w:cs="Times New Roman"/>
                <w:i/>
                <w:szCs w:val="24"/>
                <w:lang w:eastAsia="es-MX"/>
              </w:rPr>
            </w:pPr>
            <w:r w:rsidRPr="001E5FA2">
              <w:rPr>
                <w:rFonts w:ascii="Palatino Linotype" w:eastAsia="Times New Roman" w:hAnsi="Palatino Linotype" w:cs="Times New Roman"/>
                <w:i/>
                <w:szCs w:val="18"/>
                <w:lang w:eastAsia="es-MX"/>
              </w:rPr>
              <w:t>Ecatepec de Morelos, México a 24 de Febrero de 2021</w:t>
            </w:r>
          </w:p>
        </w:tc>
      </w:tr>
      <w:tr w:rsidR="00F14810" w:rsidRPr="001E5FA2" w:rsidTr="00F14810">
        <w:trPr>
          <w:trHeight w:val="275"/>
          <w:tblCellSpacing w:w="0" w:type="dxa"/>
          <w:jc w:val="center"/>
        </w:trPr>
        <w:tc>
          <w:tcPr>
            <w:tcW w:w="0" w:type="auto"/>
            <w:vAlign w:val="center"/>
            <w:hideMark/>
          </w:tcPr>
          <w:p w:rsidR="00F14810" w:rsidRPr="001E5FA2" w:rsidRDefault="00F14810" w:rsidP="00F14810">
            <w:pPr>
              <w:spacing w:after="0" w:line="240" w:lineRule="auto"/>
              <w:jc w:val="right"/>
              <w:rPr>
                <w:rFonts w:ascii="Palatino Linotype" w:eastAsia="Times New Roman" w:hAnsi="Palatino Linotype" w:cs="Times New Roman"/>
                <w:i/>
                <w:szCs w:val="24"/>
                <w:lang w:eastAsia="es-MX"/>
              </w:rPr>
            </w:pPr>
            <w:r w:rsidRPr="001E5FA2">
              <w:rPr>
                <w:rFonts w:ascii="Palatino Linotype" w:eastAsia="Times New Roman" w:hAnsi="Palatino Linotype" w:cs="Times New Roman"/>
                <w:i/>
                <w:szCs w:val="18"/>
                <w:lang w:eastAsia="es-MX"/>
              </w:rPr>
              <w:t xml:space="preserve">Nombre del solicitante: </w:t>
            </w:r>
            <w:r w:rsidR="00925DD5" w:rsidRPr="00925DD5">
              <w:rPr>
                <w:rFonts w:ascii="Palatino Linotype" w:eastAsia="Times New Roman" w:hAnsi="Palatino Linotype" w:cs="Times New Roman"/>
                <w:i/>
                <w:szCs w:val="18"/>
                <w:highlight w:val="black"/>
                <w:lang w:eastAsia="es-MX"/>
              </w:rPr>
              <w:t>------------------------------------------------</w:t>
            </w:r>
            <w:r w:rsidR="00925DD5">
              <w:rPr>
                <w:rFonts w:ascii="Palatino Linotype" w:eastAsia="Times New Roman" w:hAnsi="Palatino Linotype" w:cs="Times New Roman"/>
                <w:i/>
                <w:szCs w:val="18"/>
                <w:lang w:eastAsia="es-MX"/>
              </w:rPr>
              <w:t>-</w:t>
            </w:r>
          </w:p>
        </w:tc>
      </w:tr>
      <w:tr w:rsidR="00F14810" w:rsidRPr="001E5FA2" w:rsidTr="00F14810">
        <w:trPr>
          <w:trHeight w:val="275"/>
          <w:tblCellSpacing w:w="0" w:type="dxa"/>
          <w:jc w:val="center"/>
        </w:trPr>
        <w:tc>
          <w:tcPr>
            <w:tcW w:w="0" w:type="auto"/>
            <w:vAlign w:val="center"/>
            <w:hideMark/>
          </w:tcPr>
          <w:p w:rsidR="00F14810" w:rsidRPr="001E5FA2" w:rsidRDefault="00F14810" w:rsidP="00F14810">
            <w:pPr>
              <w:spacing w:after="0" w:line="240" w:lineRule="auto"/>
              <w:jc w:val="right"/>
              <w:rPr>
                <w:rFonts w:ascii="Palatino Linotype" w:eastAsia="Times New Roman" w:hAnsi="Palatino Linotype" w:cs="Times New Roman"/>
                <w:i/>
                <w:szCs w:val="24"/>
                <w:lang w:eastAsia="es-MX"/>
              </w:rPr>
            </w:pPr>
            <w:r w:rsidRPr="001E5FA2">
              <w:rPr>
                <w:rFonts w:ascii="Palatino Linotype" w:eastAsia="Times New Roman" w:hAnsi="Palatino Linotype" w:cs="Times New Roman"/>
                <w:i/>
                <w:szCs w:val="18"/>
                <w:lang w:eastAsia="es-MX"/>
              </w:rPr>
              <w:t>Folio de la solicitud: 00091/ECATEPEC/IP/2021</w:t>
            </w:r>
          </w:p>
        </w:tc>
      </w:tr>
      <w:tr w:rsidR="00F14810" w:rsidRPr="001E5FA2" w:rsidTr="00F14810">
        <w:trPr>
          <w:trHeight w:val="412"/>
          <w:tblCellSpacing w:w="0" w:type="dxa"/>
          <w:jc w:val="center"/>
        </w:trPr>
        <w:tc>
          <w:tcPr>
            <w:tcW w:w="0" w:type="auto"/>
            <w:vAlign w:val="center"/>
            <w:hideMark/>
          </w:tcPr>
          <w:p w:rsidR="00F14810" w:rsidRPr="001E5FA2" w:rsidRDefault="00F14810" w:rsidP="00F14810">
            <w:pPr>
              <w:spacing w:after="0" w:line="240" w:lineRule="auto"/>
              <w:jc w:val="right"/>
              <w:rPr>
                <w:rFonts w:ascii="Palatino Linotype" w:eastAsia="Times New Roman" w:hAnsi="Palatino Linotype" w:cs="Times New Roman"/>
                <w:i/>
                <w:szCs w:val="24"/>
                <w:lang w:eastAsia="es-MX"/>
              </w:rPr>
            </w:pPr>
          </w:p>
        </w:tc>
      </w:tr>
      <w:tr w:rsidR="00F14810" w:rsidRPr="001E5FA2" w:rsidTr="00F14810">
        <w:trPr>
          <w:trHeight w:val="137"/>
          <w:tblCellSpacing w:w="0" w:type="dxa"/>
          <w:jc w:val="center"/>
        </w:trPr>
        <w:tc>
          <w:tcPr>
            <w:tcW w:w="0" w:type="auto"/>
            <w:vAlign w:val="center"/>
            <w:hideMark/>
          </w:tcPr>
          <w:p w:rsidR="00F14810" w:rsidRPr="001E5FA2" w:rsidRDefault="00F14810" w:rsidP="00F14810">
            <w:pPr>
              <w:spacing w:after="0" w:line="240" w:lineRule="auto"/>
              <w:rPr>
                <w:rFonts w:ascii="Palatino Linotype" w:eastAsia="Times New Roman" w:hAnsi="Palatino Linotype" w:cs="Times New Roman"/>
                <w:i/>
                <w:szCs w:val="24"/>
                <w:lang w:eastAsia="es-MX"/>
              </w:rPr>
            </w:pPr>
            <w:r w:rsidRPr="001E5FA2">
              <w:rPr>
                <w:rFonts w:ascii="Palatino Linotype" w:eastAsia="Times New Roman" w:hAnsi="Palatino Linotype" w:cs="Times New Roman"/>
                <w:i/>
                <w:szCs w:val="18"/>
                <w:lang w:eastAsia="es-MX"/>
              </w:rPr>
              <w:t xml:space="preserve">El H. Ayuntamiento Constitucional de Ecatepec de Morelos hace de su conocimiento las respuestas emitidas por: </w:t>
            </w:r>
            <w:r w:rsidRPr="001E5FA2">
              <w:rPr>
                <w:rFonts w:ascii="Palatino Linotype" w:eastAsia="Times New Roman" w:hAnsi="Palatino Linotype" w:cs="Times New Roman"/>
                <w:i/>
                <w:szCs w:val="18"/>
                <w:lang w:eastAsia="es-MX"/>
              </w:rPr>
              <w:sym w:font="Symbol" w:char="F0D8"/>
            </w:r>
            <w:r w:rsidRPr="001E5FA2">
              <w:rPr>
                <w:rFonts w:ascii="Palatino Linotype" w:eastAsia="Times New Roman" w:hAnsi="Palatino Linotype" w:cs="Times New Roman"/>
                <w:i/>
                <w:szCs w:val="18"/>
                <w:lang w:eastAsia="es-MX"/>
              </w:rPr>
              <w:t xml:space="preserve"> DIRECCIÓN DE SERVICIOS PÚBLICOS. Se anexa al presente en formato PDF respuesta emitida por el área antes mencionada.</w:t>
            </w:r>
          </w:p>
        </w:tc>
      </w:tr>
      <w:tr w:rsidR="00F14810" w:rsidRPr="001E5FA2" w:rsidTr="00F14810">
        <w:trPr>
          <w:trHeight w:val="137"/>
          <w:tblCellSpacing w:w="0" w:type="dxa"/>
          <w:jc w:val="center"/>
        </w:trPr>
        <w:tc>
          <w:tcPr>
            <w:tcW w:w="0" w:type="auto"/>
            <w:vAlign w:val="center"/>
            <w:hideMark/>
          </w:tcPr>
          <w:p w:rsidR="00F14810" w:rsidRPr="001E5FA2" w:rsidRDefault="00F14810" w:rsidP="00F14810">
            <w:pPr>
              <w:spacing w:after="0" w:line="240" w:lineRule="auto"/>
              <w:rPr>
                <w:rFonts w:ascii="Palatino Linotype" w:eastAsia="Times New Roman" w:hAnsi="Palatino Linotype" w:cs="Times New Roman"/>
                <w:i/>
                <w:szCs w:val="20"/>
                <w:lang w:eastAsia="es-MX"/>
              </w:rPr>
            </w:pPr>
          </w:p>
        </w:tc>
      </w:tr>
      <w:tr w:rsidR="00F14810" w:rsidRPr="001E5FA2" w:rsidTr="00F14810">
        <w:trPr>
          <w:trHeight w:val="137"/>
          <w:tblCellSpacing w:w="0" w:type="dxa"/>
          <w:jc w:val="center"/>
        </w:trPr>
        <w:tc>
          <w:tcPr>
            <w:tcW w:w="0" w:type="auto"/>
            <w:vAlign w:val="center"/>
            <w:hideMark/>
          </w:tcPr>
          <w:p w:rsidR="00F14810" w:rsidRPr="001E5FA2" w:rsidRDefault="00F14810" w:rsidP="00F14810">
            <w:pPr>
              <w:spacing w:after="0" w:line="240" w:lineRule="auto"/>
              <w:rPr>
                <w:rFonts w:ascii="Palatino Linotype" w:eastAsia="Times New Roman" w:hAnsi="Palatino Linotype" w:cs="Times New Roman"/>
                <w:i/>
                <w:szCs w:val="24"/>
                <w:lang w:eastAsia="es-MX"/>
              </w:rPr>
            </w:pPr>
            <w:r w:rsidRPr="001E5FA2">
              <w:rPr>
                <w:rFonts w:ascii="Palatino Linotype" w:eastAsia="Times New Roman" w:hAnsi="Palatino Linotype" w:cs="Times New Roman"/>
                <w:i/>
                <w:szCs w:val="18"/>
                <w:lang w:eastAsia="es-MX"/>
              </w:rPr>
              <w:t>ATENTAMENTE</w:t>
            </w:r>
          </w:p>
        </w:tc>
      </w:tr>
      <w:tr w:rsidR="00F14810" w:rsidRPr="001E5FA2" w:rsidTr="00F14810">
        <w:trPr>
          <w:trHeight w:val="206"/>
          <w:tblCellSpacing w:w="0" w:type="dxa"/>
          <w:jc w:val="center"/>
        </w:trPr>
        <w:tc>
          <w:tcPr>
            <w:tcW w:w="0" w:type="auto"/>
            <w:vAlign w:val="center"/>
            <w:hideMark/>
          </w:tcPr>
          <w:p w:rsidR="00F14810" w:rsidRPr="001E5FA2" w:rsidRDefault="00F14810" w:rsidP="00F14810">
            <w:pPr>
              <w:spacing w:after="0" w:line="240" w:lineRule="auto"/>
              <w:rPr>
                <w:rFonts w:ascii="Palatino Linotype" w:eastAsia="Times New Roman" w:hAnsi="Palatino Linotype" w:cs="Times New Roman"/>
                <w:i/>
                <w:szCs w:val="24"/>
                <w:lang w:eastAsia="es-MX"/>
              </w:rPr>
            </w:pPr>
          </w:p>
        </w:tc>
      </w:tr>
      <w:tr w:rsidR="00F14810" w:rsidRPr="001E5FA2" w:rsidTr="00F14810">
        <w:trPr>
          <w:trHeight w:val="137"/>
          <w:tblCellSpacing w:w="0" w:type="dxa"/>
          <w:jc w:val="center"/>
        </w:trPr>
        <w:tc>
          <w:tcPr>
            <w:tcW w:w="0" w:type="auto"/>
            <w:vAlign w:val="center"/>
            <w:hideMark/>
          </w:tcPr>
          <w:p w:rsidR="00F14810" w:rsidRPr="001E5FA2" w:rsidRDefault="00F14810" w:rsidP="00F14810">
            <w:pPr>
              <w:spacing w:after="0" w:line="240" w:lineRule="auto"/>
              <w:rPr>
                <w:rFonts w:ascii="Palatino Linotype" w:eastAsia="Times New Roman" w:hAnsi="Palatino Linotype" w:cs="Times New Roman"/>
                <w:i/>
                <w:szCs w:val="24"/>
                <w:lang w:eastAsia="es-MX"/>
              </w:rPr>
            </w:pPr>
            <w:r w:rsidRPr="001E5FA2">
              <w:rPr>
                <w:rFonts w:ascii="Palatino Linotype" w:eastAsia="Times New Roman" w:hAnsi="Palatino Linotype" w:cs="Times New Roman"/>
                <w:i/>
                <w:szCs w:val="18"/>
                <w:lang w:eastAsia="es-MX"/>
              </w:rPr>
              <w:t xml:space="preserve">Lic. Brianda Eunice </w:t>
            </w:r>
            <w:proofErr w:type="spellStart"/>
            <w:r w:rsidRPr="001E5FA2">
              <w:rPr>
                <w:rFonts w:ascii="Palatino Linotype" w:eastAsia="Times New Roman" w:hAnsi="Palatino Linotype" w:cs="Times New Roman"/>
                <w:i/>
                <w:szCs w:val="18"/>
                <w:lang w:eastAsia="es-MX"/>
              </w:rPr>
              <w:t>Iberri</w:t>
            </w:r>
            <w:proofErr w:type="spellEnd"/>
            <w:r w:rsidRPr="001E5FA2">
              <w:rPr>
                <w:rFonts w:ascii="Palatino Linotype" w:eastAsia="Times New Roman" w:hAnsi="Palatino Linotype" w:cs="Times New Roman"/>
                <w:i/>
                <w:szCs w:val="18"/>
                <w:lang w:eastAsia="es-MX"/>
              </w:rPr>
              <w:t xml:space="preserve"> Estrada</w:t>
            </w:r>
          </w:p>
        </w:tc>
      </w:tr>
    </w:tbl>
    <w:p w:rsidR="00F14810" w:rsidRPr="001E5FA2" w:rsidRDefault="00F14810" w:rsidP="00F14810">
      <w:pPr>
        <w:spacing w:after="0" w:line="360" w:lineRule="auto"/>
        <w:ind w:right="48"/>
        <w:jc w:val="both"/>
        <w:rPr>
          <w:rFonts w:ascii="Palatino Linotype" w:eastAsia="MS Mincho" w:hAnsi="Palatino Linotype" w:cs="Arial"/>
          <w:lang w:val="es-ES_tradnl" w:eastAsia="es-ES"/>
        </w:rPr>
      </w:pPr>
    </w:p>
    <w:p w:rsidR="00F14810" w:rsidRPr="001E5FA2" w:rsidRDefault="00F14810" w:rsidP="00300BBA">
      <w:pPr>
        <w:pStyle w:val="Prrafodelista"/>
        <w:numPr>
          <w:ilvl w:val="0"/>
          <w:numId w:val="4"/>
        </w:numPr>
        <w:spacing w:after="0" w:line="360" w:lineRule="auto"/>
        <w:ind w:right="615"/>
        <w:jc w:val="both"/>
        <w:rPr>
          <w:rFonts w:ascii="Palatino Linotype" w:eastAsia="MS Mincho" w:hAnsi="Palatino Linotype" w:cs="Arial"/>
          <w:i/>
          <w:lang w:val="es-ES_tradnl" w:eastAsia="es-ES"/>
        </w:rPr>
      </w:pPr>
      <w:r w:rsidRPr="001E5FA2">
        <w:rPr>
          <w:rFonts w:ascii="Palatino Linotype" w:eastAsia="MS Mincho" w:hAnsi="Palatino Linotype" w:cs="Arial"/>
          <w:lang w:val="es-ES_tradnl" w:eastAsia="es-ES"/>
        </w:rPr>
        <w:t xml:space="preserve">A la respuesta anexó el documento </w:t>
      </w:r>
      <w:hyperlink r:id="rId7" w:tgtFrame="_blank" w:history="1">
        <w:r w:rsidRPr="001E5FA2">
          <w:rPr>
            <w:rStyle w:val="Hipervnculo"/>
            <w:rFonts w:ascii="Palatino Linotype" w:hAnsi="Palatino Linotype" w:cs="Arial"/>
            <w:b/>
            <w:bCs/>
            <w:color w:val="auto"/>
            <w:sz w:val="24"/>
            <w:szCs w:val="24"/>
          </w:rPr>
          <w:t>91-24.pdf</w:t>
        </w:r>
      </w:hyperlink>
      <w:r w:rsidR="000D7BAE" w:rsidRPr="001E5FA2">
        <w:rPr>
          <w:rFonts w:ascii="Palatino Linotype" w:hAnsi="Palatino Linotype"/>
          <w:b/>
          <w:sz w:val="24"/>
          <w:szCs w:val="24"/>
        </w:rPr>
        <w:t xml:space="preserve">: </w:t>
      </w:r>
      <w:r w:rsidR="000D7BAE" w:rsidRPr="001E5FA2">
        <w:rPr>
          <w:rFonts w:ascii="Palatino Linotype" w:hAnsi="Palatino Linotype"/>
          <w:sz w:val="24"/>
          <w:szCs w:val="24"/>
        </w:rPr>
        <w:t xml:space="preserve">consta de tres fojas en formato PDF, la primera es remita por la Titular de la Unidad de Transparencia mediante la cual </w:t>
      </w:r>
      <w:r w:rsidR="00C24A54" w:rsidRPr="001E5FA2">
        <w:rPr>
          <w:rFonts w:ascii="Palatino Linotype" w:hAnsi="Palatino Linotype"/>
          <w:sz w:val="24"/>
          <w:szCs w:val="24"/>
        </w:rPr>
        <w:t>manifestó</w:t>
      </w:r>
      <w:r w:rsidR="000D7BAE" w:rsidRPr="001E5FA2">
        <w:rPr>
          <w:rFonts w:ascii="Palatino Linotype" w:hAnsi="Palatino Linotype"/>
          <w:sz w:val="24"/>
          <w:szCs w:val="24"/>
        </w:rPr>
        <w:t xml:space="preserve"> anexar respuesta a la solicitud de información; a través de la segunda </w:t>
      </w:r>
      <w:r w:rsidR="00C24A54" w:rsidRPr="001E5FA2">
        <w:rPr>
          <w:rFonts w:ascii="Palatino Linotype" w:hAnsi="Palatino Linotype"/>
          <w:sz w:val="24"/>
          <w:szCs w:val="24"/>
        </w:rPr>
        <w:t>y la tercera foja</w:t>
      </w:r>
      <w:r w:rsidR="000D7BAE" w:rsidRPr="001E5FA2">
        <w:rPr>
          <w:rFonts w:ascii="Palatino Linotype" w:hAnsi="Palatino Linotype"/>
          <w:sz w:val="24"/>
          <w:szCs w:val="24"/>
        </w:rPr>
        <w:t xml:space="preserve"> </w:t>
      </w:r>
      <w:r w:rsidR="00C24A54" w:rsidRPr="001E5FA2">
        <w:rPr>
          <w:rFonts w:ascii="Palatino Linotype" w:hAnsi="Palatino Linotype"/>
          <w:sz w:val="24"/>
          <w:szCs w:val="24"/>
        </w:rPr>
        <w:t>manifestó</w:t>
      </w:r>
      <w:r w:rsidR="000D7BAE" w:rsidRPr="001E5FA2">
        <w:rPr>
          <w:rFonts w:ascii="Palatino Linotype" w:hAnsi="Palatino Linotype"/>
          <w:sz w:val="24"/>
          <w:szCs w:val="24"/>
        </w:rPr>
        <w:t xml:space="preserve"> dar respuesta a la solicitud de información</w:t>
      </w:r>
      <w:r w:rsidR="00C24A54" w:rsidRPr="001E5FA2">
        <w:rPr>
          <w:rFonts w:ascii="Palatino Linotype" w:hAnsi="Palatino Linotype"/>
          <w:sz w:val="24"/>
          <w:szCs w:val="24"/>
        </w:rPr>
        <w:t xml:space="preserve"> y refirió</w:t>
      </w:r>
      <w:r w:rsidR="000D7BAE" w:rsidRPr="001E5FA2">
        <w:rPr>
          <w:rFonts w:ascii="Palatino Linotype" w:hAnsi="Palatino Linotype"/>
          <w:sz w:val="24"/>
          <w:szCs w:val="24"/>
        </w:rPr>
        <w:t xml:space="preserve"> que el departamento de panteones, adscrito a la Dirección de Servicios Públicos tiene a sus cargo tres panteones los cuale</w:t>
      </w:r>
      <w:r w:rsidR="00C24A54" w:rsidRPr="001E5FA2">
        <w:rPr>
          <w:rFonts w:ascii="Palatino Linotype" w:hAnsi="Palatino Linotype"/>
          <w:sz w:val="24"/>
          <w:szCs w:val="24"/>
        </w:rPr>
        <w:t xml:space="preserve">s son el Panteón Antiguo, el Panteón de San Efrén y el Panteón de San Isidro </w:t>
      </w:r>
      <w:proofErr w:type="spellStart"/>
      <w:r w:rsidR="00C24A54" w:rsidRPr="001E5FA2">
        <w:rPr>
          <w:rFonts w:ascii="Palatino Linotype" w:hAnsi="Palatino Linotype"/>
          <w:sz w:val="24"/>
          <w:szCs w:val="24"/>
        </w:rPr>
        <w:lastRenderedPageBreak/>
        <w:t>Atlautenco</w:t>
      </w:r>
      <w:proofErr w:type="spellEnd"/>
      <w:r w:rsidR="00C24A54" w:rsidRPr="001E5FA2">
        <w:rPr>
          <w:rFonts w:ascii="Palatino Linotype" w:hAnsi="Palatino Linotype"/>
          <w:sz w:val="24"/>
          <w:szCs w:val="24"/>
        </w:rPr>
        <w:t>, por tal motivo, no son la instancia competente para responder dicha solicitud de información, asimismo, manifestó que dicha solicitud debería ser remitida a la Dirección de Gobierno.</w:t>
      </w:r>
    </w:p>
    <w:p w:rsidR="000D7BAE" w:rsidRPr="001E5FA2" w:rsidRDefault="000D7BAE" w:rsidP="000D7BAE">
      <w:pPr>
        <w:spacing w:after="0" w:line="360" w:lineRule="auto"/>
        <w:ind w:right="615"/>
        <w:jc w:val="both"/>
        <w:rPr>
          <w:rFonts w:ascii="Palatino Linotype" w:eastAsia="MS Mincho" w:hAnsi="Palatino Linotype" w:cs="Arial"/>
          <w:i/>
          <w:lang w:val="es-ES_tradnl" w:eastAsia="es-ES"/>
        </w:rPr>
      </w:pPr>
    </w:p>
    <w:p w:rsidR="00F14810" w:rsidRPr="001E5FA2" w:rsidRDefault="00F14810" w:rsidP="00F14810">
      <w:pPr>
        <w:numPr>
          <w:ilvl w:val="0"/>
          <w:numId w:val="1"/>
        </w:numPr>
        <w:spacing w:after="0" w:line="360" w:lineRule="auto"/>
        <w:ind w:left="0" w:right="48" w:firstLine="0"/>
        <w:contextualSpacing/>
        <w:jc w:val="both"/>
        <w:rPr>
          <w:rFonts w:ascii="Palatino Linotype" w:eastAsia="MS Mincho" w:hAnsi="Palatino Linotype" w:cs="Arial"/>
          <w:i/>
          <w:lang w:val="es-ES_tradnl" w:eastAsia="es-ES"/>
        </w:rPr>
      </w:pPr>
      <w:r w:rsidRPr="001E5FA2">
        <w:rPr>
          <w:rFonts w:ascii="Palatino Linotype" w:eastAsia="Times New Roman" w:hAnsi="Palatino Linotype" w:cs="Arial"/>
          <w:sz w:val="24"/>
          <w:szCs w:val="24"/>
          <w:lang w:val="es-ES" w:eastAsia="es-ES"/>
        </w:rPr>
        <w:t xml:space="preserve">En fecha </w:t>
      </w:r>
      <w:r w:rsidR="00C24A54" w:rsidRPr="001E5FA2">
        <w:rPr>
          <w:rFonts w:ascii="Palatino Linotype" w:eastAsia="Times New Roman" w:hAnsi="Palatino Linotype" w:cs="Arial"/>
          <w:sz w:val="24"/>
          <w:szCs w:val="24"/>
          <w:lang w:val="es-ES" w:eastAsia="es-ES"/>
        </w:rPr>
        <w:t xml:space="preserve">dos (02) de marzo </w:t>
      </w:r>
      <w:r w:rsidRPr="001E5FA2">
        <w:rPr>
          <w:rFonts w:ascii="Palatino Linotype" w:eastAsia="Times New Roman" w:hAnsi="Palatino Linotype" w:cs="Arial"/>
          <w:sz w:val="24"/>
          <w:szCs w:val="24"/>
          <w:lang w:val="es-ES" w:eastAsia="es-ES"/>
        </w:rPr>
        <w:t>de dos mil veintiuno, el RECURRENTE interpuso el de revisión que al rubro se indica, en contra de la respuesta del sujeto obligado, señalando como;</w:t>
      </w:r>
    </w:p>
    <w:p w:rsidR="000D7BAE" w:rsidRPr="001E5FA2" w:rsidRDefault="000D7BAE" w:rsidP="00F14810">
      <w:pPr>
        <w:tabs>
          <w:tab w:val="left" w:pos="8647"/>
        </w:tabs>
        <w:spacing w:after="0" w:line="360" w:lineRule="auto"/>
        <w:ind w:right="48"/>
        <w:contextualSpacing/>
        <w:jc w:val="both"/>
        <w:rPr>
          <w:rFonts w:ascii="Palatino Linotype" w:eastAsia="MS Mincho" w:hAnsi="Palatino Linotype" w:cs="Arial"/>
          <w:b/>
          <w:bCs/>
          <w:sz w:val="24"/>
          <w:szCs w:val="24"/>
          <w:lang w:val="es-ES_tradnl" w:eastAsia="es-ES"/>
        </w:rPr>
      </w:pPr>
    </w:p>
    <w:p w:rsidR="00F14810" w:rsidRPr="001E5FA2" w:rsidRDefault="00F14810" w:rsidP="00F14810">
      <w:pPr>
        <w:numPr>
          <w:ilvl w:val="0"/>
          <w:numId w:val="2"/>
        </w:numPr>
        <w:tabs>
          <w:tab w:val="left" w:pos="8647"/>
        </w:tabs>
        <w:spacing w:after="0" w:line="360" w:lineRule="auto"/>
        <w:ind w:right="615"/>
        <w:contextualSpacing/>
        <w:jc w:val="both"/>
        <w:rPr>
          <w:rFonts w:ascii="Palatino Linotype" w:eastAsia="MS Mincho" w:hAnsi="Palatino Linotype" w:cs="Times New Roman"/>
          <w:i/>
          <w:lang w:val="es-ES_tradnl" w:eastAsia="es-ES"/>
        </w:rPr>
      </w:pPr>
      <w:r w:rsidRPr="001E5FA2">
        <w:rPr>
          <w:rFonts w:ascii="Palatino Linotype" w:eastAsia="MS Gothic" w:hAnsi="Palatino Linotype" w:cs="Times New Roman"/>
          <w:b/>
          <w:lang w:val="es-ES"/>
        </w:rPr>
        <w:t>Acto impugnado</w:t>
      </w:r>
      <w:r w:rsidRPr="001E5FA2">
        <w:rPr>
          <w:rFonts w:ascii="Palatino Linotype" w:eastAsia="MS Mincho" w:hAnsi="Palatino Linotype" w:cs="Times New Roman"/>
          <w:lang w:val="es-ES_tradnl" w:eastAsia="es-ES"/>
        </w:rPr>
        <w:t xml:space="preserve">: </w:t>
      </w:r>
      <w:r w:rsidRPr="001E5FA2">
        <w:rPr>
          <w:rFonts w:ascii="Palatino Linotype" w:eastAsia="MS Mincho" w:hAnsi="Palatino Linotype" w:cs="Times New Roman"/>
          <w:i/>
          <w:lang w:val="es-ES_tradnl" w:eastAsia="es-ES"/>
        </w:rPr>
        <w:t>“</w:t>
      </w:r>
      <w:r w:rsidR="00C24A54" w:rsidRPr="001E5FA2">
        <w:rPr>
          <w:rFonts w:ascii="Palatino Linotype" w:hAnsi="Palatino Linotype"/>
          <w:i/>
          <w:color w:val="000000"/>
        </w:rPr>
        <w:t>el sujeto obligado indica no es su competencia para evadir la respuesta a la solicitud</w:t>
      </w:r>
      <w:r w:rsidRPr="001E5FA2">
        <w:rPr>
          <w:rFonts w:ascii="Palatino Linotype" w:eastAsia="MS Mincho" w:hAnsi="Palatino Linotype" w:cs="Times New Roman"/>
          <w:i/>
          <w:lang w:val="es-ES_tradnl" w:eastAsia="es-ES"/>
        </w:rPr>
        <w:t>” (Sic)</w:t>
      </w:r>
    </w:p>
    <w:p w:rsidR="00F14810" w:rsidRPr="001E5FA2" w:rsidRDefault="00F14810" w:rsidP="00F14810">
      <w:pPr>
        <w:tabs>
          <w:tab w:val="left" w:pos="8647"/>
        </w:tabs>
        <w:spacing w:after="0" w:line="360" w:lineRule="auto"/>
        <w:ind w:left="993" w:right="615"/>
        <w:contextualSpacing/>
        <w:jc w:val="both"/>
        <w:rPr>
          <w:rFonts w:ascii="Palatino Linotype" w:eastAsia="MS Mincho" w:hAnsi="Palatino Linotype" w:cs="Times New Roman"/>
          <w:lang w:val="es-ES_tradnl" w:eastAsia="es-ES"/>
        </w:rPr>
      </w:pPr>
    </w:p>
    <w:p w:rsidR="00F14810" w:rsidRPr="001E5FA2" w:rsidRDefault="00F14810" w:rsidP="00F14810">
      <w:pPr>
        <w:numPr>
          <w:ilvl w:val="0"/>
          <w:numId w:val="2"/>
        </w:numPr>
        <w:tabs>
          <w:tab w:val="left" w:pos="8647"/>
        </w:tabs>
        <w:spacing w:after="0" w:line="360" w:lineRule="auto"/>
        <w:ind w:right="615"/>
        <w:contextualSpacing/>
        <w:jc w:val="both"/>
        <w:rPr>
          <w:rFonts w:ascii="Palatino Linotype" w:eastAsia="MS Mincho" w:hAnsi="Palatino Linotype" w:cs="Times New Roman"/>
          <w:lang w:val="es-ES_tradnl" w:eastAsia="es-ES"/>
        </w:rPr>
      </w:pPr>
      <w:r w:rsidRPr="001E5FA2">
        <w:rPr>
          <w:rFonts w:ascii="Palatino Linotype" w:eastAsia="MS Gothic" w:hAnsi="Palatino Linotype" w:cs="Times New Roman"/>
          <w:b/>
          <w:lang w:val="es-ES"/>
        </w:rPr>
        <w:t>Razones o Motivos de inconformidad</w:t>
      </w:r>
      <w:r w:rsidRPr="001E5FA2">
        <w:rPr>
          <w:rFonts w:ascii="Palatino Linotype" w:eastAsia="MS Mincho" w:hAnsi="Palatino Linotype" w:cs="Times New Roman"/>
          <w:i/>
          <w:lang w:val="es-ES_tradnl" w:eastAsia="es-ES"/>
        </w:rPr>
        <w:t>: “</w:t>
      </w:r>
      <w:r w:rsidR="00C24A54" w:rsidRPr="001E5FA2">
        <w:rPr>
          <w:rFonts w:ascii="Palatino Linotype" w:hAnsi="Palatino Linotype"/>
          <w:i/>
          <w:color w:val="000000"/>
        </w:rPr>
        <w:t>el sujeto obligado se limita a decir que no es competencia de servicios públicos porque ese panteón del Pueblo de Santa María Chiconautla no forma parte de los panteones a su cargo y que se pregunte a la dirección de gobierno, sin embargo, el sujeto obligado es el H. Ayuntamiento de Ecatepec y no se limita a servicios públicos, y al tratarse de un panteón que se encuentra dentro de la municipalidad, debe poseer la información solicitada, al menos que se administre ese panteón con discrecionalidad dentro de su territorio.</w:t>
      </w:r>
      <w:r w:rsidRPr="001E5FA2">
        <w:rPr>
          <w:rFonts w:ascii="Palatino Linotype" w:hAnsi="Palatino Linotype"/>
          <w:i/>
          <w:color w:val="000000"/>
        </w:rPr>
        <w:t>”</w:t>
      </w:r>
      <w:r w:rsidRPr="001E5FA2">
        <w:rPr>
          <w:rFonts w:ascii="Palatino Linotype" w:eastAsia="MS Mincho" w:hAnsi="Palatino Linotype" w:cs="Times New Roman"/>
          <w:i/>
          <w:lang w:eastAsia="es-ES"/>
        </w:rPr>
        <w:t xml:space="preserve"> (Sic) </w:t>
      </w:r>
    </w:p>
    <w:p w:rsidR="00F14810" w:rsidRPr="001E5FA2" w:rsidRDefault="00F14810" w:rsidP="00F14810">
      <w:pPr>
        <w:tabs>
          <w:tab w:val="left" w:pos="8647"/>
        </w:tabs>
        <w:spacing w:after="0" w:line="360" w:lineRule="auto"/>
        <w:ind w:right="615"/>
        <w:contextualSpacing/>
        <w:jc w:val="both"/>
        <w:rPr>
          <w:rFonts w:ascii="Palatino Linotype" w:eastAsia="MS Mincho" w:hAnsi="Palatino Linotype" w:cs="Times New Roman"/>
          <w:lang w:val="es-ES_tradnl" w:eastAsia="es-ES"/>
        </w:rPr>
      </w:pPr>
    </w:p>
    <w:p w:rsidR="00F14810" w:rsidRPr="001E5FA2" w:rsidRDefault="00F14810" w:rsidP="00F14810">
      <w:pPr>
        <w:numPr>
          <w:ilvl w:val="0"/>
          <w:numId w:val="1"/>
        </w:numPr>
        <w:tabs>
          <w:tab w:val="left" w:pos="0"/>
        </w:tabs>
        <w:spacing w:after="0" w:line="360" w:lineRule="auto"/>
        <w:ind w:left="0" w:right="48" w:firstLine="0"/>
        <w:contextualSpacing/>
        <w:jc w:val="both"/>
        <w:rPr>
          <w:rFonts w:ascii="Palatino Linotype" w:eastAsia="Times New Roman" w:hAnsi="Palatino Linotype" w:cs="Arial"/>
          <w:i/>
          <w:lang w:val="es-ES_tradnl" w:eastAsia="es-ES"/>
        </w:rPr>
      </w:pPr>
      <w:r w:rsidRPr="001E5FA2">
        <w:rPr>
          <w:rFonts w:ascii="Palatino Linotype" w:eastAsia="Times New Roman" w:hAnsi="Palatino Linotype" w:cs="Arial"/>
          <w:sz w:val="24"/>
          <w:szCs w:val="24"/>
          <w:lang w:val="es-ES" w:eastAsia="es-ES"/>
        </w:rPr>
        <w:t xml:space="preserve">Se registró el recurso de revisión bajo el número de expediente indicado, </w:t>
      </w:r>
      <w:r w:rsidRPr="001E5FA2">
        <w:rPr>
          <w:rFonts w:ascii="Palatino Linotype" w:eastAsia="MS Mincho" w:hAnsi="Palatino Linotype" w:cs="Arial"/>
          <w:bCs/>
          <w:sz w:val="24"/>
          <w:szCs w:val="24"/>
          <w:lang w:val="es-ES_tradnl" w:eastAsia="es-ES"/>
        </w:rPr>
        <w:t xml:space="preserve">con fundamento en lo dispuesto por el </w:t>
      </w:r>
      <w:r w:rsidRPr="001E5FA2">
        <w:rPr>
          <w:rFonts w:ascii="Palatino Linotype" w:eastAsia="Calibri" w:hAnsi="Palatino Linotype" w:cs="Arial"/>
          <w:sz w:val="24"/>
          <w:szCs w:val="24"/>
          <w:lang w:val="es-ES" w:eastAsia="es-ES"/>
        </w:rPr>
        <w:t xml:space="preserve">artículo 185 fracción I de la </w:t>
      </w:r>
      <w:r w:rsidRPr="001E5FA2">
        <w:rPr>
          <w:rFonts w:ascii="Palatino Linotype" w:eastAsia="Calibri" w:hAnsi="Palatino Linotype" w:cs="Arial"/>
          <w:b/>
          <w:sz w:val="24"/>
          <w:szCs w:val="24"/>
          <w:lang w:val="es-ES" w:eastAsia="es-ES"/>
        </w:rPr>
        <w:t xml:space="preserve">Ley de Transparencia y Acceso a la Información Pública del Estado de México y Municipios </w:t>
      </w:r>
      <w:r w:rsidRPr="001E5FA2">
        <w:rPr>
          <w:rFonts w:ascii="Palatino Linotype" w:eastAsia="Times New Roman" w:hAnsi="Palatino Linotype" w:cs="Arial"/>
          <w:sz w:val="24"/>
          <w:szCs w:val="24"/>
          <w:lang w:val="es-ES" w:eastAsia="es-ES"/>
        </w:rPr>
        <w:t xml:space="preserve">se turnó al </w:t>
      </w:r>
      <w:r w:rsidRPr="001E5FA2">
        <w:rPr>
          <w:rFonts w:ascii="Palatino Linotype" w:eastAsia="Times New Roman" w:hAnsi="Palatino Linotype" w:cs="Arial"/>
          <w:b/>
          <w:sz w:val="24"/>
          <w:szCs w:val="24"/>
          <w:lang w:val="es-ES" w:eastAsia="es-ES"/>
        </w:rPr>
        <w:t xml:space="preserve">Comisionado José Guadalupe Luna Hernández, </w:t>
      </w:r>
      <w:r w:rsidRPr="001E5FA2">
        <w:rPr>
          <w:rFonts w:ascii="Palatino Linotype" w:eastAsia="Times New Roman" w:hAnsi="Palatino Linotype" w:cs="Arial"/>
          <w:sz w:val="24"/>
          <w:szCs w:val="24"/>
          <w:lang w:val="es-ES" w:eastAsia="es-ES"/>
        </w:rPr>
        <w:t xml:space="preserve">con el objeto de </w:t>
      </w:r>
      <w:r w:rsidRPr="001E5FA2">
        <w:rPr>
          <w:rFonts w:ascii="Palatino Linotype" w:eastAsia="Times New Roman" w:hAnsi="Palatino Linotype" w:cs="Arial"/>
          <w:sz w:val="24"/>
          <w:szCs w:val="24"/>
          <w:lang w:eastAsia="es-ES"/>
        </w:rPr>
        <w:t>su análisis</w:t>
      </w:r>
      <w:r w:rsidRPr="001E5FA2">
        <w:rPr>
          <w:rFonts w:ascii="Palatino Linotype" w:eastAsia="Times New Roman" w:hAnsi="Palatino Linotype" w:cs="Arial"/>
        </w:rPr>
        <w:t xml:space="preserve">. </w:t>
      </w:r>
    </w:p>
    <w:p w:rsidR="00F14810" w:rsidRPr="001E5FA2" w:rsidRDefault="00F14810" w:rsidP="00F14810">
      <w:pPr>
        <w:tabs>
          <w:tab w:val="left" w:pos="0"/>
        </w:tabs>
        <w:spacing w:after="0" w:line="360" w:lineRule="auto"/>
        <w:ind w:right="48"/>
        <w:contextualSpacing/>
        <w:jc w:val="both"/>
        <w:rPr>
          <w:rFonts w:ascii="Palatino Linotype" w:eastAsia="Times New Roman" w:hAnsi="Palatino Linotype" w:cs="Arial"/>
          <w:i/>
          <w:lang w:val="es-ES_tradnl" w:eastAsia="es-ES"/>
        </w:rPr>
      </w:pPr>
    </w:p>
    <w:p w:rsidR="00C24A54" w:rsidRPr="001E5FA2" w:rsidRDefault="00F14810" w:rsidP="00F14810">
      <w:pPr>
        <w:numPr>
          <w:ilvl w:val="0"/>
          <w:numId w:val="1"/>
        </w:numPr>
        <w:spacing w:after="0" w:line="360" w:lineRule="auto"/>
        <w:ind w:left="0" w:right="48" w:firstLine="0"/>
        <w:contextualSpacing/>
        <w:jc w:val="both"/>
        <w:rPr>
          <w:rFonts w:ascii="Palatino Linotype" w:hAnsi="Palatino Linotype"/>
          <w:sz w:val="24"/>
          <w:szCs w:val="24"/>
        </w:rPr>
      </w:pPr>
      <w:r w:rsidRPr="001E5FA2">
        <w:rPr>
          <w:rFonts w:ascii="Palatino Linotype" w:eastAsia="Calibri" w:hAnsi="Palatino Linotype" w:cs="Arial"/>
          <w:sz w:val="24"/>
          <w:szCs w:val="24"/>
          <w:lang w:val="es-ES" w:eastAsia="es-ES"/>
        </w:rPr>
        <w:lastRenderedPageBreak/>
        <w:t xml:space="preserve">El Comisionado Ponente con fundamento en lo dispuesto por el artículo 185 fracción II de la ley de la materia, a través del acuerdo de admisión de fecha </w:t>
      </w:r>
      <w:r w:rsidR="00C24A54" w:rsidRPr="001E5FA2">
        <w:rPr>
          <w:rFonts w:ascii="Palatino Linotype" w:eastAsia="Calibri" w:hAnsi="Palatino Linotype" w:cs="Arial"/>
          <w:sz w:val="24"/>
          <w:szCs w:val="24"/>
          <w:lang w:val="es-ES" w:eastAsia="es-ES"/>
        </w:rPr>
        <w:t xml:space="preserve">cinco (05) de marzo </w:t>
      </w:r>
      <w:r w:rsidRPr="001E5FA2">
        <w:rPr>
          <w:rFonts w:ascii="Palatino Linotype" w:eastAsia="Calibri" w:hAnsi="Palatino Linotype" w:cs="Arial"/>
          <w:sz w:val="24"/>
          <w:szCs w:val="24"/>
          <w:lang w:val="es-ES" w:eastAsia="es-ES"/>
        </w:rPr>
        <w:t xml:space="preserve"> de dos mil veintiuno, puso a disposición de las partes el expediente electrónico </w:t>
      </w:r>
      <w:r w:rsidRPr="001E5FA2">
        <w:rPr>
          <w:rFonts w:ascii="Palatino Linotype" w:eastAsia="Calibri" w:hAnsi="Palatino Linotype" w:cs="Arial"/>
          <w:sz w:val="24"/>
          <w:szCs w:val="24"/>
          <w:lang w:val="es-ES_tradnl" w:eastAsia="es-ES"/>
        </w:rPr>
        <w:t xml:space="preserve">vía </w:t>
      </w:r>
      <w:r w:rsidRPr="001E5FA2">
        <w:rPr>
          <w:rFonts w:ascii="Palatino Linotype" w:eastAsia="Calibri" w:hAnsi="Palatino Linotype" w:cs="Arial"/>
          <w:sz w:val="24"/>
          <w:szCs w:val="24"/>
          <w:lang w:val="es-ES" w:eastAsia="es-ES"/>
        </w:rPr>
        <w:t>Sistema de Acceso a la Información Mexiquense (</w:t>
      </w:r>
      <w:r w:rsidRPr="001E5FA2">
        <w:rPr>
          <w:rFonts w:ascii="Palatino Linotype" w:eastAsia="Calibri" w:hAnsi="Palatino Linotype" w:cs="Arial"/>
          <w:b/>
          <w:sz w:val="24"/>
          <w:szCs w:val="24"/>
          <w:lang w:val="es-ES" w:eastAsia="es-ES"/>
        </w:rPr>
        <w:t xml:space="preserve">SAIMEX) </w:t>
      </w:r>
      <w:r w:rsidRPr="001E5FA2">
        <w:rPr>
          <w:rFonts w:ascii="Palatino Linotype" w:eastAsia="Calibri" w:hAnsi="Palatino Linotype" w:cs="Arial"/>
          <w:sz w:val="24"/>
          <w:szCs w:val="24"/>
          <w:lang w:val="es-ES" w:eastAsia="es-ES"/>
        </w:rPr>
        <w:t xml:space="preserve">a efecto de que en un plazo máximo de siete días manifestaran lo que a derecho convinieran, ofrecieran pruebas y alegatos según corresponda al caso concreto, de esta forma para que el </w:t>
      </w:r>
      <w:r w:rsidRPr="001E5FA2">
        <w:rPr>
          <w:rFonts w:ascii="Palatino Linotype" w:eastAsia="Calibri" w:hAnsi="Palatino Linotype" w:cs="Arial"/>
          <w:b/>
          <w:sz w:val="24"/>
          <w:szCs w:val="24"/>
          <w:lang w:val="es-ES" w:eastAsia="es-ES"/>
        </w:rPr>
        <w:t>SUJETO OBLIGADO</w:t>
      </w:r>
      <w:r w:rsidRPr="001E5FA2">
        <w:rPr>
          <w:rFonts w:ascii="Palatino Linotype" w:eastAsia="Calibri" w:hAnsi="Palatino Linotype" w:cs="Arial"/>
          <w:sz w:val="24"/>
          <w:szCs w:val="24"/>
          <w:lang w:val="es-ES" w:eastAsia="es-ES"/>
        </w:rPr>
        <w:t xml:space="preserve"> presentara el Informe Justificado procedente. </w:t>
      </w:r>
    </w:p>
    <w:p w:rsidR="00C24A54" w:rsidRPr="001E5FA2" w:rsidRDefault="00C24A54" w:rsidP="00C24A54">
      <w:pPr>
        <w:pStyle w:val="Prrafodelista"/>
        <w:rPr>
          <w:rFonts w:ascii="Palatino Linotype" w:eastAsia="Calibri" w:hAnsi="Palatino Linotype" w:cs="Arial"/>
          <w:sz w:val="24"/>
          <w:szCs w:val="24"/>
          <w:lang w:val="es-ES" w:eastAsia="es-ES"/>
        </w:rPr>
      </w:pPr>
    </w:p>
    <w:p w:rsidR="00F14810" w:rsidRPr="001E5FA2" w:rsidRDefault="00F14810" w:rsidP="00F14810">
      <w:pPr>
        <w:numPr>
          <w:ilvl w:val="0"/>
          <w:numId w:val="1"/>
        </w:numPr>
        <w:spacing w:after="0" w:line="360" w:lineRule="auto"/>
        <w:ind w:left="0" w:right="48" w:firstLine="0"/>
        <w:contextualSpacing/>
        <w:jc w:val="both"/>
        <w:rPr>
          <w:rFonts w:ascii="Palatino Linotype" w:hAnsi="Palatino Linotype"/>
          <w:sz w:val="24"/>
          <w:szCs w:val="24"/>
        </w:rPr>
      </w:pPr>
      <w:r w:rsidRPr="001E5FA2">
        <w:rPr>
          <w:rFonts w:ascii="Palatino Linotype" w:eastAsia="Calibri" w:hAnsi="Palatino Linotype" w:cs="Arial"/>
          <w:sz w:val="24"/>
          <w:szCs w:val="24"/>
          <w:lang w:val="es-ES" w:eastAsia="es-ES"/>
        </w:rPr>
        <w:t xml:space="preserve">De las constancias que obran en el expediente </w:t>
      </w:r>
      <w:r w:rsidR="00C24A54" w:rsidRPr="001E5FA2">
        <w:rPr>
          <w:rFonts w:ascii="Palatino Linotype" w:eastAsia="Calibri" w:hAnsi="Palatino Linotype" w:cs="Arial"/>
          <w:sz w:val="24"/>
          <w:szCs w:val="24"/>
          <w:lang w:val="es-ES" w:eastAsia="es-ES"/>
        </w:rPr>
        <w:t xml:space="preserve">electrónico, se advierte que por su parte el </w:t>
      </w:r>
      <w:r w:rsidR="00C24A54" w:rsidRPr="001E5FA2">
        <w:rPr>
          <w:rFonts w:ascii="Palatino Linotype" w:eastAsia="Calibri" w:hAnsi="Palatino Linotype" w:cs="Arial"/>
          <w:b/>
          <w:sz w:val="24"/>
          <w:szCs w:val="24"/>
          <w:lang w:val="es-ES" w:eastAsia="es-ES"/>
        </w:rPr>
        <w:t>SUJETO OBLIGADO</w:t>
      </w:r>
      <w:r w:rsidR="00C24A54" w:rsidRPr="001E5FA2">
        <w:rPr>
          <w:rFonts w:ascii="Palatino Linotype" w:eastAsia="Calibri" w:hAnsi="Palatino Linotype" w:cs="Arial"/>
          <w:sz w:val="24"/>
          <w:szCs w:val="24"/>
          <w:lang w:val="es-ES" w:eastAsia="es-ES"/>
        </w:rPr>
        <w:t xml:space="preserve"> no emitió informe justificado, por lo que se refiere al </w:t>
      </w:r>
      <w:r w:rsidR="00C24A54" w:rsidRPr="001E5FA2">
        <w:rPr>
          <w:rFonts w:ascii="Palatino Linotype" w:eastAsia="Calibri" w:hAnsi="Palatino Linotype" w:cs="Arial"/>
          <w:b/>
          <w:sz w:val="24"/>
          <w:szCs w:val="24"/>
          <w:lang w:val="es-ES" w:eastAsia="es-ES"/>
        </w:rPr>
        <w:t>RECURRENTE</w:t>
      </w:r>
      <w:r w:rsidR="00C24A54" w:rsidRPr="001E5FA2">
        <w:rPr>
          <w:rFonts w:ascii="Palatino Linotype" w:eastAsia="Calibri" w:hAnsi="Palatino Linotype" w:cs="Arial"/>
          <w:sz w:val="24"/>
          <w:szCs w:val="24"/>
          <w:lang w:val="es-ES" w:eastAsia="es-ES"/>
        </w:rPr>
        <w:t>, este fue  omiso</w:t>
      </w:r>
      <w:r w:rsidRPr="001E5FA2">
        <w:rPr>
          <w:rFonts w:ascii="Palatino Linotype" w:eastAsia="Calibri" w:hAnsi="Palatino Linotype" w:cs="Arial"/>
          <w:sz w:val="24"/>
          <w:szCs w:val="24"/>
          <w:lang w:val="es-ES" w:eastAsia="es-ES"/>
        </w:rPr>
        <w:t xml:space="preserve"> en manifestar lo que a su derecho conviniera.</w:t>
      </w:r>
    </w:p>
    <w:p w:rsidR="00C24A54" w:rsidRPr="001E5FA2" w:rsidRDefault="00C24A54" w:rsidP="00C24A54">
      <w:pPr>
        <w:spacing w:after="0" w:line="360" w:lineRule="auto"/>
        <w:ind w:right="48"/>
        <w:contextualSpacing/>
        <w:jc w:val="both"/>
        <w:rPr>
          <w:rFonts w:ascii="Palatino Linotype" w:hAnsi="Palatino Linotype"/>
          <w:sz w:val="24"/>
          <w:szCs w:val="24"/>
        </w:rPr>
      </w:pPr>
    </w:p>
    <w:p w:rsidR="00F14810" w:rsidRPr="001E5FA2" w:rsidRDefault="00F14810" w:rsidP="00F14810">
      <w:pPr>
        <w:numPr>
          <w:ilvl w:val="0"/>
          <w:numId w:val="1"/>
        </w:numPr>
        <w:spacing w:after="0" w:line="360" w:lineRule="auto"/>
        <w:ind w:left="0" w:right="48" w:firstLine="0"/>
        <w:contextualSpacing/>
        <w:jc w:val="both"/>
        <w:rPr>
          <w:rFonts w:ascii="Palatino Linotype" w:hAnsi="Palatino Linotype"/>
          <w:sz w:val="24"/>
          <w:szCs w:val="24"/>
        </w:rPr>
      </w:pPr>
      <w:r w:rsidRPr="001E5FA2">
        <w:rPr>
          <w:rFonts w:ascii="Palatino Linotype" w:hAnsi="Palatino Linotype"/>
          <w:sz w:val="24"/>
          <w:szCs w:val="24"/>
        </w:rPr>
        <w:t>El Comisionado Ponente decretó el cierre de instrucción</w:t>
      </w:r>
      <w:r w:rsidRPr="001E5FA2">
        <w:rPr>
          <w:rFonts w:ascii="Palatino Linotype" w:hAnsi="Palatino Linotype" w:cs="Arial"/>
          <w:sz w:val="24"/>
          <w:szCs w:val="24"/>
        </w:rPr>
        <w:t xml:space="preserve"> </w:t>
      </w:r>
      <w:r w:rsidRPr="001E5FA2">
        <w:rPr>
          <w:rFonts w:ascii="Palatino Linotype" w:hAnsi="Palatino Linotype"/>
          <w:sz w:val="24"/>
          <w:szCs w:val="24"/>
        </w:rPr>
        <w:t xml:space="preserve">mediante acuerdo de fecha </w:t>
      </w:r>
      <w:r w:rsidR="00C24A54" w:rsidRPr="001E5FA2">
        <w:rPr>
          <w:rFonts w:ascii="Palatino Linotype" w:hAnsi="Palatino Linotype"/>
          <w:sz w:val="24"/>
          <w:szCs w:val="24"/>
        </w:rPr>
        <w:t xml:space="preserve">veinticuatro (24) de marzo </w:t>
      </w:r>
      <w:r w:rsidRPr="001E5FA2">
        <w:rPr>
          <w:rFonts w:ascii="Palatino Linotype" w:hAnsi="Palatino Linotype"/>
          <w:sz w:val="24"/>
          <w:szCs w:val="24"/>
        </w:rPr>
        <w:t xml:space="preserve"> de dos mil veintiuno, </w:t>
      </w:r>
      <w:r w:rsidRPr="001E5FA2">
        <w:rPr>
          <w:rFonts w:ascii="Palatino Linotype" w:hAnsi="Palatino Linotype" w:cs="Arial"/>
          <w:sz w:val="24"/>
          <w:szCs w:val="24"/>
        </w:rPr>
        <w:t xml:space="preserve">por lo que, posterior a ello ordenó turnar el expediente a resolución, misma que ahora se pronuncia; y - - - - - - - - - - - - - - - - </w:t>
      </w:r>
    </w:p>
    <w:p w:rsidR="00F14810" w:rsidRPr="001E5FA2" w:rsidRDefault="00F14810" w:rsidP="00F14810">
      <w:pPr>
        <w:spacing w:after="0" w:line="360" w:lineRule="auto"/>
        <w:ind w:right="48"/>
        <w:contextualSpacing/>
        <w:jc w:val="both"/>
        <w:rPr>
          <w:rFonts w:ascii="Palatino Linotype" w:hAnsi="Palatino Linotype"/>
          <w:sz w:val="24"/>
          <w:szCs w:val="24"/>
        </w:rPr>
      </w:pPr>
    </w:p>
    <w:p w:rsidR="00F14810" w:rsidRPr="001E5FA2" w:rsidRDefault="00F14810" w:rsidP="00F14810">
      <w:pPr>
        <w:keepNext/>
        <w:keepLines/>
        <w:spacing w:after="0" w:line="360" w:lineRule="auto"/>
        <w:ind w:right="48"/>
        <w:jc w:val="center"/>
        <w:outlineLvl w:val="0"/>
        <w:rPr>
          <w:rFonts w:ascii="Palatino Linotype" w:eastAsia="MS Gothic" w:hAnsi="Palatino Linotype" w:cs="Times New Roman"/>
          <w:b/>
          <w:sz w:val="24"/>
          <w:szCs w:val="24"/>
        </w:rPr>
      </w:pPr>
      <w:bookmarkStart w:id="1" w:name="_Toc67584826"/>
      <w:r w:rsidRPr="001E5FA2">
        <w:rPr>
          <w:rFonts w:ascii="Palatino Linotype" w:eastAsia="MS Gothic" w:hAnsi="Palatino Linotype" w:cs="Times New Roman"/>
          <w:b/>
          <w:sz w:val="24"/>
          <w:szCs w:val="24"/>
        </w:rPr>
        <w:t>CONSIDERANDO</w:t>
      </w:r>
      <w:bookmarkEnd w:id="1"/>
    </w:p>
    <w:p w:rsidR="00F14810" w:rsidRPr="001E5FA2" w:rsidRDefault="00F14810" w:rsidP="00F14810">
      <w:pPr>
        <w:keepNext/>
        <w:keepLines/>
        <w:spacing w:after="0" w:line="360" w:lineRule="auto"/>
        <w:ind w:right="48"/>
        <w:jc w:val="center"/>
        <w:outlineLvl w:val="0"/>
        <w:rPr>
          <w:rFonts w:ascii="Palatino Linotype" w:eastAsia="MS Gothic" w:hAnsi="Palatino Linotype" w:cs="Times New Roman"/>
          <w:b/>
          <w:sz w:val="24"/>
          <w:szCs w:val="24"/>
        </w:rPr>
      </w:pPr>
    </w:p>
    <w:p w:rsidR="00F14810" w:rsidRPr="001E5FA2" w:rsidRDefault="00F14810" w:rsidP="00F14810">
      <w:pPr>
        <w:keepNext/>
        <w:keepLines/>
        <w:spacing w:after="0" w:line="360" w:lineRule="auto"/>
        <w:ind w:right="48"/>
        <w:outlineLvl w:val="0"/>
        <w:rPr>
          <w:rFonts w:ascii="Palatino Linotype" w:eastAsia="MS Gothic" w:hAnsi="Palatino Linotype" w:cs="Times New Roman"/>
          <w:b/>
          <w:sz w:val="24"/>
          <w:szCs w:val="26"/>
        </w:rPr>
      </w:pPr>
      <w:bookmarkStart w:id="2" w:name="_Toc67584827"/>
      <w:r w:rsidRPr="001E5FA2">
        <w:rPr>
          <w:rFonts w:ascii="Palatino Linotype" w:eastAsia="MS Mincho" w:hAnsi="Palatino Linotype" w:cstheme="majorBidi"/>
          <w:b/>
          <w:sz w:val="24"/>
          <w:szCs w:val="24"/>
          <w:lang w:val="es-ES_tradnl" w:eastAsia="es-ES"/>
        </w:rPr>
        <w:t>PRIMERO</w:t>
      </w:r>
      <w:r w:rsidRPr="001E5FA2">
        <w:rPr>
          <w:rFonts w:ascii="Palatino Linotype" w:eastAsia="MS Gothic" w:hAnsi="Palatino Linotype" w:cs="Times New Roman"/>
          <w:b/>
          <w:sz w:val="24"/>
          <w:szCs w:val="26"/>
        </w:rPr>
        <w:t>. De la competencia.</w:t>
      </w:r>
      <w:bookmarkEnd w:id="2"/>
    </w:p>
    <w:p w:rsidR="00F14810" w:rsidRPr="001E5FA2" w:rsidRDefault="00F14810" w:rsidP="00F14810">
      <w:pPr>
        <w:spacing w:after="0" w:line="360" w:lineRule="auto"/>
        <w:ind w:right="48"/>
        <w:rPr>
          <w:rFonts w:ascii="Palatino Linotype" w:hAnsi="Palatino Linotype"/>
        </w:rPr>
      </w:pPr>
    </w:p>
    <w:p w:rsidR="00F14810" w:rsidRPr="001E5FA2" w:rsidRDefault="00F14810" w:rsidP="00F14810">
      <w:pPr>
        <w:numPr>
          <w:ilvl w:val="0"/>
          <w:numId w:val="1"/>
        </w:numPr>
        <w:spacing w:after="0" w:line="360" w:lineRule="auto"/>
        <w:ind w:left="0" w:right="48" w:firstLine="0"/>
        <w:contextualSpacing/>
        <w:jc w:val="both"/>
        <w:rPr>
          <w:rFonts w:ascii="Palatino Linotype" w:eastAsia="MS Mincho" w:hAnsi="Palatino Linotype" w:cs="Times New Roman"/>
          <w:sz w:val="24"/>
          <w:szCs w:val="24"/>
          <w:lang w:val="es-ES_tradnl" w:eastAsia="es-ES"/>
        </w:rPr>
      </w:pPr>
      <w:r w:rsidRPr="001E5FA2">
        <w:rPr>
          <w:rFonts w:ascii="Palatino Linotype" w:eastAsia="Calibri" w:hAnsi="Palatino Linotype" w:cs="Times New Roman"/>
          <w:sz w:val="24"/>
          <w:szCs w:val="24"/>
          <w:lang w:val="es-ES" w:eastAsia="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1E5FA2">
        <w:rPr>
          <w:rFonts w:ascii="Palatino Linotype" w:eastAsia="Calibri" w:hAnsi="Palatino Linotype" w:cs="Times New Roman"/>
          <w:b/>
          <w:sz w:val="24"/>
          <w:szCs w:val="24"/>
          <w:lang w:val="es-ES" w:eastAsia="es-ES"/>
        </w:rPr>
        <w:t>Constitución Política de los Estados Unidos Mexicanos</w:t>
      </w:r>
      <w:r w:rsidRPr="001E5FA2">
        <w:rPr>
          <w:rFonts w:ascii="Palatino Linotype" w:eastAsia="Calibri" w:hAnsi="Palatino Linotype" w:cs="Times New Roman"/>
          <w:sz w:val="24"/>
          <w:szCs w:val="24"/>
          <w:lang w:val="es-ES" w:eastAsia="es-ES"/>
        </w:rPr>
        <w:t xml:space="preserve">; </w:t>
      </w:r>
      <w:r w:rsidRPr="001E5FA2">
        <w:rPr>
          <w:rFonts w:ascii="Palatino Linotype" w:hAnsi="Palatino Linotype" w:cs="Arial"/>
          <w:bCs/>
          <w:color w:val="222222"/>
          <w:sz w:val="24"/>
          <w:szCs w:val="24"/>
          <w:shd w:val="clear" w:color="auto" w:fill="FFFFFF"/>
          <w:lang w:val="es-ES"/>
        </w:rPr>
        <w:t>5, párrafos </w:t>
      </w:r>
      <w:r w:rsidRPr="001E5FA2">
        <w:rPr>
          <w:rFonts w:ascii="Palatino Linotype" w:hAnsi="Palatino Linotype" w:cs="Arial"/>
          <w:bCs/>
          <w:color w:val="222222"/>
          <w:sz w:val="24"/>
          <w:szCs w:val="24"/>
          <w:lang w:val="es-ES"/>
        </w:rPr>
        <w:t xml:space="preserve">vigésimo </w:t>
      </w:r>
      <w:r w:rsidRPr="001E5FA2">
        <w:rPr>
          <w:rFonts w:ascii="Palatino Linotype" w:hAnsi="Palatino Linotype" w:cs="Arial"/>
          <w:bCs/>
          <w:color w:val="222222"/>
          <w:sz w:val="24"/>
          <w:szCs w:val="24"/>
          <w:lang w:val="es-ES"/>
        </w:rPr>
        <w:lastRenderedPageBreak/>
        <w:t xml:space="preserve">noveno, trigésimo y  trigésimo primero </w:t>
      </w:r>
      <w:r w:rsidRPr="001E5FA2">
        <w:rPr>
          <w:rFonts w:ascii="Palatino Linotype" w:hAnsi="Palatino Linotype" w:cs="Arial"/>
          <w:bCs/>
          <w:color w:val="222222"/>
          <w:sz w:val="24"/>
          <w:szCs w:val="24"/>
          <w:shd w:val="clear" w:color="auto" w:fill="FFFFFF"/>
          <w:lang w:val="es-ES"/>
        </w:rPr>
        <w:t>fracciones I, II, III, IV y V </w:t>
      </w:r>
      <w:r w:rsidRPr="001E5FA2">
        <w:rPr>
          <w:rFonts w:ascii="Palatino Linotype" w:eastAsia="Calibri" w:hAnsi="Palatino Linotype" w:cs="Times New Roman"/>
          <w:sz w:val="24"/>
          <w:szCs w:val="24"/>
          <w:lang w:val="es-ES" w:eastAsia="es-ES"/>
        </w:rPr>
        <w:t xml:space="preserve">de la </w:t>
      </w:r>
      <w:r w:rsidRPr="001E5FA2">
        <w:rPr>
          <w:rFonts w:ascii="Palatino Linotype" w:eastAsia="Calibri" w:hAnsi="Palatino Linotype" w:cs="Times New Roman"/>
          <w:b/>
          <w:sz w:val="24"/>
          <w:szCs w:val="24"/>
          <w:lang w:val="es-ES" w:eastAsia="es-ES"/>
        </w:rPr>
        <w:t>Constitución Política del Estado Libre y Soberano de México</w:t>
      </w:r>
      <w:r w:rsidRPr="001E5FA2">
        <w:rPr>
          <w:rFonts w:ascii="Palatino Linotype" w:eastAsia="Calibri" w:hAnsi="Palatino Linotype" w:cs="Times New Roman"/>
          <w:sz w:val="24"/>
          <w:szCs w:val="24"/>
          <w:lang w:val="es-ES" w:eastAsia="es-ES"/>
        </w:rPr>
        <w:t xml:space="preserve">; artículos 1, 2 fracción II, 13, 29, 36 fracciones I y II, 176, 178, 179, 181 párrafo tercero y 185 </w:t>
      </w:r>
      <w:r w:rsidRPr="001E5FA2">
        <w:rPr>
          <w:rFonts w:ascii="Palatino Linotype" w:eastAsia="Calibri" w:hAnsi="Palatino Linotype" w:cs="Arial"/>
          <w:sz w:val="24"/>
          <w:szCs w:val="24"/>
          <w:lang w:val="es-ES" w:eastAsia="es-ES"/>
        </w:rPr>
        <w:t xml:space="preserve">de la </w:t>
      </w:r>
      <w:r w:rsidRPr="001E5FA2">
        <w:rPr>
          <w:rFonts w:ascii="Palatino Linotype" w:eastAsia="Calibri" w:hAnsi="Palatino Linotype" w:cs="Arial"/>
          <w:b/>
          <w:sz w:val="24"/>
          <w:szCs w:val="24"/>
          <w:lang w:val="es-ES" w:eastAsia="es-ES"/>
        </w:rPr>
        <w:t>Ley de Transparencia y Acceso a la Información Pública del Estado de México y Municipios</w:t>
      </w:r>
      <w:r w:rsidRPr="001E5FA2">
        <w:rPr>
          <w:rFonts w:ascii="Palatino Linotype" w:eastAsia="Calibri" w:hAnsi="Palatino Linotype" w:cs="Arial"/>
          <w:sz w:val="24"/>
          <w:szCs w:val="24"/>
          <w:lang w:val="es-ES" w:eastAsia="es-ES"/>
        </w:rPr>
        <w:t xml:space="preserve">; </w:t>
      </w:r>
      <w:r w:rsidRPr="001E5FA2">
        <w:rPr>
          <w:rFonts w:ascii="Palatino Linotype" w:eastAsia="Calibri" w:hAnsi="Palatino Linotype" w:cs="Arial"/>
          <w:b/>
          <w:sz w:val="24"/>
          <w:szCs w:val="24"/>
          <w:lang w:val="es-ES" w:eastAsia="es-ES"/>
        </w:rPr>
        <w:t>7, 9 fracciones I y XXIV, y 11</w:t>
      </w:r>
      <w:r w:rsidRPr="001E5FA2">
        <w:rPr>
          <w:rFonts w:ascii="Palatino Linotype" w:eastAsia="Calibri" w:hAnsi="Palatino Linotype" w:cs="Arial"/>
          <w:sz w:val="24"/>
          <w:szCs w:val="24"/>
          <w:lang w:val="es-ES" w:eastAsia="es-ES"/>
        </w:rPr>
        <w:t xml:space="preserve"> del </w:t>
      </w:r>
      <w:r w:rsidRPr="001E5FA2">
        <w:rPr>
          <w:rFonts w:ascii="Palatino Linotype" w:eastAsia="Calibri" w:hAnsi="Palatino Linotype" w:cs="Arial"/>
          <w:b/>
          <w:sz w:val="24"/>
          <w:szCs w:val="24"/>
          <w:lang w:val="es-ES" w:eastAsia="es-ES"/>
        </w:rPr>
        <w:t>Reglamento Interior del Instituto de Transparencia, Acceso a la Información Pública y Protección de Datos Personales del Estado de México y Municipios</w:t>
      </w:r>
      <w:r w:rsidRPr="001E5FA2">
        <w:rPr>
          <w:rFonts w:ascii="Palatino Linotype" w:eastAsia="MS Mincho" w:hAnsi="Palatino Linotype" w:cs="Times New Roman"/>
          <w:sz w:val="24"/>
          <w:szCs w:val="24"/>
          <w:lang w:val="es-ES_tradnl" w:eastAsia="es-ES"/>
        </w:rPr>
        <w:t>.</w:t>
      </w:r>
    </w:p>
    <w:p w:rsidR="00F14810" w:rsidRPr="001E5FA2" w:rsidRDefault="00F14810" w:rsidP="00F14810">
      <w:pPr>
        <w:spacing w:after="0" w:line="360" w:lineRule="auto"/>
        <w:ind w:right="48"/>
        <w:contextualSpacing/>
        <w:jc w:val="both"/>
        <w:rPr>
          <w:rFonts w:ascii="Palatino Linotype" w:eastAsia="MS Mincho" w:hAnsi="Palatino Linotype" w:cs="Times New Roman"/>
          <w:sz w:val="24"/>
          <w:szCs w:val="24"/>
          <w:lang w:val="es-ES_tradnl" w:eastAsia="es-ES"/>
        </w:rPr>
      </w:pPr>
    </w:p>
    <w:p w:rsidR="00F14810" w:rsidRPr="001E5FA2" w:rsidRDefault="00F14810" w:rsidP="00F14810">
      <w:pPr>
        <w:keepNext/>
        <w:keepLines/>
        <w:spacing w:after="0" w:line="360" w:lineRule="auto"/>
        <w:ind w:right="48"/>
        <w:outlineLvl w:val="0"/>
        <w:rPr>
          <w:rFonts w:ascii="Palatino Linotype" w:eastAsia="MS Gothic" w:hAnsi="Palatino Linotype" w:cs="Times New Roman"/>
          <w:b/>
          <w:sz w:val="24"/>
          <w:szCs w:val="26"/>
        </w:rPr>
      </w:pPr>
      <w:bookmarkStart w:id="3" w:name="_Toc67584828"/>
      <w:r w:rsidRPr="001E5FA2">
        <w:rPr>
          <w:rFonts w:ascii="Palatino Linotype" w:eastAsia="MS Mincho" w:hAnsi="Palatino Linotype" w:cstheme="majorBidi"/>
          <w:b/>
          <w:sz w:val="24"/>
          <w:szCs w:val="24"/>
          <w:lang w:val="es-ES_tradnl" w:eastAsia="es-ES"/>
        </w:rPr>
        <w:t>SEGUNDO</w:t>
      </w:r>
      <w:r w:rsidRPr="001E5FA2">
        <w:rPr>
          <w:rFonts w:ascii="Palatino Linotype" w:eastAsia="MS Gothic" w:hAnsi="Palatino Linotype" w:cs="Times New Roman"/>
          <w:b/>
          <w:sz w:val="24"/>
          <w:szCs w:val="26"/>
        </w:rPr>
        <w:t>. De la oportunidad y procedibilidad del recurso de revisión.</w:t>
      </w:r>
      <w:bookmarkEnd w:id="3"/>
    </w:p>
    <w:p w:rsidR="00F14810" w:rsidRPr="001E5FA2" w:rsidRDefault="00F14810" w:rsidP="00F14810">
      <w:pPr>
        <w:spacing w:after="0" w:line="360" w:lineRule="auto"/>
        <w:ind w:left="720" w:right="48"/>
        <w:contextualSpacing/>
        <w:rPr>
          <w:rFonts w:ascii="Palatino Linotype" w:eastAsia="Calibri" w:hAnsi="Palatino Linotype" w:cs="Arial"/>
          <w:sz w:val="24"/>
          <w:szCs w:val="24"/>
          <w:lang w:val="es-ES_tradnl" w:eastAsia="es-ES"/>
        </w:rPr>
      </w:pPr>
    </w:p>
    <w:p w:rsidR="00F14810" w:rsidRPr="001E5FA2" w:rsidRDefault="00F14810" w:rsidP="00F14810">
      <w:pPr>
        <w:numPr>
          <w:ilvl w:val="0"/>
          <w:numId w:val="1"/>
        </w:numPr>
        <w:spacing w:after="0" w:line="360" w:lineRule="auto"/>
        <w:ind w:left="0" w:right="48" w:firstLine="0"/>
        <w:contextualSpacing/>
        <w:jc w:val="both"/>
        <w:rPr>
          <w:rFonts w:ascii="Palatino Linotype" w:eastAsiaTheme="minorEastAsia" w:hAnsi="Palatino Linotype"/>
          <w:sz w:val="24"/>
          <w:szCs w:val="24"/>
          <w:lang w:val="es-ES_tradnl" w:eastAsia="es-ES"/>
        </w:rPr>
      </w:pPr>
      <w:r w:rsidRPr="001E5FA2">
        <w:rPr>
          <w:rFonts w:ascii="Palatino Linotype" w:eastAsia="Calibri" w:hAnsi="Palatino Linotype" w:cs="Arial"/>
          <w:sz w:val="24"/>
          <w:szCs w:val="24"/>
          <w:lang w:val="es-ES_tradnl" w:eastAsia="es-ES"/>
        </w:rPr>
        <w:t xml:space="preserve">El medio de impugnación fue presentado a través del </w:t>
      </w:r>
      <w:r w:rsidRPr="001E5FA2">
        <w:rPr>
          <w:rFonts w:ascii="Palatino Linotype" w:eastAsia="Calibri" w:hAnsi="Palatino Linotype" w:cs="Arial"/>
          <w:b/>
          <w:sz w:val="24"/>
          <w:szCs w:val="24"/>
          <w:lang w:val="es-ES_tradnl" w:eastAsia="es-ES"/>
        </w:rPr>
        <w:t>SAIMEX,</w:t>
      </w:r>
      <w:r w:rsidRPr="001E5FA2">
        <w:rPr>
          <w:rFonts w:ascii="Palatino Linotype" w:eastAsia="Calibri" w:hAnsi="Palatino Linotype" w:cs="Arial"/>
          <w:sz w:val="24"/>
          <w:szCs w:val="24"/>
          <w:lang w:val="es-ES_tradnl" w:eastAsia="es-ES"/>
        </w:rPr>
        <w:t xml:space="preserve"> en el formato previamente aprobado para tal efecto y dentro del plazo legal de quince días hábiles otorgados; para el caso en particular es de señalar que el </w:t>
      </w:r>
      <w:r w:rsidRPr="001E5FA2">
        <w:rPr>
          <w:rFonts w:ascii="Palatino Linotype" w:eastAsia="Calibri" w:hAnsi="Palatino Linotype" w:cs="Arial"/>
          <w:b/>
          <w:sz w:val="24"/>
          <w:szCs w:val="24"/>
          <w:lang w:val="es-ES_tradnl" w:eastAsia="es-ES"/>
        </w:rPr>
        <w:t>SUJETO OBLIGADO</w:t>
      </w:r>
      <w:r w:rsidRPr="001E5FA2">
        <w:rPr>
          <w:rFonts w:ascii="Palatino Linotype" w:eastAsia="Calibri" w:hAnsi="Palatino Linotype" w:cs="Arial"/>
          <w:sz w:val="24"/>
          <w:szCs w:val="24"/>
          <w:lang w:val="es-ES_tradnl" w:eastAsia="es-ES"/>
        </w:rPr>
        <w:t xml:space="preserve"> entregó respuesta el día </w:t>
      </w:r>
      <w:r w:rsidR="00C24A54" w:rsidRPr="001E5FA2">
        <w:rPr>
          <w:rFonts w:ascii="Palatino Linotype" w:eastAsia="Calibri" w:hAnsi="Palatino Linotype" w:cs="Arial"/>
          <w:sz w:val="24"/>
          <w:szCs w:val="24"/>
          <w:lang w:val="es-ES_tradnl" w:eastAsia="es-ES"/>
        </w:rPr>
        <w:t xml:space="preserve">veinticuatro (24) de febrero </w:t>
      </w:r>
      <w:r w:rsidRPr="001E5FA2">
        <w:rPr>
          <w:rFonts w:ascii="Palatino Linotype" w:eastAsia="Calibri" w:hAnsi="Palatino Linotype" w:cs="Arial"/>
          <w:sz w:val="24"/>
          <w:szCs w:val="24"/>
          <w:lang w:val="es-ES_tradnl" w:eastAsia="es-ES"/>
        </w:rPr>
        <w:t xml:space="preserve"> de dos mil veintiuno, </w:t>
      </w:r>
      <w:r w:rsidRPr="001E5FA2">
        <w:rPr>
          <w:rFonts w:ascii="Palatino Linotype" w:eastAsiaTheme="minorEastAsia" w:hAnsi="Palatino Linotype" w:cs="Arial"/>
          <w:sz w:val="24"/>
          <w:szCs w:val="24"/>
          <w:lang w:val="es-ES_tradnl" w:eastAsia="es-ES"/>
        </w:rPr>
        <w:t xml:space="preserve">de tal forma que el plazo para interponer el recurso transcurrió del día </w:t>
      </w:r>
      <w:r w:rsidR="00C24A54" w:rsidRPr="001E5FA2">
        <w:rPr>
          <w:rFonts w:ascii="Palatino Linotype" w:eastAsiaTheme="minorEastAsia" w:hAnsi="Palatino Linotype" w:cs="Arial"/>
          <w:sz w:val="24"/>
          <w:szCs w:val="24"/>
          <w:lang w:val="es-ES_tradnl" w:eastAsia="es-ES"/>
        </w:rPr>
        <w:t>veinticinco (25) de febrero</w:t>
      </w:r>
      <w:r w:rsidRPr="001E5FA2">
        <w:rPr>
          <w:rFonts w:ascii="Palatino Linotype" w:eastAsiaTheme="minorEastAsia" w:hAnsi="Palatino Linotype" w:cs="Arial"/>
          <w:sz w:val="24"/>
          <w:szCs w:val="24"/>
          <w:lang w:val="es-ES_tradnl" w:eastAsia="es-ES"/>
        </w:rPr>
        <w:t xml:space="preserve">  al </w:t>
      </w:r>
      <w:r w:rsidR="00C24A54" w:rsidRPr="001E5FA2">
        <w:rPr>
          <w:rFonts w:ascii="Palatino Linotype" w:eastAsiaTheme="minorEastAsia" w:hAnsi="Palatino Linotype" w:cs="Arial"/>
          <w:sz w:val="24"/>
          <w:szCs w:val="24"/>
          <w:lang w:val="es-ES_tradnl" w:eastAsia="es-ES"/>
        </w:rPr>
        <w:t xml:space="preserve">diecinueve (19) de marzo </w:t>
      </w:r>
      <w:r w:rsidRPr="001E5FA2">
        <w:rPr>
          <w:rFonts w:ascii="Palatino Linotype" w:eastAsiaTheme="minorEastAsia" w:hAnsi="Palatino Linotype" w:cs="Arial"/>
          <w:sz w:val="24"/>
          <w:szCs w:val="24"/>
          <w:lang w:val="es-ES_tradnl" w:eastAsia="es-ES"/>
        </w:rPr>
        <w:t xml:space="preserve"> de dos mil veintiuno; en consecuencia, si el particular presentó su inconformidad el día </w:t>
      </w:r>
      <w:r w:rsidR="00763BC1" w:rsidRPr="001E5FA2">
        <w:rPr>
          <w:rFonts w:ascii="Palatino Linotype" w:eastAsiaTheme="minorEastAsia" w:hAnsi="Palatino Linotype" w:cs="Arial"/>
          <w:sz w:val="24"/>
          <w:szCs w:val="24"/>
          <w:lang w:val="es-ES_tradnl" w:eastAsia="es-ES"/>
        </w:rPr>
        <w:t xml:space="preserve">dos (02) de marzo </w:t>
      </w:r>
      <w:r w:rsidRPr="001E5FA2">
        <w:rPr>
          <w:rFonts w:ascii="Palatino Linotype" w:eastAsiaTheme="minorEastAsia" w:hAnsi="Palatino Linotype" w:cs="Arial"/>
          <w:sz w:val="24"/>
          <w:szCs w:val="24"/>
          <w:lang w:val="es-ES_tradnl" w:eastAsia="es-ES"/>
        </w:rPr>
        <w:t xml:space="preserve">  de dos mil veintiuno, se encuentra dentro de los márgenes temporales previstos en el artículo 178 de la </w:t>
      </w:r>
      <w:r w:rsidRPr="001E5FA2">
        <w:rPr>
          <w:rFonts w:ascii="Palatino Linotype" w:eastAsiaTheme="minorEastAsia" w:hAnsi="Palatino Linotype" w:cs="Arial"/>
          <w:b/>
          <w:sz w:val="24"/>
          <w:szCs w:val="24"/>
          <w:lang w:val="es-ES_tradnl" w:eastAsia="es-ES"/>
        </w:rPr>
        <w:t xml:space="preserve">Ley de Transparencia y Acceso a la Información Pública del Estado de México y Municipios </w:t>
      </w:r>
      <w:r w:rsidRPr="001E5FA2">
        <w:rPr>
          <w:rFonts w:ascii="Palatino Linotype" w:eastAsiaTheme="minorEastAsia" w:hAnsi="Palatino Linotype" w:cs="Arial"/>
          <w:sz w:val="24"/>
          <w:szCs w:val="24"/>
          <w:lang w:val="es-ES_tradnl" w:eastAsia="es-ES"/>
        </w:rPr>
        <w:t xml:space="preserve">vigente. </w:t>
      </w:r>
    </w:p>
    <w:p w:rsidR="00F14810" w:rsidRPr="001E5FA2" w:rsidRDefault="00F14810" w:rsidP="00F14810">
      <w:pPr>
        <w:spacing w:after="0" w:line="360" w:lineRule="auto"/>
        <w:ind w:right="48"/>
        <w:contextualSpacing/>
        <w:jc w:val="both"/>
        <w:rPr>
          <w:rFonts w:ascii="Palatino Linotype" w:eastAsiaTheme="minorEastAsia" w:hAnsi="Palatino Linotype"/>
          <w:sz w:val="24"/>
          <w:szCs w:val="24"/>
          <w:lang w:val="es-ES_tradnl" w:eastAsia="es-ES"/>
        </w:rPr>
      </w:pPr>
    </w:p>
    <w:p w:rsidR="00F14810" w:rsidRPr="001E5FA2" w:rsidRDefault="00F14810" w:rsidP="00F14810">
      <w:pPr>
        <w:numPr>
          <w:ilvl w:val="0"/>
          <w:numId w:val="1"/>
        </w:numPr>
        <w:spacing w:after="0" w:line="360" w:lineRule="auto"/>
        <w:ind w:left="0" w:right="48" w:firstLine="0"/>
        <w:contextualSpacing/>
        <w:jc w:val="both"/>
        <w:rPr>
          <w:rFonts w:ascii="Palatino Linotype" w:eastAsiaTheme="minorEastAsia" w:hAnsi="Palatino Linotype"/>
          <w:sz w:val="24"/>
          <w:szCs w:val="24"/>
          <w:lang w:val="es-ES_tradnl" w:eastAsia="es-ES"/>
        </w:rPr>
      </w:pPr>
      <w:r w:rsidRPr="001E5FA2">
        <w:rPr>
          <w:rFonts w:ascii="Palatino Linotype" w:eastAsia="Calibri" w:hAnsi="Palatino Linotype" w:cs="Arial"/>
          <w:sz w:val="24"/>
          <w:szCs w:val="24"/>
          <w:lang w:val="es-ES_tradnl" w:eastAsia="es-ES"/>
        </w:rPr>
        <w:t>Por otro lado,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rsidR="00F14810" w:rsidRPr="001E5FA2" w:rsidRDefault="00F14810" w:rsidP="00F14810">
      <w:pPr>
        <w:spacing w:after="0" w:line="360" w:lineRule="auto"/>
        <w:ind w:right="48"/>
        <w:contextualSpacing/>
        <w:jc w:val="both"/>
        <w:rPr>
          <w:rFonts w:ascii="Palatino Linotype" w:eastAsiaTheme="minorEastAsia" w:hAnsi="Palatino Linotype"/>
          <w:sz w:val="24"/>
          <w:szCs w:val="24"/>
          <w:lang w:val="es-ES_tradnl" w:eastAsia="es-ES"/>
        </w:rPr>
      </w:pPr>
    </w:p>
    <w:p w:rsidR="00F14810" w:rsidRPr="001E5FA2" w:rsidRDefault="00F14810" w:rsidP="00F14810">
      <w:pPr>
        <w:keepNext/>
        <w:keepLines/>
        <w:spacing w:after="0" w:line="360" w:lineRule="auto"/>
        <w:ind w:right="48"/>
        <w:outlineLvl w:val="0"/>
        <w:rPr>
          <w:rFonts w:ascii="Palatino Linotype" w:eastAsia="MS Gothic" w:hAnsi="Palatino Linotype" w:cs="Times New Roman"/>
          <w:b/>
          <w:sz w:val="24"/>
          <w:szCs w:val="24"/>
        </w:rPr>
      </w:pPr>
      <w:bookmarkStart w:id="4" w:name="_Toc67584829"/>
      <w:r w:rsidRPr="001E5FA2">
        <w:rPr>
          <w:rFonts w:ascii="Palatino Linotype" w:eastAsia="MS Mincho" w:hAnsi="Palatino Linotype" w:cstheme="majorBidi"/>
          <w:b/>
          <w:sz w:val="24"/>
          <w:szCs w:val="24"/>
          <w:lang w:val="es-ES_tradnl" w:eastAsia="es-ES"/>
        </w:rPr>
        <w:t xml:space="preserve">TERCERO. </w:t>
      </w:r>
      <w:bookmarkStart w:id="5" w:name="_Toc455991148"/>
      <w:bookmarkStart w:id="6" w:name="_Toc450120669"/>
      <w:bookmarkStart w:id="7" w:name="_Toc461555896"/>
      <w:bookmarkStart w:id="8" w:name="_Toc462154385"/>
      <w:bookmarkStart w:id="9" w:name="_Toc462660376"/>
      <w:bookmarkStart w:id="10" w:name="_Toc462660687"/>
      <w:bookmarkStart w:id="11" w:name="_Toc462660766"/>
      <w:bookmarkStart w:id="12" w:name="_Toc465264624"/>
      <w:bookmarkStart w:id="13" w:name="_Toc465264870"/>
      <w:bookmarkStart w:id="14" w:name="_Toc465266520"/>
      <w:bookmarkStart w:id="15" w:name="_Toc466302258"/>
      <w:bookmarkStart w:id="16" w:name="_Toc466371866"/>
      <w:bookmarkStart w:id="17" w:name="_Toc466371925"/>
      <w:bookmarkStart w:id="18" w:name="_Toc466377654"/>
      <w:bookmarkStart w:id="19" w:name="_Toc478549736"/>
      <w:bookmarkStart w:id="20" w:name="_Toc478572850"/>
      <w:bookmarkStart w:id="21" w:name="_Toc479238537"/>
      <w:bookmarkStart w:id="22" w:name="_Toc461555893"/>
      <w:bookmarkStart w:id="23" w:name="_Toc458016386"/>
      <w:bookmarkStart w:id="24" w:name="_Toc455743517"/>
      <w:bookmarkStart w:id="25" w:name="_Toc454968928"/>
      <w:r w:rsidRPr="001E5FA2">
        <w:rPr>
          <w:rFonts w:ascii="Palatino Linotype" w:eastAsia="MS Mincho" w:hAnsi="Palatino Linotype" w:cstheme="majorBidi"/>
          <w:b/>
          <w:sz w:val="24"/>
          <w:szCs w:val="24"/>
          <w:lang w:val="es-ES_tradnl" w:eastAsia="es-ES"/>
        </w:rPr>
        <w:t>De previo y especial pronunciamiento</w:t>
      </w:r>
      <w:bookmarkEnd w:id="4"/>
    </w:p>
    <w:p w:rsidR="00F14810" w:rsidRPr="001E5FA2" w:rsidRDefault="00F14810" w:rsidP="00F14810">
      <w:pPr>
        <w:keepNext/>
        <w:keepLines/>
        <w:spacing w:after="0" w:line="360" w:lineRule="auto"/>
        <w:ind w:right="48"/>
        <w:outlineLvl w:val="0"/>
        <w:rPr>
          <w:rFonts w:ascii="Palatino Linotype" w:eastAsia="MS Gothic" w:hAnsi="Palatino Linotype" w:cs="Times New Roman"/>
          <w:b/>
          <w:sz w:val="24"/>
          <w:szCs w:val="24"/>
        </w:rPr>
      </w:pPr>
    </w:p>
    <w:p w:rsidR="00F14810" w:rsidRPr="001E5FA2" w:rsidRDefault="00F14810" w:rsidP="00F14810">
      <w:pPr>
        <w:pStyle w:val="Prrafodelista"/>
        <w:numPr>
          <w:ilvl w:val="0"/>
          <w:numId w:val="1"/>
        </w:numPr>
        <w:spacing w:line="360" w:lineRule="auto"/>
        <w:ind w:left="0" w:firstLine="0"/>
        <w:jc w:val="both"/>
        <w:rPr>
          <w:rFonts w:ascii="Palatino Linotype" w:hAnsi="Palatino Linotype"/>
          <w:sz w:val="24"/>
          <w:szCs w:val="24"/>
          <w:lang w:val="es-ES"/>
        </w:rPr>
      </w:pPr>
      <w:r w:rsidRPr="001E5FA2">
        <w:rPr>
          <w:rFonts w:ascii="Palatino Linotype" w:hAnsi="Palatino Linotype"/>
          <w:sz w:val="24"/>
          <w:szCs w:val="24"/>
          <w:lang w:val="es-ES"/>
        </w:rPr>
        <w:t xml:space="preserve">Ahora bien, desde que inició, a finales de 2019, la crisis generada por el virus </w:t>
      </w:r>
      <w:r w:rsidRPr="001E5FA2">
        <w:rPr>
          <w:rFonts w:ascii="Palatino Linotype" w:hAnsi="Palatino Linotype"/>
          <w:b/>
          <w:sz w:val="24"/>
          <w:szCs w:val="24"/>
          <w:lang w:val="es-ES"/>
        </w:rPr>
        <w:t>SARS-Cov-2 -  COVID-19</w:t>
      </w:r>
      <w:r w:rsidRPr="001E5FA2">
        <w:rPr>
          <w:rFonts w:ascii="Palatino Linotype" w:hAnsi="Palatino Linotype"/>
          <w:sz w:val="24"/>
          <w:szCs w:val="24"/>
          <w:lang w:val="es-ES"/>
        </w:rPr>
        <w:t>, las sociedades y los Estados, se han visto sometidos a una inusitada presión para tratar de adoptar las decisiones que permitan asegurar las mejores condiciones para la protección de salud y la vida de las personas al mismo tiempo que se hacen los mayores esfuerzos posibles para garantizar el funcionamiento social y gubernamental en un contexto de una nueva realidad o normalidad.</w:t>
      </w:r>
    </w:p>
    <w:p w:rsidR="00F14810" w:rsidRPr="001E5FA2" w:rsidRDefault="00F14810" w:rsidP="00F14810">
      <w:pPr>
        <w:pStyle w:val="Prrafodelista"/>
        <w:ind w:left="1778"/>
        <w:jc w:val="both"/>
        <w:rPr>
          <w:rFonts w:ascii="Palatino Linotype" w:hAnsi="Palatino Linotype"/>
          <w:sz w:val="24"/>
          <w:szCs w:val="24"/>
          <w:lang w:val="es-ES"/>
        </w:rPr>
      </w:pPr>
    </w:p>
    <w:p w:rsidR="00F14810" w:rsidRPr="001E5FA2" w:rsidRDefault="00F14810" w:rsidP="00F14810">
      <w:pPr>
        <w:pStyle w:val="Prrafodelista"/>
        <w:numPr>
          <w:ilvl w:val="0"/>
          <w:numId w:val="1"/>
        </w:numPr>
        <w:spacing w:line="360" w:lineRule="auto"/>
        <w:ind w:left="0" w:firstLine="0"/>
        <w:jc w:val="both"/>
        <w:rPr>
          <w:rFonts w:ascii="Palatino Linotype" w:hAnsi="Palatino Linotype"/>
          <w:sz w:val="24"/>
          <w:szCs w:val="24"/>
          <w:lang w:val="es-ES"/>
        </w:rPr>
      </w:pPr>
      <w:r w:rsidRPr="001E5FA2">
        <w:rPr>
          <w:rFonts w:ascii="Palatino Linotype" w:hAnsi="Palatino Linotype"/>
          <w:sz w:val="24"/>
          <w:szCs w:val="24"/>
          <w:lang w:val="es-ES"/>
        </w:rPr>
        <w:t>Las acciones adoptadas al año pasado, y de mayor impacto, llegaron incluso a la suspensión de las actividades no prioritarias como una medida indispensable para disminuir la concurrencia de personas y, con ello, tratar de disminuir los contagios y sus efectos en la salud y en la vida, especialmente, de los grupos más vulnerables.</w:t>
      </w:r>
    </w:p>
    <w:p w:rsidR="00F14810" w:rsidRPr="001E5FA2" w:rsidRDefault="00F14810" w:rsidP="00F14810">
      <w:pPr>
        <w:pStyle w:val="Prrafodelista"/>
        <w:spacing w:line="360" w:lineRule="auto"/>
        <w:ind w:left="0"/>
        <w:jc w:val="both"/>
        <w:rPr>
          <w:rFonts w:ascii="Palatino Linotype" w:hAnsi="Palatino Linotype"/>
          <w:sz w:val="24"/>
          <w:szCs w:val="24"/>
          <w:lang w:val="es-ES"/>
        </w:rPr>
      </w:pPr>
    </w:p>
    <w:p w:rsidR="00F14810" w:rsidRPr="001E5FA2" w:rsidRDefault="00F14810" w:rsidP="00F14810">
      <w:pPr>
        <w:pStyle w:val="Prrafodelista"/>
        <w:numPr>
          <w:ilvl w:val="0"/>
          <w:numId w:val="1"/>
        </w:numPr>
        <w:spacing w:line="360" w:lineRule="auto"/>
        <w:ind w:left="0" w:firstLine="0"/>
        <w:jc w:val="both"/>
        <w:rPr>
          <w:rFonts w:ascii="Palatino Linotype" w:hAnsi="Palatino Linotype"/>
          <w:sz w:val="24"/>
          <w:szCs w:val="24"/>
          <w:lang w:val="es-ES"/>
        </w:rPr>
      </w:pPr>
      <w:r w:rsidRPr="001E5FA2">
        <w:rPr>
          <w:rFonts w:ascii="Palatino Linotype" w:hAnsi="Palatino Linotype"/>
          <w:sz w:val="24"/>
          <w:szCs w:val="24"/>
          <w:lang w:val="es-ES"/>
        </w:rPr>
        <w:t>Por esa razón, durante los meses de marzo, abril, mayo, junio y julio del año pasado, el Órgano Garante recurrió a la suspensión de plazos para la substanciación de los procedimientos establecidos en la Ley de Transparencia y Acceso a la Información Pública del Estado de México y Municipios así como en la Ley de Protección de Datos Personales en Posesión de los Sujetos Obligados del Estado de México y Municipios, lo que, combinado con los periodos de asueto y días inhábiles, permitieron evitar la concentración de personal de los sujetos obligados para atender estos procedimientos, mientras el país y el estado enfrentaban las condiciones de semáforo rojo sanitario.</w:t>
      </w:r>
    </w:p>
    <w:p w:rsidR="00F14810" w:rsidRPr="001E5FA2" w:rsidRDefault="00F14810" w:rsidP="00F14810">
      <w:pPr>
        <w:pStyle w:val="Prrafodelista"/>
        <w:spacing w:line="360" w:lineRule="auto"/>
        <w:ind w:left="0"/>
        <w:jc w:val="both"/>
        <w:rPr>
          <w:rFonts w:ascii="Palatino Linotype" w:hAnsi="Palatino Linotype"/>
          <w:sz w:val="24"/>
          <w:szCs w:val="24"/>
          <w:lang w:val="es-ES"/>
        </w:rPr>
      </w:pPr>
    </w:p>
    <w:p w:rsidR="00F14810" w:rsidRPr="001E5FA2" w:rsidRDefault="00F14810" w:rsidP="00F14810">
      <w:pPr>
        <w:pStyle w:val="Prrafodelista"/>
        <w:numPr>
          <w:ilvl w:val="0"/>
          <w:numId w:val="1"/>
        </w:numPr>
        <w:spacing w:line="360" w:lineRule="auto"/>
        <w:ind w:left="0" w:firstLine="0"/>
        <w:jc w:val="both"/>
        <w:rPr>
          <w:rFonts w:ascii="Palatino Linotype" w:hAnsi="Palatino Linotype"/>
          <w:sz w:val="24"/>
          <w:szCs w:val="24"/>
          <w:lang w:val="es-ES"/>
        </w:rPr>
      </w:pPr>
      <w:r w:rsidRPr="001E5FA2">
        <w:rPr>
          <w:rFonts w:ascii="Palatino Linotype" w:hAnsi="Palatino Linotype"/>
          <w:sz w:val="24"/>
          <w:szCs w:val="24"/>
          <w:lang w:val="es-ES"/>
        </w:rPr>
        <w:lastRenderedPageBreak/>
        <w:t>Luego del periodo de agosto a diciembre, en el que las condiciones de riesgo bajaron para situar a algunos estados en verde, amarillo y naranja en el semáforo administrado por las autoridades de salud, el cierre de 2020 y el inicio del presente año se han caracterizado por el regreso de nuestra entidad a las condiciones de alto riesgo por el incremento de contagios y por la incidencia de casos graves que volvieron a presionar al sistema de salud, razones que han conducido a las autoridades sanitarias a emitir nuevas disposiciones para suspender las funciones presenciales de las instituciones públicas, que incluyen tanto a los sujetos obligados como a este Órgano.</w:t>
      </w:r>
    </w:p>
    <w:p w:rsidR="00F14810" w:rsidRPr="001E5FA2" w:rsidRDefault="00F14810" w:rsidP="00F14810">
      <w:pPr>
        <w:pStyle w:val="Prrafodelista"/>
        <w:spacing w:line="360" w:lineRule="auto"/>
        <w:ind w:left="0"/>
        <w:jc w:val="both"/>
        <w:rPr>
          <w:rFonts w:ascii="Palatino Linotype" w:hAnsi="Palatino Linotype"/>
          <w:sz w:val="24"/>
          <w:szCs w:val="24"/>
          <w:lang w:val="es-ES"/>
        </w:rPr>
      </w:pPr>
    </w:p>
    <w:p w:rsidR="00F14810" w:rsidRPr="001E5FA2" w:rsidRDefault="00F14810" w:rsidP="00F14810">
      <w:pPr>
        <w:pStyle w:val="Prrafodelista"/>
        <w:numPr>
          <w:ilvl w:val="0"/>
          <w:numId w:val="1"/>
        </w:numPr>
        <w:spacing w:line="360" w:lineRule="auto"/>
        <w:ind w:left="0" w:firstLine="0"/>
        <w:jc w:val="both"/>
        <w:rPr>
          <w:rFonts w:ascii="Palatino Linotype" w:hAnsi="Palatino Linotype"/>
          <w:sz w:val="24"/>
          <w:szCs w:val="24"/>
          <w:lang w:val="es-ES"/>
        </w:rPr>
      </w:pPr>
      <w:r w:rsidRPr="001E5FA2">
        <w:rPr>
          <w:rFonts w:ascii="Palatino Linotype" w:hAnsi="Palatino Linotype"/>
          <w:sz w:val="24"/>
          <w:szCs w:val="24"/>
          <w:lang w:val="es-ES"/>
        </w:rPr>
        <w:t>Sin embargo, también es necesario señalar que, a pesar de las condiciones de suspensión de actividades del año anterior, es evidente y claro que los sujetos obligados continuaron ejerciendo determinadas facultades, competencias o funciones de carácter interno o de atención de contribuyentes, usuarios y beneficiarios de bienes y servicios públicos. Al ejercerlas, se han documentado las acciones y, en gran medida, este ejercicio y documentación de actos fue resultado de un proceso de rediseño del funcionamiento de las propias dependencias bajo la modalidad del hoy conocido como teletrabajo, trabajo en casa o trabajo a distancia, que ha priorizado el uso de las tecnologías de la información para estos fines, lo que ocurrió tanto en el sector público como en el privado, incluso, el propio Congreso de la Unión, recientemente aprobó la reforma al artículo 311 y la adición del capítulo XII Bis a la Ley del Federal del Trabajo en materia de teletrabajo.</w:t>
      </w:r>
    </w:p>
    <w:p w:rsidR="00F14810" w:rsidRPr="001E5FA2" w:rsidRDefault="00F14810" w:rsidP="00F14810">
      <w:pPr>
        <w:pStyle w:val="Prrafodelista"/>
        <w:spacing w:line="360" w:lineRule="auto"/>
        <w:ind w:left="0"/>
        <w:jc w:val="both"/>
        <w:rPr>
          <w:rFonts w:ascii="Palatino Linotype" w:hAnsi="Palatino Linotype"/>
          <w:sz w:val="24"/>
          <w:szCs w:val="24"/>
          <w:lang w:val="es-ES"/>
        </w:rPr>
      </w:pPr>
    </w:p>
    <w:p w:rsidR="00F14810" w:rsidRPr="001E5FA2" w:rsidRDefault="00F14810" w:rsidP="00F14810">
      <w:pPr>
        <w:pStyle w:val="Prrafodelista"/>
        <w:numPr>
          <w:ilvl w:val="0"/>
          <w:numId w:val="1"/>
        </w:numPr>
        <w:spacing w:line="360" w:lineRule="auto"/>
        <w:ind w:left="0" w:firstLine="0"/>
        <w:jc w:val="both"/>
        <w:rPr>
          <w:rFonts w:ascii="Palatino Linotype" w:hAnsi="Palatino Linotype"/>
          <w:sz w:val="24"/>
          <w:szCs w:val="24"/>
          <w:lang w:val="es-ES"/>
        </w:rPr>
      </w:pPr>
      <w:r w:rsidRPr="001E5FA2">
        <w:rPr>
          <w:rFonts w:ascii="Palatino Linotype" w:hAnsi="Palatino Linotype"/>
          <w:sz w:val="24"/>
          <w:szCs w:val="24"/>
          <w:lang w:val="es-ES"/>
        </w:rPr>
        <w:t xml:space="preserve">El INFOEM, respetuoso de las medidas adoptadas por la autoridad sanitaria, así como la mayor parte de los sujetos obligados, hemos venido implementado una serie de medidas y acciones para darle continuidad a nuestro funcionamiento interno y, en la </w:t>
      </w:r>
      <w:r w:rsidRPr="001E5FA2">
        <w:rPr>
          <w:rFonts w:ascii="Palatino Linotype" w:hAnsi="Palatino Linotype"/>
          <w:sz w:val="24"/>
          <w:szCs w:val="24"/>
          <w:lang w:val="es-ES"/>
        </w:rPr>
        <w:lastRenderedPageBreak/>
        <w:t xml:space="preserve">mayor medida posible, atender las demandas justas y legítimas de la población, adoptando esta modalidad de trabajo a distancia o trabajo en casa, para cumplir con el objetivo más importante de las medidas adoptadas contra el COVID-19, disminuir el tránsito de personas, evitar la concentración de las mismas y, con ello, tratar de frenar los contagios, acciones que se centran en el esfuerzo conjunto para evitar que los servidores públicos acudan a sus centros de trabajo para desempeñar sus funciones. </w:t>
      </w:r>
    </w:p>
    <w:p w:rsidR="00F14810" w:rsidRPr="001E5FA2" w:rsidRDefault="00F14810" w:rsidP="00F14810">
      <w:pPr>
        <w:pStyle w:val="Prrafodelista"/>
        <w:spacing w:line="360" w:lineRule="auto"/>
        <w:ind w:left="0"/>
        <w:jc w:val="both"/>
        <w:rPr>
          <w:rFonts w:ascii="Palatino Linotype" w:hAnsi="Palatino Linotype"/>
          <w:sz w:val="24"/>
          <w:szCs w:val="24"/>
          <w:lang w:val="es-ES"/>
        </w:rPr>
      </w:pPr>
    </w:p>
    <w:p w:rsidR="00F14810" w:rsidRPr="001E5FA2" w:rsidRDefault="00F14810" w:rsidP="00F14810">
      <w:pPr>
        <w:pStyle w:val="Prrafodelista"/>
        <w:numPr>
          <w:ilvl w:val="0"/>
          <w:numId w:val="1"/>
        </w:numPr>
        <w:spacing w:line="360" w:lineRule="auto"/>
        <w:ind w:left="0" w:firstLine="0"/>
        <w:jc w:val="both"/>
        <w:rPr>
          <w:rFonts w:ascii="Palatino Linotype" w:hAnsi="Palatino Linotype"/>
          <w:sz w:val="24"/>
          <w:szCs w:val="24"/>
          <w:lang w:val="es-ES"/>
        </w:rPr>
      </w:pPr>
      <w:r w:rsidRPr="001E5FA2">
        <w:rPr>
          <w:rFonts w:ascii="Palatino Linotype" w:hAnsi="Palatino Linotype"/>
          <w:sz w:val="24"/>
          <w:szCs w:val="24"/>
          <w:lang w:val="es-ES"/>
        </w:rPr>
        <w:t>El diseño de los procedimientos para el ejercicio de los derechos de acceso a la información pública y a la protección de los datos personales, ha descansado en procedimientos electrónicos a través de los sistemas implementados por el INFOEM como es el caso del de Información Pública de Oficio Mexiquense (IPOMEX), Sistema de Acceso a la Información Mexiquense (SAIMEX) y el Sistema de Acceso, Rectificación, Cancelación y oposición del Estado de México (SARCOEM). Lo que en su momento fue concebido bajo una perspectiva de asegurar la accesibilidad de los derechos, en el contexto actual de pandemia adquiere una mayor importancia ya que estas herramientas tecnológicas permiten que la atención de estos procedimientos sea compatible con la modalidad de trabajo a distancia o trabajo en casa.</w:t>
      </w:r>
    </w:p>
    <w:p w:rsidR="00F14810" w:rsidRPr="001E5FA2" w:rsidRDefault="00F14810" w:rsidP="00F14810">
      <w:pPr>
        <w:pStyle w:val="Prrafodelista"/>
        <w:spacing w:line="360" w:lineRule="auto"/>
        <w:ind w:left="0"/>
        <w:jc w:val="both"/>
        <w:rPr>
          <w:rFonts w:ascii="Palatino Linotype" w:hAnsi="Palatino Linotype"/>
          <w:sz w:val="24"/>
          <w:szCs w:val="24"/>
          <w:lang w:val="es-ES"/>
        </w:rPr>
      </w:pPr>
    </w:p>
    <w:p w:rsidR="00F14810" w:rsidRPr="001E5FA2" w:rsidRDefault="00F14810" w:rsidP="00F14810">
      <w:pPr>
        <w:pStyle w:val="Prrafodelista"/>
        <w:numPr>
          <w:ilvl w:val="0"/>
          <w:numId w:val="1"/>
        </w:numPr>
        <w:spacing w:line="360" w:lineRule="auto"/>
        <w:ind w:left="0" w:firstLine="0"/>
        <w:jc w:val="both"/>
        <w:rPr>
          <w:rFonts w:ascii="Palatino Linotype" w:hAnsi="Palatino Linotype"/>
          <w:sz w:val="24"/>
          <w:szCs w:val="24"/>
          <w:lang w:val="es-ES"/>
        </w:rPr>
      </w:pPr>
      <w:r w:rsidRPr="001E5FA2">
        <w:rPr>
          <w:rFonts w:ascii="Palatino Linotype" w:hAnsi="Palatino Linotype"/>
          <w:sz w:val="24"/>
          <w:szCs w:val="24"/>
          <w:lang w:val="es-ES"/>
        </w:rPr>
        <w:t xml:space="preserve">En virtud de lo anterior, este Órgano Garante considera que existen condiciones que permiten que los sujetos obligados atiendan las solicitudes de acceso a la información pública o las solicitudes de ejercicio de los derechos ARCO, ya sea explicando las razones que justifiquen el no ejercicio de determinadas facultades, competencias o funciones, como consecuencia de la suspensión de labores o bien entregando la información que si han generado porque corresponden a facultades, competencias o funciones que, pese a la </w:t>
      </w:r>
      <w:r w:rsidRPr="001E5FA2">
        <w:rPr>
          <w:rFonts w:ascii="Palatino Linotype" w:hAnsi="Palatino Linotype"/>
          <w:sz w:val="24"/>
          <w:szCs w:val="24"/>
          <w:lang w:val="es-ES"/>
        </w:rPr>
        <w:lastRenderedPageBreak/>
        <w:t>suspensión de actividades, continuaron ejerciéndose, generando información que se administra tecnológicamente a través de la modalidad del trabajo a distancia o mediante el desempeño de equipos reducidos o guardias en las instalaciones públicas.</w:t>
      </w:r>
    </w:p>
    <w:p w:rsidR="00F14810" w:rsidRPr="001E5FA2" w:rsidRDefault="00F14810" w:rsidP="00F14810">
      <w:pPr>
        <w:pStyle w:val="Prrafodelista"/>
        <w:spacing w:line="360" w:lineRule="auto"/>
        <w:ind w:left="0"/>
        <w:jc w:val="both"/>
        <w:rPr>
          <w:rFonts w:ascii="Palatino Linotype" w:hAnsi="Palatino Linotype"/>
          <w:sz w:val="24"/>
          <w:szCs w:val="24"/>
          <w:lang w:val="es-ES"/>
        </w:rPr>
      </w:pPr>
    </w:p>
    <w:p w:rsidR="00F14810" w:rsidRPr="001E5FA2" w:rsidRDefault="00F14810" w:rsidP="00F14810">
      <w:pPr>
        <w:pStyle w:val="Prrafodelista"/>
        <w:numPr>
          <w:ilvl w:val="0"/>
          <w:numId w:val="1"/>
        </w:numPr>
        <w:spacing w:line="360" w:lineRule="auto"/>
        <w:ind w:left="0" w:firstLine="0"/>
        <w:jc w:val="both"/>
        <w:rPr>
          <w:rFonts w:ascii="Palatino Linotype" w:hAnsi="Palatino Linotype"/>
          <w:sz w:val="24"/>
          <w:szCs w:val="24"/>
          <w:lang w:val="es-ES"/>
        </w:rPr>
      </w:pPr>
      <w:r w:rsidRPr="001E5FA2">
        <w:rPr>
          <w:rFonts w:ascii="Palatino Linotype" w:hAnsi="Palatino Linotype"/>
          <w:sz w:val="24"/>
          <w:szCs w:val="24"/>
          <w:lang w:val="es-ES"/>
        </w:rPr>
        <w:t>Si bien esto podría considerarse como una nueva presión sobre el funcionamiento de los sujetos obligados, es muy importante destacar el papel e importancia que el acceso a la información pública, relacionada con las acciones que actualmente se realizan, tiene para una sociedad democrática. Este reto es un llamado para mejorar los procedimientos de gestión documental y el propio diseño administrativo, para ser más eficientes, eficaces y transparentes. El acceso a la información pública de manera oportuna puede ser la diferencia para incrementar la responsabilidad en la función pública y el mejor desempeño de nuestras labores, pero sobre todo para orientar a la población en el ejercicio de sus derechos y en la toma de decisiones que pueden tener enorme trascendencia en su proyecto de vida.</w:t>
      </w:r>
    </w:p>
    <w:p w:rsidR="00F14810" w:rsidRPr="001E5FA2" w:rsidRDefault="00F14810" w:rsidP="00F14810">
      <w:pPr>
        <w:pStyle w:val="Prrafodelista"/>
        <w:spacing w:line="360" w:lineRule="auto"/>
        <w:ind w:left="0"/>
        <w:jc w:val="both"/>
        <w:rPr>
          <w:rFonts w:ascii="Palatino Linotype" w:hAnsi="Palatino Linotype"/>
          <w:sz w:val="24"/>
          <w:szCs w:val="24"/>
          <w:lang w:val="es-ES"/>
        </w:rPr>
      </w:pPr>
    </w:p>
    <w:p w:rsidR="00F14810" w:rsidRPr="001E5FA2" w:rsidRDefault="00F14810" w:rsidP="00F14810">
      <w:pPr>
        <w:pStyle w:val="Prrafodelista"/>
        <w:numPr>
          <w:ilvl w:val="0"/>
          <w:numId w:val="1"/>
        </w:numPr>
        <w:spacing w:line="360" w:lineRule="auto"/>
        <w:ind w:left="0" w:firstLine="0"/>
        <w:jc w:val="both"/>
        <w:rPr>
          <w:rFonts w:ascii="Palatino Linotype" w:hAnsi="Palatino Linotype"/>
          <w:sz w:val="24"/>
          <w:szCs w:val="24"/>
          <w:lang w:val="es-ES"/>
        </w:rPr>
      </w:pPr>
      <w:r w:rsidRPr="001E5FA2">
        <w:rPr>
          <w:rFonts w:ascii="Palatino Linotype" w:hAnsi="Palatino Linotype"/>
          <w:sz w:val="24"/>
          <w:szCs w:val="24"/>
          <w:lang w:val="es-ES"/>
        </w:rPr>
        <w:t xml:space="preserve">Por esas razones y alentados por los esfuerzos emprendidos por los sujetos obligados para difundir información relevante en los meses pasados; considerando también  el tiempo que ha transcurrido desde el inicio de la pandemia y la obligación de todas las instituciones del Estado de no desaparecer de la escena pública sino, al contrario, confirmar su vocación de servicio; considerando la experiencia desarrollada para consolidar lo que hoy se conoce como la modalidad del trabajo a distancia o en casa y la accesibilidad a múltiples plataformas tecnológicas que lo han posibilitado, pero pensando sobre todo en los titulares de los derechos humanos bajo nuestra tutela, es que este Órgano Garante reitera su compromiso de contribuir al cumplimiento definido por las </w:t>
      </w:r>
      <w:r w:rsidRPr="001E5FA2">
        <w:rPr>
          <w:rFonts w:ascii="Palatino Linotype" w:hAnsi="Palatino Linotype"/>
          <w:sz w:val="24"/>
          <w:szCs w:val="24"/>
          <w:lang w:val="es-ES"/>
        </w:rPr>
        <w:lastRenderedPageBreak/>
        <w:t xml:space="preserve">autoridades de salud para evitar la movilidad de personas, la concurrencia en instalaciones gubernamentales y con ello disminuir los contagios, lo que no colisiona sino que, se trata de armonizar, con la garantía plena en el ejercicio de los derechos de acceso a la información pública y a la protección de los datos personales. </w:t>
      </w:r>
    </w:p>
    <w:p w:rsidR="00F14810" w:rsidRPr="001E5FA2" w:rsidRDefault="00F14810" w:rsidP="00F14810">
      <w:pPr>
        <w:pStyle w:val="Prrafodelista"/>
        <w:spacing w:line="360" w:lineRule="auto"/>
        <w:ind w:left="0"/>
        <w:jc w:val="both"/>
        <w:rPr>
          <w:rFonts w:ascii="Palatino Linotype" w:hAnsi="Palatino Linotype"/>
          <w:sz w:val="24"/>
          <w:szCs w:val="24"/>
          <w:lang w:val="es-ES"/>
        </w:rPr>
      </w:pPr>
    </w:p>
    <w:p w:rsidR="00F14810" w:rsidRPr="001E5FA2" w:rsidRDefault="00F14810" w:rsidP="00F14810">
      <w:pPr>
        <w:pStyle w:val="Prrafodelista"/>
        <w:numPr>
          <w:ilvl w:val="0"/>
          <w:numId w:val="1"/>
        </w:numPr>
        <w:spacing w:line="360" w:lineRule="auto"/>
        <w:ind w:left="0" w:firstLine="0"/>
        <w:jc w:val="both"/>
        <w:rPr>
          <w:rFonts w:ascii="Palatino Linotype" w:hAnsi="Palatino Linotype"/>
          <w:sz w:val="24"/>
          <w:szCs w:val="24"/>
          <w:lang w:val="es-ES"/>
        </w:rPr>
      </w:pPr>
      <w:r w:rsidRPr="001E5FA2">
        <w:rPr>
          <w:rFonts w:ascii="Palatino Linotype" w:hAnsi="Palatino Linotype"/>
          <w:sz w:val="24"/>
          <w:szCs w:val="24"/>
          <w:lang w:val="es-ES"/>
        </w:rPr>
        <w:t>Desde nuestra perspectiva ello se consigue si dentro de las medidas adoptadas por los sujetos obligados para mantener el ejercicio de las facultades, competencias o funciones que, durante 2020 y en lo que va de 2021, ejercieron y siguen ejerciendo a pesar de las suspensiones de actividades, se adoptan medidas para asegurar que esa información se encuentre disponible para atender los procedimientos de estos derechos. Al mismo tiempo, como se ha manifestado públicamente y se hará, de ser el caso, en esta misma resolución, si dadas las condiciones de la información que se solicita, ya sea que corresponda a información de administraciones anteriores, que los requerimientos sean extensos o que involucren a diferentes áreas y que ello implique que se tenga que desplazar personal a las instalaciones de los sujetos obligados, el Órgano garante será sensible a la adopción de medidas extraordinarias en materia de plazos para el cumplimiento de las resoluciones.</w:t>
      </w:r>
    </w:p>
    <w:p w:rsidR="00F14810" w:rsidRPr="001E5FA2" w:rsidRDefault="00F14810" w:rsidP="00F14810">
      <w:pPr>
        <w:pStyle w:val="Prrafodelista"/>
        <w:spacing w:after="0" w:line="360" w:lineRule="auto"/>
        <w:ind w:left="0" w:right="48"/>
        <w:jc w:val="both"/>
        <w:rPr>
          <w:rFonts w:ascii="Palatino Linotype" w:hAnsi="Palatino Linotype"/>
          <w:i/>
          <w:iCs/>
          <w:color w:val="000000"/>
          <w:sz w:val="24"/>
          <w:szCs w:val="24"/>
        </w:rPr>
      </w:pPr>
    </w:p>
    <w:p w:rsidR="00F14810" w:rsidRPr="001E5FA2" w:rsidRDefault="00F14810" w:rsidP="00F14810">
      <w:pPr>
        <w:pStyle w:val="Prrafodelista"/>
        <w:spacing w:after="0" w:line="360" w:lineRule="auto"/>
        <w:ind w:left="0" w:right="48"/>
        <w:jc w:val="both"/>
        <w:rPr>
          <w:rFonts w:ascii="Palatino Linotype" w:eastAsia="MS Gothic" w:hAnsi="Palatino Linotype" w:cs="Times New Roman"/>
          <w:sz w:val="24"/>
          <w:szCs w:val="24"/>
        </w:rPr>
      </w:pPr>
    </w:p>
    <w:p w:rsidR="00F14810" w:rsidRPr="001E5FA2" w:rsidRDefault="00F14810" w:rsidP="00F14810">
      <w:pPr>
        <w:keepNext/>
        <w:keepLines/>
        <w:spacing w:after="0" w:line="360" w:lineRule="auto"/>
        <w:ind w:right="48"/>
        <w:outlineLvl w:val="0"/>
        <w:rPr>
          <w:rFonts w:ascii="Palatino Linotype" w:eastAsia="MS Gothic" w:hAnsi="Palatino Linotype" w:cstheme="majorBidi"/>
          <w:b/>
          <w:sz w:val="24"/>
          <w:szCs w:val="24"/>
          <w:lang w:val="es-ES_tradnl" w:eastAsia="es-ES"/>
        </w:rPr>
      </w:pPr>
      <w:bookmarkStart w:id="26" w:name="_Toc67584830"/>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r w:rsidRPr="001E5FA2">
        <w:rPr>
          <w:rFonts w:ascii="Palatino Linotype" w:eastAsia="MS Gothic" w:hAnsi="Palatino Linotype" w:cstheme="majorBidi"/>
          <w:b/>
          <w:sz w:val="24"/>
          <w:szCs w:val="24"/>
          <w:lang w:val="es-ES_tradnl" w:eastAsia="es-ES"/>
        </w:rPr>
        <w:t>CUARTO. Planteamiento de la Litis</w:t>
      </w:r>
      <w:bookmarkEnd w:id="26"/>
    </w:p>
    <w:p w:rsidR="00F14810" w:rsidRPr="001E5FA2" w:rsidRDefault="00F14810" w:rsidP="00F14810">
      <w:pPr>
        <w:keepNext/>
        <w:keepLines/>
        <w:spacing w:after="0" w:line="360" w:lineRule="auto"/>
        <w:ind w:right="48"/>
        <w:outlineLvl w:val="0"/>
        <w:rPr>
          <w:rFonts w:ascii="Palatino Linotype" w:eastAsia="MS Gothic" w:hAnsi="Palatino Linotype" w:cstheme="majorBidi"/>
          <w:b/>
          <w:sz w:val="24"/>
          <w:szCs w:val="24"/>
          <w:lang w:val="es-ES_tradnl" w:eastAsia="es-ES"/>
        </w:rPr>
      </w:pPr>
    </w:p>
    <w:p w:rsidR="00763BC1" w:rsidRPr="001E5FA2" w:rsidRDefault="00F14810" w:rsidP="00763BC1">
      <w:pPr>
        <w:pStyle w:val="Prrafodelista"/>
        <w:numPr>
          <w:ilvl w:val="0"/>
          <w:numId w:val="1"/>
        </w:numPr>
        <w:spacing w:after="0" w:line="360" w:lineRule="auto"/>
        <w:ind w:left="0" w:right="48" w:firstLine="0"/>
        <w:jc w:val="both"/>
        <w:rPr>
          <w:rFonts w:ascii="Palatino Linotype" w:hAnsi="Palatino Linotype"/>
          <w:i/>
          <w:iCs/>
          <w:color w:val="000000"/>
          <w:sz w:val="24"/>
          <w:szCs w:val="24"/>
        </w:rPr>
      </w:pPr>
      <w:r w:rsidRPr="001E5FA2">
        <w:rPr>
          <w:rFonts w:ascii="Palatino Linotype" w:eastAsia="MS Gothic" w:hAnsi="Palatino Linotype" w:cs="Times New Roman"/>
          <w:sz w:val="24"/>
          <w:szCs w:val="24"/>
        </w:rPr>
        <w:t>De las constancias que obran en el expediente de refe</w:t>
      </w:r>
      <w:r w:rsidR="00763BC1" w:rsidRPr="001E5FA2">
        <w:rPr>
          <w:rFonts w:ascii="Palatino Linotype" w:eastAsia="MS Gothic" w:hAnsi="Palatino Linotype" w:cs="Times New Roman"/>
          <w:sz w:val="24"/>
          <w:szCs w:val="24"/>
        </w:rPr>
        <w:t xml:space="preserve">rencia, el RECURRENTE solicitó del panteón del pueblo de Santa María Chiconautla durante el ejercicio fiscal 2020, sus ingresos, quien administra los recursos obtenidos, cuales son los cobros que hacen, </w:t>
      </w:r>
      <w:r w:rsidR="00763BC1" w:rsidRPr="001E5FA2">
        <w:rPr>
          <w:rFonts w:ascii="Palatino Linotype" w:eastAsia="MS Gothic" w:hAnsi="Palatino Linotype" w:cs="Times New Roman"/>
          <w:sz w:val="24"/>
          <w:szCs w:val="24"/>
        </w:rPr>
        <w:lastRenderedPageBreak/>
        <w:t xml:space="preserve">monto que se cobra, por qué  concepto y fundamento legal, quien faculta a la delegación del pueblo de Santa María </w:t>
      </w:r>
      <w:proofErr w:type="spellStart"/>
      <w:r w:rsidR="00763BC1" w:rsidRPr="001E5FA2">
        <w:rPr>
          <w:rFonts w:ascii="Palatino Linotype" w:eastAsia="MS Gothic" w:hAnsi="Palatino Linotype" w:cs="Times New Roman"/>
          <w:sz w:val="24"/>
          <w:szCs w:val="24"/>
        </w:rPr>
        <w:t>Chichonaulta</w:t>
      </w:r>
      <w:proofErr w:type="spellEnd"/>
      <w:r w:rsidR="00763BC1" w:rsidRPr="001E5FA2">
        <w:rPr>
          <w:rFonts w:ascii="Palatino Linotype" w:eastAsia="MS Gothic" w:hAnsi="Palatino Linotype" w:cs="Times New Roman"/>
          <w:sz w:val="24"/>
          <w:szCs w:val="24"/>
        </w:rPr>
        <w:t xml:space="preserve"> a cobrar cuotas del panteón y en base a que ordenamiento jurídico y a donde se destinan los ingresos por concepto del panteón.</w:t>
      </w:r>
    </w:p>
    <w:p w:rsidR="00763BC1" w:rsidRPr="001E5FA2" w:rsidRDefault="00763BC1" w:rsidP="00763BC1">
      <w:pPr>
        <w:pStyle w:val="Prrafodelista"/>
        <w:spacing w:after="0" w:line="360" w:lineRule="auto"/>
        <w:ind w:left="0" w:right="48"/>
        <w:jc w:val="both"/>
        <w:rPr>
          <w:rFonts w:ascii="Palatino Linotype" w:hAnsi="Palatino Linotype"/>
          <w:i/>
          <w:iCs/>
          <w:color w:val="000000"/>
          <w:sz w:val="24"/>
          <w:szCs w:val="24"/>
        </w:rPr>
      </w:pPr>
    </w:p>
    <w:p w:rsidR="00F14810" w:rsidRPr="001E5FA2" w:rsidRDefault="00F14810" w:rsidP="00F14810">
      <w:pPr>
        <w:pStyle w:val="Prrafodelista"/>
        <w:numPr>
          <w:ilvl w:val="0"/>
          <w:numId w:val="1"/>
        </w:numPr>
        <w:spacing w:after="0" w:line="360" w:lineRule="auto"/>
        <w:ind w:left="0" w:right="48" w:firstLine="0"/>
        <w:jc w:val="both"/>
        <w:rPr>
          <w:rFonts w:ascii="Palatino Linotype" w:eastAsia="MS Mincho" w:hAnsi="Palatino Linotype" w:cs="Arial"/>
          <w:i/>
          <w:sz w:val="24"/>
          <w:szCs w:val="24"/>
          <w:lang w:val="es-ES_tradnl" w:eastAsia="es-ES"/>
        </w:rPr>
      </w:pPr>
      <w:r w:rsidRPr="001E5FA2">
        <w:rPr>
          <w:rFonts w:ascii="Palatino Linotype" w:hAnsi="Palatino Linotype"/>
          <w:iCs/>
          <w:color w:val="000000"/>
          <w:sz w:val="24"/>
          <w:szCs w:val="24"/>
        </w:rPr>
        <w:t>En  respuesta, e</w:t>
      </w:r>
      <w:r w:rsidR="00763BC1" w:rsidRPr="001E5FA2">
        <w:rPr>
          <w:rFonts w:ascii="Palatino Linotype" w:hAnsi="Palatino Linotype"/>
          <w:iCs/>
          <w:color w:val="000000"/>
          <w:sz w:val="24"/>
          <w:szCs w:val="24"/>
        </w:rPr>
        <w:t>l SUJETO OBLIGADO emiti</w:t>
      </w:r>
      <w:r w:rsidR="00300BBA" w:rsidRPr="001E5FA2">
        <w:rPr>
          <w:rFonts w:ascii="Palatino Linotype" w:hAnsi="Palatino Linotype"/>
          <w:iCs/>
          <w:color w:val="000000"/>
          <w:sz w:val="24"/>
          <w:szCs w:val="24"/>
        </w:rPr>
        <w:t>ó un documento</w:t>
      </w:r>
      <w:r w:rsidR="00763BC1" w:rsidRPr="001E5FA2">
        <w:rPr>
          <w:rFonts w:ascii="Palatino Linotype" w:hAnsi="Palatino Linotype"/>
          <w:iCs/>
          <w:color w:val="000000"/>
          <w:sz w:val="24"/>
          <w:szCs w:val="24"/>
        </w:rPr>
        <w:t xml:space="preserve"> de la Dirección de Servicios Públicos, mediante la cual refiere que </w:t>
      </w:r>
      <w:r w:rsidR="00763BC1" w:rsidRPr="001E5FA2">
        <w:rPr>
          <w:rFonts w:ascii="Palatino Linotype" w:hAnsi="Palatino Linotype"/>
          <w:sz w:val="24"/>
          <w:szCs w:val="24"/>
        </w:rPr>
        <w:t xml:space="preserve">tiene a sus cargo tres panteones los cuales son el Panteón Antiguo, el Panteón de San Efrén y el Panteón de San Isidro </w:t>
      </w:r>
      <w:proofErr w:type="spellStart"/>
      <w:r w:rsidR="00763BC1" w:rsidRPr="001E5FA2">
        <w:rPr>
          <w:rFonts w:ascii="Palatino Linotype" w:hAnsi="Palatino Linotype"/>
          <w:sz w:val="24"/>
          <w:szCs w:val="24"/>
        </w:rPr>
        <w:t>Atlautenco</w:t>
      </w:r>
      <w:proofErr w:type="spellEnd"/>
      <w:r w:rsidR="00763BC1" w:rsidRPr="001E5FA2">
        <w:rPr>
          <w:rFonts w:ascii="Palatino Linotype" w:hAnsi="Palatino Linotype"/>
          <w:sz w:val="24"/>
          <w:szCs w:val="24"/>
        </w:rPr>
        <w:t>, por tal motivo, no son la instancia competente para responder dicha solicitud de información, asimismo, manifestó que dicha solicitud debería ser remitida a la Dirección de Gobierno.</w:t>
      </w:r>
    </w:p>
    <w:p w:rsidR="00F14810" w:rsidRPr="001E5FA2" w:rsidRDefault="00F14810" w:rsidP="00F14810">
      <w:pPr>
        <w:pStyle w:val="Prrafodelista"/>
        <w:spacing w:after="0" w:line="360" w:lineRule="auto"/>
        <w:ind w:left="0" w:right="48"/>
        <w:jc w:val="both"/>
        <w:rPr>
          <w:rFonts w:ascii="Palatino Linotype" w:eastAsia="MS Mincho" w:hAnsi="Palatino Linotype" w:cs="Arial"/>
          <w:i/>
          <w:sz w:val="24"/>
          <w:szCs w:val="24"/>
          <w:lang w:val="es-ES_tradnl" w:eastAsia="es-ES"/>
        </w:rPr>
      </w:pPr>
    </w:p>
    <w:p w:rsidR="00F14810" w:rsidRPr="001E5FA2" w:rsidRDefault="00F14810" w:rsidP="00F14810">
      <w:pPr>
        <w:pStyle w:val="Prrafodelista"/>
        <w:numPr>
          <w:ilvl w:val="0"/>
          <w:numId w:val="1"/>
        </w:numPr>
        <w:spacing w:after="0" w:line="360" w:lineRule="auto"/>
        <w:ind w:left="0" w:right="48" w:firstLine="0"/>
        <w:jc w:val="both"/>
        <w:rPr>
          <w:rFonts w:ascii="Palatino Linotype" w:eastAsia="MS Mincho" w:hAnsi="Palatino Linotype" w:cs="Arial"/>
          <w:i/>
          <w:sz w:val="24"/>
          <w:szCs w:val="24"/>
          <w:lang w:val="es-ES_tradnl" w:eastAsia="es-ES"/>
        </w:rPr>
      </w:pPr>
      <w:r w:rsidRPr="001E5FA2">
        <w:rPr>
          <w:rFonts w:ascii="Palatino Linotype" w:hAnsi="Palatino Linotype"/>
          <w:sz w:val="24"/>
          <w:szCs w:val="24"/>
        </w:rPr>
        <w:t>En consecuencia, el particular interpuso recurso de revisión mediante el cua</w:t>
      </w:r>
      <w:r w:rsidR="004F107F" w:rsidRPr="001E5FA2">
        <w:rPr>
          <w:rFonts w:ascii="Palatino Linotype" w:hAnsi="Palatino Linotype"/>
          <w:sz w:val="24"/>
          <w:szCs w:val="24"/>
        </w:rPr>
        <w:t>l se inconformó argumentando que</w:t>
      </w:r>
      <w:r w:rsidR="004F107F" w:rsidRPr="001E5FA2">
        <w:rPr>
          <w:rFonts w:ascii="Palatino Linotype" w:eastAsia="MS Mincho" w:hAnsi="Palatino Linotype" w:cs="Arial"/>
          <w:i/>
          <w:sz w:val="24"/>
          <w:szCs w:val="24"/>
          <w:lang w:val="es-ES_tradnl" w:eastAsia="es-ES"/>
        </w:rPr>
        <w:t xml:space="preserve"> </w:t>
      </w:r>
      <w:r w:rsidR="004F107F" w:rsidRPr="001E5FA2">
        <w:rPr>
          <w:rFonts w:ascii="Palatino Linotype" w:hAnsi="Palatino Linotype"/>
          <w:color w:val="000000"/>
        </w:rPr>
        <w:t xml:space="preserve">el </w:t>
      </w:r>
      <w:r w:rsidR="004F107F" w:rsidRPr="001E5FA2">
        <w:rPr>
          <w:rFonts w:ascii="Palatino Linotype" w:hAnsi="Palatino Linotype"/>
          <w:color w:val="000000"/>
          <w:sz w:val="24"/>
        </w:rPr>
        <w:t>sujeto obligado se limita a decir que no es competencia de servicios públicos porque ese panteón del Pueblo de Santa María Chiconautla no forma parte de los panteones a su cargo y que se pregunte a la dirección de gobierno, sin embargo, el sujeto obligado es el H. Ayuntamiento de Ecatepec y no se limita a servicios públicos, y al tratarse de un panteón que se encuentra dentro de la municipalidad, debe poseer la información solicitada, al menos que se administre ese panteón con discrecionalidad dentro de su territorio.</w:t>
      </w:r>
    </w:p>
    <w:p w:rsidR="004F107F" w:rsidRPr="001E5FA2" w:rsidRDefault="004F107F" w:rsidP="004F107F">
      <w:pPr>
        <w:pStyle w:val="Prrafodelista"/>
        <w:spacing w:after="0" w:line="360" w:lineRule="auto"/>
        <w:ind w:left="0" w:right="48"/>
        <w:jc w:val="both"/>
        <w:rPr>
          <w:rFonts w:ascii="Palatino Linotype" w:eastAsia="MS Mincho" w:hAnsi="Palatino Linotype" w:cs="Arial"/>
          <w:i/>
          <w:sz w:val="24"/>
          <w:szCs w:val="24"/>
          <w:lang w:val="es-ES_tradnl" w:eastAsia="es-ES"/>
        </w:rPr>
      </w:pPr>
    </w:p>
    <w:p w:rsidR="00F14810" w:rsidRPr="001E5FA2" w:rsidRDefault="00F14810" w:rsidP="00EE2277">
      <w:pPr>
        <w:pStyle w:val="Prrafodelista"/>
        <w:rPr>
          <w:rFonts w:ascii="Palatino Linotype" w:eastAsia="MS Gothic" w:hAnsi="Palatino Linotype" w:cs="Times New Roman"/>
          <w:sz w:val="24"/>
        </w:rPr>
      </w:pPr>
      <w:r w:rsidRPr="001E5FA2">
        <w:rPr>
          <w:rFonts w:ascii="Palatino Linotype" w:eastAsia="MS Gothic" w:hAnsi="Palatino Linotype" w:cs="Times New Roman"/>
          <w:sz w:val="24"/>
        </w:rPr>
        <w:t xml:space="preserve">En consecuencia, la Litis del presente asunto corresponde en resolver si el SUJETO OBLIGADO atendió la solicitud con apego a los principios establecidos en el artículo 11 de la Ley de Transparencia Local, si con la entrega de los documentos en respuesta se garantiza </w:t>
      </w:r>
      <w:r w:rsidR="004F107F" w:rsidRPr="001E5FA2">
        <w:rPr>
          <w:rFonts w:ascii="Palatino Linotype" w:eastAsia="MS Gothic" w:hAnsi="Palatino Linotype" w:cs="Times New Roman"/>
          <w:sz w:val="24"/>
        </w:rPr>
        <w:t>que la información sea verificable</w:t>
      </w:r>
      <w:r w:rsidRPr="001E5FA2">
        <w:rPr>
          <w:rFonts w:ascii="Palatino Linotype" w:eastAsia="MS Gothic" w:hAnsi="Palatino Linotype" w:cs="Times New Roman"/>
          <w:sz w:val="24"/>
        </w:rPr>
        <w:t>.</w:t>
      </w:r>
    </w:p>
    <w:p w:rsidR="00F14810" w:rsidRPr="001E5FA2" w:rsidRDefault="00F14810" w:rsidP="00F14810">
      <w:pPr>
        <w:pStyle w:val="Prrafodelista"/>
        <w:numPr>
          <w:ilvl w:val="0"/>
          <w:numId w:val="1"/>
        </w:numPr>
        <w:spacing w:after="0" w:line="360" w:lineRule="auto"/>
        <w:ind w:left="0" w:right="48" w:firstLine="0"/>
        <w:jc w:val="both"/>
        <w:rPr>
          <w:rFonts w:ascii="Palatino Linotype" w:eastAsia="MS Gothic" w:hAnsi="Palatino Linotype" w:cs="Times New Roman"/>
          <w:sz w:val="24"/>
          <w:szCs w:val="24"/>
        </w:rPr>
      </w:pPr>
      <w:r w:rsidRPr="001E5FA2">
        <w:rPr>
          <w:rFonts w:ascii="Palatino Linotype" w:eastAsia="MS Gothic" w:hAnsi="Palatino Linotype" w:cs="Times New Roman"/>
          <w:sz w:val="24"/>
        </w:rPr>
        <w:lastRenderedPageBreak/>
        <w:t>Así mismo determinar si se actualizan las causales de procedencia pre</w:t>
      </w:r>
      <w:r w:rsidR="004F107F" w:rsidRPr="001E5FA2">
        <w:rPr>
          <w:rFonts w:ascii="Palatino Linotype" w:eastAsia="MS Gothic" w:hAnsi="Palatino Linotype" w:cs="Times New Roman"/>
          <w:sz w:val="24"/>
        </w:rPr>
        <w:t>vistas en la fracciones I y IV</w:t>
      </w:r>
      <w:r w:rsidRPr="001E5FA2">
        <w:rPr>
          <w:rFonts w:ascii="Palatino Linotype" w:eastAsia="MS Gothic" w:hAnsi="Palatino Linotype" w:cs="Times New Roman"/>
          <w:sz w:val="24"/>
        </w:rPr>
        <w:t xml:space="preserve"> del artículo 179 de la Ley de Transparencia y Acceso a la Información Pública del Estado de México y sus Municipios, que establecen la negativa de la información solicitada</w:t>
      </w:r>
      <w:r w:rsidRPr="001E5FA2">
        <w:rPr>
          <w:rFonts w:ascii="Palatino Linotype" w:eastAsia="MS Gothic" w:hAnsi="Palatino Linotype" w:cs="Times New Roman"/>
          <w:sz w:val="24"/>
          <w:szCs w:val="24"/>
        </w:rPr>
        <w:t xml:space="preserve"> y </w:t>
      </w:r>
      <w:r w:rsidR="004F107F" w:rsidRPr="001E5FA2">
        <w:rPr>
          <w:rFonts w:ascii="Palatino Linotype" w:eastAsia="MS Gothic" w:hAnsi="Palatino Linotype" w:cs="Times New Roman"/>
          <w:sz w:val="24"/>
          <w:szCs w:val="24"/>
        </w:rPr>
        <w:t>la declaración de incompetencia</w:t>
      </w:r>
      <w:r w:rsidR="00691160" w:rsidRPr="001E5FA2">
        <w:rPr>
          <w:rFonts w:ascii="Palatino Linotype" w:eastAsia="MS Gothic" w:hAnsi="Palatino Linotype" w:cs="Times New Roman"/>
          <w:sz w:val="24"/>
          <w:szCs w:val="24"/>
        </w:rPr>
        <w:t xml:space="preserve"> por el sujeto obligado</w:t>
      </w:r>
      <w:r w:rsidRPr="001E5FA2">
        <w:rPr>
          <w:rFonts w:ascii="Palatino Linotype" w:eastAsia="MS Gothic" w:hAnsi="Palatino Linotype" w:cs="Times New Roman"/>
          <w:sz w:val="24"/>
          <w:szCs w:val="24"/>
        </w:rPr>
        <w:t>.</w:t>
      </w:r>
    </w:p>
    <w:p w:rsidR="00691160" w:rsidRPr="001E5FA2" w:rsidRDefault="00691160" w:rsidP="00F14810">
      <w:pPr>
        <w:pStyle w:val="Prrafodelista"/>
        <w:tabs>
          <w:tab w:val="left" w:pos="0"/>
        </w:tabs>
        <w:spacing w:after="0" w:line="360" w:lineRule="auto"/>
        <w:ind w:left="0" w:right="48"/>
        <w:jc w:val="both"/>
        <w:rPr>
          <w:rFonts w:ascii="Palatino Linotype" w:hAnsi="Palatino Linotype"/>
          <w:i/>
          <w:sz w:val="24"/>
        </w:rPr>
      </w:pPr>
    </w:p>
    <w:p w:rsidR="00F14810" w:rsidRPr="001E5FA2" w:rsidRDefault="00F14810" w:rsidP="00F14810">
      <w:pPr>
        <w:keepNext/>
        <w:keepLines/>
        <w:spacing w:after="0" w:line="360" w:lineRule="auto"/>
        <w:ind w:right="48"/>
        <w:outlineLvl w:val="0"/>
        <w:rPr>
          <w:rFonts w:ascii="Palatino Linotype" w:eastAsia="MS Gothic" w:hAnsi="Palatino Linotype" w:cstheme="majorBidi"/>
          <w:b/>
          <w:sz w:val="24"/>
          <w:szCs w:val="24"/>
          <w:lang w:val="es-ES_tradnl" w:eastAsia="es-ES"/>
        </w:rPr>
      </w:pPr>
      <w:bookmarkStart w:id="27" w:name="_Toc67584831"/>
      <w:r w:rsidRPr="001E5FA2">
        <w:rPr>
          <w:rFonts w:ascii="Palatino Linotype" w:eastAsia="MS Gothic" w:hAnsi="Palatino Linotype" w:cstheme="majorBidi"/>
          <w:b/>
          <w:sz w:val="24"/>
          <w:szCs w:val="24"/>
          <w:lang w:val="es-ES_tradnl" w:eastAsia="es-ES"/>
        </w:rPr>
        <w:t xml:space="preserve">QUINTO. Del estudio y resolución del recurso de </w:t>
      </w:r>
      <w:bookmarkEnd w:id="22"/>
      <w:bookmarkEnd w:id="23"/>
      <w:bookmarkEnd w:id="24"/>
      <w:bookmarkEnd w:id="25"/>
      <w:r w:rsidRPr="001E5FA2">
        <w:rPr>
          <w:rFonts w:ascii="Palatino Linotype" w:eastAsia="MS Gothic" w:hAnsi="Palatino Linotype" w:cstheme="majorBidi"/>
          <w:b/>
          <w:sz w:val="24"/>
          <w:szCs w:val="24"/>
          <w:lang w:val="es-ES_tradnl" w:eastAsia="es-ES"/>
        </w:rPr>
        <w:t>revisión.</w:t>
      </w:r>
      <w:bookmarkEnd w:id="27"/>
    </w:p>
    <w:p w:rsidR="00F14810" w:rsidRPr="001E5FA2" w:rsidRDefault="00F14810" w:rsidP="00F14810">
      <w:pPr>
        <w:keepNext/>
        <w:keepLines/>
        <w:spacing w:after="0" w:line="360" w:lineRule="auto"/>
        <w:ind w:right="48"/>
        <w:outlineLvl w:val="0"/>
        <w:rPr>
          <w:rFonts w:ascii="Palatino Linotype" w:eastAsia="MS Gothic" w:hAnsi="Palatino Linotype" w:cstheme="majorBidi"/>
          <w:b/>
          <w:sz w:val="24"/>
          <w:szCs w:val="24"/>
          <w:lang w:val="es-ES_tradnl" w:eastAsia="es-ES"/>
        </w:rPr>
      </w:pPr>
    </w:p>
    <w:p w:rsidR="00F14810" w:rsidRPr="001E5FA2" w:rsidRDefault="00F14810" w:rsidP="00F14810">
      <w:pPr>
        <w:pStyle w:val="Prrafodelista"/>
        <w:numPr>
          <w:ilvl w:val="0"/>
          <w:numId w:val="1"/>
        </w:numPr>
        <w:tabs>
          <w:tab w:val="left" w:pos="66"/>
        </w:tabs>
        <w:spacing w:after="0" w:line="360" w:lineRule="auto"/>
        <w:ind w:left="0" w:right="48" w:firstLine="0"/>
        <w:jc w:val="both"/>
        <w:rPr>
          <w:rFonts w:ascii="Palatino Linotype" w:eastAsia="MS Mincho" w:hAnsi="Palatino Linotype" w:cs="Arial"/>
          <w:i/>
          <w:sz w:val="24"/>
          <w:szCs w:val="24"/>
          <w:lang w:eastAsia="es-ES"/>
        </w:rPr>
      </w:pPr>
      <w:bookmarkStart w:id="28" w:name="_Toc494366431"/>
      <w:r w:rsidRPr="001E5FA2">
        <w:rPr>
          <w:rFonts w:ascii="Palatino Linotype" w:hAnsi="Palatino Linotype" w:cs="Arial"/>
          <w:sz w:val="24"/>
          <w:szCs w:val="24"/>
        </w:rPr>
        <w:t xml:space="preserve">Derivado del Planteamiento de la Litis, se procede a analizar el contenido íntegro de las actuaciones que obran en el expediente electrónico y con ello, este Órgano Garante dicte la resolución correspondiente, tomando en consideración los elementos aportados por las partes y apegándose en todo momento al principio de máxima publicidad, de acuerdo con lo establecido en el artículo 8 de la </w:t>
      </w:r>
      <w:r w:rsidRPr="001E5FA2">
        <w:rPr>
          <w:rFonts w:ascii="Palatino Linotype" w:eastAsia="Calibri" w:hAnsi="Palatino Linotype" w:cs="Arial"/>
          <w:sz w:val="24"/>
          <w:szCs w:val="24"/>
          <w:lang w:val="es-ES"/>
        </w:rPr>
        <w:t>Ley de Transparencia y Acceso a la Información Pública del Estado de México y Municipios</w:t>
      </w:r>
      <w:r w:rsidRPr="001E5FA2">
        <w:rPr>
          <w:rFonts w:ascii="Palatino Linotype" w:eastAsia="Times New Roman" w:hAnsi="Palatino Linotype" w:cs="Arial"/>
          <w:sz w:val="24"/>
          <w:szCs w:val="24"/>
          <w:lang w:val="es-ES" w:eastAsia="es-MX"/>
        </w:rPr>
        <w:t>.</w:t>
      </w:r>
    </w:p>
    <w:p w:rsidR="00F14810" w:rsidRPr="001E5FA2" w:rsidRDefault="00F14810" w:rsidP="00F14810">
      <w:pPr>
        <w:pStyle w:val="Prrafodelista"/>
        <w:tabs>
          <w:tab w:val="left" w:pos="66"/>
        </w:tabs>
        <w:spacing w:after="0" w:line="360" w:lineRule="auto"/>
        <w:ind w:left="0" w:right="48"/>
        <w:jc w:val="both"/>
        <w:rPr>
          <w:rFonts w:ascii="Palatino Linotype" w:eastAsia="MS Mincho" w:hAnsi="Palatino Linotype" w:cs="Arial"/>
          <w:i/>
          <w:sz w:val="24"/>
          <w:szCs w:val="24"/>
          <w:lang w:eastAsia="es-ES"/>
        </w:rPr>
      </w:pPr>
    </w:p>
    <w:p w:rsidR="00F14810" w:rsidRPr="001E5FA2" w:rsidRDefault="00F14810" w:rsidP="00F14810">
      <w:pPr>
        <w:pStyle w:val="Prrafodelista"/>
        <w:keepNext/>
        <w:keepLines/>
        <w:spacing w:after="0" w:line="360" w:lineRule="auto"/>
        <w:ind w:left="0" w:right="48"/>
        <w:outlineLvl w:val="0"/>
        <w:rPr>
          <w:rFonts w:ascii="Palatino Linotype" w:eastAsia="MS Gothic" w:hAnsi="Palatino Linotype" w:cstheme="majorBidi"/>
          <w:b/>
          <w:sz w:val="24"/>
          <w:szCs w:val="24"/>
          <w:lang w:val="es-ES_tradnl" w:eastAsia="es-ES"/>
        </w:rPr>
      </w:pPr>
      <w:bookmarkStart w:id="29" w:name="_Toc31301157"/>
      <w:bookmarkStart w:id="30" w:name="_Toc67584832"/>
      <w:r w:rsidRPr="001E5FA2">
        <w:rPr>
          <w:rFonts w:ascii="Palatino Linotype" w:eastAsia="MS Gothic" w:hAnsi="Palatino Linotype" w:cstheme="majorBidi"/>
          <w:b/>
          <w:sz w:val="24"/>
          <w:szCs w:val="24"/>
          <w:lang w:val="es-ES_tradnl" w:eastAsia="es-ES"/>
        </w:rPr>
        <w:t>I. Fuente Obligacional.</w:t>
      </w:r>
      <w:bookmarkEnd w:id="29"/>
      <w:bookmarkEnd w:id="30"/>
      <w:r w:rsidRPr="001E5FA2">
        <w:rPr>
          <w:rFonts w:ascii="Palatino Linotype" w:eastAsia="MS Gothic" w:hAnsi="Palatino Linotype" w:cstheme="majorBidi"/>
          <w:b/>
          <w:sz w:val="24"/>
          <w:szCs w:val="24"/>
          <w:lang w:val="es-ES_tradnl" w:eastAsia="es-ES"/>
        </w:rPr>
        <w:t xml:space="preserve"> </w:t>
      </w:r>
    </w:p>
    <w:p w:rsidR="00F14810" w:rsidRPr="001E5FA2" w:rsidRDefault="00F14810" w:rsidP="00F14810">
      <w:pPr>
        <w:spacing w:after="0" w:line="360" w:lineRule="auto"/>
        <w:ind w:right="48"/>
        <w:rPr>
          <w:rFonts w:ascii="Palatino Linotype" w:eastAsia="MS Mincho" w:hAnsi="Palatino Linotype" w:cs="Times New Roman"/>
          <w:sz w:val="24"/>
          <w:szCs w:val="24"/>
          <w:lang w:val="es-ES_tradnl" w:eastAsia="es-ES"/>
        </w:rPr>
      </w:pPr>
    </w:p>
    <w:p w:rsidR="00F14810" w:rsidRPr="001E5FA2" w:rsidRDefault="00F14810" w:rsidP="00F14810">
      <w:pPr>
        <w:numPr>
          <w:ilvl w:val="0"/>
          <w:numId w:val="1"/>
        </w:numPr>
        <w:spacing w:after="0" w:line="360" w:lineRule="auto"/>
        <w:ind w:left="0" w:right="48" w:firstLine="0"/>
        <w:contextualSpacing/>
        <w:jc w:val="both"/>
        <w:rPr>
          <w:rFonts w:ascii="Palatino Linotype" w:eastAsia="MS Mincho" w:hAnsi="Palatino Linotype" w:cs="Times New Roman"/>
          <w:sz w:val="24"/>
          <w:szCs w:val="24"/>
          <w:lang w:val="es-ES_tradnl" w:eastAsia="es-ES"/>
        </w:rPr>
      </w:pPr>
      <w:r w:rsidRPr="001E5FA2">
        <w:rPr>
          <w:rFonts w:ascii="Palatino Linotype" w:eastAsia="MS Mincho" w:hAnsi="Palatino Linotype" w:cs="Times New Roman"/>
          <w:sz w:val="24"/>
          <w:szCs w:val="24"/>
          <w:lang w:val="es-ES_tradnl" w:eastAsia="es-ES"/>
        </w:rPr>
        <w:t xml:space="preserve">El Derecho de Acceso a la Información Pública es un Derecho Humano reconocido en el Pacto de Derechos Civiles y Políticos en su artículo 19.2; en la Convención Americana sobre Derechos Humanos en su </w:t>
      </w:r>
      <w:r w:rsidRPr="001E5FA2">
        <w:rPr>
          <w:rFonts w:ascii="Palatino Linotype" w:eastAsia="MS Mincho" w:hAnsi="Palatino Linotype" w:cstheme="majorBidi"/>
          <w:sz w:val="24"/>
          <w:szCs w:val="24"/>
          <w:lang w:val="es-ES_tradnl" w:eastAsia="es-ES"/>
        </w:rPr>
        <w:t xml:space="preserve">artículo 13.1; en el artículo sexto de la Constitución Política de los Estados Unidos Mexicanos y en el artículo quinto de la Particular del Estado de México. </w:t>
      </w:r>
    </w:p>
    <w:p w:rsidR="00F14810" w:rsidRPr="001E5FA2" w:rsidRDefault="00F14810" w:rsidP="00F14810">
      <w:pPr>
        <w:spacing w:after="0" w:line="360" w:lineRule="auto"/>
        <w:ind w:right="48"/>
        <w:contextualSpacing/>
        <w:jc w:val="both"/>
        <w:rPr>
          <w:rFonts w:ascii="Palatino Linotype" w:eastAsia="MS Mincho" w:hAnsi="Palatino Linotype" w:cs="Times New Roman"/>
          <w:sz w:val="24"/>
          <w:szCs w:val="24"/>
          <w:lang w:val="es-ES_tradnl" w:eastAsia="es-ES"/>
        </w:rPr>
      </w:pPr>
    </w:p>
    <w:p w:rsidR="00F14810" w:rsidRPr="001E5FA2" w:rsidRDefault="00F14810" w:rsidP="00F14810">
      <w:pPr>
        <w:numPr>
          <w:ilvl w:val="0"/>
          <w:numId w:val="1"/>
        </w:numPr>
        <w:spacing w:after="0" w:line="360" w:lineRule="auto"/>
        <w:ind w:left="0" w:right="48" w:firstLine="0"/>
        <w:contextualSpacing/>
        <w:jc w:val="both"/>
        <w:rPr>
          <w:rFonts w:ascii="Palatino Linotype" w:eastAsia="MS Mincho" w:hAnsi="Palatino Linotype" w:cs="Times New Roman"/>
          <w:sz w:val="24"/>
          <w:szCs w:val="24"/>
          <w:lang w:val="es-ES_tradnl" w:eastAsia="es-ES"/>
        </w:rPr>
      </w:pPr>
      <w:r w:rsidRPr="001E5FA2">
        <w:rPr>
          <w:rFonts w:ascii="Palatino Linotype" w:eastAsia="MS Mincho" w:hAnsi="Palatino Linotype" w:cs="Times New Roman"/>
          <w:sz w:val="24"/>
          <w:szCs w:val="24"/>
          <w:lang w:val="es-ES_tradnl" w:eastAsia="es-ES"/>
        </w:rPr>
        <w:t xml:space="preserve">El </w:t>
      </w:r>
      <w:r w:rsidRPr="001E5FA2">
        <w:rPr>
          <w:rFonts w:ascii="Palatino Linotype" w:eastAsia="MS Mincho" w:hAnsi="Palatino Linotype" w:cs="Times New Roman"/>
          <w:b/>
          <w:sz w:val="24"/>
          <w:szCs w:val="24"/>
          <w:lang w:val="es-ES_tradnl" w:eastAsia="es-ES"/>
        </w:rPr>
        <w:t>Sujeto Obligado</w:t>
      </w:r>
      <w:r w:rsidRPr="001E5FA2">
        <w:rPr>
          <w:rFonts w:ascii="Palatino Linotype" w:eastAsia="MS Mincho" w:hAnsi="Palatino Linotype" w:cs="Times New Roman"/>
          <w:sz w:val="24"/>
          <w:szCs w:val="24"/>
          <w:lang w:val="es-ES_tradnl" w:eastAsia="es-ES"/>
        </w:rPr>
        <w:t xml:space="preserve"> debe ser cuidadoso del debido cumplimiento de las obligaciones constitucionales que se le imponen </w:t>
      </w:r>
      <w:r w:rsidRPr="001E5FA2">
        <w:rPr>
          <w:rFonts w:ascii="Palatino Linotype" w:eastAsia="MS Mincho" w:hAnsi="Palatino Linotype" w:cstheme="majorBidi"/>
          <w:sz w:val="24"/>
          <w:szCs w:val="24"/>
          <w:lang w:val="es-ES_tradnl" w:eastAsia="es-ES"/>
        </w:rPr>
        <w:t xml:space="preserve">según lo dispone el tercer párrafo del </w:t>
      </w:r>
      <w:r w:rsidRPr="001E5FA2">
        <w:rPr>
          <w:rFonts w:ascii="Palatino Linotype" w:eastAsia="MS Mincho" w:hAnsi="Palatino Linotype" w:cstheme="majorBidi"/>
          <w:sz w:val="24"/>
          <w:szCs w:val="24"/>
          <w:lang w:val="es-ES_tradnl" w:eastAsia="es-ES"/>
        </w:rPr>
        <w:lastRenderedPageBreak/>
        <w:t>artículo primero de la Constitución Política de los Estados Unidos Mexicanos</w:t>
      </w:r>
      <w:r w:rsidRPr="001E5FA2">
        <w:rPr>
          <w:rFonts w:ascii="Palatino Linotype" w:eastAsia="MS Mincho" w:hAnsi="Palatino Linotype" w:cstheme="majorBidi"/>
          <w:b/>
          <w:sz w:val="24"/>
          <w:szCs w:val="24"/>
          <w:lang w:val="es-ES_tradnl" w:eastAsia="es-ES"/>
        </w:rPr>
        <w:t xml:space="preserve"> </w:t>
      </w:r>
      <w:r w:rsidRPr="001E5FA2">
        <w:rPr>
          <w:rFonts w:ascii="Palatino Linotype" w:eastAsia="MS Mincho" w:hAnsi="Palatino Linotype" w:cstheme="majorBidi"/>
          <w:sz w:val="24"/>
          <w:szCs w:val="24"/>
          <w:lang w:val="es-ES_tradnl" w:eastAsia="es-ES"/>
        </w:rPr>
        <w:t xml:space="preserve">al señalar la obligación de </w:t>
      </w:r>
      <w:r w:rsidRPr="001E5FA2">
        <w:rPr>
          <w:rFonts w:ascii="Palatino Linotype" w:eastAsia="MS Mincho" w:hAnsi="Palatino Linotype" w:cstheme="majorBidi"/>
          <w:i/>
          <w:sz w:val="24"/>
          <w:szCs w:val="24"/>
          <w:lang w:val="es-ES_tradnl" w:eastAsia="es-ES"/>
        </w:rPr>
        <w:t xml:space="preserve">“promover, respetar, proteger y garantizar los derechos humanos”, </w:t>
      </w:r>
      <w:r w:rsidRPr="001E5FA2">
        <w:rPr>
          <w:rFonts w:ascii="Palatino Linotype" w:eastAsia="MS Mincho" w:hAnsi="Palatino Linotype" w:cstheme="majorBidi"/>
          <w:sz w:val="24"/>
          <w:szCs w:val="24"/>
          <w:lang w:val="es-ES_tradnl" w:eastAsia="es-ES"/>
        </w:rPr>
        <w:t>entre los cuales se encuentra dicho derecho.</w:t>
      </w:r>
    </w:p>
    <w:p w:rsidR="00F14810" w:rsidRPr="001E5FA2" w:rsidRDefault="00F14810" w:rsidP="00F14810">
      <w:pPr>
        <w:spacing w:after="0" w:line="360" w:lineRule="auto"/>
        <w:ind w:right="48"/>
        <w:contextualSpacing/>
        <w:jc w:val="both"/>
        <w:rPr>
          <w:rFonts w:ascii="Palatino Linotype" w:eastAsia="MS Mincho" w:hAnsi="Palatino Linotype" w:cstheme="majorBidi"/>
          <w:i/>
          <w:sz w:val="24"/>
          <w:szCs w:val="24"/>
          <w:lang w:eastAsia="es-ES"/>
        </w:rPr>
      </w:pPr>
    </w:p>
    <w:p w:rsidR="00F14810" w:rsidRPr="001E5FA2" w:rsidRDefault="00F14810" w:rsidP="00F14810">
      <w:pPr>
        <w:numPr>
          <w:ilvl w:val="0"/>
          <w:numId w:val="1"/>
        </w:numPr>
        <w:spacing w:after="0" w:line="360" w:lineRule="auto"/>
        <w:ind w:left="0" w:right="48" w:firstLine="0"/>
        <w:contextualSpacing/>
        <w:jc w:val="both"/>
        <w:rPr>
          <w:rFonts w:ascii="Palatino Linotype" w:eastAsia="MS Mincho" w:hAnsi="Palatino Linotype" w:cstheme="majorBidi"/>
          <w:i/>
          <w:sz w:val="24"/>
          <w:szCs w:val="24"/>
          <w:lang w:val="es-ES" w:eastAsia="es-ES"/>
        </w:rPr>
      </w:pPr>
      <w:r w:rsidRPr="001E5FA2">
        <w:rPr>
          <w:rFonts w:ascii="Palatino Linotype" w:eastAsia="MS Mincho" w:hAnsi="Palatino Linotype" w:cstheme="majorBidi"/>
          <w:sz w:val="24"/>
          <w:szCs w:val="24"/>
          <w:lang w:eastAsia="es-ES"/>
        </w:rPr>
        <w:t xml:space="preserve">Por cuanto hace al contenido del artículo 6 segundo párrafo, apartado A. fracción I </w:t>
      </w:r>
      <w:r w:rsidRPr="001E5FA2">
        <w:rPr>
          <w:rFonts w:ascii="Palatino Linotype" w:eastAsia="MS Mincho" w:hAnsi="Palatino Linotype" w:cstheme="majorBidi"/>
          <w:sz w:val="24"/>
          <w:szCs w:val="24"/>
          <w:lang w:val="es-ES" w:eastAsia="es-ES"/>
        </w:rPr>
        <w:t xml:space="preserve">de la Constitución Política de los Estados Unidos Mexicanos el cual establece </w:t>
      </w:r>
      <w:r w:rsidRPr="001E5FA2">
        <w:rPr>
          <w:rFonts w:ascii="Palatino Linotype" w:eastAsia="MS Mincho" w:hAnsi="Palatino Linotype" w:cstheme="majorBidi"/>
          <w:sz w:val="24"/>
          <w:szCs w:val="24"/>
          <w:lang w:eastAsia="es-ES"/>
        </w:rPr>
        <w:t xml:space="preserve">que </w:t>
      </w:r>
      <w:r w:rsidRPr="001E5FA2">
        <w:rPr>
          <w:rFonts w:ascii="Palatino Linotype" w:eastAsia="MS Mincho" w:hAnsi="Palatino Linotype" w:cstheme="majorBidi"/>
          <w:i/>
          <w:sz w:val="24"/>
          <w:szCs w:val="24"/>
          <w:lang w:val="es-ES" w:eastAsia="es-ES"/>
        </w:rPr>
        <w:t xml:space="preserve">“Toda la información en posesión de cualquier autoridad (…) que reciba y ejerza recursos públicos o realice actos de autoridad en el ámbito federal, estatal y municipal, </w:t>
      </w:r>
      <w:r w:rsidRPr="001E5FA2">
        <w:rPr>
          <w:rFonts w:ascii="Palatino Linotype" w:eastAsia="MS Mincho" w:hAnsi="Palatino Linotype" w:cstheme="majorBidi"/>
          <w:b/>
          <w:i/>
          <w:sz w:val="24"/>
          <w:szCs w:val="24"/>
          <w:lang w:val="es-ES" w:eastAsia="es-ES"/>
        </w:rPr>
        <w:t>es pública</w:t>
      </w:r>
      <w:r w:rsidRPr="001E5FA2">
        <w:rPr>
          <w:rFonts w:ascii="Palatino Linotype" w:eastAsia="MS Mincho" w:hAnsi="Palatino Linotype" w:cstheme="majorBidi"/>
          <w:i/>
          <w:sz w:val="24"/>
          <w:szCs w:val="24"/>
          <w:lang w:val="es-ES" w:eastAsia="es-ES"/>
        </w:rPr>
        <w:t xml:space="preserve">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F14810" w:rsidRPr="001E5FA2" w:rsidRDefault="00F14810" w:rsidP="00F14810">
      <w:pPr>
        <w:spacing w:after="0" w:line="360" w:lineRule="auto"/>
        <w:ind w:right="48"/>
        <w:contextualSpacing/>
        <w:jc w:val="both"/>
        <w:rPr>
          <w:rFonts w:ascii="Palatino Linotype" w:eastAsia="MS Mincho" w:hAnsi="Palatino Linotype" w:cstheme="majorBidi"/>
          <w:i/>
          <w:sz w:val="24"/>
          <w:szCs w:val="24"/>
          <w:lang w:val="es-ES" w:eastAsia="es-ES"/>
        </w:rPr>
      </w:pPr>
    </w:p>
    <w:p w:rsidR="00F14810" w:rsidRPr="001E5FA2" w:rsidRDefault="00F14810" w:rsidP="00F14810">
      <w:pPr>
        <w:numPr>
          <w:ilvl w:val="0"/>
          <w:numId w:val="1"/>
        </w:numPr>
        <w:spacing w:after="0" w:line="360" w:lineRule="auto"/>
        <w:ind w:left="0" w:right="48" w:firstLine="0"/>
        <w:contextualSpacing/>
        <w:jc w:val="both"/>
        <w:rPr>
          <w:rFonts w:ascii="Palatino Linotype" w:eastAsia="MS Mincho" w:hAnsi="Palatino Linotype" w:cstheme="majorBidi"/>
          <w:i/>
          <w:sz w:val="24"/>
          <w:szCs w:val="24"/>
          <w:lang w:eastAsia="es-ES"/>
        </w:rPr>
      </w:pPr>
      <w:r w:rsidRPr="001E5FA2">
        <w:rPr>
          <w:rFonts w:ascii="Palatino Linotype" w:eastAsia="MS Mincho" w:hAnsi="Palatino Linotype" w:cstheme="majorBidi"/>
          <w:sz w:val="24"/>
          <w:szCs w:val="24"/>
          <w:lang w:val="es-ES_tradnl" w:eastAsia="es-ES"/>
        </w:rPr>
        <w:t xml:space="preserve">Luego entonces, el acceso a la información pública es el derecho humano por medio del cual se puede solicitar información pública que </w:t>
      </w:r>
      <w:r w:rsidRPr="001E5FA2">
        <w:rPr>
          <w:rFonts w:ascii="Palatino Linotype" w:eastAsia="MS Mincho" w:hAnsi="Palatino Linotype" w:cstheme="majorBidi"/>
          <w:i/>
          <w:sz w:val="24"/>
          <w:szCs w:val="24"/>
          <w:lang w:val="es-ES_tradnl" w:eastAsia="es-ES"/>
        </w:rPr>
        <w:t>generen, administren o posean las autoridades</w:t>
      </w:r>
      <w:r w:rsidRPr="001E5FA2">
        <w:rPr>
          <w:rFonts w:ascii="Palatino Linotype" w:eastAsia="MS Mincho" w:hAnsi="Palatino Linotype" w:cstheme="majorBidi"/>
          <w:sz w:val="24"/>
          <w:szCs w:val="24"/>
          <w:lang w:val="es-ES_tradnl" w:eastAsia="es-ES"/>
        </w:rPr>
        <w:t>, quienes están obligados a documentar todo acto que derive sus facultades, atribuciones y competencias, siempre prevaleciendo el principio de máxima publicidad.</w:t>
      </w:r>
    </w:p>
    <w:p w:rsidR="00F14810" w:rsidRPr="001E5FA2" w:rsidRDefault="00F14810" w:rsidP="00F14810">
      <w:pPr>
        <w:spacing w:after="0" w:line="360" w:lineRule="auto"/>
        <w:ind w:right="48"/>
        <w:contextualSpacing/>
        <w:jc w:val="both"/>
        <w:rPr>
          <w:rFonts w:ascii="Palatino Linotype" w:eastAsia="MS Mincho" w:hAnsi="Palatino Linotype" w:cstheme="majorBidi"/>
          <w:i/>
          <w:sz w:val="24"/>
          <w:szCs w:val="24"/>
          <w:lang w:eastAsia="es-ES"/>
        </w:rPr>
      </w:pPr>
    </w:p>
    <w:p w:rsidR="00F14810" w:rsidRPr="001E5FA2" w:rsidRDefault="00F14810" w:rsidP="00F14810">
      <w:pPr>
        <w:numPr>
          <w:ilvl w:val="0"/>
          <w:numId w:val="1"/>
        </w:numPr>
        <w:spacing w:after="0" w:line="360" w:lineRule="auto"/>
        <w:ind w:left="0" w:right="48" w:firstLine="0"/>
        <w:contextualSpacing/>
        <w:jc w:val="both"/>
        <w:rPr>
          <w:rFonts w:ascii="Palatino Linotype" w:eastAsia="MS Mincho" w:hAnsi="Palatino Linotype" w:cs="Times New Roman"/>
          <w:sz w:val="24"/>
          <w:szCs w:val="24"/>
          <w:lang w:val="es-ES_tradnl" w:eastAsia="es-ES"/>
        </w:rPr>
      </w:pPr>
      <w:r w:rsidRPr="001E5FA2">
        <w:rPr>
          <w:rFonts w:ascii="Palatino Linotype" w:eastAsia="MS Mincho" w:hAnsi="Palatino Linotype" w:cs="Times New Roman"/>
          <w:sz w:val="24"/>
          <w:szCs w:val="24"/>
          <w:lang w:val="es-ES_tradnl" w:eastAsia="es-ES"/>
        </w:rPr>
        <w:t xml:space="preserve">En términos generales, la Ley de Transparencia establece como uno de sus objetivos; garantizar a toda persona el Derecho de Acceso a la Información Pública, mediante procedimientos sencillos, expeditos, oportunos y gratuitos, con la finalidad de mejorar los mecanismos que trasparenten la gestión pública, y promover la mejor toma </w:t>
      </w:r>
      <w:r w:rsidRPr="001E5FA2">
        <w:rPr>
          <w:rFonts w:ascii="Palatino Linotype" w:eastAsia="MS Mincho" w:hAnsi="Palatino Linotype" w:cs="Times New Roman"/>
          <w:sz w:val="24"/>
          <w:szCs w:val="24"/>
          <w:lang w:val="es-ES_tradnl" w:eastAsia="es-ES"/>
        </w:rPr>
        <w:lastRenderedPageBreak/>
        <w:t xml:space="preserve">de decisiones por parte de las autoridades, siendo la difusión de la información en poder de los sujetos obligados la que contribuirá al logro de este fin. </w:t>
      </w:r>
    </w:p>
    <w:p w:rsidR="00F14810" w:rsidRPr="001E5FA2" w:rsidRDefault="00F14810" w:rsidP="00F14810">
      <w:pPr>
        <w:spacing w:after="0" w:line="360" w:lineRule="auto"/>
        <w:ind w:right="48"/>
        <w:contextualSpacing/>
        <w:jc w:val="both"/>
        <w:rPr>
          <w:rFonts w:ascii="Palatino Linotype" w:eastAsia="MS Mincho" w:hAnsi="Palatino Linotype" w:cs="Times New Roman"/>
          <w:sz w:val="24"/>
          <w:szCs w:val="24"/>
          <w:lang w:val="es-ES_tradnl" w:eastAsia="es-ES"/>
        </w:rPr>
      </w:pPr>
    </w:p>
    <w:p w:rsidR="00F14810" w:rsidRPr="001E5FA2" w:rsidRDefault="00F14810" w:rsidP="00F14810">
      <w:pPr>
        <w:numPr>
          <w:ilvl w:val="0"/>
          <w:numId w:val="1"/>
        </w:numPr>
        <w:spacing w:after="0" w:line="360" w:lineRule="auto"/>
        <w:ind w:left="0" w:right="48" w:firstLine="0"/>
        <w:contextualSpacing/>
        <w:jc w:val="both"/>
        <w:rPr>
          <w:rFonts w:ascii="Palatino Linotype" w:eastAsia="MS Mincho" w:hAnsi="Palatino Linotype" w:cs="Times New Roman"/>
          <w:i/>
          <w:sz w:val="24"/>
          <w:szCs w:val="24"/>
          <w:lang w:val="es-ES_tradnl" w:eastAsia="es-ES"/>
        </w:rPr>
      </w:pPr>
      <w:r w:rsidRPr="001E5FA2">
        <w:rPr>
          <w:rFonts w:ascii="Palatino Linotype" w:eastAsia="MS Mincho" w:hAnsi="Palatino Linotype" w:cs="Times New Roman"/>
          <w:sz w:val="24"/>
          <w:szCs w:val="24"/>
          <w:lang w:val="es-ES_tradnl" w:eastAsia="es-ES"/>
        </w:rPr>
        <w:t xml:space="preserve">De acuerdo con el artículo 4 de la Ley en la materia, señala que </w:t>
      </w:r>
      <w:r w:rsidRPr="001E5FA2">
        <w:rPr>
          <w:rFonts w:ascii="Palatino Linotype" w:eastAsia="MS Mincho" w:hAnsi="Palatino Linotype" w:cs="Times New Roman"/>
          <w:i/>
          <w:sz w:val="24"/>
          <w:szCs w:val="24"/>
          <w:lang w:val="es-ES_tradnl" w:eastAsia="es-ES"/>
        </w:rPr>
        <w:t>“el derecho humano de acceso a la información pública es la prerrogativa de las personas para buscar, difundir, investigar, recabar, recibir y solicitar información pública, sin necesidad ni interés jurídico. Toda información generada, obtenida, adquirida, transformada, administrada o en posesión de los sujetos obligados es pública y accesible de manera permanente a cualquier persona (…)”.</w:t>
      </w:r>
    </w:p>
    <w:p w:rsidR="00F14810" w:rsidRPr="001E5FA2" w:rsidRDefault="00F14810" w:rsidP="00F14810">
      <w:pPr>
        <w:spacing w:after="0" w:line="360" w:lineRule="auto"/>
        <w:ind w:right="48"/>
        <w:contextualSpacing/>
        <w:jc w:val="both"/>
        <w:rPr>
          <w:rFonts w:ascii="Palatino Linotype" w:eastAsia="MS Mincho" w:hAnsi="Palatino Linotype" w:cs="Times New Roman"/>
          <w:i/>
          <w:sz w:val="24"/>
          <w:szCs w:val="24"/>
          <w:lang w:val="es-ES_tradnl" w:eastAsia="es-ES"/>
        </w:rPr>
      </w:pPr>
    </w:p>
    <w:p w:rsidR="00F14810" w:rsidRPr="001E5FA2" w:rsidRDefault="00F14810" w:rsidP="00F14810">
      <w:pPr>
        <w:numPr>
          <w:ilvl w:val="0"/>
          <w:numId w:val="1"/>
        </w:numPr>
        <w:spacing w:after="0" w:line="360" w:lineRule="auto"/>
        <w:ind w:left="0" w:right="48" w:firstLine="0"/>
        <w:contextualSpacing/>
        <w:jc w:val="both"/>
        <w:rPr>
          <w:rFonts w:ascii="Palatino Linotype" w:eastAsia="MS Mincho" w:hAnsi="Palatino Linotype" w:cs="Times New Roman"/>
          <w:sz w:val="24"/>
          <w:szCs w:val="24"/>
          <w:lang w:val="es-ES_tradnl" w:eastAsia="es-ES"/>
        </w:rPr>
      </w:pPr>
      <w:r w:rsidRPr="001E5FA2">
        <w:rPr>
          <w:rFonts w:ascii="Palatino Linotype" w:eastAsia="MS Mincho" w:hAnsi="Palatino Linotype" w:cs="Times New Roman"/>
          <w:sz w:val="24"/>
          <w:szCs w:val="24"/>
          <w:lang w:val="es-ES_tradnl" w:eastAsia="es-ES"/>
        </w:rPr>
        <w:t xml:space="preserve">Asimismo, en el artículo 18 de la Ley en comento, los Sujetos Obligados cuentan con la obligación de documentar todos los actos que deriven de sus atribuciones, funciones y competencia, desde su origen, la eventual publicidad y reutilización de la información que generen. </w:t>
      </w:r>
    </w:p>
    <w:p w:rsidR="00F14810" w:rsidRPr="001E5FA2" w:rsidRDefault="00F14810" w:rsidP="00F14810">
      <w:pPr>
        <w:pStyle w:val="Prrafodelista"/>
        <w:spacing w:after="0" w:line="360" w:lineRule="auto"/>
        <w:ind w:right="48"/>
        <w:rPr>
          <w:rFonts w:ascii="Palatino Linotype" w:eastAsia="MS Mincho" w:hAnsi="Palatino Linotype" w:cs="Times New Roman"/>
          <w:sz w:val="24"/>
          <w:szCs w:val="24"/>
          <w:lang w:val="es-ES_tradnl" w:eastAsia="es-ES"/>
        </w:rPr>
      </w:pPr>
    </w:p>
    <w:p w:rsidR="00F14810" w:rsidRPr="001E5FA2" w:rsidRDefault="00F14810" w:rsidP="00F14810">
      <w:pPr>
        <w:numPr>
          <w:ilvl w:val="0"/>
          <w:numId w:val="1"/>
        </w:numPr>
        <w:spacing w:after="0" w:line="360" w:lineRule="auto"/>
        <w:ind w:left="0" w:right="48" w:firstLine="0"/>
        <w:contextualSpacing/>
        <w:jc w:val="both"/>
        <w:rPr>
          <w:rFonts w:ascii="Palatino Linotype" w:eastAsia="MS Mincho" w:hAnsi="Palatino Linotype" w:cs="Times New Roman"/>
          <w:sz w:val="24"/>
          <w:szCs w:val="24"/>
          <w:lang w:val="es-ES_tradnl" w:eastAsia="es-ES"/>
        </w:rPr>
      </w:pPr>
      <w:r w:rsidRPr="001E5FA2">
        <w:rPr>
          <w:rFonts w:ascii="Palatino Linotype" w:eastAsia="MS Mincho" w:hAnsi="Palatino Linotype" w:cs="Times New Roman"/>
          <w:sz w:val="24"/>
          <w:szCs w:val="24"/>
          <w:lang w:val="es-ES_tradnl" w:eastAsia="es-ES"/>
        </w:rPr>
        <w:t>Por lo que, toda la información que sea generada, poseída y administrada por el</w:t>
      </w:r>
      <w:r w:rsidRPr="001E5FA2">
        <w:rPr>
          <w:rFonts w:ascii="Palatino Linotype" w:eastAsia="MS Mincho" w:hAnsi="Palatino Linotype" w:cs="Times New Roman"/>
          <w:b/>
          <w:sz w:val="24"/>
          <w:szCs w:val="24"/>
          <w:lang w:val="es-ES_tradnl" w:eastAsia="es-ES"/>
        </w:rPr>
        <w:t xml:space="preserve"> Sujeto Obligado,</w:t>
      </w:r>
      <w:r w:rsidRPr="001E5FA2">
        <w:rPr>
          <w:rFonts w:ascii="Palatino Linotype" w:eastAsia="MS Mincho" w:hAnsi="Palatino Linotype" w:cs="Times New Roman"/>
          <w:sz w:val="24"/>
          <w:szCs w:val="24"/>
          <w:lang w:val="es-ES_tradnl" w:eastAsia="es-ES"/>
        </w:rPr>
        <w:t xml:space="preserve"> es pública y accesible de manera permanente a cualquier persona, privilegiando en todo momento el principio de “máxima publicidad” de la misma. </w:t>
      </w:r>
    </w:p>
    <w:p w:rsidR="00F14810" w:rsidRPr="001E5FA2" w:rsidRDefault="00F14810" w:rsidP="00F14810">
      <w:pPr>
        <w:spacing w:after="0" w:line="360" w:lineRule="auto"/>
        <w:ind w:right="48"/>
        <w:contextualSpacing/>
        <w:jc w:val="both"/>
        <w:rPr>
          <w:rFonts w:ascii="Palatino Linotype" w:eastAsia="MS Mincho" w:hAnsi="Palatino Linotype" w:cs="Times New Roman"/>
          <w:sz w:val="24"/>
          <w:szCs w:val="24"/>
          <w:lang w:val="es-ES_tradnl" w:eastAsia="es-ES"/>
        </w:rPr>
      </w:pPr>
    </w:p>
    <w:p w:rsidR="00F14810" w:rsidRPr="001E5FA2" w:rsidRDefault="00F14810" w:rsidP="00F14810">
      <w:pPr>
        <w:keepNext/>
        <w:keepLines/>
        <w:spacing w:after="0" w:line="360" w:lineRule="auto"/>
        <w:ind w:right="48"/>
        <w:outlineLvl w:val="0"/>
        <w:rPr>
          <w:rFonts w:ascii="Palatino Linotype" w:eastAsia="MS Gothic" w:hAnsi="Palatino Linotype" w:cstheme="majorBidi"/>
          <w:b/>
          <w:sz w:val="24"/>
          <w:szCs w:val="24"/>
          <w:lang w:val="es-ES_tradnl" w:eastAsia="es-ES"/>
        </w:rPr>
      </w:pPr>
      <w:bookmarkStart w:id="31" w:name="_Toc31301158"/>
      <w:bookmarkStart w:id="32" w:name="_Toc67584833"/>
      <w:r w:rsidRPr="001E5FA2">
        <w:rPr>
          <w:rFonts w:ascii="Palatino Linotype" w:eastAsia="MS Gothic" w:hAnsi="Palatino Linotype" w:cstheme="majorBidi"/>
          <w:b/>
          <w:sz w:val="24"/>
          <w:szCs w:val="24"/>
          <w:lang w:val="es-ES_tradnl" w:eastAsia="es-ES"/>
        </w:rPr>
        <w:t>II. De la información solicitada y la respuesta del Sujeto Obligado.</w:t>
      </w:r>
      <w:bookmarkEnd w:id="31"/>
      <w:bookmarkEnd w:id="32"/>
      <w:r w:rsidRPr="001E5FA2">
        <w:rPr>
          <w:rFonts w:ascii="Palatino Linotype" w:eastAsia="MS Gothic" w:hAnsi="Palatino Linotype" w:cstheme="majorBidi"/>
          <w:b/>
          <w:sz w:val="24"/>
          <w:szCs w:val="24"/>
          <w:lang w:val="es-ES_tradnl" w:eastAsia="es-ES"/>
        </w:rPr>
        <w:t xml:space="preserve"> </w:t>
      </w:r>
    </w:p>
    <w:p w:rsidR="00F14810" w:rsidRPr="001E5FA2" w:rsidRDefault="00F14810" w:rsidP="00F14810">
      <w:pPr>
        <w:spacing w:after="0" w:line="360" w:lineRule="auto"/>
        <w:ind w:right="48"/>
        <w:contextualSpacing/>
        <w:jc w:val="both"/>
        <w:rPr>
          <w:rFonts w:ascii="Palatino Linotype" w:eastAsia="MS Mincho" w:hAnsi="Palatino Linotype" w:cs="Times New Roman"/>
          <w:sz w:val="24"/>
          <w:szCs w:val="24"/>
          <w:lang w:val="es-ES_tradnl" w:eastAsia="es-ES"/>
        </w:rPr>
      </w:pPr>
    </w:p>
    <w:p w:rsidR="002865DA" w:rsidRPr="001E5FA2" w:rsidRDefault="002865DA" w:rsidP="002865DA">
      <w:pPr>
        <w:numPr>
          <w:ilvl w:val="0"/>
          <w:numId w:val="1"/>
        </w:numPr>
        <w:spacing w:after="0" w:line="360" w:lineRule="auto"/>
        <w:ind w:left="0" w:right="48" w:firstLine="0"/>
        <w:contextualSpacing/>
        <w:jc w:val="both"/>
        <w:rPr>
          <w:rFonts w:ascii="Palatino Linotype" w:eastAsia="MS Mincho" w:hAnsi="Palatino Linotype" w:cs="Times New Roman"/>
          <w:sz w:val="24"/>
          <w:szCs w:val="24"/>
          <w:lang w:val="es-ES_tradnl" w:eastAsia="es-ES"/>
        </w:rPr>
      </w:pPr>
      <w:r w:rsidRPr="001E5FA2">
        <w:rPr>
          <w:rFonts w:ascii="Palatino Linotype" w:eastAsia="MS Mincho" w:hAnsi="Palatino Linotype"/>
          <w:sz w:val="24"/>
          <w:szCs w:val="24"/>
          <w:lang w:val="es-ES" w:eastAsia="es-ES"/>
        </w:rPr>
        <w:t>Conforme al artículo 50 de la Ley de Transparencia y Acceso a la Información Pública del Estado de México y Municipios, los sujetos obligados contarán con un área responsable para la atención a las solicitudes de información, a la que se le denominará Unidad de Transparencia, quien conforme al artículo 162 de la Ley referida</w:t>
      </w:r>
      <w:r w:rsidRPr="001E5FA2">
        <w:rPr>
          <w:rFonts w:ascii="Palatino Linotype" w:eastAsia="MS Mincho" w:hAnsi="Palatino Linotype" w:cs="Times New Roman"/>
          <w:sz w:val="24"/>
          <w:szCs w:val="24"/>
          <w:lang w:val="es-ES_tradnl" w:eastAsia="es-ES"/>
        </w:rPr>
        <w:t xml:space="preserve"> </w:t>
      </w:r>
      <w:r w:rsidRPr="001E5FA2">
        <w:rPr>
          <w:rFonts w:ascii="Palatino Linotype" w:hAnsi="Palatino Linotype"/>
          <w:sz w:val="24"/>
        </w:rPr>
        <w:t xml:space="preserve">deberán </w:t>
      </w:r>
      <w:r w:rsidRPr="001E5FA2">
        <w:rPr>
          <w:rFonts w:ascii="Palatino Linotype" w:hAnsi="Palatino Linotype"/>
          <w:sz w:val="24"/>
        </w:rPr>
        <w:lastRenderedPageBreak/>
        <w:t>garantizar que las solicitudes se turnen a todas las Áreas competentes que cuenten con la información o deban tenerla de acuerdo a sus facultades, competencias y funciones, con el objeto de que realicen una búsqueda exhaustiva y razonable de la información solicitada.</w:t>
      </w:r>
    </w:p>
    <w:p w:rsidR="002865DA" w:rsidRPr="001E5FA2" w:rsidRDefault="002865DA" w:rsidP="002865DA">
      <w:pPr>
        <w:spacing w:after="0" w:line="360" w:lineRule="auto"/>
        <w:ind w:right="48"/>
        <w:contextualSpacing/>
        <w:jc w:val="both"/>
        <w:rPr>
          <w:rFonts w:ascii="Palatino Linotype" w:eastAsia="MS Mincho" w:hAnsi="Palatino Linotype" w:cs="Times New Roman"/>
          <w:sz w:val="24"/>
          <w:szCs w:val="24"/>
          <w:lang w:val="es-ES_tradnl" w:eastAsia="es-ES"/>
        </w:rPr>
      </w:pPr>
    </w:p>
    <w:p w:rsidR="002865DA" w:rsidRPr="001E5FA2" w:rsidRDefault="002865DA" w:rsidP="006B4565">
      <w:pPr>
        <w:numPr>
          <w:ilvl w:val="0"/>
          <w:numId w:val="1"/>
        </w:numPr>
        <w:spacing w:after="0" w:line="360" w:lineRule="auto"/>
        <w:ind w:left="0" w:right="48" w:firstLine="0"/>
        <w:contextualSpacing/>
        <w:jc w:val="both"/>
        <w:rPr>
          <w:rFonts w:ascii="Palatino Linotype" w:eastAsia="MS Mincho" w:hAnsi="Palatino Linotype" w:cs="Times New Roman"/>
          <w:sz w:val="24"/>
          <w:szCs w:val="24"/>
          <w:lang w:val="es-ES_tradnl" w:eastAsia="es-ES"/>
        </w:rPr>
      </w:pPr>
      <w:r w:rsidRPr="001E5FA2">
        <w:rPr>
          <w:rFonts w:ascii="Palatino Linotype" w:eastAsia="MS Mincho" w:hAnsi="Palatino Linotype" w:cs="Times New Roman"/>
          <w:sz w:val="24"/>
          <w:szCs w:val="24"/>
          <w:lang w:val="es-ES_tradnl" w:eastAsia="es-ES"/>
        </w:rPr>
        <w:t xml:space="preserve">Ahora bien, </w:t>
      </w:r>
      <w:r w:rsidR="00C63028" w:rsidRPr="001E5FA2">
        <w:rPr>
          <w:rFonts w:ascii="Palatino Linotype" w:eastAsia="MS Mincho" w:hAnsi="Palatino Linotype" w:cs="Times New Roman"/>
          <w:sz w:val="24"/>
          <w:szCs w:val="24"/>
          <w:lang w:val="es-ES_tradnl" w:eastAsia="es-ES"/>
        </w:rPr>
        <w:t>de</w:t>
      </w:r>
      <w:r w:rsidRPr="001E5FA2">
        <w:rPr>
          <w:rFonts w:ascii="Palatino Linotype" w:eastAsia="MS Mincho" w:hAnsi="Palatino Linotype" w:cs="Times New Roman"/>
          <w:sz w:val="24"/>
          <w:szCs w:val="24"/>
          <w:lang w:val="es-ES_tradnl" w:eastAsia="es-ES"/>
        </w:rPr>
        <w:t xml:space="preserve"> la respuesta emitida por el SUJETO OBLIGADO</w:t>
      </w:r>
      <w:r w:rsidR="00C63028" w:rsidRPr="001E5FA2">
        <w:rPr>
          <w:rFonts w:ascii="Palatino Linotype" w:eastAsia="MS Mincho" w:hAnsi="Palatino Linotype" w:cs="Times New Roman"/>
          <w:sz w:val="24"/>
          <w:szCs w:val="24"/>
          <w:lang w:val="es-ES_tradnl" w:eastAsia="es-ES"/>
        </w:rPr>
        <w:t xml:space="preserve">, </w:t>
      </w:r>
      <w:r w:rsidR="00E76FBE" w:rsidRPr="001E5FA2">
        <w:rPr>
          <w:rFonts w:ascii="Palatino Linotype" w:eastAsia="MS Mincho" w:hAnsi="Palatino Linotype" w:cs="Times New Roman"/>
          <w:sz w:val="24"/>
          <w:szCs w:val="24"/>
          <w:lang w:val="es-ES_tradnl" w:eastAsia="es-ES"/>
        </w:rPr>
        <w:t>se ob</w:t>
      </w:r>
      <w:r w:rsidR="006B4565" w:rsidRPr="001E5FA2">
        <w:rPr>
          <w:rFonts w:ascii="Palatino Linotype" w:eastAsia="MS Mincho" w:hAnsi="Palatino Linotype" w:cs="Times New Roman"/>
          <w:sz w:val="24"/>
          <w:szCs w:val="24"/>
          <w:lang w:val="es-ES_tradnl" w:eastAsia="es-ES"/>
        </w:rPr>
        <w:t xml:space="preserve">serva que se le requirió la información a </w:t>
      </w:r>
      <w:r w:rsidR="00E76FBE" w:rsidRPr="001E5FA2">
        <w:rPr>
          <w:rFonts w:ascii="Palatino Linotype" w:eastAsia="MS Mincho" w:hAnsi="Palatino Linotype" w:cs="Times New Roman"/>
          <w:sz w:val="24"/>
          <w:szCs w:val="24"/>
          <w:lang w:val="es-ES_tradnl" w:eastAsia="es-ES"/>
        </w:rPr>
        <w:t xml:space="preserve">la Dirección de Servicios Públicos, quien a través de la Jefa de Panteones manifestó </w:t>
      </w:r>
      <w:r w:rsidR="00001034" w:rsidRPr="001E5FA2">
        <w:rPr>
          <w:rFonts w:ascii="Palatino Linotype" w:eastAsia="MS Mincho" w:hAnsi="Palatino Linotype" w:cs="Times New Roman"/>
          <w:sz w:val="24"/>
          <w:szCs w:val="24"/>
          <w:lang w:val="es-ES_tradnl" w:eastAsia="es-ES"/>
        </w:rPr>
        <w:t xml:space="preserve">que </w:t>
      </w:r>
      <w:r w:rsidR="00296626" w:rsidRPr="001E5FA2">
        <w:rPr>
          <w:rFonts w:ascii="Palatino Linotype" w:eastAsia="MS Mincho" w:hAnsi="Palatino Linotype" w:cs="Times New Roman"/>
          <w:sz w:val="24"/>
          <w:szCs w:val="24"/>
          <w:lang w:val="es-ES_tradnl" w:eastAsia="es-ES"/>
        </w:rPr>
        <w:t>tiene</w:t>
      </w:r>
      <w:r w:rsidR="00001034" w:rsidRPr="001E5FA2">
        <w:rPr>
          <w:rFonts w:ascii="Palatino Linotype" w:eastAsia="MS Mincho" w:hAnsi="Palatino Linotype" w:cs="Times New Roman"/>
          <w:sz w:val="24"/>
          <w:szCs w:val="24"/>
          <w:lang w:val="es-ES_tradnl" w:eastAsia="es-ES"/>
        </w:rPr>
        <w:t>n</w:t>
      </w:r>
      <w:r w:rsidR="00296626" w:rsidRPr="001E5FA2">
        <w:rPr>
          <w:rFonts w:ascii="Palatino Linotype" w:eastAsia="MS Mincho" w:hAnsi="Palatino Linotype" w:cs="Times New Roman"/>
          <w:sz w:val="24"/>
          <w:szCs w:val="24"/>
          <w:lang w:val="es-ES_tradnl" w:eastAsia="es-ES"/>
        </w:rPr>
        <w:t xml:space="preserve"> a su cargo tres</w:t>
      </w:r>
      <w:r w:rsidR="00C63028" w:rsidRPr="001E5FA2">
        <w:rPr>
          <w:rFonts w:ascii="Palatino Linotype" w:eastAsia="MS Mincho" w:hAnsi="Palatino Linotype" w:cs="Times New Roman"/>
          <w:sz w:val="24"/>
          <w:szCs w:val="24"/>
          <w:lang w:val="es-ES_tradnl" w:eastAsia="es-ES"/>
        </w:rPr>
        <w:t xml:space="preserve"> </w:t>
      </w:r>
      <w:r w:rsidR="001914B9" w:rsidRPr="001E5FA2">
        <w:rPr>
          <w:rFonts w:ascii="Palatino Linotype" w:eastAsia="MS Mincho" w:hAnsi="Palatino Linotype" w:cs="Times New Roman"/>
          <w:sz w:val="24"/>
          <w:szCs w:val="24"/>
          <w:lang w:val="es-ES_tradnl" w:eastAsia="es-ES"/>
        </w:rPr>
        <w:t xml:space="preserve"> de los </w:t>
      </w:r>
      <w:r w:rsidR="00C63028" w:rsidRPr="001E5FA2">
        <w:rPr>
          <w:rFonts w:ascii="Palatino Linotype" w:eastAsia="MS Mincho" w:hAnsi="Palatino Linotype" w:cs="Times New Roman"/>
          <w:sz w:val="24"/>
          <w:szCs w:val="24"/>
          <w:lang w:val="es-ES_tradnl" w:eastAsia="es-ES"/>
        </w:rPr>
        <w:t xml:space="preserve">panteones municipales, los cuales son: el Panteón Antiguo, el Panteón de Efrén y el Panteón de San Isidro </w:t>
      </w:r>
      <w:proofErr w:type="spellStart"/>
      <w:r w:rsidR="00C63028" w:rsidRPr="001E5FA2">
        <w:rPr>
          <w:rFonts w:ascii="Palatino Linotype" w:eastAsia="MS Mincho" w:hAnsi="Palatino Linotype" w:cs="Times New Roman"/>
          <w:sz w:val="24"/>
          <w:szCs w:val="24"/>
          <w:lang w:val="es-ES_tradnl" w:eastAsia="es-ES"/>
        </w:rPr>
        <w:t>Atlautenco</w:t>
      </w:r>
      <w:proofErr w:type="spellEnd"/>
      <w:r w:rsidR="00C63028" w:rsidRPr="001E5FA2">
        <w:rPr>
          <w:rFonts w:ascii="Palatino Linotype" w:eastAsia="MS Mincho" w:hAnsi="Palatino Linotype" w:cs="Times New Roman"/>
          <w:sz w:val="24"/>
          <w:szCs w:val="24"/>
          <w:lang w:val="es-ES_tradnl" w:eastAsia="es-ES"/>
        </w:rPr>
        <w:t xml:space="preserve">, por tal motivo, no son la instancia </w:t>
      </w:r>
      <w:r w:rsidR="00412400" w:rsidRPr="001E5FA2">
        <w:rPr>
          <w:rFonts w:ascii="Palatino Linotype" w:eastAsia="MS Mincho" w:hAnsi="Palatino Linotype" w:cs="Times New Roman"/>
          <w:sz w:val="24"/>
          <w:szCs w:val="24"/>
          <w:lang w:val="es-ES_tradnl" w:eastAsia="es-ES"/>
        </w:rPr>
        <w:t xml:space="preserve">competente </w:t>
      </w:r>
      <w:r w:rsidR="00C63028" w:rsidRPr="001E5FA2">
        <w:rPr>
          <w:rFonts w:ascii="Palatino Linotype" w:eastAsia="MS Mincho" w:hAnsi="Palatino Linotype" w:cs="Times New Roman"/>
          <w:sz w:val="24"/>
          <w:szCs w:val="24"/>
          <w:lang w:val="es-ES_tradnl" w:eastAsia="es-ES"/>
        </w:rPr>
        <w:t>para responder dicha solicitud, asimismo, manifestó que después de realizar el análisis detallado, sugiere que se dirija a la Dirección de Gobierno, ya que ellos son los indicados de regular el tema de las mesas Directivas de COPACI y sus Delegados, los cuales son quienes manejan los pa</w:t>
      </w:r>
      <w:r w:rsidR="00E76FBE" w:rsidRPr="001E5FA2">
        <w:rPr>
          <w:rFonts w:ascii="Palatino Linotype" w:eastAsia="MS Mincho" w:hAnsi="Palatino Linotype" w:cs="Times New Roman"/>
          <w:sz w:val="24"/>
          <w:szCs w:val="24"/>
          <w:lang w:val="es-ES_tradnl" w:eastAsia="es-ES"/>
        </w:rPr>
        <w:t>nteones de los diversos pueblos:</w:t>
      </w:r>
    </w:p>
    <w:p w:rsidR="00341B26" w:rsidRPr="001E5FA2" w:rsidRDefault="00341B26" w:rsidP="00341B26">
      <w:pPr>
        <w:pStyle w:val="Prrafodelista"/>
        <w:rPr>
          <w:rFonts w:ascii="Palatino Linotype" w:eastAsia="MS Mincho" w:hAnsi="Palatino Linotype" w:cs="Times New Roman"/>
          <w:sz w:val="24"/>
          <w:szCs w:val="24"/>
          <w:lang w:val="es-ES_tradnl" w:eastAsia="es-ES"/>
        </w:rPr>
      </w:pPr>
    </w:p>
    <w:p w:rsidR="00341B26" w:rsidRPr="001E5FA2" w:rsidRDefault="00001034" w:rsidP="00001034">
      <w:pPr>
        <w:spacing w:after="0" w:line="360" w:lineRule="auto"/>
        <w:ind w:right="48"/>
        <w:contextualSpacing/>
        <w:jc w:val="center"/>
        <w:rPr>
          <w:rFonts w:ascii="Palatino Linotype" w:eastAsia="MS Mincho" w:hAnsi="Palatino Linotype" w:cs="Times New Roman"/>
          <w:sz w:val="24"/>
          <w:szCs w:val="24"/>
          <w:lang w:val="es-ES_tradnl" w:eastAsia="es-ES"/>
        </w:rPr>
      </w:pPr>
      <w:r w:rsidRPr="001E5FA2">
        <w:rPr>
          <w:noProof/>
          <w:lang w:eastAsia="es-MX"/>
        </w:rPr>
        <w:lastRenderedPageBreak/>
        <w:drawing>
          <wp:inline distT="0" distB="0" distL="0" distR="0" wp14:anchorId="5599F6D9" wp14:editId="088A0FE8">
            <wp:extent cx="6997675" cy="5314950"/>
            <wp:effectExtent l="2858"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0257" t="20711" r="25351" b="5807"/>
                    <a:stretch/>
                  </pic:blipFill>
                  <pic:spPr bwMode="auto">
                    <a:xfrm rot="5400000">
                      <a:off x="0" y="0"/>
                      <a:ext cx="7010749" cy="5324880"/>
                    </a:xfrm>
                    <a:prstGeom prst="rect">
                      <a:avLst/>
                    </a:prstGeom>
                    <a:ln>
                      <a:noFill/>
                    </a:ln>
                    <a:extLst>
                      <a:ext uri="{53640926-AAD7-44D8-BBD7-CCE9431645EC}">
                        <a14:shadowObscured xmlns:a14="http://schemas.microsoft.com/office/drawing/2010/main"/>
                      </a:ext>
                    </a:extLst>
                  </pic:spPr>
                </pic:pic>
              </a:graphicData>
            </a:graphic>
          </wp:inline>
        </w:drawing>
      </w:r>
    </w:p>
    <w:p w:rsidR="00C63028" w:rsidRPr="001E5FA2" w:rsidRDefault="00C63028" w:rsidP="00C63028">
      <w:pPr>
        <w:pStyle w:val="Prrafodelista"/>
        <w:rPr>
          <w:rFonts w:ascii="Palatino Linotype" w:eastAsia="MS Mincho" w:hAnsi="Palatino Linotype" w:cs="Times New Roman"/>
          <w:sz w:val="24"/>
          <w:szCs w:val="24"/>
          <w:lang w:val="es-ES_tradnl" w:eastAsia="es-ES"/>
        </w:rPr>
      </w:pPr>
    </w:p>
    <w:p w:rsidR="008B6E55" w:rsidRPr="001E5FA2" w:rsidRDefault="00412400" w:rsidP="00F14810">
      <w:pPr>
        <w:numPr>
          <w:ilvl w:val="0"/>
          <w:numId w:val="1"/>
        </w:numPr>
        <w:spacing w:after="0" w:line="360" w:lineRule="auto"/>
        <w:ind w:left="0" w:right="48" w:firstLine="0"/>
        <w:contextualSpacing/>
        <w:jc w:val="both"/>
        <w:rPr>
          <w:rFonts w:ascii="Palatino Linotype" w:eastAsia="MS Mincho" w:hAnsi="Palatino Linotype" w:cs="Times New Roman"/>
          <w:sz w:val="24"/>
          <w:szCs w:val="24"/>
          <w:lang w:val="es-ES_tradnl" w:eastAsia="es-ES"/>
        </w:rPr>
      </w:pPr>
      <w:r w:rsidRPr="001E5FA2">
        <w:rPr>
          <w:rFonts w:ascii="Palatino Linotype" w:eastAsia="MS Mincho" w:hAnsi="Palatino Linotype" w:cs="Times New Roman"/>
          <w:sz w:val="24"/>
          <w:szCs w:val="24"/>
          <w:lang w:val="es-ES_tradnl" w:eastAsia="es-ES"/>
        </w:rPr>
        <w:lastRenderedPageBreak/>
        <w:t>E</w:t>
      </w:r>
      <w:r w:rsidR="00E76FBE" w:rsidRPr="001E5FA2">
        <w:rPr>
          <w:rFonts w:ascii="Palatino Linotype" w:eastAsia="MS Mincho" w:hAnsi="Palatino Linotype" w:cs="Times New Roman"/>
          <w:sz w:val="24"/>
          <w:szCs w:val="24"/>
          <w:lang w:val="es-ES_tradnl" w:eastAsia="es-ES"/>
        </w:rPr>
        <w:t xml:space="preserve">n ese contexto y </w:t>
      </w:r>
      <w:r w:rsidRPr="001E5FA2">
        <w:rPr>
          <w:rFonts w:ascii="Palatino Linotype" w:eastAsia="MS Mincho" w:hAnsi="Palatino Linotype" w:cs="Times New Roman"/>
          <w:sz w:val="24"/>
          <w:szCs w:val="24"/>
          <w:lang w:val="es-ES_tradnl" w:eastAsia="es-ES"/>
        </w:rPr>
        <w:t>de acuerdo</w:t>
      </w:r>
      <w:r w:rsidR="00E76FBE" w:rsidRPr="001E5FA2">
        <w:rPr>
          <w:rFonts w:ascii="Palatino Linotype" w:eastAsia="MS Mincho" w:hAnsi="Palatino Linotype" w:cs="Times New Roman"/>
          <w:sz w:val="24"/>
          <w:szCs w:val="24"/>
          <w:lang w:val="es-ES_tradnl" w:eastAsia="es-ES"/>
        </w:rPr>
        <w:t xml:space="preserve"> con  e</w:t>
      </w:r>
      <w:r w:rsidRPr="001E5FA2">
        <w:rPr>
          <w:rFonts w:ascii="Palatino Linotype" w:eastAsia="MS Mincho" w:hAnsi="Palatino Linotype" w:cs="Times New Roman"/>
          <w:sz w:val="24"/>
          <w:szCs w:val="24"/>
          <w:lang w:val="es-ES_tradnl" w:eastAsia="es-ES"/>
        </w:rPr>
        <w:t>l artículo 80 del Bando Municipal de Ecatepec de Morelos 2021, la Dirección de Servicios Públicos, es la dependencia encargada de planear, ejecutar, realizar, supervisar, controlar y mantener en condiciones de operación los servicios públicos municipales entre los cuales se encu</w:t>
      </w:r>
      <w:r w:rsidR="00E76FBE" w:rsidRPr="001E5FA2">
        <w:rPr>
          <w:rFonts w:ascii="Palatino Linotype" w:eastAsia="MS Mincho" w:hAnsi="Palatino Linotype" w:cs="Times New Roman"/>
          <w:sz w:val="24"/>
          <w:szCs w:val="24"/>
          <w:lang w:val="es-ES_tradnl" w:eastAsia="es-ES"/>
        </w:rPr>
        <w:t>entran los panteones</w:t>
      </w:r>
      <w:r w:rsidR="008B6E55" w:rsidRPr="001E5FA2">
        <w:rPr>
          <w:rFonts w:ascii="Palatino Linotype" w:eastAsia="MS Mincho" w:hAnsi="Palatino Linotype" w:cs="Times New Roman"/>
          <w:sz w:val="24"/>
          <w:szCs w:val="24"/>
          <w:lang w:val="es-ES_tradnl" w:eastAsia="es-ES"/>
        </w:rPr>
        <w:t>.</w:t>
      </w:r>
    </w:p>
    <w:p w:rsidR="008B6E55" w:rsidRPr="001E5FA2" w:rsidRDefault="008B6E55" w:rsidP="008B6E55">
      <w:pPr>
        <w:spacing w:after="0" w:line="360" w:lineRule="auto"/>
        <w:ind w:right="48"/>
        <w:contextualSpacing/>
        <w:jc w:val="both"/>
        <w:rPr>
          <w:rFonts w:ascii="Palatino Linotype" w:eastAsia="MS Mincho" w:hAnsi="Palatino Linotype" w:cs="Times New Roman"/>
          <w:sz w:val="24"/>
          <w:szCs w:val="24"/>
          <w:lang w:val="es-ES_tradnl" w:eastAsia="es-ES"/>
        </w:rPr>
      </w:pPr>
    </w:p>
    <w:p w:rsidR="00001034" w:rsidRPr="001E5FA2" w:rsidRDefault="00833AF5" w:rsidP="00024657">
      <w:pPr>
        <w:numPr>
          <w:ilvl w:val="0"/>
          <w:numId w:val="1"/>
        </w:numPr>
        <w:spacing w:after="0" w:line="360" w:lineRule="auto"/>
        <w:ind w:left="0" w:right="48" w:firstLine="0"/>
        <w:contextualSpacing/>
        <w:jc w:val="both"/>
        <w:rPr>
          <w:rFonts w:ascii="Palatino Linotype" w:eastAsia="MS Mincho" w:hAnsi="Palatino Linotype" w:cs="Times New Roman"/>
          <w:sz w:val="24"/>
          <w:szCs w:val="24"/>
          <w:lang w:val="es-ES_tradnl" w:eastAsia="es-ES"/>
        </w:rPr>
      </w:pPr>
      <w:r w:rsidRPr="001E5FA2">
        <w:rPr>
          <w:rFonts w:ascii="Palatino Linotype" w:eastAsia="MS Mincho" w:hAnsi="Palatino Linotype" w:cs="Times New Roman"/>
          <w:sz w:val="24"/>
          <w:szCs w:val="24"/>
          <w:lang w:val="es-ES_tradnl" w:eastAsia="es-ES"/>
        </w:rPr>
        <w:t>Por lo que</w:t>
      </w:r>
      <w:r w:rsidR="00E76FBE" w:rsidRPr="001E5FA2">
        <w:rPr>
          <w:rFonts w:ascii="Palatino Linotype" w:eastAsia="MS Mincho" w:hAnsi="Palatino Linotype" w:cs="Times New Roman"/>
          <w:sz w:val="24"/>
          <w:szCs w:val="24"/>
          <w:lang w:val="es-ES_tradnl" w:eastAsia="es-ES"/>
        </w:rPr>
        <w:t xml:space="preserve">, podemos advertir que la solicitud se remitió al área </w:t>
      </w:r>
      <w:r w:rsidR="00874B36" w:rsidRPr="001E5FA2">
        <w:rPr>
          <w:rFonts w:ascii="Palatino Linotype" w:eastAsia="MS Mincho" w:hAnsi="Palatino Linotype" w:cs="Times New Roman"/>
          <w:sz w:val="24"/>
          <w:szCs w:val="24"/>
          <w:lang w:val="es-ES_tradnl" w:eastAsia="es-ES"/>
        </w:rPr>
        <w:t>que en este caso puede generar, poseer o administrar la información solicitada</w:t>
      </w:r>
      <w:r w:rsidR="00E76FBE" w:rsidRPr="001E5FA2">
        <w:rPr>
          <w:rFonts w:ascii="Palatino Linotype" w:eastAsia="MS Mincho" w:hAnsi="Palatino Linotype" w:cs="Times New Roman"/>
          <w:sz w:val="24"/>
          <w:szCs w:val="24"/>
          <w:lang w:val="es-ES_tradnl" w:eastAsia="es-ES"/>
        </w:rPr>
        <w:t>, sin embargo,</w:t>
      </w:r>
      <w:r w:rsidR="00024657" w:rsidRPr="001E5FA2">
        <w:rPr>
          <w:rFonts w:ascii="Palatino Linotype" w:eastAsia="MS Mincho" w:hAnsi="Palatino Linotype" w:cs="Times New Roman"/>
          <w:sz w:val="24"/>
          <w:szCs w:val="24"/>
          <w:lang w:val="es-ES_tradnl" w:eastAsia="es-ES"/>
        </w:rPr>
        <w:t xml:space="preserve"> ya que la Dirección de Servicios Públicos manifestó no contar la información solicitada, la Unidad de Transparencia debió turnar la solicitud y realizar el requerimiento a las áreas que de acuerdo a sus facultades</w:t>
      </w:r>
      <w:r w:rsidR="006B4565" w:rsidRPr="001E5FA2">
        <w:rPr>
          <w:rFonts w:ascii="Palatino Linotype" w:eastAsia="MS Mincho" w:hAnsi="Palatino Linotype" w:cs="Times New Roman"/>
          <w:sz w:val="24"/>
          <w:szCs w:val="24"/>
          <w:lang w:val="es-ES_tradnl" w:eastAsia="es-ES"/>
        </w:rPr>
        <w:t>, competencia o atribuciones</w:t>
      </w:r>
      <w:r w:rsidR="00024657" w:rsidRPr="001E5FA2">
        <w:rPr>
          <w:rFonts w:ascii="Palatino Linotype" w:eastAsia="MS Mincho" w:hAnsi="Palatino Linotype" w:cs="Times New Roman"/>
          <w:sz w:val="24"/>
          <w:szCs w:val="24"/>
          <w:lang w:val="es-ES_tradnl" w:eastAsia="es-ES"/>
        </w:rPr>
        <w:t xml:space="preserve"> pudieran tener la información solicitada</w:t>
      </w:r>
      <w:r w:rsidR="00EB4D36" w:rsidRPr="001E5FA2">
        <w:rPr>
          <w:rFonts w:ascii="Palatino Linotype" w:eastAsia="MS Mincho" w:hAnsi="Palatino Linotype" w:cs="Times New Roman"/>
          <w:sz w:val="24"/>
          <w:szCs w:val="24"/>
          <w:lang w:val="es-ES_tradnl" w:eastAsia="es-ES"/>
        </w:rPr>
        <w:t>, esto</w:t>
      </w:r>
      <w:r w:rsidR="00B1398C" w:rsidRPr="001E5FA2">
        <w:rPr>
          <w:rFonts w:ascii="Palatino Linotype" w:eastAsia="MS Mincho" w:hAnsi="Palatino Linotype" w:cs="Times New Roman"/>
          <w:sz w:val="24"/>
          <w:szCs w:val="24"/>
          <w:lang w:val="es-ES_tradnl" w:eastAsia="es-ES"/>
        </w:rPr>
        <w:t xml:space="preserve"> para poder realizar</w:t>
      </w:r>
      <w:r w:rsidR="00024657" w:rsidRPr="001E5FA2">
        <w:rPr>
          <w:rFonts w:ascii="Palatino Linotype" w:eastAsia="MS Mincho" w:hAnsi="Palatino Linotype" w:cs="Times New Roman"/>
          <w:sz w:val="24"/>
          <w:szCs w:val="24"/>
          <w:lang w:val="es-ES_tradnl" w:eastAsia="es-ES"/>
        </w:rPr>
        <w:t xml:space="preserve"> la búsqueda exhaustiva y razonable de la información</w:t>
      </w:r>
      <w:r w:rsidR="00EB4D36" w:rsidRPr="001E5FA2">
        <w:rPr>
          <w:rFonts w:ascii="Palatino Linotype" w:eastAsia="MS Mincho" w:hAnsi="Palatino Linotype" w:cs="Times New Roman"/>
          <w:sz w:val="24"/>
          <w:szCs w:val="24"/>
          <w:lang w:val="es-ES_tradnl" w:eastAsia="es-ES"/>
        </w:rPr>
        <w:t>, algo que en el caso particular no se realizó. Por lo que, con la respuesta emitida por el SUJETO OBLIGADO, no se colma con la solicitud de información.</w:t>
      </w:r>
    </w:p>
    <w:p w:rsidR="00B41C96" w:rsidRPr="001E5FA2" w:rsidRDefault="00B41C96" w:rsidP="00B41C96">
      <w:pPr>
        <w:pStyle w:val="Prrafodelista"/>
        <w:rPr>
          <w:rFonts w:ascii="Palatino Linotype" w:eastAsia="MS Mincho" w:hAnsi="Palatino Linotype" w:cs="Times New Roman"/>
          <w:sz w:val="24"/>
          <w:szCs w:val="24"/>
          <w:lang w:val="es-ES_tradnl" w:eastAsia="es-ES"/>
        </w:rPr>
      </w:pPr>
    </w:p>
    <w:p w:rsidR="00024657" w:rsidRPr="001E5FA2" w:rsidRDefault="00B41C96" w:rsidP="00F14810">
      <w:pPr>
        <w:numPr>
          <w:ilvl w:val="0"/>
          <w:numId w:val="1"/>
        </w:numPr>
        <w:spacing w:after="0" w:line="360" w:lineRule="auto"/>
        <w:ind w:left="0" w:right="48" w:firstLine="0"/>
        <w:contextualSpacing/>
        <w:jc w:val="both"/>
        <w:rPr>
          <w:rFonts w:ascii="Palatino Linotype" w:eastAsia="MS Mincho" w:hAnsi="Palatino Linotype" w:cs="Times New Roman"/>
          <w:sz w:val="24"/>
          <w:szCs w:val="24"/>
          <w:lang w:val="es-ES_tradnl" w:eastAsia="es-ES"/>
        </w:rPr>
      </w:pPr>
      <w:r w:rsidRPr="001E5FA2">
        <w:rPr>
          <w:rFonts w:ascii="Palatino Linotype" w:eastAsia="MS Mincho" w:hAnsi="Palatino Linotype" w:cs="Times New Roman"/>
          <w:sz w:val="24"/>
          <w:szCs w:val="24"/>
          <w:lang w:val="es-ES_tradnl" w:eastAsia="es-ES"/>
        </w:rPr>
        <w:t xml:space="preserve">Ahora bien, de acuerdo al </w:t>
      </w:r>
      <w:r w:rsidR="00024657" w:rsidRPr="001E5FA2">
        <w:rPr>
          <w:rFonts w:ascii="Palatino Linotype" w:eastAsia="MS Mincho" w:hAnsi="Palatino Linotype" w:cs="Times New Roman"/>
          <w:sz w:val="24"/>
          <w:szCs w:val="24"/>
          <w:lang w:val="es-ES_tradnl" w:eastAsia="es-ES"/>
        </w:rPr>
        <w:t xml:space="preserve">artículo 155 del </w:t>
      </w:r>
      <w:r w:rsidRPr="001E5FA2">
        <w:rPr>
          <w:rFonts w:ascii="Palatino Linotype" w:eastAsia="MS Mincho" w:hAnsi="Palatino Linotype" w:cs="Times New Roman"/>
          <w:sz w:val="24"/>
          <w:szCs w:val="24"/>
          <w:lang w:val="es-ES_tradnl" w:eastAsia="es-ES"/>
        </w:rPr>
        <w:t>Código Financiero del Estado de México</w:t>
      </w:r>
      <w:r w:rsidR="00FB2C78" w:rsidRPr="001E5FA2">
        <w:rPr>
          <w:rFonts w:ascii="Palatino Linotype" w:eastAsia="MS Mincho" w:hAnsi="Palatino Linotype" w:cs="Times New Roman"/>
          <w:sz w:val="24"/>
          <w:szCs w:val="24"/>
          <w:lang w:val="es-ES_tradnl" w:eastAsia="es-ES"/>
        </w:rPr>
        <w:t>,</w:t>
      </w:r>
      <w:r w:rsidR="00024657" w:rsidRPr="001E5FA2">
        <w:rPr>
          <w:rFonts w:ascii="Palatino Linotype" w:eastAsia="MS Mincho" w:hAnsi="Palatino Linotype" w:cs="Times New Roman"/>
          <w:sz w:val="24"/>
          <w:szCs w:val="24"/>
          <w:lang w:val="es-ES_tradnl" w:eastAsia="es-ES"/>
        </w:rPr>
        <w:t xml:space="preserve"> </w:t>
      </w:r>
      <w:r w:rsidR="003B502C" w:rsidRPr="001E5FA2">
        <w:rPr>
          <w:rFonts w:ascii="Palatino Linotype" w:eastAsia="MS Mincho" w:hAnsi="Palatino Linotype" w:cs="Times New Roman"/>
          <w:sz w:val="24"/>
          <w:szCs w:val="24"/>
          <w:lang w:val="es-ES_tradnl" w:eastAsia="es-ES"/>
        </w:rPr>
        <w:t xml:space="preserve">por </w:t>
      </w:r>
      <w:r w:rsidR="00024657" w:rsidRPr="001E5FA2">
        <w:rPr>
          <w:rFonts w:ascii="Palatino Linotype" w:eastAsia="MS Mincho" w:hAnsi="Palatino Linotype" w:cs="Times New Roman"/>
          <w:sz w:val="24"/>
          <w:szCs w:val="24"/>
          <w:lang w:val="es-ES_tradnl" w:eastAsia="es-ES"/>
        </w:rPr>
        <w:t xml:space="preserve">los servicios de panteones </w:t>
      </w:r>
      <w:r w:rsidR="003B502C" w:rsidRPr="001E5FA2">
        <w:rPr>
          <w:rFonts w:ascii="Palatino Linotype" w:eastAsia="MS Mincho" w:hAnsi="Palatino Linotype" w:cs="Times New Roman"/>
          <w:sz w:val="24"/>
          <w:szCs w:val="24"/>
          <w:lang w:val="es-ES_tradnl" w:eastAsia="es-ES"/>
        </w:rPr>
        <w:t>propiedad municipal se pagaran</w:t>
      </w:r>
      <w:r w:rsidR="00024657" w:rsidRPr="001E5FA2">
        <w:rPr>
          <w:rFonts w:ascii="Palatino Linotype" w:eastAsia="MS Mincho" w:hAnsi="Palatino Linotype" w:cs="Times New Roman"/>
          <w:sz w:val="24"/>
          <w:szCs w:val="24"/>
          <w:lang w:val="es-ES_tradnl" w:eastAsia="es-ES"/>
        </w:rPr>
        <w:t xml:space="preserve"> </w:t>
      </w:r>
      <w:r w:rsidR="003B502C" w:rsidRPr="001E5FA2">
        <w:rPr>
          <w:rFonts w:ascii="Palatino Linotype" w:eastAsia="MS Mincho" w:hAnsi="Palatino Linotype" w:cs="Times New Roman"/>
          <w:sz w:val="24"/>
          <w:szCs w:val="24"/>
          <w:lang w:val="es-ES_tradnl" w:eastAsia="es-ES"/>
        </w:rPr>
        <w:t xml:space="preserve">los siguientes </w:t>
      </w:r>
      <w:r w:rsidR="00024657" w:rsidRPr="001E5FA2">
        <w:rPr>
          <w:rFonts w:ascii="Palatino Linotype" w:eastAsia="MS Mincho" w:hAnsi="Palatino Linotype" w:cs="Times New Roman"/>
          <w:sz w:val="24"/>
          <w:szCs w:val="24"/>
          <w:lang w:val="es-ES_tradnl" w:eastAsia="es-ES"/>
        </w:rPr>
        <w:t>derechos:</w:t>
      </w:r>
    </w:p>
    <w:p w:rsidR="00024657" w:rsidRPr="001E5FA2" w:rsidRDefault="00024657" w:rsidP="00024657">
      <w:pPr>
        <w:pStyle w:val="Prrafodelista"/>
        <w:rPr>
          <w:rFonts w:ascii="Palatino Linotype" w:eastAsia="MS Mincho" w:hAnsi="Palatino Linotype" w:cs="Times New Roman"/>
          <w:sz w:val="24"/>
          <w:szCs w:val="24"/>
          <w:lang w:val="es-ES_tradnl" w:eastAsia="es-ES"/>
        </w:rPr>
      </w:pPr>
    </w:p>
    <w:p w:rsidR="00B41C96" w:rsidRPr="001E5FA2" w:rsidRDefault="00024657" w:rsidP="00B41C96">
      <w:pPr>
        <w:spacing w:after="0" w:line="360" w:lineRule="auto"/>
        <w:ind w:right="48"/>
        <w:contextualSpacing/>
        <w:jc w:val="both"/>
        <w:rPr>
          <w:rFonts w:ascii="Palatino Linotype" w:eastAsia="MS Mincho" w:hAnsi="Palatino Linotype" w:cs="Times New Roman"/>
          <w:sz w:val="24"/>
          <w:szCs w:val="24"/>
          <w:lang w:val="es-ES_tradnl" w:eastAsia="es-ES"/>
        </w:rPr>
      </w:pPr>
      <w:r w:rsidRPr="001E5FA2">
        <w:rPr>
          <w:noProof/>
          <w:lang w:eastAsia="es-MX"/>
        </w:rPr>
        <w:drawing>
          <wp:inline distT="0" distB="0" distL="0" distR="0" wp14:anchorId="1B70AC8B" wp14:editId="32B602A4">
            <wp:extent cx="3952875" cy="1952625"/>
            <wp:effectExtent l="0" t="0" r="9525" b="952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5680" t="38301" r="26787" b="24815"/>
                    <a:stretch/>
                  </pic:blipFill>
                  <pic:spPr bwMode="auto">
                    <a:xfrm>
                      <a:off x="0" y="0"/>
                      <a:ext cx="3952875" cy="1952625"/>
                    </a:xfrm>
                    <a:prstGeom prst="rect">
                      <a:avLst/>
                    </a:prstGeom>
                    <a:ln>
                      <a:noFill/>
                    </a:ln>
                    <a:extLst>
                      <a:ext uri="{53640926-AAD7-44D8-BBD7-CCE9431645EC}">
                        <a14:shadowObscured xmlns:a14="http://schemas.microsoft.com/office/drawing/2010/main"/>
                      </a:ext>
                    </a:extLst>
                  </pic:spPr>
                </pic:pic>
              </a:graphicData>
            </a:graphic>
          </wp:inline>
        </w:drawing>
      </w:r>
    </w:p>
    <w:p w:rsidR="00024657" w:rsidRPr="001E5FA2" w:rsidRDefault="00024657" w:rsidP="00B41C96">
      <w:pPr>
        <w:spacing w:after="0" w:line="360" w:lineRule="auto"/>
        <w:ind w:right="48"/>
        <w:contextualSpacing/>
        <w:jc w:val="both"/>
        <w:rPr>
          <w:rFonts w:ascii="Palatino Linotype" w:eastAsia="MS Mincho" w:hAnsi="Palatino Linotype" w:cs="Times New Roman"/>
          <w:sz w:val="24"/>
          <w:szCs w:val="24"/>
          <w:lang w:val="es-ES_tradnl" w:eastAsia="es-ES"/>
        </w:rPr>
      </w:pPr>
      <w:r w:rsidRPr="001E5FA2">
        <w:rPr>
          <w:noProof/>
          <w:lang w:eastAsia="es-MX"/>
        </w:rPr>
        <w:lastRenderedPageBreak/>
        <w:drawing>
          <wp:inline distT="0" distB="0" distL="0" distR="0" wp14:anchorId="2ABFE202" wp14:editId="5A529AD8">
            <wp:extent cx="4479154" cy="3776345"/>
            <wp:effectExtent l="8255" t="0" r="6350" b="635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8662" t="20995" r="25989" b="9211"/>
                    <a:stretch/>
                  </pic:blipFill>
                  <pic:spPr bwMode="auto">
                    <a:xfrm rot="5400000">
                      <a:off x="0" y="0"/>
                      <a:ext cx="4508732" cy="3801282"/>
                    </a:xfrm>
                    <a:prstGeom prst="rect">
                      <a:avLst/>
                    </a:prstGeom>
                    <a:ln>
                      <a:noFill/>
                    </a:ln>
                    <a:extLst>
                      <a:ext uri="{53640926-AAD7-44D8-BBD7-CCE9431645EC}">
                        <a14:shadowObscured xmlns:a14="http://schemas.microsoft.com/office/drawing/2010/main"/>
                      </a:ext>
                    </a:extLst>
                  </pic:spPr>
                </pic:pic>
              </a:graphicData>
            </a:graphic>
          </wp:inline>
        </w:drawing>
      </w:r>
    </w:p>
    <w:p w:rsidR="00B41C96" w:rsidRPr="001E5FA2" w:rsidRDefault="00B41C96" w:rsidP="00B41C96">
      <w:pPr>
        <w:pStyle w:val="Prrafodelista"/>
        <w:rPr>
          <w:rFonts w:ascii="Palatino Linotype" w:eastAsia="MS Mincho" w:hAnsi="Palatino Linotype" w:cs="Times New Roman"/>
          <w:sz w:val="24"/>
          <w:szCs w:val="24"/>
          <w:lang w:val="es-ES_tradnl" w:eastAsia="es-ES"/>
        </w:rPr>
      </w:pPr>
    </w:p>
    <w:p w:rsidR="00E76FBE" w:rsidRPr="001E5FA2" w:rsidRDefault="003B502C" w:rsidP="00F14810">
      <w:pPr>
        <w:numPr>
          <w:ilvl w:val="0"/>
          <w:numId w:val="1"/>
        </w:numPr>
        <w:spacing w:after="0" w:line="360" w:lineRule="auto"/>
        <w:ind w:left="0" w:right="48" w:firstLine="0"/>
        <w:contextualSpacing/>
        <w:jc w:val="both"/>
        <w:rPr>
          <w:rFonts w:ascii="Palatino Linotype" w:eastAsia="MS Mincho" w:hAnsi="Palatino Linotype" w:cs="Times New Roman"/>
          <w:sz w:val="24"/>
          <w:szCs w:val="24"/>
          <w:lang w:val="es-ES_tradnl" w:eastAsia="es-ES"/>
        </w:rPr>
      </w:pPr>
      <w:r w:rsidRPr="001E5FA2">
        <w:rPr>
          <w:rFonts w:ascii="Palatino Linotype" w:eastAsia="MS Mincho" w:hAnsi="Palatino Linotype" w:cs="Times New Roman"/>
          <w:sz w:val="24"/>
          <w:szCs w:val="24"/>
          <w:lang w:val="es-ES_tradnl" w:eastAsia="es-ES"/>
        </w:rPr>
        <w:t>En este contexto</w:t>
      </w:r>
      <w:r w:rsidR="008B6E55" w:rsidRPr="001E5FA2">
        <w:rPr>
          <w:rFonts w:ascii="Palatino Linotype" w:eastAsia="MS Mincho" w:hAnsi="Palatino Linotype" w:cs="Times New Roman"/>
          <w:sz w:val="24"/>
          <w:szCs w:val="24"/>
          <w:lang w:val="es-ES_tradnl" w:eastAsia="es-ES"/>
        </w:rPr>
        <w:t>,</w:t>
      </w:r>
      <w:r w:rsidRPr="001E5FA2">
        <w:rPr>
          <w:rFonts w:ascii="Palatino Linotype" w:eastAsia="MS Mincho" w:hAnsi="Palatino Linotype" w:cs="Times New Roman"/>
          <w:sz w:val="24"/>
          <w:szCs w:val="24"/>
          <w:lang w:val="es-ES_tradnl" w:eastAsia="es-ES"/>
        </w:rPr>
        <w:t xml:space="preserve"> al pagar derechos por</w:t>
      </w:r>
      <w:r w:rsidR="00EB4D36" w:rsidRPr="001E5FA2">
        <w:rPr>
          <w:rFonts w:ascii="Palatino Linotype" w:eastAsia="MS Mincho" w:hAnsi="Palatino Linotype" w:cs="Times New Roman"/>
          <w:sz w:val="24"/>
          <w:szCs w:val="24"/>
          <w:lang w:val="es-ES_tradnl" w:eastAsia="es-ES"/>
        </w:rPr>
        <w:t xml:space="preserve"> los servicios de panteones, esta</w:t>
      </w:r>
      <w:r w:rsidRPr="001E5FA2">
        <w:rPr>
          <w:rFonts w:ascii="Palatino Linotype" w:eastAsia="MS Mincho" w:hAnsi="Palatino Linotype" w:cs="Times New Roman"/>
          <w:sz w:val="24"/>
          <w:szCs w:val="24"/>
          <w:lang w:val="es-ES_tradnl" w:eastAsia="es-ES"/>
        </w:rPr>
        <w:t xml:space="preserve"> información al ser un ingreso</w:t>
      </w:r>
      <w:r w:rsidR="00B41C96" w:rsidRPr="001E5FA2">
        <w:rPr>
          <w:rFonts w:ascii="Palatino Linotype" w:eastAsia="MS Mincho" w:hAnsi="Palatino Linotype" w:cs="Times New Roman"/>
          <w:sz w:val="24"/>
          <w:szCs w:val="24"/>
          <w:lang w:val="es-ES_tradnl" w:eastAsia="es-ES"/>
        </w:rPr>
        <w:t>,</w:t>
      </w:r>
      <w:r w:rsidR="00874B36" w:rsidRPr="001E5FA2">
        <w:rPr>
          <w:rFonts w:ascii="Palatino Linotype" w:eastAsia="MS Mincho" w:hAnsi="Palatino Linotype" w:cs="Times New Roman"/>
          <w:sz w:val="24"/>
          <w:szCs w:val="24"/>
          <w:lang w:val="es-ES_tradnl" w:eastAsia="es-ES"/>
        </w:rPr>
        <w:t xml:space="preserve"> de manera enunciativa, mas no limitativa, e</w:t>
      </w:r>
      <w:r w:rsidR="00B41C96" w:rsidRPr="001E5FA2">
        <w:rPr>
          <w:rFonts w:ascii="Palatino Linotype" w:eastAsia="MS Mincho" w:hAnsi="Palatino Linotype" w:cs="Times New Roman"/>
          <w:sz w:val="24"/>
          <w:szCs w:val="24"/>
          <w:lang w:val="es-ES_tradnl" w:eastAsia="es-ES"/>
        </w:rPr>
        <w:t xml:space="preserve">s </w:t>
      </w:r>
      <w:r w:rsidR="00874B36" w:rsidRPr="001E5FA2">
        <w:rPr>
          <w:rFonts w:ascii="Palatino Linotype" w:eastAsia="MS Mincho" w:hAnsi="Palatino Linotype" w:cs="Times New Roman"/>
          <w:sz w:val="24"/>
          <w:szCs w:val="24"/>
          <w:lang w:val="es-ES_tradnl" w:eastAsia="es-ES"/>
        </w:rPr>
        <w:t>información que podría obrar en los archivos de la Tesorería M</w:t>
      </w:r>
      <w:r w:rsidR="00B41C96" w:rsidRPr="001E5FA2">
        <w:rPr>
          <w:rFonts w:ascii="Palatino Linotype" w:eastAsia="MS Mincho" w:hAnsi="Palatino Linotype" w:cs="Times New Roman"/>
          <w:sz w:val="24"/>
          <w:szCs w:val="24"/>
          <w:lang w:val="es-ES_tradnl" w:eastAsia="es-ES"/>
        </w:rPr>
        <w:t>unicipal, ya que de acuerdo al artículo 93 de la</w:t>
      </w:r>
      <w:r w:rsidR="00874B36" w:rsidRPr="001E5FA2">
        <w:rPr>
          <w:rFonts w:ascii="Palatino Linotype" w:eastAsia="MS Mincho" w:hAnsi="Palatino Linotype" w:cs="Times New Roman"/>
          <w:sz w:val="24"/>
          <w:szCs w:val="24"/>
          <w:lang w:val="es-ES_tradnl" w:eastAsia="es-ES"/>
        </w:rPr>
        <w:t xml:space="preserve"> Ley </w:t>
      </w:r>
      <w:r w:rsidR="00B41C96" w:rsidRPr="001E5FA2">
        <w:rPr>
          <w:rFonts w:ascii="Palatino Linotype" w:eastAsia="MS Mincho" w:hAnsi="Palatino Linotype" w:cs="Times New Roman"/>
          <w:sz w:val="24"/>
          <w:szCs w:val="24"/>
          <w:lang w:val="es-ES_tradnl" w:eastAsia="es-ES"/>
        </w:rPr>
        <w:t>Orgánica</w:t>
      </w:r>
      <w:r w:rsidR="00874B36" w:rsidRPr="001E5FA2">
        <w:rPr>
          <w:rFonts w:ascii="Palatino Linotype" w:eastAsia="MS Mincho" w:hAnsi="Palatino Linotype" w:cs="Times New Roman"/>
          <w:sz w:val="24"/>
          <w:szCs w:val="24"/>
          <w:lang w:val="es-ES_tradnl" w:eastAsia="es-ES"/>
        </w:rPr>
        <w:t xml:space="preserve"> Municipal</w:t>
      </w:r>
      <w:r w:rsidR="00B41C96" w:rsidRPr="001E5FA2">
        <w:rPr>
          <w:rFonts w:ascii="Palatino Linotype" w:eastAsia="MS Mincho" w:hAnsi="Palatino Linotype" w:cs="Times New Roman"/>
          <w:sz w:val="24"/>
          <w:szCs w:val="24"/>
          <w:lang w:val="es-ES_tradnl" w:eastAsia="es-ES"/>
        </w:rPr>
        <w:t xml:space="preserve"> del Estado de México, es el órgano encargado de la recaudación de los ingresos municipales y que de acuerdo al artículo 95 de la Ley referida tiene entre sus atribuciones la administración de la hacienda pública.</w:t>
      </w:r>
    </w:p>
    <w:p w:rsidR="00764698" w:rsidRPr="001E5FA2" w:rsidRDefault="00764698" w:rsidP="00764698">
      <w:pPr>
        <w:spacing w:after="0" w:line="360" w:lineRule="auto"/>
        <w:ind w:right="48"/>
        <w:contextualSpacing/>
        <w:jc w:val="both"/>
        <w:rPr>
          <w:rFonts w:ascii="Palatino Linotype" w:eastAsia="MS Mincho" w:hAnsi="Palatino Linotype" w:cs="Times New Roman"/>
          <w:sz w:val="24"/>
          <w:szCs w:val="24"/>
          <w:lang w:val="es-ES_tradnl" w:eastAsia="es-ES"/>
        </w:rPr>
      </w:pPr>
    </w:p>
    <w:p w:rsidR="00764698" w:rsidRPr="001E5FA2" w:rsidRDefault="00764698" w:rsidP="002F52C9">
      <w:pPr>
        <w:numPr>
          <w:ilvl w:val="0"/>
          <w:numId w:val="1"/>
        </w:numPr>
        <w:spacing w:after="0" w:line="360" w:lineRule="auto"/>
        <w:ind w:left="0" w:right="48" w:firstLine="0"/>
        <w:contextualSpacing/>
        <w:jc w:val="both"/>
        <w:rPr>
          <w:rFonts w:ascii="Palatino Linotype" w:eastAsia="MS Mincho" w:hAnsi="Palatino Linotype" w:cs="Times New Roman"/>
          <w:sz w:val="24"/>
          <w:szCs w:val="24"/>
          <w:lang w:val="es-ES_tradnl" w:eastAsia="es-ES"/>
        </w:rPr>
      </w:pPr>
      <w:r w:rsidRPr="001E5FA2">
        <w:rPr>
          <w:rFonts w:ascii="Palatino Linotype" w:eastAsia="MS Mincho" w:hAnsi="Palatino Linotype" w:cs="Times New Roman"/>
          <w:sz w:val="24"/>
          <w:szCs w:val="24"/>
          <w:lang w:val="es-ES_tradnl" w:eastAsia="es-ES"/>
        </w:rPr>
        <w:lastRenderedPageBreak/>
        <w:t xml:space="preserve">Asimismo, </w:t>
      </w:r>
      <w:r w:rsidR="002F52C9" w:rsidRPr="001E5FA2">
        <w:rPr>
          <w:rFonts w:ascii="Palatino Linotype" w:eastAsia="MS Mincho" w:hAnsi="Palatino Linotype" w:cs="Times New Roman"/>
          <w:sz w:val="24"/>
          <w:szCs w:val="24"/>
          <w:lang w:val="es-ES_tradnl" w:eastAsia="es-ES"/>
        </w:rPr>
        <w:t>de acuerdo al Bando Municipal de Ecatepec de Morelos 2019-2021, los integrantes del Ayuntamiento, además de actuar como cuerpo colegiado, se organizan en comisiones edilicias, esto de acuerdo a las necesidades del municipio, las cuales son de carácter permanente o transit</w:t>
      </w:r>
      <w:r w:rsidR="00833AF5" w:rsidRPr="001E5FA2">
        <w:rPr>
          <w:rFonts w:ascii="Palatino Linotype" w:eastAsia="MS Mincho" w:hAnsi="Palatino Linotype" w:cs="Times New Roman"/>
          <w:sz w:val="24"/>
          <w:szCs w:val="24"/>
          <w:lang w:val="es-ES_tradnl" w:eastAsia="es-ES"/>
        </w:rPr>
        <w:t xml:space="preserve">orias, en el caso particular y de acuerdo al artículo 34 del ordenamiento jurídico referido, </w:t>
      </w:r>
      <w:r w:rsidR="002F52C9" w:rsidRPr="001E5FA2">
        <w:rPr>
          <w:rFonts w:ascii="Palatino Linotype" w:eastAsia="MS Mincho" w:hAnsi="Palatino Linotype" w:cs="Times New Roman"/>
          <w:sz w:val="24"/>
          <w:szCs w:val="24"/>
          <w:lang w:val="es-ES_tradnl" w:eastAsia="es-ES"/>
        </w:rPr>
        <w:t xml:space="preserve">la Comisión de Panteones, es de carácter transitoria y se encuentra integrada por </w:t>
      </w:r>
      <w:r w:rsidR="004439A6" w:rsidRPr="001E5FA2">
        <w:rPr>
          <w:rFonts w:ascii="Palatino Linotype" w:eastAsia="MS Mincho" w:hAnsi="Palatino Linotype" w:cs="Times New Roman"/>
          <w:sz w:val="24"/>
          <w:szCs w:val="24"/>
          <w:lang w:val="es-ES_tradnl" w:eastAsia="es-ES"/>
        </w:rPr>
        <w:t>la 11° regidora como presidente; la 3°regidora como secretario; la 13° regidora, primer vocal; la 14°</w:t>
      </w:r>
      <w:r w:rsidR="00833AF5" w:rsidRPr="001E5FA2">
        <w:rPr>
          <w:rFonts w:ascii="Palatino Linotype" w:eastAsia="MS Mincho" w:hAnsi="Palatino Linotype" w:cs="Times New Roman"/>
          <w:sz w:val="24"/>
          <w:szCs w:val="24"/>
          <w:lang w:val="es-ES_tradnl" w:eastAsia="es-ES"/>
        </w:rPr>
        <w:t xml:space="preserve"> regidora, segun</w:t>
      </w:r>
      <w:r w:rsidR="004439A6" w:rsidRPr="001E5FA2">
        <w:rPr>
          <w:rFonts w:ascii="Palatino Linotype" w:eastAsia="MS Mincho" w:hAnsi="Palatino Linotype" w:cs="Times New Roman"/>
          <w:sz w:val="24"/>
          <w:szCs w:val="24"/>
          <w:lang w:val="es-ES_tradnl" w:eastAsia="es-ES"/>
        </w:rPr>
        <w:t>do vocal; y la  7° regidora como tercer vocal. E</w:t>
      </w:r>
      <w:r w:rsidR="002F52C9" w:rsidRPr="001E5FA2">
        <w:rPr>
          <w:rFonts w:ascii="Palatino Linotype" w:eastAsia="MS Mincho" w:hAnsi="Palatino Linotype" w:cs="Times New Roman"/>
          <w:sz w:val="24"/>
          <w:szCs w:val="24"/>
          <w:lang w:val="es-ES_tradnl" w:eastAsia="es-ES"/>
        </w:rPr>
        <w:t xml:space="preserve">n este sentido, </w:t>
      </w:r>
      <w:r w:rsidR="0014770B" w:rsidRPr="001E5FA2">
        <w:rPr>
          <w:rFonts w:ascii="Palatino Linotype" w:eastAsia="MS Mincho" w:hAnsi="Palatino Linotype" w:cs="Times New Roman"/>
          <w:sz w:val="24"/>
          <w:szCs w:val="24"/>
          <w:lang w:val="es-ES_tradnl" w:eastAsia="es-ES"/>
        </w:rPr>
        <w:t>si en esta comisión es la encargada de los panteones, puede generar, poseer o administrar la información solicitad</w:t>
      </w:r>
      <w:r w:rsidR="0070501C" w:rsidRPr="001E5FA2">
        <w:rPr>
          <w:rFonts w:ascii="Palatino Linotype" w:eastAsia="MS Mincho" w:hAnsi="Palatino Linotype" w:cs="Times New Roman"/>
          <w:sz w:val="24"/>
          <w:szCs w:val="24"/>
          <w:lang w:val="es-ES_tradnl" w:eastAsia="es-ES"/>
        </w:rPr>
        <w:t>a.</w:t>
      </w:r>
    </w:p>
    <w:p w:rsidR="00B41C96" w:rsidRPr="001E5FA2" w:rsidRDefault="00B41C96" w:rsidP="00B41C96">
      <w:pPr>
        <w:pStyle w:val="Prrafodelista"/>
        <w:rPr>
          <w:rFonts w:ascii="Palatino Linotype" w:eastAsia="MS Mincho" w:hAnsi="Palatino Linotype" w:cs="Times New Roman"/>
          <w:sz w:val="24"/>
          <w:szCs w:val="24"/>
          <w:lang w:val="es-ES_tradnl" w:eastAsia="es-ES"/>
        </w:rPr>
      </w:pPr>
    </w:p>
    <w:p w:rsidR="00C61736" w:rsidRPr="001E5FA2" w:rsidRDefault="00764698" w:rsidP="00C61736">
      <w:pPr>
        <w:numPr>
          <w:ilvl w:val="0"/>
          <w:numId w:val="1"/>
        </w:numPr>
        <w:spacing w:after="0" w:line="360" w:lineRule="auto"/>
        <w:ind w:left="0" w:right="48" w:firstLine="0"/>
        <w:contextualSpacing/>
        <w:jc w:val="both"/>
        <w:rPr>
          <w:rFonts w:ascii="Palatino Linotype" w:eastAsia="MS Mincho" w:hAnsi="Palatino Linotype" w:cs="Times New Roman"/>
          <w:sz w:val="24"/>
          <w:szCs w:val="24"/>
          <w:lang w:val="es-ES_tradnl" w:eastAsia="es-ES"/>
        </w:rPr>
      </w:pPr>
      <w:r w:rsidRPr="001E5FA2">
        <w:rPr>
          <w:rFonts w:ascii="Palatino Linotype" w:eastAsia="MS Mincho" w:hAnsi="Palatino Linotype" w:cs="Times New Roman"/>
          <w:sz w:val="24"/>
          <w:szCs w:val="24"/>
          <w:lang w:val="es-ES_tradnl" w:eastAsia="es-ES"/>
        </w:rPr>
        <w:t>Ahora bien,</w:t>
      </w:r>
      <w:r w:rsidR="0070501C" w:rsidRPr="001E5FA2">
        <w:rPr>
          <w:rFonts w:ascii="Palatino Linotype" w:eastAsia="MS Mincho" w:hAnsi="Palatino Linotype" w:cs="Times New Roman"/>
          <w:sz w:val="24"/>
          <w:szCs w:val="24"/>
          <w:lang w:val="es-ES_tradnl" w:eastAsia="es-ES"/>
        </w:rPr>
        <w:t xml:space="preserve"> de la respuesta emitida por el Director de Servicios Públicos, donde refiere que la información solicitada puede obrar en los archivos de la Dirección de Gobierno, ya que ellos coordinan acciones con los delegados,</w:t>
      </w:r>
      <w:r w:rsidR="00EB4D36" w:rsidRPr="001E5FA2">
        <w:rPr>
          <w:rFonts w:ascii="Palatino Linotype" w:hAnsi="Palatino Linotype"/>
          <w:color w:val="000000"/>
          <w:sz w:val="18"/>
        </w:rPr>
        <w:t xml:space="preserve"> </w:t>
      </w:r>
      <w:r w:rsidR="00EB4D36" w:rsidRPr="001E5FA2">
        <w:rPr>
          <w:rFonts w:ascii="Palatino Linotype" w:hAnsi="Palatino Linotype"/>
          <w:color w:val="000000"/>
          <w:sz w:val="24"/>
        </w:rPr>
        <w:t xml:space="preserve">es importante referir </w:t>
      </w:r>
      <w:r w:rsidR="00833AF5" w:rsidRPr="001E5FA2">
        <w:rPr>
          <w:rFonts w:ascii="Palatino Linotype" w:hAnsi="Palatino Linotype"/>
          <w:color w:val="000000"/>
          <w:sz w:val="24"/>
        </w:rPr>
        <w:t xml:space="preserve">que </w:t>
      </w:r>
      <w:r w:rsidR="00EB4D36" w:rsidRPr="001E5FA2">
        <w:rPr>
          <w:rFonts w:ascii="Palatino Linotype" w:hAnsi="Palatino Linotype"/>
          <w:color w:val="000000"/>
          <w:sz w:val="24"/>
        </w:rPr>
        <w:t xml:space="preserve">los delegados son autoridades auxiliares que de acuerdo al </w:t>
      </w:r>
      <w:r w:rsidR="00C61736" w:rsidRPr="001E5FA2">
        <w:rPr>
          <w:rFonts w:ascii="Palatino Linotype" w:hAnsi="Palatino Linotype"/>
          <w:color w:val="000000"/>
          <w:sz w:val="24"/>
        </w:rPr>
        <w:t>artículo 57 de la Ley Orgánica Municipal del Estado de M</w:t>
      </w:r>
      <w:r w:rsidR="00C41E2E" w:rsidRPr="001E5FA2">
        <w:rPr>
          <w:rFonts w:ascii="Palatino Linotype" w:hAnsi="Palatino Linotype"/>
          <w:color w:val="000000"/>
          <w:sz w:val="24"/>
        </w:rPr>
        <w:t>éxico,</w:t>
      </w:r>
      <w:r w:rsidR="00C61736" w:rsidRPr="001E5FA2">
        <w:rPr>
          <w:rFonts w:ascii="Palatino Linotype" w:hAnsi="Palatino Linotype"/>
          <w:color w:val="000000"/>
          <w:sz w:val="24"/>
        </w:rPr>
        <w:t xml:space="preserve"> ejercer</w:t>
      </w:r>
      <w:r w:rsidR="00C41E2E" w:rsidRPr="001E5FA2">
        <w:rPr>
          <w:rFonts w:ascii="Palatino Linotype" w:hAnsi="Palatino Linotype"/>
          <w:color w:val="000000"/>
          <w:sz w:val="24"/>
        </w:rPr>
        <w:t>án</w:t>
      </w:r>
      <w:r w:rsidR="00C61736" w:rsidRPr="001E5FA2">
        <w:rPr>
          <w:rFonts w:ascii="Palatino Linotype" w:hAnsi="Palatino Linotype"/>
          <w:color w:val="000000"/>
          <w:sz w:val="24"/>
        </w:rPr>
        <w:t xml:space="preserve"> en sus respectivas jurisdicciones, las atribuciones que delegue el ayuntamiento, para mantener el orden, la tranquilidad, la paz social, la seguridad y la protección de los vecinos y que tiene entre otras, las siguientes atribuciones:</w:t>
      </w:r>
    </w:p>
    <w:p w:rsidR="00C61736" w:rsidRPr="001E5FA2" w:rsidRDefault="00C61736" w:rsidP="00C61736">
      <w:pPr>
        <w:spacing w:after="0" w:line="360" w:lineRule="auto"/>
        <w:ind w:right="48"/>
        <w:contextualSpacing/>
        <w:jc w:val="both"/>
        <w:rPr>
          <w:rFonts w:ascii="Palatino Linotype" w:eastAsia="MS Mincho" w:hAnsi="Palatino Linotype" w:cs="Times New Roman"/>
          <w:sz w:val="24"/>
          <w:szCs w:val="24"/>
          <w:lang w:val="es-ES_tradnl" w:eastAsia="es-ES"/>
        </w:rPr>
      </w:pPr>
    </w:p>
    <w:p w:rsidR="00C61736" w:rsidRPr="001E5FA2" w:rsidRDefault="00C61736" w:rsidP="00C61736">
      <w:pPr>
        <w:pStyle w:val="Prrafodelista"/>
        <w:ind w:left="851" w:right="615"/>
        <w:rPr>
          <w:rFonts w:ascii="Palatino Linotype" w:eastAsia="MS Mincho" w:hAnsi="Palatino Linotype" w:cs="Times New Roman"/>
          <w:i/>
          <w:lang w:val="es-ES_tradnl" w:eastAsia="es-ES"/>
        </w:rPr>
      </w:pPr>
      <w:r w:rsidRPr="001E5FA2">
        <w:rPr>
          <w:rFonts w:ascii="Palatino Linotype" w:eastAsia="MS Mincho" w:hAnsi="Palatino Linotype" w:cs="Times New Roman"/>
          <w:i/>
          <w:lang w:val="es-ES_tradnl" w:eastAsia="es-ES"/>
        </w:rPr>
        <w:t>“Artículo. 57</w:t>
      </w:r>
    </w:p>
    <w:p w:rsidR="00C61736" w:rsidRPr="001E5FA2" w:rsidRDefault="00C61736" w:rsidP="00C61736">
      <w:pPr>
        <w:pStyle w:val="Prrafodelista"/>
        <w:ind w:left="851" w:right="615"/>
        <w:rPr>
          <w:rFonts w:ascii="Palatino Linotype" w:eastAsia="MS Mincho" w:hAnsi="Palatino Linotype" w:cs="Times New Roman"/>
          <w:i/>
          <w:lang w:val="es-ES_tradnl" w:eastAsia="es-ES"/>
        </w:rPr>
      </w:pPr>
      <w:r w:rsidRPr="001E5FA2">
        <w:rPr>
          <w:rFonts w:ascii="Palatino Linotype" w:eastAsia="MS Mincho" w:hAnsi="Palatino Linotype" w:cs="Times New Roman"/>
          <w:i/>
          <w:lang w:val="es-ES_tradnl" w:eastAsia="es-ES"/>
        </w:rPr>
        <w:t>(…)</w:t>
      </w:r>
    </w:p>
    <w:p w:rsidR="00C61736" w:rsidRPr="001E5FA2" w:rsidRDefault="00C61736" w:rsidP="00C61736">
      <w:pPr>
        <w:pStyle w:val="Prrafodelista"/>
        <w:spacing w:after="0" w:line="360" w:lineRule="auto"/>
        <w:ind w:left="851" w:right="615"/>
        <w:jc w:val="both"/>
        <w:rPr>
          <w:rFonts w:ascii="Palatino Linotype" w:hAnsi="Palatino Linotype"/>
          <w:i/>
        </w:rPr>
      </w:pPr>
      <w:r w:rsidRPr="001E5FA2">
        <w:rPr>
          <w:rFonts w:ascii="Palatino Linotype" w:hAnsi="Palatino Linotype"/>
          <w:i/>
        </w:rPr>
        <w:t xml:space="preserve">I. Corresponde a los delegados y subdelegados: </w:t>
      </w:r>
    </w:p>
    <w:p w:rsidR="00C61736" w:rsidRPr="001E5FA2" w:rsidRDefault="00C61736" w:rsidP="00C61736">
      <w:pPr>
        <w:pStyle w:val="Prrafodelista"/>
        <w:spacing w:after="0" w:line="360" w:lineRule="auto"/>
        <w:ind w:left="851" w:right="615"/>
        <w:jc w:val="both"/>
        <w:rPr>
          <w:rFonts w:ascii="Palatino Linotype" w:hAnsi="Palatino Linotype"/>
          <w:i/>
        </w:rPr>
      </w:pPr>
      <w:r w:rsidRPr="001E5FA2">
        <w:rPr>
          <w:rFonts w:ascii="Palatino Linotype" w:hAnsi="Palatino Linotype"/>
          <w:i/>
        </w:rPr>
        <w:t xml:space="preserve">a). Vigilar el cumplimiento del bando municipal, de las disposiciones reglamentarias que expida el ayuntamiento y reportar a la dependencia administrativa correspondiente, las violaciones a las mismas; </w:t>
      </w:r>
    </w:p>
    <w:p w:rsidR="00C61736" w:rsidRPr="001E5FA2" w:rsidRDefault="00C61736" w:rsidP="00C61736">
      <w:pPr>
        <w:pStyle w:val="Prrafodelista"/>
        <w:spacing w:after="0" w:line="360" w:lineRule="auto"/>
        <w:ind w:left="851" w:right="615"/>
        <w:jc w:val="both"/>
        <w:rPr>
          <w:rFonts w:ascii="Palatino Linotype" w:hAnsi="Palatino Linotype"/>
          <w:i/>
        </w:rPr>
      </w:pPr>
      <w:r w:rsidRPr="001E5FA2">
        <w:rPr>
          <w:rFonts w:ascii="Palatino Linotype" w:hAnsi="Palatino Linotype"/>
          <w:i/>
        </w:rPr>
        <w:lastRenderedPageBreak/>
        <w:t>(…)</w:t>
      </w:r>
    </w:p>
    <w:p w:rsidR="00C61736" w:rsidRPr="001E5FA2" w:rsidRDefault="00C61736" w:rsidP="00C61736">
      <w:pPr>
        <w:pStyle w:val="Prrafodelista"/>
        <w:spacing w:after="0" w:line="360" w:lineRule="auto"/>
        <w:ind w:left="851" w:right="615"/>
        <w:jc w:val="both"/>
        <w:rPr>
          <w:rFonts w:ascii="Palatino Linotype" w:hAnsi="Palatino Linotype"/>
          <w:i/>
        </w:rPr>
      </w:pPr>
      <w:r w:rsidRPr="001E5FA2">
        <w:rPr>
          <w:rFonts w:ascii="Palatino Linotype" w:hAnsi="Palatino Linotype"/>
          <w:i/>
        </w:rPr>
        <w:t xml:space="preserve">d). Informar anualmente a sus representados y al ayuntamiento, sobre la administración de los recursos que en su caso tenga encomendados, y del estado que guardan los asuntos a su cargo; </w:t>
      </w:r>
    </w:p>
    <w:p w:rsidR="00C61736" w:rsidRPr="001E5FA2" w:rsidRDefault="00C61736" w:rsidP="00C61736">
      <w:pPr>
        <w:pStyle w:val="Prrafodelista"/>
        <w:spacing w:after="0" w:line="360" w:lineRule="auto"/>
        <w:ind w:left="851" w:right="615"/>
        <w:jc w:val="both"/>
        <w:rPr>
          <w:rFonts w:ascii="Palatino Linotype" w:hAnsi="Palatino Linotype"/>
          <w:i/>
        </w:rPr>
      </w:pPr>
      <w:r w:rsidRPr="001E5FA2">
        <w:rPr>
          <w:rFonts w:ascii="Palatino Linotype" w:hAnsi="Palatino Linotype"/>
          <w:i/>
        </w:rPr>
        <w:t>(…)”</w:t>
      </w:r>
    </w:p>
    <w:p w:rsidR="00C61736" w:rsidRPr="001E5FA2" w:rsidRDefault="00C61736" w:rsidP="00C61736">
      <w:pPr>
        <w:pStyle w:val="Prrafodelista"/>
        <w:rPr>
          <w:rFonts w:ascii="Palatino Linotype" w:eastAsia="MS Mincho" w:hAnsi="Palatino Linotype" w:cs="Times New Roman"/>
          <w:sz w:val="24"/>
          <w:szCs w:val="24"/>
          <w:lang w:val="es-ES_tradnl" w:eastAsia="es-ES"/>
        </w:rPr>
      </w:pPr>
    </w:p>
    <w:p w:rsidR="00FB2C78" w:rsidRPr="001E5FA2" w:rsidRDefault="00833AF5" w:rsidP="00FB2C78">
      <w:pPr>
        <w:numPr>
          <w:ilvl w:val="0"/>
          <w:numId w:val="1"/>
        </w:numPr>
        <w:spacing w:after="0" w:line="360" w:lineRule="auto"/>
        <w:ind w:left="0" w:right="48" w:firstLine="0"/>
        <w:contextualSpacing/>
        <w:jc w:val="both"/>
        <w:rPr>
          <w:rFonts w:ascii="Palatino Linotype" w:eastAsia="MS Mincho" w:hAnsi="Palatino Linotype" w:cs="Times New Roman"/>
          <w:sz w:val="24"/>
          <w:szCs w:val="24"/>
          <w:lang w:val="es-ES_tradnl" w:eastAsia="es-ES"/>
        </w:rPr>
      </w:pPr>
      <w:r w:rsidRPr="001E5FA2">
        <w:rPr>
          <w:rFonts w:ascii="Palatino Linotype" w:eastAsia="MS Mincho" w:hAnsi="Palatino Linotype" w:cs="Times New Roman"/>
          <w:sz w:val="24"/>
          <w:szCs w:val="24"/>
          <w:lang w:val="es-ES_tradnl" w:eastAsia="es-ES"/>
        </w:rPr>
        <w:t>En este contexto, como lo</w:t>
      </w:r>
      <w:r w:rsidR="00C41E2E" w:rsidRPr="001E5FA2">
        <w:rPr>
          <w:rFonts w:ascii="Palatino Linotype" w:eastAsia="MS Mincho" w:hAnsi="Palatino Linotype" w:cs="Times New Roman"/>
          <w:sz w:val="24"/>
          <w:szCs w:val="24"/>
          <w:lang w:val="es-ES_tradnl" w:eastAsia="es-ES"/>
        </w:rPr>
        <w:t xml:space="preserve"> refieren los preceptos anteriores, los delegados pueden ejercer </w:t>
      </w:r>
      <w:r w:rsidR="00172D3B" w:rsidRPr="001E5FA2">
        <w:rPr>
          <w:rFonts w:ascii="Palatino Linotype" w:eastAsia="MS Mincho" w:hAnsi="Palatino Linotype" w:cs="Times New Roman"/>
          <w:sz w:val="24"/>
          <w:szCs w:val="24"/>
          <w:lang w:val="es-ES_tradnl" w:eastAsia="es-ES"/>
        </w:rPr>
        <w:t>las atribuciones que les delegue</w:t>
      </w:r>
      <w:r w:rsidR="00C41E2E" w:rsidRPr="001E5FA2">
        <w:rPr>
          <w:rFonts w:ascii="Palatino Linotype" w:eastAsia="MS Mincho" w:hAnsi="Palatino Linotype" w:cs="Times New Roman"/>
          <w:sz w:val="24"/>
          <w:szCs w:val="24"/>
          <w:lang w:val="es-ES_tradnl" w:eastAsia="es-ES"/>
        </w:rPr>
        <w:t xml:space="preserve"> el ayuntamiento y administrar los recurso que en su caso tengan encomendados, por lo que, en este caso, la información solicitada puede obrar en l</w:t>
      </w:r>
      <w:r w:rsidR="00FB2C78" w:rsidRPr="001E5FA2">
        <w:rPr>
          <w:rFonts w:ascii="Palatino Linotype" w:eastAsia="MS Mincho" w:hAnsi="Palatino Linotype" w:cs="Times New Roman"/>
          <w:sz w:val="24"/>
          <w:szCs w:val="24"/>
          <w:lang w:val="es-ES_tradnl" w:eastAsia="es-ES"/>
        </w:rPr>
        <w:t>os archivos de los delegados municipales, mismos que como se mencionó en párrafos anteriores, son autoridades auxiliares municipales.</w:t>
      </w:r>
    </w:p>
    <w:p w:rsidR="004A58B1" w:rsidRPr="001E5FA2" w:rsidRDefault="004A58B1" w:rsidP="004A58B1">
      <w:pPr>
        <w:spacing w:after="0" w:line="360" w:lineRule="auto"/>
        <w:ind w:right="48"/>
        <w:contextualSpacing/>
        <w:jc w:val="both"/>
        <w:rPr>
          <w:rFonts w:ascii="Palatino Linotype" w:eastAsia="MS Mincho" w:hAnsi="Palatino Linotype" w:cs="Times New Roman"/>
          <w:sz w:val="24"/>
          <w:szCs w:val="24"/>
          <w:lang w:val="es-ES_tradnl" w:eastAsia="es-ES"/>
        </w:rPr>
      </w:pPr>
    </w:p>
    <w:p w:rsidR="004A58B1" w:rsidRPr="001E5FA2" w:rsidRDefault="004A58B1" w:rsidP="00FB2C78">
      <w:pPr>
        <w:numPr>
          <w:ilvl w:val="0"/>
          <w:numId w:val="1"/>
        </w:numPr>
        <w:spacing w:after="0" w:line="360" w:lineRule="auto"/>
        <w:ind w:left="0" w:right="48" w:firstLine="0"/>
        <w:contextualSpacing/>
        <w:jc w:val="both"/>
        <w:rPr>
          <w:rFonts w:ascii="Palatino Linotype" w:eastAsia="MS Mincho" w:hAnsi="Palatino Linotype" w:cs="Times New Roman"/>
          <w:sz w:val="24"/>
          <w:szCs w:val="24"/>
          <w:lang w:val="es-ES_tradnl" w:eastAsia="es-ES"/>
        </w:rPr>
      </w:pPr>
      <w:r w:rsidRPr="001E5FA2">
        <w:rPr>
          <w:rFonts w:ascii="Palatino Linotype" w:eastAsia="MS Mincho" w:hAnsi="Palatino Linotype" w:cs="Times New Roman"/>
          <w:sz w:val="24"/>
          <w:szCs w:val="24"/>
          <w:lang w:val="es-ES_tradnl" w:eastAsia="es-ES"/>
        </w:rPr>
        <w:t>Aunado a lo anteriormente referido, la Dirección de Gobierno, es quien de acuerdo al artículo 61 del Bando Municipal de Ecatepec de Morelos, garantizará la paz social y la gobernabilidad, privilegiando el diálogo y el respeto a los derechos humanos, así como fomentar la participación ciudadana, esto  en equipo con las delegaciones municipales, Consejos de Participación Ciudadana y organizaciones sociales, por lo que, en este sentido, la información también podría obrar en los archivos de la dirección de gobierno.</w:t>
      </w:r>
    </w:p>
    <w:p w:rsidR="00C97538" w:rsidRPr="001E5FA2" w:rsidRDefault="00C97538" w:rsidP="00C97538">
      <w:pPr>
        <w:pStyle w:val="Prrafodelista"/>
        <w:rPr>
          <w:rFonts w:ascii="Palatino Linotype" w:eastAsia="MS Mincho" w:hAnsi="Palatino Linotype" w:cs="Times New Roman"/>
          <w:sz w:val="24"/>
          <w:szCs w:val="24"/>
          <w:lang w:val="es-ES_tradnl" w:eastAsia="es-ES"/>
        </w:rPr>
      </w:pPr>
    </w:p>
    <w:p w:rsidR="00C97538" w:rsidRPr="001E5FA2" w:rsidRDefault="00C97538" w:rsidP="00764698">
      <w:pPr>
        <w:tabs>
          <w:tab w:val="left" w:pos="8647"/>
        </w:tabs>
        <w:spacing w:after="0" w:line="360" w:lineRule="auto"/>
        <w:ind w:right="757"/>
        <w:jc w:val="both"/>
        <w:rPr>
          <w:rFonts w:ascii="Palatino Linotype" w:eastAsia="Calibri" w:hAnsi="Palatino Linotype" w:cs="Arial"/>
          <w:sz w:val="24"/>
          <w:lang w:val="es-ES"/>
        </w:rPr>
      </w:pPr>
      <w:r w:rsidRPr="001E5FA2">
        <w:rPr>
          <w:rFonts w:ascii="Palatino Linotype" w:eastAsia="MS Mincho" w:hAnsi="Palatino Linotype" w:cs="Times New Roman"/>
          <w:sz w:val="24"/>
          <w:szCs w:val="24"/>
          <w:lang w:val="es-ES_tradnl" w:eastAsia="es-ES"/>
        </w:rPr>
        <w:t xml:space="preserve">Ahora bien, de acuerdo al artículo 19 de la Ley de Transparencia y Acceso a la Información Pública del Estado de México y Municipios, párrafo segundo que establece que </w:t>
      </w:r>
      <w:r w:rsidRPr="001E5FA2">
        <w:rPr>
          <w:rFonts w:ascii="Palatino Linotype" w:hAnsi="Palatino Linotype"/>
          <w:sz w:val="24"/>
        </w:rPr>
        <w:t xml:space="preserve">en los casos en que ciertas facultades, competencias o funciones no se hayan ejercido, se debe motivar la respuesta en función de las causas que motiven tal circunstancia, en el caso particular, se solicitó conocer, quien faculta a </w:t>
      </w:r>
      <w:r w:rsidRPr="001E5FA2">
        <w:rPr>
          <w:rFonts w:ascii="Palatino Linotype" w:hAnsi="Palatino Linotype"/>
          <w:sz w:val="24"/>
        </w:rPr>
        <w:lastRenderedPageBreak/>
        <w:t>la delegación de Santa María de Chiconautla, a cobrar cuotas del panteón de la comunidad referida y en base a que ordenamiento jur</w:t>
      </w:r>
      <w:r w:rsidR="00282F7F" w:rsidRPr="001E5FA2">
        <w:rPr>
          <w:rFonts w:ascii="Palatino Linotype" w:hAnsi="Palatino Linotype"/>
          <w:sz w:val="24"/>
        </w:rPr>
        <w:t>ídico, por lo que en esta situación, si la información requerida no se ejerci</w:t>
      </w:r>
      <w:r w:rsidR="00764698" w:rsidRPr="001E5FA2">
        <w:rPr>
          <w:rFonts w:ascii="Palatino Linotype" w:hAnsi="Palatino Linotype"/>
          <w:sz w:val="24"/>
        </w:rPr>
        <w:t>ó y los delegados no son quienes cobran las cuotas de los servicios de panteones,</w:t>
      </w:r>
      <w:r w:rsidR="00282F7F" w:rsidRPr="001E5FA2">
        <w:rPr>
          <w:rFonts w:ascii="Palatino Linotype" w:hAnsi="Palatino Linotype"/>
          <w:sz w:val="24"/>
        </w:rPr>
        <w:t xml:space="preserve"> el SUJETO OBLIGADO deberá </w:t>
      </w:r>
      <w:r w:rsidR="00764698" w:rsidRPr="001E5FA2">
        <w:rPr>
          <w:rFonts w:ascii="Palatino Linotype" w:eastAsia="Calibri" w:hAnsi="Palatino Linotype" w:cs="Arial"/>
          <w:sz w:val="24"/>
          <w:lang w:val="es-ES"/>
        </w:rPr>
        <w:t>manifestar de manera clara y precisa las razones que expliquen las causas por las cuales no se hay generado, poseído o administrado la información.</w:t>
      </w:r>
    </w:p>
    <w:p w:rsidR="00C97538" w:rsidRPr="001E5FA2" w:rsidRDefault="00C97538" w:rsidP="00C97538">
      <w:pPr>
        <w:spacing w:after="0" w:line="360" w:lineRule="auto"/>
        <w:ind w:right="48"/>
        <w:contextualSpacing/>
        <w:jc w:val="both"/>
        <w:rPr>
          <w:rFonts w:ascii="Palatino Linotype" w:eastAsia="MS Mincho" w:hAnsi="Palatino Linotype" w:cs="Times New Roman"/>
          <w:sz w:val="24"/>
          <w:szCs w:val="24"/>
          <w:lang w:val="es-ES_tradnl" w:eastAsia="es-ES"/>
        </w:rPr>
      </w:pPr>
    </w:p>
    <w:p w:rsidR="006B4565" w:rsidRPr="001E5FA2" w:rsidRDefault="006B4565" w:rsidP="006B4565">
      <w:pPr>
        <w:pStyle w:val="Ttulo1"/>
        <w:spacing w:before="0" w:after="160"/>
        <w:rPr>
          <w:rFonts w:ascii="Palatino Linotype" w:hAnsi="Palatino Linotype"/>
          <w:b/>
          <w:i/>
          <w:color w:val="auto"/>
          <w:sz w:val="24"/>
          <w:szCs w:val="24"/>
        </w:rPr>
      </w:pPr>
      <w:bookmarkStart w:id="33" w:name="_Toc66371799"/>
      <w:bookmarkStart w:id="34" w:name="_Toc67584834"/>
      <w:r w:rsidRPr="001E5FA2">
        <w:rPr>
          <w:rFonts w:ascii="Palatino Linotype" w:hAnsi="Palatino Linotype" w:cs="Times New Roman"/>
          <w:b/>
          <w:color w:val="auto"/>
          <w:sz w:val="24"/>
          <w:szCs w:val="24"/>
          <w:lang w:eastAsia="es-ES_tradnl"/>
        </w:rPr>
        <w:t xml:space="preserve">SEXTO. </w:t>
      </w:r>
      <w:r w:rsidRPr="001E5FA2">
        <w:rPr>
          <w:rFonts w:ascii="Palatino Linotype" w:hAnsi="Palatino Linotype"/>
          <w:b/>
          <w:color w:val="auto"/>
          <w:sz w:val="24"/>
          <w:szCs w:val="24"/>
        </w:rPr>
        <w:t xml:space="preserve"> De la elaboración de la versión pública.</w:t>
      </w:r>
      <w:bookmarkEnd w:id="33"/>
      <w:bookmarkEnd w:id="34"/>
      <w:r w:rsidRPr="001E5FA2">
        <w:rPr>
          <w:rFonts w:ascii="Palatino Linotype" w:hAnsi="Palatino Linotype"/>
          <w:b/>
          <w:color w:val="auto"/>
          <w:sz w:val="24"/>
          <w:szCs w:val="24"/>
        </w:rPr>
        <w:t xml:space="preserve"> </w:t>
      </w:r>
    </w:p>
    <w:p w:rsidR="006B4565" w:rsidRPr="001E5FA2" w:rsidRDefault="006B4565" w:rsidP="006B4565">
      <w:pPr>
        <w:pStyle w:val="Prrafodelista"/>
        <w:tabs>
          <w:tab w:val="left" w:pos="426"/>
        </w:tabs>
        <w:spacing w:line="360" w:lineRule="auto"/>
        <w:ind w:left="0"/>
        <w:jc w:val="both"/>
        <w:rPr>
          <w:rFonts w:ascii="Palatino Linotype" w:eastAsia="MS Mincho" w:hAnsi="Palatino Linotype" w:cs="Arial"/>
          <w:color w:val="000000" w:themeColor="text1"/>
          <w:sz w:val="24"/>
          <w:szCs w:val="24"/>
        </w:rPr>
      </w:pPr>
    </w:p>
    <w:p w:rsidR="006B4565" w:rsidRPr="001E5FA2" w:rsidRDefault="006B4565" w:rsidP="006B4565">
      <w:pPr>
        <w:pStyle w:val="Prrafodelista"/>
        <w:numPr>
          <w:ilvl w:val="0"/>
          <w:numId w:val="12"/>
        </w:numPr>
        <w:tabs>
          <w:tab w:val="left" w:pos="142"/>
          <w:tab w:val="left" w:pos="284"/>
          <w:tab w:val="left" w:pos="426"/>
        </w:tabs>
        <w:spacing w:line="360" w:lineRule="auto"/>
        <w:ind w:left="0" w:firstLine="0"/>
        <w:jc w:val="both"/>
        <w:rPr>
          <w:rFonts w:ascii="Palatino Linotype" w:hAnsi="Palatino Linotype" w:cs="Arial"/>
          <w:sz w:val="24"/>
        </w:rPr>
      </w:pPr>
      <w:r w:rsidRPr="001E5FA2">
        <w:rPr>
          <w:rFonts w:ascii="Palatino Linotype" w:eastAsia="MS Gothic" w:hAnsi="Palatino Linotype" w:cs="Times New Roman"/>
          <w:sz w:val="24"/>
          <w:szCs w:val="26"/>
        </w:rPr>
        <w:t>Debe destacarse que, debido a la naturaleza de la información solicitada</w:t>
      </w:r>
      <w:r w:rsidRPr="001E5FA2">
        <w:rPr>
          <w:rFonts w:ascii="Palatino Linotype" w:eastAsia="MS Gothic" w:hAnsi="Palatino Linotype" w:cs="Times New Roman"/>
          <w:b/>
          <w:sz w:val="24"/>
          <w:szCs w:val="26"/>
        </w:rPr>
        <w:t xml:space="preserve">, </w:t>
      </w:r>
      <w:r w:rsidRPr="001E5FA2">
        <w:rPr>
          <w:rFonts w:ascii="Palatino Linotype" w:eastAsia="MS Gothic" w:hAnsi="Palatino Linotype" w:cs="Times New Roman"/>
          <w:sz w:val="24"/>
          <w:szCs w:val="26"/>
        </w:rPr>
        <w:t xml:space="preserve">eventualmente pudieran obrar datos personales susceptibles de protegerse, y toda vez que este Instituto de Transparencia, Acceso a la Información Pública y Protección de Datos Personales del Estado de México tiene el deber de velar por la protección de los datos </w:t>
      </w:r>
      <w:proofErr w:type="spellStart"/>
      <w:r w:rsidRPr="001E5FA2">
        <w:rPr>
          <w:rFonts w:ascii="Palatino Linotype" w:eastAsia="MS Gothic" w:hAnsi="Palatino Linotype" w:cs="Times New Roman"/>
          <w:sz w:val="24"/>
          <w:szCs w:val="26"/>
        </w:rPr>
        <w:t>personles</w:t>
      </w:r>
      <w:proofErr w:type="spellEnd"/>
      <w:r w:rsidRPr="001E5FA2">
        <w:rPr>
          <w:rFonts w:ascii="Palatino Linotype" w:eastAsia="MS Gothic" w:hAnsi="Palatino Linotype" w:cs="Times New Roman"/>
          <w:sz w:val="24"/>
          <w:szCs w:val="26"/>
        </w:rPr>
        <w:t xml:space="preserve"> aun tratándose de servidores públicos y en su caso generar la </w:t>
      </w:r>
      <w:r w:rsidRPr="001E5FA2">
        <w:rPr>
          <w:rFonts w:ascii="Palatino Linotype" w:eastAsia="MS Gothic" w:hAnsi="Palatino Linotype" w:cs="Times New Roman"/>
          <w:b/>
          <w:sz w:val="24"/>
          <w:szCs w:val="26"/>
          <w:u w:val="single"/>
        </w:rPr>
        <w:t>versión pública</w:t>
      </w:r>
      <w:r w:rsidRPr="001E5FA2">
        <w:rPr>
          <w:rFonts w:ascii="Palatino Linotype" w:eastAsia="MS Gothic" w:hAnsi="Palatino Linotype" w:cs="Times New Roman"/>
          <w:sz w:val="24"/>
          <w:szCs w:val="26"/>
        </w:rPr>
        <w:t xml:space="preserve"> de los documentos por las consideraciones que se estimen pertinentes.</w:t>
      </w:r>
    </w:p>
    <w:p w:rsidR="006B4565" w:rsidRPr="001E5FA2" w:rsidRDefault="006B4565" w:rsidP="006B4565">
      <w:pPr>
        <w:pStyle w:val="Prrafodelista"/>
        <w:tabs>
          <w:tab w:val="left" w:pos="142"/>
          <w:tab w:val="left" w:pos="284"/>
          <w:tab w:val="left" w:pos="426"/>
        </w:tabs>
        <w:spacing w:line="360" w:lineRule="auto"/>
        <w:ind w:left="0"/>
        <w:jc w:val="both"/>
        <w:rPr>
          <w:rFonts w:ascii="Palatino Linotype" w:hAnsi="Palatino Linotype" w:cs="Arial"/>
          <w:sz w:val="24"/>
        </w:rPr>
      </w:pPr>
    </w:p>
    <w:p w:rsidR="006B4565" w:rsidRPr="001E5FA2" w:rsidRDefault="006B4565" w:rsidP="006B4565">
      <w:pPr>
        <w:pStyle w:val="Prrafodelista"/>
        <w:numPr>
          <w:ilvl w:val="0"/>
          <w:numId w:val="12"/>
        </w:numPr>
        <w:tabs>
          <w:tab w:val="left" w:pos="142"/>
          <w:tab w:val="left" w:pos="284"/>
          <w:tab w:val="left" w:pos="426"/>
        </w:tabs>
        <w:spacing w:line="360" w:lineRule="auto"/>
        <w:ind w:left="0" w:firstLine="0"/>
        <w:jc w:val="both"/>
        <w:rPr>
          <w:rFonts w:ascii="Palatino Linotype" w:hAnsi="Palatino Linotype" w:cs="Arial"/>
          <w:sz w:val="24"/>
        </w:rPr>
      </w:pPr>
      <w:r w:rsidRPr="001E5FA2">
        <w:rPr>
          <w:rFonts w:ascii="Palatino Linotype" w:eastAsia="MS Gothic" w:hAnsi="Palatino Linotype" w:cs="Times New Roman"/>
          <w:sz w:val="24"/>
          <w:szCs w:val="26"/>
        </w:rPr>
        <w:t>La clasificación total o parcial de la información requerida, mediante solicitud de acceso a la información pública, constituye una restricción al derecho humano de acceso a la información. Como reiteradamente han dicho, diversos órganos jurisdiccionales, ningún derecho es absoluto</w:t>
      </w:r>
      <w:r w:rsidRPr="001E5FA2">
        <w:rPr>
          <w:rFonts w:ascii="Palatino Linotype" w:eastAsia="MS Gothic" w:hAnsi="Palatino Linotype" w:cs="Times New Roman"/>
          <w:sz w:val="24"/>
          <w:szCs w:val="26"/>
          <w:vertAlign w:val="superscript"/>
        </w:rPr>
        <w:footnoteReference w:id="1"/>
      </w:r>
      <w:r w:rsidRPr="001E5FA2">
        <w:rPr>
          <w:rFonts w:ascii="Palatino Linotype" w:eastAsia="MS Gothic" w:hAnsi="Palatino Linotype" w:cs="Times New Roman"/>
          <w:sz w:val="24"/>
          <w:szCs w:val="26"/>
        </w:rPr>
        <w:t xml:space="preserve"> aunque cualquier límite o restricción, para ser legítimo, debe </w:t>
      </w:r>
      <w:r w:rsidRPr="001E5FA2">
        <w:rPr>
          <w:rFonts w:ascii="Palatino Linotype" w:eastAsia="MS Gothic" w:hAnsi="Palatino Linotype" w:cs="Times New Roman"/>
          <w:sz w:val="24"/>
          <w:szCs w:val="26"/>
        </w:rPr>
        <w:lastRenderedPageBreak/>
        <w:t>reunir con tres requisitos: primero, debe de estar establecida en un ordenamiento legal, antes de su aplicación; debe de corresponder a un fin legítimo y ser estrictamente proporcional con el principio o valor que se pretende preservar.</w:t>
      </w:r>
      <w:r w:rsidRPr="001E5FA2">
        <w:rPr>
          <w:rFonts w:ascii="Palatino Linotype" w:eastAsia="MS Gothic" w:hAnsi="Palatino Linotype" w:cs="Times New Roman"/>
          <w:sz w:val="24"/>
          <w:szCs w:val="26"/>
          <w:vertAlign w:val="superscript"/>
        </w:rPr>
        <w:footnoteReference w:id="2"/>
      </w:r>
      <w:r w:rsidRPr="001E5FA2">
        <w:rPr>
          <w:rFonts w:ascii="Palatino Linotype" w:eastAsia="MS Gothic" w:hAnsi="Palatino Linotype" w:cs="Times New Roman"/>
          <w:sz w:val="24"/>
          <w:szCs w:val="26"/>
        </w:rPr>
        <w:t xml:space="preserve"> En este caso, la clasificación total o parcial de la información es un supuesto que tanto la Ley General de Transparencia y Acceso a la Información Pública, en adelante, la Ley General, como la Ley de Transparencia y Acceso a la Información Pública del Estado de México y Municipios, en adelante, la Ley Estatal, establecen, y agotar el procedimiento legalmente establecido, es precisamente lo que permite acreditar el cumplimiento de los otros dos requisitos.</w:t>
      </w:r>
    </w:p>
    <w:p w:rsidR="006B4565" w:rsidRPr="001E5FA2" w:rsidRDefault="006B4565" w:rsidP="006B4565">
      <w:pPr>
        <w:pStyle w:val="Prrafodelista"/>
        <w:tabs>
          <w:tab w:val="left" w:pos="142"/>
          <w:tab w:val="left" w:pos="284"/>
          <w:tab w:val="left" w:pos="426"/>
        </w:tabs>
        <w:spacing w:line="360" w:lineRule="auto"/>
        <w:ind w:left="0"/>
        <w:jc w:val="both"/>
        <w:rPr>
          <w:rFonts w:ascii="Palatino Linotype" w:hAnsi="Palatino Linotype" w:cs="Arial"/>
          <w:sz w:val="24"/>
        </w:rPr>
      </w:pPr>
    </w:p>
    <w:p w:rsidR="006B4565" w:rsidRPr="001E5FA2" w:rsidRDefault="006B4565" w:rsidP="006B4565">
      <w:pPr>
        <w:pStyle w:val="Prrafodelista"/>
        <w:numPr>
          <w:ilvl w:val="0"/>
          <w:numId w:val="12"/>
        </w:numPr>
        <w:tabs>
          <w:tab w:val="left" w:pos="142"/>
          <w:tab w:val="left" w:pos="284"/>
          <w:tab w:val="left" w:pos="426"/>
        </w:tabs>
        <w:spacing w:line="360" w:lineRule="auto"/>
        <w:ind w:left="0" w:firstLine="0"/>
        <w:jc w:val="both"/>
        <w:rPr>
          <w:rFonts w:ascii="Palatino Linotype" w:hAnsi="Palatino Linotype" w:cs="Arial"/>
          <w:sz w:val="24"/>
        </w:rPr>
      </w:pPr>
      <w:r w:rsidRPr="001E5FA2">
        <w:rPr>
          <w:rFonts w:ascii="Palatino Linotype" w:eastAsia="MS Gothic" w:hAnsi="Palatino Linotype" w:cs="Times New Roman"/>
          <w:sz w:val="24"/>
          <w:szCs w:val="26"/>
        </w:rPr>
        <w:t>El grave problema que enfrentamos en general, los acuerdos de clasificación de la información que emiten los sujetos obligados, siguen sin observar los requisitos, tanto por la complejidad del procedimiento como por la falta de atención de los operadores jurídicos.</w:t>
      </w:r>
    </w:p>
    <w:p w:rsidR="006B4565" w:rsidRPr="001E5FA2" w:rsidRDefault="006B4565" w:rsidP="006B4565">
      <w:pPr>
        <w:pStyle w:val="Prrafodelista"/>
        <w:tabs>
          <w:tab w:val="left" w:pos="142"/>
          <w:tab w:val="left" w:pos="284"/>
          <w:tab w:val="left" w:pos="426"/>
        </w:tabs>
        <w:spacing w:line="360" w:lineRule="auto"/>
        <w:ind w:left="0"/>
        <w:jc w:val="both"/>
        <w:rPr>
          <w:rFonts w:ascii="Palatino Linotype" w:hAnsi="Palatino Linotype" w:cs="Arial"/>
          <w:sz w:val="24"/>
        </w:rPr>
      </w:pPr>
    </w:p>
    <w:p w:rsidR="006B4565" w:rsidRPr="001E5FA2" w:rsidRDefault="006B4565" w:rsidP="006B4565">
      <w:pPr>
        <w:pStyle w:val="Prrafodelista"/>
        <w:tabs>
          <w:tab w:val="left" w:pos="142"/>
          <w:tab w:val="left" w:pos="284"/>
          <w:tab w:val="left" w:pos="426"/>
        </w:tabs>
        <w:spacing w:line="360" w:lineRule="auto"/>
        <w:ind w:left="0"/>
        <w:jc w:val="both"/>
        <w:outlineLvl w:val="2"/>
        <w:rPr>
          <w:rFonts w:ascii="Palatino Linotype" w:hAnsi="Palatino Linotype" w:cs="Arial"/>
          <w:b/>
          <w:sz w:val="24"/>
        </w:rPr>
      </w:pPr>
      <w:bookmarkStart w:id="35" w:name="_Toc51863315"/>
      <w:bookmarkStart w:id="36" w:name="_Toc52444649"/>
      <w:bookmarkStart w:id="37" w:name="_Toc57154368"/>
      <w:bookmarkStart w:id="38" w:name="_Toc65170174"/>
      <w:bookmarkStart w:id="39" w:name="_Toc66371800"/>
      <w:bookmarkStart w:id="40" w:name="_Toc67584835"/>
      <w:r w:rsidRPr="001E5FA2">
        <w:rPr>
          <w:rFonts w:ascii="Palatino Linotype" w:hAnsi="Palatino Linotype" w:cs="Arial"/>
          <w:b/>
          <w:sz w:val="24"/>
        </w:rPr>
        <w:t>I. Requisitos previos.</w:t>
      </w:r>
      <w:bookmarkEnd w:id="35"/>
      <w:bookmarkEnd w:id="36"/>
      <w:bookmarkEnd w:id="37"/>
      <w:bookmarkEnd w:id="38"/>
      <w:bookmarkEnd w:id="39"/>
      <w:bookmarkEnd w:id="40"/>
    </w:p>
    <w:p w:rsidR="006B4565" w:rsidRPr="001E5FA2" w:rsidRDefault="006B4565" w:rsidP="006B4565">
      <w:pPr>
        <w:pStyle w:val="Prrafodelista"/>
        <w:tabs>
          <w:tab w:val="left" w:pos="142"/>
          <w:tab w:val="left" w:pos="284"/>
          <w:tab w:val="left" w:pos="426"/>
        </w:tabs>
        <w:spacing w:line="360" w:lineRule="auto"/>
        <w:ind w:left="0"/>
        <w:jc w:val="both"/>
        <w:rPr>
          <w:rFonts w:ascii="Palatino Linotype" w:hAnsi="Palatino Linotype" w:cs="Arial"/>
          <w:sz w:val="24"/>
        </w:rPr>
      </w:pPr>
    </w:p>
    <w:p w:rsidR="006B4565" w:rsidRPr="001E5FA2" w:rsidRDefault="006B4565" w:rsidP="006B4565">
      <w:pPr>
        <w:pStyle w:val="Prrafodelista"/>
        <w:numPr>
          <w:ilvl w:val="0"/>
          <w:numId w:val="12"/>
        </w:numPr>
        <w:tabs>
          <w:tab w:val="left" w:pos="142"/>
          <w:tab w:val="left" w:pos="284"/>
          <w:tab w:val="left" w:pos="426"/>
        </w:tabs>
        <w:spacing w:line="360" w:lineRule="auto"/>
        <w:ind w:left="0" w:firstLine="0"/>
        <w:jc w:val="both"/>
        <w:rPr>
          <w:rFonts w:ascii="Palatino Linotype" w:hAnsi="Palatino Linotype" w:cs="Arial"/>
          <w:sz w:val="24"/>
        </w:rPr>
      </w:pPr>
      <w:r w:rsidRPr="001E5FA2">
        <w:rPr>
          <w:rFonts w:ascii="Palatino Linotype" w:eastAsia="MS Gothic" w:hAnsi="Palatino Linotype" w:cs="Times New Roman"/>
          <w:sz w:val="24"/>
          <w:szCs w:val="26"/>
        </w:rPr>
        <w:lastRenderedPageBreak/>
        <w:t>Los artículos 122 y 100 de la Ley Estatal y de la Ley General, respectivamente, señalan que los sujetos obligados determinan que la información actualiza alguno de los supuestos de clasificación y que son los titulares de las áreas los encargados de clasificar la información. En consecuencia, son los titulares de las áreas que administran la información los que aprueban su clasificación y no el Comité de Transparencia. Al hacerlo tienen que precisar de qué información se trata (nombre, registro federal de contribuyentes, edad, fotografía, entre otros) que forme parte de algún documento o el documento que se pretende reservar (contrato, licencia, póliza, entre otros), señalando el supuesto de clasificación (confidencialidad o reserva).</w:t>
      </w:r>
    </w:p>
    <w:p w:rsidR="006B4565" w:rsidRPr="001E5FA2" w:rsidRDefault="006B4565" w:rsidP="006B4565">
      <w:pPr>
        <w:pStyle w:val="Prrafodelista"/>
        <w:tabs>
          <w:tab w:val="left" w:pos="142"/>
          <w:tab w:val="left" w:pos="284"/>
          <w:tab w:val="left" w:pos="426"/>
        </w:tabs>
        <w:spacing w:line="360" w:lineRule="auto"/>
        <w:ind w:left="0"/>
        <w:jc w:val="both"/>
        <w:rPr>
          <w:rFonts w:ascii="Palatino Linotype" w:hAnsi="Palatino Linotype" w:cs="Arial"/>
          <w:sz w:val="24"/>
        </w:rPr>
      </w:pPr>
    </w:p>
    <w:p w:rsidR="006B4565" w:rsidRPr="001E5FA2" w:rsidRDefault="006B4565" w:rsidP="006B4565">
      <w:pPr>
        <w:pStyle w:val="Prrafodelista"/>
        <w:numPr>
          <w:ilvl w:val="0"/>
          <w:numId w:val="12"/>
        </w:numPr>
        <w:tabs>
          <w:tab w:val="left" w:pos="142"/>
          <w:tab w:val="left" w:pos="284"/>
          <w:tab w:val="left" w:pos="426"/>
        </w:tabs>
        <w:spacing w:line="360" w:lineRule="auto"/>
        <w:ind w:left="0" w:firstLine="0"/>
        <w:jc w:val="both"/>
        <w:rPr>
          <w:rFonts w:ascii="Palatino Linotype" w:hAnsi="Palatino Linotype" w:cs="Arial"/>
          <w:sz w:val="24"/>
        </w:rPr>
      </w:pPr>
      <w:r w:rsidRPr="001E5FA2">
        <w:rPr>
          <w:rFonts w:ascii="Palatino Linotype" w:eastAsia="MS Gothic" w:hAnsi="Palatino Linotype" w:cs="Times New Roman"/>
          <w:sz w:val="24"/>
          <w:szCs w:val="26"/>
        </w:rPr>
        <w:t>Además, se debe señalar el procedimiento, de los tres que establecen los artículos 132 y 106 de la Ley Estatal y General, respectivamente, por el que se realiza dicha clasificación, a saber, cuando se atiende una solicitud de acceso a la información, porque lo determina una autoridad competente o porque se va a generar una versión pública para cumplir con sus obligaciones.</w:t>
      </w:r>
    </w:p>
    <w:p w:rsidR="006B4565" w:rsidRPr="001E5FA2" w:rsidRDefault="006B4565" w:rsidP="006B4565">
      <w:pPr>
        <w:pStyle w:val="Prrafodelista"/>
        <w:tabs>
          <w:tab w:val="left" w:pos="142"/>
          <w:tab w:val="left" w:pos="284"/>
          <w:tab w:val="left" w:pos="426"/>
        </w:tabs>
        <w:spacing w:line="360" w:lineRule="auto"/>
        <w:ind w:left="0"/>
        <w:jc w:val="both"/>
        <w:rPr>
          <w:rFonts w:ascii="Palatino Linotype" w:hAnsi="Palatino Linotype" w:cs="Arial"/>
          <w:sz w:val="24"/>
        </w:rPr>
      </w:pPr>
    </w:p>
    <w:p w:rsidR="006B4565" w:rsidRPr="001E5FA2" w:rsidRDefault="006B4565" w:rsidP="006B4565">
      <w:pPr>
        <w:pStyle w:val="Prrafodelista"/>
        <w:numPr>
          <w:ilvl w:val="0"/>
          <w:numId w:val="12"/>
        </w:numPr>
        <w:tabs>
          <w:tab w:val="left" w:pos="142"/>
          <w:tab w:val="left" w:pos="284"/>
          <w:tab w:val="left" w:pos="426"/>
        </w:tabs>
        <w:spacing w:line="360" w:lineRule="auto"/>
        <w:ind w:left="0" w:firstLine="0"/>
        <w:jc w:val="both"/>
        <w:rPr>
          <w:rFonts w:ascii="Palatino Linotype" w:hAnsi="Palatino Linotype" w:cs="Arial"/>
          <w:sz w:val="24"/>
        </w:rPr>
      </w:pPr>
      <w:r w:rsidRPr="001E5FA2">
        <w:rPr>
          <w:rFonts w:ascii="Palatino Linotype" w:eastAsia="MS Gothic" w:hAnsi="Palatino Linotype" w:cs="Times New Roman"/>
          <w:sz w:val="24"/>
          <w:szCs w:val="26"/>
        </w:rPr>
        <w:t xml:space="preserve">El último de estos requisitos previos consiste en que no se pueden emitir acuerdos de carácter general ni particular, según lo disponen los artículos 134 y 108 de la Ley Estatal y de la Ley General, respectivamente, esto es, </w:t>
      </w:r>
      <w:r w:rsidRPr="001E5FA2">
        <w:rPr>
          <w:rFonts w:ascii="Palatino Linotype" w:eastAsia="MS Gothic" w:hAnsi="Palatino Linotype" w:cs="Times New Roman"/>
          <w:b/>
          <w:sz w:val="24"/>
          <w:szCs w:val="26"/>
          <w:u w:val="single"/>
        </w:rPr>
        <w:t xml:space="preserve">no se puede hacer un acuerdo para clasificar de manera general todos los documentos de un expediente o área,  </w:t>
      </w:r>
      <w:r w:rsidRPr="001E5FA2">
        <w:rPr>
          <w:rFonts w:ascii="Palatino Linotype" w:eastAsia="MS Gothic" w:hAnsi="Palatino Linotype" w:cs="Times New Roman"/>
          <w:sz w:val="24"/>
          <w:szCs w:val="26"/>
        </w:rPr>
        <w:t>sin individualizar su análisis y tampoco se puede hacer un acuerdo por cada dato que se vaya a clasificar dentro de un documento con diez datos, por ejemplo, susceptibles de ser clasificados.</w:t>
      </w:r>
    </w:p>
    <w:p w:rsidR="006B4565" w:rsidRPr="001E5FA2" w:rsidRDefault="006B4565" w:rsidP="006B4565">
      <w:pPr>
        <w:pStyle w:val="Prrafodelista"/>
        <w:tabs>
          <w:tab w:val="left" w:pos="142"/>
          <w:tab w:val="left" w:pos="284"/>
          <w:tab w:val="left" w:pos="426"/>
        </w:tabs>
        <w:spacing w:line="360" w:lineRule="auto"/>
        <w:ind w:left="0"/>
        <w:jc w:val="both"/>
        <w:rPr>
          <w:rFonts w:ascii="Palatino Linotype" w:hAnsi="Palatino Linotype" w:cs="Arial"/>
          <w:sz w:val="24"/>
        </w:rPr>
      </w:pPr>
    </w:p>
    <w:p w:rsidR="006B4565" w:rsidRPr="001E5FA2" w:rsidRDefault="006B4565" w:rsidP="006B4565">
      <w:pPr>
        <w:pStyle w:val="Prrafodelista"/>
        <w:tabs>
          <w:tab w:val="left" w:pos="142"/>
          <w:tab w:val="left" w:pos="284"/>
          <w:tab w:val="left" w:pos="426"/>
        </w:tabs>
        <w:spacing w:line="360" w:lineRule="auto"/>
        <w:ind w:left="0"/>
        <w:jc w:val="both"/>
        <w:outlineLvl w:val="2"/>
        <w:rPr>
          <w:rFonts w:ascii="Palatino Linotype" w:hAnsi="Palatino Linotype" w:cs="Arial"/>
          <w:b/>
          <w:sz w:val="24"/>
        </w:rPr>
      </w:pPr>
      <w:bookmarkStart w:id="41" w:name="_Toc51863316"/>
      <w:bookmarkStart w:id="42" w:name="_Toc52444650"/>
      <w:bookmarkStart w:id="43" w:name="_Toc57154369"/>
      <w:bookmarkStart w:id="44" w:name="_Toc65170175"/>
      <w:bookmarkStart w:id="45" w:name="_Toc66371801"/>
      <w:bookmarkStart w:id="46" w:name="_Toc67584836"/>
      <w:r w:rsidRPr="001E5FA2">
        <w:rPr>
          <w:rFonts w:ascii="Palatino Linotype" w:hAnsi="Palatino Linotype" w:cs="Arial"/>
          <w:b/>
          <w:sz w:val="24"/>
        </w:rPr>
        <w:lastRenderedPageBreak/>
        <w:t>II. Supuestos de clasificación.</w:t>
      </w:r>
      <w:bookmarkEnd w:id="41"/>
      <w:bookmarkEnd w:id="42"/>
      <w:bookmarkEnd w:id="43"/>
      <w:bookmarkEnd w:id="44"/>
      <w:bookmarkEnd w:id="45"/>
      <w:bookmarkEnd w:id="46"/>
    </w:p>
    <w:p w:rsidR="006B4565" w:rsidRPr="001E5FA2" w:rsidRDefault="006B4565" w:rsidP="006B4565">
      <w:pPr>
        <w:pStyle w:val="Prrafodelista"/>
        <w:tabs>
          <w:tab w:val="left" w:pos="142"/>
          <w:tab w:val="left" w:pos="284"/>
          <w:tab w:val="left" w:pos="426"/>
        </w:tabs>
        <w:spacing w:line="360" w:lineRule="auto"/>
        <w:ind w:left="0"/>
        <w:jc w:val="both"/>
        <w:rPr>
          <w:rFonts w:ascii="Palatino Linotype" w:hAnsi="Palatino Linotype" w:cs="Arial"/>
          <w:sz w:val="24"/>
        </w:rPr>
      </w:pPr>
    </w:p>
    <w:p w:rsidR="006B4565" w:rsidRPr="001E5FA2" w:rsidRDefault="006B4565" w:rsidP="006B4565">
      <w:pPr>
        <w:pStyle w:val="Prrafodelista"/>
        <w:numPr>
          <w:ilvl w:val="0"/>
          <w:numId w:val="12"/>
        </w:numPr>
        <w:tabs>
          <w:tab w:val="left" w:pos="142"/>
          <w:tab w:val="left" w:pos="284"/>
          <w:tab w:val="left" w:pos="426"/>
        </w:tabs>
        <w:spacing w:line="360" w:lineRule="auto"/>
        <w:ind w:left="0" w:firstLine="0"/>
        <w:jc w:val="both"/>
        <w:rPr>
          <w:rFonts w:ascii="Palatino Linotype" w:hAnsi="Palatino Linotype" w:cs="Arial"/>
          <w:sz w:val="24"/>
        </w:rPr>
      </w:pPr>
      <w:r w:rsidRPr="001E5FA2">
        <w:rPr>
          <w:rFonts w:ascii="Palatino Linotype" w:eastAsia="MS Gothic" w:hAnsi="Palatino Linotype" w:cs="Times New Roman"/>
          <w:sz w:val="24"/>
          <w:szCs w:val="26"/>
        </w:rPr>
        <w:t>Las disposiciones constitucionales y legales en la materia establecen los dos supuestos generales para clasificar la información: por reserva y por confidencialidad.</w:t>
      </w:r>
    </w:p>
    <w:p w:rsidR="006B4565" w:rsidRPr="001E5FA2" w:rsidRDefault="006B4565" w:rsidP="006B4565">
      <w:pPr>
        <w:pStyle w:val="Prrafodelista"/>
        <w:tabs>
          <w:tab w:val="left" w:pos="142"/>
          <w:tab w:val="left" w:pos="284"/>
          <w:tab w:val="left" w:pos="426"/>
        </w:tabs>
        <w:spacing w:line="360" w:lineRule="auto"/>
        <w:ind w:left="0"/>
        <w:jc w:val="both"/>
        <w:rPr>
          <w:rFonts w:ascii="Palatino Linotype" w:hAnsi="Palatino Linotype" w:cs="Arial"/>
          <w:sz w:val="24"/>
        </w:rPr>
      </w:pPr>
    </w:p>
    <w:p w:rsidR="006B4565" w:rsidRPr="001E5FA2" w:rsidRDefault="006B4565" w:rsidP="006B4565">
      <w:pPr>
        <w:pStyle w:val="Prrafodelista"/>
        <w:numPr>
          <w:ilvl w:val="0"/>
          <w:numId w:val="12"/>
        </w:numPr>
        <w:tabs>
          <w:tab w:val="left" w:pos="142"/>
          <w:tab w:val="left" w:pos="284"/>
          <w:tab w:val="left" w:pos="426"/>
        </w:tabs>
        <w:spacing w:line="360" w:lineRule="auto"/>
        <w:ind w:left="0" w:firstLine="0"/>
        <w:jc w:val="both"/>
        <w:rPr>
          <w:rFonts w:ascii="Palatino Linotype" w:hAnsi="Palatino Linotype" w:cs="Arial"/>
          <w:sz w:val="24"/>
        </w:rPr>
      </w:pPr>
      <w:r w:rsidRPr="001E5FA2">
        <w:rPr>
          <w:rFonts w:ascii="Palatino Linotype" w:eastAsia="MS Gothic" w:hAnsi="Palatino Linotype" w:cs="Times New Roman"/>
          <w:sz w:val="24"/>
          <w:szCs w:val="26"/>
        </w:rPr>
        <w:t>Los artículos 143 y 116 de la Ley Estatal y de la Ley General, respectivamente, señalan los supuestos para que la información pueda ser clasificada como confidencial:</w:t>
      </w:r>
    </w:p>
    <w:p w:rsidR="006B4565" w:rsidRPr="001E5FA2" w:rsidRDefault="006B4565" w:rsidP="006B4565">
      <w:pPr>
        <w:pStyle w:val="Prrafodelista"/>
        <w:tabs>
          <w:tab w:val="left" w:pos="142"/>
          <w:tab w:val="left" w:pos="284"/>
          <w:tab w:val="left" w:pos="426"/>
        </w:tabs>
        <w:spacing w:line="360" w:lineRule="auto"/>
        <w:ind w:left="0"/>
        <w:jc w:val="both"/>
        <w:rPr>
          <w:rFonts w:ascii="Palatino Linotype" w:hAnsi="Palatino Linotype" w:cs="Arial"/>
        </w:rPr>
      </w:pPr>
    </w:p>
    <w:p w:rsidR="006B4565" w:rsidRPr="001E5FA2" w:rsidRDefault="006B4565" w:rsidP="006B4565">
      <w:pPr>
        <w:widowControl w:val="0"/>
        <w:tabs>
          <w:tab w:val="left" w:pos="8222"/>
        </w:tabs>
        <w:autoSpaceDE w:val="0"/>
        <w:autoSpaceDN w:val="0"/>
        <w:adjustRightInd w:val="0"/>
        <w:spacing w:line="276" w:lineRule="auto"/>
        <w:ind w:left="567" w:right="567"/>
        <w:jc w:val="both"/>
        <w:rPr>
          <w:rFonts w:ascii="Palatino Linotype" w:hAnsi="Palatino Linotype" w:cs="Times"/>
          <w:i/>
          <w:color w:val="000000"/>
        </w:rPr>
      </w:pPr>
      <w:r w:rsidRPr="001E5FA2">
        <w:rPr>
          <w:rFonts w:ascii="Palatino Linotype" w:hAnsi="Palatino Linotype" w:cs="Bookman Old Style"/>
          <w:bCs/>
          <w:i/>
          <w:color w:val="000000"/>
        </w:rPr>
        <w:t xml:space="preserve">“I. </w:t>
      </w:r>
      <w:r w:rsidRPr="001E5FA2">
        <w:rPr>
          <w:rFonts w:ascii="Palatino Linotype" w:hAnsi="Palatino Linotype" w:cs="Bookman Old Style"/>
          <w:i/>
          <w:color w:val="000000"/>
        </w:rPr>
        <w:t xml:space="preserve">Se refiera a la información privada y los datos personales concernientes a una persona física o jurídico colectiva identificada o identificable; </w:t>
      </w:r>
    </w:p>
    <w:p w:rsidR="006B4565" w:rsidRPr="001E5FA2" w:rsidRDefault="006B4565" w:rsidP="006B4565">
      <w:pPr>
        <w:widowControl w:val="0"/>
        <w:tabs>
          <w:tab w:val="left" w:pos="8222"/>
        </w:tabs>
        <w:autoSpaceDE w:val="0"/>
        <w:autoSpaceDN w:val="0"/>
        <w:adjustRightInd w:val="0"/>
        <w:spacing w:line="276" w:lineRule="auto"/>
        <w:ind w:left="567" w:right="567"/>
        <w:jc w:val="both"/>
        <w:rPr>
          <w:rFonts w:ascii="Palatino Linotype" w:hAnsi="Palatino Linotype" w:cs="Times"/>
          <w:i/>
          <w:color w:val="000000"/>
        </w:rPr>
      </w:pPr>
      <w:r w:rsidRPr="001E5FA2">
        <w:rPr>
          <w:rFonts w:ascii="Palatino Linotype" w:hAnsi="Palatino Linotype" w:cs="Bookman Old Style"/>
          <w:bCs/>
          <w:i/>
          <w:color w:val="000000"/>
        </w:rPr>
        <w:t xml:space="preserve">II. </w:t>
      </w:r>
      <w:r w:rsidRPr="001E5FA2">
        <w:rPr>
          <w:rFonts w:ascii="Palatino Linotype" w:hAnsi="Palatino Linotype" w:cs="Bookman Old Style"/>
          <w:i/>
          <w:color w:val="000000"/>
        </w:rPr>
        <w:t xml:space="preserve">Los secretos bancario, fiduciario, industrial, comercial, fiscal, bursátil y postal, cuya titularidad corresponda a particulares, sujetos de derecho internacional o a sujetos obligados cuando no involucren el ejercicio de recursos públicos; y </w:t>
      </w:r>
    </w:p>
    <w:p w:rsidR="006B4565" w:rsidRPr="001E5FA2" w:rsidRDefault="006B4565" w:rsidP="006B4565">
      <w:pPr>
        <w:widowControl w:val="0"/>
        <w:tabs>
          <w:tab w:val="left" w:pos="8222"/>
        </w:tabs>
        <w:autoSpaceDE w:val="0"/>
        <w:autoSpaceDN w:val="0"/>
        <w:adjustRightInd w:val="0"/>
        <w:spacing w:line="276" w:lineRule="auto"/>
        <w:ind w:left="567" w:right="567"/>
        <w:jc w:val="both"/>
        <w:rPr>
          <w:rFonts w:ascii="Palatino Linotype" w:hAnsi="Palatino Linotype" w:cs="Times"/>
          <w:i/>
          <w:color w:val="000000"/>
        </w:rPr>
      </w:pPr>
      <w:r w:rsidRPr="001E5FA2">
        <w:rPr>
          <w:rFonts w:ascii="Palatino Linotype" w:hAnsi="Palatino Linotype" w:cs="Bookman Old Style"/>
          <w:bCs/>
          <w:i/>
          <w:color w:val="000000"/>
        </w:rPr>
        <w:t xml:space="preserve">III. </w:t>
      </w:r>
      <w:r w:rsidRPr="001E5FA2">
        <w:rPr>
          <w:rFonts w:ascii="Palatino Linotype" w:hAnsi="Palatino Linotype" w:cs="Bookman Old Style"/>
          <w:i/>
          <w:color w:val="000000"/>
        </w:rPr>
        <w:t xml:space="preserve">La que presenten los particulares a los sujetos obligados, de conformidad con lo dispuesto por las leyes o los tratados internacionales. </w:t>
      </w:r>
    </w:p>
    <w:p w:rsidR="006B4565" w:rsidRPr="001E5FA2" w:rsidRDefault="006B4565" w:rsidP="006B4565">
      <w:pPr>
        <w:widowControl w:val="0"/>
        <w:tabs>
          <w:tab w:val="left" w:pos="8222"/>
        </w:tabs>
        <w:autoSpaceDE w:val="0"/>
        <w:autoSpaceDN w:val="0"/>
        <w:adjustRightInd w:val="0"/>
        <w:spacing w:line="276" w:lineRule="auto"/>
        <w:ind w:left="567" w:right="567"/>
        <w:jc w:val="both"/>
        <w:rPr>
          <w:rFonts w:ascii="Palatino Linotype" w:hAnsi="Palatino Linotype" w:cs="Times"/>
          <w:i/>
          <w:color w:val="000000"/>
        </w:rPr>
      </w:pPr>
      <w:r w:rsidRPr="001E5FA2">
        <w:rPr>
          <w:rFonts w:ascii="Palatino Linotype" w:hAnsi="Palatino Linotype" w:cs="Bookman Old Style"/>
          <w:i/>
          <w:color w:val="000000"/>
        </w:rPr>
        <w:t xml:space="preserve">La información confidencial no estará sujeta a temporalidad alguna y sólo podrán tener acceso a ella los titulares de la misma, sus representantes y los servidores públicos facultados para ello. </w:t>
      </w:r>
    </w:p>
    <w:p w:rsidR="006B4565" w:rsidRPr="001E5FA2" w:rsidRDefault="006B4565" w:rsidP="006B4565">
      <w:pPr>
        <w:widowControl w:val="0"/>
        <w:tabs>
          <w:tab w:val="left" w:pos="8222"/>
        </w:tabs>
        <w:autoSpaceDE w:val="0"/>
        <w:autoSpaceDN w:val="0"/>
        <w:adjustRightInd w:val="0"/>
        <w:spacing w:line="276" w:lineRule="auto"/>
        <w:ind w:left="567" w:right="567"/>
        <w:jc w:val="both"/>
        <w:rPr>
          <w:rFonts w:ascii="Palatino Linotype" w:hAnsi="Palatino Linotype" w:cs="Bookman Old Style"/>
          <w:i/>
          <w:color w:val="000000"/>
        </w:rPr>
      </w:pPr>
      <w:r w:rsidRPr="001E5FA2">
        <w:rPr>
          <w:rFonts w:ascii="Palatino Linotype" w:hAnsi="Palatino Linotype" w:cs="Bookman Old Style"/>
          <w:i/>
          <w:color w:val="000000"/>
        </w:rPr>
        <w:t>No se considerará confidencial la información que se encuentre en los registros públicos o en fuentes de acceso público, ni tampoco la que sea considerada por la presente ley como información pública. “</w:t>
      </w:r>
    </w:p>
    <w:p w:rsidR="006B4565" w:rsidRPr="001E5FA2" w:rsidRDefault="006B4565" w:rsidP="006B4565">
      <w:pPr>
        <w:pStyle w:val="Prrafodelista"/>
        <w:tabs>
          <w:tab w:val="left" w:pos="142"/>
          <w:tab w:val="left" w:pos="284"/>
          <w:tab w:val="left" w:pos="426"/>
        </w:tabs>
        <w:spacing w:line="360" w:lineRule="auto"/>
        <w:ind w:left="0"/>
        <w:jc w:val="both"/>
        <w:rPr>
          <w:rFonts w:ascii="Palatino Linotype" w:hAnsi="Palatino Linotype" w:cs="Arial"/>
          <w:sz w:val="24"/>
        </w:rPr>
      </w:pPr>
    </w:p>
    <w:p w:rsidR="006B4565" w:rsidRPr="001E5FA2" w:rsidRDefault="006B4565" w:rsidP="006B4565">
      <w:pPr>
        <w:pStyle w:val="Prrafodelista"/>
        <w:numPr>
          <w:ilvl w:val="0"/>
          <w:numId w:val="12"/>
        </w:numPr>
        <w:tabs>
          <w:tab w:val="left" w:pos="142"/>
          <w:tab w:val="left" w:pos="284"/>
          <w:tab w:val="left" w:pos="426"/>
        </w:tabs>
        <w:spacing w:line="360" w:lineRule="auto"/>
        <w:ind w:left="0" w:firstLine="0"/>
        <w:jc w:val="both"/>
        <w:rPr>
          <w:rFonts w:ascii="Palatino Linotype" w:hAnsi="Palatino Linotype" w:cs="Arial"/>
          <w:sz w:val="24"/>
        </w:rPr>
      </w:pPr>
      <w:r w:rsidRPr="001E5FA2">
        <w:rPr>
          <w:rFonts w:ascii="Palatino Linotype" w:eastAsia="MS Gothic" w:hAnsi="Palatino Linotype" w:cs="Times New Roman"/>
          <w:sz w:val="24"/>
          <w:szCs w:val="26"/>
        </w:rPr>
        <w:t xml:space="preserve">Mientras que los artículos 130 y 105 de la Ley Estatal y de la Ley General, respectivamente, señalan que la aplicación de estos supuestos debe de realizarse de manera restrictiva y limitada, por lo que debe acreditarse que se cumple con esta </w:t>
      </w:r>
      <w:r w:rsidRPr="001E5FA2">
        <w:rPr>
          <w:rFonts w:ascii="Palatino Linotype" w:eastAsia="MS Gothic" w:hAnsi="Palatino Linotype" w:cs="Times New Roman"/>
          <w:sz w:val="24"/>
          <w:szCs w:val="26"/>
        </w:rPr>
        <w:lastRenderedPageBreak/>
        <w:t>condición y no se pueden ampliar las excepciones o supuestos de clasificación aduciendo analogía o mayoría de razón.</w:t>
      </w:r>
    </w:p>
    <w:p w:rsidR="006B4565" w:rsidRPr="001E5FA2" w:rsidRDefault="006B4565" w:rsidP="006B4565">
      <w:pPr>
        <w:pStyle w:val="Prrafodelista"/>
        <w:numPr>
          <w:ilvl w:val="0"/>
          <w:numId w:val="12"/>
        </w:numPr>
        <w:tabs>
          <w:tab w:val="left" w:pos="142"/>
          <w:tab w:val="left" w:pos="284"/>
          <w:tab w:val="left" w:pos="426"/>
        </w:tabs>
        <w:spacing w:line="360" w:lineRule="auto"/>
        <w:ind w:left="0" w:firstLine="0"/>
        <w:jc w:val="both"/>
        <w:rPr>
          <w:rFonts w:ascii="Palatino Linotype" w:hAnsi="Palatino Linotype" w:cs="Arial"/>
          <w:sz w:val="24"/>
        </w:rPr>
      </w:pPr>
      <w:r w:rsidRPr="001E5FA2">
        <w:rPr>
          <w:rFonts w:ascii="Palatino Linotype" w:eastAsia="MS Gothic" w:hAnsi="Palatino Linotype" w:cs="Times New Roman"/>
          <w:sz w:val="24"/>
          <w:szCs w:val="26"/>
        </w:rPr>
        <w:t xml:space="preserve">Como consecuencia de lo anterior, el </w:t>
      </w:r>
      <w:r w:rsidRPr="001E5FA2">
        <w:rPr>
          <w:rFonts w:ascii="Palatino Linotype" w:eastAsia="MS Gothic" w:hAnsi="Palatino Linotype" w:cs="Times New Roman"/>
          <w:b/>
          <w:sz w:val="24"/>
          <w:szCs w:val="26"/>
        </w:rPr>
        <w:t>SUJETO OBLIGADO</w:t>
      </w:r>
      <w:r w:rsidRPr="001E5FA2">
        <w:rPr>
          <w:rFonts w:ascii="Palatino Linotype" w:eastAsia="MS Gothic" w:hAnsi="Palatino Linotype" w:cs="Times New Roman"/>
          <w:sz w:val="24"/>
          <w:szCs w:val="26"/>
        </w:rPr>
        <w:t xml:space="preserve"> debe identificar claramente el tipo de información y hacer un juicio de subsunción o encaje</w:t>
      </w:r>
      <w:r w:rsidRPr="001E5FA2">
        <w:rPr>
          <w:rFonts w:ascii="Palatino Linotype" w:eastAsia="MS Gothic" w:hAnsi="Palatino Linotype" w:cs="Times New Roman"/>
          <w:sz w:val="24"/>
          <w:szCs w:val="26"/>
          <w:vertAlign w:val="superscript"/>
        </w:rPr>
        <w:footnoteReference w:id="3"/>
      </w:r>
      <w:r w:rsidRPr="001E5FA2">
        <w:rPr>
          <w:rFonts w:ascii="Palatino Linotype" w:eastAsia="MS Gothic" w:hAnsi="Palatino Linotype" w:cs="Times New Roman"/>
          <w:sz w:val="24"/>
          <w:szCs w:val="26"/>
        </w:rPr>
        <w:t xml:space="preserve"> para acreditar que el supuesto de hecho corresponde estrictamente con la hipótesis jurídica. Esto también lo debe de realizar el servidor público habilitado y el titular del área que administra la información.</w:t>
      </w:r>
    </w:p>
    <w:p w:rsidR="006B4565" w:rsidRPr="001E5FA2" w:rsidRDefault="006B4565" w:rsidP="006B4565">
      <w:pPr>
        <w:pStyle w:val="Prrafodelista"/>
        <w:tabs>
          <w:tab w:val="left" w:pos="142"/>
          <w:tab w:val="left" w:pos="284"/>
          <w:tab w:val="left" w:pos="426"/>
        </w:tabs>
        <w:spacing w:line="360" w:lineRule="auto"/>
        <w:ind w:left="0"/>
        <w:jc w:val="both"/>
        <w:rPr>
          <w:rFonts w:ascii="Palatino Linotype" w:hAnsi="Palatino Linotype" w:cs="Arial"/>
          <w:sz w:val="24"/>
        </w:rPr>
      </w:pPr>
    </w:p>
    <w:p w:rsidR="006B4565" w:rsidRPr="001E5FA2" w:rsidRDefault="006B4565" w:rsidP="006B4565">
      <w:pPr>
        <w:pStyle w:val="Prrafodelista"/>
        <w:numPr>
          <w:ilvl w:val="0"/>
          <w:numId w:val="12"/>
        </w:numPr>
        <w:tabs>
          <w:tab w:val="left" w:pos="142"/>
          <w:tab w:val="left" w:pos="284"/>
          <w:tab w:val="left" w:pos="426"/>
        </w:tabs>
        <w:spacing w:line="360" w:lineRule="auto"/>
        <w:ind w:left="0" w:firstLine="0"/>
        <w:jc w:val="both"/>
        <w:rPr>
          <w:rFonts w:ascii="Palatino Linotype" w:hAnsi="Palatino Linotype" w:cs="Arial"/>
          <w:sz w:val="24"/>
        </w:rPr>
      </w:pPr>
      <w:r w:rsidRPr="001E5FA2">
        <w:rPr>
          <w:rFonts w:ascii="Palatino Linotype" w:eastAsia="MS Gothic" w:hAnsi="Palatino Linotype" w:cs="Times New Roman"/>
          <w:sz w:val="24"/>
          <w:szCs w:val="26"/>
        </w:rPr>
        <w:t>Al respecto, los Lineamientos Generales en Materia de Clasificación y Desclasificación de la Información, así Como para la Elaboración de Versiones Públicas, por cuanto hace a la clasificación de la información, señalan lo siguiente:</w:t>
      </w:r>
    </w:p>
    <w:p w:rsidR="006B4565" w:rsidRPr="001E5FA2" w:rsidRDefault="006B4565" w:rsidP="006B4565">
      <w:pPr>
        <w:pStyle w:val="Prrafodelista"/>
        <w:tabs>
          <w:tab w:val="left" w:pos="142"/>
          <w:tab w:val="left" w:pos="284"/>
          <w:tab w:val="left" w:pos="426"/>
        </w:tabs>
        <w:spacing w:line="360" w:lineRule="auto"/>
        <w:ind w:left="0"/>
        <w:jc w:val="both"/>
        <w:rPr>
          <w:rFonts w:ascii="Palatino Linotype" w:hAnsi="Palatino Linotype" w:cs="Arial"/>
        </w:rPr>
      </w:pPr>
    </w:p>
    <w:p w:rsidR="006B4565" w:rsidRPr="001E5FA2" w:rsidRDefault="006B4565" w:rsidP="006B4565">
      <w:pPr>
        <w:pStyle w:val="Prrafodelista"/>
        <w:tabs>
          <w:tab w:val="left" w:pos="142"/>
          <w:tab w:val="left" w:pos="284"/>
          <w:tab w:val="left" w:pos="426"/>
        </w:tabs>
        <w:spacing w:line="276" w:lineRule="auto"/>
        <w:ind w:left="567" w:right="567"/>
        <w:jc w:val="both"/>
        <w:rPr>
          <w:rFonts w:ascii="Palatino Linotype" w:hAnsi="Palatino Linotype" w:cs="Arial"/>
          <w:i/>
        </w:rPr>
      </w:pPr>
      <w:r w:rsidRPr="001E5FA2">
        <w:rPr>
          <w:rFonts w:ascii="Palatino Linotype" w:hAnsi="Palatino Linotype" w:cs="Arial"/>
          <w:i/>
        </w:rPr>
        <w:t>“</w:t>
      </w:r>
      <w:r w:rsidRPr="001E5FA2">
        <w:rPr>
          <w:rFonts w:ascii="Palatino Linotype" w:hAnsi="Palatino Linotype" w:cs="Arial"/>
          <w:b/>
          <w:i/>
        </w:rPr>
        <w:t>Quincuagésimo.</w:t>
      </w:r>
      <w:r w:rsidRPr="001E5FA2">
        <w:rPr>
          <w:rFonts w:ascii="Palatino Linotype" w:hAnsi="Palatino Linotype" w:cs="Arial"/>
          <w:i/>
        </w:rPr>
        <w:t xml:space="preserve"> Los titulares de las áreas de los sujetos obligados podrán utilizar los formatos contenidos en el presente Capítulo como modelo para señalar la clasificación de documentos o expedientes, sin perjuicio de que establezcan los propios.</w:t>
      </w:r>
    </w:p>
    <w:p w:rsidR="006B4565" w:rsidRPr="001E5FA2" w:rsidRDefault="006B4565" w:rsidP="006B4565">
      <w:pPr>
        <w:pStyle w:val="Prrafodelista"/>
        <w:tabs>
          <w:tab w:val="left" w:pos="142"/>
          <w:tab w:val="left" w:pos="284"/>
          <w:tab w:val="left" w:pos="426"/>
        </w:tabs>
        <w:spacing w:line="276" w:lineRule="auto"/>
        <w:ind w:left="567" w:right="567"/>
        <w:jc w:val="both"/>
        <w:rPr>
          <w:rFonts w:ascii="Palatino Linotype" w:hAnsi="Palatino Linotype" w:cs="Arial"/>
          <w:i/>
        </w:rPr>
      </w:pPr>
    </w:p>
    <w:p w:rsidR="006B4565" w:rsidRPr="001E5FA2" w:rsidRDefault="006B4565" w:rsidP="006B4565">
      <w:pPr>
        <w:pStyle w:val="Prrafodelista"/>
        <w:tabs>
          <w:tab w:val="left" w:pos="142"/>
          <w:tab w:val="left" w:pos="284"/>
          <w:tab w:val="left" w:pos="426"/>
        </w:tabs>
        <w:spacing w:line="276" w:lineRule="auto"/>
        <w:ind w:left="567" w:right="567"/>
        <w:jc w:val="both"/>
        <w:rPr>
          <w:rFonts w:ascii="Palatino Linotype" w:hAnsi="Palatino Linotype" w:cs="Arial"/>
          <w:i/>
        </w:rPr>
      </w:pPr>
      <w:r w:rsidRPr="001E5FA2">
        <w:rPr>
          <w:rFonts w:ascii="Palatino Linotype" w:hAnsi="Palatino Linotype" w:cs="Arial"/>
          <w:b/>
          <w:i/>
        </w:rPr>
        <w:t>Quincuagésimo primero.</w:t>
      </w:r>
      <w:r w:rsidRPr="001E5FA2">
        <w:rPr>
          <w:rFonts w:ascii="Palatino Linotype" w:hAnsi="Palatino Linotype" w:cs="Arial"/>
          <w:i/>
        </w:rPr>
        <w:t xml:space="preserve"> La leyenda en los documentos clasificados indicará:</w:t>
      </w:r>
    </w:p>
    <w:p w:rsidR="006B4565" w:rsidRPr="001E5FA2" w:rsidRDefault="006B4565" w:rsidP="006B4565">
      <w:pPr>
        <w:pStyle w:val="Prrafodelista"/>
        <w:tabs>
          <w:tab w:val="left" w:pos="142"/>
          <w:tab w:val="left" w:pos="284"/>
          <w:tab w:val="left" w:pos="426"/>
        </w:tabs>
        <w:spacing w:line="276" w:lineRule="auto"/>
        <w:ind w:left="567" w:right="567"/>
        <w:jc w:val="both"/>
        <w:rPr>
          <w:rFonts w:ascii="Palatino Linotype" w:hAnsi="Palatino Linotype" w:cs="Arial"/>
          <w:i/>
        </w:rPr>
      </w:pPr>
      <w:r w:rsidRPr="001E5FA2">
        <w:rPr>
          <w:rFonts w:ascii="Palatino Linotype" w:hAnsi="Palatino Linotype" w:cs="Arial"/>
          <w:i/>
        </w:rPr>
        <w:lastRenderedPageBreak/>
        <w:t>I. La fecha de sesión del Comité de Transparencia en donde se confirmó la clasificación, en su caso;</w:t>
      </w:r>
    </w:p>
    <w:p w:rsidR="006B4565" w:rsidRPr="001E5FA2" w:rsidRDefault="006B4565" w:rsidP="006B4565">
      <w:pPr>
        <w:pStyle w:val="Prrafodelista"/>
        <w:tabs>
          <w:tab w:val="left" w:pos="142"/>
          <w:tab w:val="left" w:pos="284"/>
          <w:tab w:val="left" w:pos="426"/>
        </w:tabs>
        <w:spacing w:line="276" w:lineRule="auto"/>
        <w:ind w:left="567" w:right="567"/>
        <w:jc w:val="both"/>
        <w:rPr>
          <w:rFonts w:ascii="Palatino Linotype" w:hAnsi="Palatino Linotype" w:cs="Arial"/>
          <w:i/>
        </w:rPr>
      </w:pPr>
      <w:r w:rsidRPr="001E5FA2">
        <w:rPr>
          <w:rFonts w:ascii="Palatino Linotype" w:hAnsi="Palatino Linotype" w:cs="Arial"/>
          <w:i/>
        </w:rPr>
        <w:t>II. El nombre del área;</w:t>
      </w:r>
    </w:p>
    <w:p w:rsidR="006B4565" w:rsidRPr="001E5FA2" w:rsidRDefault="006B4565" w:rsidP="006B4565">
      <w:pPr>
        <w:pStyle w:val="Prrafodelista"/>
        <w:tabs>
          <w:tab w:val="left" w:pos="142"/>
          <w:tab w:val="left" w:pos="284"/>
          <w:tab w:val="left" w:pos="426"/>
        </w:tabs>
        <w:spacing w:line="276" w:lineRule="auto"/>
        <w:ind w:left="567" w:right="567"/>
        <w:jc w:val="both"/>
        <w:rPr>
          <w:rFonts w:ascii="Palatino Linotype" w:hAnsi="Palatino Linotype" w:cs="Arial"/>
          <w:i/>
        </w:rPr>
      </w:pPr>
      <w:r w:rsidRPr="001E5FA2">
        <w:rPr>
          <w:rFonts w:ascii="Palatino Linotype" w:hAnsi="Palatino Linotype" w:cs="Arial"/>
          <w:i/>
        </w:rPr>
        <w:t>III. La palabra reservado o confidencial;</w:t>
      </w:r>
    </w:p>
    <w:p w:rsidR="006B4565" w:rsidRPr="001E5FA2" w:rsidRDefault="006B4565" w:rsidP="006B4565">
      <w:pPr>
        <w:pStyle w:val="Prrafodelista"/>
        <w:tabs>
          <w:tab w:val="left" w:pos="142"/>
          <w:tab w:val="left" w:pos="284"/>
          <w:tab w:val="left" w:pos="426"/>
        </w:tabs>
        <w:spacing w:line="276" w:lineRule="auto"/>
        <w:ind w:left="567" w:right="567"/>
        <w:jc w:val="both"/>
        <w:rPr>
          <w:rFonts w:ascii="Palatino Linotype" w:hAnsi="Palatino Linotype" w:cs="Arial"/>
          <w:i/>
        </w:rPr>
      </w:pPr>
      <w:r w:rsidRPr="001E5FA2">
        <w:rPr>
          <w:rFonts w:ascii="Palatino Linotype" w:hAnsi="Palatino Linotype" w:cs="Arial"/>
          <w:i/>
        </w:rPr>
        <w:t>IV. Las partes o secciones reservadas o confidenciales, en su caso;</w:t>
      </w:r>
    </w:p>
    <w:p w:rsidR="006B4565" w:rsidRPr="001E5FA2" w:rsidRDefault="006B4565" w:rsidP="006B4565">
      <w:pPr>
        <w:pStyle w:val="Prrafodelista"/>
        <w:tabs>
          <w:tab w:val="left" w:pos="142"/>
          <w:tab w:val="left" w:pos="284"/>
          <w:tab w:val="left" w:pos="426"/>
        </w:tabs>
        <w:spacing w:line="276" w:lineRule="auto"/>
        <w:ind w:left="567" w:right="567"/>
        <w:jc w:val="both"/>
        <w:rPr>
          <w:rFonts w:ascii="Palatino Linotype" w:hAnsi="Palatino Linotype" w:cs="Arial"/>
          <w:i/>
        </w:rPr>
      </w:pPr>
      <w:r w:rsidRPr="001E5FA2">
        <w:rPr>
          <w:rFonts w:ascii="Palatino Linotype" w:hAnsi="Palatino Linotype" w:cs="Arial"/>
          <w:i/>
        </w:rPr>
        <w:t>V. El fundamento legal;</w:t>
      </w:r>
    </w:p>
    <w:p w:rsidR="006B4565" w:rsidRPr="001E5FA2" w:rsidRDefault="006B4565" w:rsidP="006B4565">
      <w:pPr>
        <w:pStyle w:val="Prrafodelista"/>
        <w:tabs>
          <w:tab w:val="left" w:pos="142"/>
          <w:tab w:val="left" w:pos="284"/>
          <w:tab w:val="left" w:pos="426"/>
        </w:tabs>
        <w:spacing w:after="0" w:line="276" w:lineRule="auto"/>
        <w:ind w:left="567" w:right="567"/>
        <w:jc w:val="both"/>
        <w:rPr>
          <w:rFonts w:ascii="Palatino Linotype" w:hAnsi="Palatino Linotype" w:cs="Arial"/>
          <w:i/>
        </w:rPr>
      </w:pPr>
      <w:r w:rsidRPr="001E5FA2">
        <w:rPr>
          <w:rFonts w:ascii="Palatino Linotype" w:hAnsi="Palatino Linotype" w:cs="Arial"/>
          <w:i/>
        </w:rPr>
        <w:t>VI. El periodo de reserva, y</w:t>
      </w:r>
    </w:p>
    <w:p w:rsidR="006B4565" w:rsidRPr="001E5FA2" w:rsidRDefault="006B4565" w:rsidP="006B4565">
      <w:pPr>
        <w:pStyle w:val="Prrafodelista"/>
        <w:tabs>
          <w:tab w:val="left" w:pos="142"/>
          <w:tab w:val="left" w:pos="284"/>
          <w:tab w:val="left" w:pos="426"/>
        </w:tabs>
        <w:spacing w:line="276" w:lineRule="auto"/>
        <w:ind w:left="567" w:right="567"/>
        <w:jc w:val="both"/>
        <w:rPr>
          <w:rFonts w:ascii="Palatino Linotype" w:hAnsi="Palatino Linotype" w:cs="Arial"/>
          <w:i/>
        </w:rPr>
      </w:pPr>
      <w:r w:rsidRPr="001E5FA2">
        <w:rPr>
          <w:rFonts w:ascii="Palatino Linotype" w:hAnsi="Palatino Linotype" w:cs="Arial"/>
          <w:i/>
        </w:rPr>
        <w:t>VII. La rúbrica del titular del área.</w:t>
      </w:r>
    </w:p>
    <w:p w:rsidR="006B4565" w:rsidRPr="001E5FA2" w:rsidRDefault="006B4565" w:rsidP="006B4565">
      <w:pPr>
        <w:pStyle w:val="Prrafodelista"/>
        <w:tabs>
          <w:tab w:val="left" w:pos="142"/>
          <w:tab w:val="left" w:pos="284"/>
          <w:tab w:val="left" w:pos="426"/>
        </w:tabs>
        <w:spacing w:line="276" w:lineRule="auto"/>
        <w:ind w:left="567" w:right="567"/>
        <w:jc w:val="both"/>
        <w:rPr>
          <w:rFonts w:ascii="Palatino Linotype" w:hAnsi="Palatino Linotype" w:cs="Arial"/>
          <w:i/>
        </w:rPr>
      </w:pPr>
    </w:p>
    <w:p w:rsidR="006B4565" w:rsidRPr="001E5FA2" w:rsidRDefault="006B4565" w:rsidP="006B4565">
      <w:pPr>
        <w:pStyle w:val="Prrafodelista"/>
        <w:tabs>
          <w:tab w:val="left" w:pos="142"/>
          <w:tab w:val="left" w:pos="284"/>
          <w:tab w:val="left" w:pos="426"/>
        </w:tabs>
        <w:spacing w:line="276" w:lineRule="auto"/>
        <w:ind w:left="567" w:right="567"/>
        <w:jc w:val="both"/>
        <w:rPr>
          <w:rFonts w:ascii="Palatino Linotype" w:hAnsi="Palatino Linotype" w:cs="Arial"/>
          <w:i/>
        </w:rPr>
      </w:pPr>
      <w:r w:rsidRPr="001E5FA2">
        <w:rPr>
          <w:rFonts w:ascii="Palatino Linotype" w:hAnsi="Palatino Linotype" w:cs="Arial"/>
          <w:b/>
          <w:i/>
        </w:rPr>
        <w:t>Quincuagésimo segundo.</w:t>
      </w:r>
      <w:r w:rsidRPr="001E5FA2">
        <w:rPr>
          <w:rFonts w:ascii="Palatino Linotype" w:hAnsi="Palatino Linotype" w:cs="Arial"/>
          <w:i/>
        </w:rPr>
        <w:t xml:space="preserve"> Los sujetos obligados elaborarán los formatos a que se refiere este Capítulo en medios impresos o electrónicos, entre otros, debiendo ubicarse la leyenda de clasificación en la esquina superior derecha del documento.</w:t>
      </w:r>
    </w:p>
    <w:p w:rsidR="006B4565" w:rsidRPr="001E5FA2" w:rsidRDefault="006B4565" w:rsidP="006B4565">
      <w:pPr>
        <w:pStyle w:val="Prrafodelista"/>
        <w:tabs>
          <w:tab w:val="left" w:pos="142"/>
          <w:tab w:val="left" w:pos="284"/>
          <w:tab w:val="left" w:pos="426"/>
        </w:tabs>
        <w:spacing w:line="276" w:lineRule="auto"/>
        <w:ind w:left="567" w:right="567"/>
        <w:jc w:val="both"/>
        <w:rPr>
          <w:rFonts w:ascii="Palatino Linotype" w:hAnsi="Palatino Linotype" w:cs="Arial"/>
          <w:i/>
        </w:rPr>
      </w:pPr>
      <w:r w:rsidRPr="001E5FA2">
        <w:rPr>
          <w:rFonts w:ascii="Palatino Linotype" w:hAnsi="Palatino Linotype" w:cs="Arial"/>
          <w:i/>
        </w:rPr>
        <w:t>En caso de que las condiciones del documento no permitan la inserción completa de la leyenda de clasificación, los sujetos obligados deberán señalar con números o letras las partes testadas para que, en una hoja anexa, se desglose la referida leyenda con las acotaciones realizadas.</w:t>
      </w:r>
    </w:p>
    <w:p w:rsidR="006B4565" w:rsidRPr="001E5FA2" w:rsidRDefault="006B4565" w:rsidP="006B4565">
      <w:pPr>
        <w:pStyle w:val="Prrafodelista"/>
        <w:tabs>
          <w:tab w:val="left" w:pos="142"/>
          <w:tab w:val="left" w:pos="284"/>
          <w:tab w:val="left" w:pos="426"/>
        </w:tabs>
        <w:spacing w:line="276" w:lineRule="auto"/>
        <w:ind w:left="567" w:right="567"/>
        <w:jc w:val="both"/>
        <w:rPr>
          <w:rFonts w:ascii="Palatino Linotype" w:hAnsi="Palatino Linotype" w:cs="Arial"/>
          <w:i/>
        </w:rPr>
      </w:pPr>
      <w:r w:rsidRPr="001E5FA2">
        <w:rPr>
          <w:rFonts w:ascii="Palatino Linotype" w:hAnsi="Palatino Linotype" w:cs="Arial"/>
          <w:b/>
          <w:i/>
        </w:rPr>
        <w:t>Quincuagésimo tercero.</w:t>
      </w:r>
      <w:r w:rsidRPr="001E5FA2">
        <w:rPr>
          <w:rFonts w:ascii="Palatino Linotype" w:hAnsi="Palatino Linotype" w:cs="Arial"/>
          <w:i/>
        </w:rPr>
        <w:t xml:space="preserve"> El formato para señalar la clasificación parcial de un documento, es el siguiente:</w:t>
      </w:r>
    </w:p>
    <w:p w:rsidR="006B4565" w:rsidRPr="001E5FA2" w:rsidRDefault="006B4565" w:rsidP="006B4565">
      <w:pPr>
        <w:pStyle w:val="Prrafodelista"/>
        <w:tabs>
          <w:tab w:val="left" w:pos="142"/>
          <w:tab w:val="left" w:pos="284"/>
          <w:tab w:val="left" w:pos="426"/>
        </w:tabs>
        <w:spacing w:line="360" w:lineRule="auto"/>
        <w:ind w:left="0"/>
        <w:jc w:val="center"/>
        <w:rPr>
          <w:rFonts w:ascii="Palatino Linotype" w:hAnsi="Palatino Linotype" w:cs="Arial"/>
        </w:rPr>
      </w:pPr>
      <w:r w:rsidRPr="001E5FA2">
        <w:rPr>
          <w:rFonts w:ascii="Palatino Linotype" w:hAnsi="Palatino Linotype" w:cs="Arial"/>
          <w:i/>
          <w:noProof/>
          <w:lang w:eastAsia="es-MX"/>
        </w:rPr>
        <w:lastRenderedPageBreak/>
        <w:drawing>
          <wp:inline distT="0" distB="0" distL="0" distR="0">
            <wp:extent cx="4905375" cy="5581650"/>
            <wp:effectExtent l="57150" t="57150" r="123825" b="114300"/>
            <wp:docPr id="11" name="Imagen 11"/>
            <wp:cNvGraphicFramePr/>
            <a:graphic xmlns:a="http://schemas.openxmlformats.org/drawingml/2006/main">
              <a:graphicData uri="http://schemas.openxmlformats.org/drawingml/2006/picture">
                <pic:pic xmlns:pic="http://schemas.openxmlformats.org/drawingml/2006/picture">
                  <pic:nvPicPr>
                    <pic:cNvPr id="11" name="Imagen 1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10760" cy="5466715"/>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6B4565" w:rsidRPr="001E5FA2" w:rsidRDefault="006B4565" w:rsidP="006B4565">
      <w:pPr>
        <w:pStyle w:val="Prrafodelista"/>
        <w:tabs>
          <w:tab w:val="left" w:pos="142"/>
          <w:tab w:val="left" w:pos="284"/>
          <w:tab w:val="left" w:pos="426"/>
        </w:tabs>
        <w:spacing w:line="360" w:lineRule="auto"/>
        <w:ind w:left="0"/>
        <w:jc w:val="both"/>
        <w:rPr>
          <w:rFonts w:ascii="Palatino Linotype" w:hAnsi="Palatino Linotype" w:cs="Arial"/>
          <w:sz w:val="24"/>
        </w:rPr>
      </w:pPr>
    </w:p>
    <w:p w:rsidR="006B4565" w:rsidRPr="001E5FA2" w:rsidRDefault="006B4565" w:rsidP="006B4565">
      <w:pPr>
        <w:pStyle w:val="Prrafodelista"/>
        <w:numPr>
          <w:ilvl w:val="0"/>
          <w:numId w:val="12"/>
        </w:numPr>
        <w:tabs>
          <w:tab w:val="left" w:pos="142"/>
          <w:tab w:val="left" w:pos="284"/>
          <w:tab w:val="left" w:pos="426"/>
        </w:tabs>
        <w:spacing w:line="360" w:lineRule="auto"/>
        <w:ind w:left="0" w:firstLine="0"/>
        <w:jc w:val="both"/>
        <w:rPr>
          <w:rFonts w:ascii="Palatino Linotype" w:hAnsi="Palatino Linotype" w:cs="Arial"/>
          <w:sz w:val="24"/>
        </w:rPr>
      </w:pPr>
      <w:r w:rsidRPr="001E5FA2">
        <w:rPr>
          <w:rFonts w:ascii="Palatino Linotype" w:eastAsia="MS Gothic" w:hAnsi="Palatino Linotype" w:cs="Times New Roman"/>
          <w:sz w:val="24"/>
          <w:szCs w:val="26"/>
        </w:rPr>
        <w:t>Una vez hecho lo anterior, se remite la información al Titular de la Unidad de Transparencia, con el acuerdo de clasificación correspondiente, para que sea sometido al conocimiento del Comité de Transparencia.</w:t>
      </w:r>
    </w:p>
    <w:p w:rsidR="006B4565" w:rsidRPr="001E5FA2" w:rsidRDefault="006B4565" w:rsidP="006B4565">
      <w:pPr>
        <w:pStyle w:val="Prrafodelista"/>
        <w:tabs>
          <w:tab w:val="left" w:pos="142"/>
          <w:tab w:val="left" w:pos="284"/>
          <w:tab w:val="left" w:pos="426"/>
        </w:tabs>
        <w:spacing w:line="360" w:lineRule="auto"/>
        <w:ind w:left="0"/>
        <w:jc w:val="both"/>
        <w:outlineLvl w:val="2"/>
        <w:rPr>
          <w:rFonts w:ascii="Palatino Linotype" w:hAnsi="Palatino Linotype" w:cs="Arial"/>
          <w:b/>
          <w:sz w:val="24"/>
        </w:rPr>
      </w:pPr>
      <w:bookmarkStart w:id="47" w:name="_Toc51863317"/>
      <w:bookmarkStart w:id="48" w:name="_Toc52444651"/>
      <w:bookmarkStart w:id="49" w:name="_Toc57154370"/>
      <w:bookmarkStart w:id="50" w:name="_Toc65170176"/>
      <w:bookmarkStart w:id="51" w:name="_Toc66371802"/>
      <w:bookmarkStart w:id="52" w:name="_Toc67584837"/>
      <w:r w:rsidRPr="001E5FA2">
        <w:rPr>
          <w:rFonts w:ascii="Palatino Linotype" w:hAnsi="Palatino Linotype" w:cs="Arial"/>
          <w:b/>
          <w:sz w:val="24"/>
        </w:rPr>
        <w:t>III. La intervención del Comité de Transparencia.</w:t>
      </w:r>
      <w:bookmarkEnd w:id="47"/>
      <w:bookmarkEnd w:id="48"/>
      <w:bookmarkEnd w:id="49"/>
      <w:bookmarkEnd w:id="50"/>
      <w:bookmarkEnd w:id="51"/>
      <w:bookmarkEnd w:id="52"/>
    </w:p>
    <w:p w:rsidR="006B4565" w:rsidRPr="001E5FA2" w:rsidRDefault="006B4565" w:rsidP="006B4565">
      <w:pPr>
        <w:pStyle w:val="Prrafodelista"/>
        <w:tabs>
          <w:tab w:val="left" w:pos="142"/>
          <w:tab w:val="left" w:pos="284"/>
          <w:tab w:val="left" w:pos="426"/>
        </w:tabs>
        <w:spacing w:line="360" w:lineRule="auto"/>
        <w:ind w:left="0"/>
        <w:jc w:val="both"/>
        <w:rPr>
          <w:rFonts w:ascii="Palatino Linotype" w:hAnsi="Palatino Linotype" w:cs="Arial"/>
          <w:sz w:val="24"/>
        </w:rPr>
      </w:pPr>
    </w:p>
    <w:p w:rsidR="006B4565" w:rsidRPr="001E5FA2" w:rsidRDefault="006B4565" w:rsidP="006B4565">
      <w:pPr>
        <w:pStyle w:val="Prrafodelista"/>
        <w:tabs>
          <w:tab w:val="left" w:pos="142"/>
          <w:tab w:val="left" w:pos="284"/>
          <w:tab w:val="left" w:pos="426"/>
        </w:tabs>
        <w:spacing w:line="360" w:lineRule="auto"/>
        <w:ind w:left="0"/>
        <w:jc w:val="both"/>
        <w:rPr>
          <w:rFonts w:ascii="Palatino Linotype" w:hAnsi="Palatino Linotype" w:cs="Arial"/>
          <w:b/>
          <w:sz w:val="24"/>
        </w:rPr>
      </w:pPr>
      <w:r w:rsidRPr="001E5FA2">
        <w:rPr>
          <w:rFonts w:ascii="Palatino Linotype" w:hAnsi="Palatino Linotype" w:cs="Arial"/>
          <w:b/>
          <w:sz w:val="24"/>
        </w:rPr>
        <w:t>a) Formalidades para emitir el Acuerdo de Clasificación.</w:t>
      </w:r>
    </w:p>
    <w:p w:rsidR="006B4565" w:rsidRPr="001E5FA2" w:rsidRDefault="006B4565" w:rsidP="006B4565">
      <w:pPr>
        <w:pStyle w:val="Prrafodelista"/>
        <w:tabs>
          <w:tab w:val="left" w:pos="142"/>
          <w:tab w:val="left" w:pos="284"/>
          <w:tab w:val="left" w:pos="426"/>
        </w:tabs>
        <w:spacing w:line="360" w:lineRule="auto"/>
        <w:ind w:left="0"/>
        <w:jc w:val="both"/>
        <w:rPr>
          <w:rFonts w:ascii="Palatino Linotype" w:hAnsi="Palatino Linotype" w:cs="Arial"/>
          <w:sz w:val="24"/>
        </w:rPr>
      </w:pPr>
    </w:p>
    <w:p w:rsidR="006B4565" w:rsidRPr="001E5FA2" w:rsidRDefault="006B4565" w:rsidP="006B4565">
      <w:pPr>
        <w:pStyle w:val="Prrafodelista"/>
        <w:numPr>
          <w:ilvl w:val="0"/>
          <w:numId w:val="12"/>
        </w:numPr>
        <w:tabs>
          <w:tab w:val="left" w:pos="142"/>
          <w:tab w:val="left" w:pos="284"/>
          <w:tab w:val="left" w:pos="426"/>
        </w:tabs>
        <w:spacing w:line="360" w:lineRule="auto"/>
        <w:ind w:left="0" w:firstLine="0"/>
        <w:jc w:val="both"/>
        <w:rPr>
          <w:rFonts w:ascii="Palatino Linotype" w:hAnsi="Palatino Linotype" w:cs="Arial"/>
          <w:sz w:val="24"/>
        </w:rPr>
      </w:pPr>
      <w:r w:rsidRPr="001E5FA2">
        <w:rPr>
          <w:rFonts w:ascii="Palatino Linotype" w:eastAsia="MS Gothic" w:hAnsi="Palatino Linotype" w:cs="Times New Roman"/>
          <w:sz w:val="24"/>
          <w:szCs w:val="26"/>
        </w:rPr>
        <w:t xml:space="preserve">El Comité de Transparencia, según lo dispuesto en los artículos 128 y 103 de la Ley Estatal y de la Ley General, respectivamente, y la fracción III del numeral Segundo de los Lineamientos generales en materia de clasificación y desclasificación de la información, así como para la elaboración de versiones públicas, en adelante los Lineamientos Generales, cuenta con las facultades para </w:t>
      </w:r>
      <w:r w:rsidRPr="001E5FA2">
        <w:rPr>
          <w:rFonts w:ascii="Palatino Linotype" w:eastAsia="MS Gothic" w:hAnsi="Palatino Linotype" w:cs="Times New Roman"/>
          <w:b/>
          <w:sz w:val="24"/>
          <w:szCs w:val="26"/>
          <w:u w:val="single"/>
        </w:rPr>
        <w:t>confirmar, modificar o revocar</w:t>
      </w:r>
      <w:r w:rsidRPr="001E5FA2">
        <w:rPr>
          <w:rFonts w:ascii="Palatino Linotype" w:eastAsia="MS Gothic" w:hAnsi="Palatino Linotype" w:cs="Times New Roman"/>
          <w:sz w:val="24"/>
          <w:szCs w:val="26"/>
        </w:rPr>
        <w:t xml:space="preserve"> la clasificación de la información que ha hecho el titular del área que administra la información. Por lo tanto, el Comité </w:t>
      </w:r>
      <w:r w:rsidRPr="001E5FA2">
        <w:rPr>
          <w:rFonts w:ascii="Palatino Linotype" w:eastAsia="MS Gothic" w:hAnsi="Palatino Linotype" w:cs="Times New Roman"/>
          <w:b/>
          <w:sz w:val="24"/>
          <w:szCs w:val="26"/>
          <w:u w:val="single"/>
        </w:rPr>
        <w:t>no aprueba</w:t>
      </w:r>
      <w:r w:rsidRPr="001E5FA2">
        <w:rPr>
          <w:rFonts w:ascii="Palatino Linotype" w:eastAsia="MS Gothic" w:hAnsi="Palatino Linotype" w:cs="Times New Roman"/>
          <w:sz w:val="24"/>
          <w:szCs w:val="26"/>
        </w:rPr>
        <w:t xml:space="preserve"> la clasificación, sino que revisa lo que ha hecho el titular del área y confirma, modifica o revoca la decisión a través de un acuerdo.</w:t>
      </w:r>
    </w:p>
    <w:p w:rsidR="006B4565" w:rsidRPr="001E5FA2" w:rsidRDefault="006B4565" w:rsidP="006B4565">
      <w:pPr>
        <w:pStyle w:val="Prrafodelista"/>
        <w:tabs>
          <w:tab w:val="left" w:pos="142"/>
          <w:tab w:val="left" w:pos="284"/>
          <w:tab w:val="left" w:pos="426"/>
        </w:tabs>
        <w:spacing w:line="360" w:lineRule="auto"/>
        <w:ind w:left="0"/>
        <w:jc w:val="both"/>
        <w:rPr>
          <w:rFonts w:ascii="Palatino Linotype" w:hAnsi="Palatino Linotype" w:cs="Arial"/>
          <w:sz w:val="24"/>
        </w:rPr>
      </w:pPr>
    </w:p>
    <w:p w:rsidR="006B4565" w:rsidRPr="001E5FA2" w:rsidRDefault="006B4565" w:rsidP="006B4565">
      <w:pPr>
        <w:pStyle w:val="Prrafodelista"/>
        <w:numPr>
          <w:ilvl w:val="0"/>
          <w:numId w:val="12"/>
        </w:numPr>
        <w:tabs>
          <w:tab w:val="left" w:pos="142"/>
          <w:tab w:val="left" w:pos="284"/>
          <w:tab w:val="left" w:pos="426"/>
        </w:tabs>
        <w:spacing w:line="360" w:lineRule="auto"/>
        <w:ind w:left="0" w:firstLine="0"/>
        <w:jc w:val="both"/>
        <w:rPr>
          <w:rFonts w:ascii="Palatino Linotype" w:hAnsi="Palatino Linotype" w:cs="Arial"/>
          <w:sz w:val="24"/>
        </w:rPr>
      </w:pPr>
      <w:r w:rsidRPr="001E5FA2">
        <w:rPr>
          <w:rFonts w:ascii="Palatino Linotype" w:eastAsia="MS Gothic" w:hAnsi="Palatino Linotype" w:cs="Times New Roman"/>
          <w:sz w:val="24"/>
          <w:szCs w:val="26"/>
        </w:rPr>
        <w:t xml:space="preserve">Evidentemente, esta decisión implica una restricción a un derecho humano, por lo tanto, puede generar un agravio al particular y, en consecuencia, es necesario que </w:t>
      </w:r>
      <w:r w:rsidRPr="001E5FA2">
        <w:rPr>
          <w:rFonts w:ascii="Palatino Linotype" w:eastAsia="MS Gothic" w:hAnsi="Palatino Linotype" w:cs="Times New Roman"/>
          <w:b/>
          <w:sz w:val="24"/>
          <w:szCs w:val="26"/>
          <w:u w:val="single"/>
        </w:rPr>
        <w:t>el acto reúna con los requisitos elementales</w:t>
      </w:r>
      <w:r w:rsidRPr="001E5FA2">
        <w:rPr>
          <w:rFonts w:ascii="Palatino Linotype" w:eastAsia="MS Gothic" w:hAnsi="Palatino Linotype" w:cs="Times New Roman"/>
          <w:sz w:val="24"/>
          <w:szCs w:val="26"/>
        </w:rPr>
        <w:t>, entre ellos, que la autoridad que va a emitir el acto de autoridad sea la legalmente facultada para ello, es decir, que cumpla con el principio de reserva de ley,  por lo que no está demás señalar que el artículo 45 de la Ley Estatal, claramente señala que el Comité de Transparencia, legalmente facultado para emitir el acuerdo de clasificación, se integra por el Titular de la Unidad de Transparencia, el responsable del área coordinadora de archivos y el titular del órgano interno de control, integrado siempre por un número impar y que no debe de existir dependencia jerárquica entre sus integrantes. Cualquier otra composición del Comité puede generar vicios de legalidad de origen en el acto que restringe un derecho humano.</w:t>
      </w:r>
    </w:p>
    <w:p w:rsidR="006B4565" w:rsidRPr="001E5FA2" w:rsidRDefault="006B4565" w:rsidP="006B4565">
      <w:pPr>
        <w:pStyle w:val="Prrafodelista"/>
        <w:tabs>
          <w:tab w:val="left" w:pos="142"/>
          <w:tab w:val="left" w:pos="284"/>
          <w:tab w:val="left" w:pos="426"/>
        </w:tabs>
        <w:spacing w:line="360" w:lineRule="auto"/>
        <w:ind w:left="0"/>
        <w:jc w:val="both"/>
        <w:rPr>
          <w:rFonts w:ascii="Palatino Linotype" w:hAnsi="Palatino Linotype" w:cs="Arial"/>
          <w:sz w:val="24"/>
        </w:rPr>
      </w:pPr>
    </w:p>
    <w:p w:rsidR="006B4565" w:rsidRPr="001E5FA2" w:rsidRDefault="006B4565" w:rsidP="006B4565">
      <w:pPr>
        <w:pStyle w:val="Prrafodelista"/>
        <w:numPr>
          <w:ilvl w:val="0"/>
          <w:numId w:val="12"/>
        </w:numPr>
        <w:tabs>
          <w:tab w:val="left" w:pos="142"/>
          <w:tab w:val="left" w:pos="284"/>
          <w:tab w:val="left" w:pos="426"/>
        </w:tabs>
        <w:spacing w:line="360" w:lineRule="auto"/>
        <w:ind w:left="0" w:firstLine="0"/>
        <w:jc w:val="both"/>
        <w:rPr>
          <w:rFonts w:ascii="Palatino Linotype" w:hAnsi="Palatino Linotype" w:cs="Arial"/>
          <w:sz w:val="24"/>
        </w:rPr>
      </w:pPr>
      <w:r w:rsidRPr="001E5FA2">
        <w:rPr>
          <w:rFonts w:ascii="Palatino Linotype" w:eastAsia="MS Gothic" w:hAnsi="Palatino Linotype" w:cs="Times New Roman"/>
          <w:sz w:val="24"/>
          <w:szCs w:val="26"/>
        </w:rPr>
        <w:lastRenderedPageBreak/>
        <w:t>La decisión de confirmar, modificar o revocar la clasificación deberá de asentarse en un documento que registre la determinación a la que se llegue después de un análisis minucioso a partir de lo aprobado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p w:rsidR="006B4565" w:rsidRPr="001E5FA2" w:rsidRDefault="006B4565" w:rsidP="006B4565">
      <w:pPr>
        <w:pStyle w:val="Prrafodelista"/>
        <w:tabs>
          <w:tab w:val="left" w:pos="142"/>
          <w:tab w:val="left" w:pos="284"/>
          <w:tab w:val="left" w:pos="426"/>
        </w:tabs>
        <w:spacing w:line="360" w:lineRule="auto"/>
        <w:ind w:left="0"/>
        <w:jc w:val="both"/>
        <w:rPr>
          <w:rFonts w:ascii="Palatino Linotype" w:hAnsi="Palatino Linotype" w:cs="Arial"/>
          <w:sz w:val="24"/>
        </w:rPr>
      </w:pPr>
    </w:p>
    <w:p w:rsidR="006B4565" w:rsidRPr="001E5FA2" w:rsidRDefault="006B4565" w:rsidP="006B4565">
      <w:pPr>
        <w:pStyle w:val="Prrafodelista"/>
        <w:tabs>
          <w:tab w:val="left" w:pos="142"/>
          <w:tab w:val="left" w:pos="284"/>
          <w:tab w:val="left" w:pos="426"/>
        </w:tabs>
        <w:spacing w:line="360" w:lineRule="auto"/>
        <w:ind w:left="0"/>
        <w:jc w:val="both"/>
        <w:rPr>
          <w:rFonts w:ascii="Palatino Linotype" w:hAnsi="Palatino Linotype" w:cs="Arial"/>
          <w:b/>
          <w:sz w:val="24"/>
        </w:rPr>
      </w:pPr>
      <w:r w:rsidRPr="001E5FA2">
        <w:rPr>
          <w:rFonts w:ascii="Palatino Linotype" w:hAnsi="Palatino Linotype" w:cs="Arial"/>
          <w:b/>
          <w:sz w:val="24"/>
        </w:rPr>
        <w:t>b) Requisitos de fondo del Acuerdo de Clasificación.</w:t>
      </w:r>
    </w:p>
    <w:p w:rsidR="006B4565" w:rsidRPr="001E5FA2" w:rsidRDefault="006B4565" w:rsidP="006B4565">
      <w:pPr>
        <w:pStyle w:val="Prrafodelista"/>
        <w:tabs>
          <w:tab w:val="left" w:pos="142"/>
          <w:tab w:val="left" w:pos="284"/>
          <w:tab w:val="left" w:pos="426"/>
        </w:tabs>
        <w:spacing w:line="360" w:lineRule="auto"/>
        <w:ind w:left="0"/>
        <w:jc w:val="both"/>
        <w:rPr>
          <w:rFonts w:ascii="Palatino Linotype" w:hAnsi="Palatino Linotype" w:cs="Arial"/>
          <w:sz w:val="24"/>
        </w:rPr>
      </w:pPr>
    </w:p>
    <w:p w:rsidR="006B4565" w:rsidRPr="001E5FA2" w:rsidRDefault="006B4565" w:rsidP="006B4565">
      <w:pPr>
        <w:pStyle w:val="Prrafodelista"/>
        <w:numPr>
          <w:ilvl w:val="0"/>
          <w:numId w:val="12"/>
        </w:numPr>
        <w:tabs>
          <w:tab w:val="left" w:pos="142"/>
          <w:tab w:val="left" w:pos="284"/>
          <w:tab w:val="left" w:pos="426"/>
        </w:tabs>
        <w:spacing w:line="360" w:lineRule="auto"/>
        <w:ind w:left="0" w:firstLine="0"/>
        <w:jc w:val="both"/>
        <w:rPr>
          <w:rFonts w:ascii="Palatino Linotype" w:hAnsi="Palatino Linotype" w:cs="Arial"/>
          <w:sz w:val="24"/>
        </w:rPr>
      </w:pPr>
      <w:r w:rsidRPr="001E5FA2">
        <w:rPr>
          <w:rFonts w:ascii="Palatino Linotype" w:eastAsia="MS Gothic" w:hAnsi="Palatino Linotype" w:cs="Times New Roman"/>
          <w:sz w:val="24"/>
          <w:szCs w:val="26"/>
        </w:rPr>
        <w:t>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de los Lineamientos Generales,  al señalar que la carga de la prueba, para justificar las restricciones, corresponde a los sujetos obligados, por lo que deberán fundar y motivar debidamente la clasificación.</w:t>
      </w:r>
    </w:p>
    <w:p w:rsidR="006B4565" w:rsidRPr="001E5FA2" w:rsidRDefault="006B4565" w:rsidP="006B4565">
      <w:pPr>
        <w:pStyle w:val="Prrafodelista"/>
        <w:tabs>
          <w:tab w:val="left" w:pos="142"/>
          <w:tab w:val="left" w:pos="284"/>
          <w:tab w:val="left" w:pos="426"/>
        </w:tabs>
        <w:spacing w:line="360" w:lineRule="auto"/>
        <w:ind w:left="0"/>
        <w:jc w:val="both"/>
        <w:rPr>
          <w:rFonts w:ascii="Palatino Linotype" w:hAnsi="Palatino Linotype" w:cs="Arial"/>
          <w:sz w:val="24"/>
        </w:rPr>
      </w:pPr>
    </w:p>
    <w:p w:rsidR="006B4565" w:rsidRPr="001E5FA2" w:rsidRDefault="006B4565" w:rsidP="006B4565">
      <w:pPr>
        <w:pStyle w:val="Prrafodelista"/>
        <w:numPr>
          <w:ilvl w:val="0"/>
          <w:numId w:val="12"/>
        </w:numPr>
        <w:tabs>
          <w:tab w:val="left" w:pos="142"/>
          <w:tab w:val="left" w:pos="284"/>
          <w:tab w:val="left" w:pos="426"/>
        </w:tabs>
        <w:spacing w:line="360" w:lineRule="auto"/>
        <w:ind w:left="0" w:firstLine="0"/>
        <w:jc w:val="both"/>
        <w:rPr>
          <w:rFonts w:ascii="Palatino Linotype" w:hAnsi="Palatino Linotype" w:cs="Arial"/>
          <w:sz w:val="24"/>
        </w:rPr>
      </w:pPr>
      <w:r w:rsidRPr="001E5FA2">
        <w:rPr>
          <w:rFonts w:ascii="Palatino Linotype" w:eastAsia="MS Gothic" w:hAnsi="Palatino Linotype" w:cs="Times New Roman"/>
          <w:sz w:val="24"/>
          <w:szCs w:val="26"/>
        </w:rPr>
        <w:t>De lo anterior, se desprende que para una correcta clasificación total o parcial,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rsidR="006B4565" w:rsidRPr="001E5FA2" w:rsidRDefault="006B4565" w:rsidP="006B4565">
      <w:pPr>
        <w:pStyle w:val="Prrafodelista"/>
        <w:numPr>
          <w:ilvl w:val="0"/>
          <w:numId w:val="12"/>
        </w:numPr>
        <w:tabs>
          <w:tab w:val="left" w:pos="142"/>
          <w:tab w:val="left" w:pos="284"/>
          <w:tab w:val="left" w:pos="426"/>
        </w:tabs>
        <w:spacing w:line="360" w:lineRule="auto"/>
        <w:ind w:left="0" w:firstLine="0"/>
        <w:jc w:val="both"/>
        <w:rPr>
          <w:rFonts w:ascii="Palatino Linotype" w:hAnsi="Palatino Linotype" w:cs="Arial"/>
          <w:sz w:val="24"/>
        </w:rPr>
      </w:pPr>
      <w:r w:rsidRPr="001E5FA2">
        <w:rPr>
          <w:rFonts w:ascii="Palatino Linotype" w:eastAsia="MS Gothic" w:hAnsi="Palatino Linotype" w:cs="Times New Roman"/>
          <w:sz w:val="24"/>
          <w:szCs w:val="26"/>
        </w:rPr>
        <w:lastRenderedPageBreak/>
        <w:t>Han sido vastos los estudios doctrinarios relativos a estos derechos fundamentales y al principio de legalidad en ellos contenidos; como ejemplo, el procesalista José Ovalle Fabela, en su obra “Garantías Constitucionales del Proceso”, refiere que “...</w:t>
      </w:r>
      <w:r w:rsidRPr="001E5FA2">
        <w:rPr>
          <w:rFonts w:ascii="Palatino Linotype" w:eastAsia="MS Gothic" w:hAnsi="Palatino Linotype" w:cs="Times New Roman"/>
          <w:i/>
          <w:sz w:val="24"/>
          <w:szCs w:val="26"/>
        </w:rPr>
        <w:t>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hecho</w:t>
      </w:r>
      <w:r w:rsidRPr="001E5FA2">
        <w:rPr>
          <w:rFonts w:ascii="Palatino Linotype" w:eastAsia="MS Gothic" w:hAnsi="Palatino Linotype" w:cs="Times New Roman"/>
          <w:sz w:val="24"/>
          <w:szCs w:val="26"/>
        </w:rPr>
        <w:t>....”</w:t>
      </w:r>
      <w:r w:rsidRPr="001E5FA2">
        <w:rPr>
          <w:rFonts w:ascii="Palatino Linotype" w:eastAsia="MS Gothic" w:hAnsi="Palatino Linotype" w:cs="Times New Roman"/>
          <w:sz w:val="24"/>
          <w:szCs w:val="26"/>
          <w:vertAlign w:val="superscript"/>
        </w:rPr>
        <w:footnoteReference w:id="4"/>
      </w:r>
    </w:p>
    <w:p w:rsidR="006B4565" w:rsidRPr="001E5FA2" w:rsidRDefault="006B4565" w:rsidP="006B4565">
      <w:pPr>
        <w:pStyle w:val="Prrafodelista"/>
        <w:tabs>
          <w:tab w:val="left" w:pos="142"/>
          <w:tab w:val="left" w:pos="284"/>
          <w:tab w:val="left" w:pos="426"/>
        </w:tabs>
        <w:spacing w:line="360" w:lineRule="auto"/>
        <w:ind w:left="0"/>
        <w:jc w:val="both"/>
        <w:rPr>
          <w:rFonts w:ascii="Palatino Linotype" w:hAnsi="Palatino Linotype" w:cs="Arial"/>
          <w:sz w:val="24"/>
        </w:rPr>
      </w:pPr>
    </w:p>
    <w:p w:rsidR="006B4565" w:rsidRPr="001E5FA2" w:rsidRDefault="006B4565" w:rsidP="006B4565">
      <w:pPr>
        <w:pStyle w:val="Prrafodelista"/>
        <w:numPr>
          <w:ilvl w:val="0"/>
          <w:numId w:val="12"/>
        </w:numPr>
        <w:tabs>
          <w:tab w:val="left" w:pos="142"/>
          <w:tab w:val="left" w:pos="284"/>
          <w:tab w:val="left" w:pos="426"/>
        </w:tabs>
        <w:spacing w:line="360" w:lineRule="auto"/>
        <w:ind w:left="0" w:firstLine="0"/>
        <w:jc w:val="both"/>
        <w:rPr>
          <w:rFonts w:ascii="Palatino Linotype" w:hAnsi="Palatino Linotype" w:cs="Arial"/>
          <w:sz w:val="24"/>
        </w:rPr>
      </w:pPr>
      <w:r w:rsidRPr="001E5FA2">
        <w:rPr>
          <w:rFonts w:ascii="Palatino Linotype" w:hAnsi="Palatino Linotype" w:cs="Arial"/>
          <w:sz w:val="24"/>
        </w:rPr>
        <w:t>Por su parte, el intérprete judicial del país ha establecido una jurisprudencia respecto a qué debe entenderse por fundamentación y motivación, en los siguientes términos:</w:t>
      </w:r>
    </w:p>
    <w:p w:rsidR="006B4565" w:rsidRPr="001E5FA2" w:rsidRDefault="006B4565" w:rsidP="006B4565">
      <w:pPr>
        <w:pStyle w:val="Prrafodelista"/>
        <w:tabs>
          <w:tab w:val="left" w:pos="142"/>
          <w:tab w:val="left" w:pos="284"/>
          <w:tab w:val="left" w:pos="426"/>
        </w:tabs>
        <w:spacing w:line="360" w:lineRule="auto"/>
        <w:ind w:left="0"/>
        <w:jc w:val="both"/>
        <w:rPr>
          <w:rFonts w:ascii="Palatino Linotype" w:hAnsi="Palatino Linotype" w:cs="Arial"/>
        </w:rPr>
      </w:pPr>
    </w:p>
    <w:p w:rsidR="006B4565" w:rsidRPr="001E5FA2" w:rsidRDefault="006B4565" w:rsidP="006B4565">
      <w:pPr>
        <w:spacing w:line="276" w:lineRule="auto"/>
        <w:ind w:left="851" w:right="618"/>
        <w:contextualSpacing/>
        <w:jc w:val="both"/>
        <w:rPr>
          <w:rFonts w:ascii="Palatino Linotype" w:hAnsi="Palatino Linotype" w:cs="Arial"/>
          <w:i/>
          <w:color w:val="000000"/>
        </w:rPr>
      </w:pPr>
      <w:r w:rsidRPr="001E5FA2">
        <w:rPr>
          <w:rFonts w:ascii="Palatino Linotype" w:hAnsi="Palatino Linotype" w:cs="Arial"/>
          <w:b/>
          <w:i/>
          <w:color w:val="000000"/>
        </w:rPr>
        <w:t>FUNDAMENTACIÓN Y MOTIVACIÓN.</w:t>
      </w:r>
      <w:r w:rsidRPr="001E5FA2">
        <w:rPr>
          <w:rFonts w:ascii="Palatino Linotype" w:hAnsi="Palatino Linotype" w:cs="Arial"/>
          <w:i/>
          <w:color w:val="000000"/>
        </w:rPr>
        <w:t xml:space="preserve"> “La </w:t>
      </w:r>
      <w:r w:rsidRPr="001E5FA2">
        <w:rPr>
          <w:rFonts w:ascii="Palatino Linotype" w:hAnsi="Palatino Linotype" w:cs="Arial"/>
          <w:i/>
          <w:color w:val="000000"/>
          <w:u w:val="single"/>
        </w:rPr>
        <w:t>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RPr="001E5FA2">
        <w:rPr>
          <w:rFonts w:ascii="Palatino Linotype" w:hAnsi="Palatino Linotype" w:cs="Arial"/>
          <w:i/>
          <w:color w:val="000000"/>
        </w:rPr>
        <w:t>.”</w:t>
      </w:r>
    </w:p>
    <w:p w:rsidR="006B4565" w:rsidRPr="001E5FA2" w:rsidRDefault="006B4565" w:rsidP="006B4565">
      <w:pPr>
        <w:spacing w:after="0" w:line="360" w:lineRule="auto"/>
        <w:ind w:left="851" w:right="618"/>
        <w:contextualSpacing/>
        <w:jc w:val="both"/>
        <w:rPr>
          <w:rFonts w:ascii="Palatino Linotype" w:hAnsi="Palatino Linotype" w:cs="Arial"/>
          <w:i/>
          <w:color w:val="000000"/>
        </w:rPr>
      </w:pPr>
      <w:r w:rsidRPr="001E5FA2">
        <w:rPr>
          <w:rFonts w:ascii="Palatino Linotype" w:hAnsi="Palatino Linotype" w:cs="Arial"/>
          <w:i/>
          <w:color w:val="000000"/>
        </w:rPr>
        <w:t>SEGUNDO TRIBUNAL COLEGIADO DEL SEXTO CIRCUITO.</w:t>
      </w:r>
    </w:p>
    <w:p w:rsidR="006B4565" w:rsidRPr="001E5FA2" w:rsidRDefault="006B4565" w:rsidP="006B4565">
      <w:pPr>
        <w:spacing w:after="0" w:line="360" w:lineRule="auto"/>
        <w:ind w:left="851" w:right="618"/>
        <w:contextualSpacing/>
        <w:jc w:val="both"/>
        <w:rPr>
          <w:rFonts w:ascii="Palatino Linotype" w:hAnsi="Palatino Linotype" w:cs="Arial"/>
          <w:i/>
          <w:color w:val="000000"/>
        </w:rPr>
      </w:pPr>
      <w:r w:rsidRPr="001E5FA2">
        <w:rPr>
          <w:rFonts w:ascii="Palatino Linotype" w:hAnsi="Palatino Linotype" w:cs="Arial"/>
          <w:i/>
          <w:color w:val="000000"/>
        </w:rPr>
        <w:t>Amparo directo 194/88. Bufete Industrial Construcciones, S.A. de C.V. 28 de junio de 1988. Unanimidad de votos. Ponente: Gustavo Calvillo Rangel. Secretario: Jorge Alberto González Álvarez.</w:t>
      </w:r>
    </w:p>
    <w:p w:rsidR="006B4565" w:rsidRPr="001E5FA2" w:rsidRDefault="006B4565" w:rsidP="006B4565">
      <w:pPr>
        <w:spacing w:after="0" w:line="360" w:lineRule="auto"/>
        <w:ind w:left="851" w:right="618"/>
        <w:contextualSpacing/>
        <w:jc w:val="both"/>
        <w:rPr>
          <w:rFonts w:ascii="Palatino Linotype" w:hAnsi="Palatino Linotype" w:cs="Arial"/>
          <w:i/>
          <w:color w:val="000000"/>
        </w:rPr>
      </w:pPr>
      <w:r w:rsidRPr="001E5FA2">
        <w:rPr>
          <w:rFonts w:ascii="Palatino Linotype" w:hAnsi="Palatino Linotype" w:cs="Arial"/>
          <w:i/>
          <w:color w:val="000000"/>
        </w:rPr>
        <w:lastRenderedPageBreak/>
        <w:t>Revisión fiscal 103/88. Instituto Mexicano del Seguro Social. 18 de octubre de 1988. Unanimidad de votos. Ponente: Arnoldo Nájera Virgen. Secretario: Alejandro Esponda Rincón.</w:t>
      </w:r>
    </w:p>
    <w:p w:rsidR="006B4565" w:rsidRPr="001E5FA2" w:rsidRDefault="006B4565" w:rsidP="006B4565">
      <w:pPr>
        <w:spacing w:after="0" w:line="360" w:lineRule="auto"/>
        <w:ind w:left="851" w:right="618"/>
        <w:contextualSpacing/>
        <w:jc w:val="both"/>
        <w:rPr>
          <w:rFonts w:ascii="Palatino Linotype" w:hAnsi="Palatino Linotype" w:cs="Arial"/>
          <w:i/>
          <w:color w:val="000000"/>
        </w:rPr>
      </w:pPr>
      <w:r w:rsidRPr="001E5FA2">
        <w:rPr>
          <w:rFonts w:ascii="Palatino Linotype" w:hAnsi="Palatino Linotype" w:cs="Arial"/>
          <w:i/>
          <w:color w:val="000000"/>
        </w:rPr>
        <w:t>Amparo en revisión 333/88. Adilia Romero. 26 de octubre de 1988. Unanimidad de votos. Ponente: Arnoldo Nájera Virgen. Secretario: Enrique Crispín Campos Ramírez.</w:t>
      </w:r>
    </w:p>
    <w:p w:rsidR="006B4565" w:rsidRPr="001E5FA2" w:rsidRDefault="006B4565" w:rsidP="006B4565">
      <w:pPr>
        <w:spacing w:after="0" w:line="360" w:lineRule="auto"/>
        <w:ind w:left="851" w:right="618"/>
        <w:contextualSpacing/>
        <w:jc w:val="both"/>
        <w:rPr>
          <w:rFonts w:ascii="Palatino Linotype" w:hAnsi="Palatino Linotype" w:cs="Arial"/>
          <w:i/>
          <w:color w:val="000000"/>
        </w:rPr>
      </w:pPr>
      <w:r w:rsidRPr="001E5FA2">
        <w:rPr>
          <w:rFonts w:ascii="Palatino Linotype" w:hAnsi="Palatino Linotype" w:cs="Arial"/>
          <w:i/>
          <w:color w:val="000000"/>
        </w:rPr>
        <w:t>Amparo en revisión 597/95. Emilio Maurer Bretón. 15 de noviembre de 1995. Unanimidad de votos. Ponente: Clementina Ramírez Moguel Goyzueta. Secretario: Gonzalo Carrera Molina.</w:t>
      </w:r>
    </w:p>
    <w:p w:rsidR="006B4565" w:rsidRPr="001E5FA2" w:rsidRDefault="006B4565" w:rsidP="006B4565">
      <w:pPr>
        <w:spacing w:after="0" w:line="360" w:lineRule="auto"/>
        <w:ind w:left="851" w:right="618"/>
        <w:contextualSpacing/>
        <w:jc w:val="both"/>
        <w:rPr>
          <w:rFonts w:ascii="Palatino Linotype" w:hAnsi="Palatino Linotype" w:cs="Arial"/>
          <w:i/>
          <w:color w:val="000000"/>
        </w:rPr>
      </w:pPr>
      <w:r w:rsidRPr="001E5FA2">
        <w:rPr>
          <w:rFonts w:ascii="Palatino Linotype" w:hAnsi="Palatino Linotype" w:cs="Arial"/>
          <w:i/>
          <w:color w:val="000000"/>
        </w:rPr>
        <w:t xml:space="preserve">Amparo directo 7/96. Pedro Vicente López Miro. 21 de febrero de 1996. Unanimidad de votos. Ponente: María Eugenia Estela Martínez Cardiel. Secretario: Enrique </w:t>
      </w:r>
      <w:proofErr w:type="spellStart"/>
      <w:r w:rsidRPr="001E5FA2">
        <w:rPr>
          <w:rFonts w:ascii="Palatino Linotype" w:hAnsi="Palatino Linotype" w:cs="Arial"/>
          <w:i/>
          <w:color w:val="000000"/>
        </w:rPr>
        <w:t>Baigts</w:t>
      </w:r>
      <w:proofErr w:type="spellEnd"/>
      <w:r w:rsidRPr="001E5FA2">
        <w:rPr>
          <w:rFonts w:ascii="Palatino Linotype" w:hAnsi="Palatino Linotype" w:cs="Arial"/>
          <w:i/>
          <w:color w:val="000000"/>
        </w:rPr>
        <w:t xml:space="preserve"> Muñoz.</w:t>
      </w:r>
    </w:p>
    <w:p w:rsidR="006B4565" w:rsidRPr="001E5FA2" w:rsidRDefault="006B4565" w:rsidP="006B4565">
      <w:pPr>
        <w:pStyle w:val="Prrafodelista"/>
        <w:numPr>
          <w:ilvl w:val="0"/>
          <w:numId w:val="12"/>
        </w:numPr>
        <w:tabs>
          <w:tab w:val="left" w:pos="142"/>
          <w:tab w:val="left" w:pos="284"/>
          <w:tab w:val="left" w:pos="426"/>
        </w:tabs>
        <w:spacing w:line="360" w:lineRule="auto"/>
        <w:ind w:left="0" w:firstLine="0"/>
        <w:jc w:val="both"/>
        <w:rPr>
          <w:rFonts w:ascii="Palatino Linotype" w:hAnsi="Palatino Linotype" w:cs="Arial"/>
          <w:sz w:val="24"/>
          <w:szCs w:val="24"/>
        </w:rPr>
      </w:pPr>
      <w:r w:rsidRPr="001E5FA2">
        <w:rPr>
          <w:rFonts w:ascii="Palatino Linotype" w:eastAsia="MS Gothic" w:hAnsi="Palatino Linotype" w:cs="Times New Roman"/>
          <w:sz w:val="24"/>
          <w:szCs w:val="24"/>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rsidR="006B4565" w:rsidRPr="001E5FA2" w:rsidRDefault="006B4565" w:rsidP="006B4565">
      <w:pPr>
        <w:pStyle w:val="Prrafodelista"/>
        <w:tabs>
          <w:tab w:val="left" w:pos="142"/>
          <w:tab w:val="left" w:pos="284"/>
          <w:tab w:val="left" w:pos="426"/>
        </w:tabs>
        <w:spacing w:line="360" w:lineRule="auto"/>
        <w:ind w:left="0"/>
        <w:jc w:val="both"/>
        <w:rPr>
          <w:rFonts w:ascii="Palatino Linotype" w:hAnsi="Palatino Linotype" w:cs="Arial"/>
          <w:sz w:val="24"/>
          <w:szCs w:val="24"/>
        </w:rPr>
      </w:pPr>
    </w:p>
    <w:p w:rsidR="006B4565" w:rsidRPr="001E5FA2" w:rsidRDefault="006B4565" w:rsidP="006B4565">
      <w:pPr>
        <w:pStyle w:val="Prrafodelista"/>
        <w:numPr>
          <w:ilvl w:val="0"/>
          <w:numId w:val="12"/>
        </w:numPr>
        <w:tabs>
          <w:tab w:val="left" w:pos="142"/>
          <w:tab w:val="left" w:pos="284"/>
          <w:tab w:val="left" w:pos="426"/>
        </w:tabs>
        <w:spacing w:line="360" w:lineRule="auto"/>
        <w:ind w:left="0" w:firstLine="0"/>
        <w:jc w:val="both"/>
        <w:rPr>
          <w:rFonts w:ascii="Palatino Linotype" w:hAnsi="Palatino Linotype" w:cs="Arial"/>
          <w:sz w:val="24"/>
          <w:szCs w:val="24"/>
        </w:rPr>
      </w:pPr>
      <w:r w:rsidRPr="001E5FA2">
        <w:rPr>
          <w:rFonts w:ascii="Palatino Linotype" w:eastAsia="MS Gothic" w:hAnsi="Palatino Linotype" w:cs="Times New Roman"/>
          <w:sz w:val="24"/>
          <w:szCs w:val="24"/>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rsidR="006B4565" w:rsidRPr="001E5FA2" w:rsidRDefault="006B4565" w:rsidP="006B4565">
      <w:pPr>
        <w:pStyle w:val="Prrafodelista"/>
        <w:tabs>
          <w:tab w:val="left" w:pos="142"/>
          <w:tab w:val="left" w:pos="284"/>
          <w:tab w:val="left" w:pos="426"/>
        </w:tabs>
        <w:spacing w:line="360" w:lineRule="auto"/>
        <w:ind w:left="0"/>
        <w:jc w:val="both"/>
        <w:rPr>
          <w:rFonts w:ascii="Palatino Linotype" w:hAnsi="Palatino Linotype" w:cs="Arial"/>
          <w:sz w:val="24"/>
          <w:szCs w:val="24"/>
        </w:rPr>
      </w:pPr>
    </w:p>
    <w:p w:rsidR="006B4565" w:rsidRPr="001E5FA2" w:rsidRDefault="006B4565" w:rsidP="006B4565">
      <w:pPr>
        <w:pStyle w:val="Prrafodelista"/>
        <w:numPr>
          <w:ilvl w:val="0"/>
          <w:numId w:val="12"/>
        </w:numPr>
        <w:tabs>
          <w:tab w:val="left" w:pos="142"/>
          <w:tab w:val="left" w:pos="284"/>
          <w:tab w:val="left" w:pos="426"/>
        </w:tabs>
        <w:spacing w:line="360" w:lineRule="auto"/>
        <w:ind w:left="0" w:firstLine="0"/>
        <w:jc w:val="both"/>
        <w:rPr>
          <w:rFonts w:ascii="Palatino Linotype" w:hAnsi="Palatino Linotype" w:cs="Arial"/>
          <w:sz w:val="24"/>
          <w:szCs w:val="24"/>
        </w:rPr>
      </w:pPr>
      <w:r w:rsidRPr="001E5FA2">
        <w:rPr>
          <w:rFonts w:ascii="Palatino Linotype" w:eastAsia="MS Gothic" w:hAnsi="Palatino Linotype" w:cs="Times New Roman"/>
          <w:sz w:val="24"/>
          <w:szCs w:val="24"/>
        </w:rPr>
        <w:t>En ese mismo sentido, el numeral trigésimo tercero fracción V de los Lineamientos Generales, precisa que para motivar la clasificación se deben acreditar las circunstancias de tiempo, modo y lugar.</w:t>
      </w:r>
    </w:p>
    <w:p w:rsidR="006B4565" w:rsidRPr="001E5FA2" w:rsidRDefault="006B4565" w:rsidP="006B4565">
      <w:pPr>
        <w:pStyle w:val="Prrafodelista"/>
        <w:tabs>
          <w:tab w:val="left" w:pos="142"/>
          <w:tab w:val="left" w:pos="284"/>
          <w:tab w:val="left" w:pos="426"/>
        </w:tabs>
        <w:spacing w:line="360" w:lineRule="auto"/>
        <w:ind w:left="0"/>
        <w:jc w:val="both"/>
        <w:rPr>
          <w:rFonts w:ascii="Palatino Linotype" w:hAnsi="Palatino Linotype" w:cs="Arial"/>
          <w:sz w:val="24"/>
          <w:szCs w:val="24"/>
        </w:rPr>
      </w:pPr>
    </w:p>
    <w:p w:rsidR="006B4565" w:rsidRPr="001E5FA2" w:rsidRDefault="006B4565" w:rsidP="006B4565">
      <w:pPr>
        <w:pStyle w:val="Prrafodelista"/>
        <w:numPr>
          <w:ilvl w:val="0"/>
          <w:numId w:val="12"/>
        </w:numPr>
        <w:tabs>
          <w:tab w:val="left" w:pos="142"/>
          <w:tab w:val="left" w:pos="284"/>
          <w:tab w:val="left" w:pos="426"/>
        </w:tabs>
        <w:spacing w:line="360" w:lineRule="auto"/>
        <w:ind w:left="0" w:firstLine="0"/>
        <w:jc w:val="both"/>
        <w:rPr>
          <w:rFonts w:ascii="Palatino Linotype" w:hAnsi="Palatino Linotype" w:cs="Arial"/>
          <w:sz w:val="24"/>
          <w:szCs w:val="24"/>
        </w:rPr>
      </w:pPr>
      <w:r w:rsidRPr="001E5FA2">
        <w:rPr>
          <w:rFonts w:ascii="Palatino Linotype" w:eastAsia="MS Gothic" w:hAnsi="Palatino Linotype" w:cs="Times New Roman"/>
          <w:sz w:val="24"/>
          <w:szCs w:val="24"/>
        </w:rPr>
        <w:t xml:space="preserve">Ahora bien, </w:t>
      </w:r>
      <w:r w:rsidRPr="001E5FA2">
        <w:rPr>
          <w:rFonts w:ascii="Palatino Linotype" w:eastAsia="MS Gothic" w:hAnsi="Palatino Linotype" w:cs="Times New Roman"/>
          <w:b/>
          <w:sz w:val="24"/>
          <w:szCs w:val="24"/>
          <w:u w:val="single"/>
        </w:rPr>
        <w:t>para cada caso además de fundar y motivar</w:t>
      </w:r>
      <w:r w:rsidRPr="001E5FA2">
        <w:rPr>
          <w:rFonts w:ascii="Palatino Linotype" w:eastAsia="MS Gothic" w:hAnsi="Palatino Linotype" w:cs="Times New Roman"/>
          <w:sz w:val="24"/>
          <w:szCs w:val="24"/>
        </w:rPr>
        <w:t>, se debe identificar con claridad que datos contenidos en las documentales que son susceptibles de suprimirse, por ejemplo, si una documental de naturaleza pública como lo es la nómina general, si bien el dato de sus remuneraciones es eminentemente público, no así todos los datos contenidos en dicho documento que son datos personales</w:t>
      </w:r>
      <w:r w:rsidRPr="001E5FA2">
        <w:rPr>
          <w:rFonts w:ascii="Palatino Linotype" w:eastAsia="MS Gothic" w:hAnsi="Palatino Linotype" w:cs="Times New Roman"/>
          <w:sz w:val="24"/>
          <w:szCs w:val="24"/>
          <w:vertAlign w:val="superscript"/>
        </w:rPr>
        <w:footnoteReference w:id="5"/>
      </w:r>
      <w:r w:rsidRPr="001E5FA2">
        <w:rPr>
          <w:rFonts w:ascii="Palatino Linotype" w:eastAsia="MS Gothic" w:hAnsi="Palatino Linotype" w:cs="Times New Roman"/>
          <w:sz w:val="24"/>
          <w:szCs w:val="24"/>
        </w:rPr>
        <w:t xml:space="preserve"> del servidor público que no tienen ninguna injerencia en el tema de la transparencia y la rendición de cuentas, por ejemplo, </w:t>
      </w:r>
      <w:r w:rsidRPr="001E5FA2">
        <w:rPr>
          <w:rFonts w:ascii="Palatino Linotype" w:eastAsia="MS Gothic" w:hAnsi="Palatino Linotype" w:cs="Times New Roman"/>
          <w:sz w:val="24"/>
          <w:szCs w:val="24"/>
          <w:lang w:val="es-ES"/>
        </w:rPr>
        <w:t>Clave Única de Registro de Población (CURP), Registro Federal de Contribuyentes (R.F.C.), clave de Cadenas Originales del Sellos Digitales y los Códigos Bidimensionales, también denominados Códigos QR, son datos  susceptibles de clasificarse como confidenciales mediante una versión pública que deje a la vista los datos que ofrezcan la información requerida.</w:t>
      </w:r>
    </w:p>
    <w:p w:rsidR="006B4565" w:rsidRPr="001E5FA2" w:rsidRDefault="006B4565" w:rsidP="006B4565">
      <w:pPr>
        <w:pStyle w:val="Prrafodelista"/>
        <w:tabs>
          <w:tab w:val="left" w:pos="142"/>
          <w:tab w:val="left" w:pos="284"/>
          <w:tab w:val="left" w:pos="426"/>
        </w:tabs>
        <w:spacing w:line="360" w:lineRule="auto"/>
        <w:ind w:left="0"/>
        <w:jc w:val="both"/>
        <w:rPr>
          <w:rFonts w:ascii="Palatino Linotype" w:hAnsi="Palatino Linotype" w:cs="Arial"/>
          <w:sz w:val="24"/>
          <w:szCs w:val="24"/>
        </w:rPr>
      </w:pPr>
    </w:p>
    <w:p w:rsidR="006B4565" w:rsidRPr="001E5FA2" w:rsidRDefault="006B4565" w:rsidP="006B4565">
      <w:pPr>
        <w:pStyle w:val="Prrafodelista"/>
        <w:numPr>
          <w:ilvl w:val="0"/>
          <w:numId w:val="12"/>
        </w:numPr>
        <w:tabs>
          <w:tab w:val="left" w:pos="142"/>
          <w:tab w:val="left" w:pos="284"/>
          <w:tab w:val="left" w:pos="426"/>
        </w:tabs>
        <w:spacing w:line="360" w:lineRule="auto"/>
        <w:ind w:left="0" w:firstLine="0"/>
        <w:jc w:val="both"/>
        <w:rPr>
          <w:rFonts w:ascii="Palatino Linotype" w:hAnsi="Palatino Linotype" w:cs="Arial"/>
          <w:sz w:val="24"/>
          <w:szCs w:val="24"/>
        </w:rPr>
      </w:pPr>
      <w:r w:rsidRPr="001E5FA2">
        <w:rPr>
          <w:rFonts w:ascii="Palatino Linotype" w:eastAsia="MS Gothic" w:hAnsi="Palatino Linotype" w:cs="Times New Roman"/>
          <w:sz w:val="24"/>
          <w:szCs w:val="24"/>
        </w:rPr>
        <w:t xml:space="preserve">Otro </w:t>
      </w:r>
      <w:r w:rsidRPr="001E5FA2">
        <w:rPr>
          <w:rFonts w:ascii="Palatino Linotype" w:eastAsia="MS Gothic" w:hAnsi="Palatino Linotype" w:cs="Times New Roman"/>
          <w:sz w:val="24"/>
          <w:szCs w:val="24"/>
          <w:lang w:val="es-ES"/>
        </w:rPr>
        <w:t>tipo de información confidencial constituyen los secretos bancario, fiduciario, industrial, comercial, fiscal, bursátil y postal, cuya titularidad corresponda a particulares, sujetos de derecho internacional o a sujetos obligados cuando no involucren el ejercicio de recursos públicos, así lo define la fracción XXI del artículo 3 de la Ley Estatal.</w:t>
      </w:r>
    </w:p>
    <w:p w:rsidR="006B4565" w:rsidRPr="001E5FA2" w:rsidRDefault="006B4565" w:rsidP="006B4565">
      <w:pPr>
        <w:spacing w:after="0" w:line="360" w:lineRule="auto"/>
        <w:ind w:right="48"/>
        <w:contextualSpacing/>
        <w:jc w:val="both"/>
        <w:rPr>
          <w:rFonts w:ascii="Palatino Linotype" w:eastAsia="MS Mincho" w:hAnsi="Palatino Linotype" w:cs="Times New Roman"/>
          <w:sz w:val="24"/>
          <w:szCs w:val="24"/>
          <w:lang w:val="es-ES_tradnl" w:eastAsia="es-ES"/>
        </w:rPr>
      </w:pPr>
    </w:p>
    <w:p w:rsidR="00F14810" w:rsidRPr="001E5FA2" w:rsidRDefault="006B4565" w:rsidP="00F14810">
      <w:pPr>
        <w:pStyle w:val="Ttulo1"/>
        <w:spacing w:before="0" w:after="160"/>
        <w:rPr>
          <w:rFonts w:ascii="Palatino Linotype" w:hAnsi="Palatino Linotype"/>
          <w:b/>
          <w:color w:val="auto"/>
          <w:sz w:val="24"/>
          <w:szCs w:val="24"/>
        </w:rPr>
      </w:pPr>
      <w:bookmarkStart w:id="53" w:name="_Toc65170173"/>
      <w:bookmarkStart w:id="54" w:name="_Toc67584838"/>
      <w:r w:rsidRPr="001E5FA2">
        <w:rPr>
          <w:rFonts w:ascii="Palatino Linotype" w:hAnsi="Palatino Linotype" w:cs="Times New Roman"/>
          <w:b/>
          <w:color w:val="auto"/>
          <w:sz w:val="24"/>
          <w:szCs w:val="24"/>
          <w:lang w:eastAsia="es-ES_tradnl"/>
        </w:rPr>
        <w:t>SÉPTIMO</w:t>
      </w:r>
      <w:r w:rsidR="00F14810" w:rsidRPr="001E5FA2">
        <w:rPr>
          <w:rFonts w:ascii="Palatino Linotype" w:hAnsi="Palatino Linotype" w:cs="Times New Roman"/>
          <w:b/>
          <w:color w:val="auto"/>
          <w:sz w:val="24"/>
          <w:szCs w:val="24"/>
          <w:lang w:eastAsia="es-ES_tradnl"/>
        </w:rPr>
        <w:t xml:space="preserve">. </w:t>
      </w:r>
      <w:r w:rsidR="00F14810" w:rsidRPr="001E5FA2">
        <w:rPr>
          <w:rFonts w:ascii="Palatino Linotype" w:hAnsi="Palatino Linotype"/>
          <w:b/>
          <w:color w:val="auto"/>
          <w:sz w:val="24"/>
          <w:szCs w:val="24"/>
        </w:rPr>
        <w:t xml:space="preserve"> De la </w:t>
      </w:r>
      <w:bookmarkEnd w:id="53"/>
      <w:r w:rsidR="00691160" w:rsidRPr="001E5FA2">
        <w:rPr>
          <w:rFonts w:ascii="Palatino Linotype" w:hAnsi="Palatino Linotype"/>
          <w:b/>
          <w:color w:val="auto"/>
          <w:sz w:val="24"/>
          <w:szCs w:val="24"/>
        </w:rPr>
        <w:t>decisión</w:t>
      </w:r>
      <w:bookmarkEnd w:id="54"/>
      <w:r w:rsidR="00691160" w:rsidRPr="001E5FA2">
        <w:rPr>
          <w:rFonts w:ascii="Palatino Linotype" w:hAnsi="Palatino Linotype"/>
          <w:b/>
          <w:color w:val="auto"/>
          <w:sz w:val="24"/>
          <w:szCs w:val="24"/>
        </w:rPr>
        <w:t xml:space="preserve"> </w:t>
      </w:r>
      <w:r w:rsidR="00F14810" w:rsidRPr="001E5FA2">
        <w:rPr>
          <w:rFonts w:ascii="Palatino Linotype" w:hAnsi="Palatino Linotype"/>
          <w:b/>
          <w:color w:val="auto"/>
          <w:sz w:val="24"/>
          <w:szCs w:val="24"/>
        </w:rPr>
        <w:t xml:space="preserve"> </w:t>
      </w:r>
    </w:p>
    <w:p w:rsidR="00141365" w:rsidRPr="001E5FA2" w:rsidRDefault="00141365" w:rsidP="00141365"/>
    <w:p w:rsidR="00F14810" w:rsidRPr="001E5FA2" w:rsidRDefault="00141365" w:rsidP="00141365">
      <w:pPr>
        <w:pStyle w:val="Prrafodelista"/>
        <w:numPr>
          <w:ilvl w:val="0"/>
          <w:numId w:val="1"/>
        </w:numPr>
        <w:tabs>
          <w:tab w:val="left" w:pos="426"/>
        </w:tabs>
        <w:spacing w:line="360" w:lineRule="auto"/>
        <w:ind w:left="0" w:firstLine="0"/>
        <w:jc w:val="both"/>
        <w:rPr>
          <w:rFonts w:ascii="Palatino Linotype" w:eastAsia="MS Mincho" w:hAnsi="Palatino Linotype" w:cs="Arial"/>
          <w:color w:val="000000" w:themeColor="text1"/>
          <w:sz w:val="24"/>
          <w:szCs w:val="24"/>
        </w:rPr>
      </w:pPr>
      <w:r w:rsidRPr="001E5FA2">
        <w:rPr>
          <w:rFonts w:ascii="Palatino Linotype" w:eastAsia="MS Mincho" w:hAnsi="Palatino Linotype" w:cs="Arial"/>
          <w:color w:val="000000" w:themeColor="text1"/>
          <w:sz w:val="24"/>
          <w:szCs w:val="24"/>
        </w:rPr>
        <w:lastRenderedPageBreak/>
        <w:t xml:space="preserve">Derivado del estudio, se advierte que la solicitud de información no se turnó a todas las áreas correspondientes y que derivado de las facultades del </w:t>
      </w:r>
      <w:r w:rsidRPr="001E5FA2">
        <w:rPr>
          <w:rFonts w:ascii="Palatino Linotype" w:eastAsia="MS Mincho" w:hAnsi="Palatino Linotype" w:cs="Arial"/>
          <w:b/>
          <w:color w:val="000000" w:themeColor="text1"/>
          <w:sz w:val="24"/>
          <w:szCs w:val="24"/>
        </w:rPr>
        <w:t>SUJETO OBLIGADO</w:t>
      </w:r>
      <w:r w:rsidRPr="001E5FA2">
        <w:rPr>
          <w:rFonts w:ascii="Palatino Linotype" w:eastAsia="MS Mincho" w:hAnsi="Palatino Linotype" w:cs="Arial"/>
          <w:color w:val="000000" w:themeColor="text1"/>
          <w:sz w:val="24"/>
          <w:szCs w:val="24"/>
        </w:rPr>
        <w:t xml:space="preserve">, es información que genera, posee o administra. </w:t>
      </w:r>
    </w:p>
    <w:p w:rsidR="00141365" w:rsidRPr="001E5FA2" w:rsidRDefault="00141365" w:rsidP="00141365">
      <w:pPr>
        <w:pStyle w:val="Prrafodelista"/>
        <w:tabs>
          <w:tab w:val="left" w:pos="426"/>
        </w:tabs>
        <w:spacing w:line="360" w:lineRule="auto"/>
        <w:ind w:left="0"/>
        <w:jc w:val="both"/>
        <w:rPr>
          <w:rFonts w:ascii="Palatino Linotype" w:eastAsia="MS Mincho" w:hAnsi="Palatino Linotype" w:cs="Arial"/>
          <w:color w:val="000000" w:themeColor="text1"/>
          <w:sz w:val="24"/>
          <w:szCs w:val="24"/>
        </w:rPr>
      </w:pPr>
    </w:p>
    <w:p w:rsidR="0038161C" w:rsidRPr="001E5FA2" w:rsidRDefault="00141365" w:rsidP="0038161C">
      <w:pPr>
        <w:pStyle w:val="Prrafodelista"/>
        <w:numPr>
          <w:ilvl w:val="0"/>
          <w:numId w:val="1"/>
        </w:numPr>
        <w:shd w:val="clear" w:color="auto" w:fill="FFFFFF"/>
        <w:tabs>
          <w:tab w:val="left" w:pos="426"/>
        </w:tabs>
        <w:spacing w:after="0" w:line="360" w:lineRule="auto"/>
        <w:ind w:left="0" w:firstLine="0"/>
        <w:jc w:val="both"/>
        <w:rPr>
          <w:rFonts w:ascii="Palatino Linotype" w:hAnsi="Palatino Linotype" w:cs="Arial"/>
          <w:b/>
          <w:bCs/>
          <w:sz w:val="24"/>
        </w:rPr>
      </w:pPr>
      <w:r w:rsidRPr="001E5FA2">
        <w:rPr>
          <w:rFonts w:ascii="Palatino Linotype" w:hAnsi="Palatino Linotype" w:cs="Arial"/>
          <w:sz w:val="24"/>
        </w:rPr>
        <w:t xml:space="preserve">Por lo que, una vez analizada la información remitida por el sujeto Obligado en respuesta, se concluye que las razones y motivos de inconformidad resultan fundados, por lo que este Órgano Garante de conformidad con el artículo 186, fracción III, determina </w:t>
      </w:r>
      <w:r w:rsidRPr="001E5FA2">
        <w:rPr>
          <w:rFonts w:ascii="Palatino Linotype" w:hAnsi="Palatino Linotype" w:cs="Arial"/>
          <w:b/>
          <w:sz w:val="24"/>
        </w:rPr>
        <w:t>REVOCAR</w:t>
      </w:r>
      <w:r w:rsidRPr="001E5FA2">
        <w:rPr>
          <w:rFonts w:ascii="Palatino Linotype" w:hAnsi="Palatino Linotype" w:cs="Arial"/>
          <w:sz w:val="24"/>
        </w:rPr>
        <w:t xml:space="preserve"> la respuesta del </w:t>
      </w:r>
      <w:r w:rsidRPr="001E5FA2">
        <w:rPr>
          <w:rFonts w:ascii="Palatino Linotype" w:hAnsi="Palatino Linotype" w:cs="Arial"/>
          <w:b/>
          <w:sz w:val="24"/>
        </w:rPr>
        <w:t>SUJETO OBLIGADO</w:t>
      </w:r>
      <w:r w:rsidRPr="001E5FA2">
        <w:rPr>
          <w:rFonts w:ascii="Palatino Linotype" w:hAnsi="Palatino Linotype" w:cs="Arial"/>
          <w:sz w:val="24"/>
        </w:rPr>
        <w:t xml:space="preserve"> y </w:t>
      </w:r>
      <w:r w:rsidRPr="001E5FA2">
        <w:rPr>
          <w:rFonts w:ascii="Palatino Linotype" w:hAnsi="Palatino Linotype" w:cs="Arial"/>
          <w:b/>
          <w:sz w:val="24"/>
        </w:rPr>
        <w:t>ORDENA</w:t>
      </w:r>
      <w:r w:rsidRPr="001E5FA2">
        <w:rPr>
          <w:rFonts w:ascii="Palatino Linotype" w:hAnsi="Palatino Linotype" w:cs="Arial"/>
          <w:sz w:val="24"/>
        </w:rPr>
        <w:t xml:space="preserve"> </w:t>
      </w:r>
      <w:r w:rsidR="006F53C6" w:rsidRPr="001E5FA2">
        <w:rPr>
          <w:rFonts w:ascii="Palatino Linotype" w:hAnsi="Palatino Linotype" w:cs="Arial"/>
          <w:sz w:val="24"/>
        </w:rPr>
        <w:t xml:space="preserve">entregar del Panteón de Santa María </w:t>
      </w:r>
      <w:proofErr w:type="spellStart"/>
      <w:r w:rsidR="006F53C6" w:rsidRPr="001E5FA2">
        <w:rPr>
          <w:rFonts w:ascii="Palatino Linotype" w:hAnsi="Palatino Linotype" w:cs="Arial"/>
          <w:sz w:val="24"/>
        </w:rPr>
        <w:t>Chiconaultla</w:t>
      </w:r>
      <w:proofErr w:type="spellEnd"/>
      <w:r w:rsidR="006F53C6" w:rsidRPr="001E5FA2">
        <w:rPr>
          <w:rFonts w:ascii="Palatino Linotype" w:hAnsi="Palatino Linotype" w:cs="Arial"/>
          <w:sz w:val="24"/>
        </w:rPr>
        <w:t xml:space="preserve"> </w:t>
      </w:r>
      <w:r w:rsidR="0038161C" w:rsidRPr="001E5FA2">
        <w:rPr>
          <w:rFonts w:ascii="Palatino Linotype" w:hAnsi="Palatino Linotype" w:cs="Arial"/>
          <w:sz w:val="24"/>
        </w:rPr>
        <w:t>los ingresos durante el ejercicio fiscal dos mil veinte;</w:t>
      </w:r>
      <w:r w:rsidR="0038161C" w:rsidRPr="001E5FA2">
        <w:rPr>
          <w:rFonts w:ascii="Palatino Linotype" w:hAnsi="Palatino Linotype" w:cs="Arial"/>
          <w:bCs/>
          <w:sz w:val="24"/>
        </w:rPr>
        <w:t xml:space="preserve"> d</w:t>
      </w:r>
      <w:r w:rsidR="0038161C" w:rsidRPr="001E5FA2">
        <w:rPr>
          <w:rFonts w:ascii="Palatino Linotype" w:hAnsi="Palatino Linotype" w:cs="Arial"/>
          <w:sz w:val="24"/>
        </w:rPr>
        <w:t>ocumento o documento donde conste quien es el encargado de  administrar los ingresos;</w:t>
      </w:r>
      <w:r w:rsidR="0038161C" w:rsidRPr="001E5FA2">
        <w:rPr>
          <w:rFonts w:ascii="Palatino Linotype" w:hAnsi="Palatino Linotype" w:cs="Arial"/>
          <w:bCs/>
          <w:sz w:val="24"/>
        </w:rPr>
        <w:t xml:space="preserve"> c</w:t>
      </w:r>
      <w:r w:rsidR="0038161C" w:rsidRPr="001E5FA2">
        <w:rPr>
          <w:rFonts w:ascii="Palatino Linotype" w:hAnsi="Palatino Linotype" w:cs="Arial"/>
          <w:sz w:val="24"/>
        </w:rPr>
        <w:t>oncepto de los ingresos y su fundamento legal;</w:t>
      </w:r>
      <w:r w:rsidR="0038161C" w:rsidRPr="001E5FA2">
        <w:rPr>
          <w:rFonts w:ascii="Palatino Linotype" w:hAnsi="Palatino Linotype" w:cs="Arial"/>
          <w:bCs/>
          <w:sz w:val="24"/>
        </w:rPr>
        <w:t xml:space="preserve"> d</w:t>
      </w:r>
      <w:r w:rsidR="0038161C" w:rsidRPr="001E5FA2">
        <w:rPr>
          <w:rFonts w:ascii="Palatino Linotype" w:hAnsi="Palatino Linotype" w:cs="Arial"/>
          <w:sz w:val="24"/>
        </w:rPr>
        <w:t>ocumento o documentos donde conste la facultad de la delegación para el cobro por concepto de los servicios de panteón y su fundamento legal; y</w:t>
      </w:r>
      <w:r w:rsidR="0038161C" w:rsidRPr="001E5FA2">
        <w:rPr>
          <w:rFonts w:ascii="Palatino Linotype" w:hAnsi="Palatino Linotype" w:cs="Arial"/>
          <w:bCs/>
          <w:sz w:val="24"/>
        </w:rPr>
        <w:t xml:space="preserve"> documento o documentos donde conste el destino de los ingresos por concepto de servicios de panteón.</w:t>
      </w:r>
    </w:p>
    <w:p w:rsidR="00141365" w:rsidRPr="001E5FA2" w:rsidRDefault="00141365" w:rsidP="00141365">
      <w:pPr>
        <w:pStyle w:val="Prrafodelista"/>
        <w:tabs>
          <w:tab w:val="left" w:pos="426"/>
        </w:tabs>
        <w:spacing w:line="360" w:lineRule="auto"/>
        <w:ind w:left="0"/>
        <w:jc w:val="both"/>
        <w:rPr>
          <w:rFonts w:ascii="Palatino Linotype" w:eastAsia="MS Mincho" w:hAnsi="Palatino Linotype" w:cs="Arial"/>
          <w:color w:val="000000" w:themeColor="text1"/>
          <w:sz w:val="24"/>
          <w:szCs w:val="24"/>
        </w:rPr>
      </w:pPr>
    </w:p>
    <w:p w:rsidR="00F14810" w:rsidRPr="001E5FA2" w:rsidRDefault="00F14810" w:rsidP="00F14810">
      <w:pPr>
        <w:pStyle w:val="Prrafodelista"/>
        <w:numPr>
          <w:ilvl w:val="0"/>
          <w:numId w:val="1"/>
        </w:numPr>
        <w:spacing w:after="0" w:line="360" w:lineRule="auto"/>
        <w:ind w:left="0" w:right="48" w:firstLine="0"/>
        <w:jc w:val="both"/>
        <w:rPr>
          <w:rFonts w:ascii="Palatino Linotype" w:hAnsi="Palatino Linotype"/>
          <w:b/>
          <w:iCs/>
          <w:color w:val="000000"/>
          <w:sz w:val="24"/>
          <w:szCs w:val="24"/>
        </w:rPr>
      </w:pPr>
      <w:r w:rsidRPr="001E5FA2">
        <w:rPr>
          <w:rFonts w:ascii="Palatino Linotype" w:eastAsia="MS Mincho" w:hAnsi="Palatino Linotype" w:cstheme="majorBidi"/>
          <w:sz w:val="24"/>
          <w:szCs w:val="24"/>
        </w:rPr>
        <w:t xml:space="preserve">Por lo anteriormente expuesto y fundado este </w:t>
      </w:r>
      <w:r w:rsidRPr="001E5FA2">
        <w:rPr>
          <w:rFonts w:ascii="Palatino Linotype" w:eastAsia="MS Mincho" w:hAnsi="Palatino Linotype" w:cstheme="majorBidi"/>
          <w:b/>
          <w:sz w:val="24"/>
          <w:szCs w:val="24"/>
        </w:rPr>
        <w:t>ÓRGANO GARANTE</w:t>
      </w:r>
      <w:r w:rsidRPr="001E5FA2">
        <w:rPr>
          <w:rFonts w:ascii="Palatino Linotype" w:eastAsia="MS Mincho" w:hAnsi="Palatino Linotype" w:cstheme="majorBidi"/>
          <w:sz w:val="24"/>
          <w:szCs w:val="24"/>
        </w:rPr>
        <w:t xml:space="preserve"> emite los siguientes.</w:t>
      </w:r>
    </w:p>
    <w:p w:rsidR="00F14810" w:rsidRPr="001E5FA2" w:rsidRDefault="00F14810" w:rsidP="00F14810">
      <w:pPr>
        <w:pStyle w:val="Prrafodelista"/>
        <w:rPr>
          <w:rFonts w:ascii="Palatino Linotype" w:hAnsi="Palatino Linotype"/>
          <w:b/>
          <w:iCs/>
          <w:color w:val="000000"/>
          <w:sz w:val="24"/>
          <w:szCs w:val="24"/>
        </w:rPr>
      </w:pPr>
    </w:p>
    <w:p w:rsidR="00F14810" w:rsidRPr="001E5FA2" w:rsidRDefault="00F14810" w:rsidP="00F14810">
      <w:pPr>
        <w:pStyle w:val="Prrafodelista"/>
        <w:spacing w:after="0" w:line="360" w:lineRule="auto"/>
        <w:ind w:left="0" w:right="48"/>
        <w:jc w:val="both"/>
        <w:rPr>
          <w:rFonts w:ascii="Palatino Linotype" w:hAnsi="Palatino Linotype"/>
          <w:b/>
          <w:iCs/>
          <w:color w:val="000000"/>
          <w:sz w:val="24"/>
          <w:szCs w:val="24"/>
        </w:rPr>
      </w:pPr>
    </w:p>
    <w:p w:rsidR="00F14810" w:rsidRPr="001E5FA2" w:rsidRDefault="00F14810" w:rsidP="00F14810">
      <w:pPr>
        <w:pStyle w:val="Ttulo2"/>
        <w:spacing w:before="0"/>
        <w:ind w:right="48"/>
        <w:rPr>
          <w:rFonts w:ascii="Palatino Linotype" w:eastAsia="MS Mincho" w:hAnsi="Palatino Linotype" w:cs="Arial"/>
          <w:i/>
        </w:rPr>
      </w:pPr>
    </w:p>
    <w:p w:rsidR="00F14810" w:rsidRPr="001E5FA2" w:rsidRDefault="00F14810" w:rsidP="00F14810">
      <w:pPr>
        <w:keepNext/>
        <w:keepLines/>
        <w:spacing w:after="0" w:line="360" w:lineRule="auto"/>
        <w:ind w:right="48"/>
        <w:jc w:val="center"/>
        <w:outlineLvl w:val="0"/>
        <w:rPr>
          <w:rFonts w:ascii="Palatino Linotype" w:eastAsia="Times New Roman" w:hAnsi="Palatino Linotype" w:cstheme="majorBidi"/>
          <w:b/>
          <w:sz w:val="24"/>
          <w:szCs w:val="24"/>
          <w:lang w:val="es-ES_tradnl" w:eastAsia="es-ES"/>
        </w:rPr>
      </w:pPr>
      <w:bookmarkStart w:id="55" w:name="_Toc67584839"/>
      <w:r w:rsidRPr="001E5FA2">
        <w:rPr>
          <w:rFonts w:ascii="Palatino Linotype" w:eastAsia="Times New Roman" w:hAnsi="Palatino Linotype" w:cstheme="majorBidi"/>
          <w:b/>
          <w:sz w:val="24"/>
          <w:szCs w:val="24"/>
          <w:lang w:val="es-ES_tradnl" w:eastAsia="es-ES"/>
        </w:rPr>
        <w:t>R E S O L U T I V O S</w:t>
      </w:r>
      <w:bookmarkEnd w:id="28"/>
      <w:bookmarkEnd w:id="55"/>
    </w:p>
    <w:p w:rsidR="00F14810" w:rsidRPr="001E5FA2" w:rsidRDefault="00F14810" w:rsidP="00F14810">
      <w:pPr>
        <w:keepNext/>
        <w:keepLines/>
        <w:spacing w:after="0" w:line="360" w:lineRule="auto"/>
        <w:ind w:right="48"/>
        <w:jc w:val="center"/>
        <w:outlineLvl w:val="0"/>
        <w:rPr>
          <w:rFonts w:ascii="Palatino Linotype" w:eastAsia="Times New Roman" w:hAnsi="Palatino Linotype" w:cstheme="majorBidi"/>
          <w:b/>
          <w:sz w:val="28"/>
          <w:szCs w:val="24"/>
          <w:lang w:val="es-ES_tradnl" w:eastAsia="es-ES"/>
        </w:rPr>
      </w:pPr>
    </w:p>
    <w:p w:rsidR="00F14810" w:rsidRPr="001E5FA2" w:rsidRDefault="00F14810" w:rsidP="00F14810">
      <w:pPr>
        <w:spacing w:after="0" w:line="360" w:lineRule="auto"/>
        <w:ind w:right="48"/>
        <w:jc w:val="both"/>
        <w:rPr>
          <w:rFonts w:ascii="Palatino Linotype" w:hAnsi="Palatino Linotype" w:cs="Arial"/>
          <w:bCs/>
          <w:sz w:val="24"/>
        </w:rPr>
      </w:pPr>
      <w:r w:rsidRPr="001E5FA2">
        <w:rPr>
          <w:rFonts w:ascii="Palatino Linotype" w:eastAsia="Times New Roman" w:hAnsi="Palatino Linotype" w:cs="Arial"/>
          <w:b/>
          <w:sz w:val="24"/>
        </w:rPr>
        <w:t xml:space="preserve">PRIMERO. </w:t>
      </w:r>
      <w:r w:rsidRPr="001E5FA2">
        <w:rPr>
          <w:rFonts w:ascii="Palatino Linotype" w:eastAsia="Times New Roman" w:hAnsi="Palatino Linotype" w:cs="Arial"/>
          <w:sz w:val="24"/>
        </w:rPr>
        <w:t>Resultan  fundadas las</w:t>
      </w:r>
      <w:r w:rsidRPr="001E5FA2">
        <w:rPr>
          <w:rFonts w:ascii="Palatino Linotype" w:eastAsia="Times New Roman" w:hAnsi="Palatino Linotype" w:cs="Arial"/>
          <w:b/>
          <w:sz w:val="24"/>
        </w:rPr>
        <w:t xml:space="preserve"> </w:t>
      </w:r>
      <w:r w:rsidRPr="001E5FA2">
        <w:rPr>
          <w:rFonts w:ascii="Palatino Linotype" w:eastAsia="Times New Roman" w:hAnsi="Palatino Linotype" w:cs="Arial"/>
          <w:sz w:val="24"/>
          <w:lang w:val="es-ES"/>
        </w:rPr>
        <w:t xml:space="preserve">razones o motivos de inconformidad hechos valer </w:t>
      </w:r>
      <w:r w:rsidRPr="001E5FA2">
        <w:rPr>
          <w:rFonts w:ascii="Palatino Linotype" w:eastAsia="Calibri" w:hAnsi="Palatino Linotype" w:cs="Arial"/>
          <w:sz w:val="24"/>
          <w:lang w:val="es-ES"/>
        </w:rPr>
        <w:t xml:space="preserve">en el recurso de revisión </w:t>
      </w:r>
      <w:r w:rsidR="00F65ADA" w:rsidRPr="001E5FA2">
        <w:rPr>
          <w:rFonts w:ascii="Palatino Linotype" w:hAnsi="Palatino Linotype" w:cs="Arial"/>
          <w:b/>
          <w:bCs/>
          <w:sz w:val="24"/>
        </w:rPr>
        <w:t>00803</w:t>
      </w:r>
      <w:r w:rsidRPr="001E5FA2">
        <w:rPr>
          <w:rFonts w:ascii="Palatino Linotype" w:hAnsi="Palatino Linotype" w:cs="Arial"/>
          <w:b/>
          <w:bCs/>
          <w:sz w:val="24"/>
        </w:rPr>
        <w:t xml:space="preserve">/INFOEM/IP/RR/2021, </w:t>
      </w:r>
      <w:r w:rsidRPr="001E5FA2">
        <w:rPr>
          <w:rFonts w:ascii="Palatino Linotype" w:hAnsi="Palatino Linotype" w:cs="Arial"/>
          <w:bCs/>
          <w:sz w:val="24"/>
        </w:rPr>
        <w:t xml:space="preserve">en términos del </w:t>
      </w:r>
      <w:r w:rsidRPr="001E5FA2">
        <w:rPr>
          <w:rFonts w:ascii="Palatino Linotype" w:hAnsi="Palatino Linotype" w:cs="Arial"/>
          <w:b/>
          <w:bCs/>
          <w:sz w:val="24"/>
        </w:rPr>
        <w:t>Considerando</w:t>
      </w:r>
      <w:r w:rsidRPr="001E5FA2">
        <w:rPr>
          <w:rFonts w:ascii="Palatino Linotype" w:hAnsi="Palatino Linotype" w:cs="Arial"/>
          <w:bCs/>
          <w:sz w:val="24"/>
        </w:rPr>
        <w:t xml:space="preserve"> </w:t>
      </w:r>
      <w:r w:rsidR="006B4565" w:rsidRPr="001E5FA2">
        <w:rPr>
          <w:rFonts w:ascii="Palatino Linotype" w:hAnsi="Palatino Linotype" w:cs="Arial"/>
          <w:b/>
          <w:bCs/>
          <w:sz w:val="24"/>
        </w:rPr>
        <w:t xml:space="preserve">QUINTO </w:t>
      </w:r>
      <w:r w:rsidRPr="001E5FA2">
        <w:rPr>
          <w:rFonts w:ascii="Palatino Linotype" w:hAnsi="Palatino Linotype" w:cs="Arial"/>
          <w:b/>
          <w:bCs/>
          <w:sz w:val="24"/>
        </w:rPr>
        <w:t xml:space="preserve"> </w:t>
      </w:r>
      <w:r w:rsidRPr="001E5FA2">
        <w:rPr>
          <w:rFonts w:ascii="Palatino Linotype" w:hAnsi="Palatino Linotype" w:cs="Arial"/>
          <w:bCs/>
          <w:sz w:val="24"/>
        </w:rPr>
        <w:t>de la presente resolución.</w:t>
      </w:r>
    </w:p>
    <w:p w:rsidR="00F14810" w:rsidRPr="001E5FA2" w:rsidRDefault="00F14810" w:rsidP="00F14810">
      <w:pPr>
        <w:spacing w:after="0" w:line="360" w:lineRule="auto"/>
        <w:ind w:right="48"/>
        <w:jc w:val="both"/>
        <w:rPr>
          <w:rFonts w:ascii="Palatino Linotype" w:hAnsi="Palatino Linotype" w:cs="Arial"/>
          <w:bCs/>
          <w:sz w:val="24"/>
        </w:rPr>
      </w:pPr>
    </w:p>
    <w:p w:rsidR="00F14810" w:rsidRPr="001E5FA2" w:rsidRDefault="00F14810" w:rsidP="00F14810">
      <w:pPr>
        <w:spacing w:after="0" w:line="360" w:lineRule="auto"/>
        <w:ind w:right="48"/>
        <w:jc w:val="both"/>
        <w:rPr>
          <w:rFonts w:ascii="Palatino Linotype" w:hAnsi="Palatino Linotype" w:cs="Arial"/>
          <w:bCs/>
          <w:sz w:val="24"/>
        </w:rPr>
      </w:pPr>
      <w:bookmarkStart w:id="56" w:name="_Toc477891768"/>
      <w:bookmarkStart w:id="57" w:name="_Toc477891858"/>
      <w:bookmarkStart w:id="58" w:name="_Toc481576259"/>
      <w:bookmarkStart w:id="59" w:name="_Toc492590391"/>
      <w:bookmarkStart w:id="60" w:name="_Toc462653937"/>
      <w:bookmarkStart w:id="61" w:name="_Toc453696502"/>
      <w:bookmarkStart w:id="62" w:name="_Toc454301155"/>
      <w:r w:rsidRPr="001E5FA2">
        <w:rPr>
          <w:rFonts w:ascii="Palatino Linotype" w:hAnsi="Palatino Linotype"/>
          <w:b/>
          <w:sz w:val="24"/>
        </w:rPr>
        <w:t>SEGUNDO.</w:t>
      </w:r>
      <w:r w:rsidRPr="001E5FA2">
        <w:rPr>
          <w:rStyle w:val="Ttulo2Car"/>
          <w:sz w:val="28"/>
        </w:rPr>
        <w:t xml:space="preserve"> </w:t>
      </w:r>
      <w:bookmarkEnd w:id="56"/>
      <w:bookmarkEnd w:id="57"/>
      <w:bookmarkEnd w:id="58"/>
      <w:bookmarkEnd w:id="59"/>
      <w:bookmarkEnd w:id="60"/>
      <w:bookmarkEnd w:id="61"/>
      <w:bookmarkEnd w:id="62"/>
      <w:r w:rsidRPr="001E5FA2">
        <w:rPr>
          <w:rFonts w:ascii="Palatino Linotype" w:eastAsia="Calibri" w:hAnsi="Palatino Linotype" w:cs="Arial"/>
          <w:sz w:val="24"/>
          <w:lang w:val="es-ES"/>
        </w:rPr>
        <w:t>Se</w:t>
      </w:r>
      <w:r w:rsidRPr="001E5FA2">
        <w:rPr>
          <w:rFonts w:ascii="Palatino Linotype" w:eastAsia="Calibri" w:hAnsi="Palatino Linotype" w:cs="Arial"/>
          <w:b/>
          <w:sz w:val="24"/>
          <w:lang w:val="es-ES"/>
        </w:rPr>
        <w:t xml:space="preserve"> REVOCA </w:t>
      </w:r>
      <w:r w:rsidRPr="001E5FA2">
        <w:rPr>
          <w:rFonts w:ascii="Palatino Linotype" w:eastAsia="Calibri" w:hAnsi="Palatino Linotype" w:cs="Arial"/>
          <w:sz w:val="24"/>
          <w:lang w:val="es-ES"/>
        </w:rPr>
        <w:t xml:space="preserve">la respuesta emitida por el </w:t>
      </w:r>
      <w:r w:rsidR="00F65ADA" w:rsidRPr="001E5FA2">
        <w:rPr>
          <w:rFonts w:ascii="Palatino Linotype" w:hAnsi="Palatino Linotype" w:cs="Arial"/>
          <w:b/>
          <w:sz w:val="24"/>
        </w:rPr>
        <w:t>Ayuntamiento de Ecatepec de Morelos</w:t>
      </w:r>
      <w:r w:rsidRPr="001E5FA2">
        <w:rPr>
          <w:rFonts w:ascii="Palatino Linotype" w:hAnsi="Palatino Linotype" w:cs="Arial"/>
          <w:b/>
          <w:sz w:val="24"/>
        </w:rPr>
        <w:t xml:space="preserve"> </w:t>
      </w:r>
      <w:r w:rsidRPr="001E5FA2">
        <w:rPr>
          <w:rFonts w:ascii="Palatino Linotype" w:eastAsia="Calibri" w:hAnsi="Palatino Linotype" w:cs="Arial"/>
          <w:sz w:val="24"/>
          <w:lang w:val="es-ES"/>
        </w:rPr>
        <w:t>y se</w:t>
      </w:r>
      <w:r w:rsidRPr="001E5FA2">
        <w:rPr>
          <w:rFonts w:ascii="Palatino Linotype" w:eastAsia="Calibri" w:hAnsi="Palatino Linotype" w:cs="Arial"/>
          <w:b/>
          <w:sz w:val="24"/>
          <w:lang w:val="es-ES"/>
        </w:rPr>
        <w:t xml:space="preserve"> ORDENA </w:t>
      </w:r>
      <w:r w:rsidRPr="001E5FA2">
        <w:rPr>
          <w:rFonts w:ascii="Palatino Linotype" w:eastAsia="Times New Roman" w:hAnsi="Palatino Linotype" w:cs="Arial"/>
          <w:sz w:val="24"/>
          <w:lang w:val="es-ES"/>
        </w:rPr>
        <w:t>entregar vía Sistema de Acceso a la Inform</w:t>
      </w:r>
      <w:r w:rsidR="00F65ADA" w:rsidRPr="001E5FA2">
        <w:rPr>
          <w:rFonts w:ascii="Palatino Linotype" w:eastAsia="Times New Roman" w:hAnsi="Palatino Linotype" w:cs="Arial"/>
          <w:sz w:val="24"/>
          <w:lang w:val="es-ES"/>
        </w:rPr>
        <w:t>ación Mexiquense (SAIMEX)</w:t>
      </w:r>
      <w:r w:rsidR="00491670" w:rsidRPr="001E5FA2">
        <w:rPr>
          <w:rFonts w:ascii="Palatino Linotype" w:hAnsi="Palatino Linotype" w:cs="Arial"/>
          <w:bCs/>
          <w:sz w:val="24"/>
        </w:rPr>
        <w:t>, de ser procedente en versión pública, previa búsqueda ex</w:t>
      </w:r>
      <w:r w:rsidR="00EF14F9" w:rsidRPr="001E5FA2">
        <w:rPr>
          <w:rFonts w:ascii="Palatino Linotype" w:hAnsi="Palatino Linotype" w:cs="Arial"/>
          <w:bCs/>
          <w:sz w:val="24"/>
        </w:rPr>
        <w:t>ha</w:t>
      </w:r>
      <w:r w:rsidR="00491670" w:rsidRPr="001E5FA2">
        <w:rPr>
          <w:rFonts w:ascii="Palatino Linotype" w:hAnsi="Palatino Linotype" w:cs="Arial"/>
          <w:bCs/>
          <w:sz w:val="24"/>
        </w:rPr>
        <w:t>ustiva  y razonable</w:t>
      </w:r>
      <w:r w:rsidR="00EF14F9" w:rsidRPr="001E5FA2">
        <w:rPr>
          <w:rFonts w:ascii="Palatino Linotype" w:hAnsi="Palatino Linotype" w:cs="Arial"/>
          <w:bCs/>
          <w:sz w:val="24"/>
        </w:rPr>
        <w:t xml:space="preserve">, la siguiente información </w:t>
      </w:r>
      <w:r w:rsidR="00FF76D5" w:rsidRPr="001E5FA2">
        <w:rPr>
          <w:rFonts w:ascii="Palatino Linotype" w:hAnsi="Palatino Linotype" w:cs="Arial"/>
          <w:bCs/>
          <w:sz w:val="24"/>
        </w:rPr>
        <w:t>del Panteón de Santa María Chiconautla</w:t>
      </w:r>
      <w:r w:rsidRPr="001E5FA2">
        <w:rPr>
          <w:rFonts w:ascii="Palatino Linotype" w:hAnsi="Palatino Linotype" w:cs="Arial"/>
          <w:bCs/>
          <w:sz w:val="24"/>
        </w:rPr>
        <w:t>:</w:t>
      </w:r>
    </w:p>
    <w:p w:rsidR="00FF76D5" w:rsidRPr="001E5FA2" w:rsidRDefault="00FF76D5" w:rsidP="00FF76D5">
      <w:pPr>
        <w:spacing w:after="0" w:line="360" w:lineRule="auto"/>
        <w:ind w:right="48"/>
        <w:jc w:val="both"/>
        <w:rPr>
          <w:rFonts w:ascii="Palatino Linotype" w:hAnsi="Palatino Linotype" w:cs="Arial"/>
          <w:bCs/>
          <w:sz w:val="24"/>
        </w:rPr>
      </w:pPr>
    </w:p>
    <w:p w:rsidR="00F14810" w:rsidRPr="001E5FA2" w:rsidRDefault="00F65ADA" w:rsidP="00F14810">
      <w:pPr>
        <w:pStyle w:val="Prrafodelista"/>
        <w:numPr>
          <w:ilvl w:val="0"/>
          <w:numId w:val="3"/>
        </w:numPr>
        <w:spacing w:after="0" w:line="360" w:lineRule="auto"/>
        <w:ind w:right="48"/>
        <w:jc w:val="both"/>
        <w:rPr>
          <w:rFonts w:ascii="Palatino Linotype" w:hAnsi="Palatino Linotype" w:cs="Arial"/>
          <w:b/>
          <w:bCs/>
          <w:sz w:val="24"/>
          <w:szCs w:val="24"/>
        </w:rPr>
      </w:pPr>
      <w:r w:rsidRPr="001E5FA2">
        <w:rPr>
          <w:rFonts w:ascii="Palatino Linotype" w:hAnsi="Palatino Linotype"/>
          <w:b/>
          <w:sz w:val="24"/>
        </w:rPr>
        <w:t>Ingresos durante el ejercicio fiscal dos mil veinte;</w:t>
      </w:r>
    </w:p>
    <w:p w:rsidR="00F65ADA" w:rsidRPr="001E5FA2" w:rsidRDefault="0038161C" w:rsidP="00F14810">
      <w:pPr>
        <w:pStyle w:val="Prrafodelista"/>
        <w:numPr>
          <w:ilvl w:val="0"/>
          <w:numId w:val="3"/>
        </w:numPr>
        <w:spacing w:after="0" w:line="360" w:lineRule="auto"/>
        <w:ind w:right="48"/>
        <w:jc w:val="both"/>
        <w:rPr>
          <w:rFonts w:ascii="Palatino Linotype" w:hAnsi="Palatino Linotype" w:cs="Arial"/>
          <w:b/>
          <w:bCs/>
          <w:sz w:val="24"/>
          <w:szCs w:val="24"/>
        </w:rPr>
      </w:pPr>
      <w:r w:rsidRPr="001E5FA2">
        <w:rPr>
          <w:rFonts w:ascii="Palatino Linotype" w:hAnsi="Palatino Linotype"/>
          <w:b/>
          <w:sz w:val="24"/>
        </w:rPr>
        <w:t xml:space="preserve">Documento o documento donde conste quien es el encargado de </w:t>
      </w:r>
      <w:r w:rsidR="00F65ADA" w:rsidRPr="001E5FA2">
        <w:rPr>
          <w:rFonts w:ascii="Palatino Linotype" w:hAnsi="Palatino Linotype"/>
          <w:b/>
          <w:sz w:val="24"/>
        </w:rPr>
        <w:t xml:space="preserve"> administra</w:t>
      </w:r>
      <w:r w:rsidRPr="001E5FA2">
        <w:rPr>
          <w:rFonts w:ascii="Palatino Linotype" w:hAnsi="Palatino Linotype"/>
          <w:b/>
          <w:sz w:val="24"/>
        </w:rPr>
        <w:t>r</w:t>
      </w:r>
      <w:r w:rsidR="00F65ADA" w:rsidRPr="001E5FA2">
        <w:rPr>
          <w:rFonts w:ascii="Palatino Linotype" w:hAnsi="Palatino Linotype"/>
          <w:b/>
          <w:sz w:val="24"/>
        </w:rPr>
        <w:t xml:space="preserve"> los ingresos;</w:t>
      </w:r>
    </w:p>
    <w:p w:rsidR="00F65ADA" w:rsidRPr="001E5FA2" w:rsidRDefault="00F65ADA" w:rsidP="00F14810">
      <w:pPr>
        <w:pStyle w:val="Prrafodelista"/>
        <w:numPr>
          <w:ilvl w:val="0"/>
          <w:numId w:val="3"/>
        </w:numPr>
        <w:spacing w:after="0" w:line="360" w:lineRule="auto"/>
        <w:ind w:right="48"/>
        <w:jc w:val="both"/>
        <w:rPr>
          <w:rFonts w:ascii="Palatino Linotype" w:hAnsi="Palatino Linotype" w:cs="Arial"/>
          <w:b/>
          <w:bCs/>
          <w:sz w:val="24"/>
          <w:szCs w:val="24"/>
        </w:rPr>
      </w:pPr>
      <w:r w:rsidRPr="001E5FA2">
        <w:rPr>
          <w:rFonts w:ascii="Palatino Linotype" w:hAnsi="Palatino Linotype"/>
          <w:b/>
          <w:sz w:val="24"/>
        </w:rPr>
        <w:t>Concepto de los ingresos y su fundamento legal;</w:t>
      </w:r>
    </w:p>
    <w:p w:rsidR="00F65ADA" w:rsidRPr="001E5FA2" w:rsidRDefault="0038161C" w:rsidP="00F14810">
      <w:pPr>
        <w:pStyle w:val="Prrafodelista"/>
        <w:numPr>
          <w:ilvl w:val="0"/>
          <w:numId w:val="3"/>
        </w:numPr>
        <w:spacing w:after="0" w:line="360" w:lineRule="auto"/>
        <w:ind w:right="48"/>
        <w:jc w:val="both"/>
        <w:rPr>
          <w:rFonts w:ascii="Palatino Linotype" w:hAnsi="Palatino Linotype" w:cs="Arial"/>
          <w:b/>
          <w:bCs/>
          <w:sz w:val="24"/>
          <w:szCs w:val="24"/>
        </w:rPr>
      </w:pPr>
      <w:r w:rsidRPr="001E5FA2">
        <w:rPr>
          <w:rFonts w:ascii="Palatino Linotype" w:hAnsi="Palatino Linotype"/>
          <w:b/>
          <w:sz w:val="24"/>
        </w:rPr>
        <w:t>Documento o documentos donde conste la facultad de la</w:t>
      </w:r>
      <w:r w:rsidR="00F65ADA" w:rsidRPr="001E5FA2">
        <w:rPr>
          <w:rFonts w:ascii="Palatino Linotype" w:hAnsi="Palatino Linotype"/>
          <w:b/>
          <w:sz w:val="24"/>
        </w:rPr>
        <w:t xml:space="preserve"> delegación para el cobro por concepto de los servicios de panteón y su fundamento legal; y</w:t>
      </w:r>
    </w:p>
    <w:p w:rsidR="00F65ADA" w:rsidRPr="001E5FA2" w:rsidRDefault="0038161C" w:rsidP="00F14810">
      <w:pPr>
        <w:pStyle w:val="Prrafodelista"/>
        <w:numPr>
          <w:ilvl w:val="0"/>
          <w:numId w:val="3"/>
        </w:numPr>
        <w:spacing w:after="0" w:line="360" w:lineRule="auto"/>
        <w:ind w:right="48"/>
        <w:jc w:val="both"/>
        <w:rPr>
          <w:rFonts w:ascii="Palatino Linotype" w:hAnsi="Palatino Linotype" w:cs="Arial"/>
          <w:b/>
          <w:bCs/>
          <w:sz w:val="24"/>
          <w:szCs w:val="24"/>
        </w:rPr>
      </w:pPr>
      <w:r w:rsidRPr="001E5FA2">
        <w:rPr>
          <w:rFonts w:ascii="Palatino Linotype" w:hAnsi="Palatino Linotype" w:cs="Arial"/>
          <w:b/>
          <w:bCs/>
          <w:sz w:val="24"/>
          <w:szCs w:val="24"/>
        </w:rPr>
        <w:t>Documento o documentos donde conste el destino de</w:t>
      </w:r>
      <w:r w:rsidR="00FF76D5" w:rsidRPr="001E5FA2">
        <w:rPr>
          <w:rFonts w:ascii="Palatino Linotype" w:hAnsi="Palatino Linotype" w:cs="Arial"/>
          <w:b/>
          <w:bCs/>
          <w:sz w:val="24"/>
          <w:szCs w:val="24"/>
        </w:rPr>
        <w:t xml:space="preserve"> los ingresos por concepto de servicios de panteón.</w:t>
      </w:r>
    </w:p>
    <w:p w:rsidR="00FF76D5" w:rsidRPr="001E5FA2" w:rsidRDefault="00FF76D5" w:rsidP="00FF76D5">
      <w:pPr>
        <w:pStyle w:val="Prrafodelista"/>
        <w:spacing w:after="0" w:line="360" w:lineRule="auto"/>
        <w:ind w:right="48"/>
        <w:jc w:val="both"/>
        <w:rPr>
          <w:rFonts w:ascii="Palatino Linotype" w:hAnsi="Palatino Linotype" w:cs="Arial"/>
          <w:b/>
          <w:bCs/>
          <w:sz w:val="24"/>
          <w:szCs w:val="24"/>
        </w:rPr>
      </w:pPr>
    </w:p>
    <w:p w:rsidR="00F14810" w:rsidRPr="001E5FA2" w:rsidRDefault="00F14810" w:rsidP="00F14810">
      <w:pPr>
        <w:tabs>
          <w:tab w:val="left" w:pos="8647"/>
        </w:tabs>
        <w:spacing w:after="0" w:line="360" w:lineRule="auto"/>
        <w:ind w:right="757"/>
        <w:jc w:val="both"/>
        <w:rPr>
          <w:rFonts w:ascii="Palatino Linotype" w:eastAsia="Calibri" w:hAnsi="Palatino Linotype" w:cs="Arial"/>
          <w:sz w:val="24"/>
          <w:lang w:val="es-ES"/>
        </w:rPr>
      </w:pPr>
      <w:r w:rsidRPr="001E5FA2">
        <w:rPr>
          <w:rFonts w:ascii="Palatino Linotype" w:eastAsia="Calibri" w:hAnsi="Palatino Linotype" w:cs="Arial"/>
          <w:sz w:val="24"/>
          <w:lang w:val="es-ES"/>
        </w:rPr>
        <w:t xml:space="preserve">Para el caso de que el SUJETO OBLIGADO, no haya generado la </w:t>
      </w:r>
      <w:r w:rsidR="00FF76D5" w:rsidRPr="001E5FA2">
        <w:rPr>
          <w:rFonts w:ascii="Palatino Linotype" w:eastAsia="Calibri" w:hAnsi="Palatino Linotype" w:cs="Arial"/>
          <w:sz w:val="24"/>
          <w:lang w:val="es-ES"/>
        </w:rPr>
        <w:t>información relativa al inciso d</w:t>
      </w:r>
      <w:r w:rsidRPr="001E5FA2">
        <w:rPr>
          <w:rFonts w:ascii="Palatino Linotype" w:eastAsia="Calibri" w:hAnsi="Palatino Linotype" w:cs="Arial"/>
          <w:sz w:val="24"/>
          <w:lang w:val="es-ES"/>
        </w:rPr>
        <w:t xml:space="preserve">), deberá de manifestar de manera clara y precisa las razones </w:t>
      </w:r>
      <w:r w:rsidRPr="001E5FA2">
        <w:rPr>
          <w:rFonts w:ascii="Palatino Linotype" w:eastAsia="Calibri" w:hAnsi="Palatino Linotype" w:cs="Arial"/>
          <w:sz w:val="24"/>
          <w:lang w:val="es-ES"/>
        </w:rPr>
        <w:lastRenderedPageBreak/>
        <w:t>que expliquen las causas por las cuales no se hay generado, poseído o administrado la información.</w:t>
      </w:r>
    </w:p>
    <w:p w:rsidR="00F14810" w:rsidRPr="001E5FA2" w:rsidRDefault="00F14810" w:rsidP="00F14810">
      <w:pPr>
        <w:tabs>
          <w:tab w:val="left" w:pos="8080"/>
        </w:tabs>
        <w:spacing w:after="0" w:line="360" w:lineRule="auto"/>
        <w:ind w:right="48"/>
        <w:contextualSpacing/>
        <w:jc w:val="both"/>
        <w:rPr>
          <w:rFonts w:ascii="Palatino Linotype" w:eastAsia="Palatino Linotype" w:hAnsi="Palatino Linotype" w:cs="Palatino Linotype"/>
          <w:b/>
          <w:sz w:val="24"/>
        </w:rPr>
      </w:pPr>
      <w:bookmarkStart w:id="63" w:name="_Toc460947013"/>
    </w:p>
    <w:p w:rsidR="00F14810" w:rsidRPr="001E5FA2" w:rsidRDefault="00F14810" w:rsidP="00F14810">
      <w:pPr>
        <w:tabs>
          <w:tab w:val="left" w:pos="8080"/>
        </w:tabs>
        <w:spacing w:after="0" w:line="360" w:lineRule="auto"/>
        <w:ind w:right="48"/>
        <w:contextualSpacing/>
        <w:jc w:val="both"/>
        <w:rPr>
          <w:rFonts w:ascii="Palatino Linotype" w:eastAsia="Palatino Linotype" w:hAnsi="Palatino Linotype" w:cs="Palatino Linotype"/>
          <w:b/>
          <w:sz w:val="24"/>
        </w:rPr>
      </w:pPr>
      <w:r w:rsidRPr="001E5FA2">
        <w:rPr>
          <w:rFonts w:ascii="Palatino Linotype" w:eastAsia="Palatino Linotype" w:hAnsi="Palatino Linotype" w:cs="Palatino Linotype"/>
          <w:b/>
          <w:sz w:val="24"/>
        </w:rPr>
        <w:t xml:space="preserve">TERCERO. Notifíquese </w:t>
      </w:r>
      <w:r w:rsidRPr="001E5FA2">
        <w:rPr>
          <w:rFonts w:ascii="Palatino Linotype" w:eastAsia="Palatino Linotype" w:hAnsi="Palatino Linotype" w:cs="Palatino Linotype"/>
          <w:sz w:val="24"/>
        </w:rPr>
        <w:t xml:space="preserve">al Titular de la Unidad de Transparencia del </w:t>
      </w:r>
      <w:r w:rsidRPr="001E5FA2">
        <w:rPr>
          <w:rFonts w:ascii="Palatino Linotype" w:eastAsia="Palatino Linotype" w:hAnsi="Palatino Linotype" w:cs="Palatino Linotype"/>
          <w:b/>
          <w:sz w:val="24"/>
        </w:rPr>
        <w:t>SUJETO OBLIGADO</w:t>
      </w:r>
      <w:r w:rsidRPr="001E5FA2">
        <w:rPr>
          <w:rFonts w:ascii="Palatino Linotype" w:eastAsia="Palatino Linotype" w:hAnsi="Palatino Linotype" w:cs="Palatino Linotype"/>
          <w:sz w:val="24"/>
        </w:rPr>
        <w:t xml:space="preserve">, para que conforme a los artículos 186 último párrafo, 189 párrafo segundo y 199 de la Ley de Transparencia y Acceso a la Información Pública del Estado de México y Municipios, </w:t>
      </w:r>
      <w:r w:rsidRPr="001E5FA2">
        <w:rPr>
          <w:rFonts w:ascii="Palatino Linotype" w:hAnsi="Palatino Linotype"/>
          <w:color w:val="222222"/>
          <w:sz w:val="24"/>
          <w:shd w:val="clear" w:color="auto" w:fill="FFFFFF"/>
        </w:rPr>
        <w:t>vigente, dé cumplimiento a lo ordenado dentro del plazo de diez días hábiles, debiendo rendir a este Instituto el informe de cumplimiento de la resolución en un plazo de tres días hábiles posteriores.</w:t>
      </w:r>
    </w:p>
    <w:p w:rsidR="00F14810" w:rsidRPr="001E5FA2" w:rsidRDefault="00F14810" w:rsidP="00F14810">
      <w:pPr>
        <w:shd w:val="clear" w:color="auto" w:fill="FFFFFF"/>
        <w:tabs>
          <w:tab w:val="left" w:pos="4020"/>
        </w:tabs>
        <w:spacing w:after="0" w:line="360" w:lineRule="auto"/>
        <w:ind w:right="48"/>
        <w:jc w:val="both"/>
        <w:rPr>
          <w:rFonts w:ascii="Palatino Linotype" w:eastAsia="Times New Roman" w:hAnsi="Palatino Linotype" w:cs="Arial"/>
          <w:b/>
          <w:sz w:val="24"/>
        </w:rPr>
      </w:pPr>
      <w:r w:rsidRPr="001E5FA2">
        <w:rPr>
          <w:rFonts w:ascii="Palatino Linotype" w:eastAsia="Times New Roman" w:hAnsi="Palatino Linotype" w:cs="Arial"/>
          <w:b/>
          <w:sz w:val="24"/>
        </w:rPr>
        <w:tab/>
      </w:r>
    </w:p>
    <w:p w:rsidR="00F14810" w:rsidRPr="001E5FA2" w:rsidRDefault="00F14810" w:rsidP="00F14810">
      <w:pPr>
        <w:shd w:val="clear" w:color="auto" w:fill="FFFFFF"/>
        <w:spacing w:after="0" w:line="360" w:lineRule="auto"/>
        <w:ind w:right="48"/>
        <w:jc w:val="both"/>
        <w:rPr>
          <w:rFonts w:ascii="Palatino Linotype" w:hAnsi="Palatino Linotype"/>
          <w:sz w:val="24"/>
        </w:rPr>
      </w:pPr>
      <w:r w:rsidRPr="001E5FA2">
        <w:rPr>
          <w:rFonts w:ascii="Palatino Linotype" w:eastAsia="Times New Roman" w:hAnsi="Palatino Linotype" w:cs="Arial"/>
          <w:b/>
          <w:sz w:val="24"/>
        </w:rPr>
        <w:t xml:space="preserve">CUARTO. </w:t>
      </w:r>
      <w:r w:rsidRPr="001E5FA2">
        <w:rPr>
          <w:rFonts w:ascii="Palatino Linotype" w:eastAsia="Times New Roman" w:hAnsi="Palatino Linotype" w:cs="Times New Roman"/>
          <w:b/>
          <w:bCs/>
          <w:color w:val="222222"/>
          <w:sz w:val="24"/>
          <w:lang w:val="es-ES"/>
        </w:rPr>
        <w:t>Notifíquese a</w:t>
      </w:r>
      <w:r w:rsidRPr="001E5FA2">
        <w:rPr>
          <w:rFonts w:ascii="Palatino Linotype" w:hAnsi="Palatino Linotype"/>
          <w:sz w:val="24"/>
        </w:rPr>
        <w:t xml:space="preserve"> </w:t>
      </w:r>
      <w:r w:rsidR="00925DD5" w:rsidRPr="00925DD5">
        <w:rPr>
          <w:rFonts w:ascii="Palatino Linotype" w:hAnsi="Palatino Linotype"/>
          <w:b/>
          <w:sz w:val="24"/>
          <w:highlight w:val="black"/>
        </w:rPr>
        <w:t>-------------------------------------</w:t>
      </w:r>
      <w:r w:rsidRPr="001E5FA2">
        <w:rPr>
          <w:rFonts w:ascii="Palatino Linotype" w:hAnsi="Palatino Linotype"/>
          <w:sz w:val="24"/>
        </w:rPr>
        <w:t xml:space="preserve"> la presente resolución. </w:t>
      </w:r>
    </w:p>
    <w:p w:rsidR="00F14810" w:rsidRPr="001E5FA2" w:rsidRDefault="00F14810" w:rsidP="00F14810">
      <w:pPr>
        <w:shd w:val="clear" w:color="auto" w:fill="FFFFFF"/>
        <w:spacing w:after="0" w:line="360" w:lineRule="auto"/>
        <w:ind w:right="48"/>
        <w:jc w:val="both"/>
        <w:rPr>
          <w:rFonts w:ascii="Palatino Linotype" w:hAnsi="Palatino Linotype"/>
          <w:b/>
          <w:color w:val="FF0000"/>
          <w:sz w:val="24"/>
        </w:rPr>
      </w:pPr>
    </w:p>
    <w:bookmarkEnd w:id="63"/>
    <w:p w:rsidR="00F14810" w:rsidRPr="001E5FA2" w:rsidRDefault="00F14810" w:rsidP="00F14810">
      <w:pPr>
        <w:spacing w:after="0" w:line="360" w:lineRule="auto"/>
        <w:ind w:right="48"/>
        <w:jc w:val="both"/>
        <w:rPr>
          <w:rFonts w:ascii="Palatino Linotype" w:eastAsia="MS Mincho" w:hAnsi="Palatino Linotype" w:cs="Times New Roman"/>
          <w:sz w:val="24"/>
          <w:lang w:val="es-ES"/>
        </w:rPr>
      </w:pPr>
      <w:r w:rsidRPr="001E5FA2">
        <w:rPr>
          <w:rFonts w:ascii="Palatino Linotype" w:eastAsia="MS Mincho" w:hAnsi="Palatino Linotype" w:cs="Times New Roman"/>
          <w:b/>
          <w:sz w:val="24"/>
        </w:rPr>
        <w:t>QUINTO.</w:t>
      </w:r>
      <w:r w:rsidRPr="001E5FA2">
        <w:rPr>
          <w:rFonts w:ascii="Palatino Linotype" w:eastAsia="MS Mincho" w:hAnsi="Palatino Linotype" w:cs="Times New Roman"/>
          <w:sz w:val="24"/>
        </w:rPr>
        <w:t xml:space="preserve"> </w:t>
      </w:r>
      <w:r w:rsidRPr="001E5FA2">
        <w:rPr>
          <w:rFonts w:ascii="Palatino Linotype" w:eastAsia="MS Mincho" w:hAnsi="Palatino Linotype" w:cs="Times New Roman"/>
          <w:sz w:val="24"/>
          <w:lang w:val="es-ES"/>
        </w:rPr>
        <w:t xml:space="preserve">Se hace del conocimiento de </w:t>
      </w:r>
      <w:r w:rsidR="00925DD5" w:rsidRPr="00925DD5">
        <w:rPr>
          <w:rFonts w:ascii="Palatino Linotype" w:hAnsi="Palatino Linotype"/>
          <w:b/>
          <w:sz w:val="24"/>
          <w:highlight w:val="black"/>
        </w:rPr>
        <w:t>------------------------------------</w:t>
      </w:r>
      <w:bookmarkStart w:id="64" w:name="_GoBack"/>
      <w:bookmarkEnd w:id="64"/>
      <w:r w:rsidRPr="001E5FA2">
        <w:rPr>
          <w:rFonts w:ascii="Palatino Linotype" w:hAnsi="Palatino Linotype"/>
          <w:sz w:val="24"/>
        </w:rPr>
        <w:t xml:space="preserve"> </w:t>
      </w:r>
      <w:r w:rsidRPr="001E5FA2">
        <w:rPr>
          <w:rFonts w:ascii="Palatino Linotype" w:eastAsia="MS Mincho" w:hAnsi="Palatino Linotype" w:cs="Times New Roman"/>
          <w:sz w:val="24"/>
          <w:lang w:val="es-ES"/>
        </w:rPr>
        <w:t>que de conformidad con lo establecido en el artículo 196 de la Ley de Transparencia y Acceso a la Información Pública del Estado de México y Municipios, en caso de que considere que la resolución le cause algún perjuicio podrá impugnarla </w:t>
      </w:r>
      <w:r w:rsidRPr="001E5FA2">
        <w:rPr>
          <w:rFonts w:ascii="Palatino Linotype" w:eastAsia="MS Mincho" w:hAnsi="Palatino Linotype" w:cs="Times New Roman"/>
          <w:bCs/>
          <w:sz w:val="24"/>
          <w:lang w:val="es-ES"/>
        </w:rPr>
        <w:t>vía juicio de amparo</w:t>
      </w:r>
      <w:r w:rsidRPr="001E5FA2">
        <w:rPr>
          <w:rFonts w:ascii="Palatino Linotype" w:eastAsia="MS Mincho" w:hAnsi="Palatino Linotype" w:cs="Times New Roman"/>
          <w:sz w:val="24"/>
          <w:lang w:val="es-ES"/>
        </w:rPr>
        <w:t> en los términos de las leyes aplicables.</w:t>
      </w:r>
    </w:p>
    <w:p w:rsidR="00F14810" w:rsidRPr="001E5FA2" w:rsidRDefault="00F14810" w:rsidP="00F14810">
      <w:pPr>
        <w:spacing w:after="0" w:line="360" w:lineRule="auto"/>
        <w:ind w:right="48"/>
        <w:jc w:val="both"/>
        <w:rPr>
          <w:rFonts w:ascii="Palatino Linotype" w:eastAsia="MS Mincho" w:hAnsi="Palatino Linotype" w:cs="Times New Roman"/>
          <w:color w:val="FF0000"/>
          <w:sz w:val="24"/>
          <w:szCs w:val="24"/>
          <w:lang w:val="es-ES"/>
        </w:rPr>
      </w:pPr>
    </w:p>
    <w:p w:rsidR="00F14810" w:rsidRPr="001E5FA2" w:rsidRDefault="00F14810" w:rsidP="00F14810">
      <w:pPr>
        <w:spacing w:after="0" w:line="360" w:lineRule="auto"/>
        <w:ind w:right="48"/>
        <w:jc w:val="both"/>
        <w:rPr>
          <w:rFonts w:ascii="Palatino Linotype" w:hAnsi="Palatino Linotype"/>
          <w:color w:val="000000"/>
          <w:sz w:val="24"/>
          <w:shd w:val="clear" w:color="auto" w:fill="FFFFFF"/>
        </w:rPr>
      </w:pPr>
      <w:r w:rsidRPr="001E5FA2">
        <w:rPr>
          <w:rFonts w:ascii="Palatino Linotype" w:hAnsi="Palatino Linotype"/>
          <w:b/>
          <w:bCs/>
          <w:color w:val="000000"/>
          <w:sz w:val="24"/>
          <w:shd w:val="clear" w:color="auto" w:fill="FFFFFF"/>
        </w:rPr>
        <w:t>SEXTO.</w:t>
      </w:r>
      <w:r w:rsidRPr="001E5FA2">
        <w:rPr>
          <w:rFonts w:ascii="Palatino Linotype" w:hAnsi="Palatino Linotype"/>
          <w:color w:val="000000"/>
          <w:sz w:val="24"/>
          <w:shd w:val="clear" w:color="auto" w:fill="FFFFFF"/>
        </w:rPr>
        <w:t> Con fundamento en el artículo 198 de la Ley de Transparencia y Acceso a la Información Pública del Estado de México y Municipios, se apercibe al </w:t>
      </w:r>
      <w:r w:rsidRPr="001E5FA2">
        <w:rPr>
          <w:rFonts w:ascii="Palatino Linotype" w:hAnsi="Palatino Linotype"/>
          <w:b/>
          <w:bCs/>
          <w:color w:val="000000"/>
          <w:sz w:val="24"/>
          <w:shd w:val="clear" w:color="auto" w:fill="FFFFFF"/>
        </w:rPr>
        <w:t>SUJETO OBLIGADO</w:t>
      </w:r>
      <w:r w:rsidRPr="001E5FA2">
        <w:rPr>
          <w:rFonts w:ascii="Palatino Linotype" w:hAnsi="Palatino Linotype"/>
          <w:color w:val="000000"/>
          <w:sz w:val="24"/>
          <w:shd w:val="clear" w:color="auto" w:fill="FFFFFF"/>
        </w:rPr>
        <w:t> de que, en caso de incumplimiento total o parcial de la presente resolución, se actuará de conformidad con lo dispuesto en los artículos 213, 214, 215, 216 y 217 de la ley en cita. </w:t>
      </w:r>
    </w:p>
    <w:p w:rsidR="00F14810" w:rsidRPr="001E5FA2" w:rsidRDefault="00F14810" w:rsidP="00F14810">
      <w:pPr>
        <w:spacing w:after="0" w:line="360" w:lineRule="auto"/>
        <w:ind w:right="48"/>
        <w:jc w:val="both"/>
        <w:rPr>
          <w:rFonts w:ascii="Palatino Linotype" w:hAnsi="Palatino Linotype"/>
          <w:color w:val="000000"/>
          <w:sz w:val="24"/>
          <w:shd w:val="clear" w:color="auto" w:fill="FFFFFF"/>
        </w:rPr>
      </w:pPr>
    </w:p>
    <w:p w:rsidR="00F14810" w:rsidRPr="001E5FA2" w:rsidRDefault="00F14810" w:rsidP="00F14810">
      <w:pPr>
        <w:spacing w:after="0" w:line="360" w:lineRule="auto"/>
        <w:ind w:right="48"/>
        <w:jc w:val="both"/>
        <w:rPr>
          <w:rFonts w:ascii="Palatino Linotype" w:eastAsia="Calibri" w:hAnsi="Palatino Linotype" w:cs="Arial"/>
          <w:bCs/>
          <w:sz w:val="24"/>
          <w:szCs w:val="24"/>
        </w:rPr>
      </w:pPr>
      <w:r w:rsidRPr="001E5FA2">
        <w:rPr>
          <w:rFonts w:ascii="Palatino Linotype" w:hAnsi="Palatino Linotype"/>
          <w:b/>
          <w:color w:val="000000"/>
          <w:sz w:val="24"/>
          <w:shd w:val="clear" w:color="auto" w:fill="FFFFFF"/>
        </w:rPr>
        <w:lastRenderedPageBreak/>
        <w:t>SÉPTIMO</w:t>
      </w:r>
      <w:r w:rsidRPr="001E5FA2">
        <w:rPr>
          <w:rFonts w:ascii="Palatino Linotype" w:hAnsi="Palatino Linotype"/>
          <w:b/>
          <w:color w:val="000000"/>
          <w:sz w:val="24"/>
          <w:szCs w:val="24"/>
          <w:shd w:val="clear" w:color="auto" w:fill="FFFFFF"/>
        </w:rPr>
        <w:t xml:space="preserve">. </w:t>
      </w:r>
      <w:r w:rsidRPr="001E5FA2">
        <w:rPr>
          <w:rFonts w:ascii="Palatino Linotype" w:eastAsia="Calibri" w:hAnsi="Palatino Linotype" w:cs="Arial"/>
          <w:bCs/>
          <w:sz w:val="24"/>
          <w:szCs w:val="24"/>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rsidR="00F14810" w:rsidRPr="001E5FA2" w:rsidRDefault="00F14810" w:rsidP="00F14810">
      <w:pPr>
        <w:spacing w:after="0" w:line="360" w:lineRule="auto"/>
        <w:ind w:right="48"/>
        <w:jc w:val="both"/>
        <w:rPr>
          <w:rFonts w:ascii="Palatino Linotype" w:hAnsi="Palatino Linotype"/>
          <w:color w:val="000000"/>
          <w:sz w:val="24"/>
          <w:lang w:val="es-ES" w:eastAsia="es-MX"/>
        </w:rPr>
      </w:pPr>
    </w:p>
    <w:p w:rsidR="00F14810" w:rsidRPr="001E5FA2" w:rsidRDefault="00F14810" w:rsidP="001E5FA2">
      <w:pPr>
        <w:spacing w:after="0" w:line="360" w:lineRule="auto"/>
        <w:ind w:right="48"/>
        <w:jc w:val="both"/>
        <w:rPr>
          <w:rFonts w:ascii="Palatino Linotype" w:hAnsi="Palatino Linotype"/>
          <w:sz w:val="24"/>
          <w:szCs w:val="24"/>
        </w:rPr>
      </w:pPr>
      <w:r w:rsidRPr="001E5FA2">
        <w:rPr>
          <w:rFonts w:ascii="Palatino Linotype" w:hAnsi="Palatino Linotype"/>
          <w:sz w:val="24"/>
          <w:szCs w:val="24"/>
        </w:rPr>
        <w:t>ASÍ LO RESUELVE, POR UNANIMIDAD DE VOTOS, EL PLENO DEL INSTITUTO DE TRANSPARENCIA, ACCESO A LA INFORMACIÓN PÚBLICA Y PROTECCIÓN DE DATOS PERSONALES DEL ESTADO DE MÉXICO Y MUNICIPIOS, CONFORMADO POR LOS COMISIONADOS ZULEMA MARTÍNEZ SÁNCHEZ, EVA ABAID YAPUR, JOSÉ GUADALUPE LUNA HERNÁNDEZ, JAVIER MARTÍNEZ CRUZ Y LUIS GUS</w:t>
      </w:r>
      <w:r w:rsidR="00EE2277" w:rsidRPr="001E5FA2">
        <w:rPr>
          <w:rFonts w:ascii="Palatino Linotype" w:hAnsi="Palatino Linotype"/>
          <w:sz w:val="24"/>
          <w:szCs w:val="24"/>
        </w:rPr>
        <w:t>TAVO PARRA NORIEGA, EN LA DÉCIMA PRIMERA</w:t>
      </w:r>
      <w:r w:rsidRPr="001E5FA2">
        <w:rPr>
          <w:rFonts w:ascii="Palatino Linotype" w:hAnsi="Palatino Linotype"/>
          <w:sz w:val="24"/>
          <w:szCs w:val="24"/>
        </w:rPr>
        <w:t xml:space="preserve"> SESIÓN ORDINARIA CELEBRADA EL DÍA </w:t>
      </w:r>
      <w:r w:rsidR="00EE2277" w:rsidRPr="001E5FA2">
        <w:rPr>
          <w:rFonts w:ascii="Palatino Linotype" w:hAnsi="Palatino Linotype"/>
          <w:sz w:val="24"/>
          <w:szCs w:val="24"/>
        </w:rPr>
        <w:t>SIETE DE ABRIL DE DOS MIL VEINTIUNO</w:t>
      </w:r>
      <w:r w:rsidRPr="001E5FA2">
        <w:rPr>
          <w:rFonts w:ascii="Palatino Linotype" w:hAnsi="Palatino Linotype"/>
          <w:sz w:val="24"/>
          <w:szCs w:val="24"/>
        </w:rPr>
        <w:t xml:space="preserve">, ANTE EL SECRETARIO TÉCNICO DEL PLENO, ALEXIS TAPIA RAMÍREZ. </w:t>
      </w:r>
    </w:p>
    <w:p w:rsidR="00F14810" w:rsidRDefault="00F14810" w:rsidP="00F14810">
      <w:pPr>
        <w:spacing w:after="0"/>
        <w:ind w:right="48"/>
      </w:pPr>
    </w:p>
    <w:p w:rsidR="00F14810" w:rsidRDefault="00F14810" w:rsidP="00F14810">
      <w:pPr>
        <w:spacing w:after="0"/>
        <w:ind w:right="48"/>
      </w:pPr>
    </w:p>
    <w:p w:rsidR="00F14810" w:rsidRDefault="00F14810" w:rsidP="00F14810">
      <w:pPr>
        <w:spacing w:after="0"/>
        <w:ind w:right="48"/>
      </w:pPr>
    </w:p>
    <w:p w:rsidR="00F14810" w:rsidRDefault="00F14810" w:rsidP="00F14810">
      <w:pPr>
        <w:spacing w:after="0"/>
        <w:ind w:right="48"/>
      </w:pPr>
    </w:p>
    <w:p w:rsidR="00F14810" w:rsidRDefault="00F14810" w:rsidP="00F14810"/>
    <w:p w:rsidR="00F14810" w:rsidRDefault="00F14810" w:rsidP="00F14810"/>
    <w:p w:rsidR="001E5FA2" w:rsidRDefault="001E5FA2" w:rsidP="00F14810"/>
    <w:p w:rsidR="001E5FA2" w:rsidRDefault="001E5FA2">
      <w:r>
        <w:br w:type="page"/>
      </w:r>
    </w:p>
    <w:p w:rsidR="001E5FA2" w:rsidRDefault="001E5FA2" w:rsidP="00F14810"/>
    <w:p w:rsidR="00B8471D" w:rsidRDefault="00B8471D"/>
    <w:sectPr w:rsidR="00B8471D" w:rsidSect="00F14810">
      <w:headerReference w:type="even" r:id="rId12"/>
      <w:headerReference w:type="default" r:id="rId13"/>
      <w:footerReference w:type="default" r:id="rId14"/>
      <w:headerReference w:type="first" r:id="rId15"/>
      <w:footerReference w:type="first" r:id="rId16"/>
      <w:pgSz w:w="12240" w:h="15840"/>
      <w:pgMar w:top="1418" w:right="1418" w:bottom="1418" w:left="1418"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A1AB2" w:rsidRDefault="00BA1AB2" w:rsidP="00F14810">
      <w:pPr>
        <w:spacing w:after="0" w:line="240" w:lineRule="auto"/>
      </w:pPr>
      <w:r>
        <w:separator/>
      </w:r>
    </w:p>
  </w:endnote>
  <w:endnote w:type="continuationSeparator" w:id="0">
    <w:p w:rsidR="00BA1AB2" w:rsidRDefault="00BA1AB2" w:rsidP="00F148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 w:name="Bookman Old Style">
    <w:panose1 w:val="02050604050505020204"/>
    <w:charset w:val="00"/>
    <w:family w:val="roman"/>
    <w:pitch w:val="variable"/>
    <w:sig w:usb0="00000287" w:usb1="00000000" w:usb2="00000000" w:usb3="00000000" w:csb0="0000009F" w:csb1="00000000"/>
  </w:font>
  <w:font w:name="Times">
    <w:panose1 w:val="02020603050405020304"/>
    <w:charset w:val="00"/>
    <w:family w:val="auto"/>
    <w:pitch w:val="variable"/>
    <w:sig w:usb0="00000003" w:usb1="00000000" w:usb2="00000000" w:usb3="00000000" w:csb0="0000000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Palatino Linotype" w:hAnsi="Palatino Linotype"/>
        <w:sz w:val="28"/>
      </w:rPr>
      <w:id w:val="120813738"/>
      <w:docPartObj>
        <w:docPartGallery w:val="Page Numbers (Bottom of Page)"/>
        <w:docPartUnique/>
      </w:docPartObj>
    </w:sdtPr>
    <w:sdtEndPr/>
    <w:sdtContent>
      <w:sdt>
        <w:sdtPr>
          <w:rPr>
            <w:rFonts w:ascii="Palatino Linotype" w:hAnsi="Palatino Linotype"/>
            <w:sz w:val="28"/>
          </w:rPr>
          <w:id w:val="2028050644"/>
          <w:docPartObj>
            <w:docPartGallery w:val="Page Numbers (Top of Page)"/>
            <w:docPartUnique/>
          </w:docPartObj>
        </w:sdtPr>
        <w:sdtEndPr/>
        <w:sdtContent>
          <w:p w:rsidR="0070501C" w:rsidRPr="00883450" w:rsidRDefault="0070501C" w:rsidP="00F14810">
            <w:pPr>
              <w:pStyle w:val="Piedepgina"/>
              <w:tabs>
                <w:tab w:val="left" w:pos="5240"/>
                <w:tab w:val="right" w:pos="8789"/>
              </w:tabs>
              <w:rPr>
                <w:rFonts w:ascii="Palatino Linotype" w:hAnsi="Palatino Linotype"/>
                <w:sz w:val="28"/>
              </w:rPr>
            </w:pPr>
            <w:r>
              <w:rPr>
                <w:rFonts w:ascii="Palatino Linotype" w:hAnsi="Palatino Linotype"/>
                <w:sz w:val="28"/>
              </w:rPr>
              <w:tab/>
            </w:r>
            <w:r>
              <w:rPr>
                <w:rFonts w:ascii="Palatino Linotype" w:hAnsi="Palatino Linotype"/>
                <w:sz w:val="28"/>
              </w:rPr>
              <w:tab/>
            </w:r>
            <w:r>
              <w:rPr>
                <w:rFonts w:ascii="Palatino Linotype" w:hAnsi="Palatino Linotype"/>
                <w:sz w:val="28"/>
              </w:rPr>
              <w:tab/>
            </w:r>
            <w:r w:rsidRPr="00883450">
              <w:rPr>
                <w:rFonts w:ascii="Palatino Linotype" w:hAnsi="Palatino Linotype"/>
                <w:szCs w:val="20"/>
                <w:lang w:val="es-ES"/>
              </w:rPr>
              <w:t xml:space="preserve">Página </w:t>
            </w:r>
            <w:r w:rsidRPr="00883450">
              <w:rPr>
                <w:rFonts w:ascii="Palatino Linotype" w:hAnsi="Palatino Linotype"/>
                <w:b/>
                <w:bCs/>
                <w:szCs w:val="20"/>
              </w:rPr>
              <w:fldChar w:fldCharType="begin"/>
            </w:r>
            <w:r w:rsidRPr="00883450">
              <w:rPr>
                <w:rFonts w:ascii="Palatino Linotype" w:hAnsi="Palatino Linotype"/>
                <w:b/>
                <w:bCs/>
                <w:szCs w:val="20"/>
              </w:rPr>
              <w:instrText>PAGE</w:instrText>
            </w:r>
            <w:r w:rsidRPr="00883450">
              <w:rPr>
                <w:rFonts w:ascii="Palatino Linotype" w:hAnsi="Palatino Linotype"/>
                <w:b/>
                <w:bCs/>
                <w:szCs w:val="20"/>
              </w:rPr>
              <w:fldChar w:fldCharType="separate"/>
            </w:r>
            <w:r w:rsidR="001E5FA2">
              <w:rPr>
                <w:rFonts w:ascii="Palatino Linotype" w:hAnsi="Palatino Linotype"/>
                <w:b/>
                <w:bCs/>
                <w:noProof/>
                <w:szCs w:val="20"/>
              </w:rPr>
              <w:t>41</w:t>
            </w:r>
            <w:r w:rsidRPr="00883450">
              <w:rPr>
                <w:rFonts w:ascii="Palatino Linotype" w:hAnsi="Palatino Linotype"/>
                <w:b/>
                <w:bCs/>
                <w:szCs w:val="20"/>
              </w:rPr>
              <w:fldChar w:fldCharType="end"/>
            </w:r>
            <w:r w:rsidRPr="00883450">
              <w:rPr>
                <w:rFonts w:ascii="Palatino Linotype" w:hAnsi="Palatino Linotype"/>
                <w:szCs w:val="20"/>
                <w:lang w:val="es-ES"/>
              </w:rPr>
              <w:t xml:space="preserve"> de </w:t>
            </w:r>
            <w:r w:rsidRPr="00883450">
              <w:rPr>
                <w:rFonts w:ascii="Palatino Linotype" w:hAnsi="Palatino Linotype"/>
                <w:b/>
                <w:bCs/>
                <w:szCs w:val="20"/>
              </w:rPr>
              <w:fldChar w:fldCharType="begin"/>
            </w:r>
            <w:r w:rsidRPr="00883450">
              <w:rPr>
                <w:rFonts w:ascii="Palatino Linotype" w:hAnsi="Palatino Linotype"/>
                <w:b/>
                <w:bCs/>
                <w:szCs w:val="20"/>
              </w:rPr>
              <w:instrText>NUMPAGES</w:instrText>
            </w:r>
            <w:r w:rsidRPr="00883450">
              <w:rPr>
                <w:rFonts w:ascii="Palatino Linotype" w:hAnsi="Palatino Linotype"/>
                <w:b/>
                <w:bCs/>
                <w:szCs w:val="20"/>
              </w:rPr>
              <w:fldChar w:fldCharType="separate"/>
            </w:r>
            <w:r w:rsidR="001E5FA2">
              <w:rPr>
                <w:rFonts w:ascii="Palatino Linotype" w:hAnsi="Palatino Linotype"/>
                <w:b/>
                <w:bCs/>
                <w:noProof/>
                <w:szCs w:val="20"/>
              </w:rPr>
              <w:t>41</w:t>
            </w:r>
            <w:r w:rsidRPr="00883450">
              <w:rPr>
                <w:rFonts w:ascii="Palatino Linotype" w:hAnsi="Palatino Linotype"/>
                <w:b/>
                <w:bCs/>
                <w:szCs w:val="20"/>
              </w:rPr>
              <w:fldChar w:fldCharType="end"/>
            </w:r>
          </w:p>
        </w:sdtContent>
      </w:sdt>
    </w:sdtContent>
  </w:sdt>
  <w:p w:rsidR="0070501C" w:rsidRDefault="0070501C">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0501C" w:rsidRPr="00883450" w:rsidRDefault="0070501C" w:rsidP="00F14810">
    <w:pPr>
      <w:pStyle w:val="Piedepgina"/>
      <w:jc w:val="right"/>
      <w:rPr>
        <w:rFonts w:ascii="Palatino Linotype" w:hAnsi="Palatino Linotype"/>
      </w:rPr>
    </w:pPr>
    <w:r w:rsidRPr="00883450">
      <w:rPr>
        <w:rFonts w:ascii="Palatino Linotype" w:hAnsi="Palatino Linotype"/>
        <w:lang w:val="es-ES"/>
      </w:rPr>
      <w:t xml:space="preserve">Página </w:t>
    </w:r>
    <w:r w:rsidRPr="00883450">
      <w:rPr>
        <w:rFonts w:ascii="Palatino Linotype" w:hAnsi="Palatino Linotype"/>
      </w:rPr>
      <w:fldChar w:fldCharType="begin"/>
    </w:r>
    <w:r w:rsidRPr="00883450">
      <w:rPr>
        <w:rFonts w:ascii="Palatino Linotype" w:hAnsi="Palatino Linotype"/>
      </w:rPr>
      <w:instrText>PAGE  \* Arabic  \* MERGEFORMAT</w:instrText>
    </w:r>
    <w:r w:rsidRPr="00883450">
      <w:rPr>
        <w:rFonts w:ascii="Palatino Linotype" w:hAnsi="Palatino Linotype"/>
      </w:rPr>
      <w:fldChar w:fldCharType="separate"/>
    </w:r>
    <w:r w:rsidR="001E5FA2" w:rsidRPr="001E5FA2">
      <w:rPr>
        <w:rFonts w:ascii="Palatino Linotype" w:hAnsi="Palatino Linotype"/>
        <w:noProof/>
        <w:lang w:val="es-ES"/>
      </w:rPr>
      <w:t>1</w:t>
    </w:r>
    <w:r w:rsidRPr="00883450">
      <w:rPr>
        <w:rFonts w:ascii="Palatino Linotype" w:hAnsi="Palatino Linotype"/>
      </w:rPr>
      <w:fldChar w:fldCharType="end"/>
    </w:r>
    <w:r w:rsidRPr="00883450">
      <w:rPr>
        <w:rFonts w:ascii="Palatino Linotype" w:hAnsi="Palatino Linotype"/>
        <w:lang w:val="es-ES"/>
      </w:rPr>
      <w:t xml:space="preserve"> de </w:t>
    </w:r>
    <w:r w:rsidRPr="00883450">
      <w:rPr>
        <w:rFonts w:ascii="Palatino Linotype" w:hAnsi="Palatino Linotype"/>
      </w:rPr>
      <w:fldChar w:fldCharType="begin"/>
    </w:r>
    <w:r w:rsidRPr="00883450">
      <w:rPr>
        <w:rFonts w:ascii="Palatino Linotype" w:hAnsi="Palatino Linotype"/>
      </w:rPr>
      <w:instrText>NUMPAGES  \* Arabic  \* MERGEFORMAT</w:instrText>
    </w:r>
    <w:r w:rsidRPr="00883450">
      <w:rPr>
        <w:rFonts w:ascii="Palatino Linotype" w:hAnsi="Palatino Linotype"/>
      </w:rPr>
      <w:fldChar w:fldCharType="separate"/>
    </w:r>
    <w:r w:rsidR="001E5FA2" w:rsidRPr="001E5FA2">
      <w:rPr>
        <w:rFonts w:ascii="Palatino Linotype" w:hAnsi="Palatino Linotype"/>
        <w:noProof/>
        <w:lang w:val="es-ES"/>
      </w:rPr>
      <w:t>41</w:t>
    </w:r>
    <w:r w:rsidRPr="00883450">
      <w:rPr>
        <w:rFonts w:ascii="Palatino Linotype" w:hAnsi="Palatino Linotype"/>
      </w:rPr>
      <w:fldChar w:fldCharType="end"/>
    </w:r>
  </w:p>
  <w:p w:rsidR="0070501C" w:rsidRPr="00883450" w:rsidRDefault="0070501C">
    <w:pPr>
      <w:pStyle w:val="Piedepgina"/>
      <w:rPr>
        <w:rFonts w:ascii="Palatino Linotype" w:hAnsi="Palatino Linotyp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A1AB2" w:rsidRDefault="00BA1AB2" w:rsidP="00F14810">
      <w:pPr>
        <w:spacing w:after="0" w:line="240" w:lineRule="auto"/>
      </w:pPr>
      <w:r>
        <w:separator/>
      </w:r>
    </w:p>
  </w:footnote>
  <w:footnote w:type="continuationSeparator" w:id="0">
    <w:p w:rsidR="00BA1AB2" w:rsidRDefault="00BA1AB2" w:rsidP="00F14810">
      <w:pPr>
        <w:spacing w:after="0" w:line="240" w:lineRule="auto"/>
      </w:pPr>
      <w:r>
        <w:continuationSeparator/>
      </w:r>
    </w:p>
  </w:footnote>
  <w:footnote w:id="1">
    <w:p w:rsidR="0070501C" w:rsidRDefault="0070501C" w:rsidP="006B4565">
      <w:pPr>
        <w:pStyle w:val="Textonotapie"/>
        <w:jc w:val="both"/>
        <w:rPr>
          <w:rFonts w:ascii="Palatino Linotype" w:hAnsi="Palatino Linotype"/>
          <w:sz w:val="14"/>
        </w:rPr>
      </w:pPr>
      <w:r>
        <w:rPr>
          <w:rStyle w:val="Refdenotaalpie"/>
          <w:rFonts w:ascii="Palatino Linotype" w:hAnsi="Palatino Linotype"/>
          <w:sz w:val="14"/>
        </w:rPr>
        <w:footnoteRef/>
      </w:r>
      <w:r>
        <w:rPr>
          <w:rFonts w:ascii="Palatino Linotype" w:hAnsi="Palatino Linotype"/>
          <w:sz w:val="14"/>
          <w:lang w:val="es-ES"/>
        </w:rPr>
        <w:t xml:space="preserve"> </w:t>
      </w:r>
      <w:r>
        <w:rPr>
          <w:rFonts w:ascii="Palatino Linotype" w:hAnsi="Palatino Linotype"/>
          <w:b/>
          <w:sz w:val="14"/>
        </w:rPr>
        <w:t>RESTRICCIONES A LOS DERECHOS FUNDAMENTALES. ELEMENTOS QUE EL JUEZ CONSTITUCIONAL DEBE TOMAR EN CUENTA PARA CONSIDERARLAS VÁLIDAS.</w:t>
      </w:r>
      <w:r>
        <w:rPr>
          <w:rFonts w:ascii="Palatino Linotype" w:hAnsi="Palatino Linotype"/>
          <w:sz w:val="14"/>
        </w:rPr>
        <w:t xml:space="preserve"> </w:t>
      </w:r>
      <w:proofErr w:type="spellStart"/>
      <w:r>
        <w:rPr>
          <w:rFonts w:ascii="Palatino Linotype" w:hAnsi="Palatino Linotype"/>
          <w:sz w:val="14"/>
        </w:rPr>
        <w:t>Ningún</w:t>
      </w:r>
      <w:proofErr w:type="spellEnd"/>
      <w:r>
        <w:rPr>
          <w:rFonts w:ascii="Palatino Linotype" w:hAnsi="Palatino Linotype"/>
          <w:sz w:val="14"/>
        </w:rPr>
        <w:t xml:space="preserve"> derecho fundamental es absoluto y en esa medida todos admiten restricciones. Sin embargo, la </w:t>
      </w:r>
      <w:proofErr w:type="spellStart"/>
      <w:r>
        <w:rPr>
          <w:rFonts w:ascii="Palatino Linotype" w:hAnsi="Palatino Linotype"/>
          <w:sz w:val="14"/>
        </w:rPr>
        <w:t>regulación</w:t>
      </w:r>
      <w:proofErr w:type="spellEnd"/>
      <w:r>
        <w:rPr>
          <w:rFonts w:ascii="Palatino Linotype" w:hAnsi="Palatino Linotype"/>
          <w:sz w:val="14"/>
        </w:rPr>
        <w:t xml:space="preserve"> de dichas restricciones no puede ser arbitraria. Para que las medidas emitidas por el legislador ordinario con el </w:t>
      </w:r>
      <w:proofErr w:type="spellStart"/>
      <w:r>
        <w:rPr>
          <w:rFonts w:ascii="Palatino Linotype" w:hAnsi="Palatino Linotype"/>
          <w:sz w:val="14"/>
        </w:rPr>
        <w:t>propósito</w:t>
      </w:r>
      <w:proofErr w:type="spellEnd"/>
      <w:r>
        <w:rPr>
          <w:rFonts w:ascii="Palatino Linotype" w:hAnsi="Palatino Linotype"/>
          <w:sz w:val="14"/>
        </w:rPr>
        <w:t xml:space="preserve"> de restringir los derechos fundamentales sean </w:t>
      </w:r>
      <w:proofErr w:type="spellStart"/>
      <w:r>
        <w:rPr>
          <w:rFonts w:ascii="Palatino Linotype" w:hAnsi="Palatino Linotype"/>
          <w:sz w:val="14"/>
        </w:rPr>
        <w:t>válidas</w:t>
      </w:r>
      <w:proofErr w:type="spellEnd"/>
      <w:r>
        <w:rPr>
          <w:rFonts w:ascii="Palatino Linotype" w:hAnsi="Palatino Linotype"/>
          <w:sz w:val="14"/>
        </w:rPr>
        <w:t xml:space="preserve">, deben satisfacer al menos los siguientes requisitos: a) ser admisibles dentro del </w:t>
      </w:r>
      <w:proofErr w:type="spellStart"/>
      <w:r>
        <w:rPr>
          <w:rFonts w:ascii="Palatino Linotype" w:hAnsi="Palatino Linotype"/>
          <w:sz w:val="14"/>
        </w:rPr>
        <w:t>ámbito</w:t>
      </w:r>
      <w:proofErr w:type="spellEnd"/>
      <w:r>
        <w:rPr>
          <w:rFonts w:ascii="Palatino Linotype" w:hAnsi="Palatino Linotype"/>
          <w:sz w:val="14"/>
        </w:rPr>
        <w:t xml:space="preserve"> constitucional, esto es, el legislador ordinario </w:t>
      </w:r>
      <w:proofErr w:type="spellStart"/>
      <w:r>
        <w:rPr>
          <w:rFonts w:ascii="Palatino Linotype" w:hAnsi="Palatino Linotype"/>
          <w:sz w:val="14"/>
        </w:rPr>
        <w:t>sólo</w:t>
      </w:r>
      <w:proofErr w:type="spellEnd"/>
      <w:r>
        <w:rPr>
          <w:rFonts w:ascii="Palatino Linotype" w:hAnsi="Palatino Linotype"/>
          <w:sz w:val="14"/>
        </w:rPr>
        <w:t xml:space="preserve"> puede restringir o suspender el ejercicio de las </w:t>
      </w:r>
      <w:proofErr w:type="spellStart"/>
      <w:r>
        <w:rPr>
          <w:rFonts w:ascii="Palatino Linotype" w:hAnsi="Palatino Linotype"/>
          <w:sz w:val="14"/>
        </w:rPr>
        <w:t>garantías</w:t>
      </w:r>
      <w:proofErr w:type="spellEnd"/>
      <w:r>
        <w:rPr>
          <w:rFonts w:ascii="Palatino Linotype" w:hAnsi="Palatino Linotype"/>
          <w:sz w:val="14"/>
        </w:rPr>
        <w:t xml:space="preserve"> individuales con objetivos que puedan enmarcarse dentro de las previsiones de la Carta Magna; b) ser necesarias para asegurar la </w:t>
      </w:r>
      <w:proofErr w:type="spellStart"/>
      <w:r>
        <w:rPr>
          <w:rFonts w:ascii="Palatino Linotype" w:hAnsi="Palatino Linotype"/>
          <w:sz w:val="14"/>
        </w:rPr>
        <w:t>obtención</w:t>
      </w:r>
      <w:proofErr w:type="spellEnd"/>
      <w:r>
        <w:rPr>
          <w:rFonts w:ascii="Palatino Linotype" w:hAnsi="Palatino Linotype"/>
          <w:sz w:val="14"/>
        </w:rPr>
        <w:t xml:space="preserve"> de los fines que fundamentan la </w:t>
      </w:r>
      <w:proofErr w:type="spellStart"/>
      <w:r>
        <w:rPr>
          <w:rFonts w:ascii="Palatino Linotype" w:hAnsi="Palatino Linotype"/>
          <w:sz w:val="14"/>
        </w:rPr>
        <w:t>restricción</w:t>
      </w:r>
      <w:proofErr w:type="spellEnd"/>
      <w:r>
        <w:rPr>
          <w:rFonts w:ascii="Palatino Linotype" w:hAnsi="Palatino Linotype"/>
          <w:sz w:val="14"/>
        </w:rPr>
        <w:t xml:space="preserve"> constitucional, es decir, no basta que la </w:t>
      </w:r>
      <w:proofErr w:type="spellStart"/>
      <w:r>
        <w:rPr>
          <w:rFonts w:ascii="Palatino Linotype" w:hAnsi="Palatino Linotype"/>
          <w:sz w:val="14"/>
        </w:rPr>
        <w:t>restricción</w:t>
      </w:r>
      <w:proofErr w:type="spellEnd"/>
      <w:r>
        <w:rPr>
          <w:rFonts w:ascii="Palatino Linotype" w:hAnsi="Palatino Linotype"/>
          <w:sz w:val="14"/>
        </w:rPr>
        <w:t xml:space="preserve"> sea en </w:t>
      </w:r>
      <w:proofErr w:type="spellStart"/>
      <w:r>
        <w:rPr>
          <w:rFonts w:ascii="Palatino Linotype" w:hAnsi="Palatino Linotype"/>
          <w:sz w:val="14"/>
        </w:rPr>
        <w:t>términos</w:t>
      </w:r>
      <w:proofErr w:type="spellEnd"/>
      <w:r>
        <w:rPr>
          <w:rFonts w:ascii="Palatino Linotype" w:hAnsi="Palatino Linotype"/>
          <w:sz w:val="14"/>
        </w:rPr>
        <w:t xml:space="preserve"> amplios </w:t>
      </w:r>
      <w:proofErr w:type="spellStart"/>
      <w:r>
        <w:rPr>
          <w:rFonts w:ascii="Palatino Linotype" w:hAnsi="Palatino Linotype"/>
          <w:sz w:val="14"/>
        </w:rPr>
        <w:t>útil</w:t>
      </w:r>
      <w:proofErr w:type="spellEnd"/>
      <w:r>
        <w:rPr>
          <w:rFonts w:ascii="Palatino Linotype" w:hAnsi="Palatino Linotype"/>
          <w:sz w:val="14"/>
        </w:rPr>
        <w:t xml:space="preserve"> para la </w:t>
      </w:r>
      <w:proofErr w:type="spellStart"/>
      <w:r>
        <w:rPr>
          <w:rFonts w:ascii="Palatino Linotype" w:hAnsi="Palatino Linotype"/>
          <w:sz w:val="14"/>
        </w:rPr>
        <w:t>obtención</w:t>
      </w:r>
      <w:proofErr w:type="spellEnd"/>
      <w:r>
        <w:rPr>
          <w:rFonts w:ascii="Palatino Linotype" w:hAnsi="Palatino Linotype"/>
          <w:sz w:val="14"/>
        </w:rPr>
        <w:t xml:space="preserve"> de esos objetivos, sino que debe ser la </w:t>
      </w:r>
      <w:proofErr w:type="spellStart"/>
      <w:r>
        <w:rPr>
          <w:rFonts w:ascii="Palatino Linotype" w:hAnsi="Palatino Linotype"/>
          <w:sz w:val="14"/>
        </w:rPr>
        <w:t>idónea</w:t>
      </w:r>
      <w:proofErr w:type="spellEnd"/>
      <w:r>
        <w:rPr>
          <w:rFonts w:ascii="Palatino Linotype" w:hAnsi="Palatino Linotype"/>
          <w:sz w:val="14"/>
        </w:rPr>
        <w:t xml:space="preserve"> para su </w:t>
      </w:r>
      <w:proofErr w:type="spellStart"/>
      <w:r>
        <w:rPr>
          <w:rFonts w:ascii="Palatino Linotype" w:hAnsi="Palatino Linotype"/>
          <w:sz w:val="14"/>
        </w:rPr>
        <w:t>realización</w:t>
      </w:r>
      <w:proofErr w:type="spellEnd"/>
      <w:r>
        <w:rPr>
          <w:rFonts w:ascii="Palatino Linotype" w:hAnsi="Palatino Linotype"/>
          <w:sz w:val="14"/>
        </w:rPr>
        <w:t xml:space="preserve">, lo que significa que el fin buscado por el legislador no se pueda alcanzar razonablemente por otros medios menos restrictivos de derechos fundamentales; y, c) ser proporcional, esto es, la medida legislativa debe respetar una correspondencia entre la importancia del fin buscado por la ley, y los efectos perjudiciales que produce en otros derechos e intereses constitucionales, en el entendido de que la </w:t>
      </w:r>
      <w:proofErr w:type="spellStart"/>
      <w:r>
        <w:rPr>
          <w:rFonts w:ascii="Palatino Linotype" w:hAnsi="Palatino Linotype"/>
          <w:sz w:val="14"/>
        </w:rPr>
        <w:t>persecución</w:t>
      </w:r>
      <w:proofErr w:type="spellEnd"/>
      <w:r>
        <w:rPr>
          <w:rFonts w:ascii="Palatino Linotype" w:hAnsi="Palatino Linotype"/>
          <w:sz w:val="14"/>
        </w:rPr>
        <w:t xml:space="preserve"> de un objetivo constitucional no puede hacerse a costa de una </w:t>
      </w:r>
      <w:proofErr w:type="spellStart"/>
      <w:r>
        <w:rPr>
          <w:rFonts w:ascii="Palatino Linotype" w:hAnsi="Palatino Linotype"/>
          <w:sz w:val="14"/>
        </w:rPr>
        <w:t>afectación</w:t>
      </w:r>
      <w:proofErr w:type="spellEnd"/>
      <w:r>
        <w:rPr>
          <w:rFonts w:ascii="Palatino Linotype" w:hAnsi="Palatino Linotype"/>
          <w:sz w:val="14"/>
        </w:rPr>
        <w:t xml:space="preserve"> innecesaria o desmedida a otros bienes y derechos constitucionalmente protegidos. </w:t>
      </w:r>
      <w:proofErr w:type="spellStart"/>
      <w:r>
        <w:rPr>
          <w:rFonts w:ascii="Palatino Linotype" w:hAnsi="Palatino Linotype"/>
          <w:sz w:val="14"/>
        </w:rPr>
        <w:t>Asi</w:t>
      </w:r>
      <w:proofErr w:type="spellEnd"/>
      <w:r>
        <w:rPr>
          <w:rFonts w:ascii="Palatino Linotype" w:hAnsi="Palatino Linotype"/>
          <w:sz w:val="14"/>
        </w:rPr>
        <w:t xml:space="preserve">́, el juzgador debe determinar en cada caso si la </w:t>
      </w:r>
      <w:proofErr w:type="spellStart"/>
      <w:r>
        <w:rPr>
          <w:rFonts w:ascii="Palatino Linotype" w:hAnsi="Palatino Linotype"/>
          <w:sz w:val="14"/>
        </w:rPr>
        <w:t>restricción</w:t>
      </w:r>
      <w:proofErr w:type="spellEnd"/>
      <w:r>
        <w:rPr>
          <w:rFonts w:ascii="Palatino Linotype" w:hAnsi="Palatino Linotype"/>
          <w:sz w:val="14"/>
        </w:rPr>
        <w:t xml:space="preserve"> legislativa a un derecho fundamental es, en primer lugar, admisible dadas las previsiones constitucionales, en segundo lugar, si es el medio necesario para proteger esos fines o intereses constitucionalmente amparados, al no existir opciones menos restrictivas que permitan alcanzarlos; y en tercer lugar, si la </w:t>
      </w:r>
      <w:proofErr w:type="spellStart"/>
      <w:r>
        <w:rPr>
          <w:rFonts w:ascii="Palatino Linotype" w:hAnsi="Palatino Linotype"/>
          <w:sz w:val="14"/>
        </w:rPr>
        <w:t>distinción</w:t>
      </w:r>
      <w:proofErr w:type="spellEnd"/>
      <w:r>
        <w:rPr>
          <w:rFonts w:ascii="Palatino Linotype" w:hAnsi="Palatino Linotype"/>
          <w:sz w:val="14"/>
        </w:rPr>
        <w:t xml:space="preserve"> legislativa se encuentra dentro de las opciones de tratamiento que pueden considerarse proporcionales. De igual manera, las restricciones </w:t>
      </w:r>
      <w:proofErr w:type="spellStart"/>
      <w:r>
        <w:rPr>
          <w:rFonts w:ascii="Palatino Linotype" w:hAnsi="Palatino Linotype"/>
          <w:sz w:val="14"/>
        </w:rPr>
        <w:t>deberán</w:t>
      </w:r>
      <w:proofErr w:type="spellEnd"/>
      <w:r>
        <w:rPr>
          <w:rFonts w:ascii="Palatino Linotype" w:hAnsi="Palatino Linotype"/>
          <w:sz w:val="14"/>
        </w:rPr>
        <w:t xml:space="preserve"> estar en consonancia con la ley, incluidas las normas internacionales de derechos humanos, y ser compatibles con la naturaleza de los derechos amparados por la </w:t>
      </w:r>
      <w:proofErr w:type="spellStart"/>
      <w:r>
        <w:rPr>
          <w:rFonts w:ascii="Palatino Linotype" w:hAnsi="Palatino Linotype"/>
          <w:sz w:val="14"/>
        </w:rPr>
        <w:t>Constitución</w:t>
      </w:r>
      <w:proofErr w:type="spellEnd"/>
      <w:r>
        <w:rPr>
          <w:rFonts w:ascii="Palatino Linotype" w:hAnsi="Palatino Linotype"/>
          <w:sz w:val="14"/>
        </w:rPr>
        <w:t xml:space="preserve">, en aras de la </w:t>
      </w:r>
      <w:proofErr w:type="spellStart"/>
      <w:r>
        <w:rPr>
          <w:rFonts w:ascii="Palatino Linotype" w:hAnsi="Palatino Linotype"/>
          <w:sz w:val="14"/>
        </w:rPr>
        <w:t>consecución</w:t>
      </w:r>
      <w:proofErr w:type="spellEnd"/>
      <w:r>
        <w:rPr>
          <w:rFonts w:ascii="Palatino Linotype" w:hAnsi="Palatino Linotype"/>
          <w:sz w:val="14"/>
        </w:rPr>
        <w:t xml:space="preserve"> de los objetivos </w:t>
      </w:r>
      <w:proofErr w:type="spellStart"/>
      <w:r>
        <w:rPr>
          <w:rFonts w:ascii="Palatino Linotype" w:hAnsi="Palatino Linotype"/>
          <w:sz w:val="14"/>
        </w:rPr>
        <w:t>legítimos</w:t>
      </w:r>
      <w:proofErr w:type="spellEnd"/>
      <w:r>
        <w:rPr>
          <w:rFonts w:ascii="Palatino Linotype" w:hAnsi="Palatino Linotype"/>
          <w:sz w:val="14"/>
        </w:rPr>
        <w:t xml:space="preserve"> perseguidos, y ser estrictamente necesarias para promover el bienestar general en una sociedad </w:t>
      </w:r>
      <w:proofErr w:type="spellStart"/>
      <w:r>
        <w:rPr>
          <w:rFonts w:ascii="Palatino Linotype" w:hAnsi="Palatino Linotype"/>
          <w:sz w:val="14"/>
        </w:rPr>
        <w:t>democrática</w:t>
      </w:r>
      <w:proofErr w:type="spellEnd"/>
      <w:r>
        <w:rPr>
          <w:rFonts w:ascii="Palatino Linotype" w:hAnsi="Palatino Linotype"/>
          <w:sz w:val="14"/>
        </w:rPr>
        <w:t xml:space="preserve">. </w:t>
      </w:r>
    </w:p>
    <w:p w:rsidR="0070501C" w:rsidRDefault="0070501C" w:rsidP="006B4565">
      <w:pPr>
        <w:pStyle w:val="Textonotapie"/>
        <w:jc w:val="both"/>
        <w:rPr>
          <w:rFonts w:ascii="Palatino Linotype" w:hAnsi="Palatino Linotype"/>
          <w:sz w:val="14"/>
        </w:rPr>
      </w:pPr>
      <w:r>
        <w:rPr>
          <w:rFonts w:ascii="Palatino Linotype" w:hAnsi="Palatino Linotype"/>
          <w:sz w:val="14"/>
        </w:rPr>
        <w:t xml:space="preserve">1a./J. 2/2012 (9a.). Primera Sala. </w:t>
      </w:r>
      <w:proofErr w:type="spellStart"/>
      <w:r>
        <w:rPr>
          <w:rFonts w:ascii="Palatino Linotype" w:hAnsi="Palatino Linotype"/>
          <w:sz w:val="14"/>
        </w:rPr>
        <w:t>Décima</w:t>
      </w:r>
      <w:proofErr w:type="spellEnd"/>
      <w:r>
        <w:rPr>
          <w:rFonts w:ascii="Palatino Linotype" w:hAnsi="Palatino Linotype"/>
          <w:sz w:val="14"/>
        </w:rPr>
        <w:t xml:space="preserve"> </w:t>
      </w:r>
      <w:proofErr w:type="spellStart"/>
      <w:r>
        <w:rPr>
          <w:rFonts w:ascii="Palatino Linotype" w:hAnsi="Palatino Linotype"/>
          <w:sz w:val="14"/>
        </w:rPr>
        <w:t>Época</w:t>
      </w:r>
      <w:proofErr w:type="spellEnd"/>
      <w:r>
        <w:rPr>
          <w:rFonts w:ascii="Palatino Linotype" w:hAnsi="Palatino Linotype"/>
          <w:sz w:val="14"/>
        </w:rPr>
        <w:t xml:space="preserve">. Semanario Judicial de la </w:t>
      </w:r>
      <w:proofErr w:type="spellStart"/>
      <w:r>
        <w:rPr>
          <w:rFonts w:ascii="Palatino Linotype" w:hAnsi="Palatino Linotype"/>
          <w:sz w:val="14"/>
        </w:rPr>
        <w:t>Federación</w:t>
      </w:r>
      <w:proofErr w:type="spellEnd"/>
      <w:r>
        <w:rPr>
          <w:rFonts w:ascii="Palatino Linotype" w:hAnsi="Palatino Linotype"/>
          <w:sz w:val="14"/>
        </w:rPr>
        <w:t xml:space="preserve"> y su Gaceta. Libro V, Febrero de 2012, </w:t>
      </w:r>
      <w:proofErr w:type="spellStart"/>
      <w:r>
        <w:rPr>
          <w:rFonts w:ascii="Palatino Linotype" w:hAnsi="Palatino Linotype"/>
          <w:sz w:val="14"/>
        </w:rPr>
        <w:t>Pág</w:t>
      </w:r>
      <w:proofErr w:type="spellEnd"/>
      <w:r>
        <w:rPr>
          <w:rFonts w:ascii="Palatino Linotype" w:hAnsi="Palatino Linotype"/>
          <w:sz w:val="14"/>
        </w:rPr>
        <w:t xml:space="preserve">. 533.  </w:t>
      </w:r>
    </w:p>
  </w:footnote>
  <w:footnote w:id="2">
    <w:p w:rsidR="0070501C" w:rsidRDefault="0070501C" w:rsidP="006B4565">
      <w:pPr>
        <w:pStyle w:val="Textonotapie"/>
        <w:jc w:val="both"/>
        <w:rPr>
          <w:rFonts w:ascii="Palatino Linotype" w:hAnsi="Palatino Linotype"/>
          <w:sz w:val="14"/>
          <w:lang w:val="es-ES"/>
        </w:rPr>
      </w:pPr>
      <w:r>
        <w:rPr>
          <w:rStyle w:val="Refdenotaalpie"/>
          <w:rFonts w:ascii="Palatino Linotype" w:hAnsi="Palatino Linotype"/>
          <w:sz w:val="14"/>
        </w:rPr>
        <w:footnoteRef/>
      </w:r>
      <w:r>
        <w:rPr>
          <w:rFonts w:ascii="Palatino Linotype" w:hAnsi="Palatino Linotype"/>
          <w:sz w:val="14"/>
        </w:rPr>
        <w:t xml:space="preserve"> “67. Según se ha interpretado por la jurisprudencia interamericana, el artículo 13.2 de la Convención Americana exige el cumplimiento de las siguientes tres condiciones básicas para que una limitación al derecho a la libertad de expresión sea admisible: (1) la limitación debe haber sido definida en forma precisa y clara a través de una ley formal y material, (2) la limitación debe estar orientada al logro de objetivos imperiosos autorizados por la Convención Americana, y (3) la limitación debe ser necesaria en una sociedad democrática para el logro de los fines imperiosos que se buscan; estrictamente proporcionada a la finalidad perseguida; e idónea para lograr el objetivo imperioso que pretende lograr”. Relatoría Especial para la Libertad de Expresión, Comisión Interamericana de Derechos Humanos. </w:t>
      </w:r>
      <w:r>
        <w:rPr>
          <w:rFonts w:ascii="Palatino Linotype" w:hAnsi="Palatino Linotype"/>
          <w:i/>
          <w:sz w:val="14"/>
        </w:rPr>
        <w:t>Marco jurídico interamericano sobre el derecho a la libertad de expresión</w:t>
      </w:r>
      <w:r>
        <w:rPr>
          <w:rFonts w:ascii="Palatino Linotype" w:hAnsi="Palatino Linotype"/>
          <w:sz w:val="14"/>
        </w:rPr>
        <w:t xml:space="preserve">. Párr. 67. </w:t>
      </w:r>
    </w:p>
  </w:footnote>
  <w:footnote w:id="3">
    <w:p w:rsidR="0070501C" w:rsidRDefault="0070501C" w:rsidP="006B4565">
      <w:pPr>
        <w:pStyle w:val="Textonotapie"/>
        <w:jc w:val="both"/>
        <w:rPr>
          <w:rFonts w:ascii="Palatino Linotype" w:hAnsi="Palatino Linotype"/>
          <w:sz w:val="18"/>
          <w:lang w:val="es-ES"/>
        </w:rPr>
      </w:pPr>
      <w:r>
        <w:rPr>
          <w:rStyle w:val="Refdenotaalpie"/>
          <w:rFonts w:ascii="Palatino Linotype" w:hAnsi="Palatino Linotype"/>
          <w:sz w:val="18"/>
        </w:rPr>
        <w:footnoteRef/>
      </w:r>
      <w:r>
        <w:rPr>
          <w:rFonts w:ascii="Palatino Linotype" w:hAnsi="Palatino Linotype"/>
          <w:sz w:val="18"/>
        </w:rPr>
        <w:t xml:space="preserve"> </w:t>
      </w:r>
      <w:r>
        <w:rPr>
          <w:rFonts w:ascii="Palatino Linotype" w:hAnsi="Palatino Linotype"/>
          <w:sz w:val="18"/>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rsidR="0070501C" w:rsidRDefault="0070501C" w:rsidP="006B4565">
      <w:pPr>
        <w:pStyle w:val="Textonotapie"/>
        <w:jc w:val="both"/>
        <w:rPr>
          <w:rFonts w:ascii="Palatino Linotype" w:hAnsi="Palatino Linotype"/>
          <w:sz w:val="18"/>
          <w:lang w:val="es-ES"/>
        </w:rPr>
      </w:pPr>
      <w:r>
        <w:rPr>
          <w:rFonts w:ascii="Palatino Linotype" w:hAnsi="Palatino Linotype"/>
          <w:sz w:val="18"/>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rsidR="0070501C" w:rsidRDefault="0070501C" w:rsidP="006B4565">
      <w:pPr>
        <w:pStyle w:val="Textonotapie"/>
        <w:jc w:val="both"/>
        <w:rPr>
          <w:rFonts w:ascii="Palatino Linotype" w:hAnsi="Palatino Linotype"/>
          <w:sz w:val="18"/>
          <w:lang w:val="es-ES"/>
        </w:rPr>
      </w:pPr>
      <w:r>
        <w:rPr>
          <w:rFonts w:ascii="Palatino Linotype" w:hAnsi="Palatino Linotype"/>
          <w:sz w:val="18"/>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w:t>
      </w:r>
      <w:proofErr w:type="spellStart"/>
      <w:r>
        <w:rPr>
          <w:rFonts w:ascii="Palatino Linotype" w:hAnsi="Palatino Linotype"/>
          <w:sz w:val="18"/>
          <w:lang w:val="es-ES"/>
        </w:rPr>
        <w:t>Pp</w:t>
      </w:r>
      <w:proofErr w:type="spellEnd"/>
      <w:r>
        <w:rPr>
          <w:rFonts w:ascii="Palatino Linotype" w:hAnsi="Palatino Linotype"/>
          <w:sz w:val="18"/>
          <w:lang w:val="es-ES"/>
        </w:rPr>
        <w:t xml:space="preserve"> 1-19. </w:t>
      </w:r>
    </w:p>
  </w:footnote>
  <w:footnote w:id="4">
    <w:p w:rsidR="0070501C" w:rsidRDefault="0070501C" w:rsidP="006B4565">
      <w:pPr>
        <w:pStyle w:val="Textonotapie"/>
        <w:jc w:val="both"/>
        <w:rPr>
          <w:rFonts w:ascii="Palatino Linotype" w:hAnsi="Palatino Linotype"/>
          <w:sz w:val="18"/>
          <w:lang w:val="es-ES"/>
        </w:rPr>
      </w:pPr>
      <w:r>
        <w:rPr>
          <w:rStyle w:val="Refdenotaalpie"/>
          <w:rFonts w:ascii="Palatino Linotype" w:hAnsi="Palatino Linotype"/>
          <w:sz w:val="18"/>
        </w:rPr>
        <w:footnoteRef/>
      </w:r>
      <w:r>
        <w:rPr>
          <w:rFonts w:ascii="Palatino Linotype" w:hAnsi="Palatino Linotype"/>
          <w:sz w:val="18"/>
        </w:rPr>
        <w:t xml:space="preserve"> </w:t>
      </w:r>
      <w:r>
        <w:rPr>
          <w:rFonts w:ascii="Palatino Linotype" w:hAnsi="Palatino Linotype"/>
          <w:sz w:val="18"/>
          <w:lang w:val="es-ES"/>
        </w:rPr>
        <w:t xml:space="preserve">Tribunales Colegiados de Circuito. Novena </w:t>
      </w:r>
      <w:proofErr w:type="spellStart"/>
      <w:r>
        <w:rPr>
          <w:rFonts w:ascii="Palatino Linotype" w:hAnsi="Palatino Linotype"/>
          <w:sz w:val="18"/>
          <w:lang w:val="es-ES"/>
        </w:rPr>
        <w:t>Epoca</w:t>
      </w:r>
      <w:proofErr w:type="spellEnd"/>
      <w:r>
        <w:rPr>
          <w:rFonts w:ascii="Palatino Linotype" w:hAnsi="Palatino Linotype"/>
          <w:sz w:val="18"/>
          <w:lang w:val="es-ES"/>
        </w:rPr>
        <w:t xml:space="preserve">. Semanario Judicial de la Federación y su Gaceta. Tomo III, marzo de 1996. </w:t>
      </w:r>
      <w:proofErr w:type="spellStart"/>
      <w:r>
        <w:rPr>
          <w:rFonts w:ascii="Palatino Linotype" w:hAnsi="Palatino Linotype"/>
          <w:sz w:val="18"/>
          <w:lang w:val="es-ES"/>
        </w:rPr>
        <w:t>Pág</w:t>
      </w:r>
      <w:proofErr w:type="spellEnd"/>
      <w:r>
        <w:rPr>
          <w:rFonts w:ascii="Palatino Linotype" w:hAnsi="Palatino Linotype"/>
          <w:sz w:val="18"/>
          <w:lang w:val="es-ES"/>
        </w:rPr>
        <w:t xml:space="preserve"> 769. Consultado en http://sjf.scjn.gob.mx/sjfsist/Documentos/Tesis/203/203143.pdf  el viernes 16 de junio de 2017.</w:t>
      </w:r>
    </w:p>
  </w:footnote>
  <w:footnote w:id="5">
    <w:p w:rsidR="0070501C" w:rsidRDefault="0070501C" w:rsidP="006B4565">
      <w:pPr>
        <w:pStyle w:val="Textonotapie"/>
        <w:jc w:val="both"/>
        <w:rPr>
          <w:rFonts w:ascii="Palatino Linotype" w:hAnsi="Palatino Linotype"/>
          <w:sz w:val="18"/>
        </w:rPr>
      </w:pPr>
      <w:r>
        <w:rPr>
          <w:rStyle w:val="Refdenotaalpie"/>
          <w:rFonts w:ascii="Palatino Linotype" w:hAnsi="Palatino Linotype"/>
          <w:sz w:val="18"/>
        </w:rPr>
        <w:footnoteRef/>
      </w:r>
      <w:r>
        <w:rPr>
          <w:rFonts w:ascii="Palatino Linotype" w:hAnsi="Palatino Linotype"/>
          <w:sz w:val="18"/>
        </w:rPr>
        <w:t xml:space="preserve"> Artículo 3. Para los efectos de la presente Ley se entenderá por:</w:t>
      </w:r>
    </w:p>
    <w:p w:rsidR="0070501C" w:rsidRDefault="0070501C" w:rsidP="006B4565">
      <w:pPr>
        <w:pStyle w:val="Textonotapie"/>
        <w:jc w:val="both"/>
        <w:rPr>
          <w:rFonts w:ascii="Palatino Linotype" w:hAnsi="Palatino Linotype"/>
          <w:sz w:val="18"/>
        </w:rPr>
      </w:pPr>
      <w:r>
        <w:rPr>
          <w:rFonts w:ascii="Palatino Linotype" w:hAnsi="Palatino Linotype"/>
          <w:sz w:val="18"/>
        </w:rPr>
        <w:t xml:space="preserve"> (…)</w:t>
      </w:r>
    </w:p>
    <w:p w:rsidR="0070501C" w:rsidRDefault="0070501C" w:rsidP="006B4565">
      <w:pPr>
        <w:pStyle w:val="Textonotapie"/>
        <w:jc w:val="both"/>
        <w:rPr>
          <w:rFonts w:ascii="Palatino Linotype" w:hAnsi="Palatino Linotype"/>
          <w:sz w:val="18"/>
        </w:rPr>
      </w:pPr>
      <w:r>
        <w:rPr>
          <w:rFonts w:ascii="Palatino Linotype" w:hAnsi="Palatino Linotype"/>
          <w:sz w:val="18"/>
        </w:rPr>
        <w:t>IX. Datos personales: La información concerniente a una persona, identificada o identificable según lo dispuesto por la Ley de Protección de Datos Personales del Estado de México;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E5FA2" w:rsidRDefault="0038595A">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44094001" o:spid="_x0000_s2050" type="#_x0000_t75" style="position:absolute;margin-left:0;margin-top:0;width:609.4pt;height:793.75pt;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0501C" w:rsidRDefault="0038595A">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44094002" o:spid="_x0000_s2051" type="#_x0000_t75" style="position:absolute;margin-left:-74.3pt;margin-top:-137.3pt;width:609.4pt;height:793.75pt;z-index:-251656192;mso-position-horizontal-relative:margin;mso-position-vertical-relative:margin" o:allowincell="f">
          <v:imagedata r:id="rId1" o:title="resolución"/>
          <w10:wrap anchorx="margin" anchory="margin"/>
        </v:shape>
      </w:pict>
    </w:r>
  </w:p>
  <w:p w:rsidR="0070501C" w:rsidRDefault="0070501C" w:rsidP="00F14810">
    <w:pPr>
      <w:pStyle w:val="Encabezado"/>
      <w:tabs>
        <w:tab w:val="clear" w:pos="4419"/>
        <w:tab w:val="clear" w:pos="8838"/>
        <w:tab w:val="left" w:pos="7283"/>
        <w:tab w:val="left" w:pos="7800"/>
      </w:tabs>
    </w:pPr>
    <w:r>
      <w:tab/>
    </w:r>
    <w:r>
      <w:tab/>
    </w:r>
  </w:p>
  <w:tbl>
    <w:tblPr>
      <w:tblStyle w:val="Tablaconcuadrcula"/>
      <w:tblW w:w="6323" w:type="dxa"/>
      <w:tblInd w:w="26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3771"/>
    </w:tblGrid>
    <w:tr w:rsidR="0070501C" w:rsidRPr="00EF13C1" w:rsidTr="00F14810">
      <w:trPr>
        <w:trHeight w:val="138"/>
      </w:trPr>
      <w:tc>
        <w:tcPr>
          <w:tcW w:w="2552" w:type="dxa"/>
          <w:vAlign w:val="center"/>
        </w:tcPr>
        <w:p w:rsidR="0070501C" w:rsidRPr="00EF13C1" w:rsidRDefault="0070501C" w:rsidP="00F14810">
          <w:pPr>
            <w:rPr>
              <w:rFonts w:ascii="Palatino Linotype" w:hAnsi="Palatino Linotype"/>
              <w:b/>
              <w:sz w:val="22"/>
              <w:szCs w:val="22"/>
            </w:rPr>
          </w:pPr>
          <w:r w:rsidRPr="00EF13C1">
            <w:rPr>
              <w:rFonts w:ascii="Palatino Linotype" w:hAnsi="Palatino Linotype"/>
              <w:b/>
              <w:sz w:val="22"/>
              <w:szCs w:val="22"/>
            </w:rPr>
            <w:t>Recurso de revisión:</w:t>
          </w:r>
        </w:p>
      </w:tc>
      <w:tc>
        <w:tcPr>
          <w:tcW w:w="3771" w:type="dxa"/>
          <w:vAlign w:val="center"/>
        </w:tcPr>
        <w:p w:rsidR="0070501C" w:rsidRPr="005176BA" w:rsidRDefault="0070501C" w:rsidP="00F14810">
          <w:pPr>
            <w:pStyle w:val="Encabezado"/>
            <w:ind w:right="-47"/>
            <w:rPr>
              <w:rFonts w:ascii="Palatino Linotype" w:hAnsi="Palatino Linotype" w:cs="Arial"/>
              <w:b/>
              <w:bCs/>
              <w:sz w:val="22"/>
              <w:szCs w:val="22"/>
              <w:lang w:eastAsia="es-MX"/>
            </w:rPr>
          </w:pPr>
          <w:r>
            <w:rPr>
              <w:rFonts w:ascii="Palatino Linotype" w:hAnsi="Palatino Linotype" w:cs="Arial"/>
              <w:b/>
              <w:bCs/>
              <w:sz w:val="22"/>
              <w:szCs w:val="22"/>
              <w:lang w:eastAsia="es-MX"/>
            </w:rPr>
            <w:t>00803/INFOEM/IP/RR/2021</w:t>
          </w:r>
        </w:p>
      </w:tc>
    </w:tr>
    <w:tr w:rsidR="0070501C" w:rsidRPr="00EF13C1" w:rsidTr="00F14810">
      <w:trPr>
        <w:trHeight w:val="321"/>
      </w:trPr>
      <w:tc>
        <w:tcPr>
          <w:tcW w:w="2552" w:type="dxa"/>
          <w:vAlign w:val="center"/>
        </w:tcPr>
        <w:p w:rsidR="0070501C" w:rsidRPr="00EF13C1" w:rsidRDefault="0070501C" w:rsidP="00F14810">
          <w:pPr>
            <w:rPr>
              <w:rFonts w:ascii="Palatino Linotype" w:hAnsi="Palatino Linotype"/>
              <w:b/>
              <w:sz w:val="22"/>
              <w:szCs w:val="22"/>
            </w:rPr>
          </w:pPr>
          <w:r w:rsidRPr="00EF13C1">
            <w:rPr>
              <w:rFonts w:ascii="Palatino Linotype" w:hAnsi="Palatino Linotype"/>
              <w:b/>
              <w:sz w:val="22"/>
              <w:szCs w:val="22"/>
            </w:rPr>
            <w:t>Sujeto obligado:</w:t>
          </w:r>
        </w:p>
      </w:tc>
      <w:tc>
        <w:tcPr>
          <w:tcW w:w="3771" w:type="dxa"/>
          <w:vAlign w:val="center"/>
        </w:tcPr>
        <w:p w:rsidR="0070501C" w:rsidRPr="00EF13C1" w:rsidRDefault="0070501C" w:rsidP="00F14810">
          <w:pPr>
            <w:pStyle w:val="Encabezado"/>
            <w:rPr>
              <w:rFonts w:ascii="Palatino Linotype" w:hAnsi="Palatino Linotype"/>
              <w:b/>
              <w:sz w:val="22"/>
              <w:szCs w:val="22"/>
            </w:rPr>
          </w:pPr>
          <w:r>
            <w:rPr>
              <w:rFonts w:ascii="Palatino Linotype" w:hAnsi="Palatino Linotype"/>
              <w:b/>
            </w:rPr>
            <w:t>Ayuntamiento de Ecatepec de Morelos</w:t>
          </w:r>
        </w:p>
      </w:tc>
    </w:tr>
    <w:tr w:rsidR="0070501C" w:rsidRPr="00EF13C1" w:rsidTr="00F14810">
      <w:trPr>
        <w:trHeight w:val="321"/>
      </w:trPr>
      <w:tc>
        <w:tcPr>
          <w:tcW w:w="2552" w:type="dxa"/>
          <w:vAlign w:val="center"/>
        </w:tcPr>
        <w:p w:rsidR="0070501C" w:rsidRPr="00EF13C1" w:rsidRDefault="0070501C" w:rsidP="00F14810">
          <w:pPr>
            <w:rPr>
              <w:rFonts w:ascii="Palatino Linotype" w:hAnsi="Palatino Linotype"/>
              <w:b/>
              <w:sz w:val="22"/>
              <w:szCs w:val="22"/>
            </w:rPr>
          </w:pPr>
          <w:r w:rsidRPr="00EF13C1">
            <w:rPr>
              <w:rFonts w:ascii="Palatino Linotype" w:hAnsi="Palatino Linotype"/>
              <w:b/>
              <w:sz w:val="22"/>
              <w:szCs w:val="22"/>
            </w:rPr>
            <w:t>Comisionado ponente:</w:t>
          </w:r>
        </w:p>
      </w:tc>
      <w:tc>
        <w:tcPr>
          <w:tcW w:w="3771" w:type="dxa"/>
          <w:vAlign w:val="center"/>
        </w:tcPr>
        <w:p w:rsidR="0070501C" w:rsidRPr="00EF13C1" w:rsidRDefault="0070501C" w:rsidP="00F14810">
          <w:pPr>
            <w:pStyle w:val="Encabezado"/>
            <w:rPr>
              <w:rFonts w:ascii="Palatino Linotype" w:hAnsi="Palatino Linotype"/>
              <w:b/>
              <w:sz w:val="22"/>
              <w:szCs w:val="22"/>
            </w:rPr>
          </w:pPr>
          <w:r w:rsidRPr="00EF13C1">
            <w:rPr>
              <w:rFonts w:ascii="Palatino Linotype" w:hAnsi="Palatino Linotype"/>
              <w:b/>
              <w:sz w:val="22"/>
              <w:szCs w:val="22"/>
            </w:rPr>
            <w:t>José Guadalupe Luna Hernández</w:t>
          </w:r>
        </w:p>
      </w:tc>
    </w:tr>
  </w:tbl>
  <w:p w:rsidR="0070501C" w:rsidRDefault="0070501C" w:rsidP="00F14810">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0501C" w:rsidRPr="00364302" w:rsidRDefault="0038595A" w:rsidP="00F14810">
    <w:pPr>
      <w:pStyle w:val="Encabezado"/>
      <w:tabs>
        <w:tab w:val="left" w:pos="3103"/>
      </w:tabs>
      <w:spacing w:line="360" w:lineRule="auto"/>
      <w:rPr>
        <w:rFonts w:ascii="Palatino Linotype" w:hAnsi="Palatino Linotype"/>
      </w:rPr>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44094000" o:spid="_x0000_s2049" type="#_x0000_t75" style="position:absolute;margin-left:0;margin-top:0;width:609.4pt;height:793.75pt;z-index:-251658240;mso-position-horizontal:center;mso-position-horizontal-relative:margin;mso-position-vertical:center;mso-position-vertical-relative:margin" o:allowincell="f">
          <v:imagedata r:id="rId1" o:title="resolución"/>
          <w10:wrap anchorx="margin" anchory="margin"/>
        </v:shape>
      </w:pict>
    </w:r>
    <w:r w:rsidR="0070501C">
      <w:tab/>
    </w:r>
  </w:p>
  <w:tbl>
    <w:tblPr>
      <w:tblStyle w:val="Tablaconcuadrcula2"/>
      <w:tblW w:w="7229" w:type="dxa"/>
      <w:tblInd w:w="214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976"/>
      <w:gridCol w:w="4253"/>
    </w:tblGrid>
    <w:tr w:rsidR="0070501C" w:rsidRPr="0018764D" w:rsidTr="00F14810">
      <w:trPr>
        <w:trHeight w:val="138"/>
      </w:trPr>
      <w:tc>
        <w:tcPr>
          <w:tcW w:w="2976" w:type="dxa"/>
          <w:vAlign w:val="center"/>
        </w:tcPr>
        <w:p w:rsidR="0070501C" w:rsidRPr="0018764D" w:rsidRDefault="0070501C" w:rsidP="00F14810">
          <w:pPr>
            <w:ind w:right="-572"/>
            <w:rPr>
              <w:rFonts w:ascii="Palatino Linotype" w:hAnsi="Palatino Linotype"/>
              <w:b/>
            </w:rPr>
          </w:pPr>
          <w:r w:rsidRPr="0018764D">
            <w:rPr>
              <w:rFonts w:ascii="Palatino Linotype" w:hAnsi="Palatino Linotype"/>
              <w:b/>
            </w:rPr>
            <w:t>Recurso de revisión:</w:t>
          </w:r>
        </w:p>
      </w:tc>
      <w:tc>
        <w:tcPr>
          <w:tcW w:w="4253" w:type="dxa"/>
          <w:vAlign w:val="center"/>
        </w:tcPr>
        <w:p w:rsidR="0070501C" w:rsidRPr="0018764D" w:rsidRDefault="0070501C" w:rsidP="00F14810">
          <w:pPr>
            <w:tabs>
              <w:tab w:val="center" w:pos="4252"/>
              <w:tab w:val="right" w:pos="8504"/>
            </w:tabs>
            <w:rPr>
              <w:rFonts w:ascii="Palatino Linotype" w:hAnsi="Palatino Linotype" w:cs="Arial"/>
              <w:b/>
              <w:bCs/>
              <w:lang w:eastAsia="es-MX"/>
            </w:rPr>
          </w:pPr>
          <w:r>
            <w:rPr>
              <w:rFonts w:ascii="Palatino Linotype" w:hAnsi="Palatino Linotype" w:cs="Arial"/>
              <w:b/>
              <w:bCs/>
              <w:lang w:eastAsia="es-MX"/>
            </w:rPr>
            <w:t>00803/INFOEM/IP/RR/2021</w:t>
          </w:r>
        </w:p>
      </w:tc>
    </w:tr>
    <w:tr w:rsidR="0070501C" w:rsidRPr="0018764D" w:rsidTr="00F14810">
      <w:trPr>
        <w:trHeight w:val="227"/>
      </w:trPr>
      <w:tc>
        <w:tcPr>
          <w:tcW w:w="2976" w:type="dxa"/>
          <w:vAlign w:val="center"/>
        </w:tcPr>
        <w:p w:rsidR="0070501C" w:rsidRPr="0018764D" w:rsidRDefault="0070501C" w:rsidP="00F14810">
          <w:pPr>
            <w:rPr>
              <w:rFonts w:ascii="Palatino Linotype" w:hAnsi="Palatino Linotype"/>
              <w:b/>
            </w:rPr>
          </w:pPr>
          <w:r w:rsidRPr="0018764D">
            <w:rPr>
              <w:rFonts w:ascii="Palatino Linotype" w:hAnsi="Palatino Linotype"/>
              <w:b/>
            </w:rPr>
            <w:t>Recurrente:</w:t>
          </w:r>
        </w:p>
      </w:tc>
      <w:tc>
        <w:tcPr>
          <w:tcW w:w="4253" w:type="dxa"/>
          <w:vAlign w:val="center"/>
        </w:tcPr>
        <w:p w:rsidR="0070501C" w:rsidRPr="0018764D" w:rsidRDefault="0070501C" w:rsidP="00F14810">
          <w:pPr>
            <w:tabs>
              <w:tab w:val="right" w:pos="8504"/>
            </w:tabs>
            <w:ind w:left="72" w:right="-250" w:hanging="142"/>
            <w:rPr>
              <w:rFonts w:ascii="Palatino Linotype" w:hAnsi="Palatino Linotype"/>
              <w:b/>
            </w:rPr>
          </w:pPr>
          <w:r>
            <w:rPr>
              <w:rFonts w:ascii="Palatino Linotype" w:hAnsi="Palatino Linotype"/>
              <w:b/>
            </w:rPr>
            <w:t xml:space="preserve"> </w:t>
          </w:r>
          <w:r w:rsidR="00925DD5" w:rsidRPr="00925DD5">
            <w:rPr>
              <w:rFonts w:ascii="Palatino Linotype" w:hAnsi="Palatino Linotype"/>
              <w:b/>
              <w:highlight w:val="black"/>
            </w:rPr>
            <w:t>------------------------------------</w:t>
          </w:r>
        </w:p>
      </w:tc>
    </w:tr>
    <w:tr w:rsidR="0070501C" w:rsidRPr="0018764D" w:rsidTr="00F14810">
      <w:trPr>
        <w:trHeight w:val="232"/>
      </w:trPr>
      <w:tc>
        <w:tcPr>
          <w:tcW w:w="2976" w:type="dxa"/>
          <w:vAlign w:val="center"/>
        </w:tcPr>
        <w:p w:rsidR="0070501C" w:rsidRPr="0018764D" w:rsidRDefault="0070501C" w:rsidP="00F14810">
          <w:pPr>
            <w:rPr>
              <w:rFonts w:ascii="Palatino Linotype" w:hAnsi="Palatino Linotype"/>
              <w:b/>
            </w:rPr>
          </w:pPr>
          <w:r w:rsidRPr="0018764D">
            <w:rPr>
              <w:rFonts w:ascii="Palatino Linotype" w:hAnsi="Palatino Linotype"/>
              <w:b/>
            </w:rPr>
            <w:t>Sujeto obligado:</w:t>
          </w:r>
        </w:p>
      </w:tc>
      <w:tc>
        <w:tcPr>
          <w:tcW w:w="4253" w:type="dxa"/>
          <w:vAlign w:val="center"/>
        </w:tcPr>
        <w:p w:rsidR="0070501C" w:rsidRPr="0018764D" w:rsidRDefault="0070501C" w:rsidP="00F14810">
          <w:pPr>
            <w:tabs>
              <w:tab w:val="center" w:pos="4252"/>
              <w:tab w:val="right" w:pos="8504"/>
            </w:tabs>
            <w:rPr>
              <w:rFonts w:ascii="Palatino Linotype" w:hAnsi="Palatino Linotype"/>
              <w:b/>
            </w:rPr>
          </w:pPr>
          <w:r>
            <w:rPr>
              <w:rFonts w:ascii="Palatino Linotype" w:hAnsi="Palatino Linotype"/>
              <w:b/>
            </w:rPr>
            <w:t>Ayuntamiento de Ecatepec de Morelos</w:t>
          </w:r>
          <w:r w:rsidRPr="0018764D">
            <w:rPr>
              <w:rFonts w:ascii="Palatino Linotype" w:hAnsi="Palatino Linotype"/>
              <w:b/>
            </w:rPr>
            <w:t xml:space="preserve">             </w:t>
          </w:r>
        </w:p>
      </w:tc>
    </w:tr>
    <w:tr w:rsidR="0070501C" w:rsidRPr="0018764D" w:rsidTr="00F14810">
      <w:trPr>
        <w:trHeight w:val="320"/>
      </w:trPr>
      <w:tc>
        <w:tcPr>
          <w:tcW w:w="2976" w:type="dxa"/>
          <w:vAlign w:val="center"/>
        </w:tcPr>
        <w:p w:rsidR="0070501C" w:rsidRPr="0018764D" w:rsidRDefault="0070501C" w:rsidP="00F14810">
          <w:pPr>
            <w:rPr>
              <w:rFonts w:ascii="Palatino Linotype" w:hAnsi="Palatino Linotype"/>
              <w:b/>
            </w:rPr>
          </w:pPr>
          <w:r w:rsidRPr="0018764D">
            <w:rPr>
              <w:rFonts w:ascii="Palatino Linotype" w:hAnsi="Palatino Linotype"/>
              <w:b/>
            </w:rPr>
            <w:t>Comisionado ponente:</w:t>
          </w:r>
        </w:p>
      </w:tc>
      <w:tc>
        <w:tcPr>
          <w:tcW w:w="4253" w:type="dxa"/>
          <w:vAlign w:val="center"/>
        </w:tcPr>
        <w:p w:rsidR="0070501C" w:rsidRPr="0018764D" w:rsidRDefault="0070501C" w:rsidP="00F14810">
          <w:pPr>
            <w:tabs>
              <w:tab w:val="center" w:pos="4252"/>
              <w:tab w:val="right" w:pos="8504"/>
            </w:tabs>
            <w:rPr>
              <w:rFonts w:ascii="Palatino Linotype" w:hAnsi="Palatino Linotype"/>
              <w:b/>
            </w:rPr>
          </w:pPr>
          <w:r w:rsidRPr="0018764D">
            <w:rPr>
              <w:rFonts w:ascii="Palatino Linotype" w:hAnsi="Palatino Linotype"/>
              <w:b/>
            </w:rPr>
            <w:t>José Guadalupe Luna Hernández</w:t>
          </w:r>
        </w:p>
      </w:tc>
    </w:tr>
  </w:tbl>
  <w:p w:rsidR="0070501C" w:rsidRDefault="0070501C" w:rsidP="00F14810">
    <w:pPr>
      <w:pStyle w:val="Encabezado"/>
      <w:tabs>
        <w:tab w:val="left" w:pos="3103"/>
      </w:tabs>
    </w:pPr>
  </w:p>
  <w:p w:rsidR="0070501C" w:rsidRDefault="0070501C" w:rsidP="00F14810">
    <w:pPr>
      <w:pStyle w:val="Encabezado"/>
      <w:tabs>
        <w:tab w:val="left" w:pos="3103"/>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51223F"/>
    <w:multiLevelType w:val="hybridMultilevel"/>
    <w:tmpl w:val="69207F6C"/>
    <w:lvl w:ilvl="0" w:tplc="0D2CC0C6">
      <w:start w:val="6"/>
      <w:numFmt w:val="decimal"/>
      <w:lvlText w:val="%1."/>
      <w:lvlJc w:val="left"/>
      <w:pPr>
        <w:ind w:left="720" w:hanging="360"/>
      </w:pPr>
      <w:rPr>
        <w:rFonts w:hint="default"/>
        <w:b/>
        <w:i w:val="0"/>
        <w:color w:val="000000" w:themeColor="text1"/>
        <w:sz w:val="24"/>
      </w:rPr>
    </w:lvl>
    <w:lvl w:ilvl="1" w:tplc="CE0085C6">
      <w:start w:val="1"/>
      <w:numFmt w:val="lowerLetter"/>
      <w:lvlText w:val="%2)"/>
      <w:lvlJc w:val="left"/>
      <w:pPr>
        <w:ind w:left="1440" w:hanging="360"/>
      </w:pPr>
      <w:rPr>
        <w:rFonts w:hint="default"/>
        <w:b/>
      </w:rPr>
    </w:lvl>
    <w:lvl w:ilvl="2" w:tplc="DE447C6C">
      <w:start w:val="1"/>
      <w:numFmt w:val="lowerRoman"/>
      <w:lvlText w:val="%3."/>
      <w:lvlJc w:val="right"/>
      <w:pPr>
        <w:ind w:left="2160" w:hanging="180"/>
      </w:pPr>
      <w:rPr>
        <w:b/>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CBB701F"/>
    <w:multiLevelType w:val="hybridMultilevel"/>
    <w:tmpl w:val="CE3EAB5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21173A1F"/>
    <w:multiLevelType w:val="hybridMultilevel"/>
    <w:tmpl w:val="79BA65D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28E5783"/>
    <w:multiLevelType w:val="hybridMultilevel"/>
    <w:tmpl w:val="88C0C32E"/>
    <w:lvl w:ilvl="0" w:tplc="9904A29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5777FBE"/>
    <w:multiLevelType w:val="hybridMultilevel"/>
    <w:tmpl w:val="585E7ED6"/>
    <w:lvl w:ilvl="0" w:tplc="D348F59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8394A28"/>
    <w:multiLevelType w:val="multilevel"/>
    <w:tmpl w:val="403CBF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4317490"/>
    <w:multiLevelType w:val="hybridMultilevel"/>
    <w:tmpl w:val="62D4E6E6"/>
    <w:lvl w:ilvl="0" w:tplc="A5506610">
      <w:start w:val="1"/>
      <w:numFmt w:val="decimal"/>
      <w:lvlText w:val="%1."/>
      <w:lvlJc w:val="left"/>
      <w:pPr>
        <w:ind w:left="1778" w:hanging="360"/>
      </w:pPr>
      <w:rPr>
        <w:rFonts w:ascii="Palatino Linotype" w:hAnsi="Palatino Linotype" w:hint="default"/>
        <w:b/>
        <w:i w:val="0"/>
        <w:color w:val="auto"/>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46323903"/>
    <w:multiLevelType w:val="hybridMultilevel"/>
    <w:tmpl w:val="FA26428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4E707071"/>
    <w:multiLevelType w:val="hybridMultilevel"/>
    <w:tmpl w:val="CAEA1478"/>
    <w:lvl w:ilvl="0" w:tplc="893E82A6">
      <w:start w:val="1"/>
      <w:numFmt w:val="lowerLetter"/>
      <w:lvlText w:val="%1)"/>
      <w:lvlJc w:val="left"/>
      <w:pPr>
        <w:ind w:left="720" w:hanging="360"/>
      </w:pPr>
      <w:rPr>
        <w:rFonts w:ascii="Palatino Linotype" w:eastAsiaTheme="minorHAnsi" w:hAnsi="Palatino Linotype" w:cstheme="minorBidi"/>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61A66DEE"/>
    <w:multiLevelType w:val="hybridMultilevel"/>
    <w:tmpl w:val="B9325F8A"/>
    <w:lvl w:ilvl="0" w:tplc="B5CE193C">
      <w:start w:val="1"/>
      <w:numFmt w:val="lowerLetter"/>
      <w:lvlText w:val="%1)"/>
      <w:lvlJc w:val="left"/>
      <w:pPr>
        <w:ind w:left="1080" w:hanging="360"/>
      </w:pPr>
      <w:rPr>
        <w:rFonts w:hint="default"/>
        <w:b/>
        <w:i w:val="0"/>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num w:numId="1">
    <w:abstractNumId w:val="6"/>
  </w:num>
  <w:num w:numId="2">
    <w:abstractNumId w:val="9"/>
  </w:num>
  <w:num w:numId="3">
    <w:abstractNumId w:val="8"/>
  </w:num>
  <w:num w:numId="4">
    <w:abstractNumId w:val="7"/>
  </w:num>
  <w:num w:numId="5">
    <w:abstractNumId w:val="5"/>
  </w:num>
  <w:num w:numId="6">
    <w:abstractNumId w:val="0"/>
  </w:num>
  <w:num w:numId="7">
    <w:abstractNumId w:val="3"/>
  </w:num>
  <w:num w:numId="8">
    <w:abstractNumId w:val="2"/>
  </w:num>
  <w:num w:numId="9">
    <w:abstractNumId w:val="4"/>
  </w:num>
  <w:num w:numId="10">
    <w:abstractNumId w:val="6"/>
    <w:lvlOverride w:ilvl="0">
      <w:startOverride w:val="1"/>
    </w:lvlOverride>
    <w:lvlOverride w:ilvl="1">
      <w:startOverride w:val="1"/>
    </w:lvlOverride>
    <w:lvlOverride w:ilvl="2">
      <w:startOverride w:val="4"/>
    </w:lvlOverride>
    <w:lvlOverride w:ilvl="3">
      <w:startOverride w:val="1"/>
    </w:lvlOverride>
    <w:lvlOverride w:ilvl="4">
      <w:startOverride w:val="104"/>
    </w:lvlOverride>
    <w:lvlOverride w:ilvl="5">
      <w:startOverride w:val="1"/>
    </w:lvlOverride>
    <w:lvlOverride w:ilvl="6">
      <w:startOverride w:val="1"/>
    </w:lvlOverride>
    <w:lvlOverride w:ilvl="7">
      <w:startOverride w:val="1"/>
    </w:lvlOverride>
    <w:lvlOverride w:ilvl="8">
      <w:startOverride w:val="1"/>
    </w:lvlOverride>
  </w:num>
  <w:num w:numId="11">
    <w:abstractNumId w:val="1"/>
  </w:num>
  <w:num w:numId="1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14810"/>
    <w:rsid w:val="00001034"/>
    <w:rsid w:val="00024657"/>
    <w:rsid w:val="00094D65"/>
    <w:rsid w:val="000C7E64"/>
    <w:rsid w:val="000D7BAE"/>
    <w:rsid w:val="00141365"/>
    <w:rsid w:val="0014770B"/>
    <w:rsid w:val="00172D3B"/>
    <w:rsid w:val="001914B9"/>
    <w:rsid w:val="001C6112"/>
    <w:rsid w:val="001E5FA2"/>
    <w:rsid w:val="00282F7F"/>
    <w:rsid w:val="002865DA"/>
    <w:rsid w:val="00296626"/>
    <w:rsid w:val="002F52C9"/>
    <w:rsid w:val="00300BBA"/>
    <w:rsid w:val="00341B26"/>
    <w:rsid w:val="00371CE5"/>
    <w:rsid w:val="0038161C"/>
    <w:rsid w:val="0038595A"/>
    <w:rsid w:val="003B502C"/>
    <w:rsid w:val="003E496A"/>
    <w:rsid w:val="00412400"/>
    <w:rsid w:val="00427ACE"/>
    <w:rsid w:val="004439A6"/>
    <w:rsid w:val="00491670"/>
    <w:rsid w:val="004A58B1"/>
    <w:rsid w:val="004F107F"/>
    <w:rsid w:val="00691160"/>
    <w:rsid w:val="006B4565"/>
    <w:rsid w:val="006F53C6"/>
    <w:rsid w:val="0070501C"/>
    <w:rsid w:val="00763BC1"/>
    <w:rsid w:val="00764698"/>
    <w:rsid w:val="00833AF5"/>
    <w:rsid w:val="00837711"/>
    <w:rsid w:val="00874B36"/>
    <w:rsid w:val="008B6E55"/>
    <w:rsid w:val="008E2CA3"/>
    <w:rsid w:val="00925DD5"/>
    <w:rsid w:val="009C49C5"/>
    <w:rsid w:val="00AE5397"/>
    <w:rsid w:val="00B1398C"/>
    <w:rsid w:val="00B41C96"/>
    <w:rsid w:val="00B823A2"/>
    <w:rsid w:val="00B8471D"/>
    <w:rsid w:val="00BA1AB2"/>
    <w:rsid w:val="00BC4E74"/>
    <w:rsid w:val="00C24A54"/>
    <w:rsid w:val="00C41E2E"/>
    <w:rsid w:val="00C44265"/>
    <w:rsid w:val="00C61736"/>
    <w:rsid w:val="00C63028"/>
    <w:rsid w:val="00C97538"/>
    <w:rsid w:val="00D0051C"/>
    <w:rsid w:val="00DD6657"/>
    <w:rsid w:val="00E76FBE"/>
    <w:rsid w:val="00EB4D36"/>
    <w:rsid w:val="00EE2277"/>
    <w:rsid w:val="00EF14F9"/>
    <w:rsid w:val="00F14810"/>
    <w:rsid w:val="00F65ADA"/>
    <w:rsid w:val="00FB2C78"/>
    <w:rsid w:val="00FF4C7F"/>
    <w:rsid w:val="00FF76D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019F611"/>
  <w15:chartTrackingRefBased/>
  <w15:docId w15:val="{7EA32A9A-BE77-4A6F-B628-7DF2462DD3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72D3B"/>
  </w:style>
  <w:style w:type="paragraph" w:styleId="Ttulo1">
    <w:name w:val="heading 1"/>
    <w:basedOn w:val="Normal"/>
    <w:next w:val="Normal"/>
    <w:link w:val="Ttulo1Car"/>
    <w:uiPriority w:val="9"/>
    <w:qFormat/>
    <w:rsid w:val="00F1481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F1481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14810"/>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uiPriority w:val="9"/>
    <w:rsid w:val="00F14810"/>
    <w:rPr>
      <w:rFonts w:asciiTheme="majorHAnsi" w:eastAsiaTheme="majorEastAsia" w:hAnsiTheme="majorHAnsi" w:cstheme="majorBidi"/>
      <w:color w:val="2E74B5" w:themeColor="accent1" w:themeShade="BF"/>
      <w:sz w:val="26"/>
      <w:szCs w:val="26"/>
    </w:rPr>
  </w:style>
  <w:style w:type="paragraph" w:styleId="Encabezado">
    <w:name w:val="header"/>
    <w:basedOn w:val="Normal"/>
    <w:link w:val="EncabezadoCar"/>
    <w:uiPriority w:val="99"/>
    <w:unhideWhenUsed/>
    <w:rsid w:val="00F1481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14810"/>
  </w:style>
  <w:style w:type="paragraph" w:styleId="Piedepgina">
    <w:name w:val="footer"/>
    <w:basedOn w:val="Normal"/>
    <w:link w:val="PiedepginaCar"/>
    <w:uiPriority w:val="99"/>
    <w:unhideWhenUsed/>
    <w:rsid w:val="00F1481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14810"/>
  </w:style>
  <w:style w:type="table" w:styleId="Tablaconcuadrcula">
    <w:name w:val="Table Grid"/>
    <w:basedOn w:val="Tablanormal"/>
    <w:uiPriority w:val="39"/>
    <w:rsid w:val="00F14810"/>
    <w:pPr>
      <w:spacing w:after="0" w:line="240" w:lineRule="auto"/>
    </w:pPr>
    <w:rPr>
      <w:rFonts w:eastAsia="MS Mincho"/>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39"/>
    <w:rsid w:val="00F14810"/>
    <w:pPr>
      <w:spacing w:after="0"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F14810"/>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F14810"/>
  </w:style>
  <w:style w:type="paragraph" w:styleId="TDC1">
    <w:name w:val="toc 1"/>
    <w:basedOn w:val="Normal"/>
    <w:next w:val="Normal"/>
    <w:autoRedefine/>
    <w:uiPriority w:val="39"/>
    <w:unhideWhenUsed/>
    <w:rsid w:val="00F14810"/>
    <w:pPr>
      <w:spacing w:after="100"/>
    </w:pPr>
  </w:style>
  <w:style w:type="character" w:styleId="Hipervnculo">
    <w:name w:val="Hyperlink"/>
    <w:basedOn w:val="Fuentedeprrafopredeter"/>
    <w:uiPriority w:val="99"/>
    <w:unhideWhenUsed/>
    <w:rsid w:val="00F14810"/>
    <w:rPr>
      <w:color w:val="0563C1" w:themeColor="hyperlink"/>
      <w:u w:val="single"/>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F14810"/>
    <w:rPr>
      <w:vertAlign w:val="superscript"/>
    </w:rPr>
  </w:style>
  <w:style w:type="paragraph" w:styleId="TDC3">
    <w:name w:val="toc 3"/>
    <w:basedOn w:val="Normal"/>
    <w:next w:val="Normal"/>
    <w:autoRedefine/>
    <w:uiPriority w:val="39"/>
    <w:unhideWhenUsed/>
    <w:rsid w:val="00F14810"/>
    <w:pPr>
      <w:spacing w:after="100"/>
      <w:ind w:left="440"/>
    </w:pPr>
  </w:style>
  <w:style w:type="character" w:customStyle="1" w:styleId="apple-style-span">
    <w:name w:val="apple-style-span"/>
    <w:rsid w:val="00F14810"/>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locked/>
    <w:rsid w:val="00F14810"/>
    <w:rPr>
      <w:sz w:val="20"/>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F14810"/>
    <w:pPr>
      <w:spacing w:after="0" w:line="240" w:lineRule="auto"/>
    </w:pPr>
    <w:rPr>
      <w:sz w:val="20"/>
      <w:szCs w:val="20"/>
    </w:rPr>
  </w:style>
  <w:style w:type="character" w:customStyle="1" w:styleId="TextonotapieCar1">
    <w:name w:val="Texto nota pie Car1"/>
    <w:basedOn w:val="Fuentedeprrafopredeter"/>
    <w:uiPriority w:val="99"/>
    <w:semiHidden/>
    <w:rsid w:val="00F14810"/>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90516811">
      <w:bodyDiv w:val="1"/>
      <w:marLeft w:val="0"/>
      <w:marRight w:val="0"/>
      <w:marTop w:val="0"/>
      <w:marBottom w:val="0"/>
      <w:divBdr>
        <w:top w:val="none" w:sz="0" w:space="0" w:color="auto"/>
        <w:left w:val="none" w:sz="0" w:space="0" w:color="auto"/>
        <w:bottom w:val="none" w:sz="0" w:space="0" w:color="auto"/>
        <w:right w:val="none" w:sz="0" w:space="0" w:color="auto"/>
      </w:divBdr>
    </w:div>
    <w:div w:id="918635002">
      <w:bodyDiv w:val="1"/>
      <w:marLeft w:val="0"/>
      <w:marRight w:val="0"/>
      <w:marTop w:val="0"/>
      <w:marBottom w:val="0"/>
      <w:divBdr>
        <w:top w:val="none" w:sz="0" w:space="0" w:color="auto"/>
        <w:left w:val="none" w:sz="0" w:space="0" w:color="auto"/>
        <w:bottom w:val="none" w:sz="0" w:space="0" w:color="auto"/>
        <w:right w:val="none" w:sz="0" w:space="0" w:color="auto"/>
      </w:divBdr>
    </w:div>
    <w:div w:id="18346376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saimex.org.mx/saimex/solicitud/downloadAttach/1072989.page" TargetMode="Externa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41</Pages>
  <Words>8177</Words>
  <Characters>44979</Characters>
  <Application>Microsoft Office Word</Application>
  <DocSecurity>0</DocSecurity>
  <Lines>374</Lines>
  <Paragraphs>106</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53050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Cuenta Microsoft</dc:creator>
  <cp:keywords/>
  <dc:description/>
  <cp:lastModifiedBy>C.P. Verónica Mtz</cp:lastModifiedBy>
  <cp:revision>5</cp:revision>
  <dcterms:created xsi:type="dcterms:W3CDTF">2021-03-26T02:41:00Z</dcterms:created>
  <dcterms:modified xsi:type="dcterms:W3CDTF">2021-05-15T01:32:00Z</dcterms:modified>
</cp:coreProperties>
</file>