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07F" w:rsidRPr="00B34C01" w:rsidRDefault="0078107F" w:rsidP="00B34C01">
      <w:pPr>
        <w:spacing w:line="360" w:lineRule="auto"/>
        <w:jc w:val="both"/>
        <w:rPr>
          <w:rFonts w:ascii="Palatino Linotype" w:hAnsi="Palatino Linotype"/>
          <w:lang w:val="es-ES_tradnl" w:eastAsia="es-ES"/>
        </w:rPr>
      </w:pPr>
    </w:p>
    <w:p w:rsidR="0078107F" w:rsidRPr="001A51C6" w:rsidRDefault="0078107F" w:rsidP="00B34C01">
      <w:pPr>
        <w:spacing w:line="360" w:lineRule="auto"/>
        <w:jc w:val="center"/>
        <w:rPr>
          <w:rFonts w:ascii="Palatino Linotype" w:eastAsiaTheme="minorEastAsia" w:hAnsi="Palatino Linotype"/>
          <w:lang w:val="es-ES_tradnl" w:eastAsia="es-ES"/>
        </w:rPr>
      </w:pPr>
      <w:r w:rsidRPr="001A51C6">
        <w:rPr>
          <w:rFonts w:ascii="Palatino Linotype" w:eastAsiaTheme="minorEastAsia" w:hAnsi="Palatino Linotype"/>
          <w:b/>
          <w:lang w:val="es-ES_tradnl" w:eastAsia="es-ES"/>
        </w:rPr>
        <w:t>ÍNDICE</w:t>
      </w:r>
      <w:r w:rsidRPr="001A51C6">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78107F" w:rsidRPr="001A51C6" w:rsidRDefault="0078107F" w:rsidP="00B34C01">
          <w:pPr>
            <w:keepNext/>
            <w:keepLines/>
            <w:spacing w:line="360" w:lineRule="auto"/>
            <w:jc w:val="right"/>
            <w:rPr>
              <w:rFonts w:ascii="Palatino Linotype" w:eastAsiaTheme="majorEastAsia" w:hAnsi="Palatino Linotype" w:cstheme="majorBidi"/>
              <w:b/>
              <w:szCs w:val="32"/>
            </w:rPr>
          </w:pPr>
        </w:p>
        <w:p w:rsidR="00B34C01" w:rsidRPr="001A51C6" w:rsidRDefault="0078107F" w:rsidP="00B34C01">
          <w:pPr>
            <w:pStyle w:val="TDC1"/>
            <w:tabs>
              <w:tab w:val="right" w:leader="dot" w:pos="9034"/>
            </w:tabs>
            <w:jc w:val="right"/>
            <w:rPr>
              <w:rFonts w:eastAsiaTheme="minorEastAsia"/>
              <w:b/>
              <w:noProof/>
              <w:lang w:eastAsia="es-MX"/>
            </w:rPr>
          </w:pPr>
          <w:r w:rsidRPr="001A51C6">
            <w:rPr>
              <w:rFonts w:ascii="Palatino Linotype" w:eastAsiaTheme="minorEastAsia" w:hAnsi="Palatino Linotype"/>
              <w:b/>
              <w:sz w:val="24"/>
              <w:szCs w:val="24"/>
              <w:lang w:val="es-ES_tradnl" w:eastAsia="es-ES"/>
            </w:rPr>
            <w:fldChar w:fldCharType="begin"/>
          </w:r>
          <w:r w:rsidRPr="001A51C6">
            <w:rPr>
              <w:rFonts w:ascii="Palatino Linotype" w:eastAsiaTheme="minorEastAsia" w:hAnsi="Palatino Linotype"/>
              <w:b/>
              <w:sz w:val="24"/>
              <w:szCs w:val="24"/>
              <w:lang w:val="es-ES_tradnl" w:eastAsia="es-ES"/>
            </w:rPr>
            <w:instrText xml:space="preserve"> TOC \o "1-3" \h \z \u </w:instrText>
          </w:r>
          <w:r w:rsidRPr="001A51C6">
            <w:rPr>
              <w:rFonts w:ascii="Palatino Linotype" w:eastAsiaTheme="minorEastAsia" w:hAnsi="Palatino Linotype"/>
              <w:b/>
              <w:sz w:val="24"/>
              <w:szCs w:val="24"/>
              <w:lang w:val="es-ES_tradnl" w:eastAsia="es-ES"/>
            </w:rPr>
            <w:fldChar w:fldCharType="separate"/>
          </w:r>
          <w:hyperlink w:anchor="_Toc85672126" w:history="1">
            <w:r w:rsidR="00B34C01" w:rsidRPr="001A51C6">
              <w:rPr>
                <w:rStyle w:val="Hipervnculo"/>
                <w:rFonts w:ascii="Palatino Linotype" w:eastAsiaTheme="majorEastAsia" w:hAnsi="Palatino Linotype" w:cstheme="majorBidi"/>
                <w:b/>
                <w:noProof/>
              </w:rPr>
              <w:t>ANTECEDENTES</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_Toc85672126 \h </w:instrText>
            </w:r>
            <w:r w:rsidR="00B34C01" w:rsidRPr="001A51C6">
              <w:rPr>
                <w:b/>
                <w:noProof/>
                <w:webHidden/>
              </w:rPr>
            </w:r>
            <w:r w:rsidR="00B34C01" w:rsidRPr="001A51C6">
              <w:rPr>
                <w:b/>
                <w:noProof/>
                <w:webHidden/>
              </w:rPr>
              <w:fldChar w:fldCharType="separate"/>
            </w:r>
            <w:r w:rsidR="00403ED2">
              <w:rPr>
                <w:b/>
                <w:noProof/>
                <w:webHidden/>
              </w:rPr>
              <w:t>2</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27" w:history="1">
            <w:r w:rsidR="00B34C01" w:rsidRPr="001A51C6">
              <w:rPr>
                <w:rStyle w:val="Hipervnculo"/>
                <w:rFonts w:ascii="Palatino Linotype" w:eastAsiaTheme="majorEastAsia" w:hAnsi="Palatino Linotype" w:cstheme="majorBidi"/>
                <w:b/>
                <w:noProof/>
              </w:rPr>
              <w:t>CONSIDERANDO</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_Toc85672127 \h </w:instrText>
            </w:r>
            <w:r w:rsidR="00B34C01" w:rsidRPr="001A51C6">
              <w:rPr>
                <w:b/>
                <w:noProof/>
                <w:webHidden/>
              </w:rPr>
            </w:r>
            <w:r w:rsidR="00B34C01" w:rsidRPr="001A51C6">
              <w:rPr>
                <w:b/>
                <w:noProof/>
                <w:webHidden/>
              </w:rPr>
              <w:fldChar w:fldCharType="separate"/>
            </w:r>
            <w:r w:rsidR="00403ED2">
              <w:rPr>
                <w:b/>
                <w:noProof/>
                <w:webHidden/>
              </w:rPr>
              <w:t>9</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28" w:history="1">
            <w:r w:rsidR="00B34C01" w:rsidRPr="001A51C6">
              <w:rPr>
                <w:rStyle w:val="Hipervnculo"/>
                <w:rFonts w:ascii="Palatino Linotype" w:eastAsiaTheme="majorEastAsia" w:hAnsi="Palatino Linotype" w:cstheme="majorBidi"/>
                <w:b/>
                <w:noProof/>
              </w:rPr>
              <w:t>PRIMERO. De la competencia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_Toc85672128 \h </w:instrText>
            </w:r>
            <w:r w:rsidR="00B34C01" w:rsidRPr="001A51C6">
              <w:rPr>
                <w:b/>
                <w:noProof/>
                <w:webHidden/>
              </w:rPr>
            </w:r>
            <w:r w:rsidR="00B34C01" w:rsidRPr="001A51C6">
              <w:rPr>
                <w:b/>
                <w:noProof/>
                <w:webHidden/>
              </w:rPr>
              <w:fldChar w:fldCharType="separate"/>
            </w:r>
            <w:r w:rsidR="00403ED2">
              <w:rPr>
                <w:b/>
                <w:noProof/>
                <w:webHidden/>
              </w:rPr>
              <w:t>9</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29" w:history="1">
            <w:r w:rsidR="00B34C01" w:rsidRPr="001A51C6">
              <w:rPr>
                <w:rStyle w:val="Hipervnculo"/>
                <w:rFonts w:ascii="Palatino Linotype" w:eastAsiaTheme="majorEastAsia" w:hAnsi="Palatino Linotype" w:cstheme="majorBidi"/>
                <w:b/>
                <w:noProof/>
              </w:rPr>
              <w:t>SEGUNDO. De la oportunidad y procedencia.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_Toc85672129 \h </w:instrText>
            </w:r>
            <w:r w:rsidR="00B34C01" w:rsidRPr="001A51C6">
              <w:rPr>
                <w:b/>
                <w:noProof/>
                <w:webHidden/>
              </w:rPr>
            </w:r>
            <w:r w:rsidR="00B34C01" w:rsidRPr="001A51C6">
              <w:rPr>
                <w:b/>
                <w:noProof/>
                <w:webHidden/>
              </w:rPr>
              <w:fldChar w:fldCharType="separate"/>
            </w:r>
            <w:r w:rsidR="00403ED2">
              <w:rPr>
                <w:b/>
                <w:noProof/>
                <w:webHidden/>
              </w:rPr>
              <w:t>10</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30" w:history="1">
            <w:r w:rsidR="00B34C01" w:rsidRPr="001A51C6">
              <w:rPr>
                <w:rStyle w:val="Hipervnculo"/>
                <w:rFonts w:ascii="Palatino Linotype" w:eastAsiaTheme="majorEastAsia" w:hAnsi="Palatino Linotype" w:cstheme="majorBidi"/>
                <w:b/>
                <w:noProof/>
              </w:rPr>
              <w:t>TERCERO. Planteamiento de la Litis.</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_Toc85672130 \h </w:instrText>
            </w:r>
            <w:r w:rsidR="00B34C01" w:rsidRPr="001A51C6">
              <w:rPr>
                <w:b/>
                <w:noProof/>
                <w:webHidden/>
              </w:rPr>
            </w:r>
            <w:r w:rsidR="00B34C01" w:rsidRPr="001A51C6">
              <w:rPr>
                <w:b/>
                <w:noProof/>
                <w:webHidden/>
              </w:rPr>
              <w:fldChar w:fldCharType="separate"/>
            </w:r>
            <w:r w:rsidR="00403ED2">
              <w:rPr>
                <w:b/>
                <w:noProof/>
                <w:webHidden/>
              </w:rPr>
              <w:t>11</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1" w:history="1">
            <w:r w:rsidR="00B34C01" w:rsidRPr="001A51C6">
              <w:rPr>
                <w:rStyle w:val="Hipervnculo"/>
                <w:rFonts w:ascii="Palatino Linotype" w:eastAsiaTheme="majorEastAsia" w:hAnsi="Palatino Linotype" w:cstheme="majorBidi"/>
                <w:b/>
                <w:noProof/>
              </w:rPr>
              <w:t>CUARTO. Del estudio y resolución del asunto.</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_Toc85672131 \h </w:instrText>
            </w:r>
            <w:r w:rsidR="00B34C01" w:rsidRPr="001A51C6">
              <w:rPr>
                <w:b/>
                <w:noProof/>
                <w:webHidden/>
              </w:rPr>
            </w:r>
            <w:r w:rsidR="00B34C01" w:rsidRPr="001A51C6">
              <w:rPr>
                <w:b/>
                <w:noProof/>
                <w:webHidden/>
              </w:rPr>
              <w:fldChar w:fldCharType="separate"/>
            </w:r>
            <w:r w:rsidR="00403ED2">
              <w:rPr>
                <w:b/>
                <w:noProof/>
                <w:webHidden/>
              </w:rPr>
              <w:t>12</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2" w:history="1">
            <w:r w:rsidR="00B34C01" w:rsidRPr="001A51C6">
              <w:rPr>
                <w:rStyle w:val="Hipervnculo"/>
                <w:rFonts w:ascii="Palatino Linotype" w:hAnsi="Palatino Linotype" w:cs="Times New Roman"/>
                <w:b/>
                <w:noProof/>
                <w:lang w:eastAsia="es-ES_tradnl"/>
              </w:rPr>
              <w:t xml:space="preserve">QUINTO. </w:t>
            </w:r>
            <w:r w:rsidR="00B34C01" w:rsidRPr="001A51C6">
              <w:rPr>
                <w:rStyle w:val="Hipervnculo"/>
                <w:rFonts w:ascii="Palatino Linotype" w:hAnsi="Palatino Linotype"/>
                <w:b/>
                <w:noProof/>
              </w:rPr>
              <w:t xml:space="preserve"> </w:t>
            </w:r>
            <w:r w:rsidR="00B34C01" w:rsidRPr="001A51C6">
              <w:rPr>
                <w:rStyle w:val="Hipervnculo"/>
                <w:rFonts w:ascii="Palatino Linotype" w:hAnsi="Palatino Linotype" w:cs="Arial"/>
                <w:b/>
                <w:noProof/>
                <w:lang w:val="es-ES_tradnl"/>
              </w:rPr>
              <w:t>De la versión pública.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_Toc85672132 \h </w:instrText>
            </w:r>
            <w:r w:rsidR="00B34C01" w:rsidRPr="001A51C6">
              <w:rPr>
                <w:b/>
                <w:noProof/>
                <w:webHidden/>
              </w:rPr>
            </w:r>
            <w:r w:rsidR="00B34C01" w:rsidRPr="001A51C6">
              <w:rPr>
                <w:b/>
                <w:noProof/>
                <w:webHidden/>
              </w:rPr>
              <w:fldChar w:fldCharType="separate"/>
            </w:r>
            <w:r w:rsidR="00403ED2">
              <w:rPr>
                <w:b/>
                <w:noProof/>
                <w:webHidden/>
              </w:rPr>
              <w:t>62</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33" w:history="1">
            <w:r w:rsidR="00B34C01" w:rsidRPr="001A51C6">
              <w:rPr>
                <w:rStyle w:val="Hipervnculo"/>
                <w:rFonts w:ascii="Palatino Linotype" w:hAnsi="Palatino Linotype"/>
                <w:b/>
                <w:noProof/>
              </w:rPr>
              <w:t>I. De la clasificación de la información.</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_Toc85672133 \h </w:instrText>
            </w:r>
            <w:r w:rsidR="00B34C01" w:rsidRPr="001A51C6">
              <w:rPr>
                <w:b/>
                <w:noProof/>
                <w:webHidden/>
              </w:rPr>
            </w:r>
            <w:r w:rsidR="00B34C01" w:rsidRPr="001A51C6">
              <w:rPr>
                <w:b/>
                <w:noProof/>
                <w:webHidden/>
              </w:rPr>
              <w:fldChar w:fldCharType="separate"/>
            </w:r>
            <w:r w:rsidR="00403ED2">
              <w:rPr>
                <w:b/>
                <w:noProof/>
                <w:webHidden/>
              </w:rPr>
              <w:t>63</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4" w:history="1">
            <w:r w:rsidR="00B34C01" w:rsidRPr="001A51C6">
              <w:rPr>
                <w:rStyle w:val="Hipervnculo"/>
                <w:rFonts w:ascii="Palatino Linotype" w:hAnsi="Palatino Linotype"/>
                <w:b/>
                <w:noProof/>
              </w:rPr>
              <w:t>a) Requisitos previos.</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_Toc85672134 \h </w:instrText>
            </w:r>
            <w:r w:rsidR="00B34C01" w:rsidRPr="001A51C6">
              <w:rPr>
                <w:b/>
                <w:noProof/>
                <w:webHidden/>
              </w:rPr>
            </w:r>
            <w:r w:rsidR="00B34C01" w:rsidRPr="001A51C6">
              <w:rPr>
                <w:b/>
                <w:noProof/>
                <w:webHidden/>
              </w:rPr>
              <w:fldChar w:fldCharType="separate"/>
            </w:r>
            <w:r w:rsidR="00403ED2">
              <w:rPr>
                <w:b/>
                <w:noProof/>
                <w:webHidden/>
              </w:rPr>
              <w:t>65</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5" w:history="1">
            <w:r w:rsidR="00B34C01" w:rsidRPr="001A51C6">
              <w:rPr>
                <w:rStyle w:val="Hipervnculo"/>
                <w:rFonts w:ascii="Palatino Linotype" w:hAnsi="Palatino Linotype"/>
                <w:b/>
                <w:noProof/>
              </w:rPr>
              <w:t>b) Supuestos de clasificación.</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_Toc85672135 \h </w:instrText>
            </w:r>
            <w:r w:rsidR="00B34C01" w:rsidRPr="001A51C6">
              <w:rPr>
                <w:b/>
                <w:noProof/>
                <w:webHidden/>
              </w:rPr>
            </w:r>
            <w:r w:rsidR="00B34C01" w:rsidRPr="001A51C6">
              <w:rPr>
                <w:b/>
                <w:noProof/>
                <w:webHidden/>
              </w:rPr>
              <w:fldChar w:fldCharType="separate"/>
            </w:r>
            <w:r w:rsidR="00403ED2">
              <w:rPr>
                <w:b/>
                <w:noProof/>
                <w:webHidden/>
              </w:rPr>
              <w:t>66</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6" w:history="1">
            <w:r w:rsidR="00B34C01" w:rsidRPr="001A51C6">
              <w:rPr>
                <w:rStyle w:val="Hipervnculo"/>
                <w:rFonts w:ascii="Palatino Linotype" w:hAnsi="Palatino Linotype"/>
                <w:b/>
                <w:noProof/>
              </w:rPr>
              <w:t>c) Excepciones a los supuestos de clasificación de la información como reservada.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_Toc85672136 \h </w:instrText>
            </w:r>
            <w:r w:rsidR="00B34C01" w:rsidRPr="001A51C6">
              <w:rPr>
                <w:b/>
                <w:noProof/>
                <w:webHidden/>
              </w:rPr>
            </w:r>
            <w:r w:rsidR="00B34C01" w:rsidRPr="001A51C6">
              <w:rPr>
                <w:b/>
                <w:noProof/>
                <w:webHidden/>
              </w:rPr>
              <w:fldChar w:fldCharType="separate"/>
            </w:r>
            <w:r w:rsidR="00403ED2">
              <w:rPr>
                <w:b/>
                <w:noProof/>
                <w:webHidden/>
              </w:rPr>
              <w:t>68</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37" w:history="1">
            <w:r w:rsidR="00B34C01" w:rsidRPr="001A51C6">
              <w:rPr>
                <w:rStyle w:val="Hipervnculo"/>
                <w:rFonts w:ascii="Palatino Linotype" w:hAnsi="Palatino Linotype"/>
                <w:b/>
                <w:noProof/>
              </w:rPr>
              <w:t>II. La intervención del Comité de Transparencia.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_Toc85672137 \h </w:instrText>
            </w:r>
            <w:r w:rsidR="00B34C01" w:rsidRPr="001A51C6">
              <w:rPr>
                <w:b/>
                <w:noProof/>
                <w:webHidden/>
              </w:rPr>
            </w:r>
            <w:r w:rsidR="00B34C01" w:rsidRPr="001A51C6">
              <w:rPr>
                <w:b/>
                <w:noProof/>
                <w:webHidden/>
              </w:rPr>
              <w:fldChar w:fldCharType="separate"/>
            </w:r>
            <w:r w:rsidR="00403ED2">
              <w:rPr>
                <w:b/>
                <w:noProof/>
                <w:webHidden/>
              </w:rPr>
              <w:t>69</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38" w:history="1">
            <w:r w:rsidR="00B34C01" w:rsidRPr="001A51C6">
              <w:rPr>
                <w:rStyle w:val="Hipervnculo"/>
                <w:rFonts w:ascii="Palatino Linotype" w:hAnsi="Palatino Linotype"/>
                <w:b/>
                <w:noProof/>
              </w:rPr>
              <w:t>a) Formalidades para emitir el acuerdo de clasificación.</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_Toc85672138 \h </w:instrText>
            </w:r>
            <w:r w:rsidR="00B34C01" w:rsidRPr="001A51C6">
              <w:rPr>
                <w:b/>
                <w:noProof/>
                <w:webHidden/>
              </w:rPr>
            </w:r>
            <w:r w:rsidR="00B34C01" w:rsidRPr="001A51C6">
              <w:rPr>
                <w:b/>
                <w:noProof/>
                <w:webHidden/>
              </w:rPr>
              <w:fldChar w:fldCharType="separate"/>
            </w:r>
            <w:r w:rsidR="00403ED2">
              <w:rPr>
                <w:b/>
                <w:noProof/>
                <w:webHidden/>
              </w:rPr>
              <w:t>69</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39" w:history="1">
            <w:r w:rsidR="00B34C01" w:rsidRPr="001A51C6">
              <w:rPr>
                <w:rStyle w:val="Hipervnculo"/>
                <w:rFonts w:ascii="Palatino Linotype" w:hAnsi="Palatino Linotype"/>
                <w:b/>
                <w:noProof/>
              </w:rPr>
              <w:t>b) Requisitos de fondo del acuerdo de clasificación.</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_Toc85672139 \h </w:instrText>
            </w:r>
            <w:r w:rsidR="00B34C01" w:rsidRPr="001A51C6">
              <w:rPr>
                <w:b/>
                <w:noProof/>
                <w:webHidden/>
              </w:rPr>
            </w:r>
            <w:r w:rsidR="00B34C01" w:rsidRPr="001A51C6">
              <w:rPr>
                <w:b/>
                <w:noProof/>
                <w:webHidden/>
              </w:rPr>
              <w:fldChar w:fldCharType="separate"/>
            </w:r>
            <w:r w:rsidR="00403ED2">
              <w:rPr>
                <w:b/>
                <w:noProof/>
                <w:webHidden/>
              </w:rPr>
              <w:t>70</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40" w:history="1">
            <w:r w:rsidR="00B34C01" w:rsidRPr="001A51C6">
              <w:rPr>
                <w:rStyle w:val="Hipervnculo"/>
                <w:rFonts w:ascii="Palatino Linotype" w:hAnsi="Palatino Linotype"/>
                <w:b/>
                <w:noProof/>
              </w:rPr>
              <w:t>III. Condiciones especiales de la clasificación de la información como reservada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_Toc85672140 \h </w:instrText>
            </w:r>
            <w:r w:rsidR="00B34C01" w:rsidRPr="001A51C6">
              <w:rPr>
                <w:b/>
                <w:noProof/>
                <w:webHidden/>
              </w:rPr>
            </w:r>
            <w:r w:rsidR="00B34C01" w:rsidRPr="001A51C6">
              <w:rPr>
                <w:b/>
                <w:noProof/>
                <w:webHidden/>
              </w:rPr>
              <w:fldChar w:fldCharType="separate"/>
            </w:r>
            <w:r w:rsidR="00403ED2">
              <w:rPr>
                <w:b/>
                <w:noProof/>
                <w:webHidden/>
              </w:rPr>
              <w:t>73</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41" w:history="1">
            <w:r w:rsidR="00B34C01" w:rsidRPr="001A51C6">
              <w:rPr>
                <w:rStyle w:val="Hipervnculo"/>
                <w:rFonts w:ascii="Palatino Linotype" w:hAnsi="Palatino Linotype"/>
                <w:b/>
                <w:noProof/>
              </w:rPr>
              <w:t>a) La fundamentación específica.</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_Toc85672141 \h </w:instrText>
            </w:r>
            <w:r w:rsidR="00B34C01" w:rsidRPr="001A51C6">
              <w:rPr>
                <w:b/>
                <w:noProof/>
                <w:webHidden/>
              </w:rPr>
            </w:r>
            <w:r w:rsidR="00B34C01" w:rsidRPr="001A51C6">
              <w:rPr>
                <w:b/>
                <w:noProof/>
                <w:webHidden/>
              </w:rPr>
              <w:fldChar w:fldCharType="separate"/>
            </w:r>
            <w:r w:rsidR="00403ED2">
              <w:rPr>
                <w:b/>
                <w:noProof/>
                <w:webHidden/>
              </w:rPr>
              <w:t>73</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42" w:history="1">
            <w:r w:rsidR="00B34C01" w:rsidRPr="001A51C6">
              <w:rPr>
                <w:rStyle w:val="Hipervnculo"/>
                <w:rFonts w:ascii="Palatino Linotype" w:hAnsi="Palatino Linotype"/>
                <w:b/>
                <w:noProof/>
              </w:rPr>
              <w:t>b) La clasificación de la información reservada debe ser de manera temporal.</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_Toc85672142 \h </w:instrText>
            </w:r>
            <w:r w:rsidR="00B34C01" w:rsidRPr="001A51C6">
              <w:rPr>
                <w:b/>
                <w:noProof/>
                <w:webHidden/>
              </w:rPr>
            </w:r>
            <w:r w:rsidR="00B34C01" w:rsidRPr="001A51C6">
              <w:rPr>
                <w:b/>
                <w:noProof/>
                <w:webHidden/>
              </w:rPr>
              <w:fldChar w:fldCharType="separate"/>
            </w:r>
            <w:r w:rsidR="00403ED2">
              <w:rPr>
                <w:b/>
                <w:noProof/>
                <w:webHidden/>
              </w:rPr>
              <w:t>74</w:t>
            </w:r>
            <w:r w:rsidR="00B34C01" w:rsidRPr="001A51C6">
              <w:rPr>
                <w:b/>
                <w:noProof/>
                <w:webHidden/>
              </w:rPr>
              <w:fldChar w:fldCharType="end"/>
            </w:r>
          </w:hyperlink>
        </w:p>
        <w:p w:rsidR="00B34C01" w:rsidRPr="001A51C6" w:rsidRDefault="00DD541A" w:rsidP="00B34C01">
          <w:pPr>
            <w:pStyle w:val="TDC2"/>
            <w:jc w:val="right"/>
            <w:rPr>
              <w:rFonts w:eastAsiaTheme="minorEastAsia"/>
              <w:b/>
              <w:noProof/>
              <w:lang w:eastAsia="es-MX"/>
            </w:rPr>
          </w:pPr>
          <w:hyperlink w:anchor="_Toc85672143" w:history="1">
            <w:r w:rsidR="00B34C01" w:rsidRPr="001A51C6">
              <w:rPr>
                <w:rStyle w:val="Hipervnculo"/>
                <w:rFonts w:ascii="Palatino Linotype" w:hAnsi="Palatino Linotype"/>
                <w:b/>
                <w:noProof/>
              </w:rPr>
              <w:t>Condiciones especiales de la clasificación de la información como confidencial.</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_Toc85672143 \h </w:instrText>
            </w:r>
            <w:r w:rsidR="00B34C01" w:rsidRPr="001A51C6">
              <w:rPr>
                <w:b/>
                <w:noProof/>
                <w:webHidden/>
              </w:rPr>
            </w:r>
            <w:r w:rsidR="00B34C01" w:rsidRPr="001A51C6">
              <w:rPr>
                <w:b/>
                <w:noProof/>
                <w:webHidden/>
              </w:rPr>
              <w:fldChar w:fldCharType="separate"/>
            </w:r>
            <w:r w:rsidR="00403ED2">
              <w:rPr>
                <w:b/>
                <w:noProof/>
                <w:webHidden/>
              </w:rPr>
              <w:t>75</w:t>
            </w:r>
            <w:r w:rsidR="00B34C01" w:rsidRPr="001A51C6">
              <w:rPr>
                <w:b/>
                <w:noProof/>
                <w:webHidden/>
              </w:rPr>
              <w:fldChar w:fldCharType="end"/>
            </w:r>
          </w:hyperlink>
        </w:p>
        <w:p w:rsidR="00B34C01" w:rsidRPr="001A51C6" w:rsidRDefault="00DD541A" w:rsidP="00B34C01">
          <w:pPr>
            <w:pStyle w:val="TDC1"/>
            <w:tabs>
              <w:tab w:val="right" w:leader="dot" w:pos="9034"/>
            </w:tabs>
            <w:jc w:val="right"/>
            <w:rPr>
              <w:rFonts w:eastAsiaTheme="minorEastAsia"/>
              <w:b/>
              <w:noProof/>
              <w:lang w:eastAsia="es-MX"/>
            </w:rPr>
          </w:pPr>
          <w:hyperlink w:anchor="_Toc85672144" w:history="1">
            <w:r w:rsidR="00B34C01" w:rsidRPr="001A51C6">
              <w:rPr>
                <w:rStyle w:val="Hipervnculo"/>
                <w:rFonts w:ascii="Palatino Linotype" w:hAnsi="Palatino Linotype" w:cstheme="majorBidi"/>
                <w:b/>
                <w:bCs/>
                <w:noProof/>
                <w:lang w:val="es-ES_tradnl" w:eastAsia="es-ES"/>
              </w:rPr>
              <w:t>R E S O L U T I V O S</w:t>
            </w:r>
            <w:r w:rsidR="00B34C01" w:rsidRPr="001A51C6">
              <w:rPr>
                <w:b/>
                <w:noProof/>
                <w:webHidden/>
              </w:rPr>
              <w:tab/>
            </w:r>
            <w:r w:rsidR="00B34C01" w:rsidRPr="001A51C6">
              <w:rPr>
                <w:b/>
                <w:noProof/>
                <w:webHidden/>
              </w:rPr>
              <w:fldChar w:fldCharType="begin"/>
            </w:r>
            <w:r w:rsidR="00B34C01" w:rsidRPr="001A51C6">
              <w:rPr>
                <w:b/>
                <w:noProof/>
                <w:webHidden/>
              </w:rPr>
              <w:instrText xml:space="preserve"> PAGEREF _Toc85672144 \h </w:instrText>
            </w:r>
            <w:r w:rsidR="00B34C01" w:rsidRPr="001A51C6">
              <w:rPr>
                <w:b/>
                <w:noProof/>
                <w:webHidden/>
              </w:rPr>
            </w:r>
            <w:r w:rsidR="00B34C01" w:rsidRPr="001A51C6">
              <w:rPr>
                <w:b/>
                <w:noProof/>
                <w:webHidden/>
              </w:rPr>
              <w:fldChar w:fldCharType="separate"/>
            </w:r>
            <w:r w:rsidR="00403ED2">
              <w:rPr>
                <w:b/>
                <w:noProof/>
                <w:webHidden/>
              </w:rPr>
              <w:t>77</w:t>
            </w:r>
            <w:r w:rsidR="00B34C01" w:rsidRPr="001A51C6">
              <w:rPr>
                <w:b/>
                <w:noProof/>
                <w:webHidden/>
              </w:rPr>
              <w:fldChar w:fldCharType="end"/>
            </w:r>
          </w:hyperlink>
        </w:p>
        <w:p w:rsidR="0078107F" w:rsidRPr="001A51C6" w:rsidRDefault="0078107F" w:rsidP="00B34C01">
          <w:pPr>
            <w:spacing w:line="360" w:lineRule="auto"/>
            <w:jc w:val="right"/>
            <w:rPr>
              <w:rFonts w:ascii="Palatino Linotype" w:eastAsiaTheme="minorEastAsia" w:hAnsi="Palatino Linotype"/>
              <w:lang w:val="es-ES_tradnl" w:eastAsia="es-ES"/>
            </w:rPr>
          </w:pPr>
          <w:r w:rsidRPr="001A51C6">
            <w:rPr>
              <w:rFonts w:ascii="Palatino Linotype" w:eastAsiaTheme="minorEastAsia" w:hAnsi="Palatino Linotype"/>
              <w:b/>
              <w:bCs/>
              <w:lang w:val="es-ES" w:eastAsia="es-ES"/>
            </w:rPr>
            <w:fldChar w:fldCharType="end"/>
          </w:r>
        </w:p>
      </w:sdtContent>
    </w:sdt>
    <w:p w:rsidR="0078107F" w:rsidRPr="001A51C6" w:rsidRDefault="0078107F" w:rsidP="00B34C01">
      <w:pPr>
        <w:spacing w:line="360" w:lineRule="auto"/>
        <w:jc w:val="both"/>
        <w:rPr>
          <w:rFonts w:ascii="Palatino Linotype" w:eastAsiaTheme="minorEastAsia" w:hAnsi="Palatino Linotype"/>
          <w:lang w:val="es-ES_tradnl" w:eastAsia="es-ES"/>
        </w:rPr>
      </w:pPr>
    </w:p>
    <w:p w:rsidR="0078107F" w:rsidRPr="001A51C6" w:rsidRDefault="0078107F" w:rsidP="00B34C01">
      <w:pPr>
        <w:spacing w:line="360" w:lineRule="auto"/>
        <w:jc w:val="both"/>
        <w:rPr>
          <w:rFonts w:ascii="Palatino Linotype" w:eastAsiaTheme="minorEastAsia" w:hAnsi="Palatino Linotype"/>
          <w:lang w:val="es-ES_tradnl" w:eastAsia="es-ES"/>
        </w:rPr>
      </w:pPr>
      <w:r w:rsidRPr="001A51C6">
        <w:rPr>
          <w:rFonts w:ascii="Palatino Linotype" w:eastAsiaTheme="minorEastAsia" w:hAnsi="Palatino Linotype"/>
          <w:lang w:val="es-ES_tradnl" w:eastAsia="es-ES"/>
        </w:rPr>
        <w:lastRenderedPageBreak/>
        <w:t>Resolución del Pleno del Instituto de Transparencia, Acceso a la Información Pública y Protección de Datos Personales del Estado de México y Municipios, con domicilio en Metepec, Estad</w:t>
      </w:r>
      <w:r w:rsidR="00E8691C">
        <w:rPr>
          <w:rFonts w:ascii="Palatino Linotype" w:eastAsiaTheme="minorEastAsia" w:hAnsi="Palatino Linotype"/>
          <w:lang w:val="es-ES_tradnl" w:eastAsia="es-ES"/>
        </w:rPr>
        <w:t>o de México; de fecha veintisiete (27</w:t>
      </w:r>
      <w:r w:rsidRPr="001A51C6">
        <w:rPr>
          <w:rFonts w:ascii="Palatino Linotype" w:eastAsiaTheme="minorEastAsia" w:hAnsi="Palatino Linotype"/>
          <w:lang w:val="es-ES_tradnl" w:eastAsia="es-ES"/>
        </w:rPr>
        <w:t>) de octubre  de dos mil veintiuno.</w:t>
      </w:r>
    </w:p>
    <w:p w:rsidR="0078107F" w:rsidRPr="001A51C6" w:rsidRDefault="0078107F" w:rsidP="00B34C01">
      <w:pPr>
        <w:spacing w:line="360" w:lineRule="auto"/>
        <w:jc w:val="both"/>
        <w:rPr>
          <w:rFonts w:ascii="Palatino Linotype" w:eastAsiaTheme="minorEastAsia" w:hAnsi="Palatino Linotype"/>
          <w:lang w:val="es-ES_tradnl" w:eastAsia="es-ES"/>
        </w:rPr>
      </w:pPr>
    </w:p>
    <w:p w:rsidR="0078107F" w:rsidRPr="001A51C6" w:rsidRDefault="0078107F" w:rsidP="00B34C01">
      <w:pPr>
        <w:spacing w:line="360" w:lineRule="auto"/>
        <w:jc w:val="both"/>
        <w:rPr>
          <w:rFonts w:ascii="Palatino Linotype" w:hAnsi="Palatino Linotype"/>
        </w:rPr>
      </w:pPr>
      <w:r w:rsidRPr="001A51C6">
        <w:rPr>
          <w:rFonts w:ascii="Palatino Linotype" w:hAnsi="Palatino Linotype"/>
          <w:b/>
        </w:rPr>
        <w:t>VISTO</w:t>
      </w:r>
      <w:r w:rsidRPr="001A51C6">
        <w:rPr>
          <w:rFonts w:ascii="Palatino Linotype" w:hAnsi="Palatino Linotype"/>
        </w:rPr>
        <w:t xml:space="preserve"> el expediente electrónico formado con motivo del recurso de revisión </w:t>
      </w:r>
      <w:r w:rsidRPr="001A51C6">
        <w:rPr>
          <w:rFonts w:ascii="Palatino Linotype" w:hAnsi="Palatino Linotype"/>
          <w:b/>
        </w:rPr>
        <w:t>03918/INFOEM/IP/RR/2021,</w:t>
      </w:r>
      <w:r w:rsidRPr="001A51C6">
        <w:rPr>
          <w:rFonts w:ascii="Palatino Linotype" w:hAnsi="Palatino Linotype" w:cs="Arial"/>
          <w:b/>
          <w:bCs/>
        </w:rPr>
        <w:t xml:space="preserve"> </w:t>
      </w:r>
      <w:r w:rsidRPr="001A51C6">
        <w:rPr>
          <w:rFonts w:ascii="Palatino Linotype" w:eastAsiaTheme="minorEastAsia" w:hAnsi="Palatino Linotype"/>
          <w:lang w:val="es-ES_tradnl" w:eastAsia="es-ES"/>
        </w:rPr>
        <w:t xml:space="preserve">promovido </w:t>
      </w:r>
      <w:r w:rsidR="009E7F98">
        <w:rPr>
          <w:rFonts w:ascii="Palatino Linotype" w:eastAsiaTheme="minorEastAsia" w:hAnsi="Palatino Linotype"/>
          <w:b/>
          <w:lang w:val="es-ES_tradnl" w:eastAsia="es-ES"/>
        </w:rPr>
        <w:t>XXXXXXXXXXXXXXXXXXXXXXXX</w:t>
      </w:r>
      <w:r w:rsidRPr="001A51C6">
        <w:rPr>
          <w:rFonts w:ascii="Palatino Linotype" w:hAnsi="Palatino Linotype"/>
        </w:rPr>
        <w:t xml:space="preserve">, quien en lo sucesivo se identificará como </w:t>
      </w:r>
      <w:r w:rsidRPr="001A51C6">
        <w:rPr>
          <w:rFonts w:ascii="Palatino Linotype" w:hAnsi="Palatino Linotype"/>
          <w:b/>
        </w:rPr>
        <w:t xml:space="preserve">EL </w:t>
      </w:r>
      <w:r w:rsidRPr="001A51C6">
        <w:rPr>
          <w:rFonts w:ascii="Palatino Linotype" w:hAnsi="Palatino Linotype" w:cs="Arial"/>
          <w:b/>
        </w:rPr>
        <w:t>RECURRENTE</w:t>
      </w:r>
      <w:r w:rsidRPr="001A51C6">
        <w:rPr>
          <w:rFonts w:ascii="Palatino Linotype" w:hAnsi="Palatino Linotype" w:cs="Arial"/>
        </w:rPr>
        <w:t xml:space="preserve">, en contra de la respuesta del </w:t>
      </w:r>
      <w:r w:rsidRPr="001A51C6">
        <w:rPr>
          <w:rFonts w:ascii="Palatino Linotype" w:hAnsi="Palatino Linotype" w:cs="Arial"/>
          <w:b/>
        </w:rPr>
        <w:t>Fiscalía General de Justicia del Estado de México,</w:t>
      </w:r>
      <w:r w:rsidRPr="001A51C6">
        <w:rPr>
          <w:rFonts w:ascii="Palatino Linotype" w:hAnsi="Palatino Linotype"/>
          <w:b/>
        </w:rPr>
        <w:t xml:space="preserve"> </w:t>
      </w:r>
      <w:r w:rsidRPr="001A51C6">
        <w:rPr>
          <w:rFonts w:ascii="Palatino Linotype" w:hAnsi="Palatino Linotype"/>
        </w:rPr>
        <w:t>en lo sucesivo el</w:t>
      </w:r>
      <w:r w:rsidRPr="001A51C6">
        <w:rPr>
          <w:rFonts w:ascii="Palatino Linotype" w:hAnsi="Palatino Linotype"/>
          <w:b/>
        </w:rPr>
        <w:t xml:space="preserve"> SUJETO OBLIGADO</w:t>
      </w:r>
      <w:r w:rsidRPr="001A51C6">
        <w:rPr>
          <w:rFonts w:ascii="Palatino Linotype" w:hAnsi="Palatino Linotype"/>
        </w:rPr>
        <w:t>, por lo que se procede a dictar la presente resolución, con base en los siguientes:</w:t>
      </w:r>
    </w:p>
    <w:p w:rsidR="0078107F" w:rsidRPr="001A51C6" w:rsidRDefault="0078107F" w:rsidP="00B34C01">
      <w:pPr>
        <w:spacing w:line="360" w:lineRule="auto"/>
        <w:jc w:val="both"/>
        <w:rPr>
          <w:rFonts w:ascii="Palatino Linotype" w:hAnsi="Palatino Linotype"/>
          <w:b/>
        </w:rPr>
      </w:pPr>
    </w:p>
    <w:p w:rsidR="0078107F" w:rsidRPr="001A51C6" w:rsidRDefault="0078107F" w:rsidP="00B34C01">
      <w:pPr>
        <w:keepNext/>
        <w:keepLines/>
        <w:spacing w:line="360" w:lineRule="auto"/>
        <w:jc w:val="center"/>
        <w:outlineLvl w:val="0"/>
        <w:rPr>
          <w:rFonts w:ascii="Palatino Linotype" w:eastAsiaTheme="majorEastAsia" w:hAnsi="Palatino Linotype" w:cstheme="majorBidi"/>
          <w:b/>
          <w:szCs w:val="32"/>
        </w:rPr>
      </w:pPr>
      <w:bookmarkStart w:id="0" w:name="_Toc85672126"/>
      <w:r w:rsidRPr="001A51C6">
        <w:rPr>
          <w:rFonts w:ascii="Palatino Linotype" w:eastAsiaTheme="majorEastAsia" w:hAnsi="Palatino Linotype" w:cstheme="majorBidi"/>
          <w:b/>
          <w:szCs w:val="32"/>
        </w:rPr>
        <w:t>ANTECEDENTES</w:t>
      </w:r>
      <w:bookmarkEnd w:id="0"/>
    </w:p>
    <w:p w:rsidR="0078107F" w:rsidRPr="001A51C6" w:rsidRDefault="0078107F" w:rsidP="00B34C01">
      <w:pPr>
        <w:spacing w:line="360" w:lineRule="auto"/>
        <w:rPr>
          <w:rFonts w:ascii="Palatino Linotype" w:eastAsiaTheme="minorEastAsia" w:hAnsi="Palatino Linotype"/>
        </w:rPr>
      </w:pPr>
    </w:p>
    <w:p w:rsidR="0078107F" w:rsidRPr="001A51C6" w:rsidRDefault="0078107F" w:rsidP="00B34C01">
      <w:pPr>
        <w:numPr>
          <w:ilvl w:val="0"/>
          <w:numId w:val="1"/>
        </w:numPr>
        <w:spacing w:line="360" w:lineRule="auto"/>
        <w:ind w:left="0" w:firstLine="0"/>
        <w:contextualSpacing/>
        <w:jc w:val="both"/>
        <w:rPr>
          <w:rFonts w:ascii="Palatino Linotype" w:hAnsi="Palatino Linotype" w:cs="Arial"/>
          <w:lang w:val="es-ES" w:eastAsia="es-ES"/>
        </w:rPr>
      </w:pPr>
      <w:r w:rsidRPr="001A51C6">
        <w:rPr>
          <w:rFonts w:ascii="Palatino Linotype" w:eastAsia="Calibri" w:hAnsi="Palatino Linotype" w:cs="Arial"/>
          <w:lang w:val="es-ES" w:eastAsia="es-ES"/>
        </w:rPr>
        <w:t>El día diecisiete (17) de junio  de dos mil veintiuno,</w:t>
      </w:r>
      <w:r w:rsidRPr="001A51C6">
        <w:rPr>
          <w:rFonts w:ascii="Palatino Linotype" w:eastAsia="Calibri" w:hAnsi="Palatino Linotype"/>
          <w:lang w:val="es-ES" w:eastAsia="es-ES"/>
        </w:rPr>
        <w:t xml:space="preserve"> </w:t>
      </w:r>
      <w:r w:rsidRPr="001A51C6">
        <w:rPr>
          <w:rFonts w:ascii="Palatino Linotype" w:eastAsia="Calibri" w:hAnsi="Palatino Linotype"/>
          <w:b/>
          <w:lang w:val="es-ES" w:eastAsia="es-ES"/>
        </w:rPr>
        <w:t>EL RECURRENTE</w:t>
      </w:r>
      <w:r w:rsidRPr="001A51C6">
        <w:rPr>
          <w:rFonts w:ascii="Palatino Linotype" w:eastAsiaTheme="minorEastAsia" w:hAnsi="Palatino Linotype"/>
          <w:b/>
          <w:lang w:val="es-ES_tradnl" w:eastAsia="es-ES"/>
        </w:rPr>
        <w:t>,</w:t>
      </w:r>
      <w:r w:rsidRPr="001A51C6">
        <w:rPr>
          <w:rFonts w:ascii="Palatino Linotype" w:eastAsia="Calibri" w:hAnsi="Palatino Linotype" w:cs="Arial"/>
          <w:lang w:val="es-ES" w:eastAsia="es-ES"/>
        </w:rPr>
        <w:t xml:space="preserve"> ante el </w:t>
      </w:r>
      <w:r w:rsidRPr="001A51C6">
        <w:rPr>
          <w:rFonts w:ascii="Palatino Linotype" w:eastAsia="Calibri" w:hAnsi="Palatino Linotype" w:cs="Arial"/>
          <w:b/>
          <w:lang w:val="es-ES" w:eastAsia="es-ES"/>
        </w:rPr>
        <w:t>SUJETO OBLIGADO</w:t>
      </w:r>
      <w:r w:rsidRPr="001A51C6">
        <w:rPr>
          <w:rFonts w:ascii="Palatino Linotype" w:eastAsia="Calibri" w:hAnsi="Palatino Linotype" w:cs="Arial"/>
          <w:lang w:val="es-ES_tradnl" w:eastAsia="es-ES"/>
        </w:rPr>
        <w:t xml:space="preserve"> vía </w:t>
      </w:r>
      <w:r w:rsidRPr="001A51C6">
        <w:rPr>
          <w:rFonts w:ascii="Palatino Linotype" w:eastAsia="Calibri" w:hAnsi="Palatino Linotype" w:cs="Arial"/>
          <w:lang w:val="es-ES" w:eastAsia="es-ES"/>
        </w:rPr>
        <w:t>Sistema de Acceso a la Información Mexiquense (</w:t>
      </w:r>
      <w:r w:rsidRPr="001A51C6">
        <w:rPr>
          <w:rFonts w:ascii="Palatino Linotype" w:eastAsia="Calibri" w:hAnsi="Palatino Linotype" w:cs="Arial"/>
          <w:b/>
          <w:lang w:val="es-ES" w:eastAsia="es-ES"/>
        </w:rPr>
        <w:t>SAIMEX)</w:t>
      </w:r>
      <w:r w:rsidRPr="001A51C6">
        <w:rPr>
          <w:rFonts w:ascii="Palatino Linotype" w:eastAsia="Calibri" w:hAnsi="Palatino Linotype" w:cs="Arial"/>
          <w:lang w:val="es-ES" w:eastAsia="es-ES"/>
        </w:rPr>
        <w:t xml:space="preserve">, presentó una solicitud de información registrada con el número </w:t>
      </w:r>
      <w:r w:rsidRPr="001A51C6">
        <w:rPr>
          <w:rFonts w:ascii="Palatino Linotype" w:hAnsi="Palatino Linotype"/>
          <w:b/>
          <w:bCs/>
        </w:rPr>
        <w:t>00672/FGJ/IP/2021</w:t>
      </w:r>
      <w:r w:rsidRPr="001A51C6">
        <w:rPr>
          <w:rFonts w:ascii="Palatino Linotype" w:eastAsiaTheme="minorEastAsia" w:hAnsi="Palatino Linotype"/>
          <w:b/>
          <w:lang w:val="es-ES_tradnl" w:eastAsia="es-ES"/>
        </w:rPr>
        <w:t xml:space="preserve">, </w:t>
      </w:r>
      <w:r w:rsidRPr="001A51C6">
        <w:rPr>
          <w:rFonts w:ascii="Palatino Linotype" w:eastAsia="Calibri" w:hAnsi="Palatino Linotype" w:cs="Arial"/>
          <w:lang w:val="es-ES" w:eastAsia="es-ES"/>
        </w:rPr>
        <w:t>mediante la cual solicitó lo siguiente:</w:t>
      </w:r>
    </w:p>
    <w:p w:rsidR="0078107F" w:rsidRPr="001A51C6" w:rsidRDefault="0078107F" w:rsidP="00B34C01">
      <w:pPr>
        <w:spacing w:line="360" w:lineRule="auto"/>
        <w:contextualSpacing/>
        <w:jc w:val="both"/>
        <w:rPr>
          <w:rFonts w:ascii="Palatino Linotype" w:hAnsi="Palatino Linotype" w:cs="Arial"/>
          <w:lang w:val="es-ES" w:eastAsia="es-ES"/>
        </w:rPr>
      </w:pPr>
    </w:p>
    <w:p w:rsidR="0078107F" w:rsidRPr="001A51C6" w:rsidRDefault="0078107F" w:rsidP="00B34C01">
      <w:pPr>
        <w:pStyle w:val="Prrafodelista"/>
        <w:spacing w:line="360" w:lineRule="auto"/>
        <w:ind w:left="1069" w:right="567"/>
        <w:jc w:val="both"/>
        <w:rPr>
          <w:rFonts w:ascii="Palatino Linotype" w:hAnsi="Palatino Linotype"/>
          <w:i/>
          <w:color w:val="000000"/>
        </w:rPr>
      </w:pPr>
      <w:r w:rsidRPr="001A51C6">
        <w:rPr>
          <w:rFonts w:ascii="Palatino Linotype" w:hAnsi="Palatino Linotype"/>
          <w:i/>
          <w:color w:val="000000"/>
        </w:rPr>
        <w:t xml:space="preserve"> “1.- Solicito se me informe cuántas investigaciones ha abierto la Fiscalía contra funcionarios públicos pertenecientes al cabildo o al gabinete del Ayuntamiento de Tlalnepantla de Baz, correspondiente a la administración 2019-2021. 2.- Mencionar la fecha en la que se abrió la investigación, indicar el número de la carpeta de </w:t>
      </w:r>
      <w:r w:rsidRPr="001A51C6">
        <w:rPr>
          <w:rFonts w:ascii="Palatino Linotype" w:hAnsi="Palatino Linotype"/>
          <w:i/>
          <w:color w:val="000000"/>
        </w:rPr>
        <w:lastRenderedPageBreak/>
        <w:t xml:space="preserve">investigación, el tipo de delito al que corresponde y el puesto de la persona investigada, por ejemplo: presidente municipal, regiduría, tesorería, etcétera.” (Sic) </w:t>
      </w:r>
    </w:p>
    <w:p w:rsidR="0078107F" w:rsidRPr="001A51C6" w:rsidRDefault="00BE54C4" w:rsidP="00B34C01">
      <w:pPr>
        <w:pStyle w:val="Prrafodelista"/>
        <w:tabs>
          <w:tab w:val="left" w:pos="3752"/>
        </w:tabs>
        <w:spacing w:line="360" w:lineRule="auto"/>
        <w:ind w:left="1069" w:right="567"/>
        <w:jc w:val="both"/>
        <w:rPr>
          <w:rFonts w:ascii="Palatino Linotype" w:eastAsia="Calibri" w:hAnsi="Palatino Linotype" w:cs="Arial"/>
          <w:i/>
          <w:lang w:val="es-ES" w:eastAsia="es-ES"/>
        </w:rPr>
      </w:pPr>
      <w:r w:rsidRPr="001A51C6">
        <w:rPr>
          <w:rFonts w:ascii="Palatino Linotype" w:eastAsia="Calibri" w:hAnsi="Palatino Linotype" w:cs="Arial"/>
          <w:i/>
          <w:lang w:val="es-ES" w:eastAsia="es-ES"/>
        </w:rPr>
        <w:tab/>
      </w:r>
    </w:p>
    <w:p w:rsidR="0078107F" w:rsidRPr="001A51C6" w:rsidRDefault="0078107F" w:rsidP="00B34C01">
      <w:pPr>
        <w:numPr>
          <w:ilvl w:val="0"/>
          <w:numId w:val="1"/>
        </w:numPr>
        <w:spacing w:line="360" w:lineRule="auto"/>
        <w:ind w:left="0" w:firstLine="0"/>
        <w:contextualSpacing/>
        <w:jc w:val="both"/>
        <w:rPr>
          <w:rFonts w:ascii="Palatino Linotype" w:hAnsi="Palatino Linotype"/>
          <w:noProof/>
          <w:lang w:val="es-ES" w:eastAsia="es-ES"/>
        </w:rPr>
      </w:pPr>
      <w:r w:rsidRPr="001A51C6">
        <w:rPr>
          <w:rFonts w:ascii="Palatino Linotype" w:eastAsia="Calibri" w:hAnsi="Palatino Linotype"/>
          <w:lang w:val="es-ES" w:eastAsia="es-ES"/>
        </w:rPr>
        <w:t>De las constancias que obran en el expediente electrónico SAIMEX, se observa que el veinticuatro (24) de junio  de dos mil veintiuno, se realizaron dos requerimientos:</w:t>
      </w:r>
    </w:p>
    <w:p w:rsidR="0078107F" w:rsidRPr="001A51C6" w:rsidRDefault="0078107F" w:rsidP="00B34C01">
      <w:pPr>
        <w:spacing w:line="360" w:lineRule="auto"/>
        <w:contextualSpacing/>
        <w:jc w:val="both"/>
        <w:rPr>
          <w:rFonts w:ascii="Palatino Linotype" w:hAnsi="Palatino Linotype"/>
          <w:noProof/>
          <w:lang w:val="es-ES" w:eastAsia="es-ES"/>
        </w:rPr>
      </w:pPr>
    </w:p>
    <w:p w:rsidR="0078107F" w:rsidRPr="001A51C6" w:rsidRDefault="0078107F" w:rsidP="00B34C01">
      <w:pPr>
        <w:spacing w:line="360" w:lineRule="auto"/>
        <w:contextualSpacing/>
        <w:jc w:val="center"/>
        <w:rPr>
          <w:rFonts w:ascii="Palatino Linotype" w:eastAsia="Calibri" w:hAnsi="Palatino Linotype"/>
          <w:lang w:val="es-ES" w:eastAsia="es-ES"/>
        </w:rPr>
      </w:pPr>
      <w:r w:rsidRPr="001A51C6">
        <w:rPr>
          <w:rFonts w:ascii="Palatino Linotype" w:hAnsi="Palatino Linotype"/>
          <w:noProof/>
          <w:lang w:val="es-ES" w:eastAsia="es-ES"/>
        </w:rPr>
        <w:drawing>
          <wp:inline distT="0" distB="0" distL="0" distR="0" wp14:anchorId="341FD6DD" wp14:editId="0CEBAC46">
            <wp:extent cx="5084445" cy="12192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52" t="23589" r="23540" b="61962"/>
                    <a:stretch/>
                  </pic:blipFill>
                  <pic:spPr bwMode="auto">
                    <a:xfrm>
                      <a:off x="0" y="0"/>
                      <a:ext cx="5090792" cy="1220722"/>
                    </a:xfrm>
                    <a:prstGeom prst="rect">
                      <a:avLst/>
                    </a:prstGeom>
                    <a:ln>
                      <a:noFill/>
                    </a:ln>
                    <a:extLst>
                      <a:ext uri="{53640926-AAD7-44D8-BBD7-CCE9431645EC}">
                        <a14:shadowObscured xmlns:a14="http://schemas.microsoft.com/office/drawing/2010/main"/>
                      </a:ext>
                    </a:extLst>
                  </pic:spPr>
                </pic:pic>
              </a:graphicData>
            </a:graphic>
          </wp:inline>
        </w:drawing>
      </w:r>
    </w:p>
    <w:p w:rsidR="0078107F" w:rsidRPr="001A51C6" w:rsidRDefault="0078107F" w:rsidP="00B34C01">
      <w:pPr>
        <w:spacing w:line="360" w:lineRule="auto"/>
        <w:contextualSpacing/>
        <w:jc w:val="both"/>
        <w:rPr>
          <w:rFonts w:ascii="Palatino Linotype" w:eastAsia="Calibri" w:hAnsi="Palatino Linotype"/>
          <w:lang w:val="es-ES" w:eastAsia="es-ES"/>
        </w:rPr>
      </w:pPr>
    </w:p>
    <w:p w:rsidR="00AD1A9C" w:rsidRPr="001A51C6" w:rsidRDefault="00AD1A9C" w:rsidP="00B34C01">
      <w:pPr>
        <w:numPr>
          <w:ilvl w:val="0"/>
          <w:numId w:val="1"/>
        </w:numPr>
        <w:spacing w:line="360" w:lineRule="auto"/>
        <w:ind w:left="0" w:firstLine="0"/>
        <w:contextualSpacing/>
        <w:jc w:val="both"/>
        <w:rPr>
          <w:rFonts w:ascii="Palatino Linotype" w:eastAsia="Calibri" w:hAnsi="Palatino Linotype"/>
          <w:lang w:val="es-ES" w:eastAsia="es-ES"/>
        </w:rPr>
      </w:pPr>
      <w:r w:rsidRPr="001A51C6">
        <w:rPr>
          <w:rFonts w:ascii="Palatino Linotype" w:eastAsia="Calibri" w:hAnsi="Palatino Linotype"/>
          <w:lang w:val="es-ES" w:eastAsia="es-ES"/>
        </w:rPr>
        <w:t>El ocho (08) de julio de dos mil veintiuno, el Sujeto Obligado solicito una prórroga en el siguiente sentido.</w:t>
      </w:r>
    </w:p>
    <w:p w:rsidR="00AD1A9C" w:rsidRPr="001A51C6" w:rsidRDefault="00AD1A9C" w:rsidP="00B34C01">
      <w:pPr>
        <w:spacing w:line="360" w:lineRule="auto"/>
        <w:contextualSpacing/>
        <w:jc w:val="both"/>
        <w:rPr>
          <w:rFonts w:ascii="Palatino Linotype" w:eastAsia="Calibri" w:hAnsi="Palatino Linotype"/>
          <w:lang w:val="es-ES" w:eastAsia="es-ES"/>
        </w:rPr>
      </w:pPr>
    </w:p>
    <w:tbl>
      <w:tblPr>
        <w:tblW w:w="7465" w:type="dxa"/>
        <w:jc w:val="center"/>
        <w:tblCellSpacing w:w="0" w:type="dxa"/>
        <w:tblCellMar>
          <w:left w:w="0" w:type="dxa"/>
          <w:right w:w="0" w:type="dxa"/>
        </w:tblCellMar>
        <w:tblLook w:val="04A0" w:firstRow="1" w:lastRow="0" w:firstColumn="1" w:lastColumn="0" w:noHBand="0" w:noVBand="1"/>
      </w:tblPr>
      <w:tblGrid>
        <w:gridCol w:w="7465"/>
      </w:tblGrid>
      <w:tr w:rsidR="00AD1A9C" w:rsidRPr="001A51C6" w:rsidTr="00AD1A9C">
        <w:trPr>
          <w:trHeight w:val="299"/>
          <w:tblCellSpacing w:w="0" w:type="dxa"/>
          <w:jc w:val="center"/>
        </w:trPr>
        <w:tc>
          <w:tcPr>
            <w:tcW w:w="0" w:type="auto"/>
            <w:vAlign w:val="center"/>
            <w:hideMark/>
          </w:tcPr>
          <w:p w:rsidR="00AD1A9C" w:rsidRPr="001A51C6" w:rsidRDefault="00AD1A9C" w:rsidP="00B34C01">
            <w:pPr>
              <w:spacing w:line="360" w:lineRule="auto"/>
              <w:contextualSpacing/>
              <w:jc w:val="right"/>
              <w:rPr>
                <w:rFonts w:ascii="Palatino Linotype" w:eastAsia="Calibri" w:hAnsi="Palatino Linotype"/>
                <w:i/>
                <w:sz w:val="22"/>
                <w:lang w:val="es-ES" w:eastAsia="es-ES"/>
              </w:rPr>
            </w:pPr>
            <w:r w:rsidRPr="001A51C6">
              <w:rPr>
                <w:rFonts w:ascii="Palatino Linotype" w:eastAsia="Calibri" w:hAnsi="Palatino Linotype"/>
                <w:i/>
                <w:sz w:val="22"/>
                <w:lang w:val="es-ES" w:eastAsia="es-ES"/>
              </w:rPr>
              <w:t>Metepec, México a 08 de Julio de 2021</w:t>
            </w:r>
          </w:p>
        </w:tc>
      </w:tr>
      <w:tr w:rsidR="00AD1A9C" w:rsidRPr="001A51C6" w:rsidTr="00AD1A9C">
        <w:trPr>
          <w:trHeight w:val="299"/>
          <w:tblCellSpacing w:w="0" w:type="dxa"/>
          <w:jc w:val="center"/>
        </w:trPr>
        <w:tc>
          <w:tcPr>
            <w:tcW w:w="0" w:type="auto"/>
            <w:vAlign w:val="center"/>
            <w:hideMark/>
          </w:tcPr>
          <w:p w:rsidR="00AD1A9C" w:rsidRPr="001A51C6" w:rsidRDefault="00AD1A9C" w:rsidP="009E7F98">
            <w:pPr>
              <w:spacing w:line="360" w:lineRule="auto"/>
              <w:contextualSpacing/>
              <w:jc w:val="right"/>
              <w:rPr>
                <w:rFonts w:ascii="Palatino Linotype" w:eastAsia="Calibri" w:hAnsi="Palatino Linotype"/>
                <w:i/>
                <w:sz w:val="22"/>
                <w:lang w:val="es-ES" w:eastAsia="es-ES"/>
              </w:rPr>
            </w:pPr>
            <w:r w:rsidRPr="001A51C6">
              <w:rPr>
                <w:rFonts w:ascii="Palatino Linotype" w:eastAsia="Calibri" w:hAnsi="Palatino Linotype"/>
                <w:i/>
                <w:sz w:val="22"/>
                <w:lang w:val="es-ES" w:eastAsia="es-ES"/>
              </w:rPr>
              <w:t xml:space="preserve">Nombre del solicitante: </w:t>
            </w:r>
            <w:r w:rsidR="009E7F98">
              <w:rPr>
                <w:rFonts w:ascii="Palatino Linotype" w:eastAsia="Calibri" w:hAnsi="Palatino Linotype"/>
                <w:i/>
                <w:sz w:val="22"/>
                <w:lang w:val="es-ES" w:eastAsia="es-ES"/>
              </w:rPr>
              <w:t>XXXXXXXXXXXXXXXXXXXXXXXXXXX</w:t>
            </w:r>
          </w:p>
        </w:tc>
      </w:tr>
      <w:tr w:rsidR="00AD1A9C" w:rsidRPr="001A51C6" w:rsidTr="00AD1A9C">
        <w:trPr>
          <w:trHeight w:val="299"/>
          <w:tblCellSpacing w:w="0" w:type="dxa"/>
          <w:jc w:val="center"/>
        </w:trPr>
        <w:tc>
          <w:tcPr>
            <w:tcW w:w="0" w:type="auto"/>
            <w:vAlign w:val="center"/>
            <w:hideMark/>
          </w:tcPr>
          <w:p w:rsidR="00AD1A9C" w:rsidRPr="001A51C6" w:rsidRDefault="00AD1A9C" w:rsidP="00B34C01">
            <w:pPr>
              <w:spacing w:line="360" w:lineRule="auto"/>
              <w:contextualSpacing/>
              <w:jc w:val="right"/>
              <w:rPr>
                <w:rFonts w:ascii="Palatino Linotype" w:eastAsia="Calibri" w:hAnsi="Palatino Linotype"/>
                <w:i/>
                <w:sz w:val="22"/>
                <w:lang w:val="es-ES" w:eastAsia="es-ES"/>
              </w:rPr>
            </w:pPr>
            <w:r w:rsidRPr="001A51C6">
              <w:rPr>
                <w:rFonts w:ascii="Palatino Linotype" w:eastAsia="Calibri" w:hAnsi="Palatino Linotype"/>
                <w:i/>
                <w:sz w:val="22"/>
                <w:lang w:val="es-ES" w:eastAsia="es-ES"/>
              </w:rPr>
              <w:t>Folio de la solicitud: 00672/FGJ/IP/2021</w:t>
            </w:r>
          </w:p>
        </w:tc>
      </w:tr>
      <w:tr w:rsidR="00AD1A9C" w:rsidRPr="001A51C6" w:rsidTr="00AD1A9C">
        <w:trPr>
          <w:trHeight w:val="4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p>
        </w:tc>
      </w:tr>
      <w:tr w:rsidR="00AD1A9C" w:rsidRPr="001A51C6" w:rsidTr="00AD1A9C">
        <w:trPr>
          <w:trHeight w:val="1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r w:rsidRPr="001A51C6">
              <w:rPr>
                <w:rFonts w:ascii="Palatino Linotype" w:eastAsia="Calibri" w:hAnsi="Palatino Linotype"/>
                <w:i/>
                <w:sz w:val="22"/>
                <w:lang w:val="es-ES"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AD1A9C" w:rsidRPr="001A51C6" w:rsidTr="00AD1A9C">
        <w:trPr>
          <w:trHeight w:val="374"/>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p>
        </w:tc>
      </w:tr>
      <w:tr w:rsidR="00AD1A9C" w:rsidRPr="001A51C6" w:rsidTr="00AD1A9C">
        <w:trPr>
          <w:trHeight w:val="1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r w:rsidRPr="001A51C6">
              <w:rPr>
                <w:rFonts w:ascii="Palatino Linotype" w:eastAsia="Calibri" w:hAnsi="Palatino Linotype"/>
                <w:i/>
                <w:sz w:val="22"/>
                <w:lang w:val="es-ES" w:eastAsia="es-ES"/>
              </w:rPr>
              <w:lastRenderedPageBreak/>
              <w:t xml:space="preserve">RESOLUCIÓN DE LA AMPLIACIÓN DE PLAZO PARA LA ENTREGA DE INFORMACIÓN DE LA SOLICITUD 00672/FGJ/IP/2021. El Comité de Transparencia de la Fiscalía General de Justicia del Estado de México, integrado por Yamilit Leyva Gutiérrez, Titular de la Unidad de Transparencia; la Lic. Claudia Romero Landázuri, Titular del Órgano Interno de Control; y el Lic. Delfino Rodríguez Manzanares, Coordinador de Archivos; tuvieron a bien reunirse siendo las 10:30 horas del día 8 de julio de 2021,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17 de junio de 2021, se recibió la solicitud </w:t>
            </w:r>
            <w:r w:rsidRPr="001A51C6">
              <w:rPr>
                <w:rFonts w:ascii="Palatino Linotype" w:eastAsia="Calibri" w:hAnsi="Palatino Linotype"/>
                <w:i/>
                <w:sz w:val="22"/>
                <w:lang w:val="es-ES" w:eastAsia="es-ES"/>
              </w:rPr>
              <w:lastRenderedPageBreak/>
              <w:t>de información de la C. MARÍA MERCEDES MONTEROSAS OVIEDO, a través del Módulo de Transparencia y Acceso a la Información Pública, la cual fue registrada bajo el folio 00672/FGJ/IP/2021. III. Con fundamento en lo dispuesto en el artículo 163, párrafo segundo de la Ley de la materia, la solicitud de mérito fue turnada al Servidor Público Habilitado correspondiente, mismo que refiere que se está validando la información que obra en los archivos de la unidad administrativa, a efecto de que no sea errónea y en aras de privilegiar el principio de máxima publicidad, solicita una prórroga de siete días hábiles para la entrega de la información. Por lo antes expuesto, este Comité: RESUELVE PRIMERO. Aprobar la ampliación del plazo para la entrega de la información solicitada, por un periodo de siete días hábiles, los cuales correrán del 9 de julio al 2 de agosto de 2021. SEGUNDO. Notifíquese a la C. MARÍA MERCEDES MONTEROSAS OVIEDO, la aprobación de la ampliación del plazo para dar contestación a su solitud de información. YAMILIT LEYVA GUTIÉRREZ Titular de la Unidad de Transparencia LIC. CLAUDIA ROMERO LANDÁZURI Titular del Órgano Interno de Control LIC. DELFINO RODRÍGUEZ MANZANARES Coordinador de Archivos YLG/pcs</w:t>
            </w:r>
          </w:p>
        </w:tc>
      </w:tr>
      <w:tr w:rsidR="00AD1A9C" w:rsidRPr="001A51C6" w:rsidTr="00AD1A9C">
        <w:trPr>
          <w:trHeight w:val="374"/>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p>
        </w:tc>
      </w:tr>
      <w:tr w:rsidR="00AD1A9C" w:rsidRPr="001A51C6" w:rsidTr="00AD1A9C">
        <w:trPr>
          <w:trHeight w:val="1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p>
        </w:tc>
      </w:tr>
      <w:tr w:rsidR="00AD1A9C" w:rsidRPr="001A51C6" w:rsidTr="00AD1A9C">
        <w:trPr>
          <w:trHeight w:val="1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r w:rsidRPr="001A51C6">
              <w:rPr>
                <w:rFonts w:ascii="Palatino Linotype" w:eastAsia="Calibri" w:hAnsi="Palatino Linotype"/>
                <w:i/>
                <w:sz w:val="22"/>
                <w:lang w:val="es-ES" w:eastAsia="es-ES"/>
              </w:rPr>
              <w:t>YAMILIT LEYVA GUTIÉRREZ</w:t>
            </w:r>
          </w:p>
        </w:tc>
      </w:tr>
      <w:tr w:rsidR="00AD1A9C" w:rsidRPr="001A51C6" w:rsidTr="00AD1A9C">
        <w:trPr>
          <w:trHeight w:val="149"/>
          <w:tblCellSpacing w:w="0" w:type="dxa"/>
          <w:jc w:val="center"/>
        </w:trPr>
        <w:tc>
          <w:tcPr>
            <w:tcW w:w="0" w:type="auto"/>
            <w:vAlign w:val="center"/>
            <w:hideMark/>
          </w:tcPr>
          <w:p w:rsidR="00AD1A9C" w:rsidRPr="001A51C6" w:rsidRDefault="00AD1A9C" w:rsidP="00B34C01">
            <w:pPr>
              <w:spacing w:line="360" w:lineRule="auto"/>
              <w:contextualSpacing/>
              <w:jc w:val="both"/>
              <w:rPr>
                <w:rFonts w:ascii="Palatino Linotype" w:eastAsia="Calibri" w:hAnsi="Palatino Linotype"/>
                <w:i/>
                <w:sz w:val="22"/>
                <w:lang w:val="es-ES" w:eastAsia="es-ES"/>
              </w:rPr>
            </w:pPr>
            <w:r w:rsidRPr="001A51C6">
              <w:rPr>
                <w:rFonts w:ascii="Palatino Linotype" w:eastAsia="Calibri" w:hAnsi="Palatino Linotype"/>
                <w:b/>
                <w:bCs/>
                <w:i/>
                <w:sz w:val="22"/>
                <w:lang w:val="es-ES" w:eastAsia="es-ES"/>
              </w:rPr>
              <w:t>Responsable de la Unidad de Transparencia</w:t>
            </w:r>
          </w:p>
        </w:tc>
      </w:tr>
    </w:tbl>
    <w:p w:rsidR="00AD1A9C" w:rsidRPr="001A51C6" w:rsidRDefault="00AD1A9C" w:rsidP="00B34C01">
      <w:pPr>
        <w:spacing w:line="360" w:lineRule="auto"/>
        <w:contextualSpacing/>
        <w:jc w:val="both"/>
        <w:rPr>
          <w:rFonts w:ascii="Palatino Linotype" w:eastAsia="Calibri" w:hAnsi="Palatino Linotype"/>
          <w:lang w:val="es-ES" w:eastAsia="es-ES"/>
        </w:rPr>
      </w:pPr>
    </w:p>
    <w:p w:rsidR="0078107F" w:rsidRPr="001A51C6" w:rsidRDefault="00AD1A9C" w:rsidP="00B34C01">
      <w:pPr>
        <w:numPr>
          <w:ilvl w:val="0"/>
          <w:numId w:val="1"/>
        </w:numPr>
        <w:spacing w:line="360" w:lineRule="auto"/>
        <w:ind w:left="0" w:firstLine="0"/>
        <w:contextualSpacing/>
        <w:jc w:val="both"/>
        <w:rPr>
          <w:rFonts w:ascii="Palatino Linotype" w:eastAsia="Calibri" w:hAnsi="Palatino Linotype"/>
          <w:lang w:val="es-ES" w:eastAsia="es-ES"/>
        </w:rPr>
      </w:pPr>
      <w:r w:rsidRPr="001A51C6">
        <w:rPr>
          <w:rFonts w:ascii="Palatino Linotype" w:eastAsiaTheme="minorEastAsia" w:hAnsi="Palatino Linotype"/>
          <w:lang w:val="es-ES_tradnl" w:eastAsia="es-ES"/>
        </w:rPr>
        <w:t>El dos (02) de agosto</w:t>
      </w:r>
      <w:r w:rsidR="0078107F" w:rsidRPr="001A51C6">
        <w:rPr>
          <w:rFonts w:ascii="Palatino Linotype" w:eastAsiaTheme="minorEastAsia" w:hAnsi="Palatino Linotype"/>
          <w:lang w:val="es-ES_tradnl" w:eastAsia="es-ES"/>
        </w:rPr>
        <w:t xml:space="preserve"> de dos mil veintiuno, </w:t>
      </w:r>
      <w:r w:rsidR="0078107F" w:rsidRPr="001A51C6">
        <w:rPr>
          <w:rFonts w:ascii="Palatino Linotype" w:eastAsia="Calibri" w:hAnsi="Palatino Linotype"/>
          <w:lang w:val="es-ES" w:eastAsia="es-ES"/>
        </w:rPr>
        <w:t xml:space="preserve">el </w:t>
      </w:r>
      <w:r w:rsidR="0078107F" w:rsidRPr="001A51C6">
        <w:rPr>
          <w:rFonts w:ascii="Palatino Linotype" w:eastAsia="Calibri" w:hAnsi="Palatino Linotype" w:cs="Arial"/>
          <w:b/>
          <w:lang w:val="es-AR" w:eastAsia="es-ES"/>
        </w:rPr>
        <w:t>SUJETO OBLIGADO</w:t>
      </w:r>
      <w:r w:rsidR="0078107F" w:rsidRPr="001A51C6">
        <w:rPr>
          <w:rFonts w:ascii="Palatino Linotype" w:eastAsia="Calibri" w:hAnsi="Palatino Linotype" w:cs="Arial"/>
          <w:b/>
          <w:i/>
          <w:lang w:val="es-AR" w:eastAsia="es-ES"/>
        </w:rPr>
        <w:t xml:space="preserve"> </w:t>
      </w:r>
      <w:r w:rsidR="0078107F" w:rsidRPr="001A51C6">
        <w:rPr>
          <w:rFonts w:ascii="Palatino Linotype" w:hAnsi="Palatino Linotype" w:cs="Arial"/>
          <w:lang w:val="es-ES" w:eastAsia="es-ES"/>
        </w:rPr>
        <w:t>dio respuestas a la solicitud de información en los siguientes términos:</w:t>
      </w:r>
    </w:p>
    <w:p w:rsidR="0078107F" w:rsidRPr="001A51C6" w:rsidRDefault="0078107F" w:rsidP="00B34C01">
      <w:pPr>
        <w:spacing w:line="360" w:lineRule="auto"/>
        <w:ind w:left="720"/>
        <w:contextualSpacing/>
        <w:rPr>
          <w:rFonts w:ascii="Palatino Linotype" w:hAnsi="Palatino Linotype" w:cs="Arial"/>
          <w:lang w:val="es-ES" w:eastAsia="es-ES"/>
        </w:rPr>
      </w:pPr>
    </w:p>
    <w:tbl>
      <w:tblPr>
        <w:tblW w:w="7526" w:type="dxa"/>
        <w:jc w:val="center"/>
        <w:tblCellSpacing w:w="0" w:type="dxa"/>
        <w:tblCellMar>
          <w:left w:w="0" w:type="dxa"/>
          <w:right w:w="0" w:type="dxa"/>
        </w:tblCellMar>
        <w:tblLook w:val="04A0" w:firstRow="1" w:lastRow="0" w:firstColumn="1" w:lastColumn="0" w:noHBand="0" w:noVBand="1"/>
      </w:tblPr>
      <w:tblGrid>
        <w:gridCol w:w="7526"/>
      </w:tblGrid>
      <w:tr w:rsidR="00AD1A9C" w:rsidRPr="001A51C6" w:rsidTr="00AD1A9C">
        <w:trPr>
          <w:trHeight w:val="296"/>
          <w:tblCellSpacing w:w="0" w:type="dxa"/>
          <w:jc w:val="center"/>
        </w:trPr>
        <w:tc>
          <w:tcPr>
            <w:tcW w:w="0" w:type="auto"/>
            <w:vAlign w:val="center"/>
            <w:hideMark/>
          </w:tcPr>
          <w:p w:rsidR="00AD1A9C" w:rsidRPr="001A51C6" w:rsidRDefault="00AD1A9C" w:rsidP="00B34C01">
            <w:pPr>
              <w:spacing w:line="360" w:lineRule="auto"/>
              <w:jc w:val="right"/>
              <w:rPr>
                <w:rFonts w:ascii="Palatino Linotype" w:hAnsi="Palatino Linotype"/>
                <w:i/>
                <w:sz w:val="22"/>
                <w:lang w:val="es-ES" w:eastAsia="es-ES"/>
              </w:rPr>
            </w:pPr>
            <w:r w:rsidRPr="001A51C6">
              <w:rPr>
                <w:rFonts w:ascii="Palatino Linotype" w:hAnsi="Palatino Linotype"/>
                <w:i/>
                <w:sz w:val="22"/>
                <w:szCs w:val="18"/>
                <w:lang w:val="es-ES" w:eastAsia="es-ES"/>
              </w:rPr>
              <w:t>Metepec, México a 02 de Agosto de 2021</w:t>
            </w:r>
          </w:p>
        </w:tc>
      </w:tr>
      <w:tr w:rsidR="00AD1A9C" w:rsidRPr="001A51C6" w:rsidTr="00AD1A9C">
        <w:trPr>
          <w:trHeight w:val="296"/>
          <w:tblCellSpacing w:w="0" w:type="dxa"/>
          <w:jc w:val="center"/>
        </w:trPr>
        <w:tc>
          <w:tcPr>
            <w:tcW w:w="0" w:type="auto"/>
            <w:vAlign w:val="center"/>
            <w:hideMark/>
          </w:tcPr>
          <w:p w:rsidR="00AD1A9C" w:rsidRPr="001A51C6" w:rsidRDefault="009E7F98" w:rsidP="00B34C01">
            <w:pPr>
              <w:spacing w:line="360" w:lineRule="auto"/>
              <w:jc w:val="right"/>
              <w:rPr>
                <w:rFonts w:ascii="Palatino Linotype" w:hAnsi="Palatino Linotype"/>
                <w:i/>
                <w:sz w:val="22"/>
                <w:lang w:val="es-ES" w:eastAsia="es-ES"/>
              </w:rPr>
            </w:pPr>
            <w:r>
              <w:rPr>
                <w:rFonts w:ascii="Palatino Linotype" w:hAnsi="Palatino Linotype"/>
                <w:i/>
                <w:sz w:val="22"/>
                <w:szCs w:val="18"/>
                <w:lang w:val="es-ES" w:eastAsia="es-ES"/>
              </w:rPr>
              <w:t>Nombre del solicitante: XXXXXXXXXXXXXXXXXXXXXXXXXXX</w:t>
            </w:r>
          </w:p>
        </w:tc>
      </w:tr>
      <w:tr w:rsidR="00AD1A9C" w:rsidRPr="001A51C6" w:rsidTr="00AD1A9C">
        <w:trPr>
          <w:trHeight w:val="296"/>
          <w:tblCellSpacing w:w="0" w:type="dxa"/>
          <w:jc w:val="center"/>
        </w:trPr>
        <w:tc>
          <w:tcPr>
            <w:tcW w:w="0" w:type="auto"/>
            <w:vAlign w:val="center"/>
            <w:hideMark/>
          </w:tcPr>
          <w:p w:rsidR="00AD1A9C" w:rsidRPr="001A51C6" w:rsidRDefault="00AD1A9C" w:rsidP="00B34C01">
            <w:pPr>
              <w:spacing w:line="360" w:lineRule="auto"/>
              <w:jc w:val="right"/>
              <w:rPr>
                <w:rFonts w:ascii="Palatino Linotype" w:hAnsi="Palatino Linotype"/>
                <w:i/>
                <w:sz w:val="22"/>
                <w:lang w:val="es-ES" w:eastAsia="es-ES"/>
              </w:rPr>
            </w:pPr>
            <w:r w:rsidRPr="001A51C6">
              <w:rPr>
                <w:rFonts w:ascii="Palatino Linotype" w:hAnsi="Palatino Linotype"/>
                <w:i/>
                <w:sz w:val="22"/>
                <w:szCs w:val="18"/>
                <w:lang w:val="es-ES" w:eastAsia="es-ES"/>
              </w:rPr>
              <w:lastRenderedPageBreak/>
              <w:t>Folio de la solicitud: 00672/FGJ/IP/2021</w:t>
            </w:r>
          </w:p>
        </w:tc>
      </w:tr>
      <w:tr w:rsidR="00AD1A9C" w:rsidRPr="001A51C6" w:rsidTr="00AD1A9C">
        <w:trPr>
          <w:trHeight w:val="444"/>
          <w:tblCellSpacing w:w="0" w:type="dxa"/>
          <w:jc w:val="center"/>
        </w:trPr>
        <w:tc>
          <w:tcPr>
            <w:tcW w:w="0" w:type="auto"/>
            <w:vAlign w:val="center"/>
            <w:hideMark/>
          </w:tcPr>
          <w:p w:rsidR="00AD1A9C" w:rsidRPr="001A51C6" w:rsidRDefault="00AD1A9C" w:rsidP="00B34C01">
            <w:pPr>
              <w:spacing w:line="360" w:lineRule="auto"/>
              <w:jc w:val="right"/>
              <w:rPr>
                <w:rFonts w:ascii="Palatino Linotype" w:hAnsi="Palatino Linotype"/>
                <w:i/>
                <w:sz w:val="22"/>
                <w:lang w:val="es-ES" w:eastAsia="es-ES"/>
              </w:rPr>
            </w:pPr>
          </w:p>
        </w:tc>
      </w:tr>
      <w:tr w:rsidR="00AD1A9C" w:rsidRPr="001A51C6" w:rsidTr="00AD1A9C">
        <w:trPr>
          <w:trHeight w:val="148"/>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r w:rsidRPr="001A51C6">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D1A9C" w:rsidRPr="001A51C6" w:rsidTr="00AD1A9C">
        <w:trPr>
          <w:trHeight w:val="370"/>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p>
        </w:tc>
      </w:tr>
      <w:tr w:rsidR="00AD1A9C" w:rsidRPr="001A51C6" w:rsidTr="00AD1A9C">
        <w:trPr>
          <w:trHeight w:val="148"/>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r w:rsidRPr="001A51C6">
              <w:rPr>
                <w:rFonts w:ascii="Palatino Linotype" w:hAnsi="Palatino Linotype"/>
                <w:i/>
                <w:sz w:val="22"/>
                <w:szCs w:val="18"/>
                <w:lang w:val="es-ES" w:eastAsia="es-ES"/>
              </w:rPr>
              <w:t>Se remite respuesta vía SAIMEX</w:t>
            </w:r>
          </w:p>
        </w:tc>
      </w:tr>
      <w:tr w:rsidR="00AD1A9C" w:rsidRPr="001A51C6" w:rsidTr="00AD1A9C">
        <w:trPr>
          <w:trHeight w:val="148"/>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szCs w:val="20"/>
                <w:lang w:val="es-ES" w:eastAsia="es-ES"/>
              </w:rPr>
            </w:pPr>
          </w:p>
        </w:tc>
      </w:tr>
      <w:tr w:rsidR="00AD1A9C" w:rsidRPr="001A51C6" w:rsidTr="00AD1A9C">
        <w:trPr>
          <w:trHeight w:val="148"/>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r w:rsidRPr="001A51C6">
              <w:rPr>
                <w:rFonts w:ascii="Palatino Linotype" w:hAnsi="Palatino Linotype"/>
                <w:i/>
                <w:sz w:val="22"/>
                <w:szCs w:val="18"/>
                <w:lang w:val="es-ES" w:eastAsia="es-ES"/>
              </w:rPr>
              <w:t>ATENTAMENTE</w:t>
            </w:r>
          </w:p>
        </w:tc>
      </w:tr>
      <w:tr w:rsidR="00AD1A9C" w:rsidRPr="001A51C6" w:rsidTr="00AD1A9C">
        <w:trPr>
          <w:trHeight w:val="222"/>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p>
        </w:tc>
      </w:tr>
      <w:tr w:rsidR="00AD1A9C" w:rsidRPr="001A51C6" w:rsidTr="00AD1A9C">
        <w:trPr>
          <w:trHeight w:val="148"/>
          <w:tblCellSpacing w:w="0" w:type="dxa"/>
          <w:jc w:val="center"/>
        </w:trPr>
        <w:tc>
          <w:tcPr>
            <w:tcW w:w="0" w:type="auto"/>
            <w:vAlign w:val="center"/>
            <w:hideMark/>
          </w:tcPr>
          <w:p w:rsidR="00AD1A9C" w:rsidRPr="001A51C6" w:rsidRDefault="00AD1A9C" w:rsidP="00B34C01">
            <w:pPr>
              <w:spacing w:line="360" w:lineRule="auto"/>
              <w:rPr>
                <w:rFonts w:ascii="Palatino Linotype" w:hAnsi="Palatino Linotype"/>
                <w:i/>
                <w:sz w:val="22"/>
                <w:lang w:val="es-ES" w:eastAsia="es-ES"/>
              </w:rPr>
            </w:pPr>
            <w:r w:rsidRPr="001A51C6">
              <w:rPr>
                <w:rFonts w:ascii="Palatino Linotype" w:hAnsi="Palatino Linotype"/>
                <w:i/>
                <w:sz w:val="22"/>
                <w:szCs w:val="18"/>
                <w:lang w:val="es-ES" w:eastAsia="es-ES"/>
              </w:rPr>
              <w:t>YAMILIT LEYVA GUTIÉRREZ</w:t>
            </w:r>
          </w:p>
        </w:tc>
      </w:tr>
    </w:tbl>
    <w:p w:rsidR="00AD1A9C" w:rsidRPr="001A51C6" w:rsidRDefault="00AD1A9C" w:rsidP="00B34C01">
      <w:pPr>
        <w:spacing w:line="360" w:lineRule="auto"/>
        <w:ind w:right="567"/>
        <w:jc w:val="both"/>
        <w:rPr>
          <w:rFonts w:ascii="Palatino Linotype" w:hAnsi="Palatino Linotype"/>
        </w:rPr>
      </w:pPr>
    </w:p>
    <w:p w:rsidR="0078107F" w:rsidRPr="001A51C6" w:rsidRDefault="0078107F" w:rsidP="00B34C01">
      <w:pPr>
        <w:spacing w:line="360" w:lineRule="auto"/>
        <w:ind w:right="567"/>
        <w:jc w:val="both"/>
        <w:rPr>
          <w:rFonts w:ascii="Palatino Linotype" w:hAnsi="Palatino Linotype"/>
        </w:rPr>
      </w:pPr>
      <w:r w:rsidRPr="001A51C6">
        <w:rPr>
          <w:rFonts w:ascii="Palatino Linotype" w:hAnsi="Palatino Linotype"/>
        </w:rPr>
        <w:t>Documentos adjuntos:</w:t>
      </w:r>
    </w:p>
    <w:p w:rsidR="0078107F" w:rsidRPr="001A51C6" w:rsidRDefault="0078107F" w:rsidP="00B34C01">
      <w:pPr>
        <w:spacing w:line="360" w:lineRule="auto"/>
        <w:ind w:right="567"/>
        <w:jc w:val="both"/>
        <w:rPr>
          <w:rFonts w:ascii="Palatino Linotype" w:hAnsi="Palatino Linotype"/>
        </w:rPr>
      </w:pPr>
    </w:p>
    <w:p w:rsidR="00B45D1E" w:rsidRPr="001A51C6" w:rsidRDefault="00DD541A" w:rsidP="00B34C01">
      <w:pPr>
        <w:spacing w:line="360" w:lineRule="auto"/>
        <w:ind w:right="567"/>
        <w:jc w:val="both"/>
        <w:rPr>
          <w:rFonts w:ascii="Palatino Linotype" w:hAnsi="Palatino Linotype"/>
          <w:sz w:val="22"/>
          <w:szCs w:val="22"/>
        </w:rPr>
      </w:pPr>
      <w:hyperlink r:id="rId9" w:tgtFrame="_blank" w:history="1">
        <w:r w:rsidR="00AD1A9C" w:rsidRPr="001A51C6">
          <w:rPr>
            <w:rStyle w:val="Hipervnculo"/>
            <w:rFonts w:ascii="Palatino Linotype" w:hAnsi="Palatino Linotype" w:cs="Arial"/>
            <w:b/>
            <w:bCs/>
            <w:color w:val="auto"/>
            <w:sz w:val="22"/>
            <w:szCs w:val="22"/>
          </w:rPr>
          <w:t>Digitalización_2021_08_02_19_34_52_532.pdf</w:t>
        </w:r>
      </w:hyperlink>
      <w:r w:rsidR="00AD1A9C" w:rsidRPr="001A51C6">
        <w:rPr>
          <w:rFonts w:ascii="Palatino Linotype" w:hAnsi="Palatino Linotype"/>
          <w:sz w:val="22"/>
          <w:szCs w:val="22"/>
        </w:rPr>
        <w:t xml:space="preserve">: </w:t>
      </w:r>
      <w:r w:rsidR="00F7224C" w:rsidRPr="001A51C6">
        <w:rPr>
          <w:rFonts w:ascii="Palatino Linotype" w:hAnsi="Palatino Linotype"/>
          <w:sz w:val="22"/>
          <w:szCs w:val="22"/>
        </w:rPr>
        <w:t xml:space="preserve">Oficio 01490/MAIP/FGJ/2021 del dieciséis de julio de dos mil veintiuno, suscrito por el titular de la Unidad de Transparencia en el que manifestó que el Director General de Políticas Públicas de la Fiscalía Especializada en Combate a la Corrupción informó que derivado de una búsqueda </w:t>
      </w:r>
      <w:r w:rsidR="00B45D1E" w:rsidRPr="001A51C6">
        <w:rPr>
          <w:rFonts w:ascii="Palatino Linotype" w:hAnsi="Palatino Linotype"/>
          <w:sz w:val="22"/>
          <w:szCs w:val="22"/>
        </w:rPr>
        <w:t>en los registros se localizó la siguiente información:</w:t>
      </w:r>
    </w:p>
    <w:p w:rsidR="00B45D1E" w:rsidRPr="001A51C6" w:rsidRDefault="00B45D1E" w:rsidP="00B34C01">
      <w:pPr>
        <w:spacing w:line="360" w:lineRule="auto"/>
        <w:ind w:right="567"/>
        <w:jc w:val="both"/>
        <w:rPr>
          <w:rFonts w:ascii="Palatino Linotype" w:hAnsi="Palatino Linotype"/>
          <w:sz w:val="22"/>
          <w:szCs w:val="22"/>
        </w:rPr>
      </w:pPr>
    </w:p>
    <w:p w:rsidR="00B45D1E" w:rsidRPr="001A51C6" w:rsidRDefault="00B45D1E" w:rsidP="00B34C01">
      <w:pPr>
        <w:spacing w:line="360" w:lineRule="auto"/>
        <w:ind w:right="567"/>
        <w:jc w:val="center"/>
        <w:rPr>
          <w:rFonts w:ascii="Palatino Linotype" w:hAnsi="Palatino Linotype"/>
          <w:sz w:val="22"/>
          <w:szCs w:val="22"/>
        </w:rPr>
      </w:pPr>
      <w:r w:rsidRPr="001A51C6">
        <w:rPr>
          <w:rFonts w:ascii="Palatino Linotype" w:hAnsi="Palatino Linotype"/>
          <w:noProof/>
          <w:lang w:val="es-ES" w:eastAsia="es-ES"/>
        </w:rPr>
        <w:drawing>
          <wp:inline distT="0" distB="0" distL="0" distR="0" wp14:anchorId="67F2F661" wp14:editId="2FA0E7C6">
            <wp:extent cx="5729654" cy="10953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05" t="39513" r="33160" b="48987"/>
                    <a:stretch/>
                  </pic:blipFill>
                  <pic:spPr bwMode="auto">
                    <a:xfrm>
                      <a:off x="0" y="0"/>
                      <a:ext cx="5744550" cy="1098223"/>
                    </a:xfrm>
                    <a:prstGeom prst="rect">
                      <a:avLst/>
                    </a:prstGeom>
                    <a:ln>
                      <a:noFill/>
                    </a:ln>
                    <a:extLst>
                      <a:ext uri="{53640926-AAD7-44D8-BBD7-CCE9431645EC}">
                        <a14:shadowObscured xmlns:a14="http://schemas.microsoft.com/office/drawing/2010/main"/>
                      </a:ext>
                    </a:extLst>
                  </pic:spPr>
                </pic:pic>
              </a:graphicData>
            </a:graphic>
          </wp:inline>
        </w:drawing>
      </w:r>
    </w:p>
    <w:p w:rsidR="00861F5D" w:rsidRPr="001A51C6" w:rsidRDefault="00861F5D" w:rsidP="00B34C01">
      <w:pPr>
        <w:spacing w:line="360" w:lineRule="auto"/>
        <w:ind w:right="567"/>
        <w:jc w:val="both"/>
        <w:rPr>
          <w:rFonts w:ascii="Palatino Linotype" w:hAnsi="Palatino Linotype"/>
          <w:sz w:val="22"/>
          <w:szCs w:val="22"/>
        </w:rPr>
      </w:pPr>
      <w:r w:rsidRPr="001A51C6">
        <w:rPr>
          <w:rFonts w:ascii="Palatino Linotype" w:hAnsi="Palatino Linotype"/>
          <w:sz w:val="22"/>
          <w:szCs w:val="22"/>
        </w:rPr>
        <w:t>Asimismo, en el documento señalado se refirió que por lo que respecta al puesto y n</w:t>
      </w:r>
      <w:r w:rsidR="001D1871" w:rsidRPr="001A51C6">
        <w:rPr>
          <w:rFonts w:ascii="Palatino Linotype" w:hAnsi="Palatino Linotype"/>
          <w:sz w:val="22"/>
          <w:szCs w:val="22"/>
        </w:rPr>
        <w:t xml:space="preserve">ombre de la persona investigada, la Fiscalía Especializada se encuentra imposibilitada </w:t>
      </w:r>
      <w:r w:rsidR="001D1871" w:rsidRPr="001A51C6">
        <w:rPr>
          <w:rFonts w:ascii="Palatino Linotype" w:hAnsi="Palatino Linotype"/>
          <w:sz w:val="22"/>
          <w:szCs w:val="22"/>
        </w:rPr>
        <w:lastRenderedPageBreak/>
        <w:t>para dar acceso a la información, toda vez que encuadra en los supuestos de reserva que señala el artículo 140, fracciones VI, IX, X y XI de la Ley Transparencia y Acceso a l Información Pública del Estado de México y Municipios.</w:t>
      </w:r>
    </w:p>
    <w:p w:rsidR="00B45D1E" w:rsidRPr="001A51C6" w:rsidRDefault="00B45D1E" w:rsidP="00B34C01">
      <w:pPr>
        <w:spacing w:line="360" w:lineRule="auto"/>
        <w:ind w:right="567"/>
        <w:rPr>
          <w:rFonts w:ascii="Palatino Linotype" w:hAnsi="Palatino Linotype"/>
          <w:sz w:val="22"/>
          <w:szCs w:val="22"/>
        </w:rPr>
      </w:pPr>
    </w:p>
    <w:p w:rsidR="00AD1A9C" w:rsidRPr="001A51C6" w:rsidRDefault="00DD541A" w:rsidP="00B34C01">
      <w:pPr>
        <w:spacing w:line="360" w:lineRule="auto"/>
        <w:ind w:right="567"/>
        <w:jc w:val="both"/>
        <w:rPr>
          <w:rFonts w:ascii="Palatino Linotype" w:hAnsi="Palatino Linotype"/>
          <w:sz w:val="22"/>
          <w:szCs w:val="22"/>
        </w:rPr>
      </w:pPr>
      <w:hyperlink r:id="rId11" w:tgtFrame="_blank" w:history="1">
        <w:r w:rsidR="00AD1A9C" w:rsidRPr="001A51C6">
          <w:rPr>
            <w:rStyle w:val="Hipervnculo"/>
            <w:rFonts w:ascii="Palatino Linotype" w:hAnsi="Palatino Linotype" w:cs="Arial"/>
            <w:b/>
            <w:bCs/>
            <w:color w:val="auto"/>
            <w:sz w:val="22"/>
            <w:szCs w:val="22"/>
          </w:rPr>
          <w:t>Digitalización_2021_08_02_19_35_24_207.pdf</w:t>
        </w:r>
      </w:hyperlink>
      <w:r w:rsidR="00AD1A9C" w:rsidRPr="001A51C6">
        <w:rPr>
          <w:rFonts w:ascii="Palatino Linotype" w:hAnsi="Palatino Linotype"/>
          <w:sz w:val="22"/>
          <w:szCs w:val="22"/>
        </w:rPr>
        <w:t xml:space="preserve">: </w:t>
      </w:r>
      <w:r w:rsidR="001D1871" w:rsidRPr="001A51C6">
        <w:rPr>
          <w:rFonts w:ascii="Palatino Linotype" w:hAnsi="Palatino Linotype"/>
          <w:sz w:val="22"/>
          <w:szCs w:val="22"/>
        </w:rPr>
        <w:t xml:space="preserve">Acuerdo 52/2021, que tiene por objeto clasificar como información reservada, las actuaciones, </w:t>
      </w:r>
      <w:r w:rsidR="00F62627" w:rsidRPr="001A51C6">
        <w:rPr>
          <w:rFonts w:ascii="Palatino Linotype" w:hAnsi="Palatino Linotype"/>
          <w:sz w:val="22"/>
          <w:szCs w:val="22"/>
        </w:rPr>
        <w:t>dictámenes</w:t>
      </w:r>
      <w:r w:rsidR="001D1871" w:rsidRPr="001A51C6">
        <w:rPr>
          <w:rFonts w:ascii="Palatino Linotype" w:hAnsi="Palatino Linotype"/>
          <w:sz w:val="22"/>
          <w:szCs w:val="22"/>
        </w:rPr>
        <w:t xml:space="preserve"> y los documentos que integran las carpetas </w:t>
      </w:r>
      <w:r w:rsidR="00F62627" w:rsidRPr="001A51C6">
        <w:rPr>
          <w:rFonts w:ascii="Palatino Linotype" w:hAnsi="Palatino Linotype"/>
          <w:sz w:val="22"/>
          <w:szCs w:val="22"/>
        </w:rPr>
        <w:t xml:space="preserve">de investigación iniciadas en la Fiscalía Especializada </w:t>
      </w:r>
      <w:r w:rsidR="00EB14E7" w:rsidRPr="001A51C6">
        <w:rPr>
          <w:rFonts w:ascii="Palatino Linotype" w:hAnsi="Palatino Linotype"/>
          <w:sz w:val="22"/>
          <w:szCs w:val="22"/>
        </w:rPr>
        <w:t xml:space="preserve"> en Combate a la Corrupción en contra de funcionarios públicos pertenecientes al H. Ayuntamiento de Tlalnepantla de Baz, por el periodo de enero de 2019 a junio de 2020.</w:t>
      </w:r>
    </w:p>
    <w:p w:rsidR="00AD1A9C" w:rsidRPr="001A51C6" w:rsidRDefault="00AD1A9C" w:rsidP="00B34C01">
      <w:pPr>
        <w:spacing w:line="360" w:lineRule="auto"/>
        <w:ind w:right="567"/>
        <w:jc w:val="both"/>
        <w:rPr>
          <w:rFonts w:ascii="Palatino Linotype" w:eastAsiaTheme="minorEastAsia" w:hAnsi="Palatino Linotype"/>
          <w:b/>
          <w:lang w:val="es-ES_tradnl" w:eastAsia="es-ES"/>
        </w:rPr>
      </w:pPr>
    </w:p>
    <w:p w:rsidR="0078107F" w:rsidRPr="001A51C6" w:rsidRDefault="0078107F" w:rsidP="00B34C0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A51C6">
        <w:rPr>
          <w:rFonts w:ascii="Palatino Linotype" w:eastAsia="Calibri" w:hAnsi="Palatino Linotype" w:cs="Arial"/>
          <w:lang w:val="es-AR" w:eastAsia="es-ES"/>
        </w:rPr>
        <w:t xml:space="preserve">El </w:t>
      </w:r>
      <w:r w:rsidR="00EB14E7" w:rsidRPr="001A51C6">
        <w:rPr>
          <w:rFonts w:ascii="Palatino Linotype" w:eastAsia="Calibri" w:hAnsi="Palatino Linotype" w:cs="Arial"/>
          <w:lang w:val="es-AR" w:eastAsia="es-ES"/>
        </w:rPr>
        <w:t>cuatro (04) de agosto</w:t>
      </w:r>
      <w:r w:rsidRPr="001A51C6">
        <w:rPr>
          <w:rFonts w:ascii="Palatino Linotype" w:eastAsia="Calibri" w:hAnsi="Palatino Linotype" w:cs="Arial"/>
          <w:lang w:val="es-AR" w:eastAsia="es-ES"/>
        </w:rPr>
        <w:t xml:space="preserve">  de dos mil veintiuno</w:t>
      </w:r>
      <w:r w:rsidRPr="001A51C6">
        <w:rPr>
          <w:rFonts w:ascii="Palatino Linotype" w:hAnsi="Palatino Linotype" w:cs="Arial"/>
          <w:lang w:val="es-ES" w:eastAsia="es-ES"/>
        </w:rPr>
        <w:t xml:space="preserve">, </w:t>
      </w:r>
      <w:r w:rsidRPr="001A51C6">
        <w:rPr>
          <w:rFonts w:ascii="Palatino Linotype" w:eastAsiaTheme="minorEastAsia" w:hAnsi="Palatino Linotype"/>
          <w:b/>
          <w:lang w:val="es-ES_tradnl" w:eastAsia="es-ES"/>
        </w:rPr>
        <w:t>EL RECURRENTE</w:t>
      </w:r>
      <w:r w:rsidRPr="001A51C6">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78107F" w:rsidRPr="001A51C6" w:rsidRDefault="0078107F" w:rsidP="00B34C01">
      <w:pPr>
        <w:spacing w:line="360" w:lineRule="auto"/>
        <w:ind w:left="567" w:right="567"/>
        <w:contextualSpacing/>
        <w:rPr>
          <w:rFonts w:ascii="Palatino Linotype" w:eastAsiaTheme="minorEastAsia" w:hAnsi="Palatino Linotype" w:cs="Arial"/>
          <w:i/>
          <w:lang w:val="es-ES_tradnl" w:eastAsia="es-ES"/>
        </w:rPr>
      </w:pPr>
    </w:p>
    <w:p w:rsidR="0078107F" w:rsidRPr="001A51C6" w:rsidRDefault="0078107F" w:rsidP="00B34C01">
      <w:pPr>
        <w:spacing w:line="360" w:lineRule="auto"/>
        <w:ind w:left="567" w:right="567"/>
        <w:contextualSpacing/>
        <w:jc w:val="both"/>
        <w:rPr>
          <w:rFonts w:ascii="Palatino Linotype" w:eastAsia="Calibri" w:hAnsi="Palatino Linotype" w:cs="Arial"/>
          <w:i/>
          <w:lang w:val="es-ES" w:eastAsia="es-ES"/>
        </w:rPr>
      </w:pPr>
      <w:r w:rsidRPr="001A51C6">
        <w:rPr>
          <w:rFonts w:ascii="Palatino Linotype" w:eastAsiaTheme="minorEastAsia" w:hAnsi="Palatino Linotype"/>
          <w:b/>
          <w:lang w:val="es-ES_tradnl" w:eastAsia="es-ES"/>
        </w:rPr>
        <w:t>Acto impugnado</w:t>
      </w:r>
      <w:r w:rsidRPr="001A51C6">
        <w:rPr>
          <w:rFonts w:ascii="Palatino Linotype" w:eastAsiaTheme="minorEastAsia" w:hAnsi="Palatino Linotype"/>
          <w:b/>
          <w:i/>
          <w:lang w:val="es-ES_tradnl" w:eastAsia="es-ES"/>
        </w:rPr>
        <w:t>:</w:t>
      </w:r>
      <w:r w:rsidRPr="001A51C6">
        <w:rPr>
          <w:rFonts w:ascii="Palatino Linotype" w:hAnsi="Palatino Linotype"/>
          <w:i/>
          <w:color w:val="000000"/>
        </w:rPr>
        <w:t xml:space="preserve"> “</w:t>
      </w:r>
      <w:r w:rsidR="00EB14E7" w:rsidRPr="001A51C6">
        <w:rPr>
          <w:rFonts w:ascii="Palatino Linotype" w:hAnsi="Palatino Linotype"/>
          <w:i/>
          <w:color w:val="000000"/>
        </w:rPr>
        <w:t>Negación de información</w:t>
      </w:r>
      <w:r w:rsidRPr="001A51C6">
        <w:rPr>
          <w:rFonts w:ascii="Palatino Linotype" w:hAnsi="Palatino Linotype"/>
          <w:i/>
          <w:color w:val="000000"/>
        </w:rPr>
        <w:t xml:space="preserve">” (Sic); </w:t>
      </w:r>
      <w:r w:rsidRPr="001A51C6">
        <w:rPr>
          <w:rFonts w:ascii="Palatino Linotype" w:eastAsia="Calibri" w:hAnsi="Palatino Linotype" w:cs="Arial"/>
          <w:i/>
          <w:lang w:val="es-ES" w:eastAsia="es-ES"/>
        </w:rPr>
        <w:t>Y</w:t>
      </w:r>
    </w:p>
    <w:p w:rsidR="0078107F" w:rsidRPr="001A51C6" w:rsidRDefault="0078107F" w:rsidP="00B34C01">
      <w:pPr>
        <w:spacing w:line="360" w:lineRule="auto"/>
        <w:ind w:left="567" w:right="567"/>
        <w:contextualSpacing/>
        <w:jc w:val="both"/>
        <w:rPr>
          <w:rFonts w:ascii="Palatino Linotype" w:eastAsia="Calibri" w:hAnsi="Palatino Linotype" w:cs="Arial"/>
          <w:lang w:val="es-ES" w:eastAsia="es-ES"/>
        </w:rPr>
      </w:pPr>
    </w:p>
    <w:p w:rsidR="0078107F" w:rsidRPr="001A51C6" w:rsidRDefault="0078107F" w:rsidP="00B34C01">
      <w:pPr>
        <w:spacing w:line="360" w:lineRule="auto"/>
        <w:ind w:left="567" w:right="567"/>
        <w:contextualSpacing/>
        <w:jc w:val="both"/>
        <w:rPr>
          <w:rFonts w:ascii="Palatino Linotype" w:hAnsi="Palatino Linotype"/>
          <w:i/>
          <w:color w:val="000000"/>
        </w:rPr>
      </w:pPr>
      <w:r w:rsidRPr="001A51C6">
        <w:rPr>
          <w:rFonts w:ascii="Palatino Linotype" w:eastAsiaTheme="minorEastAsia" w:hAnsi="Palatino Linotype"/>
          <w:b/>
          <w:lang w:val="es-ES_tradnl" w:eastAsia="es-ES"/>
        </w:rPr>
        <w:t>Razones o Motivos de inconformidad:</w:t>
      </w:r>
      <w:r w:rsidRPr="001A51C6">
        <w:rPr>
          <w:rFonts w:ascii="Palatino Linotype" w:eastAsiaTheme="majorEastAsia" w:hAnsi="Palatino Linotype" w:cstheme="majorBidi"/>
          <w:b/>
          <w:color w:val="2E74B5" w:themeColor="accent1" w:themeShade="BF"/>
          <w:sz w:val="26"/>
          <w:szCs w:val="26"/>
          <w:lang w:val="es-ES" w:eastAsia="es-ES"/>
        </w:rPr>
        <w:t xml:space="preserve"> </w:t>
      </w:r>
      <w:r w:rsidRPr="001A51C6">
        <w:rPr>
          <w:rFonts w:ascii="Palatino Linotype" w:eastAsiaTheme="majorEastAsia" w:hAnsi="Palatino Linotype" w:cstheme="majorBidi"/>
          <w:i/>
          <w:lang w:val="es-ES" w:eastAsia="es-ES"/>
        </w:rPr>
        <w:t>“</w:t>
      </w:r>
      <w:r w:rsidR="00EB14E7" w:rsidRPr="001A51C6">
        <w:rPr>
          <w:rFonts w:ascii="Palatino Linotype" w:hAnsi="Palatino Linotype"/>
          <w:i/>
          <w:color w:val="000000"/>
        </w:rPr>
        <w:t xml:space="preserve">Considero que la información solicitada, como es el número de carpeta de investigación y puesto del funcionario público en cuestión debe ser proporcionada. Primero, en cuanto al número de carpeta de investigación se está pidiendo información meramente técnica y estadística, nunca se pidió el contenido de las investigaciones o de la documentación en cuestión. Conocer el número de esta carpeta confirma, respalda y da certidumbre a la afirmación que hace la Fiscalía sobre la existencia de dichas carpetas. Segundo, es importante conocer el puesto del funcionario al que hace alusión cada carpeta, pues nuevamente se pide precisamente conocer el cargo que de por sí ya es público. En ningún momento se solicitan nombre o datos personales. Pido a la autoridad </w:t>
      </w:r>
      <w:r w:rsidR="00EB14E7" w:rsidRPr="001A51C6">
        <w:rPr>
          <w:rFonts w:ascii="Palatino Linotype" w:hAnsi="Palatino Linotype"/>
          <w:i/>
          <w:color w:val="000000"/>
        </w:rPr>
        <w:lastRenderedPageBreak/>
        <w:t>competente dar seguimiento a esta solicitud y permitir el pleno acceso a la información a la que tenemos derecho. Muchas gracias.</w:t>
      </w:r>
      <w:r w:rsidRPr="001A51C6">
        <w:rPr>
          <w:rFonts w:ascii="Palatino Linotype" w:hAnsi="Palatino Linotype"/>
          <w:i/>
          <w:color w:val="000000"/>
        </w:rPr>
        <w:t>” (Sic).</w:t>
      </w:r>
    </w:p>
    <w:bookmarkEnd w:id="1"/>
    <w:bookmarkEnd w:id="2"/>
    <w:bookmarkEnd w:id="3"/>
    <w:p w:rsidR="0078107F" w:rsidRPr="001A51C6" w:rsidRDefault="0078107F" w:rsidP="00B34C01">
      <w:pPr>
        <w:spacing w:line="360" w:lineRule="auto"/>
        <w:jc w:val="both"/>
        <w:rPr>
          <w:rFonts w:ascii="Palatino Linotype" w:eastAsia="Calibri" w:hAnsi="Palatino Linotype" w:cs="Arial"/>
          <w:lang w:val="es-AR" w:eastAsia="es-ES"/>
        </w:rPr>
      </w:pPr>
    </w:p>
    <w:p w:rsidR="0078107F" w:rsidRPr="001A51C6" w:rsidRDefault="0078107F" w:rsidP="00B34C01">
      <w:pPr>
        <w:numPr>
          <w:ilvl w:val="0"/>
          <w:numId w:val="1"/>
        </w:numPr>
        <w:spacing w:line="360" w:lineRule="auto"/>
        <w:ind w:left="0" w:firstLine="0"/>
        <w:contextualSpacing/>
        <w:jc w:val="both"/>
        <w:rPr>
          <w:rFonts w:ascii="Palatino Linotype" w:eastAsia="Calibri" w:hAnsi="Palatino Linotype" w:cs="Arial"/>
          <w:lang w:val="es-AR" w:eastAsia="es-ES"/>
        </w:rPr>
      </w:pPr>
      <w:r w:rsidRPr="001A51C6">
        <w:rPr>
          <w:rFonts w:ascii="Palatino Linotype" w:hAnsi="Palatino Linotype" w:cs="Arial"/>
          <w:lang w:val="es-ES" w:eastAsia="es-ES"/>
        </w:rPr>
        <w:t xml:space="preserve">Se registró el recurso de revisión bajo el número de expediente </w:t>
      </w:r>
      <w:r w:rsidRPr="001A51C6">
        <w:rPr>
          <w:rFonts w:ascii="Palatino Linotype" w:eastAsiaTheme="minorEastAsia" w:hAnsi="Palatino Linotype" w:cs="Arial"/>
          <w:bCs/>
          <w:lang w:val="es-ES_tradnl" w:eastAsia="es-ES"/>
        </w:rPr>
        <w:t xml:space="preserve">al rubro indicado, asimismo con fundamento en lo dispuesto por el </w:t>
      </w:r>
      <w:r w:rsidRPr="001A51C6">
        <w:rPr>
          <w:rFonts w:ascii="Palatino Linotype" w:eastAsia="Calibri" w:hAnsi="Palatino Linotype" w:cs="Arial"/>
          <w:lang w:val="es-ES" w:eastAsia="es-ES"/>
        </w:rPr>
        <w:t xml:space="preserve">artículo 185 fracción I de la </w:t>
      </w:r>
      <w:r w:rsidRPr="001A51C6">
        <w:rPr>
          <w:rFonts w:ascii="Palatino Linotype" w:eastAsia="Calibri" w:hAnsi="Palatino Linotype" w:cs="Arial"/>
          <w:b/>
          <w:lang w:val="es-ES" w:eastAsia="es-ES"/>
        </w:rPr>
        <w:t xml:space="preserve">Ley de Transparencia y Acceso a la Información Pública del Estado de México y Municipios </w:t>
      </w:r>
      <w:r w:rsidRPr="001A51C6">
        <w:rPr>
          <w:rFonts w:ascii="Palatino Linotype" w:hAnsi="Palatino Linotype" w:cs="Arial"/>
          <w:lang w:val="es-ES" w:eastAsia="es-ES"/>
        </w:rPr>
        <w:t xml:space="preserve">se turnó al </w:t>
      </w:r>
      <w:r w:rsidR="00DD05B4" w:rsidRPr="001A51C6">
        <w:rPr>
          <w:rFonts w:ascii="Palatino Linotype" w:hAnsi="Palatino Linotype" w:cs="Arial"/>
          <w:lang w:val="es-ES" w:eastAsia="es-ES"/>
        </w:rPr>
        <w:t xml:space="preserve">entonces </w:t>
      </w:r>
      <w:r w:rsidR="00DD05B4" w:rsidRPr="001A51C6">
        <w:rPr>
          <w:rFonts w:ascii="Palatino Linotype" w:hAnsi="Palatino Linotype" w:cs="Arial"/>
          <w:b/>
          <w:lang w:val="es-ES" w:eastAsia="es-ES"/>
        </w:rPr>
        <w:t>Comisionado</w:t>
      </w:r>
      <w:r w:rsidR="00DD05B4" w:rsidRPr="001A51C6">
        <w:rPr>
          <w:rFonts w:ascii="Palatino Linotype" w:hAnsi="Palatino Linotype" w:cs="Arial"/>
          <w:lang w:val="es-ES" w:eastAsia="es-ES"/>
        </w:rPr>
        <w:t xml:space="preserve"> </w:t>
      </w:r>
      <w:r w:rsidRPr="001A51C6">
        <w:rPr>
          <w:rFonts w:ascii="Palatino Linotype" w:hAnsi="Palatino Linotype" w:cs="Arial"/>
          <w:b/>
          <w:lang w:val="es-ES" w:eastAsia="es-ES"/>
        </w:rPr>
        <w:t xml:space="preserve">Javier Martínez Cruz, </w:t>
      </w:r>
      <w:r w:rsidRPr="001A51C6">
        <w:rPr>
          <w:rFonts w:ascii="Palatino Linotype" w:hAnsi="Palatino Linotype" w:cs="Arial"/>
          <w:lang w:val="es-ES" w:eastAsia="es-ES"/>
        </w:rPr>
        <w:t xml:space="preserve">con el objeto de </w:t>
      </w:r>
      <w:r w:rsidRPr="001A51C6">
        <w:rPr>
          <w:rFonts w:ascii="Palatino Linotype" w:hAnsi="Palatino Linotype" w:cs="Arial"/>
          <w:lang w:eastAsia="es-ES"/>
        </w:rPr>
        <w:t xml:space="preserve">su análisis. </w:t>
      </w:r>
    </w:p>
    <w:p w:rsidR="0078107F" w:rsidRPr="001A51C6" w:rsidRDefault="0078107F" w:rsidP="00B34C01">
      <w:pPr>
        <w:spacing w:line="360" w:lineRule="auto"/>
        <w:contextualSpacing/>
        <w:jc w:val="both"/>
        <w:rPr>
          <w:rFonts w:ascii="Palatino Linotype" w:eastAsia="Calibri" w:hAnsi="Palatino Linotype" w:cs="Arial"/>
          <w:lang w:val="es-AR" w:eastAsia="es-ES"/>
        </w:rPr>
      </w:pPr>
    </w:p>
    <w:p w:rsidR="0078107F" w:rsidRPr="001A51C6" w:rsidRDefault="0078107F" w:rsidP="00B34C01">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A51C6">
        <w:rPr>
          <w:rFonts w:ascii="Palatino Linotype" w:eastAsia="Calibri" w:hAnsi="Palatino Linotype" w:cs="Arial"/>
          <w:lang w:val="es-ES" w:eastAsia="es-ES"/>
        </w:rPr>
        <w:t>El Comisionado Ponente con fundamento en lo dispuesto por el artículo 185 fracción II de la ley de la materia, a través del acuerdo de admisión de</w:t>
      </w:r>
      <w:r w:rsidR="00DD05B4" w:rsidRPr="001A51C6">
        <w:rPr>
          <w:rFonts w:ascii="Palatino Linotype" w:eastAsia="Calibri" w:hAnsi="Palatino Linotype" w:cs="Arial"/>
          <w:lang w:val="es-ES" w:eastAsia="es-ES"/>
        </w:rPr>
        <w:t>l</w:t>
      </w:r>
      <w:r w:rsidRPr="001A51C6">
        <w:rPr>
          <w:rFonts w:ascii="Palatino Linotype" w:eastAsia="Calibri" w:hAnsi="Palatino Linotype" w:cs="Arial"/>
          <w:lang w:val="es-ES" w:eastAsia="es-ES"/>
        </w:rPr>
        <w:t xml:space="preserve"> </w:t>
      </w:r>
      <w:r w:rsidR="00DD05B4" w:rsidRPr="001A51C6">
        <w:rPr>
          <w:rFonts w:ascii="Palatino Linotype" w:eastAsia="Calibri" w:hAnsi="Palatino Linotype" w:cs="Arial"/>
          <w:lang w:val="es-ES" w:eastAsia="es-ES"/>
        </w:rPr>
        <w:t xml:space="preserve">nueve (09) de agosto </w:t>
      </w:r>
      <w:r w:rsidRPr="001A51C6">
        <w:rPr>
          <w:rFonts w:ascii="Palatino Linotype" w:eastAsia="Calibri" w:hAnsi="Palatino Linotype" w:cs="Arial"/>
          <w:lang w:val="es-ES" w:eastAsia="es-ES"/>
        </w:rPr>
        <w:t xml:space="preserve"> de dos mil veintiuno, puso a disposición de las partes el expediente electrónico </w:t>
      </w:r>
      <w:r w:rsidRPr="001A51C6">
        <w:rPr>
          <w:rFonts w:ascii="Palatino Linotype" w:eastAsia="Calibri" w:hAnsi="Palatino Linotype" w:cs="Arial"/>
          <w:lang w:val="es-ES_tradnl" w:eastAsia="es-ES"/>
        </w:rPr>
        <w:t xml:space="preserve">vía </w:t>
      </w:r>
      <w:r w:rsidRPr="001A51C6">
        <w:rPr>
          <w:rFonts w:ascii="Palatino Linotype" w:eastAsia="Calibri" w:hAnsi="Palatino Linotype" w:cs="Arial"/>
          <w:b/>
          <w:lang w:val="es-ES" w:eastAsia="es-ES"/>
        </w:rPr>
        <w:t xml:space="preserve">SAIMEX </w:t>
      </w:r>
      <w:r w:rsidRPr="001A51C6">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A51C6">
        <w:rPr>
          <w:rFonts w:ascii="Palatino Linotype" w:eastAsia="Calibri" w:hAnsi="Palatino Linotype" w:cs="Arial"/>
          <w:b/>
          <w:lang w:val="es-ES" w:eastAsia="es-ES"/>
        </w:rPr>
        <w:t>SUJETO OBLIGADO</w:t>
      </w:r>
      <w:r w:rsidRPr="001A51C6">
        <w:rPr>
          <w:rFonts w:ascii="Palatino Linotype" w:eastAsia="Calibri" w:hAnsi="Palatino Linotype" w:cs="Arial"/>
          <w:lang w:val="es-ES" w:eastAsia="es-ES"/>
        </w:rPr>
        <w:t xml:space="preserve"> presentara el </w:t>
      </w:r>
      <w:r w:rsidR="00DD05B4" w:rsidRPr="001A51C6">
        <w:rPr>
          <w:rFonts w:ascii="Palatino Linotype" w:eastAsia="Calibri" w:hAnsi="Palatino Linotype" w:cs="Arial"/>
          <w:lang w:val="es-ES" w:eastAsia="es-ES"/>
        </w:rPr>
        <w:t>informe justificado procedente. Por su parte el particular fue omiso en realizar manifestaciones.</w:t>
      </w:r>
    </w:p>
    <w:p w:rsidR="0078107F" w:rsidRPr="001A51C6" w:rsidRDefault="0078107F" w:rsidP="00B34C01">
      <w:pPr>
        <w:spacing w:line="360" w:lineRule="auto"/>
        <w:contextualSpacing/>
        <w:jc w:val="center"/>
        <w:rPr>
          <w:rFonts w:ascii="Palatino Linotype" w:eastAsiaTheme="minorEastAsia" w:hAnsi="Palatino Linotype"/>
          <w:i/>
          <w:color w:val="000000"/>
          <w:lang w:val="es-ES_tradnl" w:eastAsia="es-ES"/>
        </w:rPr>
      </w:pPr>
    </w:p>
    <w:p w:rsidR="0078107F" w:rsidRPr="001A51C6" w:rsidRDefault="00DD05B4" w:rsidP="00B34C01">
      <w:pPr>
        <w:numPr>
          <w:ilvl w:val="0"/>
          <w:numId w:val="1"/>
        </w:numPr>
        <w:spacing w:line="360" w:lineRule="auto"/>
        <w:ind w:left="0" w:firstLine="0"/>
        <w:contextualSpacing/>
        <w:jc w:val="both"/>
        <w:rPr>
          <w:rFonts w:ascii="Palatino Linotype" w:eastAsia="Calibri" w:hAnsi="Palatino Linotype" w:cs="Arial"/>
          <w:lang w:val="es-ES" w:eastAsia="es-ES"/>
        </w:rPr>
      </w:pPr>
      <w:r w:rsidRPr="001A51C6">
        <w:rPr>
          <w:rFonts w:ascii="Palatino Linotype" w:eastAsia="Calibri" w:hAnsi="Palatino Linotype" w:cs="Arial"/>
          <w:lang w:val="es-ES" w:eastAsia="es-ES"/>
        </w:rPr>
        <w:t xml:space="preserve">El diecisiete (17) de agosto </w:t>
      </w:r>
      <w:r w:rsidR="0078107F" w:rsidRPr="001A51C6">
        <w:rPr>
          <w:rFonts w:ascii="Palatino Linotype" w:eastAsia="Calibri" w:hAnsi="Palatino Linotype" w:cs="Arial"/>
          <w:lang w:val="es-ES" w:eastAsia="es-ES"/>
        </w:rPr>
        <w:t xml:space="preserve">de dos mil veintiuno, el </w:t>
      </w:r>
      <w:r w:rsidR="0078107F" w:rsidRPr="001A51C6">
        <w:rPr>
          <w:rFonts w:ascii="Palatino Linotype" w:eastAsia="Calibri" w:hAnsi="Palatino Linotype" w:cs="Arial"/>
          <w:b/>
          <w:lang w:val="es-ES" w:eastAsia="es-ES"/>
        </w:rPr>
        <w:t>SUJETO OBLIGADO</w:t>
      </w:r>
      <w:r w:rsidRPr="001A51C6">
        <w:rPr>
          <w:rFonts w:ascii="Palatino Linotype" w:eastAsia="Calibri" w:hAnsi="Palatino Linotype" w:cs="Arial"/>
          <w:lang w:val="es-ES" w:eastAsia="es-ES"/>
        </w:rPr>
        <w:t xml:space="preserve"> rindió informe justificado, mismo </w:t>
      </w:r>
      <w:r w:rsidR="0078107F" w:rsidRPr="001A51C6">
        <w:rPr>
          <w:rFonts w:ascii="Palatino Linotype" w:eastAsia="Calibri" w:hAnsi="Palatino Linotype" w:cs="Arial"/>
          <w:lang w:val="es-ES" w:eastAsia="es-ES"/>
        </w:rPr>
        <w:t xml:space="preserve">que se puso a la vista el </w:t>
      </w:r>
      <w:r w:rsidRPr="001A51C6">
        <w:rPr>
          <w:rFonts w:ascii="Palatino Linotype" w:eastAsia="Calibri" w:hAnsi="Palatino Linotype" w:cs="Arial"/>
          <w:lang w:val="es-ES" w:eastAsia="es-ES"/>
        </w:rPr>
        <w:t>seis (06) de septiembre</w:t>
      </w:r>
      <w:r w:rsidR="0078107F" w:rsidRPr="001A51C6">
        <w:rPr>
          <w:rFonts w:ascii="Palatino Linotype" w:eastAsia="Calibri" w:hAnsi="Palatino Linotype" w:cs="Arial"/>
          <w:lang w:val="es-ES" w:eastAsia="es-ES"/>
        </w:rPr>
        <w:t xml:space="preserve"> de dos mil veintiuno, y que consta de los siguientes documentos:</w:t>
      </w:r>
    </w:p>
    <w:p w:rsidR="0078107F" w:rsidRPr="001A51C6" w:rsidRDefault="0078107F" w:rsidP="00B34C01">
      <w:pPr>
        <w:spacing w:line="360" w:lineRule="auto"/>
        <w:contextualSpacing/>
        <w:jc w:val="both"/>
        <w:rPr>
          <w:rFonts w:ascii="Palatino Linotype" w:eastAsia="Calibri" w:hAnsi="Palatino Linotype" w:cs="Arial"/>
          <w:lang w:val="es-ES" w:eastAsia="es-ES"/>
        </w:rPr>
      </w:pPr>
    </w:p>
    <w:p w:rsidR="0078107F" w:rsidRPr="001A51C6" w:rsidRDefault="00DD541A" w:rsidP="00B34C01">
      <w:pPr>
        <w:pStyle w:val="Prrafodelista"/>
        <w:numPr>
          <w:ilvl w:val="0"/>
          <w:numId w:val="4"/>
        </w:numPr>
        <w:spacing w:line="360" w:lineRule="auto"/>
        <w:jc w:val="both"/>
        <w:rPr>
          <w:rFonts w:ascii="Palatino Linotype" w:eastAsia="Calibri" w:hAnsi="Palatino Linotype" w:cs="Arial"/>
          <w:lang w:val="es-ES" w:eastAsia="es-ES"/>
        </w:rPr>
      </w:pPr>
      <w:hyperlink r:id="rId12" w:history="1">
        <w:r w:rsidR="00DD05B4" w:rsidRPr="001A51C6">
          <w:rPr>
            <w:rStyle w:val="Hipervnculo"/>
            <w:rFonts w:ascii="Palatino Linotype" w:hAnsi="Palatino Linotype" w:cs="Arial"/>
            <w:b/>
            <w:bCs/>
            <w:color w:val="auto"/>
            <w:szCs w:val="22"/>
          </w:rPr>
          <w:t>INF JUST SOL 672 RR 3918.pdf</w:t>
        </w:r>
      </w:hyperlink>
      <w:r w:rsidR="00DD05B4" w:rsidRPr="001A51C6">
        <w:rPr>
          <w:rFonts w:ascii="Palatino Linotype" w:hAnsi="Palatino Linotype" w:cs="Arial"/>
          <w:b/>
          <w:bCs/>
          <w:szCs w:val="22"/>
          <w:u w:val="single"/>
        </w:rPr>
        <w:t>:</w:t>
      </w:r>
      <w:r w:rsidR="00932497" w:rsidRPr="001A51C6">
        <w:rPr>
          <w:rFonts w:ascii="Palatino Linotype" w:hAnsi="Palatino Linotype" w:cs="Arial"/>
          <w:b/>
          <w:bCs/>
          <w:szCs w:val="22"/>
          <w:u w:val="single"/>
        </w:rPr>
        <w:t xml:space="preserve"> </w:t>
      </w:r>
      <w:r w:rsidR="00932497" w:rsidRPr="001A51C6">
        <w:rPr>
          <w:rFonts w:ascii="Palatino Linotype" w:hAnsi="Palatino Linotype" w:cs="Arial"/>
          <w:bCs/>
          <w:szCs w:val="22"/>
        </w:rPr>
        <w:t>oficio 1743/MAIP/FGJ/2021, suscrito por el Titular de la Unidad de Transparencia, mediante el cual confirma la respuesta.</w:t>
      </w:r>
    </w:p>
    <w:p w:rsidR="00DD05B4" w:rsidRPr="001A51C6" w:rsidRDefault="00DD05B4" w:rsidP="00B34C01">
      <w:pPr>
        <w:pStyle w:val="Prrafodelista"/>
        <w:spacing w:line="360" w:lineRule="auto"/>
        <w:jc w:val="both"/>
        <w:rPr>
          <w:rFonts w:ascii="Palatino Linotype" w:eastAsia="Calibri" w:hAnsi="Palatino Linotype" w:cs="Arial"/>
          <w:lang w:val="es-ES" w:eastAsia="es-ES"/>
        </w:rPr>
      </w:pPr>
    </w:p>
    <w:p w:rsidR="00DD05B4" w:rsidRPr="001A51C6" w:rsidRDefault="00DD541A" w:rsidP="00B34C01">
      <w:pPr>
        <w:pStyle w:val="Prrafodelista"/>
        <w:numPr>
          <w:ilvl w:val="0"/>
          <w:numId w:val="4"/>
        </w:numPr>
        <w:spacing w:line="360" w:lineRule="auto"/>
        <w:jc w:val="both"/>
        <w:rPr>
          <w:rFonts w:ascii="Palatino Linotype" w:eastAsia="Calibri" w:hAnsi="Palatino Linotype" w:cs="Arial"/>
          <w:lang w:val="es-ES" w:eastAsia="es-ES"/>
        </w:rPr>
      </w:pPr>
      <w:hyperlink r:id="rId13" w:history="1">
        <w:r w:rsidR="00DD05B4" w:rsidRPr="001A51C6">
          <w:rPr>
            <w:rStyle w:val="Hipervnculo"/>
            <w:rFonts w:ascii="Palatino Linotype" w:eastAsia="Calibri" w:hAnsi="Palatino Linotype" w:cs="Arial"/>
            <w:b/>
            <w:bCs/>
            <w:color w:val="auto"/>
            <w:lang w:eastAsia="es-ES"/>
          </w:rPr>
          <w:t>OF INF JUST RR 3918 SOL 672.pdf</w:t>
        </w:r>
      </w:hyperlink>
      <w:r w:rsidR="00DD05B4" w:rsidRPr="001A51C6">
        <w:rPr>
          <w:rFonts w:ascii="Palatino Linotype" w:eastAsia="Calibri" w:hAnsi="Palatino Linotype" w:cs="Arial"/>
          <w:lang w:val="es-ES" w:eastAsia="es-ES"/>
        </w:rPr>
        <w:t xml:space="preserve">: </w:t>
      </w:r>
      <w:r w:rsidR="00932497" w:rsidRPr="001A51C6">
        <w:rPr>
          <w:rFonts w:ascii="Palatino Linotype" w:eastAsia="Calibri" w:hAnsi="Palatino Linotype" w:cs="Arial"/>
          <w:lang w:val="es-ES" w:eastAsia="es-ES"/>
        </w:rPr>
        <w:t>oficio 1743/MAIP/FGJ/2021, suscrito por el Titular de la Unidad de Transparencia, mediante el que manifestó la entrega del informe justificado.</w:t>
      </w:r>
    </w:p>
    <w:p w:rsidR="00DD05B4" w:rsidRPr="001A51C6" w:rsidRDefault="00DD05B4" w:rsidP="00B34C01">
      <w:pPr>
        <w:pStyle w:val="Prrafodelista"/>
        <w:spacing w:line="360" w:lineRule="auto"/>
        <w:jc w:val="both"/>
        <w:rPr>
          <w:rFonts w:ascii="Palatino Linotype" w:eastAsia="Calibri" w:hAnsi="Palatino Linotype" w:cs="Arial"/>
          <w:lang w:val="es-ES" w:eastAsia="es-ES"/>
        </w:rPr>
      </w:pPr>
    </w:p>
    <w:p w:rsidR="0078107F" w:rsidRPr="001A51C6" w:rsidRDefault="0078107F" w:rsidP="00B34C01">
      <w:pPr>
        <w:pStyle w:val="Prrafodelista"/>
        <w:numPr>
          <w:ilvl w:val="0"/>
          <w:numId w:val="1"/>
        </w:numPr>
        <w:spacing w:line="360" w:lineRule="auto"/>
        <w:ind w:left="0" w:right="48" w:firstLine="0"/>
        <w:jc w:val="both"/>
        <w:rPr>
          <w:rFonts w:ascii="Palatino Linotype" w:hAnsi="Palatino Linotype"/>
          <w:b/>
          <w:sz w:val="24"/>
        </w:rPr>
      </w:pPr>
      <w:r w:rsidRPr="001A51C6">
        <w:rPr>
          <w:rFonts w:ascii="Palatino Linotype" w:hAnsi="Palatino Linotype"/>
          <w:sz w:val="24"/>
        </w:rPr>
        <w:t xml:space="preserve">El veintitrés (23) de agosto de dos mil veintiuno, en la Segunda Sesión Extraordinaria, el Pleno de este Órgano Garante aprobó el returno del recurso de revisión al rubro indicado, a la Ponencia de la </w:t>
      </w:r>
      <w:r w:rsidRPr="001A51C6">
        <w:rPr>
          <w:rFonts w:ascii="Palatino Linotype" w:hAnsi="Palatino Linotype"/>
          <w:b/>
          <w:sz w:val="24"/>
        </w:rPr>
        <w:t>Comisionada María del Rosario Mejía Ayala.</w:t>
      </w:r>
    </w:p>
    <w:p w:rsidR="00932497" w:rsidRPr="001A51C6" w:rsidRDefault="00932497" w:rsidP="00B34C01">
      <w:pPr>
        <w:pStyle w:val="Prrafodelista"/>
        <w:spacing w:line="360" w:lineRule="auto"/>
        <w:ind w:left="0" w:right="48"/>
        <w:jc w:val="both"/>
        <w:rPr>
          <w:rFonts w:ascii="Palatino Linotype" w:hAnsi="Palatino Linotype"/>
          <w:b/>
          <w:sz w:val="24"/>
        </w:rPr>
      </w:pPr>
    </w:p>
    <w:p w:rsidR="0078107F" w:rsidRPr="001A51C6" w:rsidRDefault="0078107F" w:rsidP="00B34C0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A51C6">
        <w:rPr>
          <w:rFonts w:ascii="Palatino Linotype" w:eastAsiaTheme="minorEastAsia" w:hAnsi="Palatino Linotype"/>
          <w:lang w:val="es-ES_tradnl" w:eastAsia="es-ES"/>
        </w:rPr>
        <w:t>El Comisionado Ponente decretó el cierre de instrucción</w:t>
      </w:r>
      <w:r w:rsidRPr="001A51C6">
        <w:rPr>
          <w:rFonts w:ascii="Palatino Linotype" w:eastAsiaTheme="minorEastAsia" w:hAnsi="Palatino Linotype" w:cs="Arial"/>
          <w:lang w:val="es-ES_tradnl" w:eastAsia="es-ES"/>
        </w:rPr>
        <w:t xml:space="preserve"> </w:t>
      </w:r>
      <w:r w:rsidRPr="001A51C6">
        <w:rPr>
          <w:rFonts w:ascii="Palatino Linotype" w:eastAsiaTheme="minorEastAsia" w:hAnsi="Palatino Linotype"/>
          <w:lang w:val="es-ES_tradnl" w:eastAsia="es-ES"/>
        </w:rPr>
        <w:t>medi</w:t>
      </w:r>
      <w:r w:rsidR="00932497" w:rsidRPr="001A51C6">
        <w:rPr>
          <w:rFonts w:ascii="Palatino Linotype" w:eastAsiaTheme="minorEastAsia" w:hAnsi="Palatino Linotype"/>
          <w:lang w:val="es-ES_tradnl" w:eastAsia="es-ES"/>
        </w:rPr>
        <w:t>ante el acuerdo de fecha trece (13</w:t>
      </w:r>
      <w:r w:rsidRPr="001A51C6">
        <w:rPr>
          <w:rFonts w:ascii="Palatino Linotype" w:eastAsiaTheme="minorEastAsia" w:hAnsi="Palatino Linotype"/>
          <w:lang w:val="es-ES_tradnl" w:eastAsia="es-ES"/>
        </w:rPr>
        <w:t>) de septiembre de dos mil veintiuno.</w:t>
      </w:r>
      <w:r w:rsidRPr="001A51C6">
        <w:rPr>
          <w:rFonts w:ascii="Palatino Linotype" w:eastAsiaTheme="minorEastAsia" w:hAnsi="Palatino Linotype" w:cs="Arial"/>
          <w:lang w:val="es-ES_tradnl" w:eastAsia="es-ES"/>
        </w:rPr>
        <w:t xml:space="preserve"> </w:t>
      </w:r>
    </w:p>
    <w:p w:rsidR="00932497" w:rsidRPr="001A51C6" w:rsidRDefault="00932497" w:rsidP="00B34C01">
      <w:pPr>
        <w:spacing w:line="360" w:lineRule="auto"/>
        <w:contextualSpacing/>
        <w:jc w:val="both"/>
        <w:rPr>
          <w:rFonts w:ascii="Palatino Linotype" w:eastAsiaTheme="minorEastAsia" w:hAnsi="Palatino Linotype"/>
          <w:b/>
          <w:u w:val="single"/>
          <w:lang w:val="es-ES_tradnl" w:eastAsia="es-ES"/>
        </w:rPr>
      </w:pPr>
    </w:p>
    <w:p w:rsidR="00932497" w:rsidRPr="001A51C6" w:rsidRDefault="001203CF" w:rsidP="00B34C01">
      <w:pPr>
        <w:pStyle w:val="Prrafodelista"/>
        <w:numPr>
          <w:ilvl w:val="0"/>
          <w:numId w:val="1"/>
        </w:numPr>
        <w:spacing w:line="360" w:lineRule="auto"/>
        <w:ind w:left="0" w:firstLine="0"/>
        <w:jc w:val="both"/>
        <w:rPr>
          <w:rFonts w:ascii="Palatino Linotype" w:eastAsia="Calibri" w:hAnsi="Palatino Linotype" w:cs="Arial"/>
          <w:sz w:val="24"/>
          <w:lang w:val="es-ES"/>
        </w:rPr>
      </w:pPr>
      <w:r w:rsidRPr="001A51C6">
        <w:rPr>
          <w:rFonts w:ascii="Palatino Linotype" w:eastAsia="Calibri" w:hAnsi="Palatino Linotype" w:cs="Arial"/>
          <w:sz w:val="24"/>
          <w:lang w:val="es-ES"/>
        </w:rPr>
        <w:t xml:space="preserve">El veintidós (22) de septiembre de dos mil veintiuno, se notificó mediante acuerdo que el plazo para resolver el recurso de revisión, se ampliaría por un periodo de quince días hábiles; </w:t>
      </w:r>
      <w:r w:rsidRPr="001A51C6">
        <w:rPr>
          <w:rFonts w:ascii="Palatino Linotype" w:hAnsi="Palatino Linotype" w:cs="Arial"/>
          <w:sz w:val="24"/>
        </w:rPr>
        <w:t>posterior a ello ordenó turnar el expediente a resolución, misma que ahora se pronuncia; y---------------------------------------------------------------------</w:t>
      </w:r>
    </w:p>
    <w:p w:rsidR="0078107F" w:rsidRPr="001A51C6" w:rsidRDefault="0078107F" w:rsidP="00B34C01">
      <w:pPr>
        <w:spacing w:line="360" w:lineRule="auto"/>
        <w:contextualSpacing/>
        <w:jc w:val="both"/>
        <w:rPr>
          <w:rFonts w:ascii="Palatino Linotype" w:eastAsiaTheme="minorEastAsia" w:hAnsi="Palatino Linotype"/>
          <w:b/>
          <w:u w:val="single"/>
          <w:lang w:val="es-ES_tradnl" w:eastAsia="es-ES"/>
        </w:rPr>
      </w:pPr>
    </w:p>
    <w:p w:rsidR="0078107F" w:rsidRPr="001A51C6" w:rsidRDefault="0078107F" w:rsidP="00B34C01">
      <w:pPr>
        <w:keepNext/>
        <w:keepLines/>
        <w:spacing w:line="360" w:lineRule="auto"/>
        <w:jc w:val="center"/>
        <w:outlineLvl w:val="0"/>
        <w:rPr>
          <w:rFonts w:ascii="Palatino Linotype" w:eastAsiaTheme="majorEastAsia" w:hAnsi="Palatino Linotype" w:cstheme="majorBidi"/>
        </w:rPr>
      </w:pPr>
      <w:bookmarkStart w:id="4" w:name="_Toc85672127"/>
      <w:r w:rsidRPr="001A51C6">
        <w:rPr>
          <w:rFonts w:ascii="Palatino Linotype" w:eastAsiaTheme="majorEastAsia" w:hAnsi="Palatino Linotype" w:cstheme="majorBidi"/>
          <w:b/>
        </w:rPr>
        <w:t>CONSIDERANDO</w:t>
      </w:r>
      <w:bookmarkEnd w:id="4"/>
      <w:r w:rsidRPr="001A51C6">
        <w:rPr>
          <w:rFonts w:ascii="Palatino Linotype" w:eastAsiaTheme="majorEastAsia" w:hAnsi="Palatino Linotype" w:cstheme="majorBidi"/>
          <w:b/>
        </w:rPr>
        <w:t xml:space="preserve"> </w:t>
      </w:r>
    </w:p>
    <w:p w:rsidR="0078107F" w:rsidRPr="001A51C6" w:rsidRDefault="0078107F" w:rsidP="00B34C01">
      <w:pPr>
        <w:spacing w:line="360" w:lineRule="auto"/>
        <w:rPr>
          <w:rFonts w:ascii="Palatino Linotype" w:eastAsiaTheme="minorEastAsia" w:hAnsi="Palatino Linotype"/>
        </w:rPr>
      </w:pPr>
    </w:p>
    <w:p w:rsidR="0078107F" w:rsidRPr="001A51C6" w:rsidRDefault="0078107F" w:rsidP="00B34C01">
      <w:pPr>
        <w:keepNext/>
        <w:keepLines/>
        <w:spacing w:line="360" w:lineRule="auto"/>
        <w:outlineLvl w:val="1"/>
        <w:rPr>
          <w:rFonts w:ascii="Palatino Linotype" w:eastAsiaTheme="majorEastAsia" w:hAnsi="Palatino Linotype" w:cstheme="majorBidi"/>
          <w:b/>
          <w:szCs w:val="26"/>
        </w:rPr>
      </w:pPr>
      <w:bookmarkStart w:id="5" w:name="_Toc85672128"/>
      <w:r w:rsidRPr="001A51C6">
        <w:rPr>
          <w:rFonts w:ascii="Palatino Linotype" w:eastAsiaTheme="majorEastAsia" w:hAnsi="Palatino Linotype" w:cstheme="majorBidi"/>
          <w:b/>
          <w:szCs w:val="26"/>
        </w:rPr>
        <w:t>PRIMERO. De la competencia</w:t>
      </w:r>
      <w:bookmarkEnd w:id="5"/>
    </w:p>
    <w:p w:rsidR="001203CF" w:rsidRPr="001A51C6" w:rsidRDefault="001203CF" w:rsidP="00B34C01">
      <w:pPr>
        <w:spacing w:line="360" w:lineRule="auto"/>
        <w:contextualSpacing/>
        <w:jc w:val="both"/>
        <w:rPr>
          <w:rFonts w:ascii="Palatino Linotype" w:eastAsia="Calibri" w:hAnsi="Palatino Linotype"/>
          <w:b/>
          <w:bCs/>
          <w:lang w:eastAsia="es-ES"/>
        </w:rPr>
      </w:pPr>
    </w:p>
    <w:p w:rsidR="001203CF" w:rsidRPr="001A51C6" w:rsidRDefault="001203CF" w:rsidP="00B34C01">
      <w:pPr>
        <w:numPr>
          <w:ilvl w:val="0"/>
          <w:numId w:val="1"/>
        </w:numPr>
        <w:spacing w:line="360" w:lineRule="auto"/>
        <w:ind w:left="0" w:firstLine="0"/>
        <w:contextualSpacing/>
        <w:jc w:val="both"/>
        <w:rPr>
          <w:rFonts w:ascii="Palatino Linotype" w:eastAsia="Calibri" w:hAnsi="Palatino Linotype"/>
          <w:lang w:eastAsia="es-ES"/>
        </w:rPr>
      </w:pPr>
      <w:r w:rsidRPr="001A51C6">
        <w:rPr>
          <w:rFonts w:ascii="Palatino Linotype" w:eastAsia="Calibri" w:hAnsi="Palatino Linotype"/>
          <w:lang w:val="es-ES" w:eastAsia="es-ES"/>
        </w:rPr>
        <w:t xml:space="preserve"> Este Instituto de Transparencia, Acceso a la Información Pública y Protección de Datos Personales del Estado de México y Municipios, es competente para conocer </w:t>
      </w:r>
      <w:r w:rsidRPr="001A51C6">
        <w:rPr>
          <w:rFonts w:ascii="Palatino Linotype" w:eastAsia="Calibri" w:hAnsi="Palatino Linotype"/>
          <w:lang w:val="es-ES" w:eastAsia="es-ES"/>
        </w:rPr>
        <w:lastRenderedPageBreak/>
        <w:t xml:space="preserve">y resolver del presente recurso de conformidad con el artículo: 6, apartado A, de la </w:t>
      </w:r>
      <w:r w:rsidRPr="001A51C6">
        <w:rPr>
          <w:rFonts w:ascii="Palatino Linotype" w:eastAsia="Calibri" w:hAnsi="Palatino Linotype"/>
          <w:b/>
          <w:lang w:val="es-ES" w:eastAsia="es-ES"/>
        </w:rPr>
        <w:t>Constitución Política de los Estados Unidos Mexicanos</w:t>
      </w:r>
      <w:r w:rsidRPr="001A51C6">
        <w:rPr>
          <w:rFonts w:ascii="Palatino Linotype" w:eastAsia="Calibri" w:hAnsi="Palatino Linotype"/>
          <w:lang w:val="es-ES" w:eastAsia="es-ES"/>
        </w:rPr>
        <w:t xml:space="preserve">; 5, </w:t>
      </w:r>
      <w:r w:rsidRPr="001A51C6">
        <w:rPr>
          <w:rFonts w:ascii="Palatino Linotype" w:eastAsia="Calibri" w:hAnsi="Palatino Linotype"/>
          <w:lang w:eastAsia="es-ES"/>
        </w:rPr>
        <w:t xml:space="preserve">párrafos trigésimo, trigésimo primero y trigésimo segundo, fracciones I, II, III, IV y V de la </w:t>
      </w:r>
      <w:r w:rsidRPr="001A51C6">
        <w:rPr>
          <w:rFonts w:ascii="Palatino Linotype" w:eastAsia="Calibri" w:hAnsi="Palatino Linotype"/>
          <w:b/>
          <w:lang w:eastAsia="es-ES"/>
        </w:rPr>
        <w:t>Constitución Política del Estado Libre y Soberano de México</w:t>
      </w:r>
      <w:r w:rsidRPr="001A51C6">
        <w:rPr>
          <w:rFonts w:ascii="Palatino Linotype" w:eastAsia="Calibri" w:hAnsi="Palatino Linotype"/>
          <w:b/>
          <w:lang w:val="es-ES" w:eastAsia="es-ES"/>
        </w:rPr>
        <w:t>;</w:t>
      </w:r>
      <w:r w:rsidRPr="001A51C6">
        <w:rPr>
          <w:rFonts w:ascii="Palatino Linotype" w:eastAsia="Calibri" w:hAnsi="Palatino Linotype"/>
          <w:lang w:val="es-ES" w:eastAsia="es-ES"/>
        </w:rPr>
        <w:t xml:space="preserve"> 1, 3 fracción I, 82, 97, 98, 119, 123, 124, 127, 128 y 133 </w:t>
      </w:r>
      <w:r w:rsidRPr="001A51C6">
        <w:rPr>
          <w:rFonts w:ascii="Palatino Linotype" w:eastAsia="Calibri" w:hAnsi="Palatino Linotype"/>
          <w:b/>
          <w:lang w:eastAsia="es-ES"/>
        </w:rPr>
        <w:t>Ley de Protección de Datos Personales en Posesión de Sujetos Obligados del Estado de México y Municipios</w:t>
      </w:r>
      <w:r w:rsidRPr="001A51C6">
        <w:rPr>
          <w:rFonts w:ascii="Palatino Linotype" w:eastAsia="Calibri" w:hAnsi="Palatino Linotype"/>
          <w:lang w:val="es-ES" w:eastAsia="es-ES"/>
        </w:rPr>
        <w:t xml:space="preserve">; y 10, 7, 9 fracciones I y XXIV, y 11 del </w:t>
      </w:r>
      <w:r w:rsidRPr="001A51C6">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78107F" w:rsidRPr="001A51C6" w:rsidRDefault="0078107F" w:rsidP="00B34C01">
      <w:pPr>
        <w:spacing w:line="360" w:lineRule="auto"/>
        <w:contextualSpacing/>
        <w:jc w:val="both"/>
        <w:rPr>
          <w:rFonts w:ascii="Palatino Linotype" w:eastAsiaTheme="minorEastAsia" w:hAnsi="Palatino Linotype"/>
          <w:lang w:val="es-ES_tradnl" w:eastAsia="es-ES"/>
        </w:rPr>
      </w:pPr>
    </w:p>
    <w:p w:rsidR="0078107F" w:rsidRPr="001A51C6" w:rsidRDefault="0078107F" w:rsidP="00B34C01">
      <w:pPr>
        <w:keepNext/>
        <w:keepLines/>
        <w:spacing w:line="360" w:lineRule="auto"/>
        <w:outlineLvl w:val="1"/>
        <w:rPr>
          <w:rFonts w:ascii="Palatino Linotype" w:eastAsiaTheme="majorEastAsia" w:hAnsi="Palatino Linotype" w:cstheme="majorBidi"/>
          <w:b/>
          <w:szCs w:val="26"/>
        </w:rPr>
      </w:pPr>
      <w:bookmarkStart w:id="6" w:name="_Toc85672129"/>
      <w:r w:rsidRPr="001A51C6">
        <w:rPr>
          <w:rFonts w:ascii="Palatino Linotype" w:eastAsiaTheme="majorEastAsia" w:hAnsi="Palatino Linotype" w:cstheme="majorBidi"/>
          <w:b/>
          <w:szCs w:val="26"/>
        </w:rPr>
        <w:t>SEGUNDO. De la oportunidad y procedencia.</w:t>
      </w:r>
      <w:bookmarkEnd w:id="6"/>
    </w:p>
    <w:p w:rsidR="0078107F" w:rsidRPr="001A51C6" w:rsidRDefault="0078107F" w:rsidP="00B34C01">
      <w:pPr>
        <w:spacing w:line="360" w:lineRule="auto"/>
        <w:rPr>
          <w:rFonts w:ascii="Palatino Linotype" w:eastAsiaTheme="minorEastAsia" w:hAnsi="Palatino Linotype"/>
        </w:rPr>
      </w:pPr>
    </w:p>
    <w:p w:rsidR="0078107F" w:rsidRPr="001A51C6" w:rsidRDefault="0078107F" w:rsidP="00B34C0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A51C6">
        <w:rPr>
          <w:rFonts w:ascii="Palatino Linotype" w:eastAsia="Calibri" w:hAnsi="Palatino Linotype" w:cs="Arial"/>
          <w:lang w:val="es-ES_tradnl" w:eastAsia="es-ES"/>
        </w:rPr>
        <w:t xml:space="preserve">El medio de impugnación fue presentado a través del </w:t>
      </w:r>
      <w:r w:rsidRPr="001A51C6">
        <w:rPr>
          <w:rFonts w:ascii="Palatino Linotype" w:eastAsia="Calibri" w:hAnsi="Palatino Linotype" w:cs="Arial"/>
          <w:b/>
          <w:lang w:val="es-ES_tradnl" w:eastAsia="es-ES"/>
        </w:rPr>
        <w:t>SAIMEX,</w:t>
      </w:r>
      <w:r w:rsidRPr="001A51C6">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A51C6">
        <w:rPr>
          <w:rFonts w:ascii="Palatino Linotype" w:eastAsia="Calibri" w:hAnsi="Palatino Linotype" w:cs="Arial"/>
          <w:b/>
          <w:lang w:val="es-ES_tradnl" w:eastAsia="es-ES"/>
        </w:rPr>
        <w:t>SUJETO OBLIGADO</w:t>
      </w:r>
      <w:r w:rsidRPr="001A51C6">
        <w:rPr>
          <w:rFonts w:ascii="Palatino Linotype" w:eastAsia="Calibri" w:hAnsi="Palatino Linotype" w:cs="Arial"/>
          <w:lang w:val="es-ES_tradnl" w:eastAsia="es-ES"/>
        </w:rPr>
        <w:t xml:space="preserve"> entregó respuesta a la solicitud el día </w:t>
      </w:r>
      <w:r w:rsidR="004B1526" w:rsidRPr="001A51C6">
        <w:rPr>
          <w:rFonts w:ascii="Palatino Linotype" w:eastAsia="Calibri" w:hAnsi="Palatino Linotype" w:cs="Arial"/>
          <w:lang w:val="es-ES_tradnl" w:eastAsia="es-ES"/>
        </w:rPr>
        <w:t>dos (02) de agosto</w:t>
      </w:r>
      <w:r w:rsidRPr="001A51C6">
        <w:rPr>
          <w:rFonts w:ascii="Palatino Linotype" w:eastAsia="Calibri" w:hAnsi="Palatino Linotype" w:cs="Arial"/>
          <w:lang w:val="es-ES_tradnl" w:eastAsia="es-ES"/>
        </w:rPr>
        <w:t xml:space="preserve">  de dos mil veintiuno, </w:t>
      </w:r>
      <w:r w:rsidRPr="001A51C6">
        <w:rPr>
          <w:rFonts w:ascii="Palatino Linotype" w:eastAsiaTheme="minorEastAsia" w:hAnsi="Palatino Linotype" w:cs="Arial"/>
          <w:lang w:val="es-ES_tradnl" w:eastAsia="es-ES"/>
        </w:rPr>
        <w:t xml:space="preserve">de tal forma que el plazo para interponer el recurso de revisión transcurrió del </w:t>
      </w:r>
      <w:r w:rsidR="004B1526" w:rsidRPr="001A51C6">
        <w:rPr>
          <w:rFonts w:ascii="Palatino Linotype" w:eastAsiaTheme="minorEastAsia" w:hAnsi="Palatino Linotype" w:cs="Arial"/>
          <w:lang w:val="es-ES_tradnl" w:eastAsia="es-ES"/>
        </w:rPr>
        <w:t>tres (03)   al veintitrés (23) de agosto</w:t>
      </w:r>
      <w:r w:rsidRPr="001A51C6">
        <w:rPr>
          <w:rFonts w:ascii="Palatino Linotype" w:eastAsiaTheme="minorEastAsia" w:hAnsi="Palatino Linotype" w:cs="Arial"/>
          <w:lang w:val="es-ES_tradnl" w:eastAsia="es-ES"/>
        </w:rPr>
        <w:t xml:space="preserve">  de dos mil veintiuno; en consecuencia, presentó su inconformidad el día </w:t>
      </w:r>
      <w:r w:rsidR="004B1526" w:rsidRPr="001A51C6">
        <w:rPr>
          <w:rFonts w:ascii="Palatino Linotype" w:eastAsiaTheme="minorEastAsia" w:hAnsi="Palatino Linotype" w:cs="Arial"/>
          <w:lang w:val="es-ES_tradnl" w:eastAsia="es-ES"/>
        </w:rPr>
        <w:t xml:space="preserve">cuatro (04) de agosto </w:t>
      </w:r>
      <w:r w:rsidRPr="001A51C6">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1A51C6">
        <w:rPr>
          <w:rFonts w:ascii="Palatino Linotype" w:eastAsiaTheme="minorEastAsia" w:hAnsi="Palatino Linotype" w:cs="Arial"/>
          <w:b/>
          <w:lang w:val="es-ES_tradnl" w:eastAsia="es-ES"/>
        </w:rPr>
        <w:t xml:space="preserve">Ley de Transparencia y Acceso a la Información Pública del Estado de México y Municipios </w:t>
      </w:r>
      <w:r w:rsidRPr="001A51C6">
        <w:rPr>
          <w:rFonts w:ascii="Palatino Linotype" w:eastAsiaTheme="minorEastAsia" w:hAnsi="Palatino Linotype" w:cs="Arial"/>
          <w:lang w:val="es-ES_tradnl" w:eastAsia="es-ES"/>
        </w:rPr>
        <w:t>vigente.</w:t>
      </w:r>
    </w:p>
    <w:p w:rsidR="0078107F" w:rsidRPr="001A51C6" w:rsidRDefault="0078107F" w:rsidP="00B34C01">
      <w:pPr>
        <w:spacing w:line="360" w:lineRule="auto"/>
        <w:ind w:right="49"/>
        <w:contextualSpacing/>
        <w:jc w:val="both"/>
        <w:rPr>
          <w:rFonts w:ascii="Palatino Linotype" w:eastAsiaTheme="minorEastAsia" w:hAnsi="Palatino Linotype" w:cs="Arial"/>
          <w:lang w:val="es-ES_tradnl" w:eastAsia="es-ES"/>
        </w:rPr>
      </w:pPr>
    </w:p>
    <w:p w:rsidR="0078107F" w:rsidRPr="00AA53EA" w:rsidRDefault="0078107F" w:rsidP="00B34C0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A51C6">
        <w:rPr>
          <w:rFonts w:ascii="Palatino Linotype" w:eastAsia="Calibri" w:hAnsi="Palatino Linotype" w:cs="Arial"/>
          <w:lang w:val="es-ES_tradnl" w:eastAsia="es-ES"/>
        </w:rPr>
        <w:t xml:space="preserve">Por otro lado, el escrito contiene las formalidades previstas por el artículo 180 último párrafo de la Ley de la materia actual, por lo que es procedente que este </w:t>
      </w:r>
      <w:r w:rsidRPr="001A51C6">
        <w:rPr>
          <w:rFonts w:ascii="Palatino Linotype" w:eastAsia="Calibri" w:hAnsi="Palatino Linotype" w:cs="Arial"/>
          <w:lang w:val="es-ES_tradnl" w:eastAsia="es-ES"/>
        </w:rPr>
        <w:lastRenderedPageBreak/>
        <w:t>Instituto de Transparencia, Acceso a la Información Pública y Protección de Datos Personales del Estado de México y Municipios, conozca y resuelva el presente recurso.</w:t>
      </w:r>
    </w:p>
    <w:p w:rsidR="00AA53EA" w:rsidRDefault="00AA53EA" w:rsidP="00AA53EA">
      <w:pPr>
        <w:pStyle w:val="Prrafodelista"/>
        <w:rPr>
          <w:rFonts w:ascii="Palatino Linotype" w:eastAsiaTheme="minorEastAsia" w:hAnsi="Palatino Linotype"/>
          <w:lang w:val="es-ES_tradnl" w:eastAsia="es-ES"/>
        </w:rPr>
      </w:pPr>
    </w:p>
    <w:p w:rsidR="00AA53EA" w:rsidRPr="001A51C6" w:rsidRDefault="00AA53EA" w:rsidP="00AA53EA">
      <w:pPr>
        <w:spacing w:line="360" w:lineRule="auto"/>
        <w:ind w:right="49"/>
        <w:contextualSpacing/>
        <w:jc w:val="both"/>
        <w:rPr>
          <w:rFonts w:ascii="Palatino Linotype" w:eastAsiaTheme="minorEastAsia" w:hAnsi="Palatino Linotype"/>
          <w:lang w:val="es-ES_tradnl" w:eastAsia="es-ES"/>
        </w:rPr>
      </w:pPr>
    </w:p>
    <w:p w:rsidR="0078107F" w:rsidRPr="001A51C6" w:rsidRDefault="00D709DB" w:rsidP="00B34C01">
      <w:pPr>
        <w:keepNext/>
        <w:keepLines/>
        <w:spacing w:line="360" w:lineRule="auto"/>
        <w:outlineLvl w:val="1"/>
        <w:rPr>
          <w:rFonts w:ascii="Palatino Linotype" w:eastAsiaTheme="majorEastAsia" w:hAnsi="Palatino Linotype" w:cstheme="majorBidi"/>
          <w:b/>
          <w:szCs w:val="26"/>
        </w:rPr>
      </w:pPr>
      <w:bookmarkStart w:id="7" w:name="_Toc486525253"/>
      <w:bookmarkStart w:id="8" w:name="_Toc85672130"/>
      <w:r w:rsidRPr="001A51C6">
        <w:rPr>
          <w:rFonts w:ascii="Palatino Linotype" w:eastAsiaTheme="majorEastAsia" w:hAnsi="Palatino Linotype" w:cstheme="majorBidi"/>
          <w:b/>
          <w:szCs w:val="26"/>
        </w:rPr>
        <w:t>TERCERO</w:t>
      </w:r>
      <w:r w:rsidR="0078107F" w:rsidRPr="001A51C6">
        <w:rPr>
          <w:rFonts w:ascii="Palatino Linotype" w:eastAsiaTheme="majorEastAsia" w:hAnsi="Palatino Linotype" w:cstheme="majorBidi"/>
          <w:b/>
          <w:szCs w:val="26"/>
        </w:rPr>
        <w:t xml:space="preserve">. </w:t>
      </w:r>
      <w:bookmarkEnd w:id="7"/>
      <w:r w:rsidR="0078107F" w:rsidRPr="001A51C6">
        <w:rPr>
          <w:rFonts w:ascii="Palatino Linotype" w:eastAsiaTheme="majorEastAsia" w:hAnsi="Palatino Linotype" w:cstheme="majorBidi"/>
          <w:b/>
          <w:szCs w:val="26"/>
        </w:rPr>
        <w:t>Planteamiento de la Litis.</w:t>
      </w:r>
      <w:bookmarkEnd w:id="8"/>
    </w:p>
    <w:p w:rsidR="0078107F" w:rsidRPr="001A51C6" w:rsidRDefault="0078107F" w:rsidP="00B34C01">
      <w:pPr>
        <w:spacing w:line="360" w:lineRule="auto"/>
        <w:rPr>
          <w:rFonts w:ascii="Palatino Linotype" w:eastAsiaTheme="minorEastAsia" w:hAnsi="Palatino Linotype"/>
        </w:rPr>
      </w:pPr>
    </w:p>
    <w:p w:rsidR="006B0897" w:rsidRPr="001A51C6" w:rsidRDefault="004B1526" w:rsidP="00B34C01">
      <w:pPr>
        <w:pStyle w:val="Prrafodelista"/>
        <w:numPr>
          <w:ilvl w:val="0"/>
          <w:numId w:val="1"/>
        </w:numPr>
        <w:spacing w:line="360" w:lineRule="auto"/>
        <w:ind w:left="0" w:firstLine="0"/>
        <w:jc w:val="both"/>
        <w:rPr>
          <w:rFonts w:ascii="Palatino Linotype" w:eastAsia="MS Gothic" w:hAnsi="Palatino Linotype"/>
        </w:rPr>
      </w:pPr>
      <w:r w:rsidRPr="001A51C6">
        <w:rPr>
          <w:rFonts w:ascii="Palatino Linotype" w:eastAsia="MS Gothic" w:hAnsi="Palatino Linotype"/>
          <w:sz w:val="24"/>
        </w:rPr>
        <w:t xml:space="preserve">El particular solicitó </w:t>
      </w:r>
      <w:r w:rsidR="006B0897" w:rsidRPr="001A51C6">
        <w:rPr>
          <w:rFonts w:ascii="Palatino Linotype" w:eastAsia="MS Gothic" w:hAnsi="Palatino Linotype"/>
          <w:sz w:val="24"/>
        </w:rPr>
        <w:t>número de investigaciones que se han abierto contra funcionarios públicos pertenecientes al cabildo o al gabinete del Ayuntamiento de Tlalnepantla de Baz, de la administración 2019-2021, fecha en que se abrió la investigación, número de carpeta de investigación, tipo de delito al que corresponde y puesto de la persona investigada.</w:t>
      </w:r>
    </w:p>
    <w:p w:rsidR="006B0897" w:rsidRPr="001A51C6" w:rsidRDefault="006B0897" w:rsidP="00B34C01">
      <w:pPr>
        <w:pStyle w:val="Prrafodelista"/>
        <w:spacing w:line="360" w:lineRule="auto"/>
        <w:ind w:left="0"/>
        <w:jc w:val="both"/>
        <w:rPr>
          <w:rFonts w:ascii="Palatino Linotype" w:eastAsia="MS Gothic" w:hAnsi="Palatino Linotype"/>
        </w:rPr>
      </w:pPr>
    </w:p>
    <w:p w:rsidR="0078107F" w:rsidRPr="001A51C6" w:rsidRDefault="0078107F" w:rsidP="00B34C01">
      <w:pPr>
        <w:pStyle w:val="Prrafodelista"/>
        <w:numPr>
          <w:ilvl w:val="0"/>
          <w:numId w:val="1"/>
        </w:numPr>
        <w:spacing w:line="360" w:lineRule="auto"/>
        <w:ind w:left="0" w:firstLine="0"/>
        <w:jc w:val="both"/>
        <w:rPr>
          <w:rFonts w:ascii="Palatino Linotype" w:eastAsia="MS Gothic" w:hAnsi="Palatino Linotype"/>
          <w:sz w:val="24"/>
        </w:rPr>
      </w:pPr>
      <w:r w:rsidRPr="001A51C6">
        <w:rPr>
          <w:rFonts w:ascii="Palatino Linotype" w:eastAsia="MS Gothic" w:hAnsi="Palatino Linotype"/>
          <w:sz w:val="24"/>
        </w:rPr>
        <w:t xml:space="preserve">El </w:t>
      </w:r>
      <w:r w:rsidRPr="001A51C6">
        <w:rPr>
          <w:rFonts w:ascii="Palatino Linotype" w:eastAsia="MS Gothic" w:hAnsi="Palatino Linotype"/>
          <w:b/>
          <w:sz w:val="24"/>
        </w:rPr>
        <w:t>SUJETO OBLIGADO</w:t>
      </w:r>
      <w:r w:rsidRPr="001A51C6">
        <w:rPr>
          <w:rFonts w:ascii="Palatino Linotype" w:eastAsia="MS Gothic" w:hAnsi="Palatino Linotype"/>
          <w:sz w:val="24"/>
        </w:rPr>
        <w:t xml:space="preserve"> en respuesta </w:t>
      </w:r>
      <w:r w:rsidR="00DA48C9" w:rsidRPr="001A51C6">
        <w:rPr>
          <w:rFonts w:ascii="Palatino Linotype" w:eastAsia="MS Gothic" w:hAnsi="Palatino Linotype"/>
          <w:sz w:val="24"/>
        </w:rPr>
        <w:t>adjunto un documento ad hoc, mediante el cual señalo en número de carpetas de investigación, el año, fecha de inicio y el delito; asimismo adjuntó el acuerdo mediante el cual se reserva el número de carpeta de investigación  de investigación, el puesto y nombre de la persona investigada.</w:t>
      </w:r>
    </w:p>
    <w:p w:rsidR="0078107F" w:rsidRPr="001A51C6" w:rsidRDefault="0078107F" w:rsidP="00B34C01">
      <w:pPr>
        <w:pStyle w:val="Prrafodelista"/>
        <w:spacing w:line="360" w:lineRule="auto"/>
        <w:rPr>
          <w:rFonts w:ascii="Palatino Linotype" w:eastAsia="MS Gothic" w:hAnsi="Palatino Linotype"/>
          <w:sz w:val="24"/>
        </w:rPr>
      </w:pPr>
    </w:p>
    <w:p w:rsidR="00DA48C9" w:rsidRPr="001A51C6" w:rsidRDefault="0078107F" w:rsidP="00B34C01">
      <w:pPr>
        <w:pStyle w:val="Prrafodelista"/>
        <w:numPr>
          <w:ilvl w:val="0"/>
          <w:numId w:val="1"/>
        </w:numPr>
        <w:spacing w:line="360" w:lineRule="auto"/>
        <w:ind w:left="0" w:firstLine="0"/>
        <w:jc w:val="both"/>
        <w:rPr>
          <w:rFonts w:ascii="Palatino Linotype" w:eastAsia="MS Gothic" w:hAnsi="Palatino Linotype"/>
          <w:i/>
          <w:sz w:val="24"/>
        </w:rPr>
      </w:pPr>
      <w:r w:rsidRPr="001A51C6">
        <w:rPr>
          <w:rFonts w:ascii="Palatino Linotype" w:eastAsia="MS Gothic" w:hAnsi="Palatino Linotype"/>
          <w:sz w:val="24"/>
        </w:rPr>
        <w:t xml:space="preserve">Derivado de la respuesta, el particular se inconformó mediante el recurso de revisión; manifestó en sus motivos de inconformidad </w:t>
      </w:r>
      <w:r w:rsidR="00DA48C9" w:rsidRPr="001A51C6">
        <w:rPr>
          <w:rFonts w:ascii="Palatino Linotype" w:eastAsia="MS Gothic" w:hAnsi="Palatino Linotype"/>
          <w:i/>
          <w:sz w:val="24"/>
          <w:lang w:val="es-ES"/>
        </w:rPr>
        <w:t>“</w:t>
      </w:r>
      <w:r w:rsidR="00DA48C9" w:rsidRPr="001A51C6">
        <w:rPr>
          <w:rFonts w:ascii="Palatino Linotype" w:eastAsia="MS Gothic" w:hAnsi="Palatino Linotype"/>
          <w:i/>
          <w:sz w:val="24"/>
        </w:rPr>
        <w:t xml:space="preserve">Considero que la información solicitada, como es el número de carpeta de investigación y puesto del funcionario público en cuestión debe ser proporcionada. Primero, en cuanto al número de carpeta de investigación se está pidiendo información meramente técnica y estadística, nunca se pidió el contenido de las investigaciones o de la documentación en cuestión. Conocer el número de esta carpeta confirma, respalda y da certidumbre a la afirmación que hace la Fiscalía sobre la existencia de dichas </w:t>
      </w:r>
      <w:r w:rsidR="00DA48C9" w:rsidRPr="001A51C6">
        <w:rPr>
          <w:rFonts w:ascii="Palatino Linotype" w:eastAsia="MS Gothic" w:hAnsi="Palatino Linotype"/>
          <w:i/>
          <w:sz w:val="24"/>
        </w:rPr>
        <w:lastRenderedPageBreak/>
        <w:t>carpetas. Segundo, es importante conocer el puesto del funcionario al que hace alusión cada carpeta, pues nuevamente se pide precisamente conocer el cargo que de por sí ya es público. En ningún momento se solicitan nombre o datos personales. Pido a la autoridad competente dar seguimiento a esta solicitud y permitir el pleno acceso a la información a la que tenemos derecho. Muchas gracias.” (Sic).</w:t>
      </w:r>
    </w:p>
    <w:p w:rsidR="0078107F" w:rsidRPr="001A51C6" w:rsidRDefault="0078107F" w:rsidP="00B34C01">
      <w:pPr>
        <w:pStyle w:val="Prrafodelista"/>
        <w:spacing w:line="360" w:lineRule="auto"/>
        <w:ind w:left="0"/>
        <w:jc w:val="both"/>
        <w:rPr>
          <w:rFonts w:ascii="Palatino Linotype" w:eastAsia="MS Gothic" w:hAnsi="Palatino Linotype"/>
          <w:sz w:val="24"/>
        </w:rPr>
      </w:pPr>
    </w:p>
    <w:p w:rsidR="0078107F" w:rsidRPr="001A51C6" w:rsidRDefault="0078107F" w:rsidP="00B34C01">
      <w:pPr>
        <w:pStyle w:val="Prrafodelista"/>
        <w:numPr>
          <w:ilvl w:val="0"/>
          <w:numId w:val="1"/>
        </w:numPr>
        <w:spacing w:line="360" w:lineRule="auto"/>
        <w:ind w:left="0" w:firstLine="0"/>
        <w:jc w:val="both"/>
        <w:rPr>
          <w:rFonts w:ascii="Palatino Linotype" w:eastAsia="MS Gothic" w:hAnsi="Palatino Linotype"/>
          <w:i/>
          <w:sz w:val="24"/>
        </w:rPr>
      </w:pPr>
      <w:r w:rsidRPr="001A51C6">
        <w:rPr>
          <w:rFonts w:ascii="Palatino Linotype" w:eastAsia="MS Gothic" w:hAnsi="Palatino Linotype"/>
          <w:sz w:val="24"/>
        </w:rPr>
        <w:t xml:space="preserve">En consecuencia, la Litis del presente asunto corresponde en resolver si el </w:t>
      </w:r>
      <w:r w:rsidRPr="001A51C6">
        <w:rPr>
          <w:rFonts w:ascii="Palatino Linotype" w:eastAsia="MS Gothic" w:hAnsi="Palatino Linotype"/>
          <w:b/>
          <w:sz w:val="24"/>
        </w:rPr>
        <w:t>SUJETO OBLIGADO</w:t>
      </w:r>
      <w:r w:rsidRPr="001A51C6">
        <w:rPr>
          <w:rFonts w:ascii="Palatino Linotype" w:eastAsia="MS Gothic" w:hAnsi="Palatino Linotype"/>
          <w:sz w:val="24"/>
        </w:rPr>
        <w:t xml:space="preserve"> atendió la solicitud con apego a los principios establecidos en el artículo 11 de la Ley de Transparencia Local, </w:t>
      </w:r>
      <w:r w:rsidR="00F25A96" w:rsidRPr="001A51C6">
        <w:rPr>
          <w:rFonts w:ascii="Palatino Linotype" w:eastAsia="MS Gothic" w:hAnsi="Palatino Linotype"/>
          <w:sz w:val="24"/>
        </w:rPr>
        <w:t xml:space="preserve">si la información se encuentra sujeta a un régimen limitado de restricciones. </w:t>
      </w:r>
    </w:p>
    <w:p w:rsidR="00F25A96" w:rsidRPr="001A51C6" w:rsidRDefault="00F25A96" w:rsidP="00B34C01">
      <w:pPr>
        <w:pStyle w:val="Prrafodelista"/>
        <w:spacing w:line="360" w:lineRule="auto"/>
        <w:ind w:left="0"/>
        <w:jc w:val="both"/>
        <w:rPr>
          <w:rFonts w:ascii="Palatino Linotype" w:eastAsia="MS Gothic" w:hAnsi="Palatino Linotype"/>
          <w:i/>
          <w:sz w:val="24"/>
        </w:rPr>
      </w:pPr>
    </w:p>
    <w:p w:rsidR="0078107F" w:rsidRPr="001A51C6" w:rsidRDefault="0078107F" w:rsidP="00B34C01">
      <w:pPr>
        <w:pStyle w:val="Prrafodelista"/>
        <w:numPr>
          <w:ilvl w:val="0"/>
          <w:numId w:val="1"/>
        </w:numPr>
        <w:spacing w:line="360" w:lineRule="auto"/>
        <w:ind w:left="0" w:firstLine="0"/>
        <w:jc w:val="both"/>
        <w:rPr>
          <w:rFonts w:ascii="Palatino Linotype" w:eastAsia="MS Gothic" w:hAnsi="Palatino Linotype"/>
          <w:sz w:val="24"/>
        </w:rPr>
      </w:pPr>
      <w:r w:rsidRPr="001A51C6">
        <w:rPr>
          <w:rFonts w:ascii="Palatino Linotype" w:eastAsia="MS Gothic" w:hAnsi="Palatino Linotype"/>
          <w:sz w:val="24"/>
        </w:rPr>
        <w:t xml:space="preserve">Así mismo determinar si se actualizan la causal de procedencia previstas en las fracciones I y III del artículo 179 de la Ley de Transparencia y Acceso a la Información Pública del Estado de México y sus Municipios, que establecen la negativa de la información solicitada </w:t>
      </w:r>
      <w:r w:rsidR="00F25A96" w:rsidRPr="001A51C6">
        <w:rPr>
          <w:rFonts w:ascii="Palatino Linotype" w:eastAsia="MS Gothic" w:hAnsi="Palatino Linotype"/>
          <w:sz w:val="24"/>
        </w:rPr>
        <w:t>y la clasificación de la información.</w:t>
      </w:r>
    </w:p>
    <w:p w:rsidR="0078107F" w:rsidRPr="001A51C6" w:rsidRDefault="0078107F" w:rsidP="00B34C01">
      <w:pPr>
        <w:pStyle w:val="Prrafodelista"/>
        <w:spacing w:line="360" w:lineRule="auto"/>
        <w:ind w:left="0"/>
        <w:jc w:val="both"/>
        <w:rPr>
          <w:rFonts w:ascii="Palatino Linotype" w:eastAsia="MS Gothic" w:hAnsi="Palatino Linotype"/>
          <w:sz w:val="24"/>
        </w:rPr>
      </w:pPr>
    </w:p>
    <w:p w:rsidR="00DA48C9" w:rsidRPr="001A51C6" w:rsidRDefault="00D709DB" w:rsidP="00B34C01">
      <w:pPr>
        <w:keepNext/>
        <w:keepLines/>
        <w:spacing w:line="360" w:lineRule="auto"/>
        <w:outlineLvl w:val="0"/>
        <w:rPr>
          <w:rFonts w:ascii="Palatino Linotype" w:eastAsiaTheme="majorEastAsia" w:hAnsi="Palatino Linotype" w:cstheme="majorBidi"/>
          <w:b/>
          <w:szCs w:val="32"/>
        </w:rPr>
      </w:pPr>
      <w:bookmarkStart w:id="9" w:name="_Toc85672131"/>
      <w:r w:rsidRPr="001A51C6">
        <w:rPr>
          <w:rFonts w:ascii="Palatino Linotype" w:eastAsiaTheme="majorEastAsia" w:hAnsi="Palatino Linotype" w:cstheme="majorBidi"/>
          <w:b/>
          <w:szCs w:val="32"/>
        </w:rPr>
        <w:t>CUART</w:t>
      </w:r>
      <w:r w:rsidR="0078107F" w:rsidRPr="001A51C6">
        <w:rPr>
          <w:rFonts w:ascii="Palatino Linotype" w:eastAsiaTheme="majorEastAsia" w:hAnsi="Palatino Linotype" w:cstheme="majorBidi"/>
          <w:b/>
          <w:szCs w:val="32"/>
        </w:rPr>
        <w:t>O. Del estudio y resolución del asunto.</w:t>
      </w:r>
      <w:bookmarkStart w:id="10" w:name="_Toc452722829"/>
      <w:bookmarkStart w:id="11" w:name="_Toc454373811"/>
      <w:bookmarkStart w:id="12" w:name="_Toc476675991"/>
      <w:bookmarkEnd w:id="9"/>
    </w:p>
    <w:p w:rsidR="00DA48C9" w:rsidRPr="001A51C6" w:rsidRDefault="00DA48C9" w:rsidP="00B34C01">
      <w:pPr>
        <w:keepNext/>
        <w:keepLines/>
        <w:spacing w:line="360" w:lineRule="auto"/>
        <w:outlineLvl w:val="0"/>
        <w:rPr>
          <w:rFonts w:ascii="Palatino Linotype" w:eastAsiaTheme="majorEastAsia" w:hAnsi="Palatino Linotype" w:cstheme="majorBidi"/>
          <w:b/>
          <w:szCs w:val="32"/>
        </w:rPr>
      </w:pPr>
    </w:p>
    <w:p w:rsidR="00E64121" w:rsidRPr="001A51C6" w:rsidRDefault="00DA48C9" w:rsidP="00B34C01">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1A51C6">
        <w:rPr>
          <w:rFonts w:ascii="Palatino Linotype" w:hAnsi="Palatino Linotype"/>
          <w:bCs/>
          <w:sz w:val="24"/>
        </w:rPr>
        <w:t>Una vez sentado lo</w:t>
      </w:r>
      <w:r w:rsidR="0078107F" w:rsidRPr="001A51C6">
        <w:rPr>
          <w:rFonts w:ascii="Palatino Linotype" w:hAnsi="Palatino Linotype"/>
          <w:bCs/>
          <w:sz w:val="24"/>
        </w:rPr>
        <w:t xml:space="preserve"> anterior, es procedente mencionar que mediante la solicitud de información el RECURRENTE formuló el siguiente requerimiento:</w:t>
      </w:r>
    </w:p>
    <w:p w:rsidR="00E64121" w:rsidRPr="001A51C6" w:rsidRDefault="00E64121" w:rsidP="00B34C01">
      <w:pPr>
        <w:pStyle w:val="Prrafodelista"/>
        <w:autoSpaceDE w:val="0"/>
        <w:autoSpaceDN w:val="0"/>
        <w:adjustRightInd w:val="0"/>
        <w:spacing w:line="360" w:lineRule="auto"/>
        <w:ind w:left="0"/>
        <w:jc w:val="both"/>
        <w:rPr>
          <w:rFonts w:ascii="Palatino Linotype" w:hAnsi="Palatino Linotype" w:cs="Arial"/>
          <w:sz w:val="28"/>
        </w:rPr>
      </w:pPr>
    </w:p>
    <w:p w:rsidR="00E64121" w:rsidRPr="001A51C6" w:rsidRDefault="00E64121" w:rsidP="00B34C01">
      <w:pPr>
        <w:pStyle w:val="Prrafodelista"/>
        <w:numPr>
          <w:ilvl w:val="0"/>
          <w:numId w:val="10"/>
        </w:numPr>
        <w:spacing w:line="360" w:lineRule="auto"/>
        <w:jc w:val="both"/>
        <w:rPr>
          <w:rFonts w:ascii="Palatino Linotype" w:eastAsia="MS Gothic" w:hAnsi="Palatino Linotype"/>
          <w:sz w:val="24"/>
        </w:rPr>
      </w:pPr>
      <w:r w:rsidRPr="001A51C6">
        <w:rPr>
          <w:rFonts w:ascii="Palatino Linotype" w:eastAsia="MS Gothic" w:hAnsi="Palatino Linotype"/>
          <w:sz w:val="24"/>
        </w:rPr>
        <w:t xml:space="preserve">Número de investigaciones que se han abierto contra funcionarios públicos pertenecientes al cabildo o al gabinete del Ayuntamiento de Tlalnepantla de Baz, de la administración 2019-2021, fecha en que se abrió la investigación, </w:t>
      </w:r>
      <w:r w:rsidRPr="001A51C6">
        <w:rPr>
          <w:rFonts w:ascii="Palatino Linotype" w:eastAsia="MS Gothic" w:hAnsi="Palatino Linotype"/>
          <w:sz w:val="24"/>
        </w:rPr>
        <w:lastRenderedPageBreak/>
        <w:t>número de carpeta de investigación, tipo de delito al que corresponde y puesto de la persona investigada.</w:t>
      </w:r>
    </w:p>
    <w:p w:rsidR="00E64121" w:rsidRPr="001A51C6" w:rsidRDefault="00E64121" w:rsidP="00B34C01">
      <w:pPr>
        <w:pStyle w:val="Prrafodelista"/>
        <w:spacing w:line="360" w:lineRule="auto"/>
        <w:jc w:val="both"/>
        <w:rPr>
          <w:rFonts w:ascii="Palatino Linotype" w:eastAsia="MS Gothic" w:hAnsi="Palatino Linotype"/>
          <w:sz w:val="24"/>
        </w:rPr>
      </w:pPr>
    </w:p>
    <w:p w:rsidR="0078107F" w:rsidRPr="001A51C6" w:rsidRDefault="0078107F"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8"/>
          <w:lang w:val="es-ES" w:eastAsia="es-ES"/>
        </w:rPr>
      </w:pPr>
      <w:r w:rsidRPr="001A51C6">
        <w:rPr>
          <w:rFonts w:ascii="Palatino Linotype" w:eastAsia="MS Mincho" w:hAnsi="Palatino Linotype"/>
          <w:sz w:val="24"/>
          <w:lang w:val="es-ES" w:eastAsia="es-ES"/>
        </w:rPr>
        <w:t>Mediante respuesta, el Sujeto Obligado</w:t>
      </w:r>
      <w:r w:rsidR="00E50E78" w:rsidRPr="001A51C6">
        <w:rPr>
          <w:rFonts w:ascii="Palatino Linotype" w:eastAsia="MS Mincho" w:hAnsi="Palatino Linotype"/>
          <w:sz w:val="24"/>
          <w:lang w:val="es-ES" w:eastAsia="es-ES"/>
        </w:rPr>
        <w:t xml:space="preserve"> entrego un</w:t>
      </w:r>
      <w:r w:rsidRPr="001A51C6">
        <w:rPr>
          <w:rFonts w:ascii="Palatino Linotype" w:eastAsia="MS Mincho" w:hAnsi="Palatino Linotype"/>
          <w:sz w:val="24"/>
          <w:lang w:val="es-ES" w:eastAsia="es-ES"/>
        </w:rPr>
        <w:t xml:space="preserve"> </w:t>
      </w:r>
      <w:r w:rsidR="00E50E78" w:rsidRPr="001A51C6">
        <w:rPr>
          <w:rFonts w:ascii="Palatino Linotype" w:eastAsia="MS Mincho" w:hAnsi="Palatino Linotype"/>
          <w:sz w:val="24"/>
          <w:lang w:val="es-ES" w:eastAsia="es-ES"/>
        </w:rPr>
        <w:t>documento ad hoc, con la siguiente tabla, mediante el cual señaló el número de carpetas de investigación, fecha de inicio y el delito:</w:t>
      </w:r>
    </w:p>
    <w:p w:rsidR="00E50E78" w:rsidRPr="001A51C6" w:rsidRDefault="00E50E78"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p>
    <w:p w:rsidR="00E50E78" w:rsidRPr="001A51C6" w:rsidRDefault="00E50E78"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p>
    <w:p w:rsidR="00F7683A" w:rsidRDefault="009E7F98"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r>
        <w:rPr>
          <w:rFonts w:ascii="Palatino Linotype" w:eastAsia="MS Mincho" w:hAnsi="Palatino Linotype"/>
          <w:noProof/>
          <w:sz w:val="28"/>
          <w:lang w:val="es-ES" w:eastAsia="es-ES"/>
        </w:rPr>
        <w:lastRenderedPageBreak/>
        <w:drawing>
          <wp:inline distT="0" distB="0" distL="0" distR="0" wp14:anchorId="34BCD31C">
            <wp:extent cx="5017135" cy="55232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135" cy="5523230"/>
                    </a:xfrm>
                    <a:prstGeom prst="rect">
                      <a:avLst/>
                    </a:prstGeom>
                    <a:noFill/>
                  </pic:spPr>
                </pic:pic>
              </a:graphicData>
            </a:graphic>
          </wp:inline>
        </w:drawing>
      </w:r>
    </w:p>
    <w:p w:rsidR="009E7F98" w:rsidRPr="001A51C6" w:rsidRDefault="009E7F98"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p>
    <w:p w:rsidR="005F72C3" w:rsidRPr="001A51C6" w:rsidRDefault="00F7683A"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8"/>
          <w:lang w:val="es-ES" w:eastAsia="es-ES"/>
        </w:rPr>
      </w:pPr>
      <w:r w:rsidRPr="001A51C6">
        <w:rPr>
          <w:rFonts w:ascii="Palatino Linotype" w:eastAsia="MS Mincho" w:hAnsi="Palatino Linotype"/>
          <w:sz w:val="24"/>
          <w:lang w:val="es-ES" w:eastAsia="es-ES"/>
        </w:rPr>
        <w:t xml:space="preserve">Asimismo, el Sujeto Obligado adjunto el acuerdo mediante el cual reserva el número de carpeta de investigación, así como el puesto del servidor público; en consecuencia, la particular interpuso recurso de revisión mediante el cual manifestó </w:t>
      </w:r>
      <w:r w:rsidR="005F72C3" w:rsidRPr="001A51C6">
        <w:rPr>
          <w:rFonts w:ascii="Palatino Linotype" w:eastAsia="MS Gothic" w:hAnsi="Palatino Linotype"/>
          <w:i/>
          <w:sz w:val="24"/>
          <w:lang w:val="es-ES"/>
        </w:rPr>
        <w:t>“</w:t>
      </w:r>
      <w:r w:rsidR="005F72C3" w:rsidRPr="001A51C6">
        <w:rPr>
          <w:rFonts w:ascii="Palatino Linotype" w:eastAsia="MS Gothic" w:hAnsi="Palatino Linotype"/>
          <w:i/>
          <w:sz w:val="24"/>
        </w:rPr>
        <w:t xml:space="preserve">Considero que la información solicitada, como es el número de carpeta de investigación y puesto del funcionario público en cuestión debe ser proporcionada. Primero, en cuanto al </w:t>
      </w:r>
      <w:r w:rsidR="005F72C3" w:rsidRPr="001A51C6">
        <w:rPr>
          <w:rFonts w:ascii="Palatino Linotype" w:eastAsia="MS Gothic" w:hAnsi="Palatino Linotype"/>
          <w:i/>
          <w:sz w:val="24"/>
        </w:rPr>
        <w:lastRenderedPageBreak/>
        <w:t>número de carpeta de investigación se está pidiendo información meramente técnica y estadística, nunca se pidió el contenido de las investigaciones o de la documentación en cuestión. Conocer el número de esta carpeta confirma, respalda y da certidumbre a la afirmación que hace la Fiscalía sobre la existencia de dichas carpetas. Segundo, es importante conocer el puesto del funcionario al que hace alusión cada carpeta, pues nuevamente se pide precisamente conocer el cargo que de por sí ya es público. En ningún momento se solicitan nombre o datos personales…”</w:t>
      </w:r>
    </w:p>
    <w:p w:rsidR="005F72C3" w:rsidRPr="001A51C6" w:rsidRDefault="005F72C3" w:rsidP="00B34C01">
      <w:pPr>
        <w:pStyle w:val="Prrafodelista"/>
        <w:autoSpaceDE w:val="0"/>
        <w:autoSpaceDN w:val="0"/>
        <w:adjustRightInd w:val="0"/>
        <w:spacing w:line="360" w:lineRule="auto"/>
        <w:ind w:left="0"/>
        <w:jc w:val="both"/>
        <w:rPr>
          <w:rFonts w:ascii="Palatino Linotype" w:eastAsia="MS Mincho" w:hAnsi="Palatino Linotype"/>
          <w:sz w:val="28"/>
          <w:lang w:val="es-ES" w:eastAsia="es-ES"/>
        </w:rPr>
      </w:pPr>
    </w:p>
    <w:p w:rsidR="00E50E78" w:rsidRPr="001A51C6" w:rsidRDefault="00DF654A"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Derivado de la interposición del recurso de revisión, el Sujeto Obligado remitió informe justificado mediante el cual refuta los motivos de inconformidad del RECURRENTE en el siguiente sentido:</w:t>
      </w:r>
    </w:p>
    <w:p w:rsidR="00DF654A" w:rsidRPr="001A51C6" w:rsidRDefault="00DF654A" w:rsidP="00B34C01">
      <w:pPr>
        <w:pStyle w:val="Prrafodelista"/>
        <w:autoSpaceDE w:val="0"/>
        <w:autoSpaceDN w:val="0"/>
        <w:adjustRightInd w:val="0"/>
        <w:spacing w:line="360" w:lineRule="auto"/>
        <w:ind w:left="0"/>
        <w:jc w:val="both"/>
        <w:rPr>
          <w:rFonts w:ascii="Palatino Linotype" w:eastAsia="MS Mincho" w:hAnsi="Palatino Linotype"/>
          <w:sz w:val="28"/>
          <w:lang w:val="es-ES" w:eastAsia="es-ES"/>
        </w:rPr>
      </w:pPr>
    </w:p>
    <w:p w:rsidR="00DF654A" w:rsidRPr="001A51C6" w:rsidRDefault="009E7F98"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bookmarkStart w:id="13" w:name="_GoBack"/>
      <w:r>
        <w:rPr>
          <w:noProof/>
          <w:lang w:val="es-ES" w:eastAsia="es-ES"/>
        </w:rPr>
        <w:lastRenderedPageBreak/>
        <w:drawing>
          <wp:inline distT="0" distB="0" distL="0" distR="0" wp14:anchorId="4DFE680A" wp14:editId="356E05B6">
            <wp:extent cx="4729930" cy="5114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4" t="25654" r="37638" b="19500"/>
                    <a:stretch/>
                  </pic:blipFill>
                  <pic:spPr bwMode="auto">
                    <a:xfrm>
                      <a:off x="0" y="0"/>
                      <a:ext cx="4745032" cy="5131257"/>
                    </a:xfrm>
                    <a:prstGeom prst="rect">
                      <a:avLst/>
                    </a:prstGeom>
                    <a:ln>
                      <a:noFill/>
                    </a:ln>
                    <a:extLst>
                      <a:ext uri="{53640926-AAD7-44D8-BBD7-CCE9431645EC}">
                        <a14:shadowObscured xmlns:a14="http://schemas.microsoft.com/office/drawing/2010/main"/>
                      </a:ext>
                    </a:extLst>
                  </pic:spPr>
                </pic:pic>
              </a:graphicData>
            </a:graphic>
          </wp:inline>
        </w:drawing>
      </w:r>
      <w:bookmarkEnd w:id="13"/>
    </w:p>
    <w:p w:rsidR="00DF654A" w:rsidRPr="001A51C6" w:rsidRDefault="00DF654A"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r w:rsidRPr="001A51C6">
        <w:rPr>
          <w:rFonts w:ascii="Palatino Linotype" w:hAnsi="Palatino Linotype"/>
          <w:noProof/>
          <w:lang w:val="es-ES" w:eastAsia="es-ES"/>
        </w:rPr>
        <w:lastRenderedPageBreak/>
        <w:drawing>
          <wp:inline distT="0" distB="0" distL="0" distR="0" wp14:anchorId="45CBFED0" wp14:editId="087B3802">
            <wp:extent cx="5196254" cy="631253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08" t="16512" r="31834" b="12423"/>
                    <a:stretch/>
                  </pic:blipFill>
                  <pic:spPr bwMode="auto">
                    <a:xfrm>
                      <a:off x="0" y="0"/>
                      <a:ext cx="5216120" cy="6336669"/>
                    </a:xfrm>
                    <a:prstGeom prst="rect">
                      <a:avLst/>
                    </a:prstGeom>
                    <a:ln>
                      <a:noFill/>
                    </a:ln>
                    <a:extLst>
                      <a:ext uri="{53640926-AAD7-44D8-BBD7-CCE9431645EC}">
                        <a14:shadowObscured xmlns:a14="http://schemas.microsoft.com/office/drawing/2010/main"/>
                      </a:ext>
                    </a:extLst>
                  </pic:spPr>
                </pic:pic>
              </a:graphicData>
            </a:graphic>
          </wp:inline>
        </w:drawing>
      </w:r>
    </w:p>
    <w:p w:rsidR="00DF654A" w:rsidRPr="001A51C6" w:rsidRDefault="00DF654A"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r w:rsidRPr="001A51C6">
        <w:rPr>
          <w:rFonts w:ascii="Palatino Linotype" w:hAnsi="Palatino Linotype"/>
          <w:noProof/>
          <w:lang w:val="es-ES" w:eastAsia="es-ES"/>
        </w:rPr>
        <w:lastRenderedPageBreak/>
        <w:drawing>
          <wp:inline distT="0" distB="0" distL="0" distR="0" wp14:anchorId="4CB6F6F0" wp14:editId="3EC83095">
            <wp:extent cx="5304790" cy="6457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10" t="23885" r="32663" b="4167"/>
                    <a:stretch/>
                  </pic:blipFill>
                  <pic:spPr bwMode="auto">
                    <a:xfrm>
                      <a:off x="0" y="0"/>
                      <a:ext cx="5320814" cy="6477457"/>
                    </a:xfrm>
                    <a:prstGeom prst="rect">
                      <a:avLst/>
                    </a:prstGeom>
                    <a:ln>
                      <a:noFill/>
                    </a:ln>
                    <a:extLst>
                      <a:ext uri="{53640926-AAD7-44D8-BBD7-CCE9431645EC}">
                        <a14:shadowObscured xmlns:a14="http://schemas.microsoft.com/office/drawing/2010/main"/>
                      </a:ext>
                    </a:extLst>
                  </pic:spPr>
                </pic:pic>
              </a:graphicData>
            </a:graphic>
          </wp:inline>
        </w:drawing>
      </w:r>
    </w:p>
    <w:p w:rsidR="00DF654A" w:rsidRPr="001A51C6" w:rsidRDefault="00DF654A"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p>
    <w:p w:rsidR="00A3764C" w:rsidRPr="001A51C6" w:rsidRDefault="00A3764C" w:rsidP="00B34C01">
      <w:pPr>
        <w:pStyle w:val="Prrafodelista"/>
        <w:numPr>
          <w:ilvl w:val="0"/>
          <w:numId w:val="1"/>
        </w:numPr>
        <w:spacing w:line="360" w:lineRule="auto"/>
        <w:ind w:left="0" w:firstLine="0"/>
        <w:jc w:val="both"/>
        <w:rPr>
          <w:rFonts w:ascii="Palatino Linotype" w:hAnsi="Palatino Linotype"/>
          <w:sz w:val="24"/>
        </w:rPr>
      </w:pPr>
      <w:r w:rsidRPr="001A51C6">
        <w:rPr>
          <w:rFonts w:ascii="Palatino Linotype" w:hAnsi="Palatino Linotype" w:cs="Arial"/>
          <w:sz w:val="24"/>
        </w:rPr>
        <w:t xml:space="preserve">Primeramente, es de precisar que se obvia el análisis de la competencia por parte del </w:t>
      </w:r>
      <w:r w:rsidRPr="001A51C6">
        <w:rPr>
          <w:rFonts w:ascii="Palatino Linotype" w:hAnsi="Palatino Linotype" w:cs="Arial"/>
          <w:b/>
          <w:sz w:val="24"/>
        </w:rPr>
        <w:t>Sujeto Obligado</w:t>
      </w:r>
      <w:r w:rsidRPr="001A51C6">
        <w:rPr>
          <w:rFonts w:ascii="Palatino Linotype" w:hAnsi="Palatino Linotype" w:cs="Arial"/>
          <w:sz w:val="24"/>
        </w:rPr>
        <w:t xml:space="preserve">, para generar, administrar o poseer la información </w:t>
      </w:r>
      <w:r w:rsidRPr="001A51C6">
        <w:rPr>
          <w:rFonts w:ascii="Palatino Linotype" w:hAnsi="Palatino Linotype" w:cs="Arial"/>
          <w:sz w:val="24"/>
        </w:rPr>
        <w:lastRenderedPageBreak/>
        <w:t xml:space="preserve">solicitada, dado que éste ha asumido la misma, en razón de que realizó la reserva de la información, por lo tanto, el hecho de que </w:t>
      </w:r>
      <w:r w:rsidRPr="001A51C6">
        <w:rPr>
          <w:rFonts w:ascii="Palatino Linotype" w:hAnsi="Palatino Linotype" w:cs="Arial"/>
          <w:b/>
          <w:sz w:val="24"/>
        </w:rPr>
        <w:t>El</w:t>
      </w:r>
      <w:r w:rsidRPr="001A51C6">
        <w:rPr>
          <w:rFonts w:ascii="Palatino Linotype" w:hAnsi="Palatino Linotype" w:cs="Arial"/>
          <w:sz w:val="24"/>
        </w:rPr>
        <w:t xml:space="preserve"> </w:t>
      </w:r>
      <w:r w:rsidRPr="001A51C6">
        <w:rPr>
          <w:rFonts w:ascii="Palatino Linotype" w:hAnsi="Palatino Linotype" w:cs="Arial"/>
          <w:b/>
          <w:sz w:val="24"/>
        </w:rPr>
        <w:t>Sujeto Obligado</w:t>
      </w:r>
      <w:r w:rsidRPr="001A51C6">
        <w:rPr>
          <w:rFonts w:ascii="Palatino Linotype" w:hAnsi="Palatino Linotype" w:cs="Arial"/>
          <w:sz w:val="24"/>
        </w:rPr>
        <w:t xml:space="preserve"> haya dado respuesta al </w:t>
      </w:r>
      <w:r w:rsidRPr="001A51C6">
        <w:rPr>
          <w:rFonts w:ascii="Palatino Linotype" w:hAnsi="Palatino Linotype" w:cs="Arial"/>
          <w:b/>
          <w:sz w:val="24"/>
        </w:rPr>
        <w:t>Recurrente</w:t>
      </w:r>
      <w:r w:rsidRPr="001A51C6">
        <w:rPr>
          <w:rFonts w:ascii="Palatino Linotype" w:hAnsi="Palatino Linotype" w:cs="Arial"/>
          <w:sz w:val="24"/>
        </w:rPr>
        <w:t>, comprueba fehacientemente que dicha autoridad acepta que la genera, posee y/o administra,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1A51C6">
        <w:rPr>
          <w:rFonts w:ascii="Palatino Linotype" w:hAnsi="Palatino Linotype"/>
          <w:sz w:val="24"/>
        </w:rPr>
        <w:t xml:space="preserve">, ya que se insiste que la información pública solicitada, ya fue asumida por </w:t>
      </w:r>
      <w:r w:rsidRPr="001A51C6">
        <w:rPr>
          <w:rFonts w:ascii="Palatino Linotype" w:hAnsi="Palatino Linotype"/>
          <w:b/>
          <w:sz w:val="24"/>
        </w:rPr>
        <w:t>El Sujeto Obligado</w:t>
      </w:r>
      <w:r w:rsidRPr="001A51C6">
        <w:rPr>
          <w:rFonts w:ascii="Palatino Linotype" w:hAnsi="Palatino Linotype"/>
          <w:sz w:val="24"/>
        </w:rPr>
        <w:t>.</w:t>
      </w:r>
    </w:p>
    <w:p w:rsidR="00A3764C" w:rsidRPr="001A51C6" w:rsidRDefault="00A3764C" w:rsidP="00B34C01">
      <w:pPr>
        <w:spacing w:line="360" w:lineRule="auto"/>
        <w:jc w:val="both"/>
        <w:rPr>
          <w:rFonts w:ascii="Palatino Linotype" w:hAnsi="Palatino Linotype"/>
        </w:rPr>
      </w:pPr>
    </w:p>
    <w:p w:rsidR="00D2729D" w:rsidRPr="001A51C6" w:rsidRDefault="00D2729D" w:rsidP="00B34C01">
      <w:pPr>
        <w:pStyle w:val="Prrafodelista"/>
        <w:numPr>
          <w:ilvl w:val="0"/>
          <w:numId w:val="1"/>
        </w:numPr>
        <w:spacing w:line="360" w:lineRule="auto"/>
        <w:ind w:left="0" w:firstLine="0"/>
        <w:jc w:val="both"/>
        <w:rPr>
          <w:rFonts w:ascii="Palatino Linotype" w:eastAsia="Arial Unicode MS" w:hAnsi="Palatino Linotype" w:cs="Arial"/>
          <w:b/>
          <w:sz w:val="24"/>
        </w:rPr>
      </w:pPr>
      <w:r w:rsidRPr="001A51C6">
        <w:rPr>
          <w:rFonts w:ascii="Palatino Linotype" w:hAnsi="Palatino Linotype" w:cs="Arial"/>
          <w:color w:val="000000"/>
          <w:sz w:val="24"/>
          <w:lang w:val="es-ES_tradnl"/>
        </w:rPr>
        <w:t xml:space="preserve">Por consiguiente, </w:t>
      </w:r>
      <w:r w:rsidRPr="001A51C6">
        <w:rPr>
          <w:rFonts w:ascii="Palatino Linotype" w:hAnsi="Palatino Linotype" w:cs="Arial"/>
          <w:sz w:val="24"/>
        </w:rPr>
        <w:t>es importante señalar que el artículo 4, párrafo segundo de la Ley de Transparencia y Acceso a la Información Pública del Estado de México y Municipios, dispone:</w:t>
      </w:r>
    </w:p>
    <w:p w:rsidR="00D2729D" w:rsidRPr="001A51C6" w:rsidRDefault="00D2729D" w:rsidP="00B34C01">
      <w:pPr>
        <w:pStyle w:val="Prrafodelista"/>
        <w:spacing w:line="360" w:lineRule="auto"/>
        <w:ind w:left="0"/>
        <w:jc w:val="both"/>
        <w:rPr>
          <w:rFonts w:ascii="Palatino Linotype" w:eastAsia="Arial Unicode MS" w:hAnsi="Palatino Linotype" w:cs="Arial"/>
          <w:b/>
          <w:sz w:val="24"/>
        </w:rPr>
      </w:pP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rPr>
        <w:t>“</w:t>
      </w:r>
      <w:r w:rsidRPr="001A51C6">
        <w:rPr>
          <w:rFonts w:ascii="Palatino Linotype" w:hAnsi="Palatino Linotype" w:cs="Arial"/>
          <w:b/>
          <w:i/>
          <w:color w:val="000000"/>
        </w:rPr>
        <w:t xml:space="preserve">Artículo 4. </w:t>
      </w:r>
      <w:r w:rsidRPr="001A51C6">
        <w:rPr>
          <w:rFonts w:ascii="Palatino Linotype" w:hAnsi="Palatino Linotype" w:cs="Arial"/>
          <w:i/>
          <w:color w:val="000000"/>
        </w:rPr>
        <w:t xml:space="preserve">… </w:t>
      </w: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t xml:space="preserve">( </w:t>
      </w:r>
      <w:r w:rsidRPr="001A51C6">
        <w:rPr>
          <w:rFonts w:ascii="Palatino Linotype" w:hAnsi="Palatino Linotype" w:cs="Arial"/>
          <w:i/>
        </w:rPr>
        <w:t>...)”</w:t>
      </w:r>
    </w:p>
    <w:p w:rsidR="00D2729D" w:rsidRPr="001A51C6" w:rsidRDefault="00D2729D" w:rsidP="00B34C01">
      <w:pPr>
        <w:pStyle w:val="Prrafodelista"/>
        <w:spacing w:line="360" w:lineRule="auto"/>
        <w:ind w:left="0"/>
        <w:jc w:val="both"/>
        <w:rPr>
          <w:rFonts w:ascii="Palatino Linotype" w:eastAsia="Arial Unicode MS" w:hAnsi="Palatino Linotype" w:cs="Arial"/>
          <w:b/>
          <w:sz w:val="24"/>
        </w:rPr>
      </w:pPr>
    </w:p>
    <w:p w:rsidR="00D2729D" w:rsidRPr="001A51C6" w:rsidRDefault="00D2729D" w:rsidP="00B34C01">
      <w:pPr>
        <w:pStyle w:val="Prrafodelista"/>
        <w:numPr>
          <w:ilvl w:val="0"/>
          <w:numId w:val="1"/>
        </w:numPr>
        <w:spacing w:line="360" w:lineRule="auto"/>
        <w:ind w:left="0" w:firstLine="0"/>
        <w:jc w:val="both"/>
        <w:rPr>
          <w:rFonts w:ascii="Palatino Linotype" w:eastAsia="Arial Unicode MS" w:hAnsi="Palatino Linotype" w:cs="Arial"/>
          <w:b/>
          <w:sz w:val="28"/>
        </w:rPr>
      </w:pPr>
      <w:r w:rsidRPr="001A51C6">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23D5A" w:rsidRPr="001A51C6" w:rsidRDefault="00E23D5A" w:rsidP="00B34C01">
      <w:pPr>
        <w:pStyle w:val="Prrafodelista"/>
        <w:spacing w:line="360" w:lineRule="auto"/>
        <w:ind w:left="0"/>
        <w:jc w:val="both"/>
        <w:rPr>
          <w:rFonts w:ascii="Palatino Linotype" w:eastAsia="Arial Unicode MS" w:hAnsi="Palatino Linotype" w:cs="Arial"/>
          <w:b/>
          <w:sz w:val="28"/>
        </w:rPr>
      </w:pPr>
    </w:p>
    <w:p w:rsidR="00D2729D" w:rsidRPr="001A51C6" w:rsidRDefault="00D2729D" w:rsidP="00B34C01">
      <w:pPr>
        <w:pStyle w:val="Prrafodelista"/>
        <w:numPr>
          <w:ilvl w:val="0"/>
          <w:numId w:val="1"/>
        </w:numPr>
        <w:spacing w:line="360" w:lineRule="auto"/>
        <w:ind w:left="0" w:firstLine="0"/>
        <w:jc w:val="both"/>
        <w:rPr>
          <w:rFonts w:ascii="Palatino Linotype" w:eastAsia="Arial Unicode MS" w:hAnsi="Palatino Linotype" w:cs="Arial"/>
          <w:b/>
          <w:sz w:val="28"/>
        </w:rPr>
      </w:pPr>
      <w:r w:rsidRPr="001A51C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D2729D" w:rsidRPr="001A51C6" w:rsidRDefault="00D2729D" w:rsidP="00B34C01">
      <w:pPr>
        <w:pStyle w:val="Prrafodelista"/>
        <w:spacing w:line="360" w:lineRule="auto"/>
        <w:ind w:left="0"/>
        <w:jc w:val="both"/>
        <w:rPr>
          <w:rFonts w:ascii="Palatino Linotype" w:hAnsi="Palatino Linotype" w:cs="Arial"/>
        </w:rPr>
      </w:pP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i/>
        </w:rPr>
        <w:t>“</w:t>
      </w:r>
      <w:r w:rsidRPr="001A51C6">
        <w:rPr>
          <w:rFonts w:ascii="Palatino Linotype" w:hAnsi="Palatino Linotype" w:cs="Arial"/>
          <w:b/>
          <w:i/>
          <w:color w:val="000000"/>
        </w:rPr>
        <w:t>Artículo 12.</w:t>
      </w:r>
      <w:r w:rsidRPr="001A51C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D2729D" w:rsidRPr="001A51C6" w:rsidRDefault="00D2729D" w:rsidP="00B34C01">
      <w:pPr>
        <w:pStyle w:val="Prrafodelista"/>
        <w:spacing w:line="360" w:lineRule="auto"/>
        <w:ind w:left="786" w:right="567"/>
        <w:jc w:val="both"/>
        <w:rPr>
          <w:rFonts w:ascii="Palatino Linotype" w:hAnsi="Palatino Linotype" w:cs="Arial"/>
          <w:i/>
          <w:color w:val="000000"/>
          <w:sz w:val="2"/>
        </w:rPr>
      </w:pP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A51C6">
        <w:rPr>
          <w:rFonts w:ascii="Palatino Linotype" w:hAnsi="Palatino Linotype" w:cs="Arial"/>
          <w:i/>
        </w:rPr>
        <w:t>”</w:t>
      </w:r>
    </w:p>
    <w:p w:rsidR="00D2729D" w:rsidRPr="001A51C6" w:rsidRDefault="00D2729D" w:rsidP="00B34C01">
      <w:pPr>
        <w:pStyle w:val="Prrafodelista"/>
        <w:spacing w:line="360" w:lineRule="auto"/>
        <w:ind w:left="0"/>
        <w:jc w:val="both"/>
        <w:rPr>
          <w:rFonts w:ascii="Palatino Linotype" w:eastAsia="Arial Unicode MS" w:hAnsi="Palatino Linotype" w:cs="Arial"/>
          <w:b/>
          <w:sz w:val="24"/>
        </w:rPr>
      </w:pPr>
    </w:p>
    <w:p w:rsidR="00D2729D" w:rsidRPr="001A51C6" w:rsidRDefault="00D2729D" w:rsidP="00B34C01">
      <w:pPr>
        <w:pStyle w:val="Prrafodelista"/>
        <w:numPr>
          <w:ilvl w:val="0"/>
          <w:numId w:val="1"/>
        </w:numPr>
        <w:spacing w:line="360" w:lineRule="auto"/>
        <w:ind w:left="0" w:firstLine="0"/>
        <w:jc w:val="both"/>
        <w:rPr>
          <w:rFonts w:ascii="Palatino Linotype" w:eastAsia="Arial Unicode MS" w:hAnsi="Palatino Linotype" w:cs="Arial"/>
          <w:b/>
          <w:sz w:val="28"/>
        </w:rPr>
      </w:pPr>
      <w:r w:rsidRPr="001A51C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A51C6">
        <w:rPr>
          <w:rFonts w:ascii="Palatino Linotype" w:hAnsi="Palatino Linotype" w:cs="Arial"/>
          <w:b/>
          <w:color w:val="000000"/>
          <w:sz w:val="24"/>
        </w:rPr>
        <w:t xml:space="preserve"> </w:t>
      </w:r>
      <w:r w:rsidRPr="001A51C6">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1A51C6">
        <w:rPr>
          <w:rFonts w:ascii="Palatino Linotype" w:hAnsi="Palatino Linotype" w:cs="Arial"/>
          <w:color w:val="000000"/>
          <w:sz w:val="24"/>
        </w:rPr>
        <w:lastRenderedPageBreak/>
        <w:t xml:space="preserve">de generar un documento </w:t>
      </w:r>
      <w:r w:rsidRPr="001A51C6">
        <w:rPr>
          <w:rFonts w:ascii="Palatino Linotype" w:hAnsi="Palatino Linotype" w:cs="Arial"/>
          <w:i/>
          <w:color w:val="000000"/>
          <w:sz w:val="24"/>
        </w:rPr>
        <w:t>ad hoc</w:t>
      </w:r>
      <w:r w:rsidRPr="001A51C6">
        <w:rPr>
          <w:rFonts w:ascii="Palatino Linotype" w:hAnsi="Palatino Linotype" w:cs="Arial"/>
          <w:color w:val="000000"/>
          <w:sz w:val="24"/>
        </w:rPr>
        <w:t>, para satisfacer el derecho de acceso a la información pública.</w:t>
      </w:r>
      <w:r w:rsidRPr="001A51C6">
        <w:rPr>
          <w:rFonts w:ascii="Palatino Linotype" w:eastAsia="Arial Unicode MS" w:hAnsi="Palatino Linotype" w:cs="Arial"/>
          <w:b/>
          <w:sz w:val="28"/>
        </w:rPr>
        <w:t xml:space="preserve"> </w:t>
      </w:r>
      <w:r w:rsidRPr="001A51C6">
        <w:rPr>
          <w:rFonts w:ascii="Palatino Linotype" w:hAnsi="Palatino Linotype" w:cs="Arial"/>
          <w:color w:val="000000"/>
          <w:sz w:val="24"/>
        </w:rPr>
        <w:t xml:space="preserve">Como apoyo a lo anterior, es aplicable el Criterio 03-17, emitido por </w:t>
      </w:r>
      <w:r w:rsidRPr="001A51C6">
        <w:rPr>
          <w:rFonts w:ascii="Palatino Linotype" w:eastAsia="Arial Unicode MS" w:hAnsi="Palatino Linotype" w:cs="Arial"/>
          <w:color w:val="000000"/>
          <w:sz w:val="24"/>
        </w:rPr>
        <w:t>el Instituto Nacional de Transparencia, Acceso a la Información y Protección de Datos Personales,</w:t>
      </w:r>
      <w:r w:rsidRPr="001A51C6">
        <w:rPr>
          <w:rFonts w:ascii="Palatino Linotype" w:hAnsi="Palatino Linotype"/>
          <w:bCs/>
          <w:color w:val="000000"/>
          <w:sz w:val="24"/>
        </w:rPr>
        <w:t xml:space="preserve"> que dice:</w:t>
      </w:r>
      <w:r w:rsidRPr="001A51C6">
        <w:rPr>
          <w:rFonts w:ascii="Palatino Linotype" w:hAnsi="Palatino Linotype"/>
          <w:b/>
          <w:bCs/>
          <w:color w:val="000000"/>
          <w:sz w:val="24"/>
        </w:rPr>
        <w:t xml:space="preserve"> </w:t>
      </w:r>
    </w:p>
    <w:p w:rsidR="00D2729D" w:rsidRPr="001A51C6" w:rsidRDefault="00D2729D" w:rsidP="00B34C01">
      <w:pPr>
        <w:pStyle w:val="Prrafodelista"/>
        <w:spacing w:line="360" w:lineRule="auto"/>
        <w:ind w:left="0"/>
        <w:jc w:val="both"/>
        <w:rPr>
          <w:rFonts w:ascii="Palatino Linotype" w:eastAsia="Arial Unicode MS" w:hAnsi="Palatino Linotype" w:cs="Arial"/>
          <w:b/>
          <w:sz w:val="24"/>
        </w:rPr>
      </w:pPr>
    </w:p>
    <w:p w:rsidR="00D2729D" w:rsidRPr="001A51C6" w:rsidRDefault="00D2729D" w:rsidP="00B34C01">
      <w:pPr>
        <w:pStyle w:val="Prrafodelista"/>
        <w:spacing w:line="360" w:lineRule="auto"/>
        <w:ind w:left="786" w:right="850"/>
        <w:jc w:val="both"/>
        <w:rPr>
          <w:rFonts w:ascii="Palatino Linotype" w:hAnsi="Palatino Linotype" w:cs="Arial"/>
          <w:color w:val="000000"/>
          <w:sz w:val="2"/>
        </w:rPr>
      </w:pP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t>“</w:t>
      </w:r>
      <w:r w:rsidRPr="001A51C6">
        <w:rPr>
          <w:rFonts w:ascii="Palatino Linotype" w:hAnsi="Palatino Linotype" w:cs="Arial"/>
          <w:b/>
          <w:i/>
          <w:color w:val="000000"/>
        </w:rPr>
        <w:t>No existe obligación de elaborar documentos ad hoc para atender las solicitudes de acceso a la información.</w:t>
      </w:r>
      <w:r w:rsidRPr="001A51C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2729D" w:rsidRPr="001A51C6" w:rsidRDefault="00D2729D" w:rsidP="00B34C01">
      <w:pPr>
        <w:pStyle w:val="Prrafodelista"/>
        <w:spacing w:line="360" w:lineRule="auto"/>
        <w:ind w:left="786" w:right="567"/>
        <w:jc w:val="both"/>
        <w:rPr>
          <w:rFonts w:ascii="Palatino Linotype" w:hAnsi="Palatino Linotype" w:cs="Arial"/>
          <w:i/>
          <w:color w:val="000000"/>
          <w:sz w:val="2"/>
        </w:rPr>
      </w:pPr>
    </w:p>
    <w:p w:rsidR="00D2729D" w:rsidRPr="001A51C6" w:rsidRDefault="00D2729D" w:rsidP="00B34C01">
      <w:pPr>
        <w:pStyle w:val="Prrafodelista"/>
        <w:spacing w:line="360" w:lineRule="auto"/>
        <w:ind w:left="786" w:right="567"/>
        <w:jc w:val="both"/>
        <w:rPr>
          <w:rFonts w:ascii="Palatino Linotype" w:hAnsi="Palatino Linotype" w:cs="Arial"/>
          <w:i/>
          <w:color w:val="000000"/>
          <w:sz w:val="20"/>
        </w:rPr>
      </w:pPr>
      <w:r w:rsidRPr="001A51C6">
        <w:rPr>
          <w:rFonts w:ascii="Palatino Linotype" w:hAnsi="Palatino Linotype" w:cs="Arial"/>
          <w:i/>
          <w:color w:val="000000"/>
          <w:sz w:val="20"/>
        </w:rPr>
        <w:t xml:space="preserve">Resoluciones: </w:t>
      </w:r>
    </w:p>
    <w:p w:rsidR="00D2729D" w:rsidRPr="001A51C6" w:rsidRDefault="00D2729D" w:rsidP="00B34C01">
      <w:pPr>
        <w:pStyle w:val="Prrafodelista"/>
        <w:spacing w:line="360" w:lineRule="auto"/>
        <w:ind w:left="786" w:right="567"/>
        <w:jc w:val="both"/>
        <w:rPr>
          <w:rFonts w:ascii="Palatino Linotype" w:hAnsi="Palatino Linotype" w:cs="Arial"/>
          <w:i/>
          <w:color w:val="000000"/>
          <w:sz w:val="20"/>
        </w:rPr>
      </w:pPr>
      <w:r w:rsidRPr="001A51C6">
        <w:rPr>
          <w:rFonts w:ascii="Palatino Linotype" w:hAnsi="Palatino Linotype"/>
        </w:rPr>
        <w:sym w:font="Symbol" w:char="F0B7"/>
      </w:r>
      <w:r w:rsidRPr="001A51C6">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D2729D" w:rsidRPr="001A51C6" w:rsidRDefault="00D2729D" w:rsidP="00B34C01">
      <w:pPr>
        <w:pStyle w:val="Prrafodelista"/>
        <w:spacing w:line="360" w:lineRule="auto"/>
        <w:ind w:left="786" w:right="567"/>
        <w:jc w:val="both"/>
        <w:rPr>
          <w:rFonts w:ascii="Palatino Linotype" w:hAnsi="Palatino Linotype" w:cs="Arial"/>
          <w:i/>
          <w:color w:val="000000"/>
          <w:sz w:val="20"/>
        </w:rPr>
      </w:pPr>
      <w:r w:rsidRPr="001A51C6">
        <w:rPr>
          <w:rFonts w:ascii="Palatino Linotype" w:hAnsi="Palatino Linotype"/>
        </w:rPr>
        <w:sym w:font="Symbol" w:char="F0B7"/>
      </w:r>
      <w:r w:rsidRPr="001A51C6">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D2729D" w:rsidRPr="001A51C6" w:rsidRDefault="00D2729D" w:rsidP="00B34C01">
      <w:pPr>
        <w:pStyle w:val="Prrafodelista"/>
        <w:spacing w:line="360" w:lineRule="auto"/>
        <w:ind w:left="786" w:right="567"/>
        <w:jc w:val="both"/>
        <w:rPr>
          <w:rFonts w:ascii="Palatino Linotype" w:hAnsi="Palatino Linotype" w:cs="Arial"/>
          <w:i/>
          <w:color w:val="000000"/>
          <w:sz w:val="20"/>
        </w:rPr>
      </w:pPr>
      <w:r w:rsidRPr="001A51C6">
        <w:rPr>
          <w:rFonts w:ascii="Palatino Linotype" w:hAnsi="Palatino Linotype"/>
        </w:rPr>
        <w:sym w:font="Symbol" w:char="F0B7"/>
      </w:r>
      <w:r w:rsidRPr="001A51C6">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D2729D" w:rsidRPr="001A51C6" w:rsidRDefault="00D2729D" w:rsidP="00B34C01">
      <w:pPr>
        <w:spacing w:line="360" w:lineRule="auto"/>
        <w:ind w:right="567"/>
        <w:jc w:val="both"/>
        <w:rPr>
          <w:rFonts w:ascii="Palatino Linotype" w:hAnsi="Palatino Linotype" w:cs="Arial"/>
          <w:i/>
          <w:color w:val="000000"/>
          <w:sz w:val="20"/>
        </w:rPr>
      </w:pPr>
    </w:p>
    <w:p w:rsidR="00D2729D" w:rsidRPr="001A51C6" w:rsidRDefault="00D2729D" w:rsidP="00B34C01">
      <w:pPr>
        <w:pStyle w:val="Prrafodelista"/>
        <w:spacing w:line="360" w:lineRule="auto"/>
        <w:ind w:left="786"/>
        <w:jc w:val="both"/>
        <w:rPr>
          <w:rFonts w:ascii="Palatino Linotype" w:hAnsi="Palatino Linotype" w:cs="Arial"/>
          <w:sz w:val="16"/>
        </w:rPr>
      </w:pPr>
    </w:p>
    <w:p w:rsidR="00D2729D" w:rsidRPr="001A51C6" w:rsidRDefault="00D2729D" w:rsidP="00B34C01">
      <w:pPr>
        <w:pStyle w:val="Prrafodelista"/>
        <w:numPr>
          <w:ilvl w:val="0"/>
          <w:numId w:val="1"/>
        </w:numPr>
        <w:spacing w:line="360" w:lineRule="auto"/>
        <w:ind w:left="0" w:firstLine="0"/>
        <w:jc w:val="both"/>
        <w:rPr>
          <w:rFonts w:ascii="Palatino Linotype" w:hAnsi="Palatino Linotype" w:cs="Arial"/>
          <w:color w:val="000000" w:themeColor="text1"/>
          <w:sz w:val="24"/>
        </w:rPr>
      </w:pPr>
      <w:r w:rsidRPr="001A51C6">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1A51C6">
        <w:rPr>
          <w:rFonts w:ascii="Palatino Linotype" w:hAnsi="Palatino Linotype" w:cs="Arial"/>
          <w:sz w:val="24"/>
        </w:rPr>
        <w:t>generen</w:t>
      </w:r>
      <w:r w:rsidRPr="001A51C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2729D" w:rsidRPr="001A51C6" w:rsidRDefault="00D2729D" w:rsidP="00B34C01">
      <w:pPr>
        <w:pStyle w:val="Prrafodelista"/>
        <w:spacing w:line="360" w:lineRule="auto"/>
        <w:ind w:left="0"/>
        <w:jc w:val="both"/>
        <w:rPr>
          <w:rFonts w:ascii="Palatino Linotype" w:hAnsi="Palatino Linotype" w:cs="Arial"/>
          <w:color w:val="000000" w:themeColor="text1"/>
        </w:rPr>
      </w:pPr>
    </w:p>
    <w:p w:rsidR="00D2729D" w:rsidRPr="001A51C6" w:rsidRDefault="00D2729D" w:rsidP="00B34C01">
      <w:pPr>
        <w:pStyle w:val="Prrafodelista"/>
        <w:numPr>
          <w:ilvl w:val="0"/>
          <w:numId w:val="1"/>
        </w:numPr>
        <w:spacing w:line="360" w:lineRule="auto"/>
        <w:ind w:left="0" w:firstLine="0"/>
        <w:jc w:val="both"/>
        <w:rPr>
          <w:rFonts w:ascii="Palatino Linotype" w:hAnsi="Palatino Linotype" w:cs="Arial"/>
          <w:color w:val="000000" w:themeColor="text1"/>
          <w:sz w:val="24"/>
        </w:rPr>
      </w:pPr>
      <w:r w:rsidRPr="001A51C6">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1A51C6">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A51C6">
        <w:rPr>
          <w:rFonts w:ascii="Palatino Linotype" w:hAnsi="Palatino Linotype" w:cs="Arial"/>
          <w:color w:val="000000" w:themeColor="text1"/>
          <w:sz w:val="24"/>
        </w:rPr>
        <w:t xml:space="preserve">; los que, </w:t>
      </w:r>
      <w:r w:rsidRPr="001A51C6">
        <w:rPr>
          <w:rFonts w:ascii="Palatino Linotype" w:hAnsi="Palatino Linotype" w:cs="Arial"/>
          <w:sz w:val="24"/>
        </w:rPr>
        <w:t>podrán estar en cualquier medio, sea escrito, impreso, sonoro, visual, electrónico, informático u holográfico</w:t>
      </w:r>
      <w:r w:rsidRPr="001A51C6">
        <w:rPr>
          <w:rFonts w:ascii="Palatino Linotype" w:hAnsi="Palatino Linotype" w:cs="Arial"/>
          <w:color w:val="000000" w:themeColor="text1"/>
          <w:sz w:val="24"/>
        </w:rPr>
        <w:t xml:space="preserve">, de conformidad con el artículo 3, fracción XI, de la Ley de la materia, el cual dispone lo siguiente: </w:t>
      </w:r>
    </w:p>
    <w:p w:rsidR="00D2729D" w:rsidRPr="001A51C6" w:rsidRDefault="00D2729D" w:rsidP="00B34C01">
      <w:pPr>
        <w:pStyle w:val="Prrafodelista"/>
        <w:spacing w:line="360" w:lineRule="auto"/>
        <w:ind w:left="0"/>
        <w:jc w:val="both"/>
        <w:rPr>
          <w:rFonts w:ascii="Palatino Linotype" w:hAnsi="Palatino Linotype" w:cs="Arial"/>
          <w:color w:val="000000" w:themeColor="text1"/>
          <w:sz w:val="24"/>
        </w:rPr>
      </w:pPr>
    </w:p>
    <w:p w:rsidR="00D2729D" w:rsidRPr="001A51C6" w:rsidRDefault="00D2729D" w:rsidP="00B34C01">
      <w:pPr>
        <w:pStyle w:val="Prrafodelista"/>
        <w:spacing w:line="360" w:lineRule="auto"/>
        <w:ind w:left="786" w:right="902"/>
        <w:jc w:val="both"/>
        <w:rPr>
          <w:rFonts w:ascii="Palatino Linotype" w:hAnsi="Palatino Linotype" w:cs="Arial"/>
          <w:i/>
          <w:color w:val="000000"/>
          <w:sz w:val="6"/>
        </w:rPr>
      </w:pP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t>“</w:t>
      </w:r>
      <w:r w:rsidRPr="001A51C6">
        <w:rPr>
          <w:rFonts w:ascii="Palatino Linotype" w:hAnsi="Palatino Linotype" w:cs="Arial"/>
          <w:b/>
          <w:i/>
          <w:color w:val="000000"/>
        </w:rPr>
        <w:t xml:space="preserve">Artículo 3. </w:t>
      </w:r>
      <w:r w:rsidRPr="001A51C6">
        <w:rPr>
          <w:rFonts w:ascii="Palatino Linotype" w:hAnsi="Palatino Linotype" w:cs="Arial"/>
          <w:i/>
          <w:color w:val="000000"/>
        </w:rPr>
        <w:t>Para los efectos de la presente Ley se entenderá por:</w:t>
      </w: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t>(…)</w:t>
      </w: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b/>
          <w:i/>
          <w:color w:val="000000"/>
        </w:rPr>
        <w:t>XI. Documento:</w:t>
      </w:r>
      <w:r w:rsidRPr="001A51C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2729D" w:rsidRPr="001A51C6" w:rsidRDefault="00D2729D" w:rsidP="00B34C01">
      <w:pPr>
        <w:pStyle w:val="Prrafodelista"/>
        <w:spacing w:line="360" w:lineRule="auto"/>
        <w:ind w:left="786" w:right="567"/>
        <w:jc w:val="both"/>
        <w:rPr>
          <w:rFonts w:ascii="Palatino Linotype" w:hAnsi="Palatino Linotype" w:cs="Arial"/>
          <w:i/>
          <w:color w:val="000000"/>
        </w:rPr>
      </w:pPr>
      <w:r w:rsidRPr="001A51C6">
        <w:rPr>
          <w:rFonts w:ascii="Palatino Linotype" w:hAnsi="Palatino Linotype" w:cs="Arial"/>
          <w:i/>
          <w:color w:val="000000"/>
        </w:rPr>
        <w:lastRenderedPageBreak/>
        <w:t>(…)”</w:t>
      </w:r>
    </w:p>
    <w:p w:rsidR="00D2729D" w:rsidRPr="001A51C6" w:rsidRDefault="00D2729D" w:rsidP="00B34C01">
      <w:pPr>
        <w:pStyle w:val="Prrafodelista"/>
        <w:spacing w:line="360" w:lineRule="auto"/>
        <w:ind w:left="786" w:right="902"/>
        <w:jc w:val="both"/>
        <w:rPr>
          <w:rFonts w:ascii="Palatino Linotype" w:hAnsi="Palatino Linotype" w:cs="Arial"/>
          <w:sz w:val="10"/>
        </w:rPr>
      </w:pPr>
    </w:p>
    <w:p w:rsidR="00D2729D" w:rsidRPr="001A51C6" w:rsidRDefault="00D2729D" w:rsidP="00B34C01">
      <w:pPr>
        <w:pStyle w:val="Prrafodelista"/>
        <w:numPr>
          <w:ilvl w:val="0"/>
          <w:numId w:val="1"/>
        </w:numPr>
        <w:autoSpaceDE w:val="0"/>
        <w:autoSpaceDN w:val="0"/>
        <w:adjustRightInd w:val="0"/>
        <w:spacing w:line="360" w:lineRule="auto"/>
        <w:ind w:left="0" w:firstLine="0"/>
        <w:jc w:val="both"/>
        <w:rPr>
          <w:rFonts w:ascii="Palatino Linotype" w:hAnsi="Palatino Linotype" w:cs="Arial"/>
          <w:sz w:val="24"/>
        </w:rPr>
      </w:pPr>
      <w:r w:rsidRPr="001A51C6">
        <w:rPr>
          <w:rFonts w:ascii="Palatino Linotype" w:hAnsi="Palatino Linotype" w:cs="Arial"/>
          <w:sz w:val="24"/>
        </w:rPr>
        <w:t xml:space="preserve">Siendo aplicable el Criterio </w:t>
      </w:r>
      <w:r w:rsidRPr="001A51C6">
        <w:rPr>
          <w:rFonts w:ascii="Palatino Linotype" w:hAnsi="Palatino Linotype" w:cs="Arial"/>
          <w:bCs/>
          <w:sz w:val="24"/>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A51C6">
        <w:rPr>
          <w:rFonts w:ascii="Palatino Linotype" w:hAnsi="Palatino Linotype" w:cs="Arial"/>
          <w:sz w:val="24"/>
        </w:rPr>
        <w:t>cuyo rubro y texto dispone:</w:t>
      </w:r>
    </w:p>
    <w:p w:rsidR="00D2729D" w:rsidRPr="001A51C6" w:rsidRDefault="00D2729D" w:rsidP="00B34C01">
      <w:pPr>
        <w:pStyle w:val="Prrafodelista"/>
        <w:autoSpaceDE w:val="0"/>
        <w:autoSpaceDN w:val="0"/>
        <w:adjustRightInd w:val="0"/>
        <w:spacing w:line="360" w:lineRule="auto"/>
        <w:ind w:left="0"/>
        <w:jc w:val="both"/>
        <w:rPr>
          <w:rFonts w:ascii="Palatino Linotype" w:hAnsi="Palatino Linotype" w:cs="Arial"/>
        </w:rPr>
      </w:pPr>
    </w:p>
    <w:p w:rsidR="00D2729D" w:rsidRPr="001A51C6" w:rsidRDefault="00D2729D" w:rsidP="00B34C01">
      <w:pPr>
        <w:pStyle w:val="Prrafodelista"/>
        <w:spacing w:line="360" w:lineRule="auto"/>
        <w:ind w:left="786" w:right="567"/>
        <w:jc w:val="both"/>
        <w:rPr>
          <w:rFonts w:ascii="Palatino Linotype" w:hAnsi="Palatino Linotype" w:cs="Arial"/>
          <w:sz w:val="2"/>
        </w:rPr>
      </w:pPr>
    </w:p>
    <w:p w:rsidR="00D2729D" w:rsidRPr="001A51C6" w:rsidRDefault="00D2729D" w:rsidP="00B34C01">
      <w:pPr>
        <w:pStyle w:val="Prrafodelista"/>
        <w:spacing w:line="360" w:lineRule="auto"/>
        <w:ind w:left="786" w:right="567"/>
        <w:jc w:val="both"/>
        <w:rPr>
          <w:rFonts w:ascii="Palatino Linotype" w:hAnsi="Palatino Linotype" w:cs="Arial"/>
          <w:sz w:val="2"/>
        </w:rPr>
      </w:pPr>
    </w:p>
    <w:p w:rsidR="00D2729D" w:rsidRPr="001A51C6" w:rsidRDefault="00D2729D" w:rsidP="00B34C01">
      <w:pPr>
        <w:pStyle w:val="Prrafodelista"/>
        <w:spacing w:line="360" w:lineRule="auto"/>
        <w:ind w:left="786" w:right="567"/>
        <w:jc w:val="both"/>
        <w:rPr>
          <w:rFonts w:ascii="Palatino Linotype" w:hAnsi="Palatino Linotype" w:cs="Arial"/>
          <w:sz w:val="2"/>
        </w:rPr>
      </w:pPr>
    </w:p>
    <w:p w:rsidR="00D2729D" w:rsidRPr="001A51C6" w:rsidRDefault="00D2729D" w:rsidP="00B34C01">
      <w:pPr>
        <w:pStyle w:val="Prrafodelista"/>
        <w:spacing w:line="360" w:lineRule="auto"/>
        <w:ind w:left="786" w:right="567"/>
        <w:jc w:val="both"/>
        <w:rPr>
          <w:rFonts w:ascii="Palatino Linotype" w:hAnsi="Palatino Linotype" w:cs="Arial"/>
          <w:b/>
          <w:i/>
        </w:rPr>
      </w:pPr>
      <w:r w:rsidRPr="001A51C6">
        <w:rPr>
          <w:rFonts w:ascii="Palatino Linotype" w:hAnsi="Palatino Linotype" w:cs="Arial"/>
          <w:b/>
        </w:rPr>
        <w:t>“</w:t>
      </w:r>
      <w:r w:rsidRPr="001A51C6">
        <w:rPr>
          <w:rFonts w:ascii="Palatino Linotype" w:hAnsi="Palatino Linotype" w:cs="Arial"/>
          <w:b/>
          <w:i/>
        </w:rPr>
        <w:t>CRITERIO 0002-11</w:t>
      </w: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b/>
          <w:i/>
        </w:rPr>
        <w:t xml:space="preserve">INFORMACIÓN PÚBLICA, CONCEPTO DE, EN MATERIA DE TRANSPARENCIA. INTERPRETACIÓN SISTEMÁTICA DE LOS ARTÍCULOS 2°, FRACCIÓN </w:t>
      </w:r>
      <w:r w:rsidRPr="001A51C6">
        <w:rPr>
          <w:rFonts w:ascii="Palatino Linotype" w:hAnsi="Palatino Linotype" w:cs="Arial"/>
          <w:b/>
          <w:bCs/>
          <w:i/>
        </w:rPr>
        <w:t xml:space="preserve">V, XV, Y XVI, </w:t>
      </w:r>
      <w:r w:rsidRPr="001A51C6">
        <w:rPr>
          <w:rFonts w:ascii="Palatino Linotype" w:hAnsi="Palatino Linotype" w:cs="Arial"/>
          <w:b/>
          <w:i/>
        </w:rPr>
        <w:t>3°, 4°, 11 Y 41.</w:t>
      </w:r>
      <w:r w:rsidRPr="001A51C6">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i/>
        </w:rPr>
        <w:t>En consecuencia el acceso a la información se refiere a que se cumplan cualquiera de los siguientes tres supuestos:</w:t>
      </w:r>
    </w:p>
    <w:p w:rsidR="00D2729D" w:rsidRPr="001A51C6" w:rsidRDefault="00D2729D" w:rsidP="00B34C01">
      <w:pPr>
        <w:pStyle w:val="Prrafodelista"/>
        <w:spacing w:line="360" w:lineRule="auto"/>
        <w:ind w:left="786" w:right="567"/>
        <w:jc w:val="both"/>
        <w:rPr>
          <w:rFonts w:ascii="Palatino Linotype" w:hAnsi="Palatino Linotype" w:cs="Arial"/>
          <w:b/>
          <w:i/>
        </w:rPr>
      </w:pPr>
      <w:r w:rsidRPr="001A51C6">
        <w:rPr>
          <w:rFonts w:ascii="Palatino Linotype" w:hAnsi="Palatino Linotype" w:cs="Arial"/>
          <w:b/>
          <w:i/>
        </w:rPr>
        <w:t>1) Que se trate de información registrada en cualquier soporte documental, que en ejercicio de las atribuciones conferidas, sea generada por los Sujetos Obligados;</w:t>
      </w: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i/>
        </w:rPr>
        <w:t>2) Que se trate de información registrada en cualquier soporte documental, que en ejercicio de las atribuciones conferidas, sea administrada por los Sujetos Obligados, y</w:t>
      </w:r>
    </w:p>
    <w:p w:rsidR="00D2729D" w:rsidRPr="001A51C6" w:rsidRDefault="00D2729D" w:rsidP="00B34C01">
      <w:pPr>
        <w:pStyle w:val="Prrafodelista"/>
        <w:spacing w:line="360" w:lineRule="auto"/>
        <w:ind w:left="786" w:right="567"/>
        <w:jc w:val="both"/>
        <w:rPr>
          <w:rFonts w:ascii="Palatino Linotype" w:hAnsi="Palatino Linotype" w:cs="Arial"/>
          <w:i/>
        </w:rPr>
      </w:pPr>
      <w:r w:rsidRPr="001A51C6">
        <w:rPr>
          <w:rFonts w:ascii="Palatino Linotype" w:hAnsi="Palatino Linotype" w:cs="Arial"/>
          <w:i/>
        </w:rPr>
        <w:lastRenderedPageBreak/>
        <w:t>3) Que se trate de información registrada en cualquier soporte documental, que en ejercicio de las atribuciones conferidas, se encuentre en posesión de los Sujetos Obligados.” (SIC)</w:t>
      </w:r>
    </w:p>
    <w:p w:rsidR="00D2729D" w:rsidRPr="001A51C6" w:rsidRDefault="00D2729D" w:rsidP="00B34C01">
      <w:pPr>
        <w:pStyle w:val="Prrafodelista"/>
        <w:spacing w:line="360" w:lineRule="auto"/>
        <w:ind w:left="786"/>
        <w:jc w:val="both"/>
        <w:rPr>
          <w:rFonts w:ascii="Palatino Linotype" w:hAnsi="Palatino Linotype" w:cs="Arial"/>
        </w:rPr>
      </w:pPr>
    </w:p>
    <w:p w:rsidR="00330EC3" w:rsidRPr="001A51C6" w:rsidRDefault="00D2729D" w:rsidP="00B34C01">
      <w:pPr>
        <w:pStyle w:val="Prrafodelista"/>
        <w:numPr>
          <w:ilvl w:val="0"/>
          <w:numId w:val="1"/>
        </w:numPr>
        <w:spacing w:line="360" w:lineRule="auto"/>
        <w:ind w:left="0" w:firstLine="0"/>
        <w:jc w:val="both"/>
        <w:rPr>
          <w:rFonts w:ascii="Palatino Linotype" w:hAnsi="Palatino Linotype" w:cs="Arial"/>
          <w:sz w:val="24"/>
        </w:rPr>
      </w:pPr>
      <w:r w:rsidRPr="001A51C6">
        <w:rPr>
          <w:rFonts w:ascii="Palatino Linotype" w:hAnsi="Palatino Linotype" w:cs="Arial"/>
          <w:sz w:val="24"/>
        </w:rPr>
        <w:t xml:space="preserve">Expuesto lo anterior, se procede al análisis de la totalidad de las constancias que integran el expediente electrónico del </w:t>
      </w:r>
      <w:r w:rsidRPr="001A51C6">
        <w:rPr>
          <w:rFonts w:ascii="Palatino Linotype" w:hAnsi="Palatino Linotype" w:cs="Arial"/>
          <w:b/>
          <w:sz w:val="24"/>
        </w:rPr>
        <w:t>SAIMEX</w:t>
      </w:r>
      <w:r w:rsidRPr="001A51C6">
        <w:rPr>
          <w:rFonts w:ascii="Palatino Linotype" w:hAnsi="Palatino Linotype" w:cs="Arial"/>
          <w:sz w:val="24"/>
        </w:rPr>
        <w:t xml:space="preserve">, a efecto de determinar si con la información remitida por </w:t>
      </w:r>
      <w:r w:rsidRPr="001A51C6">
        <w:rPr>
          <w:rFonts w:ascii="Palatino Linotype" w:hAnsi="Palatino Linotype" w:cs="Arial"/>
          <w:b/>
          <w:sz w:val="24"/>
        </w:rPr>
        <w:t>El Sujeto Obligado</w:t>
      </w:r>
      <w:r w:rsidRPr="001A51C6">
        <w:rPr>
          <w:rFonts w:ascii="Palatino Linotype" w:hAnsi="Palatino Linotype" w:cs="Arial"/>
          <w:sz w:val="24"/>
        </w:rPr>
        <w:t xml:space="preserve"> a través de su respuesta, se colma lo requerido en dichas solicitudes. </w:t>
      </w:r>
    </w:p>
    <w:p w:rsidR="007110CD" w:rsidRPr="001A51C6" w:rsidRDefault="007110CD" w:rsidP="00B34C01">
      <w:pPr>
        <w:spacing w:line="360" w:lineRule="auto"/>
        <w:jc w:val="both"/>
        <w:rPr>
          <w:rFonts w:ascii="Palatino Linotype" w:hAnsi="Palatino Linotype" w:cs="Arial"/>
        </w:rPr>
      </w:pPr>
    </w:p>
    <w:p w:rsidR="00F626CA" w:rsidRPr="001A51C6" w:rsidRDefault="00F626CA" w:rsidP="00B34C01">
      <w:pPr>
        <w:pStyle w:val="Prrafodelista"/>
        <w:numPr>
          <w:ilvl w:val="0"/>
          <w:numId w:val="10"/>
        </w:numPr>
        <w:spacing w:line="360" w:lineRule="auto"/>
        <w:jc w:val="both"/>
        <w:rPr>
          <w:rFonts w:ascii="Palatino Linotype" w:hAnsi="Palatino Linotype" w:cs="Arial"/>
          <w:b/>
        </w:rPr>
      </w:pPr>
      <w:r w:rsidRPr="001A51C6">
        <w:rPr>
          <w:rFonts w:ascii="Palatino Linotype" w:hAnsi="Palatino Linotype" w:cs="Arial"/>
          <w:b/>
        </w:rPr>
        <w:t>Del número de carpeta de investigación</w:t>
      </w:r>
    </w:p>
    <w:p w:rsidR="00F626CA" w:rsidRPr="001A51C6" w:rsidRDefault="00F626CA" w:rsidP="00B34C01">
      <w:pPr>
        <w:spacing w:line="360" w:lineRule="auto"/>
        <w:jc w:val="both"/>
        <w:rPr>
          <w:rFonts w:ascii="Palatino Linotype" w:hAnsi="Palatino Linotype" w:cs="Arial"/>
        </w:rPr>
      </w:pPr>
    </w:p>
    <w:p w:rsidR="00F626CA" w:rsidRPr="001A51C6" w:rsidRDefault="00F626CA" w:rsidP="00B34C01">
      <w:pPr>
        <w:pStyle w:val="Prrafodelista"/>
        <w:numPr>
          <w:ilvl w:val="0"/>
          <w:numId w:val="1"/>
        </w:numPr>
        <w:spacing w:line="360" w:lineRule="auto"/>
        <w:ind w:left="0" w:firstLine="0"/>
        <w:jc w:val="both"/>
        <w:rPr>
          <w:rFonts w:ascii="Palatino Linotype" w:hAnsi="Palatino Linotype" w:cs="Arial"/>
          <w:sz w:val="24"/>
        </w:rPr>
      </w:pPr>
      <w:r w:rsidRPr="001A51C6">
        <w:rPr>
          <w:rFonts w:ascii="Palatino Linotype" w:hAnsi="Palatino Linotype" w:cs="Arial"/>
          <w:sz w:val="24"/>
        </w:rPr>
        <w:t>Conforme con el ACUERDO NÚMERO 16/2016</w:t>
      </w:r>
      <w:r w:rsidRPr="001A51C6">
        <w:rPr>
          <w:rStyle w:val="Refdenotaalpie"/>
          <w:rFonts w:ascii="Palatino Linotype" w:hAnsi="Palatino Linotype" w:cs="Arial"/>
          <w:sz w:val="24"/>
        </w:rPr>
        <w:footnoteReference w:id="1"/>
      </w:r>
      <w:r w:rsidRPr="001A51C6">
        <w:rPr>
          <w:rFonts w:ascii="Palatino Linotype" w:hAnsi="Palatino Linotype" w:cs="Arial"/>
          <w:sz w:val="24"/>
        </w:rPr>
        <w:t xml:space="preserve">, mediante el que se crea se crea  el SISTEMA INFORMÁTICO DE GESTIÓN INSTITUCIONAL DEL PROCEDIMIENTO PENAL EN EL ESTADO DE MÉXICO “SIGIPPEM”, DE LA PROCURADURÍA GENERAL DE JUSTICIA DEL ESTADO DE MÉXICO, mismo que el Procurador General de Justicia del Estado de México instruye su uso obligatorio, en el cual, dentro de su artículo segundo establece quienes operaran dicho sistema y establece como se deberá de generar el número interno de control (NIC), y en caso de que sea necesario realizar una carpeta de investigación se generará el </w:t>
      </w:r>
      <w:r w:rsidRPr="001A51C6">
        <w:rPr>
          <w:rFonts w:ascii="Palatino Linotype" w:hAnsi="Palatino Linotype" w:cs="Arial"/>
          <w:sz w:val="24"/>
          <w:u w:val="single"/>
        </w:rPr>
        <w:t>número único de causa (NUC)</w:t>
      </w:r>
      <w:r w:rsidRPr="001A51C6">
        <w:rPr>
          <w:rFonts w:ascii="Palatino Linotype" w:hAnsi="Palatino Linotype" w:cs="Arial"/>
          <w:sz w:val="24"/>
        </w:rPr>
        <w:t xml:space="preserve">, como a continuación se indica: </w:t>
      </w:r>
    </w:p>
    <w:p w:rsidR="00F626CA" w:rsidRPr="001A51C6" w:rsidRDefault="00F626CA" w:rsidP="00B34C01">
      <w:pPr>
        <w:pStyle w:val="Prrafodelista"/>
        <w:spacing w:line="360" w:lineRule="auto"/>
        <w:ind w:left="0"/>
        <w:jc w:val="both"/>
        <w:rPr>
          <w:rFonts w:ascii="Palatino Linotype" w:hAnsi="Palatino Linotype" w:cs="Arial"/>
          <w:sz w:val="24"/>
        </w:rPr>
      </w:pP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Instrucciones al personal operativo </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b/>
          <w:i/>
        </w:rPr>
        <w:lastRenderedPageBreak/>
        <w:t>ARTÍCULO SEGUNDO.-</w:t>
      </w:r>
      <w:r w:rsidRPr="001A51C6">
        <w:rPr>
          <w:rFonts w:ascii="Palatino Linotype" w:hAnsi="Palatino Linotype"/>
          <w:i/>
        </w:rPr>
        <w:t xml:space="preserve"> Los orientadores jurídicos, agentes del Ministerio Público, Policías de Investigación, Peritos y facilitadores de justicia restaurativa de la Procuraduría General de Justicia del Estado de México, deberán utilizar y operar el SIGIPPEM en sus actividades con motivo del procedimiento penal acorde al Código Nacional de Procedimientos Penales. Los servidores públicos antes citados, en la aplicación del SIGIPPEM deberán cumplir con lo siguiente:</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IV. Para iniciar un caso en el SIGIPPEM, los orientadores jurídicos o los agentes del Ministerio Público deberán generar su número interno de control (NIC) que es una clave alfanumérica de 30 dígitos en la que pueden registrar lo actuado como noticia criminal; </w:t>
      </w:r>
      <w:r w:rsidRPr="001A51C6">
        <w:rPr>
          <w:rFonts w:ascii="Palatino Linotype" w:hAnsi="Palatino Linotype"/>
          <w:i/>
          <w:u w:val="single"/>
        </w:rPr>
        <w:t>en caso de que sea necesario realizar una carpeta de investigación se generará el número único de causa (NUC), de 28 dígitos, que será la identificación alfanumérica del caso a lo largo de todo el procedimiento penal</w:t>
      </w:r>
      <w:r w:rsidRPr="001A51C6">
        <w:rPr>
          <w:rFonts w:ascii="Palatino Linotype" w:hAnsi="Palatino Linotype"/>
          <w:i/>
        </w:rPr>
        <w:t xml:space="preserve"> y por ello será de uso de todos los operadores de conformidad con los convenios que al efecto se suscriban. Dichos números deberán insertarse en todas las actuaciones institucionales. La composición del NIC y del NUC se establece en el anexo uno del presente Acuerdo. </w:t>
      </w:r>
    </w:p>
    <w:p w:rsidR="00F626CA" w:rsidRPr="001A51C6" w:rsidRDefault="00F626CA" w:rsidP="00B34C01">
      <w:pPr>
        <w:spacing w:line="360" w:lineRule="auto"/>
        <w:ind w:left="851" w:right="902"/>
        <w:jc w:val="both"/>
        <w:rPr>
          <w:rFonts w:ascii="Palatino Linotype" w:hAnsi="Palatino Linotype"/>
          <w:i/>
        </w:rPr>
      </w:pPr>
    </w:p>
    <w:p w:rsidR="00F626CA" w:rsidRPr="001A51C6" w:rsidRDefault="00F626CA" w:rsidP="00B34C01">
      <w:pPr>
        <w:pStyle w:val="Prrafodelista"/>
        <w:numPr>
          <w:ilvl w:val="0"/>
          <w:numId w:val="1"/>
        </w:numPr>
        <w:spacing w:line="360" w:lineRule="auto"/>
        <w:ind w:left="0" w:right="142" w:firstLine="0"/>
        <w:jc w:val="both"/>
        <w:rPr>
          <w:rFonts w:ascii="Palatino Linotype" w:hAnsi="Palatino Linotype" w:cs="Arial"/>
          <w:sz w:val="24"/>
        </w:rPr>
      </w:pPr>
      <w:r w:rsidRPr="001A51C6">
        <w:rPr>
          <w:rFonts w:ascii="Palatino Linotype" w:hAnsi="Palatino Linotype" w:cs="Arial"/>
          <w:sz w:val="24"/>
        </w:rPr>
        <w:t>El mismo acuerdo, establece en su Anexo Uno la Composición del NUC (Número único de Causa, equivalente al número de carpeta de investigación):</w:t>
      </w:r>
    </w:p>
    <w:p w:rsidR="00F626CA" w:rsidRPr="001A51C6" w:rsidRDefault="00F626CA" w:rsidP="00B34C01">
      <w:pPr>
        <w:pStyle w:val="Prrafodelista"/>
        <w:spacing w:line="360" w:lineRule="auto"/>
        <w:ind w:left="0" w:right="142"/>
        <w:jc w:val="both"/>
        <w:rPr>
          <w:rFonts w:ascii="Palatino Linotype" w:hAnsi="Palatino Linotype" w:cs="Arial"/>
          <w:sz w:val="24"/>
        </w:rPr>
      </w:pPr>
    </w:p>
    <w:p w:rsidR="00F626CA" w:rsidRPr="001A51C6" w:rsidRDefault="00F626CA" w:rsidP="00B34C01">
      <w:pPr>
        <w:pStyle w:val="Prrafodelista"/>
        <w:spacing w:line="360" w:lineRule="auto"/>
        <w:ind w:left="426" w:right="142"/>
        <w:jc w:val="both"/>
        <w:rPr>
          <w:rFonts w:ascii="Palatino Linotype" w:hAnsi="Palatino Linotype" w:cs="Arial"/>
          <w:sz w:val="24"/>
        </w:rPr>
      </w:pPr>
      <w:r w:rsidRPr="001A51C6">
        <w:rPr>
          <w:rFonts w:ascii="Palatino Linotype" w:hAnsi="Palatino Linotype"/>
          <w:noProof/>
          <w:lang w:val="es-ES" w:eastAsia="es-ES"/>
        </w:rPr>
        <w:lastRenderedPageBreak/>
        <w:drawing>
          <wp:inline distT="0" distB="0" distL="0" distR="0" wp14:anchorId="6898A724" wp14:editId="4350F1DC">
            <wp:extent cx="5244465" cy="2667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70" t="28660" r="28039" b="37127"/>
                    <a:stretch/>
                  </pic:blipFill>
                  <pic:spPr bwMode="auto">
                    <a:xfrm>
                      <a:off x="0" y="0"/>
                      <a:ext cx="5261154" cy="2675487"/>
                    </a:xfrm>
                    <a:prstGeom prst="rect">
                      <a:avLst/>
                    </a:prstGeom>
                    <a:ln>
                      <a:noFill/>
                    </a:ln>
                    <a:extLst>
                      <a:ext uri="{53640926-AAD7-44D8-BBD7-CCE9431645EC}">
                        <a14:shadowObscured xmlns:a14="http://schemas.microsoft.com/office/drawing/2010/main"/>
                      </a:ext>
                    </a:extLst>
                  </pic:spPr>
                </pic:pic>
              </a:graphicData>
            </a:graphic>
          </wp:inline>
        </w:drawing>
      </w:r>
    </w:p>
    <w:p w:rsidR="00F626CA" w:rsidRPr="001A51C6" w:rsidRDefault="00F626CA" w:rsidP="00B34C01">
      <w:pPr>
        <w:pStyle w:val="Prrafodelista"/>
        <w:numPr>
          <w:ilvl w:val="0"/>
          <w:numId w:val="1"/>
        </w:numPr>
        <w:spacing w:line="360" w:lineRule="auto"/>
        <w:ind w:left="0" w:right="142" w:firstLine="0"/>
        <w:jc w:val="both"/>
        <w:rPr>
          <w:rFonts w:ascii="Palatino Linotype" w:hAnsi="Palatino Linotype" w:cs="Arial"/>
          <w:sz w:val="24"/>
        </w:rPr>
      </w:pPr>
      <w:r w:rsidRPr="001A51C6">
        <w:rPr>
          <w:rFonts w:ascii="Palatino Linotype" w:hAnsi="Palatino Linotype" w:cs="Arial"/>
          <w:sz w:val="24"/>
        </w:rPr>
        <w:t>Por otro lado, el treinta de abril de 2010 se publica el ACUERDO NÚMERO 10/2018, DEL FISCAL GENERAL DE JUSTICIA DEL ESTADO DE MÉXICO, POR EL QUE SE CREA Y SE INSTRUYE EL USO OBLIGATORIO DEL SISTEMA INFORMÁTICO DE GESTIÓN Y DEL CORREO ELECTRÓNICO INSTITUCIONAL, DE LA FISCALÍA GENERAL DE JUSTICIA DEL ESTADO DE MÉXICO</w:t>
      </w:r>
      <w:r w:rsidRPr="001A51C6">
        <w:rPr>
          <w:rStyle w:val="Refdenotaalpie"/>
          <w:rFonts w:ascii="Palatino Linotype" w:hAnsi="Palatino Linotype" w:cs="Arial"/>
          <w:sz w:val="24"/>
        </w:rPr>
        <w:footnoteReference w:id="2"/>
      </w:r>
      <w:r w:rsidRPr="001A51C6">
        <w:rPr>
          <w:rFonts w:ascii="Palatino Linotype" w:hAnsi="Palatino Linotype" w:cs="Arial"/>
          <w:sz w:val="24"/>
        </w:rPr>
        <w:t>, en el cual se crea y se autoriza la implementación del Sistema Informático Institucional (SIGI) y se deroga el sistema SIGIPPEM, continua contemplado el  número interno de control (NIC) y</w:t>
      </w:r>
      <w:r w:rsidRPr="001A51C6">
        <w:rPr>
          <w:rFonts w:ascii="Palatino Linotype" w:hAnsi="Palatino Linotype" w:cs="Arial"/>
          <w:sz w:val="24"/>
          <w:u w:val="single"/>
        </w:rPr>
        <w:t xml:space="preserve">  el número único de causa (NUC)</w:t>
      </w:r>
      <w:r w:rsidRPr="001A51C6">
        <w:rPr>
          <w:rFonts w:ascii="Palatino Linotype" w:hAnsi="Palatino Linotype" w:cs="Arial"/>
          <w:sz w:val="24"/>
        </w:rPr>
        <w:t xml:space="preserve"> como a continuación se indica:</w:t>
      </w:r>
      <w:r w:rsidRPr="001A51C6">
        <w:rPr>
          <w:rFonts w:ascii="Palatino Linotype" w:hAnsi="Palatino Linotype"/>
          <w:i/>
          <w:u w:val="single"/>
        </w:rPr>
        <w:t xml:space="preserve"> </w:t>
      </w:r>
    </w:p>
    <w:p w:rsidR="00F626CA" w:rsidRPr="001A51C6" w:rsidRDefault="00F626CA" w:rsidP="00B34C01">
      <w:pPr>
        <w:pStyle w:val="Prrafodelista"/>
        <w:spacing w:line="360" w:lineRule="auto"/>
        <w:ind w:left="0" w:right="142"/>
        <w:jc w:val="both"/>
        <w:rPr>
          <w:rFonts w:ascii="Palatino Linotype" w:hAnsi="Palatino Linotype" w:cs="Arial"/>
          <w:sz w:val="24"/>
        </w:rPr>
      </w:pP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“Instrucciones al personal operativo </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b/>
          <w:i/>
        </w:rPr>
        <w:t>SEGUNDO</w:t>
      </w:r>
      <w:r w:rsidRPr="001A51C6">
        <w:rPr>
          <w:rFonts w:ascii="Palatino Linotype" w:hAnsi="Palatino Linotype"/>
          <w:i/>
        </w:rPr>
        <w:t xml:space="preserve">.- Se instruye el uso obligatorio de “EL SIGI” para registrar las investigaciones y procesos penales substanciados conforme al Código Nacional de Procedimientos Penales, la Ley Nacional de Mecanismos </w:t>
      </w:r>
      <w:r w:rsidRPr="001A51C6">
        <w:rPr>
          <w:rFonts w:ascii="Palatino Linotype" w:hAnsi="Palatino Linotype"/>
          <w:i/>
        </w:rPr>
        <w:lastRenderedPageBreak/>
        <w:t>Alternativos de Solución de Controversias en Materia Penal, la Ley Nacional del Sistema Integral de Justicia Penal para Adolescentes, así como los juicios de amparo indirecto y directo en los que intervenga o tenga noticia el Ministerio Público.</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 </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Los servidores públicos antes citados, en la aplicación del Sistema, deberán cumplir con lo siguiente: </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 xml:space="preserve">I. Para iniciar un caso en “EL SIGI”, los orientadores jurídicos o los agentes del Ministerio Público, deberán generar un número interno de control (NIC) que es una clave alfanumérica de 30 dígitos en la que pueden registrar lo actuado como noticia criminal; en caso de que sea necesario realizar una carpeta de investigación se generará el </w:t>
      </w:r>
      <w:r w:rsidRPr="001A51C6">
        <w:rPr>
          <w:rFonts w:ascii="Palatino Linotype" w:hAnsi="Palatino Linotype"/>
          <w:i/>
          <w:u w:val="single"/>
        </w:rPr>
        <w:t>número único de causa (NUC)</w:t>
      </w:r>
      <w:r w:rsidRPr="001A51C6">
        <w:rPr>
          <w:rFonts w:ascii="Palatino Linotype" w:hAnsi="Palatino Linotype"/>
          <w:i/>
        </w:rPr>
        <w:t xml:space="preserve">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w:t>
      </w:r>
    </w:p>
    <w:p w:rsidR="00F626CA" w:rsidRPr="001A51C6" w:rsidRDefault="00F626CA" w:rsidP="00B34C01">
      <w:pPr>
        <w:spacing w:line="360" w:lineRule="auto"/>
        <w:ind w:left="851" w:right="902"/>
        <w:jc w:val="both"/>
        <w:rPr>
          <w:rFonts w:ascii="Palatino Linotype" w:hAnsi="Palatino Linotype"/>
          <w:i/>
        </w:rPr>
      </w:pPr>
      <w:r w:rsidRPr="001A51C6">
        <w:rPr>
          <w:rFonts w:ascii="Palatino Linotype" w:hAnsi="Palatino Linotype"/>
          <w:i/>
        </w:rPr>
        <w:t>(Énfasis añadido)</w:t>
      </w:r>
    </w:p>
    <w:p w:rsidR="00F626CA" w:rsidRPr="001A51C6" w:rsidRDefault="00F626CA" w:rsidP="00B34C01">
      <w:pPr>
        <w:spacing w:line="360" w:lineRule="auto"/>
        <w:ind w:left="851" w:right="902"/>
        <w:jc w:val="both"/>
        <w:rPr>
          <w:rFonts w:ascii="Palatino Linotype" w:hAnsi="Palatino Linotype"/>
          <w:i/>
        </w:rPr>
      </w:pPr>
    </w:p>
    <w:p w:rsidR="00F626CA" w:rsidRPr="001A51C6" w:rsidRDefault="00F626CA"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Cabe señalar que mediante respuesta el Sujeto Obligado pretendió clasificar el número de carpeta de investigación</w:t>
      </w:r>
      <w:r w:rsidR="00296046" w:rsidRPr="001A51C6">
        <w:rPr>
          <w:rFonts w:ascii="Palatino Linotype" w:eastAsia="MS Mincho" w:hAnsi="Palatino Linotype"/>
          <w:sz w:val="24"/>
          <w:lang w:val="es-ES" w:eastAsia="es-ES"/>
        </w:rPr>
        <w:t xml:space="preserve"> a través del Acuerdo 52/2021</w:t>
      </w:r>
      <w:r w:rsidRPr="001A51C6">
        <w:rPr>
          <w:rFonts w:ascii="Palatino Linotype" w:eastAsia="MS Mincho" w:hAnsi="Palatino Linotype"/>
          <w:sz w:val="24"/>
          <w:lang w:val="es-ES" w:eastAsia="es-ES"/>
        </w:rPr>
        <w:t xml:space="preserve">, en este contexto, </w:t>
      </w:r>
      <w:r w:rsidR="000F6DC2" w:rsidRPr="001A51C6">
        <w:rPr>
          <w:rFonts w:ascii="Palatino Linotype" w:eastAsia="MS Mincho" w:hAnsi="Palatino Linotype"/>
          <w:sz w:val="24"/>
          <w:lang w:val="es-ES" w:eastAsia="es-ES"/>
        </w:rPr>
        <w:t xml:space="preserve">y en referencia a lo señalado en párrafos anteriores, el número de carpeta de investigación </w:t>
      </w:r>
      <w:r w:rsidRPr="001A51C6">
        <w:rPr>
          <w:rFonts w:ascii="Palatino Linotype" w:eastAsia="MS Mincho" w:hAnsi="Palatino Linotype"/>
          <w:sz w:val="24"/>
          <w:lang w:val="es-ES" w:eastAsia="es-ES"/>
        </w:rPr>
        <w:t xml:space="preserve"> solo se refiere a una composición alfanumérica, </w:t>
      </w:r>
      <w:r w:rsidR="00296046" w:rsidRPr="001A51C6">
        <w:rPr>
          <w:rFonts w:ascii="Palatino Linotype" w:eastAsia="MS Mincho" w:hAnsi="Palatino Linotype"/>
          <w:sz w:val="24"/>
          <w:lang w:val="es-ES" w:eastAsia="es-ES"/>
        </w:rPr>
        <w:t xml:space="preserve">que no revela algún </w:t>
      </w:r>
      <w:r w:rsidR="00296046" w:rsidRPr="001A51C6">
        <w:rPr>
          <w:rFonts w:ascii="Palatino Linotype" w:eastAsia="MS Mincho" w:hAnsi="Palatino Linotype"/>
          <w:sz w:val="24"/>
          <w:lang w:val="es-ES" w:eastAsia="es-ES"/>
        </w:rPr>
        <w:lastRenderedPageBreak/>
        <w:t>dato relacionado con la investigación, ni datos de la vida privada de las personas, por tal razón, el número de carpeta de investigaci</w:t>
      </w:r>
      <w:r w:rsidR="002F75E0" w:rsidRPr="001A51C6">
        <w:rPr>
          <w:rFonts w:ascii="Palatino Linotype" w:eastAsia="MS Mincho" w:hAnsi="Palatino Linotype"/>
          <w:sz w:val="24"/>
          <w:lang w:val="es-ES" w:eastAsia="es-ES"/>
        </w:rPr>
        <w:t>ón es información que puede entregarse al particular.</w:t>
      </w:r>
      <w:r w:rsidRPr="001A51C6">
        <w:rPr>
          <w:rFonts w:ascii="Palatino Linotype" w:eastAsia="MS Mincho" w:hAnsi="Palatino Linotype"/>
          <w:sz w:val="24"/>
          <w:lang w:val="es-ES" w:eastAsia="es-ES"/>
        </w:rPr>
        <w:t xml:space="preserve"> </w:t>
      </w:r>
    </w:p>
    <w:p w:rsidR="00F626CA" w:rsidRPr="001A51C6" w:rsidRDefault="00F626CA" w:rsidP="00B34C01">
      <w:pPr>
        <w:autoSpaceDE w:val="0"/>
        <w:autoSpaceDN w:val="0"/>
        <w:adjustRightInd w:val="0"/>
        <w:spacing w:line="360" w:lineRule="auto"/>
        <w:jc w:val="both"/>
        <w:rPr>
          <w:rFonts w:ascii="Palatino Linotype" w:eastAsia="MS Mincho" w:hAnsi="Palatino Linotype"/>
          <w:lang w:val="es-ES" w:eastAsia="es-ES"/>
        </w:rPr>
      </w:pPr>
    </w:p>
    <w:p w:rsidR="00F626CA" w:rsidRPr="001A51C6" w:rsidRDefault="00F626CA" w:rsidP="00B34C01">
      <w:pPr>
        <w:pStyle w:val="Prrafodelista"/>
        <w:numPr>
          <w:ilvl w:val="0"/>
          <w:numId w:val="17"/>
        </w:numPr>
        <w:spacing w:line="360" w:lineRule="auto"/>
        <w:ind w:right="49"/>
        <w:jc w:val="both"/>
        <w:rPr>
          <w:rFonts w:ascii="Palatino Linotype" w:eastAsiaTheme="minorEastAsia" w:hAnsi="Palatino Linotype"/>
          <w:b/>
          <w:sz w:val="24"/>
          <w:lang w:eastAsia="es-ES"/>
        </w:rPr>
      </w:pPr>
      <w:bookmarkStart w:id="14" w:name="_Toc82519889"/>
      <w:r w:rsidRPr="001A51C6">
        <w:rPr>
          <w:rFonts w:ascii="Palatino Linotype" w:eastAsiaTheme="minorEastAsia" w:hAnsi="Palatino Linotype"/>
          <w:b/>
          <w:sz w:val="24"/>
          <w:lang w:eastAsia="es-ES"/>
        </w:rPr>
        <w:t>De la presunción de inocencia.</w:t>
      </w:r>
      <w:bookmarkEnd w:id="14"/>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1A51C6">
        <w:rPr>
          <w:rFonts w:ascii="Palatino Linotype" w:eastAsiaTheme="minorEastAsia" w:hAnsi="Palatino Linotype"/>
          <w:vertAlign w:val="superscript"/>
          <w:lang w:val="es-ES" w:eastAsia="es-ES"/>
        </w:rPr>
        <w:footnoteReference w:id="3"/>
      </w:r>
      <w:r w:rsidRPr="001A51C6">
        <w:rPr>
          <w:rFonts w:ascii="Palatino Linotype" w:eastAsiaTheme="minorEastAsia" w:hAnsi="Palatino Linotype"/>
          <w:lang w:val="es-ES" w:eastAsia="es-ES"/>
        </w:rPr>
        <w:t>.</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F626CA" w:rsidRPr="001A51C6" w:rsidRDefault="00F626CA" w:rsidP="00B34C01">
      <w:pPr>
        <w:spacing w:line="360" w:lineRule="auto"/>
        <w:ind w:left="851" w:right="822"/>
        <w:contextualSpacing/>
        <w:jc w:val="both"/>
        <w:rPr>
          <w:rFonts w:ascii="Palatino Linotype" w:eastAsiaTheme="minorEastAsia" w:hAnsi="Palatino Linotype"/>
          <w:lang w:val="es-ES"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F626CA" w:rsidRPr="001A51C6" w:rsidRDefault="00F626CA" w:rsidP="00B34C01">
      <w:pPr>
        <w:spacing w:line="360" w:lineRule="auto"/>
        <w:ind w:left="851" w:right="822"/>
        <w:contextualSpacing/>
        <w:jc w:val="both"/>
        <w:rPr>
          <w:rFonts w:ascii="Palatino Linotype" w:eastAsiaTheme="minorEastAsia" w:hAnsi="Palatino Linotype"/>
          <w:lang w:val="es-ES"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Se sigue que, el principio de presunción de inocencia tiene tres significados garantistas que en forma breve pueden enunciarse de la  siguiente forma:</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Primero. Cómo una regla probatoria, que impone la carga de la prueba para quien acusa y, por ende, la absolución en caso de duda.</w:t>
      </w:r>
    </w:p>
    <w:p w:rsidR="00F626CA" w:rsidRPr="001A51C6" w:rsidRDefault="00F626CA" w:rsidP="00B34C01">
      <w:pPr>
        <w:spacing w:line="360" w:lineRule="auto"/>
        <w:ind w:left="851" w:right="822"/>
        <w:contextualSpacing/>
        <w:jc w:val="both"/>
        <w:rPr>
          <w:rFonts w:ascii="Palatino Linotype" w:eastAsiaTheme="minorEastAsia" w:hAnsi="Palatino Linotype"/>
          <w:lang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Segundo. Como una regla de tratamiento del acusado, que excluye o restringe al máximo la limitación de sus derechos fundamentales, sobre todo los que inciden en su libertad personal, con motivo del proceso que se instaura en su contra.</w:t>
      </w:r>
    </w:p>
    <w:p w:rsidR="00F626CA" w:rsidRPr="001A51C6" w:rsidRDefault="00F626CA" w:rsidP="00B34C01">
      <w:pPr>
        <w:spacing w:line="360" w:lineRule="auto"/>
        <w:ind w:left="851" w:right="822"/>
        <w:contextualSpacing/>
        <w:jc w:val="both"/>
        <w:rPr>
          <w:rFonts w:ascii="Palatino Linotype" w:eastAsiaTheme="minorEastAsia" w:hAnsi="Palatino Linotype"/>
          <w:lang w:eastAsia="es-ES"/>
        </w:rPr>
      </w:pPr>
    </w:p>
    <w:p w:rsidR="00F626CA" w:rsidRPr="001A51C6" w:rsidRDefault="00F626CA" w:rsidP="00B34C01">
      <w:pPr>
        <w:spacing w:line="360" w:lineRule="auto"/>
        <w:ind w:left="851" w:right="822"/>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Tercero. Como una regla de juicio, que ordena a los jueces la absolución de los inculpados cuando durante el proceso no se aportaron pruebas de cargo suficientes.</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lastRenderedPageBreak/>
        <w:t>Así, todo servidor público en su</w:t>
      </w:r>
      <w:r w:rsidR="002F75E0" w:rsidRPr="001A51C6">
        <w:rPr>
          <w:rFonts w:ascii="Palatino Linotype" w:eastAsiaTheme="minorEastAsia" w:hAnsi="Palatino Linotype"/>
          <w:lang w:val="es-ES" w:eastAsia="es-ES"/>
        </w:rPr>
        <w:t xml:space="preserve"> carácter de -presunto</w:t>
      </w:r>
      <w:r w:rsidRPr="001A51C6">
        <w:rPr>
          <w:rFonts w:ascii="Palatino Linotype" w:eastAsiaTheme="minorEastAsia" w:hAnsi="Palatino Linotype"/>
          <w:lang w:val="es-ES" w:eastAsia="es-ES"/>
        </w:rPr>
        <w:t xml:space="preserve">- tiene el derecho, </w:t>
      </w:r>
      <w:r w:rsidRPr="001A51C6">
        <w:rPr>
          <w:rFonts w:ascii="Palatino Linotype" w:eastAsiaTheme="minorEastAsia" w:hAnsi="Palatino Linotype"/>
          <w:i/>
          <w:lang w:val="es-ES" w:eastAsia="es-ES"/>
        </w:rPr>
        <w:t>como regla de tratamiento en el proceso</w:t>
      </w:r>
      <w:r w:rsidRPr="001A51C6">
        <w:rPr>
          <w:rFonts w:ascii="Palatino Linotype" w:eastAsiaTheme="minorEastAsia" w:hAnsi="Palatino Linotype"/>
          <w:lang w:val="es-ES" w:eastAsia="es-ES"/>
        </w:rPr>
        <w:t>, a que se le trate en carácter de inocente hasta que no se emita una resolución firme.</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w:t>
      </w:r>
      <w:r w:rsidR="00AE0B0E" w:rsidRPr="001A51C6">
        <w:rPr>
          <w:rFonts w:ascii="Palatino Linotype" w:eastAsiaTheme="minorEastAsia" w:hAnsi="Palatino Linotype"/>
          <w:lang w:val="es-ES" w:eastAsia="es-ES"/>
        </w:rPr>
        <w:t>aber realizado algún delito</w:t>
      </w:r>
      <w:r w:rsidRPr="001A51C6">
        <w:rPr>
          <w:rFonts w:ascii="Palatino Linotype" w:eastAsiaTheme="minorEastAsia" w:hAnsi="Palatino Linotype"/>
          <w:lang w:val="es-ES" w:eastAsia="es-ES"/>
        </w:rPr>
        <w:t>.</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AE0B0E" w:rsidRPr="001A51C6" w:rsidRDefault="00AE0B0E"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En este caso, el particular solicitó el puesto de los servidores públicos a quien se les inicio una carpeta de investigación, cabe señalar que si bien, el puesto o cargo es información pública, dar a conocer ese dato, en este caso, podría revelar el nombre del servidor público al que se le inicio la carpeta de investigación, pues con los datos solicitados y entregados en respuesta, se deduciría quien es el servidor público.</w:t>
      </w:r>
    </w:p>
    <w:p w:rsidR="00AE0B0E" w:rsidRPr="001A51C6" w:rsidRDefault="00AE0B0E"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AE0B0E"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 xml:space="preserve">Así, </w:t>
      </w:r>
      <w:r w:rsidR="00F626CA" w:rsidRPr="001A51C6">
        <w:rPr>
          <w:rFonts w:ascii="Palatino Linotype" w:eastAsiaTheme="minorEastAsia" w:hAnsi="Palatino Linotype"/>
          <w:lang w:val="es-ES" w:eastAsia="es-ES"/>
        </w:rPr>
        <w:t xml:space="preserve"> </w:t>
      </w:r>
      <w:r w:rsidRPr="001A51C6">
        <w:rPr>
          <w:rFonts w:ascii="Palatino Linotype" w:eastAsiaTheme="minorEastAsia" w:hAnsi="Palatino Linotype"/>
          <w:lang w:val="es-ES" w:eastAsia="es-ES"/>
        </w:rPr>
        <w:t xml:space="preserve">la </w:t>
      </w:r>
      <w:r w:rsidR="00F626CA" w:rsidRPr="001A51C6">
        <w:rPr>
          <w:rFonts w:ascii="Palatino Linotype" w:eastAsiaTheme="minorEastAsia" w:hAnsi="Palatino Linotype"/>
          <w:lang w:val="es-ES" w:eastAsia="es-ES"/>
        </w:rPr>
        <w:t xml:space="preserve">primera premisa es que de revelarse </w:t>
      </w:r>
      <w:r w:rsidRPr="001A51C6">
        <w:rPr>
          <w:rFonts w:ascii="Palatino Linotype" w:eastAsiaTheme="minorEastAsia" w:hAnsi="Palatino Linotype"/>
          <w:lang w:val="es-ES" w:eastAsia="es-ES"/>
        </w:rPr>
        <w:t>el puesto o cargo de los servidores públicos</w:t>
      </w:r>
      <w:r w:rsidR="00F626CA" w:rsidRPr="001A51C6">
        <w:rPr>
          <w:rFonts w:ascii="Palatino Linotype" w:eastAsiaTheme="minorEastAsia" w:hAnsi="Palatino Linotype"/>
          <w:lang w:val="es-ES" w:eastAsia="es-ES"/>
        </w:rPr>
        <w:t xml:space="preserve"> </w:t>
      </w:r>
      <w:r w:rsidR="000F6DC2" w:rsidRPr="001A51C6">
        <w:rPr>
          <w:rFonts w:ascii="Palatino Linotype" w:eastAsiaTheme="minorEastAsia" w:hAnsi="Palatino Linotype"/>
          <w:lang w:val="es-ES" w:eastAsia="es-ES"/>
        </w:rPr>
        <w:t xml:space="preserve">a quienes se les ha iniciado una carpeta de investigación </w:t>
      </w:r>
      <w:r w:rsidR="00F626CA" w:rsidRPr="001A51C6">
        <w:rPr>
          <w:rFonts w:ascii="Palatino Linotype" w:eastAsiaTheme="minorEastAsia" w:hAnsi="Palatino Linotype"/>
          <w:i/>
          <w:lang w:val="es-ES" w:eastAsia="es-ES"/>
        </w:rPr>
        <w:t>rompería la regla de tratamiento y de juicio que debe seguirse en la administración de justicia</w:t>
      </w:r>
      <w:r w:rsidR="00F626CA" w:rsidRPr="001A51C6">
        <w:rPr>
          <w:rFonts w:ascii="Palatino Linotype" w:eastAsiaTheme="minorEastAsia" w:hAnsi="Palatino Linotype"/>
          <w:i/>
          <w:vertAlign w:val="superscript"/>
          <w:lang w:val="es-ES" w:eastAsia="es-ES"/>
        </w:rPr>
        <w:footnoteReference w:id="4"/>
      </w:r>
      <w:r w:rsidR="00F626CA" w:rsidRPr="001A51C6">
        <w:rPr>
          <w:rFonts w:ascii="Palatino Linotype" w:eastAsiaTheme="minorEastAsia" w:hAnsi="Palatino Linotype"/>
          <w:lang w:val="es-ES" w:eastAsia="es-ES"/>
        </w:rPr>
        <w:t>, es decir, su incidencia tiene implicaciones que pudieran afectar la forma en cómo debe tratarse al servidor público acusado, pues no se ha comprobado en su totalidad que</w:t>
      </w:r>
      <w:r w:rsidR="000F6DC2" w:rsidRPr="001A51C6">
        <w:rPr>
          <w:rFonts w:ascii="Palatino Linotype" w:eastAsiaTheme="minorEastAsia" w:hAnsi="Palatino Linotype"/>
          <w:lang w:val="es-ES" w:eastAsia="es-ES"/>
        </w:rPr>
        <w:t xml:space="preserve"> éste incurrió en un delito</w:t>
      </w:r>
      <w:r w:rsidR="00F626CA" w:rsidRPr="001A51C6">
        <w:rPr>
          <w:rFonts w:ascii="Palatino Linotype" w:eastAsiaTheme="minorEastAsia" w:hAnsi="Palatino Linotype"/>
          <w:lang w:val="es-ES" w:eastAsia="es-ES"/>
        </w:rPr>
        <w:t>,</w:t>
      </w:r>
      <w:r w:rsidR="002F75E0" w:rsidRPr="001A51C6">
        <w:rPr>
          <w:rFonts w:ascii="Palatino Linotype" w:eastAsiaTheme="minorEastAsia" w:hAnsi="Palatino Linotype"/>
          <w:lang w:val="es-ES" w:eastAsia="es-ES"/>
        </w:rPr>
        <w:t xml:space="preserve"> esto atendiendo</w:t>
      </w:r>
      <w:r w:rsidR="0078043A" w:rsidRPr="001A51C6">
        <w:rPr>
          <w:rFonts w:ascii="Palatino Linotype" w:eastAsiaTheme="minorEastAsia" w:hAnsi="Palatino Linotype"/>
          <w:lang w:val="es-ES" w:eastAsia="es-ES"/>
        </w:rPr>
        <w:t xml:space="preserve"> a que el SUJETO OBLIGADO manifestó que las carpetas de investigación solicita</w:t>
      </w:r>
      <w:r w:rsidR="002F75E0" w:rsidRPr="001A51C6">
        <w:rPr>
          <w:rFonts w:ascii="Palatino Linotype" w:eastAsiaTheme="minorEastAsia" w:hAnsi="Palatino Linotype"/>
          <w:lang w:val="es-ES" w:eastAsia="es-ES"/>
        </w:rPr>
        <w:t>da</w:t>
      </w:r>
      <w:r w:rsidR="0078043A" w:rsidRPr="001A51C6">
        <w:rPr>
          <w:rFonts w:ascii="Palatino Linotype" w:eastAsiaTheme="minorEastAsia" w:hAnsi="Palatino Linotype"/>
          <w:lang w:val="es-ES" w:eastAsia="es-ES"/>
        </w:rPr>
        <w:t xml:space="preserve">s, se encuentran en </w:t>
      </w:r>
      <w:r w:rsidR="0078043A" w:rsidRPr="001A51C6">
        <w:rPr>
          <w:rFonts w:ascii="Palatino Linotype" w:eastAsiaTheme="minorEastAsia" w:hAnsi="Palatino Linotype"/>
          <w:b/>
          <w:lang w:val="es-ES" w:eastAsia="es-ES"/>
        </w:rPr>
        <w:t>etapa de investigación</w:t>
      </w:r>
      <w:r w:rsidR="0078043A" w:rsidRPr="001A51C6">
        <w:rPr>
          <w:rFonts w:ascii="Palatino Linotype" w:eastAsiaTheme="minorEastAsia" w:hAnsi="Palatino Linotype"/>
          <w:lang w:val="es-ES" w:eastAsia="es-ES"/>
        </w:rPr>
        <w:t xml:space="preserve">, pues se están </w:t>
      </w:r>
      <w:r w:rsidR="0078043A" w:rsidRPr="001A51C6">
        <w:rPr>
          <w:rFonts w:ascii="Palatino Linotype" w:eastAsiaTheme="minorEastAsia" w:hAnsi="Palatino Linotype"/>
          <w:lang w:val="es-ES" w:eastAsia="es-ES"/>
        </w:rPr>
        <w:lastRenderedPageBreak/>
        <w:t xml:space="preserve">llevando a cabo las diligencias para reunir los elementos que permitan el esclarecimientos de los hechos, </w:t>
      </w:r>
      <w:r w:rsidR="00F626CA" w:rsidRPr="001A51C6">
        <w:rPr>
          <w:rFonts w:ascii="Palatino Linotype" w:eastAsiaTheme="minorEastAsia" w:hAnsi="Palatino Linotype"/>
          <w:lang w:val="es-ES" w:eastAsia="es-ES"/>
        </w:rPr>
        <w:t xml:space="preserve"> razón por la cual es aplicable la reserva </w:t>
      </w:r>
      <w:r w:rsidR="0078043A" w:rsidRPr="001A51C6">
        <w:rPr>
          <w:rFonts w:ascii="Palatino Linotype" w:eastAsiaTheme="minorEastAsia" w:hAnsi="Palatino Linotype"/>
          <w:lang w:val="es-ES" w:eastAsia="es-ES"/>
        </w:rPr>
        <w:t>de información prevista en el artículo 140, fracción IX</w:t>
      </w:r>
      <w:r w:rsidR="00F626CA" w:rsidRPr="001A51C6">
        <w:rPr>
          <w:rFonts w:ascii="Palatino Linotype" w:eastAsiaTheme="minorEastAsia" w:hAnsi="Palatino Linotype"/>
          <w:lang w:val="es-ES" w:eastAsia="es-ES"/>
        </w:rPr>
        <w:t xml:space="preserve"> de la Ley de Transparencia y Acceso a la Información Pública del Estado de México y Municipios</w:t>
      </w:r>
      <w:r w:rsidR="00F626CA" w:rsidRPr="001A51C6">
        <w:rPr>
          <w:rFonts w:ascii="Palatino Linotype" w:eastAsiaTheme="minorEastAsia" w:hAnsi="Palatino Linotype"/>
          <w:vertAlign w:val="superscript"/>
          <w:lang w:val="es-ES" w:eastAsia="es-ES"/>
        </w:rPr>
        <w:footnoteReference w:id="5"/>
      </w:r>
      <w:r w:rsidR="00F626CA" w:rsidRPr="001A51C6">
        <w:rPr>
          <w:rFonts w:ascii="Palatino Linotype" w:eastAsiaTheme="minorEastAsia" w:hAnsi="Palatino Linotype"/>
          <w:lang w:val="es-ES" w:eastAsia="es-ES"/>
        </w:rPr>
        <w:t xml:space="preserve"> con la finalidad de preservar el debido proceso en la aplicación de la administración de justicia a través del resguardo de información que pudiera alterar el principio de presunción de inocencia, de modo tal que el </w:t>
      </w:r>
      <w:r w:rsidR="0078043A" w:rsidRPr="001A51C6">
        <w:rPr>
          <w:rFonts w:ascii="Palatino Linotype" w:eastAsiaTheme="minorEastAsia" w:hAnsi="Palatino Linotype"/>
          <w:lang w:val="es-ES" w:eastAsia="es-ES"/>
        </w:rPr>
        <w:t>puesto o</w:t>
      </w:r>
      <w:r w:rsidR="00F626CA" w:rsidRPr="001A51C6">
        <w:rPr>
          <w:rFonts w:ascii="Palatino Linotype" w:eastAsiaTheme="minorEastAsia" w:hAnsi="Palatino Linotype"/>
          <w:lang w:val="es-ES" w:eastAsia="es-ES"/>
        </w:rPr>
        <w:t xml:space="preserve"> cargo del servidor público </w:t>
      </w:r>
      <w:r w:rsidR="0078043A" w:rsidRPr="001A51C6">
        <w:rPr>
          <w:rFonts w:ascii="Palatino Linotype" w:eastAsiaTheme="minorEastAsia" w:hAnsi="Palatino Linotype"/>
          <w:lang w:val="es-ES" w:eastAsia="es-ES"/>
        </w:rPr>
        <w:t>a quien se le inicio carpeta de investigación,</w:t>
      </w:r>
      <w:r w:rsidR="00F626CA" w:rsidRPr="001A51C6">
        <w:rPr>
          <w:rFonts w:ascii="Palatino Linotype" w:eastAsiaTheme="minorEastAsia" w:hAnsi="Palatino Linotype"/>
          <w:lang w:val="es-ES" w:eastAsia="es-ES"/>
        </w:rPr>
        <w:t xml:space="preserve"> debe ser protegido, siempre y cuando </w:t>
      </w:r>
      <w:r w:rsidR="00405A19" w:rsidRPr="001A51C6">
        <w:rPr>
          <w:rFonts w:ascii="Palatino Linotype" w:eastAsiaTheme="minorEastAsia" w:hAnsi="Palatino Linotype"/>
          <w:lang w:val="es-ES" w:eastAsia="es-ES"/>
        </w:rPr>
        <w:t xml:space="preserve">no </w:t>
      </w:r>
      <w:r w:rsidR="0078043A" w:rsidRPr="001A51C6">
        <w:rPr>
          <w:rFonts w:ascii="Palatino Linotype" w:eastAsiaTheme="minorEastAsia" w:hAnsi="Palatino Linotype"/>
          <w:lang w:val="es-ES" w:eastAsia="es-ES"/>
        </w:rPr>
        <w:t>se trate de los supuestos considerados en el artículo 142 de la Ley de Transparencia del Estado de México</w:t>
      </w:r>
      <w:r w:rsidR="00F626CA" w:rsidRPr="001A51C6">
        <w:rPr>
          <w:rFonts w:ascii="Palatino Linotype" w:eastAsiaTheme="minorEastAsia" w:hAnsi="Palatino Linotype"/>
          <w:lang w:val="es-ES" w:eastAsia="es-ES"/>
        </w:rPr>
        <w:t>.</w:t>
      </w:r>
    </w:p>
    <w:p w:rsidR="00FB2C31" w:rsidRPr="001A51C6" w:rsidRDefault="00FB2C31"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 xml:space="preserve">Luego entonces en el caso, se considera que la publicación </w:t>
      </w:r>
      <w:r w:rsidR="00FB2C31" w:rsidRPr="001A51C6">
        <w:rPr>
          <w:rFonts w:ascii="Palatino Linotype" w:eastAsiaTheme="minorEastAsia" w:hAnsi="Palatino Linotype"/>
          <w:lang w:val="es-ES" w:eastAsia="es-ES"/>
        </w:rPr>
        <w:t xml:space="preserve">del puesto a </w:t>
      </w:r>
      <w:r w:rsidRPr="001A51C6">
        <w:rPr>
          <w:rFonts w:ascii="Palatino Linotype" w:eastAsiaTheme="minorEastAsia" w:hAnsi="Palatino Linotype"/>
          <w:lang w:val="es-ES" w:eastAsia="es-ES"/>
        </w:rPr>
        <w:t>quienes se les ha iniciado</w:t>
      </w:r>
      <w:r w:rsidR="00FB2C31" w:rsidRPr="001A51C6">
        <w:rPr>
          <w:rFonts w:ascii="Palatino Linotype" w:eastAsiaTheme="minorEastAsia" w:hAnsi="Palatino Linotype"/>
          <w:lang w:val="es-ES" w:eastAsia="es-ES"/>
        </w:rPr>
        <w:t xml:space="preserve"> una carpeta de investigación </w:t>
      </w:r>
      <w:r w:rsidRPr="001A51C6">
        <w:rPr>
          <w:rFonts w:ascii="Palatino Linotype" w:eastAsiaTheme="minorEastAsia" w:hAnsi="Palatino Linotype"/>
          <w:lang w:val="es-ES" w:eastAsia="es-ES"/>
        </w:rPr>
        <w:t xml:space="preserve">y se encuentra </w:t>
      </w:r>
      <w:r w:rsidR="00FB2C31" w:rsidRPr="001A51C6">
        <w:rPr>
          <w:rFonts w:ascii="Palatino Linotype" w:eastAsiaTheme="minorEastAsia" w:hAnsi="Palatino Linotype"/>
          <w:lang w:val="es-ES" w:eastAsia="es-ES"/>
        </w:rPr>
        <w:t xml:space="preserve">en </w:t>
      </w:r>
      <w:r w:rsidR="00FB2C31" w:rsidRPr="001A51C6">
        <w:rPr>
          <w:rFonts w:ascii="Palatino Linotype" w:eastAsiaTheme="minorEastAsia" w:hAnsi="Palatino Linotype"/>
          <w:b/>
          <w:lang w:val="es-ES" w:eastAsia="es-ES"/>
        </w:rPr>
        <w:t>etapa de investigaci</w:t>
      </w:r>
      <w:r w:rsidR="00EB0592" w:rsidRPr="001A51C6">
        <w:rPr>
          <w:rFonts w:ascii="Palatino Linotype" w:eastAsiaTheme="minorEastAsia" w:hAnsi="Palatino Linotype"/>
          <w:b/>
          <w:lang w:val="es-ES" w:eastAsia="es-ES"/>
        </w:rPr>
        <w:t>ón</w:t>
      </w:r>
      <w:r w:rsidR="00FB2C31" w:rsidRPr="001A51C6">
        <w:rPr>
          <w:rFonts w:ascii="Palatino Linotype" w:eastAsiaTheme="minorEastAsia" w:hAnsi="Palatino Linotype"/>
          <w:lang w:val="es-ES" w:eastAsia="es-ES"/>
        </w:rPr>
        <w:t xml:space="preserve">, como </w:t>
      </w:r>
      <w:r w:rsidR="00EB0592" w:rsidRPr="001A51C6">
        <w:rPr>
          <w:rFonts w:ascii="Palatino Linotype" w:eastAsiaTheme="minorEastAsia" w:hAnsi="Palatino Linotype"/>
          <w:lang w:val="es-ES" w:eastAsia="es-ES"/>
        </w:rPr>
        <w:t>en este caso</w:t>
      </w:r>
      <w:r w:rsidR="00FB2C31" w:rsidRPr="001A51C6">
        <w:rPr>
          <w:rFonts w:ascii="Palatino Linotype" w:eastAsiaTheme="minorEastAsia" w:hAnsi="Palatino Linotype"/>
          <w:lang w:val="es-ES" w:eastAsia="es-ES"/>
        </w:rPr>
        <w:t xml:space="preserve">, </w:t>
      </w:r>
      <w:r w:rsidRPr="001A51C6">
        <w:rPr>
          <w:rFonts w:ascii="Palatino Linotype" w:eastAsiaTheme="minorEastAsia" w:hAnsi="Palatino Linotype"/>
          <w:lang w:val="es-ES" w:eastAsia="es-ES"/>
        </w:rPr>
        <w:t>puede significar una discriminación a su persona hasta en tanto no se determine con firmeza en u</w:t>
      </w:r>
      <w:r w:rsidR="00EB0592" w:rsidRPr="001A51C6">
        <w:rPr>
          <w:rFonts w:ascii="Palatino Linotype" w:eastAsiaTheme="minorEastAsia" w:hAnsi="Palatino Linotype"/>
          <w:lang w:val="es-ES" w:eastAsia="es-ES"/>
        </w:rPr>
        <w:t>na resolución si se configuró o no el delito</w:t>
      </w:r>
      <w:r w:rsidRPr="001A51C6">
        <w:rPr>
          <w:rFonts w:ascii="Palatino Linotype" w:eastAsiaTheme="minorEastAsia" w:hAnsi="Palatino Linotype"/>
          <w:lang w:val="es-ES" w:eastAsia="es-ES"/>
        </w:rPr>
        <w:t>.</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 xml:space="preserve">El razonamiento que formula este Órgano Garante se construye a partir de la correlación que otros derechos tienen con el acceso a la información en tratándose de información </w:t>
      </w:r>
      <w:r w:rsidR="00EB0592" w:rsidRPr="001A51C6">
        <w:rPr>
          <w:rFonts w:ascii="Palatino Linotype" w:eastAsiaTheme="minorEastAsia" w:hAnsi="Palatino Linotype"/>
          <w:lang w:val="es-ES" w:eastAsia="es-ES"/>
        </w:rPr>
        <w:t>sobre investigación de delitos</w:t>
      </w:r>
      <w:r w:rsidRPr="001A51C6">
        <w:rPr>
          <w:rFonts w:ascii="Palatino Linotype" w:eastAsiaTheme="minorEastAsia" w:hAnsi="Palatino Linotype"/>
          <w:lang w:val="es-ES" w:eastAsia="es-ES"/>
        </w:rPr>
        <w:t xml:space="preserve">, los cuales de la óptica de interdependencia </w:t>
      </w:r>
      <w:r w:rsidRPr="001A51C6">
        <w:rPr>
          <w:rFonts w:ascii="Palatino Linotype" w:eastAsiaTheme="minorEastAsia" w:hAnsi="Palatino Linotype"/>
          <w:lang w:val="es-ES" w:eastAsia="es-ES"/>
        </w:rPr>
        <w:lastRenderedPageBreak/>
        <w:t>de los derechos humanos no pueden ser desconocidos, en el ámbito de la competencia de este Instituto.</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Resulta necesario tomar en cuenta el derecho al buen nombre y a la intimidad porque se considera que, hasta en que no exista una resolución firme, la publicación de la información solicitada afectaría la reputación de una persona.</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 xml:space="preserve">A mayor abundamiento, el derecho al buen nombre es la prerrogativa que tiene toda persona a no ser difamada, esto es, a que por parte de la sociedad se tenga una buena calificación o juicio favorable de su comportamiento mientras no se le pruebe lo contrario; este concepto tienen su basamento en el concepto del honor personal y ambos suponen una valoración de la persona desde la perspectiva de su esfera externa, razón por la cual guardan una íntima relación.  </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Si bien el derecho al buen nombre no es un bien jurídicamente tutelado de manera expresa en el ordenamiento jurídico mexicano si está ligado con la intimidad de una persona, aspecto que sin duda se puede configurase como dato personal sensible ya que a partir de su uso desproporcionado puede destruir la reputación y honorabilidad de una persona.</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F626CA" w:rsidRPr="001A51C6"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En el fondo, se considera que se puede atentar contra la honra y el buen nombre de una persona mediante la divulgación de información sobre aquellos servidores públicos</w:t>
      </w:r>
      <w:r w:rsidR="00EB0592" w:rsidRPr="001A51C6">
        <w:rPr>
          <w:rFonts w:ascii="Palatino Linotype" w:eastAsiaTheme="minorEastAsia" w:hAnsi="Palatino Linotype"/>
          <w:lang w:val="es-ES" w:eastAsia="es-ES"/>
        </w:rPr>
        <w:t xml:space="preserve"> a quienes se les ha iniciado una carpeta de investigación</w:t>
      </w:r>
      <w:r w:rsidR="00296046" w:rsidRPr="001A51C6">
        <w:rPr>
          <w:rFonts w:ascii="Palatino Linotype" w:eastAsiaTheme="minorEastAsia" w:hAnsi="Palatino Linotype"/>
          <w:lang w:val="es-ES" w:eastAsia="es-ES"/>
        </w:rPr>
        <w:t>,</w:t>
      </w:r>
      <w:r w:rsidRPr="001A51C6">
        <w:rPr>
          <w:rFonts w:ascii="Palatino Linotype" w:eastAsiaTheme="minorEastAsia" w:hAnsi="Palatino Linotype"/>
          <w:lang w:val="es-ES" w:eastAsia="es-ES"/>
        </w:rPr>
        <w:t xml:space="preserve">  porque podrían </w:t>
      </w:r>
      <w:r w:rsidRPr="001A51C6">
        <w:rPr>
          <w:rFonts w:ascii="Palatino Linotype" w:eastAsiaTheme="minorEastAsia" w:hAnsi="Palatino Linotype"/>
          <w:lang w:val="es-ES" w:eastAsia="es-ES"/>
        </w:rPr>
        <w:lastRenderedPageBreak/>
        <w:t>orientar el juicio que se tiene de una persona por parte de la sociedad, lo que en efecto constituye una lesión injustificada a la posición del hombre en sociedad.</w:t>
      </w:r>
    </w:p>
    <w:p w:rsidR="00F626CA" w:rsidRPr="001A51C6" w:rsidRDefault="00F626CA" w:rsidP="00B34C01">
      <w:pPr>
        <w:spacing w:line="360" w:lineRule="auto"/>
        <w:ind w:right="49"/>
        <w:contextualSpacing/>
        <w:jc w:val="both"/>
        <w:rPr>
          <w:rFonts w:ascii="Palatino Linotype" w:eastAsiaTheme="minorEastAsia" w:hAnsi="Palatino Linotype"/>
          <w:lang w:val="es-ES" w:eastAsia="es-ES"/>
        </w:rPr>
      </w:pPr>
    </w:p>
    <w:p w:rsidR="007110CD" w:rsidRDefault="00F626CA" w:rsidP="00B34C01">
      <w:pPr>
        <w:numPr>
          <w:ilvl w:val="0"/>
          <w:numId w:val="1"/>
        </w:numPr>
        <w:spacing w:line="360" w:lineRule="auto"/>
        <w:ind w:left="0" w:right="49" w:firstLine="0"/>
        <w:contextualSpacing/>
        <w:jc w:val="both"/>
        <w:rPr>
          <w:rFonts w:ascii="Palatino Linotype" w:eastAsiaTheme="minorEastAsia" w:hAnsi="Palatino Linotype"/>
          <w:lang w:val="es-ES" w:eastAsia="es-ES"/>
        </w:rPr>
      </w:pPr>
      <w:r w:rsidRPr="001A51C6">
        <w:rPr>
          <w:rFonts w:ascii="Palatino Linotype" w:eastAsiaTheme="minorEastAsia" w:hAnsi="Palatino Linotype"/>
          <w:lang w:val="es-ES" w:eastAsia="es-ES"/>
        </w:rPr>
        <w:t>En esta condición debe ser resguardada la información con la finalidad de evitar situaciones discriminatorias sobre los servidores públicos a quienes se les inició un</w:t>
      </w:r>
      <w:r w:rsidR="00296046" w:rsidRPr="001A51C6">
        <w:rPr>
          <w:rFonts w:ascii="Palatino Linotype" w:eastAsiaTheme="minorEastAsia" w:hAnsi="Palatino Linotype"/>
          <w:lang w:val="es-ES" w:eastAsia="es-ES"/>
        </w:rPr>
        <w:t xml:space="preserve">a carpeta de investigación y que aún se encuentre  </w:t>
      </w:r>
      <w:r w:rsidR="00296046" w:rsidRPr="001A51C6">
        <w:rPr>
          <w:rFonts w:ascii="Palatino Linotype" w:eastAsiaTheme="minorEastAsia" w:hAnsi="Palatino Linotype"/>
          <w:b/>
          <w:lang w:val="es-ES" w:eastAsia="es-ES"/>
        </w:rPr>
        <w:t>etapa de investigación</w:t>
      </w:r>
      <w:r w:rsidR="00296046" w:rsidRPr="001A51C6">
        <w:rPr>
          <w:rFonts w:ascii="Palatino Linotype" w:eastAsiaTheme="minorEastAsia" w:hAnsi="Palatino Linotype"/>
          <w:lang w:val="es-ES" w:eastAsia="es-ES"/>
        </w:rPr>
        <w:t xml:space="preserve"> como en este caso, </w:t>
      </w:r>
      <w:r w:rsidRPr="001A51C6">
        <w:rPr>
          <w:rFonts w:ascii="Palatino Linotype" w:eastAsiaTheme="minorEastAsia" w:hAnsi="Palatino Linotype"/>
          <w:lang w:val="es-ES" w:eastAsia="es-ES"/>
        </w:rPr>
        <w:t xml:space="preserve">por lo que se tiene la intención de salvaguardar los datos sensibles de las personas a quienes no se les ha corroborado </w:t>
      </w:r>
      <w:r w:rsidR="00296046" w:rsidRPr="001A51C6">
        <w:rPr>
          <w:rFonts w:ascii="Palatino Linotype" w:eastAsiaTheme="minorEastAsia" w:hAnsi="Palatino Linotype"/>
          <w:lang w:val="es-ES" w:eastAsia="es-ES"/>
        </w:rPr>
        <w:t>que cometieron un delito.</w:t>
      </w:r>
      <w:r w:rsidR="00BE2E15">
        <w:rPr>
          <w:rFonts w:ascii="Palatino Linotype" w:eastAsiaTheme="minorEastAsia" w:hAnsi="Palatino Linotype"/>
          <w:lang w:val="es-ES" w:eastAsia="es-ES"/>
        </w:rPr>
        <w:t xml:space="preserve"> Sin embargo, cabe señalar que como se abordará más adelante, existen excepciones a este derecho que nos establece la misma Ley.</w:t>
      </w:r>
    </w:p>
    <w:p w:rsidR="004A2DB0" w:rsidRDefault="004A2DB0" w:rsidP="004A2DB0">
      <w:pPr>
        <w:spacing w:line="360" w:lineRule="auto"/>
        <w:ind w:right="49"/>
        <w:contextualSpacing/>
        <w:jc w:val="both"/>
        <w:rPr>
          <w:rFonts w:ascii="Palatino Linotype" w:eastAsiaTheme="minorEastAsia" w:hAnsi="Palatino Linotype"/>
          <w:lang w:val="es-ES" w:eastAsia="es-ES"/>
        </w:rPr>
      </w:pPr>
    </w:p>
    <w:p w:rsidR="004A2DB0" w:rsidRPr="001D7758" w:rsidRDefault="004A2DB0" w:rsidP="004A2DB0">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eastAsiaTheme="minorEastAsia" w:hAnsi="Palatino Linotype"/>
          <w:lang w:eastAsia="es-ES"/>
        </w:rPr>
        <w:t xml:space="preserve">En este caso que nos ocupa, es importante referir que procede la reserva de la información sí y sólo si, se acredita que la entrega de la información lesiona </w:t>
      </w:r>
      <w:r w:rsidRPr="001D7758">
        <w:rPr>
          <w:rFonts w:ascii="Palatino Linotype" w:hAnsi="Palatino Linotype"/>
        </w:rPr>
        <w:t>un interés jurídicamente protegido y que el daño que se produciría con la entrega de la información es mayor al interés de conocerla. Así, al tratarse de la posible existencia de la apertura de carpetas de investigación en contra de los miembros del Ayuntamiento y que posiblemente trate de delitos considerados graves,</w:t>
      </w:r>
      <w:r w:rsidR="0057530D" w:rsidRPr="001D7758">
        <w:rPr>
          <w:rFonts w:ascii="Palatino Linotype" w:hAnsi="Palatino Linotype"/>
        </w:rPr>
        <w:t xml:space="preserve"> violaciones graves a derechos humanos y delitos de lesa humanidad,</w:t>
      </w:r>
      <w:r w:rsidRPr="001D7758">
        <w:rPr>
          <w:rFonts w:ascii="Palatino Linotype" w:hAnsi="Palatino Linotype"/>
        </w:rPr>
        <w:t xml:space="preserve"> conviene traer a colación la Sentencia de la Corte Interamericana de Derechos Humanos, sobre el Caso Fontevecchia y D’amico Vs. Argentina, del 29 de noviembre de 2011 (disponible en </w:t>
      </w:r>
      <w:hyperlink r:id="rId19" w:history="1">
        <w:r w:rsidRPr="001D7758">
          <w:rPr>
            <w:rStyle w:val="Hipervnculo"/>
            <w:rFonts w:ascii="Palatino Linotype" w:hAnsi="Palatino Linotype"/>
          </w:rPr>
          <w:t>http://corteidh.or.cr/docs/casos/articulos/seriec_238_esp.pdf</w:t>
        </w:r>
      </w:hyperlink>
      <w:r w:rsidRPr="001D7758">
        <w:rPr>
          <w:rFonts w:ascii="Palatino Linotype" w:hAnsi="Palatino Linotype"/>
        </w:rPr>
        <w:t xml:space="preserve">  y consultada el veintiséis de octubre de dos mil veintiuno), en la cual se analiza el derecho a la libertad de expresión respecto de la información que se puede hacer pública de un servidor público de nivel superior, a partir del interés público de acceder a la misma, en razón </w:t>
      </w:r>
      <w:r w:rsidRPr="001D7758">
        <w:rPr>
          <w:rFonts w:ascii="Palatino Linotype" w:hAnsi="Palatino Linotype"/>
        </w:rPr>
        <w:lastRenderedPageBreak/>
        <w:t>de tratarse de un servidor público de alto nivel. Así, para el asunto que nos ocupa, a continuación se reproducen los argumentos vertidos en la Sentencia, desde los cuales debe analizarse si debe privilegiarse la protección a la vida privada o el derecho a la circulación de la información:</w:t>
      </w:r>
    </w:p>
    <w:p w:rsidR="004A2DB0" w:rsidRPr="001D7758" w:rsidRDefault="004A2DB0" w:rsidP="004A2DB0">
      <w:pPr>
        <w:spacing w:line="360" w:lineRule="auto"/>
        <w:ind w:right="49"/>
        <w:contextualSpacing/>
        <w:jc w:val="both"/>
        <w:rPr>
          <w:rFonts w:ascii="Palatino Linotype" w:eastAsiaTheme="minorEastAsia" w:hAnsi="Palatino Linotype"/>
          <w:lang w:eastAsia="es-ES"/>
        </w:rPr>
      </w:pPr>
    </w:p>
    <w:p w:rsidR="004A2DB0" w:rsidRPr="001D7758" w:rsidRDefault="004A2DB0" w:rsidP="004A2DB0">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hAnsi="Palatino Linotype"/>
        </w:rPr>
        <w:t>En el primer párrafo que reproducimos, es posible advertir, que de manera valiosa, la Corte Interamericana determina que la protección a la vida privada es una de las conquistas más importantes de los regímenes democráticos, pero su nivel de protección debe disminuir cuando la información contribuya al debate de interés general de la sociedad.</w:t>
      </w:r>
    </w:p>
    <w:p w:rsidR="004A2DB0" w:rsidRPr="001D7758" w:rsidRDefault="004A2DB0" w:rsidP="004A2DB0">
      <w:pPr>
        <w:spacing w:line="360" w:lineRule="auto"/>
        <w:ind w:right="49"/>
        <w:contextualSpacing/>
        <w:jc w:val="both"/>
        <w:rPr>
          <w:rFonts w:ascii="Palatino Linotype" w:eastAsiaTheme="minorEastAsia" w:hAnsi="Palatino Linotype"/>
          <w:lang w:eastAsia="es-ES"/>
        </w:rPr>
      </w:pPr>
    </w:p>
    <w:p w:rsidR="004A2DB0" w:rsidRPr="001D7758" w:rsidRDefault="004A2DB0" w:rsidP="004A2DB0">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“17. Asimismo, la Comisión destacó la importancia de la protección de la vida privada 15, considerándola como una de las más importantes conquistas de los regímenes democráticos. Desarrolló los diversos ámbitos de protección del derecho a la vida privada y señaló que si bien la Convención Americana reconoce ese derecho a toda persona, su nivel de protección disminuye en la medida de la importancia que puedan tener las actividades y funciones de la persona concernida para un debate de interés general en una sociedad democrática. Señaló que para resolver el conflicto entre el derecho a la vida privada de un alto funcionario público y el derecho a la libertad de expresión, en primer lugar, es necesario verificar si realmente se produjo un daño cierto sobre el derecho supuestamente afectado. Este daño no se presentaría en aquellos casos en los cuales la información difundida ya se encontraba en el dominio público o si la persona dio su autorización tácita o explícita para publicar dicha información, pues en esos casos no existe una expectativa legítima de privacidad. En segundo lugar, cualquier alegato referido a la presunta vulneración </w:t>
      </w:r>
      <w:r w:rsidRPr="001D7758">
        <w:rPr>
          <w:rFonts w:ascii="Palatino Linotype" w:hAnsi="Palatino Linotype"/>
          <w:i/>
          <w:sz w:val="22"/>
        </w:rPr>
        <w:lastRenderedPageBreak/>
        <w:t>de la vida privada debe obligar al juez a estudiar la información supuestamente revelada en el contexto en el cual se produce. En tercer lugar, el factor decisivo para resolver este conflicto es la relevancia pública de la información, es decir su capacidad para contribuir a un debate de interés general. Entre otras circunstancias, la información sobre un funcionario es de relevancia pública cuando: a) de alguna manera, a pesar de tener un componente de vida privada, tiene que ver con las funciones que esa persona ejecuta; b) se refiere al incumplimiento de un deber legal como ciudadano; c) resulta un dato relevante sobre la confianza depositada en él, y d) se refiere a la competencia y las capacidades para ejercer sus funciones. “</w:t>
      </w:r>
    </w:p>
    <w:p w:rsidR="004A2DB0" w:rsidRPr="001D7758" w:rsidRDefault="004A2DB0" w:rsidP="004A2DB0">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(Énfasis añadido).</w:t>
      </w:r>
    </w:p>
    <w:p w:rsidR="004A2DB0" w:rsidRPr="001D7758" w:rsidRDefault="004A2DB0" w:rsidP="004A2DB0">
      <w:pPr>
        <w:spacing w:line="360" w:lineRule="auto"/>
        <w:ind w:left="851" w:right="822"/>
        <w:contextualSpacing/>
        <w:jc w:val="both"/>
        <w:rPr>
          <w:rFonts w:ascii="Palatino Linotype" w:eastAsiaTheme="minorEastAsia" w:hAnsi="Palatino Linotype"/>
          <w:i/>
          <w:sz w:val="22"/>
          <w:lang w:eastAsia="es-ES"/>
        </w:rPr>
      </w:pPr>
    </w:p>
    <w:p w:rsidR="0057530D" w:rsidRPr="001D7758" w:rsidRDefault="0057530D" w:rsidP="0057530D">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eastAsiaTheme="minorEastAsia" w:hAnsi="Palatino Linotype"/>
          <w:lang w:eastAsia="es-ES"/>
        </w:rPr>
        <w:t>Así, tenemos como precedentes los expedientes RRA 8080/17 y el RRA 6308/17, del Instituto Nacional de Trasparencia y Acceso a la Información Pública y Protección de Datos Personales (INAI),  en los cuales se demostró  el interés público de acceder a la información.</w:t>
      </w:r>
    </w:p>
    <w:p w:rsidR="0057530D" w:rsidRPr="001D7758" w:rsidRDefault="0057530D" w:rsidP="0057530D">
      <w:pPr>
        <w:spacing w:line="360" w:lineRule="auto"/>
        <w:ind w:right="49"/>
        <w:contextualSpacing/>
        <w:jc w:val="both"/>
        <w:rPr>
          <w:rFonts w:ascii="Palatino Linotype" w:eastAsiaTheme="minorEastAsia" w:hAnsi="Palatino Linotype"/>
          <w:lang w:eastAsia="es-ES"/>
        </w:rPr>
      </w:pPr>
      <w:r w:rsidRPr="001D7758">
        <w:rPr>
          <w:rFonts w:ascii="Palatino Linotype" w:eastAsiaTheme="minorEastAsia" w:hAnsi="Palatino Linotype"/>
          <w:lang w:eastAsia="es-ES"/>
        </w:rPr>
        <w:t xml:space="preserve">  </w:t>
      </w:r>
    </w:p>
    <w:p w:rsidR="0057530D" w:rsidRPr="001D7758" w:rsidRDefault="0057530D" w:rsidP="0057530D">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eastAsiaTheme="minorEastAsia" w:hAnsi="Palatino Linotype"/>
          <w:lang w:eastAsia="es-ES"/>
        </w:rPr>
        <w:t>En el expediente RRA 8080/17, se solicitó información sobre las denuncias presentadas en  contra de Gabino Cué Monteagudo, Gobernador del Estado de Oaxaca en el periodo 2010-2016, en respuesta se determinó que la información era clasificada por tratarse de información que pudiera afectar el prestigio y buen nombre de la persona, en razón de que existe un interés público de acceder a la información por lo que se revocó la respuesta y se ordenó la entrega de la información:</w:t>
      </w:r>
    </w:p>
    <w:p w:rsidR="0057530D" w:rsidRPr="001D7758" w:rsidRDefault="0057530D" w:rsidP="0057530D">
      <w:pPr>
        <w:spacing w:line="360" w:lineRule="auto"/>
        <w:ind w:right="49"/>
        <w:contextualSpacing/>
        <w:jc w:val="both"/>
        <w:rPr>
          <w:rFonts w:ascii="Palatino Linotype" w:eastAsiaTheme="minorEastAsia" w:hAnsi="Palatino Linotype"/>
          <w:lang w:eastAsia="es-ES"/>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lastRenderedPageBreak/>
        <w:t>No obstante, resulta importante destacar que la solicitud está relacionada con las denuncias presentadas en contra de un ex servidor público de alto rango, esto es de un "ex gobernador", por "actos de corrupción".</w:t>
      </w:r>
    </w:p>
    <w:p w:rsidR="0057530D" w:rsidRPr="001D7758" w:rsidRDefault="0057530D" w:rsidP="0057530D">
      <w:pPr>
        <w:spacing w:line="360" w:lineRule="auto"/>
        <w:ind w:left="851" w:right="822"/>
        <w:contextualSpacing/>
        <w:jc w:val="both"/>
        <w:rPr>
          <w:rFonts w:ascii="Palatino Linotype" w:hAnsi="Palatino Linotype"/>
          <w:i/>
          <w:sz w:val="22"/>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Dicha situación adquiere relevancia, en principio porque el particular requiere información intrínsecamente relacionada con el ejercicio del encargo público, al vincular su petición sobre averiguaciones previas con actos de corrupción en contra del servidor público en comento y, el estatus de las mismas. </w:t>
      </w:r>
    </w:p>
    <w:p w:rsidR="0057530D" w:rsidRPr="001D7758" w:rsidRDefault="0057530D" w:rsidP="0057530D">
      <w:pPr>
        <w:spacing w:line="360" w:lineRule="auto"/>
        <w:ind w:left="851" w:right="822"/>
        <w:contextualSpacing/>
        <w:jc w:val="both"/>
        <w:rPr>
          <w:rFonts w:ascii="Palatino Linotype" w:hAnsi="Palatino Linotype"/>
          <w:i/>
          <w:sz w:val="22"/>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Aclarada la interpretación de la solicitud de información, queda evidenciado que no se busca acceder a cualquier tipo de información sobre averiguaciones previas, sino a aquéllas en donde el sujeto pasivo y el tipo penal convergen en una relación que apunta a un interés público, dado que se refiere al número de indagatorias en control de un ex servidor público de envergadura relevante como lo es un ex gobernador y el estatus de las mismas. de manera que surge la interrogante de si en el caso concreto, el interés público de conocer dicha información tendría que prevalecer frente a los derechos de presunción de inocencia, protección de datos, imagen y honor del servidor público. </w:t>
      </w:r>
    </w:p>
    <w:p w:rsidR="0057530D" w:rsidRPr="001D7758" w:rsidRDefault="0057530D" w:rsidP="0057530D">
      <w:pPr>
        <w:spacing w:line="360" w:lineRule="auto"/>
        <w:ind w:left="851" w:right="822"/>
        <w:contextualSpacing/>
        <w:jc w:val="both"/>
        <w:rPr>
          <w:rFonts w:ascii="Palatino Linotype" w:hAnsi="Palatino Linotype"/>
          <w:i/>
          <w:sz w:val="22"/>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Ante tales circunstancias, se advierte que sobreviene una colisión entre derechos fundamentales, esto es. por una parte. se tiene el derecho de acceso a la información de la particular de conocer el número de denuncias presentadas en contra del exgobernador de Oaxaca y su estatus, por delitos cometidos en el ejercicio del encargo, y por la otra, el derecho que tiene dicha persona a la protección de datos que inciden en su presunción de inocencia y esfera privada, en tanto que no se le ha determinado o no se le imputó responsabilidad penal.</w:t>
      </w: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lastRenderedPageBreak/>
        <w:t xml:space="preserve"> </w:t>
      </w: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concreto. </w:t>
      </w:r>
    </w:p>
    <w:p w:rsidR="0057530D" w:rsidRPr="001D7758" w:rsidRDefault="0057530D" w:rsidP="0057530D">
      <w:pPr>
        <w:spacing w:line="360" w:lineRule="auto"/>
        <w:ind w:left="851" w:right="822"/>
        <w:contextualSpacing/>
        <w:jc w:val="both"/>
        <w:rPr>
          <w:rFonts w:ascii="Palatino Linotype" w:hAnsi="Palatino Linotype"/>
          <w:i/>
          <w:sz w:val="22"/>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En el mismo sentido, la presunción de inocencia limita su espacio cuando la investidura de la persona sujeta a investigación ministerial es de relevancia tal que el seguimiento de su actuar, por parte de las autoridades resulta de interés público. </w:t>
      </w:r>
    </w:p>
    <w:p w:rsidR="0057530D" w:rsidRPr="001D7758" w:rsidRDefault="0057530D" w:rsidP="0057530D">
      <w:pPr>
        <w:spacing w:line="360" w:lineRule="auto"/>
        <w:ind w:left="851" w:right="822"/>
        <w:contextualSpacing/>
        <w:jc w:val="both"/>
        <w:rPr>
          <w:rFonts w:ascii="Palatino Linotype" w:hAnsi="Palatino Linotype"/>
          <w:i/>
          <w:sz w:val="22"/>
        </w:rPr>
      </w:pPr>
    </w:p>
    <w:p w:rsidR="0057530D"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De tal manera, es claro que las personas públicas, como las electas democráticamente para desempeñar una gubernatura, deben soportar un mayor nivel de injerencia en sus derechos de la personalidad, como es su privacidad, protección de datos, honor e imagen, así como el de presunción de inocencia, dado el interés social legítimo de recibir información respecto de dicho personaje, para un libre debate público sobre el seguimiento a las imputaciones penales [denuncias] que pudieran tener sobre el ejercicio de su encargo, pues la delimitación o reducción de tales derechos va inmerso al asumir las funciones. </w:t>
      </w:r>
    </w:p>
    <w:p w:rsidR="0057530D" w:rsidRPr="001D7758" w:rsidRDefault="0057530D" w:rsidP="0057530D">
      <w:pPr>
        <w:spacing w:line="360" w:lineRule="auto"/>
        <w:ind w:left="851" w:right="822"/>
        <w:contextualSpacing/>
        <w:jc w:val="both"/>
        <w:rPr>
          <w:rFonts w:ascii="Palatino Linotype" w:hAnsi="Palatino Linotype"/>
          <w:i/>
          <w:sz w:val="22"/>
        </w:rPr>
      </w:pPr>
    </w:p>
    <w:p w:rsidR="004A2DB0" w:rsidRPr="001D7758" w:rsidRDefault="0057530D" w:rsidP="0057530D">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En consecuencia. se advierte que el sacrificio de entregar la información requerida es menor al de otorgar su acceso. en tanto que existe un interés mayor en conocerla, por lo tanto, no es posible clasificarla en términos del artículo 113, fracción 1 de la ley de la materia.</w:t>
      </w:r>
    </w:p>
    <w:p w:rsidR="0057530D" w:rsidRPr="001D7758" w:rsidRDefault="0057530D" w:rsidP="0057530D">
      <w:pPr>
        <w:spacing w:line="360" w:lineRule="auto"/>
        <w:ind w:left="851" w:right="822"/>
        <w:contextualSpacing/>
        <w:jc w:val="both"/>
        <w:rPr>
          <w:rFonts w:ascii="Palatino Linotype" w:eastAsiaTheme="minorEastAsia" w:hAnsi="Palatino Linotype"/>
          <w:lang w:eastAsia="es-ES"/>
        </w:rPr>
      </w:pPr>
    </w:p>
    <w:p w:rsidR="004A2DB0" w:rsidRPr="001D7758" w:rsidRDefault="00B47A2F" w:rsidP="004A2DB0">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eastAsiaTheme="minorEastAsia" w:hAnsi="Palatino Linotype"/>
          <w:lang w:eastAsia="es-ES"/>
        </w:rPr>
        <w:t xml:space="preserve">Por lo que se refiere al expediente RRA 6308/17, se advierte el mismo criterio de favorecer la </w:t>
      </w:r>
      <w:r w:rsidR="003935EB" w:rsidRPr="001D7758">
        <w:rPr>
          <w:rFonts w:ascii="Palatino Linotype" w:eastAsiaTheme="minorEastAsia" w:hAnsi="Palatino Linotype"/>
          <w:lang w:eastAsia="es-ES"/>
        </w:rPr>
        <w:t>transparencia</w:t>
      </w:r>
      <w:r w:rsidRPr="001D7758">
        <w:rPr>
          <w:rFonts w:ascii="Palatino Linotype" w:eastAsiaTheme="minorEastAsia" w:hAnsi="Palatino Linotype"/>
          <w:lang w:eastAsia="es-ES"/>
        </w:rPr>
        <w:t xml:space="preserve"> en la entrega de la información vinculada con el ejercicio </w:t>
      </w:r>
      <w:r w:rsidRPr="001D7758">
        <w:rPr>
          <w:rFonts w:ascii="Palatino Linotype" w:eastAsiaTheme="minorEastAsia" w:hAnsi="Palatino Linotype"/>
          <w:lang w:eastAsia="es-ES"/>
        </w:rPr>
        <w:lastRenderedPageBreak/>
        <w:t xml:space="preserve">de funciones de un alto servidor público en donde se ve inmerso también el principio de presunción de inocencia, </w:t>
      </w:r>
      <w:r w:rsidRPr="001D7758">
        <w:rPr>
          <w:rFonts w:ascii="Palatino Linotype" w:hAnsi="Palatino Linotype"/>
        </w:rPr>
        <w:t>en donde se solicitan los expedientes que recibió la Procuraduría General de la República de la Auditoría Superior de la Federación, contra el ex Gobernador del Estado de Veracruz, Javier Duarte. En respuesta la entonces Procuraduría General de la República refirió que la información no obra en sus archivos, posiblemente por una solicitud de extradición, sin que dicha situación fuera aclarada. Como parte de la investigación del Órgano Garante se acreditó que la Procuraduría recibió la información, por lo que analizó si procedía la entrega y determinó que al existir un interés público, procede ordenar la entrega de la información.</w:t>
      </w:r>
    </w:p>
    <w:p w:rsidR="00B47A2F" w:rsidRPr="001D7758" w:rsidRDefault="00B47A2F" w:rsidP="00B47A2F">
      <w:pPr>
        <w:spacing w:line="360" w:lineRule="auto"/>
        <w:ind w:right="49"/>
        <w:contextualSpacing/>
        <w:jc w:val="both"/>
        <w:rPr>
          <w:rFonts w:ascii="Palatino Linotype" w:eastAsiaTheme="minorEastAsia" w:hAnsi="Palatino Linotype"/>
          <w:lang w:eastAsia="es-ES"/>
        </w:rPr>
      </w:pPr>
    </w:p>
    <w:p w:rsidR="00B47A2F" w:rsidRPr="001D7758" w:rsidRDefault="00B47A2F" w:rsidP="00B47A2F">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Al respecto, cabe destacar que en el caso concreto se requiere Información de Investigaciones respecto de una persona Identificada, Javier Duarte Ochoa, quién en su momento se desempeño como servidor público, por lo que debe tenerse en cuenta que el conocer dicho aspecto se vincula con el ejercicio de sus funciones, por lo que dicha información, aun tratándose de investigaciones en trámite, reviste un interés público dado que da cuenta de su desempeño y del ejercicio de sus funciones.</w:t>
      </w:r>
    </w:p>
    <w:p w:rsidR="00B47A2F" w:rsidRPr="001D7758" w:rsidRDefault="00B47A2F" w:rsidP="00B47A2F">
      <w:pPr>
        <w:spacing w:line="360" w:lineRule="auto"/>
        <w:ind w:left="851" w:right="822"/>
        <w:contextualSpacing/>
        <w:jc w:val="both"/>
        <w:rPr>
          <w:rFonts w:ascii="Palatino Linotype" w:hAnsi="Palatino Linotype"/>
          <w:i/>
          <w:sz w:val="22"/>
        </w:rPr>
      </w:pPr>
    </w:p>
    <w:p w:rsidR="00B47A2F" w:rsidRPr="001D7758" w:rsidRDefault="00B47A2F" w:rsidP="00B47A2F">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Es decir en virtud de que el hoy recurrente requirió información relacionada con las investigaciones presentadas en contra de una persona determinada y sobre su procedimiento de extradición internacional, este Instituto ha considerado procedente la entrega de d1cha información, al tratarse de un ex servidor público, y por ende prevalecer el interés público de conocer respecto del ejercicio de sus funciones. </w:t>
      </w:r>
    </w:p>
    <w:p w:rsidR="00B47A2F" w:rsidRPr="001D7758" w:rsidRDefault="00B47A2F" w:rsidP="00B47A2F">
      <w:pPr>
        <w:spacing w:line="360" w:lineRule="auto"/>
        <w:ind w:left="851" w:right="822"/>
        <w:contextualSpacing/>
        <w:jc w:val="both"/>
        <w:rPr>
          <w:rFonts w:ascii="Palatino Linotype" w:hAnsi="Palatino Linotype"/>
          <w:i/>
          <w:sz w:val="22"/>
        </w:rPr>
      </w:pPr>
    </w:p>
    <w:p w:rsidR="00B47A2F" w:rsidRPr="001D7758" w:rsidRDefault="00B47A2F" w:rsidP="00B47A2F">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lastRenderedPageBreak/>
        <w:t xml:space="preserve">Lo anterior, toda vez que se determinó que proporcionar la informac1ón de referencia, garantizarla la rendición de cuentas por parte del Estado sobre su actuación, teniendo como consecuencia que los ciudadanos tengan confianza en sus autoridades, al poder conocer las Investigaciones a su cargo y, en su momento, exigir una rendición de cuentas sobre su resultado. </w:t>
      </w:r>
    </w:p>
    <w:p w:rsidR="00B47A2F" w:rsidRPr="001D7758" w:rsidRDefault="00B47A2F" w:rsidP="00B47A2F">
      <w:pPr>
        <w:spacing w:line="360" w:lineRule="auto"/>
        <w:ind w:left="851" w:right="822"/>
        <w:contextualSpacing/>
        <w:jc w:val="both"/>
        <w:rPr>
          <w:rFonts w:ascii="Palatino Linotype" w:hAnsi="Palatino Linotype"/>
          <w:i/>
          <w:sz w:val="22"/>
        </w:rPr>
      </w:pPr>
    </w:p>
    <w:p w:rsidR="00B47A2F" w:rsidRPr="001D7758" w:rsidRDefault="00B47A2F" w:rsidP="00B47A2F">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 xml:space="preserve">Por lo anterior, este Instituto determinó que el interés de proteger las averiguaciones previas o carpetas de investigación relacionadas con el funcionario en cuestión se ve superado por la necesidad imperiosa de que la sociedad pueda conocer SI, en estos lastimosos hechos, la autoridad ha actuado con legalidad y, en ese sentido, si se están llevando a cabo todas las d1hgenc1as necesarias para llegar a la verdad h1stónca de los hechos y por ende a una efectiva impartición de justicia. </w:t>
      </w:r>
    </w:p>
    <w:p w:rsidR="00B47A2F" w:rsidRPr="001D7758" w:rsidRDefault="00B47A2F" w:rsidP="00B47A2F">
      <w:pPr>
        <w:spacing w:line="360" w:lineRule="auto"/>
        <w:ind w:left="851" w:right="822"/>
        <w:contextualSpacing/>
        <w:jc w:val="both"/>
        <w:rPr>
          <w:rFonts w:ascii="Palatino Linotype" w:hAnsi="Palatino Linotype"/>
          <w:i/>
          <w:sz w:val="22"/>
        </w:rPr>
      </w:pPr>
    </w:p>
    <w:p w:rsidR="00B47A2F" w:rsidRPr="001D7758" w:rsidRDefault="00B47A2F" w:rsidP="00B47A2F">
      <w:pPr>
        <w:spacing w:line="360" w:lineRule="auto"/>
        <w:ind w:left="851" w:right="822"/>
        <w:contextualSpacing/>
        <w:jc w:val="both"/>
        <w:rPr>
          <w:rFonts w:ascii="Palatino Linotype" w:hAnsi="Palatino Linotype"/>
          <w:i/>
          <w:sz w:val="22"/>
        </w:rPr>
      </w:pPr>
      <w:r w:rsidRPr="001D7758">
        <w:rPr>
          <w:rFonts w:ascii="Palatino Linotype" w:hAnsi="Palatino Linotype"/>
          <w:i/>
          <w:sz w:val="22"/>
        </w:rPr>
        <w:t>En tal virtud, el Pleno de este Instituto estableció que, por la trascendencia social del caso, la posible reserva de la Información requerida do ninguna manera debla obstruir el derecho de acceso a la información.</w:t>
      </w:r>
    </w:p>
    <w:p w:rsidR="00B47A2F" w:rsidRPr="001D7758" w:rsidRDefault="00B47A2F" w:rsidP="00B47A2F">
      <w:pPr>
        <w:spacing w:line="360" w:lineRule="auto"/>
        <w:ind w:left="851" w:right="822"/>
        <w:contextualSpacing/>
        <w:jc w:val="both"/>
        <w:rPr>
          <w:rFonts w:ascii="Palatino Linotype" w:eastAsiaTheme="minorEastAsia" w:hAnsi="Palatino Linotype"/>
          <w:i/>
          <w:sz w:val="22"/>
          <w:lang w:eastAsia="es-ES"/>
        </w:rPr>
      </w:pPr>
    </w:p>
    <w:p w:rsidR="004A2DB0" w:rsidRPr="001D7758" w:rsidRDefault="00B47A2F" w:rsidP="004A2DB0">
      <w:pPr>
        <w:numPr>
          <w:ilvl w:val="0"/>
          <w:numId w:val="1"/>
        </w:numPr>
        <w:spacing w:line="360" w:lineRule="auto"/>
        <w:ind w:left="0" w:right="49" w:firstLine="0"/>
        <w:contextualSpacing/>
        <w:jc w:val="both"/>
        <w:rPr>
          <w:rFonts w:ascii="Palatino Linotype" w:eastAsiaTheme="minorEastAsia" w:hAnsi="Palatino Linotype"/>
          <w:lang w:eastAsia="es-ES"/>
        </w:rPr>
      </w:pPr>
      <w:r w:rsidRPr="001D7758">
        <w:rPr>
          <w:rFonts w:ascii="Palatino Linotype" w:hAnsi="Palatino Linotype"/>
        </w:rPr>
        <w:t>En ambos casos, se advierte que no obstante la información solicitada formaba parte de carpetas de investigación en trámite, el Órgano Garante al advertir interés público en la información solicitada determinó que la información debe ser pública, sin que ello suponga una violación a la presunción de inocencia.</w:t>
      </w:r>
    </w:p>
    <w:p w:rsidR="002F75E0" w:rsidRPr="00B47A2F" w:rsidRDefault="002F75E0" w:rsidP="00B47A2F">
      <w:pPr>
        <w:spacing w:line="360" w:lineRule="auto"/>
        <w:ind w:right="49"/>
        <w:contextualSpacing/>
        <w:jc w:val="both"/>
        <w:rPr>
          <w:rFonts w:ascii="Palatino Linotype" w:eastAsiaTheme="minorEastAsia" w:hAnsi="Palatino Linotype"/>
          <w:lang w:val="es-ES" w:eastAsia="es-ES"/>
        </w:rPr>
      </w:pPr>
    </w:p>
    <w:p w:rsidR="002F75E0" w:rsidRPr="001A51C6" w:rsidRDefault="002F75E0" w:rsidP="00B34C01">
      <w:pPr>
        <w:pStyle w:val="Prrafodelista"/>
        <w:numPr>
          <w:ilvl w:val="0"/>
          <w:numId w:val="17"/>
        </w:numPr>
        <w:spacing w:line="360" w:lineRule="auto"/>
        <w:ind w:right="49"/>
        <w:jc w:val="both"/>
        <w:rPr>
          <w:rFonts w:ascii="Palatino Linotype" w:eastAsiaTheme="minorEastAsia" w:hAnsi="Palatino Linotype"/>
          <w:b/>
          <w:lang w:val="es-ES" w:eastAsia="es-ES"/>
        </w:rPr>
      </w:pPr>
      <w:r w:rsidRPr="001A51C6">
        <w:rPr>
          <w:rFonts w:ascii="Palatino Linotype" w:eastAsiaTheme="minorEastAsia" w:hAnsi="Palatino Linotype"/>
          <w:b/>
          <w:lang w:val="es-ES" w:eastAsia="es-ES"/>
        </w:rPr>
        <w:t xml:space="preserve">De la reserva de la información </w:t>
      </w:r>
    </w:p>
    <w:p w:rsidR="00314A49" w:rsidRPr="001A51C6" w:rsidRDefault="00314A49"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E50E78" w:rsidRPr="001A51C6" w:rsidRDefault="003F6053"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E</w:t>
      </w:r>
      <w:r w:rsidR="00CD6239" w:rsidRPr="001A51C6">
        <w:rPr>
          <w:rFonts w:ascii="Palatino Linotype" w:eastAsia="MS Mincho" w:hAnsi="Palatino Linotype"/>
          <w:sz w:val="24"/>
          <w:lang w:val="es-ES" w:eastAsia="es-ES"/>
        </w:rPr>
        <w:t xml:space="preserve">s conveniente referir que para el caso de que de que efectivamente se actualice alguna causal de reserva contemplada en el artículo 140 de la Ley de Transparencia y </w:t>
      </w:r>
      <w:r w:rsidR="00CD6239" w:rsidRPr="001A51C6">
        <w:rPr>
          <w:rFonts w:ascii="Palatino Linotype" w:eastAsia="MS Mincho" w:hAnsi="Palatino Linotype"/>
          <w:sz w:val="24"/>
          <w:lang w:val="es-ES" w:eastAsia="es-ES"/>
        </w:rPr>
        <w:lastRenderedPageBreak/>
        <w:t xml:space="preserve">Acceso a la Información Pública del Estado de México y Municipios </w:t>
      </w:r>
      <w:r w:rsidR="00314A49" w:rsidRPr="001A51C6">
        <w:rPr>
          <w:rFonts w:ascii="Palatino Linotype" w:eastAsia="MS Mincho" w:hAnsi="Palatino Linotype"/>
          <w:sz w:val="24"/>
          <w:lang w:val="es-ES" w:eastAsia="es-ES"/>
        </w:rPr>
        <w:t>, el Sujeto Obligado deberá emitir acuerdo debidamente fundado y motivado cumpliendo cabalmente las formalidades previstas en los artículos 47, 49 fracción VIII, 122, 125, 128, 129, 131, 132 fracción II, 133, 134, 140 fracción VI  y  141 de la Ley de Transparencia y Acceso a la Información Pública del Estado de México y Municipios, que se transmiten a continuación:</w:t>
      </w:r>
    </w:p>
    <w:p w:rsidR="00314A49" w:rsidRPr="001A51C6" w:rsidRDefault="00314A49"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314A49" w:rsidRPr="001A51C6" w:rsidRDefault="00F5681E" w:rsidP="00B34C01">
      <w:pPr>
        <w:pStyle w:val="Prrafodelista"/>
        <w:autoSpaceDE w:val="0"/>
        <w:autoSpaceDN w:val="0"/>
        <w:adjustRightInd w:val="0"/>
        <w:spacing w:line="360" w:lineRule="auto"/>
        <w:ind w:left="851" w:right="822"/>
        <w:jc w:val="both"/>
        <w:rPr>
          <w:rFonts w:ascii="Palatino Linotype" w:eastAsia="MS Mincho" w:hAnsi="Palatino Linotype"/>
          <w:i/>
          <w:szCs w:val="22"/>
          <w:lang w:eastAsia="es-ES"/>
        </w:rPr>
      </w:pPr>
      <w:r w:rsidRPr="001A51C6">
        <w:rPr>
          <w:rFonts w:ascii="Palatino Linotype" w:eastAsia="MS Mincho" w:hAnsi="Palatino Linotype"/>
          <w:i/>
          <w:szCs w:val="22"/>
          <w:lang w:eastAsia="es-ES"/>
        </w:rPr>
        <w:t>“</w:t>
      </w:r>
      <w:r w:rsidR="00314A49" w:rsidRPr="001A51C6">
        <w:rPr>
          <w:rFonts w:ascii="Palatino Linotype" w:eastAsia="MS Mincho" w:hAnsi="Palatino Linotype"/>
          <w:i/>
          <w:szCs w:val="22"/>
          <w:lang w:eastAsia="es-ES"/>
        </w:rPr>
        <w:t>Artículo 47. El Comité de Transparencia será la autoridad máxima al interior del sujeto obligado en materia del derecho de acceso a la información.</w:t>
      </w:r>
    </w:p>
    <w:p w:rsidR="00314A49" w:rsidRPr="001A51C6" w:rsidRDefault="00314A49" w:rsidP="00B34C01">
      <w:pPr>
        <w:pStyle w:val="Prrafodelista"/>
        <w:autoSpaceDE w:val="0"/>
        <w:autoSpaceDN w:val="0"/>
        <w:adjustRightInd w:val="0"/>
        <w:spacing w:line="360" w:lineRule="auto"/>
        <w:ind w:left="851" w:right="822"/>
        <w:jc w:val="both"/>
        <w:rPr>
          <w:rFonts w:ascii="Palatino Linotype" w:eastAsia="MS Mincho" w:hAnsi="Palatino Linotype"/>
          <w:i/>
          <w:szCs w:val="22"/>
          <w:lang w:eastAsia="es-ES"/>
        </w:rPr>
      </w:pPr>
      <w:r w:rsidRPr="001A51C6">
        <w:rPr>
          <w:rFonts w:ascii="Palatino Linotype" w:eastAsia="MS Mincho" w:hAnsi="Palatino Linotype"/>
          <w:i/>
          <w:szCs w:val="22"/>
          <w:lang w:eastAsia="es-ES"/>
        </w:rPr>
        <w:t>…</w:t>
      </w:r>
    </w:p>
    <w:p w:rsidR="00314A49" w:rsidRPr="001A51C6" w:rsidRDefault="00314A49"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Los titulares de las unidades administrativas que propongan la reserva, confidencialidad o declaren la inexistencia de información, acudirán a las sesiones de dicho Comité donde se discuta la propuesta correspondiente.</w:t>
      </w:r>
    </w:p>
    <w:p w:rsidR="00314A49" w:rsidRPr="001A51C6" w:rsidRDefault="00314A49"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Artículo 49. Los Comités de Transparencia tendrán las siguientes atribuciones:</w:t>
      </w:r>
    </w:p>
    <w:p w:rsidR="00314A49"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VIII. Aprobar, modificar o revocar la clasificación de la información;</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122. La clasificación es el proceso mediante el cual el sujeto obligado determina que la información en su poder actualiza alguno de los supuestos de reserva o confidencialidad, de conformidad con lo dispuesto en el presente título.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Los supuestos de reserva o confidencialidad previstos en las leyes deberán ser acordes con las bases, principios y disposiciones establecidos en la Ley General y, en ningún caso, podrán contravenirla.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Los titulares de las áreas de los sujetos obligados serán los responsables de clasificar la información, de conformidad con lo dispuesto en la presente Ley y demás disposiciones jurídicas aplicables.</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lastRenderedPageBreak/>
        <w:t xml:space="preserve">Artículo 125.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 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128. En los casos en que se niegue el acceso a la información, por actualizarse alguno de los supuestos de clasificación, el Comité de Transparencia deberá confirmar, modificar o revocar la decisión.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w:t>
      </w:r>
      <w:r w:rsidRPr="001A51C6">
        <w:rPr>
          <w:rFonts w:ascii="Palatino Linotype" w:hAnsi="Palatino Linotype"/>
          <w:i/>
          <w:szCs w:val="22"/>
        </w:rPr>
        <w:lastRenderedPageBreak/>
        <w:t xml:space="preserve">norma legal invocada como fundamento. Además, el sujeto obligado deberá, en todo momento, aplicar una prueba de daño.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Tratándose de aquélla información que actualice los supuestos de clasificación, deberá señalarse el plazo al que estará sujeto la reserva.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129. En la aplicación de la prueba de daño, el sujeto obligado deberá precisar las razones objetivas por las que la apertura de la información generaría una afectación, justificando que: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I. La divulgación de la información representa un riesgo real, demostrable e identificable del perjuicio significativo al interés público o a la seguridad pública;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II. El riesgo de perjuicio que supondría la divulgación supera el interés público general de que se difunda; y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III. La limitación se adecua al principio de proporcionalidad y representa el medio menos restrictivo disponible representa el medio menos restrictivo disponible para evitar el perjuicio.</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132. La clasificación de la información se llevará a cabo en el momento en que: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II. Se determine mediante resolución de autoridad competente; o</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lastRenderedPageBreak/>
        <w:t xml:space="preserve">Artículo 133. Los documentos clasificados total o parcialmente deberán llevar una leyenda que indique tal carácter, la fecha de clasificación, el fundamento legal y, en su caso, el periodo de reserva.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 xml:space="preserve">En ningún caso se podrán clasificar documentos antes de que se genere la información. </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La clasificación de información se realizará conforme a un análisis caso por caso, mediante la aplicación de la prueba de daño.</w:t>
      </w:r>
    </w:p>
    <w:p w:rsidR="003343C8" w:rsidRPr="001A51C6" w:rsidRDefault="003343C8" w:rsidP="00B34C01">
      <w:pPr>
        <w:pStyle w:val="Prrafodelista"/>
        <w:autoSpaceDE w:val="0"/>
        <w:autoSpaceDN w:val="0"/>
        <w:adjustRightInd w:val="0"/>
        <w:spacing w:line="360" w:lineRule="auto"/>
        <w:ind w:left="851" w:right="822"/>
        <w:jc w:val="both"/>
        <w:rPr>
          <w:rFonts w:ascii="Palatino Linotype" w:hAnsi="Palatino Linotype"/>
          <w:i/>
          <w:szCs w:val="22"/>
        </w:rPr>
      </w:pP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Artículo 140. El acceso a la información pública será restringido excepcionalmente, cuando por razones de interés público, ésta sea clasificada como reservada, conforme a los criterios siguientes:</w:t>
      </w: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w:t>
      </w:r>
    </w:p>
    <w:p w:rsidR="00F5681E" w:rsidRPr="001A51C6" w:rsidRDefault="00D212C6" w:rsidP="00B34C01">
      <w:pPr>
        <w:pStyle w:val="Prrafodelista"/>
        <w:autoSpaceDE w:val="0"/>
        <w:autoSpaceDN w:val="0"/>
        <w:adjustRightInd w:val="0"/>
        <w:spacing w:line="360" w:lineRule="auto"/>
        <w:ind w:left="851" w:right="822"/>
        <w:jc w:val="both"/>
        <w:rPr>
          <w:rFonts w:ascii="Palatino Linotype" w:hAnsi="Palatino Linotype"/>
          <w:b/>
          <w:i/>
          <w:szCs w:val="22"/>
        </w:rPr>
      </w:pPr>
      <w:r w:rsidRPr="001A51C6">
        <w:rPr>
          <w:rFonts w:ascii="Palatino Linotype" w:hAnsi="Palatino Linotype"/>
          <w:b/>
          <w:i/>
          <w:szCs w:val="22"/>
        </w:rPr>
        <w:t>IX. Se encuentre contenida dentro de las investigaciones de hechos que la Ley señale como delitos y se tramiten ante el Ministerio Público;</w:t>
      </w:r>
      <w:r w:rsidR="00F5681E" w:rsidRPr="001A51C6">
        <w:rPr>
          <w:rFonts w:ascii="Palatino Linotype" w:hAnsi="Palatino Linotype"/>
          <w:b/>
          <w:i/>
          <w:szCs w:val="22"/>
        </w:rPr>
        <w:t>…</w:t>
      </w:r>
    </w:p>
    <w:p w:rsidR="003343C8" w:rsidRPr="001A51C6" w:rsidRDefault="003343C8" w:rsidP="00B34C01">
      <w:pPr>
        <w:pStyle w:val="Prrafodelista"/>
        <w:autoSpaceDE w:val="0"/>
        <w:autoSpaceDN w:val="0"/>
        <w:adjustRightInd w:val="0"/>
        <w:spacing w:line="360" w:lineRule="auto"/>
        <w:ind w:left="851" w:right="822"/>
        <w:jc w:val="both"/>
        <w:rPr>
          <w:rFonts w:ascii="Palatino Linotype" w:hAnsi="Palatino Linotype"/>
          <w:i/>
          <w:szCs w:val="22"/>
        </w:rPr>
      </w:pPr>
    </w:p>
    <w:p w:rsidR="00F5681E" w:rsidRPr="001A51C6" w:rsidRDefault="00F5681E" w:rsidP="00B34C01">
      <w:pPr>
        <w:pStyle w:val="Prrafodelista"/>
        <w:autoSpaceDE w:val="0"/>
        <w:autoSpaceDN w:val="0"/>
        <w:adjustRightInd w:val="0"/>
        <w:spacing w:line="360" w:lineRule="auto"/>
        <w:ind w:left="851" w:right="822"/>
        <w:jc w:val="both"/>
        <w:rPr>
          <w:rFonts w:ascii="Palatino Linotype" w:hAnsi="Palatino Linotype"/>
          <w:i/>
          <w:szCs w:val="22"/>
        </w:rPr>
      </w:pPr>
      <w:r w:rsidRPr="001A51C6">
        <w:rPr>
          <w:rFonts w:ascii="Palatino Linotype" w:hAnsi="Palatino Linotype"/>
          <w:i/>
          <w:szCs w:val="22"/>
        </w:rPr>
        <w:t>Artículo 141. Las causales de reserva previstas en este Capítulo se deberán fundar y motivar, a través de la aplicación de la prueba de daño a la que se hace referencia en el presente Título.”</w:t>
      </w:r>
    </w:p>
    <w:p w:rsidR="00C47188" w:rsidRPr="001A51C6" w:rsidRDefault="00C47188"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B901C4" w:rsidRPr="001A51C6" w:rsidRDefault="00B901C4"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 xml:space="preserve">En ese sentido, conforme al artículo 134 de la Ley de Transparencia y Acceso a la Información Pública del Estado de México y Municipios, como el Sexto de los </w:t>
      </w:r>
      <w:r w:rsidRPr="001A51C6">
        <w:rPr>
          <w:rFonts w:ascii="Palatino Linotype" w:eastAsia="MS Mincho" w:hAnsi="Palatino Linotype"/>
          <w:sz w:val="24"/>
          <w:lang w:val="es-ES" w:eastAsia="es-ES"/>
        </w:rPr>
        <w:lastRenderedPageBreak/>
        <w:t>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 Además, el Octavo de los Lineamientos Generales, que precisa lo siguiente:</w:t>
      </w:r>
    </w:p>
    <w:p w:rsidR="00B901C4" w:rsidRPr="001A51C6" w:rsidRDefault="00B901C4" w:rsidP="00B34C01">
      <w:pPr>
        <w:pStyle w:val="Prrafodelista"/>
        <w:tabs>
          <w:tab w:val="left" w:pos="1942"/>
        </w:tabs>
        <w:autoSpaceDE w:val="0"/>
        <w:autoSpaceDN w:val="0"/>
        <w:adjustRightInd w:val="0"/>
        <w:spacing w:line="360" w:lineRule="auto"/>
        <w:ind w:left="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ab/>
      </w:r>
    </w:p>
    <w:p w:rsidR="00B901C4" w:rsidRPr="001A51C6" w:rsidRDefault="00B901C4" w:rsidP="00B34C01">
      <w:pPr>
        <w:pStyle w:val="Prrafodelista"/>
        <w:numPr>
          <w:ilvl w:val="0"/>
          <w:numId w:val="17"/>
        </w:numPr>
        <w:autoSpaceDE w:val="0"/>
        <w:autoSpaceDN w:val="0"/>
        <w:adjustRightInd w:val="0"/>
        <w:spacing w:line="360" w:lineRule="auto"/>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Para fundar la clasificación de la información se deberán señalar el artículo, fracción, inciso, párrafo o numeral de la Ley aplicable;</w:t>
      </w:r>
    </w:p>
    <w:p w:rsidR="00B901C4" w:rsidRPr="001A51C6" w:rsidRDefault="00B901C4" w:rsidP="00B34C01">
      <w:pPr>
        <w:pStyle w:val="Prrafodelista"/>
        <w:numPr>
          <w:ilvl w:val="0"/>
          <w:numId w:val="17"/>
        </w:numPr>
        <w:autoSpaceDE w:val="0"/>
        <w:autoSpaceDN w:val="0"/>
        <w:adjustRightInd w:val="0"/>
        <w:spacing w:line="360" w:lineRule="auto"/>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Para motivar la clasificación se deberán indicar las razones y circunstancias especiales que lo llevaron a concluir que el caso particular se ajusta al supuesto previsto por la norma legal invocada.</w:t>
      </w:r>
    </w:p>
    <w:p w:rsidR="00B901C4" w:rsidRPr="001A51C6" w:rsidRDefault="00B901C4"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B901C4" w:rsidRPr="001A51C6" w:rsidRDefault="00B901C4"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B901C4" w:rsidRPr="001A51C6" w:rsidRDefault="00B901C4" w:rsidP="00B34C01">
      <w:pPr>
        <w:pStyle w:val="Prrafodelista"/>
        <w:autoSpaceDE w:val="0"/>
        <w:autoSpaceDN w:val="0"/>
        <w:adjustRightInd w:val="0"/>
        <w:spacing w:line="360" w:lineRule="auto"/>
        <w:ind w:left="360"/>
        <w:jc w:val="both"/>
        <w:rPr>
          <w:rFonts w:ascii="Palatino Linotype" w:eastAsia="MS Mincho" w:hAnsi="Palatino Linotype"/>
          <w:sz w:val="24"/>
          <w:lang w:val="es-ES" w:eastAsia="es-ES"/>
        </w:rPr>
      </w:pPr>
    </w:p>
    <w:p w:rsidR="00B901C4" w:rsidRPr="001A51C6" w:rsidRDefault="00B901C4" w:rsidP="00B34C01">
      <w:pPr>
        <w:pStyle w:val="Prrafodelista"/>
        <w:autoSpaceDE w:val="0"/>
        <w:autoSpaceDN w:val="0"/>
        <w:adjustRightInd w:val="0"/>
        <w:spacing w:line="360" w:lineRule="auto"/>
        <w:ind w:left="360"/>
        <w:jc w:val="both"/>
        <w:rPr>
          <w:rFonts w:ascii="Palatino Linotype" w:eastAsia="MS Mincho" w:hAnsi="Palatino Linotype"/>
          <w:i/>
          <w:lang w:val="es-ES" w:eastAsia="es-ES"/>
        </w:rPr>
      </w:pPr>
      <w:r w:rsidRPr="001A51C6">
        <w:rPr>
          <w:rFonts w:ascii="Palatino Linotype" w:eastAsia="MS Mincho" w:hAnsi="Palatino Linotype"/>
          <w:i/>
          <w:lang w:val="es-ES" w:eastAsia="es-ES"/>
        </w:rPr>
        <w:t xml:space="preserve">“FUNDAMENTACION Y MOTIVACION, CONCEPTO DE. La garantía de legalidad consagrada en el artículo 16 de nuestra Carta Magna, establece que todo acto de autoridad precisa </w:t>
      </w:r>
      <w:r w:rsidRPr="001A51C6">
        <w:rPr>
          <w:rFonts w:ascii="Palatino Linotype" w:eastAsia="MS Mincho" w:hAnsi="Palatino Linotype"/>
          <w:i/>
          <w:lang w:val="es-ES" w:eastAsia="es-ES"/>
        </w:rPr>
        <w:lastRenderedPageBreak/>
        <w:t>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B901C4" w:rsidRPr="001A51C6" w:rsidRDefault="00B901C4"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AA7F3D" w:rsidRPr="001A51C6" w:rsidRDefault="00B901C4"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Asimismo, no</w:t>
      </w:r>
      <w:r w:rsidR="00563BAA" w:rsidRPr="001A51C6">
        <w:rPr>
          <w:rFonts w:ascii="Palatino Linotype" w:eastAsia="MS Mincho" w:hAnsi="Palatino Linotype"/>
          <w:sz w:val="24"/>
          <w:lang w:val="es-ES" w:eastAsia="es-ES"/>
        </w:rPr>
        <w:t xml:space="preserve"> se debe perder de vista que para clasificar como reservada la información, se debe desarrollar la prueba de daño que debe ser acorde a lo establecido por la ley aplicable y debe ser de acuerdo a un razonamiento lógico jurídico que justifique la hipótesis de la pretendida clasificación, y acompañar el respectivo acuerdo de clasificación. </w:t>
      </w:r>
    </w:p>
    <w:p w:rsidR="003F6053" w:rsidRPr="001A51C6" w:rsidRDefault="003F6053"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563BAA" w:rsidRPr="001A51C6" w:rsidRDefault="00563BAA"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8"/>
          <w:lang w:val="es-ES" w:eastAsia="es-ES"/>
        </w:rPr>
      </w:pPr>
      <w:r w:rsidRPr="001A51C6">
        <w:rPr>
          <w:rFonts w:ascii="Palatino Linotype" w:eastAsia="MS Mincho" w:hAnsi="Palatino Linotype"/>
          <w:sz w:val="24"/>
          <w:lang w:val="es-ES" w:eastAsia="es-ES"/>
        </w:rPr>
        <w:t xml:space="preserve">En este caso, el artículo 4 de la ley de Transparencia </w:t>
      </w:r>
      <w:r w:rsidR="00AA7F3D" w:rsidRPr="001A51C6">
        <w:rPr>
          <w:rFonts w:ascii="Palatino Linotype" w:eastAsia="MS Mincho" w:hAnsi="Palatino Linotype"/>
          <w:sz w:val="24"/>
          <w:lang w:val="es-ES" w:eastAsia="es-ES"/>
        </w:rPr>
        <w:t xml:space="preserve">del Estado de México señala que </w:t>
      </w:r>
      <w:r w:rsidR="00AA7F3D" w:rsidRPr="001A51C6">
        <w:rPr>
          <w:rFonts w:ascii="Palatino Linotype" w:hAnsi="Palatino Linotype"/>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sin embargo, el mismo precepto legal establece que podrá ser clasificada excepcionalmente como reservada temporalmente por razones de interés público, en los términos de las causas legítimas y estrictamente necesarias previstas por esta Ley.</w:t>
      </w:r>
    </w:p>
    <w:p w:rsidR="003C00B9" w:rsidRPr="001A51C6" w:rsidRDefault="003C00B9"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3F6053" w:rsidRPr="001A51C6" w:rsidRDefault="003C00B9"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 xml:space="preserve">Sin embargo, es importante señalar, que la pretendida reserva de la información, </w:t>
      </w:r>
      <w:r w:rsidR="00506DD7" w:rsidRPr="001A51C6">
        <w:rPr>
          <w:rFonts w:ascii="Palatino Linotype" w:eastAsia="MS Mincho" w:hAnsi="Palatino Linotype"/>
          <w:sz w:val="24"/>
          <w:lang w:val="es-ES" w:eastAsia="es-ES"/>
        </w:rPr>
        <w:t xml:space="preserve">no se encuentra debidamente fundada y motivada, pues no se acreditó </w:t>
      </w:r>
      <w:r w:rsidR="00506DD7" w:rsidRPr="001A51C6">
        <w:rPr>
          <w:rFonts w:ascii="Palatino Linotype" w:eastAsia="MS Mincho" w:hAnsi="Palatino Linotype"/>
          <w:sz w:val="24"/>
          <w:lang w:val="es-ES" w:eastAsia="es-ES"/>
        </w:rPr>
        <w:lastRenderedPageBreak/>
        <w:t>de forma específica el riesgo real, demostrable e identi</w:t>
      </w:r>
      <w:r w:rsidR="00AA7F3D" w:rsidRPr="001A51C6">
        <w:rPr>
          <w:rFonts w:ascii="Palatino Linotype" w:eastAsia="MS Mincho" w:hAnsi="Palatino Linotype"/>
          <w:sz w:val="24"/>
          <w:lang w:val="es-ES" w:eastAsia="es-ES"/>
        </w:rPr>
        <w:t xml:space="preserve">ficable que </w:t>
      </w:r>
      <w:r w:rsidR="003F6053" w:rsidRPr="001A51C6">
        <w:rPr>
          <w:rFonts w:ascii="Palatino Linotype" w:eastAsia="MS Mincho" w:hAnsi="Palatino Linotype"/>
          <w:sz w:val="24"/>
          <w:lang w:val="es-ES" w:eastAsia="es-ES"/>
        </w:rPr>
        <w:t xml:space="preserve">podría causar la entrega </w:t>
      </w:r>
      <w:r w:rsidR="00C80E38" w:rsidRPr="001A51C6">
        <w:rPr>
          <w:rFonts w:ascii="Palatino Linotype" w:eastAsia="MS Mincho" w:hAnsi="Palatino Linotype"/>
          <w:sz w:val="24"/>
          <w:lang w:val="es-ES" w:eastAsia="es-ES"/>
        </w:rPr>
        <w:t xml:space="preserve">del número de carpeta de investigación así como </w:t>
      </w:r>
      <w:r w:rsidR="003F6053" w:rsidRPr="001A51C6">
        <w:rPr>
          <w:rFonts w:ascii="Palatino Linotype" w:eastAsia="MS Mincho" w:hAnsi="Palatino Linotype"/>
          <w:sz w:val="24"/>
          <w:lang w:val="es-ES" w:eastAsia="es-ES"/>
        </w:rPr>
        <w:t>el cargo o puesto</w:t>
      </w:r>
      <w:r w:rsidR="00C80E38" w:rsidRPr="001A51C6">
        <w:rPr>
          <w:rFonts w:ascii="Palatino Linotype" w:eastAsia="MS Mincho" w:hAnsi="Palatino Linotype"/>
          <w:sz w:val="24"/>
          <w:lang w:val="es-ES" w:eastAsia="es-ES"/>
        </w:rPr>
        <w:t xml:space="preserve"> </w:t>
      </w:r>
      <w:r w:rsidR="003F6053" w:rsidRPr="001A51C6">
        <w:rPr>
          <w:rFonts w:ascii="Palatino Linotype" w:eastAsia="MS Mincho" w:hAnsi="Palatino Linotype"/>
          <w:sz w:val="24"/>
          <w:lang w:val="es-ES" w:eastAsia="es-ES"/>
        </w:rPr>
        <w:t xml:space="preserve">que ostentan los servidores públicos a quien se les inicio la carpeta de investigación, es decir, se </w:t>
      </w:r>
      <w:r w:rsidR="00C80E38" w:rsidRPr="001A51C6">
        <w:rPr>
          <w:rFonts w:ascii="Palatino Linotype" w:eastAsia="MS Mincho" w:hAnsi="Palatino Linotype"/>
          <w:sz w:val="24"/>
          <w:lang w:val="es-ES" w:eastAsia="es-ES"/>
        </w:rPr>
        <w:t xml:space="preserve">solo se </w:t>
      </w:r>
      <w:r w:rsidR="003F6053" w:rsidRPr="001A51C6">
        <w:rPr>
          <w:rFonts w:ascii="Palatino Linotype" w:eastAsia="MS Mincho" w:hAnsi="Palatino Linotype"/>
          <w:sz w:val="24"/>
          <w:lang w:val="es-ES" w:eastAsia="es-ES"/>
        </w:rPr>
        <w:t xml:space="preserve">realizó una </w:t>
      </w:r>
      <w:r w:rsidR="0074331D" w:rsidRPr="001A51C6">
        <w:rPr>
          <w:rFonts w:ascii="Palatino Linotype" w:eastAsia="MS Mincho" w:hAnsi="Palatino Linotype"/>
          <w:sz w:val="24"/>
          <w:lang w:val="es-ES" w:eastAsia="es-ES"/>
        </w:rPr>
        <w:t>reserva de forma general, como se observa en las siguientes imágenes:</w:t>
      </w:r>
    </w:p>
    <w:p w:rsidR="0074331D" w:rsidRPr="001A51C6" w:rsidRDefault="0074331D" w:rsidP="00B34C01">
      <w:pPr>
        <w:pStyle w:val="Prrafodelista"/>
        <w:autoSpaceDE w:val="0"/>
        <w:autoSpaceDN w:val="0"/>
        <w:adjustRightInd w:val="0"/>
        <w:spacing w:line="360" w:lineRule="auto"/>
        <w:ind w:left="0"/>
        <w:jc w:val="both"/>
        <w:rPr>
          <w:rFonts w:ascii="Palatino Linotype" w:eastAsia="MS Mincho" w:hAnsi="Palatino Linotype"/>
          <w:sz w:val="24"/>
          <w:lang w:val="es-ES" w:eastAsia="es-ES"/>
        </w:rPr>
      </w:pPr>
    </w:p>
    <w:p w:rsidR="003F6053" w:rsidRPr="001A51C6" w:rsidRDefault="00EC2B48" w:rsidP="00B34C01">
      <w:pPr>
        <w:pStyle w:val="Prrafodelista"/>
        <w:autoSpaceDE w:val="0"/>
        <w:autoSpaceDN w:val="0"/>
        <w:adjustRightInd w:val="0"/>
        <w:spacing w:line="360" w:lineRule="auto"/>
        <w:ind w:left="0"/>
        <w:jc w:val="center"/>
        <w:rPr>
          <w:rFonts w:ascii="Palatino Linotype" w:eastAsia="MS Mincho" w:hAnsi="Palatino Linotype"/>
          <w:sz w:val="24"/>
          <w:lang w:val="es-ES" w:eastAsia="es-ES"/>
        </w:rPr>
      </w:pPr>
      <w:r w:rsidRPr="001A51C6">
        <w:rPr>
          <w:rFonts w:ascii="Palatino Linotype" w:hAnsi="Palatino Linotype"/>
          <w:noProof/>
          <w:lang w:val="es-ES" w:eastAsia="es-ES"/>
        </w:rPr>
        <w:drawing>
          <wp:inline distT="0" distB="0" distL="0" distR="0" wp14:anchorId="65B6750C" wp14:editId="79A5BA8B">
            <wp:extent cx="5435030" cy="51365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389" t="26717" r="31839" b="18881"/>
                    <a:stretch/>
                  </pic:blipFill>
                  <pic:spPr bwMode="auto">
                    <a:xfrm>
                      <a:off x="0" y="0"/>
                      <a:ext cx="5453052" cy="5153547"/>
                    </a:xfrm>
                    <a:prstGeom prst="rect">
                      <a:avLst/>
                    </a:prstGeom>
                    <a:ln>
                      <a:noFill/>
                    </a:ln>
                    <a:extLst>
                      <a:ext uri="{53640926-AAD7-44D8-BBD7-CCE9431645EC}">
                        <a14:shadowObscured xmlns:a14="http://schemas.microsoft.com/office/drawing/2010/main"/>
                      </a:ext>
                    </a:extLst>
                  </pic:spPr>
                </pic:pic>
              </a:graphicData>
            </a:graphic>
          </wp:inline>
        </w:drawing>
      </w:r>
    </w:p>
    <w:p w:rsidR="00EC2B48" w:rsidRPr="001A51C6" w:rsidRDefault="00EC2B48" w:rsidP="00B34C01">
      <w:pPr>
        <w:pStyle w:val="Prrafodelista"/>
        <w:autoSpaceDE w:val="0"/>
        <w:autoSpaceDN w:val="0"/>
        <w:adjustRightInd w:val="0"/>
        <w:spacing w:line="360" w:lineRule="auto"/>
        <w:ind w:left="0"/>
        <w:jc w:val="center"/>
        <w:rPr>
          <w:rFonts w:ascii="Palatino Linotype" w:eastAsia="MS Mincho" w:hAnsi="Palatino Linotype"/>
          <w:sz w:val="24"/>
          <w:lang w:val="es-ES" w:eastAsia="es-ES"/>
        </w:rPr>
      </w:pPr>
      <w:r w:rsidRPr="001A51C6">
        <w:rPr>
          <w:rFonts w:ascii="Palatino Linotype" w:hAnsi="Palatino Linotype"/>
          <w:noProof/>
          <w:lang w:val="es-ES" w:eastAsia="es-ES"/>
        </w:rPr>
        <w:lastRenderedPageBreak/>
        <w:drawing>
          <wp:inline distT="0" distB="0" distL="0" distR="0" wp14:anchorId="5A2F941C" wp14:editId="4F041F6B">
            <wp:extent cx="5104455" cy="505488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07" t="16539" r="32018" b="20475"/>
                    <a:stretch/>
                  </pic:blipFill>
                  <pic:spPr bwMode="auto">
                    <a:xfrm>
                      <a:off x="0" y="0"/>
                      <a:ext cx="5118418" cy="5068712"/>
                    </a:xfrm>
                    <a:prstGeom prst="rect">
                      <a:avLst/>
                    </a:prstGeom>
                    <a:ln>
                      <a:noFill/>
                    </a:ln>
                    <a:extLst>
                      <a:ext uri="{53640926-AAD7-44D8-BBD7-CCE9431645EC}">
                        <a14:shadowObscured xmlns:a14="http://schemas.microsoft.com/office/drawing/2010/main"/>
                      </a:ext>
                    </a:extLst>
                  </pic:spPr>
                </pic:pic>
              </a:graphicData>
            </a:graphic>
          </wp:inline>
        </w:drawing>
      </w:r>
    </w:p>
    <w:p w:rsidR="00EC2B48" w:rsidRPr="001A51C6" w:rsidRDefault="00EC2B48" w:rsidP="00B34C01">
      <w:pPr>
        <w:pStyle w:val="Prrafodelista"/>
        <w:autoSpaceDE w:val="0"/>
        <w:autoSpaceDN w:val="0"/>
        <w:adjustRightInd w:val="0"/>
        <w:spacing w:line="360" w:lineRule="auto"/>
        <w:ind w:left="0"/>
        <w:jc w:val="center"/>
        <w:rPr>
          <w:rFonts w:ascii="Palatino Linotype" w:eastAsia="MS Mincho" w:hAnsi="Palatino Linotype"/>
          <w:sz w:val="24"/>
          <w:lang w:val="es-ES" w:eastAsia="es-ES"/>
        </w:rPr>
      </w:pPr>
    </w:p>
    <w:p w:rsidR="00405F4B" w:rsidRPr="001A51C6" w:rsidRDefault="00EC2B48"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4"/>
          <w:lang w:val="es-ES" w:eastAsia="es-ES"/>
        </w:rPr>
      </w:pPr>
      <w:r w:rsidRPr="001A51C6">
        <w:rPr>
          <w:rFonts w:ascii="Palatino Linotype" w:eastAsia="MS Mincho" w:hAnsi="Palatino Linotype"/>
          <w:sz w:val="24"/>
          <w:lang w:val="es-ES" w:eastAsia="es-ES"/>
        </w:rPr>
        <w:t xml:space="preserve">En este caso, como es de observarse en las imágenes insertadas anteriormente, se pretendió realizar la clasificación de forma general, es decir, no </w:t>
      </w:r>
      <w:r w:rsidR="00B26B94" w:rsidRPr="001A51C6">
        <w:rPr>
          <w:rFonts w:ascii="Palatino Linotype" w:eastAsia="MS Mincho" w:hAnsi="Palatino Linotype"/>
          <w:sz w:val="24"/>
          <w:lang w:val="es-ES" w:eastAsia="es-ES"/>
        </w:rPr>
        <w:t>se analizó caso por caso la</w:t>
      </w:r>
      <w:r w:rsidR="00C80E38" w:rsidRPr="001A51C6">
        <w:rPr>
          <w:rFonts w:ascii="Palatino Linotype" w:eastAsia="MS Mincho" w:hAnsi="Palatino Linotype"/>
          <w:sz w:val="24"/>
          <w:lang w:val="es-ES" w:eastAsia="es-ES"/>
        </w:rPr>
        <w:t xml:space="preserve"> afectación</w:t>
      </w:r>
      <w:r w:rsidR="009F67B8" w:rsidRPr="001A51C6">
        <w:rPr>
          <w:rFonts w:ascii="Palatino Linotype" w:eastAsia="MS Mincho" w:hAnsi="Palatino Linotype"/>
          <w:sz w:val="24"/>
          <w:lang w:val="es-ES" w:eastAsia="es-ES"/>
        </w:rPr>
        <w:t xml:space="preserve"> </w:t>
      </w:r>
      <w:r w:rsidR="00B26B94" w:rsidRPr="001A51C6">
        <w:rPr>
          <w:rFonts w:ascii="Palatino Linotype" w:eastAsia="MS Mincho" w:hAnsi="Palatino Linotype"/>
          <w:sz w:val="24"/>
          <w:lang w:val="es-ES" w:eastAsia="es-ES"/>
        </w:rPr>
        <w:t xml:space="preserve">que se genera </w:t>
      </w:r>
      <w:r w:rsidR="009F67B8" w:rsidRPr="001A51C6">
        <w:rPr>
          <w:rFonts w:ascii="Palatino Linotype" w:eastAsia="MS Mincho" w:hAnsi="Palatino Linotype"/>
          <w:sz w:val="24"/>
          <w:lang w:val="es-ES" w:eastAsia="es-ES"/>
        </w:rPr>
        <w:t xml:space="preserve">con la entrega del puesto o </w:t>
      </w:r>
      <w:r w:rsidRPr="001A51C6">
        <w:rPr>
          <w:rFonts w:ascii="Palatino Linotype" w:eastAsia="MS Mincho" w:hAnsi="Palatino Linotype"/>
          <w:sz w:val="24"/>
          <w:lang w:val="es-ES" w:eastAsia="es-ES"/>
        </w:rPr>
        <w:t>cargo que ostenta el servidor público a quien se le inició una carpeta de investigación</w:t>
      </w:r>
      <w:r w:rsidR="009F67B8" w:rsidRPr="001A51C6">
        <w:rPr>
          <w:rFonts w:ascii="Palatino Linotype" w:eastAsia="MS Mincho" w:hAnsi="Palatino Linotype"/>
          <w:sz w:val="24"/>
          <w:lang w:val="es-ES" w:eastAsia="es-ES"/>
        </w:rPr>
        <w:t xml:space="preserve"> y con la entrega del número de carpeta de investigación</w:t>
      </w:r>
      <w:r w:rsidRPr="001A51C6">
        <w:rPr>
          <w:rFonts w:ascii="Palatino Linotype" w:eastAsia="MS Mincho" w:hAnsi="Palatino Linotype"/>
          <w:sz w:val="24"/>
          <w:lang w:val="es-ES" w:eastAsia="es-ES"/>
        </w:rPr>
        <w:t xml:space="preserve">, </w:t>
      </w:r>
      <w:r w:rsidR="00405F4B" w:rsidRPr="001A51C6">
        <w:rPr>
          <w:rFonts w:ascii="Palatino Linotype" w:eastAsia="MS Mincho" w:hAnsi="Palatino Linotype"/>
          <w:sz w:val="24"/>
          <w:lang w:val="es-ES" w:eastAsia="es-ES"/>
        </w:rPr>
        <w:t>pues son conceptos diferentes</w:t>
      </w:r>
    </w:p>
    <w:p w:rsidR="00B901C4" w:rsidRPr="001A51C6" w:rsidRDefault="00405F4B" w:rsidP="00B34C01">
      <w:pPr>
        <w:pStyle w:val="Prrafodelista"/>
        <w:numPr>
          <w:ilvl w:val="0"/>
          <w:numId w:val="1"/>
        </w:numPr>
        <w:autoSpaceDE w:val="0"/>
        <w:autoSpaceDN w:val="0"/>
        <w:adjustRightInd w:val="0"/>
        <w:spacing w:line="360" w:lineRule="auto"/>
        <w:ind w:left="0" w:firstLine="0"/>
        <w:jc w:val="both"/>
        <w:rPr>
          <w:rFonts w:ascii="Palatino Linotype" w:eastAsia="MS Mincho" w:hAnsi="Palatino Linotype"/>
          <w:sz w:val="28"/>
          <w:lang w:val="es-ES" w:eastAsia="es-ES"/>
        </w:rPr>
      </w:pPr>
      <w:r w:rsidRPr="001A51C6">
        <w:rPr>
          <w:rFonts w:ascii="Palatino Linotype" w:eastAsia="MS Mincho" w:hAnsi="Palatino Linotype"/>
          <w:sz w:val="28"/>
          <w:lang w:val="es-ES" w:eastAsia="es-ES"/>
        </w:rPr>
        <w:lastRenderedPageBreak/>
        <w:t xml:space="preserve">Ahora bien, </w:t>
      </w:r>
      <w:r w:rsidRPr="001A51C6">
        <w:rPr>
          <w:rFonts w:ascii="Palatino Linotype" w:hAnsi="Palatino Linotype" w:cs="Tahoma"/>
          <w:sz w:val="24"/>
          <w:szCs w:val="22"/>
        </w:rPr>
        <w:t>de la revisión de dicho acuerdo, se logra advertir que si bien reservó los documentos, en términos de las causales establecidas en el artículo 140, fracciones VI, VIII, IX, X y XI de la Ley de Transparencia y Acceso a la Información Pública, también es que las razones y motivos referidos, van tendientes a acreditar la fracción IX, de dicho supuesto normativo, por lo que, no está debidamente fundamentada y motivada, situación que se dilucidará  en párrafos posteriores:</w:t>
      </w:r>
    </w:p>
    <w:p w:rsidR="00B901C4" w:rsidRPr="001A51C6" w:rsidRDefault="00B901C4" w:rsidP="00B34C01">
      <w:pPr>
        <w:pStyle w:val="Prrafodelista"/>
        <w:autoSpaceDE w:val="0"/>
        <w:autoSpaceDN w:val="0"/>
        <w:adjustRightInd w:val="0"/>
        <w:spacing w:line="360" w:lineRule="auto"/>
        <w:ind w:left="0"/>
        <w:jc w:val="both"/>
        <w:rPr>
          <w:rFonts w:ascii="Palatino Linotype" w:eastAsia="MS Mincho" w:hAnsi="Palatino Linotype"/>
          <w:sz w:val="28"/>
          <w:lang w:val="es-ES" w:eastAsia="es-ES"/>
        </w:rPr>
      </w:pPr>
    </w:p>
    <w:p w:rsidR="00B901C4" w:rsidRPr="001A51C6" w:rsidRDefault="00B901C4"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r w:rsidRPr="001A51C6">
        <w:rPr>
          <w:rFonts w:ascii="Palatino Linotype" w:hAnsi="Palatino Linotype"/>
          <w:noProof/>
          <w:lang w:val="es-ES" w:eastAsia="es-ES"/>
        </w:rPr>
        <w:drawing>
          <wp:inline distT="0" distB="0" distL="0" distR="0" wp14:anchorId="009A22E9" wp14:editId="3439E6D0">
            <wp:extent cx="5311123" cy="1726058"/>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029" t="54070" r="32733" b="25570"/>
                    <a:stretch/>
                  </pic:blipFill>
                  <pic:spPr bwMode="auto">
                    <a:xfrm>
                      <a:off x="0" y="0"/>
                      <a:ext cx="5356521" cy="1740812"/>
                    </a:xfrm>
                    <a:prstGeom prst="rect">
                      <a:avLst/>
                    </a:prstGeom>
                    <a:ln>
                      <a:noFill/>
                    </a:ln>
                    <a:extLst>
                      <a:ext uri="{53640926-AAD7-44D8-BBD7-CCE9431645EC}">
                        <a14:shadowObscured xmlns:a14="http://schemas.microsoft.com/office/drawing/2010/main"/>
                      </a:ext>
                    </a:extLst>
                  </pic:spPr>
                </pic:pic>
              </a:graphicData>
            </a:graphic>
          </wp:inline>
        </w:drawing>
      </w:r>
    </w:p>
    <w:p w:rsidR="00B901C4" w:rsidRPr="001A51C6" w:rsidRDefault="00B901C4" w:rsidP="00B34C01">
      <w:pPr>
        <w:pStyle w:val="Prrafodelista"/>
        <w:autoSpaceDE w:val="0"/>
        <w:autoSpaceDN w:val="0"/>
        <w:adjustRightInd w:val="0"/>
        <w:spacing w:line="360" w:lineRule="auto"/>
        <w:ind w:left="0"/>
        <w:jc w:val="center"/>
        <w:rPr>
          <w:rFonts w:ascii="Palatino Linotype" w:eastAsia="MS Mincho" w:hAnsi="Palatino Linotype"/>
          <w:sz w:val="28"/>
          <w:lang w:val="es-ES" w:eastAsia="es-ES"/>
        </w:rPr>
      </w:pPr>
    </w:p>
    <w:p w:rsidR="00B901C4" w:rsidRPr="001A51C6" w:rsidRDefault="00B901C4" w:rsidP="00B34C01">
      <w:pPr>
        <w:pStyle w:val="Prrafodelista"/>
        <w:numPr>
          <w:ilvl w:val="0"/>
          <w:numId w:val="1"/>
        </w:numPr>
        <w:spacing w:line="360" w:lineRule="auto"/>
        <w:ind w:left="0" w:firstLine="0"/>
        <w:jc w:val="both"/>
        <w:rPr>
          <w:rFonts w:ascii="Palatino Linotype" w:hAnsi="Palatino Linotype" w:cs="Tahoma"/>
          <w:sz w:val="24"/>
          <w:szCs w:val="22"/>
        </w:rPr>
      </w:pPr>
      <w:r w:rsidRPr="001A51C6">
        <w:rPr>
          <w:rFonts w:ascii="Palatino Linotype" w:hAnsi="Palatino Linotype" w:cs="Tahoma"/>
          <w:sz w:val="24"/>
          <w:szCs w:val="22"/>
        </w:rPr>
        <w:t>Por otra parte, se logró observar que al Acuerdo fue emitido por el Comité de Transparencia, lo cierto es que no fue suscrito por este, al carecer de las firmas de los miembros de dicho órgano colegiado, tal como se muestra a continuación:</w:t>
      </w:r>
    </w:p>
    <w:p w:rsidR="00B901C4" w:rsidRPr="001A51C6" w:rsidRDefault="00B901C4" w:rsidP="00B34C01">
      <w:pPr>
        <w:pStyle w:val="Prrafodelista"/>
        <w:spacing w:line="360" w:lineRule="auto"/>
        <w:ind w:left="0"/>
        <w:jc w:val="center"/>
        <w:rPr>
          <w:rFonts w:ascii="Palatino Linotype" w:hAnsi="Palatino Linotype" w:cs="Tahoma"/>
          <w:szCs w:val="22"/>
        </w:rPr>
      </w:pPr>
      <w:r w:rsidRPr="001A51C6">
        <w:rPr>
          <w:rFonts w:ascii="Palatino Linotype" w:hAnsi="Palatino Linotype"/>
          <w:noProof/>
          <w:lang w:val="es-ES" w:eastAsia="es-ES"/>
        </w:rPr>
        <w:lastRenderedPageBreak/>
        <w:drawing>
          <wp:inline distT="0" distB="0" distL="0" distR="0" wp14:anchorId="5CEBD419" wp14:editId="601325D5">
            <wp:extent cx="4634230" cy="29384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39" t="34033" r="32368" b="23019"/>
                    <a:stretch/>
                  </pic:blipFill>
                  <pic:spPr bwMode="auto">
                    <a:xfrm>
                      <a:off x="0" y="0"/>
                      <a:ext cx="4657629" cy="2953245"/>
                    </a:xfrm>
                    <a:prstGeom prst="rect">
                      <a:avLst/>
                    </a:prstGeom>
                    <a:ln>
                      <a:noFill/>
                    </a:ln>
                    <a:extLst>
                      <a:ext uri="{53640926-AAD7-44D8-BBD7-CCE9431645EC}">
                        <a14:shadowObscured xmlns:a14="http://schemas.microsoft.com/office/drawing/2010/main"/>
                      </a:ext>
                    </a:extLst>
                  </pic:spPr>
                </pic:pic>
              </a:graphicData>
            </a:graphic>
          </wp:inline>
        </w:drawing>
      </w:r>
    </w:p>
    <w:p w:rsidR="00B901C4" w:rsidRPr="001A51C6" w:rsidRDefault="00B901C4" w:rsidP="00B34C01">
      <w:pPr>
        <w:pStyle w:val="Prrafodelista"/>
        <w:spacing w:line="360" w:lineRule="auto"/>
        <w:ind w:left="0"/>
        <w:jc w:val="center"/>
        <w:rPr>
          <w:rFonts w:ascii="Palatino Linotype" w:hAnsi="Palatino Linotype" w:cs="Tahoma"/>
          <w:szCs w:val="22"/>
        </w:rPr>
      </w:pPr>
    </w:p>
    <w:p w:rsidR="00B901C4" w:rsidRPr="001A51C6" w:rsidRDefault="00B901C4" w:rsidP="00B34C01">
      <w:pPr>
        <w:pStyle w:val="Prrafodelista"/>
        <w:numPr>
          <w:ilvl w:val="0"/>
          <w:numId w:val="1"/>
        </w:numPr>
        <w:spacing w:line="360" w:lineRule="auto"/>
        <w:ind w:left="0" w:firstLine="0"/>
        <w:jc w:val="both"/>
        <w:rPr>
          <w:rFonts w:ascii="Palatino Linotype" w:hAnsi="Palatino Linotype" w:cs="Tahoma"/>
          <w:sz w:val="24"/>
          <w:szCs w:val="22"/>
        </w:rPr>
      </w:pPr>
      <w:r w:rsidRPr="001A51C6">
        <w:rPr>
          <w:rFonts w:ascii="Palatino Linotype" w:hAnsi="Palatino Linotype" w:cs="Tahoma"/>
          <w:sz w:val="24"/>
          <w:szCs w:val="22"/>
        </w:rPr>
        <w:t>Al respecto, el artículo 1.8, fracción VI, del Código Administrativo del Estado de México, establece que para que tenga validez, un acto administrativo deberá constar por escrito o de manera digital, en donde se establezca la autoridad que lo emane y la firma autógrafa, electrónica o sello del servidor público. De la misma manera la Jurisprudencia número 2a./J. 195/2007, emitida por la Segunda Sala, Novena Época, publicada en el Semanario Judicial de la Federación, Tomo XXVI, octubre dos mil siete, (p. 243), cuyo rubro es “</w:t>
      </w:r>
      <w:r w:rsidRPr="001A51C6">
        <w:rPr>
          <w:rFonts w:ascii="Palatino Linotype" w:hAnsi="Palatino Linotype" w:cs="Tahoma"/>
          <w:i/>
          <w:sz w:val="24"/>
          <w:szCs w:val="22"/>
        </w:rPr>
        <w:t xml:space="preserve">FIRMA AUTÓGRAFA. LA CARGA DE LA PRUEBA CORRESPONDE A LA AUTORIDAD QUE EMITIÓ EL ACTO IMPUGNADO, SIEMPRE QUE EN LA CONTESTACIÓN A LA DEMANDA AFIRME QUE ÉSTE LA CONTIENE.”, </w:t>
      </w:r>
      <w:r w:rsidRPr="001A51C6">
        <w:rPr>
          <w:rFonts w:ascii="Palatino Linotype" w:hAnsi="Palatino Linotype" w:cs="Tahoma"/>
          <w:sz w:val="24"/>
          <w:szCs w:val="22"/>
        </w:rPr>
        <w:t>misma que se trae por analogía, precisa que todo acto administrativo para que sea válido, debe contener la firma autógrafa.</w:t>
      </w:r>
    </w:p>
    <w:p w:rsidR="00B901C4" w:rsidRPr="001A51C6" w:rsidRDefault="00B901C4" w:rsidP="00B34C01">
      <w:pPr>
        <w:pStyle w:val="Prrafodelista"/>
        <w:spacing w:line="360" w:lineRule="auto"/>
        <w:ind w:left="360"/>
        <w:jc w:val="both"/>
        <w:rPr>
          <w:rFonts w:ascii="Palatino Linotype" w:hAnsi="Palatino Linotype" w:cs="Tahoma"/>
          <w:sz w:val="24"/>
          <w:szCs w:val="22"/>
        </w:rPr>
      </w:pPr>
    </w:p>
    <w:p w:rsidR="00EA4BB7" w:rsidRPr="001A51C6" w:rsidRDefault="00B901C4" w:rsidP="00B34C01">
      <w:pPr>
        <w:pStyle w:val="Prrafodelista"/>
        <w:numPr>
          <w:ilvl w:val="0"/>
          <w:numId w:val="1"/>
        </w:numPr>
        <w:spacing w:line="360" w:lineRule="auto"/>
        <w:ind w:left="0" w:firstLine="0"/>
        <w:jc w:val="both"/>
        <w:rPr>
          <w:rFonts w:ascii="Palatino Linotype" w:hAnsi="Palatino Linotype" w:cs="Tahoma"/>
          <w:b/>
          <w:sz w:val="24"/>
          <w:szCs w:val="22"/>
        </w:rPr>
      </w:pPr>
      <w:r w:rsidRPr="001A51C6">
        <w:rPr>
          <w:rFonts w:ascii="Palatino Linotype" w:hAnsi="Palatino Linotype" w:cs="Tahoma"/>
          <w:sz w:val="24"/>
          <w:szCs w:val="22"/>
        </w:rPr>
        <w:lastRenderedPageBreak/>
        <w:t xml:space="preserve">En ese orden de ideas, si bien este Instituto no tiene facultas para pronunciarse de la veracidad de la información, lo cierto es que este Instituto no tiene certeza que el Sujeto Obligado haya emitido dicho acto administrativo, pues como se precisó no contiene las firmas del Comité de Transparencia y por lo tanto, no se puede tomar como </w:t>
      </w:r>
      <w:r w:rsidR="00EA4BB7" w:rsidRPr="001A51C6">
        <w:rPr>
          <w:rFonts w:ascii="Palatino Linotype" w:hAnsi="Palatino Linotype" w:cs="Tahoma"/>
          <w:sz w:val="24"/>
          <w:szCs w:val="22"/>
        </w:rPr>
        <w:t>válido</w:t>
      </w:r>
      <w:r w:rsidRPr="001A51C6">
        <w:rPr>
          <w:rFonts w:ascii="Palatino Linotype" w:hAnsi="Palatino Linotype" w:cs="Tahoma"/>
          <w:sz w:val="24"/>
          <w:szCs w:val="22"/>
        </w:rPr>
        <w:t>, toda vez que, el Acuerdo esta indebidamente fundado y motivado, además, que no cumple con todas las formalidades establecidas en la normatividad apl</w:t>
      </w:r>
      <w:r w:rsidR="00EA4BB7" w:rsidRPr="001A51C6">
        <w:rPr>
          <w:rFonts w:ascii="Palatino Linotype" w:hAnsi="Palatino Linotype" w:cs="Tahoma"/>
          <w:sz w:val="24"/>
          <w:szCs w:val="22"/>
        </w:rPr>
        <w:t>icable, para considerar valido.</w:t>
      </w:r>
    </w:p>
    <w:p w:rsidR="00EA4BB7" w:rsidRPr="001A51C6" w:rsidRDefault="00EA4BB7" w:rsidP="00B34C01">
      <w:pPr>
        <w:pStyle w:val="Prrafodelista"/>
        <w:spacing w:line="360" w:lineRule="auto"/>
        <w:ind w:left="0"/>
        <w:jc w:val="both"/>
        <w:rPr>
          <w:rFonts w:ascii="Palatino Linotype" w:hAnsi="Palatino Linotype" w:cs="Tahoma"/>
          <w:b/>
          <w:sz w:val="24"/>
          <w:szCs w:val="22"/>
        </w:rPr>
      </w:pPr>
    </w:p>
    <w:p w:rsidR="00B7018E"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 w:val="24"/>
          <w:szCs w:val="22"/>
          <w:lang w:val="es-ES"/>
        </w:rPr>
        <w:t>Ahora bien, cabe recordar que el Sujeto Obligado consideró como reservada la información solicitada, conforme a las siguientes consideraciones:</w:t>
      </w:r>
    </w:p>
    <w:p w:rsidR="00B7018E" w:rsidRPr="001A51C6" w:rsidRDefault="00B7018E" w:rsidP="00B34C01">
      <w:pPr>
        <w:pStyle w:val="Prrafodelista"/>
        <w:spacing w:line="360" w:lineRule="auto"/>
        <w:ind w:left="0"/>
        <w:jc w:val="both"/>
        <w:rPr>
          <w:rFonts w:ascii="Palatino Linotype" w:hAnsi="Palatino Linotype" w:cs="Tahoma"/>
          <w:sz w:val="24"/>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en términos del artículo 218 del Código Nacional de Procedimientos Penales, se advierte que los registros de la investigación, así como todos los documentos, independientemente de su contenido o naturaleza, los objetos, los registros de voz e imágenes o cosas que le estén relacionados, son estrictamente reservados, por lo que únicamente la victima u ofendido, su asesor jurídico, el imputado y su defensor podrán tener acceso.</w:t>
      </w:r>
    </w:p>
    <w:p w:rsidR="00B7018E" w:rsidRPr="001A51C6" w:rsidRDefault="00B7018E" w:rsidP="00B34C01">
      <w:pPr>
        <w:spacing w:line="360" w:lineRule="auto"/>
        <w:jc w:val="both"/>
        <w:rPr>
          <w:rFonts w:ascii="Palatino Linotype" w:hAnsi="Palatino Linotype" w:cs="Tahoma"/>
          <w:iCs/>
          <w:sz w:val="22"/>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las carpetas de investigación que son materia del presente acuerdo, se encuentran en etapa de investigación, pues se están llevando a  cabo las diligencias para reunir los elementos que permitan el esclarecimiento de los hechos denunciados.</w:t>
      </w:r>
    </w:p>
    <w:p w:rsidR="00B7018E" w:rsidRPr="001A51C6" w:rsidRDefault="00B7018E" w:rsidP="00B34C01">
      <w:pPr>
        <w:pStyle w:val="Prrafodelista"/>
        <w:spacing w:line="360" w:lineRule="auto"/>
        <w:rPr>
          <w:rFonts w:ascii="Palatino Linotype" w:hAnsi="Palatino Linotype" w:cs="Tahoma"/>
          <w:iCs/>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de las diligencias practicadas dentro de las carpetas de investigación se obtiene información sensible que puede poner en riesgo la privacidad e integridad de las victimas, testigos y demás personas ajenas al servicio público.</w:t>
      </w: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lastRenderedPageBreak/>
        <w:t>Que divulgar la información solicitada, pone en riesgo la seguridad pública, la integridad y seguridad de las personas que intervienen en la carpeta de investigación.</w:t>
      </w:r>
    </w:p>
    <w:p w:rsidR="00B7018E" w:rsidRPr="001A51C6" w:rsidRDefault="00B7018E" w:rsidP="00B34C01">
      <w:pPr>
        <w:spacing w:line="360" w:lineRule="auto"/>
        <w:ind w:left="720"/>
        <w:jc w:val="both"/>
        <w:rPr>
          <w:rFonts w:ascii="Palatino Linotype" w:hAnsi="Palatino Linotype" w:cs="Tahoma"/>
          <w:iCs/>
          <w:sz w:val="22"/>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el acceso a la información pública tiene limitaciones, ya que no toda información que se encuentre en los archivos del Sujeto Obligado puede ser difundida o entregada.</w:t>
      </w:r>
    </w:p>
    <w:p w:rsidR="00B7018E" w:rsidRPr="001A51C6" w:rsidRDefault="00B7018E" w:rsidP="00B34C01">
      <w:pPr>
        <w:spacing w:line="360" w:lineRule="auto"/>
        <w:jc w:val="both"/>
        <w:rPr>
          <w:rFonts w:ascii="Palatino Linotype" w:hAnsi="Palatino Linotype" w:cs="Tahoma"/>
          <w:iCs/>
          <w:sz w:val="22"/>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publicar la documentación contenida en la carpeta de investigación, permitiría vulnerar el correcto desarrollo de la investigación ministerial.</w:t>
      </w:r>
    </w:p>
    <w:p w:rsidR="00B7018E" w:rsidRPr="001A51C6" w:rsidRDefault="00B7018E" w:rsidP="00B34C01">
      <w:pPr>
        <w:pStyle w:val="Prrafodelista"/>
        <w:spacing w:line="360" w:lineRule="auto"/>
        <w:rPr>
          <w:rFonts w:ascii="Palatino Linotype" w:hAnsi="Palatino Linotype" w:cs="Tahoma"/>
          <w:iCs/>
          <w:szCs w:val="22"/>
          <w:lang w:val="es-ES"/>
        </w:rPr>
      </w:pPr>
    </w:p>
    <w:p w:rsidR="00B7018E" w:rsidRPr="001A51C6" w:rsidRDefault="00B7018E" w:rsidP="00B34C01">
      <w:pPr>
        <w:numPr>
          <w:ilvl w:val="0"/>
          <w:numId w:val="19"/>
        </w:numPr>
        <w:spacing w:line="360" w:lineRule="auto"/>
        <w:jc w:val="both"/>
        <w:rPr>
          <w:rFonts w:ascii="Palatino Linotype" w:hAnsi="Palatino Linotype" w:cs="Tahoma"/>
          <w:iCs/>
          <w:sz w:val="22"/>
          <w:szCs w:val="22"/>
          <w:lang w:val="es-ES"/>
        </w:rPr>
      </w:pPr>
      <w:r w:rsidRPr="001A51C6">
        <w:rPr>
          <w:rFonts w:ascii="Palatino Linotype" w:hAnsi="Palatino Linotype" w:cs="Tahoma"/>
          <w:iCs/>
          <w:sz w:val="22"/>
          <w:szCs w:val="22"/>
          <w:lang w:val="es-ES"/>
        </w:rPr>
        <w:t>Que la divulgación de la información pone en riesgo la operatividad de los Agentes del Ministerio Público, al considerar la factibilidad de que cualquier persona con fines diversos pudiera realizar un análisis de vulnerabilidad de dicha representación social, al conocer la forma de investigar los hechos constitutivos de delitos.</w:t>
      </w:r>
    </w:p>
    <w:p w:rsidR="00B7018E" w:rsidRPr="001A51C6" w:rsidRDefault="00B7018E" w:rsidP="00B34C01">
      <w:pPr>
        <w:pStyle w:val="Prrafodelista"/>
        <w:spacing w:line="360" w:lineRule="auto"/>
        <w:ind w:left="0"/>
        <w:jc w:val="both"/>
        <w:rPr>
          <w:rFonts w:ascii="Palatino Linotype" w:hAnsi="Palatino Linotype" w:cs="Tahoma"/>
          <w:b/>
          <w:sz w:val="28"/>
          <w:szCs w:val="22"/>
        </w:rPr>
      </w:pPr>
    </w:p>
    <w:p w:rsidR="00B7018E"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Como se logra observar, los argumentos principales para reservar la información, consisten en que la información estaba contenida en una carpeta de investigación en trámite, al ser una de las actuaciones del Ministerio Público, durante la etapa de investigación; por lo que, se procede analizar la causal de reserva establecida en el artículo 140, fracción IX, de la Ley de Transparencia y Acceso a la Información Pública del Estado de México.</w:t>
      </w:r>
    </w:p>
    <w:p w:rsidR="00B7018E" w:rsidRPr="001A51C6" w:rsidRDefault="00B7018E"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En principio, es necesario señalar que el artículo 113, fracción XII de la Ley de General de Transparencia y Acceso a la Información Pública, establece lo siguiente:</w:t>
      </w:r>
    </w:p>
    <w:p w:rsidR="00D81096" w:rsidRPr="001A51C6" w:rsidRDefault="00D81096" w:rsidP="00B34C01">
      <w:pPr>
        <w:spacing w:line="360" w:lineRule="auto"/>
        <w:jc w:val="both"/>
        <w:rPr>
          <w:rFonts w:ascii="Palatino Linotype" w:hAnsi="Palatino Linotype" w:cs="Tahoma"/>
          <w:sz w:val="22"/>
          <w:szCs w:val="22"/>
        </w:rPr>
      </w:pP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b/>
          <w:i/>
        </w:rPr>
        <w:t>“Artículo 113.</w:t>
      </w:r>
      <w:r w:rsidRPr="001A51C6">
        <w:rPr>
          <w:rFonts w:ascii="Palatino Linotype" w:hAnsi="Palatino Linotype" w:cs="Tahoma"/>
          <w:i/>
        </w:rPr>
        <w:t xml:space="preserve"> Como información reservada podrá clasificarse aquella cuya publicación:</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lastRenderedPageBreak/>
        <w:t>…</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t>XII. Se encuentre contenida dentro de las investigaciones de hechos que la ley señale como delitos y se tramiten ante el Ministerio Público, y</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t>…”</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En ese sentido, el artículo 140, fracción IX de la Ley de Transparencia y Acceso a la Información Pública del Estado de México, prevé lo siguiente:</w:t>
      </w:r>
    </w:p>
    <w:p w:rsidR="00D81096" w:rsidRPr="001A51C6" w:rsidRDefault="00D81096" w:rsidP="00B34C01">
      <w:pPr>
        <w:pStyle w:val="Prrafodelista"/>
        <w:spacing w:line="360" w:lineRule="auto"/>
        <w:ind w:left="0"/>
        <w:jc w:val="both"/>
        <w:rPr>
          <w:rFonts w:ascii="Palatino Linotype" w:hAnsi="Palatino Linotype" w:cs="Tahoma"/>
          <w:szCs w:val="22"/>
        </w:rPr>
      </w:pP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b/>
          <w:i/>
        </w:rPr>
        <w:t xml:space="preserve">“Artículo 140. </w:t>
      </w:r>
      <w:r w:rsidRPr="001A51C6">
        <w:rPr>
          <w:rFonts w:ascii="Palatino Linotype" w:hAnsi="Palatino Linotype" w:cs="Tahoma"/>
          <w:i/>
        </w:rPr>
        <w:t>El acceso a la información pública será restringido excepcionalmente, cuando por razones de interés público, ésta sea clasificada como reservada, conforme a los criterios siguientes:</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t>…</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t>IX. Se encuentre contenida dentro de las investigaciones de hechos que la Ley señale como delitos y se tramiten ante el Ministerio Público;</w:t>
      </w:r>
    </w:p>
    <w:p w:rsidR="00D81096" w:rsidRPr="001A51C6" w:rsidRDefault="00D81096" w:rsidP="00B34C01">
      <w:pPr>
        <w:spacing w:line="360" w:lineRule="auto"/>
        <w:ind w:left="567" w:right="567"/>
        <w:jc w:val="both"/>
        <w:rPr>
          <w:rFonts w:ascii="Palatino Linotype" w:hAnsi="Palatino Linotype" w:cs="Tahoma"/>
          <w:i/>
        </w:rPr>
      </w:pPr>
      <w:r w:rsidRPr="001A51C6">
        <w:rPr>
          <w:rFonts w:ascii="Palatino Linotype" w:hAnsi="Palatino Linotype" w:cs="Tahoma"/>
          <w:i/>
        </w:rPr>
        <w:t>…”</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Como se logra observar, tanto la Ley General, como la Local de Transparencia, establece que se podrá clasificar como información reservada aquella que se encuentra contenida en las investigaciones realizadas por el Ministerio Público, por posibles comisiones de delitos.</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En ese orden de ideas, el Trigésimo primero de los Lineamientos Generales, prevé lo siguiente:</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D81096" w:rsidP="00B34C01">
      <w:pPr>
        <w:pStyle w:val="Prrafodelista"/>
        <w:spacing w:line="360" w:lineRule="auto"/>
        <w:ind w:left="360" w:right="567"/>
        <w:jc w:val="both"/>
        <w:rPr>
          <w:rFonts w:ascii="Palatino Linotype" w:hAnsi="Palatino Linotype" w:cs="Tahoma"/>
          <w:i/>
          <w:iCs/>
        </w:rPr>
      </w:pPr>
      <w:r w:rsidRPr="001A51C6">
        <w:rPr>
          <w:rFonts w:ascii="Palatino Linotype" w:hAnsi="Palatino Linotype" w:cs="Tahoma"/>
          <w:b/>
          <w:i/>
          <w:iCs/>
        </w:rPr>
        <w:lastRenderedPageBreak/>
        <w:t xml:space="preserve">“Trigésimo primero. </w:t>
      </w:r>
      <w:r w:rsidRPr="001A51C6">
        <w:rPr>
          <w:rFonts w:ascii="Palatino Linotype" w:hAnsi="Palatino Linotype" w:cs="Tahoma"/>
          <w:i/>
          <w:iCs/>
        </w:rPr>
        <w:t>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lang w:val="es-ES"/>
        </w:rPr>
        <w:t xml:space="preserve">De lo citado, se desprende que podrá clasificarse como reservada la información que se encuentre contenida dentro de las investigaciones realizadas por el Ministerio Público; es decir de aquella que forme parte de las averiguaciones previas, </w:t>
      </w:r>
      <w:r w:rsidRPr="001A51C6">
        <w:rPr>
          <w:rFonts w:ascii="Palatino Linotype" w:hAnsi="Palatino Linotype" w:cs="Tahoma"/>
          <w:b/>
          <w:szCs w:val="22"/>
          <w:lang w:val="es-ES"/>
        </w:rPr>
        <w:t xml:space="preserve">que resulte de la etapa de investigación, </w:t>
      </w:r>
      <w:r w:rsidRPr="001A51C6">
        <w:rPr>
          <w:rFonts w:ascii="Palatino Linotype" w:hAnsi="Palatino Linotype" w:cs="Tahoma"/>
          <w:szCs w:val="22"/>
          <w:lang w:val="es-ES"/>
        </w:rPr>
        <w:t>esto es, la reunión de indicios para el esclarecimiento de los hechos y, en su caso, los datos de prueba para sustentar el ejercicio o no de la acción penal, la acusación del imputado y la reparación del daño, la cual incluye todas las actuaciones, diligencias y dictámenes emitidos por este.</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lang w:val="es-ES"/>
        </w:rPr>
        <w:t>En ese orden de ideas, los artículos 106</w:t>
      </w:r>
      <w:r w:rsidR="00D81096" w:rsidRPr="001A51C6">
        <w:rPr>
          <w:rFonts w:ascii="Palatino Linotype" w:hAnsi="Palatino Linotype" w:cs="Tahoma"/>
          <w:szCs w:val="22"/>
          <w:lang w:val="es-ES"/>
        </w:rPr>
        <w:t>, 131</w:t>
      </w:r>
      <w:r w:rsidRPr="001A51C6">
        <w:rPr>
          <w:rFonts w:ascii="Palatino Linotype" w:hAnsi="Palatino Linotype" w:cs="Tahoma"/>
          <w:szCs w:val="22"/>
          <w:lang w:val="es-ES"/>
        </w:rPr>
        <w:t xml:space="preserve"> y 218, del Código Nacional de Procedimientos Penales, establecen lo siguiente:</w:t>
      </w:r>
    </w:p>
    <w:p w:rsidR="00D81096" w:rsidRPr="001A51C6" w:rsidRDefault="00D81096" w:rsidP="00B34C01">
      <w:pPr>
        <w:pStyle w:val="Prrafodelista"/>
        <w:spacing w:line="360" w:lineRule="auto"/>
        <w:ind w:left="0"/>
        <w:jc w:val="both"/>
        <w:rPr>
          <w:rFonts w:ascii="Palatino Linotype" w:hAnsi="Palatino Linotype" w:cs="Tahoma"/>
          <w:szCs w:val="22"/>
          <w:lang w:val="es-ES"/>
        </w:rPr>
      </w:pPr>
    </w:p>
    <w:p w:rsidR="00D81096" w:rsidRPr="001A51C6" w:rsidRDefault="00D81096" w:rsidP="00B34C01">
      <w:pPr>
        <w:spacing w:line="360" w:lineRule="auto"/>
        <w:ind w:left="851" w:right="822"/>
        <w:jc w:val="both"/>
        <w:rPr>
          <w:rFonts w:ascii="Palatino Linotype" w:hAnsi="Palatino Linotype"/>
          <w:i/>
          <w:sz w:val="22"/>
        </w:rPr>
      </w:pPr>
      <w:r w:rsidRPr="001A51C6">
        <w:rPr>
          <w:rFonts w:ascii="Palatino Linotype" w:hAnsi="Palatino Linotype"/>
          <w:i/>
          <w:sz w:val="22"/>
        </w:rPr>
        <w:t xml:space="preserve">“Artículo 106. Reserva sobre la identidad </w:t>
      </w:r>
    </w:p>
    <w:p w:rsidR="00D81096" w:rsidRPr="001A51C6" w:rsidRDefault="00D81096" w:rsidP="00B34C01">
      <w:pPr>
        <w:spacing w:line="360" w:lineRule="auto"/>
        <w:ind w:left="851" w:right="822"/>
        <w:jc w:val="both"/>
        <w:rPr>
          <w:rFonts w:ascii="Palatino Linotype" w:hAnsi="Palatino Linotype"/>
          <w:i/>
          <w:sz w:val="22"/>
        </w:rPr>
      </w:pPr>
      <w:r w:rsidRPr="001A51C6">
        <w:rPr>
          <w:rFonts w:ascii="Palatino Linotype" w:hAnsi="Palatino Linotype"/>
          <w:i/>
          <w:sz w:val="22"/>
        </w:rPr>
        <w:t>En ningún caso se podrá hacer referencia o comunicar a terceros no legitimados la información confidencial relativa a los datos personales de los sujetos del procedimiento penal o de cualquier persona relacionada o mencionada en éste.</w:t>
      </w:r>
    </w:p>
    <w:p w:rsidR="00D81096" w:rsidRPr="001A51C6" w:rsidRDefault="00D81096" w:rsidP="00B34C01">
      <w:pPr>
        <w:spacing w:line="360" w:lineRule="auto"/>
        <w:ind w:left="851" w:right="822"/>
        <w:jc w:val="both"/>
        <w:rPr>
          <w:rFonts w:ascii="Palatino Linotype" w:hAnsi="Palatino Linotype" w:cs="Tahoma"/>
          <w:b/>
          <w:i/>
          <w:sz w:val="22"/>
          <w:szCs w:val="22"/>
          <w:lang w:val="es-ES"/>
        </w:rPr>
      </w:pPr>
      <w:r w:rsidRPr="001A51C6">
        <w:rPr>
          <w:rFonts w:ascii="Palatino Linotype" w:hAnsi="Palatino Linotype"/>
          <w:i/>
          <w:sz w:val="22"/>
        </w:rPr>
        <w:t>…</w:t>
      </w:r>
    </w:p>
    <w:p w:rsidR="00D81096" w:rsidRPr="001A51C6" w:rsidRDefault="00D81096" w:rsidP="00B34C01">
      <w:pPr>
        <w:pStyle w:val="Prrafodelista"/>
        <w:spacing w:line="360" w:lineRule="auto"/>
        <w:jc w:val="both"/>
        <w:rPr>
          <w:rFonts w:ascii="Palatino Linotype" w:hAnsi="Palatino Linotype" w:cs="Tahoma"/>
          <w:b/>
          <w:szCs w:val="22"/>
          <w:lang w:val="es-ES"/>
        </w:rPr>
      </w:pPr>
    </w:p>
    <w:p w:rsidR="00D81096" w:rsidRPr="001A51C6" w:rsidRDefault="00D81096" w:rsidP="00B34C01">
      <w:pPr>
        <w:spacing w:line="360" w:lineRule="auto"/>
        <w:jc w:val="both"/>
        <w:rPr>
          <w:rFonts w:ascii="Palatino Linotype" w:hAnsi="Palatino Linotype"/>
          <w:i/>
        </w:rPr>
      </w:pP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lastRenderedPageBreak/>
        <w:t>Artículo 131. Obligaciones del Ministerio Público Para los efectos del presente Código, el Ministerio Público tendrá las siguientes obligaciones:</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V. Iniciar la investigación correspondiente cuando así proceda y, en su caso, ordenar la recolección de indicios y medios de prueba que deberán servir para sus respectivas resoluciones y las del Órgano jurisdiccional, así como recabar los elementos necesarios que determinen el daño causado por el delito y la cuantificación del mismo para los efectos de su reparación;</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Artículo 218. Reserva de los actos de investigación 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w:t>
      </w:r>
    </w:p>
    <w:p w:rsidR="00D81096" w:rsidRPr="001A51C6" w:rsidRDefault="00D81096" w:rsidP="00B34C01">
      <w:pPr>
        <w:pStyle w:val="Prrafodelista"/>
        <w:spacing w:line="360" w:lineRule="auto"/>
        <w:jc w:val="both"/>
        <w:rPr>
          <w:rFonts w:ascii="Palatino Linotype" w:hAnsi="Palatino Linotype"/>
          <w:i/>
        </w:rPr>
      </w:pPr>
      <w:r w:rsidRPr="001A51C6">
        <w:rPr>
          <w:rFonts w:ascii="Palatino Linotype" w:hAnsi="Palatino Linotype"/>
          <w:i/>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D81096" w:rsidRPr="001A51C6" w:rsidRDefault="00EA4BB7" w:rsidP="00B34C01">
      <w:pPr>
        <w:pStyle w:val="Prrafodelista"/>
        <w:numPr>
          <w:ilvl w:val="0"/>
          <w:numId w:val="1"/>
        </w:numPr>
        <w:spacing w:line="360" w:lineRule="auto"/>
        <w:ind w:left="0" w:firstLine="0"/>
        <w:jc w:val="both"/>
        <w:rPr>
          <w:rFonts w:ascii="Palatino Linotype" w:hAnsi="Palatino Linotype" w:cs="Tahoma"/>
          <w:b/>
          <w:sz w:val="28"/>
          <w:szCs w:val="22"/>
        </w:rPr>
      </w:pPr>
      <w:r w:rsidRPr="001A51C6">
        <w:rPr>
          <w:rFonts w:ascii="Palatino Linotype" w:hAnsi="Palatino Linotype" w:cs="Tahoma"/>
          <w:szCs w:val="22"/>
        </w:rPr>
        <w:t xml:space="preserve">Conforme a lo citado, se colige que los registros de la investigación, así como todos los documentos localizados en la carpeta de investigación, son estrictamente reservados, por lo que, únicamente las partes, podrán tener acceso a los mismos; además, que en materia de acceso a información pública, el Ministerio Público únicamente podrá proporcionar una </w:t>
      </w:r>
      <w:r w:rsidRPr="001A51C6">
        <w:rPr>
          <w:rFonts w:ascii="Palatino Linotype" w:hAnsi="Palatino Linotype" w:cs="Tahoma"/>
          <w:szCs w:val="22"/>
        </w:rPr>
        <w:lastRenderedPageBreak/>
        <w:t>versión pública de las determinaciones de no ejercicio de la acción penal, archivo temporal o de aplicación del criterio de oportunidad.</w:t>
      </w:r>
    </w:p>
    <w:p w:rsidR="00D81096" w:rsidRPr="001A51C6" w:rsidRDefault="00D81096" w:rsidP="00B34C01">
      <w:pPr>
        <w:pStyle w:val="Prrafodelista"/>
        <w:spacing w:line="360" w:lineRule="auto"/>
        <w:ind w:left="0"/>
        <w:jc w:val="both"/>
        <w:rPr>
          <w:rFonts w:ascii="Palatino Linotype" w:hAnsi="Palatino Linotype" w:cs="Tahoma"/>
          <w:b/>
          <w:sz w:val="28"/>
          <w:szCs w:val="22"/>
        </w:rPr>
      </w:pPr>
    </w:p>
    <w:p w:rsidR="00F83849" w:rsidRPr="001A51C6" w:rsidRDefault="00D81096"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Sin embargo</w:t>
      </w:r>
      <w:r w:rsidR="00405A19" w:rsidRPr="001A51C6">
        <w:rPr>
          <w:rFonts w:ascii="Palatino Linotype" w:eastAsiaTheme="minorEastAsia" w:hAnsi="Palatino Linotype"/>
          <w:lang w:eastAsia="es-ES"/>
        </w:rPr>
        <w:t xml:space="preserve">, es importante señalar que existe una </w:t>
      </w:r>
      <w:r w:rsidR="00405A19" w:rsidRPr="001A51C6">
        <w:rPr>
          <w:rFonts w:ascii="Palatino Linotype" w:eastAsiaTheme="minorEastAsia" w:hAnsi="Palatino Linotype"/>
          <w:b/>
          <w:u w:val="single"/>
          <w:lang w:eastAsia="es-ES"/>
        </w:rPr>
        <w:t>excepción a la reserva</w:t>
      </w:r>
      <w:r w:rsidR="00405A19" w:rsidRPr="001A51C6">
        <w:rPr>
          <w:rFonts w:ascii="Palatino Linotype" w:eastAsiaTheme="minorEastAsia" w:hAnsi="Palatino Linotype"/>
          <w:lang w:eastAsia="es-ES"/>
        </w:rPr>
        <w:t xml:space="preserve"> de la información establecida en el artículo 142 de la Ley de Transparencia, Acceso a la Información Pública y Protección de Datos Personales</w:t>
      </w:r>
      <w:r w:rsidR="00570B43" w:rsidRPr="001A51C6">
        <w:rPr>
          <w:rFonts w:ascii="Palatino Linotype" w:eastAsiaTheme="minorEastAsia" w:hAnsi="Palatino Linotype"/>
          <w:lang w:eastAsia="es-ES"/>
        </w:rPr>
        <w:t xml:space="preserve"> que señala lo siguiente:</w:t>
      </w:r>
    </w:p>
    <w:p w:rsidR="00570B43" w:rsidRPr="001A51C6" w:rsidRDefault="00570B43" w:rsidP="00B34C01">
      <w:pPr>
        <w:spacing w:line="360" w:lineRule="auto"/>
        <w:ind w:right="49"/>
        <w:contextualSpacing/>
        <w:jc w:val="both"/>
        <w:rPr>
          <w:rFonts w:ascii="Palatino Linotype" w:eastAsiaTheme="minorEastAsia" w:hAnsi="Palatino Linotype"/>
          <w:lang w:eastAsia="es-ES"/>
        </w:rPr>
      </w:pPr>
    </w:p>
    <w:p w:rsidR="00570B43" w:rsidRPr="001A51C6" w:rsidRDefault="00570B43"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 xml:space="preserve">“Artículo 142. Bajo ninguna circunstancia podrá invocarse el carácter de reservado cuando: </w:t>
      </w:r>
    </w:p>
    <w:p w:rsidR="00570B43" w:rsidRPr="001A51C6" w:rsidRDefault="00570B43"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 xml:space="preserve">I. Se trate de violaciones graves de derechos humanos, calificada así por autoridad competente; </w:t>
      </w:r>
    </w:p>
    <w:p w:rsidR="00570B43" w:rsidRPr="001A51C6" w:rsidRDefault="00570B43"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570B43" w:rsidRPr="001A51C6" w:rsidRDefault="00570B43"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570B43" w:rsidRPr="001A51C6" w:rsidRDefault="00570B43"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IV. Se trate de información relacionada con actos de corrupción de conformidad con las disposiciones jurídicas aplicables.”</w:t>
      </w:r>
    </w:p>
    <w:p w:rsidR="00570B43" w:rsidRPr="001A51C6" w:rsidRDefault="00570B43" w:rsidP="00B34C01">
      <w:pPr>
        <w:spacing w:line="360" w:lineRule="auto"/>
        <w:ind w:left="851" w:right="822"/>
        <w:contextualSpacing/>
        <w:jc w:val="both"/>
        <w:rPr>
          <w:rFonts w:ascii="Palatino Linotype" w:eastAsiaTheme="minorEastAsia" w:hAnsi="Palatino Linotype"/>
          <w:i/>
          <w:sz w:val="22"/>
          <w:lang w:eastAsia="es-ES"/>
        </w:rPr>
      </w:pPr>
    </w:p>
    <w:p w:rsidR="00F83849" w:rsidRPr="001A51C6" w:rsidRDefault="00570B43"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En este cont</w:t>
      </w:r>
      <w:r w:rsidR="00B549A2" w:rsidRPr="001A51C6">
        <w:rPr>
          <w:rFonts w:ascii="Palatino Linotype" w:eastAsiaTheme="minorEastAsia" w:hAnsi="Palatino Linotype"/>
          <w:lang w:eastAsia="es-ES"/>
        </w:rPr>
        <w:t xml:space="preserve">exto, </w:t>
      </w:r>
      <w:r w:rsidR="002443A5" w:rsidRPr="001A51C6">
        <w:rPr>
          <w:rFonts w:ascii="Palatino Linotype" w:eastAsiaTheme="minorEastAsia" w:hAnsi="Palatino Linotype"/>
          <w:lang w:eastAsia="es-ES"/>
        </w:rPr>
        <w:t xml:space="preserve">cabe señalar que ningún derecho es absoluto, por lo que, </w:t>
      </w:r>
      <w:r w:rsidR="00B549A2" w:rsidRPr="001A51C6">
        <w:rPr>
          <w:rFonts w:ascii="Palatino Linotype" w:eastAsiaTheme="minorEastAsia" w:hAnsi="Palatino Linotype"/>
          <w:lang w:eastAsia="es-ES"/>
        </w:rPr>
        <w:t xml:space="preserve">cuando la información que se solicita esté  relacionada con  violaciones graves a derechos humanos, calificada así por la autoridad competente; investigaciones de </w:t>
      </w:r>
      <w:r w:rsidR="00B549A2" w:rsidRPr="001A51C6">
        <w:rPr>
          <w:rFonts w:ascii="Palatino Linotype" w:eastAsiaTheme="minorEastAsia" w:hAnsi="Palatino Linotype"/>
          <w:lang w:eastAsia="es-ES"/>
        </w:rPr>
        <w:lastRenderedPageBreak/>
        <w:t xml:space="preserve">posibles violaciones graves a derechos humanos aun cuando no exista pronunciamiento previo de la autoridad competente; se </w:t>
      </w:r>
      <w:r w:rsidR="00D81096" w:rsidRPr="001A51C6">
        <w:rPr>
          <w:rFonts w:ascii="Palatino Linotype" w:eastAsiaTheme="minorEastAsia" w:hAnsi="Palatino Linotype"/>
          <w:lang w:eastAsia="es-ES"/>
        </w:rPr>
        <w:t>trate delitos de lesa humanidad</w:t>
      </w:r>
      <w:r w:rsidR="00B549A2" w:rsidRPr="001A51C6">
        <w:rPr>
          <w:rFonts w:ascii="Palatino Linotype" w:eastAsiaTheme="minorEastAsia" w:hAnsi="Palatino Linotype"/>
          <w:lang w:eastAsia="es-ES"/>
        </w:rPr>
        <w:t xml:space="preserve"> y con información relacionada con actos de corrupción, </w:t>
      </w:r>
      <w:r w:rsidR="00C341CF" w:rsidRPr="001A51C6">
        <w:rPr>
          <w:rFonts w:ascii="Palatino Linotype" w:eastAsiaTheme="minorEastAsia" w:hAnsi="Palatino Linotype"/>
          <w:lang w:eastAsia="es-ES"/>
        </w:rPr>
        <w:t xml:space="preserve">es </w:t>
      </w:r>
      <w:r w:rsidR="00B549A2" w:rsidRPr="001A51C6">
        <w:rPr>
          <w:rFonts w:ascii="Palatino Linotype" w:eastAsiaTheme="minorEastAsia" w:hAnsi="Palatino Linotype"/>
          <w:lang w:eastAsia="es-ES"/>
        </w:rPr>
        <w:t>información que no encua</w:t>
      </w:r>
      <w:r w:rsidR="002443A5" w:rsidRPr="001A51C6">
        <w:rPr>
          <w:rFonts w:ascii="Palatino Linotype" w:eastAsiaTheme="minorEastAsia" w:hAnsi="Palatino Linotype"/>
          <w:lang w:eastAsia="es-ES"/>
        </w:rPr>
        <w:t>dra en los supuestos de reserva, pues es aquí donde prevalece el derecho de acceso a la informaci</w:t>
      </w:r>
      <w:r w:rsidR="00C341CF" w:rsidRPr="001A51C6">
        <w:rPr>
          <w:rFonts w:ascii="Palatino Linotype" w:eastAsiaTheme="minorEastAsia" w:hAnsi="Palatino Linotype"/>
          <w:lang w:eastAsia="es-ES"/>
        </w:rPr>
        <w:t>ón.</w:t>
      </w:r>
    </w:p>
    <w:p w:rsidR="00C341CF" w:rsidRPr="001A51C6" w:rsidRDefault="00C341CF" w:rsidP="00B34C01">
      <w:pPr>
        <w:spacing w:line="360" w:lineRule="auto"/>
        <w:ind w:right="49"/>
        <w:contextualSpacing/>
        <w:jc w:val="both"/>
        <w:rPr>
          <w:rFonts w:ascii="Palatino Linotype" w:eastAsiaTheme="minorEastAsia" w:hAnsi="Palatino Linotype"/>
          <w:lang w:eastAsia="es-ES"/>
        </w:rPr>
      </w:pPr>
    </w:p>
    <w:p w:rsidR="00C341CF" w:rsidRPr="001A51C6" w:rsidRDefault="00BE2E15"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Al respecto</w:t>
      </w:r>
      <w:r w:rsidR="004C669B" w:rsidRPr="001A51C6">
        <w:rPr>
          <w:rFonts w:ascii="Palatino Linotype" w:eastAsiaTheme="minorEastAsia" w:hAnsi="Palatino Linotype"/>
          <w:lang w:eastAsia="es-ES"/>
        </w:rPr>
        <w:t>, la Corte Interamericana de Derechos Humanos ha establecido la obligación que tiene los Estado parte de la Convención para proporcionar cualquier información relacionada con graves violaciones a derechos humanos:</w:t>
      </w:r>
    </w:p>
    <w:p w:rsidR="004C669B" w:rsidRPr="001A51C6" w:rsidRDefault="004C669B" w:rsidP="00B34C01">
      <w:pPr>
        <w:spacing w:line="360" w:lineRule="auto"/>
        <w:ind w:right="49"/>
        <w:contextualSpacing/>
        <w:jc w:val="both"/>
        <w:rPr>
          <w:rFonts w:ascii="Palatino Linotype" w:eastAsiaTheme="minorEastAsia" w:hAnsi="Palatino Linotype"/>
          <w:lang w:eastAsia="es-ES"/>
        </w:rPr>
      </w:pPr>
    </w:p>
    <w:p w:rsidR="005C34BC" w:rsidRPr="001A51C6" w:rsidRDefault="005C34BC" w:rsidP="00B34C01">
      <w:pPr>
        <w:spacing w:line="360" w:lineRule="auto"/>
        <w:ind w:left="851" w:right="822"/>
        <w:contextualSpacing/>
        <w:jc w:val="both"/>
        <w:rPr>
          <w:rFonts w:ascii="Palatino Linotype" w:eastAsiaTheme="minorEastAsia" w:hAnsi="Palatino Linotype"/>
          <w:i/>
          <w:sz w:val="22"/>
          <w:szCs w:val="22"/>
          <w:lang w:eastAsia="es-ES"/>
        </w:rPr>
      </w:pPr>
      <w:r w:rsidRPr="001A51C6">
        <w:rPr>
          <w:rFonts w:ascii="Palatino Linotype" w:hAnsi="Palatino Linotype" w:cs="Arial"/>
          <w:i/>
          <w:sz w:val="22"/>
          <w:szCs w:val="22"/>
          <w:shd w:val="clear" w:color="auto" w:fill="FFFFFF"/>
        </w:rPr>
        <w:t>“</w:t>
      </w:r>
      <w:r w:rsidR="00EE520C" w:rsidRPr="001A51C6">
        <w:rPr>
          <w:rFonts w:ascii="Palatino Linotype" w:hAnsi="Palatino Linotype" w:cs="Arial"/>
          <w:i/>
          <w:sz w:val="22"/>
          <w:szCs w:val="22"/>
          <w:shd w:val="clear" w:color="auto" w:fill="FFFFFF"/>
        </w:rPr>
        <w:t>que toda  persona, incluyendo los familiares de las víctimas de graves violaciones a  derechos humanos, tiene el derecho a conocer la verdad. En consecuencia, los  familiares de las víctimas, y la sociedad, deben ser informados de todo lo  sucedido con relación a dichas violaciones. (…)</w:t>
      </w:r>
      <w:r w:rsidRPr="001A51C6">
        <w:rPr>
          <w:rFonts w:ascii="Palatino Linotype" w:hAnsi="Palatino Linotype" w:cs="Arial"/>
          <w:i/>
          <w:sz w:val="22"/>
          <w:szCs w:val="22"/>
          <w:shd w:val="clear" w:color="auto" w:fill="FFFFFF"/>
        </w:rPr>
        <w:t>”</w:t>
      </w:r>
    </w:p>
    <w:p w:rsidR="00B549A2" w:rsidRPr="001A51C6" w:rsidRDefault="00B549A2" w:rsidP="00B34C01">
      <w:pPr>
        <w:spacing w:line="360" w:lineRule="auto"/>
        <w:ind w:right="49"/>
        <w:contextualSpacing/>
        <w:jc w:val="both"/>
        <w:rPr>
          <w:rFonts w:ascii="Palatino Linotype" w:eastAsiaTheme="minorEastAsia" w:hAnsi="Palatino Linotype"/>
          <w:lang w:eastAsia="es-ES"/>
        </w:rPr>
      </w:pPr>
    </w:p>
    <w:p w:rsidR="00E410DA" w:rsidRPr="00BF08EF" w:rsidRDefault="00E410DA"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BF08EF">
        <w:rPr>
          <w:rFonts w:ascii="Palatino Linotype" w:eastAsiaTheme="minorEastAsia" w:hAnsi="Palatino Linotype"/>
          <w:lang w:eastAsia="es-ES"/>
        </w:rPr>
        <w:t xml:space="preserve">Asimismo, </w:t>
      </w:r>
      <w:r w:rsidR="006E0BD9" w:rsidRPr="00BF08EF">
        <w:rPr>
          <w:rFonts w:ascii="Palatino Linotype" w:eastAsiaTheme="minorEastAsia" w:hAnsi="Palatino Linotype"/>
          <w:lang w:eastAsia="es-ES"/>
        </w:rPr>
        <w:t>existen dos sentencias en materia de amparo, en ellas, los Jueces reconocen que no es necesario un pronunciamiento previo de autoridad competente que determine la existencia de tales violaciones y delitos, pues el órgano garante sí cuenta con dichas facultades:</w:t>
      </w:r>
    </w:p>
    <w:p w:rsidR="006E0BD9" w:rsidRPr="00BF08EF" w:rsidRDefault="006E0BD9" w:rsidP="006E0BD9">
      <w:pPr>
        <w:spacing w:line="360" w:lineRule="auto"/>
        <w:ind w:right="49"/>
        <w:contextualSpacing/>
        <w:jc w:val="both"/>
        <w:rPr>
          <w:rFonts w:ascii="Palatino Linotype" w:eastAsiaTheme="minorEastAsia" w:hAnsi="Palatino Linotype"/>
          <w:lang w:eastAsia="es-ES"/>
        </w:rPr>
      </w:pPr>
    </w:p>
    <w:p w:rsidR="006E0BD9" w:rsidRPr="00BF08EF" w:rsidRDefault="006E0BD9" w:rsidP="006E0BD9">
      <w:pPr>
        <w:spacing w:line="360" w:lineRule="auto"/>
        <w:ind w:left="851" w:right="822"/>
        <w:contextualSpacing/>
        <w:jc w:val="both"/>
        <w:rPr>
          <w:rFonts w:ascii="Palatino Linotype" w:hAnsi="Palatino Linotype"/>
          <w:i/>
          <w:sz w:val="22"/>
        </w:rPr>
      </w:pPr>
      <w:r w:rsidRPr="00BF08EF">
        <w:t xml:space="preserve">• </w:t>
      </w:r>
      <w:r w:rsidRPr="00BF08EF">
        <w:rPr>
          <w:rFonts w:ascii="Palatino Linotype" w:hAnsi="Palatino Linotype"/>
          <w:sz w:val="22"/>
        </w:rPr>
        <w:t>Juicio de Amparo 1371/2013 resuelto por el Juzgado Octavo de Distrito en Materia Administrativa en el D.F., en cuya sentencia se señala:</w:t>
      </w:r>
      <w:r w:rsidRPr="00BF08EF">
        <w:rPr>
          <w:rFonts w:ascii="Palatino Linotype" w:hAnsi="Palatino Linotype"/>
          <w:i/>
          <w:sz w:val="22"/>
        </w:rPr>
        <w:t xml:space="preserve"> “Contrario a lo asentado por el IFAI, dicho Instituto sí cuenta con facultades para pronunciarse prima facie sobre las violaciones graves de derechos humanos únicamente para efectos </w:t>
      </w:r>
      <w:r w:rsidRPr="00BF08EF">
        <w:rPr>
          <w:rFonts w:ascii="Palatino Linotype" w:hAnsi="Palatino Linotype"/>
          <w:i/>
          <w:sz w:val="22"/>
        </w:rPr>
        <w:lastRenderedPageBreak/>
        <w:t>de asumir y ejercer sus propias competencias en materia de acceso a la información de las averiguaciones previas”</w:t>
      </w:r>
      <w:r w:rsidRPr="00BF08EF">
        <w:rPr>
          <w:rStyle w:val="Refdenotaalpie"/>
          <w:rFonts w:ascii="Palatino Linotype" w:hAnsi="Palatino Linotype"/>
          <w:i/>
          <w:sz w:val="22"/>
        </w:rPr>
        <w:footnoteReference w:id="6"/>
      </w:r>
    </w:p>
    <w:p w:rsidR="006E0BD9" w:rsidRPr="00BF08EF" w:rsidRDefault="006E0BD9" w:rsidP="006E0BD9">
      <w:pPr>
        <w:spacing w:line="360" w:lineRule="auto"/>
        <w:ind w:left="851" w:right="822"/>
        <w:contextualSpacing/>
        <w:jc w:val="both"/>
        <w:rPr>
          <w:rFonts w:ascii="Palatino Linotype" w:hAnsi="Palatino Linotype"/>
          <w:i/>
          <w:sz w:val="22"/>
        </w:rPr>
      </w:pPr>
    </w:p>
    <w:p w:rsidR="006E0BD9" w:rsidRPr="00BF08EF" w:rsidRDefault="006E0BD9" w:rsidP="006E0BD9">
      <w:pPr>
        <w:spacing w:line="360" w:lineRule="auto"/>
        <w:ind w:left="851" w:right="822"/>
        <w:contextualSpacing/>
        <w:jc w:val="both"/>
        <w:rPr>
          <w:rFonts w:ascii="Palatino Linotype" w:eastAsiaTheme="minorEastAsia" w:hAnsi="Palatino Linotype"/>
          <w:i/>
          <w:sz w:val="22"/>
          <w:lang w:eastAsia="es-ES"/>
        </w:rPr>
      </w:pPr>
      <w:r w:rsidRPr="00BF08EF">
        <w:rPr>
          <w:rFonts w:ascii="Palatino Linotype" w:hAnsi="Palatino Linotype"/>
          <w:i/>
          <w:sz w:val="22"/>
        </w:rPr>
        <w:t xml:space="preserve">• </w:t>
      </w:r>
      <w:r w:rsidRPr="00BF08EF">
        <w:rPr>
          <w:rFonts w:ascii="Palatino Linotype" w:hAnsi="Palatino Linotype"/>
          <w:sz w:val="22"/>
        </w:rPr>
        <w:t>Juicio de Amparo 1189/2013 resuelto por el Juzgado Sexto de Distrito en Materia Administrativa en el D.F.:</w:t>
      </w:r>
      <w:r w:rsidRPr="00BF08EF">
        <w:rPr>
          <w:rFonts w:ascii="Palatino Linotype" w:hAnsi="Palatino Linotype"/>
          <w:i/>
          <w:sz w:val="22"/>
        </w:rPr>
        <w:t xml:space="preserve"> “En este contexto, de los razonamientos anteriores, se concluye que el Instituto Federal de Acceso a la Información, en términos del artículo 37 de la Ley Federal de Transparencia y Acceso a la Información Pública Gubernamental, sí cuenta con facultades para interpretar si en el caso específico, opera la excepción de reserva prevista en el artículo 14, último párrafo, respecto de la averiguación previa (…)”</w:t>
      </w:r>
      <w:r w:rsidRPr="00BF08EF">
        <w:rPr>
          <w:rStyle w:val="Refdenotaalpie"/>
          <w:rFonts w:ascii="Palatino Linotype" w:hAnsi="Palatino Linotype"/>
          <w:i/>
          <w:sz w:val="22"/>
        </w:rPr>
        <w:footnoteReference w:id="7"/>
      </w:r>
    </w:p>
    <w:p w:rsidR="006E0BD9" w:rsidRPr="00BF08EF" w:rsidRDefault="006E0BD9" w:rsidP="006E0BD9">
      <w:pPr>
        <w:spacing w:line="360" w:lineRule="auto"/>
        <w:ind w:right="49"/>
        <w:contextualSpacing/>
        <w:jc w:val="both"/>
        <w:rPr>
          <w:rFonts w:ascii="Palatino Linotype" w:eastAsiaTheme="minorEastAsia" w:hAnsi="Palatino Linotype"/>
          <w:lang w:eastAsia="es-ES"/>
        </w:rPr>
      </w:pPr>
    </w:p>
    <w:p w:rsidR="007E54E6" w:rsidRPr="00BF08EF" w:rsidRDefault="00242ADE"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BF08EF">
        <w:rPr>
          <w:rFonts w:ascii="Palatino Linotype" w:eastAsiaTheme="minorEastAsia" w:hAnsi="Palatino Linotype"/>
          <w:lang w:eastAsia="es-ES"/>
        </w:rPr>
        <w:t xml:space="preserve">Por tal razón, el </w:t>
      </w:r>
      <w:r w:rsidR="00B07288" w:rsidRPr="00BF08EF">
        <w:rPr>
          <w:rFonts w:ascii="Palatino Linotype" w:eastAsiaTheme="minorEastAsia" w:hAnsi="Palatino Linotype"/>
          <w:lang w:eastAsia="es-ES"/>
        </w:rPr>
        <w:t>Órgano Ga</w:t>
      </w:r>
      <w:r w:rsidRPr="00BF08EF">
        <w:rPr>
          <w:rFonts w:ascii="Palatino Linotype" w:eastAsiaTheme="minorEastAsia" w:hAnsi="Palatino Linotype"/>
          <w:lang w:eastAsia="es-ES"/>
        </w:rPr>
        <w:t xml:space="preserve">rante puede pronunciarse </w:t>
      </w:r>
      <w:r w:rsidRPr="00BF08EF">
        <w:rPr>
          <w:rFonts w:ascii="Palatino Linotype" w:eastAsiaTheme="minorEastAsia" w:hAnsi="Palatino Linotype"/>
          <w:i/>
          <w:lang w:eastAsia="es-ES"/>
        </w:rPr>
        <w:t>prima facie</w:t>
      </w:r>
      <w:r w:rsidRPr="00BF08EF">
        <w:rPr>
          <w:rFonts w:ascii="Palatino Linotype" w:eastAsiaTheme="minorEastAsia" w:hAnsi="Palatino Linotype"/>
          <w:lang w:eastAsia="es-ES"/>
        </w:rPr>
        <w:t xml:space="preserve"> sobre violaciones graves y delitos de lesa humanidad para efectos de ejercer su competencia en materia de acceso a la información, si bien, no es el Órgano Garante quien </w:t>
      </w:r>
      <w:r w:rsidR="00B07288" w:rsidRPr="00BF08EF">
        <w:rPr>
          <w:rFonts w:ascii="Palatino Linotype" w:eastAsiaTheme="minorEastAsia" w:hAnsi="Palatino Linotype"/>
          <w:lang w:eastAsia="es-ES"/>
        </w:rPr>
        <w:t>investigará sobre las violaciones cometidas, ni determinará las sanciones aplicables, si se podrá determinar si a primera vista, aquello de lo que se trata consistente en eventos de aquella naturaleza, para efectos de garantizar el derecho de acceso a la información.</w:t>
      </w:r>
    </w:p>
    <w:p w:rsidR="00246A20" w:rsidRPr="00835EC5" w:rsidRDefault="00246A20" w:rsidP="00835EC5">
      <w:pPr>
        <w:spacing w:line="360" w:lineRule="auto"/>
        <w:ind w:right="49"/>
        <w:contextualSpacing/>
        <w:jc w:val="both"/>
        <w:rPr>
          <w:rFonts w:ascii="Palatino Linotype" w:eastAsiaTheme="minorEastAsia" w:hAnsi="Palatino Linotype"/>
          <w:lang w:eastAsia="es-ES"/>
        </w:rPr>
      </w:pPr>
    </w:p>
    <w:p w:rsidR="00F83849" w:rsidRPr="001A51C6" w:rsidRDefault="00E04F0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Theme="minorEastAsia" w:hAnsi="Palatino Linotype"/>
          <w:lang w:eastAsia="es-ES"/>
        </w:rPr>
        <w:t xml:space="preserve">Ahora bien, es importante señalar que el Sujeto Obligado manifestó en su respuesta </w:t>
      </w:r>
      <w:r w:rsidR="00042AE5" w:rsidRPr="001A51C6">
        <w:rPr>
          <w:rFonts w:ascii="Palatino Linotype" w:eastAsiaTheme="minorEastAsia" w:hAnsi="Palatino Linotype"/>
          <w:lang w:eastAsia="es-ES"/>
        </w:rPr>
        <w:t>que existe una carpeta de investigación iniciada po</w:t>
      </w:r>
      <w:r w:rsidR="004A326C" w:rsidRPr="001A51C6">
        <w:rPr>
          <w:rFonts w:ascii="Palatino Linotype" w:eastAsiaTheme="minorEastAsia" w:hAnsi="Palatino Linotype"/>
          <w:lang w:eastAsia="es-ES"/>
        </w:rPr>
        <w:t>r cohecho, de</w:t>
      </w:r>
      <w:r w:rsidR="00042AE5" w:rsidRPr="001A51C6">
        <w:rPr>
          <w:rFonts w:ascii="Palatino Linotype" w:eastAsiaTheme="minorEastAsia" w:hAnsi="Palatino Linotype"/>
          <w:lang w:eastAsia="es-ES"/>
        </w:rPr>
        <w:t xml:space="preserve">lito que de </w:t>
      </w:r>
      <w:r w:rsidR="00042AE5" w:rsidRPr="001A51C6">
        <w:rPr>
          <w:rFonts w:ascii="Palatino Linotype" w:eastAsiaTheme="minorEastAsia" w:hAnsi="Palatino Linotype"/>
          <w:lang w:eastAsia="es-ES"/>
        </w:rPr>
        <w:lastRenderedPageBreak/>
        <w:t>acuerdo al artículo 9 del Código Penal del Estado de México, es considerado un delito grave:</w:t>
      </w:r>
    </w:p>
    <w:p w:rsidR="004A326C" w:rsidRPr="001A51C6" w:rsidRDefault="004A326C" w:rsidP="00B34C01">
      <w:pPr>
        <w:spacing w:line="360" w:lineRule="auto"/>
        <w:ind w:right="49"/>
        <w:contextualSpacing/>
        <w:jc w:val="both"/>
        <w:rPr>
          <w:rFonts w:ascii="Palatino Linotype" w:eastAsiaTheme="minorEastAsia" w:hAnsi="Palatino Linotype"/>
          <w:lang w:eastAsia="es-ES"/>
        </w:rPr>
      </w:pPr>
    </w:p>
    <w:p w:rsidR="004A326C" w:rsidRPr="001A51C6" w:rsidRDefault="004A326C" w:rsidP="00B34C01">
      <w:pPr>
        <w:spacing w:line="360" w:lineRule="auto"/>
        <w:ind w:right="49"/>
        <w:contextualSpacing/>
        <w:jc w:val="center"/>
        <w:rPr>
          <w:rFonts w:ascii="Palatino Linotype" w:eastAsiaTheme="minorEastAsia" w:hAnsi="Palatino Linotype"/>
          <w:lang w:eastAsia="es-ES"/>
        </w:rPr>
      </w:pPr>
      <w:r w:rsidRPr="001A51C6">
        <w:rPr>
          <w:rFonts w:ascii="Palatino Linotype" w:hAnsi="Palatino Linotype"/>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3902667</wp:posOffset>
                </wp:positionH>
                <wp:positionV relativeFrom="paragraph">
                  <wp:posOffset>473482</wp:posOffset>
                </wp:positionV>
                <wp:extent cx="1150706" cy="143838"/>
                <wp:effectExtent l="19050" t="19050" r="11430" b="27940"/>
                <wp:wrapNone/>
                <wp:docPr id="13" name="Rectángulo redondeado 13"/>
                <wp:cNvGraphicFramePr/>
                <a:graphic xmlns:a="http://schemas.openxmlformats.org/drawingml/2006/main">
                  <a:graphicData uri="http://schemas.microsoft.com/office/word/2010/wordprocessingShape">
                    <wps:wsp>
                      <wps:cNvSpPr/>
                      <wps:spPr>
                        <a:xfrm>
                          <a:off x="0" y="0"/>
                          <a:ext cx="1150706" cy="14383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F175A1" id="Rectángulo redondeado 13" o:spid="_x0000_s1026" style="position:absolute;margin-left:307.3pt;margin-top:37.3pt;width:90.6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" filled="f" strokecolor="red" strokeweight="2.25pt">
                <v:stroke joinstyle="miter"/>
              </v:roundrect>
            </w:pict>
          </mc:Fallback>
        </mc:AlternateContent>
      </w:r>
      <w:r w:rsidRPr="001A51C6">
        <w:rPr>
          <w:rFonts w:ascii="Palatino Linotype" w:hAnsi="Palatino Linotype"/>
          <w:noProof/>
          <w:lang w:val="es-ES" w:eastAsia="es-ES"/>
        </w:rPr>
        <w:drawing>
          <wp:inline distT="0" distB="0" distL="0" distR="0" wp14:anchorId="54B9CC46" wp14:editId="5BC775D4">
            <wp:extent cx="4520630" cy="1101147"/>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752" t="53116" r="33449" b="32247"/>
                    <a:stretch/>
                  </pic:blipFill>
                  <pic:spPr bwMode="auto">
                    <a:xfrm>
                      <a:off x="0" y="0"/>
                      <a:ext cx="4579036" cy="1115374"/>
                    </a:xfrm>
                    <a:prstGeom prst="rect">
                      <a:avLst/>
                    </a:prstGeom>
                    <a:ln>
                      <a:noFill/>
                    </a:ln>
                    <a:extLst>
                      <a:ext uri="{53640926-AAD7-44D8-BBD7-CCE9431645EC}">
                        <a14:shadowObscured xmlns:a14="http://schemas.microsoft.com/office/drawing/2010/main"/>
                      </a:ext>
                    </a:extLst>
                  </pic:spPr>
                </pic:pic>
              </a:graphicData>
            </a:graphic>
          </wp:inline>
        </w:drawing>
      </w:r>
    </w:p>
    <w:p w:rsidR="00042AE5" w:rsidRDefault="00042AE5" w:rsidP="00B34C01">
      <w:pPr>
        <w:spacing w:line="360" w:lineRule="auto"/>
        <w:ind w:right="49"/>
        <w:contextualSpacing/>
        <w:jc w:val="both"/>
        <w:rPr>
          <w:rFonts w:ascii="Palatino Linotype" w:eastAsiaTheme="minorEastAsia" w:hAnsi="Palatino Linotype"/>
          <w:lang w:eastAsia="es-ES"/>
        </w:rPr>
      </w:pPr>
    </w:p>
    <w:p w:rsidR="006E0BD9" w:rsidRPr="001A51C6" w:rsidRDefault="006E0BD9" w:rsidP="00B34C01">
      <w:pPr>
        <w:spacing w:line="360" w:lineRule="auto"/>
        <w:ind w:right="49"/>
        <w:contextualSpacing/>
        <w:jc w:val="both"/>
        <w:rPr>
          <w:rFonts w:ascii="Palatino Linotype" w:eastAsiaTheme="minorEastAsia" w:hAnsi="Palatino Linotype"/>
          <w:lang w:eastAsia="es-ES"/>
        </w:rPr>
      </w:pPr>
    </w:p>
    <w:p w:rsidR="00042AE5" w:rsidRPr="001A51C6" w:rsidRDefault="00042AE5" w:rsidP="00B34C01">
      <w:pPr>
        <w:spacing w:line="360" w:lineRule="auto"/>
        <w:ind w:left="851" w:right="822"/>
        <w:contextualSpacing/>
        <w:jc w:val="center"/>
        <w:rPr>
          <w:rFonts w:ascii="Palatino Linotype" w:hAnsi="Palatino Linotype"/>
          <w:b/>
          <w:i/>
          <w:sz w:val="22"/>
        </w:rPr>
      </w:pPr>
      <w:r w:rsidRPr="001A51C6">
        <w:rPr>
          <w:rFonts w:ascii="Palatino Linotype" w:hAnsi="Palatino Linotype"/>
          <w:b/>
          <w:i/>
          <w:sz w:val="22"/>
        </w:rPr>
        <w:t xml:space="preserve">CAPITULO II </w:t>
      </w:r>
    </w:p>
    <w:p w:rsidR="00042AE5" w:rsidRPr="001A51C6" w:rsidRDefault="00042AE5" w:rsidP="00B34C01">
      <w:pPr>
        <w:spacing w:line="360" w:lineRule="auto"/>
        <w:ind w:left="851" w:right="822"/>
        <w:contextualSpacing/>
        <w:jc w:val="center"/>
        <w:rPr>
          <w:rFonts w:ascii="Palatino Linotype" w:eastAsiaTheme="minorEastAsia" w:hAnsi="Palatino Linotype"/>
          <w:b/>
          <w:i/>
          <w:sz w:val="22"/>
          <w:lang w:eastAsia="es-ES"/>
        </w:rPr>
      </w:pPr>
      <w:r w:rsidRPr="001A51C6">
        <w:rPr>
          <w:rFonts w:ascii="Palatino Linotype" w:hAnsi="Palatino Linotype"/>
          <w:b/>
          <w:i/>
          <w:sz w:val="22"/>
        </w:rPr>
        <w:t>LOS DELITOS GRAVES</w:t>
      </w:r>
    </w:p>
    <w:p w:rsidR="00042AE5" w:rsidRPr="001A51C6" w:rsidRDefault="00042AE5" w:rsidP="00B34C01">
      <w:pPr>
        <w:spacing w:line="360" w:lineRule="auto"/>
        <w:ind w:left="851" w:right="822"/>
        <w:contextualSpacing/>
        <w:jc w:val="both"/>
        <w:rPr>
          <w:rFonts w:ascii="Palatino Linotype" w:hAnsi="Palatino Linotype"/>
          <w:i/>
          <w:sz w:val="22"/>
        </w:rPr>
      </w:pPr>
      <w:r w:rsidRPr="001A51C6">
        <w:rPr>
          <w:rFonts w:ascii="Palatino Linotype" w:hAnsi="Palatino Linotype"/>
          <w:i/>
          <w:sz w:val="22"/>
        </w:rPr>
        <w:t>“Artículo 9.- Se califican como delitos graves para todos los efectos legales: el cometido por conductores de vehículos de motor, indicado en el artículo 61 segundo párrafo, fracciones I, II, III y V, el de rebelión, previsto en los artículos 107 último párrafo, 108 primer y tercer párrafos y 110, el de sedición, señalado en el artículo 113 segundo párrafo; el de cohecho, previsto en los artículos 129 y 130 en términos del párrafo segundo del artículo 131…”</w:t>
      </w:r>
    </w:p>
    <w:p w:rsidR="004A326C" w:rsidRPr="001A51C6" w:rsidRDefault="004A326C" w:rsidP="00B34C01">
      <w:pPr>
        <w:spacing w:line="360" w:lineRule="auto"/>
        <w:ind w:left="851" w:right="822"/>
        <w:contextualSpacing/>
        <w:jc w:val="both"/>
        <w:rPr>
          <w:rFonts w:ascii="Palatino Linotype" w:hAnsi="Palatino Linotype"/>
          <w:i/>
          <w:sz w:val="22"/>
        </w:rPr>
      </w:pPr>
    </w:p>
    <w:p w:rsidR="004A326C" w:rsidRPr="001A51C6" w:rsidRDefault="00042AE5" w:rsidP="00B34C01">
      <w:pPr>
        <w:spacing w:line="360" w:lineRule="auto"/>
        <w:ind w:left="851" w:right="822"/>
        <w:contextualSpacing/>
        <w:jc w:val="center"/>
        <w:rPr>
          <w:rFonts w:ascii="Palatino Linotype" w:hAnsi="Palatino Linotype"/>
          <w:b/>
          <w:i/>
        </w:rPr>
      </w:pPr>
      <w:r w:rsidRPr="001A51C6">
        <w:rPr>
          <w:rFonts w:ascii="Palatino Linotype" w:hAnsi="Palatino Linotype"/>
          <w:b/>
          <w:i/>
        </w:rPr>
        <w:t>CAPÍTULO X</w:t>
      </w:r>
    </w:p>
    <w:p w:rsidR="004A326C" w:rsidRPr="001A51C6" w:rsidRDefault="00042AE5" w:rsidP="00B34C01">
      <w:pPr>
        <w:spacing w:line="360" w:lineRule="auto"/>
        <w:ind w:left="851" w:right="822"/>
        <w:contextualSpacing/>
        <w:jc w:val="center"/>
        <w:rPr>
          <w:rFonts w:ascii="Palatino Linotype" w:hAnsi="Palatino Linotype"/>
          <w:b/>
          <w:i/>
        </w:rPr>
      </w:pPr>
      <w:r w:rsidRPr="001A51C6">
        <w:rPr>
          <w:rFonts w:ascii="Palatino Linotype" w:hAnsi="Palatino Linotype"/>
          <w:b/>
          <w:i/>
        </w:rPr>
        <w:t>COHECHO</w:t>
      </w:r>
    </w:p>
    <w:p w:rsidR="004A326C" w:rsidRPr="001A51C6" w:rsidRDefault="004A326C" w:rsidP="00B34C01">
      <w:pPr>
        <w:spacing w:line="360" w:lineRule="auto"/>
        <w:ind w:left="851" w:right="822"/>
        <w:contextualSpacing/>
        <w:jc w:val="center"/>
        <w:rPr>
          <w:rFonts w:ascii="Palatino Linotype" w:hAnsi="Palatino Linotype"/>
          <w:b/>
          <w:i/>
        </w:rPr>
      </w:pP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w:t>
      </w:r>
      <w:r w:rsidR="00042AE5" w:rsidRPr="001A51C6">
        <w:rPr>
          <w:rFonts w:ascii="Palatino Linotype" w:hAnsi="Palatino Linotype"/>
          <w:i/>
        </w:rPr>
        <w:t xml:space="preserve">Artículo 346. Comete el delito de cohecho, el particular que ofrezca, prometa o entregue dinero o cualquier dádiva, a algún servidor público, para que realice u omita un acto, o actos lícitos o ilícitos relacionados con sus funciones.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Al que cometa este delito se le impondrán las sanciones siguientes: </w:t>
      </w:r>
    </w:p>
    <w:p w:rsidR="00042AE5"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lastRenderedPageBreak/>
        <w:t>I. De seis meses a tres años de prisión, y de treinta a trescientos días multa, cuando el beneficio obtenido o la cantidad o el valor de la dádiva o promesa, no exceda del equivalente de noventa veces el valor diario de la Unidad de Medida y Actualización vigente, o no sean cuantificables.</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II. De tres a ocho años de prisión y de quinientos a mil días multa, cuando el beneficio obtenido o la cantidad o el valor de la dádiva o promesa, exceda de noventa veces el valor diario de la Unidad de Medida y Actualización vigente. </w:t>
      </w:r>
    </w:p>
    <w:p w:rsidR="004A326C" w:rsidRPr="001A51C6" w:rsidRDefault="004A326C" w:rsidP="00B34C01">
      <w:pPr>
        <w:spacing w:line="360" w:lineRule="auto"/>
        <w:ind w:left="851" w:right="822"/>
        <w:contextualSpacing/>
        <w:jc w:val="both"/>
        <w:rPr>
          <w:rFonts w:ascii="Palatino Linotype" w:hAnsi="Palatino Linotype"/>
          <w:i/>
        </w:rPr>
      </w:pP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Artículo 347. Incurre en el delito de cohecho, el servidor público que solicite u obtenga para sí o para otro u otros, de los particulares o de otros servidores públicos, por sí o por interpósita persona, dádivas de cualquier tipo, en numerario o en especie para permitir, realizar u omitir un acto o actos lícitos o ilícitos, relacionados con sus funciones.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Al servidor público que cometa este delito, se le impondrán las sanciones siguientes: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I. De uno a tres años de prisión, y de treinta a trescientos días multa, destitución e inhabilitación correspondiente para desempeñar empleo, cargo o comisión públicos, cuando el beneficio obtenido o la cantidad o el valor de la dádiva no exceda el equivalente de noventa veces el valor diario de la Unidad de Medida y Actualización vigente, o no sean cuantificables.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II. De cuatro a diez años de prisión, de quinientos a mil días multa, destitución e inhabilitación correspondiente para desempeñar empleo, cargo o comisión públicos, cuando el beneficio obtenido o la cantidad o el valor de la </w:t>
      </w:r>
      <w:r w:rsidRPr="001A51C6">
        <w:rPr>
          <w:rFonts w:ascii="Palatino Linotype" w:hAnsi="Palatino Linotype"/>
          <w:i/>
        </w:rPr>
        <w:lastRenderedPageBreak/>
        <w:t xml:space="preserve">dádiva exceda de noventa veces el valor diario de la Unidad de Medida y Actualización vigente.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Artículo 348. También incurre en cohecho, el servidor público que con el propósito de obtener dádivas de cualquier tipo, realice dolosamente alguna de las conductas siguientes: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I. Impedir u obstaculizar a cualquier persona por actos u omisiones indebidos la presentación de peticiones, escritos o promociones. </w:t>
      </w:r>
    </w:p>
    <w:p w:rsidR="004A326C"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II. Retardar o negar a cualquier persona el curso, despacho o resolución de los asuntos, de las prestaciones o de los servicios que tenga el deber de atender. </w:t>
      </w:r>
    </w:p>
    <w:p w:rsidR="00042AE5" w:rsidRPr="001A51C6" w:rsidRDefault="00042AE5" w:rsidP="00B34C01">
      <w:pPr>
        <w:spacing w:line="360" w:lineRule="auto"/>
        <w:ind w:left="851" w:right="822"/>
        <w:contextualSpacing/>
        <w:jc w:val="both"/>
        <w:rPr>
          <w:rFonts w:ascii="Palatino Linotype" w:hAnsi="Palatino Linotype"/>
          <w:i/>
        </w:rPr>
      </w:pPr>
      <w:r w:rsidRPr="001A51C6">
        <w:rPr>
          <w:rFonts w:ascii="Palatino Linotype" w:hAnsi="Palatino Linotype"/>
          <w:i/>
        </w:rPr>
        <w:t>A quien cometa este delito, se le impondrá pena de prisión de uno a tres años, o de treinta a trescientos días multa, o ambas sanciones, así como destitución e inhabilitación correspondiente para desempeñar empleo, cargo o comisión públicos.</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Artículo 350. Además, incurre en cohecho: </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El legislador estatal o integrantes del ayuntamiento, que en el ámbito de sus competencias, y en el ejercicio de sus funciones o atribuciones, en el marco del proceso de aprobación del presupuesto de egresos respectivo, gestione o solicite: </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a) La asignación de recursos a favor de un ente público, exigiendo u obteniendo, para sí o para un tercero, una comisión, dádiva o contraprestación, en dinero o en especie, distinta a la que le corresponde por el ejercicio de su encargo.</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b) El otorgamiento de contratos de obra pública o de servicios a favor de determinadas personas físicas o jurídicas colectivas. </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lastRenderedPageBreak/>
        <w:t xml:space="preserve">Se aplicará la misma pena a cualquier persona que gestione, solicite a nombre o en representación del legislador estatal, o integrantes del ayuntamiento, las asignaciones de recursos u otorgamiento de contratos a que se refieren los incisos a) y b) de este artículo. </w:t>
      </w:r>
    </w:p>
    <w:p w:rsidR="004A326C" w:rsidRPr="001A51C6" w:rsidRDefault="004A326C" w:rsidP="00B34C01">
      <w:pPr>
        <w:spacing w:line="360" w:lineRule="auto"/>
        <w:ind w:left="851" w:right="822"/>
        <w:contextualSpacing/>
        <w:jc w:val="both"/>
        <w:rPr>
          <w:rFonts w:ascii="Palatino Linotype" w:hAnsi="Palatino Linotype"/>
          <w:i/>
        </w:rPr>
      </w:pPr>
      <w:r w:rsidRPr="001A51C6">
        <w:rPr>
          <w:rFonts w:ascii="Palatino Linotype" w:hAnsi="Palatino Linotype"/>
          <w:i/>
        </w:rPr>
        <w:t xml:space="preserve">Al que comete el delito de cohecho se le impondrán las sanciones siguientes: 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así como la destitución e inhabilitación que corresponda. </w:t>
      </w:r>
    </w:p>
    <w:p w:rsidR="004A326C" w:rsidRPr="001A51C6" w:rsidRDefault="004A326C" w:rsidP="00B34C01">
      <w:pPr>
        <w:spacing w:line="360" w:lineRule="auto"/>
        <w:ind w:left="851" w:right="822"/>
        <w:contextualSpacing/>
        <w:jc w:val="both"/>
        <w:rPr>
          <w:rFonts w:ascii="Palatino Linotype" w:hAnsi="Palatino Linotype"/>
          <w:i/>
          <w:sz w:val="22"/>
        </w:rPr>
      </w:pPr>
      <w:r w:rsidRPr="001A51C6">
        <w:rPr>
          <w:rFonts w:ascii="Palatino Linotype" w:hAnsi="Palatino Linotype"/>
          <w:i/>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así como la destitución e inhabilitación que corresponda.”</w:t>
      </w:r>
    </w:p>
    <w:p w:rsidR="00835EC5" w:rsidRPr="00B47A2F" w:rsidRDefault="00835EC5" w:rsidP="00B47A2F">
      <w:pPr>
        <w:spacing w:line="360" w:lineRule="auto"/>
        <w:ind w:right="49"/>
        <w:contextualSpacing/>
        <w:jc w:val="both"/>
        <w:rPr>
          <w:rFonts w:ascii="Palatino Linotype" w:eastAsiaTheme="minorEastAsia" w:hAnsi="Palatino Linotype"/>
          <w:lang w:eastAsia="es-ES"/>
        </w:rPr>
      </w:pPr>
    </w:p>
    <w:p w:rsidR="00F83849" w:rsidRPr="00B47A2F" w:rsidRDefault="00DF3EFA"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szCs w:val="21"/>
          <w:shd w:val="clear" w:color="auto" w:fill="FFFFFF"/>
        </w:rPr>
        <w:t xml:space="preserve">En conclusión, las condiciones de excepcionalidad que </w:t>
      </w:r>
      <w:r w:rsidR="00B47A2F">
        <w:rPr>
          <w:rFonts w:ascii="Palatino Linotype" w:hAnsi="Palatino Linotype" w:cs="Arial"/>
          <w:szCs w:val="21"/>
          <w:shd w:val="clear" w:color="auto" w:fill="FFFFFF"/>
        </w:rPr>
        <w:t>refiere la ley</w:t>
      </w:r>
      <w:r w:rsidRPr="001A51C6">
        <w:rPr>
          <w:rFonts w:ascii="Palatino Linotype" w:hAnsi="Palatino Linotype" w:cs="Arial"/>
          <w:szCs w:val="21"/>
          <w:shd w:val="clear" w:color="auto" w:fill="FFFFFF"/>
        </w:rPr>
        <w:t>, establecen que si la información se relaciona con actos de corrupción, delitos de lesa humanidad y violaciones graves a los derechos humanos, la clasificación de la información es improcedente. En casos donde el tamaño del interés público es mayor al riesgo que este implica, debe prevalecer la entrega y no la reserva</w:t>
      </w:r>
      <w:r w:rsidR="00B47A2F">
        <w:rPr>
          <w:rFonts w:ascii="Palatino Linotype" w:hAnsi="Palatino Linotype" w:cs="Arial"/>
          <w:sz w:val="21"/>
          <w:szCs w:val="21"/>
          <w:shd w:val="clear" w:color="auto" w:fill="FFFFFF"/>
        </w:rPr>
        <w:t xml:space="preserve"> de la información.</w:t>
      </w:r>
    </w:p>
    <w:p w:rsidR="00B47A2F" w:rsidRPr="001A51C6" w:rsidRDefault="00B47A2F" w:rsidP="00B47A2F">
      <w:pPr>
        <w:spacing w:line="360" w:lineRule="auto"/>
        <w:ind w:right="49"/>
        <w:contextualSpacing/>
        <w:jc w:val="both"/>
        <w:rPr>
          <w:rFonts w:ascii="Palatino Linotype" w:eastAsiaTheme="minorEastAsia" w:hAnsi="Palatino Linotype"/>
          <w:lang w:eastAsia="es-ES"/>
        </w:rPr>
      </w:pPr>
    </w:p>
    <w:p w:rsidR="00F83849" w:rsidRPr="001A51C6" w:rsidRDefault="00F83849" w:rsidP="00B34C01">
      <w:pPr>
        <w:spacing w:line="360" w:lineRule="auto"/>
        <w:ind w:right="49"/>
        <w:contextualSpacing/>
        <w:jc w:val="both"/>
        <w:rPr>
          <w:rFonts w:ascii="Palatino Linotype" w:eastAsiaTheme="minorEastAsia" w:hAnsi="Palatino Linotype"/>
          <w:lang w:eastAsia="es-ES"/>
        </w:rPr>
      </w:pPr>
    </w:p>
    <w:p w:rsidR="00F83849" w:rsidRPr="001A51C6" w:rsidRDefault="00F83849" w:rsidP="00B34C01">
      <w:pPr>
        <w:pStyle w:val="Ttulo1"/>
        <w:spacing w:before="0" w:line="360" w:lineRule="auto"/>
        <w:rPr>
          <w:rFonts w:ascii="Palatino Linotype" w:hAnsi="Palatino Linotype"/>
          <w:b/>
          <w:color w:val="000000" w:themeColor="text1"/>
          <w:sz w:val="24"/>
          <w:szCs w:val="24"/>
        </w:rPr>
      </w:pPr>
      <w:bookmarkStart w:id="15" w:name="_Toc74188153"/>
      <w:bookmarkStart w:id="16" w:name="_Toc84518025"/>
      <w:bookmarkStart w:id="17" w:name="_Toc85672132"/>
      <w:r w:rsidRPr="001A51C6">
        <w:rPr>
          <w:rFonts w:ascii="Palatino Linotype" w:hAnsi="Palatino Linotype" w:cs="Times New Roman"/>
          <w:b/>
          <w:color w:val="000000" w:themeColor="text1"/>
          <w:sz w:val="24"/>
          <w:szCs w:val="24"/>
          <w:lang w:eastAsia="es-ES_tradnl"/>
        </w:rPr>
        <w:lastRenderedPageBreak/>
        <w:t xml:space="preserve">QUINTO. </w:t>
      </w:r>
      <w:r w:rsidRPr="001A51C6">
        <w:rPr>
          <w:rFonts w:ascii="Palatino Linotype" w:hAnsi="Palatino Linotype"/>
          <w:b/>
          <w:color w:val="000000" w:themeColor="text1"/>
          <w:sz w:val="24"/>
          <w:szCs w:val="24"/>
        </w:rPr>
        <w:t xml:space="preserve"> </w:t>
      </w:r>
      <w:bookmarkStart w:id="18" w:name="_Toc80889843"/>
      <w:bookmarkStart w:id="19" w:name="_Toc81384826"/>
      <w:bookmarkEnd w:id="15"/>
      <w:r w:rsidRPr="001A51C6">
        <w:rPr>
          <w:rFonts w:ascii="Palatino Linotype" w:hAnsi="Palatino Linotype" w:cs="Arial"/>
          <w:b/>
          <w:color w:val="000000"/>
          <w:sz w:val="24"/>
          <w:lang w:val="es-ES_tradnl"/>
        </w:rPr>
        <w:t>De la versión pública</w:t>
      </w:r>
      <w:bookmarkEnd w:id="16"/>
      <w:bookmarkEnd w:id="18"/>
      <w:bookmarkEnd w:id="19"/>
      <w:r w:rsidRPr="001A51C6">
        <w:rPr>
          <w:rFonts w:ascii="Palatino Linotype" w:hAnsi="Palatino Linotype" w:cs="Arial"/>
          <w:b/>
          <w:color w:val="000000"/>
          <w:sz w:val="24"/>
          <w:lang w:val="es-ES_tradnl"/>
        </w:rPr>
        <w:t>.</w:t>
      </w:r>
      <w:bookmarkEnd w:id="17"/>
    </w:p>
    <w:p w:rsidR="00F83849" w:rsidRPr="001A51C6" w:rsidRDefault="00F83849"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Por otro lado, debe destacarse que debido a la naturaleza de la información solicitada</w:t>
      </w:r>
      <w:r w:rsidRPr="001A51C6">
        <w:rPr>
          <w:rFonts w:ascii="Palatino Linotype" w:hAnsi="Palatino Linotype" w:cs="Arial"/>
          <w:b/>
          <w:color w:val="000000"/>
          <w:lang w:val="es-ES_tradnl"/>
        </w:rPr>
        <w:t xml:space="preserve">, </w:t>
      </w:r>
      <w:r w:rsidRPr="001A51C6">
        <w:rPr>
          <w:rFonts w:ascii="Palatino Linotype" w:hAnsi="Palatino Linotype" w:cs="Arial"/>
          <w:color w:val="000000"/>
          <w:lang w:val="es-ES_tradnl"/>
        </w:rPr>
        <w:t xml:space="preserve">eventualmente pudieran obrar datos personales susceptibles de protegerse, </w:t>
      </w:r>
      <w:r w:rsidR="00AB7B7D" w:rsidRPr="001A51C6">
        <w:rPr>
          <w:rFonts w:ascii="Palatino Linotype" w:hAnsi="Palatino Linotype" w:cs="Arial"/>
          <w:color w:val="000000"/>
          <w:lang w:val="es-ES_tradnl"/>
        </w:rPr>
        <w:t xml:space="preserve">en este caso, el o los documentos donde conste el número de carpeta de investigación, </w:t>
      </w:r>
      <w:r w:rsidRPr="001A51C6">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A51C6">
        <w:rPr>
          <w:rFonts w:ascii="Palatino Linotype" w:hAnsi="Palatino Linotype" w:cs="Arial"/>
          <w:b/>
          <w:color w:val="000000"/>
          <w:u w:val="single"/>
          <w:lang w:val="es-ES_tradnl"/>
        </w:rPr>
        <w:t>versión pública</w:t>
      </w:r>
      <w:r w:rsidRPr="001A51C6">
        <w:rPr>
          <w:rFonts w:ascii="Palatino Linotype" w:hAnsi="Palatino Linotype" w:cs="Arial"/>
          <w:color w:val="000000"/>
          <w:lang w:val="es-ES_tradnl"/>
        </w:rPr>
        <w:t xml:space="preserve"> del documento por las consideraciones que se estimen pertinentes.</w:t>
      </w: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s="Arial"/>
          <w:color w:val="000000"/>
        </w:rPr>
        <w:t xml:space="preserve">Es de </w:t>
      </w:r>
      <w:r w:rsidRPr="001A51C6">
        <w:rPr>
          <w:rFonts w:ascii="Palatino Linotype" w:hAnsi="Palatino Linotype" w:cs="Arial"/>
          <w:color w:val="000000"/>
          <w:lang w:val="es-ES_tradnl"/>
        </w:rPr>
        <w:t>señalar</w:t>
      </w:r>
      <w:r w:rsidRPr="001A51C6">
        <w:rPr>
          <w:rFonts w:ascii="Palatino Linotype" w:eastAsia="Calibri" w:hAnsi="Palatino Linotype" w:cs="Arial"/>
          <w:color w:val="000000"/>
        </w:rPr>
        <w:t xml:space="preserve"> que, por lo que hace a las versiones públicas, el </w:t>
      </w:r>
      <w:r w:rsidRPr="001A51C6">
        <w:rPr>
          <w:rFonts w:ascii="Palatino Linotype" w:eastAsia="Calibri" w:hAnsi="Palatino Linotype" w:cs="Arial"/>
          <w:b/>
          <w:color w:val="000000"/>
        </w:rPr>
        <w:t>SUJETO OBLIGADO</w:t>
      </w:r>
      <w:r w:rsidRPr="001A51C6">
        <w:rPr>
          <w:rFonts w:ascii="Palatino Linotype" w:eastAsia="Calibri" w:hAnsi="Palatino Linotype" w:cs="Arial"/>
          <w:color w:val="000000"/>
        </w:rPr>
        <w:t xml:space="preserve"> debe cumplir con las formalidades exigidas en la Ley, por lo que </w:t>
      </w:r>
      <w:r w:rsidRPr="001A51C6">
        <w:rPr>
          <w:rFonts w:ascii="Palatino Linotype" w:hAnsi="Palatino Linotype" w:cs="Arial"/>
          <w:color w:val="000000"/>
          <w:lang w:val="es-ES_tradnl"/>
        </w:rPr>
        <w:t xml:space="preserve">para tal efecto emitirá el </w:t>
      </w:r>
      <w:r w:rsidRPr="001A51C6">
        <w:rPr>
          <w:rFonts w:ascii="Palatino Linotype" w:eastAsia="Calibri" w:hAnsi="Palatino Linotype" w:cs="Arial"/>
          <w:color w:val="000000"/>
        </w:rPr>
        <w:t>Acuerdo del Comité de Transparencia en términos de los artículos 49 fracción</w:t>
      </w:r>
      <w:r w:rsidRPr="001A51C6">
        <w:rPr>
          <w:rFonts w:ascii="Palatino Linotype" w:eastAsia="Calibri" w:hAnsi="Palatino Linotype" w:cs="Arial"/>
          <w:bCs/>
          <w:color w:val="000000"/>
          <w:lang w:val="es-ES_tradnl"/>
        </w:rPr>
        <w:t xml:space="preserve"> VIII,</w:t>
      </w:r>
      <w:r w:rsidRPr="001A51C6">
        <w:rPr>
          <w:rFonts w:ascii="Palatino Linotype" w:eastAsia="Calibri" w:hAnsi="Palatino Linotype" w:cs="Arial"/>
          <w:color w:val="000000"/>
        </w:rPr>
        <w:t xml:space="preserve"> 122</w:t>
      </w:r>
      <w:r w:rsidRPr="001A51C6">
        <w:rPr>
          <w:rFonts w:ascii="Palatino Linotype" w:hAnsi="Palatino Linotype"/>
          <w:vertAlign w:val="superscript"/>
        </w:rPr>
        <w:footnoteReference w:id="8"/>
      </w:r>
      <w:r w:rsidRPr="001A51C6">
        <w:rPr>
          <w:rFonts w:ascii="Palatino Linotype" w:eastAsia="Calibri" w:hAnsi="Palatino Linotype" w:cs="Arial"/>
          <w:color w:val="000000"/>
        </w:rPr>
        <w:t>, 135</w:t>
      </w:r>
      <w:r w:rsidRPr="001A51C6">
        <w:rPr>
          <w:rFonts w:ascii="Palatino Linotype" w:hAnsi="Palatino Linotype"/>
          <w:vertAlign w:val="superscript"/>
        </w:rPr>
        <w:footnoteReference w:id="9"/>
      </w:r>
      <w:r w:rsidRPr="001A51C6">
        <w:rPr>
          <w:rFonts w:ascii="Palatino Linotype" w:eastAsia="Calibri" w:hAnsi="Palatino Linotype" w:cs="Arial"/>
          <w:color w:val="000000"/>
        </w:rPr>
        <w:t xml:space="preserve"> y 149 de la </w:t>
      </w:r>
      <w:r w:rsidRPr="001A51C6">
        <w:rPr>
          <w:rFonts w:ascii="Palatino Linotype" w:eastAsia="Calibri" w:hAnsi="Palatino Linotype" w:cs="Arial"/>
          <w:b/>
          <w:color w:val="000000"/>
        </w:rPr>
        <w:t>Ley de Transparencia y Acceso a la Información Pública del Estado de México y Municipios</w:t>
      </w:r>
      <w:r w:rsidRPr="001A51C6">
        <w:rPr>
          <w:rFonts w:ascii="Palatino Linotype" w:eastAsia="Calibri" w:hAnsi="Palatino Linotype" w:cs="Arial"/>
          <w:color w:val="000000"/>
        </w:rPr>
        <w:t>, con el cual sustentara de forma fundada y motivada la clasificación de datos y con ello la "versión pública" de los documentos materia de la solicitud.</w:t>
      </w:r>
    </w:p>
    <w:p w:rsidR="00AA7F3D" w:rsidRPr="001A51C6" w:rsidRDefault="00AA7F3D" w:rsidP="00B34C01">
      <w:pPr>
        <w:spacing w:line="360" w:lineRule="auto"/>
        <w:ind w:right="49"/>
        <w:contextualSpacing/>
        <w:jc w:val="both"/>
        <w:rPr>
          <w:rFonts w:ascii="Palatino Linotype" w:eastAsia="Calibri" w:hAnsi="Palatino Linotype" w:cs="Arial"/>
          <w:color w:val="000000"/>
        </w:rPr>
      </w:pPr>
    </w:p>
    <w:p w:rsidR="00AA7F3D" w:rsidRPr="001A51C6" w:rsidRDefault="00AA7F3D" w:rsidP="00B34C01">
      <w:pPr>
        <w:keepNext/>
        <w:keepLines/>
        <w:spacing w:line="360" w:lineRule="auto"/>
        <w:outlineLvl w:val="1"/>
        <w:rPr>
          <w:rFonts w:ascii="Palatino Linotype" w:hAnsi="Palatino Linotype"/>
          <w:b/>
          <w:color w:val="000000"/>
          <w:lang w:eastAsia="en-US"/>
        </w:rPr>
      </w:pPr>
      <w:bookmarkStart w:id="20" w:name="_Toc500756709"/>
      <w:bookmarkStart w:id="21" w:name="_Toc536691777"/>
      <w:bookmarkStart w:id="22" w:name="_Toc80889844"/>
      <w:bookmarkStart w:id="23" w:name="_Toc81384827"/>
      <w:bookmarkStart w:id="24" w:name="_Toc84518026"/>
      <w:bookmarkStart w:id="25" w:name="_Toc85133424"/>
      <w:bookmarkStart w:id="26" w:name="_Toc85672133"/>
      <w:r w:rsidRPr="001A51C6">
        <w:rPr>
          <w:rFonts w:ascii="Palatino Linotype" w:hAnsi="Palatino Linotype"/>
          <w:b/>
          <w:color w:val="000000"/>
          <w:lang w:eastAsia="en-US"/>
        </w:rPr>
        <w:t>I. De la clasificación de la información.</w:t>
      </w:r>
      <w:bookmarkEnd w:id="20"/>
      <w:bookmarkEnd w:id="21"/>
      <w:bookmarkEnd w:id="22"/>
      <w:bookmarkEnd w:id="23"/>
      <w:bookmarkEnd w:id="24"/>
      <w:bookmarkEnd w:id="25"/>
      <w:bookmarkEnd w:id="26"/>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s="Arial"/>
          <w:color w:val="000000"/>
        </w:rPr>
        <w:t>La</w:t>
      </w:r>
      <w:r w:rsidRPr="001A51C6">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A51C6">
        <w:rPr>
          <w:rFonts w:ascii="Palatino Linotype" w:hAnsi="Palatino Linotype"/>
          <w:vertAlign w:val="superscript"/>
          <w:lang w:val="es-ES_tradnl"/>
        </w:rPr>
        <w:footnoteReference w:id="10"/>
      </w:r>
      <w:r w:rsidRPr="001A51C6">
        <w:rPr>
          <w:rFonts w:ascii="Palatino Linotype" w:hAnsi="Palatino Linotype"/>
          <w:color w:val="000000"/>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1A51C6">
        <w:rPr>
          <w:rFonts w:ascii="Palatino Linotype" w:hAnsi="Palatino Linotype"/>
          <w:color w:val="000000"/>
          <w:lang w:val="es-ES_tradnl"/>
        </w:rPr>
        <w:lastRenderedPageBreak/>
        <w:t>preservar.</w:t>
      </w:r>
      <w:r w:rsidRPr="001A51C6">
        <w:rPr>
          <w:rFonts w:ascii="Palatino Linotype" w:hAnsi="Palatino Linotype"/>
          <w:vertAlign w:val="superscript"/>
          <w:lang w:val="es-ES_tradnl"/>
        </w:rPr>
        <w:footnoteReference w:id="11"/>
      </w:r>
      <w:r w:rsidRPr="001A51C6">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1A51C6">
        <w:rPr>
          <w:rFonts w:ascii="Palatino Linotype" w:hAnsi="Palatino Linotype" w:cs="Arial"/>
          <w:b/>
          <w:bCs/>
          <w:color w:val="000000"/>
          <w:lang w:val="es-ES_tradnl"/>
        </w:rPr>
        <w:t xml:space="preserve">SUJETO </w:t>
      </w:r>
      <w:r w:rsidRPr="001A51C6">
        <w:rPr>
          <w:rFonts w:ascii="Palatino Linotype" w:hAnsi="Palatino Linotype" w:cs="Arial"/>
          <w:b/>
          <w:bCs/>
          <w:color w:val="000000"/>
          <w:lang w:val="es-ES_tradnl"/>
        </w:rPr>
        <w:lastRenderedPageBreak/>
        <w:t>OBLIGADO</w:t>
      </w:r>
      <w:r w:rsidRPr="001A51C6">
        <w:rPr>
          <w:rFonts w:ascii="Palatino Linotype" w:hAnsi="Palatino Linotype" w:cs="Arial"/>
          <w:color w:val="000000"/>
          <w:lang w:val="es-ES_tradnl"/>
        </w:rPr>
        <w:t xml:space="preserve"> </w:t>
      </w:r>
      <w:r w:rsidRPr="001A51C6">
        <w:rPr>
          <w:rFonts w:ascii="Palatino Linotype" w:hAnsi="Palatino Linotype"/>
          <w:color w:val="000000"/>
          <w:lang w:val="es-ES_tradnl"/>
        </w:rPr>
        <w:t>para emitir este tipo de acuerdos y que el Órgano Garante debe verificar que se cumplan.</w:t>
      </w:r>
    </w:p>
    <w:p w:rsidR="00AA7F3D" w:rsidRPr="001A51C6" w:rsidRDefault="00AA7F3D" w:rsidP="00B34C01">
      <w:pPr>
        <w:spacing w:line="360" w:lineRule="auto"/>
        <w:jc w:val="both"/>
        <w:rPr>
          <w:rFonts w:ascii="Palatino Linotype" w:hAnsi="Palatino Linotype"/>
          <w:color w:val="000000"/>
          <w:lang w:val="es-ES_tradnl"/>
        </w:rPr>
      </w:pPr>
    </w:p>
    <w:p w:rsidR="00AA7F3D" w:rsidRPr="001A51C6" w:rsidRDefault="00AA7F3D" w:rsidP="00B34C01">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27" w:name="_Toc485631700"/>
      <w:bookmarkStart w:id="28" w:name="_Toc500756710"/>
      <w:bookmarkStart w:id="29" w:name="_Toc536691778"/>
      <w:bookmarkStart w:id="30" w:name="_Toc80889845"/>
      <w:bookmarkStart w:id="31" w:name="_Toc81260556"/>
      <w:bookmarkStart w:id="32" w:name="_Toc81384828"/>
      <w:bookmarkStart w:id="33" w:name="_Toc84518027"/>
      <w:bookmarkStart w:id="34" w:name="_Toc85133425"/>
      <w:bookmarkStart w:id="35" w:name="_Toc85672134"/>
      <w:r w:rsidRPr="001A51C6">
        <w:rPr>
          <w:rFonts w:ascii="Palatino Linotype" w:hAnsi="Palatino Linotype"/>
          <w:b/>
          <w:color w:val="000000"/>
          <w:lang w:eastAsia="en-US"/>
        </w:rPr>
        <w:t>a) Requisitos previos.</w:t>
      </w:r>
      <w:bookmarkEnd w:id="27"/>
      <w:bookmarkEnd w:id="28"/>
      <w:bookmarkEnd w:id="29"/>
      <w:bookmarkEnd w:id="30"/>
      <w:bookmarkEnd w:id="31"/>
      <w:bookmarkEnd w:id="32"/>
      <w:bookmarkEnd w:id="33"/>
      <w:bookmarkEnd w:id="34"/>
      <w:bookmarkEnd w:id="35"/>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Los </w:t>
      </w:r>
      <w:r w:rsidRPr="001A51C6">
        <w:rPr>
          <w:rFonts w:ascii="Palatino Linotype" w:hAnsi="Palatino Linotype"/>
          <w:color w:val="000000"/>
          <w:lang w:val="es-ES_tradnl"/>
        </w:rPr>
        <w:t>artículos</w:t>
      </w:r>
      <w:r w:rsidRPr="001A51C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no se puede hacer un </w:t>
      </w:r>
      <w:r w:rsidRPr="001A51C6">
        <w:rPr>
          <w:rFonts w:ascii="Palatino Linotype" w:hAnsi="Palatino Linotype" w:cs="Arial"/>
          <w:color w:val="000000"/>
          <w:lang w:val="es-ES_tradnl"/>
        </w:rPr>
        <w:lastRenderedPageBreak/>
        <w:t>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36" w:name="_Toc485631701"/>
      <w:bookmarkStart w:id="37" w:name="_Toc500756711"/>
      <w:bookmarkStart w:id="38" w:name="_Toc536691779"/>
      <w:bookmarkStart w:id="39" w:name="_Toc80889846"/>
      <w:bookmarkStart w:id="40" w:name="_Toc81260557"/>
      <w:bookmarkStart w:id="41" w:name="_Toc81384829"/>
      <w:bookmarkStart w:id="42" w:name="_Toc84518028"/>
      <w:bookmarkStart w:id="43" w:name="_Toc85133426"/>
      <w:bookmarkStart w:id="44" w:name="_Toc85672135"/>
      <w:r w:rsidRPr="001A51C6">
        <w:rPr>
          <w:rFonts w:ascii="Palatino Linotype" w:hAnsi="Palatino Linotype"/>
          <w:b/>
          <w:color w:val="000000"/>
          <w:lang w:eastAsia="en-US"/>
        </w:rPr>
        <w:t>b) Supuestos de clasificación.</w:t>
      </w:r>
      <w:bookmarkEnd w:id="36"/>
      <w:bookmarkEnd w:id="37"/>
      <w:bookmarkEnd w:id="38"/>
      <w:bookmarkEnd w:id="39"/>
      <w:bookmarkEnd w:id="40"/>
      <w:bookmarkEnd w:id="41"/>
      <w:bookmarkEnd w:id="42"/>
      <w:bookmarkEnd w:id="43"/>
      <w:bookmarkEnd w:id="44"/>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rsidR="00AA7F3D" w:rsidRPr="001A51C6" w:rsidRDefault="00AA7F3D" w:rsidP="00B34C01">
      <w:pPr>
        <w:spacing w:line="360" w:lineRule="auto"/>
        <w:ind w:right="49"/>
        <w:contextualSpacing/>
        <w:jc w:val="both"/>
        <w:rPr>
          <w:rFonts w:ascii="Palatino Linotype" w:hAnsi="Palatino Linotype" w:cs="Arial"/>
          <w:color w:val="000000"/>
          <w:lang w:val="es-ES_tradnl"/>
        </w:rPr>
      </w:pPr>
    </w:p>
    <w:p w:rsidR="00AA7F3D" w:rsidRPr="001A51C6" w:rsidRDefault="00AA7F3D" w:rsidP="00B34C0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1A51C6">
        <w:rPr>
          <w:rFonts w:ascii="Palatino Linotype" w:hAnsi="Palatino Linotype" w:cs="Bookman Old Style"/>
          <w:bCs/>
          <w:i/>
          <w:iCs/>
          <w:color w:val="000000"/>
          <w:lang w:val="es-ES_tradnl"/>
        </w:rPr>
        <w:t>“</w:t>
      </w:r>
      <w:r w:rsidRPr="001A51C6">
        <w:rPr>
          <w:rFonts w:ascii="Palatino Linotype" w:hAnsi="Palatino Linotype" w:cs="Bookman Old Style"/>
          <w:b/>
          <w:i/>
          <w:iCs/>
          <w:color w:val="000000"/>
          <w:lang w:val="es-ES_tradnl"/>
        </w:rPr>
        <w:t>I.</w:t>
      </w:r>
      <w:r w:rsidRPr="001A51C6">
        <w:rPr>
          <w:rFonts w:ascii="Palatino Linotype" w:hAnsi="Palatino Linotype" w:cs="Bookman Old Style"/>
          <w:bCs/>
          <w:i/>
          <w:iCs/>
          <w:color w:val="000000"/>
          <w:lang w:val="es-ES_tradnl"/>
        </w:rPr>
        <w:t xml:space="preserve"> </w:t>
      </w:r>
      <w:r w:rsidRPr="001A51C6">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rsidR="00AA7F3D" w:rsidRPr="001A51C6" w:rsidRDefault="00AA7F3D" w:rsidP="00B34C0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1A51C6">
        <w:rPr>
          <w:rFonts w:ascii="Palatino Linotype" w:hAnsi="Palatino Linotype" w:cs="Bookman Old Style"/>
          <w:b/>
          <w:i/>
          <w:iCs/>
          <w:color w:val="000000"/>
          <w:lang w:val="es-ES_tradnl"/>
        </w:rPr>
        <w:t>II.</w:t>
      </w:r>
      <w:r w:rsidRPr="001A51C6">
        <w:rPr>
          <w:rFonts w:ascii="Palatino Linotype" w:hAnsi="Palatino Linotype" w:cs="Bookman Old Style"/>
          <w:bCs/>
          <w:i/>
          <w:iCs/>
          <w:color w:val="000000"/>
          <w:lang w:val="es-ES_tradnl"/>
        </w:rPr>
        <w:t xml:space="preserve"> </w:t>
      </w:r>
      <w:r w:rsidRPr="001A51C6">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A7F3D" w:rsidRPr="001A51C6" w:rsidRDefault="00AA7F3D" w:rsidP="00B34C0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1A51C6">
        <w:rPr>
          <w:rFonts w:ascii="Palatino Linotype" w:hAnsi="Palatino Linotype" w:cs="Bookman Old Style"/>
          <w:b/>
          <w:i/>
          <w:iCs/>
          <w:color w:val="000000"/>
          <w:lang w:val="es-ES_tradnl"/>
        </w:rPr>
        <w:t>III.</w:t>
      </w:r>
      <w:r w:rsidRPr="001A51C6">
        <w:rPr>
          <w:rFonts w:ascii="Palatino Linotype" w:hAnsi="Palatino Linotype" w:cs="Bookman Old Style"/>
          <w:bCs/>
          <w:i/>
          <w:iCs/>
          <w:color w:val="000000"/>
          <w:lang w:val="es-ES_tradnl"/>
        </w:rPr>
        <w:t xml:space="preserve"> </w:t>
      </w:r>
      <w:r w:rsidRPr="001A51C6">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rsidR="00AA7F3D" w:rsidRPr="001A51C6" w:rsidRDefault="00AA7F3D" w:rsidP="00B34C0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1A51C6">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rsidR="00AA7F3D" w:rsidRPr="001A51C6" w:rsidRDefault="00AA7F3D" w:rsidP="00B34C01">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1A51C6">
        <w:rPr>
          <w:rFonts w:ascii="Palatino Linotype" w:hAnsi="Palatino Linotype" w:cs="Bookman Old Style"/>
          <w:i/>
          <w:iCs/>
          <w:color w:val="000000"/>
          <w:lang w:val="es-ES_tradnl"/>
        </w:rPr>
        <w:lastRenderedPageBreak/>
        <w:t>No se considerará confidencial la información que se encuentre en los registros públicos o en fuentes de acceso público, ni tampoco la que sea considerada por la presente ley como información pública.”</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Como consecuencia de lo anterior, el </w:t>
      </w:r>
      <w:r w:rsidRPr="001A51C6">
        <w:rPr>
          <w:rFonts w:ascii="Palatino Linotype" w:hAnsi="Palatino Linotype" w:cs="Arial"/>
          <w:b/>
          <w:bCs/>
          <w:color w:val="000000"/>
          <w:lang w:val="es-ES_tradnl"/>
        </w:rPr>
        <w:t>SUJETO OBLIGADO</w:t>
      </w:r>
      <w:r w:rsidRPr="001A51C6">
        <w:rPr>
          <w:rFonts w:ascii="Palatino Linotype" w:hAnsi="Palatino Linotype" w:cs="Arial"/>
          <w:color w:val="000000"/>
          <w:lang w:val="es-ES_tradnl"/>
        </w:rPr>
        <w:t xml:space="preserve"> debe identificar claramente el tipo de información y hacer un juicio de subsunción o encaje</w:t>
      </w:r>
      <w:r w:rsidRPr="001A51C6">
        <w:rPr>
          <w:rFonts w:ascii="Palatino Linotype" w:hAnsi="Palatino Linotype"/>
          <w:vertAlign w:val="superscript"/>
          <w:lang w:val="es-ES_tradnl"/>
        </w:rPr>
        <w:footnoteReference w:id="12"/>
      </w:r>
      <w:r w:rsidRPr="001A51C6">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6C2BB9" w:rsidRPr="001A51C6" w:rsidRDefault="006C2BB9" w:rsidP="00B34C01">
      <w:pPr>
        <w:spacing w:line="360" w:lineRule="auto"/>
        <w:ind w:right="49"/>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 </w:t>
      </w: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rsidR="00AA7F3D" w:rsidRPr="001A51C6" w:rsidRDefault="00AA7F3D" w:rsidP="00B34C01">
      <w:pPr>
        <w:spacing w:line="360" w:lineRule="auto"/>
        <w:contextualSpacing/>
        <w:jc w:val="both"/>
        <w:rPr>
          <w:rFonts w:ascii="Palatino Linotype" w:hAnsi="Palatino Linotype"/>
          <w:b/>
          <w:color w:val="000000"/>
          <w:lang w:val="es-ES_tradnl"/>
        </w:rPr>
      </w:pPr>
    </w:p>
    <w:p w:rsidR="00AA7F3D" w:rsidRPr="001A51C6" w:rsidRDefault="00AA7F3D" w:rsidP="00B34C01">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45" w:name="_Toc485631702"/>
      <w:bookmarkStart w:id="46" w:name="_Toc500756712"/>
      <w:bookmarkStart w:id="47" w:name="_Toc536691780"/>
      <w:bookmarkStart w:id="48" w:name="_Toc80889847"/>
      <w:bookmarkStart w:id="49" w:name="_Toc81260558"/>
      <w:bookmarkStart w:id="50" w:name="_Toc81384830"/>
      <w:bookmarkStart w:id="51" w:name="_Toc84518029"/>
      <w:bookmarkStart w:id="52" w:name="_Toc85133427"/>
      <w:bookmarkStart w:id="53" w:name="_Toc85672136"/>
      <w:r w:rsidRPr="001A51C6">
        <w:rPr>
          <w:rFonts w:ascii="Palatino Linotype" w:hAnsi="Palatino Linotype"/>
          <w:b/>
          <w:color w:val="000000"/>
          <w:lang w:eastAsia="en-US"/>
        </w:rPr>
        <w:t>c) Excepciones a los supuestos de clasificación de la información como reservada.</w:t>
      </w:r>
      <w:bookmarkEnd w:id="45"/>
      <w:bookmarkEnd w:id="46"/>
      <w:bookmarkEnd w:id="47"/>
      <w:bookmarkEnd w:id="48"/>
      <w:bookmarkEnd w:id="49"/>
      <w:bookmarkEnd w:id="50"/>
      <w:bookmarkEnd w:id="51"/>
      <w:bookmarkEnd w:id="52"/>
      <w:bookmarkEnd w:id="53"/>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rPr>
        <w:t xml:space="preserve">En </w:t>
      </w:r>
      <w:r w:rsidRPr="001A51C6">
        <w:rPr>
          <w:rFonts w:ascii="Palatino Linotype" w:hAnsi="Palatino Linotype" w:cs="Arial"/>
          <w:color w:val="000000"/>
          <w:lang w:val="es-ES_tradnl"/>
        </w:rPr>
        <w:t>todos</w:t>
      </w:r>
      <w:r w:rsidRPr="001A51C6">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1A51C6">
        <w:rPr>
          <w:rFonts w:ascii="Palatino Linotype" w:hAnsi="Palatino Linotype"/>
          <w:b/>
          <w:color w:val="000000"/>
        </w:rPr>
        <w:t>qué no puede clasificarse como información reservada:</w:t>
      </w:r>
    </w:p>
    <w:p w:rsidR="00AA7F3D" w:rsidRPr="001A51C6" w:rsidRDefault="00AA7F3D" w:rsidP="00B34C01">
      <w:pPr>
        <w:spacing w:line="360" w:lineRule="auto"/>
        <w:ind w:right="49"/>
        <w:contextualSpacing/>
        <w:jc w:val="both"/>
        <w:rPr>
          <w:rFonts w:ascii="Palatino Linotype" w:hAnsi="Palatino Linotype"/>
          <w:b/>
          <w:color w:val="000000"/>
        </w:rPr>
      </w:pPr>
    </w:p>
    <w:p w:rsidR="00AA7F3D" w:rsidRPr="001A51C6" w:rsidRDefault="00AA7F3D" w:rsidP="00B34C01">
      <w:pPr>
        <w:spacing w:line="360" w:lineRule="auto"/>
        <w:ind w:left="567" w:right="567"/>
        <w:contextualSpacing/>
        <w:jc w:val="both"/>
        <w:rPr>
          <w:rFonts w:ascii="Palatino Linotype" w:hAnsi="Palatino Linotype"/>
          <w:b/>
          <w:i/>
          <w:iCs/>
          <w:color w:val="000000"/>
          <w:lang w:val="es-ES"/>
        </w:rPr>
      </w:pPr>
      <w:r w:rsidRPr="001A51C6">
        <w:rPr>
          <w:rFonts w:ascii="Palatino Linotype" w:hAnsi="Palatino Linotype"/>
          <w:bCs/>
          <w:color w:val="000000"/>
          <w:lang w:val="es-ES"/>
        </w:rPr>
        <w:t>“</w:t>
      </w:r>
      <w:r w:rsidRPr="001A51C6">
        <w:rPr>
          <w:rFonts w:ascii="Palatino Linotype" w:hAnsi="Palatino Linotype"/>
          <w:b/>
          <w:i/>
          <w:iCs/>
          <w:color w:val="000000"/>
          <w:lang w:val="es-ES"/>
        </w:rPr>
        <w:t>I. Se trate de violaciones graves de derechos humanos, calificada así por autoridad competente;</w:t>
      </w:r>
    </w:p>
    <w:p w:rsidR="00AA7F3D" w:rsidRPr="001A51C6" w:rsidRDefault="00AA7F3D" w:rsidP="00B34C01">
      <w:pPr>
        <w:spacing w:line="360" w:lineRule="auto"/>
        <w:ind w:left="567" w:right="567"/>
        <w:contextualSpacing/>
        <w:jc w:val="both"/>
        <w:rPr>
          <w:rFonts w:ascii="Palatino Linotype" w:hAnsi="Palatino Linotype"/>
          <w:b/>
          <w:i/>
          <w:iCs/>
          <w:color w:val="000000"/>
          <w:lang w:val="es-ES"/>
        </w:rPr>
      </w:pPr>
      <w:r w:rsidRPr="001A51C6">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AA7F3D" w:rsidRPr="001A51C6" w:rsidRDefault="00AA7F3D" w:rsidP="00B34C01">
      <w:pPr>
        <w:spacing w:line="360" w:lineRule="auto"/>
        <w:ind w:left="567" w:right="567"/>
        <w:contextualSpacing/>
        <w:jc w:val="both"/>
        <w:rPr>
          <w:rFonts w:ascii="Palatino Linotype" w:hAnsi="Palatino Linotype"/>
          <w:b/>
          <w:i/>
          <w:iCs/>
          <w:color w:val="000000"/>
          <w:lang w:val="es-ES"/>
        </w:rPr>
      </w:pPr>
      <w:r w:rsidRPr="001A51C6">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AA7F3D" w:rsidRPr="001A51C6" w:rsidRDefault="00AA7F3D" w:rsidP="00B34C01">
      <w:pPr>
        <w:spacing w:line="360" w:lineRule="auto"/>
        <w:ind w:left="567" w:right="567"/>
        <w:contextualSpacing/>
        <w:jc w:val="both"/>
        <w:rPr>
          <w:rFonts w:ascii="Palatino Linotype" w:hAnsi="Palatino Linotype"/>
          <w:bCs/>
          <w:color w:val="000000"/>
          <w:lang w:val="es-ES"/>
        </w:rPr>
      </w:pPr>
      <w:r w:rsidRPr="001A51C6">
        <w:rPr>
          <w:rFonts w:ascii="Palatino Linotype" w:hAnsi="Palatino Linotype"/>
          <w:b/>
          <w:i/>
          <w:iCs/>
          <w:color w:val="000000"/>
          <w:lang w:val="es-ES"/>
        </w:rPr>
        <w:t>IV. Se trate de información relacionada con actos de corrupción de conformidad con las disposiciones jurídicas aplicables.</w:t>
      </w:r>
      <w:r w:rsidRPr="001A51C6">
        <w:rPr>
          <w:rFonts w:ascii="Palatino Linotype" w:hAnsi="Palatino Linotype"/>
          <w:bCs/>
          <w:color w:val="000000"/>
          <w:lang w:val="es-ES"/>
        </w:rPr>
        <w:t>”</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rPr>
        <w:lastRenderedPageBreak/>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rsidR="00AA7F3D" w:rsidRPr="001A51C6" w:rsidRDefault="00AA7F3D" w:rsidP="00B34C01">
      <w:pPr>
        <w:spacing w:line="360" w:lineRule="auto"/>
        <w:contextualSpacing/>
        <w:jc w:val="both"/>
        <w:rPr>
          <w:rFonts w:ascii="Palatino Linotype" w:hAnsi="Palatino Linotype"/>
          <w:color w:val="000000"/>
          <w:lang w:val="es-ES"/>
        </w:rPr>
      </w:pPr>
    </w:p>
    <w:p w:rsidR="00AA7F3D" w:rsidRPr="001A51C6" w:rsidRDefault="00AA7F3D" w:rsidP="00B34C01">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54" w:name="_Toc485631703"/>
      <w:bookmarkStart w:id="55" w:name="_Toc500756713"/>
      <w:bookmarkStart w:id="56" w:name="_Toc536691781"/>
      <w:bookmarkStart w:id="57" w:name="_Toc80889848"/>
      <w:bookmarkStart w:id="58" w:name="_Toc81384831"/>
      <w:bookmarkStart w:id="59" w:name="_Toc84518030"/>
      <w:bookmarkStart w:id="60" w:name="_Toc85133428"/>
      <w:bookmarkStart w:id="61" w:name="_Toc85672137"/>
      <w:r w:rsidRPr="001A51C6">
        <w:rPr>
          <w:rFonts w:ascii="Palatino Linotype" w:hAnsi="Palatino Linotype"/>
          <w:b/>
          <w:color w:val="000000"/>
          <w:lang w:eastAsia="en-US"/>
        </w:rPr>
        <w:t>II. La intervención del Comité de Transparencia.</w:t>
      </w:r>
      <w:bookmarkEnd w:id="54"/>
      <w:bookmarkEnd w:id="55"/>
      <w:bookmarkEnd w:id="56"/>
      <w:bookmarkEnd w:id="57"/>
      <w:bookmarkEnd w:id="58"/>
      <w:bookmarkEnd w:id="59"/>
      <w:bookmarkEnd w:id="60"/>
      <w:bookmarkEnd w:id="61"/>
    </w:p>
    <w:p w:rsidR="00AA7F3D" w:rsidRPr="001A51C6" w:rsidRDefault="00AA7F3D" w:rsidP="00B34C01">
      <w:pPr>
        <w:spacing w:line="360" w:lineRule="auto"/>
        <w:contextualSpacing/>
        <w:jc w:val="both"/>
        <w:rPr>
          <w:rFonts w:ascii="Palatino Linotype" w:hAnsi="Palatino Linotype" w:cs="Arial"/>
          <w:b/>
          <w:color w:val="000000"/>
          <w:lang w:val="es-ES_tradnl"/>
        </w:rPr>
      </w:pPr>
    </w:p>
    <w:p w:rsidR="00AA7F3D" w:rsidRPr="001A51C6" w:rsidRDefault="00AA7F3D" w:rsidP="00B34C01">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2" w:name="_Toc485631704"/>
      <w:bookmarkStart w:id="63" w:name="_Toc500756714"/>
      <w:bookmarkStart w:id="64" w:name="_Toc536691782"/>
      <w:bookmarkStart w:id="65" w:name="_Toc80889849"/>
      <w:bookmarkStart w:id="66" w:name="_Toc81260560"/>
      <w:bookmarkStart w:id="67" w:name="_Toc81384832"/>
      <w:bookmarkStart w:id="68" w:name="_Toc84518031"/>
      <w:bookmarkStart w:id="69" w:name="_Toc85133429"/>
      <w:bookmarkStart w:id="70" w:name="_Toc85672138"/>
      <w:r w:rsidRPr="001A51C6">
        <w:rPr>
          <w:rFonts w:ascii="Palatino Linotype" w:hAnsi="Palatino Linotype"/>
          <w:b/>
          <w:color w:val="000000"/>
          <w:lang w:eastAsia="en-US"/>
        </w:rPr>
        <w:t>a) Formalidades para emitir el acuerdo de clasificación.</w:t>
      </w:r>
      <w:bookmarkEnd w:id="62"/>
      <w:bookmarkEnd w:id="63"/>
      <w:bookmarkEnd w:id="64"/>
      <w:bookmarkEnd w:id="65"/>
      <w:bookmarkEnd w:id="66"/>
      <w:bookmarkEnd w:id="67"/>
      <w:bookmarkEnd w:id="68"/>
      <w:bookmarkEnd w:id="69"/>
      <w:bookmarkEnd w:id="70"/>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El </w:t>
      </w:r>
      <w:r w:rsidRPr="001A51C6">
        <w:rPr>
          <w:rFonts w:ascii="Palatino Linotype" w:hAnsi="Palatino Linotype"/>
          <w:color w:val="000000"/>
        </w:rPr>
        <w:t>Comité</w:t>
      </w:r>
      <w:r w:rsidRPr="001A51C6">
        <w:rPr>
          <w:rFonts w:ascii="Palatino Linotype" w:hAnsi="Palatino Linotype" w:cs="Arial"/>
          <w:color w:val="000000"/>
          <w:lang w:val="es-ES_tradnl"/>
        </w:rPr>
        <w:t xml:space="preserve"> de Transparencia, según lo dispuesto en los artículos 128 y 103 de la Ley Estatal y de la Ley General, respectivamente, y </w:t>
      </w:r>
      <w:r w:rsidRPr="001A51C6">
        <w:rPr>
          <w:rFonts w:ascii="Palatino Linotype" w:hAnsi="Palatino Linotype"/>
          <w:color w:val="000000"/>
          <w:lang w:val="es-ES_tradnl"/>
        </w:rPr>
        <w:t xml:space="preserve">la fracción III del numeral Segundo de los </w:t>
      </w:r>
      <w:r w:rsidRPr="001A51C6">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A51C6">
        <w:rPr>
          <w:rFonts w:ascii="Palatino Linotype" w:hAnsi="Palatino Linotype"/>
          <w:color w:val="000000"/>
          <w:lang w:val="es-ES_tradnl"/>
        </w:rPr>
        <w:t xml:space="preserve"> </w:t>
      </w:r>
      <w:r w:rsidRPr="001A51C6">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w:t>
      </w:r>
      <w:r w:rsidRPr="001A51C6">
        <w:rPr>
          <w:rFonts w:ascii="Palatino Linotype" w:hAnsi="Palatino Linotype" w:cs="Arial"/>
          <w:color w:val="000000"/>
          <w:lang w:val="es-ES_tradnl"/>
        </w:rPr>
        <w:lastRenderedPageBreak/>
        <w:t>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 xml:space="preserve">La </w:t>
      </w:r>
      <w:r w:rsidRPr="001A51C6">
        <w:rPr>
          <w:rFonts w:ascii="Palatino Linotype" w:hAnsi="Palatino Linotype" w:cs="Arial"/>
          <w:color w:val="000000"/>
          <w:lang w:val="es-ES_tradnl"/>
        </w:rPr>
        <w:t>decisión</w:t>
      </w:r>
      <w:r w:rsidRPr="001A51C6">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71" w:name="_Toc485631705"/>
      <w:bookmarkStart w:id="72" w:name="_Toc500756715"/>
      <w:bookmarkStart w:id="73" w:name="_Toc536691783"/>
      <w:bookmarkStart w:id="74" w:name="_Toc80889850"/>
      <w:bookmarkStart w:id="75" w:name="_Toc81260561"/>
      <w:bookmarkStart w:id="76" w:name="_Toc81384833"/>
      <w:bookmarkStart w:id="77" w:name="_Toc84518032"/>
      <w:bookmarkStart w:id="78" w:name="_Toc85133430"/>
      <w:bookmarkStart w:id="79" w:name="_Toc85672139"/>
      <w:r w:rsidRPr="001A51C6">
        <w:rPr>
          <w:rFonts w:ascii="Palatino Linotype" w:hAnsi="Palatino Linotype"/>
          <w:b/>
          <w:color w:val="000000"/>
          <w:lang w:eastAsia="en-US"/>
        </w:rPr>
        <w:t>b) Requisitos de fondo del acuerdo de clasificación.</w:t>
      </w:r>
      <w:bookmarkEnd w:id="71"/>
      <w:bookmarkEnd w:id="72"/>
      <w:bookmarkEnd w:id="73"/>
      <w:bookmarkEnd w:id="74"/>
      <w:bookmarkEnd w:id="75"/>
      <w:bookmarkEnd w:id="76"/>
      <w:bookmarkEnd w:id="77"/>
      <w:bookmarkEnd w:id="78"/>
      <w:bookmarkEnd w:id="79"/>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Como </w:t>
      </w:r>
      <w:r w:rsidRPr="001A51C6">
        <w:rPr>
          <w:rFonts w:ascii="Palatino Linotype" w:hAnsi="Palatino Linotype"/>
          <w:color w:val="000000"/>
          <w:lang w:val="es-ES_tradnl"/>
        </w:rPr>
        <w:t>se</w:t>
      </w:r>
      <w:r w:rsidRPr="001A51C6">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w:t>
      </w:r>
      <w:r w:rsidRPr="001A51C6">
        <w:rPr>
          <w:rFonts w:ascii="Palatino Linotype" w:hAnsi="Palatino Linotype" w:cs="Arial"/>
          <w:color w:val="000000"/>
          <w:lang w:val="es-ES_tradnl"/>
        </w:rPr>
        <w:lastRenderedPageBreak/>
        <w:t xml:space="preserve">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 xml:space="preserve">De lo </w:t>
      </w:r>
      <w:r w:rsidRPr="001A51C6">
        <w:rPr>
          <w:rFonts w:ascii="Palatino Linotype" w:hAnsi="Palatino Linotype" w:cs="Arial"/>
          <w:color w:val="000000"/>
          <w:lang w:val="es-ES_tradnl"/>
        </w:rPr>
        <w:t>anterior</w:t>
      </w:r>
      <w:r w:rsidRPr="001A51C6">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1A51C6">
        <w:rPr>
          <w:rFonts w:ascii="Palatino Linotype" w:hAnsi="Palatino Linotype" w:cs="Arial"/>
          <w:i/>
          <w:iCs/>
          <w:color w:val="000000"/>
          <w:lang w:val="es-ES_tradnl"/>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w:t>
      </w:r>
      <w:r w:rsidRPr="001A51C6">
        <w:rPr>
          <w:rFonts w:ascii="Palatino Linotype" w:hAnsi="Palatino Linotype" w:cs="Arial"/>
          <w:i/>
          <w:iCs/>
          <w:color w:val="000000"/>
          <w:lang w:val="es-ES_tradnl"/>
        </w:rPr>
        <w:lastRenderedPageBreak/>
        <w:t>partir del análisis de las pruebas, lo cual se debe exteriorizar en una argumentación o juicio de hecho</w:t>
      </w:r>
      <w:r w:rsidRPr="001A51C6">
        <w:rPr>
          <w:rFonts w:ascii="Palatino Linotype" w:hAnsi="Palatino Linotype" w:cs="Arial"/>
          <w:color w:val="000000"/>
          <w:lang w:val="es-ES_tradnl"/>
        </w:rPr>
        <w:t>...”.</w:t>
      </w:r>
      <w:r w:rsidRPr="001A51C6">
        <w:rPr>
          <w:rFonts w:ascii="Palatino Linotype" w:hAnsi="Palatino Linotype"/>
          <w:vertAlign w:val="superscript"/>
          <w:lang w:val="es-ES_tradnl"/>
        </w:rPr>
        <w:footnoteReference w:id="13"/>
      </w:r>
    </w:p>
    <w:p w:rsidR="00176834" w:rsidRPr="001A51C6" w:rsidRDefault="00176834"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1A51C6">
        <w:rPr>
          <w:rFonts w:ascii="Palatino Linotype" w:hAnsi="Palatino Linotype"/>
          <w:i/>
          <w:vertAlign w:val="superscript"/>
          <w:lang w:val="es-ES_tradnl"/>
        </w:rPr>
        <w:footnoteReference w:id="14"/>
      </w:r>
      <w:r w:rsidRPr="001A51C6">
        <w:rPr>
          <w:rFonts w:ascii="Palatino Linotype" w:hAnsi="Palatino Linotype" w:cs="Arial"/>
          <w:color w:val="000000"/>
          <w:lang w:val="es-ES_tradnl"/>
        </w:rPr>
        <w:t>:</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pStyle w:val="Prrafodelista"/>
        <w:spacing w:line="360" w:lineRule="auto"/>
        <w:ind w:left="644" w:right="618"/>
        <w:jc w:val="both"/>
        <w:rPr>
          <w:rFonts w:ascii="Palatino Linotype" w:hAnsi="Palatino Linotype" w:cs="Arial"/>
          <w:i/>
          <w:color w:val="000000"/>
          <w:lang w:val="es-ES_tradnl"/>
        </w:rPr>
      </w:pPr>
      <w:r w:rsidRPr="001A51C6">
        <w:rPr>
          <w:rFonts w:ascii="Palatino Linotype" w:hAnsi="Palatino Linotype" w:cs="Arial"/>
          <w:b/>
          <w:i/>
          <w:color w:val="000000"/>
          <w:lang w:val="es-ES_tradnl"/>
        </w:rPr>
        <w:t>FUNDAMENTACIÓN Y MOTIVACIÓN.</w:t>
      </w:r>
      <w:r w:rsidRPr="001A51C6">
        <w:rPr>
          <w:rFonts w:ascii="Palatino Linotype" w:hAnsi="Palatino Linotype" w:cs="Arial"/>
          <w:i/>
          <w:color w:val="000000"/>
          <w:lang w:val="es-ES_tradnl"/>
        </w:rPr>
        <w:t xml:space="preserve"> “La </w:t>
      </w:r>
      <w:r w:rsidRPr="001A51C6">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A51C6">
        <w:rPr>
          <w:rFonts w:ascii="Palatino Linotype" w:hAnsi="Palatino Linotype" w:cs="Arial"/>
          <w:i/>
          <w:color w:val="000000"/>
          <w:lang w:val="es-ES_tradnl"/>
        </w:rPr>
        <w:t>.”</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1A51C6">
        <w:rPr>
          <w:rFonts w:ascii="Palatino Linotype" w:hAnsi="Palatino Linotype" w:cs="Arial"/>
          <w:color w:val="000000"/>
          <w:lang w:val="es-ES_tradnl"/>
        </w:rPr>
        <w:lastRenderedPageBreak/>
        <w:t>modo, la persona que se sienta afectada pueda impugnar la decisión, permitiéndole una real y auténtica defensa.</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rsidR="00AA7F3D" w:rsidRPr="001A51C6" w:rsidRDefault="00AA7F3D" w:rsidP="00B34C01">
      <w:pPr>
        <w:spacing w:line="360" w:lineRule="auto"/>
        <w:jc w:val="both"/>
        <w:rPr>
          <w:rFonts w:ascii="Palatino Linotype" w:hAnsi="Palatino Linotype" w:cs="Arial"/>
          <w:color w:val="000000"/>
          <w:lang w:val="es-ES_tradnl"/>
        </w:rPr>
      </w:pPr>
    </w:p>
    <w:p w:rsidR="00AA7F3D" w:rsidRPr="001A51C6" w:rsidRDefault="00AA7F3D" w:rsidP="00B34C01">
      <w:pPr>
        <w:pStyle w:val="Prrafodelista"/>
        <w:keepNext/>
        <w:keepLines/>
        <w:pBdr>
          <w:top w:val="nil"/>
          <w:left w:val="nil"/>
          <w:bottom w:val="nil"/>
          <w:right w:val="nil"/>
          <w:between w:val="nil"/>
          <w:bar w:val="nil"/>
        </w:pBdr>
        <w:spacing w:line="360" w:lineRule="auto"/>
        <w:ind w:left="644"/>
        <w:jc w:val="both"/>
        <w:outlineLvl w:val="1"/>
        <w:rPr>
          <w:rFonts w:ascii="Palatino Linotype" w:hAnsi="Palatino Linotype"/>
          <w:b/>
          <w:color w:val="000000"/>
          <w:lang w:eastAsia="en-US"/>
        </w:rPr>
      </w:pPr>
      <w:bookmarkStart w:id="80" w:name="_Toc485631706"/>
      <w:bookmarkStart w:id="81" w:name="_Toc500756716"/>
      <w:bookmarkStart w:id="82" w:name="_Toc536691784"/>
      <w:bookmarkStart w:id="83" w:name="_Toc80889851"/>
      <w:bookmarkStart w:id="84" w:name="_Toc81384834"/>
      <w:bookmarkStart w:id="85" w:name="_Toc84518033"/>
      <w:bookmarkStart w:id="86" w:name="_Toc85133431"/>
      <w:bookmarkStart w:id="87" w:name="_Toc85672140"/>
      <w:r w:rsidRPr="001A51C6">
        <w:rPr>
          <w:rFonts w:ascii="Palatino Linotype" w:hAnsi="Palatino Linotype"/>
          <w:b/>
          <w:color w:val="000000"/>
          <w:lang w:eastAsia="en-US"/>
        </w:rPr>
        <w:t>III. Condiciones especiales de la clasificación de la información como reservada</w:t>
      </w:r>
      <w:bookmarkEnd w:id="80"/>
      <w:bookmarkEnd w:id="81"/>
      <w:bookmarkEnd w:id="82"/>
      <w:bookmarkEnd w:id="83"/>
      <w:bookmarkEnd w:id="84"/>
      <w:bookmarkEnd w:id="85"/>
      <w:bookmarkEnd w:id="86"/>
      <w:bookmarkEnd w:id="87"/>
      <w:r w:rsidRPr="001A51C6">
        <w:rPr>
          <w:rFonts w:ascii="Palatino Linotype" w:hAnsi="Palatino Linotype"/>
          <w:b/>
          <w:color w:val="000000"/>
          <w:lang w:eastAsia="en-US"/>
        </w:rPr>
        <w:t xml:space="preserve"> </w:t>
      </w:r>
    </w:p>
    <w:p w:rsidR="00AA7F3D" w:rsidRPr="001A51C6" w:rsidRDefault="00AA7F3D" w:rsidP="00B34C01">
      <w:pPr>
        <w:pStyle w:val="Prrafodelista"/>
        <w:spacing w:line="360" w:lineRule="auto"/>
        <w:ind w:left="644"/>
        <w:jc w:val="both"/>
        <w:rPr>
          <w:rFonts w:ascii="Palatino Linotype" w:hAnsi="Palatino Linotype" w:cs="Arial"/>
          <w:b/>
          <w:color w:val="000000"/>
          <w:lang w:val="es-ES_tradnl"/>
        </w:rPr>
      </w:pPr>
    </w:p>
    <w:p w:rsidR="00AA7F3D" w:rsidRPr="001A51C6" w:rsidRDefault="00AA7F3D" w:rsidP="00B34C01">
      <w:pPr>
        <w:pStyle w:val="Ttulo1"/>
        <w:spacing w:before="0" w:line="360" w:lineRule="auto"/>
        <w:ind w:left="644"/>
        <w:rPr>
          <w:rFonts w:ascii="Palatino Linotype" w:hAnsi="Palatino Linotype"/>
          <w:b/>
          <w:color w:val="000000" w:themeColor="text1"/>
          <w:sz w:val="24"/>
          <w:szCs w:val="24"/>
        </w:rPr>
      </w:pPr>
      <w:bookmarkStart w:id="88" w:name="_Toc485631707"/>
      <w:bookmarkStart w:id="89" w:name="_Toc500756717"/>
      <w:bookmarkStart w:id="90" w:name="_Toc536691785"/>
      <w:bookmarkStart w:id="91" w:name="_Toc80889852"/>
      <w:bookmarkStart w:id="92" w:name="_Toc81260563"/>
      <w:bookmarkStart w:id="93" w:name="_Toc81384835"/>
      <w:bookmarkStart w:id="94" w:name="_Toc84518034"/>
      <w:bookmarkStart w:id="95" w:name="_Toc85133432"/>
      <w:bookmarkStart w:id="96" w:name="_Toc85672141"/>
      <w:r w:rsidRPr="001A51C6">
        <w:rPr>
          <w:rFonts w:ascii="Palatino Linotype" w:hAnsi="Palatino Linotype"/>
          <w:b/>
          <w:color w:val="000000" w:themeColor="text1"/>
          <w:sz w:val="24"/>
          <w:szCs w:val="24"/>
        </w:rPr>
        <w:t>a) La fundamentación específica.</w:t>
      </w:r>
      <w:bookmarkEnd w:id="88"/>
      <w:bookmarkEnd w:id="89"/>
      <w:bookmarkEnd w:id="90"/>
      <w:bookmarkEnd w:id="91"/>
      <w:bookmarkEnd w:id="92"/>
      <w:bookmarkEnd w:id="93"/>
      <w:bookmarkEnd w:id="94"/>
      <w:bookmarkEnd w:id="95"/>
      <w:bookmarkEnd w:id="96"/>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1A51C6">
        <w:rPr>
          <w:rFonts w:ascii="Palatino Linotype" w:hAnsi="Palatino Linotype" w:cs="Arial"/>
          <w:b/>
          <w:bCs/>
          <w:color w:val="000000"/>
          <w:lang w:val="es-ES_tradnl"/>
        </w:rPr>
        <w:t>SUJETO OBLIGADO</w:t>
      </w:r>
      <w:r w:rsidRPr="001A51C6">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pStyle w:val="Ttulo1"/>
        <w:spacing w:before="0" w:line="360" w:lineRule="auto"/>
        <w:rPr>
          <w:rFonts w:ascii="Palatino Linotype" w:hAnsi="Palatino Linotype"/>
          <w:b/>
          <w:sz w:val="24"/>
          <w:szCs w:val="24"/>
          <w:lang w:eastAsia="en-US"/>
        </w:rPr>
      </w:pPr>
      <w:bookmarkStart w:id="97" w:name="_Toc485631709"/>
      <w:bookmarkStart w:id="98" w:name="_Toc500756719"/>
      <w:bookmarkStart w:id="99" w:name="_Toc536691787"/>
      <w:bookmarkStart w:id="100" w:name="_Toc80889854"/>
      <w:bookmarkStart w:id="101" w:name="_Toc81260564"/>
      <w:bookmarkStart w:id="102" w:name="_Toc81384836"/>
      <w:bookmarkStart w:id="103" w:name="_Toc84518035"/>
      <w:bookmarkStart w:id="104" w:name="_Toc85133433"/>
      <w:bookmarkStart w:id="105" w:name="_Toc85672142"/>
      <w:r w:rsidRPr="001A51C6">
        <w:rPr>
          <w:rFonts w:ascii="Palatino Linotype" w:hAnsi="Palatino Linotype"/>
          <w:b/>
          <w:color w:val="000000" w:themeColor="text1"/>
          <w:sz w:val="24"/>
          <w:szCs w:val="24"/>
          <w:lang w:eastAsia="en-US"/>
        </w:rPr>
        <w:lastRenderedPageBreak/>
        <w:t>b) La clasificación de la información reservada debe ser de manera temporal.</w:t>
      </w:r>
      <w:bookmarkEnd w:id="97"/>
      <w:bookmarkEnd w:id="98"/>
      <w:bookmarkEnd w:id="99"/>
      <w:bookmarkEnd w:id="100"/>
      <w:bookmarkEnd w:id="101"/>
      <w:bookmarkEnd w:id="102"/>
      <w:bookmarkEnd w:id="103"/>
      <w:bookmarkEnd w:id="104"/>
      <w:bookmarkEnd w:id="105"/>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6117FD" w:rsidRPr="001A51C6" w:rsidRDefault="006117F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De</w:t>
      </w:r>
      <w:r w:rsidRPr="001A51C6">
        <w:rPr>
          <w:rFonts w:ascii="Palatino Linotype" w:hAnsi="Palatino Linotype"/>
          <w:b/>
          <w:color w:val="000000"/>
          <w:lang w:val="es-ES_tradnl"/>
        </w:rPr>
        <w:t xml:space="preserve"> </w:t>
      </w:r>
      <w:r w:rsidRPr="001A51C6">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keepNext/>
        <w:keepLines/>
        <w:pBdr>
          <w:top w:val="nil"/>
          <w:left w:val="nil"/>
          <w:bottom w:val="nil"/>
          <w:right w:val="nil"/>
          <w:between w:val="nil"/>
          <w:bar w:val="nil"/>
        </w:pBdr>
        <w:spacing w:line="360" w:lineRule="auto"/>
        <w:contextualSpacing/>
        <w:jc w:val="both"/>
        <w:outlineLvl w:val="1"/>
        <w:rPr>
          <w:rFonts w:ascii="Palatino Linotype" w:hAnsi="Palatino Linotype"/>
          <w:b/>
          <w:color w:val="000000"/>
          <w:lang w:eastAsia="en-US"/>
        </w:rPr>
      </w:pPr>
      <w:bookmarkStart w:id="106" w:name="_Toc485631710"/>
      <w:bookmarkStart w:id="107" w:name="_Toc500756720"/>
      <w:bookmarkStart w:id="108" w:name="_Toc536691788"/>
      <w:bookmarkStart w:id="109" w:name="_Toc80889855"/>
      <w:bookmarkStart w:id="110" w:name="_Toc81260565"/>
      <w:bookmarkStart w:id="111" w:name="_Toc81384837"/>
      <w:bookmarkStart w:id="112" w:name="_Toc84518036"/>
      <w:bookmarkStart w:id="113" w:name="_Toc85133434"/>
      <w:bookmarkStart w:id="114" w:name="_Toc85672143"/>
      <w:r w:rsidRPr="001A51C6">
        <w:rPr>
          <w:rFonts w:ascii="Palatino Linotype" w:hAnsi="Palatino Linotype"/>
          <w:b/>
          <w:color w:val="000000"/>
          <w:lang w:eastAsia="en-US"/>
        </w:rPr>
        <w:t>Condiciones especiales de la clasificación de la información como confidencial.</w:t>
      </w:r>
      <w:bookmarkEnd w:id="106"/>
      <w:bookmarkEnd w:id="107"/>
      <w:bookmarkEnd w:id="108"/>
      <w:bookmarkEnd w:id="109"/>
      <w:bookmarkEnd w:id="110"/>
      <w:bookmarkEnd w:id="111"/>
      <w:bookmarkEnd w:id="112"/>
      <w:bookmarkEnd w:id="113"/>
      <w:bookmarkEnd w:id="114"/>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hAnsi="Palatino Linotype"/>
          <w:color w:val="000000"/>
          <w:lang w:val="es-ES_tradnl"/>
        </w:rPr>
        <w:t>Lo</w:t>
      </w:r>
      <w:r w:rsidRPr="001A51C6">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pStyle w:val="Prrafodelista"/>
        <w:spacing w:line="360" w:lineRule="auto"/>
        <w:ind w:left="644" w:right="567"/>
        <w:jc w:val="both"/>
        <w:rPr>
          <w:rFonts w:ascii="Palatino Linotype" w:hAnsi="Palatino Linotype"/>
          <w:bCs/>
          <w:i/>
          <w:iCs/>
          <w:color w:val="000000"/>
          <w:lang w:val="es-ES"/>
        </w:rPr>
      </w:pPr>
      <w:r w:rsidRPr="001A51C6">
        <w:rPr>
          <w:rFonts w:ascii="Palatino Linotype" w:hAnsi="Palatino Linotype"/>
          <w:bCs/>
          <w:i/>
          <w:iCs/>
          <w:color w:val="000000"/>
          <w:lang w:val="es-ES"/>
        </w:rPr>
        <w:t>“</w:t>
      </w:r>
      <w:r w:rsidRPr="001A51C6">
        <w:rPr>
          <w:rFonts w:ascii="Palatino Linotype" w:hAnsi="Palatino Linotype"/>
          <w:b/>
          <w:i/>
          <w:iCs/>
          <w:color w:val="000000"/>
          <w:lang w:val="es-ES"/>
        </w:rPr>
        <w:t>I.</w:t>
      </w:r>
      <w:r w:rsidRPr="001A51C6">
        <w:rPr>
          <w:rFonts w:ascii="Palatino Linotype" w:hAnsi="Palatino Linotype"/>
          <w:i/>
          <w:iCs/>
          <w:color w:val="000000"/>
          <w:lang w:val="es-ES"/>
        </w:rPr>
        <w:t xml:space="preserve"> La información se encuentre en registros públicos o fuentes de acceso público;</w:t>
      </w:r>
    </w:p>
    <w:p w:rsidR="00AA7F3D" w:rsidRPr="001A51C6" w:rsidRDefault="00AA7F3D" w:rsidP="00B34C01">
      <w:pPr>
        <w:pStyle w:val="Prrafodelista"/>
        <w:spacing w:line="360" w:lineRule="auto"/>
        <w:ind w:left="644" w:right="567"/>
        <w:jc w:val="both"/>
        <w:rPr>
          <w:rFonts w:ascii="Palatino Linotype" w:hAnsi="Palatino Linotype"/>
          <w:bCs/>
          <w:i/>
          <w:iCs/>
          <w:color w:val="000000"/>
          <w:lang w:val="es-ES"/>
        </w:rPr>
      </w:pPr>
      <w:r w:rsidRPr="001A51C6">
        <w:rPr>
          <w:rFonts w:ascii="Palatino Linotype" w:hAnsi="Palatino Linotype"/>
          <w:b/>
          <w:i/>
          <w:iCs/>
          <w:color w:val="000000"/>
          <w:lang w:val="es-ES"/>
        </w:rPr>
        <w:t>II.</w:t>
      </w:r>
      <w:r w:rsidRPr="001A51C6">
        <w:rPr>
          <w:rFonts w:ascii="Palatino Linotype" w:hAnsi="Palatino Linotype"/>
          <w:bCs/>
          <w:i/>
          <w:iCs/>
          <w:color w:val="000000"/>
          <w:lang w:val="es-ES"/>
        </w:rPr>
        <w:t xml:space="preserve"> </w:t>
      </w:r>
      <w:r w:rsidRPr="001A51C6">
        <w:rPr>
          <w:rFonts w:ascii="Palatino Linotype" w:hAnsi="Palatino Linotype"/>
          <w:i/>
          <w:iCs/>
          <w:color w:val="000000"/>
          <w:lang w:val="es-ES"/>
        </w:rPr>
        <w:t>Por Ley tenga el carácter de pública;</w:t>
      </w:r>
    </w:p>
    <w:p w:rsidR="00AA7F3D" w:rsidRPr="001A51C6" w:rsidRDefault="00AA7F3D" w:rsidP="00B34C01">
      <w:pPr>
        <w:pStyle w:val="Prrafodelista"/>
        <w:spacing w:line="360" w:lineRule="auto"/>
        <w:ind w:left="644" w:right="567"/>
        <w:jc w:val="both"/>
        <w:rPr>
          <w:rFonts w:ascii="Palatino Linotype" w:hAnsi="Palatino Linotype"/>
          <w:i/>
          <w:iCs/>
          <w:color w:val="000000"/>
          <w:lang w:val="es-ES"/>
        </w:rPr>
      </w:pPr>
      <w:r w:rsidRPr="001A51C6">
        <w:rPr>
          <w:rFonts w:ascii="Palatino Linotype" w:hAnsi="Palatino Linotype"/>
          <w:b/>
          <w:i/>
          <w:iCs/>
          <w:color w:val="000000"/>
          <w:lang w:val="es-ES"/>
        </w:rPr>
        <w:t>III.</w:t>
      </w:r>
      <w:r w:rsidRPr="001A51C6">
        <w:rPr>
          <w:rFonts w:ascii="Palatino Linotype" w:hAnsi="Palatino Linotype"/>
          <w:bCs/>
          <w:i/>
          <w:iCs/>
          <w:color w:val="000000"/>
          <w:lang w:val="es-ES"/>
        </w:rPr>
        <w:t xml:space="preserve"> </w:t>
      </w:r>
      <w:r w:rsidRPr="001A51C6">
        <w:rPr>
          <w:rFonts w:ascii="Palatino Linotype" w:hAnsi="Palatino Linotype"/>
          <w:i/>
          <w:iCs/>
          <w:color w:val="000000"/>
          <w:lang w:val="es-ES"/>
        </w:rPr>
        <w:t xml:space="preserve">Exista una orden judicial; </w:t>
      </w:r>
    </w:p>
    <w:p w:rsidR="00AA7F3D" w:rsidRPr="001A51C6" w:rsidRDefault="00AA7F3D" w:rsidP="00B34C01">
      <w:pPr>
        <w:pStyle w:val="Prrafodelista"/>
        <w:spacing w:line="360" w:lineRule="auto"/>
        <w:ind w:left="644" w:right="567"/>
        <w:jc w:val="both"/>
        <w:rPr>
          <w:rFonts w:ascii="Palatino Linotype" w:hAnsi="Palatino Linotype"/>
          <w:i/>
          <w:iCs/>
          <w:color w:val="000000"/>
          <w:lang w:val="es-ES"/>
        </w:rPr>
      </w:pPr>
      <w:r w:rsidRPr="001A51C6">
        <w:rPr>
          <w:rFonts w:ascii="Palatino Linotype" w:hAnsi="Palatino Linotype"/>
          <w:b/>
          <w:i/>
          <w:iCs/>
          <w:color w:val="000000"/>
          <w:lang w:val="es-ES"/>
        </w:rPr>
        <w:t>IV.</w:t>
      </w:r>
      <w:r w:rsidRPr="001A51C6">
        <w:rPr>
          <w:rFonts w:ascii="Palatino Linotype" w:hAnsi="Palatino Linotype"/>
          <w:bCs/>
          <w:i/>
          <w:iCs/>
          <w:color w:val="000000"/>
          <w:lang w:val="es-ES"/>
        </w:rPr>
        <w:t xml:space="preserve"> </w:t>
      </w:r>
      <w:r w:rsidRPr="001A51C6">
        <w:rPr>
          <w:rFonts w:ascii="Palatino Linotype" w:hAnsi="Palatino Linotype"/>
          <w:i/>
          <w:iCs/>
          <w:color w:val="000000"/>
          <w:lang w:val="es-ES"/>
        </w:rPr>
        <w:t xml:space="preserve">Por razones de seguridad pública, o para proteger los derechos de terceros, se requiera su publicación; o </w:t>
      </w:r>
    </w:p>
    <w:p w:rsidR="00AA7F3D" w:rsidRPr="001A51C6" w:rsidRDefault="00AA7F3D" w:rsidP="00B34C01">
      <w:pPr>
        <w:pStyle w:val="Prrafodelista"/>
        <w:spacing w:line="360" w:lineRule="auto"/>
        <w:ind w:left="644" w:right="567"/>
        <w:jc w:val="both"/>
        <w:rPr>
          <w:rFonts w:ascii="Palatino Linotype" w:hAnsi="Palatino Linotype"/>
          <w:i/>
          <w:iCs/>
          <w:color w:val="000000"/>
          <w:lang w:val="es-ES"/>
        </w:rPr>
      </w:pPr>
      <w:r w:rsidRPr="001A51C6">
        <w:rPr>
          <w:rFonts w:ascii="Palatino Linotype" w:hAnsi="Palatino Linotype"/>
          <w:b/>
          <w:i/>
          <w:iCs/>
          <w:color w:val="000000"/>
          <w:lang w:val="es-ES"/>
        </w:rPr>
        <w:t>V.</w:t>
      </w:r>
      <w:r w:rsidRPr="001A51C6">
        <w:rPr>
          <w:rFonts w:ascii="Palatino Linotype" w:hAnsi="Palatino Linotype"/>
          <w:bCs/>
          <w:i/>
          <w:iCs/>
          <w:color w:val="000000"/>
          <w:lang w:val="es-ES"/>
        </w:rPr>
        <w:t xml:space="preserve"> </w:t>
      </w:r>
      <w:r w:rsidRPr="001A51C6">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olor w:val="000000"/>
          <w:lang w:eastAsia="en-US"/>
        </w:rPr>
        <w:t>En</w:t>
      </w:r>
      <w:r w:rsidRPr="001A51C6">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olor w:val="000000"/>
          <w:lang w:eastAsia="en-US"/>
        </w:rPr>
        <w:t>Pero</w:t>
      </w:r>
      <w:r w:rsidRPr="001A51C6">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olor w:val="000000"/>
          <w:lang w:eastAsia="en-US"/>
        </w:rPr>
        <w:t>Los</w:t>
      </w:r>
      <w:r w:rsidRPr="001A51C6">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w:t>
      </w:r>
    </w:p>
    <w:p w:rsidR="006117FD" w:rsidRPr="001A51C6" w:rsidRDefault="006117FD" w:rsidP="00B34C01">
      <w:pPr>
        <w:spacing w:line="360" w:lineRule="auto"/>
        <w:ind w:right="49"/>
        <w:contextualSpacing/>
        <w:jc w:val="both"/>
        <w:rPr>
          <w:rFonts w:ascii="Palatino Linotype" w:eastAsiaTheme="minorEastAsia" w:hAnsi="Palatino Linotype"/>
          <w:lang w:eastAsia="es-ES"/>
        </w:rPr>
      </w:pPr>
    </w:p>
    <w:p w:rsidR="00AA7F3D" w:rsidRPr="001A51C6" w:rsidRDefault="00AA7F3D" w:rsidP="00B34C01">
      <w:pPr>
        <w:numPr>
          <w:ilvl w:val="0"/>
          <w:numId w:val="1"/>
        </w:numPr>
        <w:spacing w:line="360" w:lineRule="auto"/>
        <w:ind w:left="0" w:right="49" w:firstLine="0"/>
        <w:contextualSpacing/>
        <w:jc w:val="both"/>
        <w:rPr>
          <w:rFonts w:ascii="Palatino Linotype" w:eastAsiaTheme="minorEastAsia" w:hAnsi="Palatino Linotype"/>
          <w:lang w:eastAsia="es-ES"/>
        </w:rPr>
      </w:pPr>
      <w:r w:rsidRPr="001A51C6">
        <w:rPr>
          <w:rFonts w:ascii="Palatino Linotype" w:eastAsia="Calibri" w:hAnsi="Palatino Linotype"/>
          <w:color w:val="000000"/>
          <w:lang w:eastAsia="en-US"/>
        </w:rPr>
        <w:t>Pero</w:t>
      </w:r>
      <w:r w:rsidRPr="001A51C6">
        <w:rPr>
          <w:rFonts w:ascii="Palatino Linotype" w:eastAsia="Calibri" w:hAnsi="Palatino Linotype"/>
          <w:color w:val="000000"/>
          <w:lang w:val="es-ES_tradnl" w:eastAsia="es-ES_tradnl"/>
        </w:rPr>
        <w:t xml:space="preserve"> si la información que se pretende clasificar como confidencial no se </w:t>
      </w:r>
      <w:r w:rsidRPr="001A51C6">
        <w:rPr>
          <w:rFonts w:ascii="Palatino Linotype" w:eastAsia="Calibri" w:hAnsi="Palatino Linotype"/>
          <w:color w:val="000000"/>
          <w:lang w:eastAsia="en-US"/>
        </w:rPr>
        <w:t>encuentra</w:t>
      </w:r>
      <w:r w:rsidRPr="001A51C6">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rsidR="00AA7F3D" w:rsidRPr="001A51C6" w:rsidRDefault="00AA7F3D" w:rsidP="00B34C01">
      <w:pPr>
        <w:spacing w:line="360" w:lineRule="auto"/>
        <w:ind w:right="49"/>
        <w:contextualSpacing/>
        <w:jc w:val="both"/>
        <w:rPr>
          <w:rFonts w:ascii="Palatino Linotype" w:eastAsiaTheme="minorEastAsia" w:hAnsi="Palatino Linotype"/>
          <w:lang w:eastAsia="es-ES"/>
        </w:rPr>
      </w:pPr>
    </w:p>
    <w:p w:rsidR="00E23D5A" w:rsidRPr="001A51C6" w:rsidRDefault="0078107F" w:rsidP="00B34C01">
      <w:pPr>
        <w:numPr>
          <w:ilvl w:val="0"/>
          <w:numId w:val="1"/>
        </w:numPr>
        <w:spacing w:line="360" w:lineRule="auto"/>
        <w:ind w:right="49"/>
        <w:contextualSpacing/>
        <w:jc w:val="both"/>
        <w:rPr>
          <w:rFonts w:ascii="Palatino Linotype" w:eastAsiaTheme="minorEastAsia" w:hAnsi="Palatino Linotype"/>
          <w:lang w:eastAsia="es-ES"/>
        </w:rPr>
      </w:pPr>
      <w:r w:rsidRPr="001A51C6">
        <w:rPr>
          <w:rFonts w:ascii="Palatino Linotype" w:eastAsiaTheme="minorEastAsia" w:hAnsi="Palatino Linotype"/>
          <w:color w:val="000000"/>
          <w:lang w:val="es-ES"/>
        </w:rPr>
        <w:lastRenderedPageBreak/>
        <w:t xml:space="preserve">Por lo anteriormente expuesto y fundado, este </w:t>
      </w:r>
      <w:r w:rsidRPr="001A51C6">
        <w:rPr>
          <w:rFonts w:ascii="Palatino Linotype" w:eastAsiaTheme="minorEastAsia" w:hAnsi="Palatino Linotype"/>
          <w:b/>
          <w:bCs/>
          <w:color w:val="000000"/>
          <w:lang w:val="es-ES"/>
        </w:rPr>
        <w:t>ÓRGANO GARANTE</w:t>
      </w:r>
      <w:r w:rsidRPr="001A51C6">
        <w:rPr>
          <w:rFonts w:ascii="Palatino Linotype" w:eastAsiaTheme="minorEastAsia" w:hAnsi="Palatino Linotype"/>
          <w:color w:val="000000"/>
          <w:lang w:val="es-ES"/>
        </w:rPr>
        <w:t xml:space="preserve"> emite los siguientes: </w:t>
      </w:r>
    </w:p>
    <w:p w:rsidR="0078107F" w:rsidRPr="001A51C6" w:rsidRDefault="0078107F" w:rsidP="00B34C01">
      <w:pPr>
        <w:spacing w:line="360" w:lineRule="auto"/>
        <w:contextualSpacing/>
        <w:jc w:val="both"/>
        <w:rPr>
          <w:rFonts w:ascii="Palatino Linotype" w:eastAsiaTheme="minorEastAsia" w:hAnsi="Palatino Linotype" w:cs="Arial"/>
          <w:lang w:val="es-ES_tradnl" w:eastAsia="es-ES"/>
        </w:rPr>
      </w:pPr>
    </w:p>
    <w:p w:rsidR="0078107F" w:rsidRPr="001A51C6" w:rsidRDefault="0078107F" w:rsidP="00B34C01">
      <w:pPr>
        <w:keepNext/>
        <w:keepLines/>
        <w:spacing w:line="360" w:lineRule="auto"/>
        <w:jc w:val="center"/>
        <w:outlineLvl w:val="0"/>
        <w:rPr>
          <w:rFonts w:ascii="Palatino Linotype" w:hAnsi="Palatino Linotype" w:cstheme="majorBidi"/>
          <w:b/>
          <w:bCs/>
          <w:lang w:val="es-ES_tradnl" w:eastAsia="es-ES"/>
        </w:rPr>
      </w:pPr>
      <w:bookmarkStart w:id="115" w:name="_Toc85672144"/>
      <w:r w:rsidRPr="001A51C6">
        <w:rPr>
          <w:rFonts w:ascii="Palatino Linotype" w:hAnsi="Palatino Linotype" w:cstheme="majorBidi"/>
          <w:b/>
          <w:bCs/>
          <w:lang w:val="es-ES_tradnl" w:eastAsia="es-ES"/>
        </w:rPr>
        <w:t>R E S O L U T I V O S</w:t>
      </w:r>
      <w:bookmarkEnd w:id="115"/>
    </w:p>
    <w:p w:rsidR="0078107F" w:rsidRPr="001A51C6" w:rsidRDefault="0078107F" w:rsidP="00B34C01">
      <w:pPr>
        <w:shd w:val="clear" w:color="auto" w:fill="FFFFFF"/>
        <w:spacing w:line="360" w:lineRule="auto"/>
        <w:contextualSpacing/>
        <w:jc w:val="both"/>
        <w:rPr>
          <w:rFonts w:ascii="Palatino Linotype" w:eastAsiaTheme="minorEastAsia" w:hAnsi="Palatino Linotype" w:cs="Arial"/>
          <w:lang w:val="es-ES_tradnl" w:eastAsia="es-ES"/>
        </w:rPr>
      </w:pPr>
    </w:p>
    <w:p w:rsidR="00AA7F3D" w:rsidRPr="001A51C6" w:rsidRDefault="00AA7F3D" w:rsidP="00B34C01">
      <w:pPr>
        <w:spacing w:line="360" w:lineRule="auto"/>
        <w:ind w:right="48"/>
        <w:jc w:val="both"/>
        <w:rPr>
          <w:rFonts w:ascii="Palatino Linotype" w:hAnsi="Palatino Linotype" w:cs="Arial"/>
          <w:bCs/>
        </w:rPr>
      </w:pPr>
      <w:r w:rsidRPr="001A51C6">
        <w:rPr>
          <w:rFonts w:ascii="Palatino Linotype" w:hAnsi="Palatino Linotype" w:cs="Arial"/>
          <w:b/>
        </w:rPr>
        <w:t xml:space="preserve">PRIMERO. </w:t>
      </w:r>
      <w:r w:rsidRPr="001A51C6">
        <w:rPr>
          <w:rFonts w:ascii="Palatino Linotype" w:hAnsi="Palatino Linotype" w:cs="Arial"/>
        </w:rPr>
        <w:t>Resultan parcialmente fundadas las</w:t>
      </w:r>
      <w:r w:rsidRPr="001A51C6">
        <w:rPr>
          <w:rFonts w:ascii="Palatino Linotype" w:hAnsi="Palatino Linotype" w:cs="Arial"/>
          <w:b/>
        </w:rPr>
        <w:t xml:space="preserve"> </w:t>
      </w:r>
      <w:r w:rsidRPr="001A51C6">
        <w:rPr>
          <w:rFonts w:ascii="Palatino Linotype" w:hAnsi="Palatino Linotype" w:cs="Arial"/>
          <w:lang w:val="es-ES"/>
        </w:rPr>
        <w:t xml:space="preserve">razones o motivos de inconformidad hechos valer </w:t>
      </w:r>
      <w:r w:rsidRPr="001A51C6">
        <w:rPr>
          <w:rFonts w:ascii="Palatino Linotype" w:eastAsia="Calibri" w:hAnsi="Palatino Linotype" w:cs="Arial"/>
          <w:lang w:val="es-ES"/>
        </w:rPr>
        <w:t xml:space="preserve">en el recurso de revisión </w:t>
      </w:r>
      <w:r w:rsidR="00971FB9" w:rsidRPr="001A51C6">
        <w:rPr>
          <w:rFonts w:ascii="Palatino Linotype" w:hAnsi="Palatino Linotype" w:cs="Arial"/>
          <w:b/>
          <w:bCs/>
        </w:rPr>
        <w:t>03918</w:t>
      </w:r>
      <w:r w:rsidRPr="001A51C6">
        <w:rPr>
          <w:rFonts w:ascii="Palatino Linotype" w:hAnsi="Palatino Linotype" w:cs="Arial"/>
          <w:b/>
          <w:bCs/>
        </w:rPr>
        <w:t xml:space="preserve">/INFOEM/IP/RR/2021, </w:t>
      </w:r>
      <w:r w:rsidRPr="001A51C6">
        <w:rPr>
          <w:rFonts w:ascii="Palatino Linotype" w:hAnsi="Palatino Linotype" w:cs="Arial"/>
          <w:bCs/>
        </w:rPr>
        <w:t xml:space="preserve">en términos del </w:t>
      </w:r>
      <w:r w:rsidRPr="001A51C6">
        <w:rPr>
          <w:rFonts w:ascii="Palatino Linotype" w:hAnsi="Palatino Linotype" w:cs="Arial"/>
          <w:b/>
          <w:bCs/>
        </w:rPr>
        <w:t>Considerando</w:t>
      </w:r>
      <w:r w:rsidRPr="001A51C6">
        <w:rPr>
          <w:rFonts w:ascii="Palatino Linotype" w:hAnsi="Palatino Linotype" w:cs="Arial"/>
          <w:bCs/>
        </w:rPr>
        <w:t xml:space="preserve"> </w:t>
      </w:r>
      <w:r w:rsidRPr="001A51C6">
        <w:rPr>
          <w:rFonts w:ascii="Palatino Linotype" w:hAnsi="Palatino Linotype" w:cs="Arial"/>
          <w:b/>
          <w:bCs/>
        </w:rPr>
        <w:t xml:space="preserve">CUARTO   </w:t>
      </w:r>
      <w:r w:rsidRPr="001A51C6">
        <w:rPr>
          <w:rFonts w:ascii="Palatino Linotype" w:hAnsi="Palatino Linotype" w:cs="Arial"/>
          <w:bCs/>
        </w:rPr>
        <w:t>de la presente resolución.</w:t>
      </w:r>
    </w:p>
    <w:p w:rsidR="00AA7F3D" w:rsidRPr="001A51C6" w:rsidRDefault="00AA7F3D" w:rsidP="00B34C01">
      <w:pPr>
        <w:spacing w:line="360" w:lineRule="auto"/>
        <w:ind w:right="48"/>
        <w:jc w:val="both"/>
        <w:rPr>
          <w:rFonts w:ascii="Palatino Linotype" w:hAnsi="Palatino Linotype" w:cs="Arial"/>
          <w:bCs/>
        </w:rPr>
      </w:pPr>
    </w:p>
    <w:p w:rsidR="00AA7F3D" w:rsidRPr="001A51C6" w:rsidRDefault="00AA7F3D" w:rsidP="00B34C01">
      <w:pPr>
        <w:spacing w:line="360" w:lineRule="auto"/>
        <w:ind w:right="48"/>
        <w:jc w:val="both"/>
        <w:rPr>
          <w:rFonts w:ascii="Palatino Linotype" w:hAnsi="Palatino Linotype" w:cs="Arial"/>
          <w:bCs/>
        </w:rPr>
      </w:pPr>
      <w:bookmarkStart w:id="116" w:name="_Toc477891768"/>
      <w:bookmarkStart w:id="117" w:name="_Toc477891858"/>
      <w:bookmarkStart w:id="118" w:name="_Toc481576259"/>
      <w:bookmarkStart w:id="119" w:name="_Toc492590391"/>
      <w:bookmarkStart w:id="120" w:name="_Toc462653937"/>
      <w:bookmarkStart w:id="121" w:name="_Toc453696502"/>
      <w:bookmarkStart w:id="122" w:name="_Toc454301155"/>
      <w:r w:rsidRPr="001A51C6">
        <w:rPr>
          <w:rFonts w:ascii="Palatino Linotype" w:hAnsi="Palatino Linotype"/>
          <w:b/>
        </w:rPr>
        <w:t>SEGUNDO.</w:t>
      </w:r>
      <w:r w:rsidRPr="001A51C6">
        <w:rPr>
          <w:rFonts w:ascii="Palatino Linotype" w:eastAsiaTheme="majorEastAsia" w:hAnsi="Palatino Linotype" w:cstheme="majorBidi"/>
          <w:color w:val="2E74B5" w:themeColor="accent1" w:themeShade="BF"/>
          <w:sz w:val="28"/>
          <w:szCs w:val="26"/>
        </w:rPr>
        <w:t xml:space="preserve"> </w:t>
      </w:r>
      <w:bookmarkEnd w:id="116"/>
      <w:bookmarkEnd w:id="117"/>
      <w:bookmarkEnd w:id="118"/>
      <w:bookmarkEnd w:id="119"/>
      <w:bookmarkEnd w:id="120"/>
      <w:bookmarkEnd w:id="121"/>
      <w:bookmarkEnd w:id="122"/>
      <w:r w:rsidRPr="001A51C6">
        <w:rPr>
          <w:rFonts w:ascii="Palatino Linotype" w:eastAsia="Calibri" w:hAnsi="Palatino Linotype" w:cs="Arial"/>
          <w:lang w:val="es-ES"/>
        </w:rPr>
        <w:t>Se</w:t>
      </w:r>
      <w:r w:rsidRPr="001A51C6">
        <w:rPr>
          <w:rFonts w:ascii="Palatino Linotype" w:eastAsia="Calibri" w:hAnsi="Palatino Linotype" w:cs="Arial"/>
          <w:b/>
          <w:lang w:val="es-ES"/>
        </w:rPr>
        <w:t xml:space="preserve"> MODIFICA </w:t>
      </w:r>
      <w:r w:rsidRPr="001A51C6">
        <w:rPr>
          <w:rFonts w:ascii="Palatino Linotype" w:eastAsia="Calibri" w:hAnsi="Palatino Linotype" w:cs="Arial"/>
          <w:lang w:val="es-ES"/>
        </w:rPr>
        <w:t xml:space="preserve">la respuesta emitida por el </w:t>
      </w:r>
      <w:r w:rsidR="00971FB9" w:rsidRPr="001A51C6">
        <w:rPr>
          <w:rFonts w:ascii="Palatino Linotype" w:hAnsi="Palatino Linotype" w:cs="Arial"/>
          <w:b/>
        </w:rPr>
        <w:t>Fiscalía General de Justicia del Estado de México</w:t>
      </w:r>
      <w:r w:rsidRPr="001A51C6">
        <w:rPr>
          <w:rFonts w:ascii="Palatino Linotype" w:hAnsi="Palatino Linotype" w:cs="Arial"/>
          <w:b/>
        </w:rPr>
        <w:t xml:space="preserve"> </w:t>
      </w:r>
      <w:r w:rsidRPr="001A51C6">
        <w:rPr>
          <w:rFonts w:ascii="Palatino Linotype" w:eastAsia="Calibri" w:hAnsi="Palatino Linotype" w:cs="Arial"/>
          <w:lang w:val="es-ES"/>
        </w:rPr>
        <w:t>y se</w:t>
      </w:r>
      <w:r w:rsidRPr="001A51C6">
        <w:rPr>
          <w:rFonts w:ascii="Palatino Linotype" w:eastAsia="Calibri" w:hAnsi="Palatino Linotype" w:cs="Arial"/>
          <w:b/>
          <w:lang w:val="es-ES"/>
        </w:rPr>
        <w:t xml:space="preserve"> ORDENA </w:t>
      </w:r>
      <w:r w:rsidRPr="001A51C6">
        <w:rPr>
          <w:rFonts w:ascii="Palatino Linotype" w:hAnsi="Palatino Linotype" w:cs="Arial"/>
          <w:lang w:val="es-ES"/>
        </w:rPr>
        <w:t xml:space="preserve">entregar vía Sistema de Accesos a la Información Mexiquense (SAIMEX), </w:t>
      </w:r>
      <w:r w:rsidR="00971FB9" w:rsidRPr="001A51C6">
        <w:rPr>
          <w:rFonts w:ascii="Palatino Linotype" w:hAnsi="Palatino Linotype" w:cs="Arial"/>
          <w:lang w:val="es-ES"/>
        </w:rPr>
        <w:t xml:space="preserve">de ser procedente en versión pública, </w:t>
      </w:r>
      <w:r w:rsidR="006C2BB9" w:rsidRPr="001A51C6">
        <w:rPr>
          <w:rFonts w:ascii="Palatino Linotype" w:hAnsi="Palatino Linotype" w:cs="Arial"/>
          <w:lang w:val="es-ES"/>
        </w:rPr>
        <w:t xml:space="preserve">documentos donde conste </w:t>
      </w:r>
      <w:r w:rsidRPr="001A51C6">
        <w:rPr>
          <w:rFonts w:ascii="Palatino Linotype" w:hAnsi="Palatino Linotype" w:cs="Arial"/>
          <w:lang w:val="es-ES"/>
        </w:rPr>
        <w:t xml:space="preserve">la siguiente </w:t>
      </w:r>
      <w:r w:rsidRPr="001A51C6">
        <w:rPr>
          <w:rFonts w:ascii="Palatino Linotype" w:hAnsi="Palatino Linotype" w:cs="Arial"/>
          <w:bCs/>
        </w:rPr>
        <w:t>información:</w:t>
      </w:r>
      <w:bookmarkStart w:id="123" w:name="_Toc460947013"/>
    </w:p>
    <w:p w:rsidR="00AA7F3D" w:rsidRPr="001A51C6" w:rsidRDefault="00AA7F3D" w:rsidP="00B34C01">
      <w:pPr>
        <w:spacing w:line="360" w:lineRule="auto"/>
        <w:ind w:right="48"/>
        <w:jc w:val="both"/>
        <w:rPr>
          <w:rFonts w:ascii="Palatino Linotype" w:hAnsi="Palatino Linotype" w:cs="Arial"/>
          <w:bCs/>
        </w:rPr>
      </w:pPr>
    </w:p>
    <w:p w:rsidR="00A71930" w:rsidRPr="001A51C6" w:rsidRDefault="006C2BB9" w:rsidP="00B34C01">
      <w:pPr>
        <w:numPr>
          <w:ilvl w:val="0"/>
          <w:numId w:val="16"/>
        </w:numPr>
        <w:spacing w:line="360" w:lineRule="auto"/>
        <w:ind w:right="822"/>
        <w:contextualSpacing/>
        <w:jc w:val="both"/>
        <w:rPr>
          <w:rFonts w:ascii="Palatino Linotype" w:eastAsia="Palatino Linotype" w:hAnsi="Palatino Linotype" w:cs="Palatino Linotype"/>
          <w:b/>
        </w:rPr>
      </w:pPr>
      <w:r w:rsidRPr="001A51C6">
        <w:rPr>
          <w:rFonts w:ascii="Palatino Linotype" w:eastAsia="Palatino Linotype" w:hAnsi="Palatino Linotype" w:cs="Palatino Linotype"/>
          <w:b/>
        </w:rPr>
        <w:t>N</w:t>
      </w:r>
      <w:r w:rsidR="00A71930" w:rsidRPr="001A51C6">
        <w:rPr>
          <w:rFonts w:ascii="Palatino Linotype" w:eastAsia="Palatino Linotype" w:hAnsi="Palatino Linotype" w:cs="Palatino Linotype"/>
          <w:b/>
        </w:rPr>
        <w:t>úmeros de las ca</w:t>
      </w:r>
      <w:r w:rsidRPr="001A51C6">
        <w:rPr>
          <w:rFonts w:ascii="Palatino Linotype" w:eastAsia="Palatino Linotype" w:hAnsi="Palatino Linotype" w:cs="Palatino Linotype"/>
          <w:b/>
        </w:rPr>
        <w:t>rpetas de investigación referida</w:t>
      </w:r>
      <w:r w:rsidR="00A71930" w:rsidRPr="001A51C6">
        <w:rPr>
          <w:rFonts w:ascii="Palatino Linotype" w:eastAsia="Palatino Linotype" w:hAnsi="Palatino Linotype" w:cs="Palatino Linotype"/>
          <w:b/>
        </w:rPr>
        <w:t>s en la respuesta;</w:t>
      </w:r>
    </w:p>
    <w:p w:rsidR="00A955BD" w:rsidRPr="001A51C6" w:rsidRDefault="00A955BD" w:rsidP="00B34C01">
      <w:pPr>
        <w:spacing w:line="360" w:lineRule="auto"/>
        <w:ind w:left="720" w:right="822"/>
        <w:contextualSpacing/>
        <w:jc w:val="both"/>
        <w:rPr>
          <w:rFonts w:ascii="Palatino Linotype" w:eastAsia="Palatino Linotype" w:hAnsi="Palatino Linotype" w:cs="Palatino Linotype"/>
          <w:b/>
        </w:rPr>
      </w:pPr>
    </w:p>
    <w:p w:rsidR="00A71930" w:rsidRPr="001A51C6" w:rsidRDefault="006C2BB9" w:rsidP="00B34C01">
      <w:pPr>
        <w:numPr>
          <w:ilvl w:val="0"/>
          <w:numId w:val="16"/>
        </w:numPr>
        <w:spacing w:line="360" w:lineRule="auto"/>
        <w:ind w:right="822"/>
        <w:contextualSpacing/>
        <w:jc w:val="both"/>
        <w:rPr>
          <w:rFonts w:ascii="Palatino Linotype" w:eastAsia="Palatino Linotype" w:hAnsi="Palatino Linotype" w:cs="Palatino Linotype"/>
          <w:b/>
        </w:rPr>
      </w:pPr>
      <w:r w:rsidRPr="001A51C6">
        <w:rPr>
          <w:rFonts w:ascii="Palatino Linotype" w:eastAsia="Palatino Linotype" w:hAnsi="Palatino Linotype" w:cs="Palatino Linotype"/>
          <w:b/>
        </w:rPr>
        <w:t>De las c</w:t>
      </w:r>
      <w:r w:rsidR="00A71930" w:rsidRPr="001A51C6">
        <w:rPr>
          <w:rFonts w:ascii="Palatino Linotype" w:eastAsia="Palatino Linotype" w:hAnsi="Palatino Linotype" w:cs="Palatino Linotype"/>
          <w:b/>
        </w:rPr>
        <w:t>arpetas de investigación concluidas</w:t>
      </w:r>
      <w:r w:rsidRPr="001A51C6">
        <w:rPr>
          <w:rFonts w:ascii="Palatino Linotype" w:eastAsia="Palatino Linotype" w:hAnsi="Palatino Linotype" w:cs="Palatino Linotype"/>
          <w:b/>
        </w:rPr>
        <w:t xml:space="preserve"> y en las que exista sentencia firme,</w:t>
      </w:r>
      <w:r w:rsidR="00A71930" w:rsidRPr="001A51C6">
        <w:rPr>
          <w:rFonts w:ascii="Palatino Linotype" w:eastAsia="Palatino Linotype" w:hAnsi="Palatino Linotype" w:cs="Palatino Linotype"/>
          <w:b/>
        </w:rPr>
        <w:t xml:space="preserve"> al diecisiete de junio de dos mil veintiuno, fecha en que se abrió la investigación, tipo de delito al que corresponde y puesto de la persona o personas servidores públicos investigados;</w:t>
      </w:r>
    </w:p>
    <w:p w:rsidR="00A71930" w:rsidRPr="001A51C6" w:rsidRDefault="00A71930" w:rsidP="00B34C01">
      <w:pPr>
        <w:spacing w:line="360" w:lineRule="auto"/>
        <w:ind w:left="720" w:right="822"/>
        <w:contextualSpacing/>
        <w:jc w:val="both"/>
        <w:rPr>
          <w:rFonts w:ascii="Palatino Linotype" w:eastAsia="Palatino Linotype" w:hAnsi="Palatino Linotype" w:cs="Palatino Linotype"/>
          <w:b/>
        </w:rPr>
      </w:pPr>
    </w:p>
    <w:p w:rsidR="00A71930" w:rsidRPr="001A51C6" w:rsidRDefault="006C2BB9" w:rsidP="00B34C01">
      <w:pPr>
        <w:numPr>
          <w:ilvl w:val="0"/>
          <w:numId w:val="16"/>
        </w:numPr>
        <w:spacing w:line="360" w:lineRule="auto"/>
        <w:ind w:right="822"/>
        <w:contextualSpacing/>
        <w:jc w:val="both"/>
        <w:rPr>
          <w:rFonts w:ascii="Palatino Linotype" w:eastAsia="Palatino Linotype" w:hAnsi="Palatino Linotype" w:cs="Palatino Linotype"/>
          <w:b/>
        </w:rPr>
      </w:pPr>
      <w:r w:rsidRPr="001A51C6">
        <w:rPr>
          <w:rFonts w:ascii="Palatino Linotype" w:eastAsia="Palatino Linotype" w:hAnsi="Palatino Linotype" w:cs="Palatino Linotype"/>
          <w:b/>
        </w:rPr>
        <w:t>D</w:t>
      </w:r>
      <w:r w:rsidR="00A71930" w:rsidRPr="001A51C6">
        <w:rPr>
          <w:rFonts w:ascii="Palatino Linotype" w:eastAsia="Palatino Linotype" w:hAnsi="Palatino Linotype" w:cs="Palatino Linotype"/>
          <w:b/>
        </w:rPr>
        <w:t xml:space="preserve">e las carpetas de investigación iniciadas en donde se investiguen actos de corrupción o violaciones graves a derechos humanos, sin importar la etapa procesal al diecisiete de junio de dos mil veintiuno, </w:t>
      </w:r>
      <w:r w:rsidR="00A71930" w:rsidRPr="001A51C6">
        <w:rPr>
          <w:rFonts w:ascii="Palatino Linotype" w:eastAsia="Palatino Linotype" w:hAnsi="Palatino Linotype" w:cs="Palatino Linotype"/>
          <w:b/>
        </w:rPr>
        <w:lastRenderedPageBreak/>
        <w:t>fecha en la que se abrió la investigación, tipo de delito al que corresponde y el puesto de la persona o personas s</w:t>
      </w:r>
      <w:r w:rsidR="00D874EE" w:rsidRPr="001A51C6">
        <w:rPr>
          <w:rFonts w:ascii="Palatino Linotype" w:eastAsia="Palatino Linotype" w:hAnsi="Palatino Linotype" w:cs="Palatino Linotype"/>
          <w:b/>
        </w:rPr>
        <w:t>ervidores públicos investigados;</w:t>
      </w:r>
    </w:p>
    <w:p w:rsidR="00A943CF" w:rsidRPr="001A51C6" w:rsidRDefault="00A943CF" w:rsidP="00B34C01">
      <w:pPr>
        <w:spacing w:line="360" w:lineRule="auto"/>
        <w:ind w:right="822"/>
        <w:contextualSpacing/>
        <w:jc w:val="both"/>
        <w:rPr>
          <w:rFonts w:ascii="Palatino Linotype" w:eastAsia="Palatino Linotype" w:hAnsi="Palatino Linotype" w:cs="Palatino Linotype"/>
          <w:b/>
        </w:rPr>
      </w:pPr>
    </w:p>
    <w:p w:rsidR="00AA7F3D" w:rsidRPr="001A51C6" w:rsidRDefault="00A71930" w:rsidP="00B34C01">
      <w:pPr>
        <w:numPr>
          <w:ilvl w:val="0"/>
          <w:numId w:val="16"/>
        </w:numPr>
        <w:spacing w:line="360" w:lineRule="auto"/>
        <w:ind w:right="822"/>
        <w:contextualSpacing/>
        <w:jc w:val="both"/>
        <w:rPr>
          <w:rFonts w:ascii="Palatino Linotype" w:eastAsia="Palatino Linotype" w:hAnsi="Palatino Linotype" w:cs="Palatino Linotype"/>
          <w:b/>
        </w:rPr>
      </w:pPr>
      <w:r w:rsidRPr="001A51C6">
        <w:rPr>
          <w:rFonts w:ascii="Palatino Linotype" w:hAnsi="Palatino Linotype" w:cs="Arial"/>
          <w:b/>
          <w:bCs/>
        </w:rPr>
        <w:t xml:space="preserve">De las carpetas de investigación en trámite, que no corresponde a actos de corrupción o violaciones graves a derechos humanos, el </w:t>
      </w:r>
      <w:r w:rsidR="00AA7F3D" w:rsidRPr="001A51C6">
        <w:rPr>
          <w:rFonts w:ascii="Palatino Linotype" w:hAnsi="Palatino Linotype" w:cs="Arial"/>
          <w:b/>
          <w:bCs/>
        </w:rPr>
        <w:t xml:space="preserve">Acuerdo del Comité de Transparencia, mediante el cual se clasifique como información reservada </w:t>
      </w:r>
      <w:r w:rsidR="00971FB9" w:rsidRPr="001A51C6">
        <w:rPr>
          <w:rFonts w:ascii="Palatino Linotype" w:hAnsi="Palatino Linotype" w:cs="Arial"/>
          <w:b/>
          <w:bCs/>
        </w:rPr>
        <w:t>el puesto de los servidores públicos a quien se les inicio carpeta de investigación</w:t>
      </w:r>
      <w:r w:rsidR="00AA7F3D" w:rsidRPr="001A51C6">
        <w:rPr>
          <w:rFonts w:ascii="Palatino Linotype" w:hAnsi="Palatino Linotype" w:cs="Arial"/>
          <w:b/>
          <w:bCs/>
        </w:rPr>
        <w:t>, debidamente fundado y motivado en términos del artículo 47, 49 fracción VIII, 122, 125, 128, 129, 131, 132 fracción II, 133, 134, 143 y 141 de la Ley de Transparencia y Acceso a la Información Pública del Estado de México y Municipios.</w:t>
      </w:r>
    </w:p>
    <w:p w:rsidR="00A943CF" w:rsidRPr="001A51C6" w:rsidRDefault="00A943CF" w:rsidP="00B34C01">
      <w:pPr>
        <w:spacing w:line="360" w:lineRule="auto"/>
        <w:ind w:right="822"/>
        <w:contextualSpacing/>
        <w:jc w:val="both"/>
        <w:rPr>
          <w:rFonts w:ascii="Palatino Linotype" w:hAnsi="Palatino Linotype" w:cs="Arial"/>
          <w:b/>
          <w:bCs/>
        </w:rPr>
      </w:pPr>
    </w:p>
    <w:p w:rsidR="00856E16" w:rsidRPr="001A51C6" w:rsidRDefault="00856E16" w:rsidP="00B34C01">
      <w:pPr>
        <w:spacing w:line="360" w:lineRule="auto"/>
        <w:jc w:val="both"/>
        <w:rPr>
          <w:rFonts w:ascii="Palatino Linotype" w:eastAsia="Calibri" w:hAnsi="Palatino Linotype" w:cs="Arial"/>
          <w:lang w:eastAsia="en-US"/>
        </w:rPr>
      </w:pPr>
      <w:r w:rsidRPr="001A51C6">
        <w:rPr>
          <w:rFonts w:ascii="Palatino Linotype" w:eastAsia="Calibri" w:hAnsi="Palatino Linotype" w:cs="Arial"/>
          <w:lang w:eastAsia="en-U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1A51C6">
        <w:rPr>
          <w:rFonts w:ascii="Palatino Linotype" w:eastAsia="Calibri" w:hAnsi="Palatino Linotype" w:cs="Arial"/>
          <w:b/>
          <w:lang w:eastAsia="en-US"/>
        </w:rPr>
        <w:t>EL RECURRENTE.</w:t>
      </w:r>
    </w:p>
    <w:p w:rsidR="00AA7F3D" w:rsidRPr="001A51C6" w:rsidRDefault="00AA7F3D" w:rsidP="00B34C01">
      <w:pPr>
        <w:spacing w:line="360" w:lineRule="auto"/>
        <w:ind w:right="48"/>
        <w:jc w:val="both"/>
        <w:rPr>
          <w:rFonts w:ascii="Palatino Linotype" w:eastAsia="Palatino Linotype" w:hAnsi="Palatino Linotype" w:cs="Palatino Linotype"/>
          <w:b/>
        </w:rPr>
      </w:pPr>
    </w:p>
    <w:p w:rsidR="00AA7F3D" w:rsidRPr="001A51C6" w:rsidRDefault="00AA7F3D" w:rsidP="00B34C01">
      <w:pPr>
        <w:tabs>
          <w:tab w:val="left" w:pos="8080"/>
        </w:tabs>
        <w:spacing w:line="360" w:lineRule="auto"/>
        <w:ind w:right="48"/>
        <w:contextualSpacing/>
        <w:jc w:val="both"/>
        <w:rPr>
          <w:rFonts w:ascii="Palatino Linotype" w:eastAsia="Palatino Linotype" w:hAnsi="Palatino Linotype" w:cs="Palatino Linotype"/>
          <w:b/>
        </w:rPr>
      </w:pPr>
      <w:r w:rsidRPr="001A51C6">
        <w:rPr>
          <w:rFonts w:ascii="Palatino Linotype" w:eastAsia="Palatino Linotype" w:hAnsi="Palatino Linotype" w:cs="Palatino Linotype"/>
          <w:b/>
        </w:rPr>
        <w:t xml:space="preserve">TERCERO. Notifíquese </w:t>
      </w:r>
      <w:r w:rsidRPr="001A51C6">
        <w:rPr>
          <w:rFonts w:ascii="Palatino Linotype" w:eastAsia="Palatino Linotype" w:hAnsi="Palatino Linotype" w:cs="Palatino Linotype"/>
        </w:rPr>
        <w:t xml:space="preserve">al Titular de la Unidad de Transparencia del </w:t>
      </w:r>
      <w:r w:rsidRPr="001A51C6">
        <w:rPr>
          <w:rFonts w:ascii="Palatino Linotype" w:eastAsia="Palatino Linotype" w:hAnsi="Palatino Linotype" w:cs="Palatino Linotype"/>
          <w:b/>
        </w:rPr>
        <w:t>SUJETO OBLIGADO</w:t>
      </w:r>
      <w:r w:rsidRPr="001A51C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A51C6">
        <w:rPr>
          <w:rFonts w:ascii="Palatino Linotype" w:hAnsi="Palatino Linotype"/>
          <w:color w:val="222222"/>
          <w:shd w:val="clear" w:color="auto" w:fill="FFFFFF"/>
        </w:rPr>
        <w:t xml:space="preserve">vigente, dé cumplimiento a lo ordenado dentro del </w:t>
      </w:r>
      <w:r w:rsidRPr="001A51C6">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rsidR="00AA7F3D" w:rsidRPr="001A51C6" w:rsidRDefault="00AA7F3D" w:rsidP="00B34C01">
      <w:pPr>
        <w:shd w:val="clear" w:color="auto" w:fill="FFFFFF"/>
        <w:tabs>
          <w:tab w:val="left" w:pos="4020"/>
        </w:tabs>
        <w:spacing w:line="360" w:lineRule="auto"/>
        <w:ind w:right="48"/>
        <w:jc w:val="both"/>
        <w:rPr>
          <w:rFonts w:ascii="Palatino Linotype" w:hAnsi="Palatino Linotype" w:cs="Arial"/>
          <w:b/>
        </w:rPr>
      </w:pPr>
      <w:r w:rsidRPr="001A51C6">
        <w:rPr>
          <w:rFonts w:ascii="Palatino Linotype" w:hAnsi="Palatino Linotype" w:cs="Arial"/>
          <w:b/>
        </w:rPr>
        <w:tab/>
      </w:r>
    </w:p>
    <w:p w:rsidR="00AA7F3D" w:rsidRPr="001A51C6" w:rsidRDefault="00AA7F3D" w:rsidP="00B34C01">
      <w:pPr>
        <w:shd w:val="clear" w:color="auto" w:fill="FFFFFF"/>
        <w:spacing w:line="360" w:lineRule="auto"/>
        <w:ind w:right="48"/>
        <w:jc w:val="both"/>
        <w:rPr>
          <w:rFonts w:ascii="Palatino Linotype" w:hAnsi="Palatino Linotype"/>
        </w:rPr>
      </w:pPr>
      <w:r w:rsidRPr="001A51C6">
        <w:rPr>
          <w:rFonts w:ascii="Palatino Linotype" w:hAnsi="Palatino Linotype" w:cs="Arial"/>
          <w:b/>
        </w:rPr>
        <w:t xml:space="preserve">CUARTO. </w:t>
      </w:r>
      <w:r w:rsidRPr="001A51C6">
        <w:rPr>
          <w:rFonts w:ascii="Palatino Linotype" w:hAnsi="Palatino Linotype"/>
          <w:b/>
          <w:bCs/>
          <w:lang w:val="es-ES"/>
        </w:rPr>
        <w:t xml:space="preserve">Notifíquese </w:t>
      </w:r>
      <w:r w:rsidRPr="001A51C6">
        <w:rPr>
          <w:rFonts w:ascii="Palatino Linotype" w:hAnsi="Palatino Linotype"/>
          <w:bCs/>
          <w:lang w:val="es-ES"/>
        </w:rPr>
        <w:t xml:space="preserve">al </w:t>
      </w:r>
      <w:r w:rsidRPr="001A51C6">
        <w:rPr>
          <w:rFonts w:ascii="Palatino Linotype" w:hAnsi="Palatino Linotype"/>
          <w:b/>
          <w:bCs/>
          <w:lang w:val="es-ES"/>
        </w:rPr>
        <w:t>RECURRENTE</w:t>
      </w:r>
      <w:r w:rsidRPr="001A51C6">
        <w:rPr>
          <w:rFonts w:ascii="Palatino Linotype" w:hAnsi="Palatino Linotype"/>
        </w:rPr>
        <w:t xml:space="preserve"> la presente resolución.</w:t>
      </w:r>
    </w:p>
    <w:p w:rsidR="00AA7F3D" w:rsidRPr="001A51C6" w:rsidRDefault="00AA7F3D" w:rsidP="00B34C01">
      <w:pPr>
        <w:shd w:val="clear" w:color="auto" w:fill="FFFFFF"/>
        <w:spacing w:line="360" w:lineRule="auto"/>
        <w:ind w:right="48"/>
        <w:jc w:val="both"/>
        <w:rPr>
          <w:rFonts w:ascii="Palatino Linotype" w:hAnsi="Palatino Linotype"/>
          <w:b/>
          <w:color w:val="FF0000"/>
        </w:rPr>
      </w:pPr>
    </w:p>
    <w:bookmarkEnd w:id="123"/>
    <w:p w:rsidR="00AA7F3D" w:rsidRPr="001A51C6" w:rsidRDefault="00AA7F3D" w:rsidP="00B34C01">
      <w:pPr>
        <w:spacing w:line="360" w:lineRule="auto"/>
        <w:ind w:right="48"/>
        <w:jc w:val="both"/>
        <w:rPr>
          <w:rFonts w:ascii="Palatino Linotype" w:eastAsia="MS Mincho" w:hAnsi="Palatino Linotype"/>
          <w:lang w:val="es-ES"/>
        </w:rPr>
      </w:pPr>
      <w:r w:rsidRPr="001A51C6">
        <w:rPr>
          <w:rFonts w:ascii="Palatino Linotype" w:eastAsia="MS Mincho" w:hAnsi="Palatino Linotype"/>
          <w:b/>
        </w:rPr>
        <w:t>QUINTO.</w:t>
      </w:r>
      <w:r w:rsidRPr="001A51C6">
        <w:rPr>
          <w:rFonts w:ascii="Palatino Linotype" w:eastAsia="MS Mincho" w:hAnsi="Palatino Linotype"/>
        </w:rPr>
        <w:t xml:space="preserve"> </w:t>
      </w:r>
      <w:r w:rsidRPr="001A51C6">
        <w:rPr>
          <w:rFonts w:ascii="Palatino Linotype" w:eastAsia="MS Mincho" w:hAnsi="Palatino Linotype"/>
          <w:lang w:val="es-ES"/>
        </w:rPr>
        <w:t xml:space="preserve">Se hace del conocimiento del </w:t>
      </w:r>
      <w:r w:rsidRPr="001A51C6">
        <w:rPr>
          <w:rFonts w:ascii="Palatino Linotype" w:hAnsi="Palatino Linotype"/>
          <w:b/>
        </w:rPr>
        <w:t>RECURRENTE</w:t>
      </w:r>
      <w:r w:rsidRPr="001A51C6">
        <w:rPr>
          <w:rFonts w:ascii="Palatino Linotype" w:hAnsi="Palatino Linotype"/>
        </w:rPr>
        <w:t xml:space="preserve"> </w:t>
      </w:r>
      <w:r w:rsidRPr="001A51C6">
        <w:rPr>
          <w:rFonts w:ascii="Palatino Linotype" w:eastAsia="MS Mincho" w:hAnsi="Palatino Linotype"/>
          <w:lang w:val="es-ES"/>
        </w:rPr>
        <w:t xml:space="preserve">que 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 o bien </w:t>
      </w:r>
      <w:r w:rsidRPr="001A51C6">
        <w:rPr>
          <w:rFonts w:ascii="Palatino Linotype" w:eastAsia="MS Mincho" w:hAnsi="Palatino Linotype"/>
          <w:bCs/>
          <w:lang w:val="es-ES"/>
        </w:rPr>
        <w:t>vía juicio de amparo</w:t>
      </w:r>
      <w:r w:rsidRPr="001A51C6">
        <w:rPr>
          <w:rFonts w:ascii="Palatino Linotype" w:eastAsia="MS Mincho" w:hAnsi="Palatino Linotype"/>
          <w:lang w:val="es-ES"/>
        </w:rPr>
        <w:t> en los términos de las leyes aplicables.</w:t>
      </w:r>
    </w:p>
    <w:p w:rsidR="00AA7F3D" w:rsidRPr="001A51C6" w:rsidRDefault="00AA7F3D" w:rsidP="00B34C01">
      <w:pPr>
        <w:spacing w:line="360" w:lineRule="auto"/>
        <w:ind w:right="48"/>
        <w:jc w:val="both"/>
        <w:rPr>
          <w:rFonts w:ascii="Palatino Linotype" w:hAnsi="Palatino Linotype"/>
          <w:color w:val="000000"/>
          <w:shd w:val="clear" w:color="auto" w:fill="FFFFFF"/>
        </w:rPr>
      </w:pPr>
    </w:p>
    <w:p w:rsidR="00AA7F3D" w:rsidRPr="001A51C6" w:rsidRDefault="00AA7F3D" w:rsidP="00B34C01">
      <w:pPr>
        <w:spacing w:line="360" w:lineRule="auto"/>
        <w:ind w:right="48"/>
        <w:jc w:val="both"/>
        <w:rPr>
          <w:rFonts w:ascii="Palatino Linotype" w:eastAsia="Calibri" w:hAnsi="Palatino Linotype" w:cs="Arial"/>
          <w:bCs/>
        </w:rPr>
      </w:pPr>
      <w:r w:rsidRPr="001A51C6">
        <w:rPr>
          <w:rFonts w:ascii="Palatino Linotype" w:hAnsi="Palatino Linotype"/>
          <w:b/>
          <w:color w:val="000000"/>
          <w:shd w:val="clear" w:color="auto" w:fill="FFFFFF"/>
        </w:rPr>
        <w:t xml:space="preserve">SEXTO. </w:t>
      </w:r>
      <w:r w:rsidRPr="001A51C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8107F" w:rsidRPr="001A51C6" w:rsidRDefault="0078107F" w:rsidP="00B34C01">
      <w:pPr>
        <w:spacing w:line="360" w:lineRule="auto"/>
        <w:jc w:val="both"/>
        <w:rPr>
          <w:rFonts w:ascii="Palatino Linotype" w:eastAsia="MS Mincho" w:hAnsi="Palatino Linotype"/>
          <w:lang w:val="es-ES" w:eastAsia="es-ES"/>
        </w:rPr>
      </w:pPr>
    </w:p>
    <w:p w:rsidR="0078107F" w:rsidRPr="001A51C6" w:rsidRDefault="0078107F" w:rsidP="00B34C01">
      <w:pPr>
        <w:shd w:val="clear" w:color="auto" w:fill="FFFFFF"/>
        <w:spacing w:line="360" w:lineRule="auto"/>
        <w:contextualSpacing/>
        <w:jc w:val="both"/>
        <w:rPr>
          <w:rFonts w:ascii="Palatino Linotype" w:eastAsiaTheme="minorEastAsia" w:hAnsi="Palatino Linotype" w:cs="Arial"/>
          <w:lang w:val="es-ES_tradnl" w:eastAsia="es-ES"/>
        </w:rPr>
      </w:pPr>
    </w:p>
    <w:bookmarkEnd w:id="10"/>
    <w:bookmarkEnd w:id="11"/>
    <w:bookmarkEnd w:id="12"/>
    <w:p w:rsidR="0078107F" w:rsidRPr="00B34C01" w:rsidRDefault="0078107F" w:rsidP="00B34C01">
      <w:pPr>
        <w:spacing w:line="360" w:lineRule="auto"/>
        <w:ind w:right="48"/>
        <w:jc w:val="both"/>
        <w:rPr>
          <w:rFonts w:ascii="Palatino Linotype" w:hAnsi="Palatino Linotype"/>
        </w:rPr>
      </w:pPr>
      <w:r w:rsidRPr="001A51C6">
        <w:rPr>
          <w:rFonts w:ascii="Palatino Linotype" w:hAnsi="Palatino Linotype"/>
        </w:rPr>
        <w:t xml:space="preserve">ASÍ LO RESUELVE, POR </w:t>
      </w:r>
      <w:r w:rsidR="00403ED2">
        <w:rPr>
          <w:rFonts w:ascii="Palatino Linotype" w:hAnsi="Palatino Linotype"/>
        </w:rPr>
        <w:t>MAYORIA</w:t>
      </w:r>
      <w:r w:rsidRPr="001A51C6">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w:t>
      </w:r>
      <w:r w:rsidRPr="001D7758">
        <w:rPr>
          <w:rFonts w:ascii="Palatino Linotype" w:hAnsi="Palatino Linotype"/>
        </w:rPr>
        <w:lastRenderedPageBreak/>
        <w:t>DEL ROSARIO MEJÍA AYALA, SHARON CRISTINA MORALES MARTÍNEZ</w:t>
      </w:r>
      <w:r w:rsidR="00E8691C" w:rsidRPr="001D7758">
        <w:rPr>
          <w:rFonts w:ascii="Palatino Linotype" w:hAnsi="Palatino Linotype"/>
        </w:rPr>
        <w:t xml:space="preserve"> </w:t>
      </w:r>
      <w:r w:rsidR="001D7758" w:rsidRPr="001D7758">
        <w:rPr>
          <w:rFonts w:ascii="Palatino Linotype" w:hAnsi="Palatino Linotype"/>
        </w:rPr>
        <w:t xml:space="preserve">EMITIENDO VOTO </w:t>
      </w:r>
      <w:r w:rsidR="00403ED2">
        <w:rPr>
          <w:rFonts w:ascii="Palatino Linotype" w:hAnsi="Palatino Linotype"/>
        </w:rPr>
        <w:t xml:space="preserve">EN CONTRA </w:t>
      </w:r>
      <w:r w:rsidR="00E8691C" w:rsidRPr="001D7758">
        <w:rPr>
          <w:rFonts w:ascii="Palatino Linotype" w:hAnsi="Palatino Linotype"/>
        </w:rPr>
        <w:t>DISIDENTE</w:t>
      </w:r>
      <w:r w:rsidRPr="001D7758">
        <w:rPr>
          <w:rFonts w:ascii="Palatino Linotype" w:hAnsi="Palatino Linotype"/>
        </w:rPr>
        <w:t>, LUIS GUSTAVO PARRA NORIEGA</w:t>
      </w:r>
      <w:r w:rsidR="00E8691C" w:rsidRPr="001D7758">
        <w:rPr>
          <w:rFonts w:ascii="Palatino Linotype" w:hAnsi="Palatino Linotype"/>
        </w:rPr>
        <w:t xml:space="preserve"> EMITIENDO VOTO PARTICULAR</w:t>
      </w:r>
      <w:r w:rsidRPr="001D7758">
        <w:rPr>
          <w:rFonts w:ascii="Palatino Linotype" w:hAnsi="Palatino Linotype"/>
        </w:rPr>
        <w:t xml:space="preserve"> Y GUADALUPE</w:t>
      </w:r>
      <w:r w:rsidRPr="001A51C6">
        <w:rPr>
          <w:rFonts w:ascii="Palatino Linotype" w:hAnsi="Palatino Linotype"/>
        </w:rPr>
        <w:t xml:space="preserve"> RAMÍREZ PEÑA;  EN LA TRIGÉSIMA </w:t>
      </w:r>
      <w:r w:rsidR="00B34C01" w:rsidRPr="001A51C6">
        <w:rPr>
          <w:rFonts w:ascii="Palatino Linotype" w:hAnsi="Palatino Linotype"/>
        </w:rPr>
        <w:t>OCTAVA</w:t>
      </w:r>
      <w:r w:rsidRPr="001A51C6">
        <w:rPr>
          <w:rFonts w:ascii="Palatino Linotype" w:hAnsi="Palatino Linotype"/>
        </w:rPr>
        <w:t xml:space="preserve"> SESIÓN</w:t>
      </w:r>
      <w:r w:rsidR="00B34C01" w:rsidRPr="001A51C6">
        <w:rPr>
          <w:rFonts w:ascii="Palatino Linotype" w:hAnsi="Palatino Linotype"/>
        </w:rPr>
        <w:t xml:space="preserve"> ORDINARIA CELEBRADA EL DÍA VEINTISIETE DE OCTUBRE</w:t>
      </w:r>
      <w:r w:rsidRPr="001A51C6">
        <w:rPr>
          <w:rFonts w:ascii="Palatino Linotype" w:hAnsi="Palatino Linotype"/>
        </w:rPr>
        <w:t xml:space="preserve">   DE DOS MIL VEINTIUNO, ANTE EL SECRETARIO TÉCNICO DEL PLENO, ALEXIS TAPIA RAMÍREZ.</w:t>
      </w:r>
      <w:r w:rsidRPr="00B34C01">
        <w:rPr>
          <w:rFonts w:ascii="Palatino Linotype" w:hAnsi="Palatino Linotype"/>
        </w:rPr>
        <w:t xml:space="preserve"> </w:t>
      </w:r>
    </w:p>
    <w:p w:rsidR="0078107F" w:rsidRPr="00B34C01" w:rsidRDefault="0078107F" w:rsidP="00B34C01">
      <w:pPr>
        <w:spacing w:line="360" w:lineRule="auto"/>
        <w:ind w:right="48"/>
        <w:rPr>
          <w:rFonts w:ascii="Palatino Linotype" w:hAnsi="Palatino Linotype"/>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ind w:right="49"/>
        <w:jc w:val="both"/>
        <w:rPr>
          <w:rFonts w:ascii="Palatino Linotype" w:eastAsiaTheme="minorEastAsia" w:hAnsi="Palatino Linotype" w:cs="Arial"/>
          <w:lang w:val="es-ES_tradnl" w:eastAsia="es-ES"/>
        </w:rPr>
      </w:pPr>
    </w:p>
    <w:p w:rsidR="0078107F" w:rsidRPr="00B34C01" w:rsidRDefault="0078107F" w:rsidP="00B34C01">
      <w:pPr>
        <w:spacing w:line="360" w:lineRule="auto"/>
        <w:rPr>
          <w:rFonts w:ascii="Palatino Linotype" w:hAnsi="Palatino Linotype"/>
        </w:rPr>
      </w:pPr>
    </w:p>
    <w:p w:rsidR="0078107F" w:rsidRPr="00B34C01" w:rsidRDefault="0078107F" w:rsidP="00B34C01">
      <w:pPr>
        <w:spacing w:line="360" w:lineRule="auto"/>
        <w:rPr>
          <w:rFonts w:ascii="Palatino Linotype" w:hAnsi="Palatino Linotype"/>
        </w:rPr>
      </w:pPr>
    </w:p>
    <w:p w:rsidR="0078107F" w:rsidRPr="00B34C01" w:rsidRDefault="0078107F" w:rsidP="00B34C01">
      <w:pPr>
        <w:spacing w:line="360" w:lineRule="auto"/>
        <w:rPr>
          <w:rFonts w:ascii="Palatino Linotype" w:hAnsi="Palatino Linotype"/>
        </w:rPr>
      </w:pPr>
    </w:p>
    <w:p w:rsidR="0078107F" w:rsidRPr="00B34C01" w:rsidRDefault="0078107F" w:rsidP="00B34C01">
      <w:pPr>
        <w:spacing w:line="360" w:lineRule="auto"/>
        <w:rPr>
          <w:rFonts w:ascii="Palatino Linotype" w:hAnsi="Palatino Linotype"/>
        </w:rPr>
      </w:pPr>
    </w:p>
    <w:p w:rsidR="0078107F" w:rsidRPr="00B34C01" w:rsidRDefault="0078107F" w:rsidP="00B34C01">
      <w:pPr>
        <w:spacing w:line="360" w:lineRule="auto"/>
        <w:rPr>
          <w:rFonts w:ascii="Palatino Linotype" w:hAnsi="Palatino Linotype"/>
        </w:rPr>
      </w:pPr>
    </w:p>
    <w:p w:rsidR="0078107F" w:rsidRPr="00B34C01" w:rsidRDefault="0078107F" w:rsidP="00B34C01">
      <w:pPr>
        <w:spacing w:line="360" w:lineRule="auto"/>
        <w:rPr>
          <w:rFonts w:ascii="Palatino Linotype" w:hAnsi="Palatino Linotype"/>
        </w:rPr>
      </w:pPr>
    </w:p>
    <w:p w:rsidR="00AA7F3D" w:rsidRPr="00B34C01" w:rsidRDefault="00AA7F3D" w:rsidP="00B34C01">
      <w:pPr>
        <w:spacing w:line="360" w:lineRule="auto"/>
        <w:rPr>
          <w:rFonts w:ascii="Palatino Linotype" w:hAnsi="Palatino Linotype"/>
        </w:rPr>
      </w:pPr>
    </w:p>
    <w:sectPr w:rsidR="00AA7F3D" w:rsidRPr="00B34C01" w:rsidSect="00AA7F3D">
      <w:headerReference w:type="even" r:id="rId25"/>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41A" w:rsidRDefault="00DD541A" w:rsidP="0078107F">
      <w:r>
        <w:separator/>
      </w:r>
    </w:p>
  </w:endnote>
  <w:endnote w:type="continuationSeparator" w:id="0">
    <w:p w:rsidR="00DD541A" w:rsidRDefault="00DD541A" w:rsidP="0078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EA" w:rsidRDefault="00AA53EA">
    <w:pPr>
      <w:pStyle w:val="Piedepgina"/>
      <w:jc w:val="right"/>
    </w:pPr>
    <w:r>
      <w:rPr>
        <w:lang w:val="es-ES"/>
      </w:rPr>
      <w:t xml:space="preserve">Página </w:t>
    </w:r>
    <w:r>
      <w:rPr>
        <w:b/>
        <w:bCs/>
      </w:rPr>
      <w:fldChar w:fldCharType="begin"/>
    </w:r>
    <w:r>
      <w:rPr>
        <w:b/>
        <w:bCs/>
      </w:rPr>
      <w:instrText>PAGE</w:instrText>
    </w:r>
    <w:r>
      <w:rPr>
        <w:b/>
        <w:bCs/>
      </w:rPr>
      <w:fldChar w:fldCharType="separate"/>
    </w:r>
    <w:r w:rsidR="009E7F98">
      <w:rPr>
        <w:b/>
        <w:bCs/>
        <w:noProof/>
      </w:rPr>
      <w:t>81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E7F98">
      <w:rPr>
        <w:b/>
        <w:bCs/>
        <w:noProof/>
      </w:rPr>
      <w:t>81</w:t>
    </w:r>
    <w:r>
      <w:rPr>
        <w:b/>
        <w:bCs/>
      </w:rPr>
      <w:fldChar w:fldCharType="end"/>
    </w:r>
  </w:p>
  <w:p w:rsidR="00AA53EA" w:rsidRDefault="00AA53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EA" w:rsidRDefault="00AA53EA">
    <w:pPr>
      <w:pStyle w:val="Piedepgina"/>
      <w:jc w:val="right"/>
    </w:pPr>
    <w:r>
      <w:rPr>
        <w:lang w:val="es-ES"/>
      </w:rPr>
      <w:t xml:space="preserve">Página </w:t>
    </w:r>
    <w:r>
      <w:rPr>
        <w:b/>
        <w:bCs/>
      </w:rPr>
      <w:fldChar w:fldCharType="begin"/>
    </w:r>
    <w:r>
      <w:rPr>
        <w:b/>
        <w:bCs/>
      </w:rPr>
      <w:instrText>PAGE</w:instrText>
    </w:r>
    <w:r>
      <w:rPr>
        <w:b/>
        <w:bCs/>
      </w:rPr>
      <w:fldChar w:fldCharType="separate"/>
    </w:r>
    <w:r w:rsidR="009E7F98">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E7F98">
      <w:rPr>
        <w:b/>
        <w:bCs/>
        <w:noProof/>
      </w:rPr>
      <w:t>81</w:t>
    </w:r>
    <w:r>
      <w:rPr>
        <w:b/>
        <w:bCs/>
      </w:rPr>
      <w:fldChar w:fldCharType="end"/>
    </w:r>
  </w:p>
  <w:p w:rsidR="00AA53EA" w:rsidRDefault="00AA53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41A" w:rsidRDefault="00DD541A" w:rsidP="0078107F">
      <w:r>
        <w:separator/>
      </w:r>
    </w:p>
  </w:footnote>
  <w:footnote w:type="continuationSeparator" w:id="0">
    <w:p w:rsidR="00DD541A" w:rsidRDefault="00DD541A" w:rsidP="0078107F">
      <w:r>
        <w:continuationSeparator/>
      </w:r>
    </w:p>
  </w:footnote>
  <w:footnote w:id="1">
    <w:p w:rsidR="00AA53EA" w:rsidRDefault="00AA53EA" w:rsidP="00F626CA">
      <w:pPr>
        <w:pStyle w:val="Textonotapie"/>
      </w:pPr>
      <w:r>
        <w:rPr>
          <w:rStyle w:val="Refdenotaalpie"/>
        </w:rPr>
        <w:footnoteRef/>
      </w:r>
      <w:r>
        <w:t xml:space="preserve"> Consultable en: </w:t>
      </w:r>
      <w:hyperlink r:id="rId1" w:history="1">
        <w:r w:rsidRPr="006A4718">
          <w:rPr>
            <w:rStyle w:val="Hipervnculo"/>
          </w:rPr>
          <w:t>http://legislacion.edomex.gob.mx/sites/legislacion.edomex.gob.mx/files/files/pdf/gct/2016/jun174.pdf</w:t>
        </w:r>
      </w:hyperlink>
      <w:r>
        <w:t xml:space="preserve"> </w:t>
      </w:r>
    </w:p>
  </w:footnote>
  <w:footnote w:id="2">
    <w:p w:rsidR="00AA53EA" w:rsidRDefault="00AA53EA" w:rsidP="00F626CA">
      <w:pPr>
        <w:pStyle w:val="Textonotapie"/>
      </w:pPr>
      <w:r>
        <w:rPr>
          <w:rStyle w:val="Refdenotaalpie"/>
        </w:rPr>
        <w:footnoteRef/>
      </w:r>
      <w:r>
        <w:t xml:space="preserve"> Consultable en: </w:t>
      </w:r>
      <w:hyperlink r:id="rId2" w:history="1">
        <w:r w:rsidRPr="006A4718">
          <w:rPr>
            <w:rStyle w:val="Hipervnculo"/>
          </w:rPr>
          <w:t>http://legislacion.edomex.gob.mx/sites/legislacion.edomex.gob.mx/files/files/pdf/gct/2018/may033.pdf</w:t>
        </w:r>
      </w:hyperlink>
      <w:r>
        <w:t xml:space="preserve"> </w:t>
      </w:r>
    </w:p>
  </w:footnote>
  <w:footnote w:id="3">
    <w:p w:rsidR="00AA53EA" w:rsidRPr="000E4273" w:rsidRDefault="00AA53EA" w:rsidP="00F626CA">
      <w:pPr>
        <w:pStyle w:val="Textonotapie"/>
        <w:jc w:val="both"/>
        <w:rPr>
          <w:rFonts w:ascii="Palatino Linotype" w:hAnsi="Palatino Linotype"/>
        </w:rPr>
      </w:pPr>
      <w:r w:rsidRPr="000E4273">
        <w:rPr>
          <w:rStyle w:val="Refdenotaalpie"/>
          <w:rFonts w:ascii="Palatino Linotype" w:hAnsi="Palatino Linotype"/>
        </w:rPr>
        <w:footnoteRef/>
      </w:r>
      <w:r w:rsidRPr="000E4273">
        <w:rPr>
          <w:rFonts w:ascii="Palatino Linotype" w:hAnsi="Palatino Linotype"/>
        </w:rPr>
        <w:t xml:space="preserve"> Ver páginas 71 y 72 de la </w:t>
      </w:r>
      <w:r w:rsidRPr="000E4273">
        <w:rPr>
          <w:rFonts w:ascii="Palatino Linotype" w:hAnsi="Palatino Linotype" w:cs="Arial"/>
        </w:rPr>
        <w:t xml:space="preserve">contradicción de tesis 200/2013, específicamente los epígrafes 84, 85 y 87. </w:t>
      </w:r>
    </w:p>
  </w:footnote>
  <w:footnote w:id="4">
    <w:p w:rsidR="00AA53EA" w:rsidRPr="00596EDD" w:rsidRDefault="00AA53EA" w:rsidP="00F626CA">
      <w:pPr>
        <w:pStyle w:val="Textonotapie"/>
        <w:jc w:val="both"/>
        <w:rPr>
          <w:rFonts w:ascii="Palatino Linotype" w:hAnsi="Palatino Linotype"/>
        </w:rPr>
      </w:pPr>
      <w:r w:rsidRPr="00596EDD">
        <w:rPr>
          <w:rStyle w:val="Refdenotaalpie"/>
          <w:rFonts w:ascii="Palatino Linotype" w:hAnsi="Palatino Linotype"/>
        </w:rPr>
        <w:footnoteRef/>
      </w:r>
      <w:r w:rsidRPr="00596EDD">
        <w:rPr>
          <w:rFonts w:ascii="Palatino Linotype" w:hAnsi="Palatino Linotype"/>
        </w:rPr>
        <w:t xml:space="preserve"> Ver supra. Página 24.</w:t>
      </w:r>
    </w:p>
  </w:footnote>
  <w:footnote w:id="5">
    <w:p w:rsidR="00AA53EA" w:rsidRDefault="00AA53EA" w:rsidP="00F626CA">
      <w:pPr>
        <w:autoSpaceDE w:val="0"/>
        <w:autoSpaceDN w:val="0"/>
        <w:adjustRightInd w:val="0"/>
        <w:jc w:val="both"/>
        <w:rPr>
          <w:rFonts w:ascii="Palatino Linotype" w:hAnsi="Palatino Linotype" w:cs="Bookman Old Style"/>
          <w:sz w:val="20"/>
          <w:szCs w:val="20"/>
        </w:rPr>
      </w:pPr>
      <w:r w:rsidRPr="00596EDD">
        <w:rPr>
          <w:rStyle w:val="Refdenotaalpie"/>
          <w:rFonts w:ascii="Palatino Linotype" w:hAnsi="Palatino Linotype"/>
          <w:sz w:val="20"/>
          <w:szCs w:val="20"/>
        </w:rPr>
        <w:footnoteRef/>
      </w:r>
      <w:r w:rsidRPr="00596EDD">
        <w:rPr>
          <w:rFonts w:ascii="Palatino Linotype" w:hAnsi="Palatino Linotype"/>
          <w:sz w:val="20"/>
          <w:szCs w:val="20"/>
        </w:rPr>
        <w:t xml:space="preserve"> </w:t>
      </w:r>
      <w:r>
        <w:rPr>
          <w:rFonts w:ascii="Palatino Linotype" w:hAnsi="Palatino Linotype" w:cs="Bookman Old Style"/>
          <w:b/>
          <w:bCs/>
          <w:sz w:val="20"/>
          <w:szCs w:val="20"/>
        </w:rPr>
        <w:t>Artículo 40</w:t>
      </w:r>
      <w:r w:rsidRPr="00596EDD">
        <w:rPr>
          <w:rFonts w:ascii="Palatino Linotype" w:hAnsi="Palatino Linotype" w:cs="Bookman Old Style"/>
          <w:b/>
          <w:bCs/>
          <w:sz w:val="20"/>
          <w:szCs w:val="20"/>
        </w:rPr>
        <w:t xml:space="preserve">.- </w:t>
      </w:r>
      <w:r w:rsidRPr="00EB0592">
        <w:rPr>
          <w:rFonts w:ascii="Palatino Linotype" w:hAnsi="Palatino Linotype" w:cs="Bookman Old Style"/>
          <w:sz w:val="20"/>
          <w:szCs w:val="20"/>
        </w:rPr>
        <w:t>El acceso a la información pública será restringido excepcionalmente, cuando por razones de interés público, ésta sea clasificada como reservada, conforme a los criterios siguientes:</w:t>
      </w:r>
    </w:p>
    <w:p w:rsidR="00AA53EA" w:rsidRPr="00596EDD" w:rsidRDefault="00AA53EA" w:rsidP="00F626CA">
      <w:pPr>
        <w:autoSpaceDE w:val="0"/>
        <w:autoSpaceDN w:val="0"/>
        <w:adjustRightInd w:val="0"/>
        <w:jc w:val="both"/>
        <w:rPr>
          <w:sz w:val="20"/>
          <w:szCs w:val="20"/>
        </w:rPr>
      </w:pPr>
      <w:r w:rsidRPr="00EB0592">
        <w:rPr>
          <w:rFonts w:ascii="Palatino Linotype" w:hAnsi="Palatino Linotype" w:cs="Bookman Old Style"/>
          <w:b/>
          <w:bCs/>
          <w:sz w:val="20"/>
          <w:szCs w:val="20"/>
        </w:rPr>
        <w:t>IX. Se encuentre contenida dentro de las investigaciones de hechos que la Ley señale como delitos y se tramiten ante el Ministerio Público;</w:t>
      </w:r>
    </w:p>
  </w:footnote>
  <w:footnote w:id="6">
    <w:p w:rsidR="00AA53EA" w:rsidRPr="006E0BD9" w:rsidRDefault="00AA53EA">
      <w:pPr>
        <w:pStyle w:val="Textonotapie"/>
        <w:rPr>
          <w:lang w:val="es-ES"/>
        </w:rPr>
      </w:pPr>
      <w:r>
        <w:rPr>
          <w:rStyle w:val="Refdenotaalpie"/>
        </w:rPr>
        <w:footnoteRef/>
      </w:r>
      <w:r>
        <w:t xml:space="preserve"> </w:t>
      </w:r>
      <w:r>
        <w:rPr>
          <w:lang w:val="es-ES"/>
        </w:rPr>
        <w:t>Juzgado Octavo de Distrito en Materia Administrativa en el D.F. Sentencia de 11 de abril de 2014. Pág. 46</w:t>
      </w:r>
    </w:p>
  </w:footnote>
  <w:footnote w:id="7">
    <w:p w:rsidR="00AA53EA" w:rsidRPr="006E0BD9" w:rsidRDefault="00AA53EA" w:rsidP="006E0BD9">
      <w:pPr>
        <w:pStyle w:val="Textonotapie"/>
        <w:ind w:left="708" w:hanging="708"/>
        <w:rPr>
          <w:lang w:val="es-ES"/>
        </w:rPr>
      </w:pPr>
      <w:r>
        <w:rPr>
          <w:rStyle w:val="Refdenotaalpie"/>
        </w:rPr>
        <w:footnoteRef/>
      </w:r>
      <w:r>
        <w:t xml:space="preserve"> </w:t>
      </w:r>
      <w:r>
        <w:rPr>
          <w:lang w:val="es-ES"/>
        </w:rPr>
        <w:t xml:space="preserve">Oficio No. IFAI-0A/XPM/081/2015 disponible en </w:t>
      </w:r>
      <w:hyperlink r:id="rId3" w:history="1">
        <w:r w:rsidRPr="00011E7A">
          <w:rPr>
            <w:rStyle w:val="Hipervnculo"/>
          </w:rPr>
          <w:t>http://www.senado.gob.mx/comisiones/anticorrupcion/docs/transparencia/IFAI1.pdf</w:t>
        </w:r>
      </w:hyperlink>
      <w:r>
        <w:t xml:space="preserve"> , por no encontrarse disponible la versión pública de la sentencia según página del Consejo de la Judicatura Federal.</w:t>
      </w:r>
    </w:p>
  </w:footnote>
  <w:footnote w:id="8">
    <w:p w:rsidR="00AA53EA" w:rsidRPr="00985DD4" w:rsidRDefault="00AA53EA" w:rsidP="00AA7F3D">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AA53EA" w:rsidRPr="00985DD4" w:rsidRDefault="00AA53EA" w:rsidP="00AA7F3D">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AA53EA" w:rsidRPr="00BE13A0" w:rsidRDefault="00AA53EA" w:rsidP="00AA7F3D">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rsidR="00AA53EA" w:rsidRPr="00985DD4" w:rsidRDefault="00AA53EA" w:rsidP="00AA7F3D">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rsidR="00AA53EA" w:rsidRDefault="00AA53EA" w:rsidP="00AA7F3D">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A53EA" w:rsidRPr="00266430" w:rsidRDefault="00AA53EA" w:rsidP="00AA7F3D">
      <w:pPr>
        <w:pStyle w:val="Textonotapie"/>
        <w:jc w:val="both"/>
      </w:pPr>
      <w:r w:rsidRPr="00266430">
        <w:t xml:space="preserve">1a./J. 2/2012 (9a.). Primera Sala. Décima Época. Semanario Judicial de la Federación y su Gaceta. Libro V, Febrero de 2012, Pág. 533.  </w:t>
      </w:r>
    </w:p>
  </w:footnote>
  <w:footnote w:id="11">
    <w:p w:rsidR="00AA53EA" w:rsidRPr="00A870EF" w:rsidRDefault="00AA53EA" w:rsidP="00AA7F3D">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rsidR="00AA53EA" w:rsidRDefault="00AA53EA" w:rsidP="00AA7F3D">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A53EA" w:rsidRDefault="00AA53EA" w:rsidP="00AA7F3D">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A53EA" w:rsidRPr="001E1F95" w:rsidRDefault="00AA53EA" w:rsidP="00AA7F3D">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rsidR="00AA53EA" w:rsidRPr="00191180" w:rsidRDefault="00AA53EA" w:rsidP="00AA7F3D">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4">
    <w:p w:rsidR="00AA53EA" w:rsidRPr="0037004E" w:rsidRDefault="00AA53EA" w:rsidP="00AA7F3D">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rsidR="00AA53EA" w:rsidRDefault="00AA53EA" w:rsidP="00AA7F3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EA" w:rsidRDefault="00DD54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A53EA" w:rsidRPr="005C106F" w:rsidTr="00AA7F3D">
      <w:trPr>
        <w:trHeight w:val="1435"/>
      </w:trPr>
      <w:tc>
        <w:tcPr>
          <w:tcW w:w="2268" w:type="dxa"/>
          <w:shd w:val="clear" w:color="auto" w:fill="auto"/>
        </w:tcPr>
        <w:p w:rsidR="00AA53EA" w:rsidRPr="005C106F" w:rsidRDefault="00AA53EA" w:rsidP="00AA7F3D">
          <w:pPr>
            <w:tabs>
              <w:tab w:val="right" w:pos="4273"/>
            </w:tabs>
            <w:rPr>
              <w:rFonts w:ascii="Garamond" w:eastAsia="Calibri" w:hAnsi="Garamond"/>
              <w:sz w:val="16"/>
              <w:szCs w:val="16"/>
              <w:lang w:eastAsia="en-US"/>
            </w:rPr>
          </w:pPr>
        </w:p>
      </w:tc>
      <w:tc>
        <w:tcPr>
          <w:tcW w:w="6946" w:type="dxa"/>
          <w:shd w:val="clear" w:color="auto" w:fill="auto"/>
        </w:tcPr>
        <w:p w:rsidR="00AA53EA" w:rsidRDefault="00AA53EA" w:rsidP="00AA7F3D"/>
        <w:tbl>
          <w:tblPr>
            <w:tblW w:w="6662" w:type="dxa"/>
            <w:tblInd w:w="40" w:type="dxa"/>
            <w:tblLayout w:type="fixed"/>
            <w:tblLook w:val="0420" w:firstRow="1" w:lastRow="0" w:firstColumn="0" w:lastColumn="0" w:noHBand="0" w:noVBand="1"/>
          </w:tblPr>
          <w:tblGrid>
            <w:gridCol w:w="2551"/>
            <w:gridCol w:w="4111"/>
          </w:tblGrid>
          <w:tr w:rsidR="00AA53EA" w:rsidTr="00AA7F3D">
            <w:trPr>
              <w:trHeight w:val="150"/>
            </w:trPr>
            <w:tc>
              <w:tcPr>
                <w:tcW w:w="2551" w:type="dxa"/>
                <w:shd w:val="clear" w:color="auto" w:fill="auto"/>
              </w:tcPr>
              <w:p w:rsidR="00AA53EA" w:rsidRPr="00020E73" w:rsidRDefault="00AA53EA" w:rsidP="00AA7F3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AA53EA" w:rsidRPr="00020E73" w:rsidRDefault="00AA53EA" w:rsidP="00AA7F3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03918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AA53EA" w:rsidTr="00AA7F3D">
            <w:trPr>
              <w:trHeight w:val="295"/>
            </w:trPr>
            <w:tc>
              <w:tcPr>
                <w:tcW w:w="2551" w:type="dxa"/>
                <w:shd w:val="clear" w:color="auto" w:fill="auto"/>
              </w:tcPr>
              <w:p w:rsidR="00AA53EA" w:rsidRPr="00020E73" w:rsidRDefault="00AA53EA" w:rsidP="00AA7F3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AA53EA" w:rsidRPr="00020E73" w:rsidRDefault="00AA53EA" w:rsidP="00AA7F3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Fiscalía General de Justicia del Estado de México</w:t>
                </w:r>
              </w:p>
            </w:tc>
          </w:tr>
          <w:tr w:rsidR="00AA53EA" w:rsidTr="00AA7F3D">
            <w:trPr>
              <w:trHeight w:val="295"/>
            </w:trPr>
            <w:tc>
              <w:tcPr>
                <w:tcW w:w="2551" w:type="dxa"/>
                <w:shd w:val="clear" w:color="auto" w:fill="auto"/>
              </w:tcPr>
              <w:p w:rsidR="00AA53EA" w:rsidRPr="00020E73" w:rsidRDefault="00AA53EA" w:rsidP="00AA7F3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AA53EA" w:rsidRPr="00020E73" w:rsidRDefault="00AA53EA" w:rsidP="00AA7F3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A53EA" w:rsidRPr="00020E73" w:rsidRDefault="00AA53EA" w:rsidP="00AA7F3D">
                <w:pPr>
                  <w:tabs>
                    <w:tab w:val="right" w:pos="8838"/>
                  </w:tabs>
                  <w:ind w:left="-108" w:right="171"/>
                  <w:jc w:val="both"/>
                  <w:rPr>
                    <w:rFonts w:ascii="Palatino Linotype" w:eastAsia="Calibri" w:hAnsi="Palatino Linotype" w:cs="Tahoma"/>
                    <w:b/>
                    <w:sz w:val="22"/>
                    <w:szCs w:val="22"/>
                    <w:lang w:val="es-ES" w:eastAsia="en-US"/>
                  </w:rPr>
                </w:pPr>
              </w:p>
            </w:tc>
          </w:tr>
        </w:tbl>
        <w:p w:rsidR="00AA53EA" w:rsidRPr="005C106F" w:rsidRDefault="00AA53EA" w:rsidP="00AA7F3D">
          <w:pPr>
            <w:tabs>
              <w:tab w:val="right" w:pos="8838"/>
            </w:tabs>
            <w:ind w:left="-28"/>
            <w:jc w:val="both"/>
            <w:rPr>
              <w:rFonts w:ascii="Arial" w:eastAsia="Calibri" w:hAnsi="Arial" w:cs="Arial"/>
              <w:b/>
              <w:sz w:val="22"/>
              <w:szCs w:val="22"/>
              <w:lang w:eastAsia="en-US"/>
            </w:rPr>
          </w:pPr>
        </w:p>
      </w:tc>
    </w:tr>
  </w:tbl>
  <w:p w:rsidR="00AA53EA" w:rsidRPr="00443C6B" w:rsidRDefault="00DD541A" w:rsidP="00AA7F3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A53EA" w:rsidRPr="00330DA7" w:rsidTr="00AA7F3D">
      <w:trPr>
        <w:trHeight w:val="1435"/>
      </w:trPr>
      <w:tc>
        <w:tcPr>
          <w:tcW w:w="2268" w:type="dxa"/>
          <w:shd w:val="clear" w:color="auto" w:fill="auto"/>
        </w:tcPr>
        <w:p w:rsidR="00AA53EA" w:rsidRPr="00330DA7" w:rsidRDefault="00AA53EA" w:rsidP="00AA7F3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A53EA" w:rsidRPr="00330DA7" w:rsidTr="00AA7F3D">
            <w:trPr>
              <w:trHeight w:val="144"/>
            </w:trPr>
            <w:tc>
              <w:tcPr>
                <w:tcW w:w="2444" w:type="dxa"/>
                <w:shd w:val="clear" w:color="auto" w:fill="auto"/>
              </w:tcPr>
              <w:p w:rsidR="00AA53EA" w:rsidRPr="00020E73" w:rsidRDefault="00AA53EA" w:rsidP="00AA7F3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AA53EA" w:rsidRPr="00020E73" w:rsidRDefault="00AA53EA" w:rsidP="00AA7F3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03918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AA53EA" w:rsidRPr="00330DA7" w:rsidTr="00AA7F3D">
            <w:trPr>
              <w:trHeight w:val="144"/>
            </w:trPr>
            <w:tc>
              <w:tcPr>
                <w:tcW w:w="2444" w:type="dxa"/>
                <w:shd w:val="clear" w:color="auto" w:fill="auto"/>
              </w:tcPr>
              <w:p w:rsidR="00AA53EA" w:rsidRPr="00020E73" w:rsidRDefault="00AA53EA" w:rsidP="00AA7F3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AA53EA" w:rsidRPr="00020E73" w:rsidRDefault="009E7F98" w:rsidP="00AA7F3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w:t>
                </w:r>
              </w:p>
            </w:tc>
          </w:tr>
          <w:tr w:rsidR="00AA53EA" w:rsidRPr="00330DA7" w:rsidTr="00AA7F3D">
            <w:trPr>
              <w:trHeight w:val="283"/>
            </w:trPr>
            <w:tc>
              <w:tcPr>
                <w:tcW w:w="2444" w:type="dxa"/>
                <w:shd w:val="clear" w:color="auto" w:fill="auto"/>
              </w:tcPr>
              <w:p w:rsidR="00AA53EA" w:rsidRPr="00020E73" w:rsidRDefault="00AA53EA" w:rsidP="00AA7F3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AA53EA" w:rsidRPr="009E7B0A" w:rsidRDefault="00AA53EA" w:rsidP="00AA7F3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Fiscalía General de Justicia del Estado de México</w:t>
                </w:r>
              </w:p>
            </w:tc>
          </w:tr>
          <w:tr w:rsidR="00AA53EA" w:rsidRPr="00330DA7" w:rsidTr="00AA7F3D">
            <w:trPr>
              <w:trHeight w:val="283"/>
            </w:trPr>
            <w:tc>
              <w:tcPr>
                <w:tcW w:w="2444" w:type="dxa"/>
                <w:shd w:val="clear" w:color="auto" w:fill="auto"/>
              </w:tcPr>
              <w:p w:rsidR="00AA53EA" w:rsidRPr="00020E73" w:rsidRDefault="00AA53EA" w:rsidP="00AA7F3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AA53EA" w:rsidRPr="00020E73" w:rsidRDefault="00AA53EA" w:rsidP="00AA7F3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A53EA" w:rsidRPr="00020E73" w:rsidRDefault="00AA53EA" w:rsidP="00AA7F3D">
                <w:pPr>
                  <w:tabs>
                    <w:tab w:val="right" w:pos="8838"/>
                  </w:tabs>
                  <w:ind w:left="-74" w:right="-105"/>
                  <w:jc w:val="both"/>
                  <w:rPr>
                    <w:rFonts w:ascii="Palatino Linotype" w:eastAsia="Calibri" w:hAnsi="Palatino Linotype" w:cs="Tahoma"/>
                    <w:b/>
                    <w:sz w:val="22"/>
                    <w:szCs w:val="22"/>
                    <w:lang w:val="es-ES" w:eastAsia="en-US"/>
                  </w:rPr>
                </w:pPr>
              </w:p>
            </w:tc>
          </w:tr>
        </w:tbl>
        <w:p w:rsidR="00AA53EA" w:rsidRPr="00330DA7" w:rsidRDefault="00AA53EA" w:rsidP="00AA7F3D">
          <w:pPr>
            <w:tabs>
              <w:tab w:val="right" w:pos="8838"/>
            </w:tabs>
            <w:ind w:left="-28"/>
            <w:jc w:val="both"/>
            <w:rPr>
              <w:rFonts w:ascii="Arial" w:eastAsia="Calibri" w:hAnsi="Arial" w:cs="Arial"/>
              <w:b/>
              <w:sz w:val="22"/>
              <w:szCs w:val="22"/>
              <w:lang w:eastAsia="en-US"/>
            </w:rPr>
          </w:pPr>
        </w:p>
      </w:tc>
    </w:tr>
  </w:tbl>
  <w:p w:rsidR="00AA53EA" w:rsidRPr="00827FA0" w:rsidRDefault="00DD541A" w:rsidP="00AA7F3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BB6EE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9455E"/>
    <w:multiLevelType w:val="hybridMultilevel"/>
    <w:tmpl w:val="E732F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A95385"/>
    <w:multiLevelType w:val="hybridMultilevel"/>
    <w:tmpl w:val="CE007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1C5496"/>
    <w:multiLevelType w:val="hybridMultilevel"/>
    <w:tmpl w:val="40706E88"/>
    <w:lvl w:ilvl="0" w:tplc="DB3E73DE">
      <w:start w:val="1"/>
      <w:numFmt w:val="lowerLetter"/>
      <w:lvlText w:val="%1)"/>
      <w:lvlJc w:val="left"/>
      <w:pPr>
        <w:ind w:left="1500" w:hanging="360"/>
      </w:pPr>
      <w:rPr>
        <w:b w:val="0"/>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4CE68B1"/>
    <w:multiLevelType w:val="hybridMultilevel"/>
    <w:tmpl w:val="B7246B4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737DAE"/>
    <w:multiLevelType w:val="hybridMultilevel"/>
    <w:tmpl w:val="CCF44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7E61BC"/>
    <w:multiLevelType w:val="hybridMultilevel"/>
    <w:tmpl w:val="B78AD182"/>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2B56FD"/>
    <w:multiLevelType w:val="hybridMultilevel"/>
    <w:tmpl w:val="E9C0F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0220D4"/>
    <w:multiLevelType w:val="hybridMultilevel"/>
    <w:tmpl w:val="39A4C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C58AB18C"/>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884C07"/>
    <w:multiLevelType w:val="hybridMultilevel"/>
    <w:tmpl w:val="DFF445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D40C2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AA5D73"/>
    <w:multiLevelType w:val="hybridMultilevel"/>
    <w:tmpl w:val="9226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C737F63"/>
    <w:multiLevelType w:val="hybridMultilevel"/>
    <w:tmpl w:val="72D83B30"/>
    <w:lvl w:ilvl="0" w:tplc="F850D97E">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6A731B01"/>
    <w:multiLevelType w:val="hybridMultilevel"/>
    <w:tmpl w:val="6E5E9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3E26B70"/>
    <w:multiLevelType w:val="hybridMultilevel"/>
    <w:tmpl w:val="22125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AD3C3D"/>
    <w:multiLevelType w:val="hybridMultilevel"/>
    <w:tmpl w:val="7714A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7362F1D"/>
    <w:multiLevelType w:val="hybridMultilevel"/>
    <w:tmpl w:val="31E48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8F08F5"/>
    <w:multiLevelType w:val="hybridMultilevel"/>
    <w:tmpl w:val="1610BF1A"/>
    <w:lvl w:ilvl="0" w:tplc="DF14A7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242AAB"/>
    <w:multiLevelType w:val="hybridMultilevel"/>
    <w:tmpl w:val="5630E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0"/>
  </w:num>
  <w:num w:numId="4">
    <w:abstractNumId w:val="2"/>
  </w:num>
  <w:num w:numId="5">
    <w:abstractNumId w:val="18"/>
  </w:num>
  <w:num w:numId="6">
    <w:abstractNumId w:val="9"/>
  </w:num>
  <w:num w:numId="7">
    <w:abstractNumId w:val="8"/>
  </w:num>
  <w:num w:numId="8">
    <w:abstractNumId w:val="12"/>
  </w:num>
  <w:num w:numId="9">
    <w:abstractNumId w:val="1"/>
  </w:num>
  <w:num w:numId="10">
    <w:abstractNumId w:val="19"/>
  </w:num>
  <w:num w:numId="11">
    <w:abstractNumId w:val="7"/>
  </w:num>
  <w:num w:numId="12">
    <w:abstractNumId w:val="22"/>
  </w:num>
  <w:num w:numId="13">
    <w:abstractNumId w:val="17"/>
  </w:num>
  <w:num w:numId="14">
    <w:abstractNumId w:val="15"/>
  </w:num>
  <w:num w:numId="15">
    <w:abstractNumId w:val="4"/>
  </w:num>
  <w:num w:numId="16">
    <w:abstractNumId w:val="14"/>
  </w:num>
  <w:num w:numId="17">
    <w:abstractNumId w:val="0"/>
  </w:num>
  <w:num w:numId="18">
    <w:abstractNumId w:val="5"/>
  </w:num>
  <w:num w:numId="19">
    <w:abstractNumId w:val="11"/>
  </w:num>
  <w:num w:numId="20">
    <w:abstractNumId w:val="23"/>
  </w:num>
  <w:num w:numId="21">
    <w:abstractNumId w:val="21"/>
  </w:num>
  <w:num w:numId="22">
    <w:abstractNumId w:val="6"/>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7F"/>
    <w:rsid w:val="0000017B"/>
    <w:rsid w:val="00007A3C"/>
    <w:rsid w:val="0001674F"/>
    <w:rsid w:val="00017323"/>
    <w:rsid w:val="00022519"/>
    <w:rsid w:val="000255C3"/>
    <w:rsid w:val="00042AE5"/>
    <w:rsid w:val="000B3532"/>
    <w:rsid w:val="000E72B0"/>
    <w:rsid w:val="000F6DC2"/>
    <w:rsid w:val="00114096"/>
    <w:rsid w:val="001170EB"/>
    <w:rsid w:val="001203CF"/>
    <w:rsid w:val="00176834"/>
    <w:rsid w:val="001A51C6"/>
    <w:rsid w:val="001D1871"/>
    <w:rsid w:val="001D7758"/>
    <w:rsid w:val="00214EBE"/>
    <w:rsid w:val="00230781"/>
    <w:rsid w:val="00231A53"/>
    <w:rsid w:val="00242ADE"/>
    <w:rsid w:val="002443A5"/>
    <w:rsid w:val="00246A20"/>
    <w:rsid w:val="0029011B"/>
    <w:rsid w:val="00296046"/>
    <w:rsid w:val="002F75E0"/>
    <w:rsid w:val="00314A49"/>
    <w:rsid w:val="0032151B"/>
    <w:rsid w:val="00330EC3"/>
    <w:rsid w:val="003343C8"/>
    <w:rsid w:val="0034017C"/>
    <w:rsid w:val="00356BB4"/>
    <w:rsid w:val="003935EB"/>
    <w:rsid w:val="003C00B9"/>
    <w:rsid w:val="003F6053"/>
    <w:rsid w:val="00403ED2"/>
    <w:rsid w:val="00405A19"/>
    <w:rsid w:val="00405F4B"/>
    <w:rsid w:val="004A2DB0"/>
    <w:rsid w:val="004A326C"/>
    <w:rsid w:val="004B1526"/>
    <w:rsid w:val="004C669B"/>
    <w:rsid w:val="00504846"/>
    <w:rsid w:val="00506DD7"/>
    <w:rsid w:val="00563BAA"/>
    <w:rsid w:val="00570B43"/>
    <w:rsid w:val="0057530D"/>
    <w:rsid w:val="00583E1D"/>
    <w:rsid w:val="005B1299"/>
    <w:rsid w:val="005B31D6"/>
    <w:rsid w:val="005C34BC"/>
    <w:rsid w:val="005E7EAA"/>
    <w:rsid w:val="005F72C3"/>
    <w:rsid w:val="006117FD"/>
    <w:rsid w:val="006410F0"/>
    <w:rsid w:val="006B0897"/>
    <w:rsid w:val="006C2BB9"/>
    <w:rsid w:val="006D64D4"/>
    <w:rsid w:val="006E0BD9"/>
    <w:rsid w:val="006E5310"/>
    <w:rsid w:val="007110CD"/>
    <w:rsid w:val="0074331D"/>
    <w:rsid w:val="0076643E"/>
    <w:rsid w:val="0078043A"/>
    <w:rsid w:val="0078107F"/>
    <w:rsid w:val="00785E37"/>
    <w:rsid w:val="007A3BAE"/>
    <w:rsid w:val="007C6CDD"/>
    <w:rsid w:val="007E54E6"/>
    <w:rsid w:val="00835EC5"/>
    <w:rsid w:val="008454A7"/>
    <w:rsid w:val="00856E16"/>
    <w:rsid w:val="00861F5D"/>
    <w:rsid w:val="008D6268"/>
    <w:rsid w:val="008F4C9A"/>
    <w:rsid w:val="008F4D47"/>
    <w:rsid w:val="0090367C"/>
    <w:rsid w:val="00915413"/>
    <w:rsid w:val="00921B09"/>
    <w:rsid w:val="00932497"/>
    <w:rsid w:val="00971FB9"/>
    <w:rsid w:val="009E7F98"/>
    <w:rsid w:val="009F0822"/>
    <w:rsid w:val="009F67B8"/>
    <w:rsid w:val="00A3764C"/>
    <w:rsid w:val="00A71930"/>
    <w:rsid w:val="00A943CF"/>
    <w:rsid w:val="00A955BD"/>
    <w:rsid w:val="00AA53EA"/>
    <w:rsid w:val="00AA7F3D"/>
    <w:rsid w:val="00AB1C8F"/>
    <w:rsid w:val="00AB7B7D"/>
    <w:rsid w:val="00AD1A9C"/>
    <w:rsid w:val="00AE0B0E"/>
    <w:rsid w:val="00B07288"/>
    <w:rsid w:val="00B26B94"/>
    <w:rsid w:val="00B34C01"/>
    <w:rsid w:val="00B34D32"/>
    <w:rsid w:val="00B4281D"/>
    <w:rsid w:val="00B45D1E"/>
    <w:rsid w:val="00B47A2F"/>
    <w:rsid w:val="00B549A2"/>
    <w:rsid w:val="00B7018E"/>
    <w:rsid w:val="00B901C4"/>
    <w:rsid w:val="00BC07A2"/>
    <w:rsid w:val="00BE2E15"/>
    <w:rsid w:val="00BE54C4"/>
    <w:rsid w:val="00BF08EF"/>
    <w:rsid w:val="00C341CF"/>
    <w:rsid w:val="00C47188"/>
    <w:rsid w:val="00C75469"/>
    <w:rsid w:val="00C80E38"/>
    <w:rsid w:val="00CA77A9"/>
    <w:rsid w:val="00CB313F"/>
    <w:rsid w:val="00CD6239"/>
    <w:rsid w:val="00D212C6"/>
    <w:rsid w:val="00D2729D"/>
    <w:rsid w:val="00D709DB"/>
    <w:rsid w:val="00D81096"/>
    <w:rsid w:val="00D874EE"/>
    <w:rsid w:val="00DA3437"/>
    <w:rsid w:val="00DA48C9"/>
    <w:rsid w:val="00DD05B4"/>
    <w:rsid w:val="00DD541A"/>
    <w:rsid w:val="00DF3EFA"/>
    <w:rsid w:val="00DF654A"/>
    <w:rsid w:val="00E04F0D"/>
    <w:rsid w:val="00E1143B"/>
    <w:rsid w:val="00E23D5A"/>
    <w:rsid w:val="00E410DA"/>
    <w:rsid w:val="00E50E78"/>
    <w:rsid w:val="00E620A4"/>
    <w:rsid w:val="00E64121"/>
    <w:rsid w:val="00E74E48"/>
    <w:rsid w:val="00E8691C"/>
    <w:rsid w:val="00EA4BB7"/>
    <w:rsid w:val="00EB0592"/>
    <w:rsid w:val="00EB14E7"/>
    <w:rsid w:val="00EC2B48"/>
    <w:rsid w:val="00EE520C"/>
    <w:rsid w:val="00F25A96"/>
    <w:rsid w:val="00F5681E"/>
    <w:rsid w:val="00F62627"/>
    <w:rsid w:val="00F626CA"/>
    <w:rsid w:val="00F7224C"/>
    <w:rsid w:val="00F7683A"/>
    <w:rsid w:val="00F83849"/>
    <w:rsid w:val="00F96D0A"/>
    <w:rsid w:val="00FB2C31"/>
    <w:rsid w:val="00FD24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D49D142-5619-491C-BB78-E8F2003B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07F"/>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AA7F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A7F3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107F"/>
    <w:pPr>
      <w:tabs>
        <w:tab w:val="center" w:pos="4419"/>
        <w:tab w:val="right" w:pos="8838"/>
      </w:tabs>
    </w:pPr>
  </w:style>
  <w:style w:type="character" w:customStyle="1" w:styleId="EncabezadoCar">
    <w:name w:val="Encabezado Car"/>
    <w:basedOn w:val="Fuentedeprrafopredeter"/>
    <w:link w:val="Encabezado"/>
    <w:uiPriority w:val="99"/>
    <w:rsid w:val="0078107F"/>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8107F"/>
    <w:pPr>
      <w:tabs>
        <w:tab w:val="center" w:pos="4419"/>
        <w:tab w:val="right" w:pos="8838"/>
      </w:tabs>
    </w:pPr>
  </w:style>
  <w:style w:type="character" w:customStyle="1" w:styleId="PiedepginaCar">
    <w:name w:val="Pie de página Car"/>
    <w:basedOn w:val="Fuentedeprrafopredeter"/>
    <w:link w:val="Piedepgina"/>
    <w:uiPriority w:val="99"/>
    <w:rsid w:val="0078107F"/>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107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8107F"/>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8107F"/>
    <w:rPr>
      <w:color w:val="0563C1"/>
      <w:u w:val="single"/>
    </w:rPr>
  </w:style>
  <w:style w:type="paragraph" w:styleId="Sinespaciado">
    <w:name w:val="No Spacing"/>
    <w:aliases w:val="Francesa,INAI"/>
    <w:link w:val="SinespaciadoCar"/>
    <w:uiPriority w:val="1"/>
    <w:qFormat/>
    <w:rsid w:val="0078107F"/>
    <w:pPr>
      <w:spacing w:after="0" w:line="240" w:lineRule="auto"/>
    </w:pPr>
    <w:rPr>
      <w:lang w:val="es-MX"/>
    </w:rPr>
  </w:style>
  <w:style w:type="character" w:customStyle="1" w:styleId="SinespaciadoCar">
    <w:name w:val="Sin espaciado Car"/>
    <w:aliases w:val="Francesa Car,INAI Car"/>
    <w:link w:val="Sinespaciado"/>
    <w:uiPriority w:val="1"/>
    <w:locked/>
    <w:rsid w:val="0078107F"/>
    <w:rPr>
      <w:lang w:val="es-MX"/>
    </w:rPr>
  </w:style>
  <w:style w:type="paragraph" w:styleId="TDC1">
    <w:name w:val="toc 1"/>
    <w:basedOn w:val="Normal"/>
    <w:next w:val="Normal"/>
    <w:autoRedefine/>
    <w:uiPriority w:val="39"/>
    <w:unhideWhenUsed/>
    <w:rsid w:val="0078107F"/>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8107F"/>
    <w:pPr>
      <w:tabs>
        <w:tab w:val="right" w:leader="dot" w:pos="8637"/>
      </w:tabs>
      <w:spacing w:line="480" w:lineRule="auto"/>
    </w:pPr>
    <w:rPr>
      <w:rFonts w:asciiTheme="minorHAnsi" w:eastAsiaTheme="minorHAnsi" w:hAnsiTheme="minorHAnsi" w:cstheme="minorBidi"/>
      <w:sz w:val="22"/>
      <w:szCs w:val="22"/>
      <w:lang w:eastAsia="en-US"/>
    </w:rPr>
  </w:style>
  <w:style w:type="paragraph" w:customStyle="1" w:styleId="Default">
    <w:name w:val="Default"/>
    <w:rsid w:val="0078107F"/>
    <w:pPr>
      <w:autoSpaceDE w:val="0"/>
      <w:autoSpaceDN w:val="0"/>
      <w:adjustRightInd w:val="0"/>
      <w:spacing w:after="0" w:line="240" w:lineRule="auto"/>
    </w:pPr>
    <w:rPr>
      <w:rFonts w:ascii="Arial" w:hAnsi="Arial" w:cs="Arial"/>
      <w:color w:val="000000"/>
      <w:sz w:val="24"/>
      <w:szCs w:val="24"/>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0EC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0EC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30EC3"/>
    <w:rPr>
      <w:sz w:val="20"/>
      <w:szCs w:val="20"/>
      <w:lang w:val="es-MX"/>
    </w:rPr>
  </w:style>
  <w:style w:type="character" w:customStyle="1" w:styleId="Ttulo1Car">
    <w:name w:val="Título 1 Car"/>
    <w:basedOn w:val="Fuentedeprrafopredeter"/>
    <w:link w:val="Ttulo1"/>
    <w:uiPriority w:val="9"/>
    <w:rsid w:val="00AA7F3D"/>
    <w:rPr>
      <w:rFonts w:asciiTheme="majorHAnsi" w:eastAsiaTheme="majorEastAsia" w:hAnsiTheme="majorHAnsi" w:cstheme="majorBidi"/>
      <w:color w:val="2E74B5" w:themeColor="accent1" w:themeShade="BF"/>
      <w:sz w:val="32"/>
      <w:szCs w:val="32"/>
      <w:lang w:val="es-MX" w:eastAsia="es-MX"/>
    </w:rPr>
  </w:style>
  <w:style w:type="character" w:customStyle="1" w:styleId="apple-converted-space">
    <w:name w:val="apple-converted-space"/>
    <w:basedOn w:val="Fuentedeprrafopredeter"/>
    <w:qFormat/>
    <w:rsid w:val="00AA7F3D"/>
  </w:style>
  <w:style w:type="table" w:styleId="Tablaconcuadrcula">
    <w:name w:val="Table Grid"/>
    <w:basedOn w:val="Tablanormal"/>
    <w:uiPriority w:val="39"/>
    <w:rsid w:val="00AA7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A7F3D"/>
    <w:rPr>
      <w:rFonts w:asciiTheme="majorHAnsi" w:eastAsiaTheme="majorEastAsia" w:hAnsiTheme="majorHAnsi" w:cstheme="majorBidi"/>
      <w:color w:val="2E74B5" w:themeColor="accent1" w:themeShade="BF"/>
      <w:sz w:val="26"/>
      <w:szCs w:val="26"/>
      <w:lang w:val="es-MX" w:eastAsia="es-MX"/>
    </w:rPr>
  </w:style>
  <w:style w:type="paragraph" w:styleId="Textodeglobo">
    <w:name w:val="Balloon Text"/>
    <w:basedOn w:val="Normal"/>
    <w:link w:val="TextodegloboCar"/>
    <w:uiPriority w:val="99"/>
    <w:semiHidden/>
    <w:unhideWhenUsed/>
    <w:rsid w:val="006C2B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2BB9"/>
    <w:rPr>
      <w:rFonts w:ascii="Segoe UI" w:eastAsia="Times New Roman" w:hAnsi="Segoe UI" w:cs="Segoe UI"/>
      <w:sz w:val="18"/>
      <w:szCs w:val="18"/>
      <w:lang w:val="es-MX" w:eastAsia="es-MX"/>
    </w:rPr>
  </w:style>
  <w:style w:type="paragraph" w:styleId="Textonotaalfinal">
    <w:name w:val="endnote text"/>
    <w:basedOn w:val="Normal"/>
    <w:link w:val="TextonotaalfinalCar"/>
    <w:uiPriority w:val="99"/>
    <w:semiHidden/>
    <w:unhideWhenUsed/>
    <w:rsid w:val="006E0BD9"/>
    <w:rPr>
      <w:sz w:val="20"/>
      <w:szCs w:val="20"/>
    </w:rPr>
  </w:style>
  <w:style w:type="character" w:customStyle="1" w:styleId="TextonotaalfinalCar">
    <w:name w:val="Texto nota al final Car"/>
    <w:basedOn w:val="Fuentedeprrafopredeter"/>
    <w:link w:val="Textonotaalfinal"/>
    <w:uiPriority w:val="99"/>
    <w:semiHidden/>
    <w:rsid w:val="006E0BD9"/>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6E0BD9"/>
    <w:rPr>
      <w:vertAlign w:val="superscript"/>
    </w:rPr>
  </w:style>
  <w:style w:type="character" w:styleId="Hipervnculovisitado">
    <w:name w:val="FollowedHyperlink"/>
    <w:basedOn w:val="Fuentedeprrafopredeter"/>
    <w:uiPriority w:val="99"/>
    <w:semiHidden/>
    <w:unhideWhenUsed/>
    <w:rsid w:val="006E0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98125">
      <w:bodyDiv w:val="1"/>
      <w:marLeft w:val="0"/>
      <w:marRight w:val="0"/>
      <w:marTop w:val="0"/>
      <w:marBottom w:val="0"/>
      <w:divBdr>
        <w:top w:val="none" w:sz="0" w:space="0" w:color="auto"/>
        <w:left w:val="none" w:sz="0" w:space="0" w:color="auto"/>
        <w:bottom w:val="none" w:sz="0" w:space="0" w:color="auto"/>
        <w:right w:val="none" w:sz="0" w:space="0" w:color="auto"/>
      </w:divBdr>
    </w:div>
    <w:div w:id="1286816925">
      <w:bodyDiv w:val="1"/>
      <w:marLeft w:val="0"/>
      <w:marRight w:val="0"/>
      <w:marTop w:val="0"/>
      <w:marBottom w:val="0"/>
      <w:divBdr>
        <w:top w:val="none" w:sz="0" w:space="0" w:color="auto"/>
        <w:left w:val="none" w:sz="0" w:space="0" w:color="auto"/>
        <w:bottom w:val="none" w:sz="0" w:space="0" w:color="auto"/>
        <w:right w:val="none" w:sz="0" w:space="0" w:color="auto"/>
      </w:divBdr>
    </w:div>
    <w:div w:id="1952391334">
      <w:bodyDiv w:val="1"/>
      <w:marLeft w:val="0"/>
      <w:marRight w:val="0"/>
      <w:marTop w:val="0"/>
      <w:marBottom w:val="0"/>
      <w:divBdr>
        <w:top w:val="none" w:sz="0" w:space="0" w:color="auto"/>
        <w:left w:val="none" w:sz="0" w:space="0" w:color="auto"/>
        <w:bottom w:val="none" w:sz="0" w:space="0" w:color="auto"/>
        <w:right w:val="none" w:sz="0" w:space="0" w:color="auto"/>
      </w:divBdr>
      <w:divsChild>
        <w:div w:id="15667237">
          <w:marLeft w:val="864"/>
          <w:marRight w:val="0"/>
          <w:marTop w:val="0"/>
          <w:marBottom w:val="101"/>
          <w:divBdr>
            <w:top w:val="none" w:sz="0" w:space="0" w:color="auto"/>
            <w:left w:val="none" w:sz="0" w:space="0" w:color="auto"/>
            <w:bottom w:val="none" w:sz="0" w:space="0" w:color="auto"/>
            <w:right w:val="none" w:sz="0" w:space="0" w:color="auto"/>
          </w:divBdr>
        </w:div>
        <w:div w:id="1327634831">
          <w:marLeft w:val="0"/>
          <w:marRight w:val="0"/>
          <w:marTop w:val="0"/>
          <w:marBottom w:val="101"/>
          <w:divBdr>
            <w:top w:val="none" w:sz="0" w:space="0" w:color="auto"/>
            <w:left w:val="none" w:sz="0" w:space="0" w:color="auto"/>
            <w:bottom w:val="none" w:sz="0" w:space="0" w:color="auto"/>
            <w:right w:val="none" w:sz="0" w:space="0" w:color="auto"/>
          </w:divBdr>
        </w:div>
        <w:div w:id="1857503432">
          <w:marLeft w:val="0"/>
          <w:marRight w:val="0"/>
          <w:marTop w:val="0"/>
          <w:marBottom w:val="101"/>
          <w:divBdr>
            <w:top w:val="none" w:sz="0" w:space="0" w:color="auto"/>
            <w:left w:val="none" w:sz="0" w:space="0" w:color="auto"/>
            <w:bottom w:val="none" w:sz="0" w:space="0" w:color="auto"/>
            <w:right w:val="none" w:sz="0" w:space="0" w:color="auto"/>
          </w:divBdr>
        </w:div>
        <w:div w:id="1863860095">
          <w:marLeft w:val="864"/>
          <w:marRight w:val="0"/>
          <w:marTop w:val="0"/>
          <w:marBottom w:val="101"/>
          <w:divBdr>
            <w:top w:val="none" w:sz="0" w:space="0" w:color="auto"/>
            <w:left w:val="none" w:sz="0" w:space="0" w:color="auto"/>
            <w:bottom w:val="none" w:sz="0" w:space="0" w:color="auto"/>
            <w:right w:val="none" w:sz="0" w:space="0" w:color="auto"/>
          </w:divBdr>
        </w:div>
        <w:div w:id="2064478562">
          <w:marLeft w:val="864"/>
          <w:marRight w:val="0"/>
          <w:marTop w:val="0"/>
          <w:marBottom w:val="101"/>
          <w:divBdr>
            <w:top w:val="none" w:sz="0" w:space="0" w:color="auto"/>
            <w:left w:val="none" w:sz="0" w:space="0" w:color="auto"/>
            <w:bottom w:val="none" w:sz="0" w:space="0" w:color="auto"/>
            <w:right w:val="none" w:sz="0" w:space="0" w:color="auto"/>
          </w:divBdr>
        </w:div>
        <w:div w:id="2137065903">
          <w:marLeft w:val="864"/>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194550.page"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1194549.pag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81606.pag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corteidh.or.cr/docs/casos/articulos/seriec_238_esp.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181605.page"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FAI1.pdf" TargetMode="External"/><Relationship Id="rId2" Type="http://schemas.openxmlformats.org/officeDocument/2006/relationships/hyperlink" Target="http://legislacion.edomex.gob.mx/sites/legislacion.edomex.gob.mx/files/files/pdf/gct/2018/may033.pdf" TargetMode="External"/><Relationship Id="rId1" Type="http://schemas.openxmlformats.org/officeDocument/2006/relationships/hyperlink" Target="http://legislacion.edomex.gob.mx/sites/legislacion.edomex.gob.mx/files/files/pdf/gct/2016/jun17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687ED-16FE-421C-A2CF-B039418D8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16004</Words>
  <Characters>88027</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2021-10-28T23:02:00Z</cp:lastPrinted>
  <dcterms:created xsi:type="dcterms:W3CDTF">2021-11-04T00:33:00Z</dcterms:created>
  <dcterms:modified xsi:type="dcterms:W3CDTF">2021-11-04T00:33:00Z</dcterms:modified>
</cp:coreProperties>
</file>