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650" w:rsidRPr="0024200F" w:rsidRDefault="00203650" w:rsidP="0072196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304583">
        <w:rPr>
          <w:rFonts w:ascii="Palatino Linotype" w:hAnsi="Palatino Linotype"/>
        </w:rPr>
        <w:t xml:space="preserve"> </w:t>
      </w:r>
      <w:r w:rsidR="00467795">
        <w:rPr>
          <w:rFonts w:ascii="Palatino Linotype" w:hAnsi="Palatino Linotype"/>
        </w:rPr>
        <w:t>catorce</w:t>
      </w:r>
      <w:r w:rsidR="00304583">
        <w:rPr>
          <w:rFonts w:ascii="Palatino Linotype" w:hAnsi="Palatino Linotype"/>
        </w:rPr>
        <w:t xml:space="preserve"> de julio </w:t>
      </w:r>
      <w:r>
        <w:rPr>
          <w:rFonts w:ascii="Palatino Linotype" w:hAnsi="Palatino Linotype"/>
        </w:rPr>
        <w:t>de dos mil veintiuno</w:t>
      </w:r>
      <w:r w:rsidRPr="0024200F">
        <w:rPr>
          <w:rFonts w:ascii="Palatino Linotype" w:hAnsi="Palatino Linotype"/>
        </w:rPr>
        <w:t>.</w:t>
      </w:r>
    </w:p>
    <w:p w:rsidR="00203650" w:rsidRPr="0024200F" w:rsidRDefault="00203650" w:rsidP="0072196A">
      <w:pPr>
        <w:spacing w:line="360" w:lineRule="auto"/>
        <w:jc w:val="both"/>
        <w:rPr>
          <w:rFonts w:ascii="Palatino Linotype" w:hAnsi="Palatino Linotype"/>
        </w:rPr>
      </w:pPr>
    </w:p>
    <w:p w:rsidR="00203650" w:rsidRPr="0024200F" w:rsidRDefault="00203650" w:rsidP="0072196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bookmarkStart w:id="0" w:name="_GoBack"/>
      <w:bookmarkEnd w:id="0"/>
      <w:r w:rsidRPr="0024200F">
        <w:rPr>
          <w:rFonts w:ascii="Palatino Linotype" w:hAnsi="Palatino Linotype"/>
          <w:b/>
        </w:rPr>
        <w:t>0</w:t>
      </w:r>
      <w:r>
        <w:rPr>
          <w:rFonts w:ascii="Palatino Linotype" w:hAnsi="Palatino Linotype"/>
          <w:b/>
        </w:rPr>
        <w:t xml:space="preserve">2470/INFOEM/IP/RR/2021 </w:t>
      </w:r>
      <w:r w:rsidRPr="0024200F">
        <w:rPr>
          <w:rFonts w:ascii="Palatino Linotype" w:hAnsi="Palatino Linotype"/>
        </w:rPr>
        <w:t>promovido por</w:t>
      </w:r>
      <w:r>
        <w:rPr>
          <w:rFonts w:ascii="Palatino Linotype" w:hAnsi="Palatino Linotype"/>
        </w:rPr>
        <w:t xml:space="preserve"> un particular que al momento de ingresar la solicitud de información y de interponer el recurso de revisión, no señalo nombre o seudónimo con el cual desee ser identificado,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203650">
        <w:rPr>
          <w:rFonts w:ascii="Palatino Linotype" w:hAnsi="Palatino Linotype"/>
          <w:b/>
        </w:rPr>
        <w:t>Organismo Público Descentralizado para la Prestación de Los Servicios de Agua Potable Alcantarillado y Saneamiento del Municipio de Metepec</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203650" w:rsidRPr="002478BC" w:rsidRDefault="00203650" w:rsidP="0072196A">
      <w:pPr>
        <w:spacing w:line="360" w:lineRule="auto"/>
        <w:jc w:val="center"/>
        <w:rPr>
          <w:rFonts w:ascii="Palatino Linotype" w:hAnsi="Palatino Linotype"/>
          <w:b/>
          <w:bCs/>
          <w:spacing w:val="60"/>
          <w:lang w:val="es-ES_tradnl"/>
        </w:rPr>
      </w:pPr>
    </w:p>
    <w:p w:rsidR="00203650" w:rsidRPr="0024200F" w:rsidRDefault="00203650" w:rsidP="0072196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203650" w:rsidRPr="0024200F" w:rsidRDefault="00203650" w:rsidP="0072196A">
      <w:pPr>
        <w:spacing w:line="360" w:lineRule="auto"/>
        <w:jc w:val="center"/>
        <w:rPr>
          <w:rFonts w:ascii="Palatino Linotype" w:hAnsi="Palatino Linotype"/>
          <w:b/>
          <w:bCs/>
          <w:spacing w:val="60"/>
          <w:lang w:val="es-ES_tradnl"/>
        </w:rPr>
      </w:pPr>
    </w:p>
    <w:p w:rsidR="00203650" w:rsidRPr="0024200F" w:rsidRDefault="00203650" w:rsidP="0072196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cinco de abril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203650">
        <w:rPr>
          <w:rFonts w:ascii="Palatino Linotype" w:hAnsi="Palatino Linotype"/>
          <w:b/>
          <w:bCs/>
        </w:rPr>
        <w:t>00008/OASMETEPEC/IP/2021</w:t>
      </w:r>
      <w:r w:rsidRPr="00896769">
        <w:rPr>
          <w:rFonts w:ascii="Palatino Linotype" w:hAnsi="Palatino Linotype"/>
          <w:bCs/>
        </w:rPr>
        <w:t xml:space="preserve"> </w:t>
      </w:r>
      <w:r w:rsidRPr="0024200F">
        <w:rPr>
          <w:rFonts w:ascii="Palatino Linotype" w:hAnsi="Palatino Linotype"/>
        </w:rPr>
        <w:t>mediante la cual solicitó, lo siguiente:</w:t>
      </w:r>
    </w:p>
    <w:p w:rsidR="00203650" w:rsidRDefault="00203650" w:rsidP="0072196A">
      <w:pPr>
        <w:spacing w:line="360" w:lineRule="auto"/>
        <w:jc w:val="both"/>
        <w:rPr>
          <w:rFonts w:ascii="Palatino Linotype" w:hAnsi="Palatino Linotype" w:cs="Arial"/>
        </w:rPr>
      </w:pPr>
    </w:p>
    <w:p w:rsidR="00203650" w:rsidRPr="00157DDD" w:rsidRDefault="00203650" w:rsidP="0072196A">
      <w:pPr>
        <w:ind w:left="567" w:right="616"/>
        <w:jc w:val="both"/>
        <w:rPr>
          <w:rFonts w:ascii="Palatino Linotype" w:hAnsi="Palatino Linotype"/>
          <w:bCs/>
          <w:i/>
          <w:sz w:val="22"/>
        </w:rPr>
      </w:pPr>
      <w:r w:rsidRPr="00157DDD">
        <w:rPr>
          <w:rFonts w:ascii="Palatino Linotype" w:hAnsi="Palatino Linotype"/>
          <w:bCs/>
          <w:i/>
          <w:sz w:val="22"/>
        </w:rPr>
        <w:lastRenderedPageBreak/>
        <w:t>“</w:t>
      </w:r>
      <w:r w:rsidRPr="00203650">
        <w:rPr>
          <w:rFonts w:ascii="Palatino Linotype" w:hAnsi="Palatino Linotype"/>
          <w:bCs/>
          <w:i/>
          <w:sz w:val="22"/>
        </w:rPr>
        <w:t>Informe marca y modelo de los vehículos asignados a personal (directivo, operativo, de confianza o sindicalizado) asignado al personal, así como los consumos de gasolina (anual) de cada vehículo. Del mismo modo informe sobre los equipos telefónicos (celulares): y números telefónicos, a quienes están asignados (nombre y cargo), así como la relación de las llamadas realizadas de dichos teléfonos oficiales</w:t>
      </w:r>
      <w:r>
        <w:rPr>
          <w:rFonts w:ascii="Palatino Linotype" w:hAnsi="Palatino Linotype"/>
          <w:bCs/>
          <w:i/>
          <w:sz w:val="22"/>
        </w:rPr>
        <w:t>”</w:t>
      </w:r>
    </w:p>
    <w:p w:rsidR="00203650" w:rsidRPr="00B02F4C" w:rsidRDefault="00203650" w:rsidP="0072196A">
      <w:pPr>
        <w:spacing w:line="360" w:lineRule="auto"/>
        <w:ind w:left="567" w:right="616"/>
        <w:jc w:val="both"/>
        <w:rPr>
          <w:rFonts w:ascii="Palatino Linotype" w:hAnsi="Palatino Linotype"/>
          <w:bCs/>
        </w:rPr>
      </w:pPr>
    </w:p>
    <w:p w:rsidR="00203650" w:rsidRDefault="00203650" w:rsidP="0072196A">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203650" w:rsidRDefault="00203650" w:rsidP="0072196A">
      <w:pPr>
        <w:spacing w:line="360" w:lineRule="auto"/>
        <w:jc w:val="both"/>
        <w:rPr>
          <w:rFonts w:ascii="Palatino Linotype" w:hAnsi="Palatino Linotype"/>
          <w:szCs w:val="28"/>
          <w:lang w:val="es-MX"/>
        </w:rPr>
      </w:pPr>
    </w:p>
    <w:p w:rsidR="00203650" w:rsidRDefault="00203650" w:rsidP="0072196A">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veintiséis de abril de dos mil veintiuno,</w:t>
      </w:r>
      <w:r w:rsidRPr="0024200F">
        <w:rPr>
          <w:rFonts w:ascii="Palatino Linotype" w:hAnsi="Palatino Linotype"/>
        </w:rPr>
        <w:t xml:space="preserve"> en </w:t>
      </w:r>
      <w:r>
        <w:rPr>
          <w:rFonts w:ascii="Palatino Linotype" w:hAnsi="Palatino Linotype"/>
        </w:rPr>
        <w:t>los términos siguientes:</w:t>
      </w:r>
    </w:p>
    <w:p w:rsidR="00203650" w:rsidRDefault="00203650" w:rsidP="0072196A">
      <w:pPr>
        <w:spacing w:line="360" w:lineRule="auto"/>
        <w:jc w:val="both"/>
        <w:rPr>
          <w:rFonts w:ascii="Palatino Linotype" w:hAnsi="Palatino Linotype"/>
        </w:rPr>
      </w:pPr>
    </w:p>
    <w:p w:rsidR="00203650" w:rsidRDefault="00203650" w:rsidP="0072196A">
      <w:pPr>
        <w:ind w:left="567" w:right="616"/>
        <w:jc w:val="both"/>
        <w:rPr>
          <w:rFonts w:ascii="Palatino Linotype" w:hAnsi="Palatino Linotype"/>
          <w:bCs/>
          <w:i/>
          <w:sz w:val="22"/>
        </w:rPr>
      </w:pPr>
      <w:r w:rsidRPr="00157DDD">
        <w:rPr>
          <w:rFonts w:ascii="Palatino Linotype" w:hAnsi="Palatino Linotype"/>
          <w:bCs/>
          <w:i/>
          <w:sz w:val="22"/>
        </w:rPr>
        <w:t>“</w:t>
      </w:r>
      <w:r w:rsidRPr="00203650">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03650" w:rsidRPr="00203650" w:rsidRDefault="00203650" w:rsidP="0072196A">
      <w:pPr>
        <w:ind w:left="567" w:right="616"/>
        <w:jc w:val="both"/>
        <w:rPr>
          <w:rFonts w:ascii="Palatino Linotype" w:hAnsi="Palatino Linotype"/>
          <w:bCs/>
          <w:i/>
          <w:sz w:val="22"/>
        </w:rPr>
      </w:pPr>
    </w:p>
    <w:p w:rsidR="00203650" w:rsidRPr="00157DDD" w:rsidRDefault="00203650" w:rsidP="0072196A">
      <w:pPr>
        <w:ind w:left="567" w:right="616"/>
        <w:jc w:val="both"/>
        <w:rPr>
          <w:rFonts w:ascii="Palatino Linotype" w:hAnsi="Palatino Linotype"/>
          <w:bCs/>
          <w:i/>
          <w:sz w:val="22"/>
        </w:rPr>
      </w:pPr>
      <w:r w:rsidRPr="00203650">
        <w:rPr>
          <w:rFonts w:ascii="Palatino Linotype" w:hAnsi="Palatino Linotype"/>
          <w:bCs/>
          <w:i/>
          <w:sz w:val="22"/>
        </w:rPr>
        <w:t>SE ANEXA RESPUESTA A LA SOLICITUD.</w:t>
      </w:r>
      <w:r>
        <w:rPr>
          <w:rFonts w:ascii="Palatino Linotype" w:hAnsi="Palatino Linotype"/>
          <w:bCs/>
          <w:i/>
          <w:sz w:val="22"/>
        </w:rPr>
        <w:t>”</w:t>
      </w:r>
    </w:p>
    <w:p w:rsidR="00203650" w:rsidRDefault="00203650" w:rsidP="0072196A">
      <w:pPr>
        <w:spacing w:line="360" w:lineRule="auto"/>
        <w:ind w:right="616"/>
        <w:jc w:val="both"/>
        <w:rPr>
          <w:rFonts w:ascii="Palatino Linotype" w:hAnsi="Palatino Linotype"/>
          <w:bCs/>
        </w:rPr>
      </w:pPr>
    </w:p>
    <w:p w:rsidR="00203650" w:rsidRDefault="00203650" w:rsidP="0072196A">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00EB671D" w:rsidRPr="00EB671D">
        <w:rPr>
          <w:rFonts w:ascii="Palatino Linotype" w:hAnsi="Palatino Linotype"/>
          <w:bCs/>
        </w:rPr>
        <w:t>RESPUESTA SOLICITUD 08.pdf</w:t>
      </w:r>
      <w:r>
        <w:rPr>
          <w:rFonts w:ascii="Palatino Linotype" w:hAnsi="Palatino Linotype"/>
          <w:bCs/>
        </w:rPr>
        <w:t>”, que al ser del conocimiento de las partes no se inserta en este apartado, en obvio de repeticiones innecesarias, máxime que serán objeto de estudio en párrafos posteriores.</w:t>
      </w:r>
    </w:p>
    <w:p w:rsidR="00C34CB4" w:rsidRDefault="00C34CB4" w:rsidP="0072196A">
      <w:pPr>
        <w:spacing w:line="360" w:lineRule="auto"/>
        <w:ind w:right="616"/>
        <w:jc w:val="both"/>
        <w:rPr>
          <w:rFonts w:ascii="Palatino Linotype" w:hAnsi="Palatino Linotype"/>
          <w:bCs/>
        </w:rPr>
      </w:pPr>
    </w:p>
    <w:p w:rsidR="00203650" w:rsidRDefault="00203650" w:rsidP="0072196A">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EB671D">
        <w:rPr>
          <w:rFonts w:ascii="Palatino Linotype" w:hAnsi="Palatino Linotype" w:cs="Arial"/>
        </w:rPr>
        <w:t>veintisiete</w:t>
      </w:r>
      <w:r>
        <w:rPr>
          <w:rFonts w:ascii="Palatino Linotype" w:hAnsi="Palatino Linotype" w:cs="Arial"/>
        </w:rPr>
        <w:t xml:space="preserve"> de abril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EB671D">
        <w:rPr>
          <w:rFonts w:ascii="Palatino Linotype" w:hAnsi="Palatino Linotype"/>
          <w:b/>
        </w:rPr>
        <w:t>2470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203650" w:rsidRDefault="00203650" w:rsidP="0072196A">
      <w:pPr>
        <w:spacing w:line="276" w:lineRule="auto"/>
        <w:ind w:right="616"/>
        <w:jc w:val="both"/>
        <w:rPr>
          <w:rFonts w:ascii="Palatino Linotype" w:hAnsi="Palatino Linotype"/>
        </w:rPr>
      </w:pPr>
      <w:r>
        <w:rPr>
          <w:rFonts w:ascii="Palatino Linotype" w:hAnsi="Palatino Linotype"/>
          <w:b/>
        </w:rPr>
        <w:lastRenderedPageBreak/>
        <w:t xml:space="preserve">Acto Impugnado: </w:t>
      </w:r>
    </w:p>
    <w:p w:rsidR="00203650" w:rsidRPr="00807CDA" w:rsidRDefault="00203650" w:rsidP="0072196A">
      <w:pPr>
        <w:spacing w:line="276" w:lineRule="auto"/>
        <w:ind w:right="616"/>
        <w:jc w:val="both"/>
        <w:rPr>
          <w:rFonts w:ascii="Palatino Linotype" w:hAnsi="Palatino Linotype"/>
        </w:rPr>
      </w:pPr>
    </w:p>
    <w:p w:rsidR="00203650" w:rsidRPr="00591A86" w:rsidRDefault="00203650" w:rsidP="0072196A">
      <w:pPr>
        <w:spacing w:line="276" w:lineRule="auto"/>
        <w:ind w:left="567" w:right="616"/>
        <w:jc w:val="both"/>
        <w:rPr>
          <w:rFonts w:ascii="Palatino Linotype" w:hAnsi="Palatino Linotype"/>
          <w:i/>
        </w:rPr>
      </w:pPr>
      <w:r>
        <w:rPr>
          <w:rFonts w:ascii="Palatino Linotype" w:hAnsi="Palatino Linotype"/>
          <w:i/>
        </w:rPr>
        <w:t>“</w:t>
      </w:r>
      <w:r w:rsidR="00EB671D" w:rsidRPr="00EB671D">
        <w:rPr>
          <w:rFonts w:ascii="Palatino Linotype" w:hAnsi="Palatino Linotype"/>
          <w:i/>
        </w:rPr>
        <w:t>la respuesta dada por Opdapas metepec a mi solicitud, al ser insuficiente, incompleta y manipulada</w:t>
      </w:r>
      <w:r>
        <w:rPr>
          <w:rFonts w:ascii="Palatino Linotype" w:hAnsi="Palatino Linotype"/>
          <w:i/>
        </w:rPr>
        <w:t>” (sic)</w:t>
      </w:r>
    </w:p>
    <w:p w:rsidR="00203650" w:rsidRDefault="00203650" w:rsidP="0072196A">
      <w:pPr>
        <w:spacing w:line="276" w:lineRule="auto"/>
        <w:ind w:right="616"/>
        <w:jc w:val="both"/>
        <w:rPr>
          <w:rFonts w:ascii="Palatino Linotype" w:hAnsi="Palatino Linotype"/>
          <w:b/>
        </w:rPr>
      </w:pPr>
    </w:p>
    <w:p w:rsidR="00203650" w:rsidRDefault="00203650" w:rsidP="0072196A">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EB671D" w:rsidRDefault="00EB671D" w:rsidP="0072196A">
      <w:pPr>
        <w:spacing w:line="276" w:lineRule="auto"/>
        <w:ind w:right="616"/>
        <w:jc w:val="both"/>
        <w:rPr>
          <w:rFonts w:ascii="Palatino Linotype" w:hAnsi="Palatino Linotype"/>
          <w:b/>
        </w:rPr>
      </w:pPr>
    </w:p>
    <w:p w:rsidR="00203650" w:rsidRPr="00591A86" w:rsidRDefault="00203650" w:rsidP="0072196A">
      <w:pPr>
        <w:spacing w:line="276" w:lineRule="auto"/>
        <w:ind w:left="567" w:right="616"/>
        <w:jc w:val="both"/>
        <w:rPr>
          <w:rFonts w:ascii="Palatino Linotype" w:hAnsi="Palatino Linotype"/>
          <w:i/>
        </w:rPr>
      </w:pPr>
      <w:r w:rsidRPr="00591A86">
        <w:rPr>
          <w:rFonts w:ascii="Palatino Linotype" w:hAnsi="Palatino Linotype"/>
          <w:i/>
          <w:sz w:val="22"/>
        </w:rPr>
        <w:t>“</w:t>
      </w:r>
      <w:r w:rsidR="00EB671D" w:rsidRPr="00EB671D">
        <w:rPr>
          <w:rFonts w:ascii="Palatino Linotype" w:hAnsi="Palatino Linotype"/>
          <w:i/>
          <w:sz w:val="22"/>
        </w:rPr>
        <w:t xml:space="preserve">De forma manipulada, Opdapas omite información importante, como lo es la asignación de vehículos y números, a quienes están asignados y los registros de llamadas realizadas. </w:t>
      </w:r>
      <w:proofErr w:type="gramStart"/>
      <w:r w:rsidR="00EB671D" w:rsidRPr="00EB671D">
        <w:rPr>
          <w:rFonts w:ascii="Palatino Linotype" w:hAnsi="Palatino Linotype"/>
          <w:i/>
          <w:sz w:val="22"/>
        </w:rPr>
        <w:t>lo</w:t>
      </w:r>
      <w:proofErr w:type="gramEnd"/>
      <w:r w:rsidR="00EB671D" w:rsidRPr="00EB671D">
        <w:rPr>
          <w:rFonts w:ascii="Palatino Linotype" w:hAnsi="Palatino Linotype"/>
          <w:i/>
          <w:sz w:val="22"/>
        </w:rPr>
        <w:t xml:space="preserve"> anterior es obligatorio al ser pagados con recursos públicos y presumirse un uso publico. La ignorante autoridad alega que se trata de datos personales, lo que no aplica por tratarse de servidores públicos que ejercen recursos públicos y lo hacen de manera incompleta, ilegal y presumiblemente para uso personal. </w:t>
      </w:r>
      <w:proofErr w:type="gramStart"/>
      <w:r w:rsidR="00EB671D" w:rsidRPr="00EB671D">
        <w:rPr>
          <w:rFonts w:ascii="Palatino Linotype" w:hAnsi="Palatino Linotype"/>
          <w:i/>
          <w:sz w:val="22"/>
        </w:rPr>
        <w:t>es</w:t>
      </w:r>
      <w:proofErr w:type="gramEnd"/>
      <w:r w:rsidR="00EB671D" w:rsidRPr="00EB671D">
        <w:rPr>
          <w:rFonts w:ascii="Palatino Linotype" w:hAnsi="Palatino Linotype"/>
          <w:i/>
          <w:sz w:val="22"/>
        </w:rPr>
        <w:t xml:space="preserve"> obligación de todo servidor publico rendir cuentas por los recursos públicos a su cargo, la manera que se ejercen y publicitar TODO</w:t>
      </w:r>
      <w:r>
        <w:rPr>
          <w:rFonts w:ascii="Palatino Linotype" w:hAnsi="Palatino Linotype"/>
          <w:i/>
          <w:sz w:val="22"/>
        </w:rPr>
        <w:t>” (sic)</w:t>
      </w:r>
    </w:p>
    <w:p w:rsidR="00203650" w:rsidRDefault="00203650" w:rsidP="0072196A">
      <w:pPr>
        <w:spacing w:line="360" w:lineRule="auto"/>
        <w:ind w:right="51"/>
        <w:jc w:val="both"/>
        <w:rPr>
          <w:rFonts w:ascii="Palatino Linotype" w:hAnsi="Palatino Linotype"/>
        </w:rPr>
      </w:pPr>
    </w:p>
    <w:p w:rsidR="00203650" w:rsidRDefault="00203650" w:rsidP="0072196A">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EB671D">
        <w:rPr>
          <w:rFonts w:ascii="Palatino Linotype" w:hAnsi="Palatino Linotype" w:cs="Arial"/>
        </w:rPr>
        <w:t>veintisiete</w:t>
      </w:r>
      <w:r>
        <w:rPr>
          <w:rFonts w:ascii="Palatino Linotype" w:hAnsi="Palatino Linotype" w:cs="Arial"/>
        </w:rPr>
        <w:t xml:space="preserve"> de abril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203650" w:rsidRDefault="00203650" w:rsidP="0072196A">
      <w:pPr>
        <w:spacing w:line="360" w:lineRule="auto"/>
        <w:ind w:right="49"/>
        <w:jc w:val="both"/>
        <w:rPr>
          <w:rFonts w:ascii="Palatino Linotype" w:hAnsi="Palatino Linotype" w:cs="Arial"/>
          <w:lang w:val="es-ES_tradnl"/>
        </w:rPr>
      </w:pPr>
    </w:p>
    <w:p w:rsidR="00203650" w:rsidRDefault="00203650" w:rsidP="0072196A">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EB671D">
        <w:rPr>
          <w:rFonts w:ascii="Palatino Linotype" w:hAnsi="Palatino Linotype" w:cs="Arial"/>
        </w:rPr>
        <w:t xml:space="preserve">tres de mayo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w:t>
      </w:r>
      <w:r w:rsidRPr="0024200F">
        <w:rPr>
          <w:rFonts w:ascii="Palatino Linotype" w:hAnsi="Palatino Linotype" w:cs="Arial"/>
        </w:rPr>
        <w:lastRenderedPageBreak/>
        <w:t>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C34CB4" w:rsidRDefault="00C34CB4" w:rsidP="0072196A">
      <w:pPr>
        <w:spacing w:line="360" w:lineRule="auto"/>
        <w:ind w:right="49"/>
        <w:jc w:val="both"/>
        <w:rPr>
          <w:rFonts w:ascii="Palatino Linotype" w:hAnsi="Palatino Linotype" w:cs="Arial"/>
        </w:rPr>
      </w:pPr>
    </w:p>
    <w:p w:rsidR="00203650" w:rsidRDefault="00203650" w:rsidP="0072196A">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rindió su informe justificado por medio del archivo electrónico “</w:t>
      </w:r>
      <w:r w:rsidR="00EB671D" w:rsidRPr="00EB671D">
        <w:rPr>
          <w:rFonts w:ascii="Palatino Linotype" w:hAnsi="Palatino Linotype" w:cs="Arial"/>
          <w:lang w:val="es-ES_tradnl"/>
        </w:rPr>
        <w:t>informe justificado rec 2470.pdf</w:t>
      </w:r>
      <w:r>
        <w:rPr>
          <w:rFonts w:ascii="Palatino Linotype" w:hAnsi="Palatino Linotype" w:cs="Arial"/>
          <w:lang w:val="es-ES_tradnl"/>
        </w:rPr>
        <w:t xml:space="preserve">”, mediante el cual ratifica su respuesta primigenia, archivo que fue puesto a la vista del </w:t>
      </w:r>
      <w:r>
        <w:rPr>
          <w:rFonts w:ascii="Palatino Linotype" w:hAnsi="Palatino Linotype" w:cs="Arial"/>
          <w:b/>
          <w:lang w:val="es-ES_tradnl"/>
        </w:rPr>
        <w:t>Recurrente</w:t>
      </w:r>
      <w:r>
        <w:rPr>
          <w:rFonts w:ascii="Palatino Linotype" w:hAnsi="Palatino Linotype" w:cs="Arial"/>
          <w:lang w:val="es-ES_tradnl"/>
        </w:rPr>
        <w:t xml:space="preserve"> a efecto que hiciera valer lo que a sus intereses conviniera,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203650" w:rsidRDefault="00203650" w:rsidP="0072196A">
      <w:pPr>
        <w:pStyle w:val="Prrafodelista"/>
        <w:spacing w:line="360" w:lineRule="auto"/>
        <w:ind w:left="0"/>
        <w:jc w:val="both"/>
        <w:rPr>
          <w:rFonts w:ascii="Palatino Linotype" w:hAnsi="Palatino Linotype" w:cs="Arial"/>
          <w:lang w:val="es-ES_tradnl"/>
        </w:rPr>
      </w:pPr>
    </w:p>
    <w:p w:rsidR="00203650" w:rsidRDefault="00203650" w:rsidP="0072196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EB671D">
        <w:rPr>
          <w:rFonts w:ascii="Palatino Linotype" w:eastAsiaTheme="minorHAnsi" w:hAnsi="Palatino Linotype" w:cs="Arial"/>
          <w:lang w:val="es-MX" w:eastAsia="en-US"/>
        </w:rPr>
        <w:t xml:space="preserve">veinte de mayo </w:t>
      </w:r>
      <w:r>
        <w:rPr>
          <w:rFonts w:ascii="Palatino Linotype" w:eastAsiaTheme="minorHAnsi" w:hAnsi="Palatino Linotype" w:cs="Arial"/>
          <w:lang w:val="es-MX" w:eastAsia="en-US"/>
        </w:rPr>
        <w:t>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C34CB4" w:rsidRDefault="00C34CB4" w:rsidP="0072196A">
      <w:pPr>
        <w:pStyle w:val="Prrafodelista"/>
        <w:spacing w:line="360" w:lineRule="auto"/>
        <w:ind w:left="0"/>
        <w:jc w:val="both"/>
        <w:rPr>
          <w:rFonts w:ascii="Palatino Linotype" w:eastAsiaTheme="minorHAnsi" w:hAnsi="Palatino Linotype" w:cs="Arial"/>
          <w:lang w:val="es-MX" w:eastAsia="en-US"/>
        </w:rPr>
      </w:pPr>
    </w:p>
    <w:p w:rsidR="00296302" w:rsidRDefault="00296302" w:rsidP="0072196A">
      <w:pPr>
        <w:pStyle w:val="Prrafodelista"/>
        <w:spacing w:line="360" w:lineRule="auto"/>
        <w:ind w:left="0"/>
        <w:jc w:val="both"/>
        <w:rPr>
          <w:rFonts w:ascii="Palatino Linotype" w:eastAsiaTheme="minorHAnsi" w:hAnsi="Palatino Linotype" w:cs="Arial"/>
          <w:lang w:val="es-MX" w:eastAsia="en-US"/>
        </w:rPr>
      </w:pPr>
    </w:p>
    <w:p w:rsidR="00296302" w:rsidRDefault="00296302" w:rsidP="0072196A">
      <w:pPr>
        <w:pStyle w:val="Prrafodelista"/>
        <w:spacing w:line="360" w:lineRule="auto"/>
        <w:ind w:left="0"/>
        <w:jc w:val="both"/>
        <w:rPr>
          <w:rFonts w:ascii="Palatino Linotype" w:eastAsiaTheme="minorHAnsi" w:hAnsi="Palatino Linotype" w:cs="Arial"/>
          <w:lang w:val="es-MX" w:eastAsia="en-US"/>
        </w:rPr>
      </w:pPr>
    </w:p>
    <w:p w:rsidR="00203650" w:rsidRPr="00FF483B" w:rsidRDefault="00203650" w:rsidP="0072196A">
      <w:pPr>
        <w:spacing w:line="360" w:lineRule="auto"/>
        <w:jc w:val="both"/>
        <w:rPr>
          <w:rFonts w:ascii="Palatino Linotype" w:hAnsi="Palatino Linotype" w:cs="Arial"/>
          <w:b/>
          <w:sz w:val="28"/>
          <w:szCs w:val="28"/>
        </w:rPr>
      </w:pPr>
      <w:r w:rsidRPr="00FF483B">
        <w:rPr>
          <w:rFonts w:ascii="Palatino Linotype" w:hAnsi="Palatino Linotype" w:cs="Arial"/>
          <w:b/>
          <w:sz w:val="28"/>
          <w:szCs w:val="28"/>
        </w:rPr>
        <w:lastRenderedPageBreak/>
        <w:t>OCTAVO. De la ampliación del término para resolver.</w:t>
      </w:r>
    </w:p>
    <w:p w:rsidR="00203650" w:rsidRPr="00084D21" w:rsidRDefault="00203650" w:rsidP="0072196A">
      <w:pPr>
        <w:spacing w:line="360" w:lineRule="auto"/>
        <w:jc w:val="both"/>
        <w:rPr>
          <w:rFonts w:ascii="Palatino Linotype" w:hAnsi="Palatino Linotype" w:cs="Arial"/>
        </w:rPr>
      </w:pPr>
      <w:r w:rsidRPr="00FF483B">
        <w:rPr>
          <w:rFonts w:ascii="Palatino Linotype" w:hAnsi="Palatino Linotype" w:cs="Arial"/>
        </w:rPr>
        <w:t xml:space="preserve">En fecha </w:t>
      </w:r>
      <w:r w:rsidR="00EB671D">
        <w:rPr>
          <w:rFonts w:ascii="Palatino Linotype" w:hAnsi="Palatino Linotype" w:cs="Arial"/>
        </w:rPr>
        <w:t xml:space="preserve">quince de junio </w:t>
      </w:r>
      <w:r w:rsidRPr="00FF483B">
        <w:rPr>
          <w:rFonts w:ascii="Palatino Linotype" w:hAnsi="Palatino Linotype" w:cs="Arial"/>
        </w:rPr>
        <w:t>de dos mil veintiuno</w:t>
      </w:r>
      <w:r w:rsidRPr="00084D21">
        <w:rPr>
          <w:rFonts w:ascii="Palatino Linotype" w:hAnsi="Palatino Linotype" w:cs="Arial"/>
        </w:rPr>
        <w:t>,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203650" w:rsidRPr="00D3600E" w:rsidRDefault="00203650" w:rsidP="0072196A">
      <w:pPr>
        <w:pStyle w:val="Prrafodelista"/>
        <w:spacing w:line="360" w:lineRule="auto"/>
        <w:ind w:left="0"/>
        <w:jc w:val="both"/>
        <w:rPr>
          <w:rFonts w:ascii="Palatino Linotype" w:eastAsiaTheme="minorHAnsi" w:hAnsi="Palatino Linotype" w:cs="Arial"/>
          <w:lang w:eastAsia="en-US"/>
        </w:rPr>
      </w:pPr>
    </w:p>
    <w:p w:rsidR="00203650" w:rsidRPr="0024200F" w:rsidRDefault="00203650" w:rsidP="0072196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203650" w:rsidRPr="00825F67" w:rsidRDefault="00203650" w:rsidP="0072196A">
      <w:pPr>
        <w:spacing w:line="360" w:lineRule="auto"/>
        <w:ind w:right="49"/>
        <w:jc w:val="both"/>
        <w:rPr>
          <w:rFonts w:ascii="Palatino Linotype" w:hAnsi="Palatino Linotype"/>
          <w:szCs w:val="28"/>
        </w:rPr>
      </w:pPr>
    </w:p>
    <w:p w:rsidR="00203650" w:rsidRPr="00FB3150" w:rsidRDefault="00203650" w:rsidP="0072196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203650" w:rsidRDefault="00203650" w:rsidP="0072196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203650" w:rsidRDefault="00203650" w:rsidP="0072196A">
      <w:pPr>
        <w:spacing w:line="360" w:lineRule="auto"/>
        <w:jc w:val="both"/>
        <w:rPr>
          <w:rFonts w:ascii="Palatino Linotype" w:hAnsi="Palatino Linotype" w:cs="Arial"/>
        </w:rPr>
      </w:pPr>
    </w:p>
    <w:p w:rsidR="00203650" w:rsidRPr="001D77CB" w:rsidRDefault="00203650" w:rsidP="0072196A">
      <w:pPr>
        <w:spacing w:line="360" w:lineRule="auto"/>
        <w:jc w:val="both"/>
        <w:rPr>
          <w:rFonts w:ascii="Palatino Linotype" w:hAnsi="Palatino Linotype" w:cs="Arial"/>
        </w:rPr>
      </w:pPr>
      <w:r w:rsidRPr="00BA5FE4">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03650" w:rsidRDefault="00203650" w:rsidP="0072196A">
      <w:pPr>
        <w:spacing w:line="360" w:lineRule="auto"/>
        <w:ind w:right="49"/>
        <w:jc w:val="both"/>
        <w:rPr>
          <w:rFonts w:ascii="Palatino Linotype" w:hAnsi="Palatino Linotype" w:cs="Arial"/>
        </w:rPr>
      </w:pPr>
    </w:p>
    <w:p w:rsidR="00203650" w:rsidRPr="00FB3150" w:rsidRDefault="00203650" w:rsidP="0072196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203650" w:rsidRDefault="00203650" w:rsidP="0072196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203650" w:rsidRDefault="00203650" w:rsidP="0072196A">
      <w:pPr>
        <w:spacing w:line="360" w:lineRule="auto"/>
        <w:ind w:right="49"/>
        <w:jc w:val="both"/>
        <w:rPr>
          <w:rFonts w:ascii="Palatino Linotype" w:hAnsi="Palatino Linotype" w:cs="Arial"/>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03650"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96302" w:rsidRPr="00C57779" w:rsidRDefault="00296302"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lastRenderedPageBreak/>
        <w:t>“</w:t>
      </w:r>
      <w:r w:rsidRPr="00C57779">
        <w:rPr>
          <w:rFonts w:ascii="Palatino Linotype" w:eastAsiaTheme="minorHAnsi" w:hAnsi="Palatino Linotype" w:cs="Arial"/>
          <w:b/>
          <w:i/>
          <w:sz w:val="22"/>
          <w:lang w:val="es-MX" w:eastAsia="en-US"/>
        </w:rPr>
        <w:t>Artículo 180</w:t>
      </w:r>
      <w:r w:rsidRPr="00C57779">
        <w:rPr>
          <w:rFonts w:ascii="Palatino Linotype" w:eastAsiaTheme="minorHAnsi" w:hAnsi="Palatino Linotype" w:cs="Arial"/>
          <w:i/>
          <w:sz w:val="22"/>
          <w:lang w:val="es-MX" w:eastAsia="en-US"/>
        </w:rPr>
        <w:t xml:space="preserve">. El recurso de revisión contendrá: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w:t>
      </w:r>
      <w:r w:rsidRPr="00C57779">
        <w:rPr>
          <w:rFonts w:ascii="Palatino Linotype" w:eastAsiaTheme="minorHAnsi" w:hAnsi="Palatino Linotype" w:cs="Arial"/>
          <w:i/>
          <w:sz w:val="22"/>
          <w:lang w:val="es-MX" w:eastAsia="en-US"/>
        </w:rPr>
        <w:t xml:space="preserve">. El </w:t>
      </w:r>
      <w:r>
        <w:rPr>
          <w:rFonts w:ascii="Palatino Linotype" w:eastAsiaTheme="minorHAnsi" w:hAnsi="Palatino Linotype" w:cs="Arial"/>
          <w:i/>
          <w:sz w:val="22"/>
          <w:lang w:val="es-MX" w:eastAsia="en-US"/>
        </w:rPr>
        <w:t>Sujeto Obligado</w:t>
      </w:r>
      <w:r w:rsidRPr="00C57779">
        <w:rPr>
          <w:rFonts w:ascii="Palatino Linotype" w:eastAsiaTheme="minorHAnsi" w:hAnsi="Palatino Linotype" w:cs="Arial"/>
          <w:i/>
          <w:sz w:val="22"/>
          <w:lang w:val="es-MX" w:eastAsia="en-US"/>
        </w:rPr>
        <w:t xml:space="preserve"> ante la cual se presentó la solicitud;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w:t>
      </w:r>
      <w:r w:rsidRPr="00C57779">
        <w:rPr>
          <w:rFonts w:ascii="Palatino Linotype" w:eastAsiaTheme="minorHAnsi" w:hAnsi="Palatino Linotype" w:cs="Arial"/>
          <w:i/>
          <w:sz w:val="22"/>
          <w:lang w:val="es-MX" w:eastAsia="en-US"/>
        </w:rPr>
        <w:t xml:space="preserve">. </w:t>
      </w:r>
      <w:r w:rsidRPr="00C57779">
        <w:rPr>
          <w:rFonts w:ascii="Palatino Linotype" w:eastAsiaTheme="minorHAnsi" w:hAnsi="Palatino Linotype" w:cs="Arial"/>
          <w:i/>
          <w:sz w:val="22"/>
          <w:u w:val="single"/>
          <w:lang w:val="es-MX" w:eastAsia="en-US"/>
        </w:rPr>
        <w:t>El nombre del solicitante</w:t>
      </w:r>
      <w:r w:rsidRPr="00C57779">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III</w:t>
      </w:r>
      <w:r w:rsidRPr="00C57779">
        <w:rPr>
          <w:rFonts w:ascii="Palatino Linotype" w:eastAsiaTheme="minorHAnsi" w:hAnsi="Palatino Linotype" w:cs="Arial"/>
          <w:i/>
          <w:sz w:val="22"/>
          <w:lang w:val="es-MX" w:eastAsia="en-US"/>
        </w:rPr>
        <w:t xml:space="preserve">. El número de folio de respuesta de la solicitud de acceso;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IV</w:t>
      </w:r>
      <w:r w:rsidRPr="00C57779">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w:t>
      </w:r>
      <w:r w:rsidRPr="00C57779">
        <w:rPr>
          <w:rFonts w:ascii="Palatino Linotype" w:eastAsiaTheme="minorHAnsi" w:hAnsi="Palatino Linotype" w:cs="Arial"/>
          <w:i/>
          <w:sz w:val="22"/>
          <w:lang w:val="es-MX" w:eastAsia="en-US"/>
        </w:rPr>
        <w:t xml:space="preserve">. El acto que se recurre;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w:t>
      </w:r>
      <w:r w:rsidRPr="00C57779">
        <w:rPr>
          <w:rFonts w:ascii="Palatino Linotype" w:eastAsiaTheme="minorHAnsi" w:hAnsi="Palatino Linotype" w:cs="Arial"/>
          <w:i/>
          <w:sz w:val="22"/>
          <w:lang w:val="es-MX" w:eastAsia="en-US"/>
        </w:rPr>
        <w:t xml:space="preserve">. Las razones o motivos de inconformidad;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VII</w:t>
      </w:r>
      <w:r w:rsidRPr="00C57779">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VIII</w:t>
      </w:r>
      <w:r w:rsidRPr="00C57779">
        <w:rPr>
          <w:rFonts w:ascii="Palatino Linotype" w:eastAsiaTheme="minorHAnsi" w:hAnsi="Palatino Linotype" w:cs="Arial"/>
          <w:i/>
          <w:sz w:val="22"/>
          <w:lang w:val="es-MX" w:eastAsia="en-US"/>
        </w:rPr>
        <w:t xml:space="preserve">. Firma del </w:t>
      </w:r>
      <w:r>
        <w:rPr>
          <w:rFonts w:ascii="Palatino Linotype" w:eastAsiaTheme="minorHAnsi" w:hAnsi="Palatino Linotype" w:cs="Arial"/>
          <w:i/>
          <w:sz w:val="22"/>
          <w:lang w:val="es-MX" w:eastAsia="en-US"/>
        </w:rPr>
        <w:t>Recurrente</w:t>
      </w:r>
      <w:r w:rsidRPr="00C57779">
        <w:rPr>
          <w:rFonts w:ascii="Palatino Linotype" w:eastAsiaTheme="minorHAnsi" w:hAnsi="Palatino Linotype" w:cs="Arial"/>
          <w:i/>
          <w:sz w:val="22"/>
          <w:lang w:val="es-MX" w:eastAsia="en-US"/>
        </w:rPr>
        <w:t xml:space="preserve">, en su caso, cuando se presente por escrito, requisito sin el cual se dará trámite al recurso.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 xml:space="preserve">En ningún caso será necesario que el particular ratifique el recurso de revisión interpuesto.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u w:val="single"/>
          <w:lang w:val="es-MX" w:eastAsia="en-US"/>
        </w:rPr>
      </w:pPr>
      <w:r w:rsidRPr="00C57779">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p>
    <w:p w:rsidR="00203650" w:rsidRPr="00C57779" w:rsidRDefault="00203650" w:rsidP="0072196A">
      <w:pPr>
        <w:autoSpaceDE w:val="0"/>
        <w:autoSpaceDN w:val="0"/>
        <w:adjustRightInd w:val="0"/>
        <w:ind w:left="567" w:right="567"/>
        <w:jc w:val="right"/>
        <w:rPr>
          <w:rFonts w:ascii="Palatino Linotype" w:eastAsiaTheme="minorHAnsi" w:hAnsi="Palatino Linotype" w:cs="Arial"/>
          <w:sz w:val="22"/>
          <w:lang w:val="es-MX" w:eastAsia="en-US"/>
        </w:rPr>
      </w:pPr>
      <w:r w:rsidRPr="00C57779">
        <w:rPr>
          <w:rFonts w:ascii="Palatino Linotype" w:eastAsiaTheme="minorHAnsi" w:hAnsi="Palatino Linotype" w:cs="Arial"/>
          <w:sz w:val="22"/>
          <w:lang w:val="es-MX" w:eastAsia="en-US"/>
        </w:rPr>
        <w:t>(Énfasis añadido)</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Pr>
          <w:rFonts w:ascii="Palatino Linotype" w:eastAsiaTheme="minorHAnsi" w:hAnsi="Palatino Linotype" w:cs="Arial"/>
          <w:b/>
          <w:lang w:val="es-MX" w:eastAsia="en-US"/>
        </w:rPr>
        <w:t>Recurrente</w:t>
      </w:r>
      <w:r w:rsidRPr="00C57779">
        <w:rPr>
          <w:rFonts w:ascii="Palatino Linotype" w:eastAsiaTheme="minorHAnsi" w:hAnsi="Palatino Linotype" w:cs="Arial"/>
          <w:lang w:val="es-MX" w:eastAsia="en-US"/>
        </w:rPr>
        <w:t xml:space="preserve">, en ejercicio de su derecho de acceso a la información pública, al momento de ingresar la solicitud de información, así como al interponer </w:t>
      </w:r>
      <w:r>
        <w:rPr>
          <w:rFonts w:ascii="Palatino Linotype" w:eastAsiaTheme="minorHAnsi" w:hAnsi="Palatino Linotype" w:cs="Arial"/>
          <w:lang w:val="es-MX" w:eastAsia="en-US"/>
        </w:rPr>
        <w:t>e</w:t>
      </w:r>
      <w:r w:rsidRPr="00C57779">
        <w:rPr>
          <w:rFonts w:ascii="Palatino Linotype" w:eastAsiaTheme="minorHAnsi" w:hAnsi="Palatino Linotype" w:cs="Arial"/>
          <w:lang w:val="es-MX" w:eastAsia="en-US"/>
        </w:rPr>
        <w:t xml:space="preserve">l recurso de revisión, </w:t>
      </w:r>
      <w:r>
        <w:rPr>
          <w:rFonts w:ascii="Palatino Linotype" w:eastAsiaTheme="minorHAnsi" w:hAnsi="Palatino Linotype" w:cs="Arial"/>
          <w:lang w:val="es-MX" w:eastAsia="en-US"/>
        </w:rPr>
        <w:t>no señalo nombre o seudónimo con el cual desee ser identificado</w:t>
      </w:r>
      <w:r w:rsidRPr="00C57779">
        <w:rPr>
          <w:rFonts w:ascii="Palatino Linotype" w:eastAsiaTheme="minorHAnsi" w:hAnsi="Palatino Linotype" w:cs="Arial"/>
          <w:b/>
          <w:lang w:val="es-MX" w:eastAsia="en-US"/>
        </w:rPr>
        <w:t>,</w:t>
      </w:r>
      <w:r w:rsidRPr="00C57779">
        <w:rPr>
          <w:rFonts w:ascii="Palatino Linotype" w:eastAsiaTheme="minorHAnsi" w:hAnsi="Palatino Linotype" w:cs="Arial"/>
          <w:lang w:val="es-MX" w:eastAsia="en-US"/>
        </w:rPr>
        <w:t xml:space="preserve"> por lo que no tiene certeza sobre su identidad, lo que en estricto sentido, no se colmarían los requisitos establecidos en el citado artículo 180 de la Ley de Transparencia.</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w:t>
      </w:r>
      <w:r w:rsidRPr="00C57779">
        <w:rPr>
          <w:rFonts w:ascii="Palatino Linotype" w:eastAsiaTheme="minorHAnsi" w:hAnsi="Palatino Linotype" w:cs="Arial"/>
          <w:lang w:val="es-MX" w:eastAsia="en-US"/>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C57779">
        <w:rPr>
          <w:rFonts w:ascii="Palatino Linotype" w:eastAsiaTheme="minorHAnsi" w:hAnsi="Palatino Linotype" w:cs="Arial"/>
          <w:i/>
          <w:lang w:val="es-MX" w:eastAsia="en-US"/>
        </w:rPr>
        <w:t>sine qua non</w:t>
      </w:r>
      <w:r w:rsidRPr="00C57779">
        <w:rPr>
          <w:rFonts w:ascii="Palatino Linotype" w:eastAsiaTheme="minorHAnsi" w:hAnsi="Palatino Linotype" w:cs="Arial"/>
          <w:lang w:val="es-MX" w:eastAsia="en-US"/>
        </w:rPr>
        <w:t xml:space="preserve"> que los particulares y, en su caso, los </w:t>
      </w:r>
      <w:r>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s deban señalar, por el contrario la Ley de Transparencia prevé en su artículo 155, párrafo segundo la posibilidad de que las solicitudes de información sean anónimas, con nombre incompleto o seudónimo.</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jc w:val="center"/>
        <w:rPr>
          <w:rFonts w:ascii="Palatino Linotype" w:eastAsiaTheme="minorHAnsi" w:hAnsi="Palatino Linotype" w:cs="Arial"/>
          <w:b/>
          <w:i/>
          <w:sz w:val="22"/>
          <w:szCs w:val="22"/>
          <w:lang w:val="es-MX" w:eastAsia="en-US"/>
        </w:rPr>
      </w:pPr>
      <w:r w:rsidRPr="00C57779">
        <w:rPr>
          <w:rFonts w:ascii="Palatino Linotype" w:eastAsiaTheme="minorHAnsi" w:hAnsi="Palatino Linotype" w:cs="Arial"/>
          <w:b/>
          <w:i/>
          <w:sz w:val="22"/>
          <w:szCs w:val="22"/>
          <w:lang w:val="es-MX" w:eastAsia="en-US"/>
        </w:rPr>
        <w:t>Constitución Política de los Estados Unidos Mexicanos</w:t>
      </w:r>
    </w:p>
    <w:p w:rsidR="00203650" w:rsidRPr="00C57779" w:rsidRDefault="00203650" w:rsidP="0072196A">
      <w:pPr>
        <w:autoSpaceDE w:val="0"/>
        <w:autoSpaceDN w:val="0"/>
        <w:adjustRightInd w:val="0"/>
        <w:jc w:val="both"/>
        <w:rPr>
          <w:rFonts w:ascii="Palatino Linotype" w:eastAsiaTheme="minorHAnsi" w:hAnsi="Palatino Linotype" w:cs="Arial"/>
          <w:sz w:val="22"/>
          <w:szCs w:val="22"/>
          <w:lang w:val="es-MX" w:eastAsia="en-US"/>
        </w:rPr>
      </w:pP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szCs w:val="22"/>
          <w:lang w:val="es-MX" w:eastAsia="en-US"/>
        </w:rPr>
      </w:pPr>
      <w:r w:rsidRPr="00C57779">
        <w:rPr>
          <w:rFonts w:ascii="Palatino Linotype" w:eastAsiaTheme="minorHAnsi" w:hAnsi="Palatino Linotype" w:cs="Arial"/>
          <w:i/>
          <w:sz w:val="22"/>
          <w:szCs w:val="22"/>
          <w:lang w:val="es-MX" w:eastAsia="en-US"/>
        </w:rPr>
        <w:t>“</w:t>
      </w:r>
      <w:r w:rsidRPr="00C57779">
        <w:rPr>
          <w:rFonts w:ascii="Palatino Linotype" w:eastAsiaTheme="minorHAnsi" w:hAnsi="Palatino Linotype" w:cs="Arial"/>
          <w:b/>
          <w:i/>
          <w:sz w:val="22"/>
          <w:szCs w:val="22"/>
          <w:lang w:val="es-MX" w:eastAsia="en-US"/>
        </w:rPr>
        <w:t>Artículo 6o</w:t>
      </w:r>
      <w:r w:rsidRPr="00C57779">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Para efectos de lo dispuesto en el presente artículo se observará lo siguiente:</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A</w:t>
      </w:r>
      <w:r w:rsidRPr="00C57779">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lastRenderedPageBreak/>
        <w:t>I</w:t>
      </w:r>
      <w:r w:rsidRPr="00C57779">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III.</w:t>
      </w:r>
      <w:r w:rsidRPr="00C57779">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w:t>
      </w:r>
      <w:r w:rsidRPr="00C57779">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w:t>
      </w:r>
      <w:r w:rsidRPr="00C57779">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La ley establecerá aquella información que se considere reservada o confidencial.</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p>
    <w:p w:rsidR="00203650" w:rsidRPr="00C57779" w:rsidRDefault="00203650" w:rsidP="0072196A">
      <w:pPr>
        <w:autoSpaceDE w:val="0"/>
        <w:autoSpaceDN w:val="0"/>
        <w:adjustRightInd w:val="0"/>
        <w:ind w:left="567" w:right="567"/>
        <w:jc w:val="center"/>
        <w:rPr>
          <w:rFonts w:ascii="Palatino Linotype" w:eastAsiaTheme="minorHAnsi" w:hAnsi="Palatino Linotype" w:cs="Arial"/>
          <w:b/>
          <w:i/>
          <w:sz w:val="22"/>
          <w:lang w:val="es-MX" w:eastAsia="en-US"/>
        </w:rPr>
      </w:pPr>
      <w:r w:rsidRPr="00C57779">
        <w:rPr>
          <w:rFonts w:ascii="Palatino Linotype" w:eastAsiaTheme="minorHAnsi" w:hAnsi="Palatino Linotype" w:cs="Arial"/>
          <w:b/>
          <w:i/>
          <w:sz w:val="22"/>
          <w:lang w:val="es-MX" w:eastAsia="en-US"/>
        </w:rPr>
        <w:t>Constitución Política del Estado Libre y Soberano de México</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r w:rsidRPr="00C57779">
        <w:rPr>
          <w:rFonts w:ascii="Palatino Linotype" w:eastAsiaTheme="minorHAnsi" w:hAnsi="Palatino Linotype" w:cs="Arial"/>
          <w:b/>
          <w:i/>
          <w:sz w:val="22"/>
          <w:lang w:val="es-MX" w:eastAsia="en-US"/>
        </w:rPr>
        <w:t>Artículo 5</w:t>
      </w:r>
      <w:r w:rsidRPr="00C57779">
        <w:rPr>
          <w:rFonts w:ascii="Palatino Linotype" w:eastAsiaTheme="minorHAnsi" w:hAnsi="Palatino Linotype" w:cs="Arial"/>
          <w:i/>
          <w:sz w:val="22"/>
          <w:lang w:val="es-MX" w:eastAsia="en-US"/>
        </w:rPr>
        <w:t xml:space="preserve">. … </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Este derecho se regirá por los principios y bases siguientes:</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w:t>
      </w:r>
      <w:r w:rsidRPr="00C57779">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w:t>
      </w:r>
      <w:r w:rsidRPr="00C57779">
        <w:rPr>
          <w:rFonts w:ascii="Palatino Linotype" w:eastAsiaTheme="minorHAnsi" w:hAnsi="Palatino Linotype" w:cs="Arial"/>
          <w:i/>
          <w:sz w:val="22"/>
          <w:lang w:val="es-MX" w:eastAsia="en-US"/>
        </w:rPr>
        <w:lastRenderedPageBreak/>
        <w:t>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III</w:t>
      </w:r>
      <w:r w:rsidRPr="00C57779">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203650" w:rsidRPr="00C57779" w:rsidRDefault="00203650" w:rsidP="0072196A">
      <w:pPr>
        <w:autoSpaceDE w:val="0"/>
        <w:autoSpaceDN w:val="0"/>
        <w:adjustRightInd w:val="0"/>
        <w:ind w:left="567" w:right="567"/>
        <w:jc w:val="right"/>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(Énfasis añadido)</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r w:rsidRPr="00C57779">
        <w:rPr>
          <w:rFonts w:ascii="Palatino Linotype" w:eastAsiaTheme="minorHAnsi" w:hAnsi="Palatino Linotype" w:cs="Arial"/>
          <w:b/>
          <w:i/>
          <w:sz w:val="22"/>
          <w:lang w:val="es-MX" w:eastAsia="en-US"/>
        </w:rPr>
        <w:t>Artículo 1o.</w:t>
      </w:r>
      <w:r w:rsidRPr="00C57779">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C57779">
        <w:rPr>
          <w:rFonts w:ascii="Palatino Linotype" w:eastAsiaTheme="minorHAnsi" w:hAnsi="Palatino Linotype" w:cs="Arial"/>
          <w:lang w:val="es-MX" w:eastAsia="en-US"/>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r w:rsidRPr="00C57779">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57779">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Resoluciones</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RDA 2937/13. Interpuesto en contra de LICONSA, S.A. de C.V. Comisionado. Ponente Gerardo Laveaga Rendón.</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203650" w:rsidRPr="00C57779" w:rsidRDefault="00203650" w:rsidP="0072196A">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161941">
        <w:rPr>
          <w:rFonts w:ascii="Palatino Linotype" w:eastAsiaTheme="minorHAnsi" w:hAnsi="Palatino Linotype" w:cs="Arial"/>
          <w:b/>
          <w:lang w:val="es-MX" w:eastAsia="en-US"/>
        </w:rPr>
        <w:t>Recurrente</w:t>
      </w:r>
      <w:r w:rsidRPr="00C57779">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En consecuencia, dado lo expuesto y fundado con anterioridad, se estima que el requisito relativo al nombre del </w:t>
      </w:r>
      <w:r>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w:t>
      </w:r>
      <w:r w:rsidRPr="00C57779">
        <w:rPr>
          <w:rFonts w:ascii="Palatino Linotype" w:eastAsiaTheme="minorHAnsi" w:hAnsi="Palatino Linotype" w:cs="Arial"/>
          <w:lang w:val="es-MX" w:eastAsia="en-US"/>
        </w:rPr>
        <w:lastRenderedPageBreak/>
        <w:t xml:space="preserve">con que se encuentre legitimado en el procedimiento de recurso de revisión, circunstancia que se acredita en las constancias electrónicas del expediente, de las que se desprende que el </w:t>
      </w:r>
      <w:r>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 es la misma persona que realizó la solicitud de acceso a la información pública que ahora se impugna.</w:t>
      </w: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p>
    <w:p w:rsidR="00203650" w:rsidRPr="00C57779" w:rsidRDefault="00203650" w:rsidP="0072196A">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 por lo que en el presente caso, al haber sido presentado el recurso de revisión vía SAIMEX, dicho requisito resulta innecesario.</w:t>
      </w:r>
    </w:p>
    <w:p w:rsidR="00203650" w:rsidRDefault="00203650" w:rsidP="0072196A">
      <w:pPr>
        <w:spacing w:line="360" w:lineRule="auto"/>
        <w:ind w:right="49"/>
        <w:jc w:val="both"/>
        <w:rPr>
          <w:rFonts w:ascii="Palatino Linotype" w:hAnsi="Palatino Linotype" w:cs="Arial"/>
        </w:rPr>
      </w:pPr>
    </w:p>
    <w:p w:rsidR="00203650" w:rsidRPr="00FB3150" w:rsidRDefault="00203650" w:rsidP="0072196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203650" w:rsidRDefault="00203650" w:rsidP="0072196A">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203650" w:rsidRDefault="00203650" w:rsidP="0072196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203650" w:rsidRDefault="00203650" w:rsidP="0072196A">
      <w:pPr>
        <w:pStyle w:val="Prrafodelista"/>
        <w:autoSpaceDE w:val="0"/>
        <w:autoSpaceDN w:val="0"/>
        <w:adjustRightInd w:val="0"/>
        <w:spacing w:line="360" w:lineRule="auto"/>
        <w:ind w:left="0"/>
        <w:jc w:val="both"/>
        <w:rPr>
          <w:rFonts w:ascii="Palatino Linotype" w:hAnsi="Palatino Linotype" w:cs="Arial"/>
        </w:rPr>
      </w:pPr>
    </w:p>
    <w:p w:rsidR="00203650" w:rsidRPr="00FB3150" w:rsidRDefault="00203650" w:rsidP="0072196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203650" w:rsidRPr="0024200F" w:rsidRDefault="00203650" w:rsidP="0072196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w:t>
      </w:r>
      <w:r w:rsidRPr="0024200F">
        <w:rPr>
          <w:rFonts w:ascii="Palatino Linotype" w:hAnsi="Palatino Linotype" w:cs="Arial"/>
        </w:rPr>
        <w:lastRenderedPageBreak/>
        <w:t>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203650" w:rsidRPr="0024200F" w:rsidRDefault="00203650" w:rsidP="0072196A">
      <w:pPr>
        <w:pStyle w:val="Prrafodelista"/>
        <w:autoSpaceDE w:val="0"/>
        <w:autoSpaceDN w:val="0"/>
        <w:adjustRightInd w:val="0"/>
        <w:spacing w:line="360" w:lineRule="auto"/>
        <w:ind w:left="0"/>
        <w:jc w:val="both"/>
        <w:rPr>
          <w:rFonts w:ascii="Palatino Linotype" w:hAnsi="Palatino Linotype" w:cs="Arial"/>
        </w:rPr>
      </w:pPr>
    </w:p>
    <w:p w:rsidR="00203650" w:rsidRDefault="00203650" w:rsidP="0072196A">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una presunta la falta de respuesta por el </w:t>
      </w:r>
      <w:r>
        <w:rPr>
          <w:rFonts w:ascii="Palatino Linotype" w:hAnsi="Palatino Linotype" w:cs="Arial"/>
          <w:b/>
        </w:rPr>
        <w:t>Sujeto Obligado</w:t>
      </w:r>
      <w:r>
        <w:rPr>
          <w:rFonts w:ascii="Palatino Linotype" w:hAnsi="Palatino Linotype" w:cs="Arial"/>
        </w:rPr>
        <w:t xml:space="preserve">, supuesto establecido en la fracción VII del artículo 179 de la </w:t>
      </w:r>
      <w:r w:rsidRPr="0024200F">
        <w:rPr>
          <w:rFonts w:ascii="Palatino Linotype" w:hAnsi="Palatino Linotype" w:cs="Arial"/>
          <w:b/>
          <w:color w:val="000000" w:themeColor="text1"/>
        </w:rPr>
        <w:t>Ley de Transparencia y Acceso a la Información 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Pr>
          <w:rFonts w:ascii="Palatino Linotype" w:hAnsi="Palatino Linotype" w:cs="Arial"/>
        </w:rPr>
        <w:t>.</w:t>
      </w:r>
    </w:p>
    <w:p w:rsidR="00203650" w:rsidRDefault="00203650" w:rsidP="0072196A">
      <w:pPr>
        <w:pStyle w:val="Prrafodelista"/>
        <w:widowControl w:val="0"/>
        <w:autoSpaceDE w:val="0"/>
        <w:autoSpaceDN w:val="0"/>
        <w:adjustRightInd w:val="0"/>
        <w:spacing w:line="360" w:lineRule="auto"/>
        <w:ind w:left="0"/>
        <w:jc w:val="both"/>
        <w:rPr>
          <w:rFonts w:ascii="Palatino Linotype" w:hAnsi="Palatino Linotype" w:cs="Arial"/>
        </w:rPr>
      </w:pPr>
    </w:p>
    <w:p w:rsidR="00203650" w:rsidRDefault="00203650" w:rsidP="0072196A">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w:t>
      </w:r>
      <w:r w:rsidRPr="007D7352">
        <w:rPr>
          <w:rFonts w:ascii="Palatino Linotype" w:hAnsi="Palatino Linotype"/>
          <w:bCs/>
        </w:rPr>
        <w:t xml:space="preserve">información el </w:t>
      </w:r>
      <w:r w:rsidRPr="007D7352">
        <w:rPr>
          <w:rFonts w:ascii="Palatino Linotype" w:hAnsi="Palatino Linotype"/>
          <w:b/>
          <w:bCs/>
        </w:rPr>
        <w:t xml:space="preserve">Recurrente </w:t>
      </w:r>
      <w:r w:rsidRPr="007D7352">
        <w:rPr>
          <w:rFonts w:ascii="Palatino Linotype" w:hAnsi="Palatino Linotype"/>
          <w:bCs/>
        </w:rPr>
        <w:t>peticiona lo siguiente:</w:t>
      </w:r>
      <w:r>
        <w:rPr>
          <w:rFonts w:ascii="Palatino Linotype" w:hAnsi="Palatino Linotype"/>
          <w:bCs/>
        </w:rPr>
        <w:t xml:space="preserve"> </w:t>
      </w:r>
    </w:p>
    <w:p w:rsidR="00203650" w:rsidRDefault="00203650" w:rsidP="0072196A">
      <w:pPr>
        <w:pStyle w:val="Prrafodelista"/>
        <w:spacing w:line="360" w:lineRule="auto"/>
        <w:ind w:left="0" w:right="49"/>
        <w:jc w:val="both"/>
        <w:rPr>
          <w:rFonts w:ascii="Palatino Linotype" w:hAnsi="Palatino Linotype" w:cs="Arial"/>
          <w:color w:val="000000" w:themeColor="text1"/>
        </w:rPr>
      </w:pPr>
    </w:p>
    <w:p w:rsidR="00203650" w:rsidRPr="00606BF1" w:rsidRDefault="008918C1" w:rsidP="0072196A">
      <w:pPr>
        <w:pStyle w:val="Prrafodelista"/>
        <w:numPr>
          <w:ilvl w:val="0"/>
          <w:numId w:val="3"/>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Marca y modelo de los vehículos asignados al personal </w:t>
      </w:r>
      <w:r w:rsidRPr="008918C1">
        <w:rPr>
          <w:rFonts w:ascii="Palatino Linotype" w:hAnsi="Palatino Linotype" w:cs="Arial"/>
          <w:color w:val="000000" w:themeColor="text1"/>
        </w:rPr>
        <w:t>(directivo, operativo, de confianza o sindicalizado)</w:t>
      </w:r>
      <w:r>
        <w:rPr>
          <w:rFonts w:ascii="Palatino Linotype" w:hAnsi="Palatino Linotype" w:cs="Arial"/>
          <w:color w:val="000000" w:themeColor="text1"/>
        </w:rPr>
        <w:t>;</w:t>
      </w:r>
      <w:r w:rsidR="00203650" w:rsidRPr="00606BF1">
        <w:rPr>
          <w:rFonts w:ascii="Palatino Linotype" w:hAnsi="Palatino Linotype" w:cs="Arial"/>
          <w:color w:val="000000" w:themeColor="text1"/>
        </w:rPr>
        <w:t xml:space="preserve"> </w:t>
      </w:r>
    </w:p>
    <w:p w:rsidR="00203650" w:rsidRPr="00606BF1" w:rsidRDefault="008918C1" w:rsidP="0072196A">
      <w:pPr>
        <w:pStyle w:val="Prrafodelista"/>
        <w:numPr>
          <w:ilvl w:val="0"/>
          <w:numId w:val="3"/>
        </w:numPr>
        <w:spacing w:line="360" w:lineRule="auto"/>
        <w:ind w:right="616"/>
        <w:jc w:val="both"/>
        <w:rPr>
          <w:rFonts w:ascii="Palatino Linotype" w:hAnsi="Palatino Linotype" w:cs="Arial"/>
          <w:color w:val="000000" w:themeColor="text1"/>
        </w:rPr>
      </w:pPr>
      <w:r w:rsidRPr="008918C1">
        <w:rPr>
          <w:rFonts w:ascii="Palatino Linotype" w:hAnsi="Palatino Linotype" w:cs="Arial"/>
          <w:color w:val="000000" w:themeColor="text1"/>
        </w:rPr>
        <w:t>consumos de gasolina (anual) de cada vehículo</w:t>
      </w:r>
      <w:r>
        <w:rPr>
          <w:rFonts w:ascii="Palatino Linotype" w:hAnsi="Palatino Linotype" w:cs="Arial"/>
          <w:color w:val="000000" w:themeColor="text1"/>
        </w:rPr>
        <w:t xml:space="preserve">; </w:t>
      </w:r>
    </w:p>
    <w:p w:rsidR="00203650" w:rsidRDefault="008918C1" w:rsidP="0072196A">
      <w:pPr>
        <w:pStyle w:val="Prrafodelista"/>
        <w:numPr>
          <w:ilvl w:val="0"/>
          <w:numId w:val="3"/>
        </w:numPr>
        <w:spacing w:line="360" w:lineRule="auto"/>
        <w:ind w:right="616"/>
        <w:jc w:val="both"/>
        <w:rPr>
          <w:rFonts w:ascii="Palatino Linotype" w:hAnsi="Palatino Linotype" w:cs="Arial"/>
          <w:color w:val="000000" w:themeColor="text1"/>
        </w:rPr>
      </w:pPr>
      <w:r w:rsidRPr="008918C1">
        <w:rPr>
          <w:rFonts w:ascii="Palatino Linotype" w:hAnsi="Palatino Linotype" w:cs="Arial"/>
          <w:color w:val="000000" w:themeColor="text1"/>
        </w:rPr>
        <w:t>equipos telefónicos (celulares): y números telefónicos, a quienes e</w:t>
      </w:r>
      <w:r>
        <w:rPr>
          <w:rFonts w:ascii="Palatino Linotype" w:hAnsi="Palatino Linotype" w:cs="Arial"/>
          <w:color w:val="000000" w:themeColor="text1"/>
        </w:rPr>
        <w:t xml:space="preserve">stán asignados (nombre y cargo); y </w:t>
      </w:r>
    </w:p>
    <w:p w:rsidR="008918C1" w:rsidRPr="00606BF1" w:rsidRDefault="008918C1" w:rsidP="0072196A">
      <w:pPr>
        <w:pStyle w:val="Prrafodelista"/>
        <w:numPr>
          <w:ilvl w:val="0"/>
          <w:numId w:val="3"/>
        </w:numPr>
        <w:spacing w:line="360" w:lineRule="auto"/>
        <w:ind w:right="616"/>
        <w:jc w:val="both"/>
        <w:rPr>
          <w:rFonts w:ascii="Palatino Linotype" w:hAnsi="Palatino Linotype" w:cs="Arial"/>
          <w:color w:val="000000" w:themeColor="text1"/>
        </w:rPr>
      </w:pPr>
      <w:r w:rsidRPr="008918C1">
        <w:rPr>
          <w:rFonts w:ascii="Palatino Linotype" w:hAnsi="Palatino Linotype" w:cs="Arial"/>
          <w:color w:val="000000" w:themeColor="text1"/>
        </w:rPr>
        <w:t>relación de las llamadas realizadas de dichos teléfonos oficiales</w:t>
      </w:r>
      <w:r>
        <w:rPr>
          <w:rFonts w:ascii="Palatino Linotype" w:hAnsi="Palatino Linotype" w:cs="Arial"/>
          <w:color w:val="000000" w:themeColor="text1"/>
        </w:rPr>
        <w:t>.</w:t>
      </w:r>
    </w:p>
    <w:p w:rsidR="00203650" w:rsidRDefault="00203650" w:rsidP="0072196A">
      <w:pPr>
        <w:spacing w:line="360" w:lineRule="auto"/>
        <w:ind w:right="616"/>
        <w:jc w:val="both"/>
        <w:rPr>
          <w:rFonts w:ascii="Palatino Linotype" w:hAnsi="Palatino Linotype" w:cs="Arial"/>
          <w:color w:val="000000" w:themeColor="text1"/>
        </w:rPr>
      </w:pPr>
    </w:p>
    <w:p w:rsidR="00203650" w:rsidRDefault="00C34CB4" w:rsidP="0072196A">
      <w:pPr>
        <w:spacing w:line="360" w:lineRule="auto"/>
        <w:jc w:val="both"/>
        <w:rPr>
          <w:rFonts w:ascii="Palatino Linotype" w:hAnsi="Palatino Linotype"/>
          <w:bCs/>
        </w:rPr>
      </w:pPr>
      <w:r>
        <w:rPr>
          <w:rFonts w:ascii="Palatino Linotype" w:hAnsi="Palatino Linotype" w:cs="Arial"/>
          <w:color w:val="000000" w:themeColor="text1"/>
        </w:rPr>
        <w:lastRenderedPageBreak/>
        <w:t>Ahora bien, e</w:t>
      </w:r>
      <w:r w:rsidR="00203650">
        <w:rPr>
          <w:rFonts w:ascii="Palatino Linotype" w:hAnsi="Palatino Linotype" w:cs="Arial"/>
          <w:color w:val="000000" w:themeColor="text1"/>
        </w:rPr>
        <w:t xml:space="preserve">l </w:t>
      </w:r>
      <w:r w:rsidR="00203650">
        <w:rPr>
          <w:rFonts w:ascii="Palatino Linotype" w:hAnsi="Palatino Linotype" w:cs="Arial"/>
          <w:b/>
          <w:color w:val="000000" w:themeColor="text1"/>
        </w:rPr>
        <w:t>Sujeto Obligado</w:t>
      </w:r>
      <w:r w:rsidR="00203650">
        <w:rPr>
          <w:rFonts w:ascii="Palatino Linotype" w:hAnsi="Palatino Linotype" w:cs="Arial"/>
          <w:color w:val="000000" w:themeColor="text1"/>
        </w:rPr>
        <w:t xml:space="preserve"> emitió respuesta por medio del archivo “</w:t>
      </w:r>
      <w:r w:rsidR="008918C1" w:rsidRPr="00EB671D">
        <w:rPr>
          <w:rFonts w:ascii="Palatino Linotype" w:hAnsi="Palatino Linotype"/>
          <w:bCs/>
        </w:rPr>
        <w:t>RESPUESTA SOLICITUD 08.pdf</w:t>
      </w:r>
      <w:r w:rsidR="00203650">
        <w:rPr>
          <w:rFonts w:ascii="Palatino Linotype" w:hAnsi="Palatino Linotype"/>
          <w:bCs/>
        </w:rPr>
        <w:t>”</w:t>
      </w:r>
      <w:r w:rsidR="00203650" w:rsidRPr="00E11C7D">
        <w:rPr>
          <w:rFonts w:ascii="Palatino Linotype" w:hAnsi="Palatino Linotype"/>
          <w:bCs/>
        </w:rPr>
        <w:t>,</w:t>
      </w:r>
      <w:r w:rsidR="00203650">
        <w:rPr>
          <w:rFonts w:ascii="Palatino Linotype" w:hAnsi="Palatino Linotype"/>
          <w:bCs/>
        </w:rPr>
        <w:t xml:space="preserve"> del que se desprende el contenido si:</w:t>
      </w:r>
    </w:p>
    <w:p w:rsidR="00203650" w:rsidRDefault="00203650" w:rsidP="0072196A">
      <w:pPr>
        <w:spacing w:line="360" w:lineRule="auto"/>
        <w:jc w:val="both"/>
        <w:rPr>
          <w:rFonts w:ascii="Palatino Linotype" w:hAnsi="Palatino Linotype"/>
          <w:bCs/>
        </w:rPr>
      </w:pPr>
    </w:p>
    <w:p w:rsidR="00203650" w:rsidRDefault="00203650" w:rsidP="0072196A">
      <w:pPr>
        <w:pStyle w:val="Prrafodelista"/>
        <w:numPr>
          <w:ilvl w:val="0"/>
          <w:numId w:val="1"/>
        </w:numPr>
        <w:spacing w:line="360" w:lineRule="auto"/>
        <w:jc w:val="both"/>
        <w:rPr>
          <w:rFonts w:ascii="Palatino Linotype" w:hAnsi="Palatino Linotype"/>
          <w:bCs/>
        </w:rPr>
      </w:pPr>
      <w:r>
        <w:rPr>
          <w:rFonts w:ascii="Palatino Linotype" w:hAnsi="Palatino Linotype"/>
          <w:bCs/>
        </w:rPr>
        <w:t xml:space="preserve">Oficio </w:t>
      </w:r>
      <w:r w:rsidR="008918C1">
        <w:rPr>
          <w:rFonts w:ascii="Palatino Linotype" w:hAnsi="Palatino Linotype"/>
          <w:bCs/>
        </w:rPr>
        <w:t xml:space="preserve">OPDAPAS/UT/017/2021 </w:t>
      </w:r>
      <w:r>
        <w:rPr>
          <w:rFonts w:ascii="Palatino Linotype" w:hAnsi="Palatino Linotype"/>
          <w:bCs/>
        </w:rPr>
        <w:t xml:space="preserve">de fecha </w:t>
      </w:r>
      <w:r w:rsidR="008918C1">
        <w:rPr>
          <w:rFonts w:ascii="Palatino Linotype" w:hAnsi="Palatino Linotype"/>
          <w:bCs/>
        </w:rPr>
        <w:t xml:space="preserve">veinte de abril </w:t>
      </w:r>
      <w:r>
        <w:rPr>
          <w:rFonts w:ascii="Palatino Linotype" w:hAnsi="Palatino Linotype"/>
          <w:bCs/>
        </w:rPr>
        <w:t xml:space="preserve">de dos mil veintiuno, mediante el cual Titular de la Unidad de Transparencia, proporciona la respuesta emitida al solicitante, </w:t>
      </w:r>
      <w:r w:rsidR="008918C1">
        <w:rPr>
          <w:rFonts w:ascii="Palatino Linotype" w:hAnsi="Palatino Linotype"/>
          <w:bCs/>
        </w:rPr>
        <w:t>a través de 2 (dos) relaciones que establecen. La primera de ellas, los rubro de No. Marca, Modelo, personal y consumo anual; y la segunda el No. Departamento, resguardatarios y marca, de los equipos telefónicos, se insertan las esfinges siguientes para mayor referencia</w:t>
      </w:r>
      <w:r>
        <w:rPr>
          <w:rFonts w:ascii="Palatino Linotype" w:hAnsi="Palatino Linotype"/>
          <w:bCs/>
        </w:rPr>
        <w:t>:</w:t>
      </w:r>
    </w:p>
    <w:p w:rsidR="00296302" w:rsidRDefault="00296302" w:rsidP="00296302">
      <w:pPr>
        <w:pStyle w:val="Prrafodelista"/>
        <w:spacing w:line="360" w:lineRule="auto"/>
        <w:ind w:left="720"/>
        <w:jc w:val="both"/>
        <w:rPr>
          <w:rFonts w:ascii="Palatino Linotype" w:hAnsi="Palatino Linotype"/>
          <w:bCs/>
        </w:rPr>
      </w:pPr>
    </w:p>
    <w:p w:rsidR="00203650" w:rsidRDefault="00C34CB4" w:rsidP="00C34CB4">
      <w:pPr>
        <w:pStyle w:val="Prrafodelista"/>
        <w:spacing w:line="360" w:lineRule="auto"/>
        <w:ind w:left="720"/>
        <w:jc w:val="center"/>
        <w:rPr>
          <w:rFonts w:ascii="Palatino Linotype" w:hAnsi="Palatino Linotype"/>
          <w:bCs/>
        </w:rPr>
      </w:pPr>
      <w:r>
        <w:rPr>
          <w:rFonts w:ascii="Palatino Linotype" w:hAnsi="Palatino Linotype"/>
          <w:bCs/>
          <w:noProof/>
          <w:lang w:val="es-MX" w:eastAsia="es-MX"/>
        </w:rPr>
        <w:drawing>
          <wp:inline distT="0" distB="0" distL="0" distR="0" wp14:anchorId="5824CE5F" wp14:editId="170DEF0D">
            <wp:extent cx="4460681" cy="3576303"/>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4476125" cy="3588685"/>
                    </a:xfrm>
                    <a:prstGeom prst="rect">
                      <a:avLst/>
                    </a:prstGeom>
                  </pic:spPr>
                </pic:pic>
              </a:graphicData>
            </a:graphic>
          </wp:inline>
        </w:drawing>
      </w:r>
    </w:p>
    <w:p w:rsidR="008918C1" w:rsidRDefault="008918C1" w:rsidP="0072196A">
      <w:pPr>
        <w:pStyle w:val="Prrafodelista"/>
        <w:spacing w:line="360" w:lineRule="auto"/>
        <w:ind w:left="720"/>
        <w:jc w:val="center"/>
        <w:rPr>
          <w:rFonts w:ascii="Palatino Linotype" w:hAnsi="Palatino Linotype"/>
          <w:bCs/>
        </w:rPr>
      </w:pPr>
      <w:r>
        <w:rPr>
          <w:rFonts w:ascii="Palatino Linotype" w:hAnsi="Palatino Linotype"/>
          <w:bCs/>
          <w:noProof/>
          <w:lang w:val="es-MX" w:eastAsia="es-MX"/>
        </w:rPr>
        <w:lastRenderedPageBreak/>
        <w:drawing>
          <wp:inline distT="0" distB="0" distL="0" distR="0">
            <wp:extent cx="3896269" cy="5058481"/>
            <wp:effectExtent l="0" t="0" r="952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png"/>
                    <pic:cNvPicPr/>
                  </pic:nvPicPr>
                  <pic:blipFill>
                    <a:blip r:embed="rId8">
                      <a:extLst>
                        <a:ext uri="{28A0092B-C50C-407E-A947-70E740481C1C}">
                          <a14:useLocalDpi xmlns:a14="http://schemas.microsoft.com/office/drawing/2010/main" val="0"/>
                        </a:ext>
                      </a:extLst>
                    </a:blip>
                    <a:stretch>
                      <a:fillRect/>
                    </a:stretch>
                  </pic:blipFill>
                  <pic:spPr>
                    <a:xfrm>
                      <a:off x="0" y="0"/>
                      <a:ext cx="3896269" cy="5058481"/>
                    </a:xfrm>
                    <a:prstGeom prst="rect">
                      <a:avLst/>
                    </a:prstGeom>
                  </pic:spPr>
                </pic:pic>
              </a:graphicData>
            </a:graphic>
          </wp:inline>
        </w:drawing>
      </w:r>
    </w:p>
    <w:p w:rsidR="008918C1" w:rsidRDefault="008918C1" w:rsidP="0072196A">
      <w:pPr>
        <w:pStyle w:val="Prrafodelista"/>
        <w:spacing w:line="360" w:lineRule="auto"/>
        <w:ind w:left="720"/>
        <w:jc w:val="both"/>
        <w:rPr>
          <w:rFonts w:ascii="Palatino Linotype" w:hAnsi="Palatino Linotype"/>
          <w:bCs/>
        </w:rPr>
      </w:pPr>
    </w:p>
    <w:p w:rsidR="00517463" w:rsidRDefault="008918C1" w:rsidP="0072196A">
      <w:pPr>
        <w:pStyle w:val="Prrafodelista"/>
        <w:spacing w:line="360" w:lineRule="auto"/>
        <w:ind w:left="720"/>
        <w:jc w:val="center"/>
        <w:rPr>
          <w:rFonts w:ascii="Palatino Linotype" w:hAnsi="Palatino Linotype"/>
          <w:bCs/>
        </w:rPr>
      </w:pPr>
      <w:r>
        <w:rPr>
          <w:rFonts w:ascii="Palatino Linotype" w:hAnsi="Palatino Linotype"/>
          <w:bCs/>
          <w:noProof/>
          <w:lang w:val="es-MX" w:eastAsia="es-MX"/>
        </w:rPr>
        <w:drawing>
          <wp:inline distT="0" distB="0" distL="0" distR="0">
            <wp:extent cx="5125165" cy="1019317"/>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125165" cy="1019317"/>
                    </a:xfrm>
                    <a:prstGeom prst="rect">
                      <a:avLst/>
                    </a:prstGeom>
                  </pic:spPr>
                </pic:pic>
              </a:graphicData>
            </a:graphic>
          </wp:inline>
        </w:drawing>
      </w:r>
    </w:p>
    <w:p w:rsidR="008918C1" w:rsidRDefault="008918C1" w:rsidP="0072196A">
      <w:pPr>
        <w:pStyle w:val="Prrafodelista"/>
        <w:spacing w:line="360" w:lineRule="auto"/>
        <w:ind w:left="720"/>
        <w:jc w:val="center"/>
        <w:rPr>
          <w:rFonts w:ascii="Palatino Linotype" w:hAnsi="Palatino Linotype"/>
          <w:bCs/>
        </w:rPr>
      </w:pPr>
      <w:r>
        <w:rPr>
          <w:rFonts w:ascii="Palatino Linotype" w:hAnsi="Palatino Linotype"/>
          <w:bCs/>
          <w:noProof/>
          <w:lang w:val="es-MX" w:eastAsia="es-MX"/>
        </w:rPr>
        <w:lastRenderedPageBreak/>
        <w:drawing>
          <wp:inline distT="0" distB="0" distL="0" distR="0">
            <wp:extent cx="4143953" cy="4925112"/>
            <wp:effectExtent l="0" t="0" r="952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0">
                      <a:extLst>
                        <a:ext uri="{28A0092B-C50C-407E-A947-70E740481C1C}">
                          <a14:useLocalDpi xmlns:a14="http://schemas.microsoft.com/office/drawing/2010/main" val="0"/>
                        </a:ext>
                      </a:extLst>
                    </a:blip>
                    <a:stretch>
                      <a:fillRect/>
                    </a:stretch>
                  </pic:blipFill>
                  <pic:spPr>
                    <a:xfrm>
                      <a:off x="0" y="0"/>
                      <a:ext cx="4143953" cy="4925112"/>
                    </a:xfrm>
                    <a:prstGeom prst="rect">
                      <a:avLst/>
                    </a:prstGeom>
                  </pic:spPr>
                </pic:pic>
              </a:graphicData>
            </a:graphic>
          </wp:inline>
        </w:drawing>
      </w:r>
    </w:p>
    <w:p w:rsidR="00517463" w:rsidRDefault="00517463" w:rsidP="0072196A">
      <w:pPr>
        <w:pStyle w:val="Prrafodelista"/>
        <w:spacing w:line="360" w:lineRule="auto"/>
        <w:ind w:left="720"/>
        <w:jc w:val="both"/>
        <w:rPr>
          <w:rFonts w:ascii="Palatino Linotype" w:hAnsi="Palatino Linotype"/>
          <w:bCs/>
        </w:rPr>
      </w:pPr>
    </w:p>
    <w:p w:rsidR="008918C1" w:rsidRPr="00517463" w:rsidRDefault="001647CE" w:rsidP="0072196A">
      <w:pPr>
        <w:pStyle w:val="Prrafodelista"/>
        <w:spacing w:line="360" w:lineRule="auto"/>
        <w:ind w:left="0"/>
        <w:jc w:val="both"/>
        <w:rPr>
          <w:rFonts w:ascii="Palatino Linotype" w:hAnsi="Palatino Linotype"/>
          <w:bCs/>
        </w:rPr>
      </w:pPr>
      <w:r>
        <w:rPr>
          <w:rFonts w:ascii="Palatino Linotype" w:hAnsi="Palatino Linotype"/>
          <w:bCs/>
        </w:rPr>
        <w:t>En ese mismo orden de ideas, en el oficio en estudio, se observa que</w:t>
      </w:r>
      <w:r w:rsidR="00517463">
        <w:rPr>
          <w:rFonts w:ascii="Palatino Linotype" w:hAnsi="Palatino Linotype"/>
          <w:bCs/>
        </w:rPr>
        <w:t xml:space="preserve"> el </w:t>
      </w:r>
      <w:r w:rsidR="00517463" w:rsidRPr="00F35DDC">
        <w:rPr>
          <w:rFonts w:ascii="Palatino Linotype" w:hAnsi="Palatino Linotype"/>
          <w:b/>
          <w:bCs/>
        </w:rPr>
        <w:t>Sujeto Obligado</w:t>
      </w:r>
      <w:r w:rsidR="00517463">
        <w:rPr>
          <w:rFonts w:ascii="Palatino Linotype" w:hAnsi="Palatino Linotype"/>
          <w:bCs/>
        </w:rPr>
        <w:t xml:space="preserve"> manif</w:t>
      </w:r>
      <w:r>
        <w:rPr>
          <w:rFonts w:ascii="Palatino Linotype" w:hAnsi="Palatino Linotype"/>
          <w:bCs/>
        </w:rPr>
        <w:t xml:space="preserve">iesta </w:t>
      </w:r>
      <w:r w:rsidR="00517463">
        <w:rPr>
          <w:rFonts w:ascii="Palatino Linotype" w:hAnsi="Palatino Linotype"/>
          <w:bCs/>
        </w:rPr>
        <w:t xml:space="preserve">que en lo correspondiente a la información de los números telefónicos y la relación de llamadas realizadas de dichos teléfonos oficiales </w:t>
      </w:r>
      <w:r w:rsidR="00517463">
        <w:rPr>
          <w:rFonts w:ascii="Palatino Linotype" w:hAnsi="Palatino Linotype"/>
          <w:bCs/>
          <w:u w:val="single"/>
        </w:rPr>
        <w:t>que por ser de carácter personal, se encuentra clasificada como confidencial</w:t>
      </w:r>
      <w:r w:rsidR="00517463">
        <w:rPr>
          <w:rFonts w:ascii="Palatino Linotype" w:hAnsi="Palatino Linotype"/>
          <w:bCs/>
        </w:rPr>
        <w:t>, en términos del Artículo 143 fracción I de la Ley de Transparencia y Acceso a la Información Pública del Estado de México y Municipios</w:t>
      </w:r>
      <w:r w:rsidR="00FE46EF">
        <w:rPr>
          <w:rFonts w:ascii="Palatino Linotype" w:hAnsi="Palatino Linotype"/>
          <w:bCs/>
        </w:rPr>
        <w:t>.</w:t>
      </w:r>
    </w:p>
    <w:p w:rsidR="008918C1" w:rsidRDefault="008918C1" w:rsidP="0072196A">
      <w:pPr>
        <w:pStyle w:val="Prrafodelista"/>
        <w:spacing w:line="360" w:lineRule="auto"/>
        <w:ind w:left="720"/>
        <w:jc w:val="both"/>
        <w:rPr>
          <w:rFonts w:ascii="Palatino Linotype" w:hAnsi="Palatino Linotype"/>
          <w:bCs/>
        </w:rPr>
      </w:pPr>
    </w:p>
    <w:p w:rsidR="00203650" w:rsidRDefault="00203650" w:rsidP="0072196A">
      <w:pPr>
        <w:spacing w:line="360" w:lineRule="auto"/>
        <w:jc w:val="both"/>
        <w:rPr>
          <w:rFonts w:ascii="Palatino Linotype" w:hAnsi="Palatino Linotype"/>
          <w:bCs/>
        </w:rPr>
      </w:pPr>
      <w:r>
        <w:rPr>
          <w:rFonts w:ascii="Palatino Linotype" w:hAnsi="Palatino Linotype"/>
          <w:bCs/>
        </w:rPr>
        <w:lastRenderedPageBreak/>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w:t>
      </w:r>
      <w:r>
        <w:rPr>
          <w:rFonts w:ascii="Palatino Linotype" w:hAnsi="Palatino Linotype"/>
          <w:bCs/>
          <w:i/>
        </w:rPr>
        <w:t>“</w:t>
      </w:r>
      <w:r w:rsidR="00F35DDC" w:rsidRPr="00F35DDC">
        <w:rPr>
          <w:rFonts w:ascii="Palatino Linotype" w:hAnsi="Palatino Linotype"/>
          <w:bCs/>
          <w:i/>
        </w:rPr>
        <w:t>omite información importante</w:t>
      </w:r>
      <w:r>
        <w:rPr>
          <w:rFonts w:ascii="Palatino Linotype" w:hAnsi="Palatino Linotype"/>
          <w:bCs/>
          <w:i/>
        </w:rPr>
        <w:t>”</w:t>
      </w:r>
      <w:r>
        <w:rPr>
          <w:rFonts w:ascii="Palatino Linotype" w:hAnsi="Palatino Linotype"/>
          <w:bCs/>
        </w:rPr>
        <w:t xml:space="preserve">, razones o motivos de inconformidad que </w:t>
      </w:r>
      <w:r w:rsidR="00F35DDC">
        <w:rPr>
          <w:rFonts w:ascii="Palatino Linotype" w:hAnsi="Palatino Linotype"/>
          <w:bCs/>
        </w:rPr>
        <w:t>se traducen en la entrega de información incompleta, que encuadran e</w:t>
      </w:r>
      <w:r>
        <w:rPr>
          <w:rFonts w:ascii="Palatino Linotype" w:hAnsi="Palatino Linotype"/>
          <w:bCs/>
        </w:rPr>
        <w:t>n la hipótesis norm</w:t>
      </w:r>
      <w:r w:rsidR="00F35DDC">
        <w:rPr>
          <w:rFonts w:ascii="Palatino Linotype" w:hAnsi="Palatino Linotype"/>
          <w:bCs/>
        </w:rPr>
        <w:t>ativa señalada en la fracción V</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3"/>
      </w:r>
      <w:r>
        <w:rPr>
          <w:rFonts w:ascii="Palatino Linotype" w:hAnsi="Palatino Linotype"/>
          <w:bCs/>
        </w:rPr>
        <w:t>, resultando procedente la interposición del recurso.</w:t>
      </w:r>
    </w:p>
    <w:p w:rsidR="00203650" w:rsidRDefault="00203650" w:rsidP="0072196A">
      <w:pPr>
        <w:spacing w:line="360" w:lineRule="auto"/>
        <w:jc w:val="both"/>
        <w:rPr>
          <w:rFonts w:ascii="Palatino Linotype" w:hAnsi="Palatino Linotype"/>
          <w:bCs/>
        </w:rPr>
      </w:pPr>
    </w:p>
    <w:p w:rsidR="00BA193A" w:rsidRDefault="00203650" w:rsidP="0072196A">
      <w:pPr>
        <w:spacing w:line="360" w:lineRule="auto"/>
        <w:jc w:val="both"/>
        <w:rPr>
          <w:rFonts w:ascii="Palatino Linotype" w:hAnsi="Palatino Linotype" w:cs="Arial"/>
          <w:lang w:val="es-ES_tradnl"/>
        </w:rPr>
      </w:pPr>
      <w:r>
        <w:rPr>
          <w:rFonts w:ascii="Palatino Linotype" w:hAnsi="Palatino Linotype"/>
          <w:bCs/>
        </w:rPr>
        <w:t xml:space="preserve">Derivado de la interposición del </w:t>
      </w:r>
      <w:r>
        <w:rPr>
          <w:rFonts w:ascii="Palatino Linotype" w:hAnsi="Palatino Linotype"/>
          <w:b/>
          <w:bCs/>
        </w:rPr>
        <w:t xml:space="preserve">recurso de revisión, </w:t>
      </w: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se sirvió en rendir en tiempo y forma su informe justificado por medio del archivo </w:t>
      </w:r>
      <w:r>
        <w:rPr>
          <w:rFonts w:ascii="Palatino Linotype" w:hAnsi="Palatino Linotype" w:cs="Arial"/>
          <w:lang w:val="es-ES_tradnl"/>
        </w:rPr>
        <w:t>“</w:t>
      </w:r>
      <w:r w:rsidR="00F35DDC" w:rsidRPr="00EB671D">
        <w:rPr>
          <w:rFonts w:ascii="Palatino Linotype" w:hAnsi="Palatino Linotype" w:cs="Arial"/>
          <w:lang w:val="es-ES_tradnl"/>
        </w:rPr>
        <w:t>informe justificado rec 2470.pdf</w:t>
      </w:r>
      <w:r>
        <w:rPr>
          <w:rFonts w:ascii="Palatino Linotype" w:hAnsi="Palatino Linotype" w:cs="Arial"/>
          <w:lang w:val="es-ES_tradnl"/>
        </w:rPr>
        <w:t>”,</w:t>
      </w:r>
      <w:r w:rsidR="002E02C5">
        <w:rPr>
          <w:rFonts w:ascii="Palatino Linotype" w:hAnsi="Palatino Linotype" w:cs="Arial"/>
          <w:lang w:val="es-ES_tradnl"/>
        </w:rPr>
        <w:t xml:space="preserve"> a través del cual </w:t>
      </w:r>
      <w:r w:rsidR="00BA193A">
        <w:rPr>
          <w:rFonts w:ascii="Palatino Linotype" w:hAnsi="Palatino Linotype" w:cs="Arial"/>
          <w:lang w:val="es-ES_tradnl"/>
        </w:rPr>
        <w:t xml:space="preserve">modifico </w:t>
      </w:r>
      <w:r w:rsidR="002E02C5">
        <w:rPr>
          <w:rFonts w:ascii="Palatino Linotype" w:hAnsi="Palatino Linotype" w:cs="Arial"/>
          <w:lang w:val="es-ES_tradnl"/>
        </w:rPr>
        <w:t>su respuesta primigenia</w:t>
      </w:r>
      <w:r w:rsidR="00BA193A">
        <w:rPr>
          <w:rFonts w:ascii="Palatino Linotype" w:hAnsi="Palatino Linotype" w:cs="Arial"/>
          <w:lang w:val="es-ES_tradnl"/>
        </w:rPr>
        <w:t xml:space="preserve"> únicamente a lo correspondiente al numera</w:t>
      </w:r>
      <w:r w:rsidR="00BA193A" w:rsidRPr="00BA193A">
        <w:rPr>
          <w:rFonts w:ascii="Palatino Linotype" w:hAnsi="Palatino Linotype" w:cs="Arial"/>
          <w:b/>
          <w:sz w:val="26"/>
          <w:szCs w:val="26"/>
          <w:lang w:val="es-ES_tradnl"/>
        </w:rPr>
        <w:t xml:space="preserve"> </w:t>
      </w:r>
      <w:r w:rsidR="00BA193A">
        <w:rPr>
          <w:rFonts w:ascii="Palatino Linotype" w:hAnsi="Palatino Linotype" w:cs="Arial"/>
          <w:b/>
          <w:sz w:val="26"/>
          <w:szCs w:val="26"/>
          <w:lang w:val="es-ES_tradnl"/>
        </w:rPr>
        <w:t>4</w:t>
      </w:r>
      <w:r w:rsidR="002E02C5">
        <w:rPr>
          <w:rFonts w:ascii="Palatino Linotype" w:hAnsi="Palatino Linotype" w:cs="Arial"/>
          <w:lang w:val="es-ES_tradnl"/>
        </w:rPr>
        <w:t>,</w:t>
      </w:r>
      <w:r w:rsidR="00BA193A">
        <w:rPr>
          <w:rFonts w:ascii="Palatino Linotype" w:hAnsi="Palatino Linotype" w:cs="Arial"/>
          <w:lang w:val="es-ES_tradnl"/>
        </w:rPr>
        <w:t xml:space="preserve"> relativo al registro de las llamadas telefónicas realizadas; precisando lo siguiente:</w:t>
      </w:r>
    </w:p>
    <w:p w:rsidR="00BA193A" w:rsidRDefault="00BA193A" w:rsidP="0072196A">
      <w:pPr>
        <w:spacing w:line="360" w:lineRule="auto"/>
        <w:jc w:val="both"/>
        <w:rPr>
          <w:rFonts w:ascii="Palatino Linotype" w:hAnsi="Palatino Linotype" w:cs="Arial"/>
          <w:lang w:val="es-ES_tradnl"/>
        </w:rPr>
      </w:pPr>
    </w:p>
    <w:p w:rsidR="00BA193A" w:rsidRPr="00BA193A" w:rsidRDefault="00BA193A" w:rsidP="0072196A">
      <w:pPr>
        <w:ind w:left="567" w:right="616"/>
        <w:jc w:val="both"/>
        <w:rPr>
          <w:rFonts w:ascii="Palatino Linotype" w:hAnsi="Palatino Linotype" w:cs="Arial"/>
          <w:i/>
          <w:sz w:val="22"/>
          <w:lang w:val="es-ES_tradnl"/>
        </w:rPr>
      </w:pPr>
      <w:r>
        <w:rPr>
          <w:rFonts w:ascii="Palatino Linotype" w:hAnsi="Palatino Linotype" w:cs="Arial"/>
          <w:i/>
          <w:sz w:val="22"/>
          <w:lang w:val="es-ES_tradnl"/>
        </w:rPr>
        <w:t xml:space="preserve">“…y en cuanto </w:t>
      </w:r>
      <w:r w:rsidR="00DF004A">
        <w:rPr>
          <w:rFonts w:ascii="Palatino Linotype" w:hAnsi="Palatino Linotype" w:cs="Arial"/>
          <w:i/>
          <w:sz w:val="22"/>
          <w:lang w:val="es-ES_tradnl"/>
        </w:rPr>
        <w:t>a los registros de llamadas estos no obran en los archivos de esta Descentralizada, si no, en su caso, en los de la Telefónica contratada, por lo que nos encontramos impedidos para atender su petición.</w:t>
      </w:r>
    </w:p>
    <w:p w:rsidR="00BA193A" w:rsidRDefault="00BA193A" w:rsidP="0072196A">
      <w:pPr>
        <w:spacing w:line="360" w:lineRule="auto"/>
        <w:jc w:val="both"/>
        <w:rPr>
          <w:rFonts w:ascii="Palatino Linotype" w:hAnsi="Palatino Linotype" w:cs="Arial"/>
          <w:lang w:val="es-ES_tradnl"/>
        </w:rPr>
      </w:pPr>
    </w:p>
    <w:p w:rsidR="00203650" w:rsidRDefault="00BB1F86" w:rsidP="0072196A">
      <w:pPr>
        <w:spacing w:line="360" w:lineRule="auto"/>
        <w:jc w:val="both"/>
        <w:rPr>
          <w:rFonts w:ascii="Palatino Linotype" w:hAnsi="Palatino Linotype" w:cs="Arial"/>
          <w:lang w:val="es-ES_tradnl"/>
        </w:rPr>
      </w:pPr>
      <w:r>
        <w:rPr>
          <w:rFonts w:ascii="Palatino Linotype" w:hAnsi="Palatino Linotype" w:cs="Arial"/>
          <w:lang w:val="es-ES_tradnl"/>
        </w:rPr>
        <w:t xml:space="preserve">Manifestaciones que se traducen sustancialmente que el </w:t>
      </w:r>
      <w:r w:rsidRPr="00BB1F86">
        <w:rPr>
          <w:rFonts w:ascii="Palatino Linotype" w:hAnsi="Palatino Linotype" w:cs="Arial"/>
          <w:b/>
          <w:lang w:val="es-ES_tradnl"/>
        </w:rPr>
        <w:t>Sujeto Obligado</w:t>
      </w:r>
      <w:r>
        <w:rPr>
          <w:rFonts w:ascii="Palatino Linotype" w:hAnsi="Palatino Linotype" w:cs="Arial"/>
          <w:lang w:val="es-ES_tradnl"/>
        </w:rPr>
        <w:t xml:space="preserve"> no cuenta con facultad, función o atribución que lo constriña a llevar a cabo un control y registro de las llamadas, realizadas en los equipos telefónicos que les son asignados a diversos </w:t>
      </w:r>
      <w:r>
        <w:rPr>
          <w:rFonts w:ascii="Palatino Linotype" w:hAnsi="Palatino Linotype" w:cs="Arial"/>
          <w:lang w:val="es-ES_tradnl"/>
        </w:rPr>
        <w:lastRenderedPageBreak/>
        <w:t>servidores públicos; aunado que esa información la debe tener en sus archivos la empresa telefónica encargada de prestar dicho servicio.</w:t>
      </w:r>
    </w:p>
    <w:p w:rsidR="00BB1F86" w:rsidRDefault="00BB1F86" w:rsidP="0072196A">
      <w:pPr>
        <w:spacing w:line="360" w:lineRule="auto"/>
        <w:jc w:val="both"/>
        <w:rPr>
          <w:rFonts w:ascii="Palatino Linotype" w:hAnsi="Palatino Linotype" w:cs="Arial"/>
          <w:lang w:val="es-ES_tradnl"/>
        </w:rPr>
      </w:pPr>
    </w:p>
    <w:p w:rsidR="00203650" w:rsidRPr="005D7038" w:rsidRDefault="001647CE" w:rsidP="0072196A">
      <w:pPr>
        <w:spacing w:line="360" w:lineRule="auto"/>
        <w:jc w:val="both"/>
        <w:rPr>
          <w:rFonts w:ascii="Palatino Linotype" w:eastAsia="Calibri" w:hAnsi="Palatino Linotype"/>
          <w:lang w:val="es-ES_tradnl"/>
        </w:rPr>
      </w:pPr>
      <w:r>
        <w:rPr>
          <w:rFonts w:ascii="Palatino Linotype" w:hAnsi="Palatino Linotype"/>
        </w:rPr>
        <w:t xml:space="preserve">Señalado </w:t>
      </w:r>
      <w:r w:rsidR="00203650">
        <w:rPr>
          <w:rFonts w:ascii="Palatino Linotype" w:hAnsi="Palatino Linotype"/>
        </w:rPr>
        <w:t xml:space="preserve">lo anterior, </w:t>
      </w:r>
      <w:r w:rsidR="00203650"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00203650" w:rsidRPr="005D7038">
        <w:rPr>
          <w:rFonts w:ascii="Palatino Linotype" w:eastAsia="Calibri" w:hAnsi="Palatino Linotype"/>
          <w:vertAlign w:val="superscript"/>
          <w:lang w:val="es-ES_tradnl"/>
        </w:rPr>
        <w:footnoteReference w:id="4"/>
      </w:r>
      <w:r w:rsidR="00203650" w:rsidRPr="005D7038">
        <w:rPr>
          <w:rFonts w:ascii="Palatino Linotype" w:eastAsia="Calibri" w:hAnsi="Palatino Linotype"/>
          <w:lang w:val="es-ES_tradnl"/>
        </w:rPr>
        <w:t xml:space="preserve">, el derecho de acceso a la información pública, es la prerrogativa de las personas para buscar, difundir, investigar, recabar, recibir y solicitar información pública, sin acreditar personalidad o interés jurídico. </w:t>
      </w:r>
    </w:p>
    <w:p w:rsidR="00203650" w:rsidRPr="005D7038" w:rsidRDefault="00203650" w:rsidP="0072196A">
      <w:pPr>
        <w:spacing w:line="360" w:lineRule="auto"/>
        <w:jc w:val="both"/>
        <w:rPr>
          <w:rFonts w:ascii="Palatino Linotype" w:eastAsia="Calibri" w:hAnsi="Palatino Linotype"/>
          <w:lang w:val="es-ES_tradnl"/>
        </w:rPr>
      </w:pPr>
    </w:p>
    <w:p w:rsidR="00203650" w:rsidRDefault="00203650" w:rsidP="0072196A">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w:t>
      </w:r>
      <w:r w:rsidRPr="005D7038">
        <w:rPr>
          <w:rFonts w:ascii="Palatino Linotype" w:eastAsia="Calibri" w:hAnsi="Palatino Linotype"/>
          <w:lang w:val="es-ES_tradnl"/>
        </w:rPr>
        <w:lastRenderedPageBreak/>
        <w:t>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2718C6" w:rsidRDefault="002718C6" w:rsidP="0072196A">
      <w:pPr>
        <w:spacing w:line="360" w:lineRule="auto"/>
        <w:jc w:val="both"/>
        <w:rPr>
          <w:rFonts w:ascii="Palatino Linotype" w:eastAsia="Calibri" w:hAnsi="Palatino Linotype"/>
          <w:lang w:val="es-ES_tradnl"/>
        </w:rPr>
      </w:pPr>
    </w:p>
    <w:p w:rsidR="00305BE2" w:rsidRPr="002718C6" w:rsidRDefault="002718C6" w:rsidP="0072196A">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w:t>
      </w:r>
      <w:r w:rsidR="00091C79">
        <w:rPr>
          <w:rFonts w:ascii="Palatino Linotype" w:eastAsia="Calibri" w:hAnsi="Palatino Linotype"/>
          <w:lang w:val="es-ES_tradnl"/>
        </w:rPr>
        <w:t>ese orden de ideas</w:t>
      </w:r>
      <w:r>
        <w:rPr>
          <w:rFonts w:ascii="Palatino Linotype" w:eastAsia="Calibri" w:hAnsi="Palatino Linotype"/>
          <w:lang w:val="es-ES_tradnl"/>
        </w:rPr>
        <w:t xml:space="preserve">; en el presente asunto, el </w:t>
      </w:r>
      <w:r w:rsidRPr="00091C79">
        <w:rPr>
          <w:rFonts w:ascii="Palatino Linotype" w:eastAsia="Calibri" w:hAnsi="Palatino Linotype"/>
          <w:b/>
          <w:lang w:val="es-ES_tradnl"/>
        </w:rPr>
        <w:t>Sujeto Obligado</w:t>
      </w:r>
      <w:r>
        <w:rPr>
          <w:rFonts w:ascii="Palatino Linotype" w:eastAsia="Calibri" w:hAnsi="Palatino Linotype"/>
          <w:lang w:val="es-ES_tradnl"/>
        </w:rPr>
        <w:t xml:space="preserve"> se sirvió en realizar 2 (dos) listados que contienen la información peticionada, el primero de ellos, relativo a los numerales </w:t>
      </w:r>
      <w:r w:rsidRPr="002718C6">
        <w:rPr>
          <w:rFonts w:ascii="Palatino Linotype" w:eastAsia="Calibri" w:hAnsi="Palatino Linotype"/>
          <w:b/>
          <w:sz w:val="26"/>
          <w:szCs w:val="26"/>
          <w:lang w:val="es-ES_tradnl"/>
        </w:rPr>
        <w:t>1</w:t>
      </w:r>
      <w:r>
        <w:rPr>
          <w:rFonts w:ascii="Palatino Linotype" w:eastAsia="Calibri" w:hAnsi="Palatino Linotype"/>
          <w:lang w:val="es-ES_tradnl"/>
        </w:rPr>
        <w:t xml:space="preserve"> y </w:t>
      </w:r>
      <w:r w:rsidRPr="002718C6">
        <w:rPr>
          <w:rFonts w:ascii="Palatino Linotype" w:eastAsia="Calibri" w:hAnsi="Palatino Linotype"/>
          <w:b/>
          <w:sz w:val="26"/>
          <w:szCs w:val="26"/>
          <w:lang w:val="es-ES_tradnl"/>
        </w:rPr>
        <w:t>2</w:t>
      </w:r>
      <w:r>
        <w:rPr>
          <w:rFonts w:ascii="Palatino Linotype" w:eastAsia="Calibri" w:hAnsi="Palatino Linotype"/>
          <w:b/>
          <w:sz w:val="26"/>
          <w:szCs w:val="26"/>
          <w:lang w:val="es-ES_tradnl"/>
        </w:rPr>
        <w:t xml:space="preserve">, </w:t>
      </w:r>
      <w:r>
        <w:rPr>
          <w:rFonts w:ascii="Palatino Linotype" w:eastAsia="Calibri" w:hAnsi="Palatino Linotype"/>
          <w:szCs w:val="26"/>
          <w:lang w:val="es-ES_tradnl"/>
        </w:rPr>
        <w:t xml:space="preserve">correspondientes </w:t>
      </w:r>
      <w:r>
        <w:rPr>
          <w:rFonts w:ascii="Palatino Linotype" w:eastAsia="Calibri" w:hAnsi="Palatino Linotype"/>
          <w:lang w:val="es-ES_tradnl"/>
        </w:rPr>
        <w:t xml:space="preserve">a la </w:t>
      </w:r>
      <w:r w:rsidR="00305BE2">
        <w:rPr>
          <w:rFonts w:ascii="Palatino Linotype" w:eastAsia="Calibri" w:hAnsi="Palatino Linotype"/>
          <w:lang w:val="es-ES_tradnl"/>
        </w:rPr>
        <w:t>m</w:t>
      </w:r>
      <w:r>
        <w:rPr>
          <w:rFonts w:ascii="Palatino Linotype" w:eastAsia="Calibri" w:hAnsi="Palatino Linotype"/>
          <w:lang w:val="es-ES_tradnl"/>
        </w:rPr>
        <w:t xml:space="preserve">arca y modelos de los vehículos, precisando la calidad del personal asignado y el consumo anual de gasolina; y el segundo listado relativo </w:t>
      </w:r>
      <w:r w:rsidR="00305BE2">
        <w:rPr>
          <w:rFonts w:ascii="Palatino Linotype" w:eastAsia="Calibri" w:hAnsi="Palatino Linotype"/>
          <w:lang w:val="es-ES_tradnl"/>
        </w:rPr>
        <w:t xml:space="preserve">parcialmente </w:t>
      </w:r>
      <w:r>
        <w:rPr>
          <w:rFonts w:ascii="Palatino Linotype" w:eastAsia="Calibri" w:hAnsi="Palatino Linotype"/>
          <w:lang w:val="es-ES_tradnl"/>
        </w:rPr>
        <w:t xml:space="preserve">al numeral </w:t>
      </w:r>
      <w:r w:rsidRPr="002718C6">
        <w:rPr>
          <w:rFonts w:ascii="Palatino Linotype" w:eastAsia="Calibri" w:hAnsi="Palatino Linotype"/>
          <w:b/>
          <w:sz w:val="26"/>
          <w:szCs w:val="26"/>
          <w:lang w:val="es-ES_tradnl"/>
        </w:rPr>
        <w:t>3</w:t>
      </w:r>
      <w:r>
        <w:rPr>
          <w:rFonts w:ascii="Palatino Linotype" w:eastAsia="Calibri" w:hAnsi="Palatino Linotype"/>
          <w:b/>
          <w:sz w:val="26"/>
          <w:szCs w:val="26"/>
          <w:lang w:val="es-ES_tradnl"/>
        </w:rPr>
        <w:t>,</w:t>
      </w:r>
      <w:r>
        <w:rPr>
          <w:rFonts w:ascii="Palatino Linotype" w:eastAsia="Calibri" w:hAnsi="Palatino Linotype"/>
          <w:szCs w:val="26"/>
          <w:lang w:val="es-ES_tradnl"/>
        </w:rPr>
        <w:t xml:space="preserve"> de los equipos </w:t>
      </w:r>
      <w:r w:rsidR="00305BE2">
        <w:rPr>
          <w:rFonts w:ascii="Palatino Linotype" w:eastAsia="Calibri" w:hAnsi="Palatino Linotype"/>
          <w:szCs w:val="26"/>
          <w:lang w:val="es-ES_tradnl"/>
        </w:rPr>
        <w:t>telefónicos, el nombre del resguardatarios y la marca del equipo telefónico. Y en lo que corresponde a los números telefónicos y</w:t>
      </w:r>
      <w:r w:rsidR="00091C79">
        <w:rPr>
          <w:rFonts w:ascii="Palatino Linotype" w:eastAsia="Calibri" w:hAnsi="Palatino Linotype"/>
          <w:szCs w:val="26"/>
          <w:lang w:val="es-ES_tradnl"/>
        </w:rPr>
        <w:t xml:space="preserve"> el numeral </w:t>
      </w:r>
      <w:r w:rsidR="00091C79" w:rsidRPr="00296302">
        <w:rPr>
          <w:rFonts w:ascii="Palatino Linotype" w:eastAsia="Calibri" w:hAnsi="Palatino Linotype"/>
          <w:b/>
          <w:sz w:val="26"/>
          <w:szCs w:val="26"/>
          <w:lang w:val="es-ES_tradnl"/>
        </w:rPr>
        <w:t>4</w:t>
      </w:r>
      <w:r w:rsidR="00305BE2" w:rsidRPr="00296302">
        <w:rPr>
          <w:rFonts w:ascii="Palatino Linotype" w:eastAsia="Calibri" w:hAnsi="Palatino Linotype"/>
          <w:sz w:val="22"/>
          <w:szCs w:val="26"/>
          <w:lang w:val="es-ES_tradnl"/>
        </w:rPr>
        <w:t xml:space="preserve"> </w:t>
      </w:r>
      <w:r w:rsidR="00305BE2">
        <w:rPr>
          <w:rFonts w:ascii="Palatino Linotype" w:eastAsia="Calibri" w:hAnsi="Palatino Linotype"/>
          <w:szCs w:val="26"/>
          <w:lang w:val="es-ES_tradnl"/>
        </w:rPr>
        <w:t>la relación de llamadas realizadas por dichos teléfonos oficiales, que dicha información es de carácter personal, que se encuentra clasificada como confidencial, al encuadrar en la hipótesis de la fracción I del artículo 143 de la Ley de Transparencia Local.</w:t>
      </w:r>
    </w:p>
    <w:p w:rsidR="00203650" w:rsidRDefault="00203650" w:rsidP="0072196A">
      <w:pPr>
        <w:spacing w:line="360" w:lineRule="auto"/>
        <w:jc w:val="both"/>
        <w:rPr>
          <w:rFonts w:ascii="Palatino Linotype" w:hAnsi="Palatino Linotype"/>
          <w:lang w:val="es-ES_tradnl"/>
        </w:rPr>
      </w:pPr>
    </w:p>
    <w:p w:rsidR="00305BE2" w:rsidRDefault="00091C79" w:rsidP="0072196A">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Atentos a la respuesta, podemos determinar que si bien el </w:t>
      </w:r>
      <w:r>
        <w:rPr>
          <w:rFonts w:ascii="Palatino Linotype" w:eastAsia="Calibri" w:hAnsi="Palatino Linotype"/>
          <w:b/>
          <w:lang w:val="es-ES_tradnl"/>
        </w:rPr>
        <w:t>Sujeto Obligado</w:t>
      </w:r>
      <w:r>
        <w:rPr>
          <w:rFonts w:ascii="Palatino Linotype" w:eastAsia="Calibri" w:hAnsi="Palatino Linotype"/>
          <w:lang w:val="es-ES_tradnl"/>
        </w:rPr>
        <w:t xml:space="preserve">, </w:t>
      </w:r>
      <w:r w:rsidRPr="00091C79">
        <w:rPr>
          <w:rFonts w:ascii="Palatino Linotype" w:eastAsia="Calibri" w:hAnsi="Palatino Linotype"/>
          <w:lang w:val="es-ES_tradnl"/>
        </w:rPr>
        <w:t xml:space="preserve">no se encuentra constreñido a la elaboración de un documento </w:t>
      </w:r>
      <w:r w:rsidRPr="00954B11">
        <w:rPr>
          <w:rFonts w:ascii="Palatino Linotype" w:eastAsia="Calibri" w:hAnsi="Palatino Linotype"/>
          <w:i/>
          <w:lang w:val="es-ES_tradnl"/>
        </w:rPr>
        <w:t>ad hoc</w:t>
      </w:r>
      <w:r w:rsidRPr="00091C79">
        <w:rPr>
          <w:rFonts w:ascii="Palatino Linotype" w:eastAsia="Calibri" w:hAnsi="Palatino Linotype"/>
          <w:lang w:val="es-ES_tradnl"/>
        </w:rPr>
        <w:t xml:space="preserve">, </w:t>
      </w:r>
      <w:r>
        <w:rPr>
          <w:rFonts w:ascii="Palatino Linotype" w:eastAsia="Calibri" w:hAnsi="Palatino Linotype"/>
          <w:lang w:val="es-ES_tradnl"/>
        </w:rPr>
        <w:t xml:space="preserve">de igual manera, la Ley de Transparencia Local, no </w:t>
      </w:r>
      <w:r>
        <w:rPr>
          <w:rFonts w:ascii="Palatino Linotype" w:eastAsia="Calibri" w:hAnsi="Palatino Linotype"/>
          <w:u w:val="single"/>
          <w:lang w:val="es-ES_tradnl"/>
        </w:rPr>
        <w:t>impide</w:t>
      </w:r>
      <w:r>
        <w:rPr>
          <w:rFonts w:ascii="Palatino Linotype" w:eastAsia="Calibri" w:hAnsi="Palatino Linotype"/>
          <w:lang w:val="es-ES_tradnl"/>
        </w:rPr>
        <w:t xml:space="preserve"> que realice el mismo, circunstancia que </w:t>
      </w:r>
      <w:r w:rsidR="00EB6439">
        <w:rPr>
          <w:rFonts w:ascii="Palatino Linotype" w:eastAsia="Calibri" w:hAnsi="Palatino Linotype"/>
          <w:lang w:val="es-ES_tradnl"/>
        </w:rPr>
        <w:t>aconteció en el presente asunto, al hacer entrega de los listados de referencia.</w:t>
      </w:r>
    </w:p>
    <w:p w:rsidR="00EB6439" w:rsidRDefault="00EB6439" w:rsidP="0072196A">
      <w:pPr>
        <w:spacing w:line="360" w:lineRule="auto"/>
        <w:jc w:val="both"/>
        <w:rPr>
          <w:rFonts w:ascii="Palatino Linotype" w:eastAsia="Calibri" w:hAnsi="Palatino Linotype"/>
          <w:lang w:val="es-ES_tradnl"/>
        </w:rPr>
      </w:pPr>
    </w:p>
    <w:p w:rsidR="00EB6439" w:rsidRPr="006B1685" w:rsidRDefault="00EB6439" w:rsidP="0072196A">
      <w:pPr>
        <w:pStyle w:val="Sinespaciado"/>
        <w:spacing w:line="360" w:lineRule="auto"/>
        <w:jc w:val="both"/>
        <w:rPr>
          <w:rFonts w:ascii="Palatino Linotype" w:hAnsi="Palatino Linotype"/>
          <w:sz w:val="24"/>
          <w:szCs w:val="24"/>
        </w:rPr>
      </w:pPr>
      <w:r>
        <w:rPr>
          <w:rFonts w:ascii="Palatino Linotype" w:eastAsia="Calibri" w:hAnsi="Palatino Linotype"/>
          <w:lang w:val="es-ES_tradnl"/>
        </w:rPr>
        <w:lastRenderedPageBreak/>
        <w:t xml:space="preserve">Ahora bien, este Órgano Garante advierte que de los listados proporcionados, se satisfacen únicamente los numerales </w:t>
      </w:r>
      <w:r w:rsidRPr="00EB6439">
        <w:rPr>
          <w:rFonts w:ascii="Palatino Linotype" w:eastAsia="Calibri" w:hAnsi="Palatino Linotype"/>
          <w:b/>
          <w:sz w:val="26"/>
          <w:szCs w:val="26"/>
          <w:lang w:val="es-ES_tradnl"/>
        </w:rPr>
        <w:t>1</w:t>
      </w:r>
      <w:r>
        <w:rPr>
          <w:rFonts w:ascii="Palatino Linotype" w:eastAsia="Calibri" w:hAnsi="Palatino Linotype"/>
          <w:lang w:val="es-ES_tradnl"/>
        </w:rPr>
        <w:t xml:space="preserve"> y </w:t>
      </w:r>
      <w:r w:rsidRPr="00EB6439">
        <w:rPr>
          <w:rFonts w:ascii="Palatino Linotype" w:eastAsia="Calibri" w:hAnsi="Palatino Linotype"/>
          <w:b/>
          <w:sz w:val="26"/>
          <w:szCs w:val="26"/>
          <w:lang w:val="es-ES_tradnl"/>
        </w:rPr>
        <w:t>2</w:t>
      </w:r>
      <w:r>
        <w:rPr>
          <w:rFonts w:ascii="Palatino Linotype" w:eastAsia="Calibri" w:hAnsi="Palatino Linotype"/>
          <w:b/>
          <w:lang w:val="es-ES_tradnl"/>
        </w:rPr>
        <w:t>,</w:t>
      </w:r>
      <w:r>
        <w:rPr>
          <w:rFonts w:ascii="Palatino Linotype" w:eastAsia="Calibri" w:hAnsi="Palatino Linotype"/>
          <w:lang w:val="es-ES_tradnl"/>
        </w:rPr>
        <w:t xml:space="preserve"> al informar la marca, modelo, calidad del servidor público que lo tiene asignado y el consumo anual de gasolina, 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w:t>
      </w:r>
      <w:r>
        <w:rPr>
          <w:rFonts w:ascii="Palatino Linotype" w:eastAsia="Calibri" w:hAnsi="Palatino Linotype" w:cs="Arial"/>
          <w:sz w:val="24"/>
          <w:szCs w:val="24"/>
        </w:rPr>
        <w:t>dad de todo acto administrativo,</w:t>
      </w:r>
      <w:r>
        <w:rPr>
          <w:rFonts w:ascii="Palatino Linotype" w:eastAsia="Calibri" w:hAnsi="Palatino Linotype" w:cs="Arial"/>
        </w:rPr>
        <w:t xml:space="preserve"> </w:t>
      </w:r>
      <w:r>
        <w:rPr>
          <w:rFonts w:ascii="Palatino Linotype" w:hAnsi="Palatino Linotype" w:cs="Arial"/>
          <w:sz w:val="24"/>
          <w:szCs w:val="24"/>
          <w:lang w:eastAsia="es-MX"/>
        </w:rPr>
        <w:t xml:space="preserve">por ello, 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rsidR="00EB6439" w:rsidRDefault="00EB6439" w:rsidP="0072196A">
      <w:pPr>
        <w:spacing w:line="360" w:lineRule="auto"/>
        <w:jc w:val="both"/>
        <w:rPr>
          <w:rFonts w:ascii="Palatino Linotype" w:hAnsi="Palatino Linotype" w:cs="Arial"/>
          <w:lang w:eastAsia="es-MX"/>
        </w:rPr>
      </w:pPr>
    </w:p>
    <w:p w:rsidR="00EB6439" w:rsidRPr="0064747D" w:rsidRDefault="00EB6439" w:rsidP="0072196A">
      <w:pPr>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EB6439" w:rsidRPr="00AF7266" w:rsidRDefault="00EB6439" w:rsidP="0072196A">
      <w:pPr>
        <w:spacing w:line="360" w:lineRule="auto"/>
        <w:jc w:val="both"/>
        <w:rPr>
          <w:rFonts w:ascii="Palatino Linotype" w:hAnsi="Palatino Linotype"/>
        </w:rPr>
      </w:pPr>
    </w:p>
    <w:p w:rsidR="00EB6439" w:rsidRDefault="00EB6439" w:rsidP="0072196A">
      <w:pPr>
        <w:spacing w:line="360" w:lineRule="auto"/>
        <w:jc w:val="both"/>
        <w:rPr>
          <w:rFonts w:ascii="Palatino Linotype" w:hAnsi="Palatino Linotype"/>
          <w:szCs w:val="26"/>
        </w:rPr>
      </w:pPr>
      <w:r>
        <w:rPr>
          <w:rFonts w:ascii="Palatino Linotype" w:hAnsi="Palatino Linotype"/>
        </w:rPr>
        <w:lastRenderedPageBreak/>
        <w:t xml:space="preserve">Ahora bien, en lo correspondiente al numeral </w:t>
      </w:r>
      <w:r w:rsidRPr="00EB6439">
        <w:rPr>
          <w:rFonts w:ascii="Palatino Linotype" w:hAnsi="Palatino Linotype"/>
          <w:b/>
          <w:sz w:val="26"/>
          <w:szCs w:val="26"/>
        </w:rPr>
        <w:t>3</w:t>
      </w:r>
      <w:r>
        <w:rPr>
          <w:rFonts w:ascii="Palatino Linotype" w:hAnsi="Palatino Linotype"/>
          <w:szCs w:val="26"/>
        </w:rPr>
        <w:t>, se satisface parcialmente al informar el nombre del resguardatarios, departamento en que se encuentra y la marca, del equipo telefónico; sin embargo, no precisa el cargo del servidor público resguardatarios</w:t>
      </w:r>
      <w:r w:rsidR="0009315C">
        <w:rPr>
          <w:rFonts w:ascii="Palatino Linotype" w:hAnsi="Palatino Linotype"/>
          <w:szCs w:val="26"/>
        </w:rPr>
        <w:t>; consecuentemente resulta dable ordenar su entrega.</w:t>
      </w:r>
    </w:p>
    <w:p w:rsidR="0009315C" w:rsidRDefault="0009315C" w:rsidP="0072196A">
      <w:pPr>
        <w:spacing w:line="360" w:lineRule="auto"/>
        <w:jc w:val="both"/>
        <w:rPr>
          <w:rFonts w:ascii="Palatino Linotype" w:hAnsi="Palatino Linotype"/>
          <w:szCs w:val="26"/>
        </w:rPr>
      </w:pPr>
    </w:p>
    <w:p w:rsidR="0009315C" w:rsidRDefault="0009315C" w:rsidP="0072196A">
      <w:pPr>
        <w:spacing w:line="360" w:lineRule="auto"/>
        <w:jc w:val="both"/>
        <w:rPr>
          <w:rFonts w:ascii="Palatino Linotype" w:hAnsi="Palatino Linotype"/>
          <w:szCs w:val="26"/>
        </w:rPr>
      </w:pPr>
      <w:r>
        <w:rPr>
          <w:rFonts w:ascii="Palatino Linotype" w:hAnsi="Palatino Linotype"/>
          <w:szCs w:val="26"/>
        </w:rPr>
        <w:t>Finalmente, en lo correspondiente</w:t>
      </w:r>
      <w:r w:rsidR="00296302">
        <w:rPr>
          <w:rFonts w:ascii="Palatino Linotype" w:hAnsi="Palatino Linotype"/>
          <w:szCs w:val="26"/>
        </w:rPr>
        <w:t xml:space="preserve"> al numeral </w:t>
      </w:r>
      <w:r w:rsidR="00296302" w:rsidRPr="00296302">
        <w:rPr>
          <w:rFonts w:ascii="Palatino Linotype" w:hAnsi="Palatino Linotype"/>
          <w:b/>
          <w:sz w:val="26"/>
          <w:szCs w:val="26"/>
        </w:rPr>
        <w:t>4</w:t>
      </w:r>
      <w:r w:rsidR="00296302">
        <w:rPr>
          <w:rFonts w:ascii="Palatino Linotype" w:hAnsi="Palatino Linotype"/>
          <w:szCs w:val="26"/>
        </w:rPr>
        <w:t>, relativo</w:t>
      </w:r>
      <w:r>
        <w:rPr>
          <w:rFonts w:ascii="Palatino Linotype" w:hAnsi="Palatino Linotype"/>
          <w:szCs w:val="26"/>
        </w:rPr>
        <w:t xml:space="preserve"> a los números telefónicos y la relación de llamadas realizadas de dichos equipos telefónicos, el </w:t>
      </w:r>
      <w:r w:rsidRPr="00BB1F86">
        <w:rPr>
          <w:rFonts w:ascii="Palatino Linotype" w:hAnsi="Palatino Linotype"/>
          <w:b/>
          <w:szCs w:val="26"/>
        </w:rPr>
        <w:t>Sujeto Obligado</w:t>
      </w:r>
      <w:r>
        <w:rPr>
          <w:rFonts w:ascii="Palatino Linotype" w:hAnsi="Palatino Linotype"/>
          <w:szCs w:val="26"/>
        </w:rPr>
        <w:t xml:space="preserve">, </w:t>
      </w:r>
      <w:r w:rsidR="00BB1F86">
        <w:rPr>
          <w:rFonts w:ascii="Palatino Linotype" w:hAnsi="Palatino Linotype"/>
          <w:szCs w:val="26"/>
        </w:rPr>
        <w:t xml:space="preserve">en un primer momento, </w:t>
      </w:r>
      <w:r>
        <w:rPr>
          <w:rFonts w:ascii="Palatino Linotype" w:hAnsi="Palatino Linotype"/>
          <w:szCs w:val="26"/>
        </w:rPr>
        <w:t xml:space="preserve">se sirvió en precisar que dicha información es de </w:t>
      </w:r>
      <w:r w:rsidRPr="00BB1F86">
        <w:rPr>
          <w:rFonts w:ascii="Palatino Linotype" w:hAnsi="Palatino Linotype"/>
          <w:b/>
          <w:szCs w:val="26"/>
          <w:u w:val="single"/>
        </w:rPr>
        <w:t>carácter personal</w:t>
      </w:r>
      <w:r>
        <w:rPr>
          <w:rFonts w:ascii="Palatino Linotype" w:hAnsi="Palatino Linotype"/>
          <w:szCs w:val="26"/>
        </w:rPr>
        <w:t xml:space="preserve">, que procede su clasificación como </w:t>
      </w:r>
      <w:r w:rsidRPr="007C43A5">
        <w:rPr>
          <w:rFonts w:ascii="Palatino Linotype" w:hAnsi="Palatino Linotype"/>
          <w:b/>
          <w:szCs w:val="26"/>
        </w:rPr>
        <w:t>confidencial</w:t>
      </w:r>
      <w:r>
        <w:rPr>
          <w:rFonts w:ascii="Palatino Linotype" w:hAnsi="Palatino Linotype"/>
          <w:szCs w:val="26"/>
        </w:rPr>
        <w:t xml:space="preserve"> en términos de la fracción I del artículo 143 de la Ley de Transparencia y Acceso a la Información Pública del Estado de México y Municipios, artículo 116 párrafo primero de la Ley General de Transparencia y Acceso a la Información Pública, artículo 4 de la Ley de Protección de Datos Personales del Estado de México y numeral Trigésimo octavo de los Lineamientos Generales en materia de clasificación y desclasificación de la información, los cuales establecen lo siguiente:</w:t>
      </w:r>
    </w:p>
    <w:p w:rsidR="0009315C" w:rsidRDefault="0009315C" w:rsidP="0072196A">
      <w:pPr>
        <w:spacing w:line="360" w:lineRule="auto"/>
        <w:jc w:val="both"/>
        <w:rPr>
          <w:rFonts w:ascii="Palatino Linotype" w:hAnsi="Palatino Linotype"/>
          <w:szCs w:val="26"/>
        </w:rPr>
      </w:pPr>
    </w:p>
    <w:p w:rsidR="002F3517" w:rsidRPr="002F3517" w:rsidRDefault="002F3517" w:rsidP="0072196A">
      <w:pPr>
        <w:ind w:left="567" w:right="616"/>
        <w:jc w:val="both"/>
        <w:rPr>
          <w:rFonts w:ascii="Palatino Linotype" w:hAnsi="Palatino Linotype"/>
          <w:i/>
          <w:sz w:val="22"/>
          <w:szCs w:val="26"/>
        </w:rPr>
      </w:pPr>
      <w:r>
        <w:rPr>
          <w:rFonts w:ascii="Palatino Linotype" w:hAnsi="Palatino Linotype"/>
          <w:i/>
          <w:sz w:val="22"/>
          <w:szCs w:val="26"/>
        </w:rPr>
        <w:t>“</w:t>
      </w:r>
      <w:r w:rsidRPr="002F3517">
        <w:rPr>
          <w:rFonts w:ascii="Palatino Linotype" w:hAnsi="Palatino Linotype"/>
          <w:b/>
          <w:i/>
          <w:sz w:val="22"/>
          <w:szCs w:val="26"/>
        </w:rPr>
        <w:t>Artículo 143.</w:t>
      </w:r>
      <w:r w:rsidRPr="002F3517">
        <w:rPr>
          <w:rFonts w:ascii="Palatino Linotype" w:hAnsi="Palatino Linotype"/>
          <w:i/>
          <w:sz w:val="22"/>
          <w:szCs w:val="26"/>
        </w:rPr>
        <w:t xml:space="preserve"> Para los efectos de esta Ley se considera información confidencial, la clasificada como</w:t>
      </w:r>
      <w:r>
        <w:rPr>
          <w:rFonts w:ascii="Palatino Linotype" w:hAnsi="Palatino Linotype"/>
          <w:i/>
          <w:sz w:val="22"/>
          <w:szCs w:val="26"/>
        </w:rPr>
        <w:t xml:space="preserve"> </w:t>
      </w:r>
      <w:r w:rsidRPr="002F3517">
        <w:rPr>
          <w:rFonts w:ascii="Palatino Linotype" w:hAnsi="Palatino Linotype"/>
          <w:i/>
          <w:sz w:val="22"/>
          <w:szCs w:val="26"/>
        </w:rPr>
        <w:t>tal, de manera permanente, por su naturaleza, cuando:</w:t>
      </w:r>
      <w:r>
        <w:rPr>
          <w:rFonts w:ascii="Palatino Linotype" w:hAnsi="Palatino Linotype"/>
          <w:i/>
          <w:sz w:val="22"/>
          <w:szCs w:val="26"/>
        </w:rPr>
        <w:t xml:space="preserve"> </w:t>
      </w:r>
    </w:p>
    <w:p w:rsidR="0009315C" w:rsidRDefault="002F3517" w:rsidP="0072196A">
      <w:pPr>
        <w:ind w:left="567" w:right="616"/>
        <w:jc w:val="both"/>
        <w:rPr>
          <w:rFonts w:ascii="Palatino Linotype" w:hAnsi="Palatino Linotype"/>
          <w:i/>
          <w:sz w:val="22"/>
          <w:szCs w:val="26"/>
        </w:rPr>
      </w:pPr>
      <w:r w:rsidRPr="002F3517">
        <w:rPr>
          <w:rFonts w:ascii="Palatino Linotype" w:hAnsi="Palatino Linotype"/>
          <w:i/>
          <w:sz w:val="22"/>
          <w:szCs w:val="26"/>
        </w:rPr>
        <w:t>I.</w:t>
      </w:r>
      <w:r>
        <w:rPr>
          <w:rFonts w:ascii="Palatino Linotype" w:hAnsi="Palatino Linotype"/>
          <w:i/>
          <w:sz w:val="22"/>
          <w:szCs w:val="26"/>
        </w:rPr>
        <w:t xml:space="preserve"> </w:t>
      </w:r>
      <w:r w:rsidRPr="002F3517">
        <w:rPr>
          <w:rFonts w:ascii="Palatino Linotype" w:hAnsi="Palatino Linotype"/>
          <w:i/>
          <w:sz w:val="22"/>
          <w:szCs w:val="26"/>
        </w:rPr>
        <w:t xml:space="preserve">Se refiera a la información privada y los datos personales concernientes a una persona física o </w:t>
      </w:r>
      <w:proofErr w:type="gramStart"/>
      <w:r w:rsidRPr="002F3517">
        <w:rPr>
          <w:rFonts w:ascii="Palatino Linotype" w:hAnsi="Palatino Linotype"/>
          <w:i/>
          <w:sz w:val="22"/>
          <w:szCs w:val="26"/>
        </w:rPr>
        <w:t>jurídico</w:t>
      </w:r>
      <w:proofErr w:type="gramEnd"/>
      <w:r w:rsidRPr="002F3517">
        <w:rPr>
          <w:rFonts w:ascii="Palatino Linotype" w:hAnsi="Palatino Linotype"/>
          <w:i/>
          <w:sz w:val="22"/>
          <w:szCs w:val="26"/>
        </w:rPr>
        <w:t xml:space="preserve"> colectiva identificada o identificable;</w:t>
      </w:r>
    </w:p>
    <w:p w:rsidR="002F3517" w:rsidRDefault="002F3517" w:rsidP="0072196A">
      <w:pPr>
        <w:ind w:left="567" w:right="616"/>
        <w:jc w:val="both"/>
        <w:rPr>
          <w:rFonts w:ascii="Palatino Linotype" w:hAnsi="Palatino Linotype"/>
          <w:i/>
          <w:sz w:val="22"/>
          <w:szCs w:val="26"/>
        </w:rPr>
      </w:pPr>
      <w:r>
        <w:rPr>
          <w:rFonts w:ascii="Palatino Linotype" w:hAnsi="Palatino Linotype"/>
          <w:i/>
          <w:sz w:val="22"/>
          <w:szCs w:val="26"/>
        </w:rPr>
        <w:t>(…)</w:t>
      </w:r>
    </w:p>
    <w:p w:rsidR="002F3517" w:rsidRDefault="002F3517" w:rsidP="0072196A">
      <w:pPr>
        <w:ind w:left="567" w:right="616"/>
        <w:jc w:val="both"/>
        <w:rPr>
          <w:rFonts w:ascii="Palatino Linotype" w:hAnsi="Palatino Linotype"/>
          <w:i/>
          <w:sz w:val="22"/>
          <w:szCs w:val="26"/>
        </w:rPr>
      </w:pPr>
    </w:p>
    <w:p w:rsidR="0004053D" w:rsidRDefault="002F3517" w:rsidP="0072196A">
      <w:pPr>
        <w:ind w:left="567" w:right="616"/>
        <w:jc w:val="center"/>
        <w:rPr>
          <w:rFonts w:ascii="Palatino Linotype" w:hAnsi="Palatino Linotype"/>
          <w:b/>
          <w:i/>
          <w:sz w:val="22"/>
          <w:szCs w:val="26"/>
        </w:rPr>
      </w:pPr>
      <w:r w:rsidRPr="002F3517">
        <w:rPr>
          <w:rFonts w:ascii="Palatino Linotype" w:hAnsi="Palatino Linotype"/>
          <w:b/>
          <w:i/>
          <w:sz w:val="22"/>
          <w:szCs w:val="26"/>
        </w:rPr>
        <w:t xml:space="preserve">LEY GENERAL DE TRANSPARENCIA Y ACCESO A LA </w:t>
      </w:r>
    </w:p>
    <w:p w:rsidR="002F3517" w:rsidRPr="002F3517" w:rsidRDefault="002F3517" w:rsidP="0072196A">
      <w:pPr>
        <w:ind w:left="567" w:right="616"/>
        <w:jc w:val="center"/>
        <w:rPr>
          <w:rFonts w:ascii="Palatino Linotype" w:hAnsi="Palatino Linotype"/>
          <w:b/>
          <w:i/>
          <w:sz w:val="22"/>
          <w:szCs w:val="26"/>
        </w:rPr>
      </w:pPr>
      <w:r w:rsidRPr="002F3517">
        <w:rPr>
          <w:rFonts w:ascii="Palatino Linotype" w:hAnsi="Palatino Linotype"/>
          <w:b/>
          <w:i/>
          <w:sz w:val="22"/>
          <w:szCs w:val="26"/>
        </w:rPr>
        <w:t>INFORMACIÓN PÚBLICA</w:t>
      </w:r>
    </w:p>
    <w:p w:rsidR="002F3517" w:rsidRDefault="002F3517" w:rsidP="0072196A">
      <w:pPr>
        <w:ind w:left="567" w:right="616"/>
        <w:jc w:val="both"/>
        <w:rPr>
          <w:rFonts w:ascii="Palatino Linotype" w:hAnsi="Palatino Linotype"/>
          <w:i/>
          <w:sz w:val="22"/>
          <w:szCs w:val="26"/>
        </w:rPr>
      </w:pPr>
    </w:p>
    <w:p w:rsidR="002F3517" w:rsidRPr="002F3517" w:rsidRDefault="002F3517" w:rsidP="0072196A">
      <w:pPr>
        <w:ind w:left="567" w:right="616"/>
        <w:jc w:val="both"/>
        <w:rPr>
          <w:rFonts w:ascii="Palatino Linotype" w:hAnsi="Palatino Linotype"/>
          <w:i/>
          <w:sz w:val="22"/>
          <w:szCs w:val="26"/>
        </w:rPr>
      </w:pPr>
      <w:r w:rsidRPr="002F3517">
        <w:rPr>
          <w:rFonts w:ascii="Palatino Linotype" w:hAnsi="Palatino Linotype"/>
          <w:b/>
          <w:i/>
          <w:sz w:val="22"/>
          <w:szCs w:val="26"/>
        </w:rPr>
        <w:t>Artículo 116.</w:t>
      </w:r>
      <w:r w:rsidRPr="002F3517">
        <w:rPr>
          <w:rFonts w:ascii="Palatino Linotype" w:hAnsi="Palatino Linotype"/>
          <w:i/>
          <w:sz w:val="22"/>
          <w:szCs w:val="26"/>
        </w:rPr>
        <w:t xml:space="preserve"> Se considera información confidencial la que contiene datos personales concernientes a</w:t>
      </w:r>
      <w:r>
        <w:rPr>
          <w:rFonts w:ascii="Palatino Linotype" w:hAnsi="Palatino Linotype"/>
          <w:i/>
          <w:sz w:val="22"/>
          <w:szCs w:val="26"/>
        </w:rPr>
        <w:t xml:space="preserve"> </w:t>
      </w:r>
      <w:r w:rsidRPr="002F3517">
        <w:rPr>
          <w:rFonts w:ascii="Palatino Linotype" w:hAnsi="Palatino Linotype"/>
          <w:i/>
          <w:sz w:val="22"/>
          <w:szCs w:val="26"/>
        </w:rPr>
        <w:t>una persona identificada o identificable.</w:t>
      </w:r>
    </w:p>
    <w:p w:rsidR="002F3517" w:rsidRPr="002F3517" w:rsidRDefault="002F3517" w:rsidP="0072196A">
      <w:pPr>
        <w:ind w:left="567" w:right="616"/>
        <w:jc w:val="both"/>
        <w:rPr>
          <w:rFonts w:ascii="Palatino Linotype" w:hAnsi="Palatino Linotype"/>
          <w:i/>
          <w:sz w:val="22"/>
          <w:szCs w:val="26"/>
        </w:rPr>
      </w:pPr>
      <w:r w:rsidRPr="002F3517">
        <w:rPr>
          <w:rFonts w:ascii="Palatino Linotype" w:hAnsi="Palatino Linotype"/>
          <w:i/>
          <w:sz w:val="22"/>
          <w:szCs w:val="26"/>
        </w:rPr>
        <w:lastRenderedPageBreak/>
        <w:t>La información confidencial no estará sujeta a temporalidad alguna y sólo podrán tener acceso a ella</w:t>
      </w:r>
      <w:r>
        <w:rPr>
          <w:rFonts w:ascii="Palatino Linotype" w:hAnsi="Palatino Linotype"/>
          <w:i/>
          <w:sz w:val="22"/>
          <w:szCs w:val="26"/>
        </w:rPr>
        <w:t xml:space="preserve"> </w:t>
      </w:r>
      <w:r w:rsidRPr="002F3517">
        <w:rPr>
          <w:rFonts w:ascii="Palatino Linotype" w:hAnsi="Palatino Linotype"/>
          <w:i/>
          <w:sz w:val="22"/>
          <w:szCs w:val="26"/>
        </w:rPr>
        <w:t>los titulares de la misma, sus representantes y los Servidores Públicos facultados para ello.</w:t>
      </w:r>
    </w:p>
    <w:p w:rsidR="002F3517" w:rsidRPr="002F3517" w:rsidRDefault="002F3517" w:rsidP="0072196A">
      <w:pPr>
        <w:ind w:left="567" w:right="616"/>
        <w:jc w:val="both"/>
        <w:rPr>
          <w:rFonts w:ascii="Palatino Linotype" w:hAnsi="Palatino Linotype"/>
          <w:i/>
          <w:sz w:val="22"/>
          <w:szCs w:val="26"/>
        </w:rPr>
      </w:pPr>
      <w:r w:rsidRPr="002F3517">
        <w:rPr>
          <w:rFonts w:ascii="Palatino Linotype" w:hAnsi="Palatino Linotype"/>
          <w:i/>
          <w:sz w:val="22"/>
          <w:szCs w:val="26"/>
        </w:rPr>
        <w:t>Se considera como información confidencial: los secretos bancario, fiduciario, industrial, comercial,</w:t>
      </w:r>
      <w:r>
        <w:rPr>
          <w:rFonts w:ascii="Palatino Linotype" w:hAnsi="Palatino Linotype"/>
          <w:i/>
          <w:sz w:val="22"/>
          <w:szCs w:val="26"/>
        </w:rPr>
        <w:t xml:space="preserve"> </w:t>
      </w:r>
      <w:r w:rsidRPr="002F3517">
        <w:rPr>
          <w:rFonts w:ascii="Palatino Linotype" w:hAnsi="Palatino Linotype"/>
          <w:i/>
          <w:sz w:val="22"/>
          <w:szCs w:val="26"/>
        </w:rPr>
        <w:t>fiscal, bursátil y postal, cuya titularidad corresponda a particulares, sujetos de derecho internacional o a</w:t>
      </w:r>
      <w:r>
        <w:rPr>
          <w:rFonts w:ascii="Palatino Linotype" w:hAnsi="Palatino Linotype"/>
          <w:i/>
          <w:sz w:val="22"/>
          <w:szCs w:val="26"/>
        </w:rPr>
        <w:t xml:space="preserve"> </w:t>
      </w:r>
      <w:r w:rsidRPr="002F3517">
        <w:rPr>
          <w:rFonts w:ascii="Palatino Linotype" w:hAnsi="Palatino Linotype"/>
          <w:i/>
          <w:sz w:val="22"/>
          <w:szCs w:val="26"/>
        </w:rPr>
        <w:t>sujetos obligados cuando no involucren el ejercicio de recursos públicos.</w:t>
      </w:r>
    </w:p>
    <w:p w:rsidR="002F3517" w:rsidRDefault="002F3517" w:rsidP="0072196A">
      <w:pPr>
        <w:ind w:left="567" w:right="616"/>
        <w:jc w:val="both"/>
        <w:rPr>
          <w:rFonts w:ascii="Palatino Linotype" w:hAnsi="Palatino Linotype"/>
          <w:i/>
          <w:sz w:val="22"/>
          <w:szCs w:val="26"/>
        </w:rPr>
      </w:pPr>
      <w:r w:rsidRPr="002F3517">
        <w:rPr>
          <w:rFonts w:ascii="Palatino Linotype" w:hAnsi="Palatino Linotype"/>
          <w:i/>
          <w:sz w:val="22"/>
          <w:szCs w:val="26"/>
        </w:rPr>
        <w:t>Asimismo, será información confidencial aquella que presenten los particulares a los sujetos</w:t>
      </w:r>
      <w:r>
        <w:rPr>
          <w:rFonts w:ascii="Palatino Linotype" w:hAnsi="Palatino Linotype"/>
          <w:i/>
          <w:sz w:val="22"/>
          <w:szCs w:val="26"/>
        </w:rPr>
        <w:t xml:space="preserve"> </w:t>
      </w:r>
      <w:r w:rsidRPr="002F3517">
        <w:rPr>
          <w:rFonts w:ascii="Palatino Linotype" w:hAnsi="Palatino Linotype"/>
          <w:i/>
          <w:sz w:val="22"/>
          <w:szCs w:val="26"/>
        </w:rPr>
        <w:t>obligados, siempre que tengan el derecho a ello, de conformidad con lo dispuesto por las leyes o los</w:t>
      </w:r>
      <w:r>
        <w:rPr>
          <w:rFonts w:ascii="Palatino Linotype" w:hAnsi="Palatino Linotype"/>
          <w:i/>
          <w:sz w:val="22"/>
          <w:szCs w:val="26"/>
        </w:rPr>
        <w:t xml:space="preserve"> </w:t>
      </w:r>
      <w:r w:rsidRPr="002F3517">
        <w:rPr>
          <w:rFonts w:ascii="Palatino Linotype" w:hAnsi="Palatino Linotype"/>
          <w:i/>
          <w:sz w:val="22"/>
          <w:szCs w:val="26"/>
        </w:rPr>
        <w:t>tratados internacionales.</w:t>
      </w:r>
    </w:p>
    <w:p w:rsidR="002F3517" w:rsidRDefault="002F3517" w:rsidP="0072196A">
      <w:pPr>
        <w:ind w:left="567" w:right="616"/>
        <w:jc w:val="both"/>
        <w:rPr>
          <w:rFonts w:ascii="Palatino Linotype" w:hAnsi="Palatino Linotype"/>
          <w:i/>
          <w:sz w:val="22"/>
          <w:szCs w:val="26"/>
        </w:rPr>
      </w:pPr>
    </w:p>
    <w:p w:rsidR="002F3517" w:rsidRPr="002F3517" w:rsidRDefault="002F3517" w:rsidP="0072196A">
      <w:pPr>
        <w:ind w:left="567" w:right="616"/>
        <w:jc w:val="center"/>
        <w:rPr>
          <w:rFonts w:ascii="Palatino Linotype" w:hAnsi="Palatino Linotype"/>
          <w:b/>
          <w:i/>
          <w:sz w:val="22"/>
          <w:szCs w:val="26"/>
        </w:rPr>
      </w:pPr>
      <w:r w:rsidRPr="002F3517">
        <w:rPr>
          <w:rFonts w:ascii="Palatino Linotype" w:hAnsi="Palatino Linotype"/>
          <w:b/>
          <w:i/>
          <w:sz w:val="22"/>
          <w:szCs w:val="26"/>
        </w:rPr>
        <w:t xml:space="preserve">LEY DE PROTECCIÓN DE DATOS PERSONALES EN POSESIÓN DE </w:t>
      </w:r>
    </w:p>
    <w:p w:rsidR="002F3517" w:rsidRPr="002F3517" w:rsidRDefault="002F3517" w:rsidP="0072196A">
      <w:pPr>
        <w:ind w:left="567" w:right="616"/>
        <w:jc w:val="center"/>
        <w:rPr>
          <w:rFonts w:ascii="Palatino Linotype" w:hAnsi="Palatino Linotype"/>
          <w:b/>
          <w:i/>
          <w:sz w:val="22"/>
          <w:szCs w:val="26"/>
        </w:rPr>
      </w:pPr>
      <w:r w:rsidRPr="002F3517">
        <w:rPr>
          <w:rFonts w:ascii="Palatino Linotype" w:hAnsi="Palatino Linotype"/>
          <w:b/>
          <w:i/>
          <w:sz w:val="22"/>
          <w:szCs w:val="26"/>
        </w:rPr>
        <w:t>SUJETOS OBLIGADOS DEL ESTADO DE MÉXICO Y MUNICIPIOS</w:t>
      </w:r>
    </w:p>
    <w:p w:rsidR="002F3517" w:rsidRDefault="002F3517" w:rsidP="0072196A">
      <w:pPr>
        <w:ind w:left="567" w:right="616"/>
        <w:jc w:val="both"/>
        <w:rPr>
          <w:rFonts w:ascii="Palatino Linotype" w:hAnsi="Palatino Linotype"/>
          <w:i/>
          <w:sz w:val="22"/>
          <w:szCs w:val="26"/>
        </w:rPr>
      </w:pPr>
    </w:p>
    <w:p w:rsidR="002F3517" w:rsidRDefault="002F3517" w:rsidP="0072196A">
      <w:pPr>
        <w:ind w:left="567" w:right="616"/>
        <w:jc w:val="both"/>
        <w:rPr>
          <w:rFonts w:ascii="Palatino Linotype" w:hAnsi="Palatino Linotype"/>
          <w:i/>
          <w:sz w:val="22"/>
          <w:szCs w:val="26"/>
        </w:rPr>
      </w:pPr>
      <w:r w:rsidRPr="002F3517">
        <w:rPr>
          <w:rFonts w:ascii="Palatino Linotype" w:hAnsi="Palatino Linotype"/>
          <w:b/>
          <w:i/>
          <w:sz w:val="22"/>
          <w:szCs w:val="26"/>
        </w:rPr>
        <w:t>Artículo 4.</w:t>
      </w:r>
      <w:r w:rsidRPr="002F3517">
        <w:rPr>
          <w:rFonts w:ascii="Palatino Linotype" w:hAnsi="Palatino Linotype"/>
          <w:i/>
          <w:sz w:val="22"/>
          <w:szCs w:val="26"/>
        </w:rPr>
        <w:t xml:space="preserve"> Para los efectos de esta Ley se entenderá por:</w:t>
      </w:r>
    </w:p>
    <w:p w:rsidR="002F3517" w:rsidRDefault="002F3517" w:rsidP="0072196A">
      <w:pPr>
        <w:ind w:left="567" w:right="616"/>
        <w:jc w:val="both"/>
        <w:rPr>
          <w:rFonts w:ascii="Palatino Linotype" w:hAnsi="Palatino Linotype"/>
          <w:i/>
          <w:sz w:val="22"/>
          <w:szCs w:val="26"/>
        </w:rPr>
      </w:pPr>
      <w:r>
        <w:rPr>
          <w:rFonts w:ascii="Palatino Linotype" w:hAnsi="Palatino Linotype"/>
          <w:i/>
          <w:sz w:val="22"/>
          <w:szCs w:val="26"/>
        </w:rPr>
        <w:t>(…)</w:t>
      </w:r>
    </w:p>
    <w:p w:rsidR="002F3517" w:rsidRDefault="002F3517" w:rsidP="0072196A">
      <w:pPr>
        <w:ind w:left="567" w:right="616"/>
        <w:jc w:val="both"/>
        <w:rPr>
          <w:rFonts w:ascii="Palatino Linotype" w:hAnsi="Palatino Linotype"/>
          <w:i/>
          <w:sz w:val="22"/>
          <w:szCs w:val="26"/>
        </w:rPr>
      </w:pPr>
      <w:r w:rsidRPr="002F3517">
        <w:rPr>
          <w:rFonts w:ascii="Palatino Linotype" w:hAnsi="Palatino Linotype"/>
          <w:b/>
          <w:i/>
          <w:sz w:val="22"/>
          <w:szCs w:val="26"/>
        </w:rPr>
        <w:t>VII</w:t>
      </w:r>
      <w:r w:rsidRPr="002F3517">
        <w:rPr>
          <w:rFonts w:ascii="Palatino Linotype" w:hAnsi="Palatino Linotype"/>
          <w:i/>
          <w:sz w:val="22"/>
          <w:szCs w:val="26"/>
        </w:rPr>
        <w:t xml:space="preserve">. </w:t>
      </w:r>
      <w:r w:rsidRPr="002F3517">
        <w:rPr>
          <w:rFonts w:ascii="Palatino Linotype" w:hAnsi="Palatino Linotype"/>
          <w:b/>
          <w:i/>
          <w:sz w:val="22"/>
          <w:szCs w:val="26"/>
        </w:rPr>
        <w:t>Bloqueo</w:t>
      </w:r>
      <w:r w:rsidRPr="002F3517">
        <w:rPr>
          <w:rFonts w:ascii="Palatino Linotype" w:hAnsi="Palatino Linotype"/>
          <w:i/>
          <w:sz w:val="22"/>
          <w:szCs w:val="26"/>
        </w:rPr>
        <w:t>: a la identificación y conservación de datos personales una vez cumplida la finalidad para</w:t>
      </w:r>
      <w:r>
        <w:rPr>
          <w:rFonts w:ascii="Palatino Linotype" w:hAnsi="Palatino Linotype"/>
          <w:i/>
          <w:sz w:val="22"/>
          <w:szCs w:val="26"/>
        </w:rPr>
        <w:t xml:space="preserve"> </w:t>
      </w:r>
      <w:r w:rsidRPr="002F3517">
        <w:rPr>
          <w:rFonts w:ascii="Palatino Linotype" w:hAnsi="Palatino Linotype"/>
          <w:i/>
          <w:sz w:val="22"/>
          <w:szCs w:val="26"/>
        </w:rPr>
        <w:t>la cual fueron recabados, con el propósito de determinar posibles responsabilidades en relación con su</w:t>
      </w:r>
      <w:r>
        <w:rPr>
          <w:rFonts w:ascii="Palatino Linotype" w:hAnsi="Palatino Linotype"/>
          <w:i/>
          <w:sz w:val="22"/>
          <w:szCs w:val="26"/>
        </w:rPr>
        <w:t xml:space="preserve"> </w:t>
      </w:r>
      <w:r w:rsidRPr="002F3517">
        <w:rPr>
          <w:rFonts w:ascii="Palatino Linotype" w:hAnsi="Palatino Linotype"/>
          <w:i/>
          <w:sz w:val="22"/>
          <w:szCs w:val="26"/>
        </w:rPr>
        <w:t>tratamiento, hasta el plazo de prescripción legal o contractual, transcurrido este se procederá a su</w:t>
      </w:r>
      <w:r>
        <w:rPr>
          <w:rFonts w:ascii="Palatino Linotype" w:hAnsi="Palatino Linotype"/>
          <w:i/>
          <w:sz w:val="22"/>
          <w:szCs w:val="26"/>
        </w:rPr>
        <w:t xml:space="preserve"> </w:t>
      </w:r>
      <w:r w:rsidRPr="002F3517">
        <w:rPr>
          <w:rFonts w:ascii="Palatino Linotype" w:hAnsi="Palatino Linotype"/>
          <w:i/>
          <w:sz w:val="22"/>
          <w:szCs w:val="26"/>
        </w:rPr>
        <w:t>cancelación en los sistemas y bases de datos que corresponda.</w:t>
      </w:r>
      <w:r w:rsidRPr="002F3517">
        <w:rPr>
          <w:rFonts w:ascii="Palatino Linotype" w:hAnsi="Palatino Linotype"/>
          <w:i/>
          <w:sz w:val="22"/>
          <w:szCs w:val="26"/>
        </w:rPr>
        <w:cr/>
      </w:r>
    </w:p>
    <w:p w:rsidR="0004053D" w:rsidRPr="0004053D" w:rsidRDefault="0004053D" w:rsidP="0072196A">
      <w:pPr>
        <w:ind w:left="567" w:right="616"/>
        <w:jc w:val="center"/>
        <w:rPr>
          <w:rFonts w:ascii="Palatino Linotype" w:hAnsi="Palatino Linotype"/>
          <w:b/>
          <w:i/>
          <w:sz w:val="22"/>
          <w:szCs w:val="26"/>
          <w:lang w:val="es-MX"/>
        </w:rPr>
      </w:pPr>
      <w:r w:rsidRPr="0004053D">
        <w:rPr>
          <w:rFonts w:ascii="Palatino Linotype" w:hAnsi="Palatino Linotype"/>
          <w:b/>
          <w:i/>
          <w:sz w:val="22"/>
          <w:szCs w:val="26"/>
          <w:lang w:val="es-MX"/>
        </w:rPr>
        <w:t>Lineamientos generales en materia de clasificación y desclasificación de la información, así como para la elaboración de versiones públicas.</w:t>
      </w:r>
    </w:p>
    <w:p w:rsidR="002F3517" w:rsidRDefault="002F3517" w:rsidP="0072196A">
      <w:pPr>
        <w:ind w:left="567" w:right="616"/>
        <w:jc w:val="both"/>
        <w:rPr>
          <w:rFonts w:ascii="Palatino Linotype" w:hAnsi="Palatino Linotype"/>
          <w:i/>
          <w:sz w:val="22"/>
          <w:szCs w:val="26"/>
        </w:rPr>
      </w:pPr>
    </w:p>
    <w:p w:rsidR="0004053D" w:rsidRPr="0004053D" w:rsidRDefault="0004053D" w:rsidP="0072196A">
      <w:pPr>
        <w:ind w:left="567" w:right="616"/>
        <w:jc w:val="both"/>
        <w:rPr>
          <w:rFonts w:ascii="Palatino Linotype" w:hAnsi="Palatino Linotype"/>
          <w:i/>
          <w:sz w:val="22"/>
          <w:szCs w:val="26"/>
        </w:rPr>
      </w:pPr>
      <w:r w:rsidRPr="0004053D">
        <w:rPr>
          <w:rFonts w:ascii="Palatino Linotype" w:hAnsi="Palatino Linotype"/>
          <w:b/>
          <w:i/>
          <w:sz w:val="22"/>
          <w:szCs w:val="26"/>
        </w:rPr>
        <w:t>Trigésimo octavo.</w:t>
      </w:r>
      <w:r w:rsidRPr="0004053D">
        <w:rPr>
          <w:rFonts w:ascii="Palatino Linotype" w:hAnsi="Palatino Linotype"/>
          <w:i/>
          <w:sz w:val="22"/>
          <w:szCs w:val="26"/>
        </w:rPr>
        <w:t xml:space="preserve"> Se considera </w:t>
      </w:r>
      <w:r w:rsidRPr="0004053D">
        <w:rPr>
          <w:rFonts w:ascii="Palatino Linotype" w:hAnsi="Palatino Linotype"/>
          <w:i/>
          <w:sz w:val="22"/>
          <w:szCs w:val="26"/>
          <w:u w:val="single"/>
        </w:rPr>
        <w:t>información confidencial</w:t>
      </w:r>
      <w:r w:rsidRPr="0004053D">
        <w:rPr>
          <w:rFonts w:ascii="Palatino Linotype" w:hAnsi="Palatino Linotype"/>
          <w:i/>
          <w:sz w:val="22"/>
          <w:szCs w:val="26"/>
        </w:rPr>
        <w:t>:</w:t>
      </w:r>
    </w:p>
    <w:p w:rsidR="0004053D" w:rsidRPr="0004053D" w:rsidRDefault="0004053D" w:rsidP="0072196A">
      <w:pPr>
        <w:pStyle w:val="Prrafodelista"/>
        <w:numPr>
          <w:ilvl w:val="0"/>
          <w:numId w:val="9"/>
        </w:numPr>
        <w:ind w:left="993" w:right="616"/>
        <w:jc w:val="both"/>
        <w:rPr>
          <w:rFonts w:ascii="Palatino Linotype" w:hAnsi="Palatino Linotype"/>
          <w:i/>
          <w:sz w:val="22"/>
          <w:szCs w:val="26"/>
        </w:rPr>
      </w:pPr>
      <w:r w:rsidRPr="0004053D">
        <w:rPr>
          <w:rFonts w:ascii="Palatino Linotype" w:hAnsi="Palatino Linotype"/>
          <w:i/>
          <w:sz w:val="22"/>
          <w:szCs w:val="26"/>
        </w:rPr>
        <w:t>Los datos personales en los términos de la norma aplicable;</w:t>
      </w:r>
    </w:p>
    <w:p w:rsidR="0004053D" w:rsidRPr="0004053D" w:rsidRDefault="0004053D" w:rsidP="0072196A">
      <w:pPr>
        <w:pStyle w:val="Prrafodelista"/>
        <w:numPr>
          <w:ilvl w:val="0"/>
          <w:numId w:val="9"/>
        </w:numPr>
        <w:ind w:left="993" w:right="616"/>
        <w:jc w:val="both"/>
        <w:rPr>
          <w:rFonts w:ascii="Palatino Linotype" w:hAnsi="Palatino Linotype"/>
          <w:i/>
          <w:sz w:val="22"/>
          <w:szCs w:val="26"/>
        </w:rPr>
      </w:pPr>
      <w:r w:rsidRPr="0004053D">
        <w:rPr>
          <w:rFonts w:ascii="Palatino Linotype" w:hAnsi="Palatino Linotype"/>
          <w:i/>
          <w:sz w:val="22"/>
          <w:szCs w:val="26"/>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4053D" w:rsidRPr="0004053D" w:rsidRDefault="0004053D" w:rsidP="0072196A">
      <w:pPr>
        <w:pStyle w:val="Prrafodelista"/>
        <w:numPr>
          <w:ilvl w:val="0"/>
          <w:numId w:val="9"/>
        </w:numPr>
        <w:ind w:left="993" w:right="616"/>
        <w:jc w:val="both"/>
        <w:rPr>
          <w:rFonts w:ascii="Palatino Linotype" w:hAnsi="Palatino Linotype"/>
          <w:i/>
          <w:sz w:val="22"/>
          <w:szCs w:val="26"/>
        </w:rPr>
      </w:pPr>
      <w:r w:rsidRPr="0004053D">
        <w:rPr>
          <w:rFonts w:ascii="Palatino Linotype" w:hAnsi="Palatino Linotype"/>
          <w:i/>
          <w:sz w:val="22"/>
          <w:szCs w:val="26"/>
        </w:rPr>
        <w:t>Los secretos bancario, fiduciario, industrial, comercial, fiscal, bursátil y postal cuya titularidad corresponda a particulares, sujetos de derecho internacional o a sujetos obligados cuando no involucren el ejercicio de recursos públicos.</w:t>
      </w:r>
    </w:p>
    <w:p w:rsidR="0004053D" w:rsidRDefault="0004053D" w:rsidP="0072196A">
      <w:pPr>
        <w:ind w:left="567" w:right="616"/>
        <w:jc w:val="both"/>
        <w:rPr>
          <w:rFonts w:ascii="Palatino Linotype" w:hAnsi="Palatino Linotype"/>
          <w:i/>
          <w:sz w:val="22"/>
          <w:szCs w:val="26"/>
        </w:rPr>
      </w:pPr>
      <w:r w:rsidRPr="0004053D">
        <w:rPr>
          <w:rFonts w:ascii="Palatino Linotype" w:hAnsi="Palatino Linotype"/>
          <w:i/>
          <w:sz w:val="22"/>
          <w:szCs w:val="26"/>
        </w:rPr>
        <w:t>La información confidencial no estará sujeta a temporalidad alguna y sólo podrán tener acceso a ella los titulares de la misma, sus representantes y los servidores públicos facultados para ello.</w:t>
      </w:r>
    </w:p>
    <w:p w:rsidR="00EB6439" w:rsidRPr="00EB6439" w:rsidRDefault="00EB6439" w:rsidP="0072196A">
      <w:pPr>
        <w:spacing w:line="360" w:lineRule="auto"/>
        <w:jc w:val="both"/>
        <w:rPr>
          <w:rFonts w:ascii="Palatino Linotype" w:hAnsi="Palatino Linotype"/>
        </w:rPr>
      </w:pPr>
    </w:p>
    <w:p w:rsidR="007C43A5" w:rsidRDefault="00BB1F86" w:rsidP="0072196A">
      <w:pPr>
        <w:pStyle w:val="Sinespaciado"/>
        <w:spacing w:line="360" w:lineRule="auto"/>
        <w:jc w:val="both"/>
        <w:rPr>
          <w:rFonts w:ascii="Palatino Linotype" w:hAnsi="Palatino Linotype"/>
          <w:sz w:val="24"/>
          <w:szCs w:val="24"/>
        </w:rPr>
      </w:pPr>
      <w:r w:rsidRPr="00225E8F">
        <w:rPr>
          <w:rFonts w:ascii="Palatino Linotype" w:hAnsi="Palatino Linotype"/>
          <w:sz w:val="24"/>
          <w:szCs w:val="24"/>
          <w:lang w:val="es-ES_tradnl"/>
        </w:rPr>
        <w:lastRenderedPageBreak/>
        <w:t xml:space="preserve">Sin embargo, en informe justificado modifico su respuesta, objetivamente </w:t>
      </w:r>
      <w:r w:rsidR="00954B11">
        <w:rPr>
          <w:rFonts w:ascii="Palatino Linotype" w:hAnsi="Palatino Linotype"/>
          <w:sz w:val="24"/>
          <w:szCs w:val="24"/>
          <w:lang w:val="es-ES_tradnl"/>
        </w:rPr>
        <w:t xml:space="preserve">en términos </w:t>
      </w:r>
      <w:r w:rsidRPr="00225E8F">
        <w:rPr>
          <w:rFonts w:ascii="Palatino Linotype" w:hAnsi="Palatino Linotype"/>
          <w:sz w:val="24"/>
          <w:szCs w:val="24"/>
          <w:lang w:val="es-ES_tradnl"/>
        </w:rPr>
        <w:t xml:space="preserve">que dicha información no obra en los archivos del </w:t>
      </w:r>
      <w:r w:rsidRPr="00225E8F">
        <w:rPr>
          <w:rFonts w:ascii="Palatino Linotype" w:hAnsi="Palatino Linotype"/>
          <w:b/>
          <w:sz w:val="24"/>
          <w:szCs w:val="24"/>
          <w:lang w:val="es-ES_tradnl"/>
        </w:rPr>
        <w:t>Sujeto Obligado</w:t>
      </w:r>
      <w:r w:rsidRPr="00225E8F">
        <w:rPr>
          <w:rFonts w:ascii="Palatino Linotype" w:hAnsi="Palatino Linotype"/>
          <w:sz w:val="24"/>
          <w:szCs w:val="24"/>
          <w:lang w:val="es-ES_tradnl"/>
        </w:rPr>
        <w:t xml:space="preserve">, al no existir en su marco jurídico </w:t>
      </w:r>
      <w:r w:rsidRPr="00225E8F">
        <w:rPr>
          <w:rFonts w:ascii="Palatino Linotype" w:hAnsi="Palatino Linotype" w:cs="Arial"/>
          <w:sz w:val="24"/>
          <w:szCs w:val="24"/>
          <w:lang w:val="es-ES_tradnl"/>
        </w:rPr>
        <w:t>facultad, función o atribución que lo constriña a llevar a cabo un control y registro de las llamadas, realizadas en los equipos telefónicos que les son asignados a diversos servidores públicos; aunado que esa información la debe tener en sus archivos la empresa telefónica encargada de prestar dicho servicio</w:t>
      </w:r>
      <w:r w:rsidR="00483D63" w:rsidRPr="00225E8F">
        <w:rPr>
          <w:rFonts w:ascii="Palatino Linotype" w:hAnsi="Palatino Linotype" w:cs="Arial"/>
          <w:sz w:val="24"/>
          <w:szCs w:val="24"/>
          <w:lang w:val="es-ES_tradnl"/>
        </w:rPr>
        <w:t xml:space="preserve">, </w:t>
      </w:r>
      <w:r w:rsidR="00483D63" w:rsidRPr="00225E8F">
        <w:rPr>
          <w:rFonts w:ascii="Palatino Linotype" w:hAnsi="Palatino Linotype"/>
          <w:sz w:val="24"/>
          <w:szCs w:val="24"/>
        </w:rPr>
        <w:t xml:space="preserve">de lo manifestado por el </w:t>
      </w:r>
      <w:r w:rsidR="00483D63" w:rsidRPr="00225E8F">
        <w:rPr>
          <w:rFonts w:ascii="Palatino Linotype" w:hAnsi="Palatino Linotype"/>
          <w:b/>
          <w:sz w:val="24"/>
          <w:szCs w:val="24"/>
        </w:rPr>
        <w:t>Sujeto Obligado</w:t>
      </w:r>
      <w:r w:rsidR="00483D63" w:rsidRPr="00225E8F">
        <w:rPr>
          <w:rFonts w:ascii="Palatino Linotype" w:hAnsi="Palatino Linotype"/>
          <w:sz w:val="24"/>
          <w:szCs w:val="24"/>
        </w:rPr>
        <w:t xml:space="preserve"> se colige que no ha generado, poseído o administrado la documentación en donde consten </w:t>
      </w:r>
      <w:r w:rsidR="007C43A5">
        <w:rPr>
          <w:rFonts w:ascii="Palatino Linotype" w:hAnsi="Palatino Linotype"/>
          <w:sz w:val="24"/>
          <w:szCs w:val="24"/>
        </w:rPr>
        <w:t>la relación de las llamadas realizadas en los equipos telefónicos asignados</w:t>
      </w:r>
      <w:r w:rsidR="00483D63" w:rsidRPr="00225E8F">
        <w:rPr>
          <w:rFonts w:ascii="Palatino Linotype" w:hAnsi="Palatino Linotype"/>
          <w:sz w:val="24"/>
          <w:szCs w:val="24"/>
        </w:rPr>
        <w:t xml:space="preserve">. </w:t>
      </w:r>
    </w:p>
    <w:p w:rsidR="007C43A5" w:rsidRDefault="007C43A5" w:rsidP="0072196A">
      <w:pPr>
        <w:pStyle w:val="Sinespaciado"/>
        <w:spacing w:line="360" w:lineRule="auto"/>
        <w:jc w:val="both"/>
        <w:rPr>
          <w:rFonts w:ascii="Palatino Linotype" w:hAnsi="Palatino Linotype"/>
          <w:sz w:val="24"/>
          <w:szCs w:val="24"/>
        </w:rPr>
      </w:pPr>
    </w:p>
    <w:p w:rsidR="007C43A5" w:rsidRDefault="007C43A5" w:rsidP="0072196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orden de ideas, </w:t>
      </w:r>
      <w:r w:rsidR="00954B11">
        <w:rPr>
          <w:rFonts w:ascii="Palatino Linotype" w:hAnsi="Palatino Linotype"/>
          <w:sz w:val="24"/>
          <w:szCs w:val="24"/>
        </w:rPr>
        <w:t xml:space="preserve">es necesario precisar que si bien es cierto dentro del marco jurídico del </w:t>
      </w:r>
      <w:r w:rsidR="00954B11" w:rsidRPr="00954B11">
        <w:rPr>
          <w:rFonts w:ascii="Palatino Linotype" w:hAnsi="Palatino Linotype"/>
          <w:b/>
          <w:sz w:val="24"/>
          <w:szCs w:val="24"/>
        </w:rPr>
        <w:t>Sujeto Obligado</w:t>
      </w:r>
      <w:r w:rsidR="00954B11">
        <w:rPr>
          <w:rFonts w:ascii="Palatino Linotype" w:hAnsi="Palatino Linotype"/>
          <w:sz w:val="24"/>
          <w:szCs w:val="24"/>
        </w:rPr>
        <w:t xml:space="preserve">, no se encuentran atribuciones en materia de radio telefónica, relativas a un registro de llamadas, mensajes o uso de datos informáticos, del espectro radiotelefónico, también lo es que al reconocer la compra de equipos telefónicos y la contratación de </w:t>
      </w:r>
      <w:r w:rsidR="00691C9E">
        <w:rPr>
          <w:rFonts w:ascii="Palatino Linotype" w:hAnsi="Palatino Linotype"/>
          <w:sz w:val="24"/>
          <w:szCs w:val="24"/>
        </w:rPr>
        <w:t xml:space="preserve">los servicios de telefonía, es necesario remitirnos a lo </w:t>
      </w:r>
      <w:r>
        <w:rPr>
          <w:rFonts w:ascii="Palatino Linotype" w:hAnsi="Palatino Linotype"/>
          <w:sz w:val="24"/>
          <w:szCs w:val="24"/>
        </w:rPr>
        <w:t xml:space="preserve"> establecido en los artículos </w:t>
      </w:r>
      <w:r w:rsidR="00AA5A35">
        <w:rPr>
          <w:rFonts w:ascii="Palatino Linotype" w:hAnsi="Palatino Linotype"/>
          <w:sz w:val="24"/>
          <w:szCs w:val="24"/>
        </w:rPr>
        <w:t xml:space="preserve">87 y 95, fracciones IV y XVI </w:t>
      </w:r>
      <w:r>
        <w:rPr>
          <w:rFonts w:ascii="Palatino Linotype" w:hAnsi="Palatino Linotype"/>
          <w:sz w:val="24"/>
          <w:szCs w:val="24"/>
        </w:rPr>
        <w:t xml:space="preserve">de la Ley Orgánica Municipal del Estado de México, se establecen las áreas que integran al Ayuntamiento, resaltando en el caso particular la Tesorería Municipal, quien dentro de sus atribuciones, se encuentran </w:t>
      </w:r>
      <w:r w:rsidR="00AA5A35">
        <w:rPr>
          <w:rFonts w:ascii="Palatino Linotype" w:hAnsi="Palatino Linotype"/>
          <w:sz w:val="24"/>
          <w:szCs w:val="24"/>
        </w:rPr>
        <w:t xml:space="preserve">las de llevar los registros contables, de ingresos, </w:t>
      </w:r>
      <w:r w:rsidR="00AA5A35">
        <w:rPr>
          <w:rFonts w:ascii="Palatino Linotype" w:hAnsi="Palatino Linotype"/>
          <w:sz w:val="24"/>
          <w:szCs w:val="24"/>
          <w:u w:val="single"/>
        </w:rPr>
        <w:t>egresos,</w:t>
      </w:r>
      <w:r w:rsidR="00AA5A35">
        <w:rPr>
          <w:rFonts w:ascii="Palatino Linotype" w:hAnsi="Palatino Linotype"/>
          <w:sz w:val="24"/>
          <w:szCs w:val="24"/>
        </w:rPr>
        <w:t xml:space="preserve"> así como las de glosar oportunamente las cuentas del ayuntamiento, </w:t>
      </w:r>
      <w:r w:rsidR="00161941">
        <w:rPr>
          <w:rFonts w:ascii="Palatino Linotype" w:hAnsi="Palatino Linotype"/>
          <w:sz w:val="24"/>
          <w:szCs w:val="24"/>
        </w:rPr>
        <w:t>se citan los artículos para mayor referencia:</w:t>
      </w:r>
    </w:p>
    <w:p w:rsidR="007C43A5" w:rsidRDefault="007C43A5" w:rsidP="0072196A">
      <w:pPr>
        <w:pStyle w:val="Sinespaciado"/>
        <w:spacing w:line="360" w:lineRule="auto"/>
        <w:jc w:val="both"/>
        <w:rPr>
          <w:rFonts w:ascii="Palatino Linotype" w:hAnsi="Palatino Linotype"/>
          <w:sz w:val="24"/>
          <w:szCs w:val="24"/>
        </w:rPr>
      </w:pPr>
    </w:p>
    <w:p w:rsidR="007C43A5" w:rsidRPr="007C43A5" w:rsidRDefault="007C43A5" w:rsidP="0072196A">
      <w:pPr>
        <w:pStyle w:val="Sinespaciado"/>
        <w:ind w:left="567" w:right="616"/>
        <w:jc w:val="both"/>
        <w:rPr>
          <w:rFonts w:ascii="Palatino Linotype" w:hAnsi="Palatino Linotype"/>
          <w:i/>
          <w:szCs w:val="24"/>
        </w:rPr>
      </w:pPr>
      <w:r>
        <w:rPr>
          <w:rFonts w:ascii="Palatino Linotype" w:hAnsi="Palatino Linotype"/>
          <w:i/>
          <w:szCs w:val="24"/>
        </w:rPr>
        <w:t>“</w:t>
      </w:r>
      <w:r w:rsidRPr="00AA5A35">
        <w:rPr>
          <w:rFonts w:ascii="Palatino Linotype" w:hAnsi="Palatino Linotype"/>
          <w:b/>
          <w:i/>
          <w:szCs w:val="24"/>
        </w:rPr>
        <w:t>Artículo 87.-</w:t>
      </w:r>
      <w:r w:rsidRPr="007C43A5">
        <w:rPr>
          <w:rFonts w:ascii="Palatino Linotype" w:hAnsi="Palatino Linotype"/>
          <w:i/>
          <w:szCs w:val="24"/>
        </w:rPr>
        <w:t xml:space="preserve"> Para el despacho, estudio y planeación de los diversos asuntos de la</w:t>
      </w:r>
      <w:r>
        <w:rPr>
          <w:rFonts w:ascii="Palatino Linotype" w:hAnsi="Palatino Linotype"/>
          <w:i/>
          <w:szCs w:val="24"/>
        </w:rPr>
        <w:t xml:space="preserve"> </w:t>
      </w:r>
      <w:r w:rsidRPr="007C43A5">
        <w:rPr>
          <w:rFonts w:ascii="Palatino Linotype" w:hAnsi="Palatino Linotype"/>
          <w:i/>
          <w:szCs w:val="24"/>
        </w:rPr>
        <w:t>administración municipal, el ayuntamiento contará por lo menos con las siguientes</w:t>
      </w:r>
      <w:r>
        <w:rPr>
          <w:rFonts w:ascii="Palatino Linotype" w:hAnsi="Palatino Linotype"/>
          <w:i/>
          <w:szCs w:val="24"/>
        </w:rPr>
        <w:t xml:space="preserve"> </w:t>
      </w:r>
      <w:r w:rsidRPr="007C43A5">
        <w:rPr>
          <w:rFonts w:ascii="Palatino Linotype" w:hAnsi="Palatino Linotype"/>
          <w:i/>
          <w:szCs w:val="24"/>
        </w:rPr>
        <w:t>Dependencias:</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i/>
          <w:szCs w:val="24"/>
        </w:rPr>
        <w:lastRenderedPageBreak/>
        <w:t>I. La secretaría del ayuntamiento;</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i/>
          <w:szCs w:val="24"/>
          <w:u w:val="single"/>
        </w:rPr>
        <w:t>II. La tesorería municipal</w:t>
      </w:r>
      <w:r w:rsidRPr="007C43A5">
        <w:rPr>
          <w:rFonts w:ascii="Palatino Linotype" w:hAnsi="Palatino Linotype"/>
          <w:i/>
          <w:szCs w:val="24"/>
        </w:rPr>
        <w:t>.</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i/>
          <w:szCs w:val="24"/>
        </w:rPr>
        <w:t>III. La Dirección de Obras Públicas o equivalente.</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i/>
          <w:szCs w:val="24"/>
        </w:rPr>
        <w:t>IV. La Dirección de Desarrollo Económico o equivalente.</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i/>
          <w:szCs w:val="24"/>
        </w:rPr>
        <w:t>V. La Dirección de Desarrollo Urbano o equivalente;</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i/>
          <w:szCs w:val="24"/>
        </w:rPr>
        <w:t>VI. La Dirección de Ecología o equivalente; y</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i/>
          <w:szCs w:val="24"/>
        </w:rPr>
        <w:t>VII. La Dirección de Desarrollo Social o equivalente, y</w:t>
      </w:r>
    </w:p>
    <w:p w:rsid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i/>
          <w:szCs w:val="24"/>
        </w:rPr>
        <w:t>VIII. La Coordinación Municipal de Protección Civil o equivalente.</w:t>
      </w:r>
    </w:p>
    <w:p w:rsidR="007C43A5" w:rsidRDefault="007C43A5" w:rsidP="0072196A">
      <w:pPr>
        <w:pStyle w:val="Sinespaciado"/>
        <w:ind w:left="567" w:right="616"/>
        <w:jc w:val="both"/>
        <w:rPr>
          <w:rFonts w:ascii="Palatino Linotype" w:hAnsi="Palatino Linotype"/>
          <w:i/>
          <w:szCs w:val="24"/>
        </w:rPr>
      </w:pP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b/>
          <w:i/>
          <w:szCs w:val="24"/>
        </w:rPr>
        <w:t>Artículo 95.-</w:t>
      </w:r>
      <w:r w:rsidRPr="007C43A5">
        <w:rPr>
          <w:rFonts w:ascii="Palatino Linotype" w:hAnsi="Palatino Linotype"/>
          <w:i/>
          <w:szCs w:val="24"/>
        </w:rPr>
        <w:t xml:space="preserve"> Son atribuciones del tesorero municipal:</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I.</w:t>
      </w:r>
      <w:r w:rsidRPr="007C43A5">
        <w:rPr>
          <w:rFonts w:ascii="Palatino Linotype" w:hAnsi="Palatino Linotype"/>
          <w:i/>
          <w:szCs w:val="24"/>
        </w:rPr>
        <w:t xml:space="preserve"> Administrar la hacienda pública municipal, de conformidad con las disposiciones legales</w:t>
      </w:r>
      <w:r>
        <w:rPr>
          <w:rFonts w:ascii="Palatino Linotype" w:hAnsi="Palatino Linotype"/>
          <w:i/>
          <w:szCs w:val="24"/>
        </w:rPr>
        <w:t xml:space="preserve"> </w:t>
      </w:r>
      <w:r w:rsidRPr="007C43A5">
        <w:rPr>
          <w:rFonts w:ascii="Palatino Linotype" w:hAnsi="Palatino Linotype"/>
          <w:i/>
          <w:szCs w:val="24"/>
        </w:rPr>
        <w:t>aplicables;</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 xml:space="preserve">II. </w:t>
      </w:r>
      <w:r w:rsidRPr="007C43A5">
        <w:rPr>
          <w:rFonts w:ascii="Palatino Linotype" w:hAnsi="Palatino Linotype"/>
          <w:i/>
          <w:szCs w:val="24"/>
        </w:rPr>
        <w:t>Determinar, liquidar, recaudar, fiscalizar y administrar las contribuciones en los términos de</w:t>
      </w:r>
      <w:r>
        <w:rPr>
          <w:rFonts w:ascii="Palatino Linotype" w:hAnsi="Palatino Linotype"/>
          <w:i/>
          <w:szCs w:val="24"/>
        </w:rPr>
        <w:t xml:space="preserve"> </w:t>
      </w:r>
      <w:r w:rsidRPr="007C43A5">
        <w:rPr>
          <w:rFonts w:ascii="Palatino Linotype" w:hAnsi="Palatino Linotype"/>
          <w:i/>
          <w:szCs w:val="24"/>
        </w:rPr>
        <w:t>los ordenamientos jurídicos aplicables y, en su caso, aplicar el procedimiento administrativo de</w:t>
      </w:r>
      <w:r>
        <w:rPr>
          <w:rFonts w:ascii="Palatino Linotype" w:hAnsi="Palatino Linotype"/>
          <w:i/>
          <w:szCs w:val="24"/>
        </w:rPr>
        <w:t xml:space="preserve"> </w:t>
      </w:r>
      <w:r w:rsidRPr="007C43A5">
        <w:rPr>
          <w:rFonts w:ascii="Palatino Linotype" w:hAnsi="Palatino Linotype"/>
          <w:i/>
          <w:szCs w:val="24"/>
        </w:rPr>
        <w:t>ejecución en términos de las disposiciones aplicables;</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III.</w:t>
      </w:r>
      <w:r w:rsidRPr="007C43A5">
        <w:rPr>
          <w:rFonts w:ascii="Palatino Linotype" w:hAnsi="Palatino Linotype"/>
          <w:i/>
          <w:szCs w:val="24"/>
        </w:rPr>
        <w:t xml:space="preserve"> Imponer las sanciones administrativas que procedan por infracciones a las disposiciones</w:t>
      </w:r>
      <w:r>
        <w:rPr>
          <w:rFonts w:ascii="Palatino Linotype" w:hAnsi="Palatino Linotype"/>
          <w:i/>
          <w:szCs w:val="24"/>
        </w:rPr>
        <w:t xml:space="preserve"> </w:t>
      </w:r>
      <w:r w:rsidRPr="007C43A5">
        <w:rPr>
          <w:rFonts w:ascii="Palatino Linotype" w:hAnsi="Palatino Linotype"/>
          <w:i/>
          <w:szCs w:val="24"/>
        </w:rPr>
        <w:t>fiscales;</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b/>
          <w:i/>
          <w:szCs w:val="24"/>
        </w:rPr>
        <w:t>IV.</w:t>
      </w:r>
      <w:r w:rsidRPr="007C43A5">
        <w:rPr>
          <w:rFonts w:ascii="Palatino Linotype" w:hAnsi="Palatino Linotype"/>
          <w:i/>
          <w:szCs w:val="24"/>
        </w:rPr>
        <w:t xml:space="preserve"> </w:t>
      </w:r>
      <w:r w:rsidRPr="007C43A5">
        <w:rPr>
          <w:rFonts w:ascii="Palatino Linotype" w:hAnsi="Palatino Linotype"/>
          <w:i/>
          <w:szCs w:val="24"/>
          <w:u w:val="single"/>
        </w:rPr>
        <w:t>Llevar los registros</w:t>
      </w:r>
      <w:r w:rsidRPr="007C43A5">
        <w:rPr>
          <w:rFonts w:ascii="Palatino Linotype" w:hAnsi="Palatino Linotype"/>
          <w:i/>
          <w:szCs w:val="24"/>
        </w:rPr>
        <w:t xml:space="preserve"> contables, financieros y administrativos de los ingresos, </w:t>
      </w:r>
      <w:r w:rsidRPr="007C43A5">
        <w:rPr>
          <w:rFonts w:ascii="Palatino Linotype" w:hAnsi="Palatino Linotype"/>
          <w:i/>
          <w:szCs w:val="24"/>
          <w:u w:val="single"/>
        </w:rPr>
        <w:t>egresos</w:t>
      </w:r>
      <w:r w:rsidRPr="007C43A5">
        <w:rPr>
          <w:rFonts w:ascii="Palatino Linotype" w:hAnsi="Palatino Linotype"/>
          <w:i/>
          <w:szCs w:val="24"/>
        </w:rPr>
        <w:t>, e</w:t>
      </w:r>
      <w:r>
        <w:rPr>
          <w:rFonts w:ascii="Palatino Linotype" w:hAnsi="Palatino Linotype"/>
          <w:i/>
          <w:szCs w:val="24"/>
        </w:rPr>
        <w:t xml:space="preserve"> </w:t>
      </w:r>
      <w:r w:rsidRPr="007C43A5">
        <w:rPr>
          <w:rFonts w:ascii="Palatino Linotype" w:hAnsi="Palatino Linotype"/>
          <w:i/>
          <w:szCs w:val="24"/>
        </w:rPr>
        <w:t>inventarios;</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V.</w:t>
      </w:r>
      <w:r w:rsidRPr="007C43A5">
        <w:rPr>
          <w:rFonts w:ascii="Palatino Linotype" w:hAnsi="Palatino Linotype"/>
          <w:i/>
          <w:szCs w:val="24"/>
        </w:rPr>
        <w:t xml:space="preserve"> Proporcionar oportunamente al ayuntamiento todos los datos o informes que sean necesarios</w:t>
      </w:r>
      <w:r>
        <w:rPr>
          <w:rFonts w:ascii="Palatino Linotype" w:hAnsi="Palatino Linotype"/>
          <w:i/>
          <w:szCs w:val="24"/>
        </w:rPr>
        <w:t xml:space="preserve"> </w:t>
      </w:r>
      <w:r w:rsidRPr="007C43A5">
        <w:rPr>
          <w:rFonts w:ascii="Palatino Linotype" w:hAnsi="Palatino Linotype"/>
          <w:i/>
          <w:szCs w:val="24"/>
        </w:rPr>
        <w:t>para la formulación del Presupuesto de Egresos Municipales, vigilando que se ajuste a las</w:t>
      </w:r>
      <w:r>
        <w:rPr>
          <w:rFonts w:ascii="Palatino Linotype" w:hAnsi="Palatino Linotype"/>
          <w:i/>
          <w:szCs w:val="24"/>
        </w:rPr>
        <w:t xml:space="preserve"> </w:t>
      </w:r>
      <w:r w:rsidRPr="007C43A5">
        <w:rPr>
          <w:rFonts w:ascii="Palatino Linotype" w:hAnsi="Palatino Linotype"/>
          <w:i/>
          <w:szCs w:val="24"/>
        </w:rPr>
        <w:t>disposiciones de esta Ley y otros ordenamientos aplicables;</w:t>
      </w:r>
    </w:p>
    <w:p w:rsid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VI.</w:t>
      </w:r>
      <w:r w:rsidRPr="007C43A5">
        <w:rPr>
          <w:rFonts w:ascii="Palatino Linotype" w:hAnsi="Palatino Linotype"/>
          <w:i/>
          <w:szCs w:val="24"/>
        </w:rPr>
        <w:t xml:space="preserve"> Presentar anualmente al ayuntamiento un informe de la situación contable financiera de la</w:t>
      </w:r>
      <w:r>
        <w:rPr>
          <w:rFonts w:ascii="Palatino Linotype" w:hAnsi="Palatino Linotype"/>
          <w:i/>
          <w:szCs w:val="24"/>
        </w:rPr>
        <w:t xml:space="preserve"> </w:t>
      </w:r>
      <w:r w:rsidRPr="007C43A5">
        <w:rPr>
          <w:rFonts w:ascii="Palatino Linotype" w:hAnsi="Palatino Linotype"/>
          <w:i/>
          <w:szCs w:val="24"/>
        </w:rPr>
        <w:t>Tesorería Municipal;</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 xml:space="preserve">VI Bis. </w:t>
      </w:r>
      <w:r w:rsidRPr="007C43A5">
        <w:rPr>
          <w:rFonts w:ascii="Palatino Linotype" w:hAnsi="Palatino Linotype"/>
          <w:i/>
          <w:szCs w:val="24"/>
        </w:rPr>
        <w:t>Proporcionar para la formulación del proyecto de Presupuesto de Egresos Municipales la</w:t>
      </w:r>
      <w:r>
        <w:rPr>
          <w:rFonts w:ascii="Palatino Linotype" w:hAnsi="Palatino Linotype"/>
          <w:i/>
          <w:szCs w:val="24"/>
        </w:rPr>
        <w:t xml:space="preserve"> </w:t>
      </w:r>
      <w:r w:rsidRPr="007C43A5">
        <w:rPr>
          <w:rFonts w:ascii="Palatino Linotype" w:hAnsi="Palatino Linotype"/>
          <w:i/>
          <w:szCs w:val="24"/>
        </w:rPr>
        <w:t>información financiera relativa a la solución o en su caso, el pago de los litigios laborales;</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VII.</w:t>
      </w:r>
      <w:r w:rsidRPr="007C43A5">
        <w:rPr>
          <w:rFonts w:ascii="Palatino Linotype" w:hAnsi="Palatino Linotype"/>
          <w:i/>
          <w:szCs w:val="24"/>
        </w:rPr>
        <w:t xml:space="preserve"> Diseñar y aprobar las formas oficiales de manifestaciones, avisos y declaraciones y demás</w:t>
      </w:r>
      <w:r>
        <w:rPr>
          <w:rFonts w:ascii="Palatino Linotype" w:hAnsi="Palatino Linotype"/>
          <w:i/>
          <w:szCs w:val="24"/>
        </w:rPr>
        <w:t xml:space="preserve"> </w:t>
      </w:r>
      <w:r w:rsidRPr="007C43A5">
        <w:rPr>
          <w:rFonts w:ascii="Palatino Linotype" w:hAnsi="Palatino Linotype"/>
          <w:i/>
          <w:szCs w:val="24"/>
        </w:rPr>
        <w:t>documentos requeridos;</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VIII.</w:t>
      </w:r>
      <w:r w:rsidRPr="007C43A5">
        <w:rPr>
          <w:rFonts w:ascii="Palatino Linotype" w:hAnsi="Palatino Linotype"/>
          <w:i/>
          <w:szCs w:val="24"/>
        </w:rPr>
        <w:t xml:space="preserve"> Participar en la formulación de Convenios Fiscales y ejercer las atribuciones que le</w:t>
      </w:r>
      <w:r>
        <w:rPr>
          <w:rFonts w:ascii="Palatino Linotype" w:hAnsi="Palatino Linotype"/>
          <w:i/>
          <w:szCs w:val="24"/>
        </w:rPr>
        <w:t xml:space="preserve"> </w:t>
      </w:r>
      <w:r w:rsidRPr="007C43A5">
        <w:rPr>
          <w:rFonts w:ascii="Palatino Linotype" w:hAnsi="Palatino Linotype"/>
          <w:i/>
          <w:szCs w:val="24"/>
        </w:rPr>
        <w:t>correspondan en el ámbito de su competencia;</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IX.</w:t>
      </w:r>
      <w:r w:rsidRPr="007C43A5">
        <w:rPr>
          <w:rFonts w:ascii="Palatino Linotype" w:hAnsi="Palatino Linotype"/>
          <w:i/>
          <w:szCs w:val="24"/>
        </w:rPr>
        <w:t xml:space="preserve"> Proponer al ayuntamiento la cancelación de cuentas incobrables;</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X</w:t>
      </w:r>
      <w:r w:rsidRPr="007C43A5">
        <w:rPr>
          <w:rFonts w:ascii="Palatino Linotype" w:hAnsi="Palatino Linotype"/>
          <w:i/>
          <w:szCs w:val="24"/>
        </w:rPr>
        <w:t>. Custodiar y ejercer las garantías que se otorguen en favor de la hacienda municipal;</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XI.</w:t>
      </w:r>
      <w:r w:rsidRPr="007C43A5">
        <w:rPr>
          <w:rFonts w:ascii="Palatino Linotype" w:hAnsi="Palatino Linotype"/>
          <w:i/>
          <w:szCs w:val="24"/>
        </w:rPr>
        <w:t xml:space="preserve"> Proponer la política de ingresos de la tesorería municipal;</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XII.</w:t>
      </w:r>
      <w:r w:rsidRPr="007C43A5">
        <w:rPr>
          <w:rFonts w:ascii="Palatino Linotype" w:hAnsi="Palatino Linotype"/>
          <w:i/>
          <w:szCs w:val="24"/>
        </w:rPr>
        <w:t xml:space="preserve"> Intervenir en la elaboración del programa financiero municipal;</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XIII.</w:t>
      </w:r>
      <w:r w:rsidRPr="007C43A5">
        <w:rPr>
          <w:rFonts w:ascii="Palatino Linotype" w:hAnsi="Palatino Linotype"/>
          <w:i/>
          <w:szCs w:val="24"/>
        </w:rPr>
        <w:t xml:space="preserve"> Elaborar y mantener actualizado el Padrón de Contribuyentes;</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 xml:space="preserve">XIV. </w:t>
      </w:r>
      <w:r w:rsidRPr="007C43A5">
        <w:rPr>
          <w:rFonts w:ascii="Palatino Linotype" w:hAnsi="Palatino Linotype"/>
          <w:i/>
          <w:szCs w:val="24"/>
        </w:rPr>
        <w:t>Ministrar a su inmediato antecesor todos los datos oficiales que le solicitare, para</w:t>
      </w:r>
      <w:r>
        <w:rPr>
          <w:rFonts w:ascii="Palatino Linotype" w:hAnsi="Palatino Linotype"/>
          <w:i/>
          <w:szCs w:val="24"/>
        </w:rPr>
        <w:t xml:space="preserve"> </w:t>
      </w:r>
      <w:r w:rsidRPr="007C43A5">
        <w:rPr>
          <w:rFonts w:ascii="Palatino Linotype" w:hAnsi="Palatino Linotype"/>
          <w:i/>
          <w:szCs w:val="24"/>
        </w:rPr>
        <w:t>contestar los pliegos de observaciones y alcances que formule y deduzca el Órgano Superior de</w:t>
      </w:r>
      <w:r>
        <w:rPr>
          <w:rFonts w:ascii="Palatino Linotype" w:hAnsi="Palatino Linotype"/>
          <w:i/>
          <w:szCs w:val="24"/>
        </w:rPr>
        <w:t xml:space="preserve"> </w:t>
      </w:r>
      <w:r w:rsidRPr="007C43A5">
        <w:rPr>
          <w:rFonts w:ascii="Palatino Linotype" w:hAnsi="Palatino Linotype"/>
          <w:i/>
          <w:szCs w:val="24"/>
        </w:rPr>
        <w:t>Fiscalización del Estado de México;</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lastRenderedPageBreak/>
        <w:t>XV.</w:t>
      </w:r>
      <w:r w:rsidRPr="007C43A5">
        <w:rPr>
          <w:rFonts w:ascii="Palatino Linotype" w:hAnsi="Palatino Linotype"/>
          <w:i/>
          <w:szCs w:val="24"/>
        </w:rPr>
        <w:t xml:space="preserve"> Solicitar a las instancias competentes, la práctica de revisiones circunstanciadas, de</w:t>
      </w:r>
      <w:r>
        <w:rPr>
          <w:rFonts w:ascii="Palatino Linotype" w:hAnsi="Palatino Linotype"/>
          <w:i/>
          <w:szCs w:val="24"/>
        </w:rPr>
        <w:t xml:space="preserve"> </w:t>
      </w:r>
      <w:r w:rsidRPr="007C43A5">
        <w:rPr>
          <w:rFonts w:ascii="Palatino Linotype" w:hAnsi="Palatino Linotype"/>
          <w:i/>
          <w:szCs w:val="24"/>
        </w:rPr>
        <w:t>conformidad con las normas que rigen en materia de control y evaluación gubernamental en el</w:t>
      </w:r>
      <w:r>
        <w:rPr>
          <w:rFonts w:ascii="Palatino Linotype" w:hAnsi="Palatino Linotype"/>
          <w:i/>
          <w:szCs w:val="24"/>
        </w:rPr>
        <w:t xml:space="preserve"> </w:t>
      </w:r>
      <w:r w:rsidRPr="007C43A5">
        <w:rPr>
          <w:rFonts w:ascii="Palatino Linotype" w:hAnsi="Palatino Linotype"/>
          <w:i/>
          <w:szCs w:val="24"/>
        </w:rPr>
        <w:t>ámbito municipal;</w:t>
      </w:r>
    </w:p>
    <w:p w:rsidR="007C43A5" w:rsidRPr="007C43A5" w:rsidRDefault="007C43A5" w:rsidP="0072196A">
      <w:pPr>
        <w:pStyle w:val="Sinespaciado"/>
        <w:ind w:left="567" w:right="616"/>
        <w:jc w:val="both"/>
        <w:rPr>
          <w:rFonts w:ascii="Palatino Linotype" w:hAnsi="Palatino Linotype"/>
          <w:i/>
          <w:szCs w:val="24"/>
        </w:rPr>
      </w:pPr>
      <w:r w:rsidRPr="007C43A5">
        <w:rPr>
          <w:rFonts w:ascii="Palatino Linotype" w:hAnsi="Palatino Linotype"/>
          <w:b/>
          <w:i/>
          <w:szCs w:val="24"/>
        </w:rPr>
        <w:t>XVI.</w:t>
      </w:r>
      <w:r w:rsidRPr="007C43A5">
        <w:rPr>
          <w:rFonts w:ascii="Palatino Linotype" w:hAnsi="Palatino Linotype"/>
          <w:i/>
          <w:szCs w:val="24"/>
        </w:rPr>
        <w:t xml:space="preserve"> </w:t>
      </w:r>
      <w:r w:rsidRPr="007C43A5">
        <w:rPr>
          <w:rFonts w:ascii="Palatino Linotype" w:hAnsi="Palatino Linotype"/>
          <w:i/>
          <w:szCs w:val="24"/>
          <w:u w:val="single"/>
        </w:rPr>
        <w:t>Glosar oportunamente las cuentas del ayuntamiento</w:t>
      </w:r>
      <w:r w:rsidRPr="007C43A5">
        <w:rPr>
          <w:rFonts w:ascii="Palatino Linotype" w:hAnsi="Palatino Linotype"/>
          <w:i/>
          <w:szCs w:val="24"/>
        </w:rPr>
        <w:t>;</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XVII.</w:t>
      </w:r>
      <w:r w:rsidRPr="007C43A5">
        <w:rPr>
          <w:rFonts w:ascii="Palatino Linotype" w:hAnsi="Palatino Linotype"/>
          <w:i/>
          <w:szCs w:val="24"/>
        </w:rPr>
        <w:t xml:space="preserve"> Contestar oportunamente los pliegos de observaciones y responsabilidad que haga el</w:t>
      </w:r>
      <w:r>
        <w:rPr>
          <w:rFonts w:ascii="Palatino Linotype" w:hAnsi="Palatino Linotype"/>
          <w:i/>
          <w:szCs w:val="24"/>
        </w:rPr>
        <w:t xml:space="preserve"> </w:t>
      </w:r>
      <w:r w:rsidRPr="007C43A5">
        <w:rPr>
          <w:rFonts w:ascii="Palatino Linotype" w:hAnsi="Palatino Linotype"/>
          <w:i/>
          <w:szCs w:val="24"/>
        </w:rPr>
        <w:t>Órgano Superior de Fiscalización del Estado de México, así como atender en tiempo y forma las</w:t>
      </w:r>
      <w:r>
        <w:rPr>
          <w:rFonts w:ascii="Palatino Linotype" w:hAnsi="Palatino Linotype"/>
          <w:i/>
          <w:szCs w:val="24"/>
        </w:rPr>
        <w:t xml:space="preserve"> </w:t>
      </w:r>
      <w:r w:rsidRPr="007C43A5">
        <w:rPr>
          <w:rFonts w:ascii="Palatino Linotype" w:hAnsi="Palatino Linotype"/>
          <w:i/>
          <w:szCs w:val="24"/>
        </w:rPr>
        <w:t>solicitudes de información que éste requiera, informando al Ayuntamiento;</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XVIII.</w:t>
      </w:r>
      <w:r w:rsidRPr="007C43A5">
        <w:rPr>
          <w:rFonts w:ascii="Palatino Linotype" w:hAnsi="Palatino Linotype"/>
          <w:i/>
          <w:szCs w:val="24"/>
        </w:rPr>
        <w:t xml:space="preserve"> Expedir copias certificadas de los documentos a su cuidado, por acuerdo expreso del</w:t>
      </w:r>
      <w:r>
        <w:rPr>
          <w:rFonts w:ascii="Palatino Linotype" w:hAnsi="Palatino Linotype"/>
          <w:i/>
          <w:szCs w:val="24"/>
        </w:rPr>
        <w:t xml:space="preserve"> </w:t>
      </w:r>
      <w:r w:rsidRPr="007C43A5">
        <w:rPr>
          <w:rFonts w:ascii="Palatino Linotype" w:hAnsi="Palatino Linotype"/>
          <w:i/>
          <w:szCs w:val="24"/>
        </w:rPr>
        <w:t>Ayuntamiento y cuando se trate de documentación presentada ante el Órgano Superior de</w:t>
      </w:r>
      <w:r>
        <w:rPr>
          <w:rFonts w:ascii="Palatino Linotype" w:hAnsi="Palatino Linotype"/>
          <w:i/>
          <w:szCs w:val="24"/>
        </w:rPr>
        <w:t xml:space="preserve"> </w:t>
      </w:r>
      <w:r w:rsidRPr="007C43A5">
        <w:rPr>
          <w:rFonts w:ascii="Palatino Linotype" w:hAnsi="Palatino Linotype"/>
          <w:i/>
          <w:szCs w:val="24"/>
        </w:rPr>
        <w:t>Fiscalización del Estado de México;</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XIX.</w:t>
      </w:r>
      <w:r w:rsidRPr="007C43A5">
        <w:rPr>
          <w:rFonts w:ascii="Palatino Linotype" w:hAnsi="Palatino Linotype"/>
          <w:i/>
          <w:szCs w:val="24"/>
        </w:rPr>
        <w:t xml:space="preserve"> Recaudar y administrar los ingresos que se deriven de la suscripción de convenios,</w:t>
      </w:r>
      <w:r>
        <w:rPr>
          <w:rFonts w:ascii="Palatino Linotype" w:hAnsi="Palatino Linotype"/>
          <w:i/>
          <w:szCs w:val="24"/>
        </w:rPr>
        <w:t xml:space="preserve"> </w:t>
      </w:r>
      <w:r w:rsidRPr="007C43A5">
        <w:rPr>
          <w:rFonts w:ascii="Palatino Linotype" w:hAnsi="Palatino Linotype"/>
          <w:i/>
          <w:szCs w:val="24"/>
        </w:rPr>
        <w:t>acuerdos o la emisión de declaratorias de coordinación; los relativos a las transferencias</w:t>
      </w:r>
      <w:r>
        <w:rPr>
          <w:rFonts w:ascii="Palatino Linotype" w:hAnsi="Palatino Linotype"/>
          <w:i/>
          <w:szCs w:val="24"/>
        </w:rPr>
        <w:t xml:space="preserve"> </w:t>
      </w:r>
      <w:r w:rsidRPr="007C43A5">
        <w:rPr>
          <w:rFonts w:ascii="Palatino Linotype" w:hAnsi="Palatino Linotype"/>
          <w:i/>
          <w:szCs w:val="24"/>
        </w:rPr>
        <w:t>otorgadas a favor del Municipio en el marco del Sistema Nacional o Estatal de Coordinación</w:t>
      </w:r>
      <w:r>
        <w:rPr>
          <w:rFonts w:ascii="Palatino Linotype" w:hAnsi="Palatino Linotype"/>
          <w:i/>
          <w:szCs w:val="24"/>
        </w:rPr>
        <w:t xml:space="preserve"> </w:t>
      </w:r>
      <w:r w:rsidRPr="007C43A5">
        <w:rPr>
          <w:rFonts w:ascii="Palatino Linotype" w:hAnsi="Palatino Linotype"/>
          <w:i/>
          <w:szCs w:val="24"/>
        </w:rPr>
        <w:t>Fiscal, o los que reciba por cualquier otro concepto; así como el importe de las sanciones por</w:t>
      </w:r>
      <w:r>
        <w:rPr>
          <w:rFonts w:ascii="Palatino Linotype" w:hAnsi="Palatino Linotype"/>
          <w:i/>
          <w:szCs w:val="24"/>
        </w:rPr>
        <w:t xml:space="preserve"> </w:t>
      </w:r>
      <w:r w:rsidRPr="007C43A5">
        <w:rPr>
          <w:rFonts w:ascii="Palatino Linotype" w:hAnsi="Palatino Linotype"/>
          <w:i/>
          <w:szCs w:val="24"/>
        </w:rPr>
        <w:t>infracciones impuestas por las autoridades competentes, por la inobservancia de las diversas</w:t>
      </w:r>
      <w:r>
        <w:rPr>
          <w:rFonts w:ascii="Palatino Linotype" w:hAnsi="Palatino Linotype"/>
          <w:i/>
          <w:szCs w:val="24"/>
        </w:rPr>
        <w:t xml:space="preserve"> </w:t>
      </w:r>
      <w:r w:rsidRPr="007C43A5">
        <w:rPr>
          <w:rFonts w:ascii="Palatino Linotype" w:hAnsi="Palatino Linotype"/>
          <w:i/>
          <w:szCs w:val="24"/>
        </w:rPr>
        <w:t>disposiciones y ordenamientos legales, constituyendo los créditos fiscales correspondientes;</w:t>
      </w:r>
      <w:r>
        <w:rPr>
          <w:rFonts w:ascii="Palatino Linotype" w:hAnsi="Palatino Linotype"/>
          <w:i/>
          <w:szCs w:val="24"/>
        </w:rPr>
        <w:t xml:space="preserve"> </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 xml:space="preserve">XX. </w:t>
      </w:r>
      <w:r w:rsidRPr="007C43A5">
        <w:rPr>
          <w:rFonts w:ascii="Palatino Linotype" w:hAnsi="Palatino Linotype"/>
          <w:i/>
          <w:szCs w:val="24"/>
        </w:rPr>
        <w:t>Dar cumplimiento a las leyes, convenios de coordinación fiscal y demás que en materia</w:t>
      </w:r>
      <w:r>
        <w:rPr>
          <w:rFonts w:ascii="Palatino Linotype" w:hAnsi="Palatino Linotype"/>
          <w:i/>
          <w:szCs w:val="24"/>
        </w:rPr>
        <w:t xml:space="preserve"> </w:t>
      </w:r>
      <w:r w:rsidRPr="007C43A5">
        <w:rPr>
          <w:rFonts w:ascii="Palatino Linotype" w:hAnsi="Palatino Linotype"/>
          <w:i/>
          <w:szCs w:val="24"/>
        </w:rPr>
        <w:t>hacendaria celebre el Ayuntamiento con el Estado;</w:t>
      </w:r>
    </w:p>
    <w:p w:rsidR="007C43A5" w:rsidRPr="007C43A5" w:rsidRDefault="007C43A5" w:rsidP="0072196A">
      <w:pPr>
        <w:pStyle w:val="Sinespaciado"/>
        <w:ind w:left="567" w:right="616"/>
        <w:jc w:val="both"/>
        <w:rPr>
          <w:rFonts w:ascii="Palatino Linotype" w:hAnsi="Palatino Linotype"/>
          <w:i/>
          <w:szCs w:val="24"/>
        </w:rPr>
      </w:pPr>
      <w:r w:rsidRPr="00AA5A35">
        <w:rPr>
          <w:rFonts w:ascii="Palatino Linotype" w:hAnsi="Palatino Linotype"/>
          <w:b/>
          <w:i/>
          <w:szCs w:val="24"/>
        </w:rPr>
        <w:t xml:space="preserve">XXI. </w:t>
      </w:r>
      <w:r w:rsidRPr="007C43A5">
        <w:rPr>
          <w:rFonts w:ascii="Palatino Linotype" w:hAnsi="Palatino Linotype"/>
          <w:i/>
          <w:szCs w:val="24"/>
        </w:rPr>
        <w:t>Entregar oportunamente a él o los Síndicos, según sea el caso, el informe mensual que</w:t>
      </w:r>
      <w:r>
        <w:rPr>
          <w:rFonts w:ascii="Palatino Linotype" w:hAnsi="Palatino Linotype"/>
          <w:i/>
          <w:szCs w:val="24"/>
        </w:rPr>
        <w:t xml:space="preserve"> </w:t>
      </w:r>
      <w:r w:rsidRPr="007C43A5">
        <w:rPr>
          <w:rFonts w:ascii="Palatino Linotype" w:hAnsi="Palatino Linotype"/>
          <w:i/>
          <w:szCs w:val="24"/>
        </w:rPr>
        <w:t>corresponda, a fin de que se revise, y de ser necesario, para que se formulen las observaciones</w:t>
      </w:r>
      <w:r>
        <w:rPr>
          <w:rFonts w:ascii="Palatino Linotype" w:hAnsi="Palatino Linotype"/>
          <w:i/>
          <w:szCs w:val="24"/>
        </w:rPr>
        <w:t xml:space="preserve"> </w:t>
      </w:r>
      <w:r w:rsidRPr="007C43A5">
        <w:rPr>
          <w:rFonts w:ascii="Palatino Linotype" w:hAnsi="Palatino Linotype"/>
          <w:i/>
          <w:szCs w:val="24"/>
        </w:rPr>
        <w:t>respectivas.</w:t>
      </w:r>
    </w:p>
    <w:p w:rsidR="007C43A5" w:rsidRDefault="007C43A5" w:rsidP="0072196A">
      <w:pPr>
        <w:pStyle w:val="Sinespaciado"/>
        <w:ind w:left="567" w:right="616"/>
        <w:jc w:val="both"/>
        <w:rPr>
          <w:rFonts w:ascii="Palatino Linotype" w:hAnsi="Palatino Linotype"/>
          <w:szCs w:val="24"/>
        </w:rPr>
      </w:pPr>
      <w:r w:rsidRPr="00AA5A35">
        <w:rPr>
          <w:rFonts w:ascii="Palatino Linotype" w:hAnsi="Palatino Linotype"/>
          <w:b/>
          <w:i/>
          <w:szCs w:val="24"/>
        </w:rPr>
        <w:t xml:space="preserve">XXII. </w:t>
      </w:r>
      <w:r w:rsidRPr="007C43A5">
        <w:rPr>
          <w:rFonts w:ascii="Palatino Linotype" w:hAnsi="Palatino Linotype"/>
          <w:i/>
          <w:szCs w:val="24"/>
        </w:rPr>
        <w:t>Las que les señalen las demás disposiciones legales y el ayuntamiento.</w:t>
      </w:r>
      <w:r w:rsidR="00161941">
        <w:rPr>
          <w:rFonts w:ascii="Palatino Linotype" w:hAnsi="Palatino Linotype"/>
          <w:i/>
          <w:szCs w:val="24"/>
        </w:rPr>
        <w:t>”</w:t>
      </w:r>
    </w:p>
    <w:p w:rsidR="00161941" w:rsidRDefault="00161941" w:rsidP="0072196A">
      <w:pPr>
        <w:pStyle w:val="Sinespaciado"/>
        <w:ind w:left="567" w:right="616"/>
        <w:jc w:val="both"/>
        <w:rPr>
          <w:rFonts w:ascii="Palatino Linotype" w:hAnsi="Palatino Linotype"/>
          <w:szCs w:val="24"/>
        </w:rPr>
      </w:pPr>
    </w:p>
    <w:p w:rsidR="00161941" w:rsidRPr="00161941" w:rsidRDefault="00161941" w:rsidP="0072196A">
      <w:pPr>
        <w:pStyle w:val="Sinespaciado"/>
        <w:ind w:left="567" w:right="616"/>
        <w:jc w:val="right"/>
        <w:rPr>
          <w:rFonts w:ascii="Palatino Linotype" w:hAnsi="Palatino Linotype"/>
          <w:szCs w:val="24"/>
        </w:rPr>
      </w:pPr>
      <w:r>
        <w:rPr>
          <w:rFonts w:ascii="Palatino Linotype" w:hAnsi="Palatino Linotype"/>
          <w:szCs w:val="24"/>
        </w:rPr>
        <w:t>(Énfasis añadido)</w:t>
      </w:r>
    </w:p>
    <w:p w:rsidR="007C43A5" w:rsidRDefault="007C43A5" w:rsidP="0072196A">
      <w:pPr>
        <w:pStyle w:val="Sinespaciado"/>
        <w:spacing w:line="360" w:lineRule="auto"/>
        <w:jc w:val="both"/>
        <w:rPr>
          <w:rFonts w:ascii="Palatino Linotype" w:hAnsi="Palatino Linotype"/>
          <w:sz w:val="24"/>
          <w:szCs w:val="24"/>
        </w:rPr>
      </w:pPr>
    </w:p>
    <w:p w:rsidR="00646A48" w:rsidRDefault="00161941" w:rsidP="0072196A">
      <w:pPr>
        <w:pStyle w:val="Sinespaciado"/>
        <w:spacing w:line="360" w:lineRule="auto"/>
        <w:jc w:val="both"/>
        <w:rPr>
          <w:rFonts w:ascii="Palatino Linotype" w:hAnsi="Palatino Linotype"/>
          <w:sz w:val="24"/>
          <w:szCs w:val="24"/>
        </w:rPr>
      </w:pPr>
      <w:r>
        <w:rPr>
          <w:rFonts w:ascii="Palatino Linotype" w:hAnsi="Palatino Linotype"/>
          <w:sz w:val="24"/>
          <w:szCs w:val="24"/>
        </w:rPr>
        <w:t>Atribuciones que constriñen al Tesorero Municipal de llevar a cabo el registro de los egresos municipales, así como la glosa (integración de los documentos comprobatorios, llámense notas, facturas</w:t>
      </w:r>
      <w:r w:rsidR="00691C9E">
        <w:rPr>
          <w:rFonts w:ascii="Palatino Linotype" w:hAnsi="Palatino Linotype"/>
          <w:sz w:val="24"/>
          <w:szCs w:val="24"/>
        </w:rPr>
        <w:t xml:space="preserve"> y/o</w:t>
      </w:r>
      <w:r>
        <w:rPr>
          <w:rFonts w:ascii="Palatino Linotype" w:hAnsi="Palatino Linotype"/>
          <w:sz w:val="24"/>
          <w:szCs w:val="24"/>
        </w:rPr>
        <w:t xml:space="preserve"> tickets) en los archivos respectivos; en consecuencia, al haber reconocido que se otorgan equipos telefónicos, así como el </w:t>
      </w:r>
      <w:r w:rsidR="00D65308">
        <w:rPr>
          <w:rFonts w:ascii="Palatino Linotype" w:hAnsi="Palatino Linotype"/>
          <w:sz w:val="24"/>
          <w:szCs w:val="24"/>
        </w:rPr>
        <w:t xml:space="preserve">pago del servicio de la línea, </w:t>
      </w:r>
      <w:r w:rsidR="00646A48">
        <w:rPr>
          <w:rFonts w:ascii="Palatino Linotype" w:hAnsi="Palatino Linotype"/>
          <w:sz w:val="24"/>
          <w:szCs w:val="24"/>
        </w:rPr>
        <w:t xml:space="preserve">se encuentran obligados al registro e integración de la documentación comprobatoria del gasto. Documentación entregada por las compañías telefónicas, en las que se establece el periodo de cobro de la línea, la relación de llamadas salientes y </w:t>
      </w:r>
      <w:r w:rsidR="00646A48">
        <w:rPr>
          <w:rFonts w:ascii="Palatino Linotype" w:hAnsi="Palatino Linotype"/>
          <w:sz w:val="24"/>
          <w:szCs w:val="24"/>
        </w:rPr>
        <w:lastRenderedPageBreak/>
        <w:t>entrantes en los equipos telefónicos, así como actualmente al consumo de datos por los servicios de internet móvil, que hayan sido contratados.</w:t>
      </w:r>
    </w:p>
    <w:p w:rsidR="00646A48" w:rsidRDefault="00646A48" w:rsidP="0072196A">
      <w:pPr>
        <w:pStyle w:val="Sinespaciado"/>
        <w:spacing w:line="360" w:lineRule="auto"/>
        <w:jc w:val="both"/>
        <w:rPr>
          <w:rFonts w:ascii="Palatino Linotype" w:hAnsi="Palatino Linotype"/>
          <w:sz w:val="24"/>
          <w:szCs w:val="24"/>
        </w:rPr>
      </w:pPr>
    </w:p>
    <w:p w:rsidR="00EC5661" w:rsidRDefault="00646A48" w:rsidP="0072196A">
      <w:pPr>
        <w:shd w:val="clear" w:color="auto" w:fill="FFFFFF"/>
        <w:spacing w:line="360" w:lineRule="auto"/>
        <w:contextualSpacing/>
        <w:jc w:val="both"/>
        <w:rPr>
          <w:rFonts w:ascii="Palatino Linotype" w:hAnsi="Palatino Linotype"/>
        </w:rPr>
      </w:pPr>
      <w:r>
        <w:rPr>
          <w:rFonts w:ascii="Palatino Linotype" w:hAnsi="Palatino Linotype"/>
        </w:rPr>
        <w:t xml:space="preserve">Precisado lo anterior, </w:t>
      </w:r>
      <w:r w:rsidR="00EC5661">
        <w:rPr>
          <w:rFonts w:ascii="Palatino Linotype" w:hAnsi="Palatino Linotype"/>
        </w:rPr>
        <w:t>es necesario recordar que el uso de servicios y recursos públicos, se encuentra constreñido, lo que en el caso particular, debe entenderse que el uso del servicio telefónico (celulares) deber limitarse a llamadas que se requieran en el desempeño del cargo o comisión de los servidores públicos, de tal manera que deben tener identificadas las llamadas oficiales y no oficiales.</w:t>
      </w:r>
    </w:p>
    <w:p w:rsidR="00EC5661" w:rsidRDefault="00EC5661" w:rsidP="0072196A">
      <w:pPr>
        <w:shd w:val="clear" w:color="auto" w:fill="FFFFFF"/>
        <w:spacing w:line="360" w:lineRule="auto"/>
        <w:contextualSpacing/>
        <w:jc w:val="both"/>
        <w:rPr>
          <w:rFonts w:ascii="Palatino Linotype" w:hAnsi="Palatino Linotype"/>
        </w:rPr>
      </w:pPr>
    </w:p>
    <w:p w:rsidR="00DB71D9" w:rsidRPr="00DB71D9" w:rsidRDefault="00DB71D9" w:rsidP="00DB71D9">
      <w:pPr>
        <w:shd w:val="clear" w:color="auto" w:fill="FFFFFF"/>
        <w:spacing w:line="360" w:lineRule="auto"/>
        <w:contextualSpacing/>
        <w:jc w:val="both"/>
        <w:rPr>
          <w:rFonts w:ascii="Palatino Linotype" w:hAnsi="Palatino Linotype"/>
        </w:rPr>
      </w:pPr>
      <w:r w:rsidRPr="00DB71D9">
        <w:rPr>
          <w:rFonts w:ascii="Palatino Linotype" w:hAnsi="Palatino Linotype"/>
        </w:rPr>
        <w:t>Así, es importante señalar que el artículo 4, párrafo segundo de la Ley de Transparencia</w:t>
      </w:r>
      <w:r>
        <w:rPr>
          <w:rFonts w:ascii="Palatino Linotype" w:hAnsi="Palatino Linotype"/>
        </w:rPr>
        <w:t xml:space="preserve"> </w:t>
      </w:r>
      <w:r w:rsidRPr="00DB71D9">
        <w:rPr>
          <w:rFonts w:ascii="Palatino Linotype" w:hAnsi="Palatino Linotype"/>
        </w:rPr>
        <w:t>y Acceso a la Información Pública del Estado de México y Municipios, dispone:</w:t>
      </w:r>
    </w:p>
    <w:p w:rsidR="00DB71D9" w:rsidRDefault="00DB71D9" w:rsidP="00DB71D9">
      <w:pPr>
        <w:shd w:val="clear" w:color="auto" w:fill="FFFFFF"/>
        <w:spacing w:line="360" w:lineRule="auto"/>
        <w:contextualSpacing/>
        <w:jc w:val="both"/>
        <w:rPr>
          <w:rFonts w:ascii="Palatino Linotype" w:hAnsi="Palatino Linotype"/>
        </w:rPr>
      </w:pPr>
    </w:p>
    <w:p w:rsidR="00DB71D9" w:rsidRPr="007A20DC" w:rsidRDefault="00DB71D9" w:rsidP="00DB71D9">
      <w:pPr>
        <w:shd w:val="clear" w:color="auto" w:fill="FFFFFF"/>
        <w:ind w:left="567" w:right="616"/>
        <w:contextualSpacing/>
        <w:jc w:val="both"/>
        <w:rPr>
          <w:rFonts w:ascii="Palatino Linotype" w:hAnsi="Palatino Linotype"/>
          <w:i/>
          <w:sz w:val="22"/>
        </w:rPr>
      </w:pPr>
      <w:r w:rsidRPr="007A20DC">
        <w:rPr>
          <w:rFonts w:ascii="Palatino Linotype" w:hAnsi="Palatino Linotype"/>
          <w:i/>
          <w:sz w:val="22"/>
        </w:rPr>
        <w:t>“</w:t>
      </w:r>
      <w:r w:rsidRPr="007A20DC">
        <w:rPr>
          <w:rFonts w:ascii="Palatino Linotype" w:hAnsi="Palatino Linotype"/>
          <w:b/>
          <w:i/>
          <w:sz w:val="22"/>
        </w:rPr>
        <w:t>Artículo 4.</w:t>
      </w:r>
      <w:r w:rsidRPr="007A20DC">
        <w:rPr>
          <w:rFonts w:ascii="Palatino Linotype" w:hAnsi="Palatino Linotype"/>
          <w:i/>
          <w:sz w:val="22"/>
        </w:rPr>
        <w:t xml:space="preserve"> ...</w:t>
      </w:r>
    </w:p>
    <w:p w:rsidR="00DB71D9" w:rsidRPr="007A20DC" w:rsidRDefault="00DB71D9" w:rsidP="00DB71D9">
      <w:pPr>
        <w:shd w:val="clear" w:color="auto" w:fill="FFFFFF"/>
        <w:ind w:left="567" w:right="616"/>
        <w:contextualSpacing/>
        <w:jc w:val="both"/>
        <w:rPr>
          <w:rFonts w:ascii="Palatino Linotype" w:hAnsi="Palatino Linotype"/>
          <w:i/>
          <w:sz w:val="22"/>
        </w:rPr>
      </w:pPr>
      <w:r w:rsidRPr="007A20DC">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71D9" w:rsidRPr="00DB71D9" w:rsidRDefault="00DB71D9" w:rsidP="00DB71D9">
      <w:pPr>
        <w:shd w:val="clear" w:color="auto" w:fill="FFFFFF"/>
        <w:spacing w:line="360" w:lineRule="auto"/>
        <w:contextualSpacing/>
        <w:jc w:val="both"/>
        <w:rPr>
          <w:rFonts w:ascii="Palatino Linotype" w:hAnsi="Palatino Linotype"/>
        </w:rPr>
      </w:pPr>
    </w:p>
    <w:p w:rsidR="00DB71D9" w:rsidRDefault="00DB71D9" w:rsidP="00DB71D9">
      <w:pPr>
        <w:shd w:val="clear" w:color="auto" w:fill="FFFFFF"/>
        <w:spacing w:line="360" w:lineRule="auto"/>
        <w:contextualSpacing/>
        <w:jc w:val="both"/>
        <w:rPr>
          <w:rFonts w:ascii="Palatino Linotype" w:hAnsi="Palatino Linotype"/>
        </w:rPr>
      </w:pPr>
      <w:r w:rsidRPr="00DB71D9">
        <w:rPr>
          <w:rFonts w:ascii="Palatino Linotype" w:hAnsi="Palatino Linotype"/>
        </w:rPr>
        <w:t>Del precepto legal invocado, se desprende que la información generada, obtenida,</w:t>
      </w:r>
      <w:r w:rsidR="0039420A">
        <w:rPr>
          <w:rFonts w:ascii="Palatino Linotype" w:hAnsi="Palatino Linotype"/>
        </w:rPr>
        <w:t xml:space="preserve"> </w:t>
      </w:r>
      <w:r w:rsidRPr="00DB71D9">
        <w:rPr>
          <w:rFonts w:ascii="Palatino Linotype" w:hAnsi="Palatino Linotype"/>
        </w:rPr>
        <w:t>adquirida, transmitida, administrada o en posesión de los Sujetos Obligados, será</w:t>
      </w:r>
      <w:r w:rsidR="0039420A">
        <w:rPr>
          <w:rFonts w:ascii="Palatino Linotype" w:hAnsi="Palatino Linotype"/>
        </w:rPr>
        <w:t xml:space="preserve"> </w:t>
      </w:r>
      <w:r w:rsidRPr="00DB71D9">
        <w:rPr>
          <w:rFonts w:ascii="Palatino Linotype" w:hAnsi="Palatino Linotype"/>
        </w:rPr>
        <w:t>accesible de manera permanente a cualquier persona, privilegiando el principio de</w:t>
      </w:r>
      <w:r w:rsidR="0039420A">
        <w:rPr>
          <w:rFonts w:ascii="Palatino Linotype" w:hAnsi="Palatino Linotype"/>
        </w:rPr>
        <w:t xml:space="preserve"> </w:t>
      </w:r>
      <w:r w:rsidRPr="00DB71D9">
        <w:rPr>
          <w:rFonts w:ascii="Palatino Linotype" w:hAnsi="Palatino Linotype"/>
        </w:rPr>
        <w:t>máxima publicidad de la información.</w:t>
      </w:r>
    </w:p>
    <w:p w:rsidR="0039420A" w:rsidRPr="00DB71D9" w:rsidRDefault="0039420A" w:rsidP="00DB71D9">
      <w:pPr>
        <w:shd w:val="clear" w:color="auto" w:fill="FFFFFF"/>
        <w:spacing w:line="360" w:lineRule="auto"/>
        <w:contextualSpacing/>
        <w:jc w:val="both"/>
        <w:rPr>
          <w:rFonts w:ascii="Palatino Linotype" w:hAnsi="Palatino Linotype"/>
        </w:rPr>
      </w:pPr>
    </w:p>
    <w:p w:rsidR="00DB71D9" w:rsidRPr="00DB71D9" w:rsidRDefault="00DB71D9" w:rsidP="00DB71D9">
      <w:pPr>
        <w:shd w:val="clear" w:color="auto" w:fill="FFFFFF"/>
        <w:spacing w:line="360" w:lineRule="auto"/>
        <w:contextualSpacing/>
        <w:jc w:val="both"/>
        <w:rPr>
          <w:rFonts w:ascii="Palatino Linotype" w:hAnsi="Palatino Linotype"/>
        </w:rPr>
      </w:pPr>
      <w:r w:rsidRPr="00DB71D9">
        <w:rPr>
          <w:rFonts w:ascii="Palatino Linotype" w:hAnsi="Palatino Linotype"/>
        </w:rPr>
        <w:lastRenderedPageBreak/>
        <w:t>Por su parte, el artículo 12 de la Ley de la materia establece que los Sujetos Obligados</w:t>
      </w:r>
      <w:r w:rsidR="0039420A">
        <w:rPr>
          <w:rFonts w:ascii="Palatino Linotype" w:hAnsi="Palatino Linotype"/>
        </w:rPr>
        <w:t xml:space="preserve"> </w:t>
      </w:r>
      <w:r w:rsidRPr="00DB71D9">
        <w:rPr>
          <w:rFonts w:ascii="Palatino Linotype" w:hAnsi="Palatino Linotype"/>
        </w:rPr>
        <w:t>sólo proporcionarán la información que generen, recopilen, administren, manejen,</w:t>
      </w:r>
      <w:r w:rsidR="0039420A">
        <w:rPr>
          <w:rFonts w:ascii="Palatino Linotype" w:hAnsi="Palatino Linotype"/>
        </w:rPr>
        <w:t xml:space="preserve"> </w:t>
      </w:r>
      <w:r w:rsidRPr="00DB71D9">
        <w:rPr>
          <w:rFonts w:ascii="Palatino Linotype" w:hAnsi="Palatino Linotype"/>
        </w:rPr>
        <w:t>procesen, archiven o conserven y sólo facilitarán la que se les requiera y obre en sus</w:t>
      </w:r>
      <w:r w:rsidR="0039420A">
        <w:rPr>
          <w:rFonts w:ascii="Palatino Linotype" w:hAnsi="Palatino Linotype"/>
        </w:rPr>
        <w:t xml:space="preserve"> </w:t>
      </w:r>
      <w:r w:rsidRPr="00DB71D9">
        <w:rPr>
          <w:rFonts w:ascii="Palatino Linotype" w:hAnsi="Palatino Linotype"/>
        </w:rPr>
        <w:t>archivos, en el estado en el que se encuentre, sin la obligación de generarla, resumirla,</w:t>
      </w:r>
      <w:r w:rsidR="0039420A">
        <w:rPr>
          <w:rFonts w:ascii="Palatino Linotype" w:hAnsi="Palatino Linotype"/>
        </w:rPr>
        <w:t xml:space="preserve"> </w:t>
      </w:r>
      <w:r w:rsidRPr="00DB71D9">
        <w:rPr>
          <w:rFonts w:ascii="Palatino Linotype" w:hAnsi="Palatino Linotype"/>
        </w:rPr>
        <w:t>efectuar cálculos o practicar investigaciones; tal y como, se señala a continuación:</w:t>
      </w:r>
    </w:p>
    <w:p w:rsidR="00DB71D9" w:rsidRPr="00DB71D9" w:rsidRDefault="00DB71D9" w:rsidP="00DB71D9">
      <w:pPr>
        <w:shd w:val="clear" w:color="auto" w:fill="FFFFFF"/>
        <w:spacing w:line="360" w:lineRule="auto"/>
        <w:contextualSpacing/>
        <w:jc w:val="both"/>
        <w:rPr>
          <w:rFonts w:ascii="Palatino Linotype" w:hAnsi="Palatino Linotype"/>
        </w:rPr>
      </w:pPr>
    </w:p>
    <w:p w:rsidR="00DB71D9" w:rsidRPr="007A20DC" w:rsidRDefault="00DB71D9" w:rsidP="0039420A">
      <w:pPr>
        <w:shd w:val="clear" w:color="auto" w:fill="FFFFFF"/>
        <w:ind w:left="567" w:right="616"/>
        <w:contextualSpacing/>
        <w:jc w:val="both"/>
        <w:rPr>
          <w:rFonts w:ascii="Palatino Linotype" w:hAnsi="Palatino Linotype"/>
          <w:i/>
          <w:sz w:val="22"/>
        </w:rPr>
      </w:pPr>
      <w:r w:rsidRPr="007A20DC">
        <w:rPr>
          <w:rFonts w:ascii="Palatino Linotype" w:hAnsi="Palatino Linotype"/>
          <w:i/>
          <w:sz w:val="22"/>
        </w:rPr>
        <w:t>“</w:t>
      </w:r>
      <w:r w:rsidRPr="007A20DC">
        <w:rPr>
          <w:rFonts w:ascii="Palatino Linotype" w:hAnsi="Palatino Linotype"/>
          <w:b/>
          <w:i/>
          <w:sz w:val="22"/>
        </w:rPr>
        <w:t>Artículo 12</w:t>
      </w:r>
      <w:r w:rsidRPr="007A20DC">
        <w:rPr>
          <w:rFonts w:ascii="Palatino Linotype" w:hAnsi="Palatino Linotype"/>
          <w:i/>
          <w:sz w:val="22"/>
        </w:rPr>
        <w:t>. Quienes generen, recopilen, administren, manejen, procesen,</w:t>
      </w:r>
      <w:r w:rsidR="0039420A" w:rsidRPr="007A20DC">
        <w:rPr>
          <w:rFonts w:ascii="Palatino Linotype" w:hAnsi="Palatino Linotype"/>
          <w:i/>
          <w:sz w:val="22"/>
        </w:rPr>
        <w:t xml:space="preserve"> </w:t>
      </w:r>
      <w:r w:rsidRPr="007A20DC">
        <w:rPr>
          <w:rFonts w:ascii="Palatino Linotype" w:hAnsi="Palatino Linotype"/>
          <w:i/>
          <w:sz w:val="22"/>
        </w:rPr>
        <w:t>archiven o conserven información pública serán responsables de la misma en los</w:t>
      </w:r>
      <w:r w:rsidR="0039420A" w:rsidRPr="007A20DC">
        <w:rPr>
          <w:rFonts w:ascii="Palatino Linotype" w:hAnsi="Palatino Linotype"/>
          <w:i/>
          <w:sz w:val="22"/>
        </w:rPr>
        <w:t xml:space="preserve"> </w:t>
      </w:r>
      <w:r w:rsidRPr="007A20DC">
        <w:rPr>
          <w:rFonts w:ascii="Palatino Linotype" w:hAnsi="Palatino Linotype"/>
          <w:i/>
          <w:sz w:val="22"/>
        </w:rPr>
        <w:t>términos de las disposiciones jurídicas aplicables.</w:t>
      </w:r>
    </w:p>
    <w:p w:rsidR="00DB71D9" w:rsidRPr="007A20DC" w:rsidRDefault="00DB71D9" w:rsidP="0039420A">
      <w:pPr>
        <w:shd w:val="clear" w:color="auto" w:fill="FFFFFF"/>
        <w:ind w:left="567" w:right="616"/>
        <w:contextualSpacing/>
        <w:jc w:val="both"/>
        <w:rPr>
          <w:rFonts w:ascii="Palatino Linotype" w:hAnsi="Palatino Linotype"/>
          <w:i/>
          <w:sz w:val="22"/>
        </w:rPr>
      </w:pPr>
    </w:p>
    <w:p w:rsidR="00DB71D9" w:rsidRPr="007A20DC" w:rsidRDefault="00DB71D9" w:rsidP="0039420A">
      <w:pPr>
        <w:shd w:val="clear" w:color="auto" w:fill="FFFFFF"/>
        <w:ind w:left="567" w:right="616"/>
        <w:contextualSpacing/>
        <w:jc w:val="both"/>
        <w:rPr>
          <w:rFonts w:ascii="Palatino Linotype" w:hAnsi="Palatino Linotype"/>
          <w:i/>
          <w:sz w:val="22"/>
        </w:rPr>
      </w:pPr>
      <w:r w:rsidRPr="007A20DC">
        <w:rPr>
          <w:rFonts w:ascii="Palatino Linotype" w:hAnsi="Palatino Linotype"/>
          <w:i/>
          <w:sz w:val="22"/>
        </w:rPr>
        <w:t>Los sujetos obligados sólo proporcionarán la información pública que se les requiera</w:t>
      </w:r>
      <w:r w:rsidR="0039420A" w:rsidRPr="007A20DC">
        <w:rPr>
          <w:rFonts w:ascii="Palatino Linotype" w:hAnsi="Palatino Linotype"/>
          <w:i/>
          <w:sz w:val="22"/>
        </w:rPr>
        <w:t xml:space="preserve"> </w:t>
      </w:r>
      <w:r w:rsidRPr="007A20DC">
        <w:rPr>
          <w:rFonts w:ascii="Palatino Linotype" w:hAnsi="Palatino Linotype"/>
          <w:i/>
          <w:sz w:val="22"/>
        </w:rPr>
        <w:t>y que obre en sus archivos y en el estado en que ésta se encuentre. La obligación de</w:t>
      </w:r>
      <w:r w:rsidR="0039420A" w:rsidRPr="007A20DC">
        <w:rPr>
          <w:rFonts w:ascii="Palatino Linotype" w:hAnsi="Palatino Linotype"/>
          <w:i/>
          <w:sz w:val="22"/>
        </w:rPr>
        <w:t xml:space="preserve"> </w:t>
      </w:r>
      <w:r w:rsidRPr="007A20DC">
        <w:rPr>
          <w:rFonts w:ascii="Palatino Linotype" w:hAnsi="Palatino Linotype"/>
          <w:i/>
          <w:sz w:val="22"/>
        </w:rPr>
        <w:t>proporcionar información no comprende el procesamiento de la misma, ni el</w:t>
      </w:r>
      <w:r w:rsidR="0039420A" w:rsidRPr="007A20DC">
        <w:rPr>
          <w:rFonts w:ascii="Palatino Linotype" w:hAnsi="Palatino Linotype"/>
          <w:i/>
          <w:sz w:val="22"/>
        </w:rPr>
        <w:t xml:space="preserve"> </w:t>
      </w:r>
      <w:r w:rsidRPr="007A20DC">
        <w:rPr>
          <w:rFonts w:ascii="Palatino Linotype" w:hAnsi="Palatino Linotype"/>
          <w:i/>
          <w:sz w:val="22"/>
        </w:rPr>
        <w:t>presentarla conforme al interés del solicitante; no estarán obligados a generarla,</w:t>
      </w:r>
      <w:r w:rsidR="0039420A" w:rsidRPr="007A20DC">
        <w:rPr>
          <w:rFonts w:ascii="Palatino Linotype" w:hAnsi="Palatino Linotype"/>
          <w:i/>
          <w:sz w:val="22"/>
        </w:rPr>
        <w:t xml:space="preserve"> </w:t>
      </w:r>
      <w:r w:rsidRPr="007A20DC">
        <w:rPr>
          <w:rFonts w:ascii="Palatino Linotype" w:hAnsi="Palatino Linotype"/>
          <w:i/>
          <w:sz w:val="22"/>
        </w:rPr>
        <w:t>resumirla, efectuar cálculos o practicar investigaciones.”</w:t>
      </w:r>
    </w:p>
    <w:p w:rsidR="0072196A" w:rsidRDefault="0072196A" w:rsidP="0072196A">
      <w:pPr>
        <w:spacing w:line="360" w:lineRule="auto"/>
        <w:jc w:val="both"/>
        <w:rPr>
          <w:rFonts w:ascii="Palatino Linotype" w:eastAsiaTheme="minorHAnsi" w:hAnsi="Palatino Linotype" w:cs="Arial"/>
          <w:lang w:val="es-MX" w:eastAsia="en-US"/>
        </w:rPr>
      </w:pPr>
    </w:p>
    <w:p w:rsidR="0039420A" w:rsidRPr="0039420A" w:rsidRDefault="0039420A" w:rsidP="0039420A">
      <w:pPr>
        <w:spacing w:line="360" w:lineRule="auto"/>
        <w:jc w:val="both"/>
        <w:rPr>
          <w:rFonts w:ascii="Palatino Linotype" w:eastAsiaTheme="minorHAnsi" w:hAnsi="Palatino Linotype" w:cs="Arial"/>
          <w:lang w:val="es-MX" w:eastAsia="en-US"/>
        </w:rPr>
      </w:pPr>
      <w:r w:rsidRPr="0039420A">
        <w:rPr>
          <w:rFonts w:ascii="Palatino Linotype" w:eastAsiaTheme="minorHAnsi" w:hAnsi="Palatino Linotype" w:cs="Arial"/>
          <w:lang w:val="es-MX" w:eastAsia="en-US"/>
        </w:rPr>
        <w:t>A l</w:t>
      </w:r>
      <w:r>
        <w:rPr>
          <w:rFonts w:ascii="Palatino Linotype" w:eastAsiaTheme="minorHAnsi" w:hAnsi="Palatino Linotype" w:cs="Arial"/>
          <w:lang w:val="es-MX" w:eastAsia="en-US"/>
        </w:rPr>
        <w:t>o anterior, derivado del objeto</w:t>
      </w:r>
      <w:r w:rsidRPr="0039420A">
        <w:rPr>
          <w:rFonts w:ascii="Palatino Linotype" w:eastAsiaTheme="minorHAnsi" w:hAnsi="Palatino Linotype" w:cs="Arial"/>
          <w:lang w:val="es-MX" w:eastAsia="en-US"/>
        </w:rPr>
        <w:t xml:space="preserve"> del </w:t>
      </w:r>
      <w:r w:rsidRPr="0039420A">
        <w:rPr>
          <w:rFonts w:ascii="Palatino Linotype" w:eastAsiaTheme="minorHAnsi" w:hAnsi="Palatino Linotype" w:cs="Arial"/>
          <w:b/>
          <w:lang w:val="es-MX" w:eastAsia="en-US"/>
        </w:rPr>
        <w:t>Sujeto Obligado</w:t>
      </w:r>
      <w:r w:rsidRPr="0039420A">
        <w:rPr>
          <w:rFonts w:ascii="Palatino Linotype" w:eastAsiaTheme="minorHAnsi" w:hAnsi="Palatino Linotype" w:cs="Arial"/>
          <w:lang w:val="es-MX" w:eastAsia="en-US"/>
        </w:rPr>
        <w:t>, no es óbice, que este</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Instituto como Órgano Garante de la Protección de Datos Personales advirtió que se</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encuentra en constante interacción con distintas personas no sólo del sector público,</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sino también con particulares, que engloban de manera enunciativa mas no limitativa</w:t>
      </w:r>
      <w:r>
        <w:rPr>
          <w:rFonts w:ascii="Palatino Linotype" w:eastAsiaTheme="minorHAnsi" w:hAnsi="Palatino Linotype" w:cs="Arial"/>
          <w:lang w:val="es-MX" w:eastAsia="en-US"/>
        </w:rPr>
        <w:t xml:space="preserve"> a</w:t>
      </w:r>
      <w:r w:rsidRPr="0039420A">
        <w:rPr>
          <w:rFonts w:ascii="Palatino Linotype" w:eastAsiaTheme="minorHAnsi" w:hAnsi="Palatino Linotype" w:cs="Arial"/>
          <w:lang w:val="es-MX" w:eastAsia="en-US"/>
        </w:rPr>
        <w:t xml:space="preserve"> empresarios, e</w:t>
      </w:r>
      <w:r>
        <w:rPr>
          <w:rFonts w:ascii="Palatino Linotype" w:eastAsiaTheme="minorHAnsi" w:hAnsi="Palatino Linotype" w:cs="Arial"/>
          <w:lang w:val="es-MX" w:eastAsia="en-US"/>
        </w:rPr>
        <w:t>gresados, asociaciones civiles o</w:t>
      </w:r>
      <w:r w:rsidRPr="0039420A">
        <w:rPr>
          <w:rFonts w:ascii="Palatino Linotype" w:eastAsiaTheme="minorHAnsi" w:hAnsi="Palatino Linotype" w:cs="Arial"/>
          <w:lang w:val="es-MX" w:eastAsia="en-US"/>
        </w:rPr>
        <w:t xml:space="preserve"> mercantiles; por lo que, a fin de cumplir con su objeto de creación, con sus</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funciones y atribuciones, puede utilizar sus herramientas de trabajo, como lo es el</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servicio telefónico; en consecuencia, es necesario que al momento en que entregue la</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información materia del análisis, deberá tener presente aquellos números telefónicos</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pertenecientes a particulares; por lo que, deberá hacerlo en versión pública de ser</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procedente. .</w:t>
      </w:r>
    </w:p>
    <w:p w:rsidR="0039420A" w:rsidRPr="0039420A" w:rsidRDefault="0039420A" w:rsidP="0039420A">
      <w:pPr>
        <w:spacing w:line="360" w:lineRule="auto"/>
        <w:jc w:val="both"/>
        <w:rPr>
          <w:rFonts w:ascii="Palatino Linotype" w:eastAsiaTheme="minorHAnsi" w:hAnsi="Palatino Linotype" w:cs="Arial"/>
          <w:lang w:val="es-MX" w:eastAsia="en-US"/>
        </w:rPr>
      </w:pPr>
    </w:p>
    <w:p w:rsidR="0039420A" w:rsidRPr="0039420A" w:rsidRDefault="0039420A" w:rsidP="0039420A">
      <w:pPr>
        <w:spacing w:line="360" w:lineRule="auto"/>
        <w:jc w:val="both"/>
        <w:rPr>
          <w:rFonts w:ascii="Palatino Linotype" w:eastAsiaTheme="minorHAnsi" w:hAnsi="Palatino Linotype" w:cs="Arial"/>
          <w:lang w:val="es-MX" w:eastAsia="en-US"/>
        </w:rPr>
      </w:pPr>
      <w:r w:rsidRPr="0039420A">
        <w:rPr>
          <w:rFonts w:ascii="Palatino Linotype" w:eastAsiaTheme="minorHAnsi" w:hAnsi="Palatino Linotype" w:cs="Arial"/>
          <w:lang w:val="es-MX" w:eastAsia="en-US"/>
        </w:rPr>
        <w:lastRenderedPageBreak/>
        <w:t>De tal manera que, si bien es cierto se determinó que la información requerida es</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información pública, no pasa desapercibido para este Órgano Garante que también</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puede contener información que pudiera considerarse como confidencial en términos</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de la Ley en la materia; por ello, resulta procedente la elaboración de la versión pública,</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conforme a lo dispuesto en los artículos 3, fracciones IX, XX, XXI y XLV, 91, 132,</w:t>
      </w:r>
      <w:r>
        <w:rPr>
          <w:rFonts w:ascii="Palatino Linotype" w:eastAsiaTheme="minorHAnsi" w:hAnsi="Palatino Linotype" w:cs="Arial"/>
          <w:lang w:val="es-MX" w:eastAsia="en-US"/>
        </w:rPr>
        <w:t xml:space="preserve"> fracciones I, II</w:t>
      </w:r>
      <w:r w:rsidRPr="0039420A">
        <w:rPr>
          <w:rFonts w:ascii="Palatino Linotype" w:eastAsiaTheme="minorHAnsi" w:hAnsi="Palatino Linotype" w:cs="Arial"/>
          <w:lang w:val="es-MX" w:eastAsia="en-US"/>
        </w:rPr>
        <w:t xml:space="preserve"> y III y 143, fracciones </w:t>
      </w:r>
      <w:r>
        <w:rPr>
          <w:rFonts w:ascii="Palatino Linotype" w:eastAsiaTheme="minorHAnsi" w:hAnsi="Palatino Linotype" w:cs="Arial"/>
          <w:lang w:val="es-MX" w:eastAsia="en-US"/>
        </w:rPr>
        <w:t>I</w:t>
      </w:r>
      <w:r w:rsidRPr="0039420A">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II y II</w:t>
      </w:r>
      <w:r w:rsidRPr="0039420A">
        <w:rPr>
          <w:rFonts w:ascii="Palatino Linotype" w:eastAsiaTheme="minorHAnsi" w:hAnsi="Palatino Linotype" w:cs="Arial"/>
          <w:lang w:val="es-MX" w:eastAsia="en-US"/>
        </w:rPr>
        <w:t>I de la Ley de Transparencia y Acceso a la</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Información Pública del Estado de México y Municipios que establecen:</w:t>
      </w:r>
    </w:p>
    <w:p w:rsidR="0039420A" w:rsidRPr="0039420A" w:rsidRDefault="0039420A" w:rsidP="0039420A">
      <w:pPr>
        <w:spacing w:line="360" w:lineRule="auto"/>
        <w:jc w:val="both"/>
        <w:rPr>
          <w:rFonts w:ascii="Palatino Linotype" w:eastAsiaTheme="minorHAnsi" w:hAnsi="Palatino Linotype" w:cs="Arial"/>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i/>
          <w:sz w:val="22"/>
          <w:lang w:val="es-MX" w:eastAsia="en-US"/>
        </w:rPr>
        <w:t>“</w:t>
      </w:r>
      <w:r w:rsidRPr="007A20DC">
        <w:rPr>
          <w:rFonts w:ascii="Palatino Linotype" w:eastAsiaTheme="minorHAnsi" w:hAnsi="Palatino Linotype" w:cs="Arial"/>
          <w:b/>
          <w:i/>
          <w:sz w:val="22"/>
          <w:lang w:val="es-MX" w:eastAsia="en-US"/>
        </w:rPr>
        <w:t>Artículo 3.</w:t>
      </w:r>
      <w:r w:rsidRPr="007A20DC">
        <w:rPr>
          <w:rFonts w:ascii="Palatino Linotype" w:eastAsiaTheme="minorHAnsi" w:hAnsi="Palatino Linotype" w:cs="Arial"/>
          <w:i/>
          <w:sz w:val="22"/>
          <w:lang w:val="es-MX" w:eastAsia="en-US"/>
        </w:rPr>
        <w:t xml:space="preserve"> Para los efectos de la presente Ley se entenderá por:</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i/>
          <w:sz w:val="22"/>
          <w:lang w:val="es-MX" w:eastAsia="en-US"/>
        </w:rPr>
        <w:t>[...]</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IX. Datos personales:</w:t>
      </w:r>
      <w:r w:rsidRPr="007A20DC">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XX. Información clasificada:</w:t>
      </w:r>
      <w:r w:rsidRPr="007A20DC">
        <w:rPr>
          <w:rFonts w:ascii="Palatino Linotype" w:eastAsiaTheme="minorHAnsi" w:hAnsi="Palatino Linotype" w:cs="Arial"/>
          <w:i/>
          <w:sz w:val="22"/>
          <w:lang w:val="es-MX" w:eastAsia="en-US"/>
        </w:rPr>
        <w:t xml:space="preserve"> Aquella considerada por la presente Ley como reservada o confidencial;</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XXI. Información confidencial:</w:t>
      </w:r>
      <w:r w:rsidRPr="007A20DC">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XLV. Versión pública:</w:t>
      </w:r>
      <w:r w:rsidRPr="007A20DC">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i/>
          <w:sz w:val="22"/>
          <w:lang w:val="es-MX" w:eastAsia="en-US"/>
        </w:rPr>
        <w:t>[...]</w:t>
      </w:r>
    </w:p>
    <w:p w:rsidR="0039420A" w:rsidRPr="007A20DC" w:rsidRDefault="0039420A" w:rsidP="0039420A">
      <w:pPr>
        <w:ind w:left="567" w:right="616"/>
        <w:jc w:val="both"/>
        <w:rPr>
          <w:rFonts w:ascii="Palatino Linotype" w:eastAsiaTheme="minorHAnsi" w:hAnsi="Palatino Linotype" w:cs="Arial"/>
          <w:i/>
          <w:sz w:val="22"/>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Artículo 91.</w:t>
      </w:r>
      <w:r w:rsidRPr="007A20DC">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rsidR="0039420A" w:rsidRPr="007A20DC" w:rsidRDefault="0039420A" w:rsidP="0039420A">
      <w:pPr>
        <w:ind w:left="567" w:right="616"/>
        <w:jc w:val="both"/>
        <w:rPr>
          <w:rFonts w:ascii="Palatino Linotype" w:eastAsiaTheme="minorHAnsi" w:hAnsi="Palatino Linotype" w:cs="Arial"/>
          <w:i/>
          <w:sz w:val="22"/>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Artículo 132.</w:t>
      </w:r>
      <w:r w:rsidRPr="007A20DC">
        <w:rPr>
          <w:rFonts w:ascii="Palatino Linotype" w:eastAsiaTheme="minorHAnsi" w:hAnsi="Palatino Linotype" w:cs="Arial"/>
          <w:i/>
          <w:sz w:val="22"/>
          <w:lang w:val="es-MX" w:eastAsia="en-US"/>
        </w:rPr>
        <w:t xml:space="preserve"> La clasificación de la información se llevará a cabo en el momento en que:</w:t>
      </w:r>
    </w:p>
    <w:p w:rsidR="0039420A" w:rsidRPr="007A20DC" w:rsidRDefault="0039420A" w:rsidP="0039420A">
      <w:pPr>
        <w:ind w:left="567" w:right="616"/>
        <w:jc w:val="both"/>
        <w:rPr>
          <w:rFonts w:ascii="Palatino Linotype" w:eastAsiaTheme="minorHAnsi" w:hAnsi="Palatino Linotype" w:cs="Arial"/>
          <w:i/>
          <w:sz w:val="22"/>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I.</w:t>
      </w:r>
      <w:r w:rsidRPr="007A20DC">
        <w:rPr>
          <w:rFonts w:ascii="Palatino Linotype" w:eastAsiaTheme="minorHAnsi" w:hAnsi="Palatino Linotype" w:cs="Arial"/>
          <w:i/>
          <w:sz w:val="22"/>
          <w:lang w:val="es-MX" w:eastAsia="en-US"/>
        </w:rPr>
        <w:t xml:space="preserve"> Se reciba una solicitud de acceso a la información;</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II.</w:t>
      </w:r>
      <w:r w:rsidRPr="007A20DC">
        <w:rPr>
          <w:rFonts w:ascii="Palatino Linotype" w:eastAsiaTheme="minorHAnsi" w:hAnsi="Palatino Linotype" w:cs="Arial"/>
          <w:i/>
          <w:sz w:val="22"/>
          <w:lang w:val="es-MX" w:eastAsia="en-US"/>
        </w:rPr>
        <w:t xml:space="preserve"> Se determine mediante resolución de autoridad competente; o</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III.</w:t>
      </w:r>
      <w:r w:rsidRPr="007A20DC">
        <w:rPr>
          <w:rFonts w:ascii="Palatino Linotype" w:eastAsiaTheme="minorHAnsi" w:hAnsi="Palatino Linotype" w:cs="Arial"/>
          <w:i/>
          <w:sz w:val="22"/>
          <w:lang w:val="es-MX" w:eastAsia="en-US"/>
        </w:rPr>
        <w:t xml:space="preserve"> Se generen versiones públicas para dar cumplimiento a las obligaciones de transparencia previstas en esta Ley.</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i/>
          <w:sz w:val="22"/>
          <w:lang w:val="es-MX" w:eastAsia="en-US"/>
        </w:rPr>
        <w:t>[...]</w:t>
      </w:r>
    </w:p>
    <w:p w:rsidR="0039420A" w:rsidRPr="007A20DC" w:rsidRDefault="0039420A" w:rsidP="0039420A">
      <w:pPr>
        <w:ind w:left="567" w:right="616"/>
        <w:jc w:val="both"/>
        <w:rPr>
          <w:rFonts w:ascii="Palatino Linotype" w:eastAsiaTheme="minorHAnsi" w:hAnsi="Palatino Linotype" w:cs="Arial"/>
          <w:i/>
          <w:sz w:val="22"/>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lastRenderedPageBreak/>
        <w:t>Artículo 143.</w:t>
      </w:r>
      <w:r w:rsidRPr="007A20DC">
        <w:rPr>
          <w:rFonts w:ascii="Palatino Linotype" w:eastAsiaTheme="minorHAnsi" w:hAnsi="Palatino Linotype" w:cs="Arial"/>
          <w:i/>
          <w:sz w:val="22"/>
          <w:lang w:val="es-MX" w:eastAsia="en-US"/>
        </w:rPr>
        <w:t xml:space="preserve"> Para los efectos de esta Ley </w:t>
      </w:r>
      <w:r w:rsidRPr="007A20DC">
        <w:rPr>
          <w:rFonts w:ascii="Palatino Linotype" w:eastAsiaTheme="minorHAnsi" w:hAnsi="Palatino Linotype" w:cs="Arial"/>
          <w:b/>
          <w:i/>
          <w:sz w:val="22"/>
          <w:lang w:val="es-MX" w:eastAsia="en-US"/>
        </w:rPr>
        <w:t>se considera información confidencial</w:t>
      </w:r>
      <w:r w:rsidRPr="007A20DC">
        <w:rPr>
          <w:rFonts w:ascii="Palatino Linotype" w:eastAsiaTheme="minorHAnsi" w:hAnsi="Palatino Linotype" w:cs="Arial"/>
          <w:i/>
          <w:sz w:val="22"/>
          <w:lang w:val="es-MX" w:eastAsia="en-US"/>
        </w:rPr>
        <w:t>, la clasificada como tal, de manera permanente, por su naturaleza, cuando:</w:t>
      </w:r>
    </w:p>
    <w:p w:rsidR="0039420A" w:rsidRPr="007A20DC" w:rsidRDefault="0039420A" w:rsidP="0039420A">
      <w:pPr>
        <w:ind w:left="567" w:right="616"/>
        <w:jc w:val="both"/>
        <w:rPr>
          <w:rFonts w:ascii="Palatino Linotype" w:eastAsiaTheme="minorHAnsi" w:hAnsi="Palatino Linotype" w:cs="Arial"/>
          <w:i/>
          <w:sz w:val="22"/>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I.</w:t>
      </w:r>
      <w:r w:rsidRPr="007A20DC">
        <w:rPr>
          <w:rFonts w:ascii="Palatino Linotype" w:eastAsiaTheme="minorHAnsi" w:hAnsi="Palatino Linotype" w:cs="Arial"/>
          <w:i/>
          <w:sz w:val="22"/>
          <w:lang w:val="es-MX" w:eastAsia="en-US"/>
        </w:rPr>
        <w:t xml:space="preserve"> </w:t>
      </w:r>
      <w:r w:rsidRPr="007A20DC">
        <w:rPr>
          <w:rFonts w:ascii="Palatino Linotype" w:eastAsiaTheme="minorHAnsi" w:hAnsi="Palatino Linotype" w:cs="Arial"/>
          <w:b/>
          <w:i/>
          <w:sz w:val="22"/>
          <w:lang w:val="es-MX" w:eastAsia="en-US"/>
        </w:rPr>
        <w:t xml:space="preserve">Se refiera a la información privada y los datos personales concernientes a una persona física o </w:t>
      </w:r>
      <w:proofErr w:type="gramStart"/>
      <w:r w:rsidRPr="007A20DC">
        <w:rPr>
          <w:rFonts w:ascii="Palatino Linotype" w:eastAsiaTheme="minorHAnsi" w:hAnsi="Palatino Linotype" w:cs="Arial"/>
          <w:b/>
          <w:i/>
          <w:sz w:val="22"/>
          <w:lang w:val="es-MX" w:eastAsia="en-US"/>
        </w:rPr>
        <w:t>jurídico</w:t>
      </w:r>
      <w:proofErr w:type="gramEnd"/>
      <w:r w:rsidRPr="007A20DC">
        <w:rPr>
          <w:rFonts w:ascii="Palatino Linotype" w:eastAsiaTheme="minorHAnsi" w:hAnsi="Palatino Linotype" w:cs="Arial"/>
          <w:b/>
          <w:i/>
          <w:sz w:val="22"/>
          <w:lang w:val="es-MX" w:eastAsia="en-US"/>
        </w:rPr>
        <w:t xml:space="preserve"> colectiva</w:t>
      </w:r>
      <w:r w:rsidRPr="007A20DC">
        <w:rPr>
          <w:rFonts w:ascii="Palatino Linotype" w:eastAsiaTheme="minorHAnsi" w:hAnsi="Palatino Linotype" w:cs="Arial"/>
          <w:i/>
          <w:sz w:val="22"/>
          <w:lang w:val="es-MX" w:eastAsia="en-US"/>
        </w:rPr>
        <w:t xml:space="preserve"> identificada o identificable;</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II.</w:t>
      </w:r>
      <w:r w:rsidRPr="007A20DC">
        <w:rPr>
          <w:rFonts w:ascii="Palatino Linotype" w:eastAsiaTheme="minorHAnsi" w:hAnsi="Palatino Linotype" w:cs="Arial"/>
          <w:i/>
          <w:sz w:val="22"/>
          <w:lang w:val="es-MX" w:eastAsia="en-US"/>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b/>
          <w:i/>
          <w:sz w:val="22"/>
          <w:lang w:val="es-MX" w:eastAsia="en-US"/>
        </w:rPr>
        <w:t>III.</w:t>
      </w:r>
      <w:r w:rsidRPr="007A20DC">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rsidR="0039420A" w:rsidRPr="007A20DC" w:rsidRDefault="0039420A" w:rsidP="0039420A">
      <w:pPr>
        <w:ind w:left="567" w:right="616"/>
        <w:jc w:val="both"/>
        <w:rPr>
          <w:rFonts w:ascii="Palatino Linotype" w:eastAsiaTheme="minorHAnsi" w:hAnsi="Palatino Linotype" w:cs="Arial"/>
          <w:i/>
          <w:sz w:val="22"/>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rsidR="0039420A" w:rsidRPr="007A20DC" w:rsidRDefault="0039420A" w:rsidP="0039420A">
      <w:pPr>
        <w:ind w:left="567" w:right="616"/>
        <w:jc w:val="both"/>
        <w:rPr>
          <w:rFonts w:ascii="Palatino Linotype" w:eastAsiaTheme="minorHAnsi" w:hAnsi="Palatino Linotype" w:cs="Arial"/>
          <w:i/>
          <w:sz w:val="22"/>
          <w:lang w:val="es-MX" w:eastAsia="en-US"/>
        </w:rPr>
      </w:pPr>
    </w:p>
    <w:p w:rsidR="0039420A" w:rsidRPr="007A20DC" w:rsidRDefault="0039420A" w:rsidP="0039420A">
      <w:pPr>
        <w:ind w:left="567" w:right="616"/>
        <w:jc w:val="both"/>
        <w:rPr>
          <w:rFonts w:ascii="Palatino Linotype" w:eastAsiaTheme="minorHAnsi" w:hAnsi="Palatino Linotype" w:cs="Arial"/>
          <w:i/>
          <w:sz w:val="22"/>
          <w:lang w:val="es-MX" w:eastAsia="en-US"/>
        </w:rPr>
      </w:pPr>
      <w:r w:rsidRPr="007A20DC">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w:t>
      </w:r>
    </w:p>
    <w:p w:rsidR="0039420A" w:rsidRDefault="0039420A" w:rsidP="0072196A">
      <w:pPr>
        <w:spacing w:line="360" w:lineRule="auto"/>
        <w:jc w:val="both"/>
        <w:rPr>
          <w:rFonts w:ascii="Palatino Linotype" w:eastAsiaTheme="minorHAnsi" w:hAnsi="Palatino Linotype" w:cs="Arial"/>
          <w:lang w:val="es-MX" w:eastAsia="en-US"/>
        </w:rPr>
      </w:pPr>
    </w:p>
    <w:p w:rsidR="0039420A" w:rsidRPr="0039420A" w:rsidRDefault="0039420A" w:rsidP="0039420A">
      <w:pPr>
        <w:spacing w:line="360" w:lineRule="auto"/>
        <w:jc w:val="both"/>
        <w:rPr>
          <w:rFonts w:ascii="Palatino Linotype" w:eastAsiaTheme="minorHAnsi" w:hAnsi="Palatino Linotype" w:cs="Arial"/>
          <w:lang w:val="es-MX" w:eastAsia="en-US"/>
        </w:rPr>
      </w:pPr>
      <w:r w:rsidRPr="0039420A">
        <w:rPr>
          <w:rFonts w:ascii="Palatino Linotype" w:eastAsiaTheme="minorHAnsi" w:hAnsi="Palatino Linotype" w:cs="Arial"/>
          <w:lang w:val="es-MX" w:eastAsia="en-US"/>
        </w:rPr>
        <w:t>De este modo, en armonía entre los principios constitucionales de máxima publicidad</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y de protección de datos personales, la Ley de la materia permite la elaboración de</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versiones públicas en las que se suprima aquella información relacionada con la vida</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privada de los particulares toda vez que ésta tiene por objeto proteger datos personales,</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entendiéndose por tales, aquéllos que hacen identificable a una persona.</w:t>
      </w:r>
    </w:p>
    <w:p w:rsidR="0039420A" w:rsidRPr="0039420A" w:rsidRDefault="0039420A" w:rsidP="0039420A">
      <w:pPr>
        <w:spacing w:line="360" w:lineRule="auto"/>
        <w:jc w:val="both"/>
        <w:rPr>
          <w:rFonts w:ascii="Palatino Linotype" w:eastAsiaTheme="minorHAnsi" w:hAnsi="Palatino Linotype" w:cs="Arial"/>
          <w:lang w:val="es-MX" w:eastAsia="en-US"/>
        </w:rPr>
      </w:pPr>
    </w:p>
    <w:p w:rsidR="0039420A" w:rsidRDefault="0039420A" w:rsidP="0039420A">
      <w:pPr>
        <w:spacing w:line="360" w:lineRule="auto"/>
        <w:jc w:val="both"/>
        <w:rPr>
          <w:rFonts w:ascii="Palatino Linotype" w:eastAsiaTheme="minorHAnsi" w:hAnsi="Palatino Linotype" w:cs="Arial"/>
          <w:lang w:val="es-MX" w:eastAsia="en-US"/>
        </w:rPr>
      </w:pPr>
      <w:r w:rsidRPr="0039420A">
        <w:rPr>
          <w:rFonts w:ascii="Palatino Linotype" w:eastAsiaTheme="minorHAnsi" w:hAnsi="Palatino Linotype" w:cs="Arial"/>
          <w:lang w:val="es-MX" w:eastAsia="en-US"/>
        </w:rPr>
        <w:t>La finalidad de la versión pública de la información, es salvaguardar la vida,</w:t>
      </w:r>
      <w:r>
        <w:rPr>
          <w:rFonts w:ascii="Palatino Linotype" w:eastAsiaTheme="minorHAnsi" w:hAnsi="Palatino Linotype" w:cs="Arial"/>
          <w:lang w:val="es-MX" w:eastAsia="en-US"/>
        </w:rPr>
        <w:t xml:space="preserve"> </w:t>
      </w:r>
      <w:r w:rsidRPr="0039420A">
        <w:rPr>
          <w:rFonts w:ascii="Palatino Linotype" w:eastAsiaTheme="minorHAnsi" w:hAnsi="Palatino Linotype" w:cs="Arial"/>
          <w:lang w:val="es-MX" w:eastAsia="en-US"/>
        </w:rPr>
        <w:t>integridad, seguridad, patrimonio y privacidad de las personas; de tal manera que todo</w:t>
      </w:r>
      <w:r w:rsidR="00B62065">
        <w:rPr>
          <w:rFonts w:ascii="Palatino Linotype" w:eastAsiaTheme="minorHAnsi" w:hAnsi="Palatino Linotype" w:cs="Arial"/>
          <w:lang w:val="es-MX" w:eastAsia="en-US"/>
        </w:rPr>
        <w:t xml:space="preserve"> aquello que no tenga por objeto proteger lo anterior, es susceptible de ser entregado; en otras palabras, la protección de datos personales, entre ellos el del patrimonio y su confidencialidad, es una derivación del derecho a la intimidad.</w:t>
      </w:r>
    </w:p>
    <w:p w:rsidR="0039420A" w:rsidRDefault="0039420A" w:rsidP="0072196A">
      <w:pPr>
        <w:spacing w:line="360" w:lineRule="auto"/>
        <w:jc w:val="both"/>
        <w:rPr>
          <w:rFonts w:ascii="Palatino Linotype" w:eastAsiaTheme="minorHAnsi" w:hAnsi="Palatino Linotype" w:cs="Arial"/>
          <w:lang w:val="es-MX" w:eastAsia="en-US"/>
        </w:rPr>
      </w:pPr>
    </w:p>
    <w:p w:rsidR="00296302" w:rsidRPr="00296302" w:rsidRDefault="00296302" w:rsidP="00296302">
      <w:pPr>
        <w:spacing w:line="360" w:lineRule="auto"/>
        <w:jc w:val="both"/>
        <w:rPr>
          <w:rFonts w:ascii="Palatino Linotype" w:hAnsi="Palatino Linotype"/>
          <w:lang w:val="es-ES_tradnl"/>
        </w:rPr>
      </w:pPr>
      <w:r w:rsidRPr="00296302">
        <w:rPr>
          <w:rFonts w:ascii="Palatino Linotype" w:hAnsi="Palatino Linotype"/>
          <w:lang w:val="es-ES_tradnl"/>
        </w:rPr>
        <w:lastRenderedPageBreak/>
        <w:t xml:space="preserve">Una vez sentado lo anterior, es procedente mencionar que </w:t>
      </w:r>
      <w:r>
        <w:rPr>
          <w:rFonts w:ascii="Palatino Linotype" w:hAnsi="Palatino Linotype"/>
          <w:lang w:val="es-ES_tradnl"/>
        </w:rPr>
        <w:t xml:space="preserve">de </w:t>
      </w:r>
      <w:r w:rsidRPr="00296302">
        <w:rPr>
          <w:rFonts w:ascii="Palatino Linotype" w:hAnsi="Palatino Linotype"/>
          <w:lang w:val="es-ES_tradnl"/>
        </w:rPr>
        <w:t xml:space="preserve">la solicitud de información, el </w:t>
      </w:r>
      <w:r>
        <w:rPr>
          <w:rFonts w:ascii="Palatino Linotype" w:hAnsi="Palatino Linotype"/>
          <w:lang w:val="es-ES_tradnl"/>
        </w:rPr>
        <w:t>Recurrente en lo que corresponde al punto de la relación de las llamadas telefónicas realizadas,</w:t>
      </w:r>
      <w:r w:rsidRPr="00296302">
        <w:rPr>
          <w:rFonts w:ascii="Palatino Linotype" w:hAnsi="Palatino Linotype"/>
          <w:lang w:val="es-ES_tradnl"/>
        </w:rPr>
        <w:t xml:space="preserve"> no fue fijado el elemento temporal, en este sentido, resulta oportuno traer a colación el criterio relevante 03/19 emitido por el Órgano Garante Nacional, cuyo contenido dispone a la literalidad lo siguiente: </w:t>
      </w:r>
    </w:p>
    <w:p w:rsidR="00296302" w:rsidRDefault="00296302" w:rsidP="00296302">
      <w:pPr>
        <w:spacing w:line="360" w:lineRule="auto"/>
        <w:jc w:val="both"/>
        <w:rPr>
          <w:rFonts w:ascii="Palatino Linotype" w:hAnsi="Palatino Linotype"/>
          <w:lang w:val="es-ES_tradnl"/>
        </w:rPr>
      </w:pPr>
    </w:p>
    <w:p w:rsidR="00296302" w:rsidRPr="00296302" w:rsidRDefault="00296302" w:rsidP="00296302">
      <w:pPr>
        <w:ind w:left="567" w:right="616"/>
        <w:jc w:val="both"/>
        <w:rPr>
          <w:rFonts w:ascii="Palatino Linotype" w:hAnsi="Palatino Linotype"/>
          <w:i/>
          <w:sz w:val="22"/>
          <w:lang w:val="es-ES_tradnl"/>
        </w:rPr>
      </w:pPr>
      <w:r w:rsidRPr="00296302">
        <w:rPr>
          <w:rFonts w:ascii="Palatino Linotype" w:hAnsi="Palatino Linotype"/>
          <w:i/>
          <w:sz w:val="22"/>
          <w:lang w:val="es-ES_tradnl"/>
        </w:rPr>
        <w:t>“</w:t>
      </w:r>
      <w:r w:rsidRPr="00296302">
        <w:rPr>
          <w:rFonts w:ascii="Palatino Linotype" w:hAnsi="Palatino Linotype"/>
          <w:b/>
          <w:i/>
          <w:sz w:val="22"/>
          <w:lang w:val="es-ES_tradnl"/>
        </w:rPr>
        <w:t>Periodo de búsqueda de la información.</w:t>
      </w:r>
      <w:r w:rsidRPr="00296302">
        <w:rPr>
          <w:rFonts w:ascii="Palatino Linotype" w:hAnsi="Palatino Linotype"/>
          <w:i/>
          <w:sz w:val="22"/>
          <w:lang w:val="es-ES_tradnl"/>
        </w:rPr>
        <w:t xml:space="preserve"> </w:t>
      </w:r>
    </w:p>
    <w:p w:rsidR="00296302" w:rsidRPr="00296302" w:rsidRDefault="00296302" w:rsidP="00296302">
      <w:pPr>
        <w:ind w:left="567" w:right="616"/>
        <w:jc w:val="both"/>
        <w:rPr>
          <w:rFonts w:ascii="Palatino Linotype" w:hAnsi="Palatino Linotype"/>
          <w:i/>
          <w:sz w:val="22"/>
          <w:lang w:val="es-ES_tradnl"/>
        </w:rPr>
      </w:pPr>
      <w:r w:rsidRPr="00296302">
        <w:rPr>
          <w:rFonts w:ascii="Palatino Linotype" w:hAnsi="Palatino Linotype"/>
          <w:i/>
          <w:sz w:val="22"/>
          <w:lang w:val="es-ES_tradnl"/>
        </w:rPr>
        <w:t xml:space="preserve">En el supuesto de que el particular no haya señalado el periodo respecto del cual requiere la información, o bien, de la solicitud presentada no se adviertan elementos que permitan identificarlo, deberá considerarse, </w:t>
      </w:r>
      <w:r w:rsidRPr="00296302">
        <w:rPr>
          <w:rFonts w:ascii="Palatino Linotype" w:hAnsi="Palatino Linotype"/>
          <w:i/>
          <w:sz w:val="22"/>
          <w:u w:val="single"/>
          <w:lang w:val="es-ES_tradnl"/>
        </w:rPr>
        <w:t>para efectos de la búsqueda de la información, que el requerimiento se refiere al año inmediato anterior, contado a partir de la fecha en que se presentó la solicitud.</w:t>
      </w:r>
    </w:p>
    <w:p w:rsidR="00296302" w:rsidRPr="00296302" w:rsidRDefault="00296302" w:rsidP="00296302">
      <w:pPr>
        <w:ind w:left="567" w:right="616"/>
        <w:jc w:val="both"/>
        <w:rPr>
          <w:rFonts w:ascii="Palatino Linotype" w:hAnsi="Palatino Linotype"/>
          <w:i/>
          <w:sz w:val="22"/>
          <w:lang w:val="es-ES_tradnl"/>
        </w:rPr>
      </w:pPr>
      <w:r w:rsidRPr="00296302">
        <w:rPr>
          <w:rFonts w:ascii="Palatino Linotype" w:hAnsi="Palatino Linotype"/>
          <w:i/>
          <w:sz w:val="22"/>
          <w:lang w:val="es-ES_tradnl"/>
        </w:rPr>
        <w:t>´</w:t>
      </w:r>
    </w:p>
    <w:p w:rsidR="00296302" w:rsidRPr="00296302" w:rsidRDefault="00296302" w:rsidP="00296302">
      <w:pPr>
        <w:ind w:left="567" w:right="616"/>
        <w:jc w:val="both"/>
        <w:rPr>
          <w:rFonts w:ascii="Palatino Linotype" w:hAnsi="Palatino Linotype"/>
          <w:b/>
          <w:i/>
          <w:sz w:val="20"/>
          <w:lang w:val="es-ES_tradnl"/>
        </w:rPr>
      </w:pPr>
      <w:r w:rsidRPr="00296302">
        <w:rPr>
          <w:rFonts w:ascii="Palatino Linotype" w:hAnsi="Palatino Linotype"/>
          <w:b/>
          <w:i/>
          <w:sz w:val="20"/>
          <w:lang w:val="es-ES_tradnl"/>
        </w:rPr>
        <w:t>Resoluciones</w:t>
      </w:r>
    </w:p>
    <w:p w:rsidR="00296302" w:rsidRPr="00296302" w:rsidRDefault="00296302" w:rsidP="00296302">
      <w:pPr>
        <w:ind w:left="567" w:right="616"/>
        <w:jc w:val="both"/>
        <w:rPr>
          <w:rFonts w:ascii="Palatino Linotype" w:hAnsi="Palatino Linotype"/>
          <w:i/>
          <w:sz w:val="20"/>
          <w:lang w:val="es-ES_tradnl"/>
        </w:rPr>
      </w:pPr>
      <w:r w:rsidRPr="00296302">
        <w:rPr>
          <w:rFonts w:ascii="Palatino Linotype" w:hAnsi="Palatino Linotype"/>
          <w:b/>
          <w:i/>
          <w:sz w:val="20"/>
          <w:lang w:val="es-ES_tradnl"/>
        </w:rPr>
        <w:t>RRA 0022/17.</w:t>
      </w:r>
      <w:r w:rsidRPr="00296302">
        <w:rPr>
          <w:rFonts w:ascii="Palatino Linotype" w:hAnsi="Palatino Linotype"/>
          <w:i/>
          <w:sz w:val="20"/>
          <w:lang w:val="es-ES_tradnl"/>
        </w:rPr>
        <w:t xml:space="preserve"> Instituto Mexicano de la Propiedad Industrial. 16 de febrero de 2017. Por unanimidad. Comisionado Ponente Francisco Javier Acuña Llamas.</w:t>
      </w:r>
    </w:p>
    <w:p w:rsidR="00296302" w:rsidRPr="00296302" w:rsidRDefault="00296302" w:rsidP="00296302">
      <w:pPr>
        <w:ind w:left="567" w:right="616"/>
        <w:jc w:val="both"/>
        <w:rPr>
          <w:rFonts w:ascii="Palatino Linotype" w:hAnsi="Palatino Linotype"/>
          <w:i/>
          <w:sz w:val="20"/>
          <w:lang w:val="es-ES_tradnl"/>
        </w:rPr>
      </w:pPr>
      <w:r w:rsidRPr="00296302">
        <w:rPr>
          <w:rFonts w:ascii="Palatino Linotype" w:hAnsi="Palatino Linotype"/>
          <w:i/>
          <w:sz w:val="20"/>
          <w:lang w:val="es-ES_tradnl"/>
        </w:rPr>
        <w:t>http://consultas.ifai.org.mx/descargar.php?r=./pdf/resoluciones/2017/&amp;a=RRA%2022.pdf</w:t>
      </w:r>
    </w:p>
    <w:p w:rsidR="00296302" w:rsidRPr="00296302" w:rsidRDefault="00296302" w:rsidP="00296302">
      <w:pPr>
        <w:ind w:left="567" w:right="616"/>
        <w:jc w:val="both"/>
        <w:rPr>
          <w:rFonts w:ascii="Palatino Linotype" w:hAnsi="Palatino Linotype"/>
          <w:i/>
          <w:sz w:val="20"/>
          <w:lang w:val="es-ES_tradnl"/>
        </w:rPr>
      </w:pPr>
      <w:r w:rsidRPr="00296302">
        <w:rPr>
          <w:rFonts w:ascii="Palatino Linotype" w:hAnsi="Palatino Linotype"/>
          <w:b/>
          <w:i/>
          <w:sz w:val="20"/>
          <w:lang w:val="es-ES_tradnl"/>
        </w:rPr>
        <w:t xml:space="preserve">RRA 2536/17. </w:t>
      </w:r>
      <w:r w:rsidRPr="00296302">
        <w:rPr>
          <w:rFonts w:ascii="Palatino Linotype" w:hAnsi="Palatino Linotype"/>
          <w:i/>
          <w:sz w:val="20"/>
          <w:lang w:val="es-ES_tradnl"/>
        </w:rPr>
        <w:t xml:space="preserve">Secretaría de Gobernación. 07 de junio de 2017. Por unanimidad. Comisionada Ponente Areli Cano Guadiana. </w:t>
      </w:r>
    </w:p>
    <w:p w:rsidR="00296302" w:rsidRPr="00296302" w:rsidRDefault="00296302" w:rsidP="00296302">
      <w:pPr>
        <w:ind w:left="567" w:right="616"/>
        <w:jc w:val="both"/>
        <w:rPr>
          <w:rFonts w:ascii="Palatino Linotype" w:hAnsi="Palatino Linotype"/>
          <w:i/>
          <w:sz w:val="20"/>
          <w:lang w:val="es-ES_tradnl"/>
        </w:rPr>
      </w:pPr>
      <w:r w:rsidRPr="00296302">
        <w:rPr>
          <w:rFonts w:ascii="Palatino Linotype" w:hAnsi="Palatino Linotype"/>
          <w:i/>
          <w:sz w:val="20"/>
          <w:lang w:val="es-ES_tradnl"/>
        </w:rPr>
        <w:t xml:space="preserve">http://consultas.ifai.org.mx/descargar.php?r=./pdf/resoluciones/2017/&amp;a=RRA%202536.pdf </w:t>
      </w:r>
    </w:p>
    <w:p w:rsidR="00296302" w:rsidRPr="00296302" w:rsidRDefault="00296302" w:rsidP="00296302">
      <w:pPr>
        <w:ind w:left="567" w:right="616"/>
        <w:jc w:val="both"/>
        <w:rPr>
          <w:rFonts w:ascii="Palatino Linotype" w:hAnsi="Palatino Linotype"/>
          <w:i/>
          <w:sz w:val="20"/>
          <w:lang w:val="es-ES_tradnl"/>
        </w:rPr>
      </w:pPr>
      <w:r w:rsidRPr="00296302">
        <w:rPr>
          <w:rFonts w:ascii="Palatino Linotype" w:hAnsi="Palatino Linotype"/>
          <w:b/>
          <w:i/>
          <w:sz w:val="20"/>
          <w:lang w:val="es-ES_tradnl"/>
        </w:rPr>
        <w:t>RRA 3482/17.</w:t>
      </w:r>
      <w:r w:rsidRPr="00296302">
        <w:rPr>
          <w:rFonts w:ascii="Palatino Linotype" w:hAnsi="Palatino Linotype"/>
          <w:i/>
          <w:sz w:val="20"/>
          <w:lang w:val="es-ES_tradnl"/>
        </w:rPr>
        <w:t xml:space="preserve"> Secretaría de Comunicaciones y Transportes. 02 de agosto de 2017. Por unanimidad. Comisionado Ponente Oscar Mauricio Guerra Ford.</w:t>
      </w:r>
    </w:p>
    <w:p w:rsidR="00296302" w:rsidRPr="00296302" w:rsidRDefault="00296302" w:rsidP="00296302">
      <w:pPr>
        <w:ind w:left="567" w:right="616"/>
        <w:jc w:val="both"/>
        <w:rPr>
          <w:rFonts w:ascii="Palatino Linotype" w:hAnsi="Palatino Linotype"/>
          <w:i/>
          <w:sz w:val="20"/>
          <w:lang w:val="es-ES_tradnl"/>
        </w:rPr>
      </w:pPr>
      <w:r w:rsidRPr="00296302">
        <w:rPr>
          <w:rFonts w:ascii="Palatino Linotype" w:hAnsi="Palatino Linotype"/>
          <w:i/>
          <w:sz w:val="20"/>
          <w:lang w:val="es-ES_tradnl"/>
        </w:rPr>
        <w:t>http://consultas.ifai.org.mx/descargar.php?r=./pdf/resoluciones/2017/&amp;a=RRA%203482.pdf” [Sic]</w:t>
      </w:r>
    </w:p>
    <w:p w:rsidR="00EC5661" w:rsidRDefault="00EC5661" w:rsidP="0072196A">
      <w:pPr>
        <w:spacing w:line="360" w:lineRule="auto"/>
        <w:jc w:val="both"/>
        <w:rPr>
          <w:rFonts w:ascii="Palatino Linotype" w:hAnsi="Palatino Linotype"/>
          <w:lang w:val="es-ES_tradnl"/>
        </w:rPr>
      </w:pPr>
    </w:p>
    <w:p w:rsidR="00296302" w:rsidRDefault="00296302" w:rsidP="00296302">
      <w:pPr>
        <w:spacing w:line="360" w:lineRule="auto"/>
        <w:jc w:val="both"/>
        <w:rPr>
          <w:rFonts w:ascii="Palatino Linotype" w:hAnsi="Palatino Linotype"/>
          <w:lang w:val="es-ES_tradnl"/>
        </w:rPr>
      </w:pPr>
      <w:r>
        <w:rPr>
          <w:rFonts w:ascii="Palatino Linotype" w:hAnsi="Palatino Linotype"/>
          <w:lang w:val="es-ES_tradnl"/>
        </w:rPr>
        <w:t xml:space="preserve">Es por las consideraciones de hecho y de derecho que se logra determinar, en primer lugar que el </w:t>
      </w:r>
      <w:r w:rsidRPr="00C06918">
        <w:rPr>
          <w:rFonts w:ascii="Palatino Linotype" w:hAnsi="Palatino Linotype"/>
          <w:b/>
          <w:lang w:val="es-ES_tradnl"/>
        </w:rPr>
        <w:t>Sujeto Obligado</w:t>
      </w:r>
      <w:r>
        <w:rPr>
          <w:rFonts w:ascii="Palatino Linotype" w:hAnsi="Palatino Linotype"/>
          <w:lang w:val="es-ES_tradnl"/>
        </w:rPr>
        <w:t xml:space="preserve">, satisface parcialmente la solicitud de información del </w:t>
      </w:r>
      <w:r w:rsidRPr="00186E0D">
        <w:rPr>
          <w:rFonts w:ascii="Palatino Linotype" w:hAnsi="Palatino Linotype"/>
          <w:b/>
          <w:lang w:val="es-ES_tradnl"/>
        </w:rPr>
        <w:t>Recurrente</w:t>
      </w:r>
      <w:r>
        <w:rPr>
          <w:rFonts w:ascii="Palatino Linotype" w:hAnsi="Palatino Linotype"/>
          <w:lang w:val="es-ES_tradnl"/>
        </w:rPr>
        <w:t xml:space="preserve">, al hacer entrega de la información que se encuentra obligado a tener en sus archivos en ejercicio de sus atribuciones; sin embargo es omiso en lo que corresponde informar el cargo de los servidores públicos, a quienes se les asignó equipo telefónico, ello a pesar de informar el nombre y área de adscripción de los mismos; así como la relación de llamadas realizadas con los equipos telefónicos </w:t>
      </w:r>
      <w:r>
        <w:rPr>
          <w:rFonts w:ascii="Palatino Linotype" w:hAnsi="Palatino Linotype"/>
        </w:rPr>
        <w:lastRenderedPageBreak/>
        <w:t>(celulares) otorgados a los servidores públicos en el periodo del 05 (cinco) de abril de 2020 (dos mil veinte) al 05 (cinco) de abril de 2021 (dos mil veintiuno),</w:t>
      </w:r>
      <w:r>
        <w:rPr>
          <w:rFonts w:ascii="Palatino Linotype" w:hAnsi="Palatino Linotype"/>
          <w:lang w:val="es-ES_tradnl"/>
        </w:rPr>
        <w:t xml:space="preserve"> en consecuencia resulta dable ordenar el soporte documental, en el cual obre dicha información, debiendo observar en su caso la Ley de Protección de Datos Personales del Estado de México y Municipios.</w:t>
      </w:r>
    </w:p>
    <w:p w:rsidR="00296302" w:rsidRDefault="00296302" w:rsidP="0072196A">
      <w:pPr>
        <w:spacing w:line="360" w:lineRule="auto"/>
        <w:jc w:val="both"/>
        <w:rPr>
          <w:rFonts w:ascii="Palatino Linotype" w:hAnsi="Palatino Linotype"/>
          <w:lang w:val="es-ES_tradnl"/>
        </w:rPr>
      </w:pPr>
    </w:p>
    <w:p w:rsidR="00203650" w:rsidRPr="00A97F43" w:rsidRDefault="00203650" w:rsidP="0072196A">
      <w:pPr>
        <w:numPr>
          <w:ilvl w:val="0"/>
          <w:numId w:val="5"/>
        </w:numPr>
        <w:autoSpaceDE w:val="0"/>
        <w:autoSpaceDN w:val="0"/>
        <w:adjustRightInd w:val="0"/>
        <w:spacing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203650" w:rsidRPr="00A97F43" w:rsidRDefault="00203650" w:rsidP="0072196A">
      <w:pPr>
        <w:tabs>
          <w:tab w:val="left" w:pos="8647"/>
        </w:tabs>
        <w:spacing w:line="360" w:lineRule="auto"/>
        <w:ind w:right="51"/>
        <w:jc w:val="both"/>
        <w:rPr>
          <w:rFonts w:ascii="Palatino Linotype" w:eastAsiaTheme="minorHAnsi" w:hAnsi="Palatino Linotype" w:cs="Arial"/>
          <w:lang w:val="es-MX" w:eastAsia="en-US"/>
        </w:rPr>
      </w:pPr>
    </w:p>
    <w:p w:rsidR="00203650" w:rsidRPr="00A97F43" w:rsidRDefault="00203650" w:rsidP="0072196A">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03650" w:rsidRPr="00A97F43" w:rsidRDefault="00203650" w:rsidP="0072196A">
      <w:pPr>
        <w:spacing w:line="360" w:lineRule="auto"/>
        <w:contextualSpacing/>
        <w:jc w:val="both"/>
        <w:rPr>
          <w:rFonts w:ascii="Palatino Linotype" w:hAnsi="Palatino Linotype" w:cs="Arial"/>
          <w:lang w:val="es-ES_tradnl"/>
        </w:rPr>
      </w:pPr>
    </w:p>
    <w:p w:rsidR="00203650" w:rsidRPr="00A97F43" w:rsidRDefault="00203650" w:rsidP="0072196A">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lastRenderedPageBreak/>
        <w:t>Ley de Transparencia y Acceso a la Información Pública del Estado de México y Municipios</w:t>
      </w: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C06918" w:rsidRPr="00A97F43" w:rsidRDefault="00C06918"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Default="00203650" w:rsidP="0072196A">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C34CB4" w:rsidRPr="00A97F43" w:rsidRDefault="00C34CB4" w:rsidP="0072196A">
      <w:pPr>
        <w:ind w:left="567" w:right="567"/>
        <w:contextualSpacing/>
        <w:jc w:val="center"/>
        <w:rPr>
          <w:rFonts w:ascii="Palatino Linotype" w:hAnsi="Palatino Linotype" w:cs="Arial"/>
          <w:b/>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203650" w:rsidRDefault="00203650" w:rsidP="0072196A">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C34CB4" w:rsidRPr="00A97F43" w:rsidRDefault="00C34CB4" w:rsidP="0072196A">
      <w:pPr>
        <w:ind w:left="567" w:right="567"/>
        <w:contextualSpacing/>
        <w:jc w:val="both"/>
        <w:rPr>
          <w:rFonts w:ascii="Palatino Linotype" w:hAnsi="Palatino Linotype" w:cs="Arial"/>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203650" w:rsidRPr="00A97F43" w:rsidRDefault="00203650" w:rsidP="0072196A">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203650" w:rsidRPr="00A97F43" w:rsidRDefault="00203650" w:rsidP="0072196A">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203650" w:rsidRPr="00A97F43" w:rsidRDefault="00203650" w:rsidP="0072196A">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clasificados. Asimismo, deberán asegurarse de que dicho personal cuente con los </w:t>
      </w:r>
      <w:r w:rsidRPr="00A97F43">
        <w:rPr>
          <w:rFonts w:ascii="Palatino Linotype" w:hAnsi="Palatino Linotype" w:cs="Arial"/>
          <w:i/>
          <w:sz w:val="22"/>
          <w:szCs w:val="22"/>
          <w:lang w:val="es-MX" w:eastAsia="es-MX"/>
        </w:rPr>
        <w:lastRenderedPageBreak/>
        <w:t>conocimientos técnicos y legales que le permitan manejar adecuadamente la información clasificada, en los términos de los Lineamientos para la Organización y Conservación de Archivos.</w:t>
      </w:r>
    </w:p>
    <w:p w:rsidR="00203650"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C34CB4" w:rsidRPr="00A97F43" w:rsidRDefault="00C34CB4" w:rsidP="0072196A">
      <w:pPr>
        <w:autoSpaceDE w:val="0"/>
        <w:autoSpaceDN w:val="0"/>
        <w:adjustRightInd w:val="0"/>
        <w:ind w:left="567" w:right="567"/>
        <w:contextualSpacing/>
        <w:jc w:val="both"/>
        <w:rPr>
          <w:rFonts w:ascii="Palatino Linotype" w:hAnsi="Palatino Linotype" w:cs="Arial"/>
          <w:i/>
          <w:sz w:val="22"/>
          <w:szCs w:val="22"/>
          <w:lang w:val="es-MX" w:eastAsia="es-MX"/>
        </w:rPr>
      </w:pP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03650" w:rsidRPr="00A97F43" w:rsidRDefault="00203650" w:rsidP="0072196A">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203650" w:rsidRPr="00A97F43" w:rsidRDefault="00203650" w:rsidP="0072196A">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203650" w:rsidRDefault="00203650" w:rsidP="0072196A">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C34CB4" w:rsidRPr="00A97F43" w:rsidRDefault="00C34CB4" w:rsidP="0072196A">
      <w:pPr>
        <w:ind w:left="567" w:right="567"/>
        <w:contextualSpacing/>
        <w:jc w:val="center"/>
        <w:rPr>
          <w:rFonts w:ascii="Palatino Linotype" w:hAnsi="Palatino Linotype" w:cs="Arial"/>
          <w:b/>
          <w:i/>
          <w:sz w:val="22"/>
          <w:szCs w:val="22"/>
          <w:lang w:val="es-MX" w:eastAsia="es-MX"/>
        </w:rPr>
      </w:pPr>
    </w:p>
    <w:p w:rsidR="00203650" w:rsidRPr="00A97F43" w:rsidRDefault="00203650" w:rsidP="0072196A">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203650" w:rsidRDefault="00203650" w:rsidP="0072196A">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C34CB4" w:rsidRPr="00A97F43" w:rsidRDefault="00C34CB4" w:rsidP="0072196A">
      <w:pPr>
        <w:ind w:left="567" w:right="567"/>
        <w:contextualSpacing/>
        <w:jc w:val="both"/>
        <w:rPr>
          <w:rFonts w:ascii="Palatino Linotype" w:hAnsi="Palatino Linotype" w:cs="Arial"/>
          <w:i/>
          <w:sz w:val="22"/>
          <w:szCs w:val="22"/>
          <w:lang w:val="es-MX" w:eastAsia="es-MX"/>
        </w:rPr>
      </w:pPr>
    </w:p>
    <w:p w:rsidR="00203650" w:rsidRPr="00A97F43" w:rsidRDefault="00203650" w:rsidP="0072196A">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203650" w:rsidRPr="00A97F43" w:rsidRDefault="00203650" w:rsidP="0072196A">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203650" w:rsidRPr="00A97F43" w:rsidTr="00203650">
        <w:trPr>
          <w:trHeight w:val="597"/>
        </w:trPr>
        <w:tc>
          <w:tcPr>
            <w:tcW w:w="1275" w:type="dxa"/>
            <w:tcBorders>
              <w:top w:val="nil"/>
              <w:left w:val="nil"/>
              <w:bottom w:val="single" w:sz="4" w:space="0" w:color="auto"/>
              <w:right w:val="single" w:sz="4" w:space="0" w:color="auto"/>
            </w:tcBorders>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203650" w:rsidRPr="00A97F43" w:rsidRDefault="00203650" w:rsidP="0072196A">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203650" w:rsidRPr="00A97F43" w:rsidRDefault="00203650" w:rsidP="0072196A">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203650" w:rsidRPr="00A97F43" w:rsidTr="00203650">
        <w:tc>
          <w:tcPr>
            <w:tcW w:w="1275" w:type="dxa"/>
            <w:vMerge w:val="restart"/>
            <w:tcBorders>
              <w:top w:val="single" w:sz="4" w:space="0" w:color="auto"/>
            </w:tcBorders>
            <w:shd w:val="clear" w:color="auto" w:fill="auto"/>
            <w:vAlign w:val="center"/>
          </w:tcPr>
          <w:p w:rsidR="00203650" w:rsidRPr="00A97F43" w:rsidRDefault="00203650" w:rsidP="0072196A">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A97F43">
              <w:rPr>
                <w:rFonts w:ascii="Palatino Linotype" w:hAnsi="Palatino Linotype" w:cs="Arial"/>
                <w:i/>
                <w:sz w:val="22"/>
                <w:szCs w:val="22"/>
                <w:lang w:val="es-MX" w:eastAsia="es-MX"/>
              </w:rPr>
              <w:t>anotarán</w:t>
            </w:r>
            <w:proofErr w:type="gramEnd"/>
            <w:r w:rsidRPr="00A97F43">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203650" w:rsidRPr="00A97F43" w:rsidTr="00203650">
        <w:tc>
          <w:tcPr>
            <w:tcW w:w="1275" w:type="dxa"/>
            <w:vMerge/>
            <w:shd w:val="clear" w:color="auto" w:fill="auto"/>
          </w:tcPr>
          <w:p w:rsidR="00203650" w:rsidRPr="00A97F43" w:rsidRDefault="00203650" w:rsidP="0072196A">
            <w:pPr>
              <w:contextualSpacing/>
              <w:jc w:val="both"/>
              <w:rPr>
                <w:rFonts w:ascii="Palatino Linotype" w:hAnsi="Palatino Linotype" w:cs="Arial"/>
                <w:i/>
                <w:sz w:val="22"/>
                <w:szCs w:val="22"/>
                <w:lang w:val="es-MX" w:eastAsia="es-MX"/>
              </w:rPr>
            </w:pPr>
          </w:p>
        </w:tc>
        <w:tc>
          <w:tcPr>
            <w:tcW w:w="1850" w:type="dxa"/>
            <w:shd w:val="clear" w:color="auto" w:fill="auto"/>
          </w:tcPr>
          <w:p w:rsidR="00203650" w:rsidRPr="00A97F43" w:rsidRDefault="00203650" w:rsidP="0072196A">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203650" w:rsidRPr="00A97F43" w:rsidRDefault="00203650" w:rsidP="0072196A">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203650" w:rsidRPr="00A97F43" w:rsidRDefault="00203650" w:rsidP="0072196A">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203650" w:rsidRPr="00A97F43" w:rsidRDefault="00203650" w:rsidP="0072196A">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203650" w:rsidRDefault="00203650" w:rsidP="0072196A">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203650" w:rsidRPr="00A97F43" w:rsidRDefault="00203650" w:rsidP="0072196A">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w:t>
      </w:r>
      <w:r w:rsidRPr="00A97F43">
        <w:rPr>
          <w:rFonts w:ascii="Palatino Linotype" w:hAnsi="Palatino Linotype" w:cs="Arial"/>
          <w:lang w:val="es-MX"/>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03650" w:rsidRPr="00A97F43" w:rsidRDefault="00203650" w:rsidP="0072196A">
      <w:pPr>
        <w:autoSpaceDE w:val="0"/>
        <w:autoSpaceDN w:val="0"/>
        <w:adjustRightInd w:val="0"/>
        <w:spacing w:line="360" w:lineRule="auto"/>
        <w:contextualSpacing/>
        <w:jc w:val="both"/>
        <w:rPr>
          <w:rFonts w:ascii="Palatino Linotype" w:hAnsi="Palatino Linotype" w:cs="Arial"/>
          <w:iCs/>
          <w:lang w:val="es-MX"/>
        </w:rPr>
      </w:pPr>
    </w:p>
    <w:p w:rsidR="00203650" w:rsidRDefault="00203650" w:rsidP="0072196A">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sidR="00186E0D">
        <w:rPr>
          <w:rFonts w:ascii="Palatino Linotype" w:eastAsiaTheme="minorHAnsi" w:hAnsi="Palatino Linotype" w:cstheme="minorBidi"/>
          <w:lang w:val="es-MX" w:eastAsia="en-US"/>
        </w:rPr>
        <w:t>segunda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186E0D">
        <w:rPr>
          <w:rFonts w:ascii="Palatino Linotype" w:eastAsiaTheme="minorHAnsi" w:hAnsi="Palatino Linotype" w:cstheme="minorBidi"/>
          <w:b/>
          <w:lang w:val="es-MX" w:eastAsia="en-US"/>
        </w:rPr>
        <w:t>MODIFICA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186E0D" w:rsidRPr="00186E0D">
        <w:rPr>
          <w:rFonts w:ascii="Palatino Linotype" w:eastAsiaTheme="minorHAnsi" w:hAnsi="Palatino Linotype" w:cs="Arial"/>
          <w:b/>
          <w:lang w:val="es-MX" w:eastAsia="en-US"/>
        </w:rPr>
        <w:t>00008/OASMETEPEC/IP/2021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203650" w:rsidRPr="00A97F43" w:rsidRDefault="00203650" w:rsidP="0072196A">
      <w:pPr>
        <w:spacing w:line="360" w:lineRule="auto"/>
        <w:jc w:val="both"/>
        <w:rPr>
          <w:rFonts w:ascii="Palatino Linotype" w:eastAsiaTheme="minorHAnsi" w:hAnsi="Palatino Linotype" w:cstheme="minorBidi"/>
          <w:lang w:val="es-MX" w:eastAsia="en-US"/>
        </w:rPr>
      </w:pPr>
    </w:p>
    <w:p w:rsidR="00203650" w:rsidRPr="00A97F43" w:rsidRDefault="00203650" w:rsidP="0072196A">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203650" w:rsidRPr="00A97F43" w:rsidRDefault="00203650" w:rsidP="0072196A">
      <w:pPr>
        <w:spacing w:line="360" w:lineRule="auto"/>
        <w:jc w:val="both"/>
        <w:rPr>
          <w:rFonts w:ascii="Palatino Linotype" w:hAnsi="Palatino Linotype"/>
          <w:lang w:val="es-MX"/>
        </w:rPr>
      </w:pPr>
    </w:p>
    <w:p w:rsidR="00203650" w:rsidRPr="00A97F43" w:rsidRDefault="00203650" w:rsidP="0072196A">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203650" w:rsidRPr="00A97F43" w:rsidRDefault="00203650" w:rsidP="0072196A">
      <w:pPr>
        <w:spacing w:line="360" w:lineRule="auto"/>
        <w:jc w:val="center"/>
        <w:rPr>
          <w:rFonts w:ascii="Palatino Linotype" w:hAnsi="Palatino Linotype"/>
          <w:bCs/>
          <w:spacing w:val="60"/>
          <w:lang w:val="es-ES_tradnl"/>
        </w:rPr>
      </w:pPr>
    </w:p>
    <w:p w:rsidR="00203650" w:rsidRPr="00A97F43" w:rsidRDefault="00203650" w:rsidP="0072196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sidR="00186E0D">
        <w:rPr>
          <w:rFonts w:ascii="Palatino Linotype" w:eastAsiaTheme="minorHAnsi" w:hAnsi="Palatino Linotype" w:cs="Arial"/>
          <w:b/>
          <w:lang w:val="es-MX" w:eastAsia="en-US"/>
        </w:rPr>
        <w:t>MODIFICA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186E0D" w:rsidRPr="00186E0D">
        <w:rPr>
          <w:rFonts w:ascii="Palatino Linotype" w:eastAsiaTheme="minorHAnsi" w:hAnsi="Palatino Linotype" w:cs="Arial"/>
          <w:b/>
          <w:lang w:val="es-MX" w:eastAsia="en-US"/>
        </w:rPr>
        <w:t>00008/OASMETEPEC/IP/2021</w:t>
      </w:r>
      <w:r w:rsidRPr="00A97F43">
        <w:rPr>
          <w:rFonts w:ascii="Palatino Linotype" w:eastAsiaTheme="minorHAnsi" w:hAnsi="Palatino Linotype" w:cs="Arial"/>
          <w:lang w:val="es-MX" w:eastAsia="en-US"/>
        </w:rPr>
        <w:t>, por resultar</w:t>
      </w:r>
      <w:r w:rsidR="00186E0D">
        <w:rPr>
          <w:rFonts w:ascii="Palatino Linotype" w:eastAsiaTheme="minorHAnsi" w:hAnsi="Palatino Linotype" w:cs="Arial"/>
          <w:lang w:val="es-MX" w:eastAsia="en-US"/>
        </w:rPr>
        <w:t xml:space="preserve"> parcialmente</w:t>
      </w:r>
      <w:r w:rsidRPr="00A97F43">
        <w:rPr>
          <w:rFonts w:ascii="Palatino Linotype" w:eastAsiaTheme="minorHAnsi" w:hAnsi="Palatino Linotype" w:cs="Arial"/>
          <w:lang w:val="es-MX" w:eastAsia="en-US"/>
        </w:rPr>
        <w:t xml:space="preserve"> 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203650" w:rsidRPr="00A97F43" w:rsidRDefault="00203650" w:rsidP="0072196A">
      <w:pPr>
        <w:autoSpaceDE w:val="0"/>
        <w:autoSpaceDN w:val="0"/>
        <w:adjustRightInd w:val="0"/>
        <w:spacing w:line="360" w:lineRule="auto"/>
        <w:ind w:right="49"/>
        <w:jc w:val="both"/>
        <w:rPr>
          <w:rFonts w:ascii="Palatino Linotype" w:eastAsiaTheme="minorHAnsi" w:hAnsi="Palatino Linotype" w:cs="Arial"/>
          <w:lang w:val="es-MX" w:eastAsia="en-US"/>
        </w:rPr>
      </w:pPr>
    </w:p>
    <w:p w:rsidR="00203650" w:rsidRPr="00A97F43" w:rsidRDefault="00203650" w:rsidP="0072196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lastRenderedPageBreak/>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w:t>
      </w:r>
      <w:r w:rsidR="00186E0D">
        <w:rPr>
          <w:rFonts w:ascii="Palatino Linotype" w:eastAsiaTheme="minorHAnsi" w:hAnsi="Palatino Linotype" w:cs="Arial"/>
          <w:lang w:val="es-MX" w:eastAsia="en-US"/>
        </w:rPr>
        <w:t xml:space="preserve">, de ser procedente en versión pública </w:t>
      </w:r>
      <w:r w:rsidR="00C06918">
        <w:rPr>
          <w:rFonts w:ascii="Palatino Linotype" w:eastAsiaTheme="minorHAnsi" w:hAnsi="Palatino Linotype" w:cs="Arial"/>
          <w:lang w:val="es-MX" w:eastAsia="en-US"/>
        </w:rPr>
        <w:t>de</w:t>
      </w:r>
      <w:r w:rsidRPr="00A97F43">
        <w:rPr>
          <w:rFonts w:ascii="Palatino Linotype" w:eastAsiaTheme="minorHAnsi" w:hAnsi="Palatino Linotype" w:cs="Arial"/>
          <w:lang w:val="es-MX" w:eastAsia="en-US"/>
        </w:rPr>
        <w:t xml:space="preserve"> lo siguiente:</w:t>
      </w:r>
    </w:p>
    <w:p w:rsidR="00203650" w:rsidRDefault="00203650" w:rsidP="0072196A">
      <w:pPr>
        <w:autoSpaceDE w:val="0"/>
        <w:autoSpaceDN w:val="0"/>
        <w:adjustRightInd w:val="0"/>
        <w:spacing w:line="360" w:lineRule="auto"/>
        <w:ind w:right="49"/>
        <w:jc w:val="both"/>
        <w:rPr>
          <w:rFonts w:ascii="Palatino Linotype" w:eastAsiaTheme="minorHAnsi" w:hAnsi="Palatino Linotype" w:cs="Arial"/>
          <w:lang w:val="es-MX" w:eastAsia="en-US"/>
        </w:rPr>
      </w:pPr>
    </w:p>
    <w:p w:rsidR="00203650" w:rsidRDefault="00186E0D" w:rsidP="0072196A">
      <w:pPr>
        <w:pStyle w:val="Prrafodelista"/>
        <w:numPr>
          <w:ilvl w:val="0"/>
          <w:numId w:val="7"/>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Cargo de los servidores públicos resguardatarios de los equipos telefónicos, </w:t>
      </w:r>
      <w:r w:rsidR="00A02AA2">
        <w:rPr>
          <w:rFonts w:ascii="Palatino Linotype" w:hAnsi="Palatino Linotype" w:cs="Arial"/>
          <w:color w:val="000000" w:themeColor="text1"/>
        </w:rPr>
        <w:t>que fueron proporc</w:t>
      </w:r>
      <w:r w:rsidR="00C06918">
        <w:rPr>
          <w:rFonts w:ascii="Palatino Linotype" w:hAnsi="Palatino Linotype" w:cs="Arial"/>
          <w:color w:val="000000" w:themeColor="text1"/>
        </w:rPr>
        <w:t>ionados en respuesta primigenia; y</w:t>
      </w:r>
    </w:p>
    <w:p w:rsidR="00C06918" w:rsidRDefault="00C06918" w:rsidP="00C06918">
      <w:pPr>
        <w:pStyle w:val="Prrafodelista"/>
        <w:spacing w:line="360" w:lineRule="auto"/>
        <w:ind w:left="720" w:right="616"/>
        <w:jc w:val="both"/>
        <w:rPr>
          <w:rFonts w:ascii="Palatino Linotype" w:hAnsi="Palatino Linotype" w:cs="Arial"/>
          <w:color w:val="000000" w:themeColor="text1"/>
        </w:rPr>
      </w:pPr>
    </w:p>
    <w:p w:rsidR="00C06918" w:rsidRPr="00C40739" w:rsidRDefault="00B62065" w:rsidP="00B62065">
      <w:pPr>
        <w:pStyle w:val="Prrafodelista"/>
        <w:numPr>
          <w:ilvl w:val="0"/>
          <w:numId w:val="7"/>
        </w:numPr>
        <w:spacing w:line="360" w:lineRule="auto"/>
        <w:ind w:right="616"/>
        <w:jc w:val="both"/>
        <w:rPr>
          <w:rFonts w:ascii="Palatino Linotype" w:hAnsi="Palatino Linotype" w:cs="Arial"/>
        </w:rPr>
      </w:pPr>
      <w:r>
        <w:rPr>
          <w:rFonts w:ascii="Palatino Linotype" w:hAnsi="Palatino Linotype"/>
          <w:lang w:val="es-ES_tradnl"/>
        </w:rPr>
        <w:t>Relación de las llamadas realizadas</w:t>
      </w:r>
      <w:r w:rsidRPr="00B62065">
        <w:rPr>
          <w:rFonts w:ascii="Palatino Linotype" w:hAnsi="Palatino Linotype"/>
          <w:lang w:val="es-ES_tradnl"/>
        </w:rPr>
        <w:t xml:space="preserve"> con los equipos telefónicos (celulares) otorgados a los servidores públicos</w:t>
      </w:r>
      <w:r w:rsidR="00296302">
        <w:rPr>
          <w:rFonts w:ascii="Palatino Linotype" w:hAnsi="Palatino Linotype"/>
          <w:lang w:val="es-ES_tradnl"/>
        </w:rPr>
        <w:t xml:space="preserve">, </w:t>
      </w:r>
      <w:r w:rsidR="00296302">
        <w:rPr>
          <w:rFonts w:ascii="Palatino Linotype" w:hAnsi="Palatino Linotype"/>
        </w:rPr>
        <w:t>en el periodo del 05 (cinco) de abril de 2020 (dos mil veinte) al 05 (cinco) de abril de 2021 (dos mil veintiuno).</w:t>
      </w:r>
    </w:p>
    <w:p w:rsidR="00203650" w:rsidRDefault="00203650" w:rsidP="0072196A">
      <w:pPr>
        <w:spacing w:line="360" w:lineRule="auto"/>
        <w:jc w:val="both"/>
        <w:rPr>
          <w:rFonts w:ascii="Palatino Linotype" w:eastAsiaTheme="minorHAnsi" w:hAnsi="Palatino Linotype" w:cs="Arial"/>
          <w:lang w:val="es-MX" w:eastAsia="en-US"/>
        </w:rPr>
      </w:pPr>
    </w:p>
    <w:p w:rsidR="00203650" w:rsidRDefault="00203650" w:rsidP="0072196A">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w:t>
      </w:r>
      <w:r w:rsidR="00A02AA2">
        <w:rPr>
          <w:rFonts w:ascii="Palatino Linotype" w:eastAsiaTheme="minorHAnsi" w:hAnsi="Palatino Linotype" w:cs="Arial"/>
          <w:lang w:val="es-MX" w:eastAsia="en-US"/>
        </w:rPr>
        <w:t xml:space="preserve"> ser procedente la versión pública, deberá </w:t>
      </w:r>
      <w:r w:rsidRPr="00A97F43">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203650" w:rsidRPr="00A97F43" w:rsidRDefault="00203650" w:rsidP="0072196A">
      <w:pPr>
        <w:spacing w:line="360" w:lineRule="auto"/>
        <w:jc w:val="both"/>
        <w:rPr>
          <w:rFonts w:ascii="Palatino Linotype" w:eastAsiaTheme="minorHAnsi" w:hAnsi="Palatino Linotype" w:cs="Arial"/>
          <w:lang w:val="es-MX" w:eastAsia="en-US"/>
        </w:rPr>
      </w:pPr>
    </w:p>
    <w:p w:rsidR="00203650" w:rsidRPr="00A97F43" w:rsidRDefault="00203650" w:rsidP="0072196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15 (quince)</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203650" w:rsidRPr="00A97F43" w:rsidRDefault="00203650" w:rsidP="0072196A">
      <w:pPr>
        <w:autoSpaceDE w:val="0"/>
        <w:autoSpaceDN w:val="0"/>
        <w:adjustRightInd w:val="0"/>
        <w:spacing w:line="360" w:lineRule="auto"/>
        <w:ind w:right="49"/>
        <w:jc w:val="both"/>
        <w:rPr>
          <w:rFonts w:ascii="Palatino Linotype" w:eastAsiaTheme="minorHAnsi" w:hAnsi="Palatino Linotype" w:cs="Arial"/>
          <w:lang w:val="es-MX" w:eastAsia="en-US"/>
        </w:rPr>
      </w:pPr>
    </w:p>
    <w:p w:rsidR="00203650" w:rsidRPr="00A97F43" w:rsidRDefault="00203650" w:rsidP="0072196A">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lastRenderedPageBreak/>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Pr>
          <w:rFonts w:ascii="Palatino Linotype" w:hAnsi="Palatino Linotype" w:cs="Arial"/>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203650" w:rsidRPr="00A97F43" w:rsidRDefault="00203650" w:rsidP="0072196A">
      <w:pPr>
        <w:autoSpaceDE w:val="0"/>
        <w:autoSpaceDN w:val="0"/>
        <w:adjustRightInd w:val="0"/>
        <w:spacing w:line="360" w:lineRule="auto"/>
        <w:jc w:val="both"/>
        <w:rPr>
          <w:rFonts w:ascii="Palatino Linotype" w:hAnsi="Palatino Linotype" w:cs="Arial"/>
          <w:lang w:val="es-MX"/>
        </w:rPr>
      </w:pPr>
    </w:p>
    <w:p w:rsidR="00C06918" w:rsidRPr="00C06918" w:rsidRDefault="00C06918" w:rsidP="00C06918">
      <w:pPr>
        <w:autoSpaceDE w:val="0"/>
        <w:autoSpaceDN w:val="0"/>
        <w:adjustRightInd w:val="0"/>
        <w:spacing w:line="360" w:lineRule="auto"/>
        <w:ind w:right="49"/>
        <w:jc w:val="both"/>
        <w:rPr>
          <w:rFonts w:ascii="Palatino Linotype" w:eastAsiaTheme="minorHAnsi" w:hAnsi="Palatino Linotype" w:cs="Arial"/>
          <w:sz w:val="22"/>
          <w:lang w:val="es-MX" w:eastAsia="en-US"/>
        </w:rPr>
      </w:pPr>
      <w:r w:rsidRPr="00C06918">
        <w:rPr>
          <w:rFonts w:ascii="Palatino Linotype" w:eastAsiaTheme="minorHAnsi" w:hAnsi="Palatino Linotype" w:cstheme="minorBidi"/>
          <w:b/>
          <w:sz w:val="28"/>
          <w:szCs w:val="28"/>
          <w:lang w:val="es-MX" w:eastAsia="en-US"/>
        </w:rPr>
        <w:t xml:space="preserve">QUINTO. </w:t>
      </w:r>
      <w:r w:rsidRPr="00C06918">
        <w:rPr>
          <w:rFonts w:ascii="Palatino Linotype" w:eastAsiaTheme="minorHAnsi" w:hAnsi="Palatino Linotype" w:cstheme="minorBidi"/>
          <w:b/>
          <w:szCs w:val="28"/>
          <w:lang w:val="es-MX" w:eastAsia="en-US"/>
        </w:rPr>
        <w:t>NOTIFÍQUESE</w:t>
      </w:r>
      <w:r w:rsidRPr="00C06918">
        <w:rPr>
          <w:rFonts w:ascii="Palatino Linotype" w:eastAsiaTheme="minorHAnsi" w:hAnsi="Palatino Linotype" w:cstheme="minorBidi"/>
          <w:szCs w:val="28"/>
          <w:lang w:val="es-MX" w:eastAsia="en-US"/>
        </w:rPr>
        <w:t xml:space="preserve"> al </w:t>
      </w:r>
      <w:r w:rsidRPr="00C06918">
        <w:rPr>
          <w:rFonts w:ascii="Palatino Linotype" w:eastAsiaTheme="minorHAnsi" w:hAnsi="Palatino Linotype" w:cstheme="minorBidi"/>
          <w:b/>
          <w:szCs w:val="28"/>
          <w:lang w:val="es-MX" w:eastAsia="en-US"/>
        </w:rPr>
        <w:t>Recurrente</w:t>
      </w:r>
      <w:r w:rsidRPr="00C06918">
        <w:rPr>
          <w:rFonts w:ascii="Palatino Linotype" w:eastAsiaTheme="minorHAnsi" w:hAnsi="Palatino Linotype" w:cstheme="minorBidi"/>
          <w:szCs w:val="28"/>
          <w:lang w:val="es-MX" w:eastAsia="en-US"/>
        </w:rPr>
        <w:t xml:space="preserve"> la presente resolución, así mismo hágasele del conocimiento con lo establecido en los artículos 159 y 160 de la Ley General de Transparencia y Acceso a la Información Pública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Pública y Protección de Datos Personales.</w:t>
      </w:r>
    </w:p>
    <w:p w:rsidR="00203650" w:rsidRDefault="00203650" w:rsidP="0072196A">
      <w:pPr>
        <w:spacing w:line="360" w:lineRule="auto"/>
        <w:jc w:val="both"/>
        <w:rPr>
          <w:rFonts w:ascii="Palatino Linotype" w:hAnsi="Palatino Linotype" w:cs="Arial"/>
          <w:lang w:val="es-MX"/>
        </w:rPr>
      </w:pPr>
    </w:p>
    <w:p w:rsidR="00203650" w:rsidRDefault="00203650" w:rsidP="0072196A">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ZULEMA MARTÍNEZ SÁNCHEZ, EVA ABAID YAPUR,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A02AA2">
        <w:rPr>
          <w:rFonts w:ascii="Palatino Linotype" w:hAnsi="Palatino Linotype" w:cs="Arial"/>
        </w:rPr>
        <w:t>VIGÉSIMA</w:t>
      </w:r>
      <w:r w:rsidR="00C34CB4">
        <w:rPr>
          <w:rFonts w:ascii="Palatino Linotype" w:hAnsi="Palatino Linotype" w:cs="Arial"/>
        </w:rPr>
        <w:t xml:space="preserve"> </w:t>
      </w:r>
      <w:r w:rsidR="007A20DC">
        <w:rPr>
          <w:rFonts w:ascii="Palatino Linotype" w:hAnsi="Palatino Linotype" w:cs="Arial"/>
        </w:rPr>
        <w:t>QUINTA</w:t>
      </w:r>
      <w:r w:rsidR="00A02AA2">
        <w:rPr>
          <w:rFonts w:ascii="Palatino Linotype" w:hAnsi="Palatino Linotype" w:cs="Arial"/>
        </w:rPr>
        <w:t xml:space="preserve"> </w:t>
      </w:r>
      <w:r>
        <w:rPr>
          <w:rFonts w:ascii="Palatino Linotype" w:hAnsi="Palatino Linotype" w:cs="Arial"/>
        </w:rPr>
        <w:t xml:space="preserve">SESION </w:t>
      </w:r>
      <w:r w:rsidRPr="00431F28">
        <w:rPr>
          <w:rFonts w:ascii="Palatino Linotype" w:hAnsi="Palatino Linotype" w:cs="Arial"/>
        </w:rPr>
        <w:t>ORDINARIA CELEBRADA EL</w:t>
      </w:r>
      <w:r w:rsidR="00C34CB4">
        <w:rPr>
          <w:rFonts w:ascii="Palatino Linotype" w:hAnsi="Palatino Linotype" w:cs="Arial"/>
        </w:rPr>
        <w:t xml:space="preserve"> </w:t>
      </w:r>
      <w:r w:rsidR="007A20DC">
        <w:rPr>
          <w:rFonts w:ascii="Palatino Linotype" w:hAnsi="Palatino Linotype" w:cs="Arial"/>
        </w:rPr>
        <w:t>CATORCE</w:t>
      </w:r>
      <w:r w:rsidR="00C34CB4">
        <w:rPr>
          <w:rFonts w:ascii="Palatino Linotype" w:hAnsi="Palatino Linotype" w:cs="Arial"/>
        </w:rPr>
        <w:t xml:space="preserve"> DE JULIO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203650" w:rsidRDefault="00203650" w:rsidP="0072196A">
      <w:pPr>
        <w:spacing w:line="360" w:lineRule="auto"/>
        <w:jc w:val="both"/>
        <w:rPr>
          <w:rFonts w:ascii="Palatino Linotype" w:hAnsi="Palatino Linotype" w:cs="Arial"/>
        </w:rPr>
      </w:pPr>
      <w:r>
        <w:rPr>
          <w:rFonts w:ascii="Palatino Linotype" w:hAnsi="Palatino Linotype" w:cs="Arial"/>
        </w:rPr>
        <w:t>------------------------------------------------------------------------------------------------------------------</w:t>
      </w:r>
    </w:p>
    <w:p w:rsidR="00203650" w:rsidRPr="00DE4568" w:rsidRDefault="00203650" w:rsidP="0072196A">
      <w:pPr>
        <w:spacing w:line="360" w:lineRule="auto"/>
        <w:jc w:val="both"/>
        <w:rPr>
          <w:rFonts w:ascii="Palatino Linotype" w:hAnsi="Palatino Linotype" w:cs="Arial"/>
          <w:sz w:val="20"/>
        </w:rPr>
      </w:pPr>
      <w:r w:rsidRPr="00DE4568">
        <w:rPr>
          <w:rFonts w:ascii="Palatino Linotype" w:hAnsi="Palatino Linotype" w:cs="Arial"/>
          <w:sz w:val="20"/>
        </w:rPr>
        <w:t>OSAM/HAP</w:t>
      </w:r>
    </w:p>
    <w:p w:rsidR="00203650" w:rsidRDefault="00203650" w:rsidP="0072196A">
      <w:pPr>
        <w:spacing w:line="360" w:lineRule="auto"/>
        <w:jc w:val="both"/>
        <w:rPr>
          <w:rFonts w:ascii="Palatino Linotype" w:hAnsi="Palatino Linotype" w:cs="Arial"/>
        </w:rPr>
      </w:pPr>
    </w:p>
    <w:p w:rsidR="00203650" w:rsidRDefault="00203650" w:rsidP="0072196A">
      <w:pPr>
        <w:spacing w:line="360" w:lineRule="auto"/>
        <w:jc w:val="both"/>
        <w:rPr>
          <w:rFonts w:ascii="Palatino Linotype" w:hAnsi="Palatino Linotype" w:cs="Arial"/>
        </w:rPr>
      </w:pPr>
    </w:p>
    <w:p w:rsidR="00203650" w:rsidRDefault="00203650" w:rsidP="0072196A">
      <w:pPr>
        <w:spacing w:line="360" w:lineRule="auto"/>
        <w:jc w:val="both"/>
        <w:rPr>
          <w:rFonts w:ascii="Palatino Linotype" w:hAnsi="Palatino Linotype" w:cs="Arial"/>
        </w:rPr>
      </w:pPr>
    </w:p>
    <w:p w:rsidR="00203650" w:rsidRDefault="00203650" w:rsidP="0072196A"/>
    <w:p w:rsidR="00203650" w:rsidRDefault="00203650" w:rsidP="0072196A"/>
    <w:p w:rsidR="00203650" w:rsidRDefault="00203650" w:rsidP="0072196A"/>
    <w:p w:rsidR="00203650" w:rsidRDefault="00203650" w:rsidP="0072196A"/>
    <w:p w:rsidR="00203650" w:rsidRDefault="00203650" w:rsidP="0072196A"/>
    <w:p w:rsidR="00203650" w:rsidRDefault="00203650" w:rsidP="0072196A"/>
    <w:p w:rsidR="00203650" w:rsidRDefault="00203650" w:rsidP="0072196A"/>
    <w:sectPr w:rsidR="00203650" w:rsidSect="00203650">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CE8" w:rsidRDefault="00406CE8" w:rsidP="00203650">
      <w:r>
        <w:separator/>
      </w:r>
    </w:p>
  </w:endnote>
  <w:endnote w:type="continuationSeparator" w:id="0">
    <w:p w:rsidR="00406CE8" w:rsidRDefault="00406CE8" w:rsidP="0020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0A" w:rsidRPr="00A2780F" w:rsidRDefault="0039420A"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15CA">
      <w:rPr>
        <w:rFonts w:ascii="Arial" w:hAnsi="Arial" w:cs="Arial"/>
        <w:b/>
        <w:bCs/>
        <w:noProof/>
        <w:sz w:val="20"/>
        <w:szCs w:val="20"/>
      </w:rPr>
      <w:t>40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15CA">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0A" w:rsidRPr="00070856" w:rsidRDefault="0039420A"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15C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15CA">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CE8" w:rsidRDefault="00406CE8" w:rsidP="00203650">
      <w:r>
        <w:separator/>
      </w:r>
    </w:p>
  </w:footnote>
  <w:footnote w:type="continuationSeparator" w:id="0">
    <w:p w:rsidR="00406CE8" w:rsidRDefault="00406CE8" w:rsidP="00203650">
      <w:r>
        <w:continuationSeparator/>
      </w:r>
    </w:p>
  </w:footnote>
  <w:footnote w:id="1">
    <w:p w:rsidR="0039420A" w:rsidRPr="00946E1F" w:rsidRDefault="0039420A" w:rsidP="0020365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9420A" w:rsidRPr="00E74580" w:rsidRDefault="0039420A" w:rsidP="00203650">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39420A" w:rsidRPr="00E74580" w:rsidRDefault="0039420A" w:rsidP="00203650">
      <w:pPr>
        <w:pStyle w:val="Textonotapie"/>
        <w:rPr>
          <w:rFonts w:ascii="Palatino Linotype" w:hAnsi="Palatino Linotype"/>
          <w:i/>
        </w:rPr>
      </w:pPr>
      <w:r w:rsidRPr="00E74580">
        <w:rPr>
          <w:rFonts w:ascii="Palatino Linotype" w:hAnsi="Palatino Linotype"/>
          <w:i/>
        </w:rPr>
        <w:t>(…)</w:t>
      </w:r>
    </w:p>
    <w:p w:rsidR="0039420A" w:rsidRPr="00E74580" w:rsidRDefault="0039420A" w:rsidP="00203650">
      <w:pPr>
        <w:pStyle w:val="Textonotapie"/>
        <w:rPr>
          <w:lang w:val="es-MX"/>
        </w:rPr>
      </w:pPr>
      <w:r w:rsidRPr="00E74580">
        <w:rPr>
          <w:rFonts w:ascii="Palatino Linotype" w:hAnsi="Palatino Linotype"/>
          <w:b/>
          <w:i/>
          <w:lang w:val="es-MX"/>
        </w:rPr>
        <w:t>VII</w:t>
      </w:r>
      <w:r w:rsidRPr="00E74580">
        <w:rPr>
          <w:rFonts w:ascii="Palatino Linotype" w:hAnsi="Palatino Linotype"/>
          <w:i/>
          <w:lang w:val="es-MX"/>
        </w:rPr>
        <w:t>. La falta de respuesta a una solicitud de acceso a la información;</w:t>
      </w:r>
    </w:p>
  </w:footnote>
  <w:footnote w:id="3">
    <w:p w:rsidR="0039420A" w:rsidRPr="00CC03D4" w:rsidRDefault="0039420A" w:rsidP="00203650">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39420A" w:rsidRPr="00CC03D4" w:rsidRDefault="0039420A" w:rsidP="00203650">
      <w:pPr>
        <w:pStyle w:val="Textonotapie"/>
        <w:jc w:val="both"/>
        <w:rPr>
          <w:rFonts w:ascii="Palatino Linotype" w:hAnsi="Palatino Linotype"/>
          <w:i/>
        </w:rPr>
      </w:pPr>
      <w:r w:rsidRPr="00CC03D4">
        <w:rPr>
          <w:rFonts w:ascii="Palatino Linotype" w:hAnsi="Palatino Linotype"/>
          <w:i/>
        </w:rPr>
        <w:t>(…)</w:t>
      </w:r>
    </w:p>
    <w:p w:rsidR="0039420A" w:rsidRPr="00F35DDC" w:rsidRDefault="0039420A" w:rsidP="00203650">
      <w:pPr>
        <w:pStyle w:val="Textonotapie"/>
        <w:jc w:val="both"/>
      </w:pPr>
      <w:r w:rsidRPr="00F35DDC">
        <w:rPr>
          <w:rFonts w:ascii="Palatino Linotype" w:hAnsi="Palatino Linotype"/>
          <w:b/>
          <w:i/>
        </w:rPr>
        <w:t>V.</w:t>
      </w:r>
      <w:r w:rsidRPr="00F35DDC">
        <w:rPr>
          <w:rFonts w:ascii="Palatino Linotype" w:hAnsi="Palatino Linotype"/>
          <w:i/>
        </w:rPr>
        <w:t xml:space="preserve"> La entrega de información incompleta;</w:t>
      </w:r>
    </w:p>
  </w:footnote>
  <w:footnote w:id="4">
    <w:p w:rsidR="0039420A" w:rsidRPr="00A8601B" w:rsidRDefault="0039420A" w:rsidP="00203650">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39420A" w:rsidRPr="00A8601B" w:rsidRDefault="0039420A" w:rsidP="00203650">
      <w:pPr>
        <w:pStyle w:val="Textonotapie"/>
        <w:jc w:val="both"/>
        <w:rPr>
          <w:rFonts w:ascii="Palatino Linotype" w:hAnsi="Palatino Linotype"/>
          <w:i/>
        </w:rPr>
      </w:pPr>
    </w:p>
    <w:p w:rsidR="0039420A" w:rsidRPr="00A8601B" w:rsidRDefault="0039420A" w:rsidP="00203650">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9420A" w:rsidRPr="00A8601B" w:rsidRDefault="0039420A" w:rsidP="00203650">
      <w:pPr>
        <w:pStyle w:val="Textonotapie"/>
        <w:jc w:val="both"/>
        <w:rPr>
          <w:rFonts w:ascii="Palatino Linotype" w:hAnsi="Palatino Linotype"/>
          <w:i/>
        </w:rPr>
      </w:pPr>
      <w:r w:rsidRPr="00A8601B">
        <w:rPr>
          <w:rFonts w:ascii="Palatino Linotype" w:hAnsi="Palatino Linotype"/>
          <w:i/>
        </w:rPr>
        <w:t>[…]</w:t>
      </w:r>
    </w:p>
    <w:p w:rsidR="0039420A" w:rsidRPr="00A8601B" w:rsidRDefault="0039420A" w:rsidP="00203650">
      <w:pPr>
        <w:pStyle w:val="Textonotapie"/>
        <w:jc w:val="both"/>
        <w:rPr>
          <w:rFonts w:ascii="Palatino Linotype" w:hAnsi="Palatino Linotype"/>
          <w:i/>
        </w:rPr>
      </w:pPr>
    </w:p>
    <w:p w:rsidR="0039420A" w:rsidRPr="00A8601B" w:rsidRDefault="0039420A" w:rsidP="00203650">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39420A" w:rsidRPr="00A8601B" w:rsidRDefault="0039420A" w:rsidP="00203650">
      <w:pPr>
        <w:pStyle w:val="Textonotapie"/>
        <w:jc w:val="both"/>
        <w:rPr>
          <w:rFonts w:ascii="Palatino Linotype" w:hAnsi="Palatino Linotype"/>
          <w:i/>
        </w:rPr>
      </w:pPr>
    </w:p>
    <w:p w:rsidR="0039420A" w:rsidRPr="00A8601B" w:rsidRDefault="0039420A" w:rsidP="00203650">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39420A" w:rsidRDefault="0039420A" w:rsidP="00203650">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65" w:rsidRDefault="00406C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670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694"/>
      <w:gridCol w:w="5811"/>
    </w:tblGrid>
    <w:tr w:rsidR="0039420A" w:rsidRPr="008F2CCC" w:rsidTr="00203650">
      <w:tc>
        <w:tcPr>
          <w:tcW w:w="2694" w:type="dxa"/>
          <w:shd w:val="clear" w:color="auto" w:fill="auto"/>
        </w:tcPr>
        <w:p w:rsidR="0039420A" w:rsidRPr="00807CDA" w:rsidRDefault="0039420A" w:rsidP="00203650">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rsidR="0039420A" w:rsidRPr="00664658" w:rsidRDefault="0039420A" w:rsidP="0020365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2470/INFOEM/IP/RR/2021</w:t>
          </w:r>
        </w:p>
      </w:tc>
    </w:tr>
    <w:tr w:rsidR="0039420A" w:rsidRPr="008F2CCC" w:rsidTr="00203650">
      <w:tc>
        <w:tcPr>
          <w:tcW w:w="2694" w:type="dxa"/>
          <w:shd w:val="clear" w:color="auto" w:fill="auto"/>
        </w:tcPr>
        <w:p w:rsidR="0039420A" w:rsidRPr="00807CDA" w:rsidRDefault="0039420A" w:rsidP="00203650">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811" w:type="dxa"/>
          <w:shd w:val="clear" w:color="auto" w:fill="auto"/>
          <w:vAlign w:val="center"/>
        </w:tcPr>
        <w:p w:rsidR="0039420A" w:rsidRPr="00664658" w:rsidRDefault="0039420A" w:rsidP="00203650">
          <w:pPr>
            <w:spacing w:line="276" w:lineRule="auto"/>
            <w:jc w:val="right"/>
            <w:rPr>
              <w:rFonts w:ascii="Palatino Linotype" w:hAnsi="Palatino Linotype"/>
              <w:b/>
              <w:sz w:val="22"/>
              <w:szCs w:val="22"/>
              <w:lang w:val="es-ES_tradnl"/>
            </w:rPr>
          </w:pPr>
          <w:r w:rsidRPr="00203650">
            <w:rPr>
              <w:rFonts w:ascii="Palatino Linotype" w:hAnsi="Palatino Linotype"/>
              <w:b/>
              <w:sz w:val="22"/>
              <w:szCs w:val="22"/>
            </w:rPr>
            <w:t>Organismo Público Descentralizado para la Prestación de Los Servicios de Agua Potable Alcantarillado y Saneamiento del Municipio de Metepec</w:t>
          </w:r>
        </w:p>
      </w:tc>
    </w:tr>
    <w:tr w:rsidR="0039420A" w:rsidRPr="008F2CCC" w:rsidTr="00203650">
      <w:trPr>
        <w:trHeight w:val="228"/>
      </w:trPr>
      <w:tc>
        <w:tcPr>
          <w:tcW w:w="2694" w:type="dxa"/>
          <w:shd w:val="clear" w:color="auto" w:fill="auto"/>
        </w:tcPr>
        <w:p w:rsidR="0039420A" w:rsidRPr="00807CDA" w:rsidRDefault="0039420A" w:rsidP="00203650">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5811" w:type="dxa"/>
          <w:shd w:val="clear" w:color="auto" w:fill="auto"/>
        </w:tcPr>
        <w:p w:rsidR="0039420A" w:rsidRPr="00664658" w:rsidRDefault="0039420A" w:rsidP="0020365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9420A" w:rsidRPr="001779E0" w:rsidRDefault="00406CE8" w:rsidP="00203650">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670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410"/>
      <w:gridCol w:w="6095"/>
    </w:tblGrid>
    <w:tr w:rsidR="0039420A" w:rsidRPr="008F2CCC" w:rsidTr="00203650">
      <w:tc>
        <w:tcPr>
          <w:tcW w:w="2410" w:type="dxa"/>
          <w:shd w:val="clear" w:color="auto" w:fill="auto"/>
        </w:tcPr>
        <w:p w:rsidR="0039420A" w:rsidRPr="00807CDA" w:rsidRDefault="0039420A" w:rsidP="00203650">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rsidR="0039420A" w:rsidRPr="008F2CCC" w:rsidRDefault="0039420A" w:rsidP="002036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02470/INFOEM/IP/RR/2021</w:t>
          </w:r>
        </w:p>
      </w:tc>
    </w:tr>
    <w:tr w:rsidR="0039420A" w:rsidRPr="008F2CCC" w:rsidTr="00203650">
      <w:tc>
        <w:tcPr>
          <w:tcW w:w="2410" w:type="dxa"/>
          <w:shd w:val="clear" w:color="auto" w:fill="auto"/>
          <w:vAlign w:val="center"/>
        </w:tcPr>
        <w:p w:rsidR="0039420A" w:rsidRPr="00807CDA" w:rsidRDefault="0039420A"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rsidR="0039420A" w:rsidRPr="008F2CCC" w:rsidRDefault="003415CA" w:rsidP="002036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39420A" w:rsidRPr="008F2CCC" w:rsidTr="00203650">
      <w:trPr>
        <w:trHeight w:val="228"/>
      </w:trPr>
      <w:tc>
        <w:tcPr>
          <w:tcW w:w="2410" w:type="dxa"/>
          <w:shd w:val="clear" w:color="auto" w:fill="auto"/>
        </w:tcPr>
        <w:p w:rsidR="0039420A" w:rsidRPr="00807CDA" w:rsidRDefault="0039420A"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rsidR="0039420A" w:rsidRPr="00DC41C8" w:rsidRDefault="0039420A" w:rsidP="00203650">
          <w:pPr>
            <w:spacing w:line="360" w:lineRule="auto"/>
            <w:jc w:val="right"/>
            <w:rPr>
              <w:rFonts w:ascii="Palatino Linotype" w:hAnsi="Palatino Linotype"/>
              <w:b/>
              <w:sz w:val="22"/>
              <w:szCs w:val="22"/>
            </w:rPr>
          </w:pPr>
          <w:r w:rsidRPr="00203650">
            <w:rPr>
              <w:rFonts w:ascii="Palatino Linotype" w:hAnsi="Palatino Linotype"/>
              <w:b/>
              <w:sz w:val="22"/>
              <w:szCs w:val="22"/>
            </w:rPr>
            <w:t>Organismo Público Descentralizado para la Prestación de Los Servicios de Agua Potable Alcantarillado y Saneamiento del Municipio de Metepec</w:t>
          </w:r>
        </w:p>
      </w:tc>
    </w:tr>
    <w:tr w:rsidR="0039420A" w:rsidRPr="008F2CCC" w:rsidTr="00203650">
      <w:tc>
        <w:tcPr>
          <w:tcW w:w="2410" w:type="dxa"/>
          <w:shd w:val="clear" w:color="auto" w:fill="auto"/>
        </w:tcPr>
        <w:p w:rsidR="0039420A" w:rsidRPr="00807CDA" w:rsidRDefault="0039420A" w:rsidP="00203650">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6095" w:type="dxa"/>
          <w:shd w:val="clear" w:color="auto" w:fill="auto"/>
        </w:tcPr>
        <w:p w:rsidR="0039420A" w:rsidRPr="008F2CCC" w:rsidRDefault="0039420A" w:rsidP="002036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9420A" w:rsidRPr="009F1AB6" w:rsidRDefault="00406CE8">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670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B650E"/>
    <w:multiLevelType w:val="hybridMultilevel"/>
    <w:tmpl w:val="C108EAC8"/>
    <w:lvl w:ilvl="0" w:tplc="08BA4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5D2098"/>
    <w:multiLevelType w:val="hybridMultilevel"/>
    <w:tmpl w:val="D256B2C4"/>
    <w:lvl w:ilvl="0" w:tplc="83CE1DF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F4A3220"/>
    <w:multiLevelType w:val="hybridMultilevel"/>
    <w:tmpl w:val="66ECE98A"/>
    <w:lvl w:ilvl="0" w:tplc="08BA419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17C4171"/>
    <w:multiLevelType w:val="hybridMultilevel"/>
    <w:tmpl w:val="BC0236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030216"/>
    <w:multiLevelType w:val="hybridMultilevel"/>
    <w:tmpl w:val="D8607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97B67ED"/>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8714F7E"/>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0"/>
  </w:num>
  <w:num w:numId="8">
    <w:abstractNumId w:val="0"/>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50"/>
    <w:rsid w:val="00036F8B"/>
    <w:rsid w:val="0004053D"/>
    <w:rsid w:val="00062B65"/>
    <w:rsid w:val="00091C79"/>
    <w:rsid w:val="0009315C"/>
    <w:rsid w:val="00123996"/>
    <w:rsid w:val="00161941"/>
    <w:rsid w:val="001647CE"/>
    <w:rsid w:val="00186E0D"/>
    <w:rsid w:val="00187FC2"/>
    <w:rsid w:val="00195E5D"/>
    <w:rsid w:val="00203650"/>
    <w:rsid w:val="00225E8F"/>
    <w:rsid w:val="002718C6"/>
    <w:rsid w:val="00296302"/>
    <w:rsid w:val="002E02C5"/>
    <w:rsid w:val="002F3517"/>
    <w:rsid w:val="00304583"/>
    <w:rsid w:val="00305BE2"/>
    <w:rsid w:val="003415CA"/>
    <w:rsid w:val="0039420A"/>
    <w:rsid w:val="00406CE8"/>
    <w:rsid w:val="00467795"/>
    <w:rsid w:val="00483D63"/>
    <w:rsid w:val="004B1691"/>
    <w:rsid w:val="00517463"/>
    <w:rsid w:val="005244FD"/>
    <w:rsid w:val="005607A9"/>
    <w:rsid w:val="00646A48"/>
    <w:rsid w:val="00653370"/>
    <w:rsid w:val="00691C9E"/>
    <w:rsid w:val="00711078"/>
    <w:rsid w:val="0072196A"/>
    <w:rsid w:val="007428F2"/>
    <w:rsid w:val="007A20DC"/>
    <w:rsid w:val="007C43A5"/>
    <w:rsid w:val="007D4720"/>
    <w:rsid w:val="007D7352"/>
    <w:rsid w:val="008918C1"/>
    <w:rsid w:val="00954B11"/>
    <w:rsid w:val="009551BC"/>
    <w:rsid w:val="009B2D34"/>
    <w:rsid w:val="009E0EAB"/>
    <w:rsid w:val="00A02AA2"/>
    <w:rsid w:val="00AA5A35"/>
    <w:rsid w:val="00B62065"/>
    <w:rsid w:val="00BA193A"/>
    <w:rsid w:val="00BB1F86"/>
    <w:rsid w:val="00C06918"/>
    <w:rsid w:val="00C34CB4"/>
    <w:rsid w:val="00CE226D"/>
    <w:rsid w:val="00D540BE"/>
    <w:rsid w:val="00D65308"/>
    <w:rsid w:val="00DB71D9"/>
    <w:rsid w:val="00DF004A"/>
    <w:rsid w:val="00EB6439"/>
    <w:rsid w:val="00EB671D"/>
    <w:rsid w:val="00EC5661"/>
    <w:rsid w:val="00F35DDC"/>
    <w:rsid w:val="00FE46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7D3817C-2120-4829-965C-25D33C14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65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3650"/>
    <w:rPr>
      <w:rFonts w:eastAsiaTheme="minorEastAsia"/>
      <w:sz w:val="24"/>
      <w:szCs w:val="24"/>
      <w:lang w:val="es-ES_tradnl" w:eastAsia="es-ES"/>
    </w:rPr>
  </w:style>
  <w:style w:type="paragraph" w:styleId="Piedepgina">
    <w:name w:val="footer"/>
    <w:basedOn w:val="Normal"/>
    <w:link w:val="PiedepginaCar"/>
    <w:uiPriority w:val="99"/>
    <w:unhideWhenUsed/>
    <w:rsid w:val="0020365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365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365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365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03650"/>
    <w:rPr>
      <w:vertAlign w:val="superscript"/>
    </w:rPr>
  </w:style>
  <w:style w:type="character" w:customStyle="1" w:styleId="apple-converted-space">
    <w:name w:val="apple-converted-space"/>
    <w:basedOn w:val="Fuentedeprrafopredeter"/>
    <w:rsid w:val="00203650"/>
  </w:style>
  <w:style w:type="character" w:styleId="Hipervnculo">
    <w:name w:val="Hyperlink"/>
    <w:basedOn w:val="Fuentedeprrafopredeter"/>
    <w:uiPriority w:val="99"/>
    <w:unhideWhenUsed/>
    <w:rsid w:val="0020365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0365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03650"/>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EB6439"/>
    <w:pPr>
      <w:spacing w:after="0" w:line="240" w:lineRule="auto"/>
    </w:pPr>
  </w:style>
  <w:style w:type="character" w:customStyle="1" w:styleId="SinespaciadoCar">
    <w:name w:val="Sin espaciado Car"/>
    <w:aliases w:val="Francesa Car"/>
    <w:link w:val="Sinespaciado"/>
    <w:uiPriority w:val="1"/>
    <w:locked/>
    <w:rsid w:val="00EB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923672">
      <w:bodyDiv w:val="1"/>
      <w:marLeft w:val="0"/>
      <w:marRight w:val="0"/>
      <w:marTop w:val="0"/>
      <w:marBottom w:val="0"/>
      <w:divBdr>
        <w:top w:val="none" w:sz="0" w:space="0" w:color="auto"/>
        <w:left w:val="none" w:sz="0" w:space="0" w:color="auto"/>
        <w:bottom w:val="none" w:sz="0" w:space="0" w:color="auto"/>
        <w:right w:val="none" w:sz="0" w:space="0" w:color="auto"/>
      </w:divBdr>
      <w:divsChild>
        <w:div w:id="67919488">
          <w:marLeft w:val="0"/>
          <w:marRight w:val="0"/>
          <w:marTop w:val="0"/>
          <w:marBottom w:val="94"/>
          <w:divBdr>
            <w:top w:val="none" w:sz="0" w:space="0" w:color="auto"/>
            <w:left w:val="none" w:sz="0" w:space="0" w:color="auto"/>
            <w:bottom w:val="none" w:sz="0" w:space="0" w:color="auto"/>
            <w:right w:val="none" w:sz="0" w:space="0" w:color="auto"/>
          </w:divBdr>
        </w:div>
        <w:div w:id="2049795287">
          <w:marLeft w:val="864"/>
          <w:marRight w:val="0"/>
          <w:marTop w:val="0"/>
          <w:marBottom w:val="94"/>
          <w:divBdr>
            <w:top w:val="none" w:sz="0" w:space="0" w:color="auto"/>
            <w:left w:val="none" w:sz="0" w:space="0" w:color="auto"/>
            <w:bottom w:val="none" w:sz="0" w:space="0" w:color="auto"/>
            <w:right w:val="none" w:sz="0" w:space="0" w:color="auto"/>
          </w:divBdr>
        </w:div>
        <w:div w:id="702754524">
          <w:marLeft w:val="864"/>
          <w:marRight w:val="0"/>
          <w:marTop w:val="0"/>
          <w:marBottom w:val="94"/>
          <w:divBdr>
            <w:top w:val="none" w:sz="0" w:space="0" w:color="auto"/>
            <w:left w:val="none" w:sz="0" w:space="0" w:color="auto"/>
            <w:bottom w:val="none" w:sz="0" w:space="0" w:color="auto"/>
            <w:right w:val="none" w:sz="0" w:space="0" w:color="auto"/>
          </w:divBdr>
        </w:div>
        <w:div w:id="1055012084">
          <w:marLeft w:val="864"/>
          <w:marRight w:val="0"/>
          <w:marTop w:val="0"/>
          <w:marBottom w:val="94"/>
          <w:divBdr>
            <w:top w:val="none" w:sz="0" w:space="0" w:color="auto"/>
            <w:left w:val="none" w:sz="0" w:space="0" w:color="auto"/>
            <w:bottom w:val="none" w:sz="0" w:space="0" w:color="auto"/>
            <w:right w:val="none" w:sz="0" w:space="0" w:color="auto"/>
          </w:divBdr>
        </w:div>
        <w:div w:id="62609976">
          <w:marLeft w:val="0"/>
          <w:marRight w:val="0"/>
          <w:marTop w:val="0"/>
          <w:marBottom w:val="94"/>
          <w:divBdr>
            <w:top w:val="none" w:sz="0" w:space="0" w:color="auto"/>
            <w:left w:val="none" w:sz="0" w:space="0" w:color="auto"/>
            <w:bottom w:val="none" w:sz="0" w:space="0" w:color="auto"/>
            <w:right w:val="none" w:sz="0" w:space="0" w:color="auto"/>
          </w:divBdr>
        </w:div>
      </w:divsChild>
    </w:div>
    <w:div w:id="1784616501">
      <w:bodyDiv w:val="1"/>
      <w:marLeft w:val="0"/>
      <w:marRight w:val="0"/>
      <w:marTop w:val="0"/>
      <w:marBottom w:val="0"/>
      <w:divBdr>
        <w:top w:val="none" w:sz="0" w:space="0" w:color="auto"/>
        <w:left w:val="none" w:sz="0" w:space="0" w:color="auto"/>
        <w:bottom w:val="none" w:sz="0" w:space="0" w:color="auto"/>
        <w:right w:val="none" w:sz="0" w:space="0" w:color="auto"/>
      </w:divBdr>
    </w:div>
    <w:div w:id="19925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41</Pages>
  <Words>10161</Words>
  <Characters>55886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17</cp:revision>
  <dcterms:created xsi:type="dcterms:W3CDTF">2021-06-15T22:52:00Z</dcterms:created>
  <dcterms:modified xsi:type="dcterms:W3CDTF">2021-08-05T15:57:00Z</dcterms:modified>
</cp:coreProperties>
</file>