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2EC8A" w14:textId="7D395BEE"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C967A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D6B66">
        <w:rPr>
          <w:rFonts w:ascii="Palatino Linotype" w:eastAsia="Times New Roman" w:hAnsi="Palatino Linotype" w:cs="Arial"/>
          <w:color w:val="000000"/>
          <w:sz w:val="24"/>
          <w:szCs w:val="24"/>
          <w:lang w:eastAsia="es-MX"/>
        </w:rPr>
        <w:t>doce de mayo</w:t>
      </w:r>
      <w:r w:rsidR="009E08DE">
        <w:rPr>
          <w:rFonts w:ascii="Palatino Linotype" w:eastAsia="Times New Roman" w:hAnsi="Palatino Linotype" w:cs="Arial"/>
          <w:color w:val="000000"/>
          <w:sz w:val="24"/>
          <w:szCs w:val="24"/>
          <w:lang w:eastAsia="es-MX"/>
        </w:rPr>
        <w:t xml:space="preserve"> de dos mil veintiuno. </w:t>
      </w:r>
      <w:r w:rsidR="00A26BC8">
        <w:rPr>
          <w:rFonts w:ascii="Palatino Linotype" w:eastAsia="Times New Roman" w:hAnsi="Palatino Linotype" w:cs="Arial"/>
          <w:color w:val="000000"/>
          <w:sz w:val="24"/>
          <w:szCs w:val="24"/>
          <w:lang w:eastAsia="es-MX"/>
        </w:rPr>
        <w:t xml:space="preserve"> </w:t>
      </w:r>
      <w:r w:rsidR="00C866F1">
        <w:rPr>
          <w:rFonts w:ascii="Palatino Linotype" w:eastAsia="Times New Roman" w:hAnsi="Palatino Linotype" w:cs="Arial"/>
          <w:color w:val="000000"/>
          <w:sz w:val="24"/>
          <w:szCs w:val="24"/>
          <w:lang w:eastAsia="es-MX"/>
        </w:rPr>
        <w:t xml:space="preserve"> </w:t>
      </w:r>
    </w:p>
    <w:p w14:paraId="7CE8F5B3" w14:textId="2B3B8FAB" w:rsidR="008D6B66" w:rsidRPr="008D6B66" w:rsidRDefault="00A26BC8" w:rsidP="00A26BC8">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Pr="00F403EA">
        <w:rPr>
          <w:rFonts w:ascii="Palatino Linotype" w:hAnsi="Palatino Linotype" w:cs="Arial"/>
          <w:b/>
          <w:bCs/>
          <w:sz w:val="24"/>
          <w:lang w:eastAsia="es-MX"/>
        </w:rPr>
        <w:t>0</w:t>
      </w:r>
      <w:r w:rsidR="008D6B66">
        <w:rPr>
          <w:rFonts w:ascii="Palatino Linotype" w:hAnsi="Palatino Linotype" w:cs="Arial"/>
          <w:b/>
          <w:bCs/>
          <w:sz w:val="24"/>
          <w:lang w:eastAsia="es-MX"/>
        </w:rPr>
        <w:t>1245/INFOEM/IP/RR/2021</w:t>
      </w:r>
      <w:r w:rsidRPr="00F403EA">
        <w:rPr>
          <w:rFonts w:ascii="Palatino Linotype" w:hAnsi="Palatino Linotype" w:cs="Arial"/>
          <w:sz w:val="24"/>
        </w:rPr>
        <w:t xml:space="preserve">, </w:t>
      </w:r>
      <w:r>
        <w:rPr>
          <w:rFonts w:ascii="Palatino Linotype" w:hAnsi="Palatino Linotype" w:cs="Arial"/>
          <w:sz w:val="24"/>
        </w:rPr>
        <w:t>interpuesto por</w:t>
      </w:r>
      <w:r w:rsidR="008D6B66">
        <w:rPr>
          <w:rFonts w:ascii="Palatino Linotype" w:hAnsi="Palatino Linotype" w:cs="Arial"/>
          <w:sz w:val="24"/>
        </w:rPr>
        <w:t xml:space="preserve"> la </w:t>
      </w:r>
      <w:r w:rsidR="008D6B66">
        <w:rPr>
          <w:rFonts w:ascii="Palatino Linotype" w:hAnsi="Palatino Linotype" w:cs="Arial"/>
          <w:b/>
          <w:sz w:val="24"/>
        </w:rPr>
        <w:t xml:space="preserve">C. </w:t>
      </w:r>
      <w:r w:rsidR="00B07F60">
        <w:rPr>
          <w:rFonts w:ascii="Palatino Linotype" w:hAnsi="Palatino Linotype" w:cs="Arial"/>
          <w:b/>
          <w:sz w:val="24"/>
        </w:rPr>
        <w:t>xxxxxxxxxxxxxxxxxxxxxxxxx</w:t>
      </w:r>
      <w:r w:rsidR="008D6B66">
        <w:rPr>
          <w:rFonts w:ascii="Palatino Linotype" w:hAnsi="Palatino Linotype" w:cs="Arial"/>
          <w:b/>
          <w:sz w:val="24"/>
        </w:rPr>
        <w:t xml:space="preserve"> </w:t>
      </w:r>
      <w:r w:rsidR="00B07F60">
        <w:rPr>
          <w:rFonts w:ascii="Palatino Linotype" w:hAnsi="Palatino Linotype" w:cs="Arial"/>
          <w:b/>
          <w:sz w:val="24"/>
        </w:rPr>
        <w:t>xxxxxxxxxxxxxx</w:t>
      </w:r>
      <w:bookmarkStart w:id="0" w:name="_GoBack"/>
      <w:bookmarkEnd w:id="0"/>
      <w:r w:rsidR="008D6B66">
        <w:rPr>
          <w:rFonts w:ascii="Palatino Linotype" w:hAnsi="Palatino Linotype" w:cs="Arial"/>
          <w:b/>
          <w:sz w:val="24"/>
        </w:rPr>
        <w:t xml:space="preserve">, </w:t>
      </w:r>
      <w:r w:rsidR="008D6B66">
        <w:rPr>
          <w:rFonts w:ascii="Palatino Linotype" w:hAnsi="Palatino Linotype" w:cs="Arial"/>
          <w:sz w:val="24"/>
        </w:rPr>
        <w:t xml:space="preserve">en lo subsecuente </w:t>
      </w:r>
      <w:r w:rsidR="008D6B66">
        <w:rPr>
          <w:rFonts w:ascii="Palatino Linotype" w:hAnsi="Palatino Linotype" w:cs="Arial"/>
          <w:b/>
          <w:sz w:val="24"/>
        </w:rPr>
        <w:t xml:space="preserve">La Recurrente, </w:t>
      </w:r>
      <w:r w:rsidR="008D6B66">
        <w:rPr>
          <w:rFonts w:ascii="Palatino Linotype" w:hAnsi="Palatino Linotype" w:cs="Arial"/>
          <w:sz w:val="24"/>
        </w:rPr>
        <w:t xml:space="preserve">en contra de la respuesta de la </w:t>
      </w:r>
      <w:r w:rsidR="008D6B66">
        <w:rPr>
          <w:rFonts w:ascii="Palatino Linotype" w:hAnsi="Palatino Linotype" w:cs="Arial"/>
          <w:b/>
          <w:sz w:val="24"/>
        </w:rPr>
        <w:t xml:space="preserve">Secretaría de Medio Ambiente, </w:t>
      </w:r>
      <w:r w:rsidR="008D6B66">
        <w:rPr>
          <w:rFonts w:ascii="Palatino Linotype" w:hAnsi="Palatino Linotype" w:cs="Arial"/>
          <w:sz w:val="24"/>
        </w:rPr>
        <w:t xml:space="preserve">en lo subsecuente </w:t>
      </w:r>
      <w:r w:rsidR="008D6B66">
        <w:rPr>
          <w:rFonts w:ascii="Palatino Linotype" w:hAnsi="Palatino Linotype" w:cs="Arial"/>
          <w:b/>
          <w:sz w:val="24"/>
        </w:rPr>
        <w:t xml:space="preserve">El Sujeto Obligado, </w:t>
      </w:r>
      <w:r w:rsidR="008D6B66">
        <w:rPr>
          <w:rFonts w:ascii="Palatino Linotype" w:hAnsi="Palatino Linotype" w:cs="Arial"/>
          <w:sz w:val="24"/>
        </w:rPr>
        <w:t xml:space="preserve">se procede a dictar la presente resolución. </w:t>
      </w:r>
    </w:p>
    <w:p w14:paraId="0D29434B" w14:textId="77777777" w:rsidR="008D6B66" w:rsidRDefault="008D6B66" w:rsidP="00844569">
      <w:pPr>
        <w:spacing w:before="240" w:after="240" w:line="360" w:lineRule="auto"/>
        <w:jc w:val="center"/>
        <w:rPr>
          <w:rFonts w:ascii="Palatino Linotype" w:hAnsi="Palatino Linotype"/>
          <w:b/>
          <w:sz w:val="28"/>
        </w:rPr>
      </w:pPr>
    </w:p>
    <w:p w14:paraId="197D6115" w14:textId="766558C4"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7A0215BA" w14:textId="2F6264F1"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03074135" w14:textId="0701795B" w:rsidR="008D6B66" w:rsidRDefault="000451BE" w:rsidP="00A26BC8">
      <w:pPr>
        <w:pStyle w:val="INFOEM"/>
        <w:ind w:left="0" w:right="-18"/>
        <w:rPr>
          <w:i w:val="0"/>
          <w:iCs/>
          <w:sz w:val="24"/>
          <w:szCs w:val="24"/>
        </w:rPr>
      </w:pPr>
      <w:r w:rsidRPr="00A26BC8">
        <w:rPr>
          <w:i w:val="0"/>
          <w:iCs/>
          <w:sz w:val="24"/>
          <w:szCs w:val="24"/>
        </w:rPr>
        <w:t xml:space="preserve">Con fecha </w:t>
      </w:r>
      <w:r w:rsidR="008D6B66">
        <w:rPr>
          <w:i w:val="0"/>
          <w:iCs/>
          <w:sz w:val="24"/>
          <w:szCs w:val="24"/>
        </w:rPr>
        <w:t xml:space="preserve">tres de marzo de dos mil veintiuno, </w:t>
      </w:r>
      <w:r w:rsidR="008D6B66">
        <w:rPr>
          <w:b/>
          <w:i w:val="0"/>
          <w:iCs/>
          <w:sz w:val="24"/>
          <w:szCs w:val="24"/>
        </w:rPr>
        <w:t xml:space="preserve">La Recurrente, </w:t>
      </w:r>
      <w:r w:rsidR="008D6B66" w:rsidRPr="00A26BC8">
        <w:rPr>
          <w:i w:val="0"/>
          <w:iCs/>
          <w:sz w:val="24"/>
          <w:szCs w:val="24"/>
        </w:rPr>
        <w:t xml:space="preserve">presentó a través del Sistema de Acceso a la Información Mexiquense </w:t>
      </w:r>
      <w:r w:rsidR="008D6B66" w:rsidRPr="00A26BC8">
        <w:rPr>
          <w:b/>
          <w:i w:val="0"/>
          <w:iCs/>
          <w:sz w:val="24"/>
          <w:szCs w:val="24"/>
        </w:rPr>
        <w:t xml:space="preserve">(SAIMEX) </w:t>
      </w:r>
      <w:r w:rsidR="008D6B66" w:rsidRPr="00A26BC8">
        <w:rPr>
          <w:i w:val="0"/>
          <w:iCs/>
          <w:sz w:val="24"/>
          <w:szCs w:val="24"/>
        </w:rPr>
        <w:t xml:space="preserve">ante </w:t>
      </w:r>
      <w:r w:rsidR="008D6B66" w:rsidRPr="00A26BC8">
        <w:rPr>
          <w:b/>
          <w:i w:val="0"/>
          <w:iCs/>
          <w:sz w:val="24"/>
          <w:szCs w:val="24"/>
        </w:rPr>
        <w:t xml:space="preserve">El Sujeto Obligado, </w:t>
      </w:r>
      <w:r w:rsidR="008D6B66" w:rsidRPr="00A26BC8">
        <w:rPr>
          <w:i w:val="0"/>
          <w:iCs/>
          <w:sz w:val="24"/>
          <w:szCs w:val="24"/>
        </w:rPr>
        <w:t>solicitud de acceso a la información pública, registrada bajo el número de expediente</w:t>
      </w:r>
      <w:r w:rsidR="008D6B66">
        <w:rPr>
          <w:i w:val="0"/>
          <w:iCs/>
          <w:sz w:val="24"/>
          <w:szCs w:val="24"/>
        </w:rPr>
        <w:t xml:space="preserve"> </w:t>
      </w:r>
      <w:r w:rsidR="008D6B66">
        <w:rPr>
          <w:b/>
          <w:i w:val="0"/>
          <w:iCs/>
          <w:sz w:val="24"/>
          <w:szCs w:val="24"/>
        </w:rPr>
        <w:t xml:space="preserve">00068/SMA/IP/2021, </w:t>
      </w:r>
      <w:r w:rsidR="008D6B66">
        <w:rPr>
          <w:i w:val="0"/>
          <w:iCs/>
          <w:sz w:val="24"/>
          <w:szCs w:val="24"/>
        </w:rPr>
        <w:t>mediante la cual solicitó información en el tenor siguiente:</w:t>
      </w:r>
    </w:p>
    <w:p w14:paraId="5E993ECC" w14:textId="7FA3B52A" w:rsidR="008D6B66" w:rsidRPr="008D6B66" w:rsidRDefault="008D6B66" w:rsidP="008D6B66">
      <w:pPr>
        <w:pStyle w:val="Citas"/>
        <w:rPr>
          <w:b/>
          <w:iCs/>
          <w:sz w:val="24"/>
          <w:szCs w:val="24"/>
        </w:rPr>
      </w:pPr>
      <w:r>
        <w:t xml:space="preserve">“Buena tarde, solicito atentamente me indique cual es trámite y ante que autoridad, puedo solicitar la devolución del pago indebido de una multa por verificación vehicular extemporánea. Gracias” </w:t>
      </w:r>
      <w:r>
        <w:rPr>
          <w:b/>
        </w:rPr>
        <w:t>[Sic]</w:t>
      </w:r>
    </w:p>
    <w:p w14:paraId="1D70AFBD" w14:textId="77777777" w:rsidR="00377697"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4927B2">
        <w:rPr>
          <w:rFonts w:ascii="Palatino Linotype" w:eastAsia="Times New Roman" w:hAnsi="Palatino Linotype" w:cs="Times New Roman"/>
          <w:b/>
          <w:sz w:val="24"/>
          <w:szCs w:val="24"/>
          <w:lang w:val="es-ES_tradnl" w:eastAsia="es-ES"/>
        </w:rPr>
        <w:t>Modalidad de entrega:</w:t>
      </w:r>
      <w:r w:rsidRPr="004927B2">
        <w:rPr>
          <w:rFonts w:ascii="Palatino Linotype" w:eastAsia="Times New Roman" w:hAnsi="Palatino Linotype" w:cs="Times New Roman"/>
          <w:sz w:val="24"/>
          <w:szCs w:val="24"/>
          <w:lang w:val="es-ES_tradnl" w:eastAsia="es-ES"/>
        </w:rPr>
        <w:t xml:space="preserve"> </w:t>
      </w:r>
      <w:r w:rsidR="00643161" w:rsidRPr="004927B2">
        <w:rPr>
          <w:rFonts w:ascii="Palatino Linotype" w:eastAsia="Times New Roman" w:hAnsi="Palatino Linotype" w:cs="Times New Roman"/>
          <w:sz w:val="24"/>
          <w:szCs w:val="24"/>
          <w:lang w:val="es-ES_tradnl" w:eastAsia="es-ES"/>
        </w:rPr>
        <w:t>A través del SAIMEX.</w:t>
      </w:r>
    </w:p>
    <w:p w14:paraId="328634EA" w14:textId="466A0139" w:rsidR="007D300A" w:rsidRDefault="00643161" w:rsidP="008D6B66">
      <w:pPr>
        <w:spacing w:before="240" w:line="360" w:lineRule="auto"/>
        <w:ind w:right="850"/>
        <w:jc w:val="both"/>
        <w:rPr>
          <w:rFonts w:ascii="Palatino Linotype" w:hAnsi="Palatino Linotype" w:cs="Arial"/>
          <w:b/>
          <w:sz w:val="28"/>
        </w:rPr>
      </w:pPr>
      <w:r>
        <w:rPr>
          <w:rFonts w:ascii="Palatino Linotype" w:eastAsia="Times New Roman" w:hAnsi="Palatino Linotype" w:cs="Times New Roman"/>
          <w:sz w:val="24"/>
          <w:szCs w:val="24"/>
          <w:lang w:val="es-ES_tradnl" w:eastAsia="es-ES"/>
        </w:rPr>
        <w:lastRenderedPageBreak/>
        <w:t xml:space="preserve"> </w:t>
      </w:r>
      <w:r w:rsidR="007A3BB5">
        <w:rPr>
          <w:rFonts w:ascii="Palatino Linotype" w:hAnsi="Palatino Linotype" w:cs="Arial"/>
          <w:b/>
          <w:sz w:val="28"/>
        </w:rPr>
        <w:t>SEGUNDO</w:t>
      </w:r>
      <w:r w:rsidR="006168E4">
        <w:rPr>
          <w:rFonts w:ascii="Palatino Linotype" w:hAnsi="Palatino Linotype" w:cs="Arial"/>
          <w:b/>
          <w:sz w:val="28"/>
        </w:rPr>
        <w:t xml:space="preserve">. </w:t>
      </w:r>
      <w:r w:rsidR="007D300A">
        <w:rPr>
          <w:rFonts w:ascii="Palatino Linotype" w:hAnsi="Palatino Linotype" w:cs="Arial"/>
          <w:b/>
          <w:sz w:val="28"/>
        </w:rPr>
        <w:t xml:space="preserve">De </w:t>
      </w:r>
      <w:r>
        <w:rPr>
          <w:rFonts w:ascii="Palatino Linotype" w:hAnsi="Palatino Linotype" w:cs="Arial"/>
          <w:b/>
          <w:sz w:val="28"/>
        </w:rPr>
        <w:t xml:space="preserve">respuesta del Sujeto Obligado. </w:t>
      </w:r>
    </w:p>
    <w:p w14:paraId="6BBDB003" w14:textId="2119EC7F" w:rsidR="008D6B66" w:rsidRDefault="007D300A" w:rsidP="00045379">
      <w:pPr>
        <w:spacing w:before="240" w:line="360" w:lineRule="auto"/>
        <w:jc w:val="both"/>
        <w:rPr>
          <w:rFonts w:ascii="Palatino Linotype" w:hAnsi="Palatino Linotype" w:cs="Arial"/>
          <w:sz w:val="24"/>
          <w:szCs w:val="24"/>
        </w:rPr>
      </w:pPr>
      <w:r w:rsidRPr="00112C29">
        <w:rPr>
          <w:rFonts w:ascii="Palatino Linotype" w:hAnsi="Palatino Linotype" w:cs="Arial"/>
          <w:sz w:val="24"/>
          <w:szCs w:val="24"/>
        </w:rPr>
        <w:t xml:space="preserve">En el expediente electrónico </w:t>
      </w:r>
      <w:r w:rsidR="00045CB8" w:rsidRPr="00112C29">
        <w:rPr>
          <w:rFonts w:ascii="Palatino Linotype" w:hAnsi="Palatino Linotype" w:cs="Arial"/>
          <w:sz w:val="24"/>
          <w:szCs w:val="24"/>
        </w:rPr>
        <w:t xml:space="preserve">del </w:t>
      </w:r>
      <w:r w:rsidRPr="00112C29">
        <w:rPr>
          <w:rFonts w:ascii="Palatino Linotype" w:hAnsi="Palatino Linotype" w:cs="Arial"/>
          <w:b/>
          <w:sz w:val="24"/>
          <w:szCs w:val="24"/>
        </w:rPr>
        <w:t xml:space="preserve">SAIMEX, </w:t>
      </w:r>
      <w:r w:rsidRPr="00112C29">
        <w:rPr>
          <w:rFonts w:ascii="Palatino Linotype" w:hAnsi="Palatino Linotype" w:cs="Arial"/>
          <w:sz w:val="24"/>
          <w:szCs w:val="24"/>
        </w:rPr>
        <w:t xml:space="preserve">se aprecia que el </w:t>
      </w:r>
      <w:r w:rsidR="00AB1D6A" w:rsidRPr="00112C29">
        <w:rPr>
          <w:rFonts w:ascii="Palatino Linotype" w:hAnsi="Palatino Linotype" w:cs="Arial"/>
          <w:sz w:val="24"/>
          <w:szCs w:val="24"/>
        </w:rPr>
        <w:t>día</w:t>
      </w:r>
      <w:r w:rsidR="00A26BC8">
        <w:rPr>
          <w:rFonts w:ascii="Palatino Linotype" w:hAnsi="Palatino Linotype" w:cs="Arial"/>
          <w:sz w:val="24"/>
          <w:szCs w:val="24"/>
        </w:rPr>
        <w:t xml:space="preserve"> </w:t>
      </w:r>
      <w:r w:rsidR="008D6B66">
        <w:rPr>
          <w:rFonts w:ascii="Palatino Linotype" w:hAnsi="Palatino Linotype" w:cs="Arial"/>
          <w:sz w:val="24"/>
          <w:szCs w:val="24"/>
        </w:rPr>
        <w:t xml:space="preserve">dieciocho de marzo de dos mil veintiuno, </w:t>
      </w:r>
      <w:r w:rsidR="008D6B66">
        <w:rPr>
          <w:rFonts w:ascii="Palatino Linotype" w:hAnsi="Palatino Linotype" w:cs="Arial"/>
          <w:b/>
          <w:sz w:val="24"/>
          <w:szCs w:val="24"/>
        </w:rPr>
        <w:t xml:space="preserve">El Sujeto Obligado </w:t>
      </w:r>
      <w:r w:rsidR="008D6B66">
        <w:rPr>
          <w:rFonts w:ascii="Palatino Linotype" w:hAnsi="Palatino Linotype" w:cs="Arial"/>
          <w:sz w:val="24"/>
          <w:szCs w:val="24"/>
        </w:rPr>
        <w:t>dio respuesta a la solicitud de información, resultando de nuestro interés lo siguiente:</w:t>
      </w:r>
    </w:p>
    <w:p w14:paraId="2D59E4AB" w14:textId="7CD318E7" w:rsidR="008D6B66" w:rsidRDefault="008D6B66" w:rsidP="008D6B66">
      <w:pPr>
        <w:pStyle w:val="Citas"/>
        <w:rPr>
          <w:sz w:val="24"/>
          <w:szCs w:val="24"/>
        </w:rPr>
      </w:pPr>
      <w:r>
        <w:rPr>
          <w:lang w:eastAsia="es-MX"/>
        </w:rPr>
        <w:t xml:space="preserve">“En </w:t>
      </w:r>
      <w:r w:rsidRPr="008D6B66">
        <w:rPr>
          <w:lang w:eastAsia="es-MX"/>
        </w:rPr>
        <w:t>respuesta a la solicitud recibida, nos permitimos hacer de su conocimiento que con fundamento en el artículo 53, Fracciones: II, V y VI de la Ley de Transparencia y Acceso a la Información Pública del Estado de México y Municipios, le contestamos que:</w:t>
      </w:r>
    </w:p>
    <w:p w14:paraId="6CA62C64" w14:textId="66593BEB" w:rsidR="008D6B66" w:rsidRPr="008D6B66" w:rsidRDefault="008D6B66" w:rsidP="008D6B66">
      <w:pPr>
        <w:pStyle w:val="Citas"/>
        <w:rPr>
          <w:b/>
          <w:sz w:val="24"/>
          <w:szCs w:val="24"/>
        </w:rPr>
      </w:pPr>
      <w:r>
        <w:rPr>
          <w:lang w:eastAsia="es-MX"/>
        </w:rPr>
        <w:t xml:space="preserve">En </w:t>
      </w:r>
      <w:r w:rsidRPr="008D6B66">
        <w:rPr>
          <w:lang w:eastAsia="es-MX"/>
        </w:rPr>
        <w:t>respuesta a la solicitud recibida, nos permitimos hacer de su conocimiento que con fundamento en el artículo 53, Fracciones: II, V y VI de la Ley de Transparencia y Acceso a la Información Pública del Estado de México y Municipios, le contestamos que: En atención a la presente solicitud con número de Folio 00068/SMA/IP/2021, por este medio se envía en archivo electrónico formato PDF, el escrito de respuesta emitida por la Dirección General de Prevención y Control de la Contaminación Atmosférica de la Secretaría del Medio Ambiente, de fecha 5 de marzo de 2021. Si se tuviese algún problema para descargarlo, favor de notificarlo al correo electrónico: medioambiente@itaipem.org.mx</w:t>
      </w:r>
      <w:r>
        <w:rPr>
          <w:lang w:eastAsia="es-MX"/>
        </w:rPr>
        <w:t>”</w:t>
      </w:r>
      <w:r>
        <w:rPr>
          <w:b/>
          <w:lang w:eastAsia="es-MX"/>
        </w:rPr>
        <w:t>[Sic]</w:t>
      </w:r>
    </w:p>
    <w:p w14:paraId="4A2179C5" w14:textId="77777777" w:rsidR="008D6B66" w:rsidRDefault="008D6B66" w:rsidP="00045379">
      <w:pPr>
        <w:spacing w:before="240" w:line="360" w:lineRule="auto"/>
        <w:jc w:val="both"/>
        <w:rPr>
          <w:rFonts w:ascii="Palatino Linotype" w:hAnsi="Palatino Linotype" w:cs="Arial"/>
          <w:sz w:val="24"/>
          <w:szCs w:val="24"/>
        </w:rPr>
      </w:pPr>
    </w:p>
    <w:p w14:paraId="7A929355" w14:textId="4DC2ED96" w:rsidR="008D6B66" w:rsidRPr="008D6B66" w:rsidRDefault="008D6B66" w:rsidP="0004537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forma complementaria, </w:t>
      </w:r>
      <w:r>
        <w:rPr>
          <w:rFonts w:ascii="Palatino Linotype" w:hAnsi="Palatino Linotype" w:cs="Arial"/>
          <w:b/>
          <w:sz w:val="24"/>
          <w:szCs w:val="24"/>
        </w:rPr>
        <w:t xml:space="preserve">El Sujeto Obligado </w:t>
      </w:r>
      <w:r>
        <w:rPr>
          <w:rFonts w:ascii="Palatino Linotype" w:hAnsi="Palatino Linotype" w:cs="Arial"/>
          <w:sz w:val="24"/>
          <w:szCs w:val="24"/>
        </w:rPr>
        <w:t xml:space="preserve">adjuntó el documento electrónico </w:t>
      </w:r>
      <w:r>
        <w:rPr>
          <w:rFonts w:ascii="Palatino Linotype" w:hAnsi="Palatino Linotype" w:cs="Arial"/>
          <w:b/>
          <w:sz w:val="24"/>
          <w:szCs w:val="24"/>
        </w:rPr>
        <w:t xml:space="preserve">“RESP SAIMEX 00066-2021 DGPCCA.pdf”, </w:t>
      </w:r>
      <w:r>
        <w:rPr>
          <w:rFonts w:ascii="Palatino Linotype" w:hAnsi="Palatino Linotype" w:cs="Arial"/>
          <w:sz w:val="24"/>
          <w:szCs w:val="24"/>
        </w:rPr>
        <w:t xml:space="preserve">mismo que se tiene por reproducido en virtud de que será materia de análisis en el considerando respectivo. </w:t>
      </w:r>
    </w:p>
    <w:p w14:paraId="5CCD1561" w14:textId="77777777" w:rsidR="008D6B66" w:rsidRDefault="008D6B66" w:rsidP="00045379">
      <w:pPr>
        <w:spacing w:before="240" w:line="360" w:lineRule="auto"/>
        <w:jc w:val="both"/>
        <w:rPr>
          <w:rFonts w:ascii="Palatino Linotype" w:hAnsi="Palatino Linotype" w:cs="Arial"/>
          <w:sz w:val="24"/>
          <w:szCs w:val="24"/>
        </w:rPr>
      </w:pPr>
    </w:p>
    <w:p w14:paraId="4DF1EF67" w14:textId="62725758" w:rsidR="006168E4" w:rsidRPr="00994280" w:rsidRDefault="007A3BB5" w:rsidP="00844569">
      <w:pPr>
        <w:spacing w:before="240" w:line="360" w:lineRule="auto"/>
        <w:jc w:val="both"/>
        <w:rPr>
          <w:rFonts w:ascii="Palatino Linotype" w:hAnsi="Palatino Linotype" w:cs="Arial"/>
          <w:b/>
          <w:sz w:val="28"/>
        </w:rPr>
      </w:pPr>
      <w:r>
        <w:rPr>
          <w:rFonts w:ascii="Palatino Linotype" w:hAnsi="Palatino Linotype" w:cs="Arial"/>
          <w:b/>
          <w:sz w:val="28"/>
        </w:rPr>
        <w:lastRenderedPageBreak/>
        <w:t>TERCERO</w:t>
      </w:r>
      <w:r w:rsidR="006168E4" w:rsidRPr="00994280">
        <w:rPr>
          <w:rFonts w:ascii="Palatino Linotype" w:hAnsi="Palatino Linotype" w:cs="Arial"/>
          <w:b/>
          <w:sz w:val="28"/>
        </w:rPr>
        <w:t xml:space="preserve">. </w:t>
      </w:r>
      <w:r w:rsidR="006168E4" w:rsidRPr="00994280">
        <w:rPr>
          <w:rFonts w:ascii="Palatino Linotype" w:hAnsi="Palatino Linotype"/>
          <w:b/>
          <w:sz w:val="28"/>
        </w:rPr>
        <w:t>Del recurso de revisión.</w:t>
      </w:r>
    </w:p>
    <w:p w14:paraId="320776E3" w14:textId="3BA7252C" w:rsidR="008D6B66" w:rsidRDefault="006168E4" w:rsidP="00844569">
      <w:pPr>
        <w:spacing w:before="240" w:line="360" w:lineRule="auto"/>
        <w:jc w:val="both"/>
        <w:rPr>
          <w:rFonts w:ascii="Palatino Linotype" w:hAnsi="Palatino Linotype" w:cs="Arial"/>
          <w:sz w:val="24"/>
          <w:szCs w:val="24"/>
        </w:rPr>
      </w:pPr>
      <w:r w:rsidRPr="00994280">
        <w:rPr>
          <w:rFonts w:ascii="Palatino Linotype" w:hAnsi="Palatino Linotype" w:cs="Arial"/>
          <w:sz w:val="24"/>
          <w:szCs w:val="24"/>
        </w:rPr>
        <w:t>Inconforme c</w:t>
      </w:r>
      <w:r w:rsidR="0032187D" w:rsidRPr="00994280">
        <w:rPr>
          <w:rFonts w:ascii="Palatino Linotype" w:hAnsi="Palatino Linotype" w:cs="Arial"/>
          <w:sz w:val="24"/>
          <w:szCs w:val="24"/>
        </w:rPr>
        <w:t xml:space="preserve">on la respuesta notificada por </w:t>
      </w:r>
      <w:r w:rsidR="0032187D" w:rsidRPr="00994280">
        <w:rPr>
          <w:rFonts w:ascii="Palatino Linotype" w:hAnsi="Palatino Linotype" w:cs="Arial"/>
          <w:b/>
          <w:sz w:val="24"/>
          <w:szCs w:val="24"/>
        </w:rPr>
        <w:t>E</w:t>
      </w:r>
      <w:r w:rsidRPr="00994280">
        <w:rPr>
          <w:rFonts w:ascii="Palatino Linotype" w:hAnsi="Palatino Linotype" w:cs="Arial"/>
          <w:b/>
          <w:sz w:val="24"/>
          <w:szCs w:val="24"/>
        </w:rPr>
        <w:t xml:space="preserve">l </w:t>
      </w:r>
      <w:r w:rsidR="0032187D" w:rsidRPr="00994280">
        <w:rPr>
          <w:rFonts w:ascii="Palatino Linotype" w:hAnsi="Palatino Linotype" w:cs="Arial"/>
          <w:b/>
          <w:sz w:val="24"/>
          <w:szCs w:val="24"/>
        </w:rPr>
        <w:t>Sujeto O</w:t>
      </w:r>
      <w:r w:rsidR="007A3BB5">
        <w:rPr>
          <w:rFonts w:ascii="Palatino Linotype" w:hAnsi="Palatino Linotype" w:cs="Arial"/>
          <w:b/>
          <w:sz w:val="24"/>
          <w:szCs w:val="24"/>
        </w:rPr>
        <w:t xml:space="preserve">bligado, </w:t>
      </w:r>
      <w:r w:rsidR="008D6B66">
        <w:rPr>
          <w:rFonts w:ascii="Palatino Linotype" w:hAnsi="Palatino Linotype" w:cs="Arial"/>
          <w:b/>
          <w:sz w:val="24"/>
          <w:szCs w:val="24"/>
        </w:rPr>
        <w:t>La</w:t>
      </w:r>
      <w:r w:rsidRPr="00994280">
        <w:rPr>
          <w:rFonts w:ascii="Palatino Linotype" w:hAnsi="Palatino Linotype" w:cs="Arial"/>
          <w:b/>
          <w:sz w:val="24"/>
          <w:szCs w:val="24"/>
        </w:rPr>
        <w:t xml:space="preserve"> Recurrente </w:t>
      </w:r>
      <w:r w:rsidRPr="00994280">
        <w:rPr>
          <w:rFonts w:ascii="Palatino Linotype" w:hAnsi="Palatino Linotype" w:cs="Arial"/>
          <w:sz w:val="24"/>
          <w:szCs w:val="24"/>
        </w:rPr>
        <w:t>interpuso el recurso de revisión, en fecha</w:t>
      </w:r>
      <w:r w:rsidR="005305EA" w:rsidRPr="00994280">
        <w:rPr>
          <w:rFonts w:ascii="Palatino Linotype" w:hAnsi="Palatino Linotype" w:cs="Arial"/>
          <w:sz w:val="24"/>
          <w:szCs w:val="24"/>
        </w:rPr>
        <w:t xml:space="preserve"> </w:t>
      </w:r>
      <w:r w:rsidR="008D6B66">
        <w:rPr>
          <w:rFonts w:ascii="Palatino Linotype" w:hAnsi="Palatino Linotype" w:cs="Arial"/>
          <w:sz w:val="24"/>
          <w:szCs w:val="24"/>
        </w:rPr>
        <w:t xml:space="preserve">dieciocho de marzo de dos mil veintiuno, el cual fue registrado en el sistema electrónico con el expediente </w:t>
      </w:r>
      <w:r w:rsidR="008D6B66">
        <w:rPr>
          <w:rFonts w:ascii="Palatino Linotype" w:hAnsi="Palatino Linotype" w:cs="Arial"/>
          <w:b/>
          <w:sz w:val="24"/>
          <w:szCs w:val="24"/>
        </w:rPr>
        <w:t xml:space="preserve">01245/INFOEM/IP/RR/2021, </w:t>
      </w:r>
      <w:r w:rsidR="008D6B66">
        <w:rPr>
          <w:rFonts w:ascii="Palatino Linotype" w:hAnsi="Palatino Linotype" w:cs="Arial"/>
          <w:sz w:val="24"/>
          <w:szCs w:val="24"/>
        </w:rPr>
        <w:t xml:space="preserve">en el cual arguye las siguientes manifestaciones: </w:t>
      </w:r>
    </w:p>
    <w:p w14:paraId="4A38CF06" w14:textId="77777777"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06B06F4" w14:textId="14722727" w:rsidR="006168E4" w:rsidRPr="000F6CD3" w:rsidRDefault="006168E4" w:rsidP="004523AF">
      <w:pPr>
        <w:pStyle w:val="Citas"/>
        <w:rPr>
          <w:b/>
        </w:rPr>
      </w:pPr>
      <w:r w:rsidRPr="005056EA">
        <w:t>“</w:t>
      </w:r>
      <w:r w:rsidR="005056EA" w:rsidRPr="005056EA">
        <w:t xml:space="preserve">NO ESTAN DANDO RESPUESTA A MI SOLIICITUD, INCLUSO ANEXAN UN DOCUMENTO DE </w:t>
      </w:r>
      <w:r w:rsidR="005056EA" w:rsidRPr="005056EA">
        <w:rPr>
          <w:b/>
          <w:u w:val="single"/>
        </w:rPr>
        <w:t>RESPUESTA ALUSIVO A UN DIVERSO FOLIO SIENDO "RESP SAIMEX 00066-2021 DGPCCA.pdf"</w:t>
      </w:r>
      <w:r w:rsidR="005056EA" w:rsidRPr="005056EA">
        <w:t xml:space="preserve"> </w:t>
      </w:r>
      <w:r w:rsidR="005056EA" w:rsidRPr="005056EA">
        <w:rPr>
          <w:b/>
          <w:u w:val="single"/>
        </w:rPr>
        <w:t>Y CON INFORMACIÓN COMPLETAMENTE DIFERENTE A LO SOLICITDO. EL FOLIO DE MI SOLICITUD ES EL 00068/SMA/IP/202,</w:t>
      </w:r>
      <w:r w:rsidR="005056EA" w:rsidRPr="005056EA">
        <w:t xml:space="preserve"> POR LO QUE DE NUEVA CUENTA REQUIERO QUE ME DEN RESPUESTA PUNTUAL A LO SOLICITADO INCIALMENTE.</w:t>
      </w:r>
      <w:r w:rsidRPr="005056EA">
        <w:t>”</w:t>
      </w:r>
      <w:r w:rsidR="00454CE6" w:rsidRPr="000F6CD3">
        <w:t xml:space="preserve"> </w:t>
      </w:r>
      <w:r w:rsidR="0032187D" w:rsidRPr="000F6CD3">
        <w:rPr>
          <w:b/>
        </w:rPr>
        <w:t>[S</w:t>
      </w:r>
      <w:r w:rsidRPr="000F6CD3">
        <w:rPr>
          <w:b/>
        </w:rPr>
        <w:t>ic]</w:t>
      </w:r>
    </w:p>
    <w:p w14:paraId="6065886C" w14:textId="77777777" w:rsidR="007A3BB5" w:rsidRPr="00AD1553" w:rsidRDefault="007A3BB5" w:rsidP="00844569">
      <w:pPr>
        <w:spacing w:line="360" w:lineRule="auto"/>
        <w:ind w:left="851" w:right="851"/>
        <w:jc w:val="both"/>
        <w:rPr>
          <w:rFonts w:ascii="Palatino Linotype" w:hAnsi="Palatino Linotype" w:cs="Arial"/>
          <w:b/>
          <w:i/>
          <w:sz w:val="24"/>
          <w:szCs w:val="24"/>
        </w:rPr>
      </w:pPr>
    </w:p>
    <w:p w14:paraId="1E1D13B8" w14:textId="77777777"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2FCCBE0F" w14:textId="069C93D6" w:rsidR="00064EA6" w:rsidRPr="000F6CD3" w:rsidRDefault="00064EA6" w:rsidP="004523AF">
      <w:pPr>
        <w:pStyle w:val="Citas"/>
        <w:rPr>
          <w:b/>
        </w:rPr>
      </w:pPr>
      <w:r w:rsidRPr="005056EA">
        <w:t>“</w:t>
      </w:r>
      <w:r w:rsidR="005056EA" w:rsidRPr="005056EA">
        <w:t>ESTAN ENTREGANDO INFORMACIÓN DIVERSA A LA SOLICITADA. HACEN REFERENCIA A UN DIFERENTE NUMERO DE FOLIO</w:t>
      </w:r>
      <w:r w:rsidRPr="005056EA">
        <w:t>”</w:t>
      </w:r>
      <w:r w:rsidRPr="000F6CD3">
        <w:t xml:space="preserve"> </w:t>
      </w:r>
      <w:r w:rsidRPr="000F6CD3">
        <w:rPr>
          <w:b/>
        </w:rPr>
        <w:t>[Sic]</w:t>
      </w:r>
    </w:p>
    <w:p w14:paraId="46202EEE" w14:textId="77777777" w:rsidR="000F6CD3" w:rsidRDefault="000F6CD3" w:rsidP="00844569">
      <w:pPr>
        <w:spacing w:before="240" w:line="360" w:lineRule="auto"/>
        <w:ind w:right="851"/>
        <w:jc w:val="both"/>
        <w:rPr>
          <w:rFonts w:ascii="Palatino Linotype" w:hAnsi="Palatino Linotype"/>
          <w:color w:val="000000"/>
          <w:sz w:val="24"/>
          <w:szCs w:val="24"/>
        </w:rPr>
      </w:pPr>
    </w:p>
    <w:p w14:paraId="16B6A001" w14:textId="4A02B4AB" w:rsidR="006168E4" w:rsidRPr="00A81BCB" w:rsidRDefault="007A3BB5" w:rsidP="00844569">
      <w:pPr>
        <w:spacing w:before="240" w:line="360" w:lineRule="auto"/>
        <w:jc w:val="both"/>
        <w:rPr>
          <w:rFonts w:ascii="Palatino Linotype" w:hAnsi="Palatino Linotype" w:cs="Arial"/>
          <w:b/>
          <w:sz w:val="24"/>
          <w:szCs w:val="24"/>
        </w:rPr>
      </w:pPr>
      <w:r w:rsidRPr="00A81BCB">
        <w:rPr>
          <w:rFonts w:ascii="Palatino Linotype" w:hAnsi="Palatino Linotype" w:cs="Arial"/>
          <w:b/>
          <w:sz w:val="28"/>
        </w:rPr>
        <w:t>CUARTO</w:t>
      </w:r>
      <w:r w:rsidR="006168E4" w:rsidRPr="00A81BCB">
        <w:rPr>
          <w:rFonts w:ascii="Palatino Linotype" w:hAnsi="Palatino Linotype" w:cs="Arial"/>
          <w:b/>
          <w:sz w:val="24"/>
          <w:szCs w:val="24"/>
        </w:rPr>
        <w:t xml:space="preserve">. </w:t>
      </w:r>
      <w:r w:rsidR="006168E4" w:rsidRPr="00A81BCB">
        <w:rPr>
          <w:rFonts w:ascii="Palatino Linotype" w:hAnsi="Palatino Linotype" w:cs="Arial"/>
          <w:b/>
          <w:sz w:val="28"/>
          <w:szCs w:val="28"/>
        </w:rPr>
        <w:t>Del turno del recurso de revisión.</w:t>
      </w:r>
    </w:p>
    <w:p w14:paraId="64D9ED05" w14:textId="2E9CD1F5" w:rsidR="007A3BB5" w:rsidRDefault="006168E4" w:rsidP="00844569">
      <w:pPr>
        <w:spacing w:before="240" w:line="360" w:lineRule="auto"/>
        <w:jc w:val="both"/>
        <w:rPr>
          <w:rFonts w:ascii="Palatino Linotype" w:hAnsi="Palatino Linotype" w:cs="Arial"/>
          <w:sz w:val="24"/>
          <w:szCs w:val="24"/>
        </w:rPr>
      </w:pPr>
      <w:r w:rsidRPr="00A81BCB">
        <w:rPr>
          <w:rFonts w:ascii="Palatino Linotype" w:hAnsi="Palatino Linotype" w:cs="Arial"/>
          <w:sz w:val="24"/>
          <w:szCs w:val="24"/>
        </w:rPr>
        <w:lastRenderedPageBreak/>
        <w:t xml:space="preserve">Medio de impugnación que le fue turnado a la Comisionada </w:t>
      </w:r>
      <w:r w:rsidRPr="00A81BCB">
        <w:rPr>
          <w:rFonts w:ascii="Palatino Linotype" w:hAnsi="Palatino Linotype" w:cs="Arial"/>
          <w:b/>
          <w:sz w:val="24"/>
          <w:szCs w:val="24"/>
        </w:rPr>
        <w:t>Zulema Martínez Sánchez</w:t>
      </w:r>
      <w:r w:rsidRPr="00A81BCB">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4523AF">
        <w:rPr>
          <w:rFonts w:ascii="Palatino Linotype" w:hAnsi="Palatino Linotype" w:cs="Arial"/>
          <w:sz w:val="24"/>
          <w:szCs w:val="24"/>
        </w:rPr>
        <w:t xml:space="preserve"> </w:t>
      </w:r>
      <w:r w:rsidR="005056EA">
        <w:rPr>
          <w:rFonts w:ascii="Palatino Linotype" w:hAnsi="Palatino Linotype" w:cs="Arial"/>
          <w:sz w:val="24"/>
          <w:szCs w:val="24"/>
        </w:rPr>
        <w:t xml:space="preserve">veinticuatro de marzo de dos mil veintiuno, </w:t>
      </w:r>
      <w:r w:rsidR="004523AF">
        <w:rPr>
          <w:rFonts w:ascii="Palatino Linotype" w:hAnsi="Palatino Linotype" w:cs="Arial"/>
          <w:sz w:val="24"/>
          <w:szCs w:val="24"/>
        </w:rPr>
        <w:t>determinándose en él, un plazo de s</w:t>
      </w:r>
      <w:r w:rsidR="007A3BB5" w:rsidRPr="00A81BCB">
        <w:rPr>
          <w:rFonts w:ascii="Palatino Linotype" w:hAnsi="Palatino Linotype" w:cs="Arial"/>
          <w:sz w:val="24"/>
          <w:szCs w:val="24"/>
        </w:rPr>
        <w:t>iete días para que las partes manifestaran lo que a su derecho corresponda en términos del numeral ya citado.</w:t>
      </w:r>
    </w:p>
    <w:p w14:paraId="5B95950B" w14:textId="77777777" w:rsidR="007A3BB5" w:rsidRDefault="007A3BB5" w:rsidP="00844569">
      <w:pPr>
        <w:spacing w:before="240" w:line="360" w:lineRule="auto"/>
        <w:jc w:val="both"/>
        <w:rPr>
          <w:rFonts w:ascii="Palatino Linotype" w:hAnsi="Palatino Linotype" w:cs="Arial"/>
          <w:sz w:val="24"/>
          <w:szCs w:val="24"/>
        </w:rPr>
      </w:pPr>
    </w:p>
    <w:p w14:paraId="6212AD72" w14:textId="1568D473" w:rsidR="006168E4" w:rsidRDefault="007A3BB5" w:rsidP="00844569">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6168E4" w:rsidRPr="008551ED">
        <w:rPr>
          <w:rFonts w:ascii="Palatino Linotype" w:hAnsi="Palatino Linotype" w:cs="Arial"/>
          <w:b/>
          <w:sz w:val="24"/>
          <w:szCs w:val="24"/>
        </w:rPr>
        <w:t>.</w:t>
      </w:r>
      <w:r w:rsidR="006168E4">
        <w:rPr>
          <w:rFonts w:ascii="Palatino Linotype" w:hAnsi="Palatino Linotype" w:cs="Arial"/>
          <w:b/>
          <w:sz w:val="24"/>
          <w:szCs w:val="24"/>
        </w:rPr>
        <w:t xml:space="preserve"> </w:t>
      </w:r>
      <w:r w:rsidR="006168E4" w:rsidRPr="0087163A">
        <w:rPr>
          <w:rFonts w:ascii="Palatino Linotype" w:hAnsi="Palatino Linotype" w:cs="Arial"/>
          <w:b/>
          <w:sz w:val="28"/>
          <w:szCs w:val="28"/>
        </w:rPr>
        <w:t>De la etapa de instrucción.</w:t>
      </w:r>
    </w:p>
    <w:p w14:paraId="512F5F92" w14:textId="1ED593F1" w:rsidR="005056EA" w:rsidRPr="005056EA" w:rsidRDefault="0060304F" w:rsidP="0060304F">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las constancias que obran en el expediente electrónico del </w:t>
      </w:r>
      <w:r>
        <w:rPr>
          <w:rFonts w:ascii="Palatino Linotype" w:hAnsi="Palatino Linotype" w:cs="Arial"/>
          <w:b/>
          <w:bCs/>
          <w:sz w:val="24"/>
          <w:szCs w:val="24"/>
        </w:rPr>
        <w:t xml:space="preserve">SAIMEX, </w:t>
      </w:r>
      <w:r>
        <w:rPr>
          <w:rFonts w:ascii="Palatino Linotype" w:hAnsi="Palatino Linotype" w:cs="Arial"/>
          <w:sz w:val="24"/>
          <w:szCs w:val="24"/>
        </w:rPr>
        <w:t xml:space="preserve">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presentó su respectivo informe justificado, en fecha </w:t>
      </w:r>
      <w:r w:rsidR="005056EA">
        <w:rPr>
          <w:rFonts w:ascii="Palatino Linotype" w:hAnsi="Palatino Linotype" w:cs="Arial"/>
          <w:sz w:val="24"/>
          <w:szCs w:val="24"/>
        </w:rPr>
        <w:t xml:space="preserve">veinticinco de marzo, mismo que se puso a la vista de </w:t>
      </w:r>
      <w:r w:rsidR="005056EA">
        <w:rPr>
          <w:rFonts w:ascii="Palatino Linotype" w:hAnsi="Palatino Linotype" w:cs="Arial"/>
          <w:b/>
          <w:sz w:val="24"/>
          <w:szCs w:val="24"/>
        </w:rPr>
        <w:t xml:space="preserve">La Recurrente, </w:t>
      </w:r>
      <w:r w:rsidR="005056EA">
        <w:rPr>
          <w:rFonts w:ascii="Palatino Linotype" w:hAnsi="Palatino Linotype" w:cs="Arial"/>
          <w:sz w:val="24"/>
          <w:szCs w:val="24"/>
        </w:rPr>
        <w:t xml:space="preserve">el ocho de abril, ambos de dos mil veintiuno. </w:t>
      </w:r>
    </w:p>
    <w:p w14:paraId="3BFDCB11" w14:textId="0EEA33BF" w:rsidR="004523AF" w:rsidRDefault="000F6CD3" w:rsidP="004523AF">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w:t>
      </w:r>
      <w:r w:rsidRPr="00F12BAF">
        <w:rPr>
          <w:rFonts w:ascii="Palatino Linotype" w:hAnsi="Palatino Linotype" w:cs="Arial"/>
          <w:sz w:val="24"/>
          <w:szCs w:val="24"/>
        </w:rPr>
        <w:t xml:space="preserve">transcurrido el </w:t>
      </w:r>
      <w:r w:rsidRPr="0060304F">
        <w:rPr>
          <w:rFonts w:ascii="Palatino Linotype" w:hAnsi="Palatino Linotype" w:cs="Arial"/>
          <w:sz w:val="24"/>
          <w:szCs w:val="24"/>
        </w:rPr>
        <w:t xml:space="preserve">plazo establecido para que las partes manifestaran lo que a su derecho conviniera, en fecha </w:t>
      </w:r>
      <w:r w:rsidR="005056EA">
        <w:rPr>
          <w:rFonts w:ascii="Palatino Linotype" w:hAnsi="Palatino Linotype" w:cs="Arial"/>
          <w:sz w:val="24"/>
          <w:szCs w:val="24"/>
        </w:rPr>
        <w:t>dieciséis de abril de dos mil veintiuno</w:t>
      </w:r>
      <w:r w:rsidR="004523AF">
        <w:rPr>
          <w:rFonts w:ascii="Palatino Linotype" w:hAnsi="Palatino Linotype" w:cs="Arial"/>
          <w:sz w:val="24"/>
          <w:szCs w:val="24"/>
        </w:rPr>
        <w:t xml:space="preserve"> se decretó el cierre de instrucción en términos del artículo 185 fracción VI de la Ley de Transparencia y Acceso a la Información Pública del Estado de México y Municipios, iniciando el término legal para dictar resolución definitiva del asunto.</w:t>
      </w:r>
    </w:p>
    <w:p w14:paraId="5B5D3C9B" w14:textId="1EBA1A4D" w:rsidR="004523AF" w:rsidRDefault="004523AF" w:rsidP="000F6CD3">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29920" behindDoc="0" locked="0" layoutInCell="1" allowOverlap="1" wp14:anchorId="648FC88C" wp14:editId="2593A533">
                <wp:simplePos x="0" y="0"/>
                <wp:positionH relativeFrom="column">
                  <wp:posOffset>-337186</wp:posOffset>
                </wp:positionH>
                <wp:positionV relativeFrom="paragraph">
                  <wp:posOffset>163830</wp:posOffset>
                </wp:positionV>
                <wp:extent cx="6638925" cy="127635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6638925" cy="127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A68459" id="Conector recto 1"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26.55pt,12.9pt" to="496.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WwmuwEAAMUDAAAOAAAAZHJzL2Uyb0RvYy54bWysU9tu2zAMfR+wfxD03thO0awz4vQhxfZS&#10;tMEuH6DKVCxAN1Ba7Px9KSVxh23AsKEvkijxkDyH1PpusoYdAKP2ruPNouYMnPS9dvuOf//26eqW&#10;s5iE64XxDjp+hMjvNu/frcfQwtIP3vSAjIK42I6h40NKoa2qKAewIi58AEePyqMViUzcVz2KkaJb&#10;Uy3relWNHvuAXkKMdHt/euSbEl8pkOlJqQiJmY5TbamsWNbnvFabtWj3KMKg5bkM8R9VWKEdJZ1D&#10;3Ysk2A/Uv4WyWqKPXqWF9LbySmkJhQOxaepf2HwdRIDChcSJYZYpvl1Y+XjYIdM99Y4zJyy1aEuN&#10;kskjw7yxJms0htiS69bt8GzFsMNMeFJo805U2FR0Pc66wpSYpMvV6vr24/KGM0lvzfLD6vqmKF+9&#10;wgPG9Bm8ZfnQcaNdJi5acXiIiVKS68WFjFzOqYBySkcD2dm4L6CIDKVsCrqMEWwNsoOgARBSgkuF&#10;EMUr3hmmtDEzsP478OyfoVBG7F/AM6Jk9i7NYKudxz9lT9OlZHXyvyhw4p0lePb9sbSmSEOzUhQ7&#10;z3Uexp/tAn/9fZsXAAAA//8DAFBLAwQUAAYACAAAACEAs4rPf+IAAAAKAQAADwAAAGRycy9kb3du&#10;cmV2LnhtbEyPwU7CQBCG7ya+w2ZMvMGWVQjUbgkhMSKJIaIJHpfu2Fa7s013oeXtHU96nJkv/3x/&#10;thxcI87YhdqThsk4AYFUeFtTqeH97XE0BxGiIWsaT6jhggGW+fVVZlLre3rF8z6WgkMopEZDFWOb&#10;ShmKCp0JY98i8e3Td85EHrtS2s70HO4aqZJkJp2piT9UpsV1hcX3/uQ0vHSbzXq1vXzR7sP1B7U9&#10;7J6HJ61vb4bVA4iIQ/yD4Vef1SFnp6M/kQ2i0TCa3k0Y1aCmXIGBxULdgzjyQs3mIPNM/q+Q/wAA&#10;AP//AwBQSwECLQAUAAYACAAAACEAtoM4kv4AAADhAQAAEwAAAAAAAAAAAAAAAAAAAAAAW0NvbnRl&#10;bnRfVHlwZXNdLnhtbFBLAQItABQABgAIAAAAIQA4/SH/1gAAAJQBAAALAAAAAAAAAAAAAAAAAC8B&#10;AABfcmVscy8ucmVsc1BLAQItABQABgAIAAAAIQByTWwmuwEAAMUDAAAOAAAAAAAAAAAAAAAAAC4C&#10;AABkcnMvZTJvRG9jLnhtbFBLAQItABQABgAIAAAAIQCzis9/4gAAAAoBAAAPAAAAAAAAAAAAAAAA&#10;ABUEAABkcnMvZG93bnJldi54bWxQSwUGAAAAAAQABADzAAAAJAUAAAAA&#10;" strokecolor="#5b9bd5 [3204]" strokeweight=".5pt">
                <v:stroke joinstyle="miter"/>
              </v:line>
            </w:pict>
          </mc:Fallback>
        </mc:AlternateContent>
      </w:r>
    </w:p>
    <w:p w14:paraId="29E1E9BE" w14:textId="77777777" w:rsidR="004523AF" w:rsidRDefault="004523AF" w:rsidP="000F6CD3">
      <w:pPr>
        <w:spacing w:before="240" w:line="360" w:lineRule="auto"/>
        <w:jc w:val="both"/>
        <w:rPr>
          <w:rFonts w:ascii="Palatino Linotype" w:hAnsi="Palatino Linotype" w:cs="Arial"/>
          <w:sz w:val="24"/>
          <w:szCs w:val="24"/>
        </w:rPr>
      </w:pPr>
    </w:p>
    <w:p w14:paraId="1B85A4B2" w14:textId="77777777" w:rsidR="004523AF" w:rsidRDefault="004523AF" w:rsidP="000F6CD3">
      <w:pPr>
        <w:spacing w:before="240" w:line="360" w:lineRule="auto"/>
        <w:jc w:val="both"/>
        <w:rPr>
          <w:rFonts w:ascii="Palatino Linotype" w:hAnsi="Palatino Linotype" w:cs="Arial"/>
          <w:sz w:val="24"/>
          <w:szCs w:val="24"/>
        </w:rPr>
      </w:pPr>
    </w:p>
    <w:p w14:paraId="1EBA35FA" w14:textId="77777777"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lastRenderedPageBreak/>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3E35F0A4" w14:textId="45B163C3" w:rsidR="00686FC2" w:rsidRDefault="00686FC2" w:rsidP="00686FC2">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Pr>
          <w:rFonts w:ascii="Palatino Linotype" w:hAnsi="Palatino Linotype" w:cs="Arial"/>
          <w:sz w:val="24"/>
          <w:szCs w:val="24"/>
        </w:rPr>
        <w:t>el presente recurso de revisión interpuesto</w:t>
      </w:r>
      <w:r w:rsidRPr="008F797B">
        <w:rPr>
          <w:rFonts w:ascii="Palatino Linotype" w:hAnsi="Palatino Linotype" w:cs="Arial"/>
          <w:sz w:val="24"/>
          <w:szCs w:val="24"/>
        </w:rPr>
        <w:t xml:space="preserve"> por </w:t>
      </w:r>
      <w:r w:rsidR="005056EA">
        <w:rPr>
          <w:rFonts w:ascii="Palatino Linotype" w:hAnsi="Palatino Linotype" w:cs="Arial"/>
          <w:b/>
          <w:sz w:val="24"/>
          <w:szCs w:val="24"/>
        </w:rPr>
        <w:t>La</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2C4E56A0" w14:textId="77777777" w:rsidR="00CF3D69" w:rsidRDefault="00CF3D69" w:rsidP="00CF3D69">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74F0E39" w14:textId="77777777" w:rsidR="004523AF" w:rsidRPr="008F797B" w:rsidRDefault="004523AF" w:rsidP="00686FC2">
      <w:pPr>
        <w:spacing w:before="240" w:line="360" w:lineRule="auto"/>
        <w:jc w:val="both"/>
        <w:rPr>
          <w:rFonts w:ascii="Palatino Linotype" w:hAnsi="Palatino Linotype" w:cs="Arial"/>
          <w:sz w:val="24"/>
          <w:szCs w:val="24"/>
        </w:rPr>
      </w:pP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03AF2B9A" w14:textId="77777777" w:rsidR="000D4532" w:rsidRDefault="000D4532" w:rsidP="000D4532">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2A21B267" w14:textId="77777777" w:rsidR="004523AF" w:rsidRDefault="004523AF" w:rsidP="004523A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69C5DF79" w14:textId="77777777" w:rsidR="004523AF" w:rsidRPr="00C07D77" w:rsidRDefault="004523AF" w:rsidP="004523AF">
      <w:pPr>
        <w:pStyle w:val="Prrafodelista"/>
        <w:autoSpaceDE w:val="0"/>
        <w:autoSpaceDN w:val="0"/>
        <w:adjustRightInd w:val="0"/>
        <w:spacing w:line="360" w:lineRule="auto"/>
        <w:ind w:left="0"/>
        <w:jc w:val="both"/>
        <w:rPr>
          <w:rFonts w:ascii="Palatino Linotype" w:hAnsi="Palatino Linotype" w:cs="Arial"/>
          <w:sz w:val="18"/>
        </w:rPr>
      </w:pPr>
    </w:p>
    <w:p w14:paraId="671B1ECA" w14:textId="77777777" w:rsidR="004523AF" w:rsidRDefault="004523AF" w:rsidP="004523A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w:t>
      </w:r>
      <w:r>
        <w:rPr>
          <w:rFonts w:ascii="Palatino Linotype" w:hAnsi="Palatino Linotype" w:cs="Arial"/>
        </w:rPr>
        <w:lastRenderedPageBreak/>
        <w:t>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 Así las cosas, del análisis del expediente electrónico no se advierte ninguna causa de improcedencia que se actualice ni mucho menos alguna hecha valer por alguna de las partes, procediendo al estudio del fondo del asunto, en los siguientes términos.</w:t>
      </w:r>
    </w:p>
    <w:p w14:paraId="2C95E310" w14:textId="77777777" w:rsidR="004523AF" w:rsidRPr="00E00A86" w:rsidRDefault="004523AF" w:rsidP="00A57C26">
      <w:pPr>
        <w:pStyle w:val="Prrafodelista"/>
        <w:autoSpaceDE w:val="0"/>
        <w:autoSpaceDN w:val="0"/>
        <w:adjustRightInd w:val="0"/>
        <w:spacing w:line="360" w:lineRule="auto"/>
        <w:ind w:left="0"/>
        <w:jc w:val="both"/>
        <w:rPr>
          <w:rFonts w:ascii="Palatino Linotype" w:hAnsi="Palatino Linotype" w:cs="Arial"/>
          <w:lang w:val="es-MX"/>
        </w:rPr>
      </w:pPr>
    </w:p>
    <w:p w14:paraId="4628A669" w14:textId="0B14FF9C" w:rsidR="000D4532" w:rsidRDefault="000D4532" w:rsidP="006617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 xml:space="preserve">CUARTO.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55FDE399" w14:textId="77777777" w:rsidR="004F75A1" w:rsidRDefault="004F75A1" w:rsidP="004F75A1">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lastRenderedPageBreak/>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08113C1A" w14:textId="77777777" w:rsidR="004F75A1" w:rsidRPr="002869E1" w:rsidRDefault="004F75A1" w:rsidP="004F75A1">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83B6AEB"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A817910"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40E1D6D"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C8BA46D"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42FF4E4"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ED29C15"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0BA8F85" w14:textId="77777777" w:rsidR="004F75A1" w:rsidRPr="006010FE" w:rsidRDefault="004F75A1" w:rsidP="004F75A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5020BC81"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2EC7CE1"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157F7951"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65DC708"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6A956FE" w14:textId="3F86C1B5" w:rsidR="004F75A1" w:rsidRDefault="004F75A1" w:rsidP="004F75A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2FC221AF" w14:textId="77777777" w:rsidR="009D70B9" w:rsidRDefault="009D70B9" w:rsidP="004F75A1">
      <w:pPr>
        <w:spacing w:before="240" w:line="360" w:lineRule="auto"/>
        <w:ind w:left="851" w:right="851"/>
        <w:jc w:val="both"/>
        <w:rPr>
          <w:rFonts w:ascii="Palatino Linotype" w:eastAsia="Times New Roman" w:hAnsi="Palatino Linotype" w:cs="Times New Roman"/>
          <w:b/>
          <w:i/>
          <w:lang w:eastAsia="es-ES"/>
        </w:rPr>
      </w:pPr>
    </w:p>
    <w:p w14:paraId="5A5351EE" w14:textId="77777777" w:rsidR="004F75A1" w:rsidRPr="006010FE" w:rsidRDefault="004F75A1" w:rsidP="004F75A1">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lastRenderedPageBreak/>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497B084D" w14:textId="16F0A88E" w:rsidR="004F75A1" w:rsidRDefault="004F75A1" w:rsidP="004F75A1">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297F138C" w14:textId="77777777" w:rsidR="00D84AEA" w:rsidRDefault="00D84AEA" w:rsidP="004F75A1">
      <w:pPr>
        <w:spacing w:before="240" w:line="360" w:lineRule="auto"/>
        <w:ind w:left="851" w:right="851"/>
        <w:jc w:val="both"/>
        <w:rPr>
          <w:rFonts w:ascii="Palatino Linotype" w:eastAsia="Times New Roman" w:hAnsi="Palatino Linotype" w:cs="Arial"/>
          <w:b/>
          <w:i/>
          <w:lang w:eastAsia="es-ES"/>
        </w:rPr>
      </w:pPr>
    </w:p>
    <w:p w14:paraId="2FB55D55" w14:textId="77777777" w:rsidR="005056EA" w:rsidRDefault="009D70B9" w:rsidP="005056EA">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bCs/>
        </w:rPr>
        <w:t xml:space="preserve">Una vez sentado lo anterior, en una aproximación inicial, es procedente mencionar que la solicitud de información </w:t>
      </w:r>
      <w:r w:rsidR="005056EA">
        <w:rPr>
          <w:rFonts w:ascii="Palatino Linotype" w:hAnsi="Palatino Linotype"/>
          <w:b/>
        </w:rPr>
        <w:t xml:space="preserve">00068/SMA/IP/2021 </w:t>
      </w:r>
      <w:r w:rsidR="005056EA">
        <w:rPr>
          <w:rFonts w:ascii="Palatino Linotype" w:hAnsi="Palatino Linotype"/>
        </w:rPr>
        <w:t xml:space="preserve">se formuló en los siguientes términos: </w:t>
      </w:r>
    </w:p>
    <w:p w14:paraId="4062DB9D" w14:textId="380E53CB" w:rsidR="0049664A" w:rsidRPr="0001564B" w:rsidRDefault="005056EA" w:rsidP="005056EA">
      <w:pPr>
        <w:pStyle w:val="Citas"/>
        <w:rPr>
          <w:b/>
        </w:rPr>
      </w:pPr>
      <w:r>
        <w:t xml:space="preserve">“Buena tarde, solicito atentamente me indique cual es trámite y ante que autoridad, puedo solicitar la devolución del pago indebido de una multa por verificación vehicular extemporánea. Gracias” </w:t>
      </w:r>
      <w:r>
        <w:rPr>
          <w:b/>
        </w:rPr>
        <w:t>[Sic]</w:t>
      </w:r>
      <w:r w:rsidR="0049664A">
        <w:rPr>
          <w:b/>
        </w:rPr>
        <w:t xml:space="preserve"> </w:t>
      </w:r>
    </w:p>
    <w:p w14:paraId="32364CCD" w14:textId="7B54874A" w:rsidR="005C1B2E" w:rsidRDefault="005C1B2E" w:rsidP="005C1B2E">
      <w:pPr>
        <w:tabs>
          <w:tab w:val="left" w:pos="709"/>
        </w:tabs>
        <w:spacing w:before="240" w:line="360" w:lineRule="auto"/>
        <w:ind w:right="51"/>
        <w:jc w:val="both"/>
        <w:rPr>
          <w:rFonts w:ascii="Palatino Linotype" w:hAnsi="Palatino Linotype"/>
          <w:b/>
          <w:lang w:val="es-ES"/>
        </w:rPr>
      </w:pPr>
    </w:p>
    <w:p w14:paraId="3864B58D" w14:textId="1AC59775" w:rsidR="0034637B" w:rsidRDefault="0034637B" w:rsidP="005C1B2E">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Una vez sentado lo anterior, en una aproximación inicial resulta oportuno traer a colación el artículo 31, fracción IV de la Constitución Política de los Estados Unidos Mexicanos cuyo contenido literal es el siguiente:</w:t>
      </w:r>
    </w:p>
    <w:p w14:paraId="6A3A33B1" w14:textId="77777777" w:rsidR="0034637B" w:rsidRPr="00B3742E" w:rsidRDefault="0034637B" w:rsidP="0034637B">
      <w:pPr>
        <w:spacing w:before="240" w:line="360" w:lineRule="auto"/>
        <w:ind w:left="851" w:right="851"/>
        <w:jc w:val="both"/>
        <w:rPr>
          <w:rFonts w:ascii="Palatino Linotype" w:hAnsi="Palatino Linotype" w:cs="Arial"/>
          <w:i/>
          <w:iCs/>
        </w:rPr>
      </w:pPr>
      <w:r>
        <w:rPr>
          <w:rFonts w:ascii="Palatino Linotype" w:hAnsi="Palatino Linotype" w:cs="Arial"/>
          <w:i/>
          <w:iCs/>
        </w:rPr>
        <w:t>“</w:t>
      </w:r>
      <w:r w:rsidRPr="00B3742E">
        <w:rPr>
          <w:rFonts w:ascii="Palatino Linotype" w:hAnsi="Palatino Linotype" w:cs="Arial"/>
          <w:i/>
          <w:iCs/>
        </w:rPr>
        <w:t>Artícul</w:t>
      </w:r>
      <w:r w:rsidRPr="00B3742E">
        <w:rPr>
          <w:rStyle w:val="highlight"/>
          <w:rFonts w:ascii="Palatino Linotype" w:hAnsi="Palatino Linotype" w:cs="Arial"/>
          <w:i/>
          <w:iCs/>
        </w:rPr>
        <w:t>o 31</w:t>
      </w:r>
      <w:r w:rsidRPr="00B3742E">
        <w:rPr>
          <w:rFonts w:ascii="Palatino Linotype" w:hAnsi="Palatino Linotype" w:cs="Arial"/>
          <w:i/>
          <w:iCs/>
        </w:rPr>
        <w:t>.Son obligaciones de los mexicanos:</w:t>
      </w:r>
    </w:p>
    <w:p w14:paraId="55DDF620" w14:textId="77777777" w:rsidR="0034637B" w:rsidRPr="00B3742E" w:rsidRDefault="0034637B" w:rsidP="0034637B">
      <w:pPr>
        <w:spacing w:before="240" w:line="360" w:lineRule="auto"/>
        <w:ind w:left="851" w:right="851"/>
        <w:jc w:val="both"/>
        <w:rPr>
          <w:rFonts w:ascii="Palatino Linotype" w:hAnsi="Palatino Linotype" w:cs="Arial"/>
          <w:i/>
          <w:iCs/>
        </w:rPr>
      </w:pPr>
      <w:r w:rsidRPr="00B3742E">
        <w:rPr>
          <w:rFonts w:ascii="Palatino Linotype" w:hAnsi="Palatino Linotype" w:cs="Arial"/>
          <w:i/>
          <w:iCs/>
        </w:rPr>
        <w:t>(…)</w:t>
      </w:r>
    </w:p>
    <w:p w14:paraId="3F3807E3" w14:textId="77777777" w:rsidR="0034637B" w:rsidRPr="00F0629B" w:rsidRDefault="0034637B" w:rsidP="0034637B">
      <w:pPr>
        <w:spacing w:before="240" w:line="360" w:lineRule="auto"/>
        <w:ind w:left="851" w:right="851"/>
        <w:jc w:val="both"/>
        <w:rPr>
          <w:rFonts w:ascii="Palatino Linotype" w:hAnsi="Palatino Linotype" w:cs="Arial"/>
          <w:b/>
          <w:bCs/>
          <w:i/>
          <w:iCs/>
          <w:u w:val="single"/>
        </w:rPr>
      </w:pPr>
      <w:r w:rsidRPr="00F0629B">
        <w:rPr>
          <w:rFonts w:ascii="Palatino Linotype" w:hAnsi="Palatino Linotype" w:cs="Arial"/>
          <w:b/>
          <w:bCs/>
          <w:i/>
          <w:iCs/>
          <w:u w:val="single"/>
        </w:rPr>
        <w:lastRenderedPageBreak/>
        <w:t>IV. Contribuir para los gastos públicos, así de la Federación, como de los Estados, de la Ciudad de México y del Municipio en que residan, de la manera proporcional y equitativa que dispongan las leyes</w:t>
      </w:r>
    </w:p>
    <w:p w14:paraId="63935645" w14:textId="77777777" w:rsidR="0034637B" w:rsidRPr="00B3742E" w:rsidRDefault="0034637B" w:rsidP="0034637B">
      <w:pPr>
        <w:spacing w:before="240" w:line="360" w:lineRule="auto"/>
        <w:ind w:left="851" w:right="851"/>
        <w:jc w:val="both"/>
        <w:rPr>
          <w:rFonts w:ascii="Palatino Linotype" w:hAnsi="Palatino Linotype"/>
          <w:b/>
          <w:bCs/>
          <w:i/>
          <w:iCs/>
        </w:rPr>
      </w:pPr>
      <w:r>
        <w:rPr>
          <w:rFonts w:ascii="Palatino Linotype" w:hAnsi="Palatino Linotype" w:cs="Arial"/>
          <w:i/>
          <w:iCs/>
        </w:rPr>
        <w:t xml:space="preserve">(…)” </w:t>
      </w:r>
      <w:r>
        <w:rPr>
          <w:rFonts w:ascii="Palatino Linotype" w:hAnsi="Palatino Linotype" w:cs="Arial"/>
          <w:b/>
          <w:bCs/>
          <w:i/>
          <w:iCs/>
        </w:rPr>
        <w:t>[Sic]</w:t>
      </w:r>
    </w:p>
    <w:p w14:paraId="29502CC9" w14:textId="77777777" w:rsidR="0034637B" w:rsidRDefault="0034637B" w:rsidP="005C1B2E">
      <w:pPr>
        <w:tabs>
          <w:tab w:val="left" w:pos="709"/>
        </w:tabs>
        <w:spacing w:before="240" w:line="360" w:lineRule="auto"/>
        <w:ind w:right="51"/>
        <w:jc w:val="both"/>
        <w:rPr>
          <w:rFonts w:ascii="Palatino Linotype" w:hAnsi="Palatino Linotype"/>
          <w:b/>
          <w:lang w:val="es-ES"/>
        </w:rPr>
      </w:pPr>
    </w:p>
    <w:p w14:paraId="36D3A0D8" w14:textId="77777777" w:rsidR="0034637B" w:rsidRDefault="0034637B" w:rsidP="0034637B">
      <w:pPr>
        <w:spacing w:after="0" w:line="360" w:lineRule="auto"/>
        <w:jc w:val="both"/>
        <w:rPr>
          <w:rFonts w:ascii="Palatino Linotype" w:hAnsi="Palatino Linotype"/>
          <w:sz w:val="24"/>
          <w:szCs w:val="24"/>
        </w:rPr>
      </w:pPr>
      <w:r>
        <w:rPr>
          <w:rFonts w:ascii="Palatino Linotype" w:hAnsi="Palatino Linotype"/>
          <w:sz w:val="24"/>
          <w:szCs w:val="24"/>
        </w:rPr>
        <w:t>En atención a lo descrito, resulta inconcusa la existencia de una obligación impuesta por nuestra Carta Magna a todo ciudadano mexicano para contribuir a los gastos públicos, lo anterior en atención a los principios de:</w:t>
      </w:r>
    </w:p>
    <w:p w14:paraId="6FCE3C5B" w14:textId="77777777" w:rsidR="0034637B" w:rsidRDefault="0034637B" w:rsidP="0034637B">
      <w:pPr>
        <w:pStyle w:val="Prrafodelista"/>
        <w:numPr>
          <w:ilvl w:val="0"/>
          <w:numId w:val="19"/>
        </w:numPr>
        <w:spacing w:line="360" w:lineRule="auto"/>
        <w:jc w:val="both"/>
        <w:rPr>
          <w:rFonts w:ascii="Palatino Linotype" w:hAnsi="Palatino Linotype"/>
        </w:rPr>
      </w:pPr>
      <w:r>
        <w:rPr>
          <w:rFonts w:ascii="Palatino Linotype" w:hAnsi="Palatino Linotype"/>
        </w:rPr>
        <w:t>P</w:t>
      </w:r>
      <w:r w:rsidRPr="00F0629B">
        <w:rPr>
          <w:rFonts w:ascii="Palatino Linotype" w:hAnsi="Palatino Linotype"/>
        </w:rPr>
        <w:t>roporcionalidad</w:t>
      </w:r>
      <w:r>
        <w:rPr>
          <w:rFonts w:ascii="Palatino Linotype" w:hAnsi="Palatino Linotype"/>
        </w:rPr>
        <w:t xml:space="preserve">: Que cada ciudadano tribute de acuerdo con su riqueza, ingresos o posibilidades económicas y que dicha aportación sea la mínima posible para no ahuyentar o empobrecer al contribuyente. </w:t>
      </w:r>
    </w:p>
    <w:p w14:paraId="55EE709C" w14:textId="77777777" w:rsidR="0034637B" w:rsidRDefault="0034637B" w:rsidP="0034637B">
      <w:pPr>
        <w:pStyle w:val="Prrafodelista"/>
        <w:numPr>
          <w:ilvl w:val="0"/>
          <w:numId w:val="19"/>
        </w:numPr>
        <w:spacing w:line="360" w:lineRule="auto"/>
        <w:jc w:val="both"/>
        <w:rPr>
          <w:rFonts w:ascii="Palatino Linotype" w:hAnsi="Palatino Linotype"/>
        </w:rPr>
      </w:pPr>
      <w:r w:rsidRPr="00F0629B">
        <w:rPr>
          <w:rFonts w:ascii="Palatino Linotype" w:hAnsi="Palatino Linotype"/>
        </w:rPr>
        <w:t xml:space="preserve"> </w:t>
      </w:r>
      <w:r>
        <w:rPr>
          <w:rFonts w:ascii="Palatino Linotype" w:hAnsi="Palatino Linotype"/>
        </w:rPr>
        <w:t xml:space="preserve">Equidad: Que el impacto del gravamen sea el mismo para todas las personas físicas o morales colocadas en la misma circunstancia contributiva, trato igual frente a sujetos iguales y desigual entre desiguales. </w:t>
      </w:r>
    </w:p>
    <w:p w14:paraId="3762ECC2" w14:textId="77777777" w:rsidR="0034637B" w:rsidRDefault="0034637B" w:rsidP="0034637B">
      <w:pPr>
        <w:pStyle w:val="Prrafodelista"/>
        <w:numPr>
          <w:ilvl w:val="0"/>
          <w:numId w:val="19"/>
        </w:numPr>
        <w:spacing w:line="360" w:lineRule="auto"/>
        <w:jc w:val="both"/>
        <w:rPr>
          <w:rFonts w:ascii="Palatino Linotype" w:hAnsi="Palatino Linotype"/>
        </w:rPr>
      </w:pPr>
      <w:r w:rsidRPr="00F0629B">
        <w:rPr>
          <w:rFonts w:ascii="Palatino Linotype" w:hAnsi="Palatino Linotype"/>
        </w:rPr>
        <w:t xml:space="preserve"> </w:t>
      </w:r>
      <w:r>
        <w:rPr>
          <w:rFonts w:ascii="Palatino Linotype" w:hAnsi="Palatino Linotype"/>
        </w:rPr>
        <w:t>D</w:t>
      </w:r>
      <w:r w:rsidRPr="00F0629B">
        <w:rPr>
          <w:rFonts w:ascii="Palatino Linotype" w:hAnsi="Palatino Linotype"/>
        </w:rPr>
        <w:t>estino</w:t>
      </w:r>
      <w:r>
        <w:rPr>
          <w:rFonts w:ascii="Palatino Linotype" w:hAnsi="Palatino Linotype"/>
        </w:rPr>
        <w:t xml:space="preserve">: Para el sostenimiento de los gastos públicos. </w:t>
      </w:r>
    </w:p>
    <w:p w14:paraId="6921B161" w14:textId="77777777" w:rsidR="0034637B" w:rsidRDefault="0034637B" w:rsidP="0034637B">
      <w:pPr>
        <w:pStyle w:val="Prrafodelista"/>
        <w:numPr>
          <w:ilvl w:val="0"/>
          <w:numId w:val="19"/>
        </w:numPr>
        <w:spacing w:line="360" w:lineRule="auto"/>
        <w:jc w:val="both"/>
        <w:rPr>
          <w:rFonts w:ascii="Palatino Linotype" w:hAnsi="Palatino Linotype"/>
        </w:rPr>
      </w:pPr>
      <w:r w:rsidRPr="00F0629B">
        <w:rPr>
          <w:rFonts w:ascii="Palatino Linotype" w:hAnsi="Palatino Linotype"/>
        </w:rPr>
        <w:t xml:space="preserve"> </w:t>
      </w:r>
      <w:r>
        <w:rPr>
          <w:rFonts w:ascii="Palatino Linotype" w:hAnsi="Palatino Linotype"/>
        </w:rPr>
        <w:t>L</w:t>
      </w:r>
      <w:r w:rsidRPr="00F0629B">
        <w:rPr>
          <w:rFonts w:ascii="Palatino Linotype" w:hAnsi="Palatino Linotype"/>
        </w:rPr>
        <w:t>egalidad</w:t>
      </w:r>
      <w:r>
        <w:rPr>
          <w:rFonts w:ascii="Palatino Linotype" w:hAnsi="Palatino Linotype"/>
        </w:rPr>
        <w:t xml:space="preserve">: La contribución invariablemente debe de estar prevista en ley. </w:t>
      </w:r>
    </w:p>
    <w:p w14:paraId="4C9ECD73" w14:textId="77777777" w:rsidR="0034637B" w:rsidRPr="00F0629B" w:rsidRDefault="0034637B" w:rsidP="0034637B">
      <w:pPr>
        <w:pStyle w:val="Prrafodelista"/>
        <w:numPr>
          <w:ilvl w:val="0"/>
          <w:numId w:val="19"/>
        </w:numPr>
        <w:spacing w:line="360" w:lineRule="auto"/>
        <w:jc w:val="both"/>
        <w:rPr>
          <w:rFonts w:ascii="Palatino Linotype" w:hAnsi="Palatino Linotype"/>
        </w:rPr>
      </w:pPr>
      <w:r w:rsidRPr="00F0629B">
        <w:rPr>
          <w:rFonts w:ascii="Palatino Linotype" w:hAnsi="Palatino Linotype"/>
        </w:rPr>
        <w:t xml:space="preserve"> </w:t>
      </w:r>
      <w:r>
        <w:rPr>
          <w:rFonts w:ascii="Palatino Linotype" w:hAnsi="Palatino Linotype"/>
        </w:rPr>
        <w:t>É</w:t>
      </w:r>
      <w:r w:rsidRPr="00F0629B">
        <w:rPr>
          <w:rFonts w:ascii="Palatino Linotype" w:hAnsi="Palatino Linotype"/>
        </w:rPr>
        <w:t>poca de pago</w:t>
      </w:r>
      <w:r>
        <w:rPr>
          <w:rFonts w:ascii="Palatino Linotype" w:hAnsi="Palatino Linotype"/>
        </w:rPr>
        <w:t xml:space="preserve">: Conforme a lo establecido en la normatividad aplicable. </w:t>
      </w:r>
    </w:p>
    <w:p w14:paraId="266187DC" w14:textId="77777777" w:rsidR="0034637B" w:rsidRDefault="0034637B" w:rsidP="005C1B2E">
      <w:pPr>
        <w:tabs>
          <w:tab w:val="left" w:pos="709"/>
        </w:tabs>
        <w:spacing w:before="240" w:line="360" w:lineRule="auto"/>
        <w:ind w:right="51"/>
        <w:jc w:val="both"/>
        <w:rPr>
          <w:rFonts w:ascii="Palatino Linotype" w:hAnsi="Palatino Linotype"/>
          <w:b/>
          <w:lang w:val="es-ES"/>
        </w:rPr>
      </w:pPr>
    </w:p>
    <w:p w14:paraId="67F41199" w14:textId="4143A185" w:rsidR="0034637B" w:rsidRDefault="0034637B" w:rsidP="0034637B">
      <w:pPr>
        <w:spacing w:after="0" w:line="360" w:lineRule="auto"/>
        <w:jc w:val="both"/>
        <w:rPr>
          <w:rFonts w:ascii="Palatino Linotype" w:hAnsi="Palatino Linotype"/>
          <w:sz w:val="24"/>
          <w:szCs w:val="24"/>
        </w:rPr>
      </w:pPr>
      <w:r>
        <w:rPr>
          <w:rFonts w:ascii="Palatino Linotype" w:hAnsi="Palatino Linotype"/>
          <w:sz w:val="24"/>
          <w:szCs w:val="24"/>
        </w:rPr>
        <w:t xml:space="preserve">De manera complementaria, resulta oportuno mencionar que los ingresos del Estado se dividen en tributarios, </w:t>
      </w:r>
      <w:r w:rsidRPr="005E7231">
        <w:rPr>
          <w:rFonts w:ascii="Palatino Linotype" w:hAnsi="Palatino Linotype"/>
          <w:b/>
          <w:sz w:val="24"/>
          <w:szCs w:val="24"/>
          <w:u w:val="single"/>
        </w:rPr>
        <w:t>no tributarios</w:t>
      </w:r>
      <w:r>
        <w:rPr>
          <w:rFonts w:ascii="Palatino Linotype" w:hAnsi="Palatino Linotype"/>
          <w:sz w:val="24"/>
          <w:szCs w:val="24"/>
        </w:rPr>
        <w:t xml:space="preserve"> y financieros; los cuales a su vez engloban las siguientes </w:t>
      </w:r>
      <w:r w:rsidR="00CA7943">
        <w:rPr>
          <w:rFonts w:ascii="Palatino Linotype" w:hAnsi="Palatino Linotype"/>
          <w:sz w:val="24"/>
          <w:szCs w:val="24"/>
        </w:rPr>
        <w:t>sub-</w:t>
      </w:r>
      <w:r>
        <w:rPr>
          <w:rFonts w:ascii="Palatino Linotype" w:hAnsi="Palatino Linotype"/>
          <w:sz w:val="24"/>
          <w:szCs w:val="24"/>
        </w:rPr>
        <w:t>categorías:</w:t>
      </w:r>
    </w:p>
    <w:p w14:paraId="16F449E7" w14:textId="77777777" w:rsidR="008F79AB" w:rsidRDefault="008F79AB" w:rsidP="0034637B">
      <w:pPr>
        <w:spacing w:after="0" w:line="360" w:lineRule="auto"/>
        <w:jc w:val="both"/>
        <w:rPr>
          <w:rFonts w:ascii="Palatino Linotype" w:hAnsi="Palatino Linotype"/>
          <w:sz w:val="24"/>
          <w:szCs w:val="24"/>
        </w:rPr>
      </w:pPr>
    </w:p>
    <w:p w14:paraId="34C3E515" w14:textId="77777777" w:rsidR="008F79AB" w:rsidRDefault="008F79AB" w:rsidP="0034637B">
      <w:pPr>
        <w:spacing w:after="0" w:line="360" w:lineRule="auto"/>
        <w:jc w:val="both"/>
        <w:rPr>
          <w:rFonts w:ascii="Palatino Linotype" w:hAnsi="Palatino Linotype"/>
          <w:sz w:val="24"/>
          <w:szCs w:val="24"/>
        </w:rPr>
      </w:pPr>
    </w:p>
    <w:p w14:paraId="212F9154" w14:textId="11F1452E" w:rsidR="0034637B" w:rsidRPr="0034637B" w:rsidRDefault="0034637B" w:rsidP="0034637B">
      <w:pPr>
        <w:spacing w:after="0" w:line="360" w:lineRule="auto"/>
        <w:jc w:val="both"/>
        <w:rPr>
          <w:rFonts w:ascii="Palatino Linotype" w:hAnsi="Palatino Linotype"/>
          <w:b/>
          <w:sz w:val="24"/>
          <w:szCs w:val="24"/>
        </w:rPr>
      </w:pPr>
      <w:r>
        <w:rPr>
          <w:rFonts w:ascii="Palatino Linotype" w:hAnsi="Palatino Linotype"/>
          <w:b/>
          <w:sz w:val="24"/>
          <w:szCs w:val="24"/>
        </w:rPr>
        <w:lastRenderedPageBreak/>
        <w:t>Ingresos tributarios</w:t>
      </w:r>
    </w:p>
    <w:p w14:paraId="19540116" w14:textId="77777777" w:rsidR="0034637B" w:rsidRPr="0034637B" w:rsidRDefault="0034637B" w:rsidP="0034637B">
      <w:pPr>
        <w:pStyle w:val="Prrafodelista"/>
        <w:numPr>
          <w:ilvl w:val="0"/>
          <w:numId w:val="20"/>
        </w:numPr>
        <w:spacing w:line="360" w:lineRule="auto"/>
        <w:jc w:val="both"/>
        <w:rPr>
          <w:rFonts w:ascii="Palatino Linotype" w:hAnsi="Palatino Linotype"/>
          <w:bCs/>
        </w:rPr>
      </w:pPr>
      <w:r w:rsidRPr="0034637B">
        <w:rPr>
          <w:rFonts w:ascii="Palatino Linotype" w:hAnsi="Palatino Linotype"/>
          <w:bCs/>
        </w:rPr>
        <w:t>Impuestos</w:t>
      </w:r>
    </w:p>
    <w:p w14:paraId="46BA6F0D" w14:textId="77777777" w:rsidR="0034637B" w:rsidRDefault="0034637B" w:rsidP="0034637B">
      <w:pPr>
        <w:pStyle w:val="Prrafodelista"/>
        <w:numPr>
          <w:ilvl w:val="0"/>
          <w:numId w:val="20"/>
        </w:numPr>
        <w:spacing w:line="360" w:lineRule="auto"/>
        <w:jc w:val="both"/>
        <w:rPr>
          <w:rFonts w:ascii="Palatino Linotype" w:hAnsi="Palatino Linotype"/>
        </w:rPr>
      </w:pPr>
      <w:r>
        <w:rPr>
          <w:rFonts w:ascii="Palatino Linotype" w:hAnsi="Palatino Linotype"/>
        </w:rPr>
        <w:t>Aportaciones de Seguridad Social</w:t>
      </w:r>
    </w:p>
    <w:p w14:paraId="79431931" w14:textId="77777777" w:rsidR="0034637B" w:rsidRDefault="0034637B" w:rsidP="0034637B">
      <w:pPr>
        <w:pStyle w:val="Prrafodelista"/>
        <w:numPr>
          <w:ilvl w:val="0"/>
          <w:numId w:val="20"/>
        </w:numPr>
        <w:spacing w:line="360" w:lineRule="auto"/>
        <w:jc w:val="both"/>
        <w:rPr>
          <w:rFonts w:ascii="Palatino Linotype" w:hAnsi="Palatino Linotype"/>
        </w:rPr>
      </w:pPr>
      <w:r>
        <w:rPr>
          <w:rFonts w:ascii="Palatino Linotype" w:hAnsi="Palatino Linotype"/>
        </w:rPr>
        <w:t>Derechos</w:t>
      </w:r>
    </w:p>
    <w:p w14:paraId="1E2A53FB" w14:textId="77777777" w:rsidR="0034637B" w:rsidRDefault="0034637B" w:rsidP="0034637B">
      <w:pPr>
        <w:pStyle w:val="Prrafodelista"/>
        <w:numPr>
          <w:ilvl w:val="0"/>
          <w:numId w:val="20"/>
        </w:numPr>
        <w:spacing w:line="360" w:lineRule="auto"/>
        <w:jc w:val="both"/>
        <w:rPr>
          <w:rFonts w:ascii="Palatino Linotype" w:hAnsi="Palatino Linotype"/>
        </w:rPr>
      </w:pPr>
      <w:r>
        <w:rPr>
          <w:rFonts w:ascii="Palatino Linotype" w:hAnsi="Palatino Linotype"/>
        </w:rPr>
        <w:t>Contribuciones especiales</w:t>
      </w:r>
    </w:p>
    <w:p w14:paraId="58E47C4E" w14:textId="77777777" w:rsidR="0034637B" w:rsidRPr="00637233" w:rsidRDefault="0034637B" w:rsidP="0034637B">
      <w:pPr>
        <w:pStyle w:val="Prrafodelista"/>
        <w:numPr>
          <w:ilvl w:val="0"/>
          <w:numId w:val="20"/>
        </w:numPr>
        <w:spacing w:line="360" w:lineRule="auto"/>
        <w:jc w:val="both"/>
        <w:rPr>
          <w:rFonts w:ascii="Palatino Linotype" w:hAnsi="Palatino Linotype"/>
        </w:rPr>
      </w:pPr>
      <w:r>
        <w:rPr>
          <w:rFonts w:ascii="Palatino Linotype" w:hAnsi="Palatino Linotype"/>
        </w:rPr>
        <w:t xml:space="preserve">Accesorios de las contribuciones. </w:t>
      </w:r>
    </w:p>
    <w:p w14:paraId="033C8E3F" w14:textId="77777777" w:rsidR="0034637B" w:rsidRDefault="0034637B" w:rsidP="005C1B2E">
      <w:pPr>
        <w:tabs>
          <w:tab w:val="left" w:pos="709"/>
        </w:tabs>
        <w:spacing w:before="240" w:line="360" w:lineRule="auto"/>
        <w:ind w:right="51"/>
        <w:jc w:val="both"/>
        <w:rPr>
          <w:rFonts w:ascii="Palatino Linotype" w:hAnsi="Palatino Linotype"/>
          <w:b/>
          <w:lang w:val="es-ES"/>
        </w:rPr>
      </w:pPr>
    </w:p>
    <w:p w14:paraId="0A95A85C" w14:textId="11E81FA9" w:rsidR="0034637B" w:rsidRPr="0034637B" w:rsidRDefault="0034637B" w:rsidP="005C1B2E">
      <w:pPr>
        <w:tabs>
          <w:tab w:val="left" w:pos="709"/>
        </w:tabs>
        <w:spacing w:before="240" w:line="360" w:lineRule="auto"/>
        <w:ind w:right="51"/>
        <w:jc w:val="both"/>
        <w:rPr>
          <w:rFonts w:ascii="Palatino Linotype" w:hAnsi="Palatino Linotype"/>
          <w:b/>
          <w:sz w:val="24"/>
          <w:szCs w:val="24"/>
          <w:lang w:val="es-ES"/>
        </w:rPr>
      </w:pPr>
      <w:r w:rsidRPr="0034637B">
        <w:rPr>
          <w:rFonts w:ascii="Palatino Linotype" w:hAnsi="Palatino Linotype"/>
          <w:b/>
          <w:sz w:val="24"/>
          <w:szCs w:val="24"/>
          <w:lang w:val="es-ES"/>
        </w:rPr>
        <w:t>Ingresos no tributarios</w:t>
      </w:r>
    </w:p>
    <w:p w14:paraId="25C0D153" w14:textId="538085B7" w:rsidR="0034637B" w:rsidRPr="0034637B" w:rsidRDefault="0034637B" w:rsidP="0034637B">
      <w:pPr>
        <w:pStyle w:val="Prrafodelista"/>
        <w:numPr>
          <w:ilvl w:val="0"/>
          <w:numId w:val="20"/>
        </w:numPr>
        <w:spacing w:line="360" w:lineRule="auto"/>
        <w:jc w:val="both"/>
        <w:rPr>
          <w:rFonts w:ascii="Palatino Linotype" w:hAnsi="Palatino Linotype"/>
          <w:b/>
          <w:u w:val="single"/>
        </w:rPr>
      </w:pPr>
      <w:r w:rsidRPr="0034637B">
        <w:rPr>
          <w:rFonts w:ascii="Palatino Linotype" w:hAnsi="Palatino Linotype"/>
          <w:b/>
          <w:u w:val="single"/>
        </w:rPr>
        <w:t>Aprovechamientos</w:t>
      </w:r>
      <w:r>
        <w:rPr>
          <w:rFonts w:ascii="Palatino Linotype" w:hAnsi="Palatino Linotype"/>
          <w:b/>
          <w:u w:val="single"/>
        </w:rPr>
        <w:t xml:space="preserve"> (Multas, donativos, entre otros)</w:t>
      </w:r>
    </w:p>
    <w:p w14:paraId="712B2CE0" w14:textId="4AEC1D59" w:rsidR="0034637B" w:rsidRPr="00637233" w:rsidRDefault="0034637B" w:rsidP="0034637B">
      <w:pPr>
        <w:pStyle w:val="Prrafodelista"/>
        <w:numPr>
          <w:ilvl w:val="0"/>
          <w:numId w:val="20"/>
        </w:numPr>
        <w:spacing w:line="360" w:lineRule="auto"/>
        <w:jc w:val="both"/>
        <w:rPr>
          <w:rFonts w:ascii="Palatino Linotype" w:hAnsi="Palatino Linotype"/>
        </w:rPr>
      </w:pPr>
      <w:r>
        <w:rPr>
          <w:rFonts w:ascii="Palatino Linotype" w:hAnsi="Palatino Linotype"/>
        </w:rPr>
        <w:t>Productos</w:t>
      </w:r>
    </w:p>
    <w:p w14:paraId="2A688580" w14:textId="77777777" w:rsidR="0034637B" w:rsidRDefault="0034637B" w:rsidP="005C1B2E">
      <w:pPr>
        <w:tabs>
          <w:tab w:val="left" w:pos="709"/>
        </w:tabs>
        <w:spacing w:before="240" w:line="360" w:lineRule="auto"/>
        <w:ind w:right="51"/>
        <w:jc w:val="both"/>
        <w:rPr>
          <w:rFonts w:ascii="Palatino Linotype" w:hAnsi="Palatino Linotype"/>
          <w:b/>
          <w:lang w:val="es-ES"/>
        </w:rPr>
      </w:pPr>
    </w:p>
    <w:p w14:paraId="06D63C32" w14:textId="3A38BB0D" w:rsidR="0034637B" w:rsidRDefault="0034637B" w:rsidP="005E7231">
      <w:pPr>
        <w:tabs>
          <w:tab w:val="left" w:pos="709"/>
        </w:tabs>
        <w:spacing w:before="240" w:line="360" w:lineRule="auto"/>
        <w:ind w:right="51"/>
        <w:jc w:val="both"/>
        <w:rPr>
          <w:rFonts w:ascii="Palatino Linotype" w:hAnsi="Palatino Linotype"/>
          <w:b/>
          <w:sz w:val="24"/>
          <w:szCs w:val="24"/>
          <w:lang w:val="es-ES"/>
        </w:rPr>
      </w:pPr>
      <w:r w:rsidRPr="0034637B">
        <w:rPr>
          <w:rFonts w:ascii="Palatino Linotype" w:hAnsi="Palatino Linotype"/>
          <w:b/>
          <w:sz w:val="24"/>
          <w:szCs w:val="24"/>
          <w:lang w:val="es-ES"/>
        </w:rPr>
        <w:t>Ingresos financieros</w:t>
      </w:r>
    </w:p>
    <w:p w14:paraId="312F97D9" w14:textId="1D356CB2" w:rsidR="0034637B" w:rsidRPr="0034637B" w:rsidRDefault="0034637B" w:rsidP="00CA7943">
      <w:pPr>
        <w:pStyle w:val="Prrafodelista"/>
        <w:numPr>
          <w:ilvl w:val="0"/>
          <w:numId w:val="21"/>
        </w:numPr>
        <w:tabs>
          <w:tab w:val="left" w:pos="709"/>
        </w:tabs>
        <w:spacing w:before="240"/>
        <w:ind w:left="714" w:right="51" w:hanging="357"/>
        <w:jc w:val="both"/>
        <w:rPr>
          <w:rFonts w:ascii="Palatino Linotype" w:hAnsi="Palatino Linotype"/>
          <w:b/>
        </w:rPr>
      </w:pPr>
      <w:r>
        <w:rPr>
          <w:rFonts w:ascii="Palatino Linotype" w:hAnsi="Palatino Linotype"/>
        </w:rPr>
        <w:t>Empréstitos</w:t>
      </w:r>
    </w:p>
    <w:p w14:paraId="0496A064" w14:textId="5B6DA24A" w:rsidR="0034637B" w:rsidRPr="005E7231" w:rsidRDefault="0034637B" w:rsidP="00CA7943">
      <w:pPr>
        <w:pStyle w:val="Prrafodelista"/>
        <w:numPr>
          <w:ilvl w:val="0"/>
          <w:numId w:val="21"/>
        </w:numPr>
        <w:tabs>
          <w:tab w:val="left" w:pos="709"/>
        </w:tabs>
        <w:spacing w:before="240"/>
        <w:ind w:left="714" w:right="51" w:hanging="357"/>
        <w:jc w:val="both"/>
        <w:rPr>
          <w:rFonts w:ascii="Palatino Linotype" w:hAnsi="Palatino Linotype"/>
          <w:b/>
        </w:rPr>
      </w:pPr>
      <w:r>
        <w:rPr>
          <w:rFonts w:ascii="Palatino Linotype" w:hAnsi="Palatino Linotype"/>
        </w:rPr>
        <w:t>Emisión de moneda</w:t>
      </w:r>
    </w:p>
    <w:p w14:paraId="03D42D34" w14:textId="77777777" w:rsidR="005E7231" w:rsidRPr="005E7231" w:rsidRDefault="005E7231" w:rsidP="00CA7943">
      <w:pPr>
        <w:pStyle w:val="Prrafodelista"/>
        <w:numPr>
          <w:ilvl w:val="0"/>
          <w:numId w:val="21"/>
        </w:numPr>
        <w:tabs>
          <w:tab w:val="left" w:pos="709"/>
        </w:tabs>
        <w:spacing w:before="240"/>
        <w:ind w:left="714" w:right="51" w:hanging="357"/>
        <w:jc w:val="both"/>
        <w:rPr>
          <w:rFonts w:ascii="Palatino Linotype" w:hAnsi="Palatino Linotype"/>
        </w:rPr>
      </w:pPr>
      <w:r w:rsidRPr="005E7231">
        <w:rPr>
          <w:rFonts w:ascii="Palatino Linotype" w:hAnsi="Palatino Linotype"/>
          <w:lang w:val="es-ES_tradnl"/>
        </w:rPr>
        <w:t xml:space="preserve">Emisión de bonos de deuda pública. </w:t>
      </w:r>
      <w:r w:rsidRPr="005E7231">
        <w:rPr>
          <w:rFonts w:ascii="Palatino Linotype" w:hAnsi="Palatino Linotype"/>
          <w:lang w:val="es-ES_tradnl"/>
        </w:rPr>
        <w:tab/>
      </w:r>
      <w:r w:rsidRPr="005E7231">
        <w:rPr>
          <w:rFonts w:ascii="Palatino Linotype" w:hAnsi="Palatino Linotype"/>
          <w:lang w:val="es-ES_tradnl"/>
        </w:rPr>
        <w:tab/>
      </w:r>
    </w:p>
    <w:p w14:paraId="5BFCE6FC" w14:textId="7A2B864B" w:rsidR="005E7231" w:rsidRPr="005E7231" w:rsidRDefault="005E7231" w:rsidP="00CA7943">
      <w:pPr>
        <w:pStyle w:val="Prrafodelista"/>
        <w:numPr>
          <w:ilvl w:val="0"/>
          <w:numId w:val="21"/>
        </w:numPr>
        <w:tabs>
          <w:tab w:val="left" w:pos="709"/>
        </w:tabs>
        <w:spacing w:before="240"/>
        <w:ind w:left="714" w:right="51" w:hanging="357"/>
        <w:jc w:val="both"/>
        <w:rPr>
          <w:rFonts w:ascii="Palatino Linotype" w:hAnsi="Palatino Linotype"/>
        </w:rPr>
      </w:pPr>
      <w:r w:rsidRPr="005E7231">
        <w:rPr>
          <w:rFonts w:ascii="Palatino Linotype" w:hAnsi="Palatino Linotype"/>
          <w:lang w:val="es-ES_tradnl"/>
        </w:rPr>
        <w:t>Amortización y conversión de la deuda pública.</w:t>
      </w:r>
    </w:p>
    <w:p w14:paraId="10362BEA" w14:textId="150021EC" w:rsidR="005E7231" w:rsidRPr="005E7231" w:rsidRDefault="005E7231" w:rsidP="00CA7943">
      <w:pPr>
        <w:pStyle w:val="Prrafodelista"/>
        <w:numPr>
          <w:ilvl w:val="0"/>
          <w:numId w:val="21"/>
        </w:numPr>
        <w:tabs>
          <w:tab w:val="left" w:pos="709"/>
        </w:tabs>
        <w:spacing w:before="240"/>
        <w:ind w:left="714" w:right="51" w:hanging="357"/>
        <w:jc w:val="both"/>
        <w:rPr>
          <w:rFonts w:ascii="Palatino Linotype" w:hAnsi="Palatino Linotype"/>
        </w:rPr>
      </w:pPr>
      <w:r w:rsidRPr="005E7231">
        <w:rPr>
          <w:rFonts w:ascii="Palatino Linotype" w:hAnsi="Palatino Linotype"/>
          <w:lang w:val="es-ES_tradnl"/>
        </w:rPr>
        <w:tab/>
        <w:t>Moratorias y renegociaciones.</w:t>
      </w:r>
    </w:p>
    <w:p w14:paraId="093F65BC" w14:textId="549EA73C" w:rsidR="005E7231" w:rsidRPr="005E7231" w:rsidRDefault="005E7231" w:rsidP="00CA7943">
      <w:pPr>
        <w:pStyle w:val="Prrafodelista"/>
        <w:numPr>
          <w:ilvl w:val="0"/>
          <w:numId w:val="21"/>
        </w:numPr>
        <w:tabs>
          <w:tab w:val="left" w:pos="709"/>
        </w:tabs>
        <w:spacing w:before="240"/>
        <w:ind w:left="714" w:right="51" w:hanging="357"/>
        <w:jc w:val="both"/>
        <w:rPr>
          <w:rFonts w:ascii="Palatino Linotype" w:hAnsi="Palatino Linotype"/>
        </w:rPr>
      </w:pPr>
      <w:r w:rsidRPr="005E7231">
        <w:rPr>
          <w:rFonts w:ascii="Palatino Linotype" w:hAnsi="Palatino Linotype"/>
          <w:lang w:val="es-ES_tradnl"/>
        </w:rPr>
        <w:tab/>
        <w:t>Devaluaciones.</w:t>
      </w:r>
    </w:p>
    <w:p w14:paraId="602E99D6" w14:textId="6C79EBFF" w:rsidR="005E7231" w:rsidRPr="005E7231" w:rsidRDefault="005E7231" w:rsidP="00CA7943">
      <w:pPr>
        <w:pStyle w:val="Prrafodelista"/>
        <w:numPr>
          <w:ilvl w:val="0"/>
          <w:numId w:val="21"/>
        </w:numPr>
        <w:tabs>
          <w:tab w:val="left" w:pos="709"/>
        </w:tabs>
        <w:spacing w:before="240"/>
        <w:ind w:left="714" w:right="51" w:hanging="357"/>
        <w:jc w:val="both"/>
        <w:rPr>
          <w:rFonts w:ascii="Palatino Linotype" w:hAnsi="Palatino Linotype"/>
        </w:rPr>
      </w:pPr>
      <w:r w:rsidRPr="005E7231">
        <w:rPr>
          <w:rFonts w:ascii="Palatino Linotype" w:hAnsi="Palatino Linotype"/>
          <w:lang w:val="es-ES_tradnl"/>
        </w:rPr>
        <w:tab/>
        <w:t>Revaluaciones.</w:t>
      </w:r>
    </w:p>
    <w:p w14:paraId="76D09DF3" w14:textId="0AAD2907" w:rsidR="005E7231" w:rsidRPr="005E7231" w:rsidRDefault="005E7231" w:rsidP="00CA7943">
      <w:pPr>
        <w:pStyle w:val="Prrafodelista"/>
        <w:numPr>
          <w:ilvl w:val="0"/>
          <w:numId w:val="21"/>
        </w:numPr>
        <w:tabs>
          <w:tab w:val="left" w:pos="709"/>
        </w:tabs>
        <w:spacing w:before="240"/>
        <w:ind w:left="714" w:right="51" w:hanging="357"/>
        <w:jc w:val="both"/>
        <w:rPr>
          <w:rFonts w:ascii="Palatino Linotype" w:hAnsi="Palatino Linotype"/>
        </w:rPr>
      </w:pPr>
      <w:r w:rsidRPr="005E7231">
        <w:rPr>
          <w:rFonts w:ascii="Palatino Linotype" w:hAnsi="Palatino Linotype"/>
          <w:lang w:val="es-ES_tradnl"/>
        </w:rPr>
        <w:tab/>
      </w:r>
      <w:r w:rsidR="00CA7943" w:rsidRPr="005E7231">
        <w:rPr>
          <w:rFonts w:ascii="Palatino Linotype" w:hAnsi="Palatino Linotype"/>
          <w:lang w:val="es-ES_tradnl"/>
        </w:rPr>
        <w:t>Expropiaciones</w:t>
      </w:r>
      <w:r w:rsidRPr="005E7231">
        <w:rPr>
          <w:rFonts w:ascii="Palatino Linotype" w:hAnsi="Palatino Linotype"/>
          <w:lang w:val="es-ES_tradnl"/>
        </w:rPr>
        <w:t>.</w:t>
      </w:r>
    </w:p>
    <w:p w14:paraId="3C48731B" w14:textId="2CE3D529" w:rsidR="005E7231" w:rsidRPr="005E7231" w:rsidRDefault="005E7231" w:rsidP="00CA7943">
      <w:pPr>
        <w:pStyle w:val="Prrafodelista"/>
        <w:numPr>
          <w:ilvl w:val="0"/>
          <w:numId w:val="21"/>
        </w:numPr>
        <w:tabs>
          <w:tab w:val="left" w:pos="709"/>
        </w:tabs>
        <w:spacing w:before="240"/>
        <w:ind w:left="714" w:right="51" w:hanging="357"/>
        <w:jc w:val="both"/>
        <w:rPr>
          <w:rFonts w:ascii="Palatino Linotype" w:hAnsi="Palatino Linotype"/>
        </w:rPr>
      </w:pPr>
      <w:r w:rsidRPr="005E7231">
        <w:rPr>
          <w:rFonts w:ascii="Palatino Linotype" w:hAnsi="Palatino Linotype"/>
          <w:lang w:val="es-ES_tradnl"/>
        </w:rPr>
        <w:lastRenderedPageBreak/>
        <w:tab/>
        <w:t>Decomisos.</w:t>
      </w:r>
    </w:p>
    <w:p w14:paraId="4274A827" w14:textId="203448FD" w:rsidR="005E7231" w:rsidRPr="008F79AB" w:rsidRDefault="005E7231" w:rsidP="00CA7943">
      <w:pPr>
        <w:pStyle w:val="Prrafodelista"/>
        <w:numPr>
          <w:ilvl w:val="0"/>
          <w:numId w:val="21"/>
        </w:numPr>
        <w:tabs>
          <w:tab w:val="left" w:pos="709"/>
        </w:tabs>
        <w:spacing w:before="240"/>
        <w:ind w:left="714" w:right="51" w:hanging="357"/>
        <w:jc w:val="both"/>
        <w:rPr>
          <w:rFonts w:ascii="Palatino Linotype" w:hAnsi="Palatino Linotype"/>
        </w:rPr>
      </w:pPr>
      <w:r w:rsidRPr="005E7231">
        <w:rPr>
          <w:rFonts w:ascii="Palatino Linotype" w:hAnsi="Palatino Linotype"/>
          <w:lang w:val="es-ES_tradnl"/>
        </w:rPr>
        <w:tab/>
        <w:t>Nacionalizaciones.</w:t>
      </w:r>
    </w:p>
    <w:p w14:paraId="5A381904" w14:textId="77777777" w:rsidR="008F79AB" w:rsidRPr="005E7231" w:rsidRDefault="008F79AB" w:rsidP="008F79AB">
      <w:pPr>
        <w:pStyle w:val="Prrafodelista"/>
        <w:tabs>
          <w:tab w:val="left" w:pos="709"/>
        </w:tabs>
        <w:spacing w:before="240"/>
        <w:ind w:left="714" w:right="51"/>
        <w:jc w:val="both"/>
        <w:rPr>
          <w:rFonts w:ascii="Palatino Linotype" w:hAnsi="Palatino Linotype"/>
        </w:rPr>
      </w:pPr>
    </w:p>
    <w:p w14:paraId="5226D7B8" w14:textId="4AC6B674" w:rsidR="0052674F" w:rsidRPr="0052674F" w:rsidRDefault="0052674F" w:rsidP="0052674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Aunado a lo anterior, para delimitar la esfera competencial del </w:t>
      </w:r>
      <w:r>
        <w:rPr>
          <w:rFonts w:ascii="Palatino Linotype" w:hAnsi="Palatino Linotype"/>
          <w:b/>
          <w:sz w:val="24"/>
          <w:szCs w:val="24"/>
        </w:rPr>
        <w:t xml:space="preserve">Sujeto Obligado, </w:t>
      </w:r>
      <w:r>
        <w:rPr>
          <w:rFonts w:ascii="Palatino Linotype" w:hAnsi="Palatino Linotype"/>
          <w:sz w:val="24"/>
          <w:szCs w:val="24"/>
        </w:rPr>
        <w:t>resulta oportuno referir el contenido de los artículos 23, 24, fracciones II y LXI, y 32 Bis de la Ley Orgánica de la Administración Pública del Estado de México, porciones normativas que disponen a la literalidad lo siguiente:</w:t>
      </w:r>
    </w:p>
    <w:p w14:paraId="667D8C3E" w14:textId="2CD3C819" w:rsidR="005056EA" w:rsidRDefault="0052674F" w:rsidP="0052674F">
      <w:pPr>
        <w:pStyle w:val="Citas"/>
      </w:pPr>
      <w:r>
        <w:t>“</w:t>
      </w:r>
      <w:r w:rsidR="000B544F">
        <w:t>Artículo 23.- La Secretaría de Finanzas, es la encargada de la planeación, programación, presupuestación y evaluación de las actividades del Poder Ejecutivo, de la administración financiera y tributaria de la hacienda pública del Estado y de prestar el apoyo administrativo que requieran las dependencias del Poder Ejecutivo del Estado.</w:t>
      </w:r>
    </w:p>
    <w:p w14:paraId="7DEF3B21" w14:textId="7D5A7ED6" w:rsidR="000B544F" w:rsidRDefault="000B544F" w:rsidP="0052674F">
      <w:pPr>
        <w:pStyle w:val="Citas"/>
      </w:pPr>
      <w:r>
        <w:t>Artículo 24.- A la Secretaría de Finanzas, corresponde el despacho de los siguientes asuntos:</w:t>
      </w:r>
    </w:p>
    <w:p w14:paraId="20330B27" w14:textId="77777777" w:rsidR="000B544F" w:rsidRPr="000B544F" w:rsidRDefault="000B544F" w:rsidP="0052674F">
      <w:pPr>
        <w:pStyle w:val="Citas"/>
        <w:rPr>
          <w:b/>
          <w:u w:val="single"/>
        </w:rPr>
      </w:pPr>
      <w:r w:rsidRPr="000B544F">
        <w:rPr>
          <w:b/>
          <w:u w:val="single"/>
        </w:rPr>
        <w:t xml:space="preserve">II. Recaudar los </w:t>
      </w:r>
      <w:r w:rsidRPr="00CA7943">
        <w:t>impuestos, derechos, aportaciones de mejoras, productos y</w:t>
      </w:r>
      <w:r w:rsidRPr="000B544F">
        <w:rPr>
          <w:b/>
          <w:u w:val="single"/>
        </w:rPr>
        <w:t xml:space="preserve"> aprovechamientos, </w:t>
      </w:r>
      <w:r w:rsidRPr="00CA7943">
        <w:t>que correspondan al Estado; y las contribuciones federales y municipales en los términos de los convenios suscritos.</w:t>
      </w:r>
      <w:r w:rsidRPr="000B544F">
        <w:rPr>
          <w:b/>
          <w:u w:val="single"/>
        </w:rPr>
        <w:t xml:space="preserve"> </w:t>
      </w:r>
    </w:p>
    <w:p w14:paraId="13C0DB2C" w14:textId="5D40D2EA" w:rsidR="000B544F" w:rsidRDefault="000B544F" w:rsidP="0052674F">
      <w:pPr>
        <w:pStyle w:val="Citas"/>
      </w:pPr>
      <w:r>
        <w:t xml:space="preserve">En cuanto a las contribuciones federales en términos de los convenios suscritos señalados en el párrafo anterior, para la mejor organización del trabajo se establece que el Secretario de Finanzas encomiende a los funcionarios a que se refiere el último y penúltimo párrafos del presente artículo, cualesquiera de sus facultades otorgadas por los propios convenios suscritos, excepto aquéllas que por disposición de ley o del </w:t>
      </w:r>
      <w:r>
        <w:lastRenderedPageBreak/>
        <w:t xml:space="preserve">reglamento interior respectivo, deban ser ejercidas precisamente por el propio Secretario. </w:t>
      </w:r>
    </w:p>
    <w:p w14:paraId="1AE843E9" w14:textId="29ECC618" w:rsidR="000B544F" w:rsidRDefault="000B544F" w:rsidP="0052674F">
      <w:pPr>
        <w:pStyle w:val="Citas"/>
      </w:pPr>
      <w:r>
        <w:t>(…)</w:t>
      </w:r>
    </w:p>
    <w:p w14:paraId="7B78607B" w14:textId="4C72D01F" w:rsidR="000B544F" w:rsidRDefault="000B544F" w:rsidP="0052674F">
      <w:pPr>
        <w:pStyle w:val="Citas"/>
      </w:pPr>
      <w:r>
        <w:t>LXI. Implementar y administrar el Sistema Estatal de Información, Trámites y Servicios, en coordinación con el Consejo Estatal de Gobierno Digital.</w:t>
      </w:r>
    </w:p>
    <w:p w14:paraId="6BA700B6" w14:textId="4F6646A8" w:rsidR="000B544F" w:rsidRDefault="000B544F" w:rsidP="0052674F">
      <w:pPr>
        <w:pStyle w:val="Citas"/>
        <w:rPr>
          <w:bCs/>
          <w:sz w:val="24"/>
          <w:szCs w:val="24"/>
        </w:rPr>
      </w:pPr>
      <w:r>
        <w:t>(…)</w:t>
      </w:r>
    </w:p>
    <w:p w14:paraId="797A2526" w14:textId="6711FDC3" w:rsidR="005056EA" w:rsidRDefault="005056EA" w:rsidP="0052674F">
      <w:pPr>
        <w:pStyle w:val="Citas"/>
      </w:pPr>
      <w:r>
        <w:t>Artículo 32 Bis.- La Secretaría del Medio Ambiente, es el órgano encargado de la formulación, ejecución y evaluación de la política estatal en materia de conservación ecológica, biodiversidad y protección al medio ambiente para el desarrollo sostenible.</w:t>
      </w:r>
    </w:p>
    <w:p w14:paraId="30A9398F" w14:textId="6A3807F9" w:rsidR="005056EA" w:rsidRDefault="005056EA" w:rsidP="0052674F">
      <w:pPr>
        <w:pStyle w:val="Citas"/>
      </w:pPr>
      <w:r>
        <w:t>A esta Secretaría le corresponde el despacho de los siguientes asuntos:</w:t>
      </w:r>
    </w:p>
    <w:p w14:paraId="33E11180" w14:textId="77777777" w:rsidR="0052674F" w:rsidRDefault="005056EA" w:rsidP="0052674F">
      <w:pPr>
        <w:pStyle w:val="Citas"/>
      </w:pPr>
      <w:r>
        <w:t xml:space="preserve">I. Aplicar y vigilar el cumplimiento de las disposiciones legales en materia de ecología y de protección al ambiente atribuidas al Ejecutivo Estatal. </w:t>
      </w:r>
    </w:p>
    <w:p w14:paraId="3F538F70" w14:textId="77777777" w:rsidR="0052674F" w:rsidRDefault="005056EA" w:rsidP="0052674F">
      <w:pPr>
        <w:pStyle w:val="Citas"/>
      </w:pPr>
      <w:r>
        <w:t xml:space="preserve">II. Formular, ejecutar y evaluar el Programa Estatal de Protección al Ambiente. </w:t>
      </w:r>
    </w:p>
    <w:p w14:paraId="729E2A8D" w14:textId="77777777" w:rsidR="0052674F" w:rsidRDefault="005056EA" w:rsidP="0052674F">
      <w:pPr>
        <w:pStyle w:val="Citas"/>
      </w:pPr>
      <w:r>
        <w:t xml:space="preserve">III. Emitir los lineamientos destinados a preservar y restaurar el equilibrio ecológico y proteger el ambiente. </w:t>
      </w:r>
    </w:p>
    <w:p w14:paraId="2046C22C" w14:textId="77777777" w:rsidR="0052674F" w:rsidRDefault="005056EA" w:rsidP="0052674F">
      <w:pPr>
        <w:pStyle w:val="Citas"/>
      </w:pPr>
      <w:r>
        <w:t xml:space="preserve">IV. Convenir con los Gobiernos Federal, de las Entidades Federativas y de los Municipios del Estado, así como con los particulares, la realización conjunta y coordinada de acciones de protección ambiental. </w:t>
      </w:r>
    </w:p>
    <w:p w14:paraId="23BA12A2" w14:textId="77777777" w:rsidR="0052674F" w:rsidRDefault="005056EA" w:rsidP="0052674F">
      <w:pPr>
        <w:pStyle w:val="Citas"/>
      </w:pPr>
      <w:r>
        <w:t xml:space="preserve">V. Establecer medidas y criterios para la prevención y control de residuos y emisiones generadas por fuentes contaminantes. </w:t>
      </w:r>
    </w:p>
    <w:p w14:paraId="50D5275E" w14:textId="77777777" w:rsidR="0052674F" w:rsidRDefault="005056EA" w:rsidP="0052674F">
      <w:pPr>
        <w:pStyle w:val="Citas"/>
      </w:pPr>
      <w:r>
        <w:lastRenderedPageBreak/>
        <w:t xml:space="preserve">VI. Establecer sistemas de verificación ambiental y monitoreo de contaminantes. </w:t>
      </w:r>
    </w:p>
    <w:p w14:paraId="5FD8E1E2" w14:textId="77777777" w:rsidR="0052674F" w:rsidRDefault="005056EA" w:rsidP="0052674F">
      <w:pPr>
        <w:pStyle w:val="Citas"/>
      </w:pPr>
      <w:r>
        <w:t xml:space="preserve">VII. Implantar medidas y mecanismos para prevenir, restaurar y corregir la contaminación del aire, suelo, agua y del ambiente en general. </w:t>
      </w:r>
    </w:p>
    <w:p w14:paraId="2DA13AB5" w14:textId="77777777" w:rsidR="0052674F" w:rsidRDefault="005056EA" w:rsidP="0052674F">
      <w:pPr>
        <w:pStyle w:val="Citas"/>
      </w:pPr>
      <w:r>
        <w:t>VIII. Difundir los programas y estrategias relacionadas con el equilibrio ecológico y la protección del ambiente.</w:t>
      </w:r>
    </w:p>
    <w:p w14:paraId="0949B4EB" w14:textId="77777777" w:rsidR="0052674F" w:rsidRDefault="005056EA" w:rsidP="0052674F">
      <w:pPr>
        <w:pStyle w:val="Citas"/>
      </w:pPr>
      <w:r>
        <w:t xml:space="preserve"> IX. Fomentar la creación y desarrollo del mercado de derechos de uso del medio ambiente. </w:t>
      </w:r>
    </w:p>
    <w:p w14:paraId="1C0D6A3C" w14:textId="77777777" w:rsidR="0052674F" w:rsidRDefault="005056EA" w:rsidP="0052674F">
      <w:pPr>
        <w:pStyle w:val="Citas"/>
      </w:pPr>
      <w:r>
        <w:t xml:space="preserve">X. Desarrollar los mecanismos de regulación del mercado de derechos de uso del medio ambiente. </w:t>
      </w:r>
    </w:p>
    <w:p w14:paraId="310B3372" w14:textId="77777777" w:rsidR="0052674F" w:rsidRDefault="005056EA" w:rsidP="0052674F">
      <w:pPr>
        <w:pStyle w:val="Citas"/>
      </w:pPr>
      <w:r>
        <w:t xml:space="preserve">XI. Fijar, a través del indicador genérico de degradación ambiental que elabore el Instituto de Información e Investigación Geográfica, Estadística y Catastral del Estado de México, los topes de utilización de los derechos de uso del medio ambiente. </w:t>
      </w:r>
    </w:p>
    <w:p w14:paraId="3547E24F" w14:textId="77777777" w:rsidR="0052674F" w:rsidRDefault="005056EA" w:rsidP="0052674F">
      <w:pPr>
        <w:pStyle w:val="Citas"/>
      </w:pPr>
      <w:r>
        <w:t xml:space="preserve">XII. Determinar el valor económico de los derechos de uso del medio ambiente y de las penalizaciones en que incurran los agentes, cuidando en todo momento de establecer un mecanismo eficiente de incentivos y desincentivos que contribuya a la reducción de la tasa de degradación ambiental. </w:t>
      </w:r>
    </w:p>
    <w:p w14:paraId="22B1DFBD" w14:textId="77777777" w:rsidR="0052674F" w:rsidRDefault="005056EA" w:rsidP="0052674F">
      <w:pPr>
        <w:pStyle w:val="Citas"/>
      </w:pPr>
      <w:r>
        <w:t xml:space="preserve">XIII. Incentivar la participación e inversión de los agentes productivos en proyectos de recuperación ambiental. </w:t>
      </w:r>
    </w:p>
    <w:p w14:paraId="01B5038B" w14:textId="77777777" w:rsidR="0052674F" w:rsidRDefault="005056EA" w:rsidP="0052674F">
      <w:pPr>
        <w:pStyle w:val="Citas"/>
      </w:pPr>
      <w:r>
        <w:t xml:space="preserve">XIV. Promover la educación y la participación comunitaria, social y privada, para la preservación y restauración de los recursos naturales y la protección del ambiente. </w:t>
      </w:r>
    </w:p>
    <w:p w14:paraId="28B1FD45" w14:textId="77777777" w:rsidR="0052674F" w:rsidRDefault="005056EA" w:rsidP="0052674F">
      <w:pPr>
        <w:pStyle w:val="Citas"/>
      </w:pPr>
      <w:r>
        <w:lastRenderedPageBreak/>
        <w:t xml:space="preserve">XV. Aplicar la normatividad para el manejo y disposición final de los residuos industriales, así como para la construcción de los sistemas de tratamiento de aguas residuales. </w:t>
      </w:r>
    </w:p>
    <w:p w14:paraId="7FC3A7CA" w14:textId="77777777" w:rsidR="0052674F" w:rsidRDefault="005056EA" w:rsidP="0052674F">
      <w:pPr>
        <w:pStyle w:val="Citas"/>
      </w:pPr>
      <w:r>
        <w:t xml:space="preserve">XVI. Promover y ejecutar directamente o por terceros, la construcción y operación de instalaciones para el tratamiento de residuos industriales, desechos sólidos, tóxicos y aguas residuales. </w:t>
      </w:r>
    </w:p>
    <w:p w14:paraId="41AF2011" w14:textId="77777777" w:rsidR="0052674F" w:rsidRDefault="005056EA" w:rsidP="0052674F">
      <w:pPr>
        <w:pStyle w:val="Citas"/>
      </w:pPr>
      <w:r>
        <w:t xml:space="preserve">XVII. Concesionar la construcción, administración, operación y conservación de las instalaciones a que se refiere la fracción anterior. </w:t>
      </w:r>
    </w:p>
    <w:p w14:paraId="72D8DC6E" w14:textId="77777777" w:rsidR="0052674F" w:rsidRDefault="005056EA" w:rsidP="0052674F">
      <w:pPr>
        <w:pStyle w:val="Citas"/>
      </w:pPr>
      <w:r>
        <w:t xml:space="preserve">XVIII. Promover, coordinar y participar en acciones de protección, conservación, reforestación, fomento y vigilancia de los recursos forestales de la Entidad. </w:t>
      </w:r>
    </w:p>
    <w:p w14:paraId="3BF3D245" w14:textId="77777777" w:rsidR="0052674F" w:rsidRDefault="005056EA" w:rsidP="0052674F">
      <w:pPr>
        <w:pStyle w:val="Citas"/>
      </w:pPr>
      <w:r>
        <w:t xml:space="preserve">XIX. Regular y promover la protección de los recursos de fauna y flora silvestres en territorio del Estado. </w:t>
      </w:r>
    </w:p>
    <w:p w14:paraId="24DFD758" w14:textId="77777777" w:rsidR="0052674F" w:rsidRDefault="005056EA" w:rsidP="0052674F">
      <w:pPr>
        <w:pStyle w:val="Citas"/>
      </w:pPr>
      <w:r>
        <w:t xml:space="preserve">XX. Declarar las áreas naturales protegidas de interés Estatal. </w:t>
      </w:r>
    </w:p>
    <w:p w14:paraId="6E219A00" w14:textId="77777777" w:rsidR="0052674F" w:rsidRDefault="005056EA" w:rsidP="0052674F">
      <w:pPr>
        <w:pStyle w:val="Citas"/>
      </w:pPr>
      <w:r>
        <w:t xml:space="preserve">XXI. Fomentar, ejecutar y en su caso, operar parques y áreas verdes. </w:t>
      </w:r>
    </w:p>
    <w:p w14:paraId="075503EC" w14:textId="77777777" w:rsidR="0052674F" w:rsidRDefault="005056EA" w:rsidP="0052674F">
      <w:pPr>
        <w:pStyle w:val="Citas"/>
      </w:pPr>
      <w:r>
        <w:t>XXII. Administrar, vigilar y controlar los parques naturales que tenga a su cargo.</w:t>
      </w:r>
    </w:p>
    <w:p w14:paraId="622C7896" w14:textId="77777777" w:rsidR="0052674F" w:rsidRDefault="005056EA" w:rsidP="0052674F">
      <w:pPr>
        <w:pStyle w:val="Citas"/>
      </w:pPr>
      <w:r>
        <w:t xml:space="preserve"> XXIII. Promover y fomentar las investigaciones ecológicas. </w:t>
      </w:r>
    </w:p>
    <w:p w14:paraId="299E0B63" w14:textId="77777777" w:rsidR="0052674F" w:rsidRDefault="005056EA" w:rsidP="0052674F">
      <w:pPr>
        <w:pStyle w:val="Citas"/>
      </w:pPr>
      <w:r>
        <w:t xml:space="preserve">XXIV. Emitir dictámenes técnicos para cuantificar el daño causado al ambiente. </w:t>
      </w:r>
    </w:p>
    <w:p w14:paraId="1B3CC221" w14:textId="77777777" w:rsidR="0052674F" w:rsidRDefault="005056EA" w:rsidP="0052674F">
      <w:pPr>
        <w:pStyle w:val="Citas"/>
      </w:pPr>
      <w:r>
        <w:t xml:space="preserve">XXIV Bis. Emitir las evaluaciones técnicas de factibilidad de impacto ambiental y de transformación forestal, en términos del Código para la Biodiversidad del Estado de México, de la Ley de Competitividad y Ordenamiento Comercial del Estado de México y demás disposiciones jurídicas aplicables; </w:t>
      </w:r>
    </w:p>
    <w:p w14:paraId="0DE22827" w14:textId="77777777" w:rsidR="0052674F" w:rsidRDefault="005056EA" w:rsidP="0052674F">
      <w:pPr>
        <w:pStyle w:val="Citas"/>
      </w:pPr>
      <w:r>
        <w:lastRenderedPageBreak/>
        <w:t xml:space="preserve">XXV. Aplicar las sanciones previstas en las disposiciones legales de la materia y promover la aplicación de las que corresponda a otras autoridades. </w:t>
      </w:r>
    </w:p>
    <w:p w14:paraId="675595D8" w14:textId="77777777" w:rsidR="0052674F" w:rsidRDefault="005056EA" w:rsidP="0052674F">
      <w:pPr>
        <w:pStyle w:val="Citas"/>
      </w:pPr>
      <w:r>
        <w:t xml:space="preserve">XXVI. Determinar el uso restringido de la infraestructura vial; </w:t>
      </w:r>
    </w:p>
    <w:p w14:paraId="0296DAD7" w14:textId="34DADC5C" w:rsidR="005056EA" w:rsidRDefault="005056EA" w:rsidP="0052674F">
      <w:pPr>
        <w:pStyle w:val="Citas"/>
      </w:pPr>
      <w:r>
        <w:t>XXVII. Las demás que señalen las leyes y reglamentos vigentes en el Estado.</w:t>
      </w:r>
      <w:r w:rsidR="0052674F">
        <w:t xml:space="preserve">” </w:t>
      </w:r>
      <w:r w:rsidR="0052674F">
        <w:rPr>
          <w:b/>
        </w:rPr>
        <w:t>[Sic]</w:t>
      </w:r>
      <w:r>
        <w:t xml:space="preserve"> </w:t>
      </w:r>
    </w:p>
    <w:p w14:paraId="050CEBC9" w14:textId="77777777" w:rsidR="000B544F" w:rsidRDefault="000B544F" w:rsidP="00D84AEA">
      <w:pPr>
        <w:autoSpaceDE w:val="0"/>
        <w:autoSpaceDN w:val="0"/>
        <w:adjustRightInd w:val="0"/>
        <w:spacing w:before="240" w:line="360" w:lineRule="auto"/>
        <w:jc w:val="both"/>
        <w:rPr>
          <w:rFonts w:ascii="Palatino Linotype" w:hAnsi="Palatino Linotype"/>
          <w:bCs/>
          <w:sz w:val="24"/>
          <w:szCs w:val="24"/>
        </w:rPr>
      </w:pPr>
    </w:p>
    <w:p w14:paraId="78FC9511" w14:textId="564B1CAE" w:rsidR="001C4467" w:rsidRDefault="001C4467" w:rsidP="00D84AEA">
      <w:pPr>
        <w:autoSpaceDE w:val="0"/>
        <w:autoSpaceDN w:val="0"/>
        <w:adjustRightInd w:val="0"/>
        <w:spacing w:before="240" w:line="360" w:lineRule="auto"/>
        <w:jc w:val="both"/>
        <w:rPr>
          <w:rStyle w:val="Hipervnculo"/>
          <w:rFonts w:ascii="Palatino Linotype" w:hAnsi="Palatino Linotype"/>
          <w:sz w:val="24"/>
          <w:szCs w:val="24"/>
        </w:rPr>
      </w:pPr>
      <w:r>
        <w:rPr>
          <w:rFonts w:ascii="Palatino Linotype" w:hAnsi="Palatino Linotype"/>
          <w:bCs/>
          <w:sz w:val="24"/>
          <w:szCs w:val="24"/>
        </w:rPr>
        <w:t xml:space="preserve">Con base en lo anteriormente expuesto, se arriba a la premisa de que la información requerida por la particular no es susceptible de ser generada, poseída o administrada por </w:t>
      </w:r>
      <w:r>
        <w:rPr>
          <w:rFonts w:ascii="Palatino Linotype" w:hAnsi="Palatino Linotype"/>
          <w:b/>
          <w:bCs/>
          <w:sz w:val="24"/>
          <w:szCs w:val="24"/>
        </w:rPr>
        <w:t xml:space="preserve">El Sujeto Obligado. </w:t>
      </w:r>
      <w:r>
        <w:rPr>
          <w:rFonts w:ascii="Palatino Linotype" w:hAnsi="Palatino Linotype"/>
          <w:bCs/>
          <w:sz w:val="24"/>
          <w:szCs w:val="24"/>
        </w:rPr>
        <w:t xml:space="preserve">En este tenor, </w:t>
      </w:r>
      <w:r>
        <w:rPr>
          <w:rFonts w:ascii="Palatino Linotype" w:hAnsi="Palatino Linotype"/>
          <w:sz w:val="24"/>
          <w:szCs w:val="24"/>
        </w:rPr>
        <w:t xml:space="preserve">no resulta desapercibido para este Órgano Resolutor que el veintisiete de noviembre de dos mil diecisiete fue publicado en el </w:t>
      </w:r>
      <w:r w:rsidRPr="00B272A6">
        <w:rPr>
          <w:rFonts w:ascii="Palatino Linotype" w:hAnsi="Palatino Linotype" w:cs="Arial"/>
          <w:bCs/>
          <w:sz w:val="24"/>
          <w:szCs w:val="24"/>
          <w:lang w:val="es-ES"/>
        </w:rPr>
        <w:t>Periódico Oficial del Gobierno del Estado Libre y Soberano de México “Gaceta del Gobierno”</w:t>
      </w:r>
      <w:r>
        <w:rPr>
          <w:rFonts w:ascii="Palatino Linotype" w:hAnsi="Palatino Linotype" w:cs="Arial"/>
          <w:bCs/>
          <w:sz w:val="24"/>
          <w:szCs w:val="24"/>
          <w:lang w:val="es-ES"/>
        </w:rPr>
        <w:t xml:space="preserve"> el Acuerdo mediante el cual el Pleno del Instituto de Transparencia, Acceso a la Información Pública y Protección de Datos Personales del Estado de México y Municipios, modifica el padrón de sujetos obligados en materia de transparencia y acceso a la información pública del Estado de México y Municipios, mismo que puede ser consultado en la siguiente liga electrónica: </w:t>
      </w:r>
      <w:hyperlink r:id="rId8" w:history="1">
        <w:r w:rsidRPr="00074433">
          <w:rPr>
            <w:rStyle w:val="Hipervnculo"/>
            <w:rFonts w:ascii="Palatino Linotype" w:hAnsi="Palatino Linotype"/>
            <w:sz w:val="24"/>
            <w:szCs w:val="24"/>
          </w:rPr>
          <w:t>https://www.infoem.org.mx/doc/normatividad/A_Acuerdo_mediante_el_cual_el_Pleno_del_INFOEM_modifica_el_Padron_de_Sujetos_Obligados_en_materia_de_Transparencia_y.pdf</w:t>
        </w:r>
      </w:hyperlink>
    </w:p>
    <w:p w14:paraId="1A981648" w14:textId="0D27A4D6" w:rsidR="001C4467" w:rsidRDefault="001C4467" w:rsidP="00D84AEA">
      <w:pPr>
        <w:autoSpaceDE w:val="0"/>
        <w:autoSpaceDN w:val="0"/>
        <w:adjustRightInd w:val="0"/>
        <w:spacing w:before="240" w:line="360" w:lineRule="auto"/>
        <w:jc w:val="both"/>
        <w:rPr>
          <w:rStyle w:val="Hipervnculo"/>
          <w:rFonts w:ascii="Palatino Linotype" w:hAnsi="Palatino Linotype"/>
          <w:sz w:val="24"/>
          <w:szCs w:val="24"/>
        </w:rPr>
      </w:pPr>
    </w:p>
    <w:p w14:paraId="1D42726F" w14:textId="4775ABD7" w:rsidR="004F5301" w:rsidRPr="004F5301" w:rsidRDefault="004F5301" w:rsidP="00D84AEA">
      <w:pPr>
        <w:autoSpaceDE w:val="0"/>
        <w:autoSpaceDN w:val="0"/>
        <w:adjustRightInd w:val="0"/>
        <w:spacing w:before="240" w:line="360" w:lineRule="auto"/>
        <w:jc w:val="both"/>
        <w:rPr>
          <w:rStyle w:val="Hipervnculo"/>
          <w:rFonts w:ascii="Palatino Linotype" w:hAnsi="Palatino Linotype"/>
          <w:color w:val="auto"/>
          <w:sz w:val="24"/>
          <w:szCs w:val="24"/>
          <w:u w:val="none"/>
        </w:rPr>
      </w:pPr>
      <w:r w:rsidRPr="004F5301">
        <w:rPr>
          <w:rStyle w:val="Hipervnculo"/>
          <w:rFonts w:ascii="Palatino Linotype" w:hAnsi="Palatino Linotype"/>
          <w:color w:val="auto"/>
          <w:sz w:val="24"/>
          <w:szCs w:val="24"/>
          <w:u w:val="none"/>
        </w:rPr>
        <w:t xml:space="preserve">Resultando </w:t>
      </w:r>
      <w:r>
        <w:rPr>
          <w:rStyle w:val="Hipervnculo"/>
          <w:rFonts w:ascii="Palatino Linotype" w:hAnsi="Palatino Linotype"/>
          <w:color w:val="auto"/>
          <w:sz w:val="24"/>
          <w:szCs w:val="24"/>
          <w:u w:val="none"/>
        </w:rPr>
        <w:t>de nuestro interés las siguientes imágenes ilustrativas:</w:t>
      </w:r>
    </w:p>
    <w:p w14:paraId="579B7E2E" w14:textId="084E38F7" w:rsidR="001C4467" w:rsidRDefault="001B3F47" w:rsidP="00D84AEA">
      <w:pPr>
        <w:autoSpaceDE w:val="0"/>
        <w:autoSpaceDN w:val="0"/>
        <w:adjustRightInd w:val="0"/>
        <w:spacing w:before="240" w:line="360" w:lineRule="auto"/>
        <w:jc w:val="both"/>
        <w:rPr>
          <w:rStyle w:val="Hipervnculo"/>
          <w:rFonts w:ascii="Palatino Linotype" w:hAnsi="Palatino Linotype"/>
          <w:sz w:val="24"/>
          <w:szCs w:val="24"/>
        </w:rPr>
      </w:pPr>
      <w:r>
        <w:rPr>
          <w:rFonts w:ascii="Palatino Linotype" w:hAnsi="Palatino Linotype"/>
          <w:noProof/>
          <w:color w:val="0563C1" w:themeColor="hyperlink"/>
          <w:sz w:val="24"/>
          <w:szCs w:val="24"/>
          <w:u w:val="single"/>
          <w:lang w:eastAsia="es-MX"/>
        </w:rPr>
        <mc:AlternateContent>
          <mc:Choice Requires="wps">
            <w:drawing>
              <wp:anchor distT="0" distB="0" distL="114300" distR="114300" simplePos="0" relativeHeight="251732992" behindDoc="0" locked="0" layoutInCell="1" allowOverlap="1" wp14:anchorId="7CCCDCE3" wp14:editId="28E72A4C">
                <wp:simplePos x="0" y="0"/>
                <wp:positionH relativeFrom="column">
                  <wp:posOffset>-399821</wp:posOffset>
                </wp:positionH>
                <wp:positionV relativeFrom="paragraph">
                  <wp:posOffset>90881</wp:posOffset>
                </wp:positionV>
                <wp:extent cx="6597167" cy="409118"/>
                <wp:effectExtent l="0" t="0" r="32385" b="29210"/>
                <wp:wrapNone/>
                <wp:docPr id="21" name="Conector recto 21"/>
                <wp:cNvGraphicFramePr/>
                <a:graphic xmlns:a="http://schemas.openxmlformats.org/drawingml/2006/main">
                  <a:graphicData uri="http://schemas.microsoft.com/office/word/2010/wordprocessingShape">
                    <wps:wsp>
                      <wps:cNvCnPr/>
                      <wps:spPr>
                        <a:xfrm>
                          <a:off x="0" y="0"/>
                          <a:ext cx="6597167" cy="40911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FCA20D" id="Conector recto 21"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7.15pt" to="487.95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U9iugEAAMYDAAAOAAAAZHJzL2Uyb0RvYy54bWysU9uO0zAQfUfiHyy/0yTV0t2Nmu5DV/CC&#10;oOLyAV5n3FjyTWPTpH/P2GmzCJAQaF/s2HPOzJzjyfZhsoadAKP2ruPNquYMnPS9dseOf/v67s0d&#10;ZzEJ1wvjHXT8DJE/7F6/2o6hhbUfvOkBGSVxsR1Dx4eUQltVUQ5gRVz5AI6CyqMViY54rHoUI2W3&#10;plrX9aYaPfYBvYQY6fZxDvJdya8UyPRJqQiJmY5Tb6msWNanvFa7rWiPKMKg5aUN8R9dWKEdFV1S&#10;PYok2HfUv6WyWqKPXqWV9LbySmkJRQOpaepf1HwZRICihcyJYbEpvlxa+fF0QKb7jq8bzpyw9EZ7&#10;eimZPDLMG6MAuTSG2BJ47w54OcVwwCx5UmjzTmLYVJw9L87ClJiky83b+9tmc8uZpNhNfd80dzlp&#10;9cwOGNN78Jblj44b7bJy0YrTh5hm6BVCvNzNXL98pbOBDDbuMyhSQxWbwi5zBHuD7CRoAoSU4FLR&#10;Q6ULOtOUNmYh1n8nXvCZCmXG/oW8MEpl79JCttp5/FP1NF1bVjP+6sCsO1vw5PtzeZliDQ1LMfcy&#10;2Hkafz4X+vPvt/sBAAD//wMAUEsDBBQABgAIAAAAIQBN/WbS4gAAAAkBAAAPAAAAZHJzL2Rvd25y&#10;ZXYueG1sTI9BT8JAFITvJv6HzTPxBltBKdRuCSExIokhgAkel+6zrXbfNt2Fln/P86THyUxmvknn&#10;va3FGVtfOVLwMIxAIOXOVFQo+Ni/DKYgfNBkdO0IFVzQwzy7vUl1YlxHWzzvQiG4hHyiFZQhNImU&#10;Pi/Raj90DRJ7X661OrBsC2la3XG5reUoiibS6op4odQNLkvMf3Ynq+C9Xa2Wi/XlmzaftjuM1ofN&#10;W/+q1P1dv3gGEbAPf2H4xWd0yJjp6E5kvKgVDCZj/hLYeByD4MAsfpqBOCqIpzHILJX/H2RXAAAA&#10;//8DAFBLAQItABQABgAIAAAAIQC2gziS/gAAAOEBAAATAAAAAAAAAAAAAAAAAAAAAABbQ29udGVu&#10;dF9UeXBlc10ueG1sUEsBAi0AFAAGAAgAAAAhADj9If/WAAAAlAEAAAsAAAAAAAAAAAAAAAAALwEA&#10;AF9yZWxzLy5yZWxzUEsBAi0AFAAGAAgAAAAhAFy5T2K6AQAAxgMAAA4AAAAAAAAAAAAAAAAALgIA&#10;AGRycy9lMm9Eb2MueG1sUEsBAi0AFAAGAAgAAAAhAE39ZtLiAAAACQEAAA8AAAAAAAAAAAAAAAAA&#10;FAQAAGRycy9kb3ducmV2LnhtbFBLBQYAAAAABAAEAPMAAAAjBQAAAAA=&#10;" strokecolor="#5b9bd5 [3204]" strokeweight=".5pt">
                <v:stroke joinstyle="miter"/>
              </v:line>
            </w:pict>
          </mc:Fallback>
        </mc:AlternateContent>
      </w:r>
    </w:p>
    <w:p w14:paraId="03448321" w14:textId="3FCFD309" w:rsidR="001C4467" w:rsidRDefault="001B3F47" w:rsidP="00D84AEA">
      <w:pPr>
        <w:autoSpaceDE w:val="0"/>
        <w:autoSpaceDN w:val="0"/>
        <w:adjustRightInd w:val="0"/>
        <w:spacing w:before="240" w:line="360" w:lineRule="auto"/>
        <w:jc w:val="both"/>
        <w:rPr>
          <w:rStyle w:val="Hipervnculo"/>
          <w:rFonts w:ascii="Palatino Linotype" w:hAnsi="Palatino Linotype"/>
          <w:sz w:val="24"/>
          <w:szCs w:val="24"/>
        </w:rPr>
      </w:pPr>
      <w:r>
        <w:rPr>
          <w:rFonts w:ascii="Palatino Linotype" w:hAnsi="Palatino Linotype"/>
          <w:bCs/>
          <w:noProof/>
          <w:sz w:val="24"/>
          <w:szCs w:val="24"/>
          <w:lang w:eastAsia="es-MX"/>
        </w:rPr>
        <w:lastRenderedPageBreak/>
        <w:drawing>
          <wp:inline distT="0" distB="0" distL="0" distR="0" wp14:anchorId="22DFC5A8" wp14:editId="7DAE7925">
            <wp:extent cx="5759450" cy="7574280"/>
            <wp:effectExtent l="19050" t="19050" r="12700" b="266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7574280"/>
                    </a:xfrm>
                    <a:prstGeom prst="rect">
                      <a:avLst/>
                    </a:prstGeom>
                    <a:noFill/>
                    <a:ln>
                      <a:solidFill>
                        <a:schemeClr val="tx1"/>
                      </a:solidFill>
                    </a:ln>
                  </pic:spPr>
                </pic:pic>
              </a:graphicData>
            </a:graphic>
          </wp:inline>
        </w:drawing>
      </w:r>
    </w:p>
    <w:p w14:paraId="671B8683" w14:textId="3777DF42" w:rsidR="001C4467" w:rsidRDefault="001C4467" w:rsidP="00D84AEA">
      <w:pPr>
        <w:autoSpaceDE w:val="0"/>
        <w:autoSpaceDN w:val="0"/>
        <w:adjustRightInd w:val="0"/>
        <w:spacing w:before="240" w:line="360" w:lineRule="auto"/>
        <w:jc w:val="both"/>
        <w:rPr>
          <w:rFonts w:ascii="Palatino Linotype" w:hAnsi="Palatino Linotype"/>
          <w:bCs/>
          <w:sz w:val="24"/>
          <w:szCs w:val="24"/>
        </w:rPr>
      </w:pPr>
      <w:r>
        <w:rPr>
          <w:rFonts w:ascii="Palatino Linotype" w:hAnsi="Palatino Linotype"/>
          <w:bCs/>
          <w:noProof/>
          <w:sz w:val="24"/>
          <w:szCs w:val="24"/>
          <w:lang w:eastAsia="es-MX"/>
        </w:rPr>
        <w:lastRenderedPageBreak/>
        <w:drawing>
          <wp:inline distT="0" distB="0" distL="0" distR="0" wp14:anchorId="4682EBD4" wp14:editId="30C0BD2C">
            <wp:extent cx="5753100" cy="7419975"/>
            <wp:effectExtent l="19050" t="19050" r="19050" b="2857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7419975"/>
                    </a:xfrm>
                    <a:prstGeom prst="rect">
                      <a:avLst/>
                    </a:prstGeom>
                    <a:noFill/>
                    <a:ln>
                      <a:solidFill>
                        <a:schemeClr val="tx1"/>
                      </a:solidFill>
                    </a:ln>
                  </pic:spPr>
                </pic:pic>
              </a:graphicData>
            </a:graphic>
          </wp:inline>
        </w:drawing>
      </w:r>
    </w:p>
    <w:p w14:paraId="4F356149" w14:textId="07D6EF28" w:rsidR="001C4467" w:rsidRDefault="001C4467" w:rsidP="00D84AEA">
      <w:pPr>
        <w:autoSpaceDE w:val="0"/>
        <w:autoSpaceDN w:val="0"/>
        <w:adjustRightInd w:val="0"/>
        <w:spacing w:before="240" w:line="360" w:lineRule="auto"/>
        <w:jc w:val="both"/>
        <w:rPr>
          <w:rFonts w:ascii="Palatino Linotype" w:hAnsi="Palatino Linotype" w:cs="Arial"/>
          <w:bCs/>
          <w:sz w:val="24"/>
          <w:szCs w:val="24"/>
          <w:lang w:val="es-ES"/>
        </w:rPr>
      </w:pPr>
      <w:r>
        <w:rPr>
          <w:rFonts w:ascii="Palatino Linotype" w:hAnsi="Palatino Linotype" w:cs="Arial"/>
          <w:bCs/>
          <w:sz w:val="24"/>
          <w:szCs w:val="24"/>
          <w:lang w:val="es-ES"/>
        </w:rPr>
        <w:lastRenderedPageBreak/>
        <w:t xml:space="preserve">De ahí que deba arribarse a la conclusión de que la Secretaría de Medio Ambiente y la Secretaría de Finanzas, fungen como sujetos obligados diversos para efectos de transparencia. </w:t>
      </w:r>
    </w:p>
    <w:p w14:paraId="05463044" w14:textId="0B974425" w:rsidR="001C4467" w:rsidRDefault="001C4467" w:rsidP="001C4467">
      <w:pPr>
        <w:tabs>
          <w:tab w:val="left" w:pos="709"/>
        </w:tabs>
        <w:spacing w:before="240" w:line="360" w:lineRule="auto"/>
        <w:jc w:val="both"/>
        <w:rPr>
          <w:rFonts w:ascii="Palatino Linotype" w:hAnsi="Palatino Linotype" w:cs="Arial"/>
          <w:bCs/>
          <w:sz w:val="24"/>
          <w:szCs w:val="24"/>
          <w:lang w:val="es-ES"/>
        </w:rPr>
      </w:pPr>
      <w:r>
        <w:rPr>
          <w:rFonts w:ascii="Palatino Linotype" w:hAnsi="Palatino Linotype" w:cs="Arial"/>
          <w:bCs/>
          <w:sz w:val="24"/>
          <w:szCs w:val="24"/>
          <w:lang w:val="es-ES"/>
        </w:rPr>
        <w:t xml:space="preserve">Una vez sentado lo anterior, como se mencionó en el antecedente segundo, </w:t>
      </w:r>
      <w:r>
        <w:rPr>
          <w:rFonts w:ascii="Palatino Linotype" w:hAnsi="Palatino Linotype" w:cs="Arial"/>
          <w:b/>
          <w:bCs/>
          <w:sz w:val="24"/>
          <w:szCs w:val="24"/>
          <w:lang w:val="es-ES"/>
        </w:rPr>
        <w:t xml:space="preserve">El Sujeto Obligado </w:t>
      </w:r>
      <w:r>
        <w:rPr>
          <w:rFonts w:ascii="Palatino Linotype" w:hAnsi="Palatino Linotype" w:cs="Arial"/>
          <w:bCs/>
          <w:sz w:val="24"/>
          <w:szCs w:val="24"/>
          <w:lang w:val="es-ES"/>
        </w:rPr>
        <w:t xml:space="preserve">en fecha dieciocho de marzo del año en curso, rindió su respuesta a la solicitud de información </w:t>
      </w:r>
      <w:r>
        <w:rPr>
          <w:rFonts w:ascii="Palatino Linotype" w:hAnsi="Palatino Linotype" w:cs="Arial"/>
          <w:b/>
          <w:bCs/>
          <w:sz w:val="24"/>
          <w:szCs w:val="24"/>
          <w:lang w:val="es-ES"/>
        </w:rPr>
        <w:t xml:space="preserve">00068/SMA/IP/2021, </w:t>
      </w:r>
      <w:r>
        <w:rPr>
          <w:rFonts w:ascii="Palatino Linotype" w:hAnsi="Palatino Linotype" w:cs="Arial"/>
          <w:bCs/>
          <w:sz w:val="24"/>
          <w:szCs w:val="24"/>
          <w:lang w:val="es-ES"/>
        </w:rPr>
        <w:t>adjuntando para tal efecto lo siguiente:</w:t>
      </w:r>
    </w:p>
    <w:p w14:paraId="451DEEB9" w14:textId="6ADCD6F1" w:rsidR="001C4467" w:rsidRPr="004F5301" w:rsidRDefault="001C4467" w:rsidP="001C4467">
      <w:pPr>
        <w:pStyle w:val="Prrafodelista"/>
        <w:numPr>
          <w:ilvl w:val="0"/>
          <w:numId w:val="22"/>
        </w:numPr>
        <w:tabs>
          <w:tab w:val="left" w:pos="709"/>
        </w:tabs>
        <w:spacing w:before="240" w:line="360" w:lineRule="auto"/>
        <w:jc w:val="both"/>
        <w:rPr>
          <w:rFonts w:ascii="Palatino Linotype" w:hAnsi="Palatino Linotype" w:cs="Arial"/>
          <w:b/>
          <w:bCs/>
          <w:u w:val="single"/>
        </w:rPr>
      </w:pPr>
      <w:r>
        <w:rPr>
          <w:rFonts w:ascii="Palatino Linotype" w:hAnsi="Palatino Linotype" w:cs="Arial"/>
          <w:b/>
          <w:bCs/>
        </w:rPr>
        <w:t xml:space="preserve">“RESP SAIMEX 00066-2021 DGPCCA.pdf”: </w:t>
      </w:r>
      <w:r>
        <w:rPr>
          <w:rFonts w:ascii="Palatino Linotype" w:hAnsi="Palatino Linotype" w:cs="Arial"/>
          <w:bCs/>
        </w:rPr>
        <w:t>Oficio sin número emitido por la Dirección General de Prevención y Control de la Contaminación Atmosf</w:t>
      </w:r>
      <w:r w:rsidR="004F5301">
        <w:rPr>
          <w:rFonts w:ascii="Palatino Linotype" w:hAnsi="Palatino Linotype" w:cs="Arial"/>
          <w:bCs/>
        </w:rPr>
        <w:t>érica y dirigido</w:t>
      </w:r>
      <w:r>
        <w:rPr>
          <w:rFonts w:ascii="Palatino Linotype" w:hAnsi="Palatino Linotype" w:cs="Arial"/>
          <w:bCs/>
        </w:rPr>
        <w:t xml:space="preserve"> al Jefe de la Unidad de Información, Planeación, Programación y Evaluación, </w:t>
      </w:r>
      <w:r w:rsidRPr="004F5301">
        <w:rPr>
          <w:rFonts w:ascii="Palatino Linotype" w:hAnsi="Palatino Linotype" w:cs="Arial"/>
          <w:b/>
          <w:bCs/>
          <w:u w:val="single"/>
        </w:rPr>
        <w:t>en términos generales, expone diversos argumentos encauzados a dar contestación a la solicitud de información 00066/SMAIP/2021; de fecha cinco de marzo de dos mil veintiuno. (</w:t>
      </w:r>
      <w:r w:rsidR="007C5E10" w:rsidRPr="004F5301">
        <w:rPr>
          <w:rFonts w:ascii="Palatino Linotype" w:hAnsi="Palatino Linotype" w:cs="Arial"/>
          <w:b/>
          <w:bCs/>
          <w:u w:val="single"/>
        </w:rPr>
        <w:t xml:space="preserve">respuesta a solicitud de información diversa a la que nos ocupa en el caso en particular). </w:t>
      </w:r>
    </w:p>
    <w:p w14:paraId="1F240ABD" w14:textId="77777777" w:rsidR="001C4467" w:rsidRDefault="001C4467" w:rsidP="001C4467">
      <w:pPr>
        <w:tabs>
          <w:tab w:val="left" w:pos="709"/>
        </w:tabs>
        <w:spacing w:before="240" w:line="360" w:lineRule="auto"/>
        <w:jc w:val="both"/>
        <w:rPr>
          <w:rFonts w:ascii="Palatino Linotype" w:hAnsi="Palatino Linotype" w:cs="Arial"/>
          <w:bCs/>
          <w:sz w:val="24"/>
          <w:szCs w:val="24"/>
          <w:lang w:val="es-ES"/>
        </w:rPr>
      </w:pPr>
    </w:p>
    <w:p w14:paraId="284A5E29" w14:textId="7BFAE312" w:rsidR="007C5E10" w:rsidRPr="007C5E10" w:rsidRDefault="007C5E10" w:rsidP="001C4467">
      <w:pPr>
        <w:tabs>
          <w:tab w:val="left" w:pos="709"/>
        </w:tabs>
        <w:spacing w:before="240" w:line="360" w:lineRule="auto"/>
        <w:jc w:val="both"/>
        <w:rPr>
          <w:rFonts w:ascii="Palatino Linotype" w:hAnsi="Palatino Linotype" w:cs="Arial"/>
          <w:bCs/>
          <w:sz w:val="24"/>
          <w:szCs w:val="24"/>
          <w:lang w:val="es-ES"/>
        </w:rPr>
      </w:pPr>
      <w:r>
        <w:rPr>
          <w:rFonts w:ascii="Palatino Linotype" w:hAnsi="Palatino Linotype" w:cs="Arial"/>
          <w:bCs/>
          <w:sz w:val="24"/>
          <w:szCs w:val="24"/>
          <w:lang w:val="es-ES"/>
        </w:rPr>
        <w:t xml:space="preserve">En virtud de lo anterior, la respuesta del </w:t>
      </w:r>
      <w:r>
        <w:rPr>
          <w:rFonts w:ascii="Palatino Linotype" w:hAnsi="Palatino Linotype" w:cs="Arial"/>
          <w:b/>
          <w:bCs/>
          <w:sz w:val="24"/>
          <w:szCs w:val="24"/>
          <w:lang w:val="es-ES"/>
        </w:rPr>
        <w:t xml:space="preserve">Sujeto Obligado </w:t>
      </w:r>
      <w:r>
        <w:rPr>
          <w:rFonts w:ascii="Palatino Linotype" w:hAnsi="Palatino Linotype" w:cs="Arial"/>
          <w:bCs/>
          <w:sz w:val="24"/>
          <w:szCs w:val="24"/>
          <w:lang w:val="es-ES"/>
        </w:rPr>
        <w:t xml:space="preserve">es susceptible de actualizar la causal de procedencia inmersa en numeral 179, fracción VI de la Ley de Transparencia local, dispositivo jurídico que a la letra dispone lo siguiente: </w:t>
      </w:r>
    </w:p>
    <w:p w14:paraId="44BCA7D6" w14:textId="7D67EF92" w:rsidR="001C4467" w:rsidRDefault="007C5E10" w:rsidP="007C5E10">
      <w:pPr>
        <w:pStyle w:val="Citas"/>
      </w:pPr>
      <w:r>
        <w:t>“Artículo 179. El recurso de revisión es un medio de protección que la Ley otorga a los particulares, para hacer valer su derecho de acceso a la información pública, y procederá en contra de las siguientes causas:</w:t>
      </w:r>
    </w:p>
    <w:p w14:paraId="62E61D60" w14:textId="7394B113" w:rsidR="007C5E10" w:rsidRDefault="007C5E10" w:rsidP="007C5E10">
      <w:pPr>
        <w:pStyle w:val="Citas"/>
      </w:pPr>
      <w:r>
        <w:t>(…)</w:t>
      </w:r>
    </w:p>
    <w:p w14:paraId="2A5A2821" w14:textId="66685FDA" w:rsidR="007C5E10" w:rsidRPr="007C5E10" w:rsidRDefault="007C5E10" w:rsidP="007C5E10">
      <w:pPr>
        <w:pStyle w:val="Citas"/>
        <w:rPr>
          <w:b/>
          <w:u w:val="single"/>
        </w:rPr>
      </w:pPr>
      <w:r w:rsidRPr="007C5E10">
        <w:rPr>
          <w:b/>
          <w:u w:val="single"/>
        </w:rPr>
        <w:lastRenderedPageBreak/>
        <w:t>VI. La entrega de información que no corresponda con lo solicitado;</w:t>
      </w:r>
    </w:p>
    <w:p w14:paraId="4D3219CB" w14:textId="111A9B7A" w:rsidR="007C5E10" w:rsidRPr="007C5E10" w:rsidRDefault="007C5E10" w:rsidP="007C5E10">
      <w:pPr>
        <w:pStyle w:val="Citas"/>
        <w:rPr>
          <w:b/>
          <w:bCs/>
          <w:sz w:val="24"/>
          <w:szCs w:val="24"/>
          <w:lang w:val="es-ES"/>
        </w:rPr>
      </w:pPr>
      <w:r>
        <w:t xml:space="preserve">(…)” </w:t>
      </w:r>
      <w:r>
        <w:rPr>
          <w:b/>
        </w:rPr>
        <w:t>[Sic]</w:t>
      </w:r>
    </w:p>
    <w:p w14:paraId="147F98E8" w14:textId="77777777" w:rsidR="001C4467" w:rsidRDefault="001C4467" w:rsidP="001C4467">
      <w:pPr>
        <w:tabs>
          <w:tab w:val="left" w:pos="709"/>
        </w:tabs>
        <w:spacing w:before="240" w:line="360" w:lineRule="auto"/>
        <w:jc w:val="both"/>
        <w:rPr>
          <w:rFonts w:ascii="Palatino Linotype" w:hAnsi="Palatino Linotype" w:cs="Arial"/>
          <w:bCs/>
          <w:sz w:val="24"/>
          <w:szCs w:val="24"/>
          <w:lang w:val="es-ES"/>
        </w:rPr>
      </w:pPr>
    </w:p>
    <w:p w14:paraId="21B895AA" w14:textId="1532DBF0" w:rsidR="007C5E10" w:rsidRDefault="007C5E10" w:rsidP="007C5E10">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Inconforme con la respuesta rendida por </w:t>
      </w:r>
      <w:r>
        <w:rPr>
          <w:rFonts w:ascii="Palatino Linotype" w:hAnsi="Palatino Linotype"/>
          <w:b/>
          <w:sz w:val="24"/>
          <w:szCs w:val="24"/>
        </w:rPr>
        <w:t xml:space="preserve">El Sujeto Obligado, La Recurrente </w:t>
      </w:r>
      <w:r>
        <w:rPr>
          <w:rFonts w:ascii="Palatino Linotype" w:hAnsi="Palatino Linotype"/>
          <w:sz w:val="24"/>
          <w:szCs w:val="24"/>
        </w:rPr>
        <w:t>interpuso recurso de revisión en fecha dieciocho de marzo, admitiéndose el veinticuatro de marzo, ambos de dos mil veintiuno. Señalando como razones o motivos de inconformidad:</w:t>
      </w:r>
    </w:p>
    <w:p w14:paraId="5B2C3D8F" w14:textId="552B9D84" w:rsidR="007C5E10" w:rsidRPr="007C5E10" w:rsidRDefault="007C5E10" w:rsidP="007C5E10">
      <w:pPr>
        <w:pStyle w:val="Citas"/>
        <w:rPr>
          <w:b/>
          <w:sz w:val="24"/>
          <w:szCs w:val="24"/>
        </w:rPr>
      </w:pPr>
      <w:r>
        <w:t xml:space="preserve">“ESTAN ENTREGANDO INFORMACIÓN DIVERSA A LA SOLICITADA. HACEN REFERENCIA A UN DIFERENTE NUMERO DE FOLIO” </w:t>
      </w:r>
      <w:r>
        <w:rPr>
          <w:b/>
        </w:rPr>
        <w:t>[Sic]</w:t>
      </w:r>
    </w:p>
    <w:p w14:paraId="10E2FF31" w14:textId="77777777" w:rsidR="007C5E10" w:rsidRDefault="007C5E10" w:rsidP="007C5E10">
      <w:pPr>
        <w:tabs>
          <w:tab w:val="left" w:pos="709"/>
        </w:tabs>
        <w:spacing w:before="240" w:line="360" w:lineRule="auto"/>
        <w:ind w:right="51"/>
        <w:jc w:val="both"/>
        <w:rPr>
          <w:rFonts w:ascii="Palatino Linotype" w:hAnsi="Palatino Linotype"/>
          <w:sz w:val="24"/>
          <w:szCs w:val="24"/>
        </w:rPr>
      </w:pPr>
    </w:p>
    <w:p w14:paraId="74022631" w14:textId="77777777" w:rsidR="007C5E10" w:rsidRDefault="007C5E10" w:rsidP="007C5E10">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Ahora bien, como fue mencionado en el antecedente quinto, </w:t>
      </w:r>
      <w:r>
        <w:rPr>
          <w:rFonts w:ascii="Palatino Linotype" w:hAnsi="Palatino Linotype"/>
          <w:b/>
          <w:sz w:val="24"/>
          <w:szCs w:val="24"/>
        </w:rPr>
        <w:t xml:space="preserve">El Sujeto Obligado </w:t>
      </w:r>
      <w:r>
        <w:rPr>
          <w:rFonts w:ascii="Palatino Linotype" w:hAnsi="Palatino Linotype"/>
          <w:sz w:val="24"/>
          <w:szCs w:val="24"/>
        </w:rPr>
        <w:t>rindió su informe justificado, en los siguientes términos:</w:t>
      </w:r>
    </w:p>
    <w:p w14:paraId="48E04395" w14:textId="382A5387" w:rsidR="007C5E10" w:rsidRPr="007C5E10" w:rsidRDefault="007C5E10" w:rsidP="007C5E10">
      <w:pPr>
        <w:pStyle w:val="Prrafodelista"/>
        <w:numPr>
          <w:ilvl w:val="0"/>
          <w:numId w:val="23"/>
        </w:numPr>
        <w:tabs>
          <w:tab w:val="left" w:pos="709"/>
        </w:tabs>
        <w:spacing w:before="240" w:line="360" w:lineRule="auto"/>
        <w:ind w:right="51"/>
        <w:jc w:val="both"/>
        <w:rPr>
          <w:rFonts w:ascii="Palatino Linotype" w:hAnsi="Palatino Linotype"/>
        </w:rPr>
      </w:pPr>
      <w:r>
        <w:rPr>
          <w:rFonts w:ascii="Palatino Linotype" w:hAnsi="Palatino Linotype"/>
          <w:b/>
        </w:rPr>
        <w:t xml:space="preserve">“SAIMEX 00068 F DGPCCA.pdf”: </w:t>
      </w:r>
      <w:r>
        <w:rPr>
          <w:rFonts w:ascii="Palatino Linotype" w:hAnsi="Palatino Linotype"/>
        </w:rPr>
        <w:t xml:space="preserve">Oficio sin número emitido por la Dirección General de Prevención y Control de la Contaminación Atmosférica y dirigido al Jefe de la Unidad de Información, Planeación, Programación y Evaluación, </w:t>
      </w:r>
      <w:r w:rsidRPr="004F5301">
        <w:rPr>
          <w:rFonts w:ascii="Palatino Linotype" w:hAnsi="Palatino Linotype"/>
          <w:b/>
          <w:u w:val="single"/>
        </w:rPr>
        <w:t>en lo medular se comunica la notoria incompetencia del Sujeto Obligado, orientando a la particular a formular una nueva solicitud ante la Secretaría de Finanzas del Gobierno del Estado de México;</w:t>
      </w:r>
      <w:r>
        <w:rPr>
          <w:rFonts w:ascii="Palatino Linotype" w:hAnsi="Palatino Linotype"/>
        </w:rPr>
        <w:t xml:space="preserve"> de fecha cinco de marzo de dos mil veintiuno. </w:t>
      </w:r>
    </w:p>
    <w:p w14:paraId="50D2D8F9" w14:textId="420E6130" w:rsidR="007C5E10" w:rsidRDefault="007C5E10" w:rsidP="007C5E10">
      <w:pPr>
        <w:pStyle w:val="Prrafodelista"/>
        <w:numPr>
          <w:ilvl w:val="0"/>
          <w:numId w:val="23"/>
        </w:numPr>
        <w:tabs>
          <w:tab w:val="left" w:pos="709"/>
        </w:tabs>
        <w:spacing w:before="240" w:line="360" w:lineRule="auto"/>
        <w:ind w:right="51"/>
        <w:jc w:val="both"/>
        <w:rPr>
          <w:rFonts w:ascii="Palatino Linotype" w:hAnsi="Palatino Linotype"/>
        </w:rPr>
      </w:pPr>
      <w:r>
        <w:rPr>
          <w:rFonts w:ascii="Palatino Linotype" w:hAnsi="Palatino Linotype"/>
          <w:b/>
        </w:rPr>
        <w:t xml:space="preserve">“INFORME DE JUSTIFICACIÓN RR 01245 2021.pdf”: </w:t>
      </w:r>
      <w:r>
        <w:rPr>
          <w:rFonts w:ascii="Palatino Linotype" w:hAnsi="Palatino Linotype"/>
        </w:rPr>
        <w:t xml:space="preserve">Escrito libre consistente en una foja, en síntesis se menciona que por un </w:t>
      </w:r>
      <w:r w:rsidR="006536EF">
        <w:rPr>
          <w:rFonts w:ascii="Palatino Linotype" w:hAnsi="Palatino Linotype"/>
        </w:rPr>
        <w:t xml:space="preserve">error involuntario, </w:t>
      </w:r>
      <w:r w:rsidR="006536EF">
        <w:rPr>
          <w:rFonts w:ascii="Palatino Linotype" w:hAnsi="Palatino Linotype"/>
        </w:rPr>
        <w:lastRenderedPageBreak/>
        <w:t xml:space="preserve">en la respuesta primigenia, se adjuntó documento que corresponde a diversa solicitud de información. </w:t>
      </w:r>
    </w:p>
    <w:p w14:paraId="2A223254" w14:textId="77777777" w:rsidR="00BB1372" w:rsidRDefault="00BB1372" w:rsidP="00BB1372">
      <w:pPr>
        <w:tabs>
          <w:tab w:val="left" w:pos="709"/>
        </w:tabs>
        <w:spacing w:before="240" w:line="360" w:lineRule="auto"/>
        <w:ind w:right="51"/>
        <w:jc w:val="both"/>
        <w:rPr>
          <w:rFonts w:ascii="Palatino Linotype" w:hAnsi="Palatino Linotype"/>
        </w:rPr>
      </w:pPr>
    </w:p>
    <w:p w14:paraId="4A41CBD2" w14:textId="387D6C8C" w:rsidR="00BB1372" w:rsidRDefault="00BB1372" w:rsidP="00BB1372">
      <w:pPr>
        <w:tabs>
          <w:tab w:val="left" w:pos="709"/>
        </w:tabs>
        <w:spacing w:before="240" w:line="360" w:lineRule="auto"/>
        <w:jc w:val="both"/>
        <w:rPr>
          <w:rFonts w:ascii="Palatino Linotype" w:hAnsi="Palatino Linotype" w:cs="Arial"/>
          <w:bCs/>
          <w:sz w:val="24"/>
          <w:szCs w:val="24"/>
        </w:rPr>
      </w:pPr>
      <w:r>
        <w:rPr>
          <w:rFonts w:ascii="Palatino Linotype" w:hAnsi="Palatino Linotype" w:cs="Arial"/>
          <w:bCs/>
          <w:sz w:val="24"/>
          <w:szCs w:val="24"/>
        </w:rPr>
        <w:t xml:space="preserve">Hasta aquí lo expuesto se </w:t>
      </w:r>
      <w:r w:rsidR="004F5301">
        <w:rPr>
          <w:rFonts w:ascii="Palatino Linotype" w:hAnsi="Palatino Linotype" w:cs="Arial"/>
          <w:bCs/>
          <w:sz w:val="24"/>
          <w:szCs w:val="24"/>
        </w:rPr>
        <w:t>desprende</w:t>
      </w:r>
      <w:r>
        <w:rPr>
          <w:rFonts w:ascii="Palatino Linotype" w:hAnsi="Palatino Linotype" w:cs="Arial"/>
          <w:bCs/>
          <w:sz w:val="24"/>
          <w:szCs w:val="24"/>
        </w:rPr>
        <w:t xml:space="preserve"> las siguientes consideraciones: </w:t>
      </w:r>
    </w:p>
    <w:p w14:paraId="5935170C" w14:textId="37B2D911" w:rsidR="00BB1372" w:rsidRDefault="00BB1372" w:rsidP="00BB1372">
      <w:pPr>
        <w:pStyle w:val="Prrafodelista"/>
        <w:numPr>
          <w:ilvl w:val="0"/>
          <w:numId w:val="24"/>
        </w:numPr>
        <w:tabs>
          <w:tab w:val="left" w:pos="709"/>
        </w:tabs>
        <w:spacing w:before="240" w:line="360" w:lineRule="auto"/>
        <w:jc w:val="both"/>
        <w:rPr>
          <w:rFonts w:ascii="Palatino Linotype" w:hAnsi="Palatino Linotype" w:cs="Arial"/>
          <w:bCs/>
        </w:rPr>
      </w:pPr>
      <w:r>
        <w:rPr>
          <w:rFonts w:ascii="Palatino Linotype" w:hAnsi="Palatino Linotype" w:cs="Arial"/>
          <w:bCs/>
        </w:rPr>
        <w:t xml:space="preserve">A través del derecho de acceso a la información pública, fue requerido el o los documentos donde conste el trámite y autoridad competente  para solicitar una devolución por concepto de pago indebido de multa por verificación vehicular extemporánea. </w:t>
      </w:r>
    </w:p>
    <w:p w14:paraId="64C20671" w14:textId="77777777" w:rsidR="00BB1372" w:rsidRDefault="00BB1372" w:rsidP="00BB1372">
      <w:pPr>
        <w:pStyle w:val="Prrafodelista"/>
        <w:numPr>
          <w:ilvl w:val="0"/>
          <w:numId w:val="24"/>
        </w:numPr>
        <w:tabs>
          <w:tab w:val="left" w:pos="709"/>
        </w:tabs>
        <w:spacing w:before="240" w:line="360" w:lineRule="auto"/>
        <w:jc w:val="both"/>
        <w:rPr>
          <w:rFonts w:ascii="Palatino Linotype" w:hAnsi="Palatino Linotype" w:cs="Arial"/>
          <w:bCs/>
        </w:rPr>
      </w:pPr>
      <w:r>
        <w:rPr>
          <w:rFonts w:ascii="Palatino Linotype" w:hAnsi="Palatino Linotype" w:cs="Arial"/>
          <w:bCs/>
        </w:rPr>
        <w:t xml:space="preserve">Ante la notoria incompetencia, los sujetos obligados deberán de comunicarlo al solicitante </w:t>
      </w:r>
      <w:r w:rsidRPr="00224007">
        <w:rPr>
          <w:rFonts w:ascii="Palatino Linotype" w:hAnsi="Palatino Linotype" w:cs="Arial"/>
          <w:b/>
          <w:bCs/>
          <w:u w:val="single"/>
        </w:rPr>
        <w:t>dentro de los tres días hábiles posteriores a la recepción de la solicitud de acceso a la información pública</w:t>
      </w:r>
      <w:r>
        <w:rPr>
          <w:rFonts w:ascii="Palatino Linotype" w:hAnsi="Palatino Linotype" w:cs="Arial"/>
          <w:bCs/>
        </w:rPr>
        <w:t xml:space="preserve"> y en su caso, de manera potestativa orientar, el o los sujetos obligados competentes, lo anterior con fundamento en los </w:t>
      </w:r>
      <w:r>
        <w:rPr>
          <w:rFonts w:ascii="Palatino Linotype" w:hAnsi="Palatino Linotype"/>
        </w:rPr>
        <w:t xml:space="preserve">artículos 49 fracción II y 167 de la Ley de Transparencia y Acceso a la Información Pública del Estado de México y Municipios, normatividad invocada que señala a la literalidad lo siguiente: </w:t>
      </w:r>
    </w:p>
    <w:p w14:paraId="027E0A27" w14:textId="77777777" w:rsidR="00BB1372" w:rsidRPr="00517889" w:rsidRDefault="00BB1372" w:rsidP="00BB1372">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517889">
        <w:rPr>
          <w:rFonts w:ascii="Palatino Linotype" w:hAnsi="Palatino Linotype" w:cs="Arial"/>
          <w:b/>
          <w:bCs/>
          <w:i/>
          <w:sz w:val="22"/>
          <w:szCs w:val="22"/>
        </w:rPr>
        <w:t xml:space="preserve">“Artículo 49. </w:t>
      </w:r>
      <w:r w:rsidRPr="00517889">
        <w:rPr>
          <w:rFonts w:ascii="Palatino Linotype" w:hAnsi="Palatino Linotype" w:cs="Arial"/>
          <w:i/>
          <w:sz w:val="22"/>
          <w:szCs w:val="22"/>
        </w:rPr>
        <w:t>Los Comités de Transparencia tendrán las siguientes atribuciones:</w:t>
      </w:r>
    </w:p>
    <w:p w14:paraId="38581944" w14:textId="77777777" w:rsidR="00BB1372" w:rsidRPr="00517889" w:rsidRDefault="00BB1372" w:rsidP="00BB1372">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517889">
        <w:rPr>
          <w:rFonts w:ascii="Palatino Linotype" w:hAnsi="Palatino Linotype" w:cs="Arial"/>
          <w:b/>
          <w:bCs/>
          <w:i/>
          <w:sz w:val="22"/>
          <w:szCs w:val="22"/>
        </w:rPr>
        <w:t xml:space="preserve">I. </w:t>
      </w:r>
      <w:r w:rsidRPr="00517889">
        <w:rPr>
          <w:rFonts w:ascii="Palatino Linotype" w:hAnsi="Palatino Linotype" w:cs="Arial"/>
          <w:i/>
          <w:sz w:val="22"/>
          <w:szCs w:val="22"/>
        </w:rPr>
        <w:t>Instituir, coordinar y supervisar en términos de las disposiciones aplicables, las acciones, medidas y procedimientos que coadyuven a asegurar una mayor eficacia en la gestión y atención de las solicitudes en materia de acceso a la información;</w:t>
      </w:r>
    </w:p>
    <w:p w14:paraId="26CE07CB" w14:textId="77777777" w:rsidR="00BB1372" w:rsidRPr="00517889" w:rsidRDefault="00BB1372" w:rsidP="00BB1372">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u w:val="single"/>
        </w:rPr>
      </w:pPr>
      <w:r w:rsidRPr="00517889">
        <w:rPr>
          <w:rFonts w:ascii="Palatino Linotype" w:hAnsi="Palatino Linotype" w:cs="Arial"/>
          <w:b/>
          <w:bCs/>
          <w:i/>
          <w:sz w:val="22"/>
          <w:szCs w:val="22"/>
        </w:rPr>
        <w:t xml:space="preserve">II. </w:t>
      </w:r>
      <w:r w:rsidRPr="00517889">
        <w:rPr>
          <w:rFonts w:ascii="Palatino Linotype" w:hAnsi="Palatino Linotype" w:cs="Arial"/>
          <w:i/>
          <w:sz w:val="22"/>
          <w:szCs w:val="22"/>
        </w:rPr>
        <w:t xml:space="preserve">Confirmar, modificar o revocar las determinaciones que en materia de ampliación del plazo de respuesta, clasificación de la información y declaración de inexistencia </w:t>
      </w:r>
      <w:r w:rsidRPr="00517889">
        <w:rPr>
          <w:rFonts w:ascii="Palatino Linotype" w:hAnsi="Palatino Linotype" w:cs="Arial"/>
          <w:b/>
          <w:i/>
          <w:sz w:val="22"/>
          <w:szCs w:val="22"/>
          <w:u w:val="single"/>
        </w:rPr>
        <w:lastRenderedPageBreak/>
        <w:t>o de incompetencia realicen los titulares de las áreas de los sujetos obligados</w:t>
      </w:r>
      <w:r w:rsidRPr="00517889">
        <w:rPr>
          <w:rFonts w:ascii="Palatino Linotype" w:hAnsi="Palatino Linotype" w:cs="Arial"/>
          <w:i/>
          <w:sz w:val="22"/>
          <w:szCs w:val="22"/>
          <w:u w:val="single"/>
        </w:rPr>
        <w:t>;</w:t>
      </w:r>
    </w:p>
    <w:p w14:paraId="490DC92B" w14:textId="77777777" w:rsidR="00BB1372" w:rsidRPr="00517889" w:rsidRDefault="00BB1372" w:rsidP="00BB1372">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517889">
        <w:rPr>
          <w:rFonts w:ascii="Palatino Linotype" w:hAnsi="Palatino Linotype" w:cs="Arial"/>
          <w:b/>
          <w:bCs/>
          <w:i/>
          <w:sz w:val="22"/>
          <w:szCs w:val="22"/>
        </w:rPr>
        <w:t>(</w:t>
      </w:r>
      <w:r w:rsidRPr="00517889">
        <w:rPr>
          <w:rFonts w:ascii="Palatino Linotype" w:hAnsi="Palatino Linotype" w:cs="Arial"/>
          <w:i/>
          <w:sz w:val="22"/>
          <w:szCs w:val="22"/>
        </w:rPr>
        <w:t>…)</w:t>
      </w:r>
    </w:p>
    <w:p w14:paraId="30EB48F8" w14:textId="77777777" w:rsidR="00BB1372" w:rsidRPr="00517889" w:rsidRDefault="00BB1372" w:rsidP="00BB1372">
      <w:pPr>
        <w:pStyle w:val="Prrafodelista"/>
        <w:autoSpaceDE w:val="0"/>
        <w:autoSpaceDN w:val="0"/>
        <w:adjustRightInd w:val="0"/>
        <w:spacing w:before="240" w:after="160" w:line="360" w:lineRule="auto"/>
        <w:ind w:left="851" w:right="851"/>
        <w:jc w:val="both"/>
        <w:rPr>
          <w:rFonts w:ascii="Palatino Linotype" w:hAnsi="Palatino Linotype" w:cs="Arial"/>
          <w:b/>
          <w:i/>
          <w:sz w:val="22"/>
          <w:szCs w:val="22"/>
        </w:rPr>
      </w:pPr>
      <w:r w:rsidRPr="00517889">
        <w:rPr>
          <w:rFonts w:ascii="Palatino Linotype" w:hAnsi="Palatino Linotype"/>
          <w:b/>
          <w:bCs/>
          <w:i/>
          <w:sz w:val="22"/>
          <w:szCs w:val="22"/>
        </w:rPr>
        <w:t xml:space="preserve">Artículo 167. </w:t>
      </w:r>
      <w:r w:rsidRPr="00517889">
        <w:rPr>
          <w:rFonts w:ascii="Palatino Linotype" w:hAnsi="Palatino Linotype"/>
          <w:i/>
          <w:sz w:val="22"/>
          <w:szCs w:val="22"/>
        </w:rPr>
        <w:t xml:space="preserve">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w:t>
      </w:r>
      <w:r w:rsidRPr="00517889">
        <w:rPr>
          <w:rFonts w:ascii="Palatino Linotype" w:hAnsi="Palatino Linotype"/>
          <w:b/>
          <w:i/>
          <w:sz w:val="22"/>
          <w:szCs w:val="22"/>
          <w:u w:val="single"/>
        </w:rPr>
        <w:t xml:space="preserve">en su caso orientar al solicitante, el o los sujetos obligados competentes.” </w:t>
      </w:r>
      <w:r w:rsidRPr="00517889">
        <w:rPr>
          <w:rFonts w:ascii="Palatino Linotype" w:hAnsi="Palatino Linotype"/>
          <w:b/>
          <w:i/>
          <w:sz w:val="22"/>
          <w:szCs w:val="22"/>
        </w:rPr>
        <w:t>[Sic]</w:t>
      </w:r>
    </w:p>
    <w:p w14:paraId="4D5B1D79" w14:textId="316CEB94" w:rsidR="00BB1372" w:rsidRDefault="00BB1372" w:rsidP="00BB1372">
      <w:pPr>
        <w:pStyle w:val="Prrafodelista"/>
        <w:numPr>
          <w:ilvl w:val="0"/>
          <w:numId w:val="24"/>
        </w:numPr>
        <w:tabs>
          <w:tab w:val="left" w:pos="709"/>
        </w:tabs>
        <w:spacing w:before="240" w:line="360" w:lineRule="auto"/>
        <w:jc w:val="both"/>
        <w:rPr>
          <w:rFonts w:ascii="Palatino Linotype" w:hAnsi="Palatino Linotype" w:cs="Arial"/>
          <w:bCs/>
        </w:rPr>
      </w:pPr>
      <w:r>
        <w:rPr>
          <w:rFonts w:ascii="Palatino Linotype" w:hAnsi="Palatino Linotype" w:cs="Arial"/>
          <w:bCs/>
        </w:rPr>
        <w:t xml:space="preserve">Mediante respuesta primigenia, </w:t>
      </w:r>
      <w:r>
        <w:rPr>
          <w:rFonts w:ascii="Palatino Linotype" w:hAnsi="Palatino Linotype" w:cs="Arial"/>
          <w:b/>
          <w:bCs/>
        </w:rPr>
        <w:t xml:space="preserve">El Sujeto Obligado </w:t>
      </w:r>
      <w:r>
        <w:rPr>
          <w:rFonts w:ascii="Palatino Linotype" w:hAnsi="Palatino Linotype" w:cs="Arial"/>
          <w:bCs/>
        </w:rPr>
        <w:t xml:space="preserve">se limitó a remitir soporte documental que atiende una solicitud de información diversa a la formulada por la particular. </w:t>
      </w:r>
    </w:p>
    <w:p w14:paraId="1D033DFE" w14:textId="0C4EA146" w:rsidR="00BB1372" w:rsidRDefault="00BB1372" w:rsidP="00BB1372">
      <w:pPr>
        <w:pStyle w:val="Prrafodelista"/>
        <w:numPr>
          <w:ilvl w:val="0"/>
          <w:numId w:val="24"/>
        </w:numPr>
        <w:tabs>
          <w:tab w:val="left" w:pos="709"/>
        </w:tabs>
        <w:spacing w:before="240" w:line="360" w:lineRule="auto"/>
        <w:jc w:val="both"/>
        <w:rPr>
          <w:rFonts w:ascii="Palatino Linotype" w:hAnsi="Palatino Linotype" w:cs="Arial"/>
          <w:bCs/>
        </w:rPr>
      </w:pPr>
      <w:r>
        <w:rPr>
          <w:rFonts w:ascii="Palatino Linotype" w:hAnsi="Palatino Linotype" w:cs="Arial"/>
          <w:bCs/>
        </w:rPr>
        <w:t xml:space="preserve">Finalmente, mediante su informe justificado, </w:t>
      </w:r>
      <w:r>
        <w:rPr>
          <w:rFonts w:ascii="Palatino Linotype" w:hAnsi="Palatino Linotype" w:cs="Arial"/>
          <w:b/>
          <w:bCs/>
        </w:rPr>
        <w:t xml:space="preserve">El Sujeto Obligado </w:t>
      </w:r>
      <w:r>
        <w:rPr>
          <w:rFonts w:ascii="Palatino Linotype" w:hAnsi="Palatino Linotype" w:cs="Arial"/>
          <w:bCs/>
        </w:rPr>
        <w:t>d</w:t>
      </w:r>
      <w:r w:rsidR="00306678">
        <w:rPr>
          <w:rFonts w:ascii="Palatino Linotype" w:hAnsi="Palatino Linotype" w:cs="Arial"/>
          <w:bCs/>
        </w:rPr>
        <w:t>eclaró</w:t>
      </w:r>
      <w:r>
        <w:rPr>
          <w:rFonts w:ascii="Palatino Linotype" w:hAnsi="Palatino Linotype" w:cs="Arial"/>
          <w:bCs/>
        </w:rPr>
        <w:t xml:space="preserve"> la notoria incompetencia, no obstante lo anterior, ésta no fue aprobada por el Comité de Transparencia, en términos del numeral 49 de la Ley de T</w:t>
      </w:r>
      <w:r w:rsidR="00306678">
        <w:rPr>
          <w:rFonts w:ascii="Palatino Linotype" w:hAnsi="Palatino Linotype" w:cs="Arial"/>
          <w:bCs/>
        </w:rPr>
        <w:t xml:space="preserve">ransparencia local, cuyo contenido fue expuesto con antelación. </w:t>
      </w:r>
    </w:p>
    <w:p w14:paraId="12C71F96" w14:textId="77777777" w:rsidR="00BB1372" w:rsidRDefault="00BB1372" w:rsidP="00BB1372">
      <w:pPr>
        <w:tabs>
          <w:tab w:val="left" w:pos="709"/>
        </w:tabs>
        <w:spacing w:before="240" w:line="360" w:lineRule="auto"/>
        <w:jc w:val="both"/>
        <w:rPr>
          <w:rFonts w:ascii="Palatino Linotype" w:hAnsi="Palatino Linotype" w:cs="Arial"/>
          <w:bCs/>
        </w:rPr>
      </w:pPr>
    </w:p>
    <w:p w14:paraId="0B6697AF" w14:textId="73197BF6" w:rsidR="00BB1372" w:rsidRPr="00EF6971" w:rsidRDefault="00BB1372" w:rsidP="00BB1372">
      <w:pPr>
        <w:spacing w:before="240" w:line="360" w:lineRule="auto"/>
        <w:jc w:val="both"/>
        <w:rPr>
          <w:rFonts w:ascii="Palatino Linotype" w:hAnsi="Palatino Linotype"/>
          <w:sz w:val="24"/>
          <w:szCs w:val="24"/>
        </w:rPr>
      </w:pPr>
      <w:r w:rsidRPr="00EF6971">
        <w:rPr>
          <w:rFonts w:ascii="Palatino Linotype" w:hAnsi="Palatino Linotype" w:cs="Arial"/>
          <w:bCs/>
          <w:sz w:val="24"/>
          <w:szCs w:val="24"/>
        </w:rPr>
        <w:t xml:space="preserve">En ese contexto, </w:t>
      </w:r>
      <w:r w:rsidRPr="00EF6971">
        <w:rPr>
          <w:rFonts w:ascii="Palatino Linotype" w:hAnsi="Palatino Linotype"/>
          <w:sz w:val="24"/>
          <w:szCs w:val="24"/>
        </w:rPr>
        <w:t xml:space="preserve">resulta procedente ordenar al </w:t>
      </w:r>
      <w:r>
        <w:rPr>
          <w:rFonts w:ascii="Palatino Linotype" w:hAnsi="Palatino Linotype"/>
          <w:b/>
          <w:bCs/>
          <w:sz w:val="24"/>
          <w:szCs w:val="24"/>
        </w:rPr>
        <w:t>Sujeto Obligado</w:t>
      </w:r>
      <w:r w:rsidRPr="00EF6971">
        <w:rPr>
          <w:rFonts w:ascii="Palatino Linotype" w:hAnsi="Palatino Linotype"/>
          <w:b/>
          <w:bCs/>
          <w:sz w:val="24"/>
          <w:szCs w:val="24"/>
        </w:rPr>
        <w:t xml:space="preserve"> </w:t>
      </w:r>
      <w:r w:rsidRPr="00EF6971">
        <w:rPr>
          <w:rFonts w:ascii="Palatino Linotype" w:hAnsi="Palatino Linotype"/>
          <w:sz w:val="24"/>
          <w:szCs w:val="24"/>
        </w:rPr>
        <w:t>haga entrega</w:t>
      </w:r>
      <w:r>
        <w:rPr>
          <w:rFonts w:ascii="Palatino Linotype" w:hAnsi="Palatino Linotype"/>
          <w:sz w:val="24"/>
          <w:szCs w:val="24"/>
        </w:rPr>
        <w:t xml:space="preserve"> a </w:t>
      </w:r>
      <w:r>
        <w:rPr>
          <w:rFonts w:ascii="Palatino Linotype" w:hAnsi="Palatino Linotype"/>
          <w:b/>
          <w:sz w:val="24"/>
          <w:szCs w:val="24"/>
        </w:rPr>
        <w:t xml:space="preserve">La Recurrente, </w:t>
      </w:r>
      <w:r w:rsidRPr="00EF6971">
        <w:rPr>
          <w:rFonts w:ascii="Palatino Linotype" w:hAnsi="Palatino Linotype"/>
          <w:bCs/>
          <w:sz w:val="24"/>
          <w:szCs w:val="24"/>
        </w:rPr>
        <w:t xml:space="preserve">del </w:t>
      </w:r>
      <w:r w:rsidRPr="00EF6971">
        <w:rPr>
          <w:rFonts w:ascii="Palatino Linotype" w:hAnsi="Palatino Linotype"/>
          <w:sz w:val="24"/>
          <w:szCs w:val="24"/>
        </w:rPr>
        <w:t>Acuerdo que emita el Comité de Transparencia en el que se confirme la declaración de incompetencia respecto de la información solicitada; asimismo, s</w:t>
      </w:r>
      <w:r>
        <w:rPr>
          <w:rFonts w:ascii="Palatino Linotype" w:hAnsi="Palatino Linotype"/>
          <w:sz w:val="24"/>
          <w:szCs w:val="24"/>
        </w:rPr>
        <w:t xml:space="preserve">e dejan a salvo los derechos de </w:t>
      </w:r>
      <w:r>
        <w:rPr>
          <w:rFonts w:ascii="Palatino Linotype" w:hAnsi="Palatino Linotype"/>
          <w:b/>
          <w:sz w:val="24"/>
          <w:szCs w:val="24"/>
        </w:rPr>
        <w:t>La</w:t>
      </w:r>
      <w:r w:rsidRPr="00EF6971">
        <w:rPr>
          <w:rFonts w:ascii="Palatino Linotype" w:hAnsi="Palatino Linotype"/>
          <w:b/>
          <w:sz w:val="24"/>
          <w:szCs w:val="24"/>
        </w:rPr>
        <w:t xml:space="preserve"> Recurrente </w:t>
      </w:r>
      <w:r w:rsidRPr="00EF6971">
        <w:rPr>
          <w:rFonts w:ascii="Palatino Linotype" w:hAnsi="Palatino Linotype"/>
          <w:sz w:val="24"/>
          <w:szCs w:val="24"/>
        </w:rPr>
        <w:t xml:space="preserve">para que formule una nueva solicitud de información ante </w:t>
      </w:r>
      <w:r w:rsidRPr="00EF6971">
        <w:rPr>
          <w:rFonts w:ascii="Palatino Linotype" w:hAnsi="Palatino Linotype"/>
          <w:b/>
          <w:sz w:val="24"/>
          <w:szCs w:val="24"/>
        </w:rPr>
        <w:t xml:space="preserve">El Sujeto Obligado </w:t>
      </w:r>
      <w:r w:rsidRPr="00EF6971">
        <w:rPr>
          <w:rFonts w:ascii="Palatino Linotype" w:hAnsi="Palatino Linotype"/>
          <w:sz w:val="24"/>
          <w:szCs w:val="24"/>
        </w:rPr>
        <w:t xml:space="preserve">competente. </w:t>
      </w:r>
    </w:p>
    <w:p w14:paraId="0198F4C7" w14:textId="6F15711E" w:rsidR="00BB1372" w:rsidRPr="000F5B7E" w:rsidRDefault="00BB1372" w:rsidP="00BB1372">
      <w:pPr>
        <w:spacing w:after="0" w:line="360" w:lineRule="auto"/>
        <w:jc w:val="both"/>
        <w:rPr>
          <w:rFonts w:ascii="Palatino Linotype" w:eastAsia="Times New Roman" w:hAnsi="Palatino Linotype" w:cs="Times New Roman"/>
          <w:sz w:val="24"/>
          <w:szCs w:val="24"/>
          <w:lang w:eastAsia="es-ES"/>
        </w:rPr>
      </w:pPr>
      <w:r w:rsidRPr="00BB1372">
        <w:rPr>
          <w:rFonts w:ascii="Palatino Linotype" w:hAnsi="Palatino Linotype" w:cs="Arial"/>
          <w:bCs/>
        </w:rPr>
        <w:lastRenderedPageBreak/>
        <w:t xml:space="preserve"> </w:t>
      </w:r>
      <w:r w:rsidRPr="000F5B7E">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Pr>
          <w:rFonts w:ascii="Palatino Linotype" w:eastAsia="Times New Roman" w:hAnsi="Palatino Linotype" w:cs="Times New Roman"/>
          <w:b/>
          <w:bCs/>
          <w:sz w:val="24"/>
          <w:szCs w:val="24"/>
          <w:lang w:eastAsia="es-ES"/>
        </w:rPr>
        <w:t>La</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3B3A02">
        <w:rPr>
          <w:rFonts w:ascii="Palatino Linotype" w:eastAsia="Times New Roman" w:hAnsi="Palatino Linotype" w:cs="Arial"/>
          <w:b/>
          <w:bCs/>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III,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0F5B7E">
        <w:rPr>
          <w:rFonts w:ascii="Palatino Linotype" w:eastAsia="Times New Roman" w:hAnsi="Palatino Linotype" w:cs="Arial"/>
          <w:b/>
          <w:sz w:val="24"/>
          <w:szCs w:val="24"/>
          <w:lang w:eastAsia="es-ES"/>
        </w:rPr>
        <w:t xml:space="preserve">REVOCA </w:t>
      </w:r>
      <w:r w:rsidRPr="000F5B7E">
        <w:rPr>
          <w:rFonts w:ascii="Palatino Linotype" w:eastAsia="Times New Roman" w:hAnsi="Palatino Linotype" w:cs="Arial"/>
          <w:sz w:val="24"/>
          <w:szCs w:val="24"/>
          <w:lang w:eastAsia="es-ES"/>
        </w:rPr>
        <w:t>la respuesta a la solicitud de información número</w:t>
      </w:r>
      <w:r w:rsidRPr="000F5B7E">
        <w:rPr>
          <w:rFonts w:ascii="Palatino Linotype" w:eastAsia="Times New Roman" w:hAnsi="Palatino Linotype" w:cs="Times New Roman"/>
          <w:b/>
          <w:sz w:val="24"/>
          <w:szCs w:val="24"/>
          <w:lang w:eastAsia="es-ES"/>
        </w:rPr>
        <w:t xml:space="preserve"> </w:t>
      </w:r>
      <w:r>
        <w:rPr>
          <w:rFonts w:ascii="Palatino Linotype" w:hAnsi="Palatino Linotype" w:cs="Arial"/>
          <w:b/>
          <w:sz w:val="24"/>
          <w:szCs w:val="24"/>
        </w:rPr>
        <w:t>00068/SMA/IP/2021</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Times New Roman"/>
          <w:sz w:val="24"/>
          <w:szCs w:val="24"/>
          <w:lang w:eastAsia="es-ES"/>
        </w:rPr>
        <w:t>que ha sido materia del presente fallo.</w:t>
      </w:r>
    </w:p>
    <w:p w14:paraId="63F3372E" w14:textId="77777777" w:rsidR="00BB1372" w:rsidRDefault="00BB1372" w:rsidP="00BB1372">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0498C518" w14:textId="77777777" w:rsidR="00BB1372" w:rsidRDefault="00BB1372" w:rsidP="00BB1372">
      <w:pPr>
        <w:spacing w:after="0" w:line="360" w:lineRule="auto"/>
        <w:jc w:val="both"/>
        <w:rPr>
          <w:rFonts w:ascii="Palatino Linotype" w:eastAsia="Times New Roman" w:hAnsi="Palatino Linotype" w:cs="Times New Roman"/>
          <w:sz w:val="24"/>
          <w:szCs w:val="24"/>
          <w:lang w:eastAsia="es-ES"/>
        </w:rPr>
      </w:pPr>
    </w:p>
    <w:p w14:paraId="73CDDF71" w14:textId="77777777" w:rsidR="00BB1372" w:rsidRPr="000F5B7E" w:rsidRDefault="00BB1372" w:rsidP="00BB1372">
      <w:pPr>
        <w:spacing w:after="0" w:line="360" w:lineRule="auto"/>
        <w:jc w:val="center"/>
        <w:rPr>
          <w:rFonts w:ascii="Palatino Linotype" w:eastAsia="Times New Roman" w:hAnsi="Palatino Linotype" w:cs="Times New Roman"/>
          <w:b/>
          <w:bCs/>
          <w:spacing w:val="60"/>
          <w:sz w:val="28"/>
          <w:szCs w:val="28"/>
          <w:lang w:eastAsia="es-ES"/>
        </w:rPr>
      </w:pPr>
      <w:r>
        <w:rPr>
          <w:rFonts w:ascii="Palatino Linotype" w:eastAsia="Times New Roman" w:hAnsi="Palatino Linotype" w:cs="Times New Roman"/>
          <w:b/>
          <w:bCs/>
          <w:spacing w:val="60"/>
          <w:sz w:val="28"/>
          <w:szCs w:val="28"/>
          <w:lang w:eastAsia="es-ES"/>
        </w:rPr>
        <w:t xml:space="preserve">SE </w:t>
      </w:r>
      <w:r w:rsidRPr="000F5B7E">
        <w:rPr>
          <w:rFonts w:ascii="Palatino Linotype" w:eastAsia="Times New Roman" w:hAnsi="Palatino Linotype" w:cs="Times New Roman"/>
          <w:b/>
          <w:bCs/>
          <w:spacing w:val="60"/>
          <w:sz w:val="28"/>
          <w:szCs w:val="28"/>
          <w:lang w:eastAsia="es-ES"/>
        </w:rPr>
        <w:t xml:space="preserve"> RESUELVE</w:t>
      </w:r>
    </w:p>
    <w:p w14:paraId="3C01D4F5" w14:textId="77777777" w:rsidR="00BB1372" w:rsidRPr="000F5B7E" w:rsidRDefault="00BB1372" w:rsidP="00BB1372">
      <w:pPr>
        <w:spacing w:after="0" w:line="360" w:lineRule="auto"/>
        <w:jc w:val="center"/>
        <w:rPr>
          <w:rFonts w:ascii="Palatino Linotype" w:eastAsia="Times New Roman" w:hAnsi="Palatino Linotype" w:cs="Times New Roman"/>
          <w:b/>
          <w:bCs/>
          <w:spacing w:val="60"/>
          <w:sz w:val="12"/>
          <w:szCs w:val="24"/>
        </w:rPr>
      </w:pPr>
    </w:p>
    <w:p w14:paraId="2D538BDA" w14:textId="29AF4869" w:rsidR="00BB1372" w:rsidRPr="000F5B7E" w:rsidRDefault="00BB1372" w:rsidP="00BB1372">
      <w:pPr>
        <w:spacing w:after="0" w:line="360" w:lineRule="auto"/>
        <w:jc w:val="both"/>
        <w:rPr>
          <w:rFonts w:ascii="Palatino Linotype" w:eastAsia="Times New Roman" w:hAnsi="Palatino Linotype" w:cs="Arial"/>
          <w:sz w:val="24"/>
          <w:szCs w:val="24"/>
          <w:lang w:eastAsia="es-ES"/>
        </w:rPr>
      </w:pPr>
      <w:r w:rsidRPr="000F5B7E">
        <w:rPr>
          <w:rFonts w:ascii="Palatino Linotype" w:eastAsia="Times New Roman" w:hAnsi="Palatino Linotype" w:cs="Arial"/>
          <w:b/>
          <w:sz w:val="26"/>
          <w:szCs w:val="26"/>
          <w:lang w:eastAsia="es-ES"/>
        </w:rPr>
        <w:t>PRIMERO.</w:t>
      </w:r>
      <w:r w:rsidRPr="000F5B7E">
        <w:rPr>
          <w:rFonts w:ascii="Palatino Linotype" w:eastAsia="Times New Roman" w:hAnsi="Palatino Linotype" w:cs="Arial"/>
          <w:sz w:val="24"/>
          <w:szCs w:val="24"/>
          <w:lang w:eastAsia="es-ES"/>
        </w:rPr>
        <w:t xml:space="preserve"> Se </w:t>
      </w:r>
      <w:r w:rsidRPr="000F5B7E">
        <w:rPr>
          <w:rFonts w:ascii="Palatino Linotype" w:eastAsia="Times New Roman" w:hAnsi="Palatino Linotype" w:cs="Arial"/>
          <w:b/>
          <w:sz w:val="24"/>
          <w:szCs w:val="24"/>
          <w:lang w:eastAsia="es-ES"/>
        </w:rPr>
        <w:t>REVOCA</w:t>
      </w:r>
      <w:r w:rsidRPr="000F5B7E">
        <w:rPr>
          <w:rFonts w:ascii="Palatino Linotype" w:eastAsia="Times New Roman" w:hAnsi="Palatino Linotype" w:cs="Arial"/>
          <w:sz w:val="24"/>
          <w:szCs w:val="24"/>
          <w:lang w:eastAsia="es-ES"/>
        </w:rPr>
        <w:t xml:space="preserve"> </w:t>
      </w:r>
      <w:r>
        <w:rPr>
          <w:rFonts w:ascii="Palatino Linotype" w:eastAsia="Arial Unicode MS" w:hAnsi="Palatino Linotype" w:cs="Arial"/>
          <w:sz w:val="24"/>
          <w:szCs w:val="24"/>
          <w:lang w:eastAsia="es-ES"/>
        </w:rPr>
        <w:t>la respuesta entregada por el</w:t>
      </w:r>
      <w:r w:rsidRPr="000F5B7E">
        <w:rPr>
          <w:rFonts w:ascii="Palatino Linotype" w:eastAsia="Arial Unicode MS" w:hAnsi="Palatino Linotype" w:cs="Arial"/>
          <w:b/>
          <w:sz w:val="24"/>
          <w:szCs w:val="24"/>
          <w:lang w:eastAsia="es-ES"/>
        </w:rPr>
        <w:t xml:space="preserve"> </w:t>
      </w:r>
      <w:r w:rsidR="00306678" w:rsidRPr="000F5B7E">
        <w:rPr>
          <w:rFonts w:ascii="Palatino Linotype" w:eastAsia="Arial Unicode MS" w:hAnsi="Palatino Linotype" w:cs="Arial"/>
          <w:b/>
          <w:sz w:val="24"/>
          <w:szCs w:val="24"/>
          <w:lang w:eastAsia="es-ES"/>
        </w:rPr>
        <w:t xml:space="preserve">SUJETO OBLIGADO </w:t>
      </w:r>
      <w:r w:rsidRPr="000F5B7E">
        <w:rPr>
          <w:rFonts w:ascii="Palatino Linotype" w:eastAsia="Arial Unicode MS" w:hAnsi="Palatino Linotype" w:cs="Arial"/>
          <w:sz w:val="24"/>
          <w:szCs w:val="24"/>
          <w:lang w:eastAsia="es-ES"/>
        </w:rPr>
        <w:t xml:space="preserve">a la solicitud de información número </w:t>
      </w:r>
      <w:r>
        <w:rPr>
          <w:rFonts w:ascii="Palatino Linotype" w:hAnsi="Palatino Linotype" w:cs="Arial"/>
          <w:b/>
          <w:sz w:val="24"/>
          <w:szCs w:val="24"/>
        </w:rPr>
        <w:t>00068/SMA/IP/2021</w:t>
      </w:r>
      <w:r w:rsidRPr="000F5B7E">
        <w:rPr>
          <w:rFonts w:ascii="Palatino Linotype" w:eastAsia="Arial Unicode MS" w:hAnsi="Palatino Linotype" w:cs="Arial"/>
          <w:sz w:val="24"/>
          <w:szCs w:val="24"/>
          <w:lang w:eastAsia="es-ES"/>
        </w:rPr>
        <w:t xml:space="preserve">, por resultar fundados los motivos de inconformidad que arguye </w:t>
      </w:r>
      <w:r w:rsidR="00306678">
        <w:rPr>
          <w:rFonts w:ascii="Palatino Linotype" w:eastAsia="Arial Unicode MS" w:hAnsi="Palatino Linotype" w:cs="Arial"/>
          <w:b/>
          <w:bCs/>
          <w:sz w:val="24"/>
          <w:szCs w:val="24"/>
          <w:lang w:eastAsia="es-ES"/>
        </w:rPr>
        <w:t>LA</w:t>
      </w:r>
      <w:r w:rsidR="00306678" w:rsidRPr="000F5B7E">
        <w:rPr>
          <w:rFonts w:ascii="Palatino Linotype" w:eastAsia="Arial Unicode MS" w:hAnsi="Palatino Linotype" w:cs="Arial"/>
          <w:b/>
          <w:sz w:val="24"/>
          <w:szCs w:val="24"/>
          <w:lang w:eastAsia="es-ES"/>
        </w:rPr>
        <w:t xml:space="preserve"> RECURRENTE</w:t>
      </w:r>
      <w:r w:rsidR="00306678" w:rsidRPr="000F5B7E">
        <w:rPr>
          <w:rFonts w:ascii="Palatino Linotype" w:eastAsia="Arial Unicode MS" w:hAnsi="Palatino Linotype" w:cs="Arial"/>
          <w:sz w:val="24"/>
          <w:szCs w:val="24"/>
          <w:lang w:eastAsia="es-ES"/>
        </w:rPr>
        <w:t xml:space="preserve">, </w:t>
      </w:r>
      <w:r w:rsidRPr="000F5B7E">
        <w:rPr>
          <w:rFonts w:ascii="Palatino Linotype" w:eastAsia="Arial Unicode MS" w:hAnsi="Palatino Linotype" w:cs="Arial"/>
          <w:sz w:val="24"/>
          <w:szCs w:val="24"/>
          <w:lang w:eastAsia="es-ES"/>
        </w:rPr>
        <w:t>en términos del</w:t>
      </w:r>
      <w:r w:rsidRPr="000F5B7E">
        <w:rPr>
          <w:rFonts w:ascii="Palatino Linotype" w:eastAsia="Arial Unicode MS" w:hAnsi="Palatino Linotype" w:cs="Arial"/>
          <w:b/>
          <w:sz w:val="24"/>
          <w:szCs w:val="24"/>
          <w:lang w:eastAsia="es-ES"/>
        </w:rPr>
        <w:t xml:space="preserve"> </w:t>
      </w:r>
      <w:r w:rsidRPr="000F5B7E">
        <w:rPr>
          <w:rFonts w:ascii="Palatino Linotype" w:eastAsia="Times New Roman" w:hAnsi="Palatino Linotype" w:cs="Arial"/>
          <w:sz w:val="24"/>
          <w:szCs w:val="24"/>
          <w:lang w:eastAsia="es-ES"/>
        </w:rPr>
        <w:t>Considerando</w:t>
      </w:r>
      <w:r w:rsidRPr="000F5B7E">
        <w:rPr>
          <w:rFonts w:ascii="Palatino Linotype" w:eastAsia="Times New Roman" w:hAnsi="Palatino Linotype" w:cs="Arial"/>
          <w:b/>
          <w:sz w:val="24"/>
          <w:szCs w:val="24"/>
          <w:lang w:eastAsia="es-ES"/>
        </w:rPr>
        <w:t xml:space="preserve"> </w:t>
      </w:r>
      <w:r>
        <w:rPr>
          <w:rFonts w:ascii="Palatino Linotype" w:eastAsia="Times New Roman" w:hAnsi="Palatino Linotype" w:cs="Arial"/>
          <w:b/>
          <w:sz w:val="24"/>
          <w:szCs w:val="24"/>
          <w:lang w:eastAsia="es-ES"/>
        </w:rPr>
        <w:t>CUARTO</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presente resolución.</w:t>
      </w:r>
    </w:p>
    <w:p w14:paraId="792903A8" w14:textId="77777777" w:rsidR="00BB1372" w:rsidRPr="000F5B7E" w:rsidRDefault="00BB1372" w:rsidP="00BB1372">
      <w:pPr>
        <w:spacing w:after="0" w:line="360" w:lineRule="auto"/>
        <w:jc w:val="both"/>
        <w:rPr>
          <w:rFonts w:ascii="Palatino Linotype" w:eastAsia="Times New Roman" w:hAnsi="Palatino Linotype" w:cs="Arial"/>
          <w:sz w:val="24"/>
          <w:szCs w:val="24"/>
          <w:lang w:eastAsia="es-ES"/>
        </w:rPr>
      </w:pPr>
    </w:p>
    <w:p w14:paraId="357E3F97" w14:textId="2140B2DF" w:rsidR="00BB1372" w:rsidRDefault="00BB1372" w:rsidP="00BB1372">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Pr>
          <w:rFonts w:ascii="Palatino Linotype" w:hAnsi="Palatino Linotype" w:cs="Arial"/>
          <w:sz w:val="24"/>
          <w:szCs w:val="24"/>
        </w:rPr>
        <w:t xml:space="preserve"> </w:t>
      </w:r>
      <w:r w:rsidR="000858F7" w:rsidRPr="001C7462">
        <w:rPr>
          <w:rFonts w:ascii="Palatino Linotype" w:hAnsi="Palatino Linotype" w:cs="Arial"/>
        </w:rPr>
        <w:t>haga entrega a</w:t>
      </w:r>
      <w:r w:rsidR="000858F7">
        <w:rPr>
          <w:rFonts w:ascii="Palatino Linotype" w:hAnsi="Palatino Linotype" w:cs="Arial"/>
        </w:rPr>
        <w:t xml:space="preserve"> </w:t>
      </w:r>
      <w:r w:rsidR="00306678">
        <w:rPr>
          <w:rFonts w:ascii="Palatino Linotype" w:hAnsi="Palatino Linotype" w:cs="Arial"/>
          <w:b/>
        </w:rPr>
        <w:t>LA</w:t>
      </w:r>
      <w:r w:rsidR="00306678" w:rsidRPr="001C7462">
        <w:rPr>
          <w:rFonts w:ascii="Palatino Linotype" w:hAnsi="Palatino Linotype" w:cs="Arial"/>
        </w:rPr>
        <w:t xml:space="preserve"> </w:t>
      </w:r>
      <w:r w:rsidR="00306678" w:rsidRPr="001C7462">
        <w:rPr>
          <w:rFonts w:ascii="Palatino Linotype" w:hAnsi="Palatino Linotype" w:cs="Arial"/>
          <w:b/>
        </w:rPr>
        <w:t xml:space="preserve">RECURRENTE </w:t>
      </w:r>
      <w:r w:rsidR="000858F7" w:rsidRPr="001C7462">
        <w:rPr>
          <w:rFonts w:ascii="Palatino Linotype" w:hAnsi="Palatino Linotype" w:cs="Arial"/>
        </w:rPr>
        <w:t xml:space="preserve">en términos del Considerando </w:t>
      </w:r>
      <w:r w:rsidR="000858F7" w:rsidRPr="001C7462">
        <w:rPr>
          <w:rFonts w:ascii="Palatino Linotype" w:hAnsi="Palatino Linotype" w:cs="Arial"/>
          <w:b/>
        </w:rPr>
        <w:t xml:space="preserve">CUARTO </w:t>
      </w:r>
      <w:r w:rsidR="000858F7" w:rsidRPr="001C7462">
        <w:rPr>
          <w:rFonts w:ascii="Palatino Linotype" w:hAnsi="Palatino Linotype" w:cs="Arial"/>
        </w:rPr>
        <w:t>de esta resolución,</w:t>
      </w:r>
      <w:r w:rsidR="000858F7">
        <w:rPr>
          <w:rFonts w:ascii="Palatino Linotype" w:hAnsi="Palatino Linotype" w:cs="Arial"/>
        </w:rPr>
        <w:t xml:space="preserve"> </w:t>
      </w:r>
      <w:r>
        <w:rPr>
          <w:rFonts w:ascii="Palatino Linotype" w:hAnsi="Palatino Linotype" w:cs="Arial"/>
          <w:sz w:val="24"/>
          <w:szCs w:val="24"/>
        </w:rPr>
        <w:t xml:space="preserve">de lo siguiente: </w:t>
      </w:r>
    </w:p>
    <w:p w14:paraId="04132AFD" w14:textId="6868B28E" w:rsidR="00BB1372" w:rsidRDefault="00BB1372" w:rsidP="00BB1372">
      <w:pPr>
        <w:pStyle w:val="Prrafodelista"/>
        <w:numPr>
          <w:ilvl w:val="0"/>
          <w:numId w:val="25"/>
        </w:numPr>
        <w:spacing w:line="360" w:lineRule="auto"/>
        <w:jc w:val="both"/>
        <w:rPr>
          <w:rFonts w:ascii="Palatino Linotype" w:hAnsi="Palatino Linotype" w:cs="Arial"/>
        </w:rPr>
      </w:pPr>
      <w:r>
        <w:rPr>
          <w:rFonts w:ascii="Palatino Linotype" w:hAnsi="Palatino Linotype" w:cs="Arial"/>
        </w:rPr>
        <w:t xml:space="preserve">El Acuerdo que emita el Comité de Transparencia en el que se confirme la declaración de incompetencia del </w:t>
      </w:r>
      <w:r>
        <w:rPr>
          <w:rFonts w:ascii="Palatino Linotype" w:hAnsi="Palatino Linotype" w:cs="Arial"/>
          <w:b/>
        </w:rPr>
        <w:t xml:space="preserve">Sujeto Obligado </w:t>
      </w:r>
      <w:r>
        <w:rPr>
          <w:rFonts w:ascii="Palatino Linotype" w:hAnsi="Palatino Linotype" w:cs="Arial"/>
        </w:rPr>
        <w:t xml:space="preserve">respecto de la información solicitada de la Secretaría de Finanzas. </w:t>
      </w:r>
    </w:p>
    <w:p w14:paraId="6E64E933" w14:textId="77777777" w:rsidR="00BB1372" w:rsidRDefault="00BB1372" w:rsidP="00BB1372">
      <w:pPr>
        <w:spacing w:line="360" w:lineRule="auto"/>
        <w:jc w:val="both"/>
        <w:rPr>
          <w:rFonts w:ascii="Palatino Linotype" w:hAnsi="Palatino Linotype" w:cs="Arial"/>
        </w:rPr>
      </w:pPr>
    </w:p>
    <w:p w14:paraId="305339B2" w14:textId="77777777" w:rsidR="00BB1372" w:rsidRDefault="00BB1372" w:rsidP="00BB1372">
      <w:pPr>
        <w:spacing w:after="0" w:line="360" w:lineRule="auto"/>
        <w:jc w:val="both"/>
        <w:rPr>
          <w:rFonts w:ascii="Palatino Linotype" w:eastAsia="Times New Roman" w:hAnsi="Palatino Linotype" w:cs="Arial"/>
          <w:sz w:val="24"/>
          <w:szCs w:val="24"/>
          <w:lang w:eastAsia="es-ES"/>
        </w:rPr>
      </w:pPr>
      <w:r w:rsidRPr="000F5B7E">
        <w:rPr>
          <w:rFonts w:ascii="Palatino Linotype" w:eastAsia="Times New Roman" w:hAnsi="Palatino Linotype" w:cs="Arial"/>
          <w:b/>
          <w:sz w:val="26"/>
          <w:szCs w:val="26"/>
          <w:lang w:eastAsia="es-ES"/>
        </w:rPr>
        <w:t>TERCERO.</w:t>
      </w:r>
      <w:r w:rsidRPr="000F5B7E">
        <w:rPr>
          <w:rFonts w:ascii="Palatino Linotype" w:eastAsia="Times New Roman" w:hAnsi="Palatino Linotype" w:cs="Arial"/>
          <w:b/>
          <w:sz w:val="24"/>
          <w:szCs w:val="24"/>
          <w:lang w:eastAsia="es-ES"/>
        </w:rPr>
        <w:t xml:space="preserve"> NOTIFÍQUESE</w:t>
      </w:r>
      <w:r w:rsidRPr="000F5B7E">
        <w:rPr>
          <w:rFonts w:ascii="Palatino Linotype" w:eastAsia="Times New Roman" w:hAnsi="Palatino Linotype" w:cs="Arial"/>
          <w:b/>
          <w:i/>
          <w:sz w:val="24"/>
          <w:szCs w:val="24"/>
          <w:lang w:eastAsia="es-ES"/>
        </w:rPr>
        <w:t xml:space="preserve"> </w:t>
      </w:r>
      <w:r w:rsidRPr="000F5B7E">
        <w:rPr>
          <w:rFonts w:ascii="Palatino Linotype" w:eastAsia="Times New Roman" w:hAnsi="Palatino Linotype" w:cs="Arial"/>
          <w:sz w:val="24"/>
          <w:szCs w:val="24"/>
          <w:lang w:eastAsia="es-ES"/>
        </w:rPr>
        <w:t>al Titular de la Unidad de Transparencia del</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Sujeto Obligado</w:t>
      </w:r>
      <w:r>
        <w:rPr>
          <w:rFonts w:ascii="Palatino Linotype" w:eastAsia="Times New Roman" w:hAnsi="Palatino Linotype" w:cs="Arial"/>
          <w:sz w:val="24"/>
          <w:szCs w:val="24"/>
          <w:lang w:eastAsia="es-ES"/>
        </w:rPr>
        <w:t xml:space="preserve"> vía </w:t>
      </w:r>
      <w:r w:rsidRPr="00D8561C">
        <w:rPr>
          <w:rFonts w:ascii="Palatino Linotype" w:eastAsia="Times New Roman" w:hAnsi="Palatino Linotype" w:cs="Arial"/>
          <w:b/>
          <w:sz w:val="24"/>
          <w:szCs w:val="24"/>
          <w:lang w:eastAsia="es-ES"/>
        </w:rPr>
        <w:t>SAIMEX</w:t>
      </w:r>
      <w:r w:rsidRPr="000F5B7E">
        <w:rPr>
          <w:rFonts w:ascii="Palatino Linotype" w:eastAsia="Times New Roman" w:hAnsi="Palatino Linotype" w:cs="Arial"/>
          <w:sz w:val="24"/>
          <w:szCs w:val="24"/>
          <w:lang w:eastAsia="es-ES"/>
        </w:rPr>
        <w:t xml:space="preserve">, para que conforme al artículo 186, último párrafo, 189, </w:t>
      </w:r>
      <w:r w:rsidRPr="000F5B7E">
        <w:rPr>
          <w:rFonts w:ascii="Palatino Linotype" w:eastAsia="Times New Roman" w:hAnsi="Palatino Linotype" w:cs="Arial"/>
          <w:sz w:val="24"/>
          <w:szCs w:val="24"/>
          <w:lang w:eastAsia="es-ES"/>
        </w:rPr>
        <w:lastRenderedPageBreak/>
        <w:t xml:space="preserve">segundo párrafo y 194, de la Ley de Transparencia y Acceso a la Información Pública del Estado de México y Municipios; dé cumplimiento a lo ordenado dentro del plazo de </w:t>
      </w:r>
      <w:r>
        <w:rPr>
          <w:rFonts w:ascii="Palatino Linotype" w:eastAsia="Times New Roman" w:hAnsi="Palatino Linotype" w:cs="Arial"/>
          <w:sz w:val="24"/>
          <w:szCs w:val="24"/>
          <w:lang w:eastAsia="es-ES"/>
        </w:rPr>
        <w:t>quince</w:t>
      </w:r>
      <w:r w:rsidRPr="000F5B7E">
        <w:rPr>
          <w:rFonts w:ascii="Palatino Linotype" w:eastAsia="Times New Roman" w:hAnsi="Palatino Linotype" w:cs="Arial"/>
          <w:sz w:val="24"/>
          <w:szCs w:val="24"/>
          <w:lang w:eastAsia="es-ES"/>
        </w:rPr>
        <w:t xml:space="preserve"> días hábiles, debiendo informar a este Instituto en un plazo de tres días hábiles siguientes sobre el cumplimiento dado a la presente resolución.</w:t>
      </w:r>
    </w:p>
    <w:p w14:paraId="03D9385C" w14:textId="77777777" w:rsidR="00BB1372" w:rsidRDefault="00BB1372" w:rsidP="00BB1372">
      <w:pPr>
        <w:spacing w:after="0" w:line="360" w:lineRule="auto"/>
        <w:jc w:val="both"/>
        <w:rPr>
          <w:rFonts w:ascii="Palatino Linotype" w:eastAsia="Times New Roman" w:hAnsi="Palatino Linotype" w:cs="Arial"/>
          <w:sz w:val="24"/>
          <w:szCs w:val="24"/>
          <w:lang w:eastAsia="es-ES"/>
        </w:rPr>
      </w:pPr>
    </w:p>
    <w:p w14:paraId="3F53DAF8" w14:textId="4D847D16" w:rsidR="00BB1372" w:rsidRPr="005751B7" w:rsidRDefault="00BB1372" w:rsidP="00BB1372">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835D88">
        <w:rPr>
          <w:rFonts w:ascii="Palatino Linotype" w:eastAsia="Times New Roman" w:hAnsi="Palatino Linotype" w:cs="Arial"/>
          <w:b/>
          <w:sz w:val="28"/>
          <w:szCs w:val="24"/>
          <w:lang w:val="es-ES" w:eastAsia="es-ES"/>
        </w:rPr>
        <w:t>CUARTO</w:t>
      </w:r>
      <w:r w:rsidRPr="00835D88">
        <w:rPr>
          <w:rFonts w:ascii="Palatino Linotype" w:eastAsia="Times New Roman" w:hAnsi="Palatino Linotype" w:cs="Arial"/>
          <w:b/>
          <w:sz w:val="24"/>
          <w:szCs w:val="24"/>
          <w:lang w:val="es-ES" w:eastAsia="es-ES"/>
        </w:rPr>
        <w:t xml:space="preserve">. </w:t>
      </w:r>
      <w:r w:rsidRPr="005751B7">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w:t>
      </w:r>
      <w:r w:rsidR="00306678" w:rsidRPr="00306678">
        <w:rPr>
          <w:rFonts w:ascii="Palatino Linotype" w:eastAsia="Times New Roman" w:hAnsi="Palatino Linotype" w:cs="Arial"/>
          <w:b/>
          <w:sz w:val="24"/>
          <w:szCs w:val="24"/>
          <w:lang w:val="es-ES" w:eastAsia="es-ES"/>
        </w:rPr>
        <w:t>EL SUJETO OBLIGADO</w:t>
      </w:r>
      <w:r w:rsidR="00306678" w:rsidRPr="005751B7">
        <w:rPr>
          <w:rFonts w:ascii="Palatino Linotype" w:eastAsia="Times New Roman" w:hAnsi="Palatino Linotype" w:cs="Arial"/>
          <w:sz w:val="24"/>
          <w:szCs w:val="24"/>
          <w:lang w:val="es-ES" w:eastAsia="es-ES"/>
        </w:rPr>
        <w:t xml:space="preserve"> </w:t>
      </w:r>
      <w:r w:rsidRPr="005751B7">
        <w:rPr>
          <w:rFonts w:ascii="Palatino Linotype" w:eastAsia="Times New Roman" w:hAnsi="Palatino Linotype" w:cs="Arial"/>
          <w:sz w:val="24"/>
          <w:szCs w:val="24"/>
          <w:lang w:val="es-ES" w:eastAsia="es-ES"/>
        </w:rPr>
        <w:t>de manera fundada y motivada, podrá solicitar una ampliación de plazo para el cumplimiento de la presente resolución.</w:t>
      </w:r>
    </w:p>
    <w:p w14:paraId="0F0422C1" w14:textId="77777777" w:rsidR="00BB1372" w:rsidRPr="000F5B7E" w:rsidRDefault="00BB1372" w:rsidP="00BB1372">
      <w:pPr>
        <w:spacing w:after="0" w:line="360" w:lineRule="auto"/>
        <w:jc w:val="both"/>
        <w:rPr>
          <w:rFonts w:ascii="Palatino Linotype" w:eastAsia="Times New Roman" w:hAnsi="Palatino Linotype" w:cs="Arial"/>
          <w:sz w:val="24"/>
          <w:szCs w:val="24"/>
          <w:lang w:eastAsia="es-ES"/>
        </w:rPr>
      </w:pPr>
    </w:p>
    <w:p w14:paraId="2CB6049B" w14:textId="39864CCC" w:rsidR="00BB1372" w:rsidRDefault="00BB1372"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0D6422">
        <w:rPr>
          <w:rFonts w:ascii="Palatino Linotype" w:eastAsia="Times New Roman" w:hAnsi="Palatino Linotype" w:cs="Arial"/>
          <w:b/>
          <w:sz w:val="26"/>
          <w:szCs w:val="26"/>
          <w:lang w:eastAsia="es-ES"/>
        </w:rPr>
        <w:t>QUINTO.</w:t>
      </w:r>
      <w:r w:rsidRPr="000D6422">
        <w:rPr>
          <w:rFonts w:ascii="Palatino Linotype" w:eastAsia="Times New Roman" w:hAnsi="Palatino Linotype" w:cs="Arial"/>
          <w:b/>
          <w:sz w:val="24"/>
          <w:szCs w:val="24"/>
          <w:lang w:eastAsia="es-ES"/>
        </w:rPr>
        <w:t xml:space="preserve"> NOTIFÍQUESE </w:t>
      </w:r>
      <w:r w:rsidRPr="000D6422">
        <w:rPr>
          <w:rFonts w:ascii="Palatino Linotype" w:eastAsia="Times New Roman" w:hAnsi="Palatino Linotype" w:cs="Arial"/>
          <w:sz w:val="24"/>
          <w:szCs w:val="24"/>
          <w:lang w:eastAsia="es-ES"/>
        </w:rPr>
        <w:t>la presente resolución a</w:t>
      </w:r>
      <w:r w:rsidR="00306678">
        <w:rPr>
          <w:rFonts w:ascii="Palatino Linotype" w:eastAsia="Times New Roman" w:hAnsi="Palatino Linotype" w:cs="Arial"/>
          <w:sz w:val="24"/>
          <w:szCs w:val="24"/>
          <w:lang w:eastAsia="es-ES"/>
        </w:rPr>
        <w:t xml:space="preserve"> </w:t>
      </w:r>
      <w:r w:rsidR="00306678">
        <w:rPr>
          <w:rFonts w:ascii="Palatino Linotype" w:eastAsia="Times New Roman" w:hAnsi="Palatino Linotype" w:cs="Arial"/>
          <w:b/>
          <w:sz w:val="24"/>
          <w:szCs w:val="24"/>
          <w:lang w:eastAsia="es-ES"/>
        </w:rPr>
        <w:t>LA</w:t>
      </w:r>
      <w:r w:rsidRPr="000D6422">
        <w:rPr>
          <w:rFonts w:ascii="Palatino Linotype" w:eastAsia="Times New Roman" w:hAnsi="Palatino Linotype" w:cs="Arial"/>
          <w:b/>
          <w:bCs/>
          <w:sz w:val="24"/>
          <w:szCs w:val="24"/>
          <w:lang w:eastAsia="es-ES"/>
        </w:rPr>
        <w:t xml:space="preserve"> RECURRENTE</w:t>
      </w:r>
      <w:r w:rsidRPr="000D6422">
        <w:rPr>
          <w:rFonts w:ascii="Palatino Linotype" w:eastAsia="Times New Roman" w:hAnsi="Palatino Linotype" w:cs="Arial"/>
          <w:sz w:val="24"/>
          <w:szCs w:val="24"/>
          <w:lang w:eastAsia="es-ES"/>
        </w:rPr>
        <w:t xml:space="preserve"> por </w:t>
      </w:r>
      <w:r w:rsidRPr="000D6422">
        <w:rPr>
          <w:rFonts w:ascii="Palatino Linotype" w:eastAsia="Times New Roman" w:hAnsi="Palatino Linotype" w:cs="Arial"/>
          <w:b/>
          <w:bCs/>
          <w:sz w:val="24"/>
          <w:szCs w:val="24"/>
          <w:lang w:eastAsia="es-ES"/>
        </w:rPr>
        <w:t xml:space="preserve">SAIMEX </w:t>
      </w:r>
      <w:r w:rsidRPr="000D6422">
        <w:rPr>
          <w:rFonts w:ascii="Palatino Linotype" w:eastAsia="Times New Roman" w:hAnsi="Palatino Linotype" w:cs="Arial"/>
          <w:sz w:val="24"/>
          <w:szCs w:val="24"/>
          <w:lang w:eastAsia="es-ES"/>
        </w:rPr>
        <w:t xml:space="preserve">y hágase de su conocimiento que, </w:t>
      </w:r>
      <w:r w:rsidRPr="000D6422">
        <w:rPr>
          <w:rFonts w:ascii="Palatino Linotype" w:eastAsia="Times New Roman" w:hAnsi="Palatino Linotype" w:cs="Times New Roman"/>
          <w:color w:val="222222"/>
          <w:sz w:val="24"/>
          <w:szCs w:val="24"/>
          <w:shd w:val="clear" w:color="auto" w:fill="FFFFFF"/>
          <w:lang w:eastAsia="es-ES"/>
        </w:rPr>
        <w:t>de conformidad con lo establecido en el artículo 196, de la Ley de Transparencia y Acceso a la Información Pública del Estado de México y Municipios, podrá promover el Juicio de Amparo en los términos de las leyes aplicables.</w:t>
      </w:r>
    </w:p>
    <w:p w14:paraId="5DDB7484" w14:textId="77777777" w:rsidR="00BB1372" w:rsidRDefault="00BB1372"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1100215C" w14:textId="77777777" w:rsidR="00BB1372" w:rsidRDefault="00BB1372"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004BFE39" w14:textId="703CF6F0" w:rsidR="000858F7" w:rsidRDefault="000858F7" w:rsidP="000858F7">
      <w:pPr>
        <w:spacing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CONFORMADO POR LOS COMISIONADOS ZULEMA MARTÍNEZ SÁNCHEZ, EVA ABAID YAPUR, JOSÉ GUADALUPE LUNA HERNÁNDEZ, JAVIER MARTÍNEZ CRUZ Y LUIS GUSTAVO PARRA NORIEGA  EN LA DÉCIMA SEXTA </w:t>
      </w:r>
      <w:r>
        <w:rPr>
          <w:rFonts w:ascii="Palatino Linotype" w:hAnsi="Palatino Linotype" w:cs="Arial"/>
          <w:sz w:val="24"/>
          <w:szCs w:val="24"/>
        </w:rPr>
        <w:lastRenderedPageBreak/>
        <w:t xml:space="preserve">SESIÓN ORDINARIA CELEBRADA EL DOCE DE MAYO DE DOS MIL VEINTIUNO, ANTE EL SECRETARIO TÉCNICO DEL PLENO, ALEXIS TAPIA RAMÍREZ. </w:t>
      </w:r>
    </w:p>
    <w:p w14:paraId="7E64811B" w14:textId="270E185D" w:rsidR="000858F7" w:rsidRDefault="00306678" w:rsidP="000858F7">
      <w:pPr>
        <w:spacing w:after="0" w:line="360" w:lineRule="auto"/>
        <w:jc w:val="both"/>
        <w:rPr>
          <w:rFonts w:ascii="Palatino Linotype" w:hAnsi="Palatino Linotype" w:cs="Arial"/>
          <w:sz w:val="16"/>
          <w:szCs w:val="16"/>
          <w:lang w:val="es-ES"/>
        </w:rPr>
      </w:pPr>
      <w:r>
        <w:rPr>
          <w:rFonts w:ascii="Palatino Linotype" w:hAnsi="Palatino Linotype" w:cs="Arial"/>
          <w:noProof/>
          <w:sz w:val="16"/>
          <w:szCs w:val="16"/>
          <w:lang w:eastAsia="es-MX"/>
        </w:rPr>
        <mc:AlternateContent>
          <mc:Choice Requires="wps">
            <w:drawing>
              <wp:anchor distT="0" distB="0" distL="114300" distR="114300" simplePos="0" relativeHeight="251734016" behindDoc="0" locked="0" layoutInCell="1" allowOverlap="1" wp14:anchorId="62C9776F" wp14:editId="1D418918">
                <wp:simplePos x="0" y="0"/>
                <wp:positionH relativeFrom="column">
                  <wp:posOffset>-94174</wp:posOffset>
                </wp:positionH>
                <wp:positionV relativeFrom="paragraph">
                  <wp:posOffset>183819</wp:posOffset>
                </wp:positionV>
                <wp:extent cx="6186115" cy="5907819"/>
                <wp:effectExtent l="0" t="0" r="24765" b="36195"/>
                <wp:wrapNone/>
                <wp:docPr id="23" name="Conector recto 23"/>
                <wp:cNvGraphicFramePr/>
                <a:graphic xmlns:a="http://schemas.openxmlformats.org/drawingml/2006/main">
                  <a:graphicData uri="http://schemas.microsoft.com/office/word/2010/wordprocessingShape">
                    <wps:wsp>
                      <wps:cNvCnPr/>
                      <wps:spPr>
                        <a:xfrm>
                          <a:off x="0" y="0"/>
                          <a:ext cx="6186115" cy="590781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CF7F1D" id="Conector recto 23"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pt,14.45pt" to="479.7pt,4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bdDugEAAMcDAAAOAAAAZHJzL2Uyb0RvYy54bWysU9uO0zAQfUfiHyy/0yRFW7pR033oCl4Q&#10;VFw+wOuMG0u+aWya9O8ZO20WARIC8WLHnnNm5hxPdg+TNewMGLV3HW9WNWfgpO+1O3X865e3r7ac&#10;xSRcL4x30PELRP6wf/liN4YW1n7wpgdklMTFdgwdH1IKbVVFOYAVceUDOAoqj1YkOuKp6lGMlN2a&#10;al3Xm2r02Af0EmKk28c5yPclv1Ig00elIiRmOk69pbJiWZ/yWu13oj2hCIOW1zbEP3RhhXZUdEn1&#10;KJJg31D/kspqiT56lVbS28orpSUUDaSmqX9S83kQAYoWMieGxab4/9LKD+cjMt13fP2aMycsvdGB&#10;XkomjwzzxihALo0htgQ+uCNeTzEcMUueFNq8kxg2FWcvi7MwJSbpctNsN01zx5mk2N19/Wbb3Oes&#10;1TM9YEzvwFuWPzputMvSRSvO72OaoTcI8XI7cwPlK10MZLBxn0CRHCrZFHYZJDgYZGdBIyCkBJea&#10;a+mCzjSljVmI9Z+JV3ymQhmyvyEvjFLZu7SQrXYef1c9TbeW1Yy/OTDrzhY8+f5SnqZYQ9NSzL1O&#10;dh7HH8+F/vz/7b8DAAD//wMAUEsDBBQABgAIAAAAIQDvKxsG4gAAAAoBAAAPAAAAZHJzL2Rvd25y&#10;ZXYueG1sTI9Ra8IwFIXfB/6HcAd709TODds1FRHGnDBkKrjH2Ny11eamJNHWf2+2l+3tHu7hnO9k&#10;s1437ILW1YYEjEcRMKTCqJpKAbvt63AKzHlJSjaGUMAVHczywV0mU2U6+sTLxpcshJBLpYDK+zbl&#10;3BUVaulGpkUKv29jtfRB2pIrK7sQrhseR9Ez17Km0FDJFhcVFqfNWQv4sMvlYr66Hmn9pbt9vNqv&#10;3/s3IR7u+/kLMI+9/zPDD35AhzwwHcyZlGONgOF4EtC9gHiaAAuG5CmZADv8Ho/A84z/n5DfAAAA&#10;//8DAFBLAQItABQABgAIAAAAIQC2gziS/gAAAOEBAAATAAAAAAAAAAAAAAAAAAAAAABbQ29udGVu&#10;dF9UeXBlc10ueG1sUEsBAi0AFAAGAAgAAAAhADj9If/WAAAAlAEAAAsAAAAAAAAAAAAAAAAALwEA&#10;AF9yZWxzLy5yZWxzUEsBAi0AFAAGAAgAAAAhAA0xt0O6AQAAxwMAAA4AAAAAAAAAAAAAAAAALgIA&#10;AGRycy9lMm9Eb2MueG1sUEsBAi0AFAAGAAgAAAAhAO8rGwbiAAAACgEAAA8AAAAAAAAAAAAAAAAA&#10;FAQAAGRycy9kb3ducmV2LnhtbFBLBQYAAAAABAAEAPMAAAAjBQAAAAA=&#10;" strokecolor="#5b9bd5 [3204]" strokeweight=".5pt">
                <v:stroke joinstyle="miter"/>
              </v:line>
            </w:pict>
          </mc:Fallback>
        </mc:AlternateContent>
      </w:r>
    </w:p>
    <w:p w14:paraId="70B9F60C" w14:textId="77777777" w:rsidR="000858F7" w:rsidRDefault="000858F7" w:rsidP="000858F7">
      <w:pPr>
        <w:spacing w:after="0" w:line="360" w:lineRule="auto"/>
        <w:jc w:val="both"/>
        <w:rPr>
          <w:rFonts w:ascii="Palatino Linotype" w:hAnsi="Palatino Linotype" w:cs="Arial"/>
          <w:sz w:val="16"/>
          <w:szCs w:val="16"/>
          <w:lang w:val="es-ES"/>
        </w:rPr>
      </w:pPr>
    </w:p>
    <w:p w14:paraId="292121B9" w14:textId="77777777" w:rsidR="000858F7" w:rsidRDefault="000858F7" w:rsidP="000858F7">
      <w:pPr>
        <w:spacing w:after="0" w:line="360" w:lineRule="auto"/>
        <w:jc w:val="both"/>
        <w:rPr>
          <w:rFonts w:ascii="Palatino Linotype" w:hAnsi="Palatino Linotype" w:cs="Arial"/>
          <w:sz w:val="16"/>
          <w:szCs w:val="16"/>
          <w:lang w:val="es-ES"/>
        </w:rPr>
      </w:pPr>
    </w:p>
    <w:p w14:paraId="2B3A8D50" w14:textId="77777777" w:rsidR="000858F7" w:rsidRDefault="000858F7"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6DDA444E" w14:textId="77777777" w:rsidR="00306678" w:rsidRDefault="00306678"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1DE4E216" w14:textId="77777777" w:rsidR="00306678" w:rsidRDefault="00306678"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70C22B4C" w14:textId="77777777" w:rsidR="00306678" w:rsidRDefault="00306678"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6404037C" w14:textId="77777777" w:rsidR="00306678" w:rsidRDefault="00306678"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09069613" w14:textId="77777777" w:rsidR="00306678" w:rsidRDefault="00306678"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5CB80B33" w14:textId="77777777" w:rsidR="00306678" w:rsidRDefault="00306678"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1B929B7D" w14:textId="77777777" w:rsidR="00306678" w:rsidRDefault="00306678"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6263DCD4" w14:textId="77777777" w:rsidR="00306678" w:rsidRDefault="00306678"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2C1BA9BA" w14:textId="77777777" w:rsidR="00306678" w:rsidRDefault="00306678"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3C4B0FF3" w14:textId="77777777" w:rsidR="00306678" w:rsidRDefault="00306678"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26AFACC7" w14:textId="77777777" w:rsidR="00306678" w:rsidRDefault="00306678"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3C841D6B" w14:textId="77777777" w:rsidR="00306678" w:rsidRDefault="00306678"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33696485" w14:textId="77777777" w:rsidR="00306678" w:rsidRDefault="00306678"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6D420334" w14:textId="77777777" w:rsidR="00306678" w:rsidRDefault="00306678"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1881C745" w14:textId="77777777" w:rsidR="00306678" w:rsidRDefault="00306678"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45C672C4" w14:textId="77777777" w:rsidR="00306678" w:rsidRDefault="00306678"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692D94BB" w14:textId="77777777" w:rsidR="00306678" w:rsidRDefault="00306678"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14AFA75F" w14:textId="55C6864B" w:rsidR="00306678" w:rsidRPr="00306678" w:rsidRDefault="00306678" w:rsidP="00BB1372">
      <w:pPr>
        <w:spacing w:after="0" w:line="360" w:lineRule="auto"/>
        <w:jc w:val="both"/>
        <w:rPr>
          <w:rFonts w:ascii="Palatino Linotype" w:eastAsia="Times New Roman" w:hAnsi="Palatino Linotype" w:cs="Times New Roman"/>
          <w:color w:val="222222"/>
          <w:sz w:val="20"/>
          <w:szCs w:val="20"/>
          <w:shd w:val="clear" w:color="auto" w:fill="FFFFFF"/>
          <w:lang w:eastAsia="es-ES"/>
        </w:rPr>
      </w:pPr>
      <w:r w:rsidRPr="00306678">
        <w:rPr>
          <w:rFonts w:ascii="Palatino Linotype" w:eastAsia="Times New Roman" w:hAnsi="Palatino Linotype" w:cs="Times New Roman"/>
          <w:color w:val="222222"/>
          <w:sz w:val="20"/>
          <w:szCs w:val="20"/>
          <w:shd w:val="clear" w:color="auto" w:fill="FFFFFF"/>
          <w:lang w:eastAsia="es-ES"/>
        </w:rPr>
        <w:t>OSAM/JCMA</w:t>
      </w:r>
    </w:p>
    <w:p w14:paraId="31B4AE65" w14:textId="77777777" w:rsidR="00306678" w:rsidRDefault="00306678"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7B932C15" w14:textId="77777777" w:rsidR="00306678" w:rsidRDefault="00306678"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580F2833" w14:textId="77777777" w:rsidR="00306678" w:rsidRDefault="00306678"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58860F0F" w14:textId="77777777" w:rsidR="00306678" w:rsidRDefault="00306678"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29FC86D2" w14:textId="77777777" w:rsidR="00306678" w:rsidRDefault="00306678"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57CCEDFF" w14:textId="77777777" w:rsidR="00306678" w:rsidRDefault="00306678"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6BD322F4" w14:textId="77777777" w:rsidR="00306678" w:rsidRDefault="00306678"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1DF0EA3F" w14:textId="77777777" w:rsidR="00306678" w:rsidRDefault="00306678"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3E573340" w14:textId="77777777" w:rsidR="00306678" w:rsidRDefault="00306678"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3255F937" w14:textId="77777777" w:rsidR="00306678" w:rsidRDefault="00306678"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27467A17" w14:textId="77777777" w:rsidR="00306678" w:rsidRDefault="00306678"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sectPr w:rsidR="00306678"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E81BDA" w14:textId="77777777" w:rsidR="00B16009" w:rsidRDefault="00B16009" w:rsidP="006168E4">
      <w:pPr>
        <w:spacing w:after="0" w:line="240" w:lineRule="auto"/>
      </w:pPr>
      <w:r>
        <w:separator/>
      </w:r>
    </w:p>
  </w:endnote>
  <w:endnote w:type="continuationSeparator" w:id="0">
    <w:p w14:paraId="2D58EE39" w14:textId="77777777" w:rsidR="00B16009" w:rsidRDefault="00B16009"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34637B" w:rsidRPr="000B69FA" w:rsidRDefault="0034637B"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07F60">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07F60">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799DA7E3" w:rsidR="0034637B" w:rsidRPr="000B69FA" w:rsidRDefault="0034637B"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07F6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07F60">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2900D" w14:textId="77777777" w:rsidR="00B16009" w:rsidRDefault="00B16009" w:rsidP="006168E4">
      <w:pPr>
        <w:spacing w:after="0" w:line="240" w:lineRule="auto"/>
      </w:pPr>
      <w:r>
        <w:separator/>
      </w:r>
    </w:p>
  </w:footnote>
  <w:footnote w:type="continuationSeparator" w:id="0">
    <w:p w14:paraId="251A809B" w14:textId="77777777" w:rsidR="00B16009" w:rsidRDefault="00B16009" w:rsidP="006168E4">
      <w:pPr>
        <w:spacing w:after="0" w:line="240" w:lineRule="auto"/>
      </w:pPr>
      <w:r>
        <w:continuationSeparator/>
      </w:r>
    </w:p>
  </w:footnote>
  <w:footnote w:id="1">
    <w:p w14:paraId="16791290" w14:textId="77777777" w:rsidR="0034637B" w:rsidRPr="005552A8" w:rsidRDefault="0034637B" w:rsidP="004523AF">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DC9D65C" w14:textId="77777777" w:rsidR="0034637B" w:rsidRPr="005552A8" w:rsidRDefault="0034637B" w:rsidP="004523AF">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303EA82D" w:rsidR="0034637B" w:rsidRDefault="0034637B">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43E3F285" wp14:editId="52DDE3D5">
          <wp:simplePos x="0" y="0"/>
          <wp:positionH relativeFrom="page">
            <wp:align>left</wp:align>
          </wp:positionH>
          <wp:positionV relativeFrom="page">
            <wp:align>top</wp:align>
          </wp:positionV>
          <wp:extent cx="7705725" cy="10048875"/>
          <wp:effectExtent l="0" t="0" r="9525" b="9525"/>
          <wp:wrapNone/>
          <wp:docPr id="5" name="Imagen 5"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4637B" w14:paraId="17981A04" w14:textId="77777777" w:rsidTr="00FB4AAD">
      <w:trPr>
        <w:trHeight w:val="227"/>
      </w:trPr>
      <w:tc>
        <w:tcPr>
          <w:tcW w:w="5529" w:type="dxa"/>
          <w:hideMark/>
        </w:tcPr>
        <w:p w14:paraId="0E414BC5" w14:textId="75B4D793" w:rsidR="0034637B" w:rsidRDefault="0034637B"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6D60C7B2" w:rsidR="0034637B" w:rsidRPr="00B4142F" w:rsidRDefault="0034637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01245/INFOEM/IP/RR/2021</w:t>
          </w:r>
        </w:p>
      </w:tc>
    </w:tr>
    <w:tr w:rsidR="0034637B" w14:paraId="637042F0" w14:textId="77777777" w:rsidTr="00FB4AAD">
      <w:trPr>
        <w:trHeight w:val="242"/>
      </w:trPr>
      <w:tc>
        <w:tcPr>
          <w:tcW w:w="5529" w:type="dxa"/>
          <w:hideMark/>
        </w:tcPr>
        <w:p w14:paraId="412AD568" w14:textId="582E7AD7" w:rsidR="0034637B" w:rsidRDefault="0034637B"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62E2DC20" w:rsidR="0034637B" w:rsidRPr="00F06FED" w:rsidRDefault="0034637B" w:rsidP="008D6B66">
          <w:pPr>
            <w:spacing w:after="120" w:line="256" w:lineRule="auto"/>
            <w:ind w:left="639" w:right="214"/>
            <w:jc w:val="both"/>
            <w:rPr>
              <w:rFonts w:ascii="Palatino Linotype" w:hAnsi="Palatino Linotype" w:cs="Arial"/>
            </w:rPr>
          </w:pPr>
          <w:r>
            <w:rPr>
              <w:rFonts w:ascii="Palatino Linotype" w:hAnsi="Palatino Linotype" w:cs="Arial"/>
              <w:szCs w:val="20"/>
            </w:rPr>
            <w:t>Secretaría de Medio Ambiente</w:t>
          </w:r>
        </w:p>
      </w:tc>
    </w:tr>
    <w:tr w:rsidR="0034637B" w14:paraId="21BFE746" w14:textId="77777777" w:rsidTr="00FB4AAD">
      <w:trPr>
        <w:trHeight w:val="342"/>
      </w:trPr>
      <w:tc>
        <w:tcPr>
          <w:tcW w:w="5529" w:type="dxa"/>
          <w:hideMark/>
        </w:tcPr>
        <w:p w14:paraId="64C4E314" w14:textId="77777777" w:rsidR="0034637B" w:rsidRDefault="0034637B"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04853B3" w14:textId="77777777" w:rsidR="0034637B" w:rsidRDefault="0034637B"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183BF9" w14:textId="77777777" w:rsidR="0034637B" w:rsidRDefault="0034637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34637B" w14:paraId="385FD437" w14:textId="77777777" w:rsidTr="00FB4AAD">
      <w:trPr>
        <w:trHeight w:val="227"/>
      </w:trPr>
      <w:tc>
        <w:tcPr>
          <w:tcW w:w="5529" w:type="dxa"/>
          <w:hideMark/>
        </w:tcPr>
        <w:p w14:paraId="272860E8" w14:textId="09D9FF7D" w:rsidR="0034637B" w:rsidRDefault="0034637B"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28297B6E" w:rsidR="0034637B" w:rsidRPr="00B4142F" w:rsidRDefault="0034637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01245/INFOEM/IP/RR/2021</w:t>
          </w:r>
        </w:p>
      </w:tc>
    </w:tr>
    <w:tr w:rsidR="0034637B" w14:paraId="33FC5097" w14:textId="77777777" w:rsidTr="00FB4AAD">
      <w:trPr>
        <w:trHeight w:val="196"/>
      </w:trPr>
      <w:tc>
        <w:tcPr>
          <w:tcW w:w="5529" w:type="dxa"/>
          <w:hideMark/>
        </w:tcPr>
        <w:p w14:paraId="4F5D01E5" w14:textId="77777777" w:rsidR="0034637B" w:rsidRDefault="0034637B"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52BD2E36" w:rsidR="0034637B" w:rsidRPr="00120C4B" w:rsidRDefault="0034637B" w:rsidP="00B07F60">
          <w:pPr>
            <w:spacing w:after="120" w:line="256" w:lineRule="auto"/>
            <w:ind w:left="639" w:right="214" w:hanging="639"/>
            <w:jc w:val="both"/>
            <w:rPr>
              <w:rFonts w:ascii="Palatino Linotype" w:hAnsi="Palatino Linotype" w:cs="Arial"/>
              <w:b/>
              <w:bCs/>
            </w:rPr>
          </w:pPr>
          <w:r>
            <w:rPr>
              <w:rFonts w:ascii="Palatino Linotype" w:hAnsi="Palatino Linotype" w:cs="Arial"/>
            </w:rPr>
            <w:t xml:space="preserve">            </w:t>
          </w:r>
          <w:r w:rsidR="00B07F60">
            <w:rPr>
              <w:rFonts w:ascii="Palatino Linotype" w:hAnsi="Palatino Linotype" w:cs="Arial"/>
              <w:b/>
              <w:bCs/>
            </w:rPr>
            <w:t>xxxxxxxxxxxxxxxxxxxxxxxxxxxxxxx</w:t>
          </w:r>
          <w:r>
            <w:rPr>
              <w:rFonts w:ascii="Palatino Linotype" w:hAnsi="Palatino Linotype" w:cs="Arial"/>
              <w:b/>
              <w:bCs/>
            </w:rPr>
            <w:t xml:space="preserve">      </w:t>
          </w:r>
          <w:r w:rsidR="00B07F60">
            <w:rPr>
              <w:rFonts w:ascii="Palatino Linotype" w:hAnsi="Palatino Linotype" w:cs="Arial"/>
              <w:b/>
              <w:bCs/>
            </w:rPr>
            <w:t>xxxxxxxxxxxx</w:t>
          </w:r>
          <w:r>
            <w:rPr>
              <w:rFonts w:ascii="Palatino Linotype" w:hAnsi="Palatino Linotype" w:cs="Arial"/>
              <w:b/>
              <w:bCs/>
            </w:rPr>
            <w:t xml:space="preserve"> </w:t>
          </w:r>
        </w:p>
      </w:tc>
    </w:tr>
    <w:tr w:rsidR="0034637B" w14:paraId="178280DE" w14:textId="77777777" w:rsidTr="00FB4AAD">
      <w:trPr>
        <w:trHeight w:val="242"/>
      </w:trPr>
      <w:tc>
        <w:tcPr>
          <w:tcW w:w="5529" w:type="dxa"/>
          <w:hideMark/>
        </w:tcPr>
        <w:p w14:paraId="71AC708B" w14:textId="77777777" w:rsidR="0034637B" w:rsidRDefault="0034637B"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2B3E4BD9" w:rsidR="0034637B" w:rsidRDefault="0034637B" w:rsidP="008D6B66">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Secretaría de Medio Ambiente </w:t>
          </w:r>
        </w:p>
      </w:tc>
    </w:tr>
    <w:tr w:rsidR="0034637B" w14:paraId="0518978B" w14:textId="77777777" w:rsidTr="00FB4AAD">
      <w:trPr>
        <w:trHeight w:val="342"/>
      </w:trPr>
      <w:tc>
        <w:tcPr>
          <w:tcW w:w="5529" w:type="dxa"/>
          <w:hideMark/>
        </w:tcPr>
        <w:p w14:paraId="04968A43" w14:textId="77777777" w:rsidR="0034637B" w:rsidRDefault="0034637B"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E42D601" w14:textId="77777777" w:rsidR="0034637B" w:rsidRDefault="0034637B"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B7A654C" w14:textId="0DD0D840" w:rsidR="0034637B" w:rsidRDefault="0034637B">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A0BCF77" wp14:editId="645B8A07">
          <wp:simplePos x="0" y="0"/>
          <wp:positionH relativeFrom="page">
            <wp:align>center</wp:align>
          </wp:positionH>
          <wp:positionV relativeFrom="page">
            <wp:posOffset>10795</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A4431"/>
    <w:multiLevelType w:val="hybridMultilevel"/>
    <w:tmpl w:val="AE4C1D68"/>
    <w:lvl w:ilvl="0" w:tplc="05CA978A">
      <w:start w:val="1"/>
      <w:numFmt w:val="bullet"/>
      <w:lvlText w:val="-"/>
      <w:lvlJc w:val="left"/>
      <w:pPr>
        <w:ind w:left="720" w:hanging="360"/>
      </w:pPr>
      <w:rPr>
        <w:rFonts w:ascii="Palatino Linotype" w:eastAsia="Times New Roman" w:hAnsi="Palatino Linotype"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C39DB"/>
    <w:multiLevelType w:val="hybridMultilevel"/>
    <w:tmpl w:val="9CE8E3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32C42"/>
    <w:multiLevelType w:val="hybridMultilevel"/>
    <w:tmpl w:val="EB5E0D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1B4023"/>
    <w:multiLevelType w:val="hybridMultilevel"/>
    <w:tmpl w:val="7FCC52B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497200F"/>
    <w:multiLevelType w:val="hybridMultilevel"/>
    <w:tmpl w:val="3FACF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EC235C6"/>
    <w:multiLevelType w:val="hybridMultilevel"/>
    <w:tmpl w:val="FC645156"/>
    <w:lvl w:ilvl="0" w:tplc="D076BE3E">
      <w:start w:val="1"/>
      <w:numFmt w:val="upperRoman"/>
      <w:lvlText w:val="%1."/>
      <w:lvlJc w:val="lef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8">
    <w:nsid w:val="2418581D"/>
    <w:multiLevelType w:val="hybridMultilevel"/>
    <w:tmpl w:val="CF44E606"/>
    <w:lvl w:ilvl="0" w:tplc="37BA36B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8224E55"/>
    <w:multiLevelType w:val="hybridMultilevel"/>
    <w:tmpl w:val="72A49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DA3C92"/>
    <w:multiLevelType w:val="hybridMultilevel"/>
    <w:tmpl w:val="E99A5E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C8A4A04"/>
    <w:multiLevelType w:val="hybridMultilevel"/>
    <w:tmpl w:val="A5EE2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E309E1"/>
    <w:multiLevelType w:val="hybridMultilevel"/>
    <w:tmpl w:val="500A22D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757142"/>
    <w:multiLevelType w:val="hybridMultilevel"/>
    <w:tmpl w:val="8A5EA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D54CAB"/>
    <w:multiLevelType w:val="hybridMultilevel"/>
    <w:tmpl w:val="1F5C7AA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2A30C74"/>
    <w:multiLevelType w:val="hybridMultilevel"/>
    <w:tmpl w:val="6194D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6143BC"/>
    <w:multiLevelType w:val="hybridMultilevel"/>
    <w:tmpl w:val="72A49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753EBA"/>
    <w:multiLevelType w:val="hybridMultilevel"/>
    <w:tmpl w:val="D62E353C"/>
    <w:lvl w:ilvl="0" w:tplc="8CCE50C4">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BF6275"/>
    <w:multiLevelType w:val="hybridMultilevel"/>
    <w:tmpl w:val="A614D56E"/>
    <w:lvl w:ilvl="0" w:tplc="A4FA764C">
      <w:numFmt w:val="bullet"/>
      <w:lvlText w:val="-"/>
      <w:lvlJc w:val="left"/>
      <w:pPr>
        <w:ind w:left="1211" w:hanging="360"/>
      </w:pPr>
      <w:rPr>
        <w:rFonts w:ascii="Palatino Linotype" w:eastAsiaTheme="minorHAnsi" w:hAnsi="Palatino Linotype" w:cs="Arial" w:hint="default"/>
        <w:sz w:val="22"/>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1">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nsid w:val="6A982838"/>
    <w:multiLevelType w:val="hybridMultilevel"/>
    <w:tmpl w:val="0E6CBE52"/>
    <w:lvl w:ilvl="0" w:tplc="68608C6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263063E"/>
    <w:multiLevelType w:val="hybridMultilevel"/>
    <w:tmpl w:val="E432E7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9635E6"/>
    <w:multiLevelType w:val="hybridMultilevel"/>
    <w:tmpl w:val="FEB4F506"/>
    <w:lvl w:ilvl="0" w:tplc="0409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24"/>
  </w:num>
  <w:num w:numId="2">
    <w:abstractNumId w:val="13"/>
  </w:num>
  <w:num w:numId="3">
    <w:abstractNumId w:val="8"/>
  </w:num>
  <w:num w:numId="4">
    <w:abstractNumId w:val="7"/>
  </w:num>
  <w:num w:numId="5">
    <w:abstractNumId w:val="2"/>
  </w:num>
  <w:num w:numId="6">
    <w:abstractNumId w:val="1"/>
  </w:num>
  <w:num w:numId="7">
    <w:abstractNumId w:val="0"/>
  </w:num>
  <w:num w:numId="8">
    <w:abstractNumId w:val="3"/>
  </w:num>
  <w:num w:numId="9">
    <w:abstractNumId w:val="18"/>
  </w:num>
  <w:num w:numId="10">
    <w:abstractNumId w:val="4"/>
  </w:num>
  <w:num w:numId="11">
    <w:abstractNumId w:val="20"/>
  </w:num>
  <w:num w:numId="12">
    <w:abstractNumId w:val="14"/>
  </w:num>
  <w:num w:numId="13">
    <w:abstractNumId w:val="15"/>
  </w:num>
  <w:num w:numId="14">
    <w:abstractNumId w:val="5"/>
  </w:num>
  <w:num w:numId="15">
    <w:abstractNumId w:val="9"/>
  </w:num>
  <w:num w:numId="16">
    <w:abstractNumId w:val="19"/>
  </w:num>
  <w:num w:numId="17">
    <w:abstractNumId w:val="23"/>
  </w:num>
  <w:num w:numId="18">
    <w:abstractNumId w:val="10"/>
  </w:num>
  <w:num w:numId="19">
    <w:abstractNumId w:val="21"/>
  </w:num>
  <w:num w:numId="20">
    <w:abstractNumId w:val="11"/>
  </w:num>
  <w:num w:numId="21">
    <w:abstractNumId w:val="6"/>
  </w:num>
  <w:num w:numId="22">
    <w:abstractNumId w:val="16"/>
  </w:num>
  <w:num w:numId="23">
    <w:abstractNumId w:val="22"/>
  </w:num>
  <w:num w:numId="24">
    <w:abstractNumId w:val="12"/>
  </w:num>
  <w:num w:numId="25">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FA5"/>
    <w:rsid w:val="000056BB"/>
    <w:rsid w:val="00005B85"/>
    <w:rsid w:val="000115FC"/>
    <w:rsid w:val="000128B2"/>
    <w:rsid w:val="0001366A"/>
    <w:rsid w:val="00013C75"/>
    <w:rsid w:val="000143F3"/>
    <w:rsid w:val="0001564B"/>
    <w:rsid w:val="000171B7"/>
    <w:rsid w:val="00017685"/>
    <w:rsid w:val="00020E74"/>
    <w:rsid w:val="000240C8"/>
    <w:rsid w:val="0002560B"/>
    <w:rsid w:val="000306A7"/>
    <w:rsid w:val="00031B3B"/>
    <w:rsid w:val="00032896"/>
    <w:rsid w:val="000329BE"/>
    <w:rsid w:val="0004186E"/>
    <w:rsid w:val="000451BE"/>
    <w:rsid w:val="00045379"/>
    <w:rsid w:val="00045CB8"/>
    <w:rsid w:val="000508FA"/>
    <w:rsid w:val="0005171D"/>
    <w:rsid w:val="00055224"/>
    <w:rsid w:val="00061821"/>
    <w:rsid w:val="000623F9"/>
    <w:rsid w:val="00063A10"/>
    <w:rsid w:val="00064EA6"/>
    <w:rsid w:val="000658D4"/>
    <w:rsid w:val="000662F8"/>
    <w:rsid w:val="00066B61"/>
    <w:rsid w:val="00070E99"/>
    <w:rsid w:val="00073E78"/>
    <w:rsid w:val="00073FC2"/>
    <w:rsid w:val="00076AE0"/>
    <w:rsid w:val="0007756F"/>
    <w:rsid w:val="0008151E"/>
    <w:rsid w:val="000821BF"/>
    <w:rsid w:val="0008548C"/>
    <w:rsid w:val="0008554A"/>
    <w:rsid w:val="000858F7"/>
    <w:rsid w:val="00086AF1"/>
    <w:rsid w:val="00090174"/>
    <w:rsid w:val="00091552"/>
    <w:rsid w:val="00091C3A"/>
    <w:rsid w:val="000944B9"/>
    <w:rsid w:val="00095CD4"/>
    <w:rsid w:val="0009704F"/>
    <w:rsid w:val="000A0851"/>
    <w:rsid w:val="000A18F1"/>
    <w:rsid w:val="000A2E75"/>
    <w:rsid w:val="000A3486"/>
    <w:rsid w:val="000A46EB"/>
    <w:rsid w:val="000A5195"/>
    <w:rsid w:val="000A535D"/>
    <w:rsid w:val="000A5980"/>
    <w:rsid w:val="000A79DA"/>
    <w:rsid w:val="000B03E0"/>
    <w:rsid w:val="000B12C2"/>
    <w:rsid w:val="000B4B51"/>
    <w:rsid w:val="000B544F"/>
    <w:rsid w:val="000B5864"/>
    <w:rsid w:val="000B7158"/>
    <w:rsid w:val="000C0B33"/>
    <w:rsid w:val="000C1963"/>
    <w:rsid w:val="000C2602"/>
    <w:rsid w:val="000C5B8B"/>
    <w:rsid w:val="000D1A4E"/>
    <w:rsid w:val="000D1B55"/>
    <w:rsid w:val="000D3C75"/>
    <w:rsid w:val="000D4532"/>
    <w:rsid w:val="000D4A3A"/>
    <w:rsid w:val="000D5800"/>
    <w:rsid w:val="000D7523"/>
    <w:rsid w:val="000E0C4D"/>
    <w:rsid w:val="000E30C2"/>
    <w:rsid w:val="000E3AEA"/>
    <w:rsid w:val="000E6545"/>
    <w:rsid w:val="000E686B"/>
    <w:rsid w:val="000F2A5E"/>
    <w:rsid w:val="000F3F8D"/>
    <w:rsid w:val="000F6CD3"/>
    <w:rsid w:val="00100C19"/>
    <w:rsid w:val="00106372"/>
    <w:rsid w:val="00111DCD"/>
    <w:rsid w:val="00111F5F"/>
    <w:rsid w:val="00112C29"/>
    <w:rsid w:val="00114CF9"/>
    <w:rsid w:val="001178B9"/>
    <w:rsid w:val="00120C4B"/>
    <w:rsid w:val="001228AB"/>
    <w:rsid w:val="00124855"/>
    <w:rsid w:val="001254F5"/>
    <w:rsid w:val="00136FAD"/>
    <w:rsid w:val="00140557"/>
    <w:rsid w:val="001408A0"/>
    <w:rsid w:val="00142B2A"/>
    <w:rsid w:val="001439C9"/>
    <w:rsid w:val="00145279"/>
    <w:rsid w:val="00145540"/>
    <w:rsid w:val="00146F0A"/>
    <w:rsid w:val="00147C16"/>
    <w:rsid w:val="00152AB2"/>
    <w:rsid w:val="00152C2B"/>
    <w:rsid w:val="0015483E"/>
    <w:rsid w:val="00161FBE"/>
    <w:rsid w:val="00164AB0"/>
    <w:rsid w:val="0016745C"/>
    <w:rsid w:val="001710C0"/>
    <w:rsid w:val="001733A0"/>
    <w:rsid w:val="00175897"/>
    <w:rsid w:val="00180B9F"/>
    <w:rsid w:val="00181CC5"/>
    <w:rsid w:val="001829BE"/>
    <w:rsid w:val="00184E8E"/>
    <w:rsid w:val="001854E1"/>
    <w:rsid w:val="0018577F"/>
    <w:rsid w:val="00193784"/>
    <w:rsid w:val="00196DCE"/>
    <w:rsid w:val="001A02EC"/>
    <w:rsid w:val="001A1756"/>
    <w:rsid w:val="001A30F5"/>
    <w:rsid w:val="001A4643"/>
    <w:rsid w:val="001A5630"/>
    <w:rsid w:val="001A577E"/>
    <w:rsid w:val="001A7C9B"/>
    <w:rsid w:val="001B05B9"/>
    <w:rsid w:val="001B3F47"/>
    <w:rsid w:val="001B7B88"/>
    <w:rsid w:val="001B7FA2"/>
    <w:rsid w:val="001C0D03"/>
    <w:rsid w:val="001C1CAF"/>
    <w:rsid w:val="001C32F4"/>
    <w:rsid w:val="001C4467"/>
    <w:rsid w:val="001C50EE"/>
    <w:rsid w:val="001C7319"/>
    <w:rsid w:val="001C7D87"/>
    <w:rsid w:val="001D23B4"/>
    <w:rsid w:val="001D3E87"/>
    <w:rsid w:val="001D49A2"/>
    <w:rsid w:val="001D627A"/>
    <w:rsid w:val="001D6B60"/>
    <w:rsid w:val="001E0C3F"/>
    <w:rsid w:val="001E58D8"/>
    <w:rsid w:val="001E78AA"/>
    <w:rsid w:val="001F2101"/>
    <w:rsid w:val="001F3969"/>
    <w:rsid w:val="001F61DA"/>
    <w:rsid w:val="00205ACD"/>
    <w:rsid w:val="002075A5"/>
    <w:rsid w:val="00212A9D"/>
    <w:rsid w:val="0021501E"/>
    <w:rsid w:val="00215192"/>
    <w:rsid w:val="002155E8"/>
    <w:rsid w:val="00215778"/>
    <w:rsid w:val="00215783"/>
    <w:rsid w:val="002205C0"/>
    <w:rsid w:val="00221889"/>
    <w:rsid w:val="00222064"/>
    <w:rsid w:val="002248AC"/>
    <w:rsid w:val="00226AF5"/>
    <w:rsid w:val="0023373D"/>
    <w:rsid w:val="0023423C"/>
    <w:rsid w:val="002420E3"/>
    <w:rsid w:val="002448CB"/>
    <w:rsid w:val="002525C7"/>
    <w:rsid w:val="002526E7"/>
    <w:rsid w:val="00254BA9"/>
    <w:rsid w:val="0025746A"/>
    <w:rsid w:val="002577FE"/>
    <w:rsid w:val="00261125"/>
    <w:rsid w:val="002659E9"/>
    <w:rsid w:val="00267074"/>
    <w:rsid w:val="00267244"/>
    <w:rsid w:val="002717B7"/>
    <w:rsid w:val="00273D0E"/>
    <w:rsid w:val="00274159"/>
    <w:rsid w:val="00274BE8"/>
    <w:rsid w:val="00275CA1"/>
    <w:rsid w:val="002765A6"/>
    <w:rsid w:val="0028588E"/>
    <w:rsid w:val="00286784"/>
    <w:rsid w:val="0029431D"/>
    <w:rsid w:val="00295749"/>
    <w:rsid w:val="0029598B"/>
    <w:rsid w:val="002A2034"/>
    <w:rsid w:val="002A24F4"/>
    <w:rsid w:val="002A38BF"/>
    <w:rsid w:val="002A4319"/>
    <w:rsid w:val="002A5409"/>
    <w:rsid w:val="002A56AE"/>
    <w:rsid w:val="002A597E"/>
    <w:rsid w:val="002B113A"/>
    <w:rsid w:val="002B19E0"/>
    <w:rsid w:val="002B1A1F"/>
    <w:rsid w:val="002B5DBD"/>
    <w:rsid w:val="002B60B8"/>
    <w:rsid w:val="002C07C4"/>
    <w:rsid w:val="002C0EC4"/>
    <w:rsid w:val="002C1B76"/>
    <w:rsid w:val="002C4B9B"/>
    <w:rsid w:val="002C6278"/>
    <w:rsid w:val="002C72D2"/>
    <w:rsid w:val="002D08E3"/>
    <w:rsid w:val="002D30CB"/>
    <w:rsid w:val="002D310D"/>
    <w:rsid w:val="002D32D8"/>
    <w:rsid w:val="002E1423"/>
    <w:rsid w:val="002E2D7B"/>
    <w:rsid w:val="002E5E6A"/>
    <w:rsid w:val="002F14AA"/>
    <w:rsid w:val="002F2198"/>
    <w:rsid w:val="002F37BE"/>
    <w:rsid w:val="002F4577"/>
    <w:rsid w:val="002F6424"/>
    <w:rsid w:val="00300D0B"/>
    <w:rsid w:val="00304D88"/>
    <w:rsid w:val="003056A2"/>
    <w:rsid w:val="00306096"/>
    <w:rsid w:val="00306678"/>
    <w:rsid w:val="003107AB"/>
    <w:rsid w:val="003111C0"/>
    <w:rsid w:val="0031645D"/>
    <w:rsid w:val="00317A04"/>
    <w:rsid w:val="00317A10"/>
    <w:rsid w:val="00320A67"/>
    <w:rsid w:val="00321565"/>
    <w:rsid w:val="0032187D"/>
    <w:rsid w:val="00323CD2"/>
    <w:rsid w:val="003272FB"/>
    <w:rsid w:val="003317CD"/>
    <w:rsid w:val="003367C6"/>
    <w:rsid w:val="0034179E"/>
    <w:rsid w:val="00341AC3"/>
    <w:rsid w:val="00341CFC"/>
    <w:rsid w:val="0034299B"/>
    <w:rsid w:val="003430A8"/>
    <w:rsid w:val="003443B2"/>
    <w:rsid w:val="0034637B"/>
    <w:rsid w:val="00361B9C"/>
    <w:rsid w:val="00365C45"/>
    <w:rsid w:val="00374444"/>
    <w:rsid w:val="00376114"/>
    <w:rsid w:val="00376CEC"/>
    <w:rsid w:val="00377697"/>
    <w:rsid w:val="00380758"/>
    <w:rsid w:val="003827B4"/>
    <w:rsid w:val="00383C82"/>
    <w:rsid w:val="00386BBB"/>
    <w:rsid w:val="00386D84"/>
    <w:rsid w:val="0039245A"/>
    <w:rsid w:val="00394A1E"/>
    <w:rsid w:val="00397925"/>
    <w:rsid w:val="003A60CC"/>
    <w:rsid w:val="003A61F9"/>
    <w:rsid w:val="003A73D3"/>
    <w:rsid w:val="003B0B10"/>
    <w:rsid w:val="003B1A03"/>
    <w:rsid w:val="003B1C4E"/>
    <w:rsid w:val="003B1E88"/>
    <w:rsid w:val="003B5455"/>
    <w:rsid w:val="003B5FFE"/>
    <w:rsid w:val="003B63C0"/>
    <w:rsid w:val="003C2632"/>
    <w:rsid w:val="003C2A8E"/>
    <w:rsid w:val="003C4EB8"/>
    <w:rsid w:val="003C7873"/>
    <w:rsid w:val="003C78F7"/>
    <w:rsid w:val="003D153C"/>
    <w:rsid w:val="003D4054"/>
    <w:rsid w:val="003D43BA"/>
    <w:rsid w:val="003E0BC5"/>
    <w:rsid w:val="003E16E1"/>
    <w:rsid w:val="003E2624"/>
    <w:rsid w:val="003E34C9"/>
    <w:rsid w:val="003E3A95"/>
    <w:rsid w:val="003E4B54"/>
    <w:rsid w:val="003E67F6"/>
    <w:rsid w:val="003F332C"/>
    <w:rsid w:val="003F659A"/>
    <w:rsid w:val="00400E16"/>
    <w:rsid w:val="004012CF"/>
    <w:rsid w:val="004012E1"/>
    <w:rsid w:val="004028F5"/>
    <w:rsid w:val="00402FF3"/>
    <w:rsid w:val="00404627"/>
    <w:rsid w:val="00405EAB"/>
    <w:rsid w:val="004069EB"/>
    <w:rsid w:val="004111DA"/>
    <w:rsid w:val="00411403"/>
    <w:rsid w:val="00412A36"/>
    <w:rsid w:val="00413327"/>
    <w:rsid w:val="00413F1C"/>
    <w:rsid w:val="00423213"/>
    <w:rsid w:val="0042416D"/>
    <w:rsid w:val="0042767F"/>
    <w:rsid w:val="004312E4"/>
    <w:rsid w:val="00432A8A"/>
    <w:rsid w:val="00433507"/>
    <w:rsid w:val="00437A0E"/>
    <w:rsid w:val="00437C20"/>
    <w:rsid w:val="00443B76"/>
    <w:rsid w:val="004460C0"/>
    <w:rsid w:val="004502F1"/>
    <w:rsid w:val="004516EB"/>
    <w:rsid w:val="004523AF"/>
    <w:rsid w:val="004529B6"/>
    <w:rsid w:val="00453DBD"/>
    <w:rsid w:val="00454CE6"/>
    <w:rsid w:val="00457A9F"/>
    <w:rsid w:val="004605D3"/>
    <w:rsid w:val="0046133D"/>
    <w:rsid w:val="00462881"/>
    <w:rsid w:val="00462B0D"/>
    <w:rsid w:val="0046475C"/>
    <w:rsid w:val="004702BF"/>
    <w:rsid w:val="00470F88"/>
    <w:rsid w:val="00472649"/>
    <w:rsid w:val="00475F48"/>
    <w:rsid w:val="00477430"/>
    <w:rsid w:val="00477CC2"/>
    <w:rsid w:val="00480427"/>
    <w:rsid w:val="0048180A"/>
    <w:rsid w:val="00481C7A"/>
    <w:rsid w:val="004836B3"/>
    <w:rsid w:val="00485906"/>
    <w:rsid w:val="004906C8"/>
    <w:rsid w:val="00490E4D"/>
    <w:rsid w:val="004927B2"/>
    <w:rsid w:val="0049459B"/>
    <w:rsid w:val="00495252"/>
    <w:rsid w:val="004964B5"/>
    <w:rsid w:val="0049664A"/>
    <w:rsid w:val="0049675F"/>
    <w:rsid w:val="004967E2"/>
    <w:rsid w:val="0049785D"/>
    <w:rsid w:val="004A290F"/>
    <w:rsid w:val="004A451E"/>
    <w:rsid w:val="004A5FFD"/>
    <w:rsid w:val="004A7195"/>
    <w:rsid w:val="004A7CE2"/>
    <w:rsid w:val="004B1E4C"/>
    <w:rsid w:val="004B376D"/>
    <w:rsid w:val="004B5DEC"/>
    <w:rsid w:val="004B7F32"/>
    <w:rsid w:val="004C1DF1"/>
    <w:rsid w:val="004C4C4A"/>
    <w:rsid w:val="004C4E77"/>
    <w:rsid w:val="004D08EB"/>
    <w:rsid w:val="004D6029"/>
    <w:rsid w:val="004E0679"/>
    <w:rsid w:val="004E0B32"/>
    <w:rsid w:val="004E2371"/>
    <w:rsid w:val="004E6BE9"/>
    <w:rsid w:val="004E79A4"/>
    <w:rsid w:val="004F17EE"/>
    <w:rsid w:val="004F26CF"/>
    <w:rsid w:val="004F4792"/>
    <w:rsid w:val="004F4DF1"/>
    <w:rsid w:val="004F5301"/>
    <w:rsid w:val="004F75A1"/>
    <w:rsid w:val="004F7A30"/>
    <w:rsid w:val="00502F50"/>
    <w:rsid w:val="00503655"/>
    <w:rsid w:val="005056EA"/>
    <w:rsid w:val="00505759"/>
    <w:rsid w:val="0050578D"/>
    <w:rsid w:val="0051107C"/>
    <w:rsid w:val="00514187"/>
    <w:rsid w:val="00515090"/>
    <w:rsid w:val="00521E57"/>
    <w:rsid w:val="0052674F"/>
    <w:rsid w:val="00527EBC"/>
    <w:rsid w:val="005305EA"/>
    <w:rsid w:val="00530E3E"/>
    <w:rsid w:val="005311BB"/>
    <w:rsid w:val="00532799"/>
    <w:rsid w:val="005371E7"/>
    <w:rsid w:val="00540538"/>
    <w:rsid w:val="00540C92"/>
    <w:rsid w:val="00543445"/>
    <w:rsid w:val="005478DE"/>
    <w:rsid w:val="005520FE"/>
    <w:rsid w:val="0055211D"/>
    <w:rsid w:val="00552FA7"/>
    <w:rsid w:val="00553AA5"/>
    <w:rsid w:val="00553E92"/>
    <w:rsid w:val="00554927"/>
    <w:rsid w:val="00556513"/>
    <w:rsid w:val="00560D4A"/>
    <w:rsid w:val="00562570"/>
    <w:rsid w:val="00562653"/>
    <w:rsid w:val="00562F51"/>
    <w:rsid w:val="0056468F"/>
    <w:rsid w:val="00564B48"/>
    <w:rsid w:val="00566E4B"/>
    <w:rsid w:val="0056782C"/>
    <w:rsid w:val="00567F9A"/>
    <w:rsid w:val="005705E2"/>
    <w:rsid w:val="005714B9"/>
    <w:rsid w:val="00572B75"/>
    <w:rsid w:val="005733EB"/>
    <w:rsid w:val="00580802"/>
    <w:rsid w:val="00581A22"/>
    <w:rsid w:val="005833A8"/>
    <w:rsid w:val="0058661B"/>
    <w:rsid w:val="005910DD"/>
    <w:rsid w:val="00593E91"/>
    <w:rsid w:val="00595600"/>
    <w:rsid w:val="00596DC4"/>
    <w:rsid w:val="00597589"/>
    <w:rsid w:val="005A0B49"/>
    <w:rsid w:val="005A52D9"/>
    <w:rsid w:val="005A5A6E"/>
    <w:rsid w:val="005A694B"/>
    <w:rsid w:val="005A6D57"/>
    <w:rsid w:val="005B0424"/>
    <w:rsid w:val="005B37EF"/>
    <w:rsid w:val="005B5B70"/>
    <w:rsid w:val="005B5F05"/>
    <w:rsid w:val="005B77A6"/>
    <w:rsid w:val="005B79E7"/>
    <w:rsid w:val="005C0E09"/>
    <w:rsid w:val="005C1B2E"/>
    <w:rsid w:val="005C3E35"/>
    <w:rsid w:val="005C40CB"/>
    <w:rsid w:val="005C6982"/>
    <w:rsid w:val="005D0901"/>
    <w:rsid w:val="005D16DD"/>
    <w:rsid w:val="005D2B59"/>
    <w:rsid w:val="005D362F"/>
    <w:rsid w:val="005D370F"/>
    <w:rsid w:val="005D5217"/>
    <w:rsid w:val="005D5E8C"/>
    <w:rsid w:val="005E4D7C"/>
    <w:rsid w:val="005E4EB4"/>
    <w:rsid w:val="005E5492"/>
    <w:rsid w:val="005E7231"/>
    <w:rsid w:val="005E7A49"/>
    <w:rsid w:val="005F048E"/>
    <w:rsid w:val="005F1408"/>
    <w:rsid w:val="005F1E0B"/>
    <w:rsid w:val="005F57F0"/>
    <w:rsid w:val="005F7424"/>
    <w:rsid w:val="005F7D10"/>
    <w:rsid w:val="00600FB9"/>
    <w:rsid w:val="00602223"/>
    <w:rsid w:val="0060242C"/>
    <w:rsid w:val="0060304F"/>
    <w:rsid w:val="00606FDA"/>
    <w:rsid w:val="0061042F"/>
    <w:rsid w:val="006168E4"/>
    <w:rsid w:val="00616943"/>
    <w:rsid w:val="006214B9"/>
    <w:rsid w:val="00621940"/>
    <w:rsid w:val="00625866"/>
    <w:rsid w:val="00630539"/>
    <w:rsid w:val="0063265C"/>
    <w:rsid w:val="00633079"/>
    <w:rsid w:val="00635020"/>
    <w:rsid w:val="00635846"/>
    <w:rsid w:val="00637512"/>
    <w:rsid w:val="00640EE4"/>
    <w:rsid w:val="0064168D"/>
    <w:rsid w:val="00643161"/>
    <w:rsid w:val="006466F5"/>
    <w:rsid w:val="006468D6"/>
    <w:rsid w:val="006529A5"/>
    <w:rsid w:val="006536EF"/>
    <w:rsid w:val="00655735"/>
    <w:rsid w:val="00661404"/>
    <w:rsid w:val="00661753"/>
    <w:rsid w:val="006646AC"/>
    <w:rsid w:val="00664D5B"/>
    <w:rsid w:val="00666D86"/>
    <w:rsid w:val="00671D7C"/>
    <w:rsid w:val="00681802"/>
    <w:rsid w:val="00682225"/>
    <w:rsid w:val="006822F4"/>
    <w:rsid w:val="00682B6F"/>
    <w:rsid w:val="00683417"/>
    <w:rsid w:val="00684893"/>
    <w:rsid w:val="006848B7"/>
    <w:rsid w:val="00684CBE"/>
    <w:rsid w:val="00686FC2"/>
    <w:rsid w:val="00697281"/>
    <w:rsid w:val="006A2C7F"/>
    <w:rsid w:val="006B1953"/>
    <w:rsid w:val="006B1BF1"/>
    <w:rsid w:val="006B1C95"/>
    <w:rsid w:val="006B26E3"/>
    <w:rsid w:val="006B3302"/>
    <w:rsid w:val="006B37EA"/>
    <w:rsid w:val="006B7444"/>
    <w:rsid w:val="006C32EE"/>
    <w:rsid w:val="006C64A7"/>
    <w:rsid w:val="006C6A05"/>
    <w:rsid w:val="006D23FC"/>
    <w:rsid w:val="006D3CD7"/>
    <w:rsid w:val="006D5719"/>
    <w:rsid w:val="006E01D1"/>
    <w:rsid w:val="006E2523"/>
    <w:rsid w:val="006F1B61"/>
    <w:rsid w:val="006F53A9"/>
    <w:rsid w:val="006F5A35"/>
    <w:rsid w:val="006F610D"/>
    <w:rsid w:val="006F6E0E"/>
    <w:rsid w:val="00701033"/>
    <w:rsid w:val="007024E8"/>
    <w:rsid w:val="0070371E"/>
    <w:rsid w:val="00705F8F"/>
    <w:rsid w:val="007064F6"/>
    <w:rsid w:val="007078A3"/>
    <w:rsid w:val="00711536"/>
    <w:rsid w:val="00712642"/>
    <w:rsid w:val="007129C0"/>
    <w:rsid w:val="007142B5"/>
    <w:rsid w:val="00716BFE"/>
    <w:rsid w:val="007234D1"/>
    <w:rsid w:val="0072600B"/>
    <w:rsid w:val="00731428"/>
    <w:rsid w:val="0073157A"/>
    <w:rsid w:val="00735209"/>
    <w:rsid w:val="00744E29"/>
    <w:rsid w:val="00744EEF"/>
    <w:rsid w:val="00751632"/>
    <w:rsid w:val="007517D1"/>
    <w:rsid w:val="007524CA"/>
    <w:rsid w:val="00754CAE"/>
    <w:rsid w:val="00757F12"/>
    <w:rsid w:val="007658D5"/>
    <w:rsid w:val="00772BA8"/>
    <w:rsid w:val="00774266"/>
    <w:rsid w:val="0078028A"/>
    <w:rsid w:val="007806CB"/>
    <w:rsid w:val="00781C64"/>
    <w:rsid w:val="00783A7C"/>
    <w:rsid w:val="007848FB"/>
    <w:rsid w:val="007851D5"/>
    <w:rsid w:val="00785698"/>
    <w:rsid w:val="0078693A"/>
    <w:rsid w:val="00794153"/>
    <w:rsid w:val="0079486A"/>
    <w:rsid w:val="00794E74"/>
    <w:rsid w:val="00794F80"/>
    <w:rsid w:val="0079666D"/>
    <w:rsid w:val="00797B4F"/>
    <w:rsid w:val="007A139A"/>
    <w:rsid w:val="007A1C9E"/>
    <w:rsid w:val="007A3BB5"/>
    <w:rsid w:val="007B2C77"/>
    <w:rsid w:val="007B7A6F"/>
    <w:rsid w:val="007B7E1A"/>
    <w:rsid w:val="007C2C6B"/>
    <w:rsid w:val="007C3FF2"/>
    <w:rsid w:val="007C5E10"/>
    <w:rsid w:val="007C7FF1"/>
    <w:rsid w:val="007D15EF"/>
    <w:rsid w:val="007D1A27"/>
    <w:rsid w:val="007D1B24"/>
    <w:rsid w:val="007D1F15"/>
    <w:rsid w:val="007D25B1"/>
    <w:rsid w:val="007D2878"/>
    <w:rsid w:val="007D300A"/>
    <w:rsid w:val="007D661B"/>
    <w:rsid w:val="007E26F8"/>
    <w:rsid w:val="007E2A9D"/>
    <w:rsid w:val="007E3A35"/>
    <w:rsid w:val="007E49BA"/>
    <w:rsid w:val="007E5726"/>
    <w:rsid w:val="007E7BAB"/>
    <w:rsid w:val="007E7DCE"/>
    <w:rsid w:val="007F1347"/>
    <w:rsid w:val="007F20AC"/>
    <w:rsid w:val="007F43BD"/>
    <w:rsid w:val="007F53D4"/>
    <w:rsid w:val="007F7DC1"/>
    <w:rsid w:val="00800927"/>
    <w:rsid w:val="008016F1"/>
    <w:rsid w:val="00802C56"/>
    <w:rsid w:val="00804BD9"/>
    <w:rsid w:val="00805270"/>
    <w:rsid w:val="00806AA1"/>
    <w:rsid w:val="008111EB"/>
    <w:rsid w:val="00811205"/>
    <w:rsid w:val="00811D16"/>
    <w:rsid w:val="00812C48"/>
    <w:rsid w:val="008146F9"/>
    <w:rsid w:val="00814D55"/>
    <w:rsid w:val="00815095"/>
    <w:rsid w:val="008159C4"/>
    <w:rsid w:val="0081655D"/>
    <w:rsid w:val="008230AE"/>
    <w:rsid w:val="00824DCD"/>
    <w:rsid w:val="00831D3F"/>
    <w:rsid w:val="00832986"/>
    <w:rsid w:val="00833DB5"/>
    <w:rsid w:val="00835692"/>
    <w:rsid w:val="008419A8"/>
    <w:rsid w:val="008436AD"/>
    <w:rsid w:val="00844569"/>
    <w:rsid w:val="00846539"/>
    <w:rsid w:val="0084766D"/>
    <w:rsid w:val="00847D23"/>
    <w:rsid w:val="00855544"/>
    <w:rsid w:val="00856D15"/>
    <w:rsid w:val="0086020D"/>
    <w:rsid w:val="00863327"/>
    <w:rsid w:val="008643DE"/>
    <w:rsid w:val="00867B2F"/>
    <w:rsid w:val="00870B6A"/>
    <w:rsid w:val="00870F44"/>
    <w:rsid w:val="00874015"/>
    <w:rsid w:val="00876A75"/>
    <w:rsid w:val="0087786C"/>
    <w:rsid w:val="00883587"/>
    <w:rsid w:val="00884054"/>
    <w:rsid w:val="00886712"/>
    <w:rsid w:val="008868B6"/>
    <w:rsid w:val="00891715"/>
    <w:rsid w:val="00893C5F"/>
    <w:rsid w:val="00895089"/>
    <w:rsid w:val="008951ED"/>
    <w:rsid w:val="00896BBD"/>
    <w:rsid w:val="00897208"/>
    <w:rsid w:val="008A1129"/>
    <w:rsid w:val="008A322D"/>
    <w:rsid w:val="008A75BE"/>
    <w:rsid w:val="008B14D0"/>
    <w:rsid w:val="008C2BCF"/>
    <w:rsid w:val="008C32A8"/>
    <w:rsid w:val="008C55A3"/>
    <w:rsid w:val="008C6EB7"/>
    <w:rsid w:val="008D06E0"/>
    <w:rsid w:val="008D1DFF"/>
    <w:rsid w:val="008D6B66"/>
    <w:rsid w:val="008E0F5C"/>
    <w:rsid w:val="008E6375"/>
    <w:rsid w:val="008F15EE"/>
    <w:rsid w:val="008F16D2"/>
    <w:rsid w:val="008F3674"/>
    <w:rsid w:val="008F4C65"/>
    <w:rsid w:val="008F79AB"/>
    <w:rsid w:val="009020E0"/>
    <w:rsid w:val="0090233A"/>
    <w:rsid w:val="00903410"/>
    <w:rsid w:val="00905422"/>
    <w:rsid w:val="00907A17"/>
    <w:rsid w:val="00910B4E"/>
    <w:rsid w:val="009130C0"/>
    <w:rsid w:val="00913133"/>
    <w:rsid w:val="00913283"/>
    <w:rsid w:val="00915791"/>
    <w:rsid w:val="00916B04"/>
    <w:rsid w:val="00917869"/>
    <w:rsid w:val="0092113F"/>
    <w:rsid w:val="00921DB9"/>
    <w:rsid w:val="00922358"/>
    <w:rsid w:val="0092403D"/>
    <w:rsid w:val="00926D71"/>
    <w:rsid w:val="00932888"/>
    <w:rsid w:val="009331C2"/>
    <w:rsid w:val="009402DB"/>
    <w:rsid w:val="0094160B"/>
    <w:rsid w:val="00943F2E"/>
    <w:rsid w:val="00944898"/>
    <w:rsid w:val="009449B8"/>
    <w:rsid w:val="00944DC9"/>
    <w:rsid w:val="0094790D"/>
    <w:rsid w:val="0094795E"/>
    <w:rsid w:val="00951862"/>
    <w:rsid w:val="00951D52"/>
    <w:rsid w:val="00952187"/>
    <w:rsid w:val="0095371C"/>
    <w:rsid w:val="00954916"/>
    <w:rsid w:val="00960A6D"/>
    <w:rsid w:val="00960A7F"/>
    <w:rsid w:val="009611E0"/>
    <w:rsid w:val="00965FEE"/>
    <w:rsid w:val="0096643B"/>
    <w:rsid w:val="009706B5"/>
    <w:rsid w:val="00970CE3"/>
    <w:rsid w:val="009718BF"/>
    <w:rsid w:val="00972BDF"/>
    <w:rsid w:val="0097390F"/>
    <w:rsid w:val="00980EFE"/>
    <w:rsid w:val="0098182D"/>
    <w:rsid w:val="00985C4C"/>
    <w:rsid w:val="0098704B"/>
    <w:rsid w:val="00993821"/>
    <w:rsid w:val="00994280"/>
    <w:rsid w:val="009970B5"/>
    <w:rsid w:val="009A0D0A"/>
    <w:rsid w:val="009A0FAE"/>
    <w:rsid w:val="009A11DA"/>
    <w:rsid w:val="009A2418"/>
    <w:rsid w:val="009A3752"/>
    <w:rsid w:val="009A64BD"/>
    <w:rsid w:val="009A686F"/>
    <w:rsid w:val="009A6ACC"/>
    <w:rsid w:val="009B1636"/>
    <w:rsid w:val="009B33A8"/>
    <w:rsid w:val="009B3487"/>
    <w:rsid w:val="009B4510"/>
    <w:rsid w:val="009B5F5A"/>
    <w:rsid w:val="009B7C61"/>
    <w:rsid w:val="009C0DC9"/>
    <w:rsid w:val="009C3793"/>
    <w:rsid w:val="009C451F"/>
    <w:rsid w:val="009C5E96"/>
    <w:rsid w:val="009C726D"/>
    <w:rsid w:val="009D303E"/>
    <w:rsid w:val="009D3697"/>
    <w:rsid w:val="009D5F9E"/>
    <w:rsid w:val="009D70B9"/>
    <w:rsid w:val="009E08DE"/>
    <w:rsid w:val="009E1411"/>
    <w:rsid w:val="009E52F2"/>
    <w:rsid w:val="009E5717"/>
    <w:rsid w:val="009F01C0"/>
    <w:rsid w:val="009F1278"/>
    <w:rsid w:val="009F3C1F"/>
    <w:rsid w:val="009F491E"/>
    <w:rsid w:val="009F5DB2"/>
    <w:rsid w:val="009F614E"/>
    <w:rsid w:val="009F762B"/>
    <w:rsid w:val="00A0172D"/>
    <w:rsid w:val="00A02047"/>
    <w:rsid w:val="00A036BE"/>
    <w:rsid w:val="00A03C4B"/>
    <w:rsid w:val="00A04C52"/>
    <w:rsid w:val="00A07627"/>
    <w:rsid w:val="00A11AE6"/>
    <w:rsid w:val="00A12205"/>
    <w:rsid w:val="00A152BD"/>
    <w:rsid w:val="00A20E27"/>
    <w:rsid w:val="00A21876"/>
    <w:rsid w:val="00A26BC8"/>
    <w:rsid w:val="00A30C44"/>
    <w:rsid w:val="00A328AE"/>
    <w:rsid w:val="00A36550"/>
    <w:rsid w:val="00A4131E"/>
    <w:rsid w:val="00A41694"/>
    <w:rsid w:val="00A43501"/>
    <w:rsid w:val="00A453DC"/>
    <w:rsid w:val="00A46BDA"/>
    <w:rsid w:val="00A52B17"/>
    <w:rsid w:val="00A52D82"/>
    <w:rsid w:val="00A535E3"/>
    <w:rsid w:val="00A570A7"/>
    <w:rsid w:val="00A57C26"/>
    <w:rsid w:val="00A61697"/>
    <w:rsid w:val="00A625E2"/>
    <w:rsid w:val="00A62AA3"/>
    <w:rsid w:val="00A62B55"/>
    <w:rsid w:val="00A64C80"/>
    <w:rsid w:val="00A67EF9"/>
    <w:rsid w:val="00A72465"/>
    <w:rsid w:val="00A80C92"/>
    <w:rsid w:val="00A81BCB"/>
    <w:rsid w:val="00A82461"/>
    <w:rsid w:val="00A840FB"/>
    <w:rsid w:val="00A84571"/>
    <w:rsid w:val="00A84CDC"/>
    <w:rsid w:val="00A851D8"/>
    <w:rsid w:val="00A85E37"/>
    <w:rsid w:val="00A860FD"/>
    <w:rsid w:val="00A86416"/>
    <w:rsid w:val="00A90202"/>
    <w:rsid w:val="00A908EE"/>
    <w:rsid w:val="00A9099E"/>
    <w:rsid w:val="00A921D0"/>
    <w:rsid w:val="00A9277F"/>
    <w:rsid w:val="00A95083"/>
    <w:rsid w:val="00A953BA"/>
    <w:rsid w:val="00A95A9B"/>
    <w:rsid w:val="00A96E60"/>
    <w:rsid w:val="00A97D27"/>
    <w:rsid w:val="00AA1687"/>
    <w:rsid w:val="00AA285C"/>
    <w:rsid w:val="00AA5D62"/>
    <w:rsid w:val="00AB14BD"/>
    <w:rsid w:val="00AB1D6A"/>
    <w:rsid w:val="00AB3710"/>
    <w:rsid w:val="00AB4B0F"/>
    <w:rsid w:val="00AB4FA1"/>
    <w:rsid w:val="00AB6C3B"/>
    <w:rsid w:val="00AC0516"/>
    <w:rsid w:val="00AC0D96"/>
    <w:rsid w:val="00AC48E0"/>
    <w:rsid w:val="00AC63E0"/>
    <w:rsid w:val="00AC7C82"/>
    <w:rsid w:val="00AD0346"/>
    <w:rsid w:val="00AD1553"/>
    <w:rsid w:val="00AD25F0"/>
    <w:rsid w:val="00AD2A6A"/>
    <w:rsid w:val="00AD2EBD"/>
    <w:rsid w:val="00AD461A"/>
    <w:rsid w:val="00AD5E08"/>
    <w:rsid w:val="00AD6EAA"/>
    <w:rsid w:val="00AE008F"/>
    <w:rsid w:val="00AE04E8"/>
    <w:rsid w:val="00AE0C09"/>
    <w:rsid w:val="00AE0D01"/>
    <w:rsid w:val="00AE2056"/>
    <w:rsid w:val="00AF16C8"/>
    <w:rsid w:val="00AF74DA"/>
    <w:rsid w:val="00B00C72"/>
    <w:rsid w:val="00B01443"/>
    <w:rsid w:val="00B04CF0"/>
    <w:rsid w:val="00B05F3F"/>
    <w:rsid w:val="00B070A2"/>
    <w:rsid w:val="00B07F60"/>
    <w:rsid w:val="00B10E49"/>
    <w:rsid w:val="00B11E08"/>
    <w:rsid w:val="00B145FA"/>
    <w:rsid w:val="00B15BF1"/>
    <w:rsid w:val="00B16009"/>
    <w:rsid w:val="00B2037B"/>
    <w:rsid w:val="00B23274"/>
    <w:rsid w:val="00B272A6"/>
    <w:rsid w:val="00B30856"/>
    <w:rsid w:val="00B32CD3"/>
    <w:rsid w:val="00B34CA9"/>
    <w:rsid w:val="00B35797"/>
    <w:rsid w:val="00B35A93"/>
    <w:rsid w:val="00B3672D"/>
    <w:rsid w:val="00B40656"/>
    <w:rsid w:val="00B40F8A"/>
    <w:rsid w:val="00B4745C"/>
    <w:rsid w:val="00B50AAA"/>
    <w:rsid w:val="00B544D9"/>
    <w:rsid w:val="00B658D4"/>
    <w:rsid w:val="00B75A2C"/>
    <w:rsid w:val="00B813AC"/>
    <w:rsid w:val="00B8376C"/>
    <w:rsid w:val="00B84260"/>
    <w:rsid w:val="00B8738D"/>
    <w:rsid w:val="00B91F0B"/>
    <w:rsid w:val="00B9223B"/>
    <w:rsid w:val="00B92D47"/>
    <w:rsid w:val="00B961A5"/>
    <w:rsid w:val="00BA18D5"/>
    <w:rsid w:val="00BA49CC"/>
    <w:rsid w:val="00BA4D1F"/>
    <w:rsid w:val="00BA6C49"/>
    <w:rsid w:val="00BA7AD1"/>
    <w:rsid w:val="00BB0B9D"/>
    <w:rsid w:val="00BB1372"/>
    <w:rsid w:val="00BB1CC2"/>
    <w:rsid w:val="00BB2250"/>
    <w:rsid w:val="00BB4F63"/>
    <w:rsid w:val="00BB744D"/>
    <w:rsid w:val="00BB7708"/>
    <w:rsid w:val="00BC0FDD"/>
    <w:rsid w:val="00BC22E0"/>
    <w:rsid w:val="00BC4AA7"/>
    <w:rsid w:val="00BC5852"/>
    <w:rsid w:val="00BD5425"/>
    <w:rsid w:val="00BD6F2F"/>
    <w:rsid w:val="00BD705F"/>
    <w:rsid w:val="00BE215B"/>
    <w:rsid w:val="00BE28ED"/>
    <w:rsid w:val="00BE3163"/>
    <w:rsid w:val="00BE55D6"/>
    <w:rsid w:val="00BF21C5"/>
    <w:rsid w:val="00BF2EA1"/>
    <w:rsid w:val="00BF543F"/>
    <w:rsid w:val="00BF6902"/>
    <w:rsid w:val="00BF7421"/>
    <w:rsid w:val="00C01E2A"/>
    <w:rsid w:val="00C06E2B"/>
    <w:rsid w:val="00C07650"/>
    <w:rsid w:val="00C104DD"/>
    <w:rsid w:val="00C1331F"/>
    <w:rsid w:val="00C15275"/>
    <w:rsid w:val="00C15B36"/>
    <w:rsid w:val="00C15E31"/>
    <w:rsid w:val="00C16479"/>
    <w:rsid w:val="00C2058D"/>
    <w:rsid w:val="00C25084"/>
    <w:rsid w:val="00C250CB"/>
    <w:rsid w:val="00C261C7"/>
    <w:rsid w:val="00C2768B"/>
    <w:rsid w:val="00C276A1"/>
    <w:rsid w:val="00C316A8"/>
    <w:rsid w:val="00C337F9"/>
    <w:rsid w:val="00C3746F"/>
    <w:rsid w:val="00C3768A"/>
    <w:rsid w:val="00C37D9D"/>
    <w:rsid w:val="00C4139D"/>
    <w:rsid w:val="00C45900"/>
    <w:rsid w:val="00C45DE7"/>
    <w:rsid w:val="00C5035A"/>
    <w:rsid w:val="00C5122B"/>
    <w:rsid w:val="00C538D4"/>
    <w:rsid w:val="00C562FD"/>
    <w:rsid w:val="00C56C17"/>
    <w:rsid w:val="00C71CD1"/>
    <w:rsid w:val="00C73143"/>
    <w:rsid w:val="00C76C40"/>
    <w:rsid w:val="00C77685"/>
    <w:rsid w:val="00C77815"/>
    <w:rsid w:val="00C80ED6"/>
    <w:rsid w:val="00C82D1D"/>
    <w:rsid w:val="00C85259"/>
    <w:rsid w:val="00C85378"/>
    <w:rsid w:val="00C866F1"/>
    <w:rsid w:val="00C86808"/>
    <w:rsid w:val="00C87238"/>
    <w:rsid w:val="00C9297C"/>
    <w:rsid w:val="00C961E8"/>
    <w:rsid w:val="00C967A3"/>
    <w:rsid w:val="00CA1C79"/>
    <w:rsid w:val="00CA30DB"/>
    <w:rsid w:val="00CA491B"/>
    <w:rsid w:val="00CA6D58"/>
    <w:rsid w:val="00CA6FDA"/>
    <w:rsid w:val="00CA7943"/>
    <w:rsid w:val="00CB3B6F"/>
    <w:rsid w:val="00CB3D57"/>
    <w:rsid w:val="00CB73C0"/>
    <w:rsid w:val="00CC0C5F"/>
    <w:rsid w:val="00CC24B0"/>
    <w:rsid w:val="00CC2788"/>
    <w:rsid w:val="00CC2F3D"/>
    <w:rsid w:val="00CC5FF3"/>
    <w:rsid w:val="00CD1B1F"/>
    <w:rsid w:val="00CD462F"/>
    <w:rsid w:val="00CD7178"/>
    <w:rsid w:val="00CE2ADF"/>
    <w:rsid w:val="00CE33FC"/>
    <w:rsid w:val="00CE4B84"/>
    <w:rsid w:val="00CE74B0"/>
    <w:rsid w:val="00CF00DE"/>
    <w:rsid w:val="00CF052D"/>
    <w:rsid w:val="00CF1D7D"/>
    <w:rsid w:val="00CF3998"/>
    <w:rsid w:val="00CF3D69"/>
    <w:rsid w:val="00CF45D3"/>
    <w:rsid w:val="00CF4910"/>
    <w:rsid w:val="00CF4D04"/>
    <w:rsid w:val="00CF4E1C"/>
    <w:rsid w:val="00CF6B6C"/>
    <w:rsid w:val="00CF7B6B"/>
    <w:rsid w:val="00D00804"/>
    <w:rsid w:val="00D01094"/>
    <w:rsid w:val="00D01EA5"/>
    <w:rsid w:val="00D02978"/>
    <w:rsid w:val="00D03A57"/>
    <w:rsid w:val="00D042BB"/>
    <w:rsid w:val="00D06321"/>
    <w:rsid w:val="00D06CA0"/>
    <w:rsid w:val="00D07E06"/>
    <w:rsid w:val="00D108E6"/>
    <w:rsid w:val="00D1312A"/>
    <w:rsid w:val="00D13159"/>
    <w:rsid w:val="00D13814"/>
    <w:rsid w:val="00D14BA9"/>
    <w:rsid w:val="00D16F75"/>
    <w:rsid w:val="00D17789"/>
    <w:rsid w:val="00D21565"/>
    <w:rsid w:val="00D2737E"/>
    <w:rsid w:val="00D274A9"/>
    <w:rsid w:val="00D30750"/>
    <w:rsid w:val="00D30DCC"/>
    <w:rsid w:val="00D32644"/>
    <w:rsid w:val="00D33619"/>
    <w:rsid w:val="00D40C02"/>
    <w:rsid w:val="00D427A6"/>
    <w:rsid w:val="00D42AFE"/>
    <w:rsid w:val="00D475A2"/>
    <w:rsid w:val="00D5015D"/>
    <w:rsid w:val="00D52355"/>
    <w:rsid w:val="00D52606"/>
    <w:rsid w:val="00D52AC7"/>
    <w:rsid w:val="00D53360"/>
    <w:rsid w:val="00D54CA9"/>
    <w:rsid w:val="00D563D9"/>
    <w:rsid w:val="00D6188C"/>
    <w:rsid w:val="00D61959"/>
    <w:rsid w:val="00D6340F"/>
    <w:rsid w:val="00D6781D"/>
    <w:rsid w:val="00D67D98"/>
    <w:rsid w:val="00D72D16"/>
    <w:rsid w:val="00D7412C"/>
    <w:rsid w:val="00D75521"/>
    <w:rsid w:val="00D77C91"/>
    <w:rsid w:val="00D8195B"/>
    <w:rsid w:val="00D83503"/>
    <w:rsid w:val="00D84724"/>
    <w:rsid w:val="00D84AEA"/>
    <w:rsid w:val="00D8554E"/>
    <w:rsid w:val="00D8619F"/>
    <w:rsid w:val="00D86764"/>
    <w:rsid w:val="00D91F4E"/>
    <w:rsid w:val="00D93F28"/>
    <w:rsid w:val="00DA2E2B"/>
    <w:rsid w:val="00DA3DE4"/>
    <w:rsid w:val="00DA4349"/>
    <w:rsid w:val="00DA5F3E"/>
    <w:rsid w:val="00DA69DE"/>
    <w:rsid w:val="00DB5C0A"/>
    <w:rsid w:val="00DB6DAF"/>
    <w:rsid w:val="00DB6EB3"/>
    <w:rsid w:val="00DC0AF1"/>
    <w:rsid w:val="00DC2393"/>
    <w:rsid w:val="00DC588B"/>
    <w:rsid w:val="00DC64BF"/>
    <w:rsid w:val="00DD13E2"/>
    <w:rsid w:val="00DD624E"/>
    <w:rsid w:val="00DD6CBA"/>
    <w:rsid w:val="00DD7977"/>
    <w:rsid w:val="00DE34FF"/>
    <w:rsid w:val="00DF003C"/>
    <w:rsid w:val="00DF00D4"/>
    <w:rsid w:val="00DF3162"/>
    <w:rsid w:val="00DF4501"/>
    <w:rsid w:val="00DF7233"/>
    <w:rsid w:val="00DF78AE"/>
    <w:rsid w:val="00E033F2"/>
    <w:rsid w:val="00E0462A"/>
    <w:rsid w:val="00E07CC2"/>
    <w:rsid w:val="00E11A53"/>
    <w:rsid w:val="00E11E2E"/>
    <w:rsid w:val="00E125CA"/>
    <w:rsid w:val="00E14B17"/>
    <w:rsid w:val="00E14EAE"/>
    <w:rsid w:val="00E16394"/>
    <w:rsid w:val="00E207BD"/>
    <w:rsid w:val="00E22571"/>
    <w:rsid w:val="00E24F13"/>
    <w:rsid w:val="00E25156"/>
    <w:rsid w:val="00E25242"/>
    <w:rsid w:val="00E25AAC"/>
    <w:rsid w:val="00E2730D"/>
    <w:rsid w:val="00E279B9"/>
    <w:rsid w:val="00E30CA9"/>
    <w:rsid w:val="00E33AAA"/>
    <w:rsid w:val="00E33CB8"/>
    <w:rsid w:val="00E33F0E"/>
    <w:rsid w:val="00E36C8F"/>
    <w:rsid w:val="00E371EC"/>
    <w:rsid w:val="00E37EB7"/>
    <w:rsid w:val="00E404C5"/>
    <w:rsid w:val="00E40A10"/>
    <w:rsid w:val="00E41D59"/>
    <w:rsid w:val="00E42DA5"/>
    <w:rsid w:val="00E51EF9"/>
    <w:rsid w:val="00E524AA"/>
    <w:rsid w:val="00E54816"/>
    <w:rsid w:val="00E5512E"/>
    <w:rsid w:val="00E55E60"/>
    <w:rsid w:val="00E56594"/>
    <w:rsid w:val="00E578DF"/>
    <w:rsid w:val="00E57D18"/>
    <w:rsid w:val="00E605C2"/>
    <w:rsid w:val="00E6129C"/>
    <w:rsid w:val="00E644A0"/>
    <w:rsid w:val="00E67395"/>
    <w:rsid w:val="00E72707"/>
    <w:rsid w:val="00E72AE3"/>
    <w:rsid w:val="00E7349C"/>
    <w:rsid w:val="00E73B51"/>
    <w:rsid w:val="00E75790"/>
    <w:rsid w:val="00E80180"/>
    <w:rsid w:val="00E8129E"/>
    <w:rsid w:val="00E81A2B"/>
    <w:rsid w:val="00E81E42"/>
    <w:rsid w:val="00E97676"/>
    <w:rsid w:val="00EA1CE1"/>
    <w:rsid w:val="00EA1F89"/>
    <w:rsid w:val="00EB08A0"/>
    <w:rsid w:val="00EB117B"/>
    <w:rsid w:val="00EB40D6"/>
    <w:rsid w:val="00EB5F75"/>
    <w:rsid w:val="00EB7852"/>
    <w:rsid w:val="00EB79CD"/>
    <w:rsid w:val="00EC060D"/>
    <w:rsid w:val="00EC2525"/>
    <w:rsid w:val="00ED0E85"/>
    <w:rsid w:val="00EE0713"/>
    <w:rsid w:val="00EE07A6"/>
    <w:rsid w:val="00EE0F2E"/>
    <w:rsid w:val="00EE2364"/>
    <w:rsid w:val="00EE2A41"/>
    <w:rsid w:val="00EE4E10"/>
    <w:rsid w:val="00EE525B"/>
    <w:rsid w:val="00EE633C"/>
    <w:rsid w:val="00EF09FB"/>
    <w:rsid w:val="00EF0CFD"/>
    <w:rsid w:val="00EF0DE2"/>
    <w:rsid w:val="00EF4DFA"/>
    <w:rsid w:val="00EF5F08"/>
    <w:rsid w:val="00F02923"/>
    <w:rsid w:val="00F0351B"/>
    <w:rsid w:val="00F04089"/>
    <w:rsid w:val="00F06275"/>
    <w:rsid w:val="00F06472"/>
    <w:rsid w:val="00F06AB8"/>
    <w:rsid w:val="00F123EC"/>
    <w:rsid w:val="00F16331"/>
    <w:rsid w:val="00F22566"/>
    <w:rsid w:val="00F2294F"/>
    <w:rsid w:val="00F22963"/>
    <w:rsid w:val="00F378B2"/>
    <w:rsid w:val="00F403EA"/>
    <w:rsid w:val="00F40B51"/>
    <w:rsid w:val="00F40E4D"/>
    <w:rsid w:val="00F42499"/>
    <w:rsid w:val="00F42753"/>
    <w:rsid w:val="00F46CE7"/>
    <w:rsid w:val="00F46FA6"/>
    <w:rsid w:val="00F510DB"/>
    <w:rsid w:val="00F604E0"/>
    <w:rsid w:val="00F60F6C"/>
    <w:rsid w:val="00F6501E"/>
    <w:rsid w:val="00F70615"/>
    <w:rsid w:val="00F72722"/>
    <w:rsid w:val="00F727B0"/>
    <w:rsid w:val="00F7598B"/>
    <w:rsid w:val="00F843A4"/>
    <w:rsid w:val="00F87ADD"/>
    <w:rsid w:val="00F914FD"/>
    <w:rsid w:val="00F9164E"/>
    <w:rsid w:val="00F952BF"/>
    <w:rsid w:val="00F95515"/>
    <w:rsid w:val="00F974AA"/>
    <w:rsid w:val="00FA2545"/>
    <w:rsid w:val="00FA7CFC"/>
    <w:rsid w:val="00FB097C"/>
    <w:rsid w:val="00FB21C2"/>
    <w:rsid w:val="00FB4AAD"/>
    <w:rsid w:val="00FB4E3D"/>
    <w:rsid w:val="00FB5A22"/>
    <w:rsid w:val="00FB5F2A"/>
    <w:rsid w:val="00FC1407"/>
    <w:rsid w:val="00FC22E1"/>
    <w:rsid w:val="00FC2C8C"/>
    <w:rsid w:val="00FC4F9B"/>
    <w:rsid w:val="00FC59F0"/>
    <w:rsid w:val="00FD4599"/>
    <w:rsid w:val="00FD4784"/>
    <w:rsid w:val="00FD637E"/>
    <w:rsid w:val="00FD65FE"/>
    <w:rsid w:val="00FE0FAF"/>
    <w:rsid w:val="00FE35B1"/>
    <w:rsid w:val="00FE3C36"/>
    <w:rsid w:val="00FE427F"/>
    <w:rsid w:val="00FE4574"/>
    <w:rsid w:val="00FE72EA"/>
    <w:rsid w:val="00FF2475"/>
    <w:rsid w:val="00FF3477"/>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UnresolvedMention">
    <w:name w:val="Unresolved Mention"/>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
    <w:name w:val="INFOEM"/>
    <w:basedOn w:val="Normal"/>
    <w:qFormat/>
    <w:rsid w:val="00A26BC8"/>
    <w:pPr>
      <w:spacing w:before="240" w:line="360" w:lineRule="auto"/>
      <w:ind w:left="851" w:right="851"/>
      <w:jc w:val="both"/>
    </w:pPr>
    <w:rPr>
      <w:rFonts w:ascii="Palatino Linotype" w:hAnsi="Palatino Linotype" w:cs="Arial"/>
      <w:i/>
    </w:rPr>
  </w:style>
  <w:style w:type="paragraph" w:customStyle="1" w:styleId="Citas">
    <w:name w:val="Citas"/>
    <w:basedOn w:val="Normal"/>
    <w:qFormat/>
    <w:rsid w:val="004605D3"/>
    <w:pPr>
      <w:spacing w:before="240" w:line="360" w:lineRule="auto"/>
      <w:ind w:left="851" w:right="851"/>
      <w:jc w:val="both"/>
    </w:pPr>
    <w:rPr>
      <w:rFonts w:ascii="Palatino Linotype" w:hAnsi="Palatino Linotype" w:cs="Arial"/>
      <w:i/>
    </w:rPr>
  </w:style>
  <w:style w:type="paragraph" w:customStyle="1" w:styleId="CitasINFOEM">
    <w:name w:val="Citas INFOEM"/>
    <w:basedOn w:val="Normal"/>
    <w:qFormat/>
    <w:rsid w:val="00B05F3F"/>
    <w:pPr>
      <w:spacing w:before="240" w:line="360" w:lineRule="auto"/>
      <w:ind w:left="851" w:right="851"/>
      <w:jc w:val="both"/>
    </w:pPr>
    <w:rPr>
      <w:rFonts w:ascii="Palatino Linotype" w:eastAsia="Times New Roman" w:hAnsi="Palatino Linotype" w:cs="Times New Roman"/>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04989">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1075272">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4697829">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83478400">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39288582">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90057428">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682154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3648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em.org.mx/doc/normatividad/A_Acuerdo_mediante_el_cual_el_Pleno_del_INFOEM_modifica_el_Padron_de_Sujetos_Obligados_en_materia_de_Transparencia_y.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DFE56-CA59-420C-8E7D-E3D7B8398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27</Pages>
  <Words>4628</Words>
  <Characters>25456</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cp:lastPrinted>2018-12-04T20:35:00Z</cp:lastPrinted>
  <dcterms:created xsi:type="dcterms:W3CDTF">2021-04-28T16:21:00Z</dcterms:created>
  <dcterms:modified xsi:type="dcterms:W3CDTF">2021-06-17T20:01:00Z</dcterms:modified>
</cp:coreProperties>
</file>