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D20AF9" w14:textId="77777777" w:rsidR="00572EE3" w:rsidRPr="007B26FF" w:rsidRDefault="00572EE3" w:rsidP="00831F0C">
      <w:pPr>
        <w:spacing w:line="360" w:lineRule="auto"/>
        <w:jc w:val="center"/>
        <w:rPr>
          <w:rFonts w:ascii="Palatino Linotype" w:hAnsi="Palatino Linotype"/>
          <w:b/>
        </w:rPr>
      </w:pPr>
      <w:r w:rsidRPr="007B26FF">
        <w:rPr>
          <w:rFonts w:ascii="Palatino Linotype" w:hAnsi="Palatino Linotype"/>
          <w:b/>
        </w:rPr>
        <w:t>LÍNEAS ARGUMENTATIVAS</w:t>
      </w:r>
    </w:p>
    <w:p w14:paraId="310A1AE1" w14:textId="77777777" w:rsidR="00814119" w:rsidRPr="007B26FF" w:rsidRDefault="00814119" w:rsidP="00814119">
      <w:pPr>
        <w:spacing w:before="240" w:after="240" w:line="360" w:lineRule="auto"/>
        <w:jc w:val="both"/>
        <w:rPr>
          <w:rFonts w:ascii="Palatino Linotype" w:hAnsi="Palatino Linotype"/>
          <w:lang w:val="es-ES_tradnl" w:eastAsia="es-ES"/>
        </w:rPr>
      </w:pPr>
      <w:r w:rsidRPr="007B26FF">
        <w:rPr>
          <w:rFonts w:ascii="Palatino Linotype" w:hAnsi="Palatino Linotype"/>
          <w:b/>
          <w:lang w:eastAsia="es-ES"/>
        </w:rPr>
        <w:t xml:space="preserve">DE LAS RESPUESTAS INCOMPLETAS Y DEFICIENTES. </w:t>
      </w:r>
      <w:r w:rsidRPr="007B26FF">
        <w:rPr>
          <w:rFonts w:ascii="Palatino Linotype" w:hAnsi="Palatino Linotype"/>
          <w:lang w:eastAsia="es-ES"/>
        </w:rPr>
        <w:t xml:space="preserve">Las respuestas proporcionadas por los sujetos obligados que resulten incongruentes con lo solicitado, </w:t>
      </w:r>
      <w:proofErr w:type="gramStart"/>
      <w:r w:rsidRPr="007B26FF">
        <w:rPr>
          <w:rFonts w:ascii="Palatino Linotype" w:hAnsi="Palatino Linotype"/>
          <w:lang w:eastAsia="es-ES"/>
        </w:rPr>
        <w:t>trae</w:t>
      </w:r>
      <w:proofErr w:type="gramEnd"/>
      <w:r w:rsidRPr="007B26FF">
        <w:rPr>
          <w:rFonts w:ascii="Palatino Linotype" w:hAnsi="Palatino Linotype"/>
          <w:lang w:eastAsia="es-ES"/>
        </w:rPr>
        <w:t xml:space="preserve"> como consecuencia que se retrase el </w:t>
      </w:r>
      <w:r w:rsidRPr="007B26FF">
        <w:rPr>
          <w:rFonts w:ascii="Palatino Linotype" w:hAnsi="Palatino Linotype"/>
          <w:lang w:val="es-ES_tradnl" w:eastAsia="es-ES"/>
        </w:rPr>
        <w:t>acceso a la información pública vulnerando el derecho fundamental de la personas para acceder a la misma.</w:t>
      </w:r>
    </w:p>
    <w:p w14:paraId="6BB5E694" w14:textId="77777777" w:rsidR="00814119" w:rsidRPr="007B26FF" w:rsidRDefault="00814119" w:rsidP="00814119">
      <w:pPr>
        <w:spacing w:before="240" w:after="240" w:line="360" w:lineRule="auto"/>
        <w:jc w:val="both"/>
        <w:rPr>
          <w:rFonts w:ascii="Palatino Linotype" w:hAnsi="Palatino Linotype"/>
          <w:lang w:val="es-ES_tradnl" w:eastAsia="es-ES"/>
        </w:rPr>
      </w:pPr>
      <w:r w:rsidRPr="007B26FF">
        <w:rPr>
          <w:rFonts w:ascii="Palatino Linotype" w:hAnsi="Palatino Linotype"/>
          <w:b/>
          <w:lang w:val="es-ES_tradnl" w:eastAsia="es-ES"/>
        </w:rPr>
        <w:t xml:space="preserve">INFORME JUSTIFICADO, FALTA DE. </w:t>
      </w:r>
      <w:r w:rsidRPr="007B26FF">
        <w:rPr>
          <w:rFonts w:ascii="Palatino Linotype" w:hAnsi="Palatino Linotype"/>
          <w:lang w:val="es-ES_tradnl" w:eastAsia="es-ES"/>
        </w:rPr>
        <w:t xml:space="preserve">La falta de informe justificado no impide que este Órgano Garante conozca y resuelva el recurso de revisión, solo propicia que el </w:t>
      </w:r>
      <w:r w:rsidRPr="007B26FF">
        <w:rPr>
          <w:rFonts w:ascii="Palatino Linotype" w:hAnsi="Palatino Linotype"/>
          <w:b/>
          <w:lang w:val="es-ES_tradnl" w:eastAsia="es-ES"/>
        </w:rPr>
        <w:t>SUJETO OBLIGADO</w:t>
      </w:r>
      <w:r w:rsidRPr="007B26FF">
        <w:rPr>
          <w:rFonts w:ascii="Palatino Linotype" w:hAnsi="Palatino Linotype"/>
          <w:lang w:val="es-ES_tradnl" w:eastAsia="es-ES"/>
        </w:rPr>
        <w:t xml:space="preserve"> pierda la oportunidad de justificar su respuesta y manifestar lo que a su derecho convenga. </w:t>
      </w:r>
    </w:p>
    <w:p w14:paraId="235B8C78" w14:textId="77777777" w:rsidR="00814119" w:rsidRPr="007B26FF" w:rsidRDefault="00814119" w:rsidP="00814119">
      <w:pPr>
        <w:spacing w:before="240" w:after="240" w:line="360" w:lineRule="auto"/>
        <w:jc w:val="both"/>
        <w:rPr>
          <w:rFonts w:ascii="Palatino Linotype" w:eastAsia="Arial Unicode MS" w:hAnsi="Palatino Linotype" w:cs="Arial"/>
          <w:lang w:eastAsia="es-ES"/>
        </w:rPr>
      </w:pPr>
      <w:r w:rsidRPr="007B26FF">
        <w:rPr>
          <w:rFonts w:ascii="Palatino Linotype" w:eastAsia="Arial Unicode MS" w:hAnsi="Palatino Linotype" w:cs="Arial"/>
          <w:b/>
          <w:lang w:eastAsia="es-ES"/>
        </w:rPr>
        <w:t>DE LA ELABORACIÓN DE LAS VERSIONES PÚBLICAS</w:t>
      </w:r>
      <w:r w:rsidRPr="007B26FF">
        <w:rPr>
          <w:rFonts w:ascii="Palatino Linotype" w:eastAsia="Arial Unicode MS" w:hAnsi="Palatino Linotype" w:cs="Arial"/>
          <w:lang w:eastAsia="es-ES"/>
        </w:rPr>
        <w:t xml:space="preserve">. Los Sujetos </w:t>
      </w:r>
      <w:proofErr w:type="gramStart"/>
      <w:r w:rsidRPr="007B26FF">
        <w:rPr>
          <w:rFonts w:ascii="Palatino Linotype" w:eastAsia="Arial Unicode MS" w:hAnsi="Palatino Linotype" w:cs="Arial"/>
          <w:lang w:eastAsia="es-ES"/>
        </w:rPr>
        <w:t>Obligados  deberán</w:t>
      </w:r>
      <w:proofErr w:type="gramEnd"/>
      <w:r w:rsidRPr="007B26FF">
        <w:rPr>
          <w:rFonts w:ascii="Palatino Linotype" w:eastAsia="Arial Unicode MS" w:hAnsi="Palatino Linotype" w:cs="Arial"/>
          <w:lang w:eastAsia="es-ES"/>
        </w:rPr>
        <w:t xml:space="preserve">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14:paraId="0A288EE5" w14:textId="77777777" w:rsidR="00814119" w:rsidRPr="007B26FF" w:rsidRDefault="00814119" w:rsidP="00814119">
      <w:pPr>
        <w:spacing w:before="240" w:after="240" w:line="360" w:lineRule="auto"/>
        <w:jc w:val="both"/>
        <w:rPr>
          <w:rFonts w:ascii="Palatino Linotype" w:eastAsia="Arial Unicode MS" w:hAnsi="Palatino Linotype" w:cs="Arial"/>
          <w:lang w:val="es-ES_tradnl" w:eastAsia="es-ES"/>
        </w:rPr>
      </w:pPr>
      <w:r w:rsidRPr="007B26FF">
        <w:rPr>
          <w:rFonts w:ascii="Palatino Linotype" w:eastAsia="Arial Unicode MS" w:hAnsi="Palatino Linotype" w:cs="Arial"/>
          <w:b/>
          <w:lang w:val="es-ES_tradnl" w:eastAsia="es-ES"/>
        </w:rPr>
        <w:t xml:space="preserve">INFORMACIÓN CONFIDENCIAL, CLASIFICACIÓN DE LA. </w:t>
      </w:r>
      <w:r w:rsidRPr="007B26FF">
        <w:rPr>
          <w:rFonts w:ascii="Palatino Linotype" w:eastAsia="Arial Unicode MS" w:hAnsi="Palatino Linotype" w:cs="Arial"/>
          <w:lang w:val="es-ES_tradnl" w:eastAsia="es-ES"/>
        </w:rPr>
        <w:t xml:space="preserve">Si la información con la que se pueda responder a una solicitud de información, contiene datos personales se deberá de realizar s clasificación como información confidencial, atendiendo las formalidades establecidas por la Ley de la materia y los Lineamientos </w:t>
      </w:r>
      <w:r w:rsidRPr="007B26FF">
        <w:rPr>
          <w:rFonts w:ascii="Palatino Linotype" w:eastAsia="Arial Unicode MS" w:hAnsi="Palatino Linotype" w:cs="Arial"/>
          <w:lang w:val="es-ES_tradnl" w:eastAsia="es-ES"/>
        </w:rPr>
        <w:lastRenderedPageBreak/>
        <w:t>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50FE9C9D" w14:textId="77777777" w:rsidR="00814119" w:rsidRPr="007B26FF" w:rsidRDefault="00814119" w:rsidP="00814119">
      <w:pPr>
        <w:spacing w:before="240" w:after="240" w:line="360" w:lineRule="auto"/>
        <w:jc w:val="both"/>
        <w:rPr>
          <w:rFonts w:ascii="Palatino Linotype" w:eastAsia="Arial Unicode MS" w:hAnsi="Palatino Linotype" w:cs="Arial"/>
          <w:lang w:val="es-ES_tradnl" w:eastAsia="es-ES"/>
        </w:rPr>
      </w:pPr>
    </w:p>
    <w:p w14:paraId="3954ADD6" w14:textId="67F806CE" w:rsidR="0029478C" w:rsidRPr="007B26FF" w:rsidRDefault="0029478C" w:rsidP="0029478C">
      <w:pPr>
        <w:spacing w:line="360" w:lineRule="auto"/>
        <w:jc w:val="center"/>
        <w:rPr>
          <w:rFonts w:ascii="Palatino Linotype" w:hAnsi="Palatino Linotype"/>
          <w:b/>
          <w:u w:val="single"/>
        </w:rPr>
      </w:pPr>
    </w:p>
    <w:p w14:paraId="3129F9C8" w14:textId="32604B8B" w:rsidR="0029478C" w:rsidRPr="007B26FF" w:rsidRDefault="0029478C" w:rsidP="0029478C">
      <w:pPr>
        <w:spacing w:line="360" w:lineRule="auto"/>
        <w:jc w:val="center"/>
        <w:rPr>
          <w:rFonts w:ascii="Palatino Linotype" w:hAnsi="Palatino Linotype"/>
          <w:b/>
          <w:u w:val="single"/>
        </w:rPr>
      </w:pPr>
    </w:p>
    <w:p w14:paraId="333EDDD3" w14:textId="0DD0C8B0" w:rsidR="0029478C" w:rsidRPr="007B26FF" w:rsidRDefault="0029478C" w:rsidP="0029478C">
      <w:pPr>
        <w:spacing w:line="360" w:lineRule="auto"/>
        <w:jc w:val="center"/>
        <w:rPr>
          <w:rFonts w:ascii="Palatino Linotype" w:hAnsi="Palatino Linotype"/>
          <w:b/>
          <w:u w:val="single"/>
        </w:rPr>
      </w:pPr>
    </w:p>
    <w:p w14:paraId="1DAFC408" w14:textId="7B00344E" w:rsidR="0029478C" w:rsidRPr="007B26FF" w:rsidRDefault="0029478C" w:rsidP="0029478C">
      <w:pPr>
        <w:spacing w:line="360" w:lineRule="auto"/>
        <w:jc w:val="center"/>
        <w:rPr>
          <w:rFonts w:ascii="Palatino Linotype" w:hAnsi="Palatino Linotype"/>
          <w:b/>
          <w:u w:val="single"/>
        </w:rPr>
      </w:pPr>
    </w:p>
    <w:p w14:paraId="51E38687" w14:textId="20ACBBFE" w:rsidR="0029478C" w:rsidRPr="007B26FF" w:rsidRDefault="0029478C" w:rsidP="0029478C">
      <w:pPr>
        <w:spacing w:line="360" w:lineRule="auto"/>
        <w:jc w:val="center"/>
        <w:rPr>
          <w:rFonts w:ascii="Palatino Linotype" w:hAnsi="Palatino Linotype"/>
          <w:b/>
          <w:u w:val="single"/>
        </w:rPr>
      </w:pPr>
    </w:p>
    <w:p w14:paraId="1DB4B5AC" w14:textId="38AA5C61" w:rsidR="0029478C" w:rsidRPr="007B26FF" w:rsidRDefault="0029478C" w:rsidP="0029478C">
      <w:pPr>
        <w:spacing w:line="360" w:lineRule="auto"/>
        <w:jc w:val="center"/>
        <w:rPr>
          <w:rFonts w:ascii="Palatino Linotype" w:hAnsi="Palatino Linotype"/>
          <w:b/>
          <w:u w:val="single"/>
        </w:rPr>
      </w:pPr>
    </w:p>
    <w:p w14:paraId="7AA6C75B" w14:textId="6B3AF141" w:rsidR="0029478C" w:rsidRPr="007B26FF" w:rsidRDefault="0029478C" w:rsidP="0029478C">
      <w:pPr>
        <w:spacing w:line="360" w:lineRule="auto"/>
        <w:jc w:val="center"/>
        <w:rPr>
          <w:rFonts w:ascii="Palatino Linotype" w:hAnsi="Palatino Linotype"/>
          <w:b/>
          <w:u w:val="single"/>
        </w:rPr>
      </w:pPr>
    </w:p>
    <w:p w14:paraId="4F464CEA" w14:textId="5701820D" w:rsidR="0029478C" w:rsidRPr="007B26FF" w:rsidRDefault="0029478C" w:rsidP="0029478C">
      <w:pPr>
        <w:spacing w:line="360" w:lineRule="auto"/>
        <w:jc w:val="center"/>
        <w:rPr>
          <w:rFonts w:ascii="Palatino Linotype" w:hAnsi="Palatino Linotype"/>
          <w:b/>
          <w:u w:val="single"/>
        </w:rPr>
      </w:pPr>
    </w:p>
    <w:p w14:paraId="6FE70CC7" w14:textId="0DE22941" w:rsidR="0029478C" w:rsidRPr="007B26FF" w:rsidRDefault="0029478C" w:rsidP="0029478C">
      <w:pPr>
        <w:spacing w:line="360" w:lineRule="auto"/>
        <w:jc w:val="center"/>
        <w:rPr>
          <w:rFonts w:ascii="Palatino Linotype" w:hAnsi="Palatino Linotype"/>
          <w:b/>
          <w:u w:val="single"/>
        </w:rPr>
      </w:pPr>
    </w:p>
    <w:p w14:paraId="385558F0" w14:textId="3D41BD1D" w:rsidR="0029478C" w:rsidRPr="007B26FF" w:rsidRDefault="0029478C" w:rsidP="0029478C">
      <w:pPr>
        <w:spacing w:line="360" w:lineRule="auto"/>
        <w:jc w:val="center"/>
        <w:rPr>
          <w:rFonts w:ascii="Palatino Linotype" w:hAnsi="Palatino Linotype"/>
          <w:b/>
          <w:u w:val="single"/>
        </w:rPr>
      </w:pPr>
    </w:p>
    <w:p w14:paraId="1E00D7C8" w14:textId="55A7FD4B" w:rsidR="0029478C" w:rsidRPr="007B26FF" w:rsidRDefault="0029478C" w:rsidP="0029478C">
      <w:pPr>
        <w:spacing w:line="360" w:lineRule="auto"/>
        <w:jc w:val="center"/>
        <w:rPr>
          <w:rFonts w:ascii="Palatino Linotype" w:hAnsi="Palatino Linotype"/>
          <w:b/>
          <w:u w:val="single"/>
        </w:rPr>
      </w:pPr>
    </w:p>
    <w:p w14:paraId="28ACFE37" w14:textId="0FA140E7" w:rsidR="00814119" w:rsidRPr="007B26FF" w:rsidRDefault="00814119" w:rsidP="0029478C">
      <w:pPr>
        <w:spacing w:line="360" w:lineRule="auto"/>
        <w:jc w:val="center"/>
        <w:rPr>
          <w:rFonts w:ascii="Palatino Linotype" w:hAnsi="Palatino Linotype"/>
          <w:b/>
          <w:u w:val="single"/>
        </w:rPr>
      </w:pPr>
    </w:p>
    <w:p w14:paraId="384384E2" w14:textId="114D96F7" w:rsidR="00814119" w:rsidRPr="007B26FF" w:rsidRDefault="00814119" w:rsidP="0029478C">
      <w:pPr>
        <w:spacing w:line="360" w:lineRule="auto"/>
        <w:jc w:val="center"/>
        <w:rPr>
          <w:rFonts w:ascii="Palatino Linotype" w:hAnsi="Palatino Linotype"/>
          <w:b/>
          <w:u w:val="single"/>
        </w:rPr>
      </w:pPr>
    </w:p>
    <w:p w14:paraId="68A5326F" w14:textId="77777777" w:rsidR="00814119" w:rsidRPr="007B26FF" w:rsidRDefault="00814119" w:rsidP="0029478C">
      <w:pPr>
        <w:spacing w:line="360" w:lineRule="auto"/>
        <w:jc w:val="center"/>
        <w:rPr>
          <w:rFonts w:ascii="Palatino Linotype" w:hAnsi="Palatino Linotype"/>
          <w:b/>
          <w:u w:val="single"/>
        </w:rPr>
      </w:pPr>
    </w:p>
    <w:p w14:paraId="65E2D07F" w14:textId="49657ABE" w:rsidR="0029478C" w:rsidRPr="007B26FF" w:rsidRDefault="0029478C" w:rsidP="0029478C">
      <w:pPr>
        <w:spacing w:line="360" w:lineRule="auto"/>
        <w:jc w:val="center"/>
        <w:rPr>
          <w:rFonts w:ascii="Palatino Linotype" w:hAnsi="Palatino Linotype"/>
          <w:b/>
          <w:u w:val="single"/>
        </w:rPr>
      </w:pPr>
    </w:p>
    <w:p w14:paraId="5522A65C" w14:textId="77777777" w:rsidR="0029478C" w:rsidRPr="007B26FF" w:rsidRDefault="0029478C" w:rsidP="0029478C">
      <w:pPr>
        <w:spacing w:line="360" w:lineRule="auto"/>
        <w:jc w:val="center"/>
        <w:rPr>
          <w:rFonts w:ascii="Palatino Linotype" w:hAnsi="Palatino Linotype"/>
          <w:b/>
          <w:u w:val="single"/>
        </w:rPr>
      </w:pPr>
    </w:p>
    <w:p w14:paraId="009DCE53" w14:textId="77777777" w:rsidR="0029478C" w:rsidRPr="007B26FF" w:rsidRDefault="0029478C" w:rsidP="00831F0C">
      <w:pPr>
        <w:spacing w:line="360" w:lineRule="auto"/>
        <w:jc w:val="center"/>
        <w:rPr>
          <w:rFonts w:ascii="Palatino Linotype" w:hAnsi="Palatino Linotype"/>
          <w:b/>
          <w:u w:val="single"/>
        </w:rPr>
      </w:pPr>
      <w:r w:rsidRPr="007B26FF">
        <w:rPr>
          <w:rFonts w:ascii="Palatino Linotype" w:hAnsi="Palatino Linotype"/>
          <w:b/>
          <w:u w:val="single"/>
        </w:rPr>
        <w:lastRenderedPageBreak/>
        <w:t>ÍNDICE</w:t>
      </w:r>
    </w:p>
    <w:sdt>
      <w:sdtPr>
        <w:rPr>
          <w:rFonts w:ascii="Palatino Linotype" w:eastAsia="Times New Roman" w:hAnsi="Palatino Linotype" w:cs="Times New Roman"/>
          <w:b/>
          <w:lang w:val="es-ES" w:eastAsia="es-ES_tradnl"/>
        </w:rPr>
        <w:id w:val="-1245946457"/>
        <w:docPartObj>
          <w:docPartGallery w:val="Table of Contents"/>
          <w:docPartUnique/>
        </w:docPartObj>
      </w:sdtPr>
      <w:sdtEndPr>
        <w:rPr>
          <w:bCs/>
        </w:rPr>
      </w:sdtEndPr>
      <w:sdtContent>
        <w:p w14:paraId="410108FD" w14:textId="77777777" w:rsidR="0029478C" w:rsidRPr="007B26FF" w:rsidRDefault="0029478C" w:rsidP="00831F0C">
          <w:pPr>
            <w:pStyle w:val="TDC1"/>
            <w:spacing w:line="360" w:lineRule="auto"/>
            <w:ind w:left="0"/>
            <w:rPr>
              <w:rFonts w:ascii="Palatino Linotype" w:hAnsi="Palatino Linotype"/>
              <w:b/>
              <w:noProof/>
              <w:lang w:val="es-MX" w:eastAsia="es-MX"/>
            </w:rPr>
          </w:pPr>
          <w:r w:rsidRPr="007B26FF">
            <w:rPr>
              <w:rFonts w:ascii="Palatino Linotype" w:eastAsiaTheme="majorEastAsia" w:hAnsi="Palatino Linotype" w:cstheme="majorBidi"/>
              <w:b/>
              <w:lang w:val="es-MX" w:eastAsia="es-MX"/>
            </w:rPr>
            <w:fldChar w:fldCharType="begin"/>
          </w:r>
          <w:r w:rsidRPr="007B26FF">
            <w:rPr>
              <w:rFonts w:ascii="Palatino Linotype" w:hAnsi="Palatino Linotype"/>
              <w:b/>
            </w:rPr>
            <w:instrText xml:space="preserve"> TOC \o "1-3" \h \z \u </w:instrText>
          </w:r>
          <w:r w:rsidRPr="007B26FF">
            <w:rPr>
              <w:rFonts w:ascii="Palatino Linotype" w:eastAsiaTheme="majorEastAsia" w:hAnsi="Palatino Linotype" w:cstheme="majorBidi"/>
              <w:b/>
              <w:lang w:val="es-MX" w:eastAsia="es-MX"/>
            </w:rPr>
            <w:fldChar w:fldCharType="separate"/>
          </w:r>
          <w:hyperlink w:anchor="_Toc34157661" w:history="1">
            <w:r w:rsidRPr="007B26FF">
              <w:rPr>
                <w:rStyle w:val="Hipervnculo"/>
                <w:rFonts w:ascii="Palatino Linotype" w:hAnsi="Palatino Linotype"/>
                <w:b/>
                <w:noProof/>
                <w:color w:val="auto"/>
              </w:rPr>
              <w:t>ANTECEDENTES</w:t>
            </w:r>
            <w:r w:rsidRPr="007B26FF">
              <w:rPr>
                <w:rFonts w:ascii="Palatino Linotype" w:hAnsi="Palatino Linotype"/>
                <w:b/>
                <w:noProof/>
                <w:webHidden/>
              </w:rPr>
              <w:tab/>
            </w:r>
            <w:r w:rsidRPr="007B26FF">
              <w:rPr>
                <w:rFonts w:ascii="Palatino Linotype" w:hAnsi="Palatino Linotype"/>
                <w:b/>
                <w:noProof/>
                <w:webHidden/>
              </w:rPr>
              <w:fldChar w:fldCharType="begin"/>
            </w:r>
            <w:r w:rsidRPr="007B26FF">
              <w:rPr>
                <w:rFonts w:ascii="Palatino Linotype" w:hAnsi="Palatino Linotype"/>
                <w:b/>
                <w:noProof/>
                <w:webHidden/>
              </w:rPr>
              <w:instrText xml:space="preserve"> PAGEREF _Toc34157661 \h </w:instrText>
            </w:r>
            <w:r w:rsidRPr="007B26FF">
              <w:rPr>
                <w:rFonts w:ascii="Palatino Linotype" w:hAnsi="Palatino Linotype"/>
                <w:b/>
                <w:noProof/>
                <w:webHidden/>
              </w:rPr>
            </w:r>
            <w:r w:rsidRPr="007B26FF">
              <w:rPr>
                <w:rFonts w:ascii="Palatino Linotype" w:hAnsi="Palatino Linotype"/>
                <w:b/>
                <w:noProof/>
                <w:webHidden/>
              </w:rPr>
              <w:fldChar w:fldCharType="separate"/>
            </w:r>
            <w:r w:rsidRPr="007B26FF">
              <w:rPr>
                <w:rFonts w:ascii="Palatino Linotype" w:hAnsi="Palatino Linotype"/>
                <w:b/>
                <w:noProof/>
                <w:webHidden/>
              </w:rPr>
              <w:t>3</w:t>
            </w:r>
            <w:r w:rsidRPr="007B26FF">
              <w:rPr>
                <w:rFonts w:ascii="Palatino Linotype" w:hAnsi="Palatino Linotype"/>
                <w:b/>
                <w:noProof/>
                <w:webHidden/>
              </w:rPr>
              <w:fldChar w:fldCharType="end"/>
            </w:r>
          </w:hyperlink>
        </w:p>
        <w:p w14:paraId="5FC2ACA6" w14:textId="77777777" w:rsidR="0029478C" w:rsidRPr="007B26FF" w:rsidRDefault="00625729" w:rsidP="00831F0C">
          <w:pPr>
            <w:pStyle w:val="TDC1"/>
            <w:spacing w:line="360" w:lineRule="auto"/>
            <w:ind w:left="0"/>
            <w:rPr>
              <w:rFonts w:ascii="Palatino Linotype" w:hAnsi="Palatino Linotype"/>
              <w:b/>
              <w:noProof/>
              <w:lang w:val="es-MX" w:eastAsia="es-MX"/>
            </w:rPr>
          </w:pPr>
          <w:hyperlink w:anchor="_Toc34157664" w:history="1">
            <w:r w:rsidR="0029478C" w:rsidRPr="007B26FF">
              <w:rPr>
                <w:rStyle w:val="Hipervnculo"/>
                <w:rFonts w:ascii="Palatino Linotype" w:hAnsi="Palatino Linotype"/>
                <w:b/>
                <w:noProof/>
                <w:color w:val="auto"/>
              </w:rPr>
              <w:t>CONSIDERANDO</w:t>
            </w:r>
            <w:r w:rsidR="0029478C" w:rsidRPr="007B26FF">
              <w:rPr>
                <w:rFonts w:ascii="Palatino Linotype" w:hAnsi="Palatino Linotype"/>
                <w:b/>
                <w:noProof/>
                <w:webHidden/>
              </w:rPr>
              <w:tab/>
            </w:r>
            <w:r w:rsidR="0029478C" w:rsidRPr="007B26FF">
              <w:rPr>
                <w:rFonts w:ascii="Palatino Linotype" w:hAnsi="Palatino Linotype"/>
                <w:b/>
                <w:noProof/>
                <w:webHidden/>
              </w:rPr>
              <w:fldChar w:fldCharType="begin"/>
            </w:r>
            <w:r w:rsidR="0029478C" w:rsidRPr="007B26FF">
              <w:rPr>
                <w:rFonts w:ascii="Palatino Linotype" w:hAnsi="Palatino Linotype"/>
                <w:b/>
                <w:noProof/>
                <w:webHidden/>
              </w:rPr>
              <w:instrText xml:space="preserve"> PAGEREF _Toc34157664 \h </w:instrText>
            </w:r>
            <w:r w:rsidR="0029478C" w:rsidRPr="007B26FF">
              <w:rPr>
                <w:rFonts w:ascii="Palatino Linotype" w:hAnsi="Palatino Linotype"/>
                <w:b/>
                <w:noProof/>
                <w:webHidden/>
              </w:rPr>
            </w:r>
            <w:r w:rsidR="0029478C" w:rsidRPr="007B26FF">
              <w:rPr>
                <w:rFonts w:ascii="Palatino Linotype" w:hAnsi="Palatino Linotype"/>
                <w:b/>
                <w:noProof/>
                <w:webHidden/>
              </w:rPr>
              <w:fldChar w:fldCharType="separate"/>
            </w:r>
            <w:r w:rsidR="0029478C" w:rsidRPr="007B26FF">
              <w:rPr>
                <w:rFonts w:ascii="Palatino Linotype" w:hAnsi="Palatino Linotype"/>
                <w:b/>
                <w:noProof/>
                <w:webHidden/>
              </w:rPr>
              <w:t>7</w:t>
            </w:r>
            <w:r w:rsidR="0029478C" w:rsidRPr="007B26FF">
              <w:rPr>
                <w:rFonts w:ascii="Palatino Linotype" w:hAnsi="Palatino Linotype"/>
                <w:b/>
                <w:noProof/>
                <w:webHidden/>
              </w:rPr>
              <w:fldChar w:fldCharType="end"/>
            </w:r>
          </w:hyperlink>
        </w:p>
        <w:p w14:paraId="4A664055" w14:textId="77777777" w:rsidR="0029478C" w:rsidRPr="007B26FF" w:rsidRDefault="00625729" w:rsidP="00831F0C">
          <w:pPr>
            <w:pStyle w:val="TDC2"/>
            <w:spacing w:line="360" w:lineRule="auto"/>
            <w:ind w:left="0" w:firstLine="0"/>
            <w:jc w:val="both"/>
            <w:rPr>
              <w:rFonts w:ascii="Palatino Linotype" w:hAnsi="Palatino Linotype"/>
              <w:b/>
              <w:noProof/>
              <w:lang w:val="es-MX" w:eastAsia="es-MX"/>
            </w:rPr>
          </w:pPr>
          <w:hyperlink w:anchor="_Toc34157665" w:history="1">
            <w:r w:rsidR="0029478C" w:rsidRPr="007B26FF">
              <w:rPr>
                <w:rStyle w:val="Hipervnculo"/>
                <w:rFonts w:ascii="Palatino Linotype" w:hAnsi="Palatino Linotype"/>
                <w:b/>
                <w:noProof/>
                <w:color w:val="auto"/>
              </w:rPr>
              <w:t>PRIMERO. De la competencia</w:t>
            </w:r>
            <w:r w:rsidR="0029478C" w:rsidRPr="007B26FF">
              <w:rPr>
                <w:rFonts w:ascii="Palatino Linotype" w:hAnsi="Palatino Linotype"/>
                <w:b/>
                <w:noProof/>
                <w:webHidden/>
              </w:rPr>
              <w:tab/>
            </w:r>
            <w:r w:rsidR="0029478C" w:rsidRPr="007B26FF">
              <w:rPr>
                <w:rFonts w:ascii="Palatino Linotype" w:hAnsi="Palatino Linotype"/>
                <w:b/>
                <w:noProof/>
                <w:webHidden/>
              </w:rPr>
              <w:fldChar w:fldCharType="begin"/>
            </w:r>
            <w:r w:rsidR="0029478C" w:rsidRPr="007B26FF">
              <w:rPr>
                <w:rFonts w:ascii="Palatino Linotype" w:hAnsi="Palatino Linotype"/>
                <w:b/>
                <w:noProof/>
                <w:webHidden/>
              </w:rPr>
              <w:instrText xml:space="preserve"> PAGEREF _Toc34157665 \h </w:instrText>
            </w:r>
            <w:r w:rsidR="0029478C" w:rsidRPr="007B26FF">
              <w:rPr>
                <w:rFonts w:ascii="Palatino Linotype" w:hAnsi="Palatino Linotype"/>
                <w:b/>
                <w:noProof/>
                <w:webHidden/>
              </w:rPr>
            </w:r>
            <w:r w:rsidR="0029478C" w:rsidRPr="007B26FF">
              <w:rPr>
                <w:rFonts w:ascii="Palatino Linotype" w:hAnsi="Palatino Linotype"/>
                <w:b/>
                <w:noProof/>
                <w:webHidden/>
              </w:rPr>
              <w:fldChar w:fldCharType="separate"/>
            </w:r>
            <w:r w:rsidR="0029478C" w:rsidRPr="007B26FF">
              <w:rPr>
                <w:rFonts w:ascii="Palatino Linotype" w:hAnsi="Palatino Linotype"/>
                <w:b/>
                <w:noProof/>
                <w:webHidden/>
              </w:rPr>
              <w:t>7</w:t>
            </w:r>
            <w:r w:rsidR="0029478C" w:rsidRPr="007B26FF">
              <w:rPr>
                <w:rFonts w:ascii="Palatino Linotype" w:hAnsi="Palatino Linotype"/>
                <w:b/>
                <w:noProof/>
                <w:webHidden/>
              </w:rPr>
              <w:fldChar w:fldCharType="end"/>
            </w:r>
          </w:hyperlink>
        </w:p>
        <w:p w14:paraId="4FBEE986" w14:textId="77777777" w:rsidR="0029478C" w:rsidRPr="007B26FF" w:rsidRDefault="00625729" w:rsidP="00831F0C">
          <w:pPr>
            <w:pStyle w:val="TDC2"/>
            <w:spacing w:line="360" w:lineRule="auto"/>
            <w:ind w:left="0" w:firstLine="0"/>
            <w:jc w:val="both"/>
            <w:rPr>
              <w:rFonts w:ascii="Palatino Linotype" w:hAnsi="Palatino Linotype"/>
              <w:b/>
              <w:noProof/>
              <w:lang w:val="es-MX" w:eastAsia="es-MX"/>
            </w:rPr>
          </w:pPr>
          <w:hyperlink w:anchor="_Toc34157666" w:history="1">
            <w:r w:rsidR="0029478C" w:rsidRPr="007B26FF">
              <w:rPr>
                <w:rStyle w:val="Hipervnculo"/>
                <w:rFonts w:ascii="Palatino Linotype" w:hAnsi="Palatino Linotype"/>
                <w:b/>
                <w:noProof/>
                <w:color w:val="auto"/>
              </w:rPr>
              <w:t>SEGUNDO. De la oportunidad y procedencia</w:t>
            </w:r>
            <w:r w:rsidR="0029478C" w:rsidRPr="007B26FF">
              <w:rPr>
                <w:rFonts w:ascii="Palatino Linotype" w:hAnsi="Palatino Linotype"/>
                <w:b/>
                <w:noProof/>
                <w:webHidden/>
              </w:rPr>
              <w:tab/>
            </w:r>
            <w:r w:rsidR="0029478C" w:rsidRPr="007B26FF">
              <w:rPr>
                <w:rFonts w:ascii="Palatino Linotype" w:hAnsi="Palatino Linotype"/>
                <w:b/>
                <w:noProof/>
                <w:webHidden/>
              </w:rPr>
              <w:fldChar w:fldCharType="begin"/>
            </w:r>
            <w:r w:rsidR="0029478C" w:rsidRPr="007B26FF">
              <w:rPr>
                <w:rFonts w:ascii="Palatino Linotype" w:hAnsi="Palatino Linotype"/>
                <w:b/>
                <w:noProof/>
                <w:webHidden/>
              </w:rPr>
              <w:instrText xml:space="preserve"> PAGEREF _Toc34157666 \h </w:instrText>
            </w:r>
            <w:r w:rsidR="0029478C" w:rsidRPr="007B26FF">
              <w:rPr>
                <w:rFonts w:ascii="Palatino Linotype" w:hAnsi="Palatino Linotype"/>
                <w:b/>
                <w:noProof/>
                <w:webHidden/>
              </w:rPr>
            </w:r>
            <w:r w:rsidR="0029478C" w:rsidRPr="007B26FF">
              <w:rPr>
                <w:rFonts w:ascii="Palatino Linotype" w:hAnsi="Palatino Linotype"/>
                <w:b/>
                <w:noProof/>
                <w:webHidden/>
              </w:rPr>
              <w:fldChar w:fldCharType="separate"/>
            </w:r>
            <w:r w:rsidR="0029478C" w:rsidRPr="007B26FF">
              <w:rPr>
                <w:rFonts w:ascii="Palatino Linotype" w:hAnsi="Palatino Linotype"/>
                <w:b/>
                <w:noProof/>
                <w:webHidden/>
              </w:rPr>
              <w:t>8</w:t>
            </w:r>
            <w:r w:rsidR="0029478C" w:rsidRPr="007B26FF">
              <w:rPr>
                <w:rFonts w:ascii="Palatino Linotype" w:hAnsi="Palatino Linotype"/>
                <w:b/>
                <w:noProof/>
                <w:webHidden/>
              </w:rPr>
              <w:fldChar w:fldCharType="end"/>
            </w:r>
          </w:hyperlink>
        </w:p>
        <w:p w14:paraId="6A11A20D" w14:textId="63CA8FF9" w:rsidR="0029478C" w:rsidRPr="007B26FF" w:rsidRDefault="00625729" w:rsidP="00831F0C">
          <w:pPr>
            <w:pStyle w:val="TDC1"/>
            <w:spacing w:line="360" w:lineRule="auto"/>
            <w:ind w:left="0"/>
            <w:rPr>
              <w:rFonts w:ascii="Palatino Linotype" w:hAnsi="Palatino Linotype"/>
              <w:b/>
              <w:noProof/>
            </w:rPr>
          </w:pPr>
          <w:hyperlink w:anchor="_Toc34157667" w:history="1">
            <w:r w:rsidR="0029478C" w:rsidRPr="007B26FF">
              <w:rPr>
                <w:rStyle w:val="Hipervnculo"/>
                <w:rFonts w:ascii="Palatino Linotype" w:hAnsi="Palatino Linotype"/>
                <w:b/>
                <w:noProof/>
                <w:color w:val="auto"/>
              </w:rPr>
              <w:t xml:space="preserve">TERCERO. </w:t>
            </w:r>
            <w:r w:rsidR="00C357FB" w:rsidRPr="007B26FF">
              <w:rPr>
                <w:rStyle w:val="Hipervnculo"/>
                <w:rFonts w:ascii="Palatino Linotype" w:hAnsi="Palatino Linotype"/>
                <w:b/>
                <w:noProof/>
                <w:color w:val="auto"/>
              </w:rPr>
              <w:t>Del p</w:t>
            </w:r>
            <w:r w:rsidR="0029478C" w:rsidRPr="007B26FF">
              <w:rPr>
                <w:rStyle w:val="Hipervnculo"/>
                <w:rFonts w:ascii="Palatino Linotype" w:hAnsi="Palatino Linotype"/>
                <w:b/>
                <w:noProof/>
                <w:color w:val="auto"/>
              </w:rPr>
              <w:t>revio especial pronunciamiento .</w:t>
            </w:r>
            <w:r w:rsidR="0029478C" w:rsidRPr="007B26FF">
              <w:rPr>
                <w:rFonts w:ascii="Palatino Linotype" w:hAnsi="Palatino Linotype"/>
                <w:b/>
                <w:noProof/>
                <w:webHidden/>
              </w:rPr>
              <w:tab/>
            </w:r>
            <w:r w:rsidR="0029478C" w:rsidRPr="007B26FF">
              <w:rPr>
                <w:rFonts w:ascii="Palatino Linotype" w:hAnsi="Palatino Linotype"/>
                <w:b/>
                <w:noProof/>
                <w:webHidden/>
              </w:rPr>
              <w:fldChar w:fldCharType="begin"/>
            </w:r>
            <w:r w:rsidR="0029478C" w:rsidRPr="007B26FF">
              <w:rPr>
                <w:rFonts w:ascii="Palatino Linotype" w:hAnsi="Palatino Linotype"/>
                <w:b/>
                <w:noProof/>
                <w:webHidden/>
              </w:rPr>
              <w:instrText xml:space="preserve"> PAGEREF _Toc34157667 \h </w:instrText>
            </w:r>
            <w:r w:rsidR="0029478C" w:rsidRPr="007B26FF">
              <w:rPr>
                <w:rFonts w:ascii="Palatino Linotype" w:hAnsi="Palatino Linotype"/>
                <w:b/>
                <w:noProof/>
                <w:webHidden/>
              </w:rPr>
            </w:r>
            <w:r w:rsidR="0029478C" w:rsidRPr="007B26FF">
              <w:rPr>
                <w:rFonts w:ascii="Palatino Linotype" w:hAnsi="Palatino Linotype"/>
                <w:b/>
                <w:noProof/>
                <w:webHidden/>
              </w:rPr>
              <w:fldChar w:fldCharType="separate"/>
            </w:r>
            <w:r w:rsidR="0029478C" w:rsidRPr="007B26FF">
              <w:rPr>
                <w:rFonts w:ascii="Palatino Linotype" w:hAnsi="Palatino Linotype"/>
                <w:b/>
                <w:noProof/>
                <w:webHidden/>
              </w:rPr>
              <w:t>10</w:t>
            </w:r>
            <w:r w:rsidR="0029478C" w:rsidRPr="007B26FF">
              <w:rPr>
                <w:rFonts w:ascii="Palatino Linotype" w:hAnsi="Palatino Linotype"/>
                <w:b/>
                <w:noProof/>
                <w:webHidden/>
              </w:rPr>
              <w:fldChar w:fldCharType="end"/>
            </w:r>
          </w:hyperlink>
        </w:p>
        <w:p w14:paraId="6D02351F" w14:textId="7CA4C241" w:rsidR="00C357FB" w:rsidRPr="007B26FF" w:rsidRDefault="00C357FB" w:rsidP="00831F0C">
          <w:pPr>
            <w:spacing w:line="360" w:lineRule="auto"/>
            <w:rPr>
              <w:rFonts w:ascii="Palatino Linotype" w:hAnsi="Palatino Linotype"/>
              <w:b/>
              <w:lang w:val="es-ES_tradnl" w:eastAsia="es-ES"/>
            </w:rPr>
          </w:pPr>
          <w:r w:rsidRPr="007B26FF">
            <w:rPr>
              <w:rFonts w:ascii="Palatino Linotype" w:hAnsi="Palatino Linotype"/>
              <w:b/>
              <w:lang w:val="es-ES_tradnl" w:eastAsia="es-ES"/>
            </w:rPr>
            <w:t>I. De los plazos</w:t>
          </w:r>
        </w:p>
        <w:p w14:paraId="51A3710F" w14:textId="05D965E1" w:rsidR="00C357FB" w:rsidRPr="007B26FF" w:rsidRDefault="00C357FB" w:rsidP="00831F0C">
          <w:pPr>
            <w:spacing w:line="360" w:lineRule="auto"/>
            <w:rPr>
              <w:rFonts w:ascii="Palatino Linotype" w:hAnsi="Palatino Linotype"/>
              <w:b/>
              <w:lang w:val="es-ES_tradnl" w:eastAsia="es-ES"/>
            </w:rPr>
          </w:pPr>
          <w:r w:rsidRPr="007B26FF">
            <w:rPr>
              <w:rFonts w:ascii="Palatino Linotype" w:hAnsi="Palatino Linotype"/>
              <w:b/>
              <w:lang w:val="es-ES_tradnl" w:eastAsia="es-ES"/>
            </w:rPr>
            <w:t xml:space="preserve">II. Del Informe Justificado </w:t>
          </w:r>
        </w:p>
        <w:p w14:paraId="4182CDE6" w14:textId="77777777" w:rsidR="0029478C" w:rsidRPr="007B26FF" w:rsidRDefault="00625729" w:rsidP="00831F0C">
          <w:pPr>
            <w:pStyle w:val="TDC1"/>
            <w:spacing w:line="360" w:lineRule="auto"/>
            <w:ind w:left="0"/>
            <w:rPr>
              <w:rFonts w:ascii="Palatino Linotype" w:hAnsi="Palatino Linotype"/>
              <w:b/>
              <w:noProof/>
            </w:rPr>
          </w:pPr>
          <w:hyperlink w:anchor="_Toc34157667" w:history="1">
            <w:r w:rsidR="0029478C" w:rsidRPr="007B26FF">
              <w:rPr>
                <w:rStyle w:val="Hipervnculo"/>
                <w:rFonts w:ascii="Palatino Linotype" w:hAnsi="Palatino Linotype"/>
                <w:b/>
                <w:noProof/>
                <w:color w:val="auto"/>
              </w:rPr>
              <w:t xml:space="preserve">CUARTO. Del planteamiento de la </w:t>
            </w:r>
            <w:r w:rsidR="0029478C" w:rsidRPr="007B26FF">
              <w:rPr>
                <w:rStyle w:val="Hipervnculo"/>
                <w:rFonts w:ascii="Palatino Linotype" w:hAnsi="Palatino Linotype"/>
                <w:b/>
                <w:i/>
                <w:noProof/>
                <w:color w:val="auto"/>
              </w:rPr>
              <w:t>Litis</w:t>
            </w:r>
            <w:r w:rsidR="0029478C" w:rsidRPr="007B26FF">
              <w:rPr>
                <w:rStyle w:val="Hipervnculo"/>
                <w:rFonts w:ascii="Palatino Linotype" w:hAnsi="Palatino Linotype"/>
                <w:b/>
                <w:noProof/>
                <w:color w:val="auto"/>
              </w:rPr>
              <w:t>.</w:t>
            </w:r>
            <w:r w:rsidR="0029478C" w:rsidRPr="007B26FF">
              <w:rPr>
                <w:rFonts w:ascii="Palatino Linotype" w:hAnsi="Palatino Linotype"/>
                <w:b/>
                <w:noProof/>
                <w:webHidden/>
              </w:rPr>
              <w:tab/>
            </w:r>
            <w:r w:rsidR="0029478C" w:rsidRPr="007B26FF">
              <w:rPr>
                <w:rFonts w:ascii="Palatino Linotype" w:hAnsi="Palatino Linotype"/>
                <w:b/>
                <w:noProof/>
                <w:webHidden/>
              </w:rPr>
              <w:fldChar w:fldCharType="begin"/>
            </w:r>
            <w:r w:rsidR="0029478C" w:rsidRPr="007B26FF">
              <w:rPr>
                <w:rFonts w:ascii="Palatino Linotype" w:hAnsi="Palatino Linotype"/>
                <w:b/>
                <w:noProof/>
                <w:webHidden/>
              </w:rPr>
              <w:instrText xml:space="preserve"> PAGEREF _Toc34157667 \h </w:instrText>
            </w:r>
            <w:r w:rsidR="0029478C" w:rsidRPr="007B26FF">
              <w:rPr>
                <w:rFonts w:ascii="Palatino Linotype" w:hAnsi="Palatino Linotype"/>
                <w:b/>
                <w:noProof/>
                <w:webHidden/>
              </w:rPr>
            </w:r>
            <w:r w:rsidR="0029478C" w:rsidRPr="007B26FF">
              <w:rPr>
                <w:rFonts w:ascii="Palatino Linotype" w:hAnsi="Palatino Linotype"/>
                <w:b/>
                <w:noProof/>
                <w:webHidden/>
              </w:rPr>
              <w:fldChar w:fldCharType="separate"/>
            </w:r>
            <w:r w:rsidR="0029478C" w:rsidRPr="007B26FF">
              <w:rPr>
                <w:rFonts w:ascii="Palatino Linotype" w:hAnsi="Palatino Linotype"/>
                <w:b/>
                <w:noProof/>
                <w:webHidden/>
              </w:rPr>
              <w:t>10</w:t>
            </w:r>
            <w:r w:rsidR="0029478C" w:rsidRPr="007B26FF">
              <w:rPr>
                <w:rFonts w:ascii="Palatino Linotype" w:hAnsi="Palatino Linotype"/>
                <w:b/>
                <w:noProof/>
                <w:webHidden/>
              </w:rPr>
              <w:fldChar w:fldCharType="end"/>
            </w:r>
          </w:hyperlink>
        </w:p>
        <w:p w14:paraId="5221D016" w14:textId="30DE73BB" w:rsidR="0029478C" w:rsidRPr="007B26FF" w:rsidRDefault="00625729" w:rsidP="00831F0C">
          <w:pPr>
            <w:pStyle w:val="TDC1"/>
            <w:spacing w:line="360" w:lineRule="auto"/>
            <w:ind w:left="0"/>
            <w:rPr>
              <w:rFonts w:ascii="Palatino Linotype" w:hAnsi="Palatino Linotype"/>
              <w:b/>
              <w:noProof/>
            </w:rPr>
          </w:pPr>
          <w:hyperlink w:anchor="_Toc34157668" w:history="1">
            <w:r w:rsidR="0029478C" w:rsidRPr="007B26FF">
              <w:rPr>
                <w:rStyle w:val="Hipervnculo"/>
                <w:rFonts w:ascii="Palatino Linotype" w:hAnsi="Palatino Linotype"/>
                <w:b/>
                <w:noProof/>
                <w:color w:val="auto"/>
              </w:rPr>
              <w:t>QUINTO. Del estudio y resolución del asunto.</w:t>
            </w:r>
            <w:r w:rsidR="0029478C" w:rsidRPr="007B26FF">
              <w:rPr>
                <w:rFonts w:ascii="Palatino Linotype" w:hAnsi="Palatino Linotype"/>
                <w:b/>
                <w:noProof/>
                <w:webHidden/>
              </w:rPr>
              <w:tab/>
            </w:r>
            <w:r w:rsidR="0029478C" w:rsidRPr="007B26FF">
              <w:rPr>
                <w:rFonts w:ascii="Palatino Linotype" w:hAnsi="Palatino Linotype"/>
                <w:b/>
                <w:noProof/>
                <w:webHidden/>
              </w:rPr>
              <w:fldChar w:fldCharType="begin"/>
            </w:r>
            <w:r w:rsidR="0029478C" w:rsidRPr="007B26FF">
              <w:rPr>
                <w:rFonts w:ascii="Palatino Linotype" w:hAnsi="Palatino Linotype"/>
                <w:b/>
                <w:noProof/>
                <w:webHidden/>
              </w:rPr>
              <w:instrText xml:space="preserve"> PAGEREF _Toc34157668 \h </w:instrText>
            </w:r>
            <w:r w:rsidR="0029478C" w:rsidRPr="007B26FF">
              <w:rPr>
                <w:rFonts w:ascii="Palatino Linotype" w:hAnsi="Palatino Linotype"/>
                <w:b/>
                <w:noProof/>
                <w:webHidden/>
              </w:rPr>
            </w:r>
            <w:r w:rsidR="0029478C" w:rsidRPr="007B26FF">
              <w:rPr>
                <w:rFonts w:ascii="Palatino Linotype" w:hAnsi="Palatino Linotype"/>
                <w:b/>
                <w:noProof/>
                <w:webHidden/>
              </w:rPr>
              <w:fldChar w:fldCharType="separate"/>
            </w:r>
            <w:r w:rsidR="0029478C" w:rsidRPr="007B26FF">
              <w:rPr>
                <w:rFonts w:ascii="Palatino Linotype" w:hAnsi="Palatino Linotype"/>
                <w:b/>
                <w:noProof/>
                <w:webHidden/>
              </w:rPr>
              <w:t>11</w:t>
            </w:r>
            <w:r w:rsidR="0029478C" w:rsidRPr="007B26FF">
              <w:rPr>
                <w:rFonts w:ascii="Palatino Linotype" w:hAnsi="Palatino Linotype"/>
                <w:b/>
                <w:noProof/>
                <w:webHidden/>
              </w:rPr>
              <w:fldChar w:fldCharType="end"/>
            </w:r>
          </w:hyperlink>
        </w:p>
        <w:p w14:paraId="610A94CA" w14:textId="66566E64" w:rsidR="00831F0C" w:rsidRPr="007B26FF" w:rsidRDefault="00831F0C" w:rsidP="00831F0C">
          <w:pPr>
            <w:spacing w:line="360" w:lineRule="auto"/>
            <w:rPr>
              <w:rFonts w:ascii="Palatino Linotype" w:hAnsi="Palatino Linotype"/>
              <w:b/>
              <w:lang w:val="es-ES_tradnl" w:eastAsia="es-ES"/>
            </w:rPr>
          </w:pPr>
          <w:r w:rsidRPr="007B26FF">
            <w:rPr>
              <w:rFonts w:ascii="Palatino Linotype" w:hAnsi="Palatino Linotype"/>
              <w:b/>
              <w:lang w:val="es-ES_tradnl" w:eastAsia="es-ES"/>
            </w:rPr>
            <w:t>I. Del Derecho de Acceso a la Información</w:t>
          </w:r>
        </w:p>
        <w:p w14:paraId="1CD5D1DD" w14:textId="479D414B" w:rsidR="00831F0C" w:rsidRPr="007B26FF" w:rsidRDefault="00831F0C" w:rsidP="00831F0C">
          <w:pPr>
            <w:spacing w:line="360" w:lineRule="auto"/>
            <w:rPr>
              <w:rFonts w:ascii="Palatino Linotype" w:hAnsi="Palatino Linotype"/>
              <w:b/>
              <w:lang w:val="es-ES_tradnl" w:eastAsia="es-ES"/>
            </w:rPr>
          </w:pPr>
          <w:r w:rsidRPr="007B26FF">
            <w:rPr>
              <w:rFonts w:ascii="Palatino Linotype" w:hAnsi="Palatino Linotype"/>
              <w:b/>
              <w:lang w:val="es-ES_tradnl" w:eastAsia="es-ES"/>
            </w:rPr>
            <w:t>II. De la Respuesta del Sujeto Obligado</w:t>
          </w:r>
        </w:p>
        <w:p w14:paraId="76DEB295" w14:textId="3A7A972C" w:rsidR="00831F0C" w:rsidRPr="007B26FF" w:rsidRDefault="00831F0C" w:rsidP="00831F0C">
          <w:pPr>
            <w:spacing w:line="360" w:lineRule="auto"/>
            <w:rPr>
              <w:rFonts w:ascii="Palatino Linotype" w:hAnsi="Palatino Linotype"/>
              <w:b/>
              <w:lang w:val="es-ES_tradnl" w:eastAsia="es-ES"/>
            </w:rPr>
          </w:pPr>
          <w:r w:rsidRPr="007B26FF">
            <w:rPr>
              <w:rFonts w:ascii="Palatino Linotype" w:hAnsi="Palatino Linotype"/>
              <w:b/>
              <w:lang w:val="es-ES_tradnl" w:eastAsia="es-ES"/>
            </w:rPr>
            <w:t xml:space="preserve">III. De la fuente obligacional </w:t>
          </w:r>
        </w:p>
        <w:p w14:paraId="0C063D8B" w14:textId="4C8F61CE" w:rsidR="00831F0C" w:rsidRPr="007B26FF" w:rsidRDefault="00831F0C" w:rsidP="00831F0C">
          <w:pPr>
            <w:spacing w:line="360" w:lineRule="auto"/>
            <w:rPr>
              <w:rFonts w:ascii="Palatino Linotype" w:hAnsi="Palatino Linotype"/>
              <w:b/>
              <w:lang w:val="es-ES_tradnl" w:eastAsia="es-ES"/>
            </w:rPr>
          </w:pPr>
          <w:r w:rsidRPr="007B26FF">
            <w:rPr>
              <w:rFonts w:ascii="Palatino Linotype" w:hAnsi="Palatino Linotype"/>
              <w:b/>
              <w:lang w:val="es-ES_tradnl" w:eastAsia="es-ES"/>
            </w:rPr>
            <w:t>IV. De la gratuidad de la información pública y de sus costos de reproducción</w:t>
          </w:r>
        </w:p>
        <w:p w14:paraId="707CC571" w14:textId="293232F3" w:rsidR="00831F0C" w:rsidRPr="007B26FF" w:rsidRDefault="00831F0C" w:rsidP="00831F0C">
          <w:pPr>
            <w:spacing w:line="360" w:lineRule="auto"/>
            <w:rPr>
              <w:rFonts w:ascii="Palatino Linotype" w:hAnsi="Palatino Linotype"/>
              <w:b/>
              <w:lang w:val="es-ES_tradnl" w:eastAsia="es-ES"/>
            </w:rPr>
          </w:pPr>
          <w:r w:rsidRPr="007B26FF">
            <w:rPr>
              <w:rFonts w:ascii="Palatino Linotype" w:hAnsi="Palatino Linotype"/>
              <w:b/>
              <w:lang w:val="es-ES_tradnl" w:eastAsia="es-ES"/>
            </w:rPr>
            <w:t xml:space="preserve">SEXTO. De la Versión Pública </w:t>
          </w:r>
        </w:p>
        <w:p w14:paraId="7638CC88" w14:textId="77777777" w:rsidR="0029478C" w:rsidRPr="007B26FF" w:rsidRDefault="00625729" w:rsidP="00831F0C">
          <w:pPr>
            <w:pStyle w:val="TDC1"/>
            <w:spacing w:line="360" w:lineRule="auto"/>
            <w:ind w:left="0"/>
            <w:rPr>
              <w:rFonts w:ascii="Palatino Linotype" w:hAnsi="Palatino Linotype"/>
              <w:b/>
              <w:noProof/>
              <w:lang w:val="es-MX" w:eastAsia="es-MX"/>
            </w:rPr>
          </w:pPr>
          <w:hyperlink w:anchor="_Toc34157669" w:history="1">
            <w:r w:rsidR="0029478C" w:rsidRPr="007B26FF">
              <w:rPr>
                <w:rStyle w:val="Hipervnculo"/>
                <w:rFonts w:ascii="Palatino Linotype" w:hAnsi="Palatino Linotype"/>
                <w:b/>
                <w:noProof/>
                <w:color w:val="auto"/>
              </w:rPr>
              <w:t>R E S O L U T I V O S</w:t>
            </w:r>
            <w:r w:rsidR="0029478C" w:rsidRPr="007B26FF">
              <w:rPr>
                <w:rFonts w:ascii="Palatino Linotype" w:hAnsi="Palatino Linotype"/>
                <w:b/>
                <w:noProof/>
                <w:webHidden/>
              </w:rPr>
              <w:tab/>
            </w:r>
            <w:r w:rsidR="0029478C" w:rsidRPr="007B26FF">
              <w:rPr>
                <w:rFonts w:ascii="Palatino Linotype" w:hAnsi="Palatino Linotype"/>
                <w:b/>
                <w:noProof/>
                <w:webHidden/>
              </w:rPr>
              <w:fldChar w:fldCharType="begin"/>
            </w:r>
            <w:r w:rsidR="0029478C" w:rsidRPr="007B26FF">
              <w:rPr>
                <w:rFonts w:ascii="Palatino Linotype" w:hAnsi="Palatino Linotype"/>
                <w:b/>
                <w:noProof/>
                <w:webHidden/>
              </w:rPr>
              <w:instrText xml:space="preserve"> PAGEREF _Toc34157669 \h </w:instrText>
            </w:r>
            <w:r w:rsidR="0029478C" w:rsidRPr="007B26FF">
              <w:rPr>
                <w:rFonts w:ascii="Palatino Linotype" w:hAnsi="Palatino Linotype"/>
                <w:b/>
                <w:noProof/>
                <w:webHidden/>
              </w:rPr>
            </w:r>
            <w:r w:rsidR="0029478C" w:rsidRPr="007B26FF">
              <w:rPr>
                <w:rFonts w:ascii="Palatino Linotype" w:hAnsi="Palatino Linotype"/>
                <w:b/>
                <w:noProof/>
                <w:webHidden/>
              </w:rPr>
              <w:fldChar w:fldCharType="separate"/>
            </w:r>
            <w:r w:rsidR="0029478C" w:rsidRPr="007B26FF">
              <w:rPr>
                <w:rFonts w:ascii="Palatino Linotype" w:hAnsi="Palatino Linotype"/>
                <w:b/>
                <w:noProof/>
                <w:webHidden/>
              </w:rPr>
              <w:t>30</w:t>
            </w:r>
            <w:r w:rsidR="0029478C" w:rsidRPr="007B26FF">
              <w:rPr>
                <w:rFonts w:ascii="Palatino Linotype" w:hAnsi="Palatino Linotype"/>
                <w:b/>
                <w:noProof/>
                <w:webHidden/>
              </w:rPr>
              <w:fldChar w:fldCharType="end"/>
            </w:r>
          </w:hyperlink>
        </w:p>
        <w:p w14:paraId="7C0B76DD" w14:textId="77777777" w:rsidR="0029478C" w:rsidRPr="007B26FF" w:rsidRDefault="0029478C" w:rsidP="00831F0C">
          <w:pPr>
            <w:spacing w:line="360" w:lineRule="auto"/>
            <w:jc w:val="both"/>
            <w:rPr>
              <w:rFonts w:ascii="Palatino Linotype" w:hAnsi="Palatino Linotype"/>
            </w:rPr>
          </w:pPr>
          <w:r w:rsidRPr="007B26FF">
            <w:rPr>
              <w:rFonts w:ascii="Palatino Linotype" w:hAnsi="Palatino Linotype"/>
              <w:b/>
              <w:bCs/>
              <w:lang w:val="es-ES"/>
            </w:rPr>
            <w:fldChar w:fldCharType="end"/>
          </w:r>
        </w:p>
      </w:sdtContent>
    </w:sdt>
    <w:p w14:paraId="5EDBE70E" w14:textId="77777777" w:rsidR="0029478C" w:rsidRPr="007B26FF" w:rsidRDefault="0029478C" w:rsidP="0029478C">
      <w:pPr>
        <w:tabs>
          <w:tab w:val="left" w:pos="3465"/>
        </w:tabs>
        <w:spacing w:before="240" w:after="360" w:line="360" w:lineRule="auto"/>
        <w:jc w:val="both"/>
        <w:rPr>
          <w:rFonts w:ascii="Palatino Linotype" w:hAnsi="Palatino Linotype"/>
        </w:rPr>
      </w:pPr>
    </w:p>
    <w:p w14:paraId="22113111" w14:textId="77777777" w:rsidR="00AC22B5" w:rsidRPr="007B26FF" w:rsidRDefault="00AC22B5" w:rsidP="006B6F57">
      <w:pPr>
        <w:tabs>
          <w:tab w:val="left" w:pos="3465"/>
        </w:tabs>
        <w:spacing w:before="240" w:after="360" w:line="360" w:lineRule="auto"/>
        <w:jc w:val="both"/>
        <w:rPr>
          <w:rFonts w:ascii="Palatino Linotype" w:hAnsi="Palatino Linotype"/>
        </w:rPr>
      </w:pPr>
    </w:p>
    <w:p w14:paraId="73F7F940" w14:textId="11A5EF43" w:rsidR="00662C69" w:rsidRPr="007B26FF" w:rsidRDefault="009B11D6" w:rsidP="006B6F57">
      <w:pPr>
        <w:tabs>
          <w:tab w:val="left" w:pos="3465"/>
        </w:tabs>
        <w:spacing w:before="240" w:after="360" w:line="360" w:lineRule="auto"/>
        <w:jc w:val="both"/>
        <w:rPr>
          <w:rFonts w:ascii="Palatino Linotype" w:hAnsi="Palatino Linotype"/>
        </w:rPr>
      </w:pPr>
      <w:r w:rsidRPr="007B26FF">
        <w:rPr>
          <w:rFonts w:ascii="Palatino Linotype" w:hAnsi="Palatino Linotype"/>
        </w:rPr>
        <w:lastRenderedPageBreak/>
        <w:t>R</w:t>
      </w:r>
      <w:r w:rsidR="00662C69" w:rsidRPr="007B26FF">
        <w:rPr>
          <w:rFonts w:ascii="Palatino Linotype" w:hAnsi="Palatino Linotype"/>
        </w:rPr>
        <w:t>esolución del Pleno del Instituto de Transparencia, Acceso a la Información Pública y Protección de Datos Personales del Estado de México y Mun</w:t>
      </w:r>
      <w:r w:rsidR="000D5A1D" w:rsidRPr="007B26FF">
        <w:rPr>
          <w:rFonts w:ascii="Palatino Linotype" w:hAnsi="Palatino Linotype"/>
        </w:rPr>
        <w:t>icipios, con</w:t>
      </w:r>
      <w:r w:rsidR="00662C69" w:rsidRPr="007B26FF">
        <w:rPr>
          <w:rFonts w:ascii="Palatino Linotype" w:hAnsi="Palatino Linotype"/>
        </w:rPr>
        <w:t xml:space="preserve"> </w:t>
      </w:r>
      <w:r w:rsidR="00485DB6" w:rsidRPr="007B26FF">
        <w:rPr>
          <w:rFonts w:ascii="Palatino Linotype" w:hAnsi="Palatino Linotype"/>
        </w:rPr>
        <w:t xml:space="preserve">domicilio </w:t>
      </w:r>
      <w:r w:rsidR="00662C69" w:rsidRPr="007B26FF">
        <w:rPr>
          <w:rFonts w:ascii="Palatino Linotype" w:hAnsi="Palatino Linotype"/>
        </w:rPr>
        <w:t xml:space="preserve">en </w:t>
      </w:r>
      <w:r w:rsidR="00AC22B5" w:rsidRPr="007B26FF">
        <w:rPr>
          <w:rFonts w:ascii="Palatino Linotype" w:hAnsi="Palatino Linotype"/>
        </w:rPr>
        <w:t>Metepec</w:t>
      </w:r>
      <w:r w:rsidR="00662C69" w:rsidRPr="007B26FF">
        <w:rPr>
          <w:rFonts w:ascii="Palatino Linotype" w:hAnsi="Palatino Linotype"/>
        </w:rPr>
        <w:t xml:space="preserve">, Estado de México; de </w:t>
      </w:r>
      <w:r w:rsidR="000D5A1D" w:rsidRPr="007B26FF">
        <w:rPr>
          <w:rFonts w:ascii="Palatino Linotype" w:hAnsi="Palatino Linotype"/>
        </w:rPr>
        <w:t xml:space="preserve">fecha </w:t>
      </w:r>
      <w:r w:rsidR="00774B7D" w:rsidRPr="007B26FF">
        <w:rPr>
          <w:rFonts w:ascii="Palatino Linotype" w:hAnsi="Palatino Linotype"/>
        </w:rPr>
        <w:t xml:space="preserve">cuatro (04) de marzo de dos mil </w:t>
      </w:r>
      <w:r w:rsidR="009D38EA" w:rsidRPr="007B26FF">
        <w:rPr>
          <w:rFonts w:ascii="Palatino Linotype" w:hAnsi="Palatino Linotype"/>
        </w:rPr>
        <w:t>veintiuno</w:t>
      </w:r>
      <w:r w:rsidR="00662C69" w:rsidRPr="007B26FF">
        <w:rPr>
          <w:rFonts w:ascii="Palatino Linotype" w:hAnsi="Palatino Linotype"/>
        </w:rPr>
        <w:t>.</w:t>
      </w:r>
    </w:p>
    <w:p w14:paraId="548BA910" w14:textId="29236E0A" w:rsidR="00F854D7" w:rsidRPr="007B26FF" w:rsidRDefault="00662C69" w:rsidP="006B6F57">
      <w:pPr>
        <w:spacing w:before="240" w:after="360" w:line="360" w:lineRule="auto"/>
        <w:jc w:val="both"/>
        <w:rPr>
          <w:rFonts w:ascii="Palatino Linotype" w:hAnsi="Palatino Linotype"/>
          <w:b/>
        </w:rPr>
      </w:pPr>
      <w:r w:rsidRPr="007B26FF">
        <w:rPr>
          <w:rFonts w:ascii="Palatino Linotype" w:hAnsi="Palatino Linotype"/>
          <w:b/>
        </w:rPr>
        <w:t>VISTO</w:t>
      </w:r>
      <w:r w:rsidRPr="007B26FF">
        <w:rPr>
          <w:rFonts w:ascii="Palatino Linotype" w:hAnsi="Palatino Linotype"/>
        </w:rPr>
        <w:t xml:space="preserve"> el expediente electrónico for</w:t>
      </w:r>
      <w:r w:rsidR="00D37494" w:rsidRPr="007B26FF">
        <w:rPr>
          <w:rFonts w:ascii="Palatino Linotype" w:hAnsi="Palatino Linotype"/>
        </w:rPr>
        <w:t>mado con motivo del</w:t>
      </w:r>
      <w:r w:rsidR="00621DB8" w:rsidRPr="007B26FF">
        <w:rPr>
          <w:rFonts w:ascii="Palatino Linotype" w:hAnsi="Palatino Linotype"/>
        </w:rPr>
        <w:t xml:space="preserve"> recurso de revisión </w:t>
      </w:r>
      <w:r w:rsidR="008D1008" w:rsidRPr="007B26FF">
        <w:rPr>
          <w:rFonts w:ascii="Palatino Linotype" w:hAnsi="Palatino Linotype"/>
          <w:b/>
        </w:rPr>
        <w:t>00018/INFOEM/IP/RR/2021</w:t>
      </w:r>
      <w:r w:rsidR="004F3DEB" w:rsidRPr="007B26FF">
        <w:rPr>
          <w:rFonts w:ascii="Palatino Linotype" w:hAnsi="Palatino Linotype"/>
          <w:b/>
        </w:rPr>
        <w:t>,</w:t>
      </w:r>
      <w:r w:rsidR="00335BFE" w:rsidRPr="007B26FF">
        <w:rPr>
          <w:rFonts w:ascii="Palatino Linotype" w:hAnsi="Palatino Linotype" w:cs="Arial"/>
          <w:b/>
          <w:bCs/>
        </w:rPr>
        <w:t xml:space="preserve"> </w:t>
      </w:r>
      <w:r w:rsidRPr="007B26FF">
        <w:rPr>
          <w:rFonts w:ascii="Palatino Linotype" w:hAnsi="Palatino Linotype"/>
        </w:rPr>
        <w:t>promovido por</w:t>
      </w:r>
      <w:r w:rsidR="00621DB8" w:rsidRPr="007B26FF">
        <w:rPr>
          <w:rFonts w:ascii="Palatino Linotype" w:hAnsi="Palatino Linotype"/>
          <w:b/>
        </w:rPr>
        <w:t xml:space="preserve"> </w:t>
      </w:r>
      <w:r w:rsidR="00EF10EF" w:rsidRPr="00EF10EF">
        <w:rPr>
          <w:rFonts w:ascii="Palatino Linotype" w:hAnsi="Palatino Linotype"/>
          <w:b/>
          <w:highlight w:val="black"/>
        </w:rPr>
        <w:t>---------------------------</w:t>
      </w:r>
      <w:r w:rsidR="007521DE" w:rsidRPr="007B26FF">
        <w:rPr>
          <w:rFonts w:ascii="Palatino Linotype" w:hAnsi="Palatino Linotype"/>
        </w:rPr>
        <w:t xml:space="preserve">, </w:t>
      </w:r>
      <w:r w:rsidR="0064508B" w:rsidRPr="007B26FF">
        <w:rPr>
          <w:rFonts w:ascii="Palatino Linotype" w:hAnsi="Palatino Linotype"/>
        </w:rPr>
        <w:t xml:space="preserve">a quien </w:t>
      </w:r>
      <w:r w:rsidR="00A05D06" w:rsidRPr="007B26FF">
        <w:rPr>
          <w:rFonts w:ascii="Palatino Linotype" w:hAnsi="Palatino Linotype"/>
        </w:rPr>
        <w:t xml:space="preserve">en </w:t>
      </w:r>
      <w:r w:rsidR="00E64EAF" w:rsidRPr="007B26FF">
        <w:rPr>
          <w:rFonts w:ascii="Palatino Linotype" w:hAnsi="Palatino Linotype"/>
        </w:rPr>
        <w:t>lo sucesivo</w:t>
      </w:r>
      <w:r w:rsidR="00A05D06" w:rsidRPr="007B26FF">
        <w:rPr>
          <w:rFonts w:ascii="Palatino Linotype" w:hAnsi="Palatino Linotype"/>
        </w:rPr>
        <w:t xml:space="preserve"> se </w:t>
      </w:r>
      <w:r w:rsidR="007521DE" w:rsidRPr="007B26FF">
        <w:rPr>
          <w:rFonts w:ascii="Palatino Linotype" w:hAnsi="Palatino Linotype"/>
        </w:rPr>
        <w:t xml:space="preserve">le </w:t>
      </w:r>
      <w:r w:rsidR="00A05D06" w:rsidRPr="007B26FF">
        <w:rPr>
          <w:rFonts w:ascii="Palatino Linotype" w:hAnsi="Palatino Linotype"/>
        </w:rPr>
        <w:t>identificará como</w:t>
      </w:r>
      <w:r w:rsidR="00FF0139" w:rsidRPr="007B26FF">
        <w:rPr>
          <w:rFonts w:ascii="Palatino Linotype" w:hAnsi="Palatino Linotype"/>
        </w:rPr>
        <w:t xml:space="preserve"> </w:t>
      </w:r>
      <w:r w:rsidR="0051659D" w:rsidRPr="007B26FF">
        <w:rPr>
          <w:rFonts w:ascii="Palatino Linotype" w:hAnsi="Palatino Linotype"/>
        </w:rPr>
        <w:t>e</w:t>
      </w:r>
      <w:r w:rsidR="0064508B" w:rsidRPr="007B26FF">
        <w:rPr>
          <w:rFonts w:ascii="Palatino Linotype" w:hAnsi="Palatino Linotype"/>
        </w:rPr>
        <w:t>l</w:t>
      </w:r>
      <w:r w:rsidR="0004427A" w:rsidRPr="007B26FF">
        <w:rPr>
          <w:rFonts w:ascii="Palatino Linotype" w:hAnsi="Palatino Linotype"/>
          <w:b/>
        </w:rPr>
        <w:t xml:space="preserve"> </w:t>
      </w:r>
      <w:r w:rsidRPr="007B26FF">
        <w:rPr>
          <w:rFonts w:ascii="Palatino Linotype" w:hAnsi="Palatino Linotype" w:cs="Arial"/>
          <w:b/>
        </w:rPr>
        <w:t>RECURRENTE</w:t>
      </w:r>
      <w:r w:rsidRPr="007B26FF">
        <w:rPr>
          <w:rFonts w:ascii="Palatino Linotype" w:hAnsi="Palatino Linotype" w:cs="Arial"/>
        </w:rPr>
        <w:t xml:space="preserve">, en contra </w:t>
      </w:r>
      <w:r w:rsidR="000D5A1D" w:rsidRPr="007B26FF">
        <w:rPr>
          <w:rFonts w:ascii="Palatino Linotype" w:hAnsi="Palatino Linotype" w:cs="Arial"/>
        </w:rPr>
        <w:t xml:space="preserve">de </w:t>
      </w:r>
      <w:r w:rsidR="00843908" w:rsidRPr="007B26FF">
        <w:rPr>
          <w:rFonts w:ascii="Palatino Linotype" w:hAnsi="Palatino Linotype" w:cs="Arial"/>
        </w:rPr>
        <w:t>la respuesta d</w:t>
      </w:r>
      <w:r w:rsidR="00F854D7" w:rsidRPr="007B26FF">
        <w:rPr>
          <w:rFonts w:ascii="Palatino Linotype" w:hAnsi="Palatino Linotype" w:cs="Arial"/>
        </w:rPr>
        <w:t>e</w:t>
      </w:r>
      <w:r w:rsidR="00621DB8" w:rsidRPr="007B26FF">
        <w:rPr>
          <w:rFonts w:ascii="Palatino Linotype" w:hAnsi="Palatino Linotype" w:cs="Arial"/>
        </w:rPr>
        <w:t>l</w:t>
      </w:r>
      <w:r w:rsidR="00F854D7" w:rsidRPr="007B26FF">
        <w:rPr>
          <w:rFonts w:ascii="Palatino Linotype" w:hAnsi="Palatino Linotype" w:cs="Arial"/>
        </w:rPr>
        <w:t xml:space="preserve"> </w:t>
      </w:r>
      <w:r w:rsidR="00C826E6" w:rsidRPr="007B26FF">
        <w:rPr>
          <w:rFonts w:ascii="Palatino Linotype" w:hAnsi="Palatino Linotype"/>
          <w:b/>
          <w:bCs/>
          <w:color w:val="000000"/>
        </w:rPr>
        <w:t>Ayuntamiento de Tecámac</w:t>
      </w:r>
      <w:r w:rsidR="004F3DEB" w:rsidRPr="007B26FF">
        <w:rPr>
          <w:rFonts w:ascii="Palatino Linotype" w:hAnsi="Palatino Linotype" w:cs="Arial"/>
          <w:b/>
        </w:rPr>
        <w:t>,</w:t>
      </w:r>
      <w:r w:rsidR="0036073F" w:rsidRPr="007B26FF">
        <w:rPr>
          <w:rFonts w:ascii="Palatino Linotype" w:hAnsi="Palatino Linotype"/>
          <w:b/>
        </w:rPr>
        <w:t xml:space="preserve"> </w:t>
      </w:r>
      <w:r w:rsidR="00F378CB" w:rsidRPr="007B26FF">
        <w:rPr>
          <w:rFonts w:ascii="Palatino Linotype" w:hAnsi="Palatino Linotype"/>
        </w:rPr>
        <w:t xml:space="preserve">en lo sucesivo </w:t>
      </w:r>
      <w:r w:rsidR="0081425E" w:rsidRPr="007B26FF">
        <w:rPr>
          <w:rFonts w:ascii="Palatino Linotype" w:hAnsi="Palatino Linotype"/>
        </w:rPr>
        <w:t>e</w:t>
      </w:r>
      <w:r w:rsidRPr="007B26FF">
        <w:rPr>
          <w:rFonts w:ascii="Palatino Linotype" w:hAnsi="Palatino Linotype"/>
        </w:rPr>
        <w:t>l</w:t>
      </w:r>
      <w:r w:rsidRPr="007B26FF">
        <w:rPr>
          <w:rFonts w:ascii="Palatino Linotype" w:hAnsi="Palatino Linotype"/>
          <w:b/>
        </w:rPr>
        <w:t xml:space="preserve"> SUJETO OBLIGADO</w:t>
      </w:r>
      <w:r w:rsidR="00F854D7" w:rsidRPr="007B26FF">
        <w:rPr>
          <w:rFonts w:ascii="Palatino Linotype" w:hAnsi="Palatino Linotype"/>
          <w:b/>
        </w:rPr>
        <w:t xml:space="preserve">; </w:t>
      </w:r>
      <w:r w:rsidR="00F854D7" w:rsidRPr="007B26FF">
        <w:rPr>
          <w:rFonts w:ascii="Palatino Linotype" w:hAnsi="Palatino Linotype"/>
        </w:rPr>
        <w:t xml:space="preserve">se procede a dictar la presente resolución, con base en los siguientes: </w:t>
      </w:r>
    </w:p>
    <w:p w14:paraId="769E1410" w14:textId="5740327F" w:rsidR="00587366" w:rsidRPr="007B26FF" w:rsidRDefault="00662C69" w:rsidP="00774B7D">
      <w:pPr>
        <w:pStyle w:val="Ttulo1"/>
        <w:spacing w:line="360" w:lineRule="auto"/>
        <w:jc w:val="center"/>
        <w:rPr>
          <w:b/>
          <w:szCs w:val="24"/>
        </w:rPr>
      </w:pPr>
      <w:bookmarkStart w:id="0" w:name="_Toc461555884"/>
      <w:bookmarkStart w:id="1" w:name="_Toc466371847"/>
      <w:bookmarkStart w:id="2" w:name="_Toc35535690"/>
      <w:r w:rsidRPr="007B26FF">
        <w:rPr>
          <w:b/>
          <w:szCs w:val="24"/>
        </w:rPr>
        <w:t>ANTECEDENTES</w:t>
      </w:r>
      <w:bookmarkEnd w:id="0"/>
      <w:bookmarkEnd w:id="1"/>
      <w:bookmarkEnd w:id="2"/>
    </w:p>
    <w:p w14:paraId="642C1082" w14:textId="1A90AF90" w:rsidR="00774B7D" w:rsidRPr="007B26FF" w:rsidRDefault="00D9392E" w:rsidP="00BA3B51">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7B26FF">
        <w:rPr>
          <w:rFonts w:ascii="Palatino Linotype" w:eastAsia="Calibri" w:hAnsi="Palatino Linotype" w:cs="Arial"/>
          <w:lang w:val="es-ES"/>
        </w:rPr>
        <w:t xml:space="preserve">El día </w:t>
      </w:r>
      <w:r w:rsidR="00C826E6" w:rsidRPr="007B26FF">
        <w:rPr>
          <w:rFonts w:ascii="Palatino Linotype" w:eastAsia="Calibri" w:hAnsi="Palatino Linotype" w:cs="Arial"/>
          <w:lang w:val="es-ES"/>
        </w:rPr>
        <w:t>dos</w:t>
      </w:r>
      <w:r w:rsidR="00EB1B4D" w:rsidRPr="007B26FF">
        <w:rPr>
          <w:rFonts w:ascii="Palatino Linotype" w:eastAsia="Calibri" w:hAnsi="Palatino Linotype" w:cs="Arial"/>
          <w:lang w:val="es-ES"/>
        </w:rPr>
        <w:t xml:space="preserve"> </w:t>
      </w:r>
      <w:r w:rsidRPr="007B26FF">
        <w:rPr>
          <w:rFonts w:ascii="Palatino Linotype" w:eastAsia="Calibri" w:hAnsi="Palatino Linotype" w:cs="Arial"/>
          <w:lang w:val="es-ES"/>
        </w:rPr>
        <w:t>(</w:t>
      </w:r>
      <w:r w:rsidR="00C826E6" w:rsidRPr="007B26FF">
        <w:rPr>
          <w:rFonts w:ascii="Palatino Linotype" w:eastAsia="Calibri" w:hAnsi="Palatino Linotype" w:cs="Arial"/>
          <w:lang w:val="es-ES"/>
        </w:rPr>
        <w:t>02</w:t>
      </w:r>
      <w:r w:rsidRPr="007B26FF">
        <w:rPr>
          <w:rFonts w:ascii="Palatino Linotype" w:eastAsia="Calibri" w:hAnsi="Palatino Linotype" w:cs="Arial"/>
          <w:lang w:val="es-ES"/>
        </w:rPr>
        <w:t xml:space="preserve">) de </w:t>
      </w:r>
      <w:r w:rsidR="00C826E6" w:rsidRPr="007B26FF">
        <w:rPr>
          <w:rFonts w:ascii="Palatino Linotype" w:eastAsia="Calibri" w:hAnsi="Palatino Linotype" w:cs="Arial"/>
          <w:lang w:val="es-ES"/>
        </w:rPr>
        <w:t>diciembre</w:t>
      </w:r>
      <w:r w:rsidR="00DA3F4B" w:rsidRPr="007B26FF">
        <w:rPr>
          <w:rFonts w:ascii="Palatino Linotype" w:eastAsia="Calibri" w:hAnsi="Palatino Linotype" w:cs="Arial"/>
          <w:lang w:val="es-ES"/>
        </w:rPr>
        <w:t xml:space="preserve"> de dos mil veinte</w:t>
      </w:r>
      <w:r w:rsidRPr="007B26FF">
        <w:rPr>
          <w:rFonts w:ascii="Palatino Linotype" w:hAnsi="Palatino Linotype"/>
          <w:b/>
        </w:rPr>
        <w:t xml:space="preserve">, </w:t>
      </w:r>
      <w:r w:rsidRPr="007B26FF">
        <w:rPr>
          <w:rFonts w:ascii="Palatino Linotype" w:eastAsia="Calibri" w:hAnsi="Palatino Linotype" w:cs="Arial"/>
          <w:lang w:val="es-ES"/>
        </w:rPr>
        <w:t>se presentó</w:t>
      </w:r>
      <w:r w:rsidR="00223D1A" w:rsidRPr="007B26FF">
        <w:rPr>
          <w:rFonts w:ascii="Palatino Linotype" w:eastAsia="Calibri" w:hAnsi="Palatino Linotype" w:cs="Arial"/>
          <w:lang w:val="es-ES"/>
        </w:rPr>
        <w:t xml:space="preserve"> ante </w:t>
      </w:r>
      <w:r w:rsidR="0081425E" w:rsidRPr="007B26FF">
        <w:rPr>
          <w:rFonts w:ascii="Palatino Linotype" w:eastAsia="Calibri" w:hAnsi="Palatino Linotype" w:cs="Arial"/>
          <w:lang w:val="es-ES"/>
        </w:rPr>
        <w:t>e</w:t>
      </w:r>
      <w:r w:rsidRPr="007B26FF">
        <w:rPr>
          <w:rFonts w:ascii="Palatino Linotype" w:eastAsia="Calibri" w:hAnsi="Palatino Linotype" w:cs="Arial"/>
          <w:lang w:val="es-ES"/>
        </w:rPr>
        <w:t xml:space="preserve">l </w:t>
      </w:r>
      <w:r w:rsidRPr="007B26FF">
        <w:rPr>
          <w:rFonts w:ascii="Palatino Linotype" w:eastAsia="Calibri" w:hAnsi="Palatino Linotype" w:cs="Arial"/>
          <w:b/>
          <w:lang w:val="es-ES"/>
        </w:rPr>
        <w:t>SUJETO OBLIGADO</w:t>
      </w:r>
      <w:r w:rsidRPr="007B26FF">
        <w:rPr>
          <w:rFonts w:ascii="Palatino Linotype" w:eastAsia="Calibri" w:hAnsi="Palatino Linotype" w:cs="Arial"/>
        </w:rPr>
        <w:t xml:space="preserve"> vía </w:t>
      </w:r>
      <w:r w:rsidR="00DA3F4B" w:rsidRPr="007B26FF">
        <w:rPr>
          <w:rFonts w:ascii="Palatino Linotype" w:eastAsia="Calibri" w:hAnsi="Palatino Linotype" w:cs="Arial"/>
          <w:lang w:val="es-ES"/>
        </w:rPr>
        <w:t>SAIMEX</w:t>
      </w:r>
      <w:r w:rsidRPr="007B26FF">
        <w:rPr>
          <w:rFonts w:ascii="Palatino Linotype" w:eastAsia="Calibri" w:hAnsi="Palatino Linotype" w:cs="Arial"/>
          <w:lang w:val="es-ES"/>
        </w:rPr>
        <w:t>, la solicitud de información pública registrad</w:t>
      </w:r>
      <w:r w:rsidR="0081425E" w:rsidRPr="007B26FF">
        <w:rPr>
          <w:rFonts w:ascii="Palatino Linotype" w:eastAsia="Calibri" w:hAnsi="Palatino Linotype" w:cs="Arial"/>
          <w:lang w:val="es-ES"/>
        </w:rPr>
        <w:t>a</w:t>
      </w:r>
      <w:r w:rsidRPr="007B26FF">
        <w:rPr>
          <w:rFonts w:ascii="Palatino Linotype" w:eastAsia="Calibri" w:hAnsi="Palatino Linotype" w:cs="Arial"/>
          <w:lang w:val="es-ES"/>
        </w:rPr>
        <w:t xml:space="preserve"> con </w:t>
      </w:r>
      <w:r w:rsidR="0081425E" w:rsidRPr="007B26FF">
        <w:rPr>
          <w:rFonts w:ascii="Palatino Linotype" w:eastAsia="Calibri" w:hAnsi="Palatino Linotype" w:cs="Arial"/>
          <w:lang w:val="es-ES"/>
        </w:rPr>
        <w:t>e</w:t>
      </w:r>
      <w:r w:rsidRPr="007B26FF">
        <w:rPr>
          <w:rFonts w:ascii="Palatino Linotype" w:eastAsia="Calibri" w:hAnsi="Palatino Linotype" w:cs="Arial"/>
          <w:lang w:val="es-ES"/>
        </w:rPr>
        <w:t>l</w:t>
      </w:r>
      <w:r w:rsidR="0081425E" w:rsidRPr="007B26FF">
        <w:rPr>
          <w:rFonts w:ascii="Palatino Linotype" w:eastAsia="Calibri" w:hAnsi="Palatino Linotype" w:cs="Arial"/>
          <w:lang w:val="es-ES"/>
        </w:rPr>
        <w:t xml:space="preserve"> número</w:t>
      </w:r>
      <w:r w:rsidR="000C5DE6" w:rsidRPr="007B26FF">
        <w:rPr>
          <w:rFonts w:ascii="Palatino Linotype" w:hAnsi="Palatino Linotype"/>
          <w:b/>
          <w:bCs/>
          <w:color w:val="000000" w:themeColor="text1"/>
        </w:rPr>
        <w:t xml:space="preserve"> </w:t>
      </w:r>
      <w:r w:rsidR="00621DB8" w:rsidRPr="007B26FF">
        <w:rPr>
          <w:rFonts w:ascii="Palatino Linotype" w:hAnsi="Palatino Linotype"/>
          <w:b/>
          <w:bCs/>
        </w:rPr>
        <w:t>00</w:t>
      </w:r>
      <w:r w:rsidR="00774B7D" w:rsidRPr="007B26FF">
        <w:rPr>
          <w:rFonts w:ascii="Palatino Linotype" w:hAnsi="Palatino Linotype"/>
          <w:b/>
          <w:bCs/>
        </w:rPr>
        <w:t>394</w:t>
      </w:r>
      <w:r w:rsidR="00621DB8" w:rsidRPr="007B26FF">
        <w:rPr>
          <w:rFonts w:ascii="Palatino Linotype" w:hAnsi="Palatino Linotype"/>
          <w:b/>
          <w:bCs/>
        </w:rPr>
        <w:t>/</w:t>
      </w:r>
      <w:r w:rsidR="00774B7D" w:rsidRPr="007B26FF">
        <w:rPr>
          <w:rFonts w:ascii="Palatino Linotype" w:hAnsi="Palatino Linotype"/>
          <w:b/>
          <w:bCs/>
        </w:rPr>
        <w:t>TECAMAC</w:t>
      </w:r>
      <w:r w:rsidR="00621DB8" w:rsidRPr="007B26FF">
        <w:rPr>
          <w:rFonts w:ascii="Palatino Linotype" w:hAnsi="Palatino Linotype"/>
          <w:b/>
          <w:bCs/>
        </w:rPr>
        <w:t>/IP/2020</w:t>
      </w:r>
      <w:r w:rsidR="00621DB8" w:rsidRPr="007B26FF">
        <w:rPr>
          <w:rFonts w:ascii="Palatino Linotype" w:eastAsia="Calibri" w:hAnsi="Palatino Linotype" w:cs="Arial"/>
          <w:lang w:val="es-ES"/>
        </w:rPr>
        <w:t xml:space="preserve"> </w:t>
      </w:r>
      <w:r w:rsidRPr="007B26FF">
        <w:rPr>
          <w:rFonts w:ascii="Palatino Linotype" w:eastAsia="Calibri" w:hAnsi="Palatino Linotype" w:cs="Arial"/>
          <w:lang w:val="es-ES"/>
        </w:rPr>
        <w:t xml:space="preserve">mediante la cual </w:t>
      </w:r>
      <w:r w:rsidR="00A133FA" w:rsidRPr="007B26FF">
        <w:rPr>
          <w:rFonts w:ascii="Palatino Linotype" w:eastAsia="Calibri" w:hAnsi="Palatino Linotype" w:cs="Arial"/>
          <w:lang w:val="es-ES"/>
        </w:rPr>
        <w:t xml:space="preserve">se </w:t>
      </w:r>
      <w:r w:rsidRPr="007B26FF">
        <w:rPr>
          <w:rFonts w:ascii="Palatino Linotype" w:eastAsia="Calibri" w:hAnsi="Palatino Linotype" w:cs="Arial"/>
          <w:lang w:val="es-ES"/>
        </w:rPr>
        <w:t>solicitó</w:t>
      </w:r>
      <w:r w:rsidR="00A16B32" w:rsidRPr="007B26FF">
        <w:rPr>
          <w:rFonts w:ascii="Palatino Linotype" w:eastAsia="Calibri" w:hAnsi="Palatino Linotype" w:cs="Arial"/>
          <w:lang w:val="es-ES"/>
        </w:rPr>
        <w:t xml:space="preserve"> </w:t>
      </w:r>
      <w:r w:rsidR="00646BEE" w:rsidRPr="007B26FF">
        <w:rPr>
          <w:rFonts w:ascii="Palatino Linotype" w:eastAsia="Calibri" w:hAnsi="Palatino Linotype" w:cs="Arial"/>
          <w:lang w:val="es-ES"/>
        </w:rPr>
        <w:t>la</w:t>
      </w:r>
      <w:r w:rsidR="00A16B32" w:rsidRPr="007B26FF">
        <w:rPr>
          <w:rFonts w:ascii="Palatino Linotype" w:eastAsia="Calibri" w:hAnsi="Palatino Linotype" w:cs="Arial"/>
          <w:lang w:val="es-ES"/>
        </w:rPr>
        <w:t xml:space="preserve"> siguiente</w:t>
      </w:r>
      <w:r w:rsidR="00646BEE" w:rsidRPr="007B26FF">
        <w:rPr>
          <w:rFonts w:ascii="Palatino Linotype" w:eastAsia="Calibri" w:hAnsi="Palatino Linotype" w:cs="Arial"/>
          <w:lang w:val="es-ES"/>
        </w:rPr>
        <w:t xml:space="preserve"> información</w:t>
      </w:r>
      <w:r w:rsidRPr="007B26FF">
        <w:rPr>
          <w:rFonts w:ascii="Palatino Linotype" w:eastAsia="Calibri" w:hAnsi="Palatino Linotype" w:cs="Arial"/>
          <w:lang w:val="es-ES"/>
        </w:rPr>
        <w:t>:</w:t>
      </w:r>
    </w:p>
    <w:p w14:paraId="71A5ADEC" w14:textId="77777777" w:rsidR="00774B7D" w:rsidRPr="007B26FF" w:rsidRDefault="00774B7D" w:rsidP="00774B7D">
      <w:pPr>
        <w:spacing w:line="276" w:lineRule="auto"/>
        <w:ind w:left="630"/>
        <w:jc w:val="both"/>
        <w:rPr>
          <w:rFonts w:ascii="Palatino Linotype" w:hAnsi="Palatino Linotype"/>
          <w:b/>
          <w:i/>
        </w:rPr>
      </w:pPr>
      <w:r w:rsidRPr="007B26FF">
        <w:rPr>
          <w:rFonts w:ascii="Palatino Linotype" w:eastAsia="Calibri" w:hAnsi="Palatino Linotype" w:cs="Arial"/>
          <w:i/>
          <w:lang w:val="es-ES"/>
        </w:rPr>
        <w:t>“</w:t>
      </w:r>
      <w:r w:rsidRPr="007B26FF">
        <w:rPr>
          <w:rFonts w:ascii="Palatino Linotype" w:hAnsi="Palatino Linotype"/>
          <w:i/>
          <w:color w:val="000000"/>
        </w:rPr>
        <w:t xml:space="preserve">Por este medio de manera </w:t>
      </w:r>
      <w:proofErr w:type="spellStart"/>
      <w:r w:rsidRPr="007B26FF">
        <w:rPr>
          <w:rFonts w:ascii="Palatino Linotype" w:hAnsi="Palatino Linotype"/>
          <w:i/>
          <w:color w:val="000000"/>
        </w:rPr>
        <w:t>pacifica</w:t>
      </w:r>
      <w:proofErr w:type="spellEnd"/>
      <w:r w:rsidRPr="007B26FF">
        <w:rPr>
          <w:rFonts w:ascii="Palatino Linotype" w:hAnsi="Palatino Linotype"/>
          <w:i/>
          <w:color w:val="000000"/>
        </w:rPr>
        <w:t xml:space="preserve"> y respetuosa, solicito copia simples del Conjunto Urbano denominado Real Granada, ubicado en el Municipio de </w:t>
      </w:r>
      <w:proofErr w:type="spellStart"/>
      <w:r w:rsidRPr="007B26FF">
        <w:rPr>
          <w:rFonts w:ascii="Palatino Linotype" w:hAnsi="Palatino Linotype"/>
          <w:i/>
          <w:color w:val="000000"/>
        </w:rPr>
        <w:t>Tecamac</w:t>
      </w:r>
      <w:proofErr w:type="spellEnd"/>
      <w:r w:rsidRPr="007B26FF">
        <w:rPr>
          <w:rFonts w:ascii="Palatino Linotype" w:hAnsi="Palatino Linotype"/>
          <w:i/>
          <w:color w:val="000000"/>
        </w:rPr>
        <w:t xml:space="preserve">, Estado de </w:t>
      </w:r>
      <w:proofErr w:type="spellStart"/>
      <w:r w:rsidRPr="007B26FF">
        <w:rPr>
          <w:rFonts w:ascii="Palatino Linotype" w:hAnsi="Palatino Linotype"/>
          <w:i/>
          <w:color w:val="000000"/>
        </w:rPr>
        <w:t>Mexico</w:t>
      </w:r>
      <w:proofErr w:type="spellEnd"/>
      <w:r w:rsidRPr="007B26FF">
        <w:rPr>
          <w:rFonts w:ascii="Palatino Linotype" w:hAnsi="Palatino Linotype"/>
          <w:i/>
          <w:color w:val="000000"/>
        </w:rPr>
        <w:t xml:space="preserve"> de cada una de sus etapas - Gaceta oficial de la dirección de Desarrollo Urbano y todos sus anexo</w:t>
      </w:r>
      <w:r w:rsidRPr="007B26FF">
        <w:rPr>
          <w:rFonts w:ascii="Palatino Linotype" w:hAnsi="Palatino Linotype"/>
          <w:b/>
          <w:i/>
          <w:color w:val="000000"/>
        </w:rPr>
        <w:t xml:space="preserve">s </w:t>
      </w:r>
      <w:r w:rsidRPr="007B26FF">
        <w:rPr>
          <w:rFonts w:ascii="Palatino Linotype" w:hAnsi="Palatino Linotype"/>
          <w:i/>
          <w:color w:val="000000"/>
        </w:rPr>
        <w:t xml:space="preserve">como es planos de lotificación Plano oficial, apertura </w:t>
      </w:r>
      <w:proofErr w:type="spellStart"/>
      <w:r w:rsidRPr="007B26FF">
        <w:rPr>
          <w:rFonts w:ascii="Palatino Linotype" w:hAnsi="Palatino Linotype"/>
          <w:i/>
          <w:color w:val="000000"/>
        </w:rPr>
        <w:t>ded</w:t>
      </w:r>
      <w:proofErr w:type="spellEnd"/>
      <w:r w:rsidRPr="007B26FF">
        <w:rPr>
          <w:rFonts w:ascii="Palatino Linotype" w:hAnsi="Palatino Linotype"/>
          <w:i/>
          <w:color w:val="000000"/>
        </w:rPr>
        <w:t xml:space="preserve"> </w:t>
      </w:r>
      <w:proofErr w:type="spellStart"/>
      <w:r w:rsidRPr="007B26FF">
        <w:rPr>
          <w:rFonts w:ascii="Palatino Linotype" w:hAnsi="Palatino Linotype"/>
          <w:i/>
          <w:color w:val="000000"/>
        </w:rPr>
        <w:t>vias</w:t>
      </w:r>
      <w:proofErr w:type="spellEnd"/>
      <w:r w:rsidRPr="007B26FF">
        <w:rPr>
          <w:rFonts w:ascii="Palatino Linotype" w:hAnsi="Palatino Linotype"/>
          <w:i/>
          <w:color w:val="000000"/>
        </w:rPr>
        <w:t xml:space="preserve"> </w:t>
      </w:r>
      <w:proofErr w:type="spellStart"/>
      <w:r w:rsidRPr="007B26FF">
        <w:rPr>
          <w:rFonts w:ascii="Palatino Linotype" w:hAnsi="Palatino Linotype"/>
          <w:i/>
          <w:color w:val="000000"/>
        </w:rPr>
        <w:t>publicas</w:t>
      </w:r>
      <w:proofErr w:type="spellEnd"/>
      <w:r w:rsidRPr="007B26FF">
        <w:rPr>
          <w:rFonts w:ascii="Palatino Linotype" w:hAnsi="Palatino Linotype"/>
          <w:i/>
          <w:color w:val="000000"/>
        </w:rPr>
        <w:t xml:space="preserve"> y </w:t>
      </w:r>
      <w:proofErr w:type="spellStart"/>
      <w:r w:rsidRPr="007B26FF">
        <w:rPr>
          <w:rFonts w:ascii="Palatino Linotype" w:hAnsi="Palatino Linotype"/>
          <w:i/>
          <w:color w:val="000000"/>
        </w:rPr>
        <w:t>division</w:t>
      </w:r>
      <w:proofErr w:type="spellEnd"/>
      <w:r w:rsidRPr="007B26FF">
        <w:rPr>
          <w:rFonts w:ascii="Palatino Linotype" w:hAnsi="Palatino Linotype"/>
          <w:i/>
          <w:color w:val="000000"/>
        </w:rPr>
        <w:t xml:space="preserve"> de lotes Fusión, subdivisión, apertura, ampliación o modificación de vías públicas; lotificación de predios para condominios; cambios de uso del suelo, de densidad e intensidad de su aprovechamiento o de la altura máxima permitida; y cualquier otro acto administrativo de competencia estatal o municipal que haya sido requerido para la lotificación solicitada. Secciones de vías públicas y privadas, en su </w:t>
      </w:r>
      <w:r w:rsidRPr="007B26FF">
        <w:rPr>
          <w:rFonts w:ascii="Palatino Linotype" w:hAnsi="Palatino Linotype"/>
          <w:i/>
          <w:color w:val="000000"/>
        </w:rPr>
        <w:lastRenderedPageBreak/>
        <w:t xml:space="preserve">caso. Cuadro de construcción de la poligonal del predio. Datos generales de la lotificación. Cuadros de cuantificación de lotes, superficies y usos del suelo por manzana. Datos de las autorizaciones implícitas, en su caso. Datos de autorización y publicación en la Gaceta del Gobierno. Nombre, firma y datos de registro del perito. Etapas o secciones del desarrollo, si las hubiera. En su caso, los créditos nombre de quienes proyectan, dibujan y revisan. Nombre y número del plano. Nombres, cargos y firmas de los funcionarios públicos que autorizan - oficio No. 224020000/3844/2014 aprobación de proyecto de lotificación - Actas de entrega-recepción tanto parcial como total en el periodo del 2014 al 2020, detallada por </w:t>
      </w:r>
      <w:proofErr w:type="spellStart"/>
      <w:r w:rsidRPr="007B26FF">
        <w:rPr>
          <w:rFonts w:ascii="Palatino Linotype" w:hAnsi="Palatino Linotype"/>
          <w:i/>
          <w:color w:val="000000"/>
        </w:rPr>
        <w:t>numero</w:t>
      </w:r>
      <w:proofErr w:type="spellEnd"/>
      <w:r w:rsidRPr="007B26FF">
        <w:rPr>
          <w:rFonts w:ascii="Palatino Linotype" w:hAnsi="Palatino Linotype"/>
          <w:i/>
          <w:color w:val="000000"/>
        </w:rPr>
        <w:t xml:space="preserve"> de expediente - Actas de supervisión correspondiente a la bitácora de supervisión de control de obras de infraestructura, </w:t>
      </w:r>
      <w:proofErr w:type="spellStart"/>
      <w:r w:rsidRPr="007B26FF">
        <w:rPr>
          <w:rFonts w:ascii="Palatino Linotype" w:hAnsi="Palatino Linotype"/>
          <w:i/>
          <w:color w:val="000000"/>
        </w:rPr>
        <w:t>urbanizacion</w:t>
      </w:r>
      <w:proofErr w:type="spellEnd"/>
      <w:r w:rsidRPr="007B26FF">
        <w:rPr>
          <w:rFonts w:ascii="Palatino Linotype" w:hAnsi="Palatino Linotype"/>
          <w:i/>
          <w:color w:val="000000"/>
        </w:rPr>
        <w:t xml:space="preserve"> y equipamiento de conjuntos urbanos. - La publicidad y/o contenido, propaganda aprobada por la Secretaria de Desarrollo Urbano para evitar propaganda engañosa conforme lo establece el articulo5.38 </w:t>
      </w:r>
      <w:proofErr w:type="spellStart"/>
      <w:r w:rsidRPr="007B26FF">
        <w:rPr>
          <w:rFonts w:ascii="Palatino Linotype" w:hAnsi="Palatino Linotype"/>
          <w:i/>
          <w:color w:val="000000"/>
        </w:rPr>
        <w:t>fraccion</w:t>
      </w:r>
      <w:proofErr w:type="spellEnd"/>
      <w:r w:rsidRPr="007B26FF">
        <w:rPr>
          <w:rFonts w:ascii="Palatino Linotype" w:hAnsi="Palatino Linotype"/>
          <w:i/>
          <w:color w:val="000000"/>
        </w:rPr>
        <w:t xml:space="preserve"> XII del </w:t>
      </w:r>
      <w:proofErr w:type="spellStart"/>
      <w:r w:rsidRPr="007B26FF">
        <w:rPr>
          <w:rFonts w:ascii="Palatino Linotype" w:hAnsi="Palatino Linotype"/>
          <w:i/>
          <w:color w:val="000000"/>
        </w:rPr>
        <w:t>codigo</w:t>
      </w:r>
      <w:proofErr w:type="spellEnd"/>
      <w:r w:rsidRPr="007B26FF">
        <w:rPr>
          <w:rFonts w:ascii="Palatino Linotype" w:hAnsi="Palatino Linotype"/>
          <w:i/>
          <w:color w:val="000000"/>
        </w:rPr>
        <w:t xml:space="preserve"> administrativo del Estado de </w:t>
      </w:r>
      <w:proofErr w:type="spellStart"/>
      <w:r w:rsidRPr="007B26FF">
        <w:rPr>
          <w:rFonts w:ascii="Palatino Linotype" w:hAnsi="Palatino Linotype"/>
          <w:i/>
          <w:color w:val="000000"/>
        </w:rPr>
        <w:t>Mexico</w:t>
      </w:r>
      <w:proofErr w:type="spellEnd"/>
      <w:r w:rsidRPr="007B26FF">
        <w:rPr>
          <w:rFonts w:ascii="Palatino Linotype" w:hAnsi="Palatino Linotype"/>
          <w:i/>
          <w:color w:val="000000"/>
        </w:rPr>
        <w:t xml:space="preserve"> - La </w:t>
      </w:r>
      <w:proofErr w:type="spellStart"/>
      <w:r w:rsidRPr="007B26FF">
        <w:rPr>
          <w:rFonts w:ascii="Palatino Linotype" w:hAnsi="Palatino Linotype"/>
          <w:i/>
          <w:color w:val="000000"/>
        </w:rPr>
        <w:t>autorizacion</w:t>
      </w:r>
      <w:proofErr w:type="spellEnd"/>
      <w:r w:rsidRPr="007B26FF">
        <w:rPr>
          <w:rFonts w:ascii="Palatino Linotype" w:hAnsi="Palatino Linotype"/>
          <w:i/>
          <w:color w:val="000000"/>
        </w:rPr>
        <w:t xml:space="preserve"> expresa de la Secretaria de Desarrollo Urbano por conducto de la </w:t>
      </w:r>
      <w:proofErr w:type="spellStart"/>
      <w:r w:rsidRPr="007B26FF">
        <w:rPr>
          <w:rFonts w:ascii="Palatino Linotype" w:hAnsi="Palatino Linotype"/>
          <w:i/>
          <w:color w:val="000000"/>
        </w:rPr>
        <w:t>Direecion</w:t>
      </w:r>
      <w:proofErr w:type="spellEnd"/>
      <w:r w:rsidRPr="007B26FF">
        <w:rPr>
          <w:rFonts w:ascii="Palatino Linotype" w:hAnsi="Palatino Linotype"/>
          <w:i/>
          <w:color w:val="000000"/>
        </w:rPr>
        <w:t xml:space="preserve"> General de </w:t>
      </w:r>
      <w:proofErr w:type="spellStart"/>
      <w:r w:rsidRPr="007B26FF">
        <w:rPr>
          <w:rFonts w:ascii="Palatino Linotype" w:hAnsi="Palatino Linotype"/>
          <w:i/>
          <w:color w:val="000000"/>
        </w:rPr>
        <w:t>Operacion</w:t>
      </w:r>
      <w:proofErr w:type="spellEnd"/>
      <w:r w:rsidRPr="007B26FF">
        <w:rPr>
          <w:rFonts w:ascii="Palatino Linotype" w:hAnsi="Palatino Linotype"/>
          <w:i/>
          <w:color w:val="000000"/>
        </w:rPr>
        <w:t xml:space="preserve"> Urbana para transferir o </w:t>
      </w:r>
      <w:proofErr w:type="spellStart"/>
      <w:r w:rsidRPr="007B26FF">
        <w:rPr>
          <w:rFonts w:ascii="Palatino Linotype" w:hAnsi="Palatino Linotype"/>
          <w:i/>
          <w:color w:val="000000"/>
        </w:rPr>
        <w:t>seder</w:t>
      </w:r>
      <w:proofErr w:type="spellEnd"/>
      <w:r w:rsidRPr="007B26FF">
        <w:rPr>
          <w:rFonts w:ascii="Palatino Linotype" w:hAnsi="Palatino Linotype"/>
          <w:i/>
          <w:color w:val="000000"/>
        </w:rPr>
        <w:t xml:space="preserve"> los derechos o cambio de titularidad para la </w:t>
      </w:r>
      <w:proofErr w:type="spellStart"/>
      <w:r w:rsidRPr="007B26FF">
        <w:rPr>
          <w:rFonts w:ascii="Palatino Linotype" w:hAnsi="Palatino Linotype"/>
          <w:i/>
          <w:color w:val="000000"/>
        </w:rPr>
        <w:t>ocupacion</w:t>
      </w:r>
      <w:proofErr w:type="spellEnd"/>
      <w:r w:rsidRPr="007B26FF">
        <w:rPr>
          <w:rFonts w:ascii="Palatino Linotype" w:hAnsi="Palatino Linotype"/>
          <w:i/>
          <w:color w:val="000000"/>
        </w:rPr>
        <w:t xml:space="preserve"> de los lotes NOTA: Hay un error en el sistema, ya que lo que solicito es del estado de </w:t>
      </w:r>
      <w:proofErr w:type="spellStart"/>
      <w:r w:rsidRPr="007B26FF">
        <w:rPr>
          <w:rFonts w:ascii="Palatino Linotype" w:hAnsi="Palatino Linotype"/>
          <w:i/>
          <w:color w:val="000000"/>
        </w:rPr>
        <w:t>mexico</w:t>
      </w:r>
      <w:proofErr w:type="spellEnd"/>
      <w:r w:rsidRPr="007B26FF">
        <w:rPr>
          <w:rFonts w:ascii="Palatino Linotype" w:hAnsi="Palatino Linotype"/>
          <w:i/>
          <w:color w:val="000000"/>
        </w:rPr>
        <w:t xml:space="preserve"> y no de la ciudad de </w:t>
      </w:r>
      <w:proofErr w:type="spellStart"/>
      <w:r w:rsidRPr="007B26FF">
        <w:rPr>
          <w:rFonts w:ascii="Palatino Linotype" w:hAnsi="Palatino Linotype"/>
          <w:i/>
          <w:color w:val="000000"/>
        </w:rPr>
        <w:t>mexico</w:t>
      </w:r>
      <w:proofErr w:type="spellEnd"/>
      <w:r w:rsidRPr="007B26FF">
        <w:rPr>
          <w:rFonts w:ascii="Palatino Linotype" w:hAnsi="Palatino Linotype"/>
          <w:i/>
          <w:color w:val="000000"/>
        </w:rPr>
        <w:t xml:space="preserve"> Gracias</w:t>
      </w:r>
      <w:r w:rsidRPr="007B26FF">
        <w:rPr>
          <w:rFonts w:ascii="Palatino Linotype" w:hAnsi="Palatino Linotype"/>
          <w:b/>
          <w:i/>
          <w:color w:val="000000"/>
        </w:rPr>
        <w:t>”</w:t>
      </w:r>
      <w:r w:rsidRPr="007B26FF">
        <w:rPr>
          <w:rFonts w:ascii="Palatino Linotype" w:hAnsi="Palatino Linotype"/>
          <w:i/>
        </w:rPr>
        <w:t xml:space="preserve"> </w:t>
      </w:r>
      <w:r w:rsidRPr="007B26FF">
        <w:rPr>
          <w:rFonts w:ascii="Palatino Linotype" w:hAnsi="Palatino Linotype"/>
        </w:rPr>
        <w:t>(SIC).</w:t>
      </w:r>
    </w:p>
    <w:p w14:paraId="478C9073" w14:textId="77777777" w:rsidR="00774B7D" w:rsidRPr="007B26FF" w:rsidRDefault="00774B7D" w:rsidP="00774B7D">
      <w:pPr>
        <w:spacing w:line="276" w:lineRule="auto"/>
        <w:ind w:left="630"/>
        <w:jc w:val="both"/>
        <w:rPr>
          <w:rFonts w:ascii="Palatino Linotype" w:hAnsi="Palatino Linotype"/>
          <w:b/>
          <w:i/>
        </w:rPr>
      </w:pPr>
    </w:p>
    <w:p w14:paraId="768E6D1B" w14:textId="77777777" w:rsidR="00774B7D" w:rsidRPr="007B26FF" w:rsidRDefault="00774B7D" w:rsidP="00BA3B51">
      <w:pPr>
        <w:pStyle w:val="Prrafodelista"/>
        <w:numPr>
          <w:ilvl w:val="0"/>
          <w:numId w:val="3"/>
        </w:numPr>
        <w:spacing w:line="360" w:lineRule="auto"/>
        <w:ind w:left="851" w:right="34"/>
        <w:jc w:val="both"/>
        <w:rPr>
          <w:rFonts w:ascii="Palatino Linotype" w:hAnsi="Palatino Linotype"/>
        </w:rPr>
      </w:pPr>
      <w:r w:rsidRPr="007B26FF">
        <w:rPr>
          <w:rFonts w:ascii="Palatino Linotype" w:eastAsia="Times New Roman" w:hAnsi="Palatino Linotype" w:cs="Arial"/>
          <w:lang w:val="es-ES"/>
        </w:rPr>
        <w:t>Se eligió como modalidad de entrega de la información</w:t>
      </w:r>
      <w:r w:rsidRPr="007B26FF">
        <w:rPr>
          <w:rFonts w:ascii="Palatino Linotype" w:hAnsi="Palatino Linotype"/>
        </w:rPr>
        <w:t xml:space="preserve">: A través del SAIMEX. </w:t>
      </w:r>
    </w:p>
    <w:p w14:paraId="4A95D8A9" w14:textId="77777777" w:rsidR="00774B7D" w:rsidRPr="007B26FF" w:rsidRDefault="00774B7D" w:rsidP="00774B7D">
      <w:pPr>
        <w:pStyle w:val="Prrafodelista"/>
        <w:spacing w:before="240" w:after="240" w:line="360" w:lineRule="auto"/>
        <w:ind w:left="0"/>
        <w:jc w:val="both"/>
        <w:rPr>
          <w:rFonts w:ascii="Palatino Linotype" w:eastAsia="Calibri" w:hAnsi="Palatino Linotype" w:cs="Arial"/>
          <w:lang w:val="es-ES"/>
        </w:rPr>
      </w:pPr>
    </w:p>
    <w:p w14:paraId="43C0064E" w14:textId="60A50146" w:rsidR="00C2104E" w:rsidRPr="007B26FF" w:rsidRDefault="004512AB" w:rsidP="00BA3B51">
      <w:pPr>
        <w:pStyle w:val="Prrafodelista"/>
        <w:numPr>
          <w:ilvl w:val="0"/>
          <w:numId w:val="1"/>
        </w:numPr>
        <w:spacing w:before="240" w:after="240" w:line="360" w:lineRule="auto"/>
        <w:ind w:left="0" w:firstLine="0"/>
        <w:jc w:val="both"/>
        <w:rPr>
          <w:rFonts w:ascii="Palatino Linotype" w:hAnsi="Palatino Linotype" w:cs="Calibri"/>
          <w:i/>
        </w:rPr>
      </w:pPr>
      <w:r w:rsidRPr="007B26FF">
        <w:rPr>
          <w:rFonts w:ascii="Palatino Linotype" w:hAnsi="Palatino Linotype" w:cs="Arial"/>
          <w:color w:val="000000" w:themeColor="text1"/>
        </w:rPr>
        <w:t>El día</w:t>
      </w:r>
      <w:r w:rsidR="007F76E9" w:rsidRPr="007B26FF">
        <w:rPr>
          <w:rFonts w:ascii="Palatino Linotype" w:hAnsi="Palatino Linotype" w:cs="Arial"/>
          <w:color w:val="000000" w:themeColor="text1"/>
        </w:rPr>
        <w:t xml:space="preserve"> </w:t>
      </w:r>
      <w:r w:rsidR="00774B7D" w:rsidRPr="007B26FF">
        <w:rPr>
          <w:rFonts w:ascii="Palatino Linotype" w:hAnsi="Palatino Linotype" w:cs="Arial"/>
          <w:color w:val="000000" w:themeColor="text1"/>
        </w:rPr>
        <w:t xml:space="preserve">catorce </w:t>
      </w:r>
      <w:r w:rsidR="007F76E9" w:rsidRPr="007B26FF">
        <w:rPr>
          <w:rFonts w:ascii="Palatino Linotype" w:hAnsi="Palatino Linotype" w:cs="Arial"/>
          <w:color w:val="000000" w:themeColor="text1"/>
        </w:rPr>
        <w:t>(</w:t>
      </w:r>
      <w:r w:rsidR="00774B7D" w:rsidRPr="007B26FF">
        <w:rPr>
          <w:rFonts w:ascii="Palatino Linotype" w:hAnsi="Palatino Linotype" w:cs="Arial"/>
          <w:color w:val="000000" w:themeColor="text1"/>
        </w:rPr>
        <w:t>14</w:t>
      </w:r>
      <w:r w:rsidR="007F76E9" w:rsidRPr="007B26FF">
        <w:rPr>
          <w:rFonts w:ascii="Palatino Linotype" w:hAnsi="Palatino Linotype" w:cs="Arial"/>
          <w:color w:val="000000" w:themeColor="text1"/>
        </w:rPr>
        <w:t xml:space="preserve">) </w:t>
      </w:r>
      <w:r w:rsidR="00C90ADB" w:rsidRPr="007B26FF">
        <w:rPr>
          <w:rFonts w:ascii="Palatino Linotype" w:hAnsi="Palatino Linotype" w:cs="Arial"/>
          <w:color w:val="000000" w:themeColor="text1"/>
        </w:rPr>
        <w:t xml:space="preserve">de </w:t>
      </w:r>
      <w:r w:rsidR="00604B1F" w:rsidRPr="007B26FF">
        <w:rPr>
          <w:rFonts w:ascii="Palatino Linotype" w:hAnsi="Palatino Linotype" w:cs="Arial"/>
          <w:color w:val="000000" w:themeColor="text1"/>
        </w:rPr>
        <w:t>diciembre</w:t>
      </w:r>
      <w:r w:rsidR="00813F71" w:rsidRPr="007B26FF">
        <w:rPr>
          <w:rFonts w:ascii="Palatino Linotype" w:hAnsi="Palatino Linotype" w:cs="Arial"/>
          <w:color w:val="000000" w:themeColor="text1"/>
        </w:rPr>
        <w:t xml:space="preserve"> de dos mil</w:t>
      </w:r>
      <w:r w:rsidR="00C90ADB" w:rsidRPr="007B26FF">
        <w:rPr>
          <w:rFonts w:ascii="Palatino Linotype" w:hAnsi="Palatino Linotype" w:cs="Arial"/>
          <w:color w:val="000000" w:themeColor="text1"/>
        </w:rPr>
        <w:t xml:space="preserve"> veinte, el </w:t>
      </w:r>
      <w:r w:rsidR="00C90ADB" w:rsidRPr="007B26FF">
        <w:rPr>
          <w:rFonts w:ascii="Palatino Linotype" w:hAnsi="Palatino Linotype" w:cs="Arial"/>
          <w:b/>
          <w:color w:val="000000" w:themeColor="text1"/>
        </w:rPr>
        <w:t>SUJETO OBLIGADO,</w:t>
      </w:r>
      <w:r w:rsidR="00E85FF0" w:rsidRPr="007B26FF">
        <w:rPr>
          <w:rFonts w:ascii="Palatino Linotype" w:hAnsi="Palatino Linotype" w:cs="Arial"/>
          <w:color w:val="000000" w:themeColor="text1"/>
        </w:rPr>
        <w:t xml:space="preserve"> dio respuesta a la solicitud de información a través del </w:t>
      </w:r>
      <w:r w:rsidR="00E85FF0" w:rsidRPr="007B26FF">
        <w:rPr>
          <w:rFonts w:ascii="Palatino Linotype" w:hAnsi="Palatino Linotype"/>
          <w:color w:val="000000"/>
        </w:rPr>
        <w:t>Sistema de Acceso a la Información Mexiquense (SAIMEX)</w:t>
      </w:r>
      <w:r w:rsidR="009E587C" w:rsidRPr="007B26FF">
        <w:rPr>
          <w:rFonts w:ascii="Palatino Linotype" w:hAnsi="Palatino Linotype"/>
          <w:color w:val="000000"/>
        </w:rPr>
        <w:t xml:space="preserve">, </w:t>
      </w:r>
      <w:r w:rsidR="00774B7D" w:rsidRPr="007B26FF">
        <w:rPr>
          <w:rFonts w:ascii="Palatino Linotype" w:hAnsi="Palatino Linotype"/>
          <w:color w:val="000000"/>
        </w:rPr>
        <w:t xml:space="preserve">para lo cual adjuntó el oficio número TEC/DGPART/513/2020 de fecha nueve (09) de diciembre de dos mil veinte suscrito </w:t>
      </w:r>
      <w:r w:rsidR="00774B7D" w:rsidRPr="007B26FF">
        <w:rPr>
          <w:rFonts w:ascii="Palatino Linotype" w:hAnsi="Palatino Linotype"/>
          <w:color w:val="000000"/>
        </w:rPr>
        <w:lastRenderedPageBreak/>
        <w:t xml:space="preserve">por </w:t>
      </w:r>
      <w:r w:rsidR="00ED02EA" w:rsidRPr="007B26FF">
        <w:rPr>
          <w:rFonts w:ascii="Palatino Linotype" w:hAnsi="Palatino Linotype" w:cs="Arial"/>
          <w:color w:val="000000" w:themeColor="text1"/>
        </w:rPr>
        <w:t xml:space="preserve">el </w:t>
      </w:r>
      <w:r w:rsidR="00ED02EA" w:rsidRPr="007B26FF">
        <w:rPr>
          <w:rFonts w:ascii="Palatino Linotype" w:hAnsi="Palatino Linotype"/>
        </w:rPr>
        <w:t>Director General de Planeación, Administración, y Regulación del Territorio del Ayuntamiento de Tecámac, Estado de México</w:t>
      </w:r>
      <w:r w:rsidR="00774B7D" w:rsidRPr="007B26FF">
        <w:rPr>
          <w:rFonts w:ascii="Palatino Linotype" w:hAnsi="Palatino Linotype" w:cs="Arial"/>
          <w:color w:val="000000" w:themeColor="text1"/>
        </w:rPr>
        <w:t>.</w:t>
      </w:r>
    </w:p>
    <w:p w14:paraId="4D74B502" w14:textId="77777777" w:rsidR="00774B7D" w:rsidRPr="007B26FF" w:rsidRDefault="00774B7D" w:rsidP="00774B7D">
      <w:pPr>
        <w:pStyle w:val="Prrafodelista"/>
        <w:spacing w:before="240" w:after="240" w:line="360" w:lineRule="auto"/>
        <w:ind w:left="0"/>
        <w:jc w:val="both"/>
        <w:rPr>
          <w:rFonts w:ascii="Palatino Linotype" w:hAnsi="Palatino Linotype" w:cs="Calibri"/>
          <w:i/>
        </w:rPr>
      </w:pPr>
    </w:p>
    <w:p w14:paraId="687D4852" w14:textId="01C9BD69" w:rsidR="00774B7D" w:rsidRPr="007B26FF" w:rsidRDefault="00CB3448" w:rsidP="00BA3B51">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B26FF">
        <w:rPr>
          <w:rFonts w:ascii="Palatino Linotype" w:eastAsia="Times New Roman" w:hAnsi="Palatino Linotype" w:cs="Arial"/>
          <w:color w:val="000000" w:themeColor="text1"/>
          <w:lang w:val="es-ES"/>
        </w:rPr>
        <w:t xml:space="preserve">En fecha </w:t>
      </w:r>
      <w:r w:rsidR="00774B7D" w:rsidRPr="007B26FF">
        <w:rPr>
          <w:rFonts w:ascii="Palatino Linotype" w:eastAsia="Times New Roman" w:hAnsi="Palatino Linotype" w:cs="Arial"/>
          <w:color w:val="000000" w:themeColor="text1"/>
          <w:lang w:val="es-ES"/>
        </w:rPr>
        <w:t>veintisiete (27) de diciembre de dos mil veinte</w:t>
      </w:r>
      <w:r w:rsidRPr="007B26FF">
        <w:rPr>
          <w:rFonts w:ascii="Palatino Linotype" w:eastAsia="Times New Roman" w:hAnsi="Palatino Linotype" w:cs="Arial"/>
          <w:color w:val="000000" w:themeColor="text1"/>
          <w:lang w:val="es-ES"/>
        </w:rPr>
        <w:t>, el particular interpuso el recurso de revisión en contra de la</w:t>
      </w:r>
      <w:r w:rsidR="00372AE1" w:rsidRPr="007B26FF">
        <w:rPr>
          <w:rFonts w:ascii="Palatino Linotype" w:eastAsia="Times New Roman" w:hAnsi="Palatino Linotype" w:cs="Arial"/>
          <w:color w:val="000000" w:themeColor="text1"/>
          <w:lang w:val="es-ES"/>
        </w:rPr>
        <w:t xml:space="preserve"> </w:t>
      </w:r>
      <w:r w:rsidRPr="007B26FF">
        <w:rPr>
          <w:rFonts w:ascii="Palatino Linotype" w:eastAsia="Times New Roman" w:hAnsi="Palatino Linotype" w:cs="Arial"/>
          <w:color w:val="000000" w:themeColor="text1"/>
          <w:lang w:val="es-ES"/>
        </w:rPr>
        <w:t>respuesta</w:t>
      </w:r>
      <w:r w:rsidR="00CD6BD3" w:rsidRPr="007B26FF">
        <w:rPr>
          <w:rFonts w:ascii="Palatino Linotype" w:eastAsia="Times New Roman" w:hAnsi="Palatino Linotype" w:cs="Arial"/>
          <w:color w:val="000000" w:themeColor="text1"/>
          <w:lang w:val="es-ES"/>
        </w:rPr>
        <w:t xml:space="preserve">, </w:t>
      </w:r>
      <w:r w:rsidR="00646C7D" w:rsidRPr="007B26FF">
        <w:rPr>
          <w:rFonts w:ascii="Palatino Linotype" w:eastAsia="Times New Roman" w:hAnsi="Palatino Linotype" w:cs="Arial"/>
          <w:color w:val="000000" w:themeColor="text1"/>
          <w:lang w:val="es-ES"/>
        </w:rPr>
        <w:t>señalando como</w:t>
      </w:r>
      <w:r w:rsidRPr="007B26FF">
        <w:rPr>
          <w:rFonts w:ascii="Palatino Linotype" w:eastAsia="Times New Roman" w:hAnsi="Palatino Linotype" w:cs="Arial"/>
          <w:color w:val="000000" w:themeColor="text1"/>
          <w:lang w:val="es-ES"/>
        </w:rPr>
        <w:t>:</w:t>
      </w:r>
      <w:bookmarkStart w:id="3" w:name="_Toc466982514"/>
      <w:bookmarkStart w:id="4" w:name="_Toc27589208"/>
      <w:bookmarkStart w:id="5" w:name="_Toc29395022"/>
      <w:bookmarkStart w:id="6" w:name="_Toc29481467"/>
      <w:bookmarkStart w:id="7" w:name="_Toc33113911"/>
      <w:bookmarkStart w:id="8" w:name="_Toc33643059"/>
      <w:bookmarkStart w:id="9" w:name="_Toc33724991"/>
      <w:bookmarkStart w:id="10" w:name="_Toc33726434"/>
      <w:bookmarkStart w:id="11" w:name="_Toc34157662"/>
      <w:bookmarkStart w:id="12" w:name="_Toc35003615"/>
      <w:bookmarkStart w:id="13" w:name="_Toc35535691"/>
      <w:bookmarkStart w:id="14" w:name="_Toc471908126"/>
      <w:bookmarkStart w:id="15" w:name="_Toc491791300"/>
      <w:bookmarkStart w:id="16" w:name="_Toc496726170"/>
      <w:bookmarkStart w:id="17" w:name="_Toc497242134"/>
      <w:bookmarkStart w:id="18" w:name="_Toc497292517"/>
      <w:bookmarkStart w:id="19" w:name="_Toc498503716"/>
      <w:bookmarkStart w:id="20" w:name="_Toc499568660"/>
      <w:bookmarkStart w:id="21" w:name="_Toc499568693"/>
      <w:bookmarkStart w:id="22" w:name="_Toc499665452"/>
      <w:bookmarkStart w:id="23" w:name="_Toc499729819"/>
      <w:bookmarkStart w:id="24" w:name="_Toc499835024"/>
      <w:bookmarkStart w:id="25" w:name="_Toc499835835"/>
      <w:bookmarkStart w:id="26" w:name="_Toc499835858"/>
      <w:bookmarkStart w:id="27" w:name="_Toc500264537"/>
      <w:bookmarkStart w:id="28" w:name="_Toc503290275"/>
      <w:bookmarkStart w:id="29" w:name="_Toc524009637"/>
      <w:bookmarkStart w:id="30" w:name="_Toc524009672"/>
      <w:bookmarkStart w:id="31" w:name="_Toc524602720"/>
      <w:bookmarkStart w:id="32" w:name="_Toc526365279"/>
      <w:bookmarkStart w:id="33" w:name="_Toc526365337"/>
      <w:bookmarkStart w:id="34" w:name="_Toc530067664"/>
      <w:bookmarkStart w:id="35" w:name="_Toc530067692"/>
      <w:bookmarkStart w:id="36" w:name="_Toc530067939"/>
      <w:bookmarkStart w:id="37" w:name="_Toc530590420"/>
      <w:bookmarkStart w:id="38" w:name="_Toc530593951"/>
      <w:bookmarkStart w:id="39" w:name="_Toc531190248"/>
      <w:bookmarkStart w:id="40" w:name="_Toc531190295"/>
      <w:bookmarkStart w:id="41" w:name="_Toc534908208"/>
      <w:bookmarkStart w:id="42" w:name="_Toc534909344"/>
      <w:bookmarkStart w:id="43" w:name="_Toc535353305"/>
      <w:bookmarkStart w:id="44" w:name="_Toc535353791"/>
      <w:bookmarkStart w:id="45" w:name="_Toc18436351"/>
      <w:bookmarkStart w:id="46" w:name="_Toc18436385"/>
      <w:bookmarkStart w:id="47" w:name="_Toc18513477"/>
      <w:bookmarkStart w:id="48" w:name="_Toc18513503"/>
      <w:bookmarkStart w:id="49" w:name="_Toc18606801"/>
      <w:bookmarkStart w:id="50" w:name="_Toc19723536"/>
      <w:bookmarkStart w:id="51" w:name="_Toc20322795"/>
      <w:bookmarkStart w:id="52" w:name="_Toc20323052"/>
      <w:bookmarkStart w:id="53" w:name="_Toc20323181"/>
      <w:bookmarkStart w:id="54" w:name="_Toc20420591"/>
      <w:bookmarkStart w:id="55" w:name="_Toc20421579"/>
      <w:bookmarkStart w:id="56" w:name="_Toc21027316"/>
      <w:bookmarkStart w:id="57" w:name="_Toc22660652"/>
      <w:bookmarkStart w:id="58" w:name="_Toc22811623"/>
      <w:bookmarkStart w:id="59" w:name="_Toc26436015"/>
    </w:p>
    <w:p w14:paraId="7CB859D6" w14:textId="77777777" w:rsidR="00774B7D" w:rsidRPr="007B26FF" w:rsidRDefault="00774B7D" w:rsidP="00774B7D">
      <w:pPr>
        <w:pStyle w:val="Prrafodelista"/>
        <w:rPr>
          <w:rStyle w:val="Ttulo2Car"/>
          <w:rFonts w:ascii="Palatino Linotype" w:hAnsi="Palatino Linotype"/>
          <w:b/>
          <w:color w:val="auto"/>
          <w:sz w:val="24"/>
          <w:szCs w:val="24"/>
        </w:rPr>
      </w:pPr>
    </w:p>
    <w:p w14:paraId="475B5F4D" w14:textId="701BB9E7" w:rsidR="00774B7D" w:rsidRPr="007B26FF" w:rsidRDefault="00774B7D" w:rsidP="00BA3B51">
      <w:pPr>
        <w:pStyle w:val="Prrafodelista"/>
        <w:numPr>
          <w:ilvl w:val="0"/>
          <w:numId w:val="2"/>
        </w:numPr>
        <w:tabs>
          <w:tab w:val="left" w:pos="0"/>
        </w:tabs>
        <w:spacing w:line="360" w:lineRule="auto"/>
        <w:ind w:right="49"/>
        <w:jc w:val="both"/>
        <w:rPr>
          <w:rFonts w:ascii="Palatino Linotype" w:hAnsi="Palatino Linotype" w:cs="Arial"/>
          <w:i/>
          <w:color w:val="000000" w:themeColor="text1"/>
        </w:rPr>
      </w:pPr>
      <w:r w:rsidRPr="007B26FF">
        <w:rPr>
          <w:rStyle w:val="Ttulo2Car"/>
          <w:rFonts w:ascii="Palatino Linotype" w:hAnsi="Palatino Linotype"/>
          <w:b/>
          <w:color w:val="auto"/>
          <w:sz w:val="24"/>
          <w:szCs w:val="24"/>
        </w:rPr>
        <w:t>Acto impugnado</w:t>
      </w:r>
      <w:r w:rsidRPr="007B26FF">
        <w:rPr>
          <w:rStyle w:val="Ttulo2Car"/>
          <w:rFonts w:ascii="Palatino Linotype" w:hAnsi="Palatino Linotype"/>
          <w:b/>
          <w:color w:val="000000" w:themeColor="text1"/>
          <w:sz w:val="24"/>
          <w:szCs w:val="24"/>
        </w:rPr>
        <w:t xml:space="preserve">: </w:t>
      </w:r>
      <w:r w:rsidRPr="007B26FF">
        <w:rPr>
          <w:rStyle w:val="Ttulo2Car"/>
          <w:rFonts w:ascii="Palatino Linotype" w:hAnsi="Palatino Linotype"/>
          <w:i/>
          <w:color w:val="000000" w:themeColor="text1"/>
          <w:sz w:val="24"/>
          <w:szCs w:val="24"/>
        </w:rPr>
        <w:t>“</w:t>
      </w:r>
      <w:r w:rsidRPr="007B26FF">
        <w:rPr>
          <w:rFonts w:ascii="Palatino Linotype" w:hAnsi="Palatino Linotype"/>
          <w:i/>
          <w:color w:val="000000"/>
        </w:rPr>
        <w:t>Ayuntamiento de Tecámac”.</w:t>
      </w:r>
      <w:r w:rsidRPr="007B26FF">
        <w:rPr>
          <w:rFonts w:ascii="Palatino Linotype" w:hAnsi="Palatino Linotype"/>
          <w:i/>
          <w:color w:val="000000" w:themeColor="text1"/>
        </w:rPr>
        <w:t xml:space="preserve"> (SIC).</w:t>
      </w:r>
      <w:bookmarkStart w:id="60" w:name="_Toc466982515"/>
      <w:bookmarkStart w:id="61" w:name="_Toc27589209"/>
      <w:bookmarkStart w:id="62" w:name="_Toc29395023"/>
      <w:bookmarkStart w:id="63" w:name="_Toc29481468"/>
      <w:bookmarkStart w:id="64" w:name="_Toc33113912"/>
      <w:bookmarkStart w:id="65" w:name="_Toc33643060"/>
      <w:bookmarkStart w:id="66" w:name="_Toc33724992"/>
      <w:bookmarkStart w:id="67" w:name="_Toc33726435"/>
      <w:bookmarkStart w:id="68" w:name="_Toc34157663"/>
      <w:bookmarkStart w:id="69" w:name="_Toc35003616"/>
      <w:bookmarkStart w:id="70" w:name="_Toc35535692"/>
      <w:bookmarkStart w:id="71" w:name="_Toc471908127"/>
      <w:bookmarkStart w:id="72" w:name="_Toc491791301"/>
      <w:bookmarkStart w:id="73" w:name="_Toc496726171"/>
      <w:bookmarkStart w:id="74" w:name="_Toc497242135"/>
      <w:bookmarkStart w:id="75" w:name="_Toc497292518"/>
      <w:bookmarkStart w:id="76" w:name="_Toc498503717"/>
      <w:bookmarkStart w:id="77" w:name="_Toc499568661"/>
      <w:bookmarkStart w:id="78" w:name="_Toc499568694"/>
      <w:bookmarkStart w:id="79" w:name="_Toc499665453"/>
      <w:bookmarkStart w:id="80" w:name="_Toc499729820"/>
      <w:bookmarkStart w:id="81" w:name="_Toc499835025"/>
      <w:bookmarkStart w:id="82" w:name="_Toc499835836"/>
      <w:bookmarkStart w:id="83" w:name="_Toc499835859"/>
      <w:bookmarkStart w:id="84" w:name="_Toc500264538"/>
      <w:bookmarkStart w:id="85" w:name="_Toc503290276"/>
      <w:bookmarkStart w:id="86" w:name="_Toc524009638"/>
      <w:bookmarkStart w:id="87" w:name="_Toc524009673"/>
      <w:bookmarkStart w:id="88" w:name="_Toc524602721"/>
      <w:bookmarkStart w:id="89" w:name="_Toc526365280"/>
      <w:bookmarkStart w:id="90" w:name="_Toc526365338"/>
      <w:bookmarkStart w:id="91" w:name="_Toc530067665"/>
      <w:bookmarkStart w:id="92" w:name="_Toc530067693"/>
      <w:bookmarkStart w:id="93" w:name="_Toc530067940"/>
      <w:bookmarkStart w:id="94" w:name="_Toc530590421"/>
      <w:bookmarkStart w:id="95" w:name="_Toc530593952"/>
      <w:bookmarkStart w:id="96" w:name="_Toc531190249"/>
      <w:bookmarkStart w:id="97" w:name="_Toc531190296"/>
      <w:bookmarkStart w:id="98" w:name="_Toc534908209"/>
      <w:bookmarkStart w:id="99" w:name="_Toc534909345"/>
      <w:bookmarkStart w:id="100" w:name="_Toc535353306"/>
      <w:bookmarkStart w:id="101" w:name="_Toc535353792"/>
      <w:bookmarkStart w:id="102" w:name="_Toc18436352"/>
      <w:bookmarkStart w:id="103" w:name="_Toc18436386"/>
      <w:bookmarkStart w:id="104" w:name="_Toc18513478"/>
      <w:bookmarkStart w:id="105" w:name="_Toc18513504"/>
      <w:bookmarkStart w:id="106" w:name="_Toc18606802"/>
      <w:bookmarkStart w:id="107" w:name="_Toc19723537"/>
      <w:bookmarkStart w:id="108" w:name="_Toc20322796"/>
      <w:bookmarkStart w:id="109" w:name="_Toc20323053"/>
      <w:bookmarkStart w:id="110" w:name="_Toc20323182"/>
      <w:bookmarkStart w:id="111" w:name="_Toc20420592"/>
      <w:bookmarkStart w:id="112" w:name="_Toc20421580"/>
      <w:bookmarkStart w:id="113" w:name="_Toc21027317"/>
      <w:bookmarkStart w:id="114" w:name="_Toc22660653"/>
      <w:bookmarkStart w:id="115" w:name="_Toc22811624"/>
      <w:bookmarkStart w:id="116" w:name="_Toc26436016"/>
    </w:p>
    <w:p w14:paraId="72B7C388" w14:textId="77777777" w:rsidR="00774B7D" w:rsidRPr="007B26FF" w:rsidRDefault="00774B7D" w:rsidP="00774B7D">
      <w:pPr>
        <w:pStyle w:val="Prrafodelista"/>
        <w:tabs>
          <w:tab w:val="left" w:pos="0"/>
        </w:tabs>
        <w:spacing w:line="360" w:lineRule="auto"/>
        <w:ind w:right="49"/>
        <w:jc w:val="both"/>
        <w:rPr>
          <w:rFonts w:ascii="Palatino Linotype" w:hAnsi="Palatino Linotype" w:cs="Arial"/>
          <w:i/>
          <w:color w:val="000000" w:themeColor="text1"/>
        </w:rPr>
      </w:pPr>
    </w:p>
    <w:p w14:paraId="1763F0DB" w14:textId="77777777" w:rsidR="00774B7D" w:rsidRPr="007B26FF" w:rsidRDefault="00774B7D" w:rsidP="00BA3B51">
      <w:pPr>
        <w:pStyle w:val="Prrafodelista"/>
        <w:numPr>
          <w:ilvl w:val="0"/>
          <w:numId w:val="2"/>
        </w:numPr>
        <w:tabs>
          <w:tab w:val="left" w:pos="0"/>
        </w:tabs>
        <w:spacing w:line="360" w:lineRule="auto"/>
        <w:ind w:right="49"/>
        <w:jc w:val="both"/>
        <w:rPr>
          <w:rFonts w:ascii="Palatino Linotype" w:hAnsi="Palatino Linotype" w:cs="Arial"/>
          <w:i/>
          <w:color w:val="000000" w:themeColor="text1"/>
        </w:rPr>
      </w:pPr>
      <w:r w:rsidRPr="007B26FF">
        <w:rPr>
          <w:rStyle w:val="Ttulo2Car"/>
          <w:rFonts w:ascii="Palatino Linotype" w:hAnsi="Palatino Linotype"/>
          <w:b/>
          <w:color w:val="000000" w:themeColor="text1"/>
          <w:sz w:val="24"/>
          <w:szCs w:val="24"/>
        </w:rPr>
        <w:t>Razones o Motivos de inconformidad:</w:t>
      </w:r>
      <w:bookmarkEnd w:id="60"/>
      <w:r w:rsidRPr="007B26FF">
        <w:rPr>
          <w:rFonts w:ascii="Palatino Linotype" w:hAnsi="Palatino Linotype"/>
          <w:b/>
          <w:color w:val="000000" w:themeColor="text1"/>
        </w:rPr>
        <w:t xml:space="preserve"> </w:t>
      </w:r>
      <w:r w:rsidRPr="007B26FF">
        <w:rPr>
          <w:rFonts w:ascii="Palatino Linotype" w:hAnsi="Palatino Linotype"/>
          <w:i/>
          <w:color w:val="000000" w:themeColor="text1"/>
        </w:rPr>
        <w:t>“</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Pr="007B26FF">
        <w:rPr>
          <w:rFonts w:ascii="Palatino Linotype" w:hAnsi="Palatino Linotype"/>
          <w:i/>
          <w:color w:val="000000"/>
        </w:rPr>
        <w:t xml:space="preserve">me enviaron solo las gacetas que se </w:t>
      </w:r>
      <w:proofErr w:type="spellStart"/>
      <w:r w:rsidRPr="007B26FF">
        <w:rPr>
          <w:rFonts w:ascii="Palatino Linotype" w:hAnsi="Palatino Linotype"/>
          <w:i/>
          <w:color w:val="000000"/>
        </w:rPr>
        <w:t>estan</w:t>
      </w:r>
      <w:proofErr w:type="spellEnd"/>
      <w:r w:rsidRPr="007B26FF">
        <w:rPr>
          <w:rFonts w:ascii="Palatino Linotype" w:hAnsi="Palatino Linotype"/>
          <w:i/>
          <w:color w:val="000000"/>
        </w:rPr>
        <w:t xml:space="preserve"> a vista de todos en internet. no vienen sus anexos como son planos de lotificación Plano oficial, apertura </w:t>
      </w:r>
      <w:proofErr w:type="spellStart"/>
      <w:r w:rsidRPr="007B26FF">
        <w:rPr>
          <w:rFonts w:ascii="Palatino Linotype" w:hAnsi="Palatino Linotype"/>
          <w:i/>
          <w:color w:val="000000"/>
        </w:rPr>
        <w:t>ded</w:t>
      </w:r>
      <w:proofErr w:type="spellEnd"/>
      <w:r w:rsidRPr="007B26FF">
        <w:rPr>
          <w:rFonts w:ascii="Palatino Linotype" w:hAnsi="Palatino Linotype"/>
          <w:i/>
          <w:color w:val="000000"/>
        </w:rPr>
        <w:t xml:space="preserve"> </w:t>
      </w:r>
      <w:proofErr w:type="spellStart"/>
      <w:r w:rsidRPr="007B26FF">
        <w:rPr>
          <w:rFonts w:ascii="Palatino Linotype" w:hAnsi="Palatino Linotype"/>
          <w:i/>
          <w:color w:val="000000"/>
        </w:rPr>
        <w:t>vias</w:t>
      </w:r>
      <w:proofErr w:type="spellEnd"/>
      <w:r w:rsidRPr="007B26FF">
        <w:rPr>
          <w:rFonts w:ascii="Palatino Linotype" w:hAnsi="Palatino Linotype"/>
          <w:i/>
          <w:color w:val="000000"/>
        </w:rPr>
        <w:t xml:space="preserve"> </w:t>
      </w:r>
      <w:proofErr w:type="spellStart"/>
      <w:r w:rsidRPr="007B26FF">
        <w:rPr>
          <w:rFonts w:ascii="Palatino Linotype" w:hAnsi="Palatino Linotype"/>
          <w:i/>
          <w:color w:val="000000"/>
        </w:rPr>
        <w:t>publicas</w:t>
      </w:r>
      <w:proofErr w:type="spellEnd"/>
      <w:r w:rsidRPr="007B26FF">
        <w:rPr>
          <w:rFonts w:ascii="Palatino Linotype" w:hAnsi="Palatino Linotype"/>
          <w:i/>
          <w:color w:val="000000"/>
        </w:rPr>
        <w:t xml:space="preserve"> y </w:t>
      </w:r>
      <w:proofErr w:type="spellStart"/>
      <w:r w:rsidRPr="007B26FF">
        <w:rPr>
          <w:rFonts w:ascii="Palatino Linotype" w:hAnsi="Palatino Linotype"/>
          <w:i/>
          <w:color w:val="000000"/>
        </w:rPr>
        <w:t>division</w:t>
      </w:r>
      <w:proofErr w:type="spellEnd"/>
      <w:r w:rsidRPr="007B26FF">
        <w:rPr>
          <w:rFonts w:ascii="Palatino Linotype" w:hAnsi="Palatino Linotype"/>
          <w:i/>
          <w:color w:val="000000"/>
        </w:rPr>
        <w:t xml:space="preserve"> de lotes Fusión, subdivisión, apertura, ampliación o modificación de vías públicas; lotificación de predios para condominios; cambios de uso del suelo, de densidad e intensidad de su aprovechamiento o de la altura máxima permitida; y cualquier otro acto administrativo de competencia estatal o municipal que haya sido requerido para la lotificación solicitada. Secciones de vías públicas y privadas, en su caso. Cuadro de construcción de la poligonal del predio. Datos generales de la lotificación. Cuadros de cuantificación de lotes, superficies y usos del suelo por manzana. Datos de las autorizaciones implícitas, en su caso. Datos de autorización y publicación en la Gaceta del Gobierno. Nombre, firma y datos de registro del perito. Etapas o secciones del desarrollo, si las hubiera. En su caso, los créditos nombre de quienes proyectan, dibujan y revisan. Nombre y número del plano. Nombres, cargos y firmas de los funcionarios públicos que autorizan - oficio No. 224020000/3844/2014 aprobación </w:t>
      </w:r>
      <w:r w:rsidRPr="007B26FF">
        <w:rPr>
          <w:rFonts w:ascii="Palatino Linotype" w:hAnsi="Palatino Linotype"/>
          <w:i/>
          <w:color w:val="000000"/>
        </w:rPr>
        <w:lastRenderedPageBreak/>
        <w:t xml:space="preserve">de proyecto de lotificación - Actas de entrega-recepción tanto parcial como total en el periodo del 2014 al 2020, detallada por </w:t>
      </w:r>
      <w:proofErr w:type="spellStart"/>
      <w:r w:rsidRPr="007B26FF">
        <w:rPr>
          <w:rFonts w:ascii="Palatino Linotype" w:hAnsi="Palatino Linotype"/>
          <w:i/>
          <w:color w:val="000000"/>
        </w:rPr>
        <w:t>numero</w:t>
      </w:r>
      <w:proofErr w:type="spellEnd"/>
      <w:r w:rsidRPr="007B26FF">
        <w:rPr>
          <w:rFonts w:ascii="Palatino Linotype" w:hAnsi="Palatino Linotype"/>
          <w:i/>
          <w:color w:val="000000"/>
        </w:rPr>
        <w:t xml:space="preserve"> de expediente - Actas de supervisión correspondiente a la bitácora de supervisión de control de obras de infraestructura, </w:t>
      </w:r>
      <w:proofErr w:type="spellStart"/>
      <w:r w:rsidRPr="007B26FF">
        <w:rPr>
          <w:rFonts w:ascii="Palatino Linotype" w:hAnsi="Palatino Linotype"/>
          <w:i/>
          <w:color w:val="000000"/>
        </w:rPr>
        <w:t>urbanizacion</w:t>
      </w:r>
      <w:proofErr w:type="spellEnd"/>
      <w:r w:rsidRPr="007B26FF">
        <w:rPr>
          <w:rFonts w:ascii="Palatino Linotype" w:hAnsi="Palatino Linotype"/>
          <w:i/>
          <w:color w:val="000000"/>
        </w:rPr>
        <w:t xml:space="preserve"> y equipamiento de conjuntos urbanos. - La publicidad y/o contenido, propaganda aprobada por la Secretaria de Desarrollo Urbano para evitar propaganda engañosa conforme lo establece el articulo5.38 </w:t>
      </w:r>
      <w:proofErr w:type="spellStart"/>
      <w:r w:rsidRPr="007B26FF">
        <w:rPr>
          <w:rFonts w:ascii="Palatino Linotype" w:hAnsi="Palatino Linotype"/>
          <w:i/>
          <w:color w:val="000000"/>
        </w:rPr>
        <w:t>fraccion</w:t>
      </w:r>
      <w:proofErr w:type="spellEnd"/>
      <w:r w:rsidRPr="007B26FF">
        <w:rPr>
          <w:rFonts w:ascii="Palatino Linotype" w:hAnsi="Palatino Linotype"/>
          <w:i/>
          <w:color w:val="000000"/>
        </w:rPr>
        <w:t xml:space="preserve"> XII del </w:t>
      </w:r>
      <w:proofErr w:type="spellStart"/>
      <w:r w:rsidRPr="007B26FF">
        <w:rPr>
          <w:rFonts w:ascii="Palatino Linotype" w:hAnsi="Palatino Linotype"/>
          <w:i/>
          <w:color w:val="000000"/>
        </w:rPr>
        <w:t>codigo</w:t>
      </w:r>
      <w:proofErr w:type="spellEnd"/>
      <w:r w:rsidRPr="007B26FF">
        <w:rPr>
          <w:rFonts w:ascii="Palatino Linotype" w:hAnsi="Palatino Linotype"/>
          <w:i/>
          <w:color w:val="000000"/>
        </w:rPr>
        <w:t xml:space="preserve"> administrativo del Estado de </w:t>
      </w:r>
      <w:proofErr w:type="spellStart"/>
      <w:r w:rsidRPr="007B26FF">
        <w:rPr>
          <w:rFonts w:ascii="Palatino Linotype" w:hAnsi="Palatino Linotype"/>
          <w:i/>
          <w:color w:val="000000"/>
        </w:rPr>
        <w:t>Mexico</w:t>
      </w:r>
      <w:proofErr w:type="spellEnd"/>
      <w:r w:rsidRPr="007B26FF">
        <w:rPr>
          <w:rFonts w:ascii="Palatino Linotype" w:hAnsi="Palatino Linotype"/>
          <w:i/>
          <w:color w:val="000000"/>
        </w:rPr>
        <w:t xml:space="preserve"> - La </w:t>
      </w:r>
      <w:proofErr w:type="spellStart"/>
      <w:r w:rsidRPr="007B26FF">
        <w:rPr>
          <w:rFonts w:ascii="Palatino Linotype" w:hAnsi="Palatino Linotype"/>
          <w:i/>
          <w:color w:val="000000"/>
        </w:rPr>
        <w:t>autorizacion</w:t>
      </w:r>
      <w:proofErr w:type="spellEnd"/>
      <w:r w:rsidRPr="007B26FF">
        <w:rPr>
          <w:rFonts w:ascii="Palatino Linotype" w:hAnsi="Palatino Linotype"/>
          <w:i/>
          <w:color w:val="000000"/>
        </w:rPr>
        <w:t xml:space="preserve"> expresa de la Secretaria de Desarrollo Urbano por conducto de la </w:t>
      </w:r>
      <w:proofErr w:type="spellStart"/>
      <w:r w:rsidRPr="007B26FF">
        <w:rPr>
          <w:rFonts w:ascii="Palatino Linotype" w:hAnsi="Palatino Linotype"/>
          <w:i/>
          <w:color w:val="000000"/>
        </w:rPr>
        <w:t>Direecion</w:t>
      </w:r>
      <w:proofErr w:type="spellEnd"/>
      <w:r w:rsidRPr="007B26FF">
        <w:rPr>
          <w:rFonts w:ascii="Palatino Linotype" w:hAnsi="Palatino Linotype"/>
          <w:i/>
          <w:color w:val="000000"/>
        </w:rPr>
        <w:t xml:space="preserve"> General de </w:t>
      </w:r>
      <w:proofErr w:type="spellStart"/>
      <w:r w:rsidRPr="007B26FF">
        <w:rPr>
          <w:rFonts w:ascii="Palatino Linotype" w:hAnsi="Palatino Linotype"/>
          <w:i/>
          <w:color w:val="000000"/>
        </w:rPr>
        <w:t>Operacion</w:t>
      </w:r>
      <w:proofErr w:type="spellEnd"/>
      <w:r w:rsidRPr="007B26FF">
        <w:rPr>
          <w:rFonts w:ascii="Palatino Linotype" w:hAnsi="Palatino Linotype"/>
          <w:i/>
          <w:color w:val="000000"/>
        </w:rPr>
        <w:t xml:space="preserve"> Urbana para transferir o </w:t>
      </w:r>
      <w:proofErr w:type="spellStart"/>
      <w:r w:rsidRPr="007B26FF">
        <w:rPr>
          <w:rFonts w:ascii="Palatino Linotype" w:hAnsi="Palatino Linotype"/>
          <w:i/>
          <w:color w:val="000000"/>
        </w:rPr>
        <w:t>seder</w:t>
      </w:r>
      <w:proofErr w:type="spellEnd"/>
      <w:r w:rsidRPr="007B26FF">
        <w:rPr>
          <w:rFonts w:ascii="Palatino Linotype" w:hAnsi="Palatino Linotype"/>
          <w:i/>
          <w:color w:val="000000"/>
        </w:rPr>
        <w:t xml:space="preserve"> los derechos o cambio de titularidad para la </w:t>
      </w:r>
      <w:proofErr w:type="spellStart"/>
      <w:r w:rsidRPr="007B26FF">
        <w:rPr>
          <w:rFonts w:ascii="Palatino Linotype" w:hAnsi="Palatino Linotype"/>
          <w:i/>
          <w:color w:val="000000"/>
        </w:rPr>
        <w:t>ocupacion</w:t>
      </w:r>
      <w:proofErr w:type="spellEnd"/>
      <w:r w:rsidRPr="007B26FF">
        <w:rPr>
          <w:rFonts w:ascii="Palatino Linotype" w:hAnsi="Palatino Linotype"/>
          <w:i/>
          <w:color w:val="000000"/>
        </w:rPr>
        <w:t xml:space="preserve"> de los lotes” </w:t>
      </w:r>
      <w:r w:rsidRPr="007B26FF">
        <w:rPr>
          <w:rFonts w:ascii="Palatino Linotype" w:hAnsi="Palatino Linotype"/>
          <w:i/>
          <w:color w:val="000000" w:themeColor="text1"/>
        </w:rPr>
        <w:t>(SIC).</w:t>
      </w: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14:paraId="6082BF6F" w14:textId="77777777" w:rsidR="0029478C" w:rsidRPr="007B26FF" w:rsidRDefault="0029478C" w:rsidP="0029478C">
      <w:pPr>
        <w:pStyle w:val="Prrafodelista"/>
        <w:tabs>
          <w:tab w:val="left" w:pos="0"/>
        </w:tabs>
        <w:spacing w:line="360" w:lineRule="auto"/>
        <w:ind w:left="0" w:right="49"/>
        <w:jc w:val="both"/>
        <w:rPr>
          <w:rFonts w:ascii="Palatino Linotype" w:hAnsi="Palatino Linotype" w:cs="Arial"/>
          <w:i/>
          <w:color w:val="000000" w:themeColor="text1"/>
        </w:rPr>
      </w:pPr>
    </w:p>
    <w:p w14:paraId="12F6DFB1" w14:textId="77777777" w:rsidR="0029478C" w:rsidRPr="007B26FF" w:rsidRDefault="0029478C" w:rsidP="00BA3B51">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B26FF">
        <w:rPr>
          <w:rFonts w:ascii="Palatino Linotype" w:hAnsi="Palatino Linotype" w:cs="Arial"/>
          <w:bCs/>
        </w:rPr>
        <w:t xml:space="preserve">Con fundamento en lo dispuesto por el </w:t>
      </w:r>
      <w:r w:rsidRPr="007B26FF">
        <w:rPr>
          <w:rFonts w:ascii="Palatino Linotype" w:eastAsia="Calibri" w:hAnsi="Palatino Linotype" w:cs="Arial"/>
          <w:lang w:val="es-ES"/>
        </w:rPr>
        <w:t xml:space="preserve">artículo 185 fracción I de la </w:t>
      </w:r>
      <w:r w:rsidRPr="007B26FF">
        <w:rPr>
          <w:rFonts w:ascii="Palatino Linotype" w:eastAsia="Calibri" w:hAnsi="Palatino Linotype" w:cs="Arial"/>
          <w:b/>
          <w:lang w:val="es-ES"/>
        </w:rPr>
        <w:t xml:space="preserve">Ley de Transparencia y Acceso a la Información Pública del Estado de México y Municipios </w:t>
      </w:r>
      <w:r w:rsidRPr="007B26FF">
        <w:rPr>
          <w:rFonts w:ascii="Palatino Linotype" w:hAnsi="Palatino Linotype" w:cs="Arial"/>
          <w:lang w:val="es-ES"/>
        </w:rPr>
        <w:t xml:space="preserve">se turnó al </w:t>
      </w:r>
      <w:r w:rsidRPr="007B26FF">
        <w:rPr>
          <w:rFonts w:ascii="Palatino Linotype" w:hAnsi="Palatino Linotype" w:cs="Arial"/>
          <w:b/>
          <w:lang w:val="es-ES"/>
        </w:rPr>
        <w:t xml:space="preserve">Comisionado José Guadalupe Luna Hernández </w:t>
      </w:r>
      <w:r w:rsidRPr="007B26FF">
        <w:rPr>
          <w:rFonts w:ascii="Palatino Linotype" w:hAnsi="Palatino Linotype" w:cs="Arial"/>
          <w:lang w:val="es-ES"/>
        </w:rPr>
        <w:t xml:space="preserve">con el objeto de </w:t>
      </w:r>
      <w:r w:rsidRPr="007B26FF">
        <w:rPr>
          <w:rFonts w:ascii="Palatino Linotype" w:hAnsi="Palatino Linotype" w:cs="Arial"/>
        </w:rPr>
        <w:t>su análisis.</w:t>
      </w:r>
    </w:p>
    <w:p w14:paraId="29E48455" w14:textId="77777777" w:rsidR="00774B7D" w:rsidRPr="007B26FF" w:rsidRDefault="00774B7D" w:rsidP="0029478C">
      <w:pPr>
        <w:pStyle w:val="Prrafodelista"/>
        <w:spacing w:before="240" w:after="240" w:line="360" w:lineRule="auto"/>
        <w:ind w:left="0"/>
        <w:jc w:val="both"/>
        <w:rPr>
          <w:rFonts w:ascii="Palatino Linotype" w:hAnsi="Palatino Linotype"/>
          <w:i/>
        </w:rPr>
      </w:pPr>
    </w:p>
    <w:p w14:paraId="3AAEC3B5" w14:textId="20F18FC3" w:rsidR="00F2361E" w:rsidRPr="007B26FF" w:rsidRDefault="00034A1F" w:rsidP="00BA3B51">
      <w:pPr>
        <w:pStyle w:val="Prrafodelista"/>
        <w:numPr>
          <w:ilvl w:val="0"/>
          <w:numId w:val="1"/>
        </w:numPr>
        <w:spacing w:before="240" w:after="240" w:line="360" w:lineRule="auto"/>
        <w:ind w:left="0" w:firstLine="0"/>
        <w:jc w:val="both"/>
        <w:rPr>
          <w:rFonts w:ascii="Palatino Linotype" w:hAnsi="Palatino Linotype"/>
          <w:i/>
        </w:rPr>
      </w:pPr>
      <w:r w:rsidRPr="007B26FF">
        <w:rPr>
          <w:rFonts w:ascii="Palatino Linotype" w:eastAsia="Calibri" w:hAnsi="Palatino Linotype" w:cs="Arial"/>
          <w:lang w:val="es-ES"/>
        </w:rPr>
        <w:t>El Comisionado Ponente con fundamento en lo dispuesto por el artículo 185 fracción II de la</w:t>
      </w:r>
      <w:r w:rsidR="003364ED" w:rsidRPr="007B26FF">
        <w:rPr>
          <w:rFonts w:ascii="Palatino Linotype" w:eastAsia="Calibri" w:hAnsi="Palatino Linotype" w:cs="Arial"/>
          <w:lang w:val="es-ES"/>
        </w:rPr>
        <w:t xml:space="preserve"> ley de la materia, a través de</w:t>
      </w:r>
      <w:r w:rsidRPr="007B26FF">
        <w:rPr>
          <w:rFonts w:ascii="Palatino Linotype" w:eastAsia="Calibri" w:hAnsi="Palatino Linotype" w:cs="Arial"/>
          <w:lang w:val="es-ES"/>
        </w:rPr>
        <w:t xml:space="preserve">l acuerdo de admisión de fecha </w:t>
      </w:r>
      <w:r w:rsidR="00754AEE" w:rsidRPr="007B26FF">
        <w:rPr>
          <w:rFonts w:ascii="Palatino Linotype" w:eastAsia="Calibri" w:hAnsi="Palatino Linotype" w:cs="Arial"/>
          <w:lang w:val="es-ES"/>
        </w:rPr>
        <w:t>veintidós</w:t>
      </w:r>
      <w:r w:rsidR="00E17910" w:rsidRPr="007B26FF">
        <w:rPr>
          <w:rFonts w:ascii="Palatino Linotype" w:eastAsia="Calibri" w:hAnsi="Palatino Linotype" w:cs="Arial"/>
          <w:lang w:val="es-ES"/>
        </w:rPr>
        <w:t xml:space="preserve"> </w:t>
      </w:r>
      <w:r w:rsidR="00754AEE" w:rsidRPr="007B26FF">
        <w:rPr>
          <w:rFonts w:ascii="Palatino Linotype" w:eastAsia="Calibri" w:hAnsi="Palatino Linotype" w:cs="Arial"/>
          <w:lang w:val="es-ES"/>
        </w:rPr>
        <w:t>(22</w:t>
      </w:r>
      <w:r w:rsidR="004F6AFC" w:rsidRPr="007B26FF">
        <w:rPr>
          <w:rFonts w:ascii="Palatino Linotype" w:eastAsia="Calibri" w:hAnsi="Palatino Linotype" w:cs="Arial"/>
          <w:lang w:val="es-ES"/>
        </w:rPr>
        <w:t xml:space="preserve">) de </w:t>
      </w:r>
      <w:r w:rsidR="00F2361E" w:rsidRPr="007B26FF">
        <w:rPr>
          <w:rFonts w:ascii="Palatino Linotype" w:eastAsia="Calibri" w:hAnsi="Palatino Linotype" w:cs="Arial"/>
          <w:lang w:val="es-ES"/>
        </w:rPr>
        <w:t>enero</w:t>
      </w:r>
      <w:r w:rsidR="004F6AFC" w:rsidRPr="007B26FF">
        <w:rPr>
          <w:rFonts w:ascii="Palatino Linotype" w:eastAsia="Calibri" w:hAnsi="Palatino Linotype" w:cs="Arial"/>
          <w:lang w:val="es-ES"/>
        </w:rPr>
        <w:t xml:space="preserve"> </w:t>
      </w:r>
      <w:r w:rsidR="00F2361E" w:rsidRPr="007B26FF">
        <w:rPr>
          <w:rFonts w:ascii="Palatino Linotype" w:eastAsia="Calibri" w:hAnsi="Palatino Linotype" w:cs="Arial"/>
          <w:lang w:val="es-ES"/>
        </w:rPr>
        <w:t>de dos mil veintiuno</w:t>
      </w:r>
      <w:r w:rsidRPr="007B26FF">
        <w:rPr>
          <w:rFonts w:ascii="Palatino Linotype" w:eastAsia="Calibri" w:hAnsi="Palatino Linotype" w:cs="Arial"/>
          <w:lang w:val="es-ES"/>
        </w:rPr>
        <w:t xml:space="preserve">, puso a disposición de las partes </w:t>
      </w:r>
      <w:r w:rsidR="00C93405" w:rsidRPr="007B26FF">
        <w:rPr>
          <w:rFonts w:ascii="Palatino Linotype" w:eastAsia="Calibri" w:hAnsi="Palatino Linotype" w:cs="Arial"/>
          <w:lang w:val="es-ES"/>
        </w:rPr>
        <w:t>e</w:t>
      </w:r>
      <w:r w:rsidRPr="007B26FF">
        <w:rPr>
          <w:rFonts w:ascii="Palatino Linotype" w:eastAsia="Calibri" w:hAnsi="Palatino Linotype" w:cs="Arial"/>
          <w:lang w:val="es-ES"/>
        </w:rPr>
        <w:t xml:space="preserve">l expediente electrónico </w:t>
      </w:r>
      <w:r w:rsidRPr="007B26FF">
        <w:rPr>
          <w:rFonts w:ascii="Palatino Linotype" w:eastAsia="Calibri" w:hAnsi="Palatino Linotype" w:cs="Arial"/>
        </w:rPr>
        <w:t xml:space="preserve">vía </w:t>
      </w:r>
      <w:r w:rsidRPr="007B26FF">
        <w:rPr>
          <w:rFonts w:ascii="Palatino Linotype" w:eastAsia="Calibri" w:hAnsi="Palatino Linotype" w:cs="Arial"/>
          <w:b/>
          <w:lang w:val="es-ES"/>
        </w:rPr>
        <w:t xml:space="preserve">SAIMEX </w:t>
      </w:r>
      <w:r w:rsidRPr="007B26FF">
        <w:rPr>
          <w:rFonts w:ascii="Palatino Linotype" w:eastAsia="Calibri" w:hAnsi="Palatino Linotype" w:cs="Arial"/>
          <w:lang w:val="es-ES"/>
        </w:rPr>
        <w:t>a efecto de que en un plazo máximo de siete días manifestaran</w:t>
      </w:r>
      <w:r w:rsidR="005E77E6" w:rsidRPr="007B26FF">
        <w:rPr>
          <w:rFonts w:ascii="Palatino Linotype" w:eastAsia="Calibri" w:hAnsi="Palatino Linotype" w:cs="Arial"/>
          <w:lang w:val="es-ES"/>
        </w:rPr>
        <w:t xml:space="preserve"> lo que a su derecho conviniera</w:t>
      </w:r>
      <w:r w:rsidRPr="007B26FF">
        <w:rPr>
          <w:rFonts w:ascii="Palatino Linotype" w:eastAsia="Calibri" w:hAnsi="Palatino Linotype" w:cs="Arial"/>
          <w:lang w:val="es-ES"/>
        </w:rPr>
        <w:t xml:space="preserve">, ofrecieran pruebas y alegatos según corresponda a los casos concretos, </w:t>
      </w:r>
      <w:r w:rsidR="00FA448D" w:rsidRPr="007B26FF">
        <w:rPr>
          <w:rFonts w:ascii="Palatino Linotype" w:eastAsia="Calibri" w:hAnsi="Palatino Linotype" w:cs="Arial"/>
          <w:lang w:val="es-ES"/>
        </w:rPr>
        <w:t>y</w:t>
      </w:r>
      <w:r w:rsidRPr="007B26FF">
        <w:rPr>
          <w:rFonts w:ascii="Palatino Linotype" w:eastAsia="Calibri" w:hAnsi="Palatino Linotype" w:cs="Arial"/>
          <w:lang w:val="es-ES"/>
        </w:rPr>
        <w:t xml:space="preserve"> el </w:t>
      </w:r>
      <w:r w:rsidRPr="007B26FF">
        <w:rPr>
          <w:rFonts w:ascii="Palatino Linotype" w:eastAsia="Calibri" w:hAnsi="Palatino Linotype" w:cs="Arial"/>
          <w:b/>
          <w:lang w:val="es-ES"/>
        </w:rPr>
        <w:t>SUJETO OBLIGADO</w:t>
      </w:r>
      <w:r w:rsidRPr="007B26FF">
        <w:rPr>
          <w:rFonts w:ascii="Palatino Linotype" w:eastAsia="Calibri" w:hAnsi="Palatino Linotype" w:cs="Arial"/>
          <w:lang w:val="es-ES"/>
        </w:rPr>
        <w:t xml:space="preserve"> presentará el Informe Justificado procedente.</w:t>
      </w:r>
    </w:p>
    <w:p w14:paraId="0D40E5EB" w14:textId="1C2528CC" w:rsidR="00F2361E" w:rsidRPr="007B26FF" w:rsidRDefault="00F2361E" w:rsidP="00BA3B51">
      <w:pPr>
        <w:pStyle w:val="Prrafodelista"/>
        <w:numPr>
          <w:ilvl w:val="0"/>
          <w:numId w:val="1"/>
        </w:numPr>
        <w:spacing w:before="240" w:after="240" w:line="360" w:lineRule="auto"/>
        <w:ind w:left="0" w:firstLine="0"/>
        <w:jc w:val="both"/>
        <w:rPr>
          <w:rFonts w:ascii="Palatino Linotype" w:hAnsi="Palatino Linotype"/>
        </w:rPr>
      </w:pPr>
      <w:r w:rsidRPr="007B26FF">
        <w:rPr>
          <w:rFonts w:ascii="Palatino Linotype" w:hAnsi="Palatino Linotype"/>
        </w:rPr>
        <w:lastRenderedPageBreak/>
        <w:t xml:space="preserve">De las constancias del expediente electrónico el SAIMEX, se advierte que el </w:t>
      </w:r>
      <w:r w:rsidRPr="007B26FF">
        <w:rPr>
          <w:rFonts w:ascii="Palatino Linotype" w:hAnsi="Palatino Linotype"/>
          <w:b/>
        </w:rPr>
        <w:t>SUJETO OBLIGADO</w:t>
      </w:r>
      <w:r w:rsidRPr="007B26FF">
        <w:rPr>
          <w:rFonts w:ascii="Palatino Linotype" w:hAnsi="Palatino Linotype"/>
        </w:rPr>
        <w:t xml:space="preserve"> no rindió </w:t>
      </w:r>
      <w:proofErr w:type="spellStart"/>
      <w:r w:rsidRPr="007B26FF">
        <w:rPr>
          <w:rFonts w:ascii="Palatino Linotype" w:hAnsi="Palatino Linotype"/>
        </w:rPr>
        <w:t>el</w:t>
      </w:r>
      <w:proofErr w:type="spellEnd"/>
      <w:r w:rsidRPr="007B26FF">
        <w:rPr>
          <w:rFonts w:ascii="Palatino Linotype" w:hAnsi="Palatino Linotype"/>
        </w:rPr>
        <w:t xml:space="preserve"> informa justificado respectivo y el hoy </w:t>
      </w:r>
      <w:r w:rsidRPr="007B26FF">
        <w:rPr>
          <w:rFonts w:ascii="Palatino Linotype" w:hAnsi="Palatino Linotype"/>
          <w:b/>
        </w:rPr>
        <w:t xml:space="preserve">RECURRENTE </w:t>
      </w:r>
      <w:r w:rsidRPr="007B26FF">
        <w:rPr>
          <w:rFonts w:ascii="Palatino Linotype" w:hAnsi="Palatino Linotype"/>
        </w:rPr>
        <w:t>no realizo manifestaciones que a su derecho convinieran y asistiera</w:t>
      </w:r>
      <w:r w:rsidR="00646400" w:rsidRPr="007B26FF">
        <w:rPr>
          <w:rFonts w:ascii="Palatino Linotype" w:hAnsi="Palatino Linotype"/>
        </w:rPr>
        <w:t>, como a continuación se muestra:</w:t>
      </w:r>
    </w:p>
    <w:p w14:paraId="49C75762" w14:textId="77777777" w:rsidR="00646400" w:rsidRPr="007B26FF" w:rsidRDefault="00646400" w:rsidP="00646400">
      <w:pPr>
        <w:pStyle w:val="Prrafodelista"/>
        <w:rPr>
          <w:rFonts w:ascii="Palatino Linotype" w:hAnsi="Palatino Linotype"/>
        </w:rPr>
      </w:pPr>
    </w:p>
    <w:p w14:paraId="589AE81C" w14:textId="7CA1BDF6" w:rsidR="00646400" w:rsidRPr="007B26FF" w:rsidRDefault="00646400" w:rsidP="00646400">
      <w:pPr>
        <w:pStyle w:val="Prrafodelista"/>
        <w:spacing w:before="240" w:after="240" w:line="360" w:lineRule="auto"/>
        <w:ind w:left="0"/>
        <w:jc w:val="both"/>
        <w:rPr>
          <w:rFonts w:ascii="Palatino Linotype" w:hAnsi="Palatino Linotype"/>
        </w:rPr>
      </w:pPr>
      <w:r w:rsidRPr="007B26FF">
        <w:rPr>
          <w:rFonts w:ascii="Palatino Linotype" w:hAnsi="Palatino Linotype"/>
          <w:noProof/>
          <w:lang w:val="es-MX" w:eastAsia="es-MX"/>
        </w:rPr>
        <w:drawing>
          <wp:inline distT="0" distB="0" distL="0" distR="0" wp14:anchorId="64017D80" wp14:editId="128ABEA7">
            <wp:extent cx="5612130" cy="203581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035810"/>
                    </a:xfrm>
                    <a:prstGeom prst="rect">
                      <a:avLst/>
                    </a:prstGeom>
                  </pic:spPr>
                </pic:pic>
              </a:graphicData>
            </a:graphic>
          </wp:inline>
        </w:drawing>
      </w:r>
    </w:p>
    <w:p w14:paraId="17C9C744" w14:textId="77777777" w:rsidR="00F2361E" w:rsidRPr="007B26FF" w:rsidRDefault="00F2361E" w:rsidP="006B6F57">
      <w:pPr>
        <w:pStyle w:val="Prrafodelista"/>
        <w:spacing w:before="240" w:after="240" w:line="360" w:lineRule="auto"/>
        <w:ind w:left="0"/>
        <w:jc w:val="both"/>
        <w:rPr>
          <w:rFonts w:ascii="Palatino Linotype" w:hAnsi="Palatino Linotype"/>
        </w:rPr>
      </w:pPr>
    </w:p>
    <w:p w14:paraId="09D5B693" w14:textId="6FC0D13A" w:rsidR="00BB5CA9" w:rsidRPr="007B26FF" w:rsidRDefault="00025B10" w:rsidP="00BA3B51">
      <w:pPr>
        <w:pStyle w:val="Prrafodelista"/>
        <w:numPr>
          <w:ilvl w:val="0"/>
          <w:numId w:val="1"/>
        </w:numPr>
        <w:spacing w:before="240" w:after="240" w:line="360" w:lineRule="auto"/>
        <w:ind w:left="0" w:firstLine="0"/>
        <w:jc w:val="both"/>
        <w:rPr>
          <w:rFonts w:ascii="Palatino Linotype" w:hAnsi="Palatino Linotype"/>
        </w:rPr>
      </w:pPr>
      <w:r w:rsidRPr="007B26FF">
        <w:rPr>
          <w:rFonts w:ascii="Palatino Linotype" w:hAnsi="Palatino Linotype"/>
        </w:rPr>
        <w:t xml:space="preserve">El Comisionado Ponente </w:t>
      </w:r>
      <w:r w:rsidR="00CE2991" w:rsidRPr="007B26FF">
        <w:rPr>
          <w:rFonts w:ascii="Palatino Linotype" w:hAnsi="Palatino Linotype"/>
        </w:rPr>
        <w:t xml:space="preserve">decreto el cierre de instrucción mediante acuerdo de fecha </w:t>
      </w:r>
      <w:r w:rsidR="00754AEE" w:rsidRPr="007B26FF">
        <w:rPr>
          <w:rFonts w:ascii="Palatino Linotype" w:hAnsi="Palatino Linotype"/>
        </w:rPr>
        <w:t>nueve (09</w:t>
      </w:r>
      <w:r w:rsidR="00F77F62" w:rsidRPr="007B26FF">
        <w:rPr>
          <w:rFonts w:ascii="Palatino Linotype" w:hAnsi="Palatino Linotype"/>
        </w:rPr>
        <w:t xml:space="preserve">) </w:t>
      </w:r>
      <w:r w:rsidR="00AA2EAA" w:rsidRPr="007B26FF">
        <w:rPr>
          <w:rFonts w:ascii="Palatino Linotype" w:hAnsi="Palatino Linotype"/>
        </w:rPr>
        <w:t xml:space="preserve">de </w:t>
      </w:r>
      <w:r w:rsidR="005F074E" w:rsidRPr="007B26FF">
        <w:rPr>
          <w:rFonts w:ascii="Palatino Linotype" w:hAnsi="Palatino Linotype"/>
        </w:rPr>
        <w:t>febrero</w:t>
      </w:r>
      <w:r w:rsidR="00AA2EAA" w:rsidRPr="007B26FF">
        <w:rPr>
          <w:rFonts w:ascii="Palatino Linotype" w:hAnsi="Palatino Linotype"/>
        </w:rPr>
        <w:t xml:space="preserve"> de </w:t>
      </w:r>
      <w:r w:rsidR="005F074E" w:rsidRPr="007B26FF">
        <w:rPr>
          <w:rFonts w:ascii="Palatino Linotype" w:hAnsi="Palatino Linotype"/>
        </w:rPr>
        <w:t>dos mil veintiuno</w:t>
      </w:r>
      <w:r w:rsidR="00C8486C" w:rsidRPr="007B26FF">
        <w:rPr>
          <w:rFonts w:ascii="Palatino Linotype" w:hAnsi="Palatino Linotype"/>
        </w:rPr>
        <w:t xml:space="preserve">, </w:t>
      </w:r>
      <w:r w:rsidR="006A3E8C" w:rsidRPr="007B26FF">
        <w:rPr>
          <w:rFonts w:ascii="Palatino Linotype" w:hAnsi="Palatino Linotype"/>
        </w:rPr>
        <w:t>por lo que</w:t>
      </w:r>
      <w:r w:rsidR="00CF3F0A" w:rsidRPr="007B26FF">
        <w:rPr>
          <w:rFonts w:ascii="Palatino Linotype" w:hAnsi="Palatino Linotype"/>
        </w:rPr>
        <w:t xml:space="preserve"> </w:t>
      </w:r>
      <w:r w:rsidRPr="007B26FF">
        <w:rPr>
          <w:rFonts w:ascii="Palatino Linotype" w:hAnsi="Palatino Linotype"/>
        </w:rPr>
        <w:t>se</w:t>
      </w:r>
      <w:r w:rsidR="00585F00" w:rsidRPr="007B26FF">
        <w:rPr>
          <w:rFonts w:ascii="Palatino Linotype" w:hAnsi="Palatino Linotype" w:cs="Arial"/>
        </w:rPr>
        <w:t xml:space="preserve"> ordenó tur</w:t>
      </w:r>
      <w:r w:rsidR="00434B23" w:rsidRPr="007B26FF">
        <w:rPr>
          <w:rFonts w:ascii="Palatino Linotype" w:hAnsi="Palatino Linotype" w:cs="Arial"/>
        </w:rPr>
        <w:t xml:space="preserve">nar el expediente a resolución, </w:t>
      </w:r>
      <w:r w:rsidR="00274F7F" w:rsidRPr="007B26FF">
        <w:rPr>
          <w:rFonts w:ascii="Palatino Linotype" w:hAnsi="Palatino Linotype" w:cs="Arial"/>
        </w:rPr>
        <w:t xml:space="preserve">por lo que no habiendo más que hacer constar, </w:t>
      </w:r>
      <w:r w:rsidR="001F5AF8" w:rsidRPr="007B26FF">
        <w:rPr>
          <w:rFonts w:ascii="Palatino Linotype" w:hAnsi="Palatino Linotype" w:cs="Arial"/>
        </w:rPr>
        <w:t xml:space="preserve">y - </w:t>
      </w:r>
      <w:r w:rsidR="00C85C39" w:rsidRPr="007B26FF">
        <w:rPr>
          <w:rFonts w:ascii="Palatino Linotype" w:hAnsi="Palatino Linotype" w:cs="Arial"/>
        </w:rPr>
        <w:t xml:space="preserve">- - - - - </w:t>
      </w:r>
    </w:p>
    <w:p w14:paraId="53277FA0" w14:textId="77777777" w:rsidR="00646400" w:rsidRPr="007B26FF" w:rsidRDefault="00646400" w:rsidP="00646400">
      <w:pPr>
        <w:pStyle w:val="Prrafodelista"/>
        <w:spacing w:before="240" w:after="240" w:line="360" w:lineRule="auto"/>
        <w:ind w:left="0"/>
        <w:jc w:val="both"/>
        <w:rPr>
          <w:rFonts w:ascii="Palatino Linotype" w:hAnsi="Palatino Linotype"/>
        </w:rPr>
      </w:pPr>
    </w:p>
    <w:p w14:paraId="2D709AC7" w14:textId="77777777" w:rsidR="00E0252A" w:rsidRPr="007B26FF" w:rsidRDefault="00E0252A" w:rsidP="0029478C">
      <w:pPr>
        <w:pStyle w:val="Ttulo1"/>
        <w:tabs>
          <w:tab w:val="left" w:pos="567"/>
        </w:tabs>
        <w:jc w:val="center"/>
        <w:rPr>
          <w:b/>
          <w:szCs w:val="24"/>
        </w:rPr>
      </w:pPr>
      <w:bookmarkStart w:id="117" w:name="_Toc48841664"/>
      <w:bookmarkStart w:id="118" w:name="_Toc58504397"/>
      <w:r w:rsidRPr="007B26FF">
        <w:rPr>
          <w:b/>
          <w:szCs w:val="24"/>
        </w:rPr>
        <w:t>CONSIDERANDO</w:t>
      </w:r>
      <w:bookmarkEnd w:id="117"/>
      <w:bookmarkEnd w:id="118"/>
    </w:p>
    <w:p w14:paraId="53EE83D5" w14:textId="77777777" w:rsidR="00E0252A" w:rsidRPr="007B26FF" w:rsidRDefault="00E0252A" w:rsidP="006B6F57">
      <w:pPr>
        <w:pStyle w:val="Ttulo1"/>
        <w:tabs>
          <w:tab w:val="left" w:pos="567"/>
        </w:tabs>
        <w:jc w:val="both"/>
        <w:rPr>
          <w:b/>
          <w:bCs/>
          <w:spacing w:val="60"/>
        </w:rPr>
      </w:pPr>
      <w:bookmarkStart w:id="119" w:name="_Toc48841665"/>
      <w:bookmarkStart w:id="120" w:name="_Toc58504398"/>
      <w:r w:rsidRPr="007B26FF">
        <w:rPr>
          <w:b/>
        </w:rPr>
        <w:t>PRIMERO. De la competencia</w:t>
      </w:r>
      <w:bookmarkEnd w:id="119"/>
      <w:bookmarkEnd w:id="120"/>
    </w:p>
    <w:p w14:paraId="00445D6C" w14:textId="77777777" w:rsidR="00E0252A" w:rsidRPr="007B26FF" w:rsidRDefault="00E0252A" w:rsidP="006B6F57">
      <w:pPr>
        <w:pStyle w:val="Prrafodelista"/>
        <w:jc w:val="both"/>
        <w:rPr>
          <w:rFonts w:ascii="Palatino Linotype" w:eastAsia="Calibri" w:hAnsi="Palatino Linotype" w:cs="Times New Roman"/>
          <w:lang w:val="es-ES"/>
        </w:rPr>
      </w:pPr>
    </w:p>
    <w:p w14:paraId="59C09FF2" w14:textId="77777777" w:rsidR="00E0252A" w:rsidRPr="007B26FF" w:rsidRDefault="00E0252A" w:rsidP="00BA3B51">
      <w:pPr>
        <w:pStyle w:val="Prrafodelista"/>
        <w:numPr>
          <w:ilvl w:val="0"/>
          <w:numId w:val="1"/>
        </w:numPr>
        <w:spacing w:before="240" w:after="240" w:line="360" w:lineRule="auto"/>
        <w:ind w:left="0" w:firstLine="0"/>
        <w:jc w:val="both"/>
      </w:pPr>
      <w:r w:rsidRPr="007B26FF">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w:t>
      </w:r>
      <w:r w:rsidRPr="007B26FF">
        <w:rPr>
          <w:rFonts w:ascii="Palatino Linotype" w:eastAsia="Calibri" w:hAnsi="Palatino Linotype" w:cs="Times New Roman"/>
          <w:lang w:val="es-ES"/>
        </w:rPr>
        <w:lastRenderedPageBreak/>
        <w:t xml:space="preserve">fracción IV de la </w:t>
      </w:r>
      <w:r w:rsidRPr="007B26FF">
        <w:rPr>
          <w:rFonts w:ascii="Palatino Linotype" w:eastAsia="Calibri" w:hAnsi="Palatino Linotype" w:cs="Times New Roman"/>
          <w:b/>
          <w:lang w:val="es-ES"/>
        </w:rPr>
        <w:t>Constitución Política de los Estados Unidos Mexicanos</w:t>
      </w:r>
      <w:r w:rsidRPr="007B26FF">
        <w:rPr>
          <w:rFonts w:ascii="Palatino Linotype" w:eastAsia="Calibri" w:hAnsi="Palatino Linotype" w:cs="Times New Roman"/>
          <w:lang w:val="es-ES"/>
        </w:rPr>
        <w:t xml:space="preserve">; 5, párrafos </w:t>
      </w:r>
      <w:r w:rsidRPr="007B26FF">
        <w:rPr>
          <w:rFonts w:ascii="Palatino Linotype" w:eastAsia="Calibri" w:hAnsi="Palatino Linotype" w:cs="Times New Roman"/>
          <w:color w:val="000000" w:themeColor="text1"/>
          <w:lang w:val="es-ES"/>
        </w:rPr>
        <w:t xml:space="preserve">vigésimo segundo, vigésimo tercero y vigésimo cuarto </w:t>
      </w:r>
      <w:r w:rsidRPr="007B26FF">
        <w:rPr>
          <w:rFonts w:ascii="Palatino Linotype" w:eastAsia="Calibri" w:hAnsi="Palatino Linotype" w:cs="Times New Roman"/>
          <w:lang w:val="es-ES"/>
        </w:rPr>
        <w:t xml:space="preserve">fracciones IV y V de la </w:t>
      </w:r>
      <w:r w:rsidRPr="007B26FF">
        <w:rPr>
          <w:rFonts w:ascii="Palatino Linotype" w:eastAsia="Calibri" w:hAnsi="Palatino Linotype" w:cs="Times New Roman"/>
          <w:b/>
          <w:lang w:val="es-ES"/>
        </w:rPr>
        <w:t>Constitución Política del Estado Libre y Soberano de México</w:t>
      </w:r>
      <w:r w:rsidRPr="007B26FF">
        <w:rPr>
          <w:rFonts w:ascii="Palatino Linotype" w:eastAsia="Calibri" w:hAnsi="Palatino Linotype" w:cs="Times New Roman"/>
          <w:lang w:val="es-ES"/>
        </w:rPr>
        <w:t xml:space="preserve">; artículos 1, 2 fracción II, 13, 29, 36 fracciones I y II, 176, 178, 179, 181 párrafo tercero y 185 </w:t>
      </w:r>
      <w:r w:rsidRPr="007B26FF">
        <w:rPr>
          <w:rFonts w:ascii="Palatino Linotype" w:eastAsia="Calibri" w:hAnsi="Palatino Linotype" w:cs="Arial"/>
          <w:lang w:val="es-ES"/>
        </w:rPr>
        <w:t xml:space="preserve">de la </w:t>
      </w:r>
      <w:r w:rsidRPr="007B26FF">
        <w:rPr>
          <w:rFonts w:ascii="Palatino Linotype" w:eastAsia="Calibri" w:hAnsi="Palatino Linotype" w:cs="Arial"/>
          <w:b/>
          <w:lang w:val="es-ES"/>
        </w:rPr>
        <w:t>Ley de Transparencia y Acceso a la Información Pública del Estado de México y Municipios</w:t>
      </w:r>
      <w:r w:rsidRPr="007B26FF">
        <w:rPr>
          <w:rFonts w:ascii="Palatino Linotype" w:eastAsia="Calibri" w:hAnsi="Palatino Linotype" w:cs="Arial"/>
          <w:lang w:val="es-ES"/>
        </w:rPr>
        <w:t xml:space="preserve">; y 10, 7, 9 fracciones I y XXIV, y 11 del </w:t>
      </w:r>
      <w:r w:rsidRPr="007B26FF">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7B26FF">
        <w:rPr>
          <w:rFonts w:ascii="Palatino Linotype" w:hAnsi="Palatino Linotype"/>
        </w:rPr>
        <w:t>.</w:t>
      </w:r>
    </w:p>
    <w:p w14:paraId="4DC4EB18" w14:textId="77777777" w:rsidR="00E0252A" w:rsidRPr="007B26FF" w:rsidRDefault="00E0252A" w:rsidP="006B6F57">
      <w:pPr>
        <w:pStyle w:val="Prrafodelista"/>
        <w:spacing w:before="240" w:after="240" w:line="360" w:lineRule="auto"/>
        <w:ind w:left="0"/>
        <w:jc w:val="both"/>
        <w:rPr>
          <w:rFonts w:ascii="Palatino Linotype" w:eastAsia="Calibri" w:hAnsi="Palatino Linotype" w:cs="Times New Roman"/>
          <w:lang w:val="es-ES"/>
        </w:rPr>
      </w:pPr>
    </w:p>
    <w:p w14:paraId="167BDA54" w14:textId="77777777" w:rsidR="00E0252A" w:rsidRPr="007B26FF" w:rsidRDefault="00E0252A" w:rsidP="006B6F57">
      <w:pPr>
        <w:pStyle w:val="Ttulo1"/>
        <w:tabs>
          <w:tab w:val="left" w:pos="567"/>
        </w:tabs>
        <w:spacing w:before="0"/>
        <w:jc w:val="both"/>
        <w:rPr>
          <w:b/>
        </w:rPr>
      </w:pPr>
      <w:bookmarkStart w:id="121" w:name="_Toc48841666"/>
      <w:bookmarkStart w:id="122" w:name="_Toc58504399"/>
      <w:r w:rsidRPr="007B26FF">
        <w:rPr>
          <w:b/>
        </w:rPr>
        <w:t>SEGUNDO. De la oportunidad y procedencia.</w:t>
      </w:r>
      <w:bookmarkEnd w:id="121"/>
      <w:bookmarkEnd w:id="122"/>
    </w:p>
    <w:p w14:paraId="28737D7E" w14:textId="77777777" w:rsidR="00E0252A" w:rsidRPr="007B26FF" w:rsidRDefault="00E0252A" w:rsidP="006B6F57">
      <w:pPr>
        <w:pStyle w:val="Prrafodelista"/>
        <w:spacing w:before="240" w:after="240" w:line="360" w:lineRule="auto"/>
        <w:ind w:left="0"/>
        <w:jc w:val="both"/>
      </w:pPr>
    </w:p>
    <w:p w14:paraId="71A20E5B" w14:textId="15FADC9D" w:rsidR="00E0252A" w:rsidRPr="007B26FF" w:rsidRDefault="00E0252A" w:rsidP="00BA3B51">
      <w:pPr>
        <w:pStyle w:val="Prrafodelista"/>
        <w:numPr>
          <w:ilvl w:val="0"/>
          <w:numId w:val="1"/>
        </w:numPr>
        <w:spacing w:before="240" w:after="240" w:line="360" w:lineRule="auto"/>
        <w:ind w:left="0" w:firstLine="0"/>
        <w:jc w:val="both"/>
      </w:pPr>
      <w:r w:rsidRPr="007B26FF">
        <w:rPr>
          <w:rFonts w:ascii="Palatino Linotype" w:eastAsia="Calibri" w:hAnsi="Palatino Linotype" w:cs="Arial"/>
        </w:rPr>
        <w:t>El medio de impugnación fue presentado a través del Sistema de Acceso a la Información Mexiquense (SAIMEX)</w:t>
      </w:r>
      <w:r w:rsidRPr="007B26FF">
        <w:rPr>
          <w:rFonts w:ascii="Palatino Linotype" w:eastAsia="Calibri" w:hAnsi="Palatino Linotype" w:cs="Arial"/>
          <w:b/>
        </w:rPr>
        <w:t>,</w:t>
      </w:r>
      <w:r w:rsidRPr="007B26FF">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7B26FF">
        <w:rPr>
          <w:rFonts w:ascii="Palatino Linotype" w:eastAsia="Calibri" w:hAnsi="Palatino Linotype" w:cs="Arial"/>
          <w:b/>
        </w:rPr>
        <w:t>SUJETO OBLIGADO</w:t>
      </w:r>
      <w:r w:rsidRPr="007B26FF">
        <w:rPr>
          <w:rFonts w:ascii="Palatino Linotype" w:eastAsia="Calibri" w:hAnsi="Palatino Linotype" w:cs="Arial"/>
        </w:rPr>
        <w:t xml:space="preserve"> entregó respuesta el día </w:t>
      </w:r>
      <w:r w:rsidR="0029478C" w:rsidRPr="007B26FF">
        <w:rPr>
          <w:rFonts w:ascii="Palatino Linotype" w:eastAsia="Calibri" w:hAnsi="Palatino Linotype" w:cs="Arial"/>
        </w:rPr>
        <w:t xml:space="preserve">catorce (14) de </w:t>
      </w:r>
      <w:r w:rsidRPr="007B26FF">
        <w:rPr>
          <w:rFonts w:ascii="Palatino Linotype" w:eastAsia="Calibri" w:hAnsi="Palatino Linotype" w:cs="Arial"/>
        </w:rPr>
        <w:t xml:space="preserve">diciembre </w:t>
      </w:r>
      <w:r w:rsidRPr="007B26FF">
        <w:rPr>
          <w:rFonts w:ascii="Palatino Linotype" w:hAnsi="Palatino Linotype"/>
        </w:rPr>
        <w:t>de dos mil veinte</w:t>
      </w:r>
      <w:r w:rsidRPr="007B26FF">
        <w:rPr>
          <w:rFonts w:ascii="Palatino Linotype" w:eastAsia="Calibri" w:hAnsi="Palatino Linotype" w:cs="Arial"/>
        </w:rPr>
        <w:t>,</w:t>
      </w:r>
      <w:r w:rsidR="006B6F57" w:rsidRPr="007B26FF">
        <w:rPr>
          <w:rFonts w:ascii="Palatino Linotype" w:eastAsia="Calibri" w:hAnsi="Palatino Linotype" w:cs="Arial"/>
        </w:rPr>
        <w:t xml:space="preserve"> </w:t>
      </w:r>
      <w:r w:rsidR="0029478C" w:rsidRPr="007B26FF">
        <w:rPr>
          <w:rFonts w:ascii="Palatino Linotype" w:eastAsia="Calibri" w:hAnsi="Palatino Linotype" w:cs="Arial"/>
        </w:rPr>
        <w:t xml:space="preserve">posteriormente </w:t>
      </w:r>
      <w:r w:rsidR="006B6F57" w:rsidRPr="007B26FF">
        <w:rPr>
          <w:rFonts w:ascii="Palatino Linotype" w:eastAsia="Calibri" w:hAnsi="Palatino Linotype" w:cs="Arial"/>
        </w:rPr>
        <w:t xml:space="preserve"> en fecha</w:t>
      </w:r>
      <w:r w:rsidR="006B6F57" w:rsidRPr="007B26FF">
        <w:rPr>
          <w:rFonts w:ascii="Palatino Linotype" w:hAnsi="Palatino Linotype" w:cs="Arial"/>
        </w:rPr>
        <w:t xml:space="preserve"> </w:t>
      </w:r>
      <w:r w:rsidR="0029478C" w:rsidRPr="007B26FF">
        <w:rPr>
          <w:rFonts w:ascii="Palatino Linotype" w:hAnsi="Palatino Linotype" w:cs="Arial"/>
        </w:rPr>
        <w:t xml:space="preserve">veintisiete (27) </w:t>
      </w:r>
      <w:r w:rsidR="00D5541B" w:rsidRPr="007B26FF">
        <w:rPr>
          <w:rFonts w:ascii="Palatino Linotype" w:hAnsi="Palatino Linotype" w:cs="Arial"/>
        </w:rPr>
        <w:t xml:space="preserve">de diciembre del dos mil </w:t>
      </w:r>
      <w:r w:rsidR="006B6F57" w:rsidRPr="007B26FF">
        <w:rPr>
          <w:rFonts w:ascii="Palatino Linotype" w:hAnsi="Palatino Linotype" w:cs="Arial"/>
        </w:rPr>
        <w:t xml:space="preserve">veinte </w:t>
      </w:r>
      <w:r w:rsidR="00D5541B" w:rsidRPr="007B26FF">
        <w:rPr>
          <w:rFonts w:ascii="Palatino Linotype" w:hAnsi="Palatino Linotype" w:cs="Arial"/>
        </w:rPr>
        <w:t xml:space="preserve">el </w:t>
      </w:r>
      <w:r w:rsidR="00D5541B" w:rsidRPr="007B26FF">
        <w:rPr>
          <w:rFonts w:ascii="Palatino Linotype" w:hAnsi="Palatino Linotype" w:cs="Arial"/>
          <w:b/>
        </w:rPr>
        <w:t>RECURRENTE</w:t>
      </w:r>
      <w:r w:rsidR="00D5541B" w:rsidRPr="007B26FF">
        <w:rPr>
          <w:rFonts w:ascii="Palatino Linotype" w:hAnsi="Palatino Linotype" w:cs="Arial"/>
        </w:rPr>
        <w:t xml:space="preserve"> presentó su inconformidad, </w:t>
      </w:r>
      <w:r w:rsidRPr="007B26FF">
        <w:rPr>
          <w:rFonts w:ascii="Palatino Linotype" w:hAnsi="Palatino Linotype" w:cs="Arial"/>
        </w:rPr>
        <w:t>por lo que</w:t>
      </w:r>
      <w:r w:rsidR="00D5541B" w:rsidRPr="007B26FF">
        <w:rPr>
          <w:rFonts w:ascii="Palatino Linotype" w:hAnsi="Palatino Linotype" w:cs="Arial"/>
        </w:rPr>
        <w:t xml:space="preserve"> el medio de impugnación </w:t>
      </w:r>
      <w:r w:rsidRPr="007B26FF">
        <w:rPr>
          <w:rFonts w:ascii="Palatino Linotype" w:hAnsi="Palatino Linotype" w:cs="Arial"/>
          <w:color w:val="000000" w:themeColor="text1"/>
        </w:rPr>
        <w:t xml:space="preserve">se encuentra dentro de los márgenes temporales previstos en el artículo 178 de la </w:t>
      </w:r>
      <w:r w:rsidRPr="007B26FF">
        <w:rPr>
          <w:rFonts w:ascii="Palatino Linotype" w:hAnsi="Palatino Linotype" w:cs="Arial"/>
          <w:b/>
          <w:color w:val="000000" w:themeColor="text1"/>
        </w:rPr>
        <w:t>Ley de Transparencia y Acceso a la Información Pública del Estado de México y Municipios.</w:t>
      </w:r>
    </w:p>
    <w:p w14:paraId="710DB31D" w14:textId="77777777" w:rsidR="00E0252A" w:rsidRPr="007B26FF" w:rsidRDefault="00E0252A" w:rsidP="006B6F57">
      <w:pPr>
        <w:pStyle w:val="Prrafodelista"/>
        <w:spacing w:line="360" w:lineRule="auto"/>
        <w:ind w:left="0"/>
        <w:jc w:val="both"/>
        <w:rPr>
          <w:rFonts w:ascii="Palatino Linotype" w:hAnsi="Palatino Linotype"/>
          <w:lang w:val="es-US"/>
        </w:rPr>
      </w:pPr>
    </w:p>
    <w:p w14:paraId="359D5BB1" w14:textId="77777777" w:rsidR="00E0252A" w:rsidRPr="007B26FF" w:rsidRDefault="00E0252A" w:rsidP="00BA3B51">
      <w:pPr>
        <w:pStyle w:val="Prrafodelista"/>
        <w:numPr>
          <w:ilvl w:val="0"/>
          <w:numId w:val="1"/>
        </w:numPr>
        <w:spacing w:line="360" w:lineRule="auto"/>
        <w:ind w:left="0" w:firstLine="0"/>
        <w:jc w:val="both"/>
        <w:rPr>
          <w:rFonts w:ascii="Palatino Linotype" w:hAnsi="Palatino Linotype"/>
        </w:rPr>
      </w:pPr>
      <w:r w:rsidRPr="007B26FF">
        <w:rPr>
          <w:rFonts w:ascii="Palatino Linotype" w:eastAsia="Calibri" w:hAnsi="Palatino Linotype" w:cs="Arial"/>
        </w:rPr>
        <w:lastRenderedPageBreak/>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0D36E63" w14:textId="77777777" w:rsidR="00E0252A" w:rsidRPr="007B26FF" w:rsidRDefault="00E0252A" w:rsidP="006B6F57">
      <w:pPr>
        <w:pStyle w:val="Prrafodelista"/>
        <w:spacing w:before="240" w:after="240" w:line="360" w:lineRule="auto"/>
        <w:ind w:left="0"/>
        <w:jc w:val="both"/>
      </w:pPr>
    </w:p>
    <w:p w14:paraId="24B744BB" w14:textId="2A9F644B" w:rsidR="0029478C" w:rsidRPr="007B26FF" w:rsidRDefault="0029478C" w:rsidP="0029478C">
      <w:pPr>
        <w:keepNext/>
        <w:keepLines/>
        <w:spacing w:before="240"/>
        <w:outlineLvl w:val="0"/>
        <w:rPr>
          <w:rFonts w:ascii="Palatino Linotype" w:eastAsia="MS Mincho" w:hAnsi="Palatino Linotype" w:cstheme="majorBidi"/>
          <w:b/>
        </w:rPr>
      </w:pPr>
      <w:bookmarkStart w:id="123" w:name="_Toc62753518"/>
      <w:bookmarkStart w:id="124" w:name="_Toc33809642"/>
      <w:bookmarkStart w:id="125" w:name="_Toc58504400"/>
      <w:r w:rsidRPr="007B26FF">
        <w:rPr>
          <w:rFonts w:ascii="Palatino Linotype" w:eastAsia="MS Mincho" w:hAnsi="Palatino Linotype" w:cstheme="majorBidi"/>
          <w:b/>
        </w:rPr>
        <w:t xml:space="preserve">TERCERO. </w:t>
      </w:r>
      <w:r w:rsidR="00C357FB" w:rsidRPr="007B26FF">
        <w:rPr>
          <w:rFonts w:ascii="Palatino Linotype" w:eastAsia="MS Mincho" w:hAnsi="Palatino Linotype" w:cstheme="majorBidi"/>
          <w:b/>
        </w:rPr>
        <w:t xml:space="preserve">De </w:t>
      </w:r>
      <w:r w:rsidRPr="007B26FF">
        <w:rPr>
          <w:rFonts w:ascii="Palatino Linotype" w:eastAsia="MS Mincho" w:hAnsi="Palatino Linotype" w:cstheme="majorBidi"/>
          <w:b/>
        </w:rPr>
        <w:t>Previo especial pronunciamiento.</w:t>
      </w:r>
      <w:bookmarkEnd w:id="123"/>
      <w:r w:rsidRPr="007B26FF">
        <w:rPr>
          <w:rFonts w:ascii="Palatino Linotype" w:eastAsia="MS Mincho" w:hAnsi="Palatino Linotype" w:cstheme="majorBidi"/>
          <w:b/>
        </w:rPr>
        <w:t xml:space="preserve"> </w:t>
      </w:r>
    </w:p>
    <w:p w14:paraId="3FD74A44" w14:textId="49F4BB76" w:rsidR="00C357FB" w:rsidRPr="007B26FF" w:rsidRDefault="00C357FB" w:rsidP="00C357FB">
      <w:pPr>
        <w:pStyle w:val="Prrafodelista"/>
        <w:keepNext/>
        <w:keepLines/>
        <w:numPr>
          <w:ilvl w:val="0"/>
          <w:numId w:val="14"/>
        </w:numPr>
        <w:spacing w:before="240"/>
        <w:outlineLvl w:val="0"/>
        <w:rPr>
          <w:rFonts w:ascii="Palatino Linotype" w:eastAsia="MS Mincho" w:hAnsi="Palatino Linotype"/>
          <w:b/>
        </w:rPr>
      </w:pPr>
      <w:r w:rsidRPr="007B26FF">
        <w:rPr>
          <w:rFonts w:ascii="Palatino Linotype" w:eastAsia="MS Mincho" w:hAnsi="Palatino Linotype"/>
          <w:b/>
        </w:rPr>
        <w:t xml:space="preserve">De los plazos </w:t>
      </w:r>
    </w:p>
    <w:p w14:paraId="25D479A0" w14:textId="77777777" w:rsidR="0029478C" w:rsidRPr="007B26FF" w:rsidRDefault="0029478C" w:rsidP="0029478C">
      <w:pPr>
        <w:pStyle w:val="Prrafodelista"/>
        <w:rPr>
          <w:rFonts w:ascii="Palatino Linotype" w:hAnsi="Palatino Linotype"/>
          <w:lang w:val="es-US"/>
        </w:rPr>
      </w:pPr>
    </w:p>
    <w:p w14:paraId="634AB1BC" w14:textId="77777777" w:rsidR="0029478C" w:rsidRPr="007B26FF" w:rsidRDefault="0029478C" w:rsidP="00BA3B51">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B26FF">
        <w:rPr>
          <w:rFonts w:ascii="Palatino Linotype" w:hAnsi="Palatino Linotype"/>
          <w:lang w:val="es-ES"/>
        </w:rPr>
        <w:t xml:space="preserve">Ahora bien, desde que inició, la crisis generada por el virus </w:t>
      </w:r>
      <w:r w:rsidRPr="007B26FF">
        <w:rPr>
          <w:rFonts w:ascii="Palatino Linotype" w:hAnsi="Palatino Linotype"/>
          <w:b/>
          <w:lang w:val="es-ES"/>
        </w:rPr>
        <w:t xml:space="preserve">SARS-Cov-2 </w:t>
      </w:r>
      <w:proofErr w:type="gramStart"/>
      <w:r w:rsidRPr="007B26FF">
        <w:rPr>
          <w:rFonts w:ascii="Palatino Linotype" w:hAnsi="Palatino Linotype"/>
          <w:b/>
          <w:lang w:val="es-ES"/>
        </w:rPr>
        <w:t>-  COVID</w:t>
      </w:r>
      <w:proofErr w:type="gramEnd"/>
      <w:r w:rsidRPr="007B26FF">
        <w:rPr>
          <w:rFonts w:ascii="Palatino Linotype" w:hAnsi="Palatino Linotype"/>
          <w:b/>
          <w:lang w:val="es-ES"/>
        </w:rPr>
        <w:t>-19</w:t>
      </w:r>
      <w:r w:rsidRPr="007B26FF">
        <w:rPr>
          <w:rFonts w:ascii="Palatino Linotype" w:hAnsi="Palatino Linotype"/>
          <w:lang w:val="es-ES"/>
        </w:rPr>
        <w:t>, a finales del año 2019, la sociedad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4391657E" w14:textId="77777777" w:rsidR="0029478C" w:rsidRPr="007B26FF" w:rsidRDefault="0029478C" w:rsidP="0029478C">
      <w:pPr>
        <w:pStyle w:val="Prrafodelista"/>
        <w:tabs>
          <w:tab w:val="left" w:pos="0"/>
        </w:tabs>
        <w:spacing w:line="360" w:lineRule="auto"/>
        <w:ind w:left="0" w:right="49"/>
        <w:jc w:val="both"/>
        <w:rPr>
          <w:rFonts w:ascii="Palatino Linotype" w:hAnsi="Palatino Linotype" w:cs="Arial"/>
          <w:i/>
          <w:color w:val="000000" w:themeColor="text1"/>
        </w:rPr>
      </w:pPr>
    </w:p>
    <w:p w14:paraId="6CD00190" w14:textId="6F496B69" w:rsidR="0029478C" w:rsidRPr="007B26FF" w:rsidRDefault="0029478C" w:rsidP="0029478C">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B26FF">
        <w:rPr>
          <w:rFonts w:ascii="Palatino Linotype" w:hAnsi="Palatino Linotype"/>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02D8F4F7" w14:textId="77777777" w:rsidR="0029478C" w:rsidRPr="007B26FF" w:rsidRDefault="0029478C" w:rsidP="00BA3B51">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B26FF">
        <w:rPr>
          <w:rFonts w:ascii="Palatino Linotype" w:hAnsi="Palatino Linotype"/>
          <w:lang w:val="es-ES"/>
        </w:rPr>
        <w:lastRenderedPageBreak/>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583A60C0" w14:textId="77777777" w:rsidR="0029478C" w:rsidRPr="007B26FF" w:rsidRDefault="0029478C" w:rsidP="0029478C">
      <w:pPr>
        <w:pStyle w:val="Prrafodelista"/>
        <w:rPr>
          <w:rFonts w:ascii="Palatino Linotype" w:hAnsi="Palatino Linotype"/>
          <w:lang w:val="es-ES"/>
        </w:rPr>
      </w:pPr>
    </w:p>
    <w:p w14:paraId="26E1FD67" w14:textId="6E24EA07" w:rsidR="0029478C" w:rsidRPr="007B26FF" w:rsidRDefault="0029478C" w:rsidP="00BA3B51">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B26FF">
        <w:rPr>
          <w:rFonts w:ascii="Palatino Linotype" w:hAnsi="Palatino Linotype"/>
          <w:lang w:val="es-ES"/>
        </w:rPr>
        <w:t>Luego del periodo de agosto a diciembre, en el que las condiciones de riesgo bajaron para situar a algunos estados en semáforo verde, amarillo y naranja,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1933059B" w14:textId="77777777" w:rsidR="00646400" w:rsidRPr="007B26FF" w:rsidRDefault="00646400" w:rsidP="00646400">
      <w:pPr>
        <w:pStyle w:val="Prrafodelista"/>
        <w:tabs>
          <w:tab w:val="left" w:pos="0"/>
        </w:tabs>
        <w:spacing w:line="360" w:lineRule="auto"/>
        <w:ind w:left="0" w:right="49"/>
        <w:jc w:val="both"/>
        <w:rPr>
          <w:rFonts w:ascii="Palatino Linotype" w:hAnsi="Palatino Linotype" w:cs="Arial"/>
          <w:i/>
          <w:color w:val="000000" w:themeColor="text1"/>
        </w:rPr>
      </w:pPr>
    </w:p>
    <w:p w14:paraId="46C312F0" w14:textId="77777777" w:rsidR="0029478C" w:rsidRPr="007B26FF" w:rsidRDefault="0029478C" w:rsidP="00BA3B51">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B26FF">
        <w:rPr>
          <w:rFonts w:ascii="Palatino Linotype" w:hAnsi="Palatino Linotype"/>
          <w:lang w:val="es-ES"/>
        </w:rPr>
        <w:t xml:space="preserve">Sin embargo, también es necesario señalar que, a pesar de las condiciones de suspensión de actividades del año anterior, es evidente y claro que los sujetos obligados continuaron ejerciendo determinadas facultades, competencias o </w:t>
      </w:r>
      <w:r w:rsidRPr="007B26FF">
        <w:rPr>
          <w:rFonts w:ascii="Palatino Linotype" w:hAnsi="Palatino Linotype"/>
          <w:lang w:val="es-ES"/>
        </w:rPr>
        <w:lastRenderedPageBreak/>
        <w:t>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44BA55B5" w14:textId="77777777" w:rsidR="0029478C" w:rsidRPr="007B26FF" w:rsidRDefault="0029478C" w:rsidP="0029478C">
      <w:pPr>
        <w:pStyle w:val="Prrafodelista"/>
        <w:rPr>
          <w:rFonts w:ascii="Palatino Linotype" w:hAnsi="Palatino Linotype"/>
          <w:lang w:val="es-ES"/>
        </w:rPr>
      </w:pPr>
    </w:p>
    <w:p w14:paraId="3B76D666" w14:textId="77777777" w:rsidR="0029478C" w:rsidRPr="007B26FF" w:rsidRDefault="0029478C" w:rsidP="00BA3B51">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B26FF">
        <w:rPr>
          <w:rFonts w:ascii="Palatino Linotype" w:hAnsi="Palatino Linotype"/>
          <w:lang w:val="es-ES"/>
        </w:rPr>
        <w:t xml:space="preserve">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 </w:t>
      </w:r>
    </w:p>
    <w:p w14:paraId="590BD222" w14:textId="77777777" w:rsidR="0029478C" w:rsidRPr="007B26FF" w:rsidRDefault="0029478C" w:rsidP="0029478C">
      <w:pPr>
        <w:pStyle w:val="Prrafodelista"/>
        <w:rPr>
          <w:rFonts w:ascii="Palatino Linotype" w:hAnsi="Palatino Linotype"/>
          <w:lang w:val="es-ES"/>
        </w:rPr>
      </w:pPr>
    </w:p>
    <w:p w14:paraId="35893C57" w14:textId="77777777" w:rsidR="0029478C" w:rsidRPr="007B26FF" w:rsidRDefault="0029478C" w:rsidP="00BA3B51">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B26FF">
        <w:rPr>
          <w:rFonts w:ascii="Palatino Linotype" w:hAnsi="Palatino Linotype"/>
          <w:lang w:val="es-ES"/>
        </w:rPr>
        <w:t xml:space="preserve">El diseño de los procedimientos para el ejercicio de los derechos de acceso a la información pública y a la protección de los datos personales, ha descansado en </w:t>
      </w:r>
      <w:r w:rsidRPr="007B26FF">
        <w:rPr>
          <w:rFonts w:ascii="Palatino Linotype" w:hAnsi="Palatino Linotype"/>
          <w:lang w:val="es-ES"/>
        </w:rPr>
        <w:lastRenderedPageBreak/>
        <w:t>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6CDCB536" w14:textId="77777777" w:rsidR="0029478C" w:rsidRPr="007B26FF" w:rsidRDefault="0029478C" w:rsidP="0029478C">
      <w:pPr>
        <w:pStyle w:val="Prrafodelista"/>
        <w:rPr>
          <w:rFonts w:ascii="Palatino Linotype" w:hAnsi="Palatino Linotype"/>
          <w:lang w:val="es-ES"/>
        </w:rPr>
      </w:pPr>
    </w:p>
    <w:p w14:paraId="07DD510B" w14:textId="5C15FBD0" w:rsidR="0029478C" w:rsidRPr="007B26FF" w:rsidRDefault="0029478C" w:rsidP="00BA3B51">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B26FF">
        <w:rPr>
          <w:rFonts w:ascii="Palatino Linotype" w:hAnsi="Palatino Linotype"/>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526A3380" w14:textId="77777777" w:rsidR="00646400" w:rsidRPr="007B26FF" w:rsidRDefault="00646400" w:rsidP="00646400">
      <w:pPr>
        <w:pStyle w:val="Prrafodelista"/>
        <w:tabs>
          <w:tab w:val="left" w:pos="0"/>
        </w:tabs>
        <w:spacing w:line="360" w:lineRule="auto"/>
        <w:ind w:left="0" w:right="49"/>
        <w:jc w:val="both"/>
        <w:rPr>
          <w:rFonts w:ascii="Palatino Linotype" w:hAnsi="Palatino Linotype" w:cs="Arial"/>
          <w:i/>
          <w:color w:val="000000" w:themeColor="text1"/>
        </w:rPr>
      </w:pPr>
    </w:p>
    <w:p w14:paraId="507AB84F" w14:textId="77777777" w:rsidR="0029478C" w:rsidRPr="007B26FF" w:rsidRDefault="0029478C" w:rsidP="00BA3B51">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B26FF">
        <w:rPr>
          <w:rFonts w:ascii="Palatino Linotype" w:hAnsi="Palatino Linotype"/>
          <w:lang w:val="es-ES"/>
        </w:rPr>
        <w:t xml:space="preserve">Si bien esto podría considerarse como una nueva presión sobre el funcionamiento de los sujetos obligados, es muy importante destacar el papel e </w:t>
      </w:r>
      <w:r w:rsidRPr="007B26FF">
        <w:rPr>
          <w:rFonts w:ascii="Palatino Linotype" w:hAnsi="Palatino Linotype"/>
          <w:lang w:val="es-ES"/>
        </w:rPr>
        <w:lastRenderedPageBreak/>
        <w:t>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0EFD9A13" w14:textId="77777777" w:rsidR="0029478C" w:rsidRPr="007B26FF" w:rsidRDefault="0029478C" w:rsidP="0029478C">
      <w:pPr>
        <w:pStyle w:val="Prrafodelista"/>
        <w:rPr>
          <w:rFonts w:ascii="Palatino Linotype" w:hAnsi="Palatino Linotype"/>
          <w:lang w:val="es-ES"/>
        </w:rPr>
      </w:pPr>
    </w:p>
    <w:p w14:paraId="26056DA4" w14:textId="3C811011" w:rsidR="0029478C" w:rsidRPr="007B26FF" w:rsidRDefault="0029478C" w:rsidP="0029478C">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B26FF">
        <w:rPr>
          <w:rFonts w:ascii="Palatino Linotype" w:hAnsi="Palatino Linotype"/>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394C05BE" w14:textId="1B3A24D2" w:rsidR="0029478C" w:rsidRPr="007B26FF" w:rsidRDefault="0029478C" w:rsidP="00BA3B51">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B26FF">
        <w:rPr>
          <w:rFonts w:ascii="Palatino Linotype" w:hAnsi="Palatino Linotype"/>
          <w:lang w:val="es-ES"/>
        </w:rPr>
        <w:lastRenderedPageBreak/>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20A35BCA" w14:textId="77777777" w:rsidR="00C357FB" w:rsidRPr="007B26FF" w:rsidRDefault="00C357FB" w:rsidP="00C357FB">
      <w:pPr>
        <w:pStyle w:val="Prrafodelista"/>
        <w:tabs>
          <w:tab w:val="left" w:pos="0"/>
        </w:tabs>
        <w:spacing w:line="360" w:lineRule="auto"/>
        <w:ind w:left="0" w:right="49"/>
        <w:jc w:val="both"/>
        <w:rPr>
          <w:rFonts w:ascii="Palatino Linotype" w:hAnsi="Palatino Linotype" w:cs="Arial"/>
          <w:i/>
          <w:color w:val="000000" w:themeColor="text1"/>
        </w:rPr>
      </w:pPr>
    </w:p>
    <w:p w14:paraId="423D8592" w14:textId="340616FF" w:rsidR="00C357FB" w:rsidRPr="007B26FF" w:rsidRDefault="00C357FB" w:rsidP="00C357FB">
      <w:pPr>
        <w:pStyle w:val="Prrafodelista"/>
        <w:keepNext/>
        <w:keepLines/>
        <w:numPr>
          <w:ilvl w:val="0"/>
          <w:numId w:val="14"/>
        </w:numPr>
        <w:spacing w:before="240"/>
        <w:outlineLvl w:val="0"/>
        <w:rPr>
          <w:rFonts w:ascii="Palatino Linotype" w:eastAsia="MS Mincho" w:hAnsi="Palatino Linotype"/>
          <w:b/>
        </w:rPr>
      </w:pPr>
      <w:r w:rsidRPr="007B26FF">
        <w:rPr>
          <w:rFonts w:ascii="Palatino Linotype" w:eastAsia="MS Mincho" w:hAnsi="Palatino Linotype"/>
          <w:b/>
        </w:rPr>
        <w:t xml:space="preserve">Del Informe Justificado </w:t>
      </w:r>
    </w:p>
    <w:p w14:paraId="7BE61128" w14:textId="77777777" w:rsidR="008048F4" w:rsidRPr="007B26FF" w:rsidRDefault="008048F4" w:rsidP="008048F4">
      <w:pPr>
        <w:pStyle w:val="Prrafodelista"/>
        <w:rPr>
          <w:rFonts w:ascii="Palatino Linotype" w:eastAsia="Calibri" w:hAnsi="Palatino Linotype" w:cs="Arial"/>
        </w:rPr>
      </w:pPr>
    </w:p>
    <w:p w14:paraId="442D1781" w14:textId="77777777" w:rsidR="008048F4" w:rsidRPr="007B26FF" w:rsidRDefault="008048F4" w:rsidP="008048F4">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B26FF">
        <w:rPr>
          <w:rFonts w:ascii="Palatino Linotype" w:eastAsia="Calibri" w:hAnsi="Palatino Linotype" w:cs="Arial"/>
        </w:rPr>
        <w:t xml:space="preserve">Cabe señalar </w:t>
      </w:r>
      <w:r w:rsidRPr="007B26FF">
        <w:rPr>
          <w:rFonts w:ascii="Palatino Linotype" w:hAnsi="Palatino Linotype" w:cs="Arial"/>
        </w:rPr>
        <w:t xml:space="preserve">que </w:t>
      </w:r>
      <w:r w:rsidRPr="007B26FF">
        <w:rPr>
          <w:rFonts w:ascii="Palatino Linotype" w:hAnsi="Palatino Linotype" w:cs="Arial"/>
          <w:lang w:val="es-ES"/>
        </w:rPr>
        <w:t>e</w:t>
      </w:r>
      <w:r w:rsidRPr="007B26FF">
        <w:rPr>
          <w:rFonts w:ascii="Palatino Linotype" w:eastAsia="Calibri" w:hAnsi="Palatino Linotype" w:cs="Arial"/>
          <w:lang w:val="es-ES"/>
        </w:rPr>
        <w:t xml:space="preserve">l </w:t>
      </w:r>
      <w:r w:rsidRPr="007B26FF">
        <w:rPr>
          <w:rFonts w:ascii="Palatino Linotype" w:hAnsi="Palatino Linotype" w:cs="Arial"/>
          <w:b/>
        </w:rPr>
        <w:t>SUJETO OBLIGADO</w:t>
      </w:r>
      <w:r w:rsidRPr="007B26FF">
        <w:rPr>
          <w:rFonts w:ascii="Palatino Linotype" w:hAnsi="Palatino Linotype" w:cs="Arial"/>
        </w:rPr>
        <w:t xml:space="preserve"> no rindió su Informe justificado </w:t>
      </w:r>
      <w:r w:rsidRPr="007B26FF">
        <w:rPr>
          <w:rFonts w:ascii="Palatino Linotype" w:hAnsi="Palatino Linotype"/>
        </w:rPr>
        <w:t xml:space="preserve">para manifestar lo que a Derecho le asistiera y conviniera, </w:t>
      </w:r>
      <w:r w:rsidRPr="007B26FF">
        <w:rPr>
          <w:rFonts w:ascii="Palatino Linotype" w:hAnsi="Palatino Linotype" w:cs="Arial"/>
          <w:lang w:val="es-ES" w:eastAsia="es-MX"/>
        </w:rPr>
        <w:t xml:space="preserve">lo que es de destacar que la omisión de enviar a esta Autoridad el informe de justificación, impide que conozcamos con mayor amplitud las razones, motivos o fundamentos de la decisión adoptada, con lo que el perjuicio se genera para la causa del </w:t>
      </w:r>
      <w:r w:rsidRPr="007B26FF">
        <w:rPr>
          <w:rFonts w:ascii="Palatino Linotype" w:hAnsi="Palatino Linotype" w:cs="Arial"/>
          <w:b/>
          <w:lang w:val="es-ES" w:eastAsia="es-MX"/>
        </w:rPr>
        <w:t>SUJETO OBLIGADO</w:t>
      </w:r>
      <w:r w:rsidRPr="007B26FF">
        <w:rPr>
          <w:rFonts w:ascii="Palatino Linotype" w:hAnsi="Palatino Linotype" w:cs="Arial"/>
          <w:lang w:val="es-ES" w:eastAsia="es-MX"/>
        </w:rPr>
        <w:t xml:space="preserve"> por su omisión, lo que sin embargo </w:t>
      </w:r>
      <w:r w:rsidRPr="007B26FF">
        <w:rPr>
          <w:rFonts w:ascii="Palatino Linotype" w:hAnsi="Palatino Linotype" w:cs="Arial"/>
          <w:u w:val="single"/>
          <w:lang w:val="es-ES" w:eastAsia="es-MX"/>
        </w:rPr>
        <w:t xml:space="preserve">no impide que esta Autoridad conozca y </w:t>
      </w:r>
      <w:r w:rsidRPr="007B26FF">
        <w:rPr>
          <w:rFonts w:ascii="Palatino Linotype" w:hAnsi="Palatino Linotype" w:cs="Arial"/>
          <w:u w:val="single"/>
          <w:lang w:val="es-ES" w:eastAsia="es-MX"/>
        </w:rPr>
        <w:lastRenderedPageBreak/>
        <w:t>resuelva el presente recurso</w:t>
      </w:r>
      <w:r w:rsidRPr="007B26FF">
        <w:rPr>
          <w:rFonts w:ascii="Palatino Linotype" w:hAnsi="Palatino Linotype" w:cs="Arial"/>
          <w:lang w:val="es-ES" w:eastAsia="es-MX"/>
        </w:rPr>
        <w:t>, si consideramos lo que al respecto ha señalado la autoridad jurisdiccional al emitir el siguiente criterio:</w:t>
      </w:r>
    </w:p>
    <w:p w14:paraId="3598E0E0" w14:textId="77777777" w:rsidR="008048F4" w:rsidRPr="007B26FF" w:rsidRDefault="008048F4" w:rsidP="008048F4">
      <w:pPr>
        <w:pStyle w:val="Prrafodelista"/>
        <w:rPr>
          <w:rFonts w:ascii="Palatino Linotype" w:hAnsi="Palatino Linotype" w:cs="Arial"/>
          <w:color w:val="000000" w:themeColor="text1"/>
        </w:rPr>
      </w:pPr>
    </w:p>
    <w:p w14:paraId="44F7C96A" w14:textId="77777777" w:rsidR="008048F4" w:rsidRPr="007B26FF" w:rsidRDefault="008048F4" w:rsidP="008048F4">
      <w:pPr>
        <w:pStyle w:val="Prrafodelista"/>
        <w:spacing w:before="240" w:after="240" w:line="360" w:lineRule="auto"/>
        <w:ind w:left="567" w:right="616"/>
        <w:jc w:val="both"/>
        <w:rPr>
          <w:rFonts w:ascii="Palatino Linotype" w:hAnsi="Palatino Linotype" w:cs="Arial"/>
          <w:i/>
          <w:iCs/>
          <w:sz w:val="22"/>
          <w:szCs w:val="22"/>
          <w:lang w:val="es-ES" w:eastAsia="es-MX"/>
        </w:rPr>
      </w:pPr>
      <w:r w:rsidRPr="007B26FF">
        <w:rPr>
          <w:rFonts w:ascii="Palatino Linotype" w:hAnsi="Palatino Linotype" w:cs="Arial"/>
          <w:b/>
          <w:i/>
          <w:iCs/>
          <w:sz w:val="22"/>
          <w:szCs w:val="22"/>
          <w:lang w:val="es-ES" w:eastAsia="es-MX"/>
        </w:rPr>
        <w:t>QUEJA, RECURSO DE. LA OMISION DE RENDIR EL INFORME RESPECTIVO NO IMPIDE QUE SE RESUELVA.</w:t>
      </w:r>
      <w:r w:rsidRPr="007B26FF">
        <w:rPr>
          <w:rFonts w:ascii="Palatino Linotype" w:hAnsi="Palatino Linotype" w:cs="Arial"/>
          <w:i/>
          <w:iCs/>
          <w:sz w:val="22"/>
          <w:szCs w:val="22"/>
          <w:lang w:val="es-ES" w:eastAsia="es-MX"/>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w:t>
      </w:r>
      <w:proofErr w:type="gramStart"/>
      <w:r w:rsidRPr="007B26FF">
        <w:rPr>
          <w:rFonts w:ascii="Palatino Linotype" w:hAnsi="Palatino Linotype" w:cs="Arial"/>
          <w:i/>
          <w:iCs/>
          <w:sz w:val="22"/>
          <w:szCs w:val="22"/>
          <w:lang w:val="es-ES" w:eastAsia="es-MX"/>
        </w:rPr>
        <w:t>Abril</w:t>
      </w:r>
      <w:proofErr w:type="gramEnd"/>
      <w:r w:rsidRPr="007B26FF">
        <w:rPr>
          <w:rFonts w:ascii="Palatino Linotype" w:hAnsi="Palatino Linotype" w:cs="Arial"/>
          <w:i/>
          <w:iCs/>
          <w:sz w:val="22"/>
          <w:szCs w:val="22"/>
          <w:lang w:val="es-ES" w:eastAsia="es-MX"/>
        </w:rPr>
        <w:t xml:space="preserve"> de 1996. Página: 207.</w:t>
      </w:r>
    </w:p>
    <w:p w14:paraId="19913555" w14:textId="76E34E1A" w:rsidR="00844114" w:rsidRPr="007B26FF" w:rsidRDefault="00844114" w:rsidP="0029478C">
      <w:pPr>
        <w:pStyle w:val="Prrafodelista"/>
        <w:spacing w:before="240" w:after="240" w:line="360" w:lineRule="auto"/>
        <w:ind w:left="0"/>
        <w:jc w:val="both"/>
      </w:pPr>
    </w:p>
    <w:p w14:paraId="739DDCDE" w14:textId="77777777" w:rsidR="0029478C" w:rsidRPr="007B26FF" w:rsidRDefault="0029478C" w:rsidP="0029478C">
      <w:pPr>
        <w:pStyle w:val="Ttulo2"/>
        <w:spacing w:before="0"/>
        <w:rPr>
          <w:rFonts w:ascii="Palatino Linotype" w:hAnsi="Palatino Linotype"/>
          <w:b/>
          <w:color w:val="000000" w:themeColor="text1"/>
          <w:sz w:val="24"/>
          <w:szCs w:val="24"/>
        </w:rPr>
      </w:pPr>
      <w:r w:rsidRPr="007B26FF">
        <w:rPr>
          <w:rFonts w:ascii="Palatino Linotype" w:hAnsi="Palatino Linotype"/>
          <w:b/>
          <w:color w:val="000000" w:themeColor="text1"/>
          <w:sz w:val="24"/>
          <w:szCs w:val="24"/>
        </w:rPr>
        <w:t>CUARTO. Del planteamiento de la litis.</w:t>
      </w:r>
    </w:p>
    <w:p w14:paraId="7224F3E9" w14:textId="77777777" w:rsidR="0029478C" w:rsidRPr="007B26FF" w:rsidRDefault="0029478C" w:rsidP="0029478C">
      <w:pPr>
        <w:pStyle w:val="Prrafodelista"/>
        <w:rPr>
          <w:rFonts w:ascii="Palatino Linotype" w:hAnsi="Palatino Linotype"/>
          <w:color w:val="000000" w:themeColor="text1"/>
          <w:lang w:val="es-MX"/>
        </w:rPr>
      </w:pPr>
    </w:p>
    <w:p w14:paraId="0EAE1CDF" w14:textId="3BEC7F22" w:rsidR="0029478C" w:rsidRPr="007B26FF" w:rsidRDefault="00844114" w:rsidP="00BA3B51">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B26FF">
        <w:rPr>
          <w:rFonts w:ascii="Palatino Linotype" w:hAnsi="Palatino Linotype"/>
          <w:color w:val="000000" w:themeColor="text1"/>
        </w:rPr>
        <w:t>E</w:t>
      </w:r>
      <w:r w:rsidR="0029478C" w:rsidRPr="007B26FF">
        <w:rPr>
          <w:rFonts w:ascii="Palatino Linotype" w:hAnsi="Palatino Linotype"/>
          <w:color w:val="000000" w:themeColor="text1"/>
        </w:rPr>
        <w:t xml:space="preserve">l solicitante de información recurre la respuesta del </w:t>
      </w:r>
      <w:r w:rsidR="0029478C" w:rsidRPr="007B26FF">
        <w:rPr>
          <w:rFonts w:ascii="Palatino Linotype" w:hAnsi="Palatino Linotype"/>
          <w:b/>
          <w:color w:val="000000" w:themeColor="text1"/>
        </w:rPr>
        <w:t>SUJETO OBLIGADO</w:t>
      </w:r>
      <w:r w:rsidR="0029478C" w:rsidRPr="007B26FF">
        <w:rPr>
          <w:rFonts w:ascii="Palatino Linotype" w:hAnsi="Palatino Linotype"/>
          <w:color w:val="000000" w:themeColor="text1"/>
        </w:rPr>
        <w:t xml:space="preserve">, al considerar que se le entregó la información solicitada de forma incompleta, </w:t>
      </w:r>
      <w:r w:rsidR="0029478C" w:rsidRPr="007B26FF">
        <w:rPr>
          <w:rFonts w:ascii="Palatino Linotype" w:hAnsi="Palatino Linotype" w:cs="Arial"/>
          <w:color w:val="000000" w:themeColor="text1"/>
        </w:rPr>
        <w:t xml:space="preserve">lo que se actualiza la causal de procedencia del recurso de revisión establecida en el </w:t>
      </w:r>
      <w:r w:rsidR="0029478C" w:rsidRPr="007B26FF">
        <w:rPr>
          <w:rFonts w:ascii="Palatino Linotype" w:hAnsi="Palatino Linotype" w:cs="Arial"/>
          <w:color w:val="000000" w:themeColor="text1"/>
        </w:rPr>
        <w:lastRenderedPageBreak/>
        <w:t xml:space="preserve">artículo 179, fracciones V y III de la </w:t>
      </w:r>
      <w:r w:rsidR="0029478C" w:rsidRPr="007B26FF">
        <w:rPr>
          <w:rFonts w:ascii="Palatino Linotype" w:hAnsi="Palatino Linotype" w:cs="Arial"/>
          <w:b/>
          <w:color w:val="000000" w:themeColor="text1"/>
        </w:rPr>
        <w:t>Ley de Transparencia y Acceso a la Información Pública del Estado de México y Municipios.</w:t>
      </w:r>
    </w:p>
    <w:p w14:paraId="489647CA" w14:textId="77777777" w:rsidR="0029478C" w:rsidRPr="007B26FF" w:rsidRDefault="0029478C" w:rsidP="0029478C">
      <w:pPr>
        <w:pStyle w:val="Prrafodelista"/>
        <w:tabs>
          <w:tab w:val="left" w:pos="0"/>
        </w:tabs>
        <w:spacing w:line="360" w:lineRule="auto"/>
        <w:ind w:left="0" w:right="49"/>
        <w:jc w:val="both"/>
        <w:rPr>
          <w:rFonts w:ascii="Palatino Linotype" w:hAnsi="Palatino Linotype" w:cs="Arial"/>
          <w:i/>
          <w:color w:val="000000" w:themeColor="text1"/>
        </w:rPr>
      </w:pPr>
    </w:p>
    <w:p w14:paraId="484CF3BD" w14:textId="77777777" w:rsidR="0029478C" w:rsidRPr="007B26FF" w:rsidRDefault="0029478C" w:rsidP="00BA3B51">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B26FF">
        <w:rPr>
          <w:rFonts w:ascii="Palatino Linotype" w:hAnsi="Palatino Linotype" w:cs="Arial"/>
        </w:rPr>
        <w:t xml:space="preserve">En </w:t>
      </w:r>
      <w:proofErr w:type="gramStart"/>
      <w:r w:rsidRPr="007B26FF">
        <w:rPr>
          <w:rFonts w:ascii="Palatino Linotype" w:hAnsi="Palatino Linotype" w:cs="Arial"/>
        </w:rPr>
        <w:t>éste</w:t>
      </w:r>
      <w:proofErr w:type="gramEnd"/>
      <w:r w:rsidRPr="007B26FF">
        <w:rPr>
          <w:rFonts w:ascii="Palatino Linotype" w:hAnsi="Palatino Linotype" w:cs="Arial"/>
        </w:rPr>
        <w:t xml:space="preserve"> caso en particular, se actualiza la fracción V del arábigo en cita, ya que el </w:t>
      </w:r>
      <w:r w:rsidRPr="007B26FF">
        <w:rPr>
          <w:rFonts w:ascii="Palatino Linotype" w:hAnsi="Palatino Linotype" w:cs="Arial"/>
          <w:b/>
        </w:rPr>
        <w:t>SUJETO OBLIGADO</w:t>
      </w:r>
      <w:r w:rsidRPr="007B26FF">
        <w:rPr>
          <w:rFonts w:ascii="Palatino Linotype" w:hAnsi="Palatino Linotype" w:cs="Arial"/>
        </w:rPr>
        <w:t xml:space="preserve"> no omite responder la solicitud; empero al hacerlo no hace entrega de la totalidad de información solicitada. </w:t>
      </w:r>
    </w:p>
    <w:p w14:paraId="4B2F6DF4" w14:textId="77777777" w:rsidR="0029478C" w:rsidRPr="007B26FF" w:rsidRDefault="0029478C" w:rsidP="0029478C">
      <w:pPr>
        <w:pStyle w:val="Prrafodelista"/>
        <w:rPr>
          <w:rFonts w:ascii="Palatino Linotype" w:eastAsia="Times New Roman" w:hAnsi="Palatino Linotype" w:cs="Arial"/>
          <w:color w:val="000000" w:themeColor="text1"/>
        </w:rPr>
      </w:pPr>
    </w:p>
    <w:p w14:paraId="52681CFC" w14:textId="77777777" w:rsidR="00AA4FD1" w:rsidRPr="007B26FF" w:rsidRDefault="0029478C" w:rsidP="00AA4FD1">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B26FF">
        <w:rPr>
          <w:rFonts w:ascii="Palatino Linotype" w:eastAsia="Times New Roman" w:hAnsi="Palatino Linotype" w:cs="Arial"/>
          <w:color w:val="000000" w:themeColor="text1"/>
        </w:rPr>
        <w:t xml:space="preserve">En dichas condiciones, la </w:t>
      </w:r>
      <w:r w:rsidRPr="007B26FF">
        <w:rPr>
          <w:rFonts w:ascii="Palatino Linotype" w:eastAsia="Times New Roman" w:hAnsi="Palatino Linotype" w:cs="Arial"/>
          <w:i/>
          <w:color w:val="000000" w:themeColor="text1"/>
        </w:rPr>
        <w:t>litis</w:t>
      </w:r>
      <w:r w:rsidRPr="007B26FF">
        <w:rPr>
          <w:rFonts w:ascii="Palatino Linotype" w:eastAsia="Times New Roman" w:hAnsi="Palatino Linotype" w:cs="Arial"/>
          <w:color w:val="000000" w:themeColor="text1"/>
        </w:rPr>
        <w:t xml:space="preserve"> a resolver en este recurso se circunscribe a determinar si la respuesta entregada satisface el derecho de acceso a la información pública y si es procedente ordenar la entrega de la información.</w:t>
      </w:r>
      <w:bookmarkEnd w:id="124"/>
      <w:bookmarkEnd w:id="125"/>
    </w:p>
    <w:p w14:paraId="5DB1B718" w14:textId="77777777" w:rsidR="00AA4FD1" w:rsidRPr="007B26FF" w:rsidRDefault="00AA4FD1" w:rsidP="00AA4FD1">
      <w:pPr>
        <w:pStyle w:val="Prrafodelista"/>
        <w:tabs>
          <w:tab w:val="left" w:pos="0"/>
        </w:tabs>
        <w:spacing w:line="360" w:lineRule="auto"/>
        <w:ind w:left="0" w:right="49"/>
        <w:jc w:val="both"/>
        <w:rPr>
          <w:rFonts w:ascii="Palatino Linotype" w:hAnsi="Palatino Linotype" w:cs="Arial"/>
          <w:i/>
          <w:color w:val="000000" w:themeColor="text1"/>
        </w:rPr>
      </w:pPr>
    </w:p>
    <w:p w14:paraId="05CA028B" w14:textId="77777777" w:rsidR="00AA4FD1" w:rsidRPr="007B26FF" w:rsidRDefault="00AA4FD1" w:rsidP="00AA4FD1">
      <w:pPr>
        <w:pStyle w:val="Ttulo2"/>
        <w:spacing w:before="0"/>
        <w:rPr>
          <w:rFonts w:ascii="Palatino Linotype" w:hAnsi="Palatino Linotype"/>
          <w:b/>
          <w:color w:val="000000" w:themeColor="text1"/>
        </w:rPr>
      </w:pPr>
      <w:r w:rsidRPr="007B26FF">
        <w:rPr>
          <w:rFonts w:ascii="Palatino Linotype" w:hAnsi="Palatino Linotype"/>
          <w:b/>
          <w:color w:val="000000" w:themeColor="text1"/>
          <w:sz w:val="24"/>
          <w:szCs w:val="24"/>
        </w:rPr>
        <w:t xml:space="preserve">QUINTO. </w:t>
      </w:r>
      <w:r w:rsidRPr="007B26FF">
        <w:rPr>
          <w:rFonts w:ascii="Palatino Linotype" w:hAnsi="Palatino Linotype"/>
          <w:b/>
          <w:color w:val="000000" w:themeColor="text1"/>
        </w:rPr>
        <w:t>Del estudio y resolución del asunto</w:t>
      </w:r>
    </w:p>
    <w:p w14:paraId="31D03469" w14:textId="77777777" w:rsidR="00AA4FD1" w:rsidRPr="007B26FF" w:rsidRDefault="00AA4FD1" w:rsidP="00AA4FD1">
      <w:pPr>
        <w:pStyle w:val="Prrafodelista"/>
        <w:rPr>
          <w:rFonts w:ascii="Palatino Linotype" w:eastAsia="MS Mincho" w:hAnsi="Palatino Linotype"/>
          <w:lang w:val="es-MX"/>
        </w:rPr>
      </w:pPr>
    </w:p>
    <w:p w14:paraId="1B77768A" w14:textId="77777777" w:rsidR="00AA4FD1" w:rsidRPr="007B26FF" w:rsidRDefault="00AA4FD1" w:rsidP="00AA4FD1">
      <w:pPr>
        <w:pStyle w:val="Prrafodelista"/>
        <w:numPr>
          <w:ilvl w:val="0"/>
          <w:numId w:val="16"/>
        </w:numPr>
        <w:rPr>
          <w:rFonts w:ascii="Palatino Linotype" w:eastAsia="MS Mincho" w:hAnsi="Palatino Linotype"/>
          <w:b/>
          <w:lang w:val="es-MX"/>
        </w:rPr>
      </w:pPr>
      <w:r w:rsidRPr="007B26FF">
        <w:rPr>
          <w:rFonts w:ascii="Palatino Linotype" w:eastAsia="MS Mincho" w:hAnsi="Palatino Linotype"/>
          <w:b/>
          <w:lang w:val="es-MX"/>
        </w:rPr>
        <w:t>Del Derecho de acceso a la información</w:t>
      </w:r>
    </w:p>
    <w:p w14:paraId="6F7B0668" w14:textId="77777777" w:rsidR="00AA4FD1" w:rsidRPr="007B26FF" w:rsidRDefault="00AA4FD1" w:rsidP="00AA4FD1">
      <w:pPr>
        <w:pStyle w:val="Prrafodelista"/>
        <w:rPr>
          <w:rFonts w:ascii="Palatino Linotype" w:eastAsia="Calibri" w:hAnsi="Palatino Linotype" w:cs="Arial"/>
        </w:rPr>
      </w:pPr>
    </w:p>
    <w:p w14:paraId="0DF7039F" w14:textId="2ACB4022" w:rsidR="00AA4FD1" w:rsidRPr="007B26FF" w:rsidRDefault="00AA4FD1" w:rsidP="00AA4FD1">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B26FF">
        <w:rPr>
          <w:rFonts w:ascii="Palatino Linotype" w:eastAsia="Calibri" w:hAnsi="Palatino Linotype" w:cs="Arial"/>
        </w:rPr>
        <w:t>E</w:t>
      </w:r>
      <w:r w:rsidRPr="007B26FF">
        <w:rPr>
          <w:rFonts w:ascii="Palatino Linotype" w:eastAsia="MS Mincho" w:hAnsi="Palatino Linotype"/>
        </w:rPr>
        <w:t xml:space="preserve">l acceso a la información es un derecho humano constitucional y convencionalmente reconocido y para tal efecto </w:t>
      </w:r>
      <w:r w:rsidRPr="007B26FF">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7B26FF">
        <w:rPr>
          <w:rFonts w:ascii="Palatino Linotype" w:eastAsia="Calibri" w:hAnsi="Palatino Linotype"/>
          <w:i/>
          <w:lang w:val="es-ES"/>
        </w:rPr>
        <w:t xml:space="preserve">en el ámbito de sus atribuciones, de promover, respetar, proteger y </w:t>
      </w:r>
      <w:r w:rsidRPr="007B26FF">
        <w:rPr>
          <w:rFonts w:ascii="Palatino Linotype" w:eastAsia="Calibri" w:hAnsi="Palatino Linotype"/>
          <w:b/>
          <w:i/>
          <w:lang w:val="es-ES"/>
        </w:rPr>
        <w:t>garantizar</w:t>
      </w:r>
      <w:r w:rsidRPr="007B26FF">
        <w:rPr>
          <w:rFonts w:ascii="Palatino Linotype" w:eastAsia="Calibri" w:hAnsi="Palatino Linotype"/>
          <w:i/>
          <w:lang w:val="es-ES"/>
        </w:rPr>
        <w:t xml:space="preserve"> los derechos humanos. </w:t>
      </w:r>
      <w:r w:rsidRPr="007B26FF">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7B26FF">
        <w:rPr>
          <w:rFonts w:ascii="Palatino Linotype" w:eastAsia="Calibri" w:hAnsi="Palatino Linotype"/>
          <w:b/>
          <w:i/>
          <w:lang w:val="es-ES"/>
        </w:rPr>
        <w:t xml:space="preserve"> e</w:t>
      </w:r>
      <w:r w:rsidRPr="007B26FF">
        <w:rPr>
          <w:rFonts w:ascii="Palatino Linotype" w:hAnsi="Palatino Linotype"/>
          <w:i/>
        </w:rPr>
        <w:t xml:space="preserve">l procedimiento de acceso a la información es la garantía primaria del derecho en cuestión y se rige por los principios de simplicidad, </w:t>
      </w:r>
      <w:r w:rsidRPr="007B26FF">
        <w:rPr>
          <w:rFonts w:ascii="Palatino Linotype" w:hAnsi="Palatino Linotype"/>
          <w:i/>
        </w:rPr>
        <w:lastRenderedPageBreak/>
        <w:t>rapidez y gratuidad del procedimiento, auxilio y orientación a los particulares</w:t>
      </w:r>
      <w:r w:rsidRPr="007B26FF">
        <w:rPr>
          <w:rStyle w:val="Refdenotaalpie"/>
          <w:rFonts w:ascii="Palatino Linotype" w:hAnsi="Palatino Linotype"/>
          <w:i/>
        </w:rPr>
        <w:footnoteReference w:id="1"/>
      </w:r>
      <w:r w:rsidRPr="007B26FF">
        <w:rPr>
          <w:rFonts w:ascii="Palatino Linotype" w:hAnsi="Palatino Linotype"/>
          <w:i/>
        </w:rPr>
        <w:t xml:space="preserve">, </w:t>
      </w:r>
      <w:r w:rsidRPr="007B26FF">
        <w:rPr>
          <w:rFonts w:ascii="Palatino Linotype" w:hAnsi="Palatino Linotype"/>
        </w:rPr>
        <w:t>asimismo establece</w:t>
      </w:r>
      <w:r w:rsidRPr="007B26FF">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5852B2EB" w14:textId="77777777" w:rsidR="00AA4FD1" w:rsidRPr="007B26FF" w:rsidRDefault="00AA4FD1" w:rsidP="00AA4FD1">
      <w:pPr>
        <w:pStyle w:val="Prrafodelista"/>
        <w:rPr>
          <w:rFonts w:ascii="Palatino Linotype" w:eastAsia="Calibri" w:hAnsi="Palatino Linotype" w:cs="Arial"/>
        </w:rPr>
      </w:pPr>
    </w:p>
    <w:p w14:paraId="77A6B823" w14:textId="77777777" w:rsidR="00AA4FD1" w:rsidRPr="007B26FF" w:rsidRDefault="00AA4FD1" w:rsidP="00AA4FD1">
      <w:pPr>
        <w:pStyle w:val="Prrafodelista"/>
        <w:numPr>
          <w:ilvl w:val="0"/>
          <w:numId w:val="7"/>
        </w:numPr>
        <w:spacing w:line="360" w:lineRule="auto"/>
        <w:ind w:left="0" w:firstLine="0"/>
        <w:jc w:val="both"/>
        <w:rPr>
          <w:rFonts w:ascii="Palatino Linotype" w:eastAsia="Calibri" w:hAnsi="Palatino Linotype" w:cs="Arial"/>
        </w:rPr>
      </w:pPr>
      <w:r w:rsidRPr="007B26FF">
        <w:rPr>
          <w:rFonts w:ascii="Palatino Linotype" w:hAnsi="Palatino Linotype"/>
          <w:color w:val="000000" w:themeColor="text1"/>
        </w:rPr>
        <w:t xml:space="preserve">Resulta necesario referir que, el </w:t>
      </w:r>
      <w:r w:rsidRPr="007B26FF">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7B26FF">
        <w:rPr>
          <w:rFonts w:ascii="Palatino Linotype" w:eastAsia="Calibri" w:hAnsi="Palatino Linotype" w:cs="Arial"/>
          <w:b/>
        </w:rPr>
        <w:t>los Sujetos Obligados deberán documentar todo acto que se derive del ejercicio de sus facultades, competencias o funciones,</w:t>
      </w:r>
      <w:r w:rsidRPr="007B26FF">
        <w:rPr>
          <w:rFonts w:ascii="Palatino Linotype" w:eastAsia="Calibri" w:hAnsi="Palatino Linotype" w:cs="Arial"/>
        </w:rPr>
        <w:t xml:space="preserve"> considerando desde su origen la eventual publicidad y reutilización de la información que generen, posean o administren.</w:t>
      </w:r>
    </w:p>
    <w:p w14:paraId="51F2FD97" w14:textId="77777777" w:rsidR="00AA4FD1" w:rsidRPr="007B26FF" w:rsidRDefault="00AA4FD1" w:rsidP="00AA4FD1">
      <w:pPr>
        <w:pStyle w:val="Prrafodelista"/>
        <w:rPr>
          <w:rFonts w:ascii="Palatino Linotype" w:eastAsia="Calibri" w:hAnsi="Palatino Linotype" w:cs="Arial"/>
        </w:rPr>
      </w:pPr>
    </w:p>
    <w:p w14:paraId="71F772D4" w14:textId="77777777" w:rsidR="00AA4FD1" w:rsidRPr="007B26FF" w:rsidRDefault="00AA4FD1" w:rsidP="00AA4FD1">
      <w:pPr>
        <w:pStyle w:val="Prrafodelista"/>
        <w:numPr>
          <w:ilvl w:val="0"/>
          <w:numId w:val="7"/>
        </w:numPr>
        <w:spacing w:line="360" w:lineRule="auto"/>
        <w:ind w:left="0" w:firstLine="0"/>
        <w:jc w:val="both"/>
        <w:rPr>
          <w:rFonts w:ascii="Palatino Linotype" w:eastAsia="Calibri" w:hAnsi="Palatino Linotype" w:cs="Arial"/>
        </w:rPr>
      </w:pPr>
      <w:r w:rsidRPr="007B26FF">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14:paraId="3CFD1B36" w14:textId="77777777" w:rsidR="00AA4FD1" w:rsidRPr="007B26FF" w:rsidRDefault="00AA4FD1" w:rsidP="00AA4FD1">
      <w:pPr>
        <w:pStyle w:val="Prrafodelista"/>
        <w:spacing w:line="360" w:lineRule="auto"/>
        <w:rPr>
          <w:rFonts w:ascii="Palatino Linotype" w:eastAsia="Times New Roman" w:hAnsi="Palatino Linotype" w:cs="Arial"/>
          <w:color w:val="000000"/>
        </w:rPr>
      </w:pPr>
    </w:p>
    <w:p w14:paraId="5509CB8B" w14:textId="77777777" w:rsidR="00AA4FD1" w:rsidRPr="007B26FF" w:rsidRDefault="00AA4FD1" w:rsidP="00831F0C">
      <w:pPr>
        <w:autoSpaceDE w:val="0"/>
        <w:autoSpaceDN w:val="0"/>
        <w:adjustRightInd w:val="0"/>
        <w:spacing w:line="276" w:lineRule="auto"/>
        <w:ind w:left="567" w:right="567"/>
        <w:jc w:val="both"/>
        <w:rPr>
          <w:rFonts w:ascii="Palatino Linotype" w:hAnsi="Palatino Linotype" w:cs="Bookman Old Style"/>
          <w:i/>
          <w:sz w:val="22"/>
          <w:szCs w:val="20"/>
          <w:lang w:val="es-MX"/>
        </w:rPr>
      </w:pPr>
      <w:r w:rsidRPr="007B26FF">
        <w:rPr>
          <w:rFonts w:ascii="Palatino Linotype" w:hAnsi="Palatino Linotype" w:cs="Bookman Old Style,Bold"/>
          <w:b/>
          <w:bCs/>
          <w:i/>
          <w:sz w:val="22"/>
          <w:szCs w:val="20"/>
          <w:lang w:val="es-MX"/>
        </w:rPr>
        <w:lastRenderedPageBreak/>
        <w:t xml:space="preserve">Artículo 4. </w:t>
      </w:r>
      <w:r w:rsidRPr="007B26FF">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14:paraId="73D28708" w14:textId="77777777" w:rsidR="00AA4FD1" w:rsidRPr="007B26FF" w:rsidRDefault="00AA4FD1" w:rsidP="00831F0C">
      <w:pPr>
        <w:autoSpaceDE w:val="0"/>
        <w:autoSpaceDN w:val="0"/>
        <w:adjustRightInd w:val="0"/>
        <w:spacing w:line="276" w:lineRule="auto"/>
        <w:ind w:left="567" w:right="567"/>
        <w:jc w:val="both"/>
        <w:rPr>
          <w:rFonts w:ascii="Palatino Linotype" w:hAnsi="Palatino Linotype" w:cs="Bookman Old Style"/>
          <w:i/>
          <w:sz w:val="22"/>
          <w:szCs w:val="20"/>
          <w:lang w:val="es-MX"/>
        </w:rPr>
      </w:pPr>
    </w:p>
    <w:p w14:paraId="6E93418E" w14:textId="77777777" w:rsidR="00AA4FD1" w:rsidRPr="007B26FF" w:rsidRDefault="00AA4FD1" w:rsidP="00831F0C">
      <w:pPr>
        <w:autoSpaceDE w:val="0"/>
        <w:autoSpaceDN w:val="0"/>
        <w:adjustRightInd w:val="0"/>
        <w:spacing w:line="276" w:lineRule="auto"/>
        <w:ind w:left="567" w:right="567"/>
        <w:jc w:val="both"/>
        <w:rPr>
          <w:rFonts w:ascii="Palatino Linotype" w:hAnsi="Palatino Linotype" w:cs="Bookman Old Style"/>
          <w:i/>
          <w:sz w:val="22"/>
          <w:szCs w:val="20"/>
          <w:lang w:val="es-MX"/>
        </w:rPr>
      </w:pPr>
      <w:r w:rsidRPr="007B26FF">
        <w:rPr>
          <w:rFonts w:ascii="Palatino Linotype" w:hAnsi="Palatino Linotype" w:cs="Bookman Old Style"/>
          <w:i/>
          <w:sz w:val="22"/>
          <w:szCs w:val="20"/>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246C3F9" w14:textId="77777777" w:rsidR="00AA4FD1" w:rsidRPr="007B26FF" w:rsidRDefault="00AA4FD1" w:rsidP="00831F0C">
      <w:pPr>
        <w:autoSpaceDE w:val="0"/>
        <w:autoSpaceDN w:val="0"/>
        <w:adjustRightInd w:val="0"/>
        <w:spacing w:line="276" w:lineRule="auto"/>
        <w:ind w:left="567" w:right="567"/>
        <w:jc w:val="both"/>
        <w:rPr>
          <w:rFonts w:ascii="Palatino Linotype" w:hAnsi="Palatino Linotype" w:cs="Bookman Old Style"/>
          <w:i/>
          <w:sz w:val="22"/>
          <w:szCs w:val="20"/>
          <w:lang w:val="es-MX"/>
        </w:rPr>
      </w:pPr>
    </w:p>
    <w:p w14:paraId="0FD8E3C7" w14:textId="77777777" w:rsidR="00AA4FD1" w:rsidRPr="007B26FF" w:rsidRDefault="00AA4FD1" w:rsidP="00831F0C">
      <w:pPr>
        <w:autoSpaceDE w:val="0"/>
        <w:autoSpaceDN w:val="0"/>
        <w:adjustRightInd w:val="0"/>
        <w:spacing w:line="276" w:lineRule="auto"/>
        <w:ind w:left="567" w:right="567"/>
        <w:jc w:val="both"/>
        <w:rPr>
          <w:rFonts w:ascii="Palatino Linotype" w:hAnsi="Palatino Linotype" w:cs="Bookman Old Style"/>
          <w:i/>
          <w:sz w:val="22"/>
          <w:szCs w:val="20"/>
          <w:lang w:val="es-MX"/>
        </w:rPr>
      </w:pPr>
      <w:r w:rsidRPr="007B26FF">
        <w:rPr>
          <w:rFonts w:ascii="Palatino Linotype" w:hAnsi="Palatino Linotype" w:cs="Bookman Old Style"/>
          <w:i/>
          <w:sz w:val="22"/>
          <w:szCs w:val="20"/>
          <w:lang w:val="es-MX"/>
        </w:rPr>
        <w:t>Los sujetos obligados deben poner en práctica, políticas y programas de acceso a la información que se apeguen a criterios de publicidad, veracidad, oportunidad, precisión y suficiencia en beneficio de los solicitantes.</w:t>
      </w:r>
    </w:p>
    <w:p w14:paraId="0EA7053D" w14:textId="77777777" w:rsidR="00AA4FD1" w:rsidRPr="007B26FF" w:rsidRDefault="00AA4FD1" w:rsidP="00831F0C">
      <w:pPr>
        <w:autoSpaceDE w:val="0"/>
        <w:autoSpaceDN w:val="0"/>
        <w:adjustRightInd w:val="0"/>
        <w:spacing w:line="276" w:lineRule="auto"/>
        <w:ind w:right="567"/>
        <w:jc w:val="both"/>
        <w:rPr>
          <w:rFonts w:ascii="Palatino Linotype" w:hAnsi="Palatino Linotype" w:cs="Arial"/>
          <w:i/>
          <w:color w:val="000000"/>
          <w:sz w:val="28"/>
        </w:rPr>
      </w:pPr>
    </w:p>
    <w:p w14:paraId="3880B4A0" w14:textId="77777777" w:rsidR="00AA4FD1" w:rsidRPr="007B26FF" w:rsidRDefault="00AA4FD1" w:rsidP="00831F0C">
      <w:pPr>
        <w:autoSpaceDE w:val="0"/>
        <w:autoSpaceDN w:val="0"/>
        <w:adjustRightInd w:val="0"/>
        <w:spacing w:line="276" w:lineRule="auto"/>
        <w:ind w:left="567" w:right="567"/>
        <w:jc w:val="both"/>
        <w:rPr>
          <w:rFonts w:ascii="Palatino Linotype" w:hAnsi="Palatino Linotype" w:cs="Bookman Old Style"/>
          <w:i/>
          <w:sz w:val="22"/>
          <w:szCs w:val="20"/>
          <w:lang w:val="es-MX"/>
        </w:rPr>
      </w:pPr>
      <w:r w:rsidRPr="007B26FF">
        <w:rPr>
          <w:rFonts w:ascii="Palatino Linotype" w:hAnsi="Palatino Linotype" w:cs="Bookman Old Style,Bold"/>
          <w:b/>
          <w:bCs/>
          <w:i/>
          <w:sz w:val="22"/>
          <w:szCs w:val="20"/>
          <w:lang w:val="es-MX"/>
        </w:rPr>
        <w:t xml:space="preserve">Artículo 12. </w:t>
      </w:r>
      <w:r w:rsidRPr="007B26FF">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14:paraId="3C9E3232" w14:textId="77777777" w:rsidR="00AA4FD1" w:rsidRPr="007B26FF" w:rsidRDefault="00AA4FD1" w:rsidP="00831F0C">
      <w:pPr>
        <w:autoSpaceDE w:val="0"/>
        <w:autoSpaceDN w:val="0"/>
        <w:adjustRightInd w:val="0"/>
        <w:spacing w:line="276" w:lineRule="auto"/>
        <w:ind w:left="567" w:right="567"/>
        <w:jc w:val="both"/>
        <w:rPr>
          <w:rFonts w:ascii="Palatino Linotype" w:hAnsi="Palatino Linotype" w:cs="Bookman Old Style"/>
          <w:i/>
          <w:sz w:val="22"/>
          <w:szCs w:val="20"/>
          <w:lang w:val="es-MX"/>
        </w:rPr>
      </w:pPr>
    </w:p>
    <w:p w14:paraId="1BF87A5D" w14:textId="77777777" w:rsidR="00AA4FD1" w:rsidRPr="007B26FF" w:rsidRDefault="00AA4FD1" w:rsidP="00831F0C">
      <w:pPr>
        <w:autoSpaceDE w:val="0"/>
        <w:autoSpaceDN w:val="0"/>
        <w:adjustRightInd w:val="0"/>
        <w:spacing w:line="276" w:lineRule="auto"/>
        <w:ind w:left="567" w:right="567"/>
        <w:jc w:val="both"/>
        <w:rPr>
          <w:rFonts w:ascii="Palatino Linotype" w:hAnsi="Palatino Linotype" w:cs="Bookman Old Style"/>
          <w:i/>
          <w:sz w:val="22"/>
          <w:szCs w:val="20"/>
          <w:lang w:val="es-MX"/>
        </w:rPr>
      </w:pPr>
      <w:r w:rsidRPr="007B26FF">
        <w:rPr>
          <w:rFonts w:ascii="Palatino Linotype" w:hAnsi="Palatino Linotype" w:cs="Bookman Old Style"/>
          <w:i/>
          <w:sz w:val="22"/>
          <w:szCs w:val="20"/>
          <w:lang w:val="es-MX"/>
        </w:rPr>
        <w:t xml:space="preserve">Los sujetos obligados sólo proporcionarán la información pública que se les requiera y que obre en sus archivos y en el estado en que ésta se encuentre. </w:t>
      </w:r>
      <w:r w:rsidRPr="007B26FF">
        <w:rPr>
          <w:rFonts w:ascii="Palatino Linotype" w:hAnsi="Palatino Linotype" w:cs="Bookman Old Style"/>
          <w:b/>
          <w:i/>
          <w:sz w:val="22"/>
          <w:szCs w:val="20"/>
          <w:lang w:val="es-MX"/>
        </w:rPr>
        <w:t>La obligación de proporcionar información no comprende el procesamiento de la misma, ni el presentarla conforme al interés del solicitante; no estarán obligados a generarla, resumirla, efectuar cálculos o practicar investigaciones.</w:t>
      </w:r>
    </w:p>
    <w:p w14:paraId="267AFF3A" w14:textId="77777777" w:rsidR="00AA4FD1" w:rsidRPr="007B26FF" w:rsidRDefault="00AA4FD1" w:rsidP="00AA4FD1">
      <w:pPr>
        <w:autoSpaceDE w:val="0"/>
        <w:autoSpaceDN w:val="0"/>
        <w:adjustRightInd w:val="0"/>
        <w:spacing w:line="360" w:lineRule="auto"/>
        <w:ind w:left="567" w:right="567"/>
        <w:jc w:val="both"/>
        <w:rPr>
          <w:rFonts w:ascii="Palatino Linotype" w:hAnsi="Palatino Linotype" w:cs="Arial"/>
          <w:i/>
          <w:color w:val="000000"/>
          <w:sz w:val="28"/>
        </w:rPr>
      </w:pPr>
    </w:p>
    <w:p w14:paraId="579E2BCF" w14:textId="77777777" w:rsidR="00AA4FD1" w:rsidRPr="007B26FF" w:rsidRDefault="00AA4FD1" w:rsidP="00AA4FD1">
      <w:pPr>
        <w:pStyle w:val="Prrafodelista"/>
        <w:numPr>
          <w:ilvl w:val="0"/>
          <w:numId w:val="8"/>
        </w:numPr>
        <w:tabs>
          <w:tab w:val="left" w:pos="851"/>
        </w:tabs>
        <w:spacing w:line="360" w:lineRule="auto"/>
        <w:ind w:left="0" w:right="49" w:firstLine="0"/>
        <w:jc w:val="both"/>
        <w:rPr>
          <w:rFonts w:ascii="Palatino Linotype" w:hAnsi="Palatino Linotype"/>
          <w:lang w:val="es-ES"/>
        </w:rPr>
      </w:pPr>
      <w:r w:rsidRPr="007B26FF">
        <w:rPr>
          <w:rFonts w:ascii="Palatino Linotype" w:hAnsi="Palatino Linotype"/>
          <w:lang w:val="es-ES"/>
        </w:rPr>
        <w:t xml:space="preserve">Es así que, por un lado se tiene la obligación de documentar todos los actos que se lleven a cabo en el ejercicio de sus funciones, atribuciones y competencias, mientras que por otro, se ven impuestos por la obligación de hacer pública toda </w:t>
      </w:r>
      <w:r w:rsidRPr="007B26FF">
        <w:rPr>
          <w:rFonts w:ascii="Palatino Linotype" w:hAnsi="Palatino Linotype"/>
          <w:lang w:val="es-ES"/>
        </w:rPr>
        <w:lastRenderedPageBreak/>
        <w:t>aquella información que se encuentre en su posesión en estricto apego a los principios de eficacia</w:t>
      </w:r>
      <w:r w:rsidRPr="007B26FF">
        <w:rPr>
          <w:rStyle w:val="Refdenotaalpie"/>
          <w:rFonts w:ascii="Palatino Linotype" w:hAnsi="Palatino Linotype"/>
          <w:lang w:val="es-ES"/>
        </w:rPr>
        <w:footnoteReference w:id="2"/>
      </w:r>
      <w:r w:rsidRPr="007B26FF">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A0398EF" w14:textId="77777777" w:rsidR="00AA4FD1" w:rsidRPr="007B26FF" w:rsidRDefault="00AA4FD1" w:rsidP="00AA4FD1">
      <w:pPr>
        <w:pStyle w:val="Prrafodelista"/>
        <w:tabs>
          <w:tab w:val="left" w:pos="851"/>
        </w:tabs>
        <w:spacing w:line="360" w:lineRule="auto"/>
        <w:ind w:left="0" w:right="49"/>
        <w:jc w:val="both"/>
        <w:rPr>
          <w:rFonts w:ascii="Palatino Linotype" w:hAnsi="Palatino Linotype"/>
          <w:lang w:val="es-ES"/>
        </w:rPr>
      </w:pPr>
    </w:p>
    <w:p w14:paraId="270F08E1" w14:textId="77777777" w:rsidR="00AA4FD1" w:rsidRPr="007B26FF" w:rsidRDefault="00AA4FD1" w:rsidP="00AA4FD1">
      <w:pPr>
        <w:pStyle w:val="Prrafodelista"/>
        <w:numPr>
          <w:ilvl w:val="0"/>
          <w:numId w:val="8"/>
        </w:numPr>
        <w:tabs>
          <w:tab w:val="left" w:pos="851"/>
        </w:tabs>
        <w:spacing w:line="360" w:lineRule="auto"/>
        <w:ind w:left="0" w:right="49" w:firstLine="0"/>
        <w:jc w:val="both"/>
        <w:rPr>
          <w:rFonts w:ascii="Palatino Linotype" w:hAnsi="Palatino Linotype"/>
          <w:lang w:val="es-ES"/>
        </w:rPr>
      </w:pPr>
      <w:r w:rsidRPr="007B26FF">
        <w:rPr>
          <w:rFonts w:ascii="Palatino Linotype" w:hAnsi="Palatino Linotype"/>
          <w:lang w:val="es-ES"/>
        </w:rPr>
        <w:t>Robustece lo anterior la Tesis aislada identificada con la clave I.</w:t>
      </w:r>
      <w:proofErr w:type="gramStart"/>
      <w:r w:rsidRPr="007B26FF">
        <w:rPr>
          <w:rFonts w:ascii="Palatino Linotype" w:hAnsi="Palatino Linotype"/>
          <w:lang w:val="es-ES"/>
        </w:rPr>
        <w:t>4º.A.</w:t>
      </w:r>
      <w:proofErr w:type="gramEnd"/>
      <w:r w:rsidRPr="007B26FF">
        <w:rPr>
          <w:rFonts w:ascii="Palatino Linotype" w:hAnsi="Palatino Linotype"/>
          <w:lang w:val="es-ES"/>
        </w:rPr>
        <w:t>40 A del Cuarto Tribunal colegiado en Materia Administrativa del Primer Circuito, publicada en el Seminario Judicial de la Federación y su Gaceta en el libro XVIII, Marzo 2013, Página 1899.</w:t>
      </w:r>
    </w:p>
    <w:p w14:paraId="06D4637A" w14:textId="77777777" w:rsidR="00AA4FD1" w:rsidRPr="007B26FF" w:rsidRDefault="00AA4FD1" w:rsidP="00831F0C">
      <w:pPr>
        <w:pStyle w:val="Prrafodelista"/>
        <w:spacing w:line="276" w:lineRule="auto"/>
        <w:rPr>
          <w:rFonts w:ascii="Palatino Linotype" w:hAnsi="Palatino Linotype"/>
          <w:lang w:val="es-ES"/>
        </w:rPr>
      </w:pPr>
    </w:p>
    <w:p w14:paraId="1CF8FA97" w14:textId="77777777" w:rsidR="00AA4FD1" w:rsidRPr="007B26FF" w:rsidRDefault="00AA4FD1" w:rsidP="00831F0C">
      <w:pPr>
        <w:pStyle w:val="Prrafodelista"/>
        <w:tabs>
          <w:tab w:val="left" w:pos="851"/>
        </w:tabs>
        <w:spacing w:line="276" w:lineRule="auto"/>
        <w:ind w:left="567" w:right="567"/>
        <w:jc w:val="both"/>
        <w:rPr>
          <w:rFonts w:ascii="Palatino Linotype" w:hAnsi="Palatino Linotype"/>
          <w:i/>
          <w:sz w:val="22"/>
        </w:rPr>
      </w:pPr>
      <w:r w:rsidRPr="007B26FF">
        <w:rPr>
          <w:rFonts w:ascii="Palatino Linotype" w:hAnsi="Palatino Linotype"/>
          <w:b/>
          <w:i/>
          <w:sz w:val="22"/>
        </w:rPr>
        <w:t>ACCESO A LA INFORMACIÓN. IMPLICACIÓN DEL PRINCIPIO DE MÁXIMA PUBLICIDAD EN EL DERECHO FUNDAMENTAL RELATIVO.</w:t>
      </w:r>
      <w:r w:rsidRPr="007B26FF">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w:t>
      </w:r>
      <w:r w:rsidRPr="007B26FF">
        <w:rPr>
          <w:rFonts w:ascii="Palatino Linotype" w:hAnsi="Palatino Linotype"/>
          <w:i/>
          <w:sz w:val="22"/>
        </w:rPr>
        <w:lastRenderedPageBreak/>
        <w:t xml:space="preserve">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16B24056" w14:textId="77777777" w:rsidR="00AA4FD1" w:rsidRPr="007B26FF" w:rsidRDefault="00AA4FD1" w:rsidP="00831F0C">
      <w:pPr>
        <w:pStyle w:val="Prrafodelista"/>
        <w:tabs>
          <w:tab w:val="left" w:pos="851"/>
        </w:tabs>
        <w:spacing w:line="276" w:lineRule="auto"/>
        <w:ind w:left="567" w:right="567"/>
        <w:jc w:val="both"/>
        <w:rPr>
          <w:rFonts w:ascii="Palatino Linotype" w:hAnsi="Palatino Linotype"/>
          <w:i/>
          <w:sz w:val="22"/>
        </w:rPr>
      </w:pPr>
    </w:p>
    <w:p w14:paraId="4F5ACFAD" w14:textId="77777777" w:rsidR="00AA4FD1" w:rsidRPr="007B26FF" w:rsidRDefault="00AA4FD1" w:rsidP="00831F0C">
      <w:pPr>
        <w:pStyle w:val="Prrafodelista"/>
        <w:tabs>
          <w:tab w:val="left" w:pos="851"/>
        </w:tabs>
        <w:spacing w:line="276" w:lineRule="auto"/>
        <w:ind w:left="567" w:right="567"/>
        <w:jc w:val="both"/>
        <w:rPr>
          <w:rFonts w:ascii="Palatino Linotype" w:hAnsi="Palatino Linotype"/>
          <w:i/>
          <w:sz w:val="22"/>
        </w:rPr>
      </w:pPr>
      <w:r w:rsidRPr="007B26FF">
        <w:rPr>
          <w:rFonts w:ascii="Palatino Linotype" w:hAnsi="Palatino Linotype"/>
          <w:i/>
          <w:sz w:val="22"/>
        </w:rPr>
        <w:t xml:space="preserve">CUARTO TRIBUNAL COLEGIADO EN MATERIA ADMINISTRATIVA DEL PRIMER CIRCUITO. </w:t>
      </w:r>
    </w:p>
    <w:p w14:paraId="69DDEEAC" w14:textId="77777777" w:rsidR="00AA4FD1" w:rsidRPr="007B26FF" w:rsidRDefault="00AA4FD1" w:rsidP="00831F0C">
      <w:pPr>
        <w:pStyle w:val="Prrafodelista"/>
        <w:tabs>
          <w:tab w:val="left" w:pos="851"/>
        </w:tabs>
        <w:spacing w:line="276" w:lineRule="auto"/>
        <w:ind w:left="567" w:right="567"/>
        <w:jc w:val="both"/>
        <w:rPr>
          <w:rFonts w:ascii="Palatino Linotype" w:hAnsi="Palatino Linotype"/>
          <w:i/>
          <w:sz w:val="22"/>
        </w:rPr>
      </w:pPr>
    </w:p>
    <w:p w14:paraId="021A19A0" w14:textId="77777777" w:rsidR="00AA4FD1" w:rsidRPr="007B26FF" w:rsidRDefault="00AA4FD1" w:rsidP="00831F0C">
      <w:pPr>
        <w:pStyle w:val="Prrafodelista"/>
        <w:tabs>
          <w:tab w:val="left" w:pos="851"/>
        </w:tabs>
        <w:spacing w:line="276" w:lineRule="auto"/>
        <w:ind w:left="567" w:right="567"/>
        <w:jc w:val="both"/>
        <w:rPr>
          <w:rFonts w:ascii="Palatino Linotype" w:hAnsi="Palatino Linotype"/>
          <w:i/>
          <w:sz w:val="22"/>
          <w:lang w:val="es-ES"/>
        </w:rPr>
      </w:pPr>
      <w:r w:rsidRPr="007B26FF">
        <w:rPr>
          <w:rFonts w:ascii="Palatino Linotype" w:hAnsi="Palatino Linotype"/>
          <w:i/>
          <w:sz w:val="22"/>
        </w:rPr>
        <w:t>Amparo en revisión 257/2012. Ruth Corona Muñoz. 6 de diciembre de 2012. Unanimidad de votos. Ponente: Jean Claude Tron Petit. Secretaria: Mayra Susana Martínez López.</w:t>
      </w:r>
    </w:p>
    <w:p w14:paraId="3E55BA22" w14:textId="77777777" w:rsidR="00AA4FD1" w:rsidRPr="007B26FF" w:rsidRDefault="00AA4FD1" w:rsidP="00831F0C">
      <w:pPr>
        <w:pStyle w:val="Prrafodelista"/>
        <w:spacing w:line="276" w:lineRule="auto"/>
        <w:rPr>
          <w:rFonts w:ascii="Palatino Linotype" w:hAnsi="Palatino Linotype"/>
          <w:lang w:val="es-ES"/>
        </w:rPr>
      </w:pPr>
    </w:p>
    <w:p w14:paraId="79D28E3B" w14:textId="77777777" w:rsidR="00AA4FD1" w:rsidRPr="007B26FF" w:rsidRDefault="00AA4FD1" w:rsidP="00AA4FD1">
      <w:pPr>
        <w:pStyle w:val="Prrafodelista"/>
        <w:numPr>
          <w:ilvl w:val="0"/>
          <w:numId w:val="8"/>
        </w:numPr>
        <w:tabs>
          <w:tab w:val="left" w:pos="851"/>
        </w:tabs>
        <w:spacing w:before="240" w:after="240" w:line="360" w:lineRule="auto"/>
        <w:ind w:left="0" w:right="49" w:firstLine="0"/>
        <w:jc w:val="both"/>
        <w:rPr>
          <w:rFonts w:ascii="Palatino Linotype" w:hAnsi="Palatino Linotype" w:cs="Arial"/>
          <w:sz w:val="28"/>
          <w:lang w:val="es-ES"/>
        </w:rPr>
      </w:pPr>
      <w:r w:rsidRPr="007B26FF">
        <w:rPr>
          <w:rFonts w:ascii="Palatino Linotype" w:hAnsi="Palatino Linotype"/>
          <w:lang w:val="es-ES"/>
        </w:rPr>
        <w:t xml:space="preserve">El derecho de acceso a la información encuentra su materia elemental en los documentos, y la Ley de Transparencia </w:t>
      </w:r>
      <w:proofErr w:type="gramStart"/>
      <w:r w:rsidRPr="007B26FF">
        <w:rPr>
          <w:rFonts w:ascii="Palatino Linotype" w:hAnsi="Palatino Linotype"/>
          <w:lang w:val="es-ES"/>
        </w:rPr>
        <w:t>local  nos</w:t>
      </w:r>
      <w:proofErr w:type="gramEnd"/>
      <w:r w:rsidRPr="007B26FF">
        <w:rPr>
          <w:rFonts w:ascii="Palatino Linotype" w:hAnsi="Palatino Linotype"/>
          <w:lang w:val="es-ES"/>
        </w:rPr>
        <w:t xml:space="preserve"> brinda el siguiente concepto, para darnos un mejor panorama:</w:t>
      </w:r>
    </w:p>
    <w:p w14:paraId="39936A11" w14:textId="3EEE3D86" w:rsidR="00AA4FD1" w:rsidRPr="007B26FF" w:rsidRDefault="00AA4FD1" w:rsidP="00831F0C">
      <w:pPr>
        <w:autoSpaceDE w:val="0"/>
        <w:autoSpaceDN w:val="0"/>
        <w:adjustRightInd w:val="0"/>
        <w:spacing w:line="276" w:lineRule="auto"/>
        <w:ind w:left="567" w:right="567"/>
        <w:jc w:val="both"/>
        <w:rPr>
          <w:rFonts w:ascii="Palatino Linotype" w:hAnsi="Palatino Linotype"/>
          <w:i/>
          <w:sz w:val="28"/>
          <w:lang w:val="es-ES"/>
        </w:rPr>
      </w:pPr>
      <w:r w:rsidRPr="007B26FF">
        <w:rPr>
          <w:rFonts w:ascii="Palatino Linotype" w:eastAsiaTheme="minorHAnsi" w:hAnsi="Palatino Linotype" w:cs="Bookman Old Style,Bold"/>
          <w:b/>
          <w:bCs/>
          <w:i/>
          <w:sz w:val="22"/>
          <w:szCs w:val="20"/>
          <w:lang w:val="es-MX" w:eastAsia="en-US"/>
        </w:rPr>
        <w:t xml:space="preserve">XI. Documento: </w:t>
      </w:r>
      <w:r w:rsidRPr="007B26FF">
        <w:rPr>
          <w:rFonts w:ascii="Palatino Linotype" w:eastAsiaTheme="minorHAnsi" w:hAnsi="Palatino Linotype" w:cs="Bookman Old Style"/>
          <w:i/>
          <w:sz w:val="22"/>
          <w:szCs w:val="20"/>
          <w:lang w:val="es-MX" w:eastAsia="en-US"/>
        </w:rPr>
        <w:t xml:space="preserve">Los expedientes, reportes, estudios, actas, resoluciones, oficios, correspondencia, acuerdos, directivas, directrices, circulares, contratos, convenios, instructivos, notas, memorandos, estadísticas o bien, </w:t>
      </w:r>
      <w:r w:rsidRPr="007B26FF">
        <w:rPr>
          <w:rFonts w:ascii="Palatino Linotype" w:eastAsiaTheme="minorHAnsi" w:hAnsi="Palatino Linotype" w:cs="Bookman Old Style"/>
          <w:b/>
          <w:i/>
          <w:sz w:val="22"/>
          <w:szCs w:val="20"/>
          <w:lang w:val="es-MX" w:eastAsia="en-US"/>
        </w:rPr>
        <w:t>cualquier otro registro</w:t>
      </w:r>
      <w:r w:rsidRPr="007B26FF">
        <w:rPr>
          <w:rFonts w:ascii="Palatino Linotype" w:eastAsiaTheme="minorHAnsi" w:hAnsi="Palatino Linotype" w:cs="Bookman Old Style"/>
          <w:i/>
          <w:sz w:val="22"/>
          <w:szCs w:val="20"/>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w:t>
      </w:r>
      <w:proofErr w:type="gramStart"/>
      <w:r w:rsidRPr="007B26FF">
        <w:rPr>
          <w:rFonts w:ascii="Palatino Linotype" w:eastAsiaTheme="minorHAnsi" w:hAnsi="Palatino Linotype" w:cs="Bookman Old Style"/>
          <w:i/>
          <w:sz w:val="22"/>
          <w:szCs w:val="20"/>
          <w:lang w:val="es-MX" w:eastAsia="en-US"/>
        </w:rPr>
        <w:t>impreso,  sonoro</w:t>
      </w:r>
      <w:proofErr w:type="gramEnd"/>
      <w:r w:rsidRPr="007B26FF">
        <w:rPr>
          <w:rFonts w:ascii="Palatino Linotype" w:eastAsiaTheme="minorHAnsi" w:hAnsi="Palatino Linotype" w:cs="Bookman Old Style"/>
          <w:i/>
          <w:sz w:val="22"/>
          <w:szCs w:val="20"/>
          <w:lang w:val="es-MX" w:eastAsia="en-US"/>
        </w:rPr>
        <w:t>, visual, electrónico, informático u holográfico;</w:t>
      </w:r>
    </w:p>
    <w:p w14:paraId="6758F008" w14:textId="77777777" w:rsidR="00AA4FD1" w:rsidRPr="007B26FF" w:rsidRDefault="00AA4FD1" w:rsidP="00AA4FD1">
      <w:pPr>
        <w:pStyle w:val="Prrafodelista"/>
        <w:numPr>
          <w:ilvl w:val="0"/>
          <w:numId w:val="8"/>
        </w:numPr>
        <w:tabs>
          <w:tab w:val="left" w:pos="851"/>
        </w:tabs>
        <w:spacing w:line="360" w:lineRule="auto"/>
        <w:ind w:left="0" w:right="49" w:firstLine="0"/>
        <w:jc w:val="both"/>
        <w:rPr>
          <w:rFonts w:ascii="Palatino Linotype" w:hAnsi="Palatino Linotype"/>
          <w:lang w:val="es-ES"/>
        </w:rPr>
      </w:pPr>
      <w:r w:rsidRPr="007B26FF">
        <w:rPr>
          <w:rFonts w:ascii="Palatino Linotype" w:hAnsi="Palatino Linotype"/>
          <w:lang w:val="es-ES"/>
        </w:rPr>
        <w:lastRenderedPageBreak/>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EA871DE" w14:textId="77777777" w:rsidR="00AA4FD1" w:rsidRPr="007B26FF" w:rsidRDefault="00AA4FD1" w:rsidP="00AA4FD1">
      <w:pPr>
        <w:pStyle w:val="Prrafodelista"/>
        <w:ind w:left="1440"/>
        <w:rPr>
          <w:rFonts w:ascii="Palatino Linotype" w:eastAsia="MS Mincho" w:hAnsi="Palatino Linotype"/>
          <w:lang w:val="es-ES"/>
        </w:rPr>
      </w:pPr>
    </w:p>
    <w:p w14:paraId="70EA8826" w14:textId="79CD1431" w:rsidR="007A08DD" w:rsidRPr="007B26FF" w:rsidRDefault="007A08DD" w:rsidP="007A08DD">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B26FF">
        <w:rPr>
          <w:rFonts w:ascii="Palatino Linotype" w:eastAsia="MS Mincho" w:hAnsi="Palatino Linotype"/>
        </w:rPr>
        <w:t xml:space="preserve">De acuerdo a la Ley de Transparencia en términos generales, establece que como uno de los objetivos con el que cuenta,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en la materia, es la prerrogativa de las personas para buscar, difundir, investigar, recabar, recibir y solicitar información pública. </w:t>
      </w:r>
    </w:p>
    <w:p w14:paraId="4B8C9675" w14:textId="77777777" w:rsidR="00AA4FD1" w:rsidRPr="007B26FF" w:rsidRDefault="00AA4FD1" w:rsidP="00AA4FD1">
      <w:pPr>
        <w:pStyle w:val="Prrafodelista"/>
        <w:tabs>
          <w:tab w:val="left" w:pos="0"/>
        </w:tabs>
        <w:spacing w:line="360" w:lineRule="auto"/>
        <w:ind w:left="0" w:right="49"/>
        <w:jc w:val="both"/>
        <w:rPr>
          <w:rFonts w:ascii="Palatino Linotype" w:hAnsi="Palatino Linotype" w:cs="Arial"/>
          <w:i/>
          <w:color w:val="000000" w:themeColor="text1"/>
        </w:rPr>
      </w:pPr>
    </w:p>
    <w:p w14:paraId="362A96DE" w14:textId="77777777" w:rsidR="007A08DD" w:rsidRPr="007B26FF" w:rsidRDefault="007A08DD" w:rsidP="007A08DD">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B26FF">
        <w:rPr>
          <w:rFonts w:ascii="Palatino Linotype" w:eastAsia="MS Mincho" w:hAnsi="Palatino Linotype"/>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1AEA9692" w14:textId="77777777" w:rsidR="007A08DD" w:rsidRPr="007B26FF" w:rsidRDefault="007A08DD" w:rsidP="007A08DD">
      <w:pPr>
        <w:pStyle w:val="Prrafodelista"/>
        <w:rPr>
          <w:rFonts w:ascii="Palatino Linotype" w:eastAsia="MS Mincho" w:hAnsi="Palatino Linotype" w:cs="Times New Roman"/>
        </w:rPr>
      </w:pPr>
    </w:p>
    <w:p w14:paraId="4A85A611" w14:textId="1E50B8D8" w:rsidR="007A08DD" w:rsidRPr="007B26FF" w:rsidRDefault="007A08DD" w:rsidP="007A08DD">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B26FF">
        <w:rPr>
          <w:rFonts w:ascii="Palatino Linotype" w:eastAsia="MS Mincho" w:hAnsi="Palatino Linotype" w:cs="Times New Roman"/>
        </w:rPr>
        <w:t>Derivado</w:t>
      </w:r>
      <w:r w:rsidRPr="007B26FF">
        <w:rPr>
          <w:rFonts w:ascii="Palatino Linotype" w:eastAsia="MS Mincho" w:hAnsi="Palatino Linotype" w:cs="Arial"/>
        </w:rPr>
        <w:t xml:space="preserve"> de lo anterior, se precisa que toda aquella información que posean los Sujetos Obligados con motivo del ejercicio de sus atribuciones, esta se encuentra </w:t>
      </w:r>
      <w:r w:rsidRPr="007B26FF">
        <w:rPr>
          <w:rFonts w:ascii="Palatino Linotype" w:eastAsia="MS Mincho" w:hAnsi="Palatino Linotype" w:cs="Arial"/>
        </w:rPr>
        <w:lastRenderedPageBreak/>
        <w:t xml:space="preserve">sujeta a la consulta de los ciudadanos que la requieran, misma que de igual forma debe estar disponible en los portales electrónicos de cada </w:t>
      </w:r>
      <w:r w:rsidRPr="007B26FF">
        <w:rPr>
          <w:rFonts w:ascii="Palatino Linotype" w:eastAsia="MS Mincho" w:hAnsi="Palatino Linotype" w:cs="Arial"/>
          <w:b/>
        </w:rPr>
        <w:t xml:space="preserve">SUJETO OBLIGADO </w:t>
      </w:r>
      <w:r w:rsidRPr="007B26FF">
        <w:rPr>
          <w:rFonts w:ascii="Palatino Linotype" w:eastAsia="MS Mincho" w:hAnsi="Palatino Linotype" w:cs="Arial"/>
        </w:rPr>
        <w:t xml:space="preserve">en </w:t>
      </w:r>
      <w:proofErr w:type="gramStart"/>
      <w:r w:rsidRPr="007B26FF">
        <w:rPr>
          <w:rFonts w:ascii="Palatino Linotype" w:eastAsia="MS Mincho" w:hAnsi="Palatino Linotype" w:cs="Arial"/>
        </w:rPr>
        <w:t>los formato</w:t>
      </w:r>
      <w:proofErr w:type="gramEnd"/>
      <w:r w:rsidRPr="007B26FF">
        <w:rPr>
          <w:rFonts w:ascii="Palatino Linotype" w:eastAsia="MS Mincho" w:hAnsi="Palatino Linotype" w:cs="Arial"/>
        </w:rPr>
        <w:t xml:space="preserve"> preestablecidos.</w:t>
      </w:r>
    </w:p>
    <w:p w14:paraId="33BB6F24" w14:textId="77777777" w:rsidR="004E624B" w:rsidRPr="007B26FF" w:rsidRDefault="004E624B" w:rsidP="004E624B">
      <w:pPr>
        <w:pStyle w:val="Prrafodelista"/>
        <w:rPr>
          <w:rFonts w:ascii="Palatino Linotype" w:eastAsia="MS Mincho" w:hAnsi="Palatino Linotype" w:cs="Arial"/>
        </w:rPr>
      </w:pPr>
    </w:p>
    <w:p w14:paraId="38A38FD2" w14:textId="3D24D23B" w:rsidR="004E624B" w:rsidRPr="007B26FF" w:rsidRDefault="004E624B" w:rsidP="004E624B">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B26FF">
        <w:rPr>
          <w:rFonts w:ascii="Palatino Linotype" w:hAnsi="Palatino Linotype"/>
          <w:color w:val="000000"/>
        </w:rPr>
        <w:t>Por lo tanto, para tener por satisfecho el derecho de acceso a la información pública implica que cualquier persona conozca la información contenida en los documentos que se encuentren en los archivos de los Sujetos Obligados.</w:t>
      </w:r>
    </w:p>
    <w:p w14:paraId="63B6B168" w14:textId="77777777" w:rsidR="00AA4FD1" w:rsidRPr="007B26FF" w:rsidRDefault="00AA4FD1" w:rsidP="00AA4FD1">
      <w:pPr>
        <w:pStyle w:val="Prrafodelista"/>
        <w:tabs>
          <w:tab w:val="left" w:pos="0"/>
        </w:tabs>
        <w:spacing w:line="360" w:lineRule="auto"/>
        <w:ind w:left="0" w:right="49"/>
        <w:jc w:val="both"/>
        <w:rPr>
          <w:rFonts w:ascii="Palatino Linotype" w:hAnsi="Palatino Linotype" w:cs="Arial"/>
          <w:i/>
          <w:color w:val="000000" w:themeColor="text1"/>
        </w:rPr>
      </w:pPr>
    </w:p>
    <w:p w14:paraId="7FCF0A9E" w14:textId="72C0D21F" w:rsidR="00AA4FD1" w:rsidRPr="007B26FF" w:rsidRDefault="00AA4FD1" w:rsidP="00AA4FD1">
      <w:pPr>
        <w:pStyle w:val="Prrafodelista"/>
        <w:numPr>
          <w:ilvl w:val="0"/>
          <w:numId w:val="16"/>
        </w:numPr>
        <w:rPr>
          <w:rFonts w:ascii="Palatino Linotype" w:eastAsia="MS Mincho" w:hAnsi="Palatino Linotype" w:cs="Arial"/>
          <w:b/>
        </w:rPr>
      </w:pPr>
      <w:r w:rsidRPr="007B26FF">
        <w:rPr>
          <w:rFonts w:ascii="Palatino Linotype" w:eastAsia="MS Mincho" w:hAnsi="Palatino Linotype" w:cs="Arial"/>
          <w:b/>
        </w:rPr>
        <w:t>De la respuesta del SUJETO OBLIGADO</w:t>
      </w:r>
    </w:p>
    <w:p w14:paraId="6A49EC51" w14:textId="77777777" w:rsidR="00AA4FD1" w:rsidRPr="007B26FF" w:rsidRDefault="00AA4FD1" w:rsidP="00AA4FD1">
      <w:pPr>
        <w:pStyle w:val="Prrafodelista"/>
        <w:ind w:left="1440"/>
        <w:rPr>
          <w:rFonts w:ascii="Palatino Linotype" w:eastAsia="MS Mincho" w:hAnsi="Palatino Linotype" w:cs="Arial"/>
          <w:b/>
        </w:rPr>
      </w:pPr>
    </w:p>
    <w:p w14:paraId="3AAF8F2A" w14:textId="50E70A5E" w:rsidR="007A08DD" w:rsidRPr="007B26FF" w:rsidRDefault="007A08DD" w:rsidP="007A08DD">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B26FF">
        <w:rPr>
          <w:rFonts w:ascii="Palatino Linotype" w:eastAsia="MS Mincho" w:hAnsi="Palatino Linotype" w:cs="Arial"/>
        </w:rPr>
        <w:t xml:space="preserve">Luego entonces, </w:t>
      </w:r>
      <w:r w:rsidRPr="007B26FF">
        <w:rPr>
          <w:rFonts w:ascii="Palatino Linotype" w:eastAsia="MS Mincho" w:hAnsi="Palatino Linotype" w:cs="Times New Roman"/>
        </w:rPr>
        <w:t xml:space="preserve">se procede al análisis del contenido de la información remitida en la respuesta, </w:t>
      </w:r>
      <w:r w:rsidRPr="007B26FF">
        <w:rPr>
          <w:rFonts w:ascii="Palatino Linotype" w:eastAsia="MS Mincho" w:hAnsi="Palatino Linotype" w:cs="Arial"/>
        </w:rPr>
        <w:t xml:space="preserve">para determinar si es accesible, confiable y completa de no ser el caso se ordenara la entrega de la información en los términos establecido por la Ley a efecto de dar certeza jurídica en cuanto a la información proporcionada en respuesta, como de igual manera verificar si está sujeta a un régimen limitado de restricciones para su respectiva entrega, de </w:t>
      </w:r>
      <w:r w:rsidRPr="007B26FF">
        <w:rPr>
          <w:rFonts w:ascii="Palatino Linotype" w:eastAsia="MS Mincho" w:hAnsi="Palatino Linotype" w:cs="Times New Roman"/>
        </w:rPr>
        <w:t>conformidad con lo establecido por  el artículo 11  y 168 de la Ley en la materia, que a la letra dice:</w:t>
      </w:r>
    </w:p>
    <w:p w14:paraId="7C1405A9" w14:textId="77777777" w:rsidR="007A08DD" w:rsidRPr="007B26FF" w:rsidRDefault="007A08DD" w:rsidP="007A08DD">
      <w:pPr>
        <w:spacing w:line="360" w:lineRule="auto"/>
        <w:ind w:right="49"/>
        <w:contextualSpacing/>
        <w:jc w:val="both"/>
        <w:rPr>
          <w:rFonts w:ascii="Palatino Linotype" w:eastAsia="MS Mincho" w:hAnsi="Palatino Linotype" w:cs="Arial"/>
          <w:lang w:val="es-ES_tradnl" w:eastAsia="es-ES"/>
        </w:rPr>
      </w:pPr>
    </w:p>
    <w:p w14:paraId="272A2892" w14:textId="77777777" w:rsidR="007A08DD" w:rsidRPr="007B26FF" w:rsidRDefault="007A08DD" w:rsidP="00001287">
      <w:pPr>
        <w:spacing w:line="276" w:lineRule="auto"/>
        <w:ind w:left="567" w:right="615"/>
        <w:contextualSpacing/>
        <w:jc w:val="both"/>
        <w:rPr>
          <w:rFonts w:ascii="Palatino Linotype" w:eastAsia="MS Mincho" w:hAnsi="Palatino Linotype" w:cs="Arial"/>
          <w:i/>
          <w:sz w:val="22"/>
          <w:szCs w:val="22"/>
          <w:lang w:eastAsia="es-ES"/>
        </w:rPr>
      </w:pPr>
      <w:r w:rsidRPr="007B26FF">
        <w:rPr>
          <w:rFonts w:ascii="Palatino Linotype" w:eastAsia="MS Mincho" w:hAnsi="Palatino Linotype" w:cs="Arial"/>
          <w:i/>
          <w:sz w:val="22"/>
          <w:szCs w:val="22"/>
          <w:lang w:eastAsia="es-ES"/>
        </w:rPr>
        <w:t>“</w:t>
      </w:r>
      <w:r w:rsidRPr="007B26FF">
        <w:rPr>
          <w:rFonts w:ascii="Palatino Linotype" w:eastAsia="MS Mincho" w:hAnsi="Palatino Linotype" w:cs="Arial"/>
          <w:b/>
          <w:i/>
          <w:sz w:val="22"/>
          <w:szCs w:val="22"/>
          <w:lang w:eastAsia="es-ES"/>
        </w:rPr>
        <w:t>Artículo 11.</w:t>
      </w:r>
      <w:r w:rsidRPr="007B26FF">
        <w:rPr>
          <w:rFonts w:ascii="Palatino Linotype" w:eastAsia="MS Mincho" w:hAnsi="Palatino Linotype" w:cs="Arial"/>
          <w:i/>
          <w:sz w:val="22"/>
          <w:szCs w:val="22"/>
          <w:lang w:eastAsia="es-ES"/>
        </w:rPr>
        <w:t xml:space="preserv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52AB2A35" w14:textId="69AA0BE6" w:rsidR="007A08DD" w:rsidRPr="007B26FF" w:rsidRDefault="007A08DD" w:rsidP="00001287">
      <w:pPr>
        <w:spacing w:line="276" w:lineRule="auto"/>
        <w:ind w:left="567" w:right="49"/>
        <w:contextualSpacing/>
        <w:jc w:val="both"/>
        <w:rPr>
          <w:rFonts w:ascii="Palatino Linotype" w:eastAsia="MS Mincho" w:hAnsi="Palatino Linotype" w:cs="Arial"/>
          <w:i/>
          <w:sz w:val="22"/>
          <w:szCs w:val="22"/>
          <w:lang w:eastAsia="es-ES"/>
        </w:rPr>
      </w:pPr>
      <w:r w:rsidRPr="007B26FF">
        <w:rPr>
          <w:rFonts w:ascii="Palatino Linotype" w:eastAsia="MS Mincho" w:hAnsi="Palatino Linotype" w:cs="Arial"/>
          <w:i/>
          <w:sz w:val="22"/>
          <w:szCs w:val="22"/>
          <w:lang w:eastAsia="es-ES"/>
        </w:rPr>
        <w:t>…”</w:t>
      </w:r>
    </w:p>
    <w:p w14:paraId="0B7F1557" w14:textId="77777777" w:rsidR="007A08DD" w:rsidRPr="007B26FF" w:rsidRDefault="007A08DD" w:rsidP="00001287">
      <w:pPr>
        <w:spacing w:line="276" w:lineRule="auto"/>
        <w:ind w:left="567" w:right="49"/>
        <w:contextualSpacing/>
        <w:jc w:val="both"/>
        <w:rPr>
          <w:rFonts w:ascii="Palatino Linotype" w:eastAsia="MS Mincho" w:hAnsi="Palatino Linotype" w:cs="Arial"/>
          <w:i/>
          <w:sz w:val="22"/>
          <w:szCs w:val="22"/>
          <w:lang w:eastAsia="es-ES"/>
        </w:rPr>
      </w:pPr>
      <w:r w:rsidRPr="007B26FF">
        <w:rPr>
          <w:rFonts w:ascii="Palatino Linotype" w:eastAsia="MS Mincho" w:hAnsi="Palatino Linotype" w:cs="Arial"/>
          <w:b/>
          <w:i/>
          <w:sz w:val="22"/>
          <w:szCs w:val="22"/>
          <w:lang w:eastAsia="es-ES"/>
        </w:rPr>
        <w:lastRenderedPageBreak/>
        <w:t>Artículo 168.</w:t>
      </w:r>
      <w:r w:rsidRPr="007B26FF">
        <w:rPr>
          <w:rFonts w:ascii="Palatino Linotype" w:eastAsia="MS Mincho" w:hAnsi="Palatino Linotype" w:cs="Arial"/>
          <w:i/>
          <w:sz w:val="22"/>
          <w:szCs w:val="22"/>
          <w:lang w:eastAsia="es-ES"/>
        </w:rPr>
        <w:t xml:space="preserve"> En caso de que los sujetos obligados consideren que los documentos o la información deban ser clasificados, se sujetará a lo siguiente: </w:t>
      </w:r>
    </w:p>
    <w:p w14:paraId="2562552B" w14:textId="77777777" w:rsidR="007A08DD" w:rsidRPr="007B26FF" w:rsidRDefault="007A08DD" w:rsidP="00001287">
      <w:pPr>
        <w:spacing w:line="276" w:lineRule="auto"/>
        <w:ind w:left="567" w:right="49"/>
        <w:contextualSpacing/>
        <w:jc w:val="both"/>
        <w:rPr>
          <w:rFonts w:ascii="Palatino Linotype" w:eastAsia="MS Mincho" w:hAnsi="Palatino Linotype" w:cs="Arial"/>
          <w:i/>
          <w:sz w:val="22"/>
          <w:szCs w:val="22"/>
          <w:lang w:eastAsia="es-ES"/>
        </w:rPr>
      </w:pPr>
      <w:r w:rsidRPr="007B26FF">
        <w:rPr>
          <w:rFonts w:ascii="Palatino Linotype" w:eastAsia="MS Mincho" w:hAnsi="Palatino Linotype" w:cs="Arial"/>
          <w:i/>
          <w:sz w:val="22"/>
          <w:szCs w:val="22"/>
          <w:lang w:eastAsia="es-ES"/>
        </w:rPr>
        <w:t xml:space="preserve">I. El Área deberá remitir la solicitud, así como un escrito en el que funde y motive la clasificación al Comité de Transparencia, mismo que deberá resolver para: </w:t>
      </w:r>
    </w:p>
    <w:p w14:paraId="486A0CB1" w14:textId="77777777" w:rsidR="007A08DD" w:rsidRPr="007B26FF" w:rsidRDefault="007A08DD" w:rsidP="00001287">
      <w:pPr>
        <w:spacing w:line="276" w:lineRule="auto"/>
        <w:ind w:left="567" w:right="49"/>
        <w:contextualSpacing/>
        <w:jc w:val="both"/>
        <w:rPr>
          <w:rFonts w:ascii="Palatino Linotype" w:eastAsia="MS Mincho" w:hAnsi="Palatino Linotype" w:cs="Arial"/>
          <w:i/>
          <w:sz w:val="22"/>
          <w:szCs w:val="22"/>
          <w:lang w:eastAsia="es-ES"/>
        </w:rPr>
      </w:pPr>
      <w:r w:rsidRPr="007B26FF">
        <w:rPr>
          <w:rFonts w:ascii="Palatino Linotype" w:eastAsia="MS Mincho" w:hAnsi="Palatino Linotype" w:cs="Arial"/>
          <w:i/>
          <w:sz w:val="22"/>
          <w:szCs w:val="22"/>
          <w:lang w:eastAsia="es-ES"/>
        </w:rPr>
        <w:t xml:space="preserve">a) Confirmar la clasificación; </w:t>
      </w:r>
    </w:p>
    <w:p w14:paraId="2775B360" w14:textId="77777777" w:rsidR="007A08DD" w:rsidRPr="007B26FF" w:rsidRDefault="007A08DD" w:rsidP="00001287">
      <w:pPr>
        <w:spacing w:line="276" w:lineRule="auto"/>
        <w:ind w:left="567" w:right="49"/>
        <w:contextualSpacing/>
        <w:jc w:val="both"/>
        <w:rPr>
          <w:rFonts w:ascii="Palatino Linotype" w:eastAsia="MS Mincho" w:hAnsi="Palatino Linotype" w:cs="Arial"/>
          <w:i/>
          <w:sz w:val="22"/>
          <w:szCs w:val="22"/>
          <w:lang w:eastAsia="es-ES"/>
        </w:rPr>
      </w:pPr>
      <w:r w:rsidRPr="007B26FF">
        <w:rPr>
          <w:rFonts w:ascii="Palatino Linotype" w:eastAsia="MS Mincho" w:hAnsi="Palatino Linotype" w:cs="Arial"/>
          <w:i/>
          <w:sz w:val="22"/>
          <w:szCs w:val="22"/>
          <w:lang w:eastAsia="es-ES"/>
        </w:rPr>
        <w:t xml:space="preserve">b) Modificar. la clasificación y otorgar total o parcialmente el acceso a la información; y </w:t>
      </w:r>
    </w:p>
    <w:p w14:paraId="696F31E1" w14:textId="77777777" w:rsidR="007A08DD" w:rsidRPr="007B26FF" w:rsidRDefault="007A08DD" w:rsidP="00001287">
      <w:pPr>
        <w:spacing w:line="276" w:lineRule="auto"/>
        <w:ind w:left="567" w:right="49"/>
        <w:contextualSpacing/>
        <w:jc w:val="both"/>
        <w:rPr>
          <w:rFonts w:ascii="Palatino Linotype" w:eastAsia="MS Mincho" w:hAnsi="Palatino Linotype" w:cs="Arial"/>
          <w:i/>
          <w:sz w:val="22"/>
          <w:szCs w:val="22"/>
          <w:lang w:eastAsia="es-ES"/>
        </w:rPr>
      </w:pPr>
      <w:r w:rsidRPr="007B26FF">
        <w:rPr>
          <w:rFonts w:ascii="Palatino Linotype" w:eastAsia="MS Mincho" w:hAnsi="Palatino Linotype" w:cs="Arial"/>
          <w:i/>
          <w:sz w:val="22"/>
          <w:szCs w:val="22"/>
          <w:lang w:eastAsia="es-ES"/>
        </w:rPr>
        <w:t xml:space="preserve">c) Revocar la clasificación y conceder el acceso a la información. </w:t>
      </w:r>
    </w:p>
    <w:p w14:paraId="69D973EE" w14:textId="77777777" w:rsidR="007A08DD" w:rsidRPr="007B26FF" w:rsidRDefault="007A08DD" w:rsidP="00001287">
      <w:pPr>
        <w:spacing w:line="276" w:lineRule="auto"/>
        <w:ind w:left="567" w:right="49"/>
        <w:contextualSpacing/>
        <w:jc w:val="both"/>
        <w:rPr>
          <w:rFonts w:ascii="Palatino Linotype" w:eastAsia="MS Mincho" w:hAnsi="Palatino Linotype" w:cs="Arial"/>
          <w:i/>
          <w:sz w:val="22"/>
          <w:szCs w:val="22"/>
          <w:lang w:eastAsia="es-ES"/>
        </w:rPr>
      </w:pPr>
      <w:r w:rsidRPr="007B26FF">
        <w:rPr>
          <w:rFonts w:ascii="Palatino Linotype" w:eastAsia="MS Mincho" w:hAnsi="Palatino Linotype" w:cs="Arial"/>
          <w:i/>
          <w:sz w:val="22"/>
          <w:szCs w:val="22"/>
          <w:lang w:eastAsia="es-ES"/>
        </w:rPr>
        <w:t xml:space="preserve">II. El Comité de Transparencia podrá tener acceso a la información que esté en poder del Área correspondiente, de la cual se haya solicitado su clasificación; y </w:t>
      </w:r>
    </w:p>
    <w:p w14:paraId="5D5DAEDC" w14:textId="48A1F14F" w:rsidR="00EE58F0" w:rsidRPr="007B26FF" w:rsidRDefault="007A08DD" w:rsidP="00BD39C1">
      <w:pPr>
        <w:spacing w:line="276" w:lineRule="auto"/>
        <w:ind w:left="567" w:right="49"/>
        <w:contextualSpacing/>
        <w:jc w:val="both"/>
        <w:rPr>
          <w:rFonts w:ascii="Palatino Linotype" w:eastAsia="MS Mincho" w:hAnsi="Palatino Linotype" w:cs="Arial"/>
          <w:i/>
          <w:sz w:val="22"/>
          <w:szCs w:val="22"/>
          <w:lang w:eastAsia="es-ES"/>
        </w:rPr>
      </w:pPr>
      <w:r w:rsidRPr="007B26FF">
        <w:rPr>
          <w:rFonts w:ascii="Palatino Linotype" w:eastAsia="MS Mincho" w:hAnsi="Palatino Linotype" w:cs="Arial"/>
          <w:i/>
          <w:sz w:val="22"/>
          <w:szCs w:val="22"/>
          <w:lang w:eastAsia="es-ES"/>
        </w:rPr>
        <w:t>III. La resolución del Comité de Transparencia será notificada al interesado en el plazo de respuesta a la solicitud que establece esta Ley.</w:t>
      </w:r>
    </w:p>
    <w:p w14:paraId="07B32F4E" w14:textId="77777777" w:rsidR="004E624B" w:rsidRPr="007B26FF" w:rsidRDefault="004E624B" w:rsidP="00BD39C1">
      <w:pPr>
        <w:spacing w:line="276" w:lineRule="auto"/>
        <w:ind w:left="567" w:right="49"/>
        <w:contextualSpacing/>
        <w:jc w:val="both"/>
        <w:rPr>
          <w:rFonts w:ascii="Palatino Linotype" w:eastAsia="MS Mincho" w:hAnsi="Palatino Linotype" w:cs="Arial"/>
          <w:i/>
          <w:sz w:val="22"/>
          <w:szCs w:val="22"/>
          <w:lang w:eastAsia="es-ES"/>
        </w:rPr>
      </w:pPr>
    </w:p>
    <w:p w14:paraId="4CD956A2" w14:textId="3C74B856" w:rsidR="00001287" w:rsidRPr="007B26FF" w:rsidRDefault="0029478C" w:rsidP="00001287">
      <w:pPr>
        <w:pStyle w:val="Prrafodelista"/>
        <w:numPr>
          <w:ilvl w:val="0"/>
          <w:numId w:val="1"/>
        </w:numPr>
        <w:tabs>
          <w:tab w:val="left" w:pos="0"/>
        </w:tabs>
        <w:spacing w:line="360" w:lineRule="auto"/>
        <w:ind w:left="0" w:right="49" w:firstLine="0"/>
        <w:jc w:val="both"/>
        <w:rPr>
          <w:rFonts w:ascii="Palatino Linotype" w:hAnsi="Palatino Linotype"/>
          <w:b/>
          <w:lang w:val="es-MX"/>
        </w:rPr>
      </w:pPr>
      <w:r w:rsidRPr="007B26FF">
        <w:rPr>
          <w:rFonts w:ascii="Palatino Linotype" w:hAnsi="Palatino Linotype" w:cs="Arial"/>
          <w:color w:val="000000" w:themeColor="text1"/>
        </w:rPr>
        <w:t xml:space="preserve">Cabe destacar, </w:t>
      </w:r>
      <w:proofErr w:type="gramStart"/>
      <w:r w:rsidRPr="007B26FF">
        <w:rPr>
          <w:rFonts w:ascii="Palatino Linotype" w:hAnsi="Palatino Linotype" w:cs="Arial"/>
          <w:color w:val="000000" w:themeColor="text1"/>
        </w:rPr>
        <w:t>primeramente</w:t>
      </w:r>
      <w:proofErr w:type="gramEnd"/>
      <w:r w:rsidRPr="007B26FF">
        <w:rPr>
          <w:rFonts w:ascii="Palatino Linotype" w:hAnsi="Palatino Linotype" w:cs="Arial"/>
          <w:color w:val="000000" w:themeColor="text1"/>
        </w:rPr>
        <w:t xml:space="preserve"> que el hoy </w:t>
      </w:r>
      <w:r w:rsidRPr="007B26FF">
        <w:rPr>
          <w:rFonts w:ascii="Palatino Linotype" w:hAnsi="Palatino Linotype" w:cs="Arial"/>
          <w:b/>
          <w:color w:val="000000" w:themeColor="text1"/>
        </w:rPr>
        <w:t>RECURRENTE</w:t>
      </w:r>
      <w:r w:rsidRPr="007B26FF">
        <w:rPr>
          <w:rFonts w:ascii="Palatino Linotype" w:hAnsi="Palatino Linotype" w:cs="Arial"/>
          <w:color w:val="000000" w:themeColor="text1"/>
        </w:rPr>
        <w:t xml:space="preserve"> </w:t>
      </w:r>
      <w:r w:rsidR="007C62F7" w:rsidRPr="007B26FF">
        <w:rPr>
          <w:rFonts w:ascii="Palatino Linotype" w:hAnsi="Palatino Linotype" w:cs="Arial"/>
          <w:color w:val="000000" w:themeColor="text1"/>
        </w:rPr>
        <w:t xml:space="preserve">solicitó </w:t>
      </w:r>
      <w:r w:rsidR="007C62F7" w:rsidRPr="007B26FF">
        <w:rPr>
          <w:rFonts w:ascii="Palatino Linotype" w:hAnsi="Palatino Linotype"/>
          <w:color w:val="000000"/>
        </w:rPr>
        <w:t>copia</w:t>
      </w:r>
      <w:r w:rsidR="00D02CD1" w:rsidRPr="007B26FF">
        <w:rPr>
          <w:rFonts w:ascii="Palatino Linotype" w:hAnsi="Palatino Linotype"/>
          <w:color w:val="000000"/>
        </w:rPr>
        <w:t>s</w:t>
      </w:r>
      <w:r w:rsidR="007C62F7" w:rsidRPr="007B26FF">
        <w:rPr>
          <w:rFonts w:ascii="Palatino Linotype" w:hAnsi="Palatino Linotype"/>
          <w:color w:val="000000"/>
        </w:rPr>
        <w:t xml:space="preserve"> simples de</w:t>
      </w:r>
      <w:r w:rsidR="00D02CD1" w:rsidRPr="007B26FF">
        <w:rPr>
          <w:rFonts w:ascii="Palatino Linotype" w:hAnsi="Palatino Linotype"/>
          <w:color w:val="000000"/>
        </w:rPr>
        <w:t xml:space="preserve"> la información relacionada con e</w:t>
      </w:r>
      <w:r w:rsidR="007C62F7" w:rsidRPr="007B26FF">
        <w:rPr>
          <w:rFonts w:ascii="Palatino Linotype" w:hAnsi="Palatino Linotype"/>
          <w:color w:val="000000"/>
        </w:rPr>
        <w:t xml:space="preserve">l Conjunto Urbano denominado </w:t>
      </w:r>
      <w:r w:rsidR="00D02CD1" w:rsidRPr="007B26FF">
        <w:rPr>
          <w:rFonts w:ascii="Palatino Linotype" w:hAnsi="Palatino Linotype"/>
          <w:color w:val="000000"/>
        </w:rPr>
        <w:t>“</w:t>
      </w:r>
      <w:r w:rsidR="007C62F7" w:rsidRPr="007B26FF">
        <w:rPr>
          <w:rFonts w:ascii="Palatino Linotype" w:hAnsi="Palatino Linotype"/>
          <w:color w:val="000000"/>
        </w:rPr>
        <w:t>Real Granada</w:t>
      </w:r>
      <w:r w:rsidR="00D02CD1" w:rsidRPr="007B26FF">
        <w:rPr>
          <w:rFonts w:ascii="Palatino Linotype" w:hAnsi="Palatino Linotype"/>
          <w:color w:val="000000"/>
        </w:rPr>
        <w:t>”</w:t>
      </w:r>
      <w:r w:rsidR="007C62F7" w:rsidRPr="007B26FF">
        <w:rPr>
          <w:rFonts w:ascii="Palatino Linotype" w:hAnsi="Palatino Linotype"/>
          <w:color w:val="000000"/>
        </w:rPr>
        <w:t xml:space="preserve">, ubicado en el Municipio de </w:t>
      </w:r>
      <w:r w:rsidR="00844114" w:rsidRPr="007B26FF">
        <w:rPr>
          <w:rFonts w:ascii="Palatino Linotype" w:hAnsi="Palatino Linotype"/>
          <w:color w:val="000000"/>
        </w:rPr>
        <w:t>Tecámac</w:t>
      </w:r>
      <w:r w:rsidR="007C62F7" w:rsidRPr="007B26FF">
        <w:rPr>
          <w:rFonts w:ascii="Palatino Linotype" w:hAnsi="Palatino Linotype"/>
          <w:color w:val="000000"/>
        </w:rPr>
        <w:t xml:space="preserve">, Estado de </w:t>
      </w:r>
      <w:r w:rsidR="00844114" w:rsidRPr="007B26FF">
        <w:rPr>
          <w:rFonts w:ascii="Palatino Linotype" w:hAnsi="Palatino Linotype"/>
          <w:color w:val="000000"/>
        </w:rPr>
        <w:t>México</w:t>
      </w:r>
      <w:r w:rsidR="007C62F7" w:rsidRPr="007B26FF">
        <w:rPr>
          <w:rFonts w:ascii="Palatino Linotype" w:hAnsi="Palatino Linotype"/>
          <w:color w:val="000000"/>
        </w:rPr>
        <w:t xml:space="preserve"> de cada una de sus etapas</w:t>
      </w:r>
      <w:r w:rsidR="00D02CD1" w:rsidRPr="007B26FF">
        <w:rPr>
          <w:rFonts w:ascii="Palatino Linotype" w:hAnsi="Palatino Linotype"/>
          <w:color w:val="000000"/>
        </w:rPr>
        <w:t>, como sigue</w:t>
      </w:r>
      <w:r w:rsidR="007C62F7" w:rsidRPr="007B26FF">
        <w:rPr>
          <w:rFonts w:ascii="Palatino Linotype" w:hAnsi="Palatino Linotype"/>
          <w:color w:val="000000"/>
        </w:rPr>
        <w:t>:</w:t>
      </w:r>
    </w:p>
    <w:p w14:paraId="7823E68C" w14:textId="7A03058A" w:rsidR="007C62F7" w:rsidRPr="007B26FF" w:rsidRDefault="007C62F7" w:rsidP="00BA3B51">
      <w:pPr>
        <w:pStyle w:val="Prrafodelista"/>
        <w:numPr>
          <w:ilvl w:val="0"/>
          <w:numId w:val="11"/>
        </w:numPr>
        <w:tabs>
          <w:tab w:val="left" w:pos="0"/>
        </w:tabs>
        <w:spacing w:line="360" w:lineRule="auto"/>
        <w:ind w:right="49"/>
        <w:jc w:val="both"/>
        <w:rPr>
          <w:rFonts w:ascii="Palatino Linotype" w:hAnsi="Palatino Linotype"/>
          <w:color w:val="000000"/>
        </w:rPr>
      </w:pPr>
      <w:r w:rsidRPr="007B26FF">
        <w:rPr>
          <w:rFonts w:ascii="Palatino Linotype" w:hAnsi="Palatino Linotype"/>
          <w:color w:val="000000"/>
        </w:rPr>
        <w:t xml:space="preserve">Gaceta oficial de la </w:t>
      </w:r>
      <w:r w:rsidR="00D02CD1" w:rsidRPr="007B26FF">
        <w:rPr>
          <w:rFonts w:ascii="Palatino Linotype" w:hAnsi="Palatino Linotype"/>
          <w:color w:val="000000"/>
        </w:rPr>
        <w:t>D</w:t>
      </w:r>
      <w:r w:rsidRPr="007B26FF">
        <w:rPr>
          <w:rFonts w:ascii="Palatino Linotype" w:hAnsi="Palatino Linotype"/>
          <w:color w:val="000000"/>
        </w:rPr>
        <w:t>irección de Desarrollo Urbano y todos sus anexos como es planos de lotificación, plano oficial, apertura de v</w:t>
      </w:r>
      <w:r w:rsidR="00EA755F" w:rsidRPr="007B26FF">
        <w:rPr>
          <w:rFonts w:ascii="Palatino Linotype" w:hAnsi="Palatino Linotype"/>
          <w:color w:val="000000"/>
        </w:rPr>
        <w:t>ías</w:t>
      </w:r>
      <w:r w:rsidRPr="007B26FF">
        <w:rPr>
          <w:rFonts w:ascii="Palatino Linotype" w:hAnsi="Palatino Linotype"/>
          <w:color w:val="000000"/>
        </w:rPr>
        <w:t xml:space="preserve"> p</w:t>
      </w:r>
      <w:r w:rsidR="00EA755F" w:rsidRPr="007B26FF">
        <w:rPr>
          <w:rFonts w:ascii="Palatino Linotype" w:hAnsi="Palatino Linotype"/>
          <w:color w:val="000000"/>
        </w:rPr>
        <w:t>ú</w:t>
      </w:r>
      <w:r w:rsidRPr="007B26FF">
        <w:rPr>
          <w:rFonts w:ascii="Palatino Linotype" w:hAnsi="Palatino Linotype"/>
          <w:color w:val="000000"/>
        </w:rPr>
        <w:t>blicas y divisi</w:t>
      </w:r>
      <w:r w:rsidR="00EA755F" w:rsidRPr="007B26FF">
        <w:rPr>
          <w:rFonts w:ascii="Palatino Linotype" w:hAnsi="Palatino Linotype"/>
          <w:color w:val="000000"/>
        </w:rPr>
        <w:t>ó</w:t>
      </w:r>
      <w:r w:rsidRPr="007B26FF">
        <w:rPr>
          <w:rFonts w:ascii="Palatino Linotype" w:hAnsi="Palatino Linotype"/>
          <w:color w:val="000000"/>
        </w:rPr>
        <w:t xml:space="preserve">n de lotes, fusión, subdivisión, apertura, ampliación o modificación de vías públicas; lotificación de predios para condominios; cambios de uso del suelo, de densidad e intensidad de su aprovechamiento o de la altura máxima permitida; y </w:t>
      </w:r>
    </w:p>
    <w:p w14:paraId="59106B49" w14:textId="11758D76" w:rsidR="007C62F7" w:rsidRPr="007B26FF" w:rsidRDefault="007C62F7" w:rsidP="00BA3B51">
      <w:pPr>
        <w:pStyle w:val="Prrafodelista"/>
        <w:numPr>
          <w:ilvl w:val="0"/>
          <w:numId w:val="11"/>
        </w:numPr>
        <w:tabs>
          <w:tab w:val="left" w:pos="0"/>
        </w:tabs>
        <w:spacing w:line="360" w:lineRule="auto"/>
        <w:ind w:right="49"/>
        <w:jc w:val="both"/>
        <w:rPr>
          <w:rFonts w:ascii="Palatino Linotype" w:hAnsi="Palatino Linotype"/>
          <w:color w:val="000000"/>
        </w:rPr>
      </w:pPr>
      <w:r w:rsidRPr="007B26FF">
        <w:rPr>
          <w:rFonts w:ascii="Palatino Linotype" w:hAnsi="Palatino Linotype"/>
          <w:color w:val="000000"/>
        </w:rPr>
        <w:t>Cualquier otro acto administrativo de competencia estatal o municipal que haya sido requerido para la lotificación solicitada</w:t>
      </w:r>
      <w:r w:rsidR="00D02CD1" w:rsidRPr="007B26FF">
        <w:rPr>
          <w:rFonts w:ascii="Palatino Linotype" w:hAnsi="Palatino Linotype"/>
          <w:color w:val="000000"/>
        </w:rPr>
        <w:t>;</w:t>
      </w:r>
    </w:p>
    <w:p w14:paraId="5C8FB7BE" w14:textId="12A4B5E8" w:rsidR="007C62F7" w:rsidRPr="007B26FF" w:rsidRDefault="007C62F7" w:rsidP="00BA3B51">
      <w:pPr>
        <w:pStyle w:val="Prrafodelista"/>
        <w:numPr>
          <w:ilvl w:val="0"/>
          <w:numId w:val="11"/>
        </w:numPr>
        <w:tabs>
          <w:tab w:val="left" w:pos="0"/>
        </w:tabs>
        <w:spacing w:line="360" w:lineRule="auto"/>
        <w:ind w:right="49"/>
        <w:jc w:val="both"/>
        <w:rPr>
          <w:rFonts w:ascii="Palatino Linotype" w:hAnsi="Palatino Linotype"/>
          <w:color w:val="000000"/>
        </w:rPr>
      </w:pPr>
      <w:r w:rsidRPr="007B26FF">
        <w:rPr>
          <w:rFonts w:ascii="Palatino Linotype" w:hAnsi="Palatino Linotype"/>
          <w:color w:val="000000"/>
        </w:rPr>
        <w:t>Secciones de vías públicas y privadas, en su caso</w:t>
      </w:r>
      <w:r w:rsidR="00D02CD1" w:rsidRPr="007B26FF">
        <w:rPr>
          <w:rFonts w:ascii="Palatino Linotype" w:hAnsi="Palatino Linotype"/>
          <w:color w:val="000000"/>
        </w:rPr>
        <w:t>;</w:t>
      </w:r>
    </w:p>
    <w:p w14:paraId="6CF7D5D0" w14:textId="4FFAFEC2" w:rsidR="007C62F7" w:rsidRPr="007B26FF" w:rsidRDefault="007C62F7" w:rsidP="00BA3B51">
      <w:pPr>
        <w:pStyle w:val="Prrafodelista"/>
        <w:numPr>
          <w:ilvl w:val="0"/>
          <w:numId w:val="11"/>
        </w:numPr>
        <w:tabs>
          <w:tab w:val="left" w:pos="0"/>
        </w:tabs>
        <w:spacing w:line="360" w:lineRule="auto"/>
        <w:ind w:right="49"/>
        <w:jc w:val="both"/>
        <w:rPr>
          <w:rFonts w:ascii="Palatino Linotype" w:hAnsi="Palatino Linotype"/>
          <w:color w:val="000000"/>
        </w:rPr>
      </w:pPr>
      <w:r w:rsidRPr="007B26FF">
        <w:rPr>
          <w:rFonts w:ascii="Palatino Linotype" w:hAnsi="Palatino Linotype"/>
          <w:color w:val="000000"/>
        </w:rPr>
        <w:t>Cuadro de construcción de la poligonal del predio</w:t>
      </w:r>
      <w:r w:rsidR="00D02CD1" w:rsidRPr="007B26FF">
        <w:rPr>
          <w:rFonts w:ascii="Palatino Linotype" w:hAnsi="Palatino Linotype"/>
          <w:color w:val="000000"/>
        </w:rPr>
        <w:t>;</w:t>
      </w:r>
    </w:p>
    <w:p w14:paraId="7AF346FF" w14:textId="5BDB044E" w:rsidR="007C62F7" w:rsidRPr="007B26FF" w:rsidRDefault="007C62F7" w:rsidP="00BA3B51">
      <w:pPr>
        <w:pStyle w:val="Prrafodelista"/>
        <w:numPr>
          <w:ilvl w:val="0"/>
          <w:numId w:val="11"/>
        </w:numPr>
        <w:tabs>
          <w:tab w:val="left" w:pos="0"/>
        </w:tabs>
        <w:spacing w:line="360" w:lineRule="auto"/>
        <w:ind w:right="49"/>
        <w:jc w:val="both"/>
        <w:rPr>
          <w:rFonts w:ascii="Palatino Linotype" w:hAnsi="Palatino Linotype"/>
          <w:color w:val="000000"/>
        </w:rPr>
      </w:pPr>
      <w:r w:rsidRPr="007B26FF">
        <w:rPr>
          <w:rFonts w:ascii="Palatino Linotype" w:hAnsi="Palatino Linotype"/>
          <w:color w:val="000000"/>
        </w:rPr>
        <w:lastRenderedPageBreak/>
        <w:t>Datos generales de la lotificación</w:t>
      </w:r>
      <w:r w:rsidR="00D02CD1" w:rsidRPr="007B26FF">
        <w:rPr>
          <w:rFonts w:ascii="Palatino Linotype" w:hAnsi="Palatino Linotype"/>
          <w:color w:val="000000"/>
        </w:rPr>
        <w:t>;</w:t>
      </w:r>
    </w:p>
    <w:p w14:paraId="75CECE97" w14:textId="679CD0E7" w:rsidR="007C62F7" w:rsidRPr="007B26FF" w:rsidRDefault="007C62F7" w:rsidP="00BA3B51">
      <w:pPr>
        <w:pStyle w:val="Prrafodelista"/>
        <w:numPr>
          <w:ilvl w:val="0"/>
          <w:numId w:val="11"/>
        </w:numPr>
        <w:tabs>
          <w:tab w:val="left" w:pos="0"/>
        </w:tabs>
        <w:spacing w:line="360" w:lineRule="auto"/>
        <w:ind w:right="49"/>
        <w:jc w:val="both"/>
        <w:rPr>
          <w:rFonts w:ascii="Palatino Linotype" w:hAnsi="Palatino Linotype"/>
          <w:color w:val="000000"/>
        </w:rPr>
      </w:pPr>
      <w:r w:rsidRPr="007B26FF">
        <w:rPr>
          <w:rFonts w:ascii="Palatino Linotype" w:hAnsi="Palatino Linotype"/>
          <w:color w:val="000000"/>
        </w:rPr>
        <w:t>Cuadros de cuantificación de lotes, superficies y usos del suelo por manzana</w:t>
      </w:r>
      <w:r w:rsidR="00D02CD1" w:rsidRPr="007B26FF">
        <w:rPr>
          <w:rFonts w:ascii="Palatino Linotype" w:hAnsi="Palatino Linotype"/>
          <w:color w:val="000000"/>
        </w:rPr>
        <w:t>;</w:t>
      </w:r>
    </w:p>
    <w:p w14:paraId="1D73CD9E" w14:textId="285FC93B" w:rsidR="007C62F7" w:rsidRPr="007B26FF" w:rsidRDefault="007C62F7" w:rsidP="00BA3B51">
      <w:pPr>
        <w:pStyle w:val="Prrafodelista"/>
        <w:numPr>
          <w:ilvl w:val="0"/>
          <w:numId w:val="11"/>
        </w:numPr>
        <w:tabs>
          <w:tab w:val="left" w:pos="0"/>
        </w:tabs>
        <w:spacing w:line="360" w:lineRule="auto"/>
        <w:ind w:right="49"/>
        <w:jc w:val="both"/>
        <w:rPr>
          <w:rFonts w:ascii="Palatino Linotype" w:hAnsi="Palatino Linotype"/>
          <w:color w:val="000000"/>
        </w:rPr>
      </w:pPr>
      <w:r w:rsidRPr="007B26FF">
        <w:rPr>
          <w:rFonts w:ascii="Palatino Linotype" w:hAnsi="Palatino Linotype"/>
          <w:color w:val="000000"/>
        </w:rPr>
        <w:t>Datos de las autorizaciones implícitas, en su caso</w:t>
      </w:r>
      <w:r w:rsidR="00D02CD1" w:rsidRPr="007B26FF">
        <w:rPr>
          <w:rFonts w:ascii="Palatino Linotype" w:hAnsi="Palatino Linotype"/>
          <w:color w:val="000000"/>
        </w:rPr>
        <w:t>;</w:t>
      </w:r>
    </w:p>
    <w:p w14:paraId="73932260" w14:textId="542E0A02" w:rsidR="007C62F7" w:rsidRPr="007B26FF" w:rsidRDefault="007C62F7" w:rsidP="00BA3B51">
      <w:pPr>
        <w:pStyle w:val="Prrafodelista"/>
        <w:numPr>
          <w:ilvl w:val="0"/>
          <w:numId w:val="11"/>
        </w:numPr>
        <w:tabs>
          <w:tab w:val="left" w:pos="0"/>
        </w:tabs>
        <w:spacing w:line="360" w:lineRule="auto"/>
        <w:ind w:right="49"/>
        <w:jc w:val="both"/>
        <w:rPr>
          <w:rFonts w:ascii="Palatino Linotype" w:hAnsi="Palatino Linotype"/>
          <w:color w:val="000000"/>
        </w:rPr>
      </w:pPr>
      <w:r w:rsidRPr="007B26FF">
        <w:rPr>
          <w:rFonts w:ascii="Palatino Linotype" w:hAnsi="Palatino Linotype"/>
          <w:color w:val="000000"/>
        </w:rPr>
        <w:t>Datos de autorización y publicación en la Gaceta del Gobierno</w:t>
      </w:r>
      <w:r w:rsidR="00D02CD1" w:rsidRPr="007B26FF">
        <w:rPr>
          <w:rFonts w:ascii="Palatino Linotype" w:hAnsi="Palatino Linotype"/>
          <w:color w:val="000000"/>
        </w:rPr>
        <w:t>;</w:t>
      </w:r>
    </w:p>
    <w:p w14:paraId="3DF06112" w14:textId="2882410F" w:rsidR="007C62F7" w:rsidRPr="007B26FF" w:rsidRDefault="007C62F7" w:rsidP="00BA3B51">
      <w:pPr>
        <w:pStyle w:val="Prrafodelista"/>
        <w:numPr>
          <w:ilvl w:val="0"/>
          <w:numId w:val="11"/>
        </w:numPr>
        <w:tabs>
          <w:tab w:val="left" w:pos="0"/>
        </w:tabs>
        <w:spacing w:line="360" w:lineRule="auto"/>
        <w:ind w:right="49"/>
        <w:jc w:val="both"/>
        <w:rPr>
          <w:rFonts w:ascii="Palatino Linotype" w:hAnsi="Palatino Linotype"/>
          <w:color w:val="000000"/>
        </w:rPr>
      </w:pPr>
      <w:r w:rsidRPr="007B26FF">
        <w:rPr>
          <w:rFonts w:ascii="Palatino Linotype" w:hAnsi="Palatino Linotype"/>
          <w:color w:val="000000"/>
        </w:rPr>
        <w:t>Nombre, firma y datos de registro del perito</w:t>
      </w:r>
      <w:r w:rsidR="00D02CD1" w:rsidRPr="007B26FF">
        <w:rPr>
          <w:rFonts w:ascii="Palatino Linotype" w:hAnsi="Palatino Linotype"/>
          <w:color w:val="000000"/>
        </w:rPr>
        <w:t>;</w:t>
      </w:r>
    </w:p>
    <w:p w14:paraId="34A93985" w14:textId="3B145858" w:rsidR="007C62F7" w:rsidRPr="007B26FF" w:rsidRDefault="007C62F7" w:rsidP="00BA3B51">
      <w:pPr>
        <w:pStyle w:val="Prrafodelista"/>
        <w:numPr>
          <w:ilvl w:val="0"/>
          <w:numId w:val="11"/>
        </w:numPr>
        <w:tabs>
          <w:tab w:val="left" w:pos="0"/>
        </w:tabs>
        <w:spacing w:line="360" w:lineRule="auto"/>
        <w:ind w:right="49"/>
        <w:jc w:val="both"/>
        <w:rPr>
          <w:rFonts w:ascii="Palatino Linotype" w:hAnsi="Palatino Linotype"/>
          <w:color w:val="000000"/>
        </w:rPr>
      </w:pPr>
      <w:r w:rsidRPr="007B26FF">
        <w:rPr>
          <w:rFonts w:ascii="Palatino Linotype" w:hAnsi="Palatino Linotype"/>
          <w:color w:val="000000"/>
        </w:rPr>
        <w:t>Etapas o secciones del desarrollo, si las hubiera</w:t>
      </w:r>
      <w:r w:rsidR="00D02CD1" w:rsidRPr="007B26FF">
        <w:rPr>
          <w:rFonts w:ascii="Palatino Linotype" w:hAnsi="Palatino Linotype"/>
          <w:color w:val="000000"/>
        </w:rPr>
        <w:t>;</w:t>
      </w:r>
    </w:p>
    <w:p w14:paraId="1E59EA59" w14:textId="5DA3B981" w:rsidR="007C62F7" w:rsidRPr="007B26FF" w:rsidRDefault="007C62F7" w:rsidP="00BA3B51">
      <w:pPr>
        <w:pStyle w:val="Prrafodelista"/>
        <w:numPr>
          <w:ilvl w:val="0"/>
          <w:numId w:val="11"/>
        </w:numPr>
        <w:tabs>
          <w:tab w:val="left" w:pos="0"/>
        </w:tabs>
        <w:spacing w:line="360" w:lineRule="auto"/>
        <w:ind w:right="49"/>
        <w:jc w:val="both"/>
        <w:rPr>
          <w:rFonts w:ascii="Palatino Linotype" w:hAnsi="Palatino Linotype"/>
          <w:color w:val="000000"/>
        </w:rPr>
      </w:pPr>
      <w:r w:rsidRPr="007B26FF">
        <w:rPr>
          <w:rFonts w:ascii="Palatino Linotype" w:hAnsi="Palatino Linotype"/>
          <w:color w:val="000000"/>
        </w:rPr>
        <w:t>En su caso, los créditos nombre de quienes proyectan, dibujan y revisan</w:t>
      </w:r>
      <w:r w:rsidR="00D02CD1" w:rsidRPr="007B26FF">
        <w:rPr>
          <w:rFonts w:ascii="Palatino Linotype" w:hAnsi="Palatino Linotype"/>
          <w:color w:val="000000"/>
        </w:rPr>
        <w:t>;</w:t>
      </w:r>
    </w:p>
    <w:p w14:paraId="21F7E055" w14:textId="2D894164" w:rsidR="007C62F7" w:rsidRPr="007B26FF" w:rsidRDefault="007C62F7" w:rsidP="00BA3B51">
      <w:pPr>
        <w:pStyle w:val="Prrafodelista"/>
        <w:numPr>
          <w:ilvl w:val="0"/>
          <w:numId w:val="11"/>
        </w:numPr>
        <w:tabs>
          <w:tab w:val="left" w:pos="0"/>
        </w:tabs>
        <w:spacing w:line="360" w:lineRule="auto"/>
        <w:ind w:right="49"/>
        <w:jc w:val="both"/>
        <w:rPr>
          <w:rFonts w:ascii="Palatino Linotype" w:hAnsi="Palatino Linotype"/>
          <w:color w:val="000000"/>
        </w:rPr>
      </w:pPr>
      <w:r w:rsidRPr="007B26FF">
        <w:rPr>
          <w:rFonts w:ascii="Palatino Linotype" w:hAnsi="Palatino Linotype"/>
          <w:color w:val="000000"/>
        </w:rPr>
        <w:t>Nombre y número del plano</w:t>
      </w:r>
      <w:r w:rsidR="00D02CD1" w:rsidRPr="007B26FF">
        <w:rPr>
          <w:rFonts w:ascii="Palatino Linotype" w:hAnsi="Palatino Linotype"/>
          <w:color w:val="000000"/>
        </w:rPr>
        <w:t>;</w:t>
      </w:r>
    </w:p>
    <w:p w14:paraId="2B64BD4D" w14:textId="77777777" w:rsidR="00844114" w:rsidRPr="007B26FF" w:rsidRDefault="007C62F7" w:rsidP="00BA3B51">
      <w:pPr>
        <w:pStyle w:val="Prrafodelista"/>
        <w:numPr>
          <w:ilvl w:val="0"/>
          <w:numId w:val="11"/>
        </w:numPr>
        <w:tabs>
          <w:tab w:val="left" w:pos="0"/>
        </w:tabs>
        <w:spacing w:line="360" w:lineRule="auto"/>
        <w:ind w:right="49"/>
        <w:jc w:val="both"/>
        <w:rPr>
          <w:rFonts w:ascii="Palatino Linotype" w:hAnsi="Palatino Linotype"/>
          <w:color w:val="000000"/>
        </w:rPr>
      </w:pPr>
      <w:r w:rsidRPr="007B26FF">
        <w:rPr>
          <w:rFonts w:ascii="Palatino Linotype" w:hAnsi="Palatino Linotype"/>
          <w:color w:val="000000"/>
        </w:rPr>
        <w:t>Nombres, cargos y firmas de los funcionarios públicos que autorizan</w:t>
      </w:r>
    </w:p>
    <w:p w14:paraId="08EDE298" w14:textId="554DF119" w:rsidR="007C62F7" w:rsidRPr="007B26FF" w:rsidRDefault="007C62F7" w:rsidP="00BA3B51">
      <w:pPr>
        <w:pStyle w:val="Prrafodelista"/>
        <w:numPr>
          <w:ilvl w:val="0"/>
          <w:numId w:val="11"/>
        </w:numPr>
        <w:tabs>
          <w:tab w:val="left" w:pos="0"/>
        </w:tabs>
        <w:spacing w:line="360" w:lineRule="auto"/>
        <w:ind w:right="49"/>
        <w:jc w:val="both"/>
        <w:rPr>
          <w:rFonts w:ascii="Palatino Linotype" w:hAnsi="Palatino Linotype"/>
          <w:color w:val="000000"/>
        </w:rPr>
      </w:pPr>
      <w:r w:rsidRPr="007B26FF">
        <w:rPr>
          <w:rFonts w:ascii="Palatino Linotype" w:hAnsi="Palatino Linotype"/>
          <w:color w:val="000000"/>
        </w:rPr>
        <w:t xml:space="preserve"> </w:t>
      </w:r>
      <w:r w:rsidR="00844114" w:rsidRPr="007B26FF">
        <w:rPr>
          <w:rFonts w:ascii="Palatino Linotype" w:hAnsi="Palatino Linotype"/>
          <w:color w:val="000000"/>
        </w:rPr>
        <w:t>O</w:t>
      </w:r>
      <w:r w:rsidRPr="007B26FF">
        <w:rPr>
          <w:rFonts w:ascii="Palatino Linotype" w:hAnsi="Palatino Linotype"/>
          <w:color w:val="000000"/>
        </w:rPr>
        <w:t>ficio No. 224020000/3844/2014 aprobación de proyecto de lotificación</w:t>
      </w:r>
      <w:r w:rsidR="00D02CD1" w:rsidRPr="007B26FF">
        <w:rPr>
          <w:rFonts w:ascii="Palatino Linotype" w:hAnsi="Palatino Linotype"/>
          <w:color w:val="000000"/>
        </w:rPr>
        <w:t>;</w:t>
      </w:r>
    </w:p>
    <w:p w14:paraId="14BE59C8" w14:textId="75DF2FCE" w:rsidR="007C62F7" w:rsidRPr="007B26FF" w:rsidRDefault="007C62F7" w:rsidP="00BA3B51">
      <w:pPr>
        <w:pStyle w:val="Prrafodelista"/>
        <w:numPr>
          <w:ilvl w:val="0"/>
          <w:numId w:val="11"/>
        </w:numPr>
        <w:tabs>
          <w:tab w:val="left" w:pos="0"/>
        </w:tabs>
        <w:spacing w:line="360" w:lineRule="auto"/>
        <w:ind w:right="49"/>
        <w:jc w:val="both"/>
        <w:rPr>
          <w:rFonts w:ascii="Palatino Linotype" w:hAnsi="Palatino Linotype"/>
          <w:color w:val="000000"/>
        </w:rPr>
      </w:pPr>
      <w:r w:rsidRPr="007B26FF">
        <w:rPr>
          <w:rFonts w:ascii="Palatino Linotype" w:hAnsi="Palatino Linotype"/>
          <w:color w:val="000000"/>
        </w:rPr>
        <w:t xml:space="preserve">Actas de entrega-recepción tanto parcial como total en el periodo del 2014 al 2020, detallada por </w:t>
      </w:r>
      <w:proofErr w:type="spellStart"/>
      <w:r w:rsidRPr="007B26FF">
        <w:rPr>
          <w:rFonts w:ascii="Palatino Linotype" w:hAnsi="Palatino Linotype"/>
          <w:color w:val="000000"/>
        </w:rPr>
        <w:t>numero</w:t>
      </w:r>
      <w:proofErr w:type="spellEnd"/>
      <w:r w:rsidRPr="007B26FF">
        <w:rPr>
          <w:rFonts w:ascii="Palatino Linotype" w:hAnsi="Palatino Linotype"/>
          <w:color w:val="000000"/>
        </w:rPr>
        <w:t xml:space="preserve"> de expediente</w:t>
      </w:r>
      <w:r w:rsidR="00D02CD1" w:rsidRPr="007B26FF">
        <w:rPr>
          <w:rFonts w:ascii="Palatino Linotype" w:hAnsi="Palatino Linotype"/>
          <w:color w:val="000000"/>
        </w:rPr>
        <w:t>;</w:t>
      </w:r>
    </w:p>
    <w:p w14:paraId="717B9D6A" w14:textId="632800DD" w:rsidR="007C62F7" w:rsidRPr="007B26FF" w:rsidRDefault="007C62F7" w:rsidP="00BA3B51">
      <w:pPr>
        <w:pStyle w:val="Prrafodelista"/>
        <w:numPr>
          <w:ilvl w:val="0"/>
          <w:numId w:val="11"/>
        </w:numPr>
        <w:tabs>
          <w:tab w:val="left" w:pos="0"/>
        </w:tabs>
        <w:spacing w:line="360" w:lineRule="auto"/>
        <w:ind w:right="49"/>
        <w:jc w:val="both"/>
        <w:rPr>
          <w:rFonts w:ascii="Palatino Linotype" w:hAnsi="Palatino Linotype"/>
          <w:color w:val="000000"/>
        </w:rPr>
      </w:pPr>
      <w:r w:rsidRPr="007B26FF">
        <w:rPr>
          <w:rFonts w:ascii="Palatino Linotype" w:hAnsi="Palatino Linotype"/>
          <w:color w:val="000000"/>
        </w:rPr>
        <w:t xml:space="preserve">Actas de supervisión correspondiente a la bitácora de supervisión de control de obras de infraestructura, </w:t>
      </w:r>
      <w:proofErr w:type="spellStart"/>
      <w:r w:rsidRPr="007B26FF">
        <w:rPr>
          <w:rFonts w:ascii="Palatino Linotype" w:hAnsi="Palatino Linotype"/>
          <w:color w:val="000000"/>
        </w:rPr>
        <w:t>urbanizacion</w:t>
      </w:r>
      <w:proofErr w:type="spellEnd"/>
      <w:r w:rsidRPr="007B26FF">
        <w:rPr>
          <w:rFonts w:ascii="Palatino Linotype" w:hAnsi="Palatino Linotype"/>
          <w:color w:val="000000"/>
        </w:rPr>
        <w:t xml:space="preserve"> y equipamiento de conjuntos urbanos</w:t>
      </w:r>
      <w:r w:rsidR="00D02CD1" w:rsidRPr="007B26FF">
        <w:rPr>
          <w:rFonts w:ascii="Palatino Linotype" w:hAnsi="Palatino Linotype"/>
          <w:color w:val="000000"/>
        </w:rPr>
        <w:t>;</w:t>
      </w:r>
    </w:p>
    <w:p w14:paraId="0FDCAA90" w14:textId="5AD82916" w:rsidR="007C62F7" w:rsidRPr="007B26FF" w:rsidRDefault="007C62F7" w:rsidP="00BA3B51">
      <w:pPr>
        <w:pStyle w:val="Prrafodelista"/>
        <w:numPr>
          <w:ilvl w:val="0"/>
          <w:numId w:val="11"/>
        </w:numPr>
        <w:tabs>
          <w:tab w:val="left" w:pos="0"/>
        </w:tabs>
        <w:spacing w:line="360" w:lineRule="auto"/>
        <w:ind w:right="49"/>
        <w:jc w:val="both"/>
        <w:rPr>
          <w:rFonts w:ascii="Palatino Linotype" w:hAnsi="Palatino Linotype"/>
          <w:color w:val="000000"/>
        </w:rPr>
      </w:pPr>
      <w:r w:rsidRPr="007B26FF">
        <w:rPr>
          <w:rFonts w:ascii="Palatino Linotype" w:hAnsi="Palatino Linotype"/>
          <w:color w:val="000000"/>
        </w:rPr>
        <w:t xml:space="preserve">La publicidad y/o contenido, propaganda aprobada por la Secretaria de Desarrollo Urbano para evitar propaganda engañosa conforme lo establece el </w:t>
      </w:r>
      <w:proofErr w:type="spellStart"/>
      <w:r w:rsidRPr="007B26FF">
        <w:rPr>
          <w:rFonts w:ascii="Palatino Linotype" w:hAnsi="Palatino Linotype"/>
          <w:color w:val="000000"/>
        </w:rPr>
        <w:t>articulo</w:t>
      </w:r>
      <w:proofErr w:type="spellEnd"/>
      <w:r w:rsidR="00D02CD1" w:rsidRPr="007B26FF">
        <w:rPr>
          <w:rFonts w:ascii="Palatino Linotype" w:hAnsi="Palatino Linotype"/>
          <w:color w:val="000000"/>
        </w:rPr>
        <w:t xml:space="preserve"> </w:t>
      </w:r>
      <w:r w:rsidRPr="007B26FF">
        <w:rPr>
          <w:rFonts w:ascii="Palatino Linotype" w:hAnsi="Palatino Linotype"/>
          <w:color w:val="000000"/>
        </w:rPr>
        <w:t xml:space="preserve">5.38 </w:t>
      </w:r>
      <w:r w:rsidR="00D02CD1" w:rsidRPr="007B26FF">
        <w:rPr>
          <w:rFonts w:ascii="Palatino Linotype" w:hAnsi="Palatino Linotype"/>
          <w:color w:val="000000"/>
        </w:rPr>
        <w:t>fracción</w:t>
      </w:r>
      <w:r w:rsidRPr="007B26FF">
        <w:rPr>
          <w:rFonts w:ascii="Palatino Linotype" w:hAnsi="Palatino Linotype"/>
          <w:color w:val="000000"/>
        </w:rPr>
        <w:t xml:space="preserve"> XII del </w:t>
      </w:r>
      <w:r w:rsidR="00D02CD1" w:rsidRPr="007B26FF">
        <w:rPr>
          <w:rFonts w:ascii="Palatino Linotype" w:hAnsi="Palatino Linotype"/>
          <w:color w:val="000000"/>
        </w:rPr>
        <w:t>Código</w:t>
      </w:r>
      <w:r w:rsidRPr="007B26FF">
        <w:rPr>
          <w:rFonts w:ascii="Palatino Linotype" w:hAnsi="Palatino Linotype"/>
          <w:color w:val="000000"/>
        </w:rPr>
        <w:t xml:space="preserve"> </w:t>
      </w:r>
      <w:r w:rsidR="00D02CD1" w:rsidRPr="007B26FF">
        <w:rPr>
          <w:rFonts w:ascii="Palatino Linotype" w:hAnsi="Palatino Linotype"/>
          <w:color w:val="000000"/>
        </w:rPr>
        <w:t>A</w:t>
      </w:r>
      <w:r w:rsidRPr="007B26FF">
        <w:rPr>
          <w:rFonts w:ascii="Palatino Linotype" w:hAnsi="Palatino Linotype"/>
          <w:color w:val="000000"/>
        </w:rPr>
        <w:t>dministrativo del Estado de M</w:t>
      </w:r>
      <w:r w:rsidR="00D02CD1" w:rsidRPr="007B26FF">
        <w:rPr>
          <w:rFonts w:ascii="Palatino Linotype" w:hAnsi="Palatino Linotype"/>
          <w:color w:val="000000"/>
        </w:rPr>
        <w:t>é</w:t>
      </w:r>
      <w:r w:rsidRPr="007B26FF">
        <w:rPr>
          <w:rFonts w:ascii="Palatino Linotype" w:hAnsi="Palatino Linotype"/>
          <w:color w:val="000000"/>
        </w:rPr>
        <w:t>xico</w:t>
      </w:r>
      <w:r w:rsidR="00D02CD1" w:rsidRPr="007B26FF">
        <w:rPr>
          <w:rFonts w:ascii="Palatino Linotype" w:hAnsi="Palatino Linotype"/>
          <w:color w:val="000000"/>
        </w:rPr>
        <w:t>; y,</w:t>
      </w:r>
      <w:r w:rsidRPr="007B26FF">
        <w:rPr>
          <w:rFonts w:ascii="Palatino Linotype" w:hAnsi="Palatino Linotype"/>
          <w:color w:val="000000"/>
        </w:rPr>
        <w:t xml:space="preserve"> </w:t>
      </w:r>
    </w:p>
    <w:p w14:paraId="0CC4FC86" w14:textId="37F9CC6E" w:rsidR="00EE58F0" w:rsidRPr="007B26FF" w:rsidRDefault="007C62F7" w:rsidP="00EE58F0">
      <w:pPr>
        <w:pStyle w:val="Prrafodelista"/>
        <w:numPr>
          <w:ilvl w:val="0"/>
          <w:numId w:val="11"/>
        </w:numPr>
        <w:tabs>
          <w:tab w:val="left" w:pos="0"/>
        </w:tabs>
        <w:spacing w:line="360" w:lineRule="auto"/>
        <w:ind w:right="49"/>
        <w:jc w:val="both"/>
        <w:rPr>
          <w:rFonts w:ascii="Palatino Linotype" w:hAnsi="Palatino Linotype"/>
          <w:color w:val="000000"/>
        </w:rPr>
      </w:pPr>
      <w:r w:rsidRPr="007B26FF">
        <w:rPr>
          <w:rFonts w:ascii="Palatino Linotype" w:hAnsi="Palatino Linotype"/>
          <w:color w:val="000000"/>
        </w:rPr>
        <w:t xml:space="preserve">La </w:t>
      </w:r>
      <w:proofErr w:type="spellStart"/>
      <w:r w:rsidRPr="007B26FF">
        <w:rPr>
          <w:rFonts w:ascii="Palatino Linotype" w:hAnsi="Palatino Linotype"/>
          <w:color w:val="000000"/>
        </w:rPr>
        <w:t>autorizacion</w:t>
      </w:r>
      <w:proofErr w:type="spellEnd"/>
      <w:r w:rsidRPr="007B26FF">
        <w:rPr>
          <w:rFonts w:ascii="Palatino Linotype" w:hAnsi="Palatino Linotype"/>
          <w:color w:val="000000"/>
        </w:rPr>
        <w:t xml:space="preserve"> expresa de la Secretaria de Desarrollo Urbano por conducto de la </w:t>
      </w:r>
      <w:proofErr w:type="spellStart"/>
      <w:r w:rsidRPr="007B26FF">
        <w:rPr>
          <w:rFonts w:ascii="Palatino Linotype" w:hAnsi="Palatino Linotype"/>
          <w:color w:val="000000"/>
        </w:rPr>
        <w:t>Direecion</w:t>
      </w:r>
      <w:proofErr w:type="spellEnd"/>
      <w:r w:rsidRPr="007B26FF">
        <w:rPr>
          <w:rFonts w:ascii="Palatino Linotype" w:hAnsi="Palatino Linotype"/>
          <w:color w:val="000000"/>
        </w:rPr>
        <w:t xml:space="preserve"> General de </w:t>
      </w:r>
      <w:proofErr w:type="spellStart"/>
      <w:r w:rsidRPr="007B26FF">
        <w:rPr>
          <w:rFonts w:ascii="Palatino Linotype" w:hAnsi="Palatino Linotype"/>
          <w:color w:val="000000"/>
        </w:rPr>
        <w:t>Operacion</w:t>
      </w:r>
      <w:proofErr w:type="spellEnd"/>
      <w:r w:rsidRPr="007B26FF">
        <w:rPr>
          <w:rFonts w:ascii="Palatino Linotype" w:hAnsi="Palatino Linotype"/>
          <w:color w:val="000000"/>
        </w:rPr>
        <w:t xml:space="preserve"> Urbana para transferir o </w:t>
      </w:r>
      <w:proofErr w:type="spellStart"/>
      <w:r w:rsidRPr="007B26FF">
        <w:rPr>
          <w:rFonts w:ascii="Palatino Linotype" w:hAnsi="Palatino Linotype"/>
          <w:color w:val="000000"/>
        </w:rPr>
        <w:t>seder</w:t>
      </w:r>
      <w:proofErr w:type="spellEnd"/>
      <w:r w:rsidRPr="007B26FF">
        <w:rPr>
          <w:rFonts w:ascii="Palatino Linotype" w:hAnsi="Palatino Linotype"/>
          <w:color w:val="000000"/>
        </w:rPr>
        <w:t xml:space="preserve"> los derechos o cambio de titularidad para la ocupación de los lotes.</w:t>
      </w:r>
    </w:p>
    <w:p w14:paraId="5E0C1253" w14:textId="31937A88" w:rsidR="00001287" w:rsidRPr="007B26FF" w:rsidRDefault="00EE58F0" w:rsidP="00001287">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B26FF">
        <w:rPr>
          <w:rFonts w:ascii="Palatino Linotype" w:eastAsia="MS Mincho" w:hAnsi="Palatino Linotype" w:cstheme="majorBidi"/>
        </w:rPr>
        <w:lastRenderedPageBreak/>
        <w:t xml:space="preserve">Estando en tiempo y forma el </w:t>
      </w:r>
      <w:r w:rsidRPr="007B26FF">
        <w:rPr>
          <w:rFonts w:ascii="Palatino Linotype" w:eastAsia="MS Mincho" w:hAnsi="Palatino Linotype" w:cstheme="majorBidi"/>
          <w:b/>
        </w:rPr>
        <w:t>SUJETO OBLIGADO</w:t>
      </w:r>
      <w:r w:rsidRPr="007B26FF">
        <w:rPr>
          <w:rFonts w:ascii="Palatino Linotype" w:eastAsia="MS Mincho" w:hAnsi="Palatino Linotype" w:cstheme="majorBidi"/>
        </w:rPr>
        <w:t xml:space="preserve"> dio respuesta a la solicitud de información promovida por el particular</w:t>
      </w:r>
      <w:r w:rsidRPr="007B26FF">
        <w:rPr>
          <w:rFonts w:ascii="Palatino Linotype" w:hAnsi="Palatino Linotype" w:cs="Arial"/>
          <w:i/>
          <w:color w:val="000000" w:themeColor="text1"/>
        </w:rPr>
        <w:t xml:space="preserve"> </w:t>
      </w:r>
      <w:r w:rsidR="00BD39C1" w:rsidRPr="007B26FF">
        <w:rPr>
          <w:rFonts w:ascii="Palatino Linotype" w:hAnsi="Palatino Linotype" w:cs="Arial"/>
          <w:color w:val="000000" w:themeColor="text1"/>
        </w:rPr>
        <w:t xml:space="preserve">haciendo de su conocimiento </w:t>
      </w:r>
      <w:r w:rsidRPr="007B26FF">
        <w:rPr>
          <w:rFonts w:ascii="Palatino Linotype" w:hAnsi="Palatino Linotype" w:cs="Arial"/>
          <w:color w:val="000000" w:themeColor="text1"/>
        </w:rPr>
        <w:t>las direcciones electrónicas en las cuales podía consultar las</w:t>
      </w:r>
      <w:r w:rsidRPr="007B26FF">
        <w:rPr>
          <w:rFonts w:ascii="Palatino Linotype" w:hAnsi="Palatino Linotype" w:cs="Arial"/>
          <w:i/>
          <w:color w:val="000000" w:themeColor="text1"/>
        </w:rPr>
        <w:t xml:space="preserve"> </w:t>
      </w:r>
      <w:r w:rsidR="004A03ED" w:rsidRPr="007B26FF">
        <w:rPr>
          <w:rFonts w:ascii="Palatino Linotype" w:hAnsi="Palatino Linotype" w:cs="Calibri"/>
        </w:rPr>
        <w:t>Gaceta</w:t>
      </w:r>
      <w:r w:rsidRPr="007B26FF">
        <w:rPr>
          <w:rFonts w:ascii="Palatino Linotype" w:hAnsi="Palatino Linotype" w:cs="Calibri"/>
        </w:rPr>
        <w:t>s</w:t>
      </w:r>
      <w:r w:rsidR="004A03ED" w:rsidRPr="007B26FF">
        <w:rPr>
          <w:rFonts w:ascii="Palatino Linotype" w:hAnsi="Palatino Linotype" w:cs="Calibri"/>
        </w:rPr>
        <w:t xml:space="preserve"> de Gobierno mediante las cuales </w:t>
      </w:r>
      <w:r w:rsidRPr="007B26FF">
        <w:rPr>
          <w:rFonts w:ascii="Palatino Linotype" w:hAnsi="Palatino Linotype"/>
        </w:rPr>
        <w:t>se autoriza a la empresa PROMOTORA DE VIVIENDAS INTEGRALES, S.A. DE C.V. el Conjunto Urbano de tipo Habitacional de Interés Social y Popular denominado “REAL GRANADA” ubicado en el Municipio de Tecámac</w:t>
      </w:r>
      <w:r w:rsidR="004A03ED" w:rsidRPr="007B26FF">
        <w:rPr>
          <w:rFonts w:ascii="Palatino Linotype" w:hAnsi="Palatino Linotype" w:cs="Calibri"/>
        </w:rPr>
        <w:t xml:space="preserve"> </w:t>
      </w:r>
      <w:r w:rsidRPr="007B26FF">
        <w:rPr>
          <w:rFonts w:ascii="Palatino Linotype" w:hAnsi="Palatino Linotype" w:cs="Calibri"/>
        </w:rPr>
        <w:t xml:space="preserve"> y que de conformidad con el</w:t>
      </w:r>
      <w:r w:rsidR="004A03ED" w:rsidRPr="007B26FF">
        <w:rPr>
          <w:rFonts w:ascii="Palatino Linotype" w:hAnsi="Palatino Linotype" w:cs="Calibri"/>
        </w:rPr>
        <w:t xml:space="preserve"> artículo 144 fraccio</w:t>
      </w:r>
      <w:r w:rsidR="00404A69" w:rsidRPr="007B26FF">
        <w:rPr>
          <w:rFonts w:ascii="Palatino Linotype" w:hAnsi="Palatino Linotype" w:cs="Calibri"/>
        </w:rPr>
        <w:t>nes</w:t>
      </w:r>
      <w:r w:rsidR="004A03ED" w:rsidRPr="007B26FF">
        <w:rPr>
          <w:rFonts w:ascii="Palatino Linotype" w:hAnsi="Palatino Linotype" w:cs="Calibri"/>
        </w:rPr>
        <w:t xml:space="preserve"> X III del Código Financiero del Estado de México y Municipios, tend</w:t>
      </w:r>
      <w:r w:rsidRPr="007B26FF">
        <w:rPr>
          <w:rFonts w:ascii="Palatino Linotype" w:hAnsi="Palatino Linotype" w:cs="Calibri"/>
        </w:rPr>
        <w:t>ría</w:t>
      </w:r>
      <w:r w:rsidR="004A03ED" w:rsidRPr="007B26FF">
        <w:rPr>
          <w:rFonts w:ascii="Palatino Linotype" w:hAnsi="Palatino Linotype" w:cs="Calibri"/>
        </w:rPr>
        <w:t xml:space="preserve"> que pagar los derechos correspondientes, para la emisión de copias y planos que resguarda esta Dirección de Desarrollo Urbano del Municipio de Tecámac, Estado de México</w:t>
      </w:r>
      <w:r w:rsidR="00001287" w:rsidRPr="007B26FF">
        <w:rPr>
          <w:rFonts w:ascii="Palatino Linotype" w:hAnsi="Palatino Linotype" w:cs="Calibri"/>
        </w:rPr>
        <w:t>.</w:t>
      </w:r>
    </w:p>
    <w:p w14:paraId="56AE12FA" w14:textId="2850D7C4" w:rsidR="004A03ED" w:rsidRPr="007B26FF" w:rsidRDefault="004A03ED" w:rsidP="00001287">
      <w:pPr>
        <w:pStyle w:val="Prrafodelista"/>
        <w:tabs>
          <w:tab w:val="left" w:pos="0"/>
        </w:tabs>
        <w:spacing w:line="360" w:lineRule="auto"/>
        <w:ind w:left="0" w:right="49"/>
        <w:jc w:val="both"/>
        <w:rPr>
          <w:rFonts w:ascii="Palatino Linotype" w:hAnsi="Palatino Linotype" w:cs="Arial"/>
          <w:i/>
          <w:color w:val="000000" w:themeColor="text1"/>
        </w:rPr>
      </w:pPr>
    </w:p>
    <w:p w14:paraId="7B8E3E45" w14:textId="4016087F" w:rsidR="00EA755F" w:rsidRPr="007B26FF" w:rsidRDefault="00EA755F" w:rsidP="00BD39C1">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7B26FF">
        <w:rPr>
          <w:rFonts w:ascii="Palatino Linotype" w:hAnsi="Palatino Linotype" w:cs="Arial"/>
          <w:color w:val="000000" w:themeColor="text1"/>
        </w:rPr>
        <w:t xml:space="preserve">Cabe precisar, primeramente que el </w:t>
      </w:r>
      <w:r w:rsidRPr="007B26FF">
        <w:rPr>
          <w:rFonts w:ascii="Palatino Linotype" w:hAnsi="Palatino Linotype" w:cs="Arial"/>
          <w:b/>
          <w:color w:val="000000" w:themeColor="text1"/>
        </w:rPr>
        <w:t>SUJETO OBLIGADO</w:t>
      </w:r>
      <w:r w:rsidRPr="007B26FF">
        <w:rPr>
          <w:rFonts w:ascii="Palatino Linotype" w:hAnsi="Palatino Linotype" w:cs="Arial"/>
          <w:color w:val="000000" w:themeColor="text1"/>
        </w:rPr>
        <w:t xml:space="preserve">, respecto de lo solicitado en el inciso h) consistente en: </w:t>
      </w:r>
      <w:r w:rsidRPr="007B26FF">
        <w:rPr>
          <w:rFonts w:ascii="Palatino Linotype" w:hAnsi="Palatino Linotype"/>
          <w:color w:val="000000"/>
        </w:rPr>
        <w:t xml:space="preserve">Datos de autorización y publicación en la Gaceta del Gobierno, mediante su respuesta proporcionó las direcciones electrónicas </w:t>
      </w:r>
      <w:r w:rsidR="007A08DD" w:rsidRPr="007B26FF">
        <w:rPr>
          <w:rFonts w:ascii="Palatino Linotype" w:hAnsi="Palatino Linotype"/>
          <w:color w:val="000000"/>
        </w:rPr>
        <w:t xml:space="preserve">en las cuales </w:t>
      </w:r>
      <w:r w:rsidRPr="007B26FF">
        <w:rPr>
          <w:rFonts w:ascii="Palatino Linotype" w:hAnsi="Palatino Linotype"/>
          <w:color w:val="000000"/>
        </w:rPr>
        <w:t xml:space="preserve">se pueden consultar las Gacetas de Gobierno de las publicaciones de los acuerdos </w:t>
      </w:r>
      <w:r w:rsidRPr="007B26FF">
        <w:rPr>
          <w:rFonts w:ascii="Palatino Linotype" w:hAnsi="Palatino Linotype"/>
        </w:rPr>
        <w:t>por los que se autoriza a la empresa PROMOTORA DE VIVIENDAS INTEGRALES, S.A. DE C.V. el Conjunto Urbano de tipo Habitacional de Interés Social y Popular denominado “REAL GRANADA” ubicado en el Municipio de Tecámac; por lo tanto, se tiene por colmada dicha parte de la solicitud de información.</w:t>
      </w:r>
    </w:p>
    <w:p w14:paraId="494A88A8" w14:textId="77777777" w:rsidR="00EA755F" w:rsidRPr="007B26FF" w:rsidRDefault="00EA755F" w:rsidP="00EA755F">
      <w:pPr>
        <w:pStyle w:val="Prrafodelista"/>
        <w:rPr>
          <w:rFonts w:ascii="Palatino Linotype" w:hAnsi="Palatino Linotype"/>
          <w:lang w:val="es-MX" w:eastAsia="en-US"/>
        </w:rPr>
      </w:pPr>
    </w:p>
    <w:p w14:paraId="2FF922F4" w14:textId="407235B2" w:rsidR="00EA755F" w:rsidRPr="007B26FF" w:rsidRDefault="00EA755F" w:rsidP="00EA755F">
      <w:pPr>
        <w:pStyle w:val="Prrafodelista"/>
        <w:numPr>
          <w:ilvl w:val="0"/>
          <w:numId w:val="1"/>
        </w:numPr>
        <w:tabs>
          <w:tab w:val="left" w:pos="0"/>
        </w:tabs>
        <w:spacing w:line="360" w:lineRule="auto"/>
        <w:ind w:left="0" w:right="49" w:firstLine="0"/>
        <w:jc w:val="both"/>
        <w:rPr>
          <w:rFonts w:ascii="Palatino Linotype" w:eastAsia="MS Mincho" w:hAnsi="Palatino Linotype"/>
        </w:rPr>
      </w:pPr>
      <w:r w:rsidRPr="007B26FF">
        <w:rPr>
          <w:rFonts w:ascii="Palatino Linotype" w:hAnsi="Palatino Linotype"/>
          <w:lang w:val="es-MX" w:eastAsia="en-US"/>
        </w:rPr>
        <w:t xml:space="preserve">Ahora bien, por lo que hace al resto de los puntos de </w:t>
      </w:r>
      <w:proofErr w:type="gramStart"/>
      <w:r w:rsidRPr="007B26FF">
        <w:rPr>
          <w:rFonts w:ascii="Palatino Linotype" w:hAnsi="Palatino Linotype"/>
          <w:lang w:val="es-MX" w:eastAsia="en-US"/>
        </w:rPr>
        <w:t>sus solicitud</w:t>
      </w:r>
      <w:proofErr w:type="gramEnd"/>
      <w:r w:rsidRPr="007B26FF">
        <w:rPr>
          <w:rFonts w:ascii="Palatino Linotype" w:hAnsi="Palatino Linotype"/>
          <w:lang w:val="es-MX" w:eastAsia="en-US"/>
        </w:rPr>
        <w:t xml:space="preserve"> de información el </w:t>
      </w:r>
      <w:r w:rsidRPr="007B26FF">
        <w:rPr>
          <w:rFonts w:ascii="Palatino Linotype" w:hAnsi="Palatino Linotype"/>
          <w:b/>
          <w:lang w:val="es-MX" w:eastAsia="en-US"/>
        </w:rPr>
        <w:t>SUJETO OBLIGADO</w:t>
      </w:r>
      <w:r w:rsidRPr="007B26FF">
        <w:rPr>
          <w:rFonts w:ascii="Palatino Linotype" w:hAnsi="Palatino Linotype"/>
          <w:lang w:val="es-MX" w:eastAsia="en-US"/>
        </w:rPr>
        <w:t xml:space="preserve"> refiere que el particular </w:t>
      </w:r>
      <w:r w:rsidRPr="007B26FF">
        <w:rPr>
          <w:rFonts w:ascii="Palatino Linotype" w:hAnsi="Palatino Linotype" w:cs="Calibri"/>
        </w:rPr>
        <w:t xml:space="preserve">tendrá que pagar los </w:t>
      </w:r>
      <w:r w:rsidRPr="007B26FF">
        <w:rPr>
          <w:rFonts w:ascii="Palatino Linotype" w:hAnsi="Palatino Linotype" w:cs="Calibri"/>
        </w:rPr>
        <w:lastRenderedPageBreak/>
        <w:t>derechos correspondientes, para la emisión de copias y planos que resguarda esta Dirección de Desarrollo Urbano del Municipio de Tecámac, Estado de México con fundamento en el artículo 144 fracción XIII del Código Financiero del Estado de México y Municipios, que a la letra dice:</w:t>
      </w:r>
    </w:p>
    <w:p w14:paraId="03BEC65B" w14:textId="2605EC1F" w:rsidR="00EA755F" w:rsidRPr="007B26FF" w:rsidRDefault="00EA755F" w:rsidP="00EA755F">
      <w:pPr>
        <w:pStyle w:val="Prrafodelista"/>
        <w:rPr>
          <w:rFonts w:ascii="Palatino Linotype" w:hAnsi="Palatino Linotype" w:cs="Calibri"/>
          <w:b/>
          <w:i/>
          <w:u w:val="single"/>
        </w:rPr>
      </w:pPr>
    </w:p>
    <w:p w14:paraId="4195A9E5" w14:textId="45288D82" w:rsidR="00EA755F" w:rsidRPr="007B26FF" w:rsidRDefault="00EA755F" w:rsidP="00EA755F">
      <w:pPr>
        <w:spacing w:line="276" w:lineRule="auto"/>
        <w:ind w:left="720"/>
        <w:jc w:val="both"/>
        <w:rPr>
          <w:rFonts w:ascii="Palatino Linotype" w:hAnsi="Palatino Linotype"/>
          <w:i/>
          <w:sz w:val="22"/>
          <w:szCs w:val="22"/>
        </w:rPr>
      </w:pPr>
      <w:r w:rsidRPr="007B26FF">
        <w:rPr>
          <w:rFonts w:ascii="Palatino Linotype" w:hAnsi="Palatino Linotype"/>
          <w:b/>
          <w:i/>
          <w:sz w:val="22"/>
          <w:szCs w:val="22"/>
        </w:rPr>
        <w:t>“Artículo 144.-</w:t>
      </w:r>
      <w:r w:rsidRPr="007B26FF">
        <w:rPr>
          <w:rFonts w:ascii="Palatino Linotype" w:hAnsi="Palatino Linotype"/>
          <w:i/>
          <w:sz w:val="22"/>
          <w:szCs w:val="22"/>
        </w:rPr>
        <w:t xml:space="preserve"> Por los servicios prestados por desarrollo urbano y obras públicas municipales, se pagarán los siguientes derechos:</w:t>
      </w:r>
    </w:p>
    <w:p w14:paraId="3A523B96" w14:textId="77777777" w:rsidR="00EA755F" w:rsidRPr="007B26FF" w:rsidRDefault="00EA755F" w:rsidP="00EA755F">
      <w:pPr>
        <w:spacing w:line="276" w:lineRule="auto"/>
        <w:ind w:left="720"/>
        <w:rPr>
          <w:rFonts w:ascii="Palatino Linotype" w:hAnsi="Palatino Linotype"/>
          <w:i/>
          <w:sz w:val="22"/>
          <w:szCs w:val="22"/>
        </w:rPr>
      </w:pPr>
      <w:r w:rsidRPr="007B26FF">
        <w:rPr>
          <w:rFonts w:ascii="Palatino Linotype" w:hAnsi="Palatino Linotype"/>
          <w:b/>
          <w:i/>
          <w:sz w:val="22"/>
          <w:szCs w:val="22"/>
        </w:rPr>
        <w:t>XIII.</w:t>
      </w:r>
      <w:r w:rsidRPr="007B26FF">
        <w:rPr>
          <w:rFonts w:ascii="Palatino Linotype" w:hAnsi="Palatino Linotype"/>
          <w:i/>
          <w:sz w:val="22"/>
          <w:szCs w:val="22"/>
        </w:rPr>
        <w:t xml:space="preserve"> Por la expedición de duplicados de documentos y planos existentes en archivo, se pagarán los derechos conforme a la siguiente:</w:t>
      </w:r>
    </w:p>
    <w:p w14:paraId="4C402393" w14:textId="7FC4B46B" w:rsidR="00EA755F" w:rsidRPr="007B26FF" w:rsidRDefault="00EA755F" w:rsidP="00EA755F">
      <w:pPr>
        <w:pStyle w:val="Prrafodelista"/>
        <w:spacing w:line="276" w:lineRule="auto"/>
        <w:rPr>
          <w:rFonts w:ascii="Palatino Linotype" w:hAnsi="Palatino Linotype" w:cs="Calibri"/>
          <w:b/>
          <w:i/>
          <w:sz w:val="22"/>
          <w:szCs w:val="22"/>
          <w:u w:val="single"/>
          <w:lang w:val="es-US"/>
        </w:rPr>
      </w:pPr>
    </w:p>
    <w:p w14:paraId="325B8F5A" w14:textId="77777777" w:rsidR="00EA755F" w:rsidRPr="007B26FF" w:rsidRDefault="00EA755F" w:rsidP="00EA755F">
      <w:pPr>
        <w:spacing w:line="276" w:lineRule="auto"/>
        <w:ind w:left="720"/>
        <w:jc w:val="center"/>
        <w:rPr>
          <w:rFonts w:ascii="Palatino Linotype" w:hAnsi="Palatino Linotype"/>
          <w:b/>
          <w:i/>
          <w:sz w:val="22"/>
          <w:szCs w:val="22"/>
        </w:rPr>
      </w:pPr>
      <w:r w:rsidRPr="007B26FF">
        <w:rPr>
          <w:rFonts w:ascii="Palatino Linotype" w:hAnsi="Palatino Linotype"/>
          <w:b/>
          <w:i/>
          <w:sz w:val="22"/>
          <w:szCs w:val="22"/>
        </w:rPr>
        <w:t>TARIFA</w:t>
      </w:r>
    </w:p>
    <w:p w14:paraId="384A5F4A" w14:textId="77777777" w:rsidR="00EA755F" w:rsidRPr="007B26FF" w:rsidRDefault="00EA755F" w:rsidP="00EA755F">
      <w:pPr>
        <w:pStyle w:val="Prrafodelista"/>
        <w:spacing w:line="276" w:lineRule="auto"/>
        <w:rPr>
          <w:rFonts w:ascii="Palatino Linotype" w:hAnsi="Palatino Linotype" w:cs="Calibri"/>
          <w:b/>
          <w:i/>
          <w:sz w:val="22"/>
          <w:szCs w:val="22"/>
          <w:u w:val="single"/>
          <w:lang w:val="es-US"/>
        </w:rPr>
      </w:pPr>
    </w:p>
    <w:p w14:paraId="5E51075E" w14:textId="3216F6F4" w:rsidR="00EA755F" w:rsidRPr="007B26FF" w:rsidRDefault="00EA755F" w:rsidP="00EA755F">
      <w:pPr>
        <w:spacing w:line="276" w:lineRule="auto"/>
        <w:ind w:left="720"/>
        <w:rPr>
          <w:rFonts w:ascii="Palatino Linotype" w:hAnsi="Palatino Linotype"/>
          <w:b/>
          <w:i/>
          <w:sz w:val="22"/>
          <w:szCs w:val="22"/>
        </w:rPr>
      </w:pPr>
      <w:r w:rsidRPr="007B26FF">
        <w:rPr>
          <w:rFonts w:ascii="Palatino Linotype" w:hAnsi="Palatino Linotype"/>
          <w:b/>
          <w:i/>
          <w:sz w:val="22"/>
          <w:szCs w:val="22"/>
        </w:rPr>
        <w:t xml:space="preserve">CONCEPTO </w:t>
      </w:r>
      <w:r w:rsidRPr="007B26FF">
        <w:rPr>
          <w:rFonts w:ascii="Palatino Linotype" w:hAnsi="Palatino Linotype"/>
          <w:b/>
          <w:i/>
          <w:sz w:val="22"/>
          <w:szCs w:val="22"/>
        </w:rPr>
        <w:tab/>
      </w:r>
      <w:r w:rsidRPr="007B26FF">
        <w:rPr>
          <w:rFonts w:ascii="Palatino Linotype" w:hAnsi="Palatino Linotype"/>
          <w:b/>
          <w:i/>
          <w:sz w:val="22"/>
          <w:szCs w:val="22"/>
        </w:rPr>
        <w:tab/>
      </w:r>
      <w:r w:rsidRPr="007B26FF">
        <w:rPr>
          <w:rFonts w:ascii="Palatino Linotype" w:hAnsi="Palatino Linotype"/>
          <w:b/>
          <w:i/>
          <w:sz w:val="22"/>
          <w:szCs w:val="22"/>
        </w:rPr>
        <w:tab/>
      </w:r>
      <w:r w:rsidRPr="007B26FF">
        <w:rPr>
          <w:rFonts w:ascii="Palatino Linotype" w:hAnsi="Palatino Linotype"/>
          <w:b/>
          <w:i/>
          <w:sz w:val="22"/>
          <w:szCs w:val="22"/>
        </w:rPr>
        <w:tab/>
      </w:r>
      <w:r w:rsidRPr="007B26FF">
        <w:rPr>
          <w:rFonts w:ascii="Palatino Linotype" w:hAnsi="Palatino Linotype"/>
          <w:b/>
          <w:i/>
          <w:sz w:val="22"/>
          <w:szCs w:val="22"/>
        </w:rPr>
        <w:tab/>
        <w:t xml:space="preserve">NÚMERO DE VECES EL VALOR </w:t>
      </w:r>
      <w:r w:rsidRPr="007B26FF">
        <w:rPr>
          <w:rFonts w:ascii="Palatino Linotype" w:hAnsi="Palatino Linotype"/>
          <w:b/>
          <w:i/>
          <w:sz w:val="22"/>
          <w:szCs w:val="22"/>
        </w:rPr>
        <w:tab/>
      </w:r>
      <w:r w:rsidRPr="007B26FF">
        <w:rPr>
          <w:rFonts w:ascii="Palatino Linotype" w:hAnsi="Palatino Linotype"/>
          <w:b/>
          <w:i/>
          <w:sz w:val="22"/>
          <w:szCs w:val="22"/>
        </w:rPr>
        <w:tab/>
      </w:r>
      <w:r w:rsidRPr="007B26FF">
        <w:rPr>
          <w:rFonts w:ascii="Palatino Linotype" w:hAnsi="Palatino Linotype"/>
          <w:b/>
          <w:i/>
          <w:sz w:val="22"/>
          <w:szCs w:val="22"/>
        </w:rPr>
        <w:tab/>
      </w:r>
      <w:r w:rsidRPr="007B26FF">
        <w:rPr>
          <w:rFonts w:ascii="Palatino Linotype" w:hAnsi="Palatino Linotype"/>
          <w:b/>
          <w:i/>
          <w:sz w:val="22"/>
          <w:szCs w:val="22"/>
        </w:rPr>
        <w:tab/>
      </w:r>
      <w:r w:rsidRPr="007B26FF">
        <w:rPr>
          <w:rFonts w:ascii="Palatino Linotype" w:hAnsi="Palatino Linotype"/>
          <w:b/>
          <w:i/>
          <w:sz w:val="22"/>
          <w:szCs w:val="22"/>
        </w:rPr>
        <w:tab/>
      </w:r>
      <w:r w:rsidRPr="007B26FF">
        <w:rPr>
          <w:rFonts w:ascii="Palatino Linotype" w:hAnsi="Palatino Linotype"/>
          <w:b/>
          <w:i/>
          <w:sz w:val="22"/>
          <w:szCs w:val="22"/>
        </w:rPr>
        <w:tab/>
      </w:r>
      <w:r w:rsidRPr="007B26FF">
        <w:rPr>
          <w:rFonts w:ascii="Palatino Linotype" w:hAnsi="Palatino Linotype"/>
          <w:b/>
          <w:i/>
          <w:sz w:val="22"/>
          <w:szCs w:val="22"/>
        </w:rPr>
        <w:tab/>
        <w:t xml:space="preserve">DIARIO DE LA UNIDAD DE </w:t>
      </w:r>
      <w:r w:rsidRPr="007B26FF">
        <w:rPr>
          <w:rFonts w:ascii="Palatino Linotype" w:hAnsi="Palatino Linotype"/>
          <w:b/>
          <w:i/>
          <w:sz w:val="22"/>
          <w:szCs w:val="22"/>
        </w:rPr>
        <w:tab/>
      </w:r>
      <w:r w:rsidRPr="007B26FF">
        <w:rPr>
          <w:rFonts w:ascii="Palatino Linotype" w:hAnsi="Palatino Linotype"/>
          <w:b/>
          <w:i/>
          <w:sz w:val="22"/>
          <w:szCs w:val="22"/>
        </w:rPr>
        <w:tab/>
      </w:r>
      <w:r w:rsidRPr="007B26FF">
        <w:rPr>
          <w:rFonts w:ascii="Palatino Linotype" w:hAnsi="Palatino Linotype"/>
          <w:b/>
          <w:i/>
          <w:sz w:val="22"/>
          <w:szCs w:val="22"/>
        </w:rPr>
        <w:tab/>
      </w:r>
      <w:r w:rsidRPr="007B26FF">
        <w:rPr>
          <w:rFonts w:ascii="Palatino Linotype" w:hAnsi="Palatino Linotype"/>
          <w:b/>
          <w:i/>
          <w:sz w:val="22"/>
          <w:szCs w:val="22"/>
        </w:rPr>
        <w:tab/>
      </w:r>
      <w:r w:rsidRPr="007B26FF">
        <w:rPr>
          <w:rFonts w:ascii="Palatino Linotype" w:hAnsi="Palatino Linotype"/>
          <w:b/>
          <w:i/>
          <w:sz w:val="22"/>
          <w:szCs w:val="22"/>
        </w:rPr>
        <w:tab/>
      </w:r>
      <w:r w:rsidRPr="007B26FF">
        <w:rPr>
          <w:rFonts w:ascii="Palatino Linotype" w:hAnsi="Palatino Linotype"/>
          <w:b/>
          <w:i/>
          <w:sz w:val="22"/>
          <w:szCs w:val="22"/>
        </w:rPr>
        <w:tab/>
      </w:r>
      <w:r w:rsidRPr="007B26FF">
        <w:rPr>
          <w:rFonts w:ascii="Palatino Linotype" w:hAnsi="Palatino Linotype"/>
          <w:b/>
          <w:i/>
          <w:sz w:val="22"/>
          <w:szCs w:val="22"/>
        </w:rPr>
        <w:tab/>
        <w:t xml:space="preserve">MEDIDA Y ACTUALIZACIÓN </w:t>
      </w:r>
      <w:r w:rsidRPr="007B26FF">
        <w:rPr>
          <w:rFonts w:ascii="Palatino Linotype" w:hAnsi="Palatino Linotype"/>
          <w:b/>
          <w:i/>
          <w:sz w:val="22"/>
          <w:szCs w:val="22"/>
        </w:rPr>
        <w:tab/>
      </w:r>
      <w:r w:rsidRPr="007B26FF">
        <w:rPr>
          <w:rFonts w:ascii="Palatino Linotype" w:hAnsi="Palatino Linotype"/>
          <w:b/>
          <w:i/>
          <w:sz w:val="22"/>
          <w:szCs w:val="22"/>
        </w:rPr>
        <w:tab/>
      </w:r>
      <w:r w:rsidRPr="007B26FF">
        <w:rPr>
          <w:rFonts w:ascii="Palatino Linotype" w:hAnsi="Palatino Linotype"/>
          <w:b/>
          <w:i/>
          <w:sz w:val="22"/>
          <w:szCs w:val="22"/>
        </w:rPr>
        <w:tab/>
      </w:r>
      <w:r w:rsidRPr="007B26FF">
        <w:rPr>
          <w:rFonts w:ascii="Palatino Linotype" w:hAnsi="Palatino Linotype"/>
          <w:b/>
          <w:i/>
          <w:sz w:val="22"/>
          <w:szCs w:val="22"/>
        </w:rPr>
        <w:tab/>
      </w:r>
      <w:r w:rsidRPr="007B26FF">
        <w:rPr>
          <w:rFonts w:ascii="Palatino Linotype" w:hAnsi="Palatino Linotype"/>
          <w:b/>
          <w:i/>
          <w:sz w:val="22"/>
          <w:szCs w:val="22"/>
        </w:rPr>
        <w:tab/>
      </w:r>
      <w:r w:rsidRPr="007B26FF">
        <w:rPr>
          <w:rFonts w:ascii="Palatino Linotype" w:hAnsi="Palatino Linotype"/>
          <w:b/>
          <w:i/>
          <w:sz w:val="22"/>
          <w:szCs w:val="22"/>
        </w:rPr>
        <w:tab/>
      </w:r>
      <w:r w:rsidRPr="007B26FF">
        <w:rPr>
          <w:rFonts w:ascii="Palatino Linotype" w:hAnsi="Palatino Linotype"/>
          <w:b/>
          <w:i/>
          <w:sz w:val="22"/>
          <w:szCs w:val="22"/>
        </w:rPr>
        <w:tab/>
        <w:t xml:space="preserve">VIGENTE </w:t>
      </w:r>
    </w:p>
    <w:p w14:paraId="1094B2AB" w14:textId="360CB7D9" w:rsidR="00EA755F" w:rsidRPr="007B26FF" w:rsidRDefault="00EA755F" w:rsidP="00EA755F">
      <w:pPr>
        <w:spacing w:line="276" w:lineRule="auto"/>
        <w:ind w:left="720"/>
        <w:rPr>
          <w:rFonts w:ascii="Palatino Linotype" w:hAnsi="Palatino Linotype"/>
          <w:i/>
          <w:sz w:val="22"/>
          <w:szCs w:val="22"/>
        </w:rPr>
      </w:pPr>
      <w:r w:rsidRPr="007B26FF">
        <w:rPr>
          <w:rFonts w:ascii="Palatino Linotype" w:hAnsi="Palatino Linotype"/>
          <w:i/>
          <w:sz w:val="22"/>
          <w:szCs w:val="22"/>
        </w:rPr>
        <w:t xml:space="preserve">A). Por el duplicado de la primera hoja. </w:t>
      </w:r>
      <w:r w:rsidRPr="007B26FF">
        <w:rPr>
          <w:rFonts w:ascii="Palatino Linotype" w:hAnsi="Palatino Linotype"/>
          <w:i/>
          <w:sz w:val="22"/>
          <w:szCs w:val="22"/>
        </w:rPr>
        <w:tab/>
      </w:r>
      <w:r w:rsidRPr="007B26FF">
        <w:rPr>
          <w:rFonts w:ascii="Palatino Linotype" w:hAnsi="Palatino Linotype"/>
          <w:i/>
          <w:sz w:val="22"/>
          <w:szCs w:val="22"/>
        </w:rPr>
        <w:tab/>
      </w:r>
      <w:r w:rsidRPr="007B26FF">
        <w:rPr>
          <w:rFonts w:ascii="Palatino Linotype" w:hAnsi="Palatino Linotype"/>
          <w:i/>
          <w:sz w:val="22"/>
          <w:szCs w:val="22"/>
        </w:rPr>
        <w:tab/>
      </w:r>
      <w:r w:rsidRPr="007B26FF">
        <w:rPr>
          <w:rFonts w:ascii="Palatino Linotype" w:hAnsi="Palatino Linotype"/>
          <w:i/>
          <w:sz w:val="22"/>
          <w:szCs w:val="22"/>
        </w:rPr>
        <w:tab/>
        <w:t xml:space="preserve">0.77 </w:t>
      </w:r>
    </w:p>
    <w:p w14:paraId="4432353E" w14:textId="2023D27D" w:rsidR="00EA755F" w:rsidRPr="007B26FF" w:rsidRDefault="00EA755F" w:rsidP="00EA755F">
      <w:pPr>
        <w:spacing w:line="276" w:lineRule="auto"/>
        <w:ind w:left="720"/>
        <w:rPr>
          <w:rFonts w:ascii="Palatino Linotype" w:hAnsi="Palatino Linotype"/>
          <w:i/>
          <w:sz w:val="22"/>
          <w:szCs w:val="22"/>
        </w:rPr>
      </w:pPr>
      <w:r w:rsidRPr="007B26FF">
        <w:rPr>
          <w:rFonts w:ascii="Palatino Linotype" w:hAnsi="Palatino Linotype"/>
          <w:i/>
          <w:sz w:val="22"/>
          <w:szCs w:val="22"/>
        </w:rPr>
        <w:t xml:space="preserve">B). Por el duplicado de las subsecuentes. </w:t>
      </w:r>
      <w:r w:rsidRPr="007B26FF">
        <w:rPr>
          <w:rFonts w:ascii="Palatino Linotype" w:hAnsi="Palatino Linotype"/>
          <w:i/>
          <w:sz w:val="22"/>
          <w:szCs w:val="22"/>
        </w:rPr>
        <w:tab/>
      </w:r>
      <w:r w:rsidRPr="007B26FF">
        <w:rPr>
          <w:rFonts w:ascii="Palatino Linotype" w:hAnsi="Palatino Linotype"/>
          <w:i/>
          <w:sz w:val="22"/>
          <w:szCs w:val="22"/>
        </w:rPr>
        <w:tab/>
      </w:r>
      <w:r w:rsidRPr="007B26FF">
        <w:rPr>
          <w:rFonts w:ascii="Palatino Linotype" w:hAnsi="Palatino Linotype"/>
          <w:i/>
          <w:sz w:val="22"/>
          <w:szCs w:val="22"/>
        </w:rPr>
        <w:tab/>
        <w:t xml:space="preserve">0.08 </w:t>
      </w:r>
    </w:p>
    <w:p w14:paraId="642CC565" w14:textId="0CEE7295" w:rsidR="00EA755F" w:rsidRPr="007B26FF" w:rsidRDefault="00EA755F" w:rsidP="00EA755F">
      <w:pPr>
        <w:spacing w:line="276" w:lineRule="auto"/>
        <w:ind w:left="720"/>
        <w:rPr>
          <w:rFonts w:ascii="Palatino Linotype" w:hAnsi="Palatino Linotype"/>
          <w:i/>
          <w:sz w:val="22"/>
          <w:szCs w:val="22"/>
        </w:rPr>
      </w:pPr>
      <w:r w:rsidRPr="007B26FF">
        <w:rPr>
          <w:rFonts w:ascii="Palatino Linotype" w:hAnsi="Palatino Linotype"/>
          <w:i/>
          <w:sz w:val="22"/>
          <w:szCs w:val="22"/>
        </w:rPr>
        <w:t xml:space="preserve">C). Por duplicado de cada plano. </w:t>
      </w:r>
      <w:r w:rsidRPr="007B26FF">
        <w:rPr>
          <w:rFonts w:ascii="Palatino Linotype" w:hAnsi="Palatino Linotype"/>
          <w:i/>
          <w:sz w:val="22"/>
          <w:szCs w:val="22"/>
        </w:rPr>
        <w:tab/>
      </w:r>
      <w:r w:rsidRPr="007B26FF">
        <w:rPr>
          <w:rFonts w:ascii="Palatino Linotype" w:hAnsi="Palatino Linotype"/>
          <w:i/>
          <w:sz w:val="22"/>
          <w:szCs w:val="22"/>
        </w:rPr>
        <w:tab/>
      </w:r>
      <w:r w:rsidRPr="007B26FF">
        <w:rPr>
          <w:rFonts w:ascii="Palatino Linotype" w:hAnsi="Palatino Linotype"/>
          <w:i/>
          <w:sz w:val="22"/>
          <w:szCs w:val="22"/>
        </w:rPr>
        <w:tab/>
      </w:r>
      <w:r w:rsidRPr="007B26FF">
        <w:rPr>
          <w:rFonts w:ascii="Palatino Linotype" w:hAnsi="Palatino Linotype"/>
          <w:i/>
          <w:sz w:val="22"/>
          <w:szCs w:val="22"/>
        </w:rPr>
        <w:tab/>
        <w:t xml:space="preserve">2.30 </w:t>
      </w:r>
    </w:p>
    <w:p w14:paraId="6A7F8B03" w14:textId="77777777" w:rsidR="00EA755F" w:rsidRPr="007B26FF" w:rsidRDefault="00EA755F" w:rsidP="00EA755F">
      <w:pPr>
        <w:spacing w:line="276" w:lineRule="auto"/>
        <w:ind w:left="720"/>
        <w:rPr>
          <w:rFonts w:ascii="Palatino Linotype" w:hAnsi="Palatino Linotype"/>
          <w:i/>
          <w:sz w:val="22"/>
          <w:szCs w:val="22"/>
        </w:rPr>
      </w:pPr>
      <w:r w:rsidRPr="007B26FF">
        <w:rPr>
          <w:rFonts w:ascii="Palatino Linotype" w:hAnsi="Palatino Linotype"/>
          <w:i/>
          <w:sz w:val="22"/>
          <w:szCs w:val="22"/>
        </w:rPr>
        <w:t xml:space="preserve">D). Por duplicado de planos con material </w:t>
      </w:r>
    </w:p>
    <w:p w14:paraId="30F0006C" w14:textId="7AD2B432" w:rsidR="00EA755F" w:rsidRPr="007B26FF" w:rsidRDefault="00EA755F" w:rsidP="00EA755F">
      <w:pPr>
        <w:spacing w:line="276" w:lineRule="auto"/>
        <w:ind w:left="720"/>
        <w:rPr>
          <w:rFonts w:ascii="Palatino Linotype" w:hAnsi="Palatino Linotype"/>
          <w:i/>
          <w:sz w:val="22"/>
          <w:szCs w:val="22"/>
        </w:rPr>
      </w:pPr>
      <w:r w:rsidRPr="007B26FF">
        <w:rPr>
          <w:rFonts w:ascii="Palatino Linotype" w:hAnsi="Palatino Linotype"/>
          <w:i/>
          <w:sz w:val="22"/>
          <w:szCs w:val="22"/>
        </w:rPr>
        <w:t xml:space="preserve">proporcionado por el usuario. </w:t>
      </w:r>
      <w:r w:rsidRPr="007B26FF">
        <w:rPr>
          <w:rFonts w:ascii="Palatino Linotype" w:hAnsi="Palatino Linotype"/>
          <w:i/>
          <w:sz w:val="22"/>
          <w:szCs w:val="22"/>
        </w:rPr>
        <w:tab/>
      </w:r>
      <w:r w:rsidRPr="007B26FF">
        <w:rPr>
          <w:rFonts w:ascii="Palatino Linotype" w:hAnsi="Palatino Linotype"/>
          <w:i/>
          <w:sz w:val="22"/>
          <w:szCs w:val="22"/>
        </w:rPr>
        <w:tab/>
      </w:r>
      <w:r w:rsidRPr="007B26FF">
        <w:rPr>
          <w:rFonts w:ascii="Palatino Linotype" w:hAnsi="Palatino Linotype"/>
          <w:i/>
          <w:sz w:val="22"/>
          <w:szCs w:val="22"/>
        </w:rPr>
        <w:tab/>
      </w:r>
      <w:r w:rsidRPr="007B26FF">
        <w:rPr>
          <w:rFonts w:ascii="Palatino Linotype" w:hAnsi="Palatino Linotype"/>
          <w:i/>
          <w:sz w:val="22"/>
          <w:szCs w:val="22"/>
        </w:rPr>
        <w:tab/>
      </w:r>
      <w:r w:rsidRPr="007B26FF">
        <w:rPr>
          <w:rFonts w:ascii="Palatino Linotype" w:hAnsi="Palatino Linotype"/>
          <w:i/>
          <w:sz w:val="22"/>
          <w:szCs w:val="22"/>
        </w:rPr>
        <w:tab/>
        <w:t>1.63”</w:t>
      </w:r>
    </w:p>
    <w:p w14:paraId="7E9F5317" w14:textId="77777777" w:rsidR="00EA755F" w:rsidRPr="007B26FF" w:rsidRDefault="00EA755F" w:rsidP="00EA755F">
      <w:pPr>
        <w:pStyle w:val="Prrafodelista"/>
        <w:rPr>
          <w:rFonts w:ascii="Palatino Linotype" w:hAnsi="Palatino Linotype" w:cs="Calibri"/>
          <w:b/>
          <w:i/>
          <w:u w:val="single"/>
        </w:rPr>
      </w:pPr>
    </w:p>
    <w:p w14:paraId="5A747DB3" w14:textId="0E69CF1A" w:rsidR="00EA755F" w:rsidRPr="007B26FF" w:rsidRDefault="00EA755F" w:rsidP="00C22C70">
      <w:pPr>
        <w:pStyle w:val="Prrafodelista"/>
        <w:numPr>
          <w:ilvl w:val="0"/>
          <w:numId w:val="1"/>
        </w:numPr>
        <w:tabs>
          <w:tab w:val="left" w:pos="0"/>
        </w:tabs>
        <w:spacing w:line="360" w:lineRule="auto"/>
        <w:ind w:left="0" w:right="49" w:firstLine="0"/>
        <w:jc w:val="both"/>
        <w:rPr>
          <w:rFonts w:ascii="Palatino Linotype" w:eastAsia="MS Mincho" w:hAnsi="Palatino Linotype"/>
        </w:rPr>
      </w:pPr>
      <w:r w:rsidRPr="007B26FF">
        <w:rPr>
          <w:rFonts w:ascii="Palatino Linotype" w:hAnsi="Palatino Linotype" w:cs="Calibri"/>
        </w:rPr>
        <w:t xml:space="preserve">No obstante lo anterior, </w:t>
      </w:r>
      <w:r w:rsidR="00C22C70" w:rsidRPr="007B26FF">
        <w:rPr>
          <w:rFonts w:ascii="Palatino Linotype" w:hAnsi="Palatino Linotype" w:cs="Calibri"/>
        </w:rPr>
        <w:t xml:space="preserve">el </w:t>
      </w:r>
      <w:r w:rsidR="00C22C70" w:rsidRPr="007B26FF">
        <w:rPr>
          <w:rFonts w:ascii="Palatino Linotype" w:hAnsi="Palatino Linotype" w:cs="Calibri"/>
          <w:b/>
        </w:rPr>
        <w:t>SUJETO OBLIGADO</w:t>
      </w:r>
      <w:r w:rsidR="00C22C70" w:rsidRPr="007B26FF">
        <w:rPr>
          <w:rFonts w:ascii="Palatino Linotype" w:hAnsi="Palatino Linotype" w:cs="Calibri"/>
        </w:rPr>
        <w:t xml:space="preserve"> fue omiso en describir </w:t>
      </w:r>
      <w:r w:rsidR="00C22C70" w:rsidRPr="007B26FF">
        <w:rPr>
          <w:rFonts w:ascii="Palatino Linotype" w:hAnsi="Palatino Linotype"/>
        </w:rPr>
        <w:t>el</w:t>
      </w:r>
      <w:r w:rsidR="00C22C70" w:rsidRPr="007B26FF">
        <w:rPr>
          <w:rFonts w:ascii="Palatino Linotype" w:hAnsi="Palatino Linotype"/>
          <w:spacing w:val="14"/>
        </w:rPr>
        <w:t xml:space="preserve"> </w:t>
      </w:r>
      <w:r w:rsidR="00C22C70" w:rsidRPr="007B26FF">
        <w:rPr>
          <w:rFonts w:ascii="Palatino Linotype" w:hAnsi="Palatino Linotype"/>
        </w:rPr>
        <w:t>procedimiento</w:t>
      </w:r>
      <w:r w:rsidR="00C22C70" w:rsidRPr="007B26FF">
        <w:rPr>
          <w:rFonts w:ascii="Palatino Linotype" w:hAnsi="Palatino Linotype"/>
          <w:spacing w:val="14"/>
        </w:rPr>
        <w:t xml:space="preserve"> </w:t>
      </w:r>
      <w:r w:rsidR="00C22C70" w:rsidRPr="007B26FF">
        <w:rPr>
          <w:rFonts w:ascii="Palatino Linotype" w:hAnsi="Palatino Linotype"/>
        </w:rPr>
        <w:t>que</w:t>
      </w:r>
      <w:r w:rsidR="00C22C70" w:rsidRPr="007B26FF">
        <w:rPr>
          <w:rFonts w:ascii="Palatino Linotype" w:hAnsi="Palatino Linotype"/>
          <w:spacing w:val="16"/>
        </w:rPr>
        <w:t xml:space="preserve"> </w:t>
      </w:r>
      <w:r w:rsidR="00C22C70" w:rsidRPr="007B26FF">
        <w:rPr>
          <w:rFonts w:ascii="Palatino Linotype" w:hAnsi="Palatino Linotype"/>
        </w:rPr>
        <w:t>debe</w:t>
      </w:r>
      <w:r w:rsidR="00C22C70" w:rsidRPr="007B26FF">
        <w:rPr>
          <w:rFonts w:ascii="Palatino Linotype" w:hAnsi="Palatino Linotype"/>
          <w:spacing w:val="15"/>
        </w:rPr>
        <w:t xml:space="preserve"> </w:t>
      </w:r>
      <w:r w:rsidR="00C22C70" w:rsidRPr="007B26FF">
        <w:rPr>
          <w:rFonts w:ascii="Palatino Linotype" w:hAnsi="Palatino Linotype"/>
        </w:rPr>
        <w:t>seguir</w:t>
      </w:r>
      <w:r w:rsidR="00C22C70" w:rsidRPr="007B26FF">
        <w:rPr>
          <w:rFonts w:ascii="Palatino Linotype" w:hAnsi="Palatino Linotype"/>
          <w:spacing w:val="13"/>
        </w:rPr>
        <w:t xml:space="preserve"> </w:t>
      </w:r>
      <w:r w:rsidR="00BD39C1" w:rsidRPr="007B26FF">
        <w:rPr>
          <w:rFonts w:ascii="Palatino Linotype" w:hAnsi="Palatino Linotype"/>
        </w:rPr>
        <w:t xml:space="preserve">el hoy </w:t>
      </w:r>
      <w:proofErr w:type="gramStart"/>
      <w:r w:rsidR="00BD39C1" w:rsidRPr="007B26FF">
        <w:rPr>
          <w:rFonts w:ascii="Palatino Linotype" w:hAnsi="Palatino Linotype"/>
        </w:rPr>
        <w:t xml:space="preserve">RECURRENTE </w:t>
      </w:r>
      <w:r w:rsidR="00BD39C1" w:rsidRPr="007B26FF">
        <w:rPr>
          <w:rFonts w:ascii="Palatino Linotype" w:hAnsi="Palatino Linotype"/>
          <w:spacing w:val="14"/>
        </w:rPr>
        <w:t xml:space="preserve"> </w:t>
      </w:r>
      <w:r w:rsidR="00C22C70" w:rsidRPr="007B26FF">
        <w:rPr>
          <w:rFonts w:ascii="Palatino Linotype" w:hAnsi="Palatino Linotype"/>
        </w:rPr>
        <w:t>para</w:t>
      </w:r>
      <w:proofErr w:type="gramEnd"/>
      <w:r w:rsidR="00C22C70" w:rsidRPr="007B26FF">
        <w:rPr>
          <w:rFonts w:ascii="Palatino Linotype" w:eastAsia="MS Mincho" w:hAnsi="Palatino Linotype"/>
        </w:rPr>
        <w:t xml:space="preserve"> </w:t>
      </w:r>
      <w:r w:rsidR="00C22C70" w:rsidRPr="007B26FF">
        <w:rPr>
          <w:rFonts w:ascii="Palatino Linotype" w:hAnsi="Palatino Linotype"/>
        </w:rPr>
        <w:t>realizar</w:t>
      </w:r>
      <w:r w:rsidR="00C22C70" w:rsidRPr="007B26FF">
        <w:rPr>
          <w:rFonts w:ascii="Palatino Linotype" w:hAnsi="Palatino Linotype"/>
          <w:spacing w:val="-2"/>
        </w:rPr>
        <w:t xml:space="preserve"> </w:t>
      </w:r>
      <w:r w:rsidR="00C22C70" w:rsidRPr="007B26FF">
        <w:rPr>
          <w:rFonts w:ascii="Palatino Linotype" w:hAnsi="Palatino Linotype"/>
        </w:rPr>
        <w:t>el</w:t>
      </w:r>
      <w:r w:rsidR="00C22C70" w:rsidRPr="007B26FF">
        <w:rPr>
          <w:rFonts w:ascii="Palatino Linotype" w:hAnsi="Palatino Linotype"/>
          <w:spacing w:val="-1"/>
        </w:rPr>
        <w:t xml:space="preserve"> </w:t>
      </w:r>
      <w:r w:rsidR="00C22C70" w:rsidRPr="007B26FF">
        <w:rPr>
          <w:rFonts w:ascii="Palatino Linotype" w:hAnsi="Palatino Linotype"/>
        </w:rPr>
        <w:t>pago</w:t>
      </w:r>
      <w:r w:rsidR="00C22C70" w:rsidRPr="007B26FF">
        <w:rPr>
          <w:rFonts w:ascii="Palatino Linotype" w:hAnsi="Palatino Linotype"/>
          <w:spacing w:val="-2"/>
        </w:rPr>
        <w:t xml:space="preserve"> </w:t>
      </w:r>
      <w:r w:rsidR="00C22C70" w:rsidRPr="007B26FF">
        <w:rPr>
          <w:rFonts w:ascii="Palatino Linotype" w:hAnsi="Palatino Linotype"/>
        </w:rPr>
        <w:t>y</w:t>
      </w:r>
      <w:r w:rsidR="00C22C70" w:rsidRPr="007B26FF">
        <w:rPr>
          <w:rFonts w:ascii="Palatino Linotype" w:hAnsi="Palatino Linotype"/>
          <w:spacing w:val="-6"/>
        </w:rPr>
        <w:t xml:space="preserve"> </w:t>
      </w:r>
      <w:r w:rsidR="00C22C70" w:rsidRPr="007B26FF">
        <w:rPr>
          <w:rFonts w:ascii="Palatino Linotype" w:hAnsi="Palatino Linotype"/>
        </w:rPr>
        <w:t>en</w:t>
      </w:r>
      <w:r w:rsidR="00C22C70" w:rsidRPr="007B26FF">
        <w:rPr>
          <w:rFonts w:ascii="Palatino Linotype" w:hAnsi="Palatino Linotype"/>
          <w:spacing w:val="-3"/>
        </w:rPr>
        <w:t xml:space="preserve"> </w:t>
      </w:r>
      <w:r w:rsidR="00C22C70" w:rsidRPr="007B26FF">
        <w:rPr>
          <w:rFonts w:ascii="Palatino Linotype" w:hAnsi="Palatino Linotype"/>
        </w:rPr>
        <w:t>su</w:t>
      </w:r>
      <w:r w:rsidR="00C22C70" w:rsidRPr="007B26FF">
        <w:rPr>
          <w:rFonts w:ascii="Palatino Linotype" w:hAnsi="Palatino Linotype"/>
          <w:spacing w:val="-2"/>
        </w:rPr>
        <w:t xml:space="preserve"> </w:t>
      </w:r>
      <w:r w:rsidR="00C22C70" w:rsidRPr="007B26FF">
        <w:rPr>
          <w:rFonts w:ascii="Palatino Linotype" w:hAnsi="Palatino Linotype"/>
        </w:rPr>
        <w:t>caso</w:t>
      </w:r>
      <w:r w:rsidR="00C22C70" w:rsidRPr="007B26FF">
        <w:rPr>
          <w:rFonts w:ascii="Palatino Linotype" w:hAnsi="Palatino Linotype"/>
          <w:spacing w:val="-1"/>
        </w:rPr>
        <w:t xml:space="preserve"> </w:t>
      </w:r>
      <w:r w:rsidR="00C22C70" w:rsidRPr="007B26FF">
        <w:rPr>
          <w:rFonts w:ascii="Palatino Linotype" w:hAnsi="Palatino Linotype"/>
        </w:rPr>
        <w:t>obtener</w:t>
      </w:r>
      <w:r w:rsidR="00C22C70" w:rsidRPr="007B26FF">
        <w:rPr>
          <w:rFonts w:ascii="Palatino Linotype" w:hAnsi="Palatino Linotype"/>
          <w:spacing w:val="-2"/>
        </w:rPr>
        <w:t xml:space="preserve"> </w:t>
      </w:r>
      <w:r w:rsidR="00C22C70" w:rsidRPr="007B26FF">
        <w:rPr>
          <w:rFonts w:ascii="Palatino Linotype" w:hAnsi="Palatino Linotype"/>
        </w:rPr>
        <w:t>el</w:t>
      </w:r>
      <w:r w:rsidR="00C22C70" w:rsidRPr="007B26FF">
        <w:rPr>
          <w:rFonts w:ascii="Palatino Linotype" w:hAnsi="Palatino Linotype"/>
          <w:spacing w:val="-1"/>
        </w:rPr>
        <w:t xml:space="preserve"> </w:t>
      </w:r>
      <w:r w:rsidR="00C22C70" w:rsidRPr="007B26FF">
        <w:rPr>
          <w:rFonts w:ascii="Palatino Linotype" w:hAnsi="Palatino Linotype"/>
        </w:rPr>
        <w:t>documento</w:t>
      </w:r>
      <w:r w:rsidR="00C22C70" w:rsidRPr="007B26FF">
        <w:rPr>
          <w:rFonts w:ascii="Palatino Linotype" w:hAnsi="Palatino Linotype"/>
          <w:spacing w:val="-1"/>
        </w:rPr>
        <w:t xml:space="preserve"> </w:t>
      </w:r>
      <w:r w:rsidR="00C22C70" w:rsidRPr="007B26FF">
        <w:rPr>
          <w:rFonts w:ascii="Palatino Linotype" w:hAnsi="Palatino Linotype"/>
        </w:rPr>
        <w:t>requerido.</w:t>
      </w:r>
    </w:p>
    <w:p w14:paraId="40ECDA40" w14:textId="77777777" w:rsidR="00C22C70" w:rsidRPr="007B26FF" w:rsidRDefault="00C22C70" w:rsidP="00C22C70">
      <w:pPr>
        <w:pStyle w:val="Prrafodelista"/>
        <w:tabs>
          <w:tab w:val="left" w:pos="0"/>
        </w:tabs>
        <w:spacing w:line="360" w:lineRule="auto"/>
        <w:ind w:left="0" w:right="49"/>
        <w:jc w:val="both"/>
        <w:rPr>
          <w:rFonts w:ascii="Palatino Linotype" w:eastAsia="MS Mincho" w:hAnsi="Palatino Linotype"/>
        </w:rPr>
      </w:pPr>
    </w:p>
    <w:p w14:paraId="5B462258" w14:textId="397329D1" w:rsidR="00646400" w:rsidRPr="007B26FF" w:rsidRDefault="00646400" w:rsidP="00BA3B51">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7B26FF">
        <w:rPr>
          <w:rFonts w:ascii="Palatino Linotype" w:eastAsia="MS Mincho" w:hAnsi="Palatino Linotype"/>
        </w:rPr>
        <w:t>En dichas condiciones</w:t>
      </w:r>
      <w:r w:rsidRPr="007B26FF">
        <w:rPr>
          <w:rFonts w:ascii="Palatino Linotype" w:eastAsia="MS Mincho" w:hAnsi="Palatino Linotype" w:cs="Arial"/>
        </w:rPr>
        <w:t xml:space="preserve">, se procede analizar, en primer </w:t>
      </w:r>
      <w:proofErr w:type="gramStart"/>
      <w:r w:rsidRPr="007B26FF">
        <w:rPr>
          <w:rFonts w:ascii="Palatino Linotype" w:eastAsia="MS Mincho" w:hAnsi="Palatino Linotype" w:cs="Arial"/>
        </w:rPr>
        <w:t>lugar</w:t>
      </w:r>
      <w:proofErr w:type="gramEnd"/>
      <w:r w:rsidRPr="007B26FF">
        <w:rPr>
          <w:rFonts w:ascii="Palatino Linotype" w:eastAsia="MS Mincho" w:hAnsi="Palatino Linotype" w:cs="Arial"/>
        </w:rPr>
        <w:t xml:space="preserve"> si al atender la solicitud de acceso a la información, se satisfizo la garantía primaria del derecho </w:t>
      </w:r>
      <w:r w:rsidRPr="007B26FF">
        <w:rPr>
          <w:rFonts w:ascii="Palatino Linotype" w:eastAsia="MS Mincho" w:hAnsi="Palatino Linotype" w:cs="Arial"/>
        </w:rPr>
        <w:lastRenderedPageBreak/>
        <w:t xml:space="preserve">según lo dispuesto por el artículo 150 de la Ley de Transparencia y Acceso a la Información Pública del Estado de México, el </w:t>
      </w:r>
      <w:r w:rsidRPr="007B26FF">
        <w:rPr>
          <w:rFonts w:ascii="Palatino Linotype" w:eastAsia="MS Mincho" w:hAnsi="Palatino Linotype" w:cs="Arial"/>
          <w:b/>
        </w:rPr>
        <w:t>SUJETO OBLIGADO</w:t>
      </w:r>
      <w:r w:rsidRPr="007B26FF">
        <w:rPr>
          <w:rFonts w:ascii="Palatino Linotype" w:eastAsia="MS Mincho" w:hAnsi="Palatino Linotype" w:cs="Arial"/>
        </w:rPr>
        <w:t xml:space="preserve"> cumplió con su deber de respetar y garantizar el derecho, entregando toda la información solicitada</w:t>
      </w:r>
      <w:r w:rsidRPr="007B26FF">
        <w:rPr>
          <w:rFonts w:ascii="Palatino Linotype" w:eastAsia="MS Mincho" w:hAnsi="Palatino Linotype" w:cstheme="majorBidi"/>
        </w:rPr>
        <w:t xml:space="preserve">. </w:t>
      </w:r>
    </w:p>
    <w:p w14:paraId="2CA07AAA" w14:textId="77777777" w:rsidR="00646400" w:rsidRPr="007B26FF" w:rsidRDefault="00646400" w:rsidP="00646400">
      <w:pPr>
        <w:pStyle w:val="Prrafodelista"/>
        <w:rPr>
          <w:rFonts w:ascii="Palatino Linotype" w:hAnsi="Palatino Linotype" w:cs="Arial"/>
        </w:rPr>
      </w:pPr>
    </w:p>
    <w:p w14:paraId="238E866E" w14:textId="77777777" w:rsidR="00646400" w:rsidRPr="007B26FF" w:rsidRDefault="00646400" w:rsidP="00BA3B51">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B26FF">
        <w:rPr>
          <w:rFonts w:ascii="Palatino Linotype" w:hAnsi="Palatino Linotype" w:cs="Arial"/>
        </w:rPr>
        <w:t xml:space="preserve">Es de referir, que de las constancias que obran en el expediente electrónico del SAIMEX, se advierte que el Titular de la Unidad de Transparencia no realizó los requerimientos correspondientes a los Servidores Públicos Habilitados, en observancia </w:t>
      </w:r>
      <w:proofErr w:type="gramStart"/>
      <w:r w:rsidRPr="007B26FF">
        <w:rPr>
          <w:rFonts w:ascii="Palatino Linotype" w:hAnsi="Palatino Linotype" w:cs="Arial"/>
        </w:rPr>
        <w:t>a  lo</w:t>
      </w:r>
      <w:proofErr w:type="gramEnd"/>
      <w:r w:rsidRPr="007B26FF">
        <w:rPr>
          <w:rFonts w:ascii="Palatino Linotype" w:hAnsi="Palatino Linotype" w:cs="Arial"/>
        </w:rPr>
        <w:t xml:space="preserve"> dispuesto por el artículo 162 de la </w:t>
      </w:r>
      <w:r w:rsidRPr="007B26FF">
        <w:rPr>
          <w:rFonts w:ascii="Palatino Linotype" w:hAnsi="Palatino Linotype" w:cs="Arial"/>
          <w:b/>
        </w:rPr>
        <w:t xml:space="preserve">Ley de Transparencia y Acceso a la Información Pública del Estado de México y Municipios </w:t>
      </w:r>
      <w:r w:rsidRPr="007B26FF">
        <w:rPr>
          <w:rFonts w:ascii="Palatino Linotype" w:hAnsi="Palatino Linotype" w:cs="Arial"/>
        </w:rPr>
        <w:t xml:space="preserve">que la letra dice: </w:t>
      </w:r>
    </w:p>
    <w:p w14:paraId="2DC7E60E" w14:textId="77777777" w:rsidR="00646400" w:rsidRPr="007B26FF" w:rsidRDefault="00646400" w:rsidP="00646400">
      <w:pPr>
        <w:pStyle w:val="Prrafodelista"/>
        <w:rPr>
          <w:rFonts w:ascii="Palatino Linotype" w:hAnsi="Palatino Linotype" w:cs="Arial"/>
        </w:rPr>
      </w:pPr>
    </w:p>
    <w:p w14:paraId="68D1747C" w14:textId="77777777" w:rsidR="00646400" w:rsidRPr="007B26FF" w:rsidRDefault="00646400" w:rsidP="00646400">
      <w:pPr>
        <w:pStyle w:val="Prrafodelista"/>
        <w:tabs>
          <w:tab w:val="left" w:pos="851"/>
        </w:tabs>
        <w:spacing w:line="276" w:lineRule="auto"/>
        <w:ind w:left="630" w:right="616"/>
        <w:jc w:val="both"/>
        <w:rPr>
          <w:rFonts w:ascii="Palatino Linotype" w:hAnsi="Palatino Linotype" w:cs="Arial"/>
          <w:i/>
        </w:rPr>
      </w:pPr>
      <w:r w:rsidRPr="007B26FF">
        <w:rPr>
          <w:rFonts w:ascii="Palatino Linotype" w:hAnsi="Palatino Linotype" w:cs="Arial"/>
          <w:i/>
        </w:rPr>
        <w:t>“</w:t>
      </w:r>
      <w:r w:rsidRPr="007B26FF">
        <w:rPr>
          <w:rFonts w:ascii="Palatino Linotype" w:hAnsi="Palatino Linotype" w:cs="Arial"/>
          <w:b/>
          <w:i/>
        </w:rPr>
        <w:t>Artículo 162.</w:t>
      </w:r>
      <w:r w:rsidRPr="007B26FF">
        <w:rPr>
          <w:rFonts w:ascii="Palatino Linotype" w:hAnsi="Palatino Linotype" w:cs="Arial"/>
          <w:i/>
        </w:rPr>
        <w:t xml:space="preserve"> Las unidades de transparencia deberán garantizar </w:t>
      </w:r>
      <w:r w:rsidRPr="007B26FF">
        <w:rPr>
          <w:rFonts w:ascii="Palatino Linotype" w:hAnsi="Palatino Linotype" w:cs="Arial"/>
          <w:b/>
          <w:i/>
          <w:u w:val="single"/>
        </w:rPr>
        <w:t>que las solicitudes se turnen a todas las Áreas competentes</w:t>
      </w:r>
      <w:r w:rsidRPr="007B26FF">
        <w:rPr>
          <w:rFonts w:ascii="Palatino Linotype" w:hAnsi="Palatino Linotype" w:cs="Arial"/>
          <w:i/>
        </w:rPr>
        <w:t xml:space="preserve"> que cuenten con la información o deban tenerla de acuerdo a sus facultades, competencias y funciones, con el objeto de que realicen una búsqueda exhaustiva y razonable de la información solicitada.”</w:t>
      </w:r>
    </w:p>
    <w:p w14:paraId="466EAB3D" w14:textId="77777777" w:rsidR="00646400" w:rsidRPr="007B26FF" w:rsidRDefault="00646400" w:rsidP="00646400">
      <w:pPr>
        <w:pStyle w:val="Prrafodelista"/>
        <w:rPr>
          <w:rFonts w:ascii="Palatino Linotype" w:hAnsi="Palatino Linotype" w:cs="Arial"/>
        </w:rPr>
      </w:pPr>
    </w:p>
    <w:p w14:paraId="1C063320" w14:textId="6E8B638D" w:rsidR="00D02CD1" w:rsidRPr="007B26FF" w:rsidRDefault="00646400" w:rsidP="00BD39C1">
      <w:pPr>
        <w:pStyle w:val="Prrafodelista"/>
        <w:numPr>
          <w:ilvl w:val="0"/>
          <w:numId w:val="1"/>
        </w:numPr>
        <w:spacing w:before="240" w:after="240" w:line="360" w:lineRule="auto"/>
        <w:ind w:left="0" w:firstLine="0"/>
        <w:jc w:val="both"/>
        <w:rPr>
          <w:rFonts w:ascii="Palatino Linotype" w:hAnsi="Palatino Linotype" w:cs="Calibri"/>
          <w:i/>
        </w:rPr>
      </w:pPr>
      <w:r w:rsidRPr="007B26FF">
        <w:rPr>
          <w:rFonts w:ascii="Palatino Linotype" w:hAnsi="Palatino Linotype" w:cs="Arial"/>
        </w:rPr>
        <w:t xml:space="preserve">Es así que de acuerdo a las constancias en el expediente electrónico del Sistema de Acceso a la Información Mexiquense (SAIMEX), se advierte que en fecha dos (02) de diciembre de dos mil veinte, el </w:t>
      </w:r>
      <w:r w:rsidR="00BD39C1" w:rsidRPr="007B26FF">
        <w:rPr>
          <w:rFonts w:ascii="Palatino Linotype" w:hAnsi="Palatino Linotype" w:cs="Arial"/>
        </w:rPr>
        <w:t xml:space="preserve">Titular de la Unidad de Transparencia realiza el requerimiento al </w:t>
      </w:r>
      <w:r w:rsidR="00BD39C1" w:rsidRPr="007B26FF">
        <w:rPr>
          <w:rFonts w:ascii="Palatino Linotype" w:hAnsi="Palatino Linotype"/>
        </w:rPr>
        <w:t>Director General de Planeación, Administración, y Regulación del Territorio del Ayuntamiento de Tecámac, Estado de México</w:t>
      </w:r>
      <w:r w:rsidR="00BD39C1" w:rsidRPr="007B26FF">
        <w:rPr>
          <w:rFonts w:ascii="Palatino Linotype" w:hAnsi="Palatino Linotype" w:cs="Arial"/>
          <w:color w:val="000000" w:themeColor="text1"/>
        </w:rPr>
        <w:t xml:space="preserve">, </w:t>
      </w:r>
      <w:r w:rsidR="00BD39C1" w:rsidRPr="007B26FF">
        <w:rPr>
          <w:rFonts w:ascii="Palatino Linotype" w:hAnsi="Palatino Linotype" w:cs="Arial"/>
        </w:rPr>
        <w:t xml:space="preserve">servidor público habilitado, quien </w:t>
      </w:r>
      <w:r w:rsidRPr="007B26FF">
        <w:rPr>
          <w:rFonts w:ascii="Palatino Linotype" w:hAnsi="Palatino Linotype" w:cs="Arial"/>
        </w:rPr>
        <w:t>en fecha dos (14) de diciembre de dos mil veinte</w:t>
      </w:r>
      <w:r w:rsidR="00BD39C1" w:rsidRPr="007B26FF">
        <w:rPr>
          <w:rFonts w:ascii="Palatino Linotype" w:hAnsi="Palatino Linotype" w:cs="Arial"/>
        </w:rPr>
        <w:t xml:space="preserve"> dio </w:t>
      </w:r>
      <w:r w:rsidR="00BD39C1" w:rsidRPr="007B26FF">
        <w:rPr>
          <w:rFonts w:ascii="Palatino Linotype" w:hAnsi="Palatino Linotype" w:cs="Arial"/>
        </w:rPr>
        <w:lastRenderedPageBreak/>
        <w:t>atención a dicho requerimiento,</w:t>
      </w:r>
      <w:r w:rsidRPr="007B26FF">
        <w:rPr>
          <w:rFonts w:ascii="Palatino Linotype" w:hAnsi="Palatino Linotype" w:cs="Arial"/>
        </w:rPr>
        <w:t xml:space="preserve"> tal como se observa en la imagen que se inserta a continuación:</w:t>
      </w:r>
    </w:p>
    <w:p w14:paraId="3431F34F" w14:textId="4028BFE0" w:rsidR="00BD39C1" w:rsidRPr="007B26FF" w:rsidRDefault="00646400" w:rsidP="00BD39C1">
      <w:pPr>
        <w:pStyle w:val="Prrafodelista"/>
        <w:tabs>
          <w:tab w:val="left" w:pos="0"/>
        </w:tabs>
        <w:spacing w:line="360" w:lineRule="auto"/>
        <w:ind w:left="0" w:right="49"/>
        <w:jc w:val="center"/>
        <w:rPr>
          <w:rFonts w:ascii="Palatino Linotype" w:hAnsi="Palatino Linotype" w:cs="Arial"/>
          <w:i/>
          <w:color w:val="000000" w:themeColor="text1"/>
        </w:rPr>
      </w:pPr>
      <w:r w:rsidRPr="007B26FF">
        <w:rPr>
          <w:rFonts w:ascii="Palatino Linotype" w:hAnsi="Palatino Linotype" w:cs="Arial"/>
          <w:i/>
          <w:noProof/>
          <w:color w:val="000000" w:themeColor="text1"/>
          <w:lang w:val="es-MX" w:eastAsia="es-MX"/>
        </w:rPr>
        <w:drawing>
          <wp:inline distT="0" distB="0" distL="0" distR="0" wp14:anchorId="7F25D8FC" wp14:editId="68CA9E53">
            <wp:extent cx="5582355" cy="152634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4257" cy="1576080"/>
                    </a:xfrm>
                    <a:prstGeom prst="rect">
                      <a:avLst/>
                    </a:prstGeom>
                  </pic:spPr>
                </pic:pic>
              </a:graphicData>
            </a:graphic>
          </wp:inline>
        </w:drawing>
      </w:r>
    </w:p>
    <w:p w14:paraId="7655D986" w14:textId="77777777" w:rsidR="004E624B" w:rsidRPr="007B26FF" w:rsidRDefault="004E624B" w:rsidP="00BD39C1">
      <w:pPr>
        <w:pStyle w:val="Prrafodelista"/>
        <w:tabs>
          <w:tab w:val="left" w:pos="0"/>
        </w:tabs>
        <w:spacing w:line="360" w:lineRule="auto"/>
        <w:ind w:left="0" w:right="49"/>
        <w:jc w:val="center"/>
        <w:rPr>
          <w:rFonts w:ascii="Palatino Linotype" w:hAnsi="Palatino Linotype" w:cs="Arial"/>
          <w:i/>
          <w:color w:val="000000" w:themeColor="text1"/>
        </w:rPr>
      </w:pPr>
    </w:p>
    <w:p w14:paraId="62EBC7F7" w14:textId="2C50692A" w:rsidR="00BD39C1" w:rsidRPr="007B26FF" w:rsidRDefault="004E624B" w:rsidP="004E624B">
      <w:pPr>
        <w:pStyle w:val="Prrafodelista"/>
        <w:numPr>
          <w:ilvl w:val="0"/>
          <w:numId w:val="16"/>
        </w:numPr>
        <w:spacing w:before="240" w:after="240" w:line="360" w:lineRule="auto"/>
        <w:ind w:left="540" w:hanging="450"/>
        <w:jc w:val="both"/>
        <w:outlineLvl w:val="0"/>
        <w:rPr>
          <w:rFonts w:ascii="Palatino Linotype" w:hAnsi="Palatino Linotype" w:cs="Arial"/>
          <w:b/>
          <w:lang w:eastAsia="es-MX"/>
        </w:rPr>
      </w:pPr>
      <w:bookmarkStart w:id="126" w:name="_Toc65146539"/>
      <w:r w:rsidRPr="007B26FF">
        <w:rPr>
          <w:rFonts w:ascii="Palatino Linotype" w:hAnsi="Palatino Linotype" w:cs="Arial"/>
          <w:b/>
          <w:lang w:eastAsia="es-MX"/>
        </w:rPr>
        <w:t>De la fuente obligacional para poseer, genera y administrar la información.</w:t>
      </w:r>
      <w:bookmarkEnd w:id="126"/>
    </w:p>
    <w:p w14:paraId="708C73ED" w14:textId="7849345A" w:rsidR="00DA6F75" w:rsidRPr="007B26FF" w:rsidRDefault="00646400" w:rsidP="00BA3B51">
      <w:pPr>
        <w:numPr>
          <w:ilvl w:val="0"/>
          <w:numId w:val="1"/>
        </w:numPr>
        <w:spacing w:before="240" w:after="240" w:line="360" w:lineRule="auto"/>
        <w:ind w:left="0" w:firstLine="0"/>
        <w:contextualSpacing/>
        <w:jc w:val="both"/>
        <w:rPr>
          <w:rFonts w:ascii="Palatino Linotype" w:hAnsi="Palatino Linotype" w:cs="Arial"/>
        </w:rPr>
      </w:pPr>
      <w:r w:rsidRPr="007B26FF">
        <w:rPr>
          <w:rFonts w:ascii="Palatino Linotype" w:eastAsia="Arial Unicode MS" w:hAnsi="Palatino Linotype" w:cs="Arial"/>
        </w:rPr>
        <w:t xml:space="preserve">Ahora bien, al haber existido un pronunciamiento de parte del </w:t>
      </w:r>
      <w:r w:rsidRPr="007B26FF">
        <w:rPr>
          <w:rFonts w:ascii="Palatino Linotype" w:eastAsia="Arial Unicode MS" w:hAnsi="Palatino Linotype" w:cs="Arial"/>
          <w:b/>
        </w:rPr>
        <w:t xml:space="preserve">SUJETO OBLIGADO </w:t>
      </w:r>
      <w:r w:rsidRPr="007B26FF">
        <w:rPr>
          <w:rFonts w:ascii="Palatino Linotype" w:eastAsia="Arial Unicode MS" w:hAnsi="Palatino Linotype" w:cs="Arial"/>
        </w:rPr>
        <w:t xml:space="preserve">en relación con la información solicitada; es que se </w:t>
      </w:r>
      <w:r w:rsidRPr="007B26FF">
        <w:rPr>
          <w:rFonts w:ascii="Palatino Linotype" w:hAnsi="Palatino Linotype"/>
        </w:rPr>
        <w:t xml:space="preserve">obvia el análisis de la competencia por parte de este para generar, administrar o poseer la información solicitada, dado que éste ha asumido la misma, en razón de que localizó e identificó perfectamente la información solicitada; tan es así que </w:t>
      </w:r>
      <w:r w:rsidR="00DA6F75" w:rsidRPr="007B26FF">
        <w:rPr>
          <w:rFonts w:ascii="Palatino Linotype" w:hAnsi="Palatino Linotype" w:cs="Arial"/>
        </w:rPr>
        <w:t xml:space="preserve">en su respuesta le indica al hoy </w:t>
      </w:r>
      <w:r w:rsidR="00DA6F75" w:rsidRPr="007B26FF">
        <w:rPr>
          <w:rFonts w:ascii="Palatino Linotype" w:hAnsi="Palatino Linotype" w:cs="Arial"/>
          <w:b/>
        </w:rPr>
        <w:t>RECURRENTE</w:t>
      </w:r>
      <w:r w:rsidR="00DA6F75" w:rsidRPr="007B26FF">
        <w:rPr>
          <w:rFonts w:ascii="Palatino Linotype" w:hAnsi="Palatino Linotype" w:cs="Arial"/>
        </w:rPr>
        <w:t xml:space="preserve"> que </w:t>
      </w:r>
      <w:r w:rsidR="00DA6F75" w:rsidRPr="007B26FF">
        <w:rPr>
          <w:rFonts w:ascii="Palatino Linotype" w:hAnsi="Palatino Linotype" w:cs="Calibri"/>
        </w:rPr>
        <w:t xml:space="preserve">tendrá que pagar los derechos correspondientes para la emisión de copias y planos que resguarda </w:t>
      </w:r>
      <w:r w:rsidR="00D02CD1" w:rsidRPr="007B26FF">
        <w:rPr>
          <w:rFonts w:ascii="Palatino Linotype" w:hAnsi="Palatino Linotype" w:cs="Calibri"/>
        </w:rPr>
        <w:t xml:space="preserve">la </w:t>
      </w:r>
      <w:r w:rsidR="00DA6F75" w:rsidRPr="007B26FF">
        <w:rPr>
          <w:rFonts w:ascii="Palatino Linotype" w:hAnsi="Palatino Linotype" w:cs="Calibri"/>
        </w:rPr>
        <w:t>Dirección de Desarrollo Urbano del Municipio de Tecámac, Estado de México.</w:t>
      </w:r>
    </w:p>
    <w:p w14:paraId="28B595C1" w14:textId="77777777" w:rsidR="00646400" w:rsidRPr="007B26FF" w:rsidRDefault="00646400" w:rsidP="00646400">
      <w:pPr>
        <w:spacing w:before="240" w:after="240" w:line="360" w:lineRule="auto"/>
        <w:contextualSpacing/>
        <w:jc w:val="both"/>
        <w:rPr>
          <w:rFonts w:ascii="Palatino Linotype" w:hAnsi="Palatino Linotype" w:cs="Arial"/>
        </w:rPr>
      </w:pPr>
    </w:p>
    <w:p w14:paraId="593EC29C" w14:textId="77777777" w:rsidR="00646400" w:rsidRPr="007B26FF" w:rsidRDefault="00646400" w:rsidP="00BA3B51">
      <w:pPr>
        <w:numPr>
          <w:ilvl w:val="0"/>
          <w:numId w:val="1"/>
        </w:numPr>
        <w:spacing w:line="360" w:lineRule="auto"/>
        <w:ind w:left="0" w:right="49" w:firstLine="0"/>
        <w:contextualSpacing/>
        <w:jc w:val="both"/>
        <w:rPr>
          <w:rFonts w:ascii="Palatino Linotype" w:eastAsia="MS Mincho" w:hAnsi="Palatino Linotype" w:cstheme="majorBidi"/>
        </w:rPr>
      </w:pPr>
      <w:r w:rsidRPr="007B26FF">
        <w:rPr>
          <w:rFonts w:ascii="Palatino Linotype" w:hAnsi="Palatino Linotype" w:cs="Arial"/>
          <w:color w:val="000000" w:themeColor="text1"/>
        </w:rPr>
        <w:t xml:space="preserve">En virtud de que el </w:t>
      </w:r>
      <w:r w:rsidRPr="007B26FF">
        <w:rPr>
          <w:rFonts w:ascii="Palatino Linotype" w:hAnsi="Palatino Linotype" w:cs="Arial"/>
          <w:b/>
          <w:color w:val="000000" w:themeColor="text1"/>
        </w:rPr>
        <w:t>SUJETO OBLIGADO</w:t>
      </w:r>
      <w:r w:rsidRPr="007B26FF">
        <w:rPr>
          <w:rFonts w:ascii="Palatino Linotype" w:hAnsi="Palatino Linotype" w:cs="Arial"/>
          <w:color w:val="000000" w:themeColor="text1"/>
        </w:rPr>
        <w:t xml:space="preserve"> </w:t>
      </w:r>
      <w:r w:rsidRPr="007B26FF">
        <w:rPr>
          <w:rFonts w:ascii="Palatino Linotype" w:hAnsi="Palatino Linotype" w:cs="Arial"/>
        </w:rPr>
        <w:t xml:space="preserve">asume generar, poseer y administrar la información solicitada; en ese sentido, se obvia el estudio del marco normativo que rige el actuar del sujeto obligado, a efecto de determinar si le asiste </w:t>
      </w:r>
      <w:r w:rsidRPr="007B26FF">
        <w:rPr>
          <w:rFonts w:ascii="Palatino Linotype" w:hAnsi="Palatino Linotype" w:cs="Arial"/>
        </w:rPr>
        <w:lastRenderedPageBreak/>
        <w:t>la obligación de tener en entre sus archivos la información peticionada, toda vez que a nada práctico nos conduciría el estudio de la naturaleza jurídica de la información solicitada, al haber reconocido poseerla y pretender reservarla.</w:t>
      </w:r>
    </w:p>
    <w:p w14:paraId="57BCCF09" w14:textId="77777777" w:rsidR="00646400" w:rsidRPr="007B26FF" w:rsidRDefault="00646400" w:rsidP="00646400">
      <w:pPr>
        <w:spacing w:line="360" w:lineRule="auto"/>
        <w:ind w:right="49"/>
        <w:contextualSpacing/>
        <w:jc w:val="both"/>
        <w:rPr>
          <w:rFonts w:ascii="Palatino Linotype" w:eastAsia="MS Mincho" w:hAnsi="Palatino Linotype" w:cstheme="majorBidi"/>
        </w:rPr>
      </w:pPr>
    </w:p>
    <w:p w14:paraId="445E6C06" w14:textId="3FCB4209" w:rsidR="00646400" w:rsidRPr="007B26FF" w:rsidRDefault="00646400" w:rsidP="00BD39C1">
      <w:pPr>
        <w:numPr>
          <w:ilvl w:val="0"/>
          <w:numId w:val="1"/>
        </w:numPr>
        <w:spacing w:line="360" w:lineRule="auto"/>
        <w:ind w:left="0" w:right="49" w:firstLine="0"/>
        <w:contextualSpacing/>
        <w:jc w:val="both"/>
        <w:rPr>
          <w:rFonts w:ascii="Palatino Linotype" w:eastAsia="MS Mincho" w:hAnsi="Palatino Linotype" w:cstheme="majorBidi"/>
        </w:rPr>
      </w:pPr>
      <w:r w:rsidRPr="007B26FF">
        <w:rPr>
          <w:rFonts w:ascii="Palatino Linotype" w:eastAsia="MS Mincho" w:hAnsi="Palatino Linotype" w:cstheme="majorBidi"/>
        </w:rPr>
        <w:t>Robustece lo anterior el Criterio 029/10 emitido por el Instituto de Transparencia, Acceso a la Información Pública y Protección de Datos Personales, siguientes:</w:t>
      </w:r>
    </w:p>
    <w:p w14:paraId="756301F0" w14:textId="77777777" w:rsidR="00646400" w:rsidRPr="007B26FF" w:rsidRDefault="00646400" w:rsidP="00646400">
      <w:pPr>
        <w:spacing w:line="276" w:lineRule="auto"/>
        <w:ind w:left="720"/>
        <w:jc w:val="both"/>
        <w:rPr>
          <w:rFonts w:ascii="Palatino Linotype" w:hAnsi="Palatino Linotype"/>
          <w:i/>
          <w:sz w:val="22"/>
          <w:szCs w:val="22"/>
        </w:rPr>
      </w:pPr>
      <w:r w:rsidRPr="007B26FF">
        <w:rPr>
          <w:rFonts w:ascii="Palatino Linotype" w:hAnsi="Palatino Linotype"/>
          <w:b/>
          <w:i/>
          <w:sz w:val="22"/>
          <w:szCs w:val="22"/>
        </w:rPr>
        <w:t>“Criterio 029/10 La clasificación y la inexistencia de información son conceptos que no pueden coexistir.</w:t>
      </w:r>
      <w:r w:rsidRPr="007B26FF">
        <w:rPr>
          <w:rFonts w:ascii="Palatino Linotype" w:hAnsi="Palatino Linotype"/>
          <w:i/>
          <w:sz w:val="22"/>
          <w:szCs w:val="22"/>
        </w:rPr>
        <w:t xml:space="preserve"> </w:t>
      </w:r>
    </w:p>
    <w:p w14:paraId="724E3EBC" w14:textId="77777777" w:rsidR="00646400" w:rsidRPr="007B26FF" w:rsidRDefault="00646400" w:rsidP="00646400">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 </w:t>
      </w:r>
    </w:p>
    <w:p w14:paraId="3EC99787" w14:textId="77777777" w:rsidR="00646400" w:rsidRPr="007B26FF" w:rsidRDefault="00646400" w:rsidP="00646400">
      <w:pPr>
        <w:spacing w:line="276" w:lineRule="auto"/>
        <w:ind w:left="720"/>
        <w:jc w:val="both"/>
        <w:rPr>
          <w:rFonts w:ascii="Palatino Linotype" w:hAnsi="Palatino Linotype"/>
          <w:i/>
          <w:sz w:val="22"/>
          <w:szCs w:val="22"/>
        </w:rPr>
      </w:pPr>
    </w:p>
    <w:p w14:paraId="56C6D8CE" w14:textId="77777777" w:rsidR="00646400" w:rsidRPr="007B26FF" w:rsidRDefault="00646400" w:rsidP="00646400">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Expedientes: 4734/07 Pemex Exploración y Producción – Juan Pablo Guerrero Amparán 2936/08 Comisión Federal de Telecomunicaciones - Alonso Gómez-Robledo Verduzco 4781/09 Comisión Nacional de Libros de Texto Gratuitos - Jacqueline </w:t>
      </w:r>
      <w:proofErr w:type="spellStart"/>
      <w:r w:rsidRPr="007B26FF">
        <w:rPr>
          <w:rFonts w:ascii="Palatino Linotype" w:hAnsi="Palatino Linotype"/>
          <w:i/>
          <w:sz w:val="22"/>
          <w:szCs w:val="22"/>
        </w:rPr>
        <w:t>Peschard</w:t>
      </w:r>
      <w:proofErr w:type="spellEnd"/>
      <w:r w:rsidRPr="007B26FF">
        <w:rPr>
          <w:rFonts w:ascii="Palatino Linotype" w:hAnsi="Palatino Linotype"/>
          <w:i/>
          <w:sz w:val="22"/>
          <w:szCs w:val="22"/>
        </w:rPr>
        <w:t xml:space="preserve"> Mariscal 5434/09 Administración Portuaria Integral de Veracruz, S.A. de C.V. - Jacqueline </w:t>
      </w:r>
      <w:proofErr w:type="spellStart"/>
      <w:r w:rsidRPr="007B26FF">
        <w:rPr>
          <w:rFonts w:ascii="Palatino Linotype" w:hAnsi="Palatino Linotype"/>
          <w:i/>
          <w:sz w:val="22"/>
          <w:szCs w:val="22"/>
        </w:rPr>
        <w:t>Peschard</w:t>
      </w:r>
      <w:proofErr w:type="spellEnd"/>
      <w:r w:rsidRPr="007B26FF">
        <w:rPr>
          <w:rFonts w:ascii="Palatino Linotype" w:hAnsi="Palatino Linotype"/>
          <w:i/>
          <w:sz w:val="22"/>
          <w:szCs w:val="22"/>
        </w:rPr>
        <w:t xml:space="preserve"> Mariscal 384/10 Instituto Mexicano del Seguro Social - Jacqueline </w:t>
      </w:r>
      <w:proofErr w:type="spellStart"/>
      <w:r w:rsidRPr="007B26FF">
        <w:rPr>
          <w:rFonts w:ascii="Palatino Linotype" w:hAnsi="Palatino Linotype"/>
          <w:i/>
          <w:sz w:val="22"/>
          <w:szCs w:val="22"/>
        </w:rPr>
        <w:t>Peschard</w:t>
      </w:r>
      <w:proofErr w:type="spellEnd"/>
      <w:r w:rsidRPr="007B26FF">
        <w:rPr>
          <w:rFonts w:ascii="Palatino Linotype" w:hAnsi="Palatino Linotype"/>
          <w:i/>
          <w:sz w:val="22"/>
          <w:szCs w:val="22"/>
        </w:rPr>
        <w:t xml:space="preserve"> Mariscal.”</w:t>
      </w:r>
    </w:p>
    <w:p w14:paraId="25782A9C" w14:textId="77777777" w:rsidR="00646400" w:rsidRPr="007B26FF" w:rsidRDefault="00646400" w:rsidP="00646400">
      <w:pPr>
        <w:spacing w:before="240" w:after="240" w:line="360" w:lineRule="auto"/>
        <w:contextualSpacing/>
        <w:jc w:val="both"/>
        <w:rPr>
          <w:rFonts w:ascii="Palatino Linotype" w:hAnsi="Palatino Linotype" w:cs="Arial"/>
        </w:rPr>
      </w:pPr>
    </w:p>
    <w:p w14:paraId="0E075900" w14:textId="77777777" w:rsidR="00646400" w:rsidRPr="007B26FF" w:rsidRDefault="00646400" w:rsidP="00BA3B51">
      <w:pPr>
        <w:pStyle w:val="Prrafodelista"/>
        <w:numPr>
          <w:ilvl w:val="0"/>
          <w:numId w:val="1"/>
        </w:numPr>
        <w:tabs>
          <w:tab w:val="left" w:pos="851"/>
        </w:tabs>
        <w:spacing w:line="360" w:lineRule="auto"/>
        <w:ind w:left="0" w:right="49" w:firstLine="0"/>
        <w:jc w:val="both"/>
        <w:rPr>
          <w:rFonts w:ascii="Palatino Linotype" w:hAnsi="Palatino Linotype"/>
        </w:rPr>
      </w:pPr>
      <w:r w:rsidRPr="007B26FF">
        <w:rPr>
          <w:rFonts w:ascii="Palatino Linotype" w:hAnsi="Palatino Linotype"/>
        </w:rPr>
        <w:lastRenderedPageBreak/>
        <w:t xml:space="preserve">En consecuencia, el hecho de que el </w:t>
      </w:r>
      <w:r w:rsidRPr="007B26FF">
        <w:rPr>
          <w:rFonts w:ascii="Palatino Linotype" w:hAnsi="Palatino Linotype"/>
          <w:b/>
        </w:rPr>
        <w:t xml:space="preserve">SUJETO OBLIGADO </w:t>
      </w:r>
      <w:r w:rsidRPr="007B26FF">
        <w:rPr>
          <w:rFonts w:ascii="Palatino Linotype" w:hAnsi="Palatino Linotype"/>
        </w:rPr>
        <w:t xml:space="preserve">se haya pronunciado respecto a la información en comento, asume que la posee, genera y/o administra en ejercicio de sus funciones de derecho público, motivo por el cual se actualiza el supuesto jurídico previsto en el artículo 12 de la Ley de Transparencia y Acceso a la Información Pública del Estado de México y Municipios que establece: </w:t>
      </w:r>
    </w:p>
    <w:p w14:paraId="4AEDFC90" w14:textId="77777777" w:rsidR="00646400" w:rsidRPr="007B26FF" w:rsidRDefault="00646400" w:rsidP="00646400">
      <w:pPr>
        <w:pStyle w:val="Prrafodelista"/>
        <w:tabs>
          <w:tab w:val="left" w:pos="851"/>
        </w:tabs>
        <w:spacing w:line="360" w:lineRule="auto"/>
        <w:ind w:right="49"/>
        <w:jc w:val="both"/>
        <w:rPr>
          <w:rFonts w:ascii="Palatino Linotype" w:hAnsi="Palatino Linotype"/>
        </w:rPr>
      </w:pPr>
    </w:p>
    <w:p w14:paraId="26FEF68F" w14:textId="77777777" w:rsidR="00646400" w:rsidRPr="007B26FF" w:rsidRDefault="00646400" w:rsidP="00646400">
      <w:pPr>
        <w:pStyle w:val="Prrafodelista"/>
        <w:tabs>
          <w:tab w:val="left" w:pos="851"/>
        </w:tabs>
        <w:spacing w:line="276" w:lineRule="auto"/>
        <w:ind w:left="851" w:right="616"/>
        <w:jc w:val="both"/>
        <w:rPr>
          <w:rFonts w:ascii="Palatino Linotype" w:hAnsi="Palatino Linotype"/>
          <w:i/>
          <w:sz w:val="22"/>
          <w:szCs w:val="22"/>
        </w:rPr>
      </w:pPr>
      <w:r w:rsidRPr="007B26FF">
        <w:rPr>
          <w:rFonts w:ascii="Palatino Linotype" w:hAnsi="Palatino Linotype"/>
          <w:i/>
          <w:sz w:val="22"/>
          <w:szCs w:val="22"/>
        </w:rPr>
        <w:t>“</w:t>
      </w:r>
      <w:r w:rsidRPr="007B26FF">
        <w:rPr>
          <w:rFonts w:ascii="Palatino Linotype" w:hAnsi="Palatino Linotype"/>
          <w:b/>
          <w:i/>
          <w:sz w:val="22"/>
          <w:szCs w:val="22"/>
        </w:rPr>
        <w:t>Artículo 12</w:t>
      </w:r>
      <w:r w:rsidRPr="007B26FF">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14:paraId="1E45820D" w14:textId="77777777" w:rsidR="00646400" w:rsidRPr="007B26FF" w:rsidRDefault="00646400" w:rsidP="00646400">
      <w:pPr>
        <w:pStyle w:val="Prrafodelista"/>
        <w:tabs>
          <w:tab w:val="left" w:pos="851"/>
        </w:tabs>
        <w:spacing w:line="276" w:lineRule="auto"/>
        <w:ind w:left="851" w:right="616"/>
        <w:jc w:val="both"/>
        <w:rPr>
          <w:rFonts w:ascii="Palatino Linotype" w:hAnsi="Palatino Linotype"/>
          <w:i/>
          <w:sz w:val="22"/>
          <w:szCs w:val="22"/>
        </w:rPr>
      </w:pPr>
    </w:p>
    <w:p w14:paraId="6B9AE5BE" w14:textId="77777777" w:rsidR="00646400" w:rsidRPr="007B26FF" w:rsidRDefault="00646400" w:rsidP="00646400">
      <w:pPr>
        <w:pStyle w:val="Prrafodelista"/>
        <w:tabs>
          <w:tab w:val="left" w:pos="851"/>
        </w:tabs>
        <w:spacing w:line="276" w:lineRule="auto"/>
        <w:ind w:left="851" w:right="616"/>
        <w:jc w:val="both"/>
        <w:rPr>
          <w:rFonts w:ascii="Palatino Linotype" w:hAnsi="Palatino Linotype"/>
        </w:rPr>
      </w:pPr>
      <w:r w:rsidRPr="007B26FF">
        <w:rPr>
          <w:rFonts w:ascii="Palatino Linotype" w:hAnsi="Palatino Linotype"/>
          <w:i/>
          <w:sz w:val="22"/>
          <w:szCs w:val="22"/>
        </w:rPr>
        <w:t xml:space="preserve"> Los sujetos obligados sólo proporcionarán la información pública que se les requiera y que </w:t>
      </w:r>
      <w:r w:rsidRPr="007B26FF">
        <w:rPr>
          <w:rFonts w:ascii="Palatino Linotype" w:hAnsi="Palatino Linotype"/>
          <w:b/>
          <w:i/>
          <w:sz w:val="22"/>
          <w:szCs w:val="22"/>
        </w:rPr>
        <w:t>obre en sus archivos</w:t>
      </w:r>
      <w:r w:rsidRPr="007B26FF">
        <w:rPr>
          <w:rFonts w:ascii="Palatino Linotype" w:hAnsi="Palatino Linotype"/>
          <w:i/>
          <w:sz w:val="22"/>
          <w:szCs w:val="22"/>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7B26FF">
        <w:rPr>
          <w:rFonts w:ascii="Palatino Linotype" w:hAnsi="Palatino Linotype"/>
        </w:rPr>
        <w:t xml:space="preserve">  </w:t>
      </w:r>
    </w:p>
    <w:p w14:paraId="2D1B2840" w14:textId="77777777" w:rsidR="00646400" w:rsidRPr="007B26FF" w:rsidRDefault="00646400" w:rsidP="00646400">
      <w:pPr>
        <w:pStyle w:val="Prrafodelista"/>
        <w:rPr>
          <w:rFonts w:ascii="Palatino Linotype" w:hAnsi="Palatino Linotype"/>
          <w:color w:val="000000" w:themeColor="text1"/>
        </w:rPr>
      </w:pPr>
    </w:p>
    <w:p w14:paraId="05E3D7AD" w14:textId="2867AE9C" w:rsidR="00646400" w:rsidRPr="007B26FF" w:rsidRDefault="00D02CD1" w:rsidP="00BA3B51">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B26FF">
        <w:rPr>
          <w:rFonts w:ascii="Palatino Linotype" w:hAnsi="Palatino Linotype"/>
          <w:color w:val="000000" w:themeColor="text1"/>
        </w:rPr>
        <w:t xml:space="preserve">Asimismo, </w:t>
      </w:r>
      <w:r w:rsidR="00646400" w:rsidRPr="007B26FF">
        <w:rPr>
          <w:rFonts w:ascii="Palatino Linotype" w:hAnsi="Palatino Linotype"/>
          <w:color w:val="000000" w:themeColor="text1"/>
        </w:rPr>
        <w:t xml:space="preserve">al existir un pronunciamiento directo por parte del </w:t>
      </w:r>
      <w:r w:rsidR="00646400" w:rsidRPr="007B26FF">
        <w:rPr>
          <w:rFonts w:ascii="Palatino Linotype" w:hAnsi="Palatino Linotype"/>
          <w:b/>
          <w:color w:val="000000" w:themeColor="text1"/>
        </w:rPr>
        <w:t>SUJETO OBLIGADO</w:t>
      </w:r>
      <w:r w:rsidR="00646400" w:rsidRPr="007B26FF">
        <w:rPr>
          <w:rFonts w:ascii="Palatino Linotype" w:hAnsi="Palatino Linotype"/>
          <w:color w:val="000000" w:themeColor="text1"/>
        </w:rPr>
        <w:t xml:space="preserve">, a fin de atender la solicitud planteada por el hoy </w:t>
      </w:r>
      <w:r w:rsidR="00646400" w:rsidRPr="007B26FF">
        <w:rPr>
          <w:rFonts w:ascii="Palatino Linotype" w:hAnsi="Palatino Linotype"/>
          <w:b/>
          <w:color w:val="000000" w:themeColor="text1"/>
        </w:rPr>
        <w:t>RECURRENTE</w:t>
      </w:r>
      <w:r w:rsidR="00646400" w:rsidRPr="007B26FF">
        <w:rPr>
          <w:rFonts w:ascii="Palatino Linotype" w:hAnsi="Palatino Linotype"/>
          <w:color w:val="000000" w:themeColor="text1"/>
        </w:rPr>
        <w:t xml:space="preserve">, es necesario señalar que 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w:t>
      </w:r>
      <w:r w:rsidR="00646400" w:rsidRPr="007B26FF">
        <w:rPr>
          <w:rFonts w:ascii="Palatino Linotype" w:hAnsi="Palatino Linotype"/>
          <w:b/>
          <w:i/>
          <w:color w:val="000000" w:themeColor="text1"/>
        </w:rPr>
        <w:t>SAIMEX</w:t>
      </w:r>
      <w:r w:rsidR="00646400" w:rsidRPr="007B26FF">
        <w:rPr>
          <w:rFonts w:ascii="Palatino Linotype" w:hAnsi="Palatino Linotype"/>
          <w:color w:val="000000" w:themeColor="text1"/>
        </w:rPr>
        <w:t>.</w:t>
      </w:r>
    </w:p>
    <w:p w14:paraId="10D5B2B6" w14:textId="77777777" w:rsidR="00646400" w:rsidRPr="007B26FF" w:rsidRDefault="00646400" w:rsidP="00646400">
      <w:pPr>
        <w:pStyle w:val="Prrafodelista"/>
        <w:tabs>
          <w:tab w:val="left" w:pos="0"/>
        </w:tabs>
        <w:spacing w:line="360" w:lineRule="auto"/>
        <w:ind w:left="0" w:right="49"/>
        <w:jc w:val="both"/>
        <w:rPr>
          <w:rFonts w:ascii="Palatino Linotype" w:hAnsi="Palatino Linotype" w:cs="Arial"/>
          <w:i/>
          <w:color w:val="000000" w:themeColor="text1"/>
        </w:rPr>
      </w:pPr>
    </w:p>
    <w:p w14:paraId="71359FB2" w14:textId="77777777" w:rsidR="00646400" w:rsidRPr="007B26FF" w:rsidRDefault="00646400" w:rsidP="00BA3B51">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B26FF">
        <w:rPr>
          <w:rFonts w:ascii="Palatino Linotype" w:hAnsi="Palatino Linotype"/>
          <w:color w:val="000000" w:themeColor="text1"/>
        </w:rPr>
        <w:lastRenderedPageBreak/>
        <w:t xml:space="preserve">Lo </w:t>
      </w:r>
      <w:r w:rsidRPr="007B26FF">
        <w:rPr>
          <w:rFonts w:ascii="Palatino Linotype" w:eastAsia="MS Mincho" w:hAnsi="Palatino Linotype"/>
        </w:rPr>
        <w:t>anterior encuentra sustento mediante el Criterio 31-10 emitido por el entonces Instituto Federal de Acceso a la Información y Protección de Datos, mismo que dice:</w:t>
      </w:r>
    </w:p>
    <w:p w14:paraId="313C569E" w14:textId="77777777" w:rsidR="00646400" w:rsidRPr="007B26FF" w:rsidRDefault="00646400" w:rsidP="00646400">
      <w:pPr>
        <w:pStyle w:val="Prrafodelista"/>
        <w:rPr>
          <w:rFonts w:ascii="Palatino Linotype" w:eastAsia="MS Mincho" w:hAnsi="Palatino Linotype" w:cs="Arial"/>
        </w:rPr>
      </w:pPr>
    </w:p>
    <w:p w14:paraId="72D3B50D" w14:textId="77777777" w:rsidR="00646400" w:rsidRPr="007B26FF" w:rsidRDefault="00646400" w:rsidP="00646400">
      <w:pPr>
        <w:pStyle w:val="Sinespaciado"/>
        <w:ind w:left="567" w:right="567"/>
        <w:jc w:val="both"/>
        <w:rPr>
          <w:rFonts w:ascii="Palatino Linotype" w:hAnsi="Palatino Linotype"/>
          <w:i/>
          <w:sz w:val="22"/>
          <w:szCs w:val="22"/>
          <w:lang w:val="es-ES"/>
        </w:rPr>
      </w:pPr>
      <w:r w:rsidRPr="007B26FF">
        <w:rPr>
          <w:rFonts w:ascii="Palatino Linotype" w:hAnsi="Palatino Linotype"/>
          <w:i/>
          <w:sz w:val="22"/>
          <w:szCs w:val="22"/>
          <w:lang w:val="es-ES"/>
        </w:rPr>
        <w:t>“</w:t>
      </w:r>
      <w:r w:rsidRPr="007B26FF">
        <w:rPr>
          <w:rFonts w:ascii="Palatino Linotype" w:hAnsi="Palatino Linotype"/>
          <w:b/>
          <w:i/>
          <w:sz w:val="22"/>
          <w:szCs w:val="22"/>
          <w:lang w:val="es-ES"/>
        </w:rPr>
        <w:t>EL INSTITUTO FEDERAL DE ACCESO A LA INFORMACIÓN Y PROTECCIÓN DE DATOS NO CUENTA CON FACULTADES PARA PRONUNCIARSE RESPECTO DE LA VERACIDAD DE LOS DOCUMENTOS PROPORCIONADOS POR LOS SUJETOS OBLIGADOS.</w:t>
      </w:r>
      <w:r w:rsidRPr="007B26FF">
        <w:rPr>
          <w:rFonts w:ascii="Palatino Linotype" w:hAnsi="Palatino Linotype"/>
          <w:i/>
          <w:sz w:val="22"/>
          <w:szCs w:val="22"/>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DF20BC9" w14:textId="77777777" w:rsidR="00DA6F75" w:rsidRPr="007B26FF" w:rsidRDefault="00DA6F75" w:rsidP="00DA6F75">
      <w:pPr>
        <w:pStyle w:val="Prrafodelista"/>
        <w:spacing w:line="360" w:lineRule="auto"/>
        <w:ind w:left="0"/>
        <w:jc w:val="both"/>
        <w:rPr>
          <w:rFonts w:ascii="Palatino Linotype" w:hAnsi="Palatino Linotype"/>
          <w:lang w:val="es-MX" w:eastAsia="en-US"/>
        </w:rPr>
      </w:pPr>
    </w:p>
    <w:p w14:paraId="17BF0B22" w14:textId="77777777" w:rsidR="00D02CD1" w:rsidRPr="007B26FF" w:rsidRDefault="00DA6F75" w:rsidP="00D02CD1">
      <w:pPr>
        <w:pStyle w:val="Prrafodelista"/>
        <w:numPr>
          <w:ilvl w:val="0"/>
          <w:numId w:val="1"/>
        </w:numPr>
        <w:spacing w:line="360" w:lineRule="auto"/>
        <w:ind w:left="0" w:firstLine="0"/>
        <w:jc w:val="both"/>
        <w:rPr>
          <w:rFonts w:ascii="Palatino Linotype" w:hAnsi="Palatino Linotype"/>
          <w:lang w:val="es-MX" w:eastAsia="en-US"/>
        </w:rPr>
      </w:pPr>
      <w:r w:rsidRPr="007B26FF">
        <w:rPr>
          <w:rFonts w:ascii="Palatino Linotype" w:hAnsi="Palatino Linotype"/>
          <w:lang w:val="es-MX" w:eastAsia="en-US"/>
        </w:rPr>
        <w:t>Ahora bien, e</w:t>
      </w:r>
      <w:r w:rsidR="007C62F7" w:rsidRPr="007B26FF">
        <w:rPr>
          <w:rFonts w:ascii="Palatino Linotype" w:hAnsi="Palatino Linotype"/>
          <w:lang w:val="es-MX" w:eastAsia="en-US"/>
        </w:rPr>
        <w:t xml:space="preserve">l conjunto urbano </w:t>
      </w:r>
      <w:r w:rsidR="007C62F7" w:rsidRPr="007B26FF">
        <w:rPr>
          <w:rFonts w:ascii="Palatino Linotype" w:hAnsi="Palatino Linotype"/>
          <w:i/>
          <w:sz w:val="22"/>
          <w:szCs w:val="21"/>
          <w:shd w:val="clear" w:color="auto" w:fill="FFFFFF"/>
        </w:rPr>
        <w:t>es la modalidad que se adopta en la ejecución del desarrollo urbano, que tiene por objeto estructurar o reordenar, como una unidad espacial integral, el trazo de la infraestructura vial, la división del suelo, las normas de usos, aprovechamientos y destinos del suelo, las obras de infraestructura, la urbanización y equipamiento urbano, la ubicación de edificios y la imagen urbana de un predio ubicado en áreas urbanas o urbanizables.</w:t>
      </w:r>
      <w:r w:rsidR="007C62F7" w:rsidRPr="007B26FF">
        <w:rPr>
          <w:rStyle w:val="Refdenotaalpie"/>
          <w:rFonts w:ascii="Palatino Linotype" w:hAnsi="Palatino Linotype"/>
          <w:i/>
          <w:sz w:val="22"/>
          <w:szCs w:val="21"/>
          <w:shd w:val="clear" w:color="auto" w:fill="FFFFFF"/>
        </w:rPr>
        <w:footnoteReference w:id="3"/>
      </w:r>
    </w:p>
    <w:p w14:paraId="39C87FBA" w14:textId="77777777" w:rsidR="009A6030" w:rsidRPr="007B26FF" w:rsidRDefault="009A6030" w:rsidP="007C62F7">
      <w:pPr>
        <w:pStyle w:val="Prrafodelista"/>
        <w:spacing w:line="360" w:lineRule="auto"/>
        <w:ind w:left="0"/>
        <w:jc w:val="both"/>
        <w:rPr>
          <w:rFonts w:ascii="Palatino Linotype" w:hAnsi="Palatino Linotype"/>
          <w:lang w:val="es-MX" w:eastAsia="en-US"/>
        </w:rPr>
      </w:pPr>
    </w:p>
    <w:p w14:paraId="29FC333F" w14:textId="7249E666" w:rsidR="00C324E5" w:rsidRPr="007B26FF" w:rsidRDefault="007C62F7" w:rsidP="00C324E5">
      <w:pPr>
        <w:pStyle w:val="Prrafodelista"/>
        <w:numPr>
          <w:ilvl w:val="0"/>
          <w:numId w:val="1"/>
        </w:numPr>
        <w:spacing w:line="360" w:lineRule="auto"/>
        <w:ind w:left="0" w:firstLine="0"/>
        <w:jc w:val="both"/>
        <w:rPr>
          <w:rFonts w:ascii="Palatino Linotype" w:hAnsi="Palatino Linotype"/>
          <w:lang w:val="es-MX" w:eastAsia="en-US"/>
        </w:rPr>
      </w:pPr>
      <w:r w:rsidRPr="007B26FF">
        <w:rPr>
          <w:rFonts w:ascii="Palatino Linotype" w:hAnsi="Palatino Linotype"/>
          <w:lang w:val="es-MX" w:eastAsia="en-US"/>
        </w:rPr>
        <w:t xml:space="preserve">El </w:t>
      </w:r>
      <w:r w:rsidR="00D02CD1" w:rsidRPr="007B26FF">
        <w:rPr>
          <w:rFonts w:ascii="Palatino Linotype" w:hAnsi="Palatino Linotype"/>
          <w:lang w:val="es-MX" w:eastAsia="en-US"/>
        </w:rPr>
        <w:t xml:space="preserve">cinco (05) de enero de dos mil dieciséis </w:t>
      </w:r>
      <w:r w:rsidRPr="007B26FF">
        <w:rPr>
          <w:rFonts w:ascii="Palatino Linotype" w:hAnsi="Palatino Linotype"/>
          <w:lang w:val="es-MX" w:eastAsia="en-US"/>
        </w:rPr>
        <w:t xml:space="preserve">se publicó en la Gaceta del Gobierno el </w:t>
      </w:r>
      <w:r w:rsidR="00D02CD1" w:rsidRPr="007B26FF">
        <w:rPr>
          <w:rFonts w:ascii="Palatino Linotype" w:hAnsi="Palatino Linotype"/>
        </w:rPr>
        <w:t xml:space="preserve">Acuerdo por el que se autoriza a la empresa PROMOTORA DE VIVIENDAS </w:t>
      </w:r>
      <w:r w:rsidR="00D02CD1" w:rsidRPr="007B26FF">
        <w:rPr>
          <w:rFonts w:ascii="Palatino Linotype" w:hAnsi="Palatino Linotype"/>
        </w:rPr>
        <w:lastRenderedPageBreak/>
        <w:t>INTEGRALES, S.A. DE C.V. el Conjunto Urbano de tipo Habitacional de Interés Social y Popular denominado “REAL GRANADA” ubicado en el Municipio de Tecámac</w:t>
      </w:r>
      <w:r w:rsidR="00D02CD1" w:rsidRPr="007B26FF">
        <w:rPr>
          <w:rStyle w:val="Refdenotaalpie"/>
          <w:rFonts w:ascii="Palatino Linotype" w:hAnsi="Palatino Linotype"/>
        </w:rPr>
        <w:footnoteReference w:id="4"/>
      </w:r>
      <w:r w:rsidR="00C324E5" w:rsidRPr="007B26FF">
        <w:rPr>
          <w:rFonts w:ascii="Palatino Linotype" w:hAnsi="Palatino Linotype"/>
        </w:rPr>
        <w:t>.</w:t>
      </w:r>
    </w:p>
    <w:p w14:paraId="1818B8EA" w14:textId="77777777" w:rsidR="00C22C70" w:rsidRPr="007B26FF" w:rsidRDefault="00C22C70" w:rsidP="00C22C70">
      <w:pPr>
        <w:pStyle w:val="Prrafodelista"/>
        <w:spacing w:line="360" w:lineRule="auto"/>
        <w:ind w:left="0"/>
        <w:jc w:val="both"/>
        <w:rPr>
          <w:rFonts w:ascii="Palatino Linotype" w:hAnsi="Palatino Linotype"/>
          <w:lang w:val="es-MX" w:eastAsia="en-US"/>
        </w:rPr>
      </w:pPr>
    </w:p>
    <w:p w14:paraId="5AFFFF91" w14:textId="49181868" w:rsidR="00C324E5" w:rsidRPr="007B26FF" w:rsidRDefault="00C324E5" w:rsidP="00C324E5">
      <w:pPr>
        <w:pStyle w:val="Prrafodelista"/>
        <w:numPr>
          <w:ilvl w:val="0"/>
          <w:numId w:val="1"/>
        </w:numPr>
        <w:spacing w:line="360" w:lineRule="auto"/>
        <w:ind w:left="0" w:firstLine="0"/>
        <w:jc w:val="both"/>
        <w:rPr>
          <w:rFonts w:ascii="Palatino Linotype" w:hAnsi="Palatino Linotype"/>
          <w:lang w:val="es-MX" w:eastAsia="en-US"/>
        </w:rPr>
      </w:pPr>
      <w:r w:rsidRPr="007B26FF">
        <w:rPr>
          <w:rFonts w:ascii="Palatino Linotype" w:hAnsi="Palatino Linotype"/>
          <w:lang w:val="es-MX" w:eastAsia="en-US"/>
        </w:rPr>
        <w:t xml:space="preserve">Posteriormente se publicaron en la Gaceta del Gobierno diversos acuerdos en relación a la </w:t>
      </w:r>
      <w:r w:rsidRPr="007B26FF">
        <w:rPr>
          <w:rFonts w:ascii="Palatino Linotype" w:hAnsi="Palatino Linotype"/>
        </w:rPr>
        <w:t>autorización a la empresa PROMOTORA DE VIVIENDAS INTEGRALES, S.A. DE C.V. el Conjunto Urbano de tipo Habitacional de Interés Social y Popular denominado “REAL GRANADA” ubicado en el Municipio de Tecámac, como a continuación se enlista:</w:t>
      </w:r>
    </w:p>
    <w:p w14:paraId="20A66537" w14:textId="77777777" w:rsidR="00C22C70" w:rsidRPr="007B26FF" w:rsidRDefault="00C22C70" w:rsidP="00C22C70">
      <w:pPr>
        <w:pStyle w:val="Prrafodelista"/>
        <w:spacing w:line="360" w:lineRule="auto"/>
        <w:jc w:val="both"/>
        <w:rPr>
          <w:rFonts w:ascii="Palatino Linotype" w:hAnsi="Palatino Linotype"/>
          <w:lang w:val="es-MX" w:eastAsia="en-US"/>
        </w:rPr>
      </w:pPr>
    </w:p>
    <w:p w14:paraId="2A85A647" w14:textId="77777777" w:rsidR="00C22C70" w:rsidRPr="007B26FF" w:rsidRDefault="00C22C70" w:rsidP="00C22C70">
      <w:pPr>
        <w:pStyle w:val="Prrafodelista"/>
        <w:numPr>
          <w:ilvl w:val="0"/>
          <w:numId w:val="12"/>
        </w:numPr>
        <w:spacing w:line="360" w:lineRule="auto"/>
        <w:jc w:val="both"/>
        <w:rPr>
          <w:rFonts w:ascii="Palatino Linotype" w:hAnsi="Palatino Linotype"/>
        </w:rPr>
      </w:pPr>
      <w:r w:rsidRPr="007B26FF">
        <w:rPr>
          <w:rFonts w:ascii="Palatino Linotype" w:hAnsi="Palatino Linotype"/>
        </w:rPr>
        <w:t xml:space="preserve">ACUERDO POR EL QUE SE AUTORIZA A LA EMPRESA “PROMOTORA DE VIVIENDAS INTEGRALES”, S.A. DE C.V., EL CONJUNTO URBANO HABITACIONAL DE INTERÉS SOCIAL Y POPULAR DENOMINADO “REAL GRANADA SEGUNDA ETAPA”, UBICADO EN EL MUNICIPIO DE TECÁMAC, ESTADO DE MÉXICO (Gaceta del Gobierno de fecha 27 de septiembre de 2016) </w:t>
      </w:r>
      <w:r w:rsidRPr="007B26FF">
        <w:rPr>
          <w:rStyle w:val="Refdenotaalpie"/>
          <w:rFonts w:ascii="Palatino Linotype" w:hAnsi="Palatino Linotype"/>
        </w:rPr>
        <w:footnoteReference w:id="5"/>
      </w:r>
    </w:p>
    <w:p w14:paraId="6448CD94" w14:textId="77777777" w:rsidR="00C22C70" w:rsidRPr="007B26FF" w:rsidRDefault="00C22C70" w:rsidP="00C22C70">
      <w:pPr>
        <w:pStyle w:val="Prrafodelista"/>
        <w:spacing w:line="360" w:lineRule="auto"/>
        <w:jc w:val="both"/>
        <w:rPr>
          <w:rFonts w:ascii="Palatino Linotype" w:hAnsi="Palatino Linotype"/>
        </w:rPr>
      </w:pPr>
    </w:p>
    <w:p w14:paraId="58039429" w14:textId="77777777" w:rsidR="00C22C70" w:rsidRPr="007B26FF" w:rsidRDefault="00C22C70" w:rsidP="00C22C70">
      <w:pPr>
        <w:pStyle w:val="Prrafodelista"/>
        <w:numPr>
          <w:ilvl w:val="0"/>
          <w:numId w:val="12"/>
        </w:numPr>
        <w:spacing w:line="360" w:lineRule="auto"/>
        <w:jc w:val="both"/>
        <w:rPr>
          <w:rFonts w:ascii="Palatino Linotype" w:hAnsi="Palatino Linotype"/>
          <w:lang w:val="es-MX" w:eastAsia="en-US"/>
        </w:rPr>
      </w:pPr>
      <w:r w:rsidRPr="007B26FF">
        <w:rPr>
          <w:rFonts w:ascii="Palatino Linotype" w:hAnsi="Palatino Linotype"/>
        </w:rPr>
        <w:t xml:space="preserve">ACUERDO POR EL QUE SE AUTORIZA A LA EMPRESA “PROMOTORA DE VIVIENDAS INTEGRALES”, S.A. DE C.V., SE DEJE SIN EFECTOS JURÍDICOS LA AUTORIZACIÓN DEL CONDOMINIO Y SE AUTORIZA </w:t>
      </w:r>
      <w:r w:rsidRPr="007B26FF">
        <w:rPr>
          <w:rFonts w:ascii="Palatino Linotype" w:hAnsi="Palatino Linotype"/>
        </w:rPr>
        <w:lastRenderedPageBreak/>
        <w:t>LA RELOTIFICACIÓN PARCIAL, ASÍ COMO EL DESARROLLO DE CONDOMINIOS VERTICALES DE TIPO HABITACIONAL DE INTERÉS SOCIAL, EN EL CONJUNTO URBANO DE TIPO HABITACIONAL DE INTERÉS SOCIAL Y POPULAR DENOMINADO “REAL GRANADA SEGUNDA ETAPA”, UBICADO EN EL MUNICIPIO DE TECÁMAC, ESTADO DE MÉXICO.</w:t>
      </w:r>
      <w:r w:rsidRPr="007B26FF">
        <w:rPr>
          <w:rFonts w:ascii="Palatino Linotype" w:hAnsi="Palatino Linotype"/>
          <w:lang w:val="es-MX" w:eastAsia="en-US"/>
        </w:rPr>
        <w:t xml:space="preserve"> (Gaceta del Gobierno de fecha 24 de mayo de 2018)</w:t>
      </w:r>
      <w:r w:rsidRPr="007B26FF">
        <w:rPr>
          <w:rStyle w:val="Refdenotaalpie"/>
          <w:rFonts w:ascii="Palatino Linotype" w:hAnsi="Palatino Linotype"/>
          <w:lang w:val="es-MX" w:eastAsia="en-US"/>
        </w:rPr>
        <w:footnoteReference w:id="6"/>
      </w:r>
    </w:p>
    <w:p w14:paraId="1C57CA3B" w14:textId="77777777" w:rsidR="00C22C70" w:rsidRPr="007B26FF" w:rsidRDefault="00C22C70" w:rsidP="00C22C70">
      <w:pPr>
        <w:pStyle w:val="Prrafodelista"/>
        <w:spacing w:line="360" w:lineRule="auto"/>
        <w:jc w:val="both"/>
        <w:rPr>
          <w:rFonts w:ascii="Palatino Linotype" w:hAnsi="Palatino Linotype"/>
        </w:rPr>
      </w:pPr>
    </w:p>
    <w:p w14:paraId="6EF5EB09" w14:textId="77777777" w:rsidR="00C22C70" w:rsidRPr="007B26FF" w:rsidRDefault="00C22C70" w:rsidP="00C22C70">
      <w:pPr>
        <w:pStyle w:val="Prrafodelista"/>
        <w:numPr>
          <w:ilvl w:val="0"/>
          <w:numId w:val="12"/>
        </w:numPr>
        <w:spacing w:line="360" w:lineRule="auto"/>
        <w:jc w:val="both"/>
        <w:rPr>
          <w:rFonts w:ascii="Palatino Linotype" w:hAnsi="Palatino Linotype"/>
        </w:rPr>
      </w:pPr>
      <w:r w:rsidRPr="007B26FF">
        <w:rPr>
          <w:rFonts w:ascii="Palatino Linotype" w:hAnsi="Palatino Linotype"/>
        </w:rPr>
        <w:t>ACUERDO POR EL QUE SE AUTORIZA A LA EMPRESA “PROMOTORA DE VIVIENDAS INTEGRALES”, S.A. DE C.V., SUBSANAR IRREGULARIDADES OBSERVADAS EN LOS PLANOS 4 DE 5 Y 5 DE 5, CONTENIDAS EN EL ACUERDO DE AUTORIZACIÓN DE RELOTIFICACIÓN Y EL DESARROLLO DE CONDOMINIO EN EL CONJUNTO URBANO “REAL GRANADA SEGUNDA ETAPA”, UBICADO EN EL MUNICIPIO DE TECÁMAC, ESTADO DE MÉXICO. (Gaceta del Gobierno de fecha 11 de septiembre de 2018)</w:t>
      </w:r>
      <w:r w:rsidRPr="007B26FF">
        <w:rPr>
          <w:rStyle w:val="Refdenotaalpie"/>
          <w:rFonts w:ascii="Palatino Linotype" w:hAnsi="Palatino Linotype"/>
        </w:rPr>
        <w:footnoteReference w:id="7"/>
      </w:r>
      <w:r w:rsidRPr="007B26FF">
        <w:rPr>
          <w:rFonts w:ascii="Palatino Linotype" w:hAnsi="Palatino Linotype"/>
        </w:rPr>
        <w:t xml:space="preserve"> </w:t>
      </w:r>
    </w:p>
    <w:p w14:paraId="6B469B8C" w14:textId="77777777" w:rsidR="00C22C70" w:rsidRPr="007B26FF" w:rsidRDefault="00C22C70" w:rsidP="00C22C70">
      <w:pPr>
        <w:pStyle w:val="Prrafodelista"/>
        <w:spacing w:line="360" w:lineRule="auto"/>
        <w:jc w:val="both"/>
        <w:rPr>
          <w:rFonts w:ascii="Palatino Linotype" w:hAnsi="Palatino Linotype"/>
        </w:rPr>
      </w:pPr>
    </w:p>
    <w:p w14:paraId="0ECA3DA0" w14:textId="77777777" w:rsidR="00C22C70" w:rsidRPr="007B26FF" w:rsidRDefault="00C22C70" w:rsidP="00C22C70">
      <w:pPr>
        <w:pStyle w:val="Prrafodelista"/>
        <w:numPr>
          <w:ilvl w:val="0"/>
          <w:numId w:val="12"/>
        </w:numPr>
        <w:spacing w:line="360" w:lineRule="auto"/>
        <w:jc w:val="both"/>
        <w:rPr>
          <w:rFonts w:ascii="Palatino Linotype" w:hAnsi="Palatino Linotype"/>
        </w:rPr>
      </w:pPr>
      <w:r w:rsidRPr="007B26FF">
        <w:rPr>
          <w:rFonts w:ascii="Palatino Linotype" w:hAnsi="Palatino Linotype"/>
        </w:rPr>
        <w:t xml:space="preserve">ACUERDO POR EL QUE SE AUTORIZA A LA EMPRESA PROMOTORA DE VIVIENDAS INTEGRALES, S.A. DE C.V. EL CONJUNTO URBANO DE TIPO HABITACIONAL MIXTO (HABITACIONAL DE INTERÉS SOCIAL Y POPULAR, COMERCIAL Y DE </w:t>
      </w:r>
      <w:proofErr w:type="gramStart"/>
      <w:r w:rsidRPr="007B26FF">
        <w:rPr>
          <w:rFonts w:ascii="Palatino Linotype" w:hAnsi="Palatino Linotype"/>
        </w:rPr>
        <w:t>SERVICIOS)  DENOMINADO</w:t>
      </w:r>
      <w:proofErr w:type="gramEnd"/>
      <w:r w:rsidRPr="007B26FF">
        <w:rPr>
          <w:rFonts w:ascii="Palatino Linotype" w:hAnsi="Palatino Linotype"/>
        </w:rPr>
        <w:t xml:space="preserve"> “REAL </w:t>
      </w:r>
      <w:r w:rsidRPr="007B26FF">
        <w:rPr>
          <w:rFonts w:ascii="Palatino Linotype" w:hAnsi="Palatino Linotype"/>
        </w:rPr>
        <w:lastRenderedPageBreak/>
        <w:t xml:space="preserve">GRANADA” TERCERA ÉTAPA, UBICADO EN EL MUNICIPIO DE TECÁMAC. (Gaceta del Gobierno de fecha 10 de enero de 2019) </w:t>
      </w:r>
      <w:r w:rsidRPr="007B26FF">
        <w:rPr>
          <w:rStyle w:val="Refdenotaalpie"/>
          <w:rFonts w:ascii="Palatino Linotype" w:hAnsi="Palatino Linotype"/>
        </w:rPr>
        <w:footnoteReference w:id="8"/>
      </w:r>
    </w:p>
    <w:p w14:paraId="7FAAEF06" w14:textId="77777777" w:rsidR="00C22C70" w:rsidRPr="007B26FF" w:rsidRDefault="00C22C70" w:rsidP="00C22C70">
      <w:pPr>
        <w:pStyle w:val="Prrafodelista"/>
        <w:spacing w:line="360" w:lineRule="auto"/>
        <w:jc w:val="both"/>
        <w:rPr>
          <w:rFonts w:ascii="Palatino Linotype" w:hAnsi="Palatino Linotype"/>
        </w:rPr>
      </w:pPr>
    </w:p>
    <w:p w14:paraId="5BA0B975" w14:textId="77777777" w:rsidR="00C22C70" w:rsidRPr="007B26FF" w:rsidRDefault="00C22C70" w:rsidP="00C22C70">
      <w:pPr>
        <w:pStyle w:val="Prrafodelista"/>
        <w:numPr>
          <w:ilvl w:val="0"/>
          <w:numId w:val="12"/>
        </w:numPr>
        <w:spacing w:line="360" w:lineRule="auto"/>
        <w:jc w:val="both"/>
        <w:rPr>
          <w:rFonts w:ascii="Palatino Linotype" w:hAnsi="Palatino Linotype"/>
        </w:rPr>
      </w:pPr>
      <w:r w:rsidRPr="007B26FF">
        <w:rPr>
          <w:rFonts w:ascii="Palatino Linotype" w:hAnsi="Palatino Linotype"/>
        </w:rPr>
        <w:t>ACUERDO POR EL QUE SE AUTORIZA A LA EMPRESA “PROMOTORA DE VIVIENDAS INTEGRALES”, S.A. DE C.V., LA RELOTIFICACIÓN PARCIAL Y TRES CONDOMINIOS VERTICALES DE TIPO HABITACIONAL POPULAR, EN EL CONJUNTO URBANO DE TIPO MIXTO (HABITACIONAL DE INTERÉS SOCIAL Y POPULAR, COMERCIAL Y DE SERVICIOS), DENOMINADO “REAL GRANADA TERCERA ETAPA”, EN EL MUNICIPIO DE TECÁMAC, ESTADO DE MÉXICO. (Gaceta del Gobierno de fecha 23 de octubre de 2019)</w:t>
      </w:r>
      <w:r w:rsidRPr="007B26FF">
        <w:rPr>
          <w:rStyle w:val="Refdenotaalpie"/>
          <w:rFonts w:ascii="Palatino Linotype" w:hAnsi="Palatino Linotype"/>
        </w:rPr>
        <w:footnoteReference w:id="9"/>
      </w:r>
    </w:p>
    <w:p w14:paraId="3FF79625" w14:textId="77777777" w:rsidR="00C22C70" w:rsidRPr="007B26FF" w:rsidRDefault="00C22C70" w:rsidP="00C22C70">
      <w:pPr>
        <w:pStyle w:val="Prrafodelista"/>
        <w:spacing w:line="360" w:lineRule="auto"/>
        <w:jc w:val="both"/>
        <w:rPr>
          <w:rFonts w:ascii="Palatino Linotype" w:hAnsi="Palatino Linotype"/>
        </w:rPr>
      </w:pPr>
    </w:p>
    <w:p w14:paraId="1837BAB8" w14:textId="558C21D9" w:rsidR="00C22C70" w:rsidRPr="007B26FF" w:rsidRDefault="00C22C70" w:rsidP="00C22C70">
      <w:pPr>
        <w:pStyle w:val="Prrafodelista"/>
        <w:numPr>
          <w:ilvl w:val="0"/>
          <w:numId w:val="12"/>
        </w:numPr>
        <w:spacing w:line="360" w:lineRule="auto"/>
        <w:jc w:val="both"/>
        <w:rPr>
          <w:rFonts w:ascii="Palatino Linotype" w:hAnsi="Palatino Linotype"/>
        </w:rPr>
      </w:pPr>
      <w:r w:rsidRPr="007B26FF">
        <w:rPr>
          <w:rFonts w:ascii="Palatino Linotype" w:hAnsi="Palatino Linotype"/>
        </w:rPr>
        <w:t xml:space="preserve">ACUERDO MEDIANTE EL CUAL SE DEJA SIN EFECTOS JURÍDICOS LOS CONDOMINIOS DE TIPO HABITACIONAL DE INTERÉS SOCIAL, UBICADOS EN LOS LOTES 1, MANZANA 20; 20 Y 21 MANZANA 24; 1, 2A Y 22 MANZANA 42; 4 Y 14A MANZANA 43, EN EL CONJUNTO URBANO DE TIPO HABITACIONAL DE INTERÉS SOCIAL Y POPULAR DENOMINADO “REAL GRANADA SEGUNDA ETAPA”, UBICADO EN EL MUNICIPIO DE TECÁMAC, ESTADO DE MÉXICO. (Gaceta del Gobierno de fecha 21 de marzo de 2019) </w:t>
      </w:r>
      <w:r w:rsidRPr="007B26FF">
        <w:rPr>
          <w:rStyle w:val="Refdenotaalpie"/>
          <w:rFonts w:ascii="Palatino Linotype" w:hAnsi="Palatino Linotype"/>
        </w:rPr>
        <w:footnoteReference w:id="10"/>
      </w:r>
    </w:p>
    <w:p w14:paraId="2D02ED13" w14:textId="77777777" w:rsidR="00C22C70" w:rsidRPr="007B26FF" w:rsidRDefault="00C22C70" w:rsidP="00C22C70">
      <w:pPr>
        <w:pStyle w:val="Prrafodelista"/>
        <w:numPr>
          <w:ilvl w:val="0"/>
          <w:numId w:val="12"/>
        </w:numPr>
        <w:spacing w:line="360" w:lineRule="auto"/>
        <w:jc w:val="both"/>
        <w:rPr>
          <w:rFonts w:ascii="Palatino Linotype" w:hAnsi="Palatino Linotype"/>
        </w:rPr>
      </w:pPr>
      <w:r w:rsidRPr="007B26FF">
        <w:rPr>
          <w:rFonts w:ascii="Palatino Linotype" w:hAnsi="Palatino Linotype"/>
        </w:rPr>
        <w:lastRenderedPageBreak/>
        <w:t xml:space="preserve">ACUERDO POR EL QUE SE AUTORIZA A LA EMPRESA “PROMOTORA DE VIVIENDAS INTEGRALES”, S.A. DE C.V., LA MODIFICACIÓN PARCIAL DEL DIVERSO ACUERDO, POR EL QUE SE AUTORIZÓ EL CONJUNTO URBANO DENOMINADO “REAL GRANADA TERCERA ETAPA”, EN EL MUNICIPIO DE TECÁMAC, ESTADO DE MÉXICO (Gaceta del Gobierno de fecha 12 de diciembre de 2019) </w:t>
      </w:r>
      <w:r w:rsidRPr="007B26FF">
        <w:rPr>
          <w:rStyle w:val="Refdenotaalpie"/>
          <w:rFonts w:ascii="Palatino Linotype" w:hAnsi="Palatino Linotype"/>
        </w:rPr>
        <w:footnoteReference w:id="11"/>
      </w:r>
    </w:p>
    <w:p w14:paraId="644DCFA3" w14:textId="77777777" w:rsidR="00C22C70" w:rsidRPr="007B26FF" w:rsidRDefault="00C22C70" w:rsidP="00C22C70">
      <w:pPr>
        <w:pStyle w:val="Prrafodelista"/>
        <w:spacing w:line="360" w:lineRule="auto"/>
        <w:jc w:val="both"/>
        <w:rPr>
          <w:rFonts w:ascii="Palatino Linotype" w:hAnsi="Palatino Linotype"/>
        </w:rPr>
      </w:pPr>
    </w:p>
    <w:p w14:paraId="182382F9" w14:textId="77777777" w:rsidR="00C22C70" w:rsidRPr="007B26FF" w:rsidRDefault="00C22C70" w:rsidP="00C22C70">
      <w:pPr>
        <w:pStyle w:val="Prrafodelista"/>
        <w:numPr>
          <w:ilvl w:val="0"/>
          <w:numId w:val="12"/>
        </w:numPr>
        <w:spacing w:line="360" w:lineRule="auto"/>
        <w:jc w:val="both"/>
        <w:rPr>
          <w:rFonts w:ascii="Palatino Linotype" w:hAnsi="Palatino Linotype"/>
        </w:rPr>
      </w:pPr>
      <w:r w:rsidRPr="007B26FF">
        <w:rPr>
          <w:rFonts w:ascii="Palatino Linotype" w:hAnsi="Palatino Linotype"/>
        </w:rPr>
        <w:t>ACUERDO POR EL QUE SE AUTORIZA A LA EMPRESA PROMOTORA DE VIVIENDAS INTEGRALES, S.A. DE C.V., EL CONJUNTO URBANO DE TIPO MIXTO (HABITACIONAL DE INTERÉS SOCIAL, COMERCIAL Y DE SERVICIOS) DENOMINADO “REAL GRANADA CUARTA ETAPA”, EN EL MUNICIPIO DE TECÁMAC, ESTADO DE MÉXICO. (Gaceta del Gobierno de fecha 25 de marzo de 2020)</w:t>
      </w:r>
      <w:r w:rsidRPr="007B26FF">
        <w:rPr>
          <w:rStyle w:val="Refdenotaalpie"/>
          <w:rFonts w:ascii="Palatino Linotype" w:hAnsi="Palatino Linotype"/>
        </w:rPr>
        <w:footnoteReference w:id="12"/>
      </w:r>
    </w:p>
    <w:p w14:paraId="25644D5F" w14:textId="77777777" w:rsidR="00C22C70" w:rsidRPr="007B26FF" w:rsidRDefault="00C22C70" w:rsidP="00C22C70">
      <w:pPr>
        <w:pStyle w:val="Prrafodelista"/>
        <w:rPr>
          <w:rFonts w:ascii="Palatino Linotype" w:hAnsi="Palatino Linotype"/>
        </w:rPr>
      </w:pPr>
    </w:p>
    <w:p w14:paraId="2EF8FA48" w14:textId="535B8B2E" w:rsidR="00C22C70" w:rsidRPr="007B26FF" w:rsidRDefault="00C22C70" w:rsidP="00C22C70">
      <w:pPr>
        <w:pStyle w:val="Prrafodelista"/>
        <w:numPr>
          <w:ilvl w:val="0"/>
          <w:numId w:val="12"/>
        </w:numPr>
        <w:spacing w:line="360" w:lineRule="auto"/>
        <w:jc w:val="both"/>
        <w:rPr>
          <w:rFonts w:ascii="Palatino Linotype" w:hAnsi="Palatino Linotype"/>
        </w:rPr>
      </w:pPr>
      <w:r w:rsidRPr="007B26FF">
        <w:rPr>
          <w:rFonts w:ascii="Palatino Linotype" w:hAnsi="Palatino Linotype"/>
        </w:rPr>
        <w:t>ACUERDO POR EL QUE SE AUTORIZA A “PROMOTORA DE VIVIENDAS INTEGRALES”, S.A. DE C.V., LA “EXTINCIÓN PARCIAL”, SOBRE EL LOTE 12 DE LA MANZANA 16, DEL CONJUNTO URBANO DE TIPO HABITACIONAL DE INTERÉS SOCIAL Y POPULAR, DENOMINADO “REAL GRANADA”, UBICADO EN EL MUNICIPIO DE TECÁMAC, ESTADO DE MÉXICO. (Gaceta del Gobierno de fecha 9 de febrero de 2021)</w:t>
      </w:r>
      <w:r w:rsidRPr="007B26FF">
        <w:rPr>
          <w:rStyle w:val="Refdenotaalpie"/>
          <w:rFonts w:ascii="Palatino Linotype" w:hAnsi="Palatino Linotype"/>
        </w:rPr>
        <w:footnoteReference w:id="13"/>
      </w:r>
    </w:p>
    <w:p w14:paraId="0EACEEAF" w14:textId="1746190E" w:rsidR="00C22C70" w:rsidRPr="007B26FF" w:rsidRDefault="004E624B" w:rsidP="00826EF9">
      <w:pPr>
        <w:pStyle w:val="Prrafodelista"/>
        <w:numPr>
          <w:ilvl w:val="0"/>
          <w:numId w:val="1"/>
        </w:numPr>
        <w:spacing w:line="360" w:lineRule="auto"/>
        <w:ind w:left="0" w:firstLine="0"/>
        <w:jc w:val="both"/>
        <w:rPr>
          <w:rFonts w:ascii="Palatino Linotype" w:hAnsi="Palatino Linotype"/>
          <w:lang w:val="es-MX" w:eastAsia="en-US"/>
        </w:rPr>
      </w:pPr>
      <w:r w:rsidRPr="007B26FF">
        <w:rPr>
          <w:rFonts w:ascii="Palatino Linotype" w:hAnsi="Palatino Linotype"/>
          <w:lang w:val="es-MX" w:eastAsia="en-US"/>
        </w:rPr>
        <w:lastRenderedPageBreak/>
        <w:t>E</w:t>
      </w:r>
      <w:r w:rsidR="00C22C70" w:rsidRPr="007B26FF">
        <w:rPr>
          <w:rFonts w:ascii="Palatino Linotype" w:hAnsi="Palatino Linotype"/>
          <w:lang w:val="es-MX" w:eastAsia="en-US"/>
        </w:rPr>
        <w:t xml:space="preserve">l Libro Quinto del Código Administrativo del Estado de México y Municipios en su artículo 5.1 señala el objeto del referido Libro, como a </w:t>
      </w:r>
      <w:proofErr w:type="spellStart"/>
      <w:r w:rsidR="00C22C70" w:rsidRPr="007B26FF">
        <w:rPr>
          <w:rFonts w:ascii="Palatino Linotype" w:hAnsi="Palatino Linotype"/>
          <w:lang w:val="es-MX" w:eastAsia="en-US"/>
        </w:rPr>
        <w:t>continucaión</w:t>
      </w:r>
      <w:proofErr w:type="spellEnd"/>
      <w:r w:rsidR="00C22C70" w:rsidRPr="007B26FF">
        <w:rPr>
          <w:rFonts w:ascii="Palatino Linotype" w:hAnsi="Palatino Linotype"/>
          <w:lang w:val="es-MX" w:eastAsia="en-US"/>
        </w:rPr>
        <w:t xml:space="preserve"> se muestra:</w:t>
      </w:r>
    </w:p>
    <w:p w14:paraId="0698120D" w14:textId="12F920D7" w:rsidR="00C22C70" w:rsidRPr="007B26FF" w:rsidRDefault="00C22C70" w:rsidP="00C22C70">
      <w:pPr>
        <w:pStyle w:val="Prrafodelista"/>
        <w:spacing w:line="360" w:lineRule="auto"/>
        <w:ind w:left="0"/>
        <w:jc w:val="both"/>
        <w:rPr>
          <w:rFonts w:ascii="Palatino Linotype" w:hAnsi="Palatino Linotype"/>
          <w:lang w:val="es-MX" w:eastAsia="en-US"/>
        </w:rPr>
      </w:pPr>
    </w:p>
    <w:p w14:paraId="1C334DA4" w14:textId="77777777" w:rsidR="00C22C70" w:rsidRPr="007B26FF" w:rsidRDefault="00C22C70" w:rsidP="00C22C70">
      <w:pPr>
        <w:spacing w:line="276" w:lineRule="auto"/>
        <w:ind w:left="720"/>
        <w:jc w:val="both"/>
        <w:rPr>
          <w:rFonts w:ascii="Palatino Linotype" w:hAnsi="Palatino Linotype"/>
          <w:i/>
          <w:sz w:val="22"/>
          <w:szCs w:val="22"/>
        </w:rPr>
      </w:pPr>
      <w:r w:rsidRPr="007B26FF">
        <w:rPr>
          <w:rFonts w:ascii="Palatino Linotype" w:hAnsi="Palatino Linotype"/>
          <w:b/>
          <w:i/>
          <w:sz w:val="22"/>
          <w:szCs w:val="22"/>
        </w:rPr>
        <w:t>“Artículo 5.1.</w:t>
      </w:r>
      <w:r w:rsidRPr="007B26FF">
        <w:rPr>
          <w:rFonts w:ascii="Palatino Linotype" w:hAnsi="Palatino Linotype"/>
          <w:i/>
          <w:sz w:val="22"/>
          <w:szCs w:val="22"/>
        </w:rPr>
        <w:t xml:space="preserve"> Este Libro tiene por objeto: </w:t>
      </w:r>
    </w:p>
    <w:p w14:paraId="77364539" w14:textId="77777777" w:rsidR="00C22C70" w:rsidRPr="007B26FF" w:rsidRDefault="00C22C70" w:rsidP="00C22C70">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I. Fijar las normas básicas e instrumentos para planear y regular el ordenamiento territorial de los asentamientos humanos y el desarrollo urbano en la Entidad, con pleno respeto a los derechos humanos. </w:t>
      </w:r>
    </w:p>
    <w:p w14:paraId="780A81D5" w14:textId="77777777" w:rsidR="00C22C70" w:rsidRPr="007B26FF" w:rsidRDefault="00C22C70" w:rsidP="00C22C70">
      <w:pPr>
        <w:spacing w:line="276" w:lineRule="auto"/>
        <w:ind w:left="720"/>
        <w:jc w:val="both"/>
        <w:rPr>
          <w:rFonts w:ascii="Palatino Linotype" w:hAnsi="Palatino Linotype"/>
          <w:b/>
          <w:i/>
          <w:sz w:val="22"/>
          <w:szCs w:val="22"/>
        </w:rPr>
      </w:pPr>
      <w:r w:rsidRPr="007B26FF">
        <w:rPr>
          <w:rFonts w:ascii="Palatino Linotype" w:hAnsi="Palatino Linotype"/>
          <w:b/>
          <w:i/>
          <w:sz w:val="22"/>
          <w:szCs w:val="22"/>
        </w:rPr>
        <w:t xml:space="preserve">II. Establecer la concurrencia entre el Estado y los municipios, para la ordenación y regulación de los asentamientos humanos en el territorio estatal, para la coordinación y gestión de las conurbaciones y zonas metropolitanas y el desarrollo urbano de los centros de población. </w:t>
      </w:r>
    </w:p>
    <w:p w14:paraId="4623B866" w14:textId="77777777" w:rsidR="00C22C70" w:rsidRPr="007B26FF" w:rsidRDefault="00C22C70" w:rsidP="00C22C70">
      <w:pPr>
        <w:spacing w:line="276" w:lineRule="auto"/>
        <w:ind w:left="720"/>
        <w:jc w:val="both"/>
        <w:rPr>
          <w:rFonts w:ascii="Palatino Linotype" w:hAnsi="Palatino Linotype"/>
          <w:b/>
          <w:i/>
          <w:sz w:val="22"/>
          <w:szCs w:val="22"/>
        </w:rPr>
      </w:pPr>
      <w:r w:rsidRPr="007B26FF">
        <w:rPr>
          <w:rFonts w:ascii="Palatino Linotype" w:hAnsi="Palatino Linotype"/>
          <w:b/>
          <w:i/>
          <w:sz w:val="22"/>
          <w:szCs w:val="22"/>
        </w:rPr>
        <w:t xml:space="preserve">III. Asignar las atribuciones y responsabilidades del Estado y de los municipios en la aplicación de este Libro y su reglamentación. </w:t>
      </w:r>
    </w:p>
    <w:p w14:paraId="6365E9CF" w14:textId="77777777" w:rsidR="00C22C70" w:rsidRPr="007B26FF" w:rsidRDefault="00C22C70" w:rsidP="00C22C70">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IV. Definir los principios conforme a los cuales el Estado y los municipios ejercerán sus atribuciones para determinar las reservas, usos y destinos de áreas y predios que regulen la propiedad en los centros de población. </w:t>
      </w:r>
    </w:p>
    <w:p w14:paraId="57C79259" w14:textId="77777777" w:rsidR="00C22C70" w:rsidRPr="007B26FF" w:rsidRDefault="00C22C70" w:rsidP="00C22C70">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V. Determinar las bases para la participación social en los procesos de planeación, ejecución, seguimiento, evaluación y vigilancia del desarrollo urbano y del ordenamiento territorial de los asentamientos humanos en la Entidad. </w:t>
      </w:r>
    </w:p>
    <w:p w14:paraId="1E464C9B" w14:textId="77777777" w:rsidR="00C22C70" w:rsidRPr="007B26FF" w:rsidRDefault="00C22C70" w:rsidP="00C22C70">
      <w:pPr>
        <w:spacing w:line="276" w:lineRule="auto"/>
        <w:ind w:left="720"/>
        <w:jc w:val="both"/>
        <w:rPr>
          <w:rFonts w:ascii="Palatino Linotype" w:hAnsi="Palatino Linotype"/>
          <w:i/>
          <w:sz w:val="22"/>
          <w:szCs w:val="22"/>
        </w:rPr>
      </w:pPr>
      <w:r w:rsidRPr="007B26FF">
        <w:rPr>
          <w:rFonts w:ascii="Palatino Linotype" w:hAnsi="Palatino Linotype"/>
          <w:i/>
          <w:sz w:val="22"/>
          <w:szCs w:val="22"/>
        </w:rPr>
        <w:t>VI. Fijar instrumentos y acciones, así como medidas de seguridad, infracciones y sanciones que permitan la aplicación del presente Libro y su reglamentación.”</w:t>
      </w:r>
    </w:p>
    <w:p w14:paraId="29397467" w14:textId="77777777" w:rsidR="00C22C70" w:rsidRPr="007B26FF" w:rsidRDefault="00C22C70" w:rsidP="00C22C70">
      <w:pPr>
        <w:pStyle w:val="Prrafodelista"/>
        <w:spacing w:line="360" w:lineRule="auto"/>
        <w:ind w:left="0"/>
        <w:jc w:val="both"/>
        <w:rPr>
          <w:rFonts w:ascii="Palatino Linotype" w:hAnsi="Palatino Linotype"/>
          <w:lang w:val="es-MX" w:eastAsia="en-US"/>
        </w:rPr>
      </w:pPr>
    </w:p>
    <w:p w14:paraId="02D23BEA" w14:textId="7E6A07B6" w:rsidR="00C22C70" w:rsidRPr="007B26FF" w:rsidRDefault="00C22C70" w:rsidP="00826EF9">
      <w:pPr>
        <w:pStyle w:val="Prrafodelista"/>
        <w:numPr>
          <w:ilvl w:val="0"/>
          <w:numId w:val="1"/>
        </w:numPr>
        <w:spacing w:line="360" w:lineRule="auto"/>
        <w:ind w:left="0" w:firstLine="0"/>
        <w:jc w:val="both"/>
        <w:rPr>
          <w:rFonts w:ascii="Palatino Linotype" w:hAnsi="Palatino Linotype"/>
          <w:lang w:val="es-MX" w:eastAsia="en-US"/>
        </w:rPr>
      </w:pPr>
      <w:r w:rsidRPr="007B26FF">
        <w:rPr>
          <w:rFonts w:ascii="Palatino Linotype" w:hAnsi="Palatino Linotype"/>
          <w:lang w:val="es-MX" w:eastAsia="en-US"/>
        </w:rPr>
        <w:t xml:space="preserve">Por su parte el artículo 5.3 fracciones XVII y XXXVII del mismo </w:t>
      </w:r>
      <w:proofErr w:type="spellStart"/>
      <w:r w:rsidRPr="007B26FF">
        <w:rPr>
          <w:rFonts w:ascii="Palatino Linotype" w:hAnsi="Palatino Linotype"/>
          <w:lang w:val="es-MX" w:eastAsia="en-US"/>
        </w:rPr>
        <w:t>ordenamietno</w:t>
      </w:r>
      <w:proofErr w:type="spellEnd"/>
      <w:r w:rsidRPr="007B26FF">
        <w:rPr>
          <w:rFonts w:ascii="Palatino Linotype" w:hAnsi="Palatino Linotype"/>
          <w:lang w:val="es-MX" w:eastAsia="en-US"/>
        </w:rPr>
        <w:t xml:space="preserve"> legal señalan lo que se entenderá como conjunto urbano y plano de lotificación, como sigue:</w:t>
      </w:r>
    </w:p>
    <w:p w14:paraId="44B6CACD" w14:textId="69D9DC33" w:rsidR="00C22C70" w:rsidRPr="007B26FF" w:rsidRDefault="00C22C70" w:rsidP="00C22C70">
      <w:pPr>
        <w:pStyle w:val="Prrafodelista"/>
        <w:spacing w:line="360" w:lineRule="auto"/>
        <w:ind w:left="630"/>
        <w:jc w:val="both"/>
        <w:rPr>
          <w:rFonts w:ascii="Palatino Linotype" w:hAnsi="Palatino Linotype"/>
          <w:i/>
          <w:sz w:val="22"/>
          <w:szCs w:val="22"/>
          <w:lang w:val="es-MX" w:eastAsia="en-US"/>
        </w:rPr>
      </w:pPr>
    </w:p>
    <w:p w14:paraId="7C70D22C" w14:textId="79D73198" w:rsidR="00C22C70" w:rsidRPr="007B26FF" w:rsidRDefault="000C166D" w:rsidP="00C22C70">
      <w:pPr>
        <w:pStyle w:val="Prrafodelista"/>
        <w:spacing w:line="276" w:lineRule="auto"/>
        <w:ind w:left="630"/>
        <w:jc w:val="both"/>
        <w:rPr>
          <w:rFonts w:ascii="Palatino Linotype" w:hAnsi="Palatino Linotype"/>
          <w:i/>
          <w:sz w:val="22"/>
          <w:szCs w:val="22"/>
          <w:lang w:val="es-MX" w:eastAsia="en-US"/>
        </w:rPr>
      </w:pPr>
      <w:r w:rsidRPr="007B26FF">
        <w:rPr>
          <w:rFonts w:ascii="Palatino Linotype" w:hAnsi="Palatino Linotype"/>
          <w:b/>
          <w:i/>
          <w:sz w:val="22"/>
          <w:szCs w:val="22"/>
        </w:rPr>
        <w:t>“</w:t>
      </w:r>
      <w:r w:rsidR="00C22C70" w:rsidRPr="007B26FF">
        <w:rPr>
          <w:rFonts w:ascii="Palatino Linotype" w:hAnsi="Palatino Linotype"/>
          <w:b/>
          <w:i/>
          <w:sz w:val="22"/>
          <w:szCs w:val="22"/>
        </w:rPr>
        <w:t>Artículo 5.3.</w:t>
      </w:r>
      <w:r w:rsidR="00C22C70" w:rsidRPr="007B26FF">
        <w:rPr>
          <w:rFonts w:ascii="Palatino Linotype" w:hAnsi="Palatino Linotype"/>
          <w:i/>
          <w:sz w:val="22"/>
          <w:szCs w:val="22"/>
        </w:rPr>
        <w:t xml:space="preserve"> Para los efectos de este Libro, se entenderá como:</w:t>
      </w:r>
    </w:p>
    <w:p w14:paraId="0F3BE69C" w14:textId="77777777" w:rsidR="00C22C70" w:rsidRPr="007B26FF" w:rsidRDefault="00C22C70" w:rsidP="00C22C70">
      <w:pPr>
        <w:spacing w:line="276" w:lineRule="auto"/>
        <w:ind w:left="630"/>
        <w:jc w:val="both"/>
        <w:rPr>
          <w:rFonts w:ascii="Palatino Linotype" w:hAnsi="Palatino Linotype"/>
          <w:i/>
          <w:sz w:val="22"/>
          <w:szCs w:val="22"/>
        </w:rPr>
      </w:pPr>
    </w:p>
    <w:p w14:paraId="080AB5A2" w14:textId="77777777" w:rsidR="00C22C70" w:rsidRPr="007B26FF" w:rsidRDefault="00C22C70" w:rsidP="00C22C70">
      <w:pPr>
        <w:spacing w:line="276" w:lineRule="auto"/>
        <w:ind w:left="630"/>
        <w:jc w:val="both"/>
        <w:rPr>
          <w:rFonts w:ascii="Palatino Linotype" w:hAnsi="Palatino Linotype"/>
          <w:i/>
          <w:sz w:val="22"/>
          <w:szCs w:val="22"/>
        </w:rPr>
      </w:pPr>
      <w:r w:rsidRPr="007B26FF">
        <w:rPr>
          <w:rFonts w:ascii="Palatino Linotype" w:hAnsi="Palatino Linotype"/>
          <w:b/>
          <w:i/>
          <w:sz w:val="22"/>
          <w:szCs w:val="22"/>
        </w:rPr>
        <w:t>XVII. Conjunto Urbano:</w:t>
      </w:r>
      <w:r w:rsidRPr="007B26FF">
        <w:rPr>
          <w:rFonts w:ascii="Palatino Linotype" w:hAnsi="Palatino Linotype"/>
          <w:i/>
          <w:sz w:val="22"/>
          <w:szCs w:val="22"/>
        </w:rPr>
        <w:t xml:space="preserve"> A la modalidad que se adopta en la ejecución del desarrollo urbano que tiene por objeto estructurar o reordenar, como una unidad espacial integral, el trazo de la infraestructura vial, la división del suelo, las normas de usos, aprovechamientos y destinos del suelo, las obras de infraestructura, urbanización y equipamiento urbano, la ubicación de edificios y la imagen urbana de un predio ubicado en áreas urbanas o urbanizables</w:t>
      </w:r>
    </w:p>
    <w:p w14:paraId="1DE6BBDB" w14:textId="77777777" w:rsidR="00C22C70" w:rsidRPr="007B26FF" w:rsidRDefault="00C22C70" w:rsidP="00C22C70">
      <w:pPr>
        <w:spacing w:line="276" w:lineRule="auto"/>
        <w:ind w:left="630"/>
        <w:jc w:val="both"/>
        <w:rPr>
          <w:rFonts w:ascii="Palatino Linotype" w:hAnsi="Palatino Linotype"/>
          <w:i/>
          <w:sz w:val="22"/>
          <w:szCs w:val="22"/>
        </w:rPr>
      </w:pPr>
    </w:p>
    <w:p w14:paraId="37C17648" w14:textId="2FC4D489" w:rsidR="00C22C70" w:rsidRPr="007B26FF" w:rsidRDefault="00C22C70" w:rsidP="00C22C70">
      <w:pPr>
        <w:spacing w:line="276" w:lineRule="auto"/>
        <w:ind w:left="630"/>
        <w:jc w:val="both"/>
        <w:rPr>
          <w:rFonts w:ascii="Palatino Linotype" w:hAnsi="Palatino Linotype"/>
          <w:i/>
          <w:sz w:val="22"/>
          <w:szCs w:val="22"/>
        </w:rPr>
      </w:pPr>
      <w:r w:rsidRPr="007B26FF">
        <w:rPr>
          <w:rFonts w:ascii="Palatino Linotype" w:hAnsi="Palatino Linotype"/>
          <w:b/>
          <w:i/>
          <w:sz w:val="22"/>
          <w:szCs w:val="22"/>
        </w:rPr>
        <w:t>XXXVII. Plano de lotificación</w:t>
      </w:r>
      <w:r w:rsidRPr="007B26FF">
        <w:rPr>
          <w:rFonts w:ascii="Palatino Linotype" w:hAnsi="Palatino Linotype"/>
          <w:i/>
          <w:sz w:val="22"/>
          <w:szCs w:val="22"/>
        </w:rPr>
        <w:t>: A la representación gráfica de un conjunto urbano, subdivisión, condominio horizontal o mixto, relotificación o fusión.”</w:t>
      </w:r>
    </w:p>
    <w:p w14:paraId="3B2B0523" w14:textId="77777777" w:rsidR="00C22C70" w:rsidRPr="007B26FF" w:rsidRDefault="00C22C70" w:rsidP="00C22C70">
      <w:pPr>
        <w:pStyle w:val="Prrafodelista"/>
        <w:spacing w:line="360" w:lineRule="auto"/>
        <w:ind w:left="0"/>
        <w:jc w:val="both"/>
        <w:rPr>
          <w:rFonts w:ascii="Palatino Linotype" w:hAnsi="Palatino Linotype"/>
          <w:lang w:val="es-MX" w:eastAsia="en-US"/>
        </w:rPr>
      </w:pPr>
    </w:p>
    <w:p w14:paraId="10505AF1" w14:textId="124205D1" w:rsidR="00C22C70" w:rsidRPr="007B26FF" w:rsidRDefault="000C166D" w:rsidP="00826EF9">
      <w:pPr>
        <w:pStyle w:val="Prrafodelista"/>
        <w:numPr>
          <w:ilvl w:val="0"/>
          <w:numId w:val="1"/>
        </w:numPr>
        <w:spacing w:line="360" w:lineRule="auto"/>
        <w:ind w:left="0" w:firstLine="0"/>
        <w:jc w:val="both"/>
        <w:rPr>
          <w:rFonts w:ascii="Palatino Linotype" w:hAnsi="Palatino Linotype"/>
          <w:lang w:val="es-MX" w:eastAsia="en-US"/>
        </w:rPr>
      </w:pPr>
      <w:proofErr w:type="spellStart"/>
      <w:r w:rsidRPr="007B26FF">
        <w:rPr>
          <w:rFonts w:ascii="Palatino Linotype" w:hAnsi="Palatino Linotype"/>
          <w:lang w:val="es-MX" w:eastAsia="en-US"/>
        </w:rPr>
        <w:t>Asismismo</w:t>
      </w:r>
      <w:proofErr w:type="spellEnd"/>
      <w:r w:rsidRPr="007B26FF">
        <w:rPr>
          <w:rFonts w:ascii="Palatino Linotype" w:hAnsi="Palatino Linotype"/>
          <w:lang w:val="es-MX" w:eastAsia="en-US"/>
        </w:rPr>
        <w:t xml:space="preserve">, los artículos 5.7 y 5.10 del multicitado ordenamiento legal, señalan que el Municipio es autoridad para la aplicación del Libro Quinto y las atribuciones que como tal tiene conferidas, entre ellas las relacionadas con la aprobación, </w:t>
      </w:r>
      <w:proofErr w:type="spellStart"/>
      <w:r w:rsidRPr="007B26FF">
        <w:rPr>
          <w:rFonts w:ascii="Palatino Linotype" w:hAnsi="Palatino Linotype"/>
          <w:lang w:val="es-MX" w:eastAsia="en-US"/>
        </w:rPr>
        <w:t>autorixación</w:t>
      </w:r>
      <w:proofErr w:type="spellEnd"/>
      <w:r w:rsidRPr="007B26FF">
        <w:rPr>
          <w:rFonts w:ascii="Palatino Linotype" w:hAnsi="Palatino Linotype"/>
          <w:lang w:val="es-MX" w:eastAsia="en-US"/>
        </w:rPr>
        <w:t xml:space="preserve"> y supervisión de los conjuntos urbanos, como a continuación se muestra:</w:t>
      </w:r>
    </w:p>
    <w:p w14:paraId="38AD8740" w14:textId="742A6C20" w:rsidR="000C166D" w:rsidRPr="007B26FF" w:rsidRDefault="000C166D" w:rsidP="000C166D">
      <w:pPr>
        <w:pStyle w:val="Prrafodelista"/>
        <w:spacing w:line="360" w:lineRule="auto"/>
        <w:ind w:left="0"/>
        <w:jc w:val="both"/>
        <w:rPr>
          <w:rFonts w:ascii="Palatino Linotype" w:hAnsi="Palatino Linotype"/>
          <w:lang w:val="es-MX" w:eastAsia="en-US"/>
        </w:rPr>
      </w:pPr>
    </w:p>
    <w:p w14:paraId="74D8E1C6" w14:textId="130BE83B" w:rsidR="000C166D" w:rsidRPr="007B26FF" w:rsidRDefault="000C166D" w:rsidP="000C166D">
      <w:pPr>
        <w:spacing w:line="276" w:lineRule="auto"/>
        <w:ind w:left="720"/>
        <w:jc w:val="both"/>
        <w:rPr>
          <w:rFonts w:ascii="Palatino Linotype" w:hAnsi="Palatino Linotype"/>
          <w:i/>
          <w:sz w:val="22"/>
          <w:szCs w:val="22"/>
        </w:rPr>
      </w:pPr>
      <w:r w:rsidRPr="007B26FF">
        <w:rPr>
          <w:rFonts w:ascii="Palatino Linotype" w:hAnsi="Palatino Linotype"/>
          <w:b/>
          <w:i/>
          <w:sz w:val="22"/>
          <w:szCs w:val="22"/>
        </w:rPr>
        <w:t>“Artículo 5.7.</w:t>
      </w:r>
      <w:r w:rsidRPr="007B26FF">
        <w:rPr>
          <w:rFonts w:ascii="Palatino Linotype" w:hAnsi="Palatino Linotype"/>
          <w:i/>
          <w:sz w:val="22"/>
          <w:szCs w:val="22"/>
        </w:rPr>
        <w:t xml:space="preserve"> </w:t>
      </w:r>
      <w:r w:rsidRPr="007B26FF">
        <w:rPr>
          <w:rFonts w:ascii="Palatino Linotype" w:hAnsi="Palatino Linotype"/>
          <w:b/>
          <w:i/>
          <w:sz w:val="22"/>
          <w:szCs w:val="22"/>
        </w:rPr>
        <w:t>Son autoridades para la aplicación de este Libro</w:t>
      </w:r>
      <w:r w:rsidRPr="007B26FF">
        <w:rPr>
          <w:rFonts w:ascii="Palatino Linotype" w:hAnsi="Palatino Linotype"/>
          <w:i/>
          <w:sz w:val="22"/>
          <w:szCs w:val="22"/>
        </w:rPr>
        <w:t xml:space="preserve"> el Gobernador del Estado, la Secretaría de Desarrollo Urbano y Metropolitano </w:t>
      </w:r>
      <w:r w:rsidRPr="007B26FF">
        <w:rPr>
          <w:rFonts w:ascii="Palatino Linotype" w:hAnsi="Palatino Linotype"/>
          <w:b/>
          <w:i/>
          <w:sz w:val="22"/>
          <w:szCs w:val="22"/>
        </w:rPr>
        <w:t>y los municipios.</w:t>
      </w:r>
    </w:p>
    <w:p w14:paraId="09215EE1" w14:textId="77777777" w:rsidR="000C166D" w:rsidRPr="007B26FF" w:rsidRDefault="000C166D" w:rsidP="000C166D">
      <w:pPr>
        <w:pStyle w:val="Prrafodelista"/>
        <w:spacing w:line="276" w:lineRule="auto"/>
        <w:jc w:val="both"/>
        <w:rPr>
          <w:rFonts w:ascii="Palatino Linotype" w:hAnsi="Palatino Linotype"/>
          <w:i/>
          <w:sz w:val="22"/>
          <w:szCs w:val="22"/>
          <w:lang w:val="es-US" w:eastAsia="en-US"/>
        </w:rPr>
      </w:pPr>
    </w:p>
    <w:p w14:paraId="60419BC7" w14:textId="77777777" w:rsidR="000C166D" w:rsidRPr="007B26FF" w:rsidRDefault="000C166D" w:rsidP="000C166D">
      <w:pPr>
        <w:spacing w:line="276" w:lineRule="auto"/>
        <w:ind w:left="720"/>
        <w:jc w:val="both"/>
        <w:rPr>
          <w:rFonts w:ascii="Palatino Linotype" w:hAnsi="Palatino Linotype"/>
          <w:i/>
          <w:sz w:val="22"/>
          <w:szCs w:val="22"/>
        </w:rPr>
      </w:pPr>
      <w:r w:rsidRPr="007B26FF">
        <w:rPr>
          <w:rFonts w:ascii="Palatino Linotype" w:hAnsi="Palatino Linotype"/>
          <w:b/>
          <w:i/>
          <w:sz w:val="22"/>
          <w:szCs w:val="22"/>
        </w:rPr>
        <w:t>Artículo 5.10.</w:t>
      </w:r>
      <w:r w:rsidRPr="007B26FF">
        <w:rPr>
          <w:rFonts w:ascii="Palatino Linotype" w:hAnsi="Palatino Linotype"/>
          <w:i/>
          <w:sz w:val="22"/>
          <w:szCs w:val="22"/>
        </w:rPr>
        <w:t xml:space="preserve"> Los municipios tendrán las atribuciones siguientes: </w:t>
      </w:r>
    </w:p>
    <w:p w14:paraId="50020A6B" w14:textId="77777777" w:rsidR="000C166D" w:rsidRPr="007B26FF" w:rsidRDefault="000C166D" w:rsidP="000C166D">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I. Formular, aprobar, ejecutar, evaluar, modificar y actualizar los planes municipales de desarrollo urbano y los parciales que de ellos deriven. </w:t>
      </w:r>
    </w:p>
    <w:p w14:paraId="79567EA3" w14:textId="77777777" w:rsidR="000C166D" w:rsidRPr="007B26FF" w:rsidRDefault="000C166D" w:rsidP="000C166D">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II. Participar en la elaboración o modificación del respectivo plan regional de desarrollo urbano o de los parciales que de éste deriven, cuando incluya parte o la totalidad de su territorio; </w:t>
      </w:r>
    </w:p>
    <w:p w14:paraId="06453645" w14:textId="77777777" w:rsidR="000C166D" w:rsidRPr="007B26FF" w:rsidRDefault="000C166D" w:rsidP="000C166D">
      <w:pPr>
        <w:spacing w:line="276" w:lineRule="auto"/>
        <w:ind w:left="720"/>
        <w:jc w:val="both"/>
        <w:rPr>
          <w:rFonts w:ascii="Palatino Linotype" w:hAnsi="Palatino Linotype"/>
          <w:i/>
          <w:sz w:val="22"/>
          <w:szCs w:val="22"/>
        </w:rPr>
      </w:pPr>
      <w:r w:rsidRPr="007B26FF">
        <w:rPr>
          <w:rFonts w:ascii="Palatino Linotype" w:hAnsi="Palatino Linotype"/>
          <w:b/>
          <w:i/>
          <w:sz w:val="22"/>
          <w:szCs w:val="22"/>
        </w:rPr>
        <w:t>III. Aprobar los proyectos ejecutivos, las memorias de cálculo y las especificaciones técnicas de las obras de infraestructura hidráulica, sanitaria y de urbanización, que establezcan los acuerdos de autorización de conjuntos urbanos</w:t>
      </w:r>
      <w:r w:rsidRPr="007B26FF">
        <w:rPr>
          <w:rFonts w:ascii="Palatino Linotype" w:hAnsi="Palatino Linotype"/>
          <w:i/>
          <w:sz w:val="22"/>
          <w:szCs w:val="22"/>
        </w:rPr>
        <w:t xml:space="preserve">, subdivisiones y </w:t>
      </w:r>
      <w:r w:rsidRPr="007B26FF">
        <w:rPr>
          <w:rFonts w:ascii="Palatino Linotype" w:hAnsi="Palatino Linotype"/>
          <w:i/>
          <w:sz w:val="22"/>
          <w:szCs w:val="22"/>
        </w:rPr>
        <w:lastRenderedPageBreak/>
        <w:t xml:space="preserve">condominios, con excepción de los proyectos que sean de competencia de las autoridades estatales o federales. </w:t>
      </w:r>
    </w:p>
    <w:p w14:paraId="283F9CB5" w14:textId="77777777" w:rsidR="000C166D" w:rsidRPr="007B26FF" w:rsidRDefault="000C166D" w:rsidP="000C166D">
      <w:pPr>
        <w:spacing w:line="276" w:lineRule="auto"/>
        <w:ind w:left="720"/>
        <w:jc w:val="both"/>
        <w:rPr>
          <w:rFonts w:ascii="Palatino Linotype" w:hAnsi="Palatino Linotype"/>
          <w:i/>
          <w:sz w:val="22"/>
          <w:szCs w:val="22"/>
        </w:rPr>
      </w:pPr>
      <w:r w:rsidRPr="007B26FF">
        <w:rPr>
          <w:rFonts w:ascii="Palatino Linotype" w:hAnsi="Palatino Linotype"/>
          <w:b/>
          <w:i/>
          <w:sz w:val="22"/>
          <w:szCs w:val="22"/>
        </w:rPr>
        <w:t>IV. Supervisar la ejecución de las obras de urbanización e infraestructura hidráulica y sanitaria que establezcan los acuerdos de autorización de conjuntos urbanos</w:t>
      </w:r>
      <w:r w:rsidRPr="007B26FF">
        <w:rPr>
          <w:rFonts w:ascii="Palatino Linotype" w:hAnsi="Palatino Linotype"/>
          <w:i/>
          <w:sz w:val="22"/>
          <w:szCs w:val="22"/>
        </w:rPr>
        <w:t xml:space="preserve">, subdivisiones y condominios, que sean de su ámbito de competencia, verificando que éstos cumplan las condiciones para la adecuada prestación de servicios públicos. </w:t>
      </w:r>
    </w:p>
    <w:p w14:paraId="2B6B829A" w14:textId="77777777" w:rsidR="000C166D" w:rsidRPr="007B26FF" w:rsidRDefault="000C166D" w:rsidP="000C166D">
      <w:pPr>
        <w:spacing w:line="276" w:lineRule="auto"/>
        <w:ind w:left="720"/>
        <w:jc w:val="both"/>
        <w:rPr>
          <w:rFonts w:ascii="Palatino Linotype" w:hAnsi="Palatino Linotype"/>
          <w:i/>
          <w:sz w:val="22"/>
          <w:szCs w:val="22"/>
        </w:rPr>
      </w:pPr>
      <w:r w:rsidRPr="007B26FF">
        <w:rPr>
          <w:rFonts w:ascii="Palatino Linotype" w:hAnsi="Palatino Linotype"/>
          <w:b/>
          <w:i/>
          <w:sz w:val="22"/>
          <w:szCs w:val="22"/>
        </w:rPr>
        <w:t>V. Recibir, conservar y operar las áreas de donación establecidas a favor del municipio, así como, las obras de urbanización, infraestructura y equipamiento urbano de los conjuntos urbanos,</w:t>
      </w:r>
      <w:r w:rsidRPr="007B26FF">
        <w:rPr>
          <w:rFonts w:ascii="Palatino Linotype" w:hAnsi="Palatino Linotype"/>
          <w:i/>
          <w:sz w:val="22"/>
          <w:szCs w:val="22"/>
        </w:rPr>
        <w:t xml:space="preserve"> subdivisiones y condominios conforme a este Libro y su reglamentación; </w:t>
      </w:r>
    </w:p>
    <w:p w14:paraId="567E2649" w14:textId="77777777" w:rsidR="000C166D" w:rsidRPr="007B26FF" w:rsidRDefault="000C166D" w:rsidP="000C166D">
      <w:pPr>
        <w:spacing w:line="276" w:lineRule="auto"/>
        <w:ind w:left="720"/>
        <w:jc w:val="both"/>
        <w:rPr>
          <w:rFonts w:ascii="Palatino Linotype" w:hAnsi="Palatino Linotype"/>
          <w:b/>
          <w:i/>
          <w:sz w:val="22"/>
          <w:szCs w:val="22"/>
        </w:rPr>
      </w:pPr>
      <w:r w:rsidRPr="007B26FF">
        <w:rPr>
          <w:rFonts w:ascii="Palatino Linotype" w:hAnsi="Palatino Linotype"/>
          <w:b/>
          <w:i/>
          <w:sz w:val="22"/>
          <w:szCs w:val="22"/>
        </w:rPr>
        <w:t>VI. Expedir cédulas informativas de zonificación, licencias de uso de suelo y licencias de construcción;</w:t>
      </w:r>
    </w:p>
    <w:p w14:paraId="00FF2BF6" w14:textId="77777777" w:rsidR="000C166D" w:rsidRPr="007B26FF" w:rsidRDefault="000C166D" w:rsidP="000C166D">
      <w:pPr>
        <w:spacing w:line="276" w:lineRule="auto"/>
        <w:ind w:left="720"/>
        <w:jc w:val="both"/>
        <w:rPr>
          <w:rFonts w:ascii="Palatino Linotype" w:hAnsi="Palatino Linotype"/>
          <w:b/>
          <w:i/>
          <w:sz w:val="22"/>
          <w:szCs w:val="22"/>
        </w:rPr>
      </w:pPr>
      <w:r w:rsidRPr="007B26FF">
        <w:rPr>
          <w:rFonts w:ascii="Palatino Linotype" w:hAnsi="Palatino Linotype"/>
          <w:b/>
          <w:i/>
          <w:sz w:val="22"/>
          <w:szCs w:val="22"/>
        </w:rPr>
        <w:t xml:space="preserve">VII. Autorizar cambios de uso del suelo, del coeficiente de ocupación, del coeficiente de utilización, densidad y altura de edificaciones; </w:t>
      </w:r>
    </w:p>
    <w:p w14:paraId="18D6F570" w14:textId="77777777" w:rsidR="000C166D" w:rsidRPr="007B26FF" w:rsidRDefault="000C166D" w:rsidP="000C166D">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VIII. Autorizar, controlar y vigilar la utilización y aprovechamiento del suelo con fines urbanos, en sus circunscripciones territoriales. </w:t>
      </w:r>
    </w:p>
    <w:p w14:paraId="5345EC86" w14:textId="77777777" w:rsidR="000C166D" w:rsidRPr="007B26FF" w:rsidRDefault="000C166D" w:rsidP="000C166D">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IX. Difundir los planes de desarrollo urbano, así como los trámites para obtener las autorizaciones y licencias de su competencia; </w:t>
      </w:r>
    </w:p>
    <w:p w14:paraId="713C8314" w14:textId="77777777" w:rsidR="000C166D" w:rsidRPr="007B26FF" w:rsidRDefault="000C166D" w:rsidP="000C166D">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X. Participar en los órganos de coordinación estatal, regional y metropolitana, en materia de ordenamiento territorial de los asentamientos humanos, desarrollo urbano de los centros de población y vivienda; </w:t>
      </w:r>
    </w:p>
    <w:p w14:paraId="1E1158A9" w14:textId="77777777" w:rsidR="000C166D" w:rsidRPr="007B26FF" w:rsidRDefault="000C166D" w:rsidP="000C166D">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XI. Participar en la creación y administración de reservas territoriales para el desarrollo urbano y la vivienda, así como generar los instrumentos que permitan la disponibilidad de tierra para personas en situación de pobreza o vulnerabilidad. </w:t>
      </w:r>
    </w:p>
    <w:p w14:paraId="3274F4C6" w14:textId="77777777" w:rsidR="000C166D" w:rsidRPr="007B26FF" w:rsidRDefault="000C166D" w:rsidP="000C166D">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XII. Ejercer indistintamente con el Estado, el derecho de preferencia para adquirir en igualdad de condiciones, predios comprendidos en las áreas urbanizables señaladas en los planes o programas de desarrollo urbano aplicables, cuando éstos vayan a ser objeto de enajenación a título oneroso. En el caso de que el Estado y el Municipio pretendan ejercer el derecho de preferencia, prevalecerá el del Estado; </w:t>
      </w:r>
    </w:p>
    <w:p w14:paraId="4A7AA5F0" w14:textId="77777777" w:rsidR="000C166D" w:rsidRPr="007B26FF" w:rsidRDefault="000C166D" w:rsidP="000C166D">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XIII. Crear órganos técnicos de participación social, consulta, coordinación, evaluación y seguimiento municipales o vecinales con carácter honorífico, en materia de desarrollo </w:t>
      </w:r>
      <w:proofErr w:type="gramStart"/>
      <w:r w:rsidRPr="007B26FF">
        <w:rPr>
          <w:rFonts w:ascii="Palatino Linotype" w:hAnsi="Palatino Linotype"/>
          <w:i/>
          <w:sz w:val="22"/>
          <w:szCs w:val="22"/>
        </w:rPr>
        <w:t>urbano</w:t>
      </w:r>
      <w:proofErr w:type="gramEnd"/>
      <w:r w:rsidRPr="007B26FF">
        <w:rPr>
          <w:rFonts w:ascii="Palatino Linotype" w:hAnsi="Palatino Linotype"/>
          <w:i/>
          <w:sz w:val="22"/>
          <w:szCs w:val="22"/>
        </w:rPr>
        <w:t xml:space="preserve"> así como institutos municipales de planeación. </w:t>
      </w:r>
    </w:p>
    <w:p w14:paraId="5C2E753D" w14:textId="77777777" w:rsidR="000C166D" w:rsidRPr="007B26FF" w:rsidRDefault="000C166D" w:rsidP="000C166D">
      <w:pPr>
        <w:spacing w:line="276" w:lineRule="auto"/>
        <w:ind w:left="720"/>
        <w:jc w:val="both"/>
        <w:rPr>
          <w:rFonts w:ascii="Palatino Linotype" w:hAnsi="Palatino Linotype"/>
          <w:i/>
          <w:sz w:val="22"/>
          <w:szCs w:val="22"/>
        </w:rPr>
      </w:pPr>
      <w:r w:rsidRPr="007B26FF">
        <w:rPr>
          <w:rFonts w:ascii="Palatino Linotype" w:hAnsi="Palatino Linotype"/>
          <w:i/>
          <w:sz w:val="22"/>
          <w:szCs w:val="22"/>
        </w:rPr>
        <w:lastRenderedPageBreak/>
        <w:t xml:space="preserve">XIV. Celebrar convenios, acuerdos y contratos en las materias de este Libro. </w:t>
      </w:r>
    </w:p>
    <w:p w14:paraId="3092B267" w14:textId="77777777" w:rsidR="000C166D" w:rsidRPr="007B26FF" w:rsidRDefault="000C166D" w:rsidP="000C166D">
      <w:pPr>
        <w:spacing w:line="276" w:lineRule="auto"/>
        <w:ind w:left="720"/>
        <w:jc w:val="both"/>
        <w:rPr>
          <w:rFonts w:ascii="Palatino Linotype" w:hAnsi="Palatino Linotype"/>
          <w:i/>
          <w:sz w:val="22"/>
          <w:szCs w:val="22"/>
        </w:rPr>
      </w:pPr>
      <w:r w:rsidRPr="007B26FF">
        <w:rPr>
          <w:rFonts w:ascii="Palatino Linotype" w:hAnsi="Palatino Linotype"/>
          <w:b/>
          <w:i/>
          <w:sz w:val="22"/>
          <w:szCs w:val="22"/>
        </w:rPr>
        <w:t>XV. Emitir dictámenes, factibilidades y opiniones técnicas del ámbito de su competencia;</w:t>
      </w:r>
      <w:r w:rsidRPr="007B26FF">
        <w:rPr>
          <w:rFonts w:ascii="Palatino Linotype" w:hAnsi="Palatino Linotype"/>
          <w:i/>
          <w:sz w:val="22"/>
          <w:szCs w:val="22"/>
        </w:rPr>
        <w:t xml:space="preserve"> XVI. Establecer medidas y ejecutar acciones para evitar asentamientos humanos irregulares; </w:t>
      </w:r>
    </w:p>
    <w:p w14:paraId="630D9C34" w14:textId="77777777" w:rsidR="000C166D" w:rsidRPr="007B26FF" w:rsidRDefault="000C166D" w:rsidP="000C166D">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XVII. Intervenir en la regularización de la tenencia de la tierra; </w:t>
      </w:r>
    </w:p>
    <w:p w14:paraId="39011A6A" w14:textId="77777777" w:rsidR="000C166D" w:rsidRPr="007B26FF" w:rsidRDefault="000C166D" w:rsidP="000C166D">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XVIII. Expedir los reglamentos y disposiciones administrativas de su competencia, de conformidad con lo dispuesto por este Libro y su reglamentación; </w:t>
      </w:r>
    </w:p>
    <w:p w14:paraId="30AFDBF0" w14:textId="77777777" w:rsidR="000C166D" w:rsidRPr="007B26FF" w:rsidRDefault="000C166D" w:rsidP="000C166D">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XIX. Vigilar, conforme a su competencia, el cumplimiento de este Libro y sus disposiciones reglamentarias, de los planes de desarrollo urbano, de las disposiciones administrativas y reglamentarias que emita en la materia y de las autorizaciones y licencias que otorgue; </w:t>
      </w:r>
    </w:p>
    <w:p w14:paraId="2A646E53" w14:textId="77777777" w:rsidR="000C166D" w:rsidRPr="007B26FF" w:rsidRDefault="000C166D" w:rsidP="000C166D">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XX. Determinar infracciones de los particulares a las disposiciones de este Libro y de su reglamentación e imponer las medidas de seguridad y sanciones que establece el presente Libro, así como dar vista a las autoridades competentes para la aplicación de las sanciones penales conducentes. </w:t>
      </w:r>
    </w:p>
    <w:p w14:paraId="408F9E47" w14:textId="65954427" w:rsidR="000C166D" w:rsidRPr="007B26FF" w:rsidRDefault="000C166D" w:rsidP="000C166D">
      <w:pPr>
        <w:spacing w:line="276" w:lineRule="auto"/>
        <w:ind w:left="720"/>
        <w:jc w:val="both"/>
        <w:rPr>
          <w:rFonts w:ascii="Palatino Linotype" w:hAnsi="Palatino Linotype"/>
          <w:i/>
          <w:sz w:val="22"/>
          <w:szCs w:val="22"/>
        </w:rPr>
      </w:pPr>
      <w:r w:rsidRPr="007B26FF">
        <w:rPr>
          <w:rFonts w:ascii="Palatino Linotype" w:hAnsi="Palatino Linotype"/>
          <w:i/>
          <w:sz w:val="22"/>
          <w:szCs w:val="22"/>
        </w:rPr>
        <w:t>XXI. Solicitar a la Secretaría los dictámenes de congruencia de los planes de desarrollo urbano de su competencia, así como su correspondiente inscripción en el Instituto de la Función Registral del Estado de México.</w:t>
      </w:r>
    </w:p>
    <w:p w14:paraId="33FE084F" w14:textId="77777777" w:rsidR="000C166D" w:rsidRPr="007B26FF" w:rsidRDefault="000C166D" w:rsidP="000C166D">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XXII. Informar anualmente a la ciudadanía sobre la aplicación y ejecución de los planes o programas de desarrollo urbano. </w:t>
      </w:r>
    </w:p>
    <w:p w14:paraId="7253C649" w14:textId="77777777" w:rsidR="000C166D" w:rsidRPr="007B26FF" w:rsidRDefault="000C166D" w:rsidP="000C166D">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XXIII. Promover y ejecutar acciones para prevenir y mitigar el riesgo de los asentamientos humanos y aumentar la resiliencia de los mismos ante fenómenos naturales y antropogénicos. </w:t>
      </w:r>
    </w:p>
    <w:p w14:paraId="578BEFA9" w14:textId="77777777" w:rsidR="000C166D" w:rsidRPr="007B26FF" w:rsidRDefault="000C166D" w:rsidP="000C166D">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XXIV. Atender y cumplir los lineamientos y normas relativas a polígonos de protección y salvaguarda en zonas de riesgo, así como de zonas restringidas o identificadas como áreas no urbanizables. </w:t>
      </w:r>
    </w:p>
    <w:p w14:paraId="0080A923" w14:textId="77777777" w:rsidR="000C166D" w:rsidRPr="007B26FF" w:rsidRDefault="000C166D" w:rsidP="000C166D">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XXV. Promover con la participación del Estado, polígonos de actuación; polígonos sujetos a densificación y polígonos para el desarrollo o aprovechamiento prioritario o estratégico de inmuebles, que permitan llevar a cabo acciones específicas para el crecimiento, consolidación, mejoramiento y conservación de los centros de población. </w:t>
      </w:r>
    </w:p>
    <w:p w14:paraId="60B7E8E0" w14:textId="2E7603E8" w:rsidR="000C166D" w:rsidRPr="007B26FF" w:rsidRDefault="000C166D" w:rsidP="000C166D">
      <w:pPr>
        <w:spacing w:line="276" w:lineRule="auto"/>
        <w:ind w:left="720"/>
        <w:jc w:val="both"/>
        <w:rPr>
          <w:rFonts w:ascii="Palatino Linotype" w:hAnsi="Palatino Linotype"/>
          <w:i/>
          <w:sz w:val="22"/>
          <w:szCs w:val="22"/>
        </w:rPr>
      </w:pPr>
      <w:r w:rsidRPr="007B26FF">
        <w:rPr>
          <w:rFonts w:ascii="Palatino Linotype" w:hAnsi="Palatino Linotype"/>
          <w:i/>
          <w:sz w:val="22"/>
          <w:szCs w:val="22"/>
        </w:rPr>
        <w:t>XXVI. Las demás que le confieran este Libro, y otras disposiciones jurídicas.</w:t>
      </w:r>
    </w:p>
    <w:p w14:paraId="686CC4BB" w14:textId="77777777" w:rsidR="000C166D" w:rsidRPr="007B26FF" w:rsidRDefault="000C166D" w:rsidP="000C166D">
      <w:pPr>
        <w:pStyle w:val="Prrafodelista"/>
        <w:spacing w:line="360" w:lineRule="auto"/>
        <w:ind w:left="0"/>
        <w:jc w:val="both"/>
        <w:rPr>
          <w:rFonts w:ascii="Palatino Linotype" w:hAnsi="Palatino Linotype"/>
          <w:lang w:val="es-MX" w:eastAsia="en-US"/>
        </w:rPr>
      </w:pPr>
    </w:p>
    <w:p w14:paraId="124AAF69" w14:textId="1080B324" w:rsidR="004E624B" w:rsidRPr="007B26FF" w:rsidRDefault="004E624B" w:rsidP="00831F0C">
      <w:pPr>
        <w:pStyle w:val="Prrafodelista"/>
        <w:numPr>
          <w:ilvl w:val="0"/>
          <w:numId w:val="1"/>
        </w:numPr>
        <w:spacing w:line="360" w:lineRule="auto"/>
        <w:ind w:left="0" w:firstLine="0"/>
        <w:jc w:val="both"/>
        <w:rPr>
          <w:rFonts w:ascii="Palatino Linotype" w:hAnsi="Palatino Linotype"/>
          <w:lang w:val="es-MX" w:eastAsia="en-US"/>
        </w:rPr>
      </w:pPr>
      <w:r w:rsidRPr="007B26FF">
        <w:rPr>
          <w:rFonts w:ascii="Palatino Linotype" w:hAnsi="Palatino Linotype"/>
          <w:lang w:val="es-MX" w:eastAsia="en-US"/>
        </w:rPr>
        <w:lastRenderedPageBreak/>
        <w:t>Los artículos 5.37 y 5.38 del Código Administrativo del Estado de México, señala los requisitos para la autorización de los conjuntos urbanos, como se muestra a continuación:</w:t>
      </w:r>
    </w:p>
    <w:p w14:paraId="5637F80E" w14:textId="77777777" w:rsidR="004E624B" w:rsidRPr="007B26FF" w:rsidRDefault="004E624B" w:rsidP="004E624B">
      <w:pPr>
        <w:spacing w:line="276" w:lineRule="auto"/>
        <w:ind w:left="720"/>
        <w:jc w:val="center"/>
        <w:rPr>
          <w:rFonts w:ascii="Palatino Linotype" w:hAnsi="Palatino Linotype"/>
          <w:b/>
          <w:i/>
          <w:sz w:val="22"/>
          <w:szCs w:val="22"/>
        </w:rPr>
      </w:pPr>
      <w:r w:rsidRPr="007B26FF">
        <w:rPr>
          <w:rFonts w:ascii="Palatino Linotype" w:hAnsi="Palatino Linotype"/>
          <w:b/>
          <w:i/>
          <w:sz w:val="22"/>
          <w:szCs w:val="22"/>
        </w:rPr>
        <w:t>SECCIÓN CUARTA</w:t>
      </w:r>
    </w:p>
    <w:p w14:paraId="3C3411AB" w14:textId="77777777" w:rsidR="004E624B" w:rsidRPr="007B26FF" w:rsidRDefault="004E624B" w:rsidP="004E624B">
      <w:pPr>
        <w:spacing w:line="276" w:lineRule="auto"/>
        <w:ind w:left="720"/>
        <w:jc w:val="center"/>
        <w:rPr>
          <w:rFonts w:ascii="Palatino Linotype" w:hAnsi="Palatino Linotype"/>
          <w:b/>
          <w:i/>
          <w:sz w:val="22"/>
          <w:szCs w:val="22"/>
        </w:rPr>
      </w:pPr>
      <w:r w:rsidRPr="007B26FF">
        <w:rPr>
          <w:rFonts w:ascii="Palatino Linotype" w:hAnsi="Palatino Linotype"/>
          <w:b/>
          <w:i/>
          <w:sz w:val="22"/>
          <w:szCs w:val="22"/>
        </w:rPr>
        <w:t>DE LOS CONJUNTOS URBANOS</w:t>
      </w:r>
    </w:p>
    <w:p w14:paraId="3496AC22"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b/>
          <w:i/>
          <w:sz w:val="22"/>
          <w:szCs w:val="22"/>
        </w:rPr>
        <w:t>Artículo 5.37</w:t>
      </w:r>
      <w:r w:rsidRPr="007B26FF">
        <w:rPr>
          <w:rFonts w:ascii="Palatino Linotype" w:hAnsi="Palatino Linotype"/>
          <w:i/>
          <w:sz w:val="22"/>
          <w:szCs w:val="22"/>
        </w:rPr>
        <w:t xml:space="preserve">. Previo a la autorización de los conjuntos urbanos, se requiere obtener el Dictamen Único de Factibilidad, en términos de lo dispuesto en el presente libro, su reglamentación y demás disposiciones aplicables. </w:t>
      </w:r>
    </w:p>
    <w:p w14:paraId="1356541E" w14:textId="77777777" w:rsidR="004E624B" w:rsidRPr="007B26FF" w:rsidRDefault="004E624B" w:rsidP="004E624B">
      <w:pPr>
        <w:spacing w:line="276" w:lineRule="auto"/>
        <w:ind w:left="720"/>
        <w:jc w:val="both"/>
        <w:rPr>
          <w:rFonts w:ascii="Palatino Linotype" w:hAnsi="Palatino Linotype"/>
          <w:i/>
          <w:sz w:val="22"/>
          <w:szCs w:val="22"/>
        </w:rPr>
      </w:pPr>
    </w:p>
    <w:p w14:paraId="71E5CC7A"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Los conjuntos urbanos serán de los tipos siguientes: </w:t>
      </w:r>
    </w:p>
    <w:p w14:paraId="17E24C66"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I. Habitacional, en las siguientes modalidades: </w:t>
      </w:r>
    </w:p>
    <w:p w14:paraId="5F99A411"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a) Social progresivo;</w:t>
      </w:r>
    </w:p>
    <w:p w14:paraId="2438172A"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b) Interés social; </w:t>
      </w:r>
    </w:p>
    <w:p w14:paraId="16DD6AD2"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c) Popular; </w:t>
      </w:r>
    </w:p>
    <w:p w14:paraId="4757B57B"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d) Medio; </w:t>
      </w:r>
    </w:p>
    <w:p w14:paraId="0ADA1C8F"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e) Residencial; </w:t>
      </w:r>
    </w:p>
    <w:p w14:paraId="6C864A80"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f) Residencial alto; </w:t>
      </w:r>
    </w:p>
    <w:p w14:paraId="76E5054F"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g) Campestre; </w:t>
      </w:r>
    </w:p>
    <w:p w14:paraId="4B09AECB"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II. Industrial o Agroindustrial;</w:t>
      </w:r>
    </w:p>
    <w:p w14:paraId="4D838EC4"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 III. Abasto, Comercio y Servicios;</w:t>
      </w:r>
    </w:p>
    <w:p w14:paraId="4B08DA0E"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 IV. Científicos y Tecnológicos; </w:t>
      </w:r>
    </w:p>
    <w:p w14:paraId="2DA237A9"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V. De Unidades Económicas de Alto Impacto; cuya actividad principal sea la enajenación y comercialización de vehículos automotores usados en tianguis de autos, así como de aprovechamiento de autopartes de vehículos usados que han concluido su vida útil. </w:t>
      </w:r>
    </w:p>
    <w:p w14:paraId="433E0970"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VI. Mixto. Los conjuntos urbanos mixtos serán aquellos que comprendan a dos o más tipos. Los conjuntos urbanos de Unidades Económicas de Alto Impacto no podrán formar parte de un conjunto urbano mixto.</w:t>
      </w:r>
    </w:p>
    <w:p w14:paraId="3DFCEC9F" w14:textId="77777777" w:rsidR="004E624B" w:rsidRPr="007B26FF" w:rsidRDefault="004E624B" w:rsidP="004E624B">
      <w:pPr>
        <w:pStyle w:val="Prrafodelista"/>
        <w:spacing w:line="276" w:lineRule="auto"/>
        <w:jc w:val="both"/>
        <w:rPr>
          <w:rFonts w:ascii="Palatino Linotype" w:hAnsi="Palatino Linotype"/>
          <w:i/>
          <w:sz w:val="22"/>
          <w:szCs w:val="22"/>
          <w:lang w:val="es-US" w:eastAsia="en-US"/>
        </w:rPr>
      </w:pPr>
    </w:p>
    <w:p w14:paraId="2B0E6EEC"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b/>
          <w:i/>
          <w:sz w:val="22"/>
          <w:szCs w:val="22"/>
        </w:rPr>
        <w:t>Artículo 5.38</w:t>
      </w:r>
      <w:r w:rsidRPr="007B26FF">
        <w:rPr>
          <w:rFonts w:ascii="Palatino Linotype" w:hAnsi="Palatino Linotype"/>
          <w:i/>
          <w:sz w:val="22"/>
          <w:szCs w:val="22"/>
        </w:rPr>
        <w:t xml:space="preserve">. La autorización de conjuntos urbanos se sujetará a los lineamientos siguientes: </w:t>
      </w:r>
    </w:p>
    <w:p w14:paraId="63C2216F"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lastRenderedPageBreak/>
        <w:t xml:space="preserve">I. Deberá de ser solicitada ante la Secretaría en términos de las disposiciones legales aplicables. </w:t>
      </w:r>
    </w:p>
    <w:p w14:paraId="29898707"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II. El número de viviendas y de usos del suelo dependerá de lo que establezca el Plan Municipal de Desarrollo Urbano y se determinará principalmente en función de la factibilidad de agua potable y energía eléctrica que emitan las autoridades competentes. Asimismo, se deberá cumplir con todas las condicionantes que se determinan en el presente Libro y su reglamentación correspondiente; </w:t>
      </w:r>
    </w:p>
    <w:p w14:paraId="1C0DDA02"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III. Derogada. </w:t>
      </w:r>
    </w:p>
    <w:p w14:paraId="5A71369F"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IV. Su trámite y resolución se sujetará a lo dispuesto en este Libro, su reglamentación y demás disposiciones aplicables; </w:t>
      </w:r>
    </w:p>
    <w:p w14:paraId="44495EEF"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V. Podrán comprender inmuebles de propiedad pública o privada, a excepción de los conjuntos urbanos de Unidades Económicas de Alto Impacto, que únicamente será en inmuebles de propiedad privada; </w:t>
      </w:r>
    </w:p>
    <w:p w14:paraId="4DCBC340"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VI. No procederá la autorización para vivienda en áreas no urbanizables, con excepción de lo dispuesto en el Reglamento del presente Libro; </w:t>
      </w:r>
    </w:p>
    <w:p w14:paraId="1D0E5295"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VII. Derogada. </w:t>
      </w:r>
    </w:p>
    <w:p w14:paraId="4982D9EC"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VIII. Comprenderán, según el caso, las autorizaciones relativas a condominios, subdivisiones, fusiones y apertura, ampliación o modificación de vías públicas, usos específicos del suelo y sus normas de aprovechamiento, cambios de uso del suelo, de densidad de vivienda, coeficiente de ocupación del suelo, coeficiente de utilización del suelo y altura de edificaciones;</w:t>
      </w:r>
    </w:p>
    <w:p w14:paraId="3BEF0AA0"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IX. Emitida la autorización, no se podrá incrementar la superficie enajenable ni excederse el número de lotes y/o viviendas aprobadas, salvo lo dispuesto en el artículo 5.47 de este Libro. </w:t>
      </w:r>
    </w:p>
    <w:p w14:paraId="5C77786F"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X. Su titular tendrá, en los términos y condiciones previstos en la reglamentación de este Libro, las obligaciones siguientes: </w:t>
      </w:r>
    </w:p>
    <w:p w14:paraId="6E543222"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a) Ceder a título gratuito al Estado y al municipio la propiedad de las superficies de terreno para vías públicas y áreas de donación para equipamiento urbano, que establezcan los acuerdos de autorización. </w:t>
      </w:r>
    </w:p>
    <w:p w14:paraId="2F142D33"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A excepción de las áreas de donación a favor de los municipios, tratándose de los conjuntos urbanos, las áreas de donación de terreno destinadas a equipamiento urbano a favor del Estado, podrán cumplirse previa determinación de la Secretaría, por medio del depósito del valor económico que se determine a través del Instituto de Información e Investigación Geográfica Estadística y Catastral del Estado de México, al Fideicomiso de Reserva Territorial </w:t>
      </w:r>
      <w:r w:rsidRPr="007B26FF">
        <w:rPr>
          <w:rFonts w:ascii="Palatino Linotype" w:hAnsi="Palatino Linotype"/>
          <w:i/>
          <w:sz w:val="22"/>
          <w:szCs w:val="22"/>
        </w:rPr>
        <w:lastRenderedPageBreak/>
        <w:t xml:space="preserve">para el Desarrollo de Equipamiento Urbano Regional, de conformidad con las disposiciones reglamentarias de éste y demás disposiciones jurídicas aplicables; </w:t>
      </w:r>
    </w:p>
    <w:p w14:paraId="3416D844"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b) Construir las obras de infraestructura, urbanización y equipamiento urbano, de conformidad con lo que establezca el presente Libro y su reglamentación. Tratándose de obras de equipamiento urbano regional, el titular de la autorización podrá cumplir con dicha obligación, mediante el depósito de su valor económico al Fideicomiso de Reserva Territorial para el Desarrollo de Equipamiento Urbano Regional, de conformidad con lo que establezcan las disposiciones reglamentarias de este Libro. </w:t>
      </w:r>
    </w:p>
    <w:p w14:paraId="6B738144" w14:textId="77777777" w:rsidR="004E624B" w:rsidRPr="007B26FF" w:rsidRDefault="004E624B" w:rsidP="004E624B">
      <w:pPr>
        <w:spacing w:line="276" w:lineRule="auto"/>
        <w:ind w:left="720"/>
        <w:jc w:val="both"/>
        <w:rPr>
          <w:rFonts w:ascii="Palatino Linotype" w:hAnsi="Palatino Linotype"/>
          <w:i/>
          <w:sz w:val="22"/>
          <w:szCs w:val="22"/>
        </w:rPr>
      </w:pPr>
    </w:p>
    <w:p w14:paraId="4933025E"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La realización de estas obras se hará del conocimiento público de conformidad con lo que establezca los proyectos ejecutivos, las memorias de cálculo y lo que corresponda de acuerdo con la normatividad aplicable; </w:t>
      </w:r>
    </w:p>
    <w:p w14:paraId="44EEA2F2"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c) Instalar un medidor electrónico de consumo para determinar el volumen del suministro de agua por cada unidad privativa que se ubique en el conjunto urbano autorizado; </w:t>
      </w:r>
    </w:p>
    <w:p w14:paraId="11EDECBE"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d) Presentar a la Secretaría los proyectos ejecutivos, memorias de cálculo y especificaciones técnicas, debidamente aprobados por las autoridades competentes, de las obras de urbanización, infraestructura y equipamiento urbano que establezcan los respectivos acuerdos de autorización. </w:t>
      </w:r>
    </w:p>
    <w:p w14:paraId="6F9FEBCB"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e) Iniciar las obras de urbanización, infraestructura y equipamiento urbano que establezcan los acuerdos de autorización de los desarrollos, en un plazo máximo de nueve meses contados a partir de la publicación de la autorización en el Periódico Oficial “Gaceta del Gobierno”. </w:t>
      </w:r>
    </w:p>
    <w:p w14:paraId="6525C27B"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f) Dedicar definitivamente al uso para el que fueron hechas, las instalaciones del conjunto urbano, tales como clubes, construcciones para actividades deportivas, culturales o recreativas y otras que se utilicen como promoción para la venta de lotes; </w:t>
      </w:r>
    </w:p>
    <w:p w14:paraId="74A2CCB6"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g) Garantizar la construcción de las obras de infraestructura, urbanización y equipamiento urbano que establezcan los acuerdos de autorización, mediante fianza o hipoteca; garantías que deberá constituir a favor del Gobierno del Estado, por un monto equivalente al cien por ciento del presupuesto a costo directo de las obras por realizar; </w:t>
      </w:r>
    </w:p>
    <w:p w14:paraId="24944EC4"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h) Garantizar los defectos y vicios ocultos de las obras de infraestructura, urbanización y equipamiento urbano, mediante fianza o hipoteca; garantías que deberá constituir a favor del Gobierno del Estado o del municipio según corresponda la recepción de las mismas, por un monto equivalente al veinte por ciento del valor de las obras al momento de su entrega </w:t>
      </w:r>
      <w:r w:rsidRPr="007B26FF">
        <w:rPr>
          <w:rFonts w:ascii="Palatino Linotype" w:hAnsi="Palatino Linotype"/>
          <w:i/>
          <w:sz w:val="22"/>
          <w:szCs w:val="22"/>
        </w:rPr>
        <w:lastRenderedPageBreak/>
        <w:t xml:space="preserve">recepción. La realización de estas obras se hará del conocimiento público de conformidad con lo que establezca el reglamento; </w:t>
      </w:r>
    </w:p>
    <w:p w14:paraId="689E775D"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i) Efectuar el pago de la publicación en el Periódico Oficial “Gaceta del Gobierno” de la autorización correspondiente; </w:t>
      </w:r>
    </w:p>
    <w:p w14:paraId="22561389"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j) Inscribir en el Instituto de la Función Registral el acuerdo de autorización respectivo y sus planos correspondientes, así como comprobar ante la Secretaría el haber realizado dicha inscripción, dentro de los 90 días hábiles siguientes a la fecha de publicación de la autorización en el Periódico Oficial “Gaceta del </w:t>
      </w:r>
      <w:proofErr w:type="gramStart"/>
      <w:r w:rsidRPr="007B26FF">
        <w:rPr>
          <w:rFonts w:ascii="Palatino Linotype" w:hAnsi="Palatino Linotype"/>
          <w:i/>
          <w:sz w:val="22"/>
          <w:szCs w:val="22"/>
        </w:rPr>
        <w:t>Gobierno”;</w:t>
      </w:r>
      <w:proofErr w:type="gramEnd"/>
      <w:r w:rsidRPr="007B26FF">
        <w:rPr>
          <w:rFonts w:ascii="Palatino Linotype" w:hAnsi="Palatino Linotype"/>
          <w:i/>
          <w:sz w:val="22"/>
          <w:szCs w:val="22"/>
        </w:rPr>
        <w:t xml:space="preserve"> </w:t>
      </w:r>
    </w:p>
    <w:p w14:paraId="5B38460F"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k) Abstenerse de enajenar los lotes de terreno hipotecados a favor del Estado o del respectivo municipio; </w:t>
      </w:r>
    </w:p>
    <w:p w14:paraId="18E49EBE"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l) Pagar los impuestos y derechos de conformidad con lo que establezcan los acuerdos de autorización del desarrollo; </w:t>
      </w:r>
    </w:p>
    <w:p w14:paraId="15AAAB14"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m) Proporcionar a las autoridades federales, estatales y municipales competentes, toda la información y documentación que se les requiera, para la supervisión de las obras de infraestructura, urbanización y equipamiento urbano que establezcan las autorizaciones, así como otorgar a los peritos designados para la supervisión de las obras, todas las facilidades que se requieran para el adecuado seguimiento de las mismas y acatar las observaciones que le formulen las autoridades competentes, con motivo de la supervisión que realicen durante la ejecución de las obras; </w:t>
      </w:r>
    </w:p>
    <w:p w14:paraId="4F71DFC1"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n) Dar aviso de la terminación de las obras de infraestructura, urbanización y equipamiento y hacer la entrega de las mismas a las autoridades municipales o estatales según corresponda, de conformidad con lo que prescriban las disposiciones reglamentarias del presente Libro; </w:t>
      </w:r>
    </w:p>
    <w:p w14:paraId="5EA1BF83"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o) Prestar gratuitamente los servicios de suministro de agua potable y drenaje a los adquirentes de las viviendas del desarrollo autorizado, hasta en tanto el desarrollador entregue al Municipio correspondiente las obras de infraestructura, urbanización y equipamiento urbano establecidas en la Autorización; y </w:t>
      </w:r>
    </w:p>
    <w:p w14:paraId="7E3CDA9B"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p) Las demás que establezcan otras disposiciones legales aplicables. </w:t>
      </w:r>
    </w:p>
    <w:p w14:paraId="7F9B5A3A"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XI. Serán solidariamente responsables del cumplimiento de las obligaciones previstas en este Libro, su reglamentación y en la autorización: </w:t>
      </w:r>
    </w:p>
    <w:p w14:paraId="05E14EE5"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a) El titular de la autorización del conjunto urbano y el propietario del terreno, cuando sean personas distintas, así como sus causahabientes; y </w:t>
      </w:r>
    </w:p>
    <w:p w14:paraId="2F9C695B"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b) En el caso de fideicomisos, el fideicomitente y la fiduciaria en lo que corresponda. </w:t>
      </w:r>
    </w:p>
    <w:p w14:paraId="1E828A73"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lastRenderedPageBreak/>
        <w:t xml:space="preserve">c) Compradores de lotes en bloque. </w:t>
      </w:r>
    </w:p>
    <w:p w14:paraId="11060EB5"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XII. La promoción y publicidad sobre lotes de un conjunto urbano deberá apegarse a la autorización respectiva y será de tal naturaleza, que permita una adecuada orientación al adquirente. Queda prohibida la propaganda engañosa que ofrezca condiciones, situaciones o bienes que no estén contemplados en la autorización; y</w:t>
      </w:r>
    </w:p>
    <w:p w14:paraId="306F00AF"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XIII. Los permisos para la venta de lotes se otorgarán de la manera siguiente: </w:t>
      </w:r>
    </w:p>
    <w:p w14:paraId="2D7A05A1"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a) Un primer permiso por el cincuenta por ciento al inicio de la ejecución de las obras de urbanización, equipamiento e infraestructura. </w:t>
      </w:r>
    </w:p>
    <w:p w14:paraId="3D36B2FA"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b) Un segundo permiso por el veinticinco por ciento, cuando se tenga concluido el cincuenta por ciento de las obras señaladas. </w:t>
      </w:r>
    </w:p>
    <w:p w14:paraId="767CF137"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c) El restante veinticinco por ciento, cuando se tenga concluido el cien por ciento de dichas obras. No se otorgará permiso de venta alguno si no se acredita previamente la garantía de las obras de urbanización, equipamiento o infraestructura faltantes. </w:t>
      </w:r>
    </w:p>
    <w:p w14:paraId="323EC75D"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Para la venta de lotes o vivienda nueva en que intervenga una desarrolladora de conjuntos urbanos, se deberá acreditar por esta ante fedatario público con quien se formalice la operación, estar al corriente en el pago del impuesto predial y de derechos por el suministro de agua, en concordancia con lo establecido en los artículos 107 y 129 del Código Financiero del Estado de México y Municipios, requisito sin el cual no podrá verificarse la compraventa. </w:t>
      </w:r>
    </w:p>
    <w:p w14:paraId="2D730258"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XIV. Los Conjuntos Urbanos de Unidades Económicas de Alto impacto, requerirán del Dictamen Único de Factibilidad. </w:t>
      </w:r>
    </w:p>
    <w:p w14:paraId="302DAF5B"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XV. La vivienda en áreas no urbanizables se sujetará a lo establecido en la reglamentación de este Libro y los planes municipales de desarrollo urbano. </w:t>
      </w:r>
    </w:p>
    <w:p w14:paraId="63ACF12D" w14:textId="77777777" w:rsidR="004E624B" w:rsidRPr="007B26FF" w:rsidRDefault="004E624B" w:rsidP="004E624B">
      <w:pPr>
        <w:spacing w:line="276" w:lineRule="auto"/>
        <w:ind w:left="720"/>
        <w:jc w:val="both"/>
        <w:rPr>
          <w:rFonts w:ascii="Palatino Linotype" w:hAnsi="Palatino Linotype"/>
          <w:i/>
          <w:sz w:val="22"/>
          <w:szCs w:val="22"/>
        </w:rPr>
      </w:pPr>
      <w:r w:rsidRPr="007B26FF">
        <w:rPr>
          <w:rFonts w:ascii="Palatino Linotype" w:hAnsi="Palatino Linotype"/>
          <w:i/>
          <w:sz w:val="22"/>
          <w:szCs w:val="22"/>
        </w:rPr>
        <w:t>XVI. No se emitirán nuevas autorizaciones a los solicitantes o sus socios, en caso de personas jurídicas colectivas, que tengan un atraso igual o mayor al cincuenta por ciento del cumplimiento de las obligaciones que con anterioridad se les hayan fijado en autorizaciones emitidas a su favor, hasta en tanto acrediten su cumplimiento.</w:t>
      </w:r>
    </w:p>
    <w:p w14:paraId="51BE72E5" w14:textId="77777777" w:rsidR="004E624B" w:rsidRPr="007B26FF" w:rsidRDefault="004E624B" w:rsidP="004E624B">
      <w:pPr>
        <w:pStyle w:val="Prrafodelista"/>
        <w:spacing w:line="360" w:lineRule="auto"/>
        <w:ind w:left="0"/>
        <w:jc w:val="both"/>
        <w:rPr>
          <w:rFonts w:ascii="Palatino Linotype" w:hAnsi="Palatino Linotype"/>
          <w:lang w:val="es-MX" w:eastAsia="en-US"/>
        </w:rPr>
      </w:pPr>
    </w:p>
    <w:p w14:paraId="36EE6E62" w14:textId="4BBCEE58" w:rsidR="004E624B" w:rsidRPr="007B26FF" w:rsidRDefault="004E624B" w:rsidP="00826EF9">
      <w:pPr>
        <w:pStyle w:val="Prrafodelista"/>
        <w:numPr>
          <w:ilvl w:val="0"/>
          <w:numId w:val="1"/>
        </w:numPr>
        <w:spacing w:line="360" w:lineRule="auto"/>
        <w:ind w:left="0" w:firstLine="0"/>
        <w:jc w:val="both"/>
        <w:rPr>
          <w:rFonts w:ascii="Palatino Linotype" w:hAnsi="Palatino Linotype"/>
          <w:lang w:val="es-MX" w:eastAsia="en-US"/>
        </w:rPr>
      </w:pPr>
      <w:r w:rsidRPr="007B26FF">
        <w:rPr>
          <w:rFonts w:ascii="Palatino Linotype" w:hAnsi="Palatino Linotype"/>
          <w:lang w:val="es-MX" w:eastAsia="en-US"/>
        </w:rPr>
        <w:t xml:space="preserve">Por su parte el Reglamento del Libro Quinto del Código Administrativo del Estado de México, en su Capítulo </w:t>
      </w:r>
      <w:proofErr w:type="spellStart"/>
      <w:r w:rsidRPr="007B26FF">
        <w:rPr>
          <w:rFonts w:ascii="Palatino Linotype" w:hAnsi="Palatino Linotype"/>
          <w:lang w:val="es-MX" w:eastAsia="en-US"/>
        </w:rPr>
        <w:t>Segundoestablece</w:t>
      </w:r>
      <w:proofErr w:type="spellEnd"/>
      <w:r w:rsidRPr="007B26FF">
        <w:rPr>
          <w:rFonts w:ascii="Palatino Linotype" w:hAnsi="Palatino Linotype"/>
          <w:lang w:val="es-MX" w:eastAsia="en-US"/>
        </w:rPr>
        <w:t xml:space="preserve"> el procedimiento de autorización de conjuntos urbanos, preceptos legales en los cuales se puede advertir </w:t>
      </w:r>
      <w:r w:rsidRPr="007B26FF">
        <w:rPr>
          <w:rFonts w:ascii="Palatino Linotype" w:hAnsi="Palatino Linotype"/>
          <w:lang w:val="es-MX" w:eastAsia="en-US"/>
        </w:rPr>
        <w:lastRenderedPageBreak/>
        <w:t>los documentos que deben presentarse para obtener dicha autorización, como a continuación se cita:</w:t>
      </w:r>
    </w:p>
    <w:p w14:paraId="31823198" w14:textId="6AB55508" w:rsidR="00401809" w:rsidRPr="007B26FF" w:rsidRDefault="00401809" w:rsidP="004778D3">
      <w:pPr>
        <w:pStyle w:val="Prrafodelista"/>
        <w:spacing w:line="276" w:lineRule="auto"/>
        <w:jc w:val="center"/>
        <w:rPr>
          <w:rFonts w:ascii="Palatino Linotype" w:hAnsi="Palatino Linotype"/>
          <w:b/>
          <w:i/>
          <w:sz w:val="22"/>
          <w:szCs w:val="22"/>
          <w:lang w:val="es-MX" w:eastAsia="en-US"/>
        </w:rPr>
      </w:pPr>
    </w:p>
    <w:p w14:paraId="041F2C3B" w14:textId="55195427" w:rsidR="000C166D" w:rsidRPr="007B26FF" w:rsidRDefault="00401809" w:rsidP="004778D3">
      <w:pPr>
        <w:spacing w:line="276" w:lineRule="auto"/>
        <w:ind w:left="720"/>
        <w:jc w:val="center"/>
        <w:rPr>
          <w:rFonts w:ascii="Palatino Linotype" w:hAnsi="Palatino Linotype"/>
          <w:b/>
          <w:i/>
          <w:sz w:val="22"/>
          <w:szCs w:val="22"/>
        </w:rPr>
      </w:pPr>
      <w:r w:rsidRPr="007B26FF">
        <w:rPr>
          <w:rFonts w:ascii="Palatino Linotype" w:hAnsi="Palatino Linotype"/>
          <w:b/>
          <w:i/>
          <w:sz w:val="22"/>
          <w:szCs w:val="22"/>
        </w:rPr>
        <w:t>CAPÍTULO SEGUNDO</w:t>
      </w:r>
    </w:p>
    <w:p w14:paraId="46230B6E" w14:textId="77777777" w:rsidR="004E624B" w:rsidRPr="007B26FF" w:rsidRDefault="00401809" w:rsidP="004778D3">
      <w:pPr>
        <w:spacing w:line="276" w:lineRule="auto"/>
        <w:ind w:left="720"/>
        <w:jc w:val="center"/>
        <w:rPr>
          <w:rFonts w:ascii="Palatino Linotype" w:hAnsi="Palatino Linotype"/>
          <w:b/>
          <w:i/>
          <w:sz w:val="22"/>
          <w:szCs w:val="22"/>
        </w:rPr>
      </w:pPr>
      <w:r w:rsidRPr="007B26FF">
        <w:rPr>
          <w:rFonts w:ascii="Palatino Linotype" w:hAnsi="Palatino Linotype"/>
          <w:b/>
          <w:i/>
          <w:sz w:val="22"/>
          <w:szCs w:val="22"/>
        </w:rPr>
        <w:t xml:space="preserve">DEL PROCEDIMIENTO DE AUTORIZACIÓN </w:t>
      </w:r>
    </w:p>
    <w:p w14:paraId="6287F4B5" w14:textId="0332924B" w:rsidR="00826EF9" w:rsidRPr="007B26FF" w:rsidRDefault="00401809" w:rsidP="004778D3">
      <w:pPr>
        <w:spacing w:line="276" w:lineRule="auto"/>
        <w:ind w:left="720"/>
        <w:jc w:val="center"/>
        <w:rPr>
          <w:rFonts w:ascii="Palatino Linotype" w:hAnsi="Palatino Linotype"/>
          <w:b/>
          <w:i/>
          <w:sz w:val="22"/>
          <w:szCs w:val="22"/>
        </w:rPr>
      </w:pPr>
      <w:r w:rsidRPr="007B26FF">
        <w:rPr>
          <w:rFonts w:ascii="Palatino Linotype" w:hAnsi="Palatino Linotype"/>
          <w:b/>
          <w:i/>
          <w:sz w:val="22"/>
          <w:szCs w:val="22"/>
        </w:rPr>
        <w:t>DE LAS ETAPAS DEL PROCEDIMIENTO</w:t>
      </w:r>
    </w:p>
    <w:p w14:paraId="465E0B0D" w14:textId="77777777" w:rsidR="000C166D" w:rsidRPr="007B26FF" w:rsidRDefault="000C166D" w:rsidP="004778D3">
      <w:pPr>
        <w:spacing w:line="276" w:lineRule="auto"/>
        <w:ind w:left="720"/>
        <w:jc w:val="both"/>
        <w:rPr>
          <w:rFonts w:ascii="Palatino Linotype" w:hAnsi="Palatino Linotype"/>
          <w:i/>
          <w:sz w:val="22"/>
          <w:szCs w:val="22"/>
        </w:rPr>
      </w:pPr>
    </w:p>
    <w:p w14:paraId="348F27B2" w14:textId="732AA738"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b/>
          <w:i/>
          <w:sz w:val="22"/>
          <w:szCs w:val="22"/>
        </w:rPr>
        <w:t>Artículo 51.</w:t>
      </w:r>
      <w:r w:rsidRPr="007B26FF">
        <w:rPr>
          <w:rFonts w:ascii="Palatino Linotype" w:hAnsi="Palatino Linotype"/>
          <w:i/>
          <w:sz w:val="22"/>
          <w:szCs w:val="22"/>
        </w:rPr>
        <w:t xml:space="preserve"> El procedimiento de autorización de un conjunto urbano se realizará conforme a las etapas previstas en este Capítulo y en las disposiciones jurídicas aplicables. </w:t>
      </w:r>
    </w:p>
    <w:p w14:paraId="1572AD2E" w14:textId="77777777" w:rsidR="000C166D" w:rsidRPr="007B26FF" w:rsidRDefault="000C166D" w:rsidP="004778D3">
      <w:pPr>
        <w:spacing w:line="276" w:lineRule="auto"/>
        <w:ind w:left="720"/>
        <w:jc w:val="both"/>
        <w:rPr>
          <w:rFonts w:ascii="Palatino Linotype" w:hAnsi="Palatino Linotype"/>
          <w:i/>
          <w:sz w:val="22"/>
          <w:szCs w:val="22"/>
        </w:rPr>
      </w:pPr>
    </w:p>
    <w:p w14:paraId="618B0AD0" w14:textId="4CEC046D"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b/>
          <w:i/>
          <w:sz w:val="22"/>
          <w:szCs w:val="22"/>
        </w:rPr>
        <w:t>Artículo 52.</w:t>
      </w:r>
      <w:r w:rsidRPr="007B26FF">
        <w:rPr>
          <w:rFonts w:ascii="Palatino Linotype" w:hAnsi="Palatino Linotype"/>
          <w:i/>
          <w:sz w:val="22"/>
          <w:szCs w:val="22"/>
        </w:rPr>
        <w:t xml:space="preserve"> Una vez obtenido el Dictamen Único con sujeción a la Ley que crea la Comisión de Factibilidad del Estado de México y las disposiciones jurídicas aplicables, su Titular o Representante Legal deberá exhibirlo a la Secretaría para iniciar el trámite correspondiente, en términos de lo establecido en el presente Reglamento. </w:t>
      </w:r>
    </w:p>
    <w:p w14:paraId="6FD25598" w14:textId="77777777" w:rsidR="000C166D" w:rsidRPr="007B26FF" w:rsidRDefault="000C166D" w:rsidP="004778D3">
      <w:pPr>
        <w:spacing w:line="276" w:lineRule="auto"/>
        <w:ind w:left="720"/>
        <w:jc w:val="both"/>
        <w:rPr>
          <w:rFonts w:ascii="Palatino Linotype" w:hAnsi="Palatino Linotype"/>
          <w:i/>
          <w:sz w:val="22"/>
          <w:szCs w:val="22"/>
        </w:rPr>
      </w:pPr>
    </w:p>
    <w:p w14:paraId="3747D65D" w14:textId="6B6A808B"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b/>
          <w:i/>
          <w:sz w:val="22"/>
          <w:szCs w:val="22"/>
        </w:rPr>
        <w:t>Artículo 53.</w:t>
      </w:r>
      <w:r w:rsidRPr="007B26FF">
        <w:rPr>
          <w:rFonts w:ascii="Palatino Linotype" w:hAnsi="Palatino Linotype"/>
          <w:i/>
          <w:sz w:val="22"/>
          <w:szCs w:val="22"/>
        </w:rPr>
        <w:t xml:space="preserve"> El interesado deberá obtener de la Secretaría la aprobación del proyecto de lotificación respectivo, conforme a lo siguiente:</w:t>
      </w:r>
    </w:p>
    <w:p w14:paraId="498BF251" w14:textId="3AF0870F" w:rsidR="0040180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I. Presentar el Dictamen Único del conjunto correspondiente, así como las Evaluaciones Técnicas de Factibilidad que lo sustenten y la solicitud de aprobación del proyecto de lotificación, en el que además de los requisitos del artículo 8 de este Reglamento, acompañe lo siguiente:</w:t>
      </w:r>
    </w:p>
    <w:p w14:paraId="1C6EC0C8"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A) Original o copia certificada del documento que contenga los datos de identificación del predio o inmueble; </w:t>
      </w:r>
    </w:p>
    <w:p w14:paraId="28222B41"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B) Nombre y firma autógrafa del peticionario, o en su caso, de su Representante Legal, quienes deberán acreditar su personalidad respectivamente, las facultades conforme a las disposiciones jurídicas aplicables y la vigencia del poder general o especial otorgado y conferido. Cuando el promovente no sepa o no pueda firmar, estampará su huella digital;</w:t>
      </w:r>
    </w:p>
    <w:p w14:paraId="424269D7"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C) Aerofoto o cartografía actualizada en papel fotográfico, a escala 1:5000, de la ubicación del predio, precisándose el entorno del mismo, con un radio de cobertura de al menos mil metros, contados a partir de cada una de las colindancias del predio. En desarrollos sociales </w:t>
      </w:r>
      <w:r w:rsidRPr="007B26FF">
        <w:rPr>
          <w:rFonts w:ascii="Palatino Linotype" w:hAnsi="Palatino Linotype"/>
          <w:i/>
          <w:sz w:val="22"/>
          <w:szCs w:val="22"/>
        </w:rPr>
        <w:lastRenderedPageBreak/>
        <w:t xml:space="preserve">progresivos promovidos por organizaciones sociales, este requisito podrá acreditarse por medio de cartografía legible en papel bond; </w:t>
      </w:r>
    </w:p>
    <w:p w14:paraId="0CA0978B"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D) Plano topográfico georreferenciado en coordenadas UTM, en el formato que al efecto determine la Secretaría, con altimetría y planimetría, que contenga las medidas y superficies del predio; </w:t>
      </w:r>
    </w:p>
    <w:p w14:paraId="122145F6"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E) Resolución de apeo y deslinde catastral o judicial inscrita en el Instituto de la Función Registral del Estado de México, cuando las medidas y superficies reales del predio sean menores a las contenidas en el documento con el que se acredite la propiedad y resolución de apeo y deslinde judicial inscrita en el Instituto de la Función Registral del Estado de México, cuando las medidas y superficies reales del predio sean mayores a las contenidas en dicho documento. No se exigirá este requisito cuando las medidas y superficies reales del predio coincidan con las contenidas en el documento con el que se acredite la propiedad; </w:t>
      </w:r>
    </w:p>
    <w:p w14:paraId="1F7EE30E"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F) Reporte fotográfico del predio y sus colindancias, con descripción por escrito de cada fotografía; </w:t>
      </w:r>
    </w:p>
    <w:p w14:paraId="6A8294A2"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G) Planos arquitectónicos de los prototipos de vivienda que se pretendan realizar, en caso de conjuntos urbanos habitacionales que vayan a ofertar vivienda; </w:t>
      </w:r>
    </w:p>
    <w:p w14:paraId="70E5CCAC"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H) En su caso, constancias o autorizaciones de Petróleos Mexicanos, Comisión Federal de Electricidad, Instituto Nacional de Antropología e Historia, Comisión Nacional del Agua u otras dependencias u organismos federales, estatales o municipales, cuando las características de la zona donde se ubique el predio a desarrollar así lo requieran; </w:t>
      </w:r>
    </w:p>
    <w:p w14:paraId="399ECC34"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I) Constancia de capacidad de suministro de energía eléctrica, incluyendo en su caso el presupuesto a costo directo y total de la infraestructura complementaria y primaria; </w:t>
      </w:r>
    </w:p>
    <w:p w14:paraId="2DFD521E"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J) Licencia de uso del suelo o, en su caso, autorización sobre cambio de uso del suelo, del coeficiente de ocupación y coeficiente de utilización del suelo de su aprovechamiento o de la altura máxima permitida, y </w:t>
      </w:r>
    </w:p>
    <w:p w14:paraId="5303DDAF"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K) Alineamiento y en su caso número oficial.</w:t>
      </w:r>
    </w:p>
    <w:p w14:paraId="5B32EAD8"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II. Proyecto de lotificación del conjunto urbano, en un tanto de planos originales impresos en papel bond, que deberá contener lo siguiente: </w:t>
      </w:r>
    </w:p>
    <w:p w14:paraId="784CBD79"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A) Situación original del predio o predios; </w:t>
      </w:r>
    </w:p>
    <w:p w14:paraId="30B9925A"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B) Apertura, ampliación o modificación de vías públicas; </w:t>
      </w:r>
    </w:p>
    <w:p w14:paraId="0D0E1848"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C) Lotificación del predio y en su caso, las fusiones, subdivisiones y condominios del mismo, y </w:t>
      </w:r>
    </w:p>
    <w:p w14:paraId="7F23F819"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lastRenderedPageBreak/>
        <w:t xml:space="preserve">D) La información gráfica y estadística, que constará en la solapa de los planos originales, será la siguiente: </w:t>
      </w:r>
    </w:p>
    <w:p w14:paraId="54C329F0"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1. Croquis de localización regional; </w:t>
      </w:r>
    </w:p>
    <w:p w14:paraId="78522E0B"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2. Croquis de localización local; </w:t>
      </w:r>
    </w:p>
    <w:p w14:paraId="10731A47"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3. Denominación, tipo y ubicación del desarrollo; </w:t>
      </w:r>
    </w:p>
    <w:p w14:paraId="1E6658FF" w14:textId="03BD4E57" w:rsidR="0040180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4. Nombre del solicitante del conjunto urbano;</w:t>
      </w:r>
    </w:p>
    <w:p w14:paraId="3557BEDE"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5. Simbología; </w:t>
      </w:r>
    </w:p>
    <w:p w14:paraId="3C651944"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6. Secciones de vías públicas, así como de vías privadas en su caso; </w:t>
      </w:r>
    </w:p>
    <w:p w14:paraId="6D17A5A7"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7. Cuadro de construcción de la poligonal del predio con datos georreferenciados; </w:t>
      </w:r>
    </w:p>
    <w:p w14:paraId="14421B21" w14:textId="47178A0B"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8. Cuadro de datos de densidad, tratándose de desarrollos habitacionales; </w:t>
      </w:r>
    </w:p>
    <w:p w14:paraId="548EB465"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9. Normatividad de uso del suelo e imagen urbana; </w:t>
      </w:r>
    </w:p>
    <w:p w14:paraId="28CDDA1F"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10. Logotipo del desarrollo, si lo hubiera; </w:t>
      </w:r>
    </w:p>
    <w:p w14:paraId="2E90EC65"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11. Datos generales de la lotificación; </w:t>
      </w:r>
    </w:p>
    <w:p w14:paraId="3BE1A04A"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12. Cuadros de cuantificación de lotes, superficies y usos del suelo por manzana; </w:t>
      </w:r>
    </w:p>
    <w:p w14:paraId="757CB500"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13. Datos de las autorizaciones implícitas en el plano de lotificación y en el acuerdo de autorización del conjunto urbano, en su caso; </w:t>
      </w:r>
    </w:p>
    <w:p w14:paraId="368CCE55"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14. Espacios para los datos de fechas del acuerdo de autorización del conjunto urbano y de su publicación en el Periódico Oficial “Gaceta del Gobierno”; </w:t>
      </w:r>
    </w:p>
    <w:p w14:paraId="36A9EB11"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15. Nombre, firma y datos de registro del perito; </w:t>
      </w:r>
    </w:p>
    <w:p w14:paraId="67D8087B"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16. Secciones de dibujo del desarrollo, si las hubiera; </w:t>
      </w:r>
    </w:p>
    <w:p w14:paraId="05F310A9"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17. Escalas gráficas en unidades métricas convencionales; </w:t>
      </w:r>
    </w:p>
    <w:p w14:paraId="2D392749"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18. Orientación magnética del conjunto; </w:t>
      </w:r>
    </w:p>
    <w:p w14:paraId="46ADA45F"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19. Nombre y número de cada plano, y </w:t>
      </w:r>
    </w:p>
    <w:p w14:paraId="0767F17F" w14:textId="0E87A51C" w:rsidR="0040180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20. Espacio para nombres, cargos y firmas de los servidores públicos de la Secretaría que aprueban y autorizan el conjunto urbano.</w:t>
      </w:r>
    </w:p>
    <w:p w14:paraId="04D5D96D" w14:textId="77777777" w:rsidR="00826EF9" w:rsidRPr="007B26FF" w:rsidRDefault="00826EF9" w:rsidP="004778D3">
      <w:pPr>
        <w:spacing w:line="276" w:lineRule="auto"/>
        <w:ind w:left="720"/>
        <w:jc w:val="both"/>
        <w:rPr>
          <w:rFonts w:ascii="Palatino Linotype" w:hAnsi="Palatino Linotype"/>
          <w:i/>
          <w:sz w:val="22"/>
          <w:szCs w:val="22"/>
        </w:rPr>
      </w:pPr>
    </w:p>
    <w:p w14:paraId="5539F12A" w14:textId="6907E6EE" w:rsidR="00826EF9" w:rsidRPr="007B26FF" w:rsidRDefault="00401809" w:rsidP="004778D3">
      <w:pPr>
        <w:spacing w:line="276" w:lineRule="auto"/>
        <w:ind w:left="720"/>
        <w:jc w:val="center"/>
        <w:rPr>
          <w:rFonts w:ascii="Palatino Linotype" w:hAnsi="Palatino Linotype"/>
          <w:b/>
          <w:i/>
          <w:sz w:val="22"/>
          <w:szCs w:val="22"/>
        </w:rPr>
      </w:pPr>
      <w:r w:rsidRPr="007B26FF">
        <w:rPr>
          <w:rFonts w:ascii="Palatino Linotype" w:hAnsi="Palatino Linotype"/>
          <w:b/>
          <w:i/>
          <w:sz w:val="22"/>
          <w:szCs w:val="22"/>
        </w:rPr>
        <w:t>DE LA SOLICITUD DE AUTORIZACIÓN</w:t>
      </w:r>
    </w:p>
    <w:p w14:paraId="7D845217" w14:textId="77777777" w:rsidR="000C166D" w:rsidRPr="007B26FF" w:rsidRDefault="000C166D" w:rsidP="004778D3">
      <w:pPr>
        <w:spacing w:line="276" w:lineRule="auto"/>
        <w:ind w:left="720"/>
        <w:jc w:val="both"/>
        <w:rPr>
          <w:rFonts w:ascii="Palatino Linotype" w:hAnsi="Palatino Linotype"/>
          <w:i/>
          <w:sz w:val="22"/>
          <w:szCs w:val="22"/>
        </w:rPr>
      </w:pPr>
    </w:p>
    <w:p w14:paraId="494476E0" w14:textId="19556EB2"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b/>
          <w:i/>
          <w:sz w:val="22"/>
          <w:szCs w:val="22"/>
        </w:rPr>
        <w:t>Artículo 54.</w:t>
      </w:r>
      <w:r w:rsidRPr="007B26FF">
        <w:rPr>
          <w:rFonts w:ascii="Palatino Linotype" w:hAnsi="Palatino Linotype"/>
          <w:i/>
          <w:sz w:val="22"/>
          <w:szCs w:val="22"/>
        </w:rPr>
        <w:t xml:space="preserve"> Aprobado el proyecto de lotificación, el interesado presentará a la Secretaría de manera impresa o electrónica, la solicitud de autorización del conjunto urbano, acompañada de la documentación siguiente: </w:t>
      </w:r>
    </w:p>
    <w:p w14:paraId="41AC5299" w14:textId="6F33184B" w:rsidR="000C166D"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I. Proyecto de lotificación aprobado; </w:t>
      </w:r>
    </w:p>
    <w:p w14:paraId="4B4321FC"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lastRenderedPageBreak/>
        <w:t xml:space="preserve">II. Certificado de Gravámenes con fecha de expedición no mayor a ciento veinte días a su presentación, y en caso de existencia de gravamen, anuencia por escrito del acreedor hipotecario, acompañado de la documentación que acredite su personalidad jurídica; </w:t>
      </w:r>
    </w:p>
    <w:p w14:paraId="4549205D"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III. Memoria descriptiva del plano de lotificación aprobado, la cual comprenderá: </w:t>
      </w:r>
    </w:p>
    <w:p w14:paraId="2E4D4CFE"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A) Número y tipo de lotes; </w:t>
      </w:r>
    </w:p>
    <w:p w14:paraId="27AEFF86"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B) Cuadro resumen de manzanas y sus lotes, que indiquen medidas y superficies, usos del suelo, coeficiente de ocupación del suelo y coeficiente de utilización del suelo de aprovechamiento, así como la densidad de viviendas en el caso de conjuntos habitacionales; C) Estructura vial interna y ubicación de las áreas de donación destinadas a equipamiento urbano con sus poligonales y cuadro de construcción; </w:t>
      </w:r>
    </w:p>
    <w:p w14:paraId="73094486"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D) Equipamiento urbano e Infraestructura Primaria existentes en la zona, así como descripción de los propuestos conforme a las necesidades del conjunto; </w:t>
      </w:r>
    </w:p>
    <w:p w14:paraId="41FEF65F"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E) Cuadro de porcentajes de la superficie total del predio destinada a la enajenación, a las vías públicas y a las áreas de donación y restricción, en su caso; </w:t>
      </w:r>
    </w:p>
    <w:p w14:paraId="0D42320E"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F) Programa de ejecución de obras de urbanización y equipamiento y de infraestructura primaria autorizado por la dependencia correspondiente prevista para el desarrollo, y </w:t>
      </w:r>
    </w:p>
    <w:p w14:paraId="0F34A32A" w14:textId="6D3E61FE" w:rsidR="0040180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G) Presupuesto desglosado a costo directo de las obras de urbanización y de equipamiento previstas para el desarrollo.</w:t>
      </w:r>
    </w:p>
    <w:p w14:paraId="4C566D0B" w14:textId="77777777" w:rsidR="000C166D" w:rsidRPr="007B26FF" w:rsidRDefault="000C166D" w:rsidP="004778D3">
      <w:pPr>
        <w:spacing w:line="276" w:lineRule="auto"/>
        <w:ind w:left="720"/>
        <w:jc w:val="both"/>
        <w:rPr>
          <w:rFonts w:ascii="Palatino Linotype" w:hAnsi="Palatino Linotype"/>
          <w:i/>
          <w:sz w:val="22"/>
          <w:szCs w:val="22"/>
        </w:rPr>
      </w:pPr>
    </w:p>
    <w:p w14:paraId="3973EF8D" w14:textId="1637DB4D" w:rsidR="00826EF9" w:rsidRPr="007B26FF" w:rsidRDefault="00401809" w:rsidP="004778D3">
      <w:pPr>
        <w:spacing w:line="276" w:lineRule="auto"/>
        <w:ind w:left="720"/>
        <w:jc w:val="center"/>
        <w:rPr>
          <w:rFonts w:ascii="Palatino Linotype" w:hAnsi="Palatino Linotype"/>
          <w:b/>
          <w:i/>
          <w:sz w:val="22"/>
          <w:szCs w:val="22"/>
        </w:rPr>
      </w:pPr>
      <w:r w:rsidRPr="007B26FF">
        <w:rPr>
          <w:rFonts w:ascii="Palatino Linotype" w:hAnsi="Palatino Linotype"/>
          <w:b/>
          <w:i/>
          <w:sz w:val="22"/>
          <w:szCs w:val="22"/>
        </w:rPr>
        <w:t>DEL CONTENIDO DEL ACUERDO DE AUTORIZACIÓN DEL CONJUNTO URBANO</w:t>
      </w:r>
    </w:p>
    <w:p w14:paraId="063A0C74"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b/>
          <w:i/>
          <w:sz w:val="22"/>
          <w:szCs w:val="22"/>
        </w:rPr>
        <w:t>Artículo 55.</w:t>
      </w:r>
      <w:r w:rsidRPr="007B26FF">
        <w:rPr>
          <w:rFonts w:ascii="Palatino Linotype" w:hAnsi="Palatino Linotype"/>
          <w:i/>
          <w:sz w:val="22"/>
          <w:szCs w:val="22"/>
        </w:rPr>
        <w:t xml:space="preserve"> El acuerdo de autorización de un conjunto urbano contendrá: </w:t>
      </w:r>
    </w:p>
    <w:p w14:paraId="1F5D4389"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I. Referencia a la solicitud; </w:t>
      </w:r>
    </w:p>
    <w:p w14:paraId="5AACBD8F"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II. Fundamentación y motivación; </w:t>
      </w:r>
    </w:p>
    <w:p w14:paraId="4C014825"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III. Señalar el lugar y la fecha de su emisión, así́ como los datos relativos a la identificación precisa del expediente, documentos y nombre de las personas de que se trate, y </w:t>
      </w:r>
    </w:p>
    <w:p w14:paraId="04BCA003"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IV. Los datos siguientes: </w:t>
      </w:r>
    </w:p>
    <w:p w14:paraId="3B03AEA7"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A) Nombre del Titular; </w:t>
      </w:r>
    </w:p>
    <w:p w14:paraId="75A4B498"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B) Tipo, denominación y ubicación del conjunto, y </w:t>
      </w:r>
    </w:p>
    <w:p w14:paraId="0A1DBD16"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C) Superficie del predio y superficies vendibles, de donación y en su caso, de afectación u otras del proyecto. </w:t>
      </w:r>
    </w:p>
    <w:p w14:paraId="37FB7D28"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V. La referencia a: </w:t>
      </w:r>
    </w:p>
    <w:p w14:paraId="1D1E2994"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lastRenderedPageBreak/>
        <w:t xml:space="preserve">A) Los documentos que acrediten la personalidad del solicitante y en su caso, de su Representante Legal; </w:t>
      </w:r>
    </w:p>
    <w:p w14:paraId="5D711ACE"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B) Los documentos que acrediten la propiedad del inmueble o predios objeto del desarrollo; C) El Dictamen Único, constancias, licencias, Evaluaciones Técnicas de Factibilidad, dictámenes y demás documentos que sustenten la autorización, y </w:t>
      </w:r>
    </w:p>
    <w:p w14:paraId="7D72C1ED" w14:textId="292DCF29" w:rsidR="0040180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D) Los planos y</w:t>
      </w:r>
    </w:p>
    <w:p w14:paraId="3C85D2F1" w14:textId="77777777" w:rsidR="00826EF9" w:rsidRPr="007B26FF" w:rsidRDefault="00401809" w:rsidP="004778D3">
      <w:pPr>
        <w:spacing w:line="276" w:lineRule="auto"/>
        <w:ind w:left="720"/>
        <w:jc w:val="both"/>
        <w:rPr>
          <w:rFonts w:ascii="Palatino Linotype" w:hAnsi="Palatino Linotype"/>
          <w:i/>
          <w:sz w:val="22"/>
          <w:szCs w:val="22"/>
        </w:rPr>
      </w:pPr>
      <w:r w:rsidRPr="007B26FF">
        <w:rPr>
          <w:rFonts w:ascii="Palatino Linotype" w:hAnsi="Palatino Linotype"/>
          <w:i/>
          <w:sz w:val="22"/>
          <w:szCs w:val="22"/>
        </w:rPr>
        <w:t xml:space="preserve">VI. Las obligaciones que adquiere el Titular de la autorización con relación al conjunto, relativas a: </w:t>
      </w:r>
    </w:p>
    <w:p w14:paraId="3DFF1E45" w14:textId="6D949149" w:rsidR="00826EF9" w:rsidRPr="007B26FF" w:rsidRDefault="004E624B" w:rsidP="004778D3">
      <w:pPr>
        <w:pStyle w:val="Prrafodelista"/>
        <w:spacing w:line="276" w:lineRule="auto"/>
        <w:jc w:val="both"/>
        <w:rPr>
          <w:rFonts w:ascii="Palatino Linotype" w:hAnsi="Palatino Linotype"/>
          <w:i/>
          <w:sz w:val="22"/>
          <w:szCs w:val="22"/>
          <w:lang w:val="es-US" w:eastAsia="en-US"/>
        </w:rPr>
      </w:pPr>
      <w:r w:rsidRPr="007B26FF">
        <w:rPr>
          <w:rFonts w:ascii="Palatino Linotype" w:hAnsi="Palatino Linotype"/>
          <w:i/>
          <w:sz w:val="22"/>
          <w:szCs w:val="22"/>
          <w:lang w:val="es-US" w:eastAsia="en-US"/>
        </w:rPr>
        <w:t>[…]</w:t>
      </w:r>
    </w:p>
    <w:p w14:paraId="68850D69" w14:textId="2A1081E8" w:rsidR="000C166D" w:rsidRPr="007B26FF" w:rsidRDefault="00826EF9" w:rsidP="004778D3">
      <w:pPr>
        <w:autoSpaceDE w:val="0"/>
        <w:autoSpaceDN w:val="0"/>
        <w:adjustRightInd w:val="0"/>
        <w:spacing w:line="276" w:lineRule="auto"/>
        <w:ind w:left="720"/>
        <w:jc w:val="both"/>
        <w:rPr>
          <w:rFonts w:ascii="Palatino Linotype" w:eastAsiaTheme="minorEastAsia" w:hAnsi="Palatino Linotype" w:cs="Bookman Old Style"/>
          <w:b/>
          <w:bCs/>
          <w:i/>
          <w:sz w:val="22"/>
          <w:szCs w:val="22"/>
          <w:lang w:val="es-ES_tradnl" w:eastAsia="es-ES"/>
        </w:rPr>
      </w:pPr>
      <w:r w:rsidRPr="007B26FF">
        <w:rPr>
          <w:rFonts w:ascii="Palatino Linotype" w:eastAsiaTheme="minorEastAsia" w:hAnsi="Palatino Linotype" w:cs="Bookman Old Style"/>
          <w:bCs/>
          <w:i/>
          <w:sz w:val="22"/>
          <w:szCs w:val="22"/>
          <w:lang w:val="es-ES_tradnl" w:eastAsia="es-ES"/>
        </w:rPr>
        <w:t>XIV.</w:t>
      </w:r>
      <w:r w:rsidRPr="007B26FF">
        <w:rPr>
          <w:rFonts w:ascii="Palatino Linotype" w:eastAsiaTheme="minorEastAsia" w:hAnsi="Palatino Linotype" w:cs="Bookman Old Style"/>
          <w:b/>
          <w:bCs/>
          <w:i/>
          <w:sz w:val="22"/>
          <w:szCs w:val="22"/>
          <w:lang w:val="es-ES_tradnl" w:eastAsia="es-ES"/>
        </w:rPr>
        <w:t xml:space="preserve"> </w:t>
      </w:r>
      <w:r w:rsidR="000C166D" w:rsidRPr="007B26FF">
        <w:rPr>
          <w:rFonts w:ascii="Palatino Linotype" w:eastAsiaTheme="minorEastAsia" w:hAnsi="Palatino Linotype" w:cs="Bookman Old Style"/>
          <w:bCs/>
          <w:i/>
          <w:sz w:val="22"/>
          <w:szCs w:val="22"/>
          <w:lang w:val="es-ES_tradnl" w:eastAsia="es-ES"/>
        </w:rPr>
        <w:t xml:space="preserve">Nombre, cargo y firma de </w:t>
      </w:r>
      <w:proofErr w:type="spellStart"/>
      <w:r w:rsidR="000C166D" w:rsidRPr="007B26FF">
        <w:rPr>
          <w:rFonts w:ascii="Palatino Linotype" w:eastAsiaTheme="minorEastAsia" w:hAnsi="Palatino Linotype" w:cs="Bookman Old Style"/>
          <w:bCs/>
          <w:i/>
          <w:sz w:val="22"/>
          <w:szCs w:val="22"/>
          <w:lang w:val="es-ES_tradnl" w:eastAsia="es-ES"/>
        </w:rPr>
        <w:t>quine</w:t>
      </w:r>
      <w:proofErr w:type="spellEnd"/>
      <w:r w:rsidR="000C166D" w:rsidRPr="007B26FF">
        <w:rPr>
          <w:rFonts w:ascii="Palatino Linotype" w:eastAsiaTheme="minorEastAsia" w:hAnsi="Palatino Linotype" w:cs="Bookman Old Style"/>
          <w:bCs/>
          <w:i/>
          <w:sz w:val="22"/>
          <w:szCs w:val="22"/>
          <w:lang w:val="es-ES_tradnl" w:eastAsia="es-ES"/>
        </w:rPr>
        <w:t xml:space="preserve"> lo autoriza.</w:t>
      </w:r>
    </w:p>
    <w:p w14:paraId="5E3CE024" w14:textId="77777777" w:rsidR="000C166D" w:rsidRPr="007B26FF" w:rsidRDefault="000C166D" w:rsidP="004778D3">
      <w:pPr>
        <w:autoSpaceDE w:val="0"/>
        <w:autoSpaceDN w:val="0"/>
        <w:adjustRightInd w:val="0"/>
        <w:spacing w:line="276" w:lineRule="auto"/>
        <w:ind w:left="720"/>
        <w:jc w:val="both"/>
        <w:rPr>
          <w:rFonts w:ascii="Palatino Linotype" w:eastAsiaTheme="minorEastAsia" w:hAnsi="Palatino Linotype" w:cs="Bookman Old Style"/>
          <w:i/>
          <w:color w:val="000000"/>
          <w:sz w:val="22"/>
          <w:szCs w:val="22"/>
          <w:lang w:val="es-ES_tradnl" w:eastAsia="es-ES"/>
        </w:rPr>
      </w:pPr>
      <w:r w:rsidRPr="007B26FF">
        <w:rPr>
          <w:rFonts w:ascii="Palatino Linotype" w:eastAsiaTheme="minorEastAsia" w:hAnsi="Palatino Linotype" w:cs="Bookman Old Style"/>
          <w:i/>
          <w:sz w:val="22"/>
          <w:szCs w:val="22"/>
          <w:lang w:val="es-ES_tradnl" w:eastAsia="es-ES"/>
        </w:rPr>
        <w:t xml:space="preserve">La autorización </w:t>
      </w:r>
      <w:r w:rsidRPr="007B26FF">
        <w:rPr>
          <w:rFonts w:ascii="Palatino Linotype" w:eastAsiaTheme="minorEastAsia" w:hAnsi="Palatino Linotype" w:cs="Bookman Old Style"/>
          <w:i/>
          <w:color w:val="000000"/>
          <w:sz w:val="22"/>
          <w:szCs w:val="22"/>
          <w:lang w:val="es-ES_tradnl" w:eastAsia="es-ES"/>
        </w:rPr>
        <w:t>deberá acompañarse del plano o planos de lotificación firmados y sellados.</w:t>
      </w:r>
    </w:p>
    <w:p w14:paraId="48F5EA0B" w14:textId="77777777" w:rsidR="00401809" w:rsidRPr="007B26FF" w:rsidRDefault="00401809" w:rsidP="00E750F3">
      <w:pPr>
        <w:pStyle w:val="Prrafodelista"/>
        <w:spacing w:line="360" w:lineRule="auto"/>
        <w:rPr>
          <w:rFonts w:ascii="Palatino Linotype" w:hAnsi="Palatino Linotype"/>
          <w:lang w:val="es-MX" w:eastAsia="en-US"/>
        </w:rPr>
      </w:pPr>
    </w:p>
    <w:p w14:paraId="2D8CBD0E" w14:textId="4591B456" w:rsidR="00F917C7" w:rsidRPr="007B26FF" w:rsidRDefault="004E624B" w:rsidP="00F917C7">
      <w:pPr>
        <w:pStyle w:val="Prrafodelista"/>
        <w:numPr>
          <w:ilvl w:val="0"/>
          <w:numId w:val="1"/>
        </w:numPr>
        <w:spacing w:line="360" w:lineRule="auto"/>
        <w:ind w:left="0" w:firstLine="0"/>
        <w:jc w:val="both"/>
        <w:rPr>
          <w:rFonts w:ascii="Palatino Linotype" w:hAnsi="Palatino Linotype"/>
          <w:lang w:val="es-MX" w:eastAsia="en-US"/>
        </w:rPr>
      </w:pPr>
      <w:r w:rsidRPr="007B26FF">
        <w:rPr>
          <w:rFonts w:ascii="Palatino Linotype" w:hAnsi="Palatino Linotype"/>
        </w:rPr>
        <w:t>Al</w:t>
      </w:r>
      <w:r w:rsidRPr="007B26FF">
        <w:rPr>
          <w:rFonts w:ascii="Palatino Linotype" w:hAnsi="Palatino Linotype"/>
          <w:spacing w:val="1"/>
        </w:rPr>
        <w:t xml:space="preserve"> </w:t>
      </w:r>
      <w:r w:rsidRPr="007B26FF">
        <w:rPr>
          <w:rFonts w:ascii="Palatino Linotype" w:hAnsi="Palatino Linotype"/>
        </w:rPr>
        <w:t>respecto</w:t>
      </w:r>
      <w:r w:rsidRPr="007B26FF">
        <w:rPr>
          <w:rFonts w:ascii="Palatino Linotype" w:hAnsi="Palatino Linotype"/>
          <w:spacing w:val="1"/>
        </w:rPr>
        <w:t xml:space="preserve"> </w:t>
      </w:r>
      <w:r w:rsidRPr="007B26FF">
        <w:rPr>
          <w:rFonts w:ascii="Palatino Linotype" w:hAnsi="Palatino Linotype"/>
        </w:rPr>
        <w:t>se</w:t>
      </w:r>
      <w:r w:rsidRPr="007B26FF">
        <w:rPr>
          <w:rFonts w:ascii="Palatino Linotype" w:hAnsi="Palatino Linotype"/>
          <w:spacing w:val="1"/>
        </w:rPr>
        <w:t xml:space="preserve"> </w:t>
      </w:r>
      <w:r w:rsidRPr="007B26FF">
        <w:rPr>
          <w:rFonts w:ascii="Palatino Linotype" w:hAnsi="Palatino Linotype"/>
        </w:rPr>
        <w:t>advierte</w:t>
      </w:r>
      <w:r w:rsidRPr="007B26FF">
        <w:rPr>
          <w:rFonts w:ascii="Palatino Linotype" w:hAnsi="Palatino Linotype"/>
          <w:spacing w:val="1"/>
        </w:rPr>
        <w:t xml:space="preserve"> </w:t>
      </w:r>
      <w:r w:rsidRPr="007B26FF">
        <w:rPr>
          <w:rFonts w:ascii="Palatino Linotype" w:hAnsi="Palatino Linotype"/>
        </w:rPr>
        <w:t>que</w:t>
      </w:r>
      <w:r w:rsidRPr="007B26FF">
        <w:rPr>
          <w:rFonts w:ascii="Palatino Linotype" w:hAnsi="Palatino Linotype"/>
          <w:spacing w:val="1"/>
        </w:rPr>
        <w:t xml:space="preserve"> </w:t>
      </w:r>
      <w:r w:rsidRPr="007B26FF">
        <w:rPr>
          <w:rFonts w:ascii="Palatino Linotype" w:hAnsi="Palatino Linotype"/>
        </w:rPr>
        <w:t>en</w:t>
      </w:r>
      <w:r w:rsidRPr="007B26FF">
        <w:rPr>
          <w:rFonts w:ascii="Palatino Linotype" w:hAnsi="Palatino Linotype"/>
          <w:spacing w:val="1"/>
        </w:rPr>
        <w:t xml:space="preserve"> </w:t>
      </w:r>
      <w:r w:rsidRPr="007B26FF">
        <w:rPr>
          <w:rFonts w:ascii="Palatino Linotype" w:hAnsi="Palatino Linotype"/>
        </w:rPr>
        <w:t>caso</w:t>
      </w:r>
      <w:r w:rsidRPr="007B26FF">
        <w:rPr>
          <w:rFonts w:ascii="Palatino Linotype" w:hAnsi="Palatino Linotype"/>
          <w:spacing w:val="1"/>
        </w:rPr>
        <w:t xml:space="preserve"> </w:t>
      </w:r>
      <w:r w:rsidRPr="007B26FF">
        <w:rPr>
          <w:rFonts w:ascii="Palatino Linotype" w:hAnsi="Palatino Linotype"/>
        </w:rPr>
        <w:t>que</w:t>
      </w:r>
      <w:r w:rsidRPr="007B26FF">
        <w:rPr>
          <w:rFonts w:ascii="Palatino Linotype" w:hAnsi="Palatino Linotype"/>
          <w:spacing w:val="1"/>
        </w:rPr>
        <w:t xml:space="preserve"> </w:t>
      </w:r>
      <w:r w:rsidRPr="007B26FF">
        <w:rPr>
          <w:rFonts w:ascii="Palatino Linotype" w:hAnsi="Palatino Linotype"/>
        </w:rPr>
        <w:t>nos</w:t>
      </w:r>
      <w:r w:rsidRPr="007B26FF">
        <w:rPr>
          <w:rFonts w:ascii="Palatino Linotype" w:hAnsi="Palatino Linotype"/>
          <w:spacing w:val="1"/>
        </w:rPr>
        <w:t xml:space="preserve"> </w:t>
      </w:r>
      <w:r w:rsidRPr="007B26FF">
        <w:rPr>
          <w:rFonts w:ascii="Palatino Linotype" w:hAnsi="Palatino Linotype"/>
        </w:rPr>
        <w:t>ocupa,</w:t>
      </w:r>
      <w:r w:rsidRPr="007B26FF">
        <w:rPr>
          <w:rFonts w:ascii="Palatino Linotype" w:hAnsi="Palatino Linotype"/>
          <w:spacing w:val="1"/>
        </w:rPr>
        <w:t xml:space="preserve"> </w:t>
      </w:r>
      <w:r w:rsidRPr="007B26FF">
        <w:rPr>
          <w:rFonts w:ascii="Palatino Linotype" w:hAnsi="Palatino Linotype"/>
        </w:rPr>
        <w:t>el</w:t>
      </w:r>
      <w:r w:rsidRPr="007B26FF">
        <w:rPr>
          <w:rFonts w:ascii="Palatino Linotype" w:hAnsi="Palatino Linotype"/>
          <w:spacing w:val="1"/>
        </w:rPr>
        <w:t xml:space="preserve"> </w:t>
      </w:r>
      <w:r w:rsidRPr="007B26FF">
        <w:rPr>
          <w:rFonts w:ascii="Palatino Linotype" w:hAnsi="Palatino Linotype"/>
        </w:rPr>
        <w:t>Sujeto</w:t>
      </w:r>
      <w:r w:rsidRPr="007B26FF">
        <w:rPr>
          <w:rFonts w:ascii="Palatino Linotype" w:hAnsi="Palatino Linotype"/>
          <w:spacing w:val="1"/>
        </w:rPr>
        <w:t xml:space="preserve"> </w:t>
      </w:r>
      <w:r w:rsidRPr="007B26FF">
        <w:rPr>
          <w:rFonts w:ascii="Palatino Linotype" w:hAnsi="Palatino Linotype"/>
        </w:rPr>
        <w:t>Obligado,</w:t>
      </w:r>
      <w:r w:rsidRPr="007B26FF">
        <w:rPr>
          <w:rFonts w:ascii="Palatino Linotype" w:hAnsi="Palatino Linotype"/>
          <w:spacing w:val="1"/>
        </w:rPr>
        <w:t xml:space="preserve"> </w:t>
      </w:r>
      <w:r w:rsidRPr="007B26FF">
        <w:rPr>
          <w:rFonts w:ascii="Palatino Linotype" w:hAnsi="Palatino Linotype"/>
        </w:rPr>
        <w:t>cuenta</w:t>
      </w:r>
      <w:r w:rsidRPr="007B26FF">
        <w:rPr>
          <w:rFonts w:ascii="Palatino Linotype" w:hAnsi="Palatino Linotype"/>
          <w:spacing w:val="1"/>
        </w:rPr>
        <w:t xml:space="preserve"> </w:t>
      </w:r>
      <w:r w:rsidRPr="007B26FF">
        <w:rPr>
          <w:rFonts w:ascii="Palatino Linotype" w:hAnsi="Palatino Linotype"/>
        </w:rPr>
        <w:t>con</w:t>
      </w:r>
      <w:r w:rsidRPr="007B26FF">
        <w:rPr>
          <w:rFonts w:ascii="Palatino Linotype" w:hAnsi="Palatino Linotype"/>
          <w:spacing w:val="1"/>
        </w:rPr>
        <w:t xml:space="preserve"> </w:t>
      </w:r>
      <w:r w:rsidRPr="007B26FF">
        <w:rPr>
          <w:rFonts w:ascii="Palatino Linotype" w:hAnsi="Palatino Linotype"/>
        </w:rPr>
        <w:t>la</w:t>
      </w:r>
      <w:r w:rsidRPr="007B26FF">
        <w:rPr>
          <w:rFonts w:ascii="Palatino Linotype" w:hAnsi="Palatino Linotype"/>
          <w:spacing w:val="1"/>
        </w:rPr>
        <w:t xml:space="preserve"> </w:t>
      </w:r>
      <w:r w:rsidRPr="007B26FF">
        <w:rPr>
          <w:rFonts w:ascii="Palatino Linotype" w:hAnsi="Palatino Linotype"/>
        </w:rPr>
        <w:t>información solicitada esto a partir del análisis de los requisitos que se tienen en materia de</w:t>
      </w:r>
      <w:r w:rsidRPr="007B26FF">
        <w:rPr>
          <w:rFonts w:ascii="Palatino Linotype" w:hAnsi="Palatino Linotype"/>
          <w:spacing w:val="1"/>
        </w:rPr>
        <w:t xml:space="preserve"> </w:t>
      </w:r>
      <w:r w:rsidRPr="007B26FF">
        <w:rPr>
          <w:rFonts w:ascii="Palatino Linotype" w:hAnsi="Palatino Linotype"/>
        </w:rPr>
        <w:t>Desarrollo Urbano, aunado a que el Sujeto Obligado, manifestó que se daría entrega de los</w:t>
      </w:r>
      <w:r w:rsidRPr="007B26FF">
        <w:rPr>
          <w:rFonts w:ascii="Palatino Linotype" w:hAnsi="Palatino Linotype"/>
          <w:spacing w:val="1"/>
        </w:rPr>
        <w:t xml:space="preserve"> </w:t>
      </w:r>
      <w:r w:rsidRPr="007B26FF">
        <w:rPr>
          <w:rFonts w:ascii="Palatino Linotype" w:hAnsi="Palatino Linotype"/>
        </w:rPr>
        <w:t xml:space="preserve">mismos previo pago, por lo cual, se identifica que obran en sus archivos, </w:t>
      </w:r>
      <w:proofErr w:type="gramStart"/>
      <w:r w:rsidRPr="007B26FF">
        <w:rPr>
          <w:rFonts w:ascii="Palatino Linotype" w:hAnsi="Palatino Linotype"/>
        </w:rPr>
        <w:t>y</w:t>
      </w:r>
      <w:proofErr w:type="gramEnd"/>
      <w:r w:rsidRPr="007B26FF">
        <w:rPr>
          <w:rFonts w:ascii="Palatino Linotype" w:hAnsi="Palatino Linotype"/>
          <w:spacing w:val="-6"/>
        </w:rPr>
        <w:t xml:space="preserve"> </w:t>
      </w:r>
      <w:r w:rsidRPr="007B26FF">
        <w:rPr>
          <w:rFonts w:ascii="Palatino Linotype" w:hAnsi="Palatino Linotype"/>
        </w:rPr>
        <w:t>por</w:t>
      </w:r>
      <w:r w:rsidRPr="007B26FF">
        <w:rPr>
          <w:rFonts w:ascii="Palatino Linotype" w:hAnsi="Palatino Linotype"/>
          <w:spacing w:val="-5"/>
        </w:rPr>
        <w:t xml:space="preserve"> </w:t>
      </w:r>
      <w:r w:rsidRPr="007B26FF">
        <w:rPr>
          <w:rFonts w:ascii="Palatino Linotype" w:hAnsi="Palatino Linotype"/>
        </w:rPr>
        <w:t>tanto,</w:t>
      </w:r>
      <w:r w:rsidRPr="007B26FF">
        <w:rPr>
          <w:rFonts w:ascii="Palatino Linotype" w:hAnsi="Palatino Linotype"/>
          <w:spacing w:val="-10"/>
        </w:rPr>
        <w:t xml:space="preserve"> </w:t>
      </w:r>
      <w:r w:rsidRPr="007B26FF">
        <w:rPr>
          <w:rFonts w:ascii="Palatino Linotype" w:hAnsi="Palatino Linotype"/>
        </w:rPr>
        <w:t>es</w:t>
      </w:r>
      <w:r w:rsidRPr="007B26FF">
        <w:rPr>
          <w:rFonts w:ascii="Palatino Linotype" w:hAnsi="Palatino Linotype"/>
          <w:spacing w:val="-6"/>
        </w:rPr>
        <w:t xml:space="preserve"> </w:t>
      </w:r>
      <w:r w:rsidRPr="007B26FF">
        <w:rPr>
          <w:rFonts w:ascii="Palatino Linotype" w:hAnsi="Palatino Linotype"/>
        </w:rPr>
        <w:t>información</w:t>
      </w:r>
      <w:r w:rsidRPr="007B26FF">
        <w:rPr>
          <w:rFonts w:ascii="Palatino Linotype" w:hAnsi="Palatino Linotype"/>
          <w:spacing w:val="-5"/>
        </w:rPr>
        <w:t xml:space="preserve"> </w:t>
      </w:r>
      <w:r w:rsidRPr="007B26FF">
        <w:rPr>
          <w:rFonts w:ascii="Palatino Linotype" w:hAnsi="Palatino Linotype"/>
        </w:rPr>
        <w:t>susceptible</w:t>
      </w:r>
      <w:r w:rsidRPr="007B26FF">
        <w:rPr>
          <w:rFonts w:ascii="Palatino Linotype" w:hAnsi="Palatino Linotype"/>
          <w:spacing w:val="-4"/>
        </w:rPr>
        <w:t xml:space="preserve"> </w:t>
      </w:r>
      <w:r w:rsidRPr="007B26FF">
        <w:rPr>
          <w:rFonts w:ascii="Palatino Linotype" w:hAnsi="Palatino Linotype"/>
        </w:rPr>
        <w:t>de</w:t>
      </w:r>
      <w:r w:rsidRPr="007B26FF">
        <w:rPr>
          <w:rFonts w:ascii="Palatino Linotype" w:hAnsi="Palatino Linotype"/>
          <w:spacing w:val="-4"/>
        </w:rPr>
        <w:t xml:space="preserve"> </w:t>
      </w:r>
      <w:r w:rsidRPr="007B26FF">
        <w:rPr>
          <w:rFonts w:ascii="Palatino Linotype" w:hAnsi="Palatino Linotype"/>
        </w:rPr>
        <w:t>ser</w:t>
      </w:r>
      <w:r w:rsidRPr="007B26FF">
        <w:rPr>
          <w:rFonts w:ascii="Palatino Linotype" w:hAnsi="Palatino Linotype"/>
          <w:spacing w:val="-5"/>
        </w:rPr>
        <w:t xml:space="preserve"> </w:t>
      </w:r>
      <w:r w:rsidRPr="007B26FF">
        <w:rPr>
          <w:rFonts w:ascii="Palatino Linotype" w:hAnsi="Palatino Linotype"/>
        </w:rPr>
        <w:t>entregada.</w:t>
      </w:r>
    </w:p>
    <w:p w14:paraId="01C01266" w14:textId="35F1C438" w:rsidR="00F917C7" w:rsidRPr="007B26FF" w:rsidRDefault="00F917C7" w:rsidP="00F917C7">
      <w:pPr>
        <w:pStyle w:val="Prrafodelista"/>
        <w:spacing w:line="360" w:lineRule="auto"/>
        <w:ind w:left="0"/>
        <w:jc w:val="both"/>
        <w:rPr>
          <w:rFonts w:ascii="Palatino Linotype" w:hAnsi="Palatino Linotype"/>
          <w:lang w:val="es-MX" w:eastAsia="en-US"/>
        </w:rPr>
      </w:pPr>
    </w:p>
    <w:p w14:paraId="70EC57D0" w14:textId="5C6FDAF4" w:rsidR="00F917C7" w:rsidRPr="007B26FF" w:rsidRDefault="00F917C7" w:rsidP="00F917C7">
      <w:pPr>
        <w:pStyle w:val="Prrafodelista"/>
        <w:numPr>
          <w:ilvl w:val="0"/>
          <w:numId w:val="16"/>
        </w:numPr>
        <w:spacing w:line="360" w:lineRule="auto"/>
        <w:ind w:left="720"/>
        <w:jc w:val="both"/>
        <w:rPr>
          <w:rFonts w:ascii="Palatino Linotype" w:hAnsi="Palatino Linotype"/>
          <w:b/>
          <w:lang w:val="es-MX" w:eastAsia="en-US"/>
        </w:rPr>
      </w:pPr>
      <w:r w:rsidRPr="007B26FF">
        <w:rPr>
          <w:rFonts w:ascii="Palatino Linotype" w:hAnsi="Palatino Linotype"/>
          <w:b/>
          <w:lang w:val="es-MX" w:eastAsia="en-US"/>
        </w:rPr>
        <w:t xml:space="preserve">De la gratuidad de la </w:t>
      </w:r>
      <w:r w:rsidRPr="007B26FF">
        <w:rPr>
          <w:rFonts w:ascii="Palatino Linotype" w:hAnsi="Palatino Linotype"/>
          <w:b/>
        </w:rPr>
        <w:t>información pública y sus costos de reproducción</w:t>
      </w:r>
    </w:p>
    <w:p w14:paraId="4A2FB116" w14:textId="77777777" w:rsidR="00F917C7" w:rsidRPr="007B26FF" w:rsidRDefault="00F917C7" w:rsidP="00F917C7">
      <w:pPr>
        <w:pStyle w:val="Prrafodelista"/>
        <w:spacing w:line="360" w:lineRule="auto"/>
        <w:jc w:val="both"/>
        <w:rPr>
          <w:rFonts w:ascii="Palatino Linotype" w:hAnsi="Palatino Linotype"/>
          <w:b/>
          <w:lang w:val="es-MX" w:eastAsia="en-US"/>
        </w:rPr>
      </w:pPr>
    </w:p>
    <w:p w14:paraId="20490B9E" w14:textId="6AEC58D6" w:rsidR="00F917C7" w:rsidRPr="007B26FF" w:rsidRDefault="00F917C7" w:rsidP="00F917C7">
      <w:pPr>
        <w:pStyle w:val="Prrafodelista"/>
        <w:numPr>
          <w:ilvl w:val="0"/>
          <w:numId w:val="1"/>
        </w:numPr>
        <w:spacing w:line="360" w:lineRule="auto"/>
        <w:ind w:left="0" w:firstLine="0"/>
        <w:jc w:val="both"/>
        <w:rPr>
          <w:rFonts w:ascii="Palatino Linotype" w:hAnsi="Palatino Linotype"/>
          <w:lang w:val="es-MX" w:eastAsia="en-US"/>
        </w:rPr>
      </w:pPr>
      <w:r w:rsidRPr="007B26FF">
        <w:rPr>
          <w:rFonts w:ascii="Palatino Linotype" w:hAnsi="Palatino Linotype"/>
        </w:rPr>
        <w:t xml:space="preserve">En tal contexto, y del análisis de las constancias que integran el expediente en que se actúa, así como de la materia sobre la que versa la solicitud de acceso a la información pública, se advierte que las razones o motivos de inconformidad devienen fundadas, en razón de que el Sujeto Obligado no proporcionó la información que le fue requerida, a pesar de haber reconocido que cuenta con ella, por tal motivo el derecho de acceso de la parte hoy recurrente no ha quedado </w:t>
      </w:r>
      <w:r w:rsidRPr="007B26FF">
        <w:rPr>
          <w:rFonts w:ascii="Palatino Linotype" w:hAnsi="Palatino Linotype"/>
        </w:rPr>
        <w:lastRenderedPageBreak/>
        <w:t>colmado, toda vez que el Sujeto Obligado condicionó la entrega de dicha información a la realización de un pago por concepto de derechos de escaneo o digitalización, en virtud de que manifestó que la información no se encuentra escaneada o digitalizada, toda vez que la ley no le obliga a tener dicha información en ese estado de manera inmediata.</w:t>
      </w:r>
    </w:p>
    <w:p w14:paraId="0818FE09" w14:textId="77777777" w:rsidR="00F917C7" w:rsidRPr="007B26FF" w:rsidRDefault="00F917C7" w:rsidP="00F917C7">
      <w:pPr>
        <w:pStyle w:val="Prrafodelista"/>
        <w:spacing w:line="360" w:lineRule="auto"/>
        <w:ind w:left="0"/>
        <w:jc w:val="both"/>
        <w:rPr>
          <w:rFonts w:ascii="Palatino Linotype" w:hAnsi="Palatino Linotype"/>
          <w:lang w:val="es-MX" w:eastAsia="en-US"/>
        </w:rPr>
      </w:pPr>
    </w:p>
    <w:p w14:paraId="06BD6D87" w14:textId="77777777" w:rsidR="00F917C7" w:rsidRPr="007B26FF" w:rsidRDefault="00F917C7" w:rsidP="00F917C7">
      <w:pPr>
        <w:pStyle w:val="Prrafodelista"/>
        <w:numPr>
          <w:ilvl w:val="0"/>
          <w:numId w:val="1"/>
        </w:numPr>
        <w:spacing w:line="360" w:lineRule="auto"/>
        <w:ind w:left="0" w:firstLine="0"/>
        <w:jc w:val="both"/>
        <w:rPr>
          <w:rFonts w:ascii="Palatino Linotype" w:hAnsi="Palatino Linotype"/>
          <w:lang w:val="es-MX" w:eastAsia="en-US"/>
        </w:rPr>
      </w:pPr>
      <w:r w:rsidRPr="007B26FF">
        <w:rPr>
          <w:rFonts w:ascii="Palatino Linotype" w:hAnsi="Palatino Linotype"/>
        </w:rPr>
        <w:t>Al respecto, debemos partir de la premisa de que el ejercicio del derecho de acceso a la información, conlleva la observancia de  principios rectores que consisten en las bases, fundamentos o los parámetros fundamentales que permitan el ejercicio de la garantía que posee toda persona para atraerse de información, informar y ser informada, estableciéndose de manera genérica, los principios de acceso universal, de máxima publicidad, de</w:t>
      </w:r>
      <w:r w:rsidRPr="007B26FF">
        <w:rPr>
          <w:rFonts w:ascii="Palatino Linotype" w:hAnsi="Palatino Linotype"/>
          <w:b/>
          <w:i/>
        </w:rPr>
        <w:t xml:space="preserve"> gratuidad</w:t>
      </w:r>
      <w:r w:rsidRPr="007B26FF">
        <w:rPr>
          <w:rFonts w:ascii="Palatino Linotype" w:hAnsi="Palatino Linotype"/>
        </w:rPr>
        <w:t>, de certeza, de celeridad, de objetividad,  entre otros.</w:t>
      </w:r>
    </w:p>
    <w:p w14:paraId="2C1F869F" w14:textId="77777777" w:rsidR="00F917C7" w:rsidRPr="007B26FF" w:rsidRDefault="00F917C7" w:rsidP="00F917C7">
      <w:pPr>
        <w:pStyle w:val="Prrafodelista"/>
        <w:rPr>
          <w:rFonts w:ascii="Palatino Linotype" w:hAnsi="Palatino Linotype"/>
        </w:rPr>
      </w:pPr>
    </w:p>
    <w:p w14:paraId="15C47A34" w14:textId="77777777" w:rsidR="00F917C7" w:rsidRPr="007B26FF" w:rsidRDefault="00F917C7" w:rsidP="00F917C7">
      <w:pPr>
        <w:pStyle w:val="Prrafodelista"/>
        <w:numPr>
          <w:ilvl w:val="0"/>
          <w:numId w:val="1"/>
        </w:numPr>
        <w:spacing w:line="360" w:lineRule="auto"/>
        <w:ind w:left="0" w:firstLine="0"/>
        <w:jc w:val="both"/>
        <w:rPr>
          <w:rFonts w:ascii="Palatino Linotype" w:hAnsi="Palatino Linotype"/>
          <w:lang w:val="es-MX" w:eastAsia="en-US"/>
        </w:rPr>
      </w:pPr>
      <w:r w:rsidRPr="007B26FF">
        <w:rPr>
          <w:rFonts w:ascii="Palatino Linotype" w:hAnsi="Palatino Linotype"/>
        </w:rPr>
        <w:t>Así, a través del principio de gratuidad del acceso a la información pública, se busca que el mayor número posible de personas pueda ejercer el derecho fundamental de acceso a la información, con la finalidad de que la condición económica de las personas, no constituya un obstáculo para el ejercicio de acceso a la información, o bien y en virtud de la modalidad de acceso a la información solicitada, su costo represente una barrera fácilmente franqueable.</w:t>
      </w:r>
    </w:p>
    <w:p w14:paraId="2D90DC35" w14:textId="77777777" w:rsidR="00F917C7" w:rsidRPr="007B26FF" w:rsidRDefault="00F917C7" w:rsidP="00F917C7">
      <w:pPr>
        <w:pStyle w:val="Prrafodelista"/>
        <w:rPr>
          <w:rFonts w:ascii="Palatino Linotype" w:hAnsi="Palatino Linotype"/>
        </w:rPr>
      </w:pPr>
    </w:p>
    <w:p w14:paraId="2E1FBFFA" w14:textId="77777777" w:rsidR="00F917C7" w:rsidRPr="007B26FF" w:rsidRDefault="00F917C7" w:rsidP="00F917C7">
      <w:pPr>
        <w:pStyle w:val="Prrafodelista"/>
        <w:numPr>
          <w:ilvl w:val="0"/>
          <w:numId w:val="1"/>
        </w:numPr>
        <w:spacing w:line="360" w:lineRule="auto"/>
        <w:ind w:left="0" w:firstLine="0"/>
        <w:jc w:val="both"/>
        <w:rPr>
          <w:rFonts w:ascii="Palatino Linotype" w:hAnsi="Palatino Linotype"/>
          <w:lang w:val="es-MX" w:eastAsia="en-US"/>
        </w:rPr>
      </w:pPr>
      <w:r w:rsidRPr="007B26FF">
        <w:rPr>
          <w:rFonts w:ascii="Palatino Linotype" w:hAnsi="Palatino Linotype"/>
        </w:rPr>
        <w:t xml:space="preserve">Debido a este principio, se instituye que la consulta de documentos o información en el sitio donde se encontrare no tendrá costo alguno; asimismo, los </w:t>
      </w:r>
      <w:r w:rsidRPr="007B26FF">
        <w:rPr>
          <w:rFonts w:ascii="Palatino Linotype" w:hAnsi="Palatino Linotype"/>
        </w:rPr>
        <w:lastRenderedPageBreak/>
        <w:t xml:space="preserve">costos por obtener información no podrán ser superiores a la suma del costo de los materiales utilizados para la </w:t>
      </w:r>
      <w:r w:rsidRPr="007B26FF">
        <w:rPr>
          <w:rFonts w:ascii="Palatino Linotype" w:hAnsi="Palatino Linotype"/>
          <w:b/>
          <w:i/>
        </w:rPr>
        <w:t xml:space="preserve">reproducción </w:t>
      </w:r>
      <w:r w:rsidRPr="007B26FF">
        <w:rPr>
          <w:rFonts w:ascii="Palatino Linotype" w:hAnsi="Palatino Linotype"/>
        </w:rPr>
        <w:t xml:space="preserve">de la información, y en su caso del costo de </w:t>
      </w:r>
      <w:r w:rsidRPr="007B26FF">
        <w:rPr>
          <w:rFonts w:ascii="Palatino Linotype" w:hAnsi="Palatino Linotype"/>
          <w:b/>
          <w:i/>
        </w:rPr>
        <w:t>envío</w:t>
      </w:r>
      <w:r w:rsidRPr="007B26FF">
        <w:rPr>
          <w:rFonts w:ascii="Palatino Linotype" w:hAnsi="Palatino Linotype"/>
        </w:rPr>
        <w:t>, finalmente, conlleva implícitamente un esfuerzo por parte de los Sujetos Obligados para reducir los costos de entrega de la información.</w:t>
      </w:r>
    </w:p>
    <w:p w14:paraId="1314A653" w14:textId="77777777" w:rsidR="00F917C7" w:rsidRPr="007B26FF" w:rsidRDefault="00F917C7" w:rsidP="00F917C7">
      <w:pPr>
        <w:pStyle w:val="Prrafodelista"/>
        <w:rPr>
          <w:rFonts w:ascii="Palatino Linotype" w:hAnsi="Palatino Linotype"/>
        </w:rPr>
      </w:pPr>
    </w:p>
    <w:p w14:paraId="6B54E615" w14:textId="77777777" w:rsidR="00F917C7" w:rsidRPr="007B26FF" w:rsidRDefault="00F917C7" w:rsidP="00F917C7">
      <w:pPr>
        <w:pStyle w:val="Prrafodelista"/>
        <w:numPr>
          <w:ilvl w:val="0"/>
          <w:numId w:val="1"/>
        </w:numPr>
        <w:spacing w:line="360" w:lineRule="auto"/>
        <w:ind w:left="0" w:firstLine="0"/>
        <w:jc w:val="both"/>
        <w:rPr>
          <w:rFonts w:ascii="Palatino Linotype" w:hAnsi="Palatino Linotype"/>
          <w:lang w:val="es-MX" w:eastAsia="en-US"/>
        </w:rPr>
      </w:pPr>
      <w:r w:rsidRPr="007B26FF">
        <w:rPr>
          <w:rFonts w:ascii="Palatino Linotype" w:hAnsi="Palatino Linotype"/>
        </w:rPr>
        <w:t xml:space="preserve">Atento a lo anterior, nuestra Carta Magna, así como la Constitución Política de nuestro Estado, contemplan el ejercicio del derecho de acceso a la información bajo el principio de gratuidad, </w:t>
      </w:r>
      <w:r w:rsidRPr="007B26FF">
        <w:rPr>
          <w:rFonts w:ascii="Palatino Linotype" w:hAnsi="Palatino Linotype" w:cs="Arial"/>
          <w:sz w:val="23"/>
          <w:szCs w:val="23"/>
        </w:rPr>
        <w:t>garantizando la protección a un derecho fundamental que tienen dimensión social, al ser un condicionante necesario para el funcionamiento de una sociedad democrática, por lo que cualquier afectación a éste exige una justificación y jamás puede tener efectos recaudatorios, al menos que la reproducción de la información sea en fotocopias, respaldos informativos, entre otros.</w:t>
      </w:r>
    </w:p>
    <w:p w14:paraId="330BA153" w14:textId="77777777" w:rsidR="00F917C7" w:rsidRPr="007B26FF" w:rsidRDefault="00F917C7" w:rsidP="00F917C7">
      <w:pPr>
        <w:pStyle w:val="Prrafodelista"/>
        <w:rPr>
          <w:rFonts w:ascii="Palatino Linotype" w:hAnsi="Palatino Linotype"/>
        </w:rPr>
      </w:pPr>
    </w:p>
    <w:p w14:paraId="1C309D44" w14:textId="100DF0B4" w:rsidR="00F917C7" w:rsidRPr="007B26FF" w:rsidRDefault="00F917C7" w:rsidP="00F917C7">
      <w:pPr>
        <w:pStyle w:val="Prrafodelista"/>
        <w:numPr>
          <w:ilvl w:val="0"/>
          <w:numId w:val="1"/>
        </w:numPr>
        <w:spacing w:line="360" w:lineRule="auto"/>
        <w:ind w:left="0" w:firstLine="0"/>
        <w:jc w:val="both"/>
        <w:rPr>
          <w:rFonts w:ascii="Palatino Linotype" w:hAnsi="Palatino Linotype"/>
          <w:lang w:val="es-MX" w:eastAsia="en-US"/>
        </w:rPr>
      </w:pPr>
      <w:r w:rsidRPr="007B26FF">
        <w:rPr>
          <w:rFonts w:ascii="Palatino Linotype" w:hAnsi="Palatino Linotype"/>
        </w:rPr>
        <w:t xml:space="preserve">Por otra parte, la ley </w:t>
      </w:r>
      <w:r w:rsidRPr="007B26FF">
        <w:rPr>
          <w:rFonts w:ascii="Palatino Linotype" w:hAnsi="Palatino Linotype" w:cs="Arial"/>
          <w:sz w:val="23"/>
          <w:szCs w:val="23"/>
        </w:rPr>
        <w:t xml:space="preserve">de Transparencia y Acceso a la Información Pública del Estado de México y Municipios, que tiene entre sus objetivos el de proveer lo necesario para garantizar a toda persona el derecho de acceso a la información pública, a través de procedimientos sencillos, expeditos, oportunos y </w:t>
      </w:r>
      <w:r w:rsidRPr="007B26FF">
        <w:rPr>
          <w:rFonts w:ascii="Palatino Linotype" w:hAnsi="Palatino Linotype" w:cs="Arial"/>
          <w:i/>
          <w:sz w:val="23"/>
          <w:szCs w:val="23"/>
        </w:rPr>
        <w:t>gratuitos</w:t>
      </w:r>
      <w:r w:rsidRPr="007B26FF">
        <w:rPr>
          <w:rFonts w:ascii="Palatino Linotype" w:hAnsi="Palatino Linotype" w:cs="Arial"/>
          <w:b/>
          <w:sz w:val="23"/>
          <w:szCs w:val="23"/>
        </w:rPr>
        <w:t xml:space="preserve">, </w:t>
      </w:r>
      <w:r w:rsidRPr="007B26FF">
        <w:rPr>
          <w:rFonts w:ascii="Palatino Linotype" w:hAnsi="Palatino Linotype" w:cs="Arial"/>
          <w:sz w:val="23"/>
          <w:szCs w:val="23"/>
        </w:rPr>
        <w:t xml:space="preserve"> refiere en los artículos 17 y 150, que la búsqueda y acceso a la información es gratuita y </w:t>
      </w:r>
      <w:r w:rsidRPr="007B26FF">
        <w:rPr>
          <w:rFonts w:ascii="Palatino Linotype" w:hAnsi="Palatino Linotype" w:cs="Arial"/>
          <w:b/>
          <w:i/>
          <w:sz w:val="23"/>
          <w:szCs w:val="23"/>
        </w:rPr>
        <w:t>sólo se cubrirá en su caso, los gastos de reproducción</w:t>
      </w:r>
      <w:r w:rsidRPr="007B26FF">
        <w:rPr>
          <w:rFonts w:ascii="Palatino Linotype" w:hAnsi="Palatino Linotype" w:cs="Arial"/>
          <w:sz w:val="23"/>
          <w:szCs w:val="23"/>
        </w:rPr>
        <w:t xml:space="preserve">, por la modalidad de entrega solicitada, </w:t>
      </w:r>
      <w:r w:rsidRPr="007B26FF">
        <w:rPr>
          <w:rFonts w:ascii="Palatino Linotype" w:hAnsi="Palatino Linotype" w:cs="Arial"/>
          <w:b/>
          <w:i/>
          <w:sz w:val="23"/>
          <w:szCs w:val="23"/>
        </w:rPr>
        <w:t xml:space="preserve">o por </w:t>
      </w:r>
      <w:proofErr w:type="spellStart"/>
      <w:r w:rsidRPr="007B26FF">
        <w:rPr>
          <w:rFonts w:ascii="Palatino Linotype" w:hAnsi="Palatino Linotype" w:cs="Arial"/>
          <w:b/>
          <w:i/>
          <w:sz w:val="23"/>
          <w:szCs w:val="23"/>
        </w:rPr>
        <w:t>el</w:t>
      </w:r>
      <w:proofErr w:type="spellEnd"/>
      <w:r w:rsidRPr="007B26FF">
        <w:rPr>
          <w:rFonts w:ascii="Palatino Linotype" w:hAnsi="Palatino Linotype" w:cs="Arial"/>
          <w:b/>
          <w:i/>
          <w:sz w:val="23"/>
          <w:szCs w:val="23"/>
        </w:rPr>
        <w:t xml:space="preserve"> envió</w:t>
      </w:r>
      <w:r w:rsidRPr="007B26FF">
        <w:rPr>
          <w:rFonts w:ascii="Palatino Linotype" w:hAnsi="Palatino Linotype" w:cs="Arial"/>
          <w:sz w:val="23"/>
          <w:szCs w:val="23"/>
        </w:rPr>
        <w:t xml:space="preserve"> de conformidad con los derechos, productos y aprovechamientos establecidos en la legislación aplicable, en razón de que el procedimiento de acceso a la información es la garantía primaria del derecho en cuestión y </w:t>
      </w:r>
      <w:r w:rsidRPr="007B26FF">
        <w:rPr>
          <w:rFonts w:ascii="Palatino Linotype" w:hAnsi="Palatino Linotype" w:cs="Arial"/>
          <w:i/>
          <w:sz w:val="23"/>
          <w:szCs w:val="23"/>
        </w:rPr>
        <w:t>se rige por los principios de simplicidad, rapidez, gratuidad,</w:t>
      </w:r>
      <w:r w:rsidRPr="007B26FF">
        <w:rPr>
          <w:rFonts w:ascii="Palatino Linotype" w:hAnsi="Palatino Linotype" w:cs="Arial"/>
          <w:sz w:val="23"/>
          <w:szCs w:val="23"/>
        </w:rPr>
        <w:t xml:space="preserve"> auxilio y orientación a los particulares, en virtud de que constituye el primer </w:t>
      </w:r>
      <w:r w:rsidRPr="007B26FF">
        <w:rPr>
          <w:rFonts w:ascii="Palatino Linotype" w:hAnsi="Palatino Linotype" w:cs="Arial"/>
          <w:sz w:val="23"/>
          <w:szCs w:val="23"/>
        </w:rPr>
        <w:lastRenderedPageBreak/>
        <w:t>paso para integrar activamente a la ciudadanía en la acción gubernamental, toda vez que con la información proporcionada por medio de las políticas de transparencia, los ciudadanos son participes de las acciones realizadas por los entes públicos, lo que favorece la rendición de cuentas.</w:t>
      </w:r>
    </w:p>
    <w:p w14:paraId="01D7E94F" w14:textId="77777777" w:rsidR="00F917C7" w:rsidRPr="007B26FF" w:rsidRDefault="00F917C7" w:rsidP="00F917C7">
      <w:pPr>
        <w:pStyle w:val="Prrafodelista"/>
        <w:spacing w:line="360" w:lineRule="auto"/>
        <w:ind w:left="0"/>
        <w:jc w:val="both"/>
        <w:rPr>
          <w:rFonts w:ascii="Palatino Linotype" w:hAnsi="Palatino Linotype"/>
          <w:lang w:val="es-MX" w:eastAsia="en-US"/>
        </w:rPr>
      </w:pPr>
    </w:p>
    <w:p w14:paraId="49BBB24E" w14:textId="77777777" w:rsidR="00F917C7" w:rsidRPr="007B26FF" w:rsidRDefault="00F917C7" w:rsidP="00F917C7">
      <w:pPr>
        <w:pStyle w:val="Prrafodelista"/>
        <w:numPr>
          <w:ilvl w:val="0"/>
          <w:numId w:val="1"/>
        </w:numPr>
        <w:spacing w:line="360" w:lineRule="auto"/>
        <w:ind w:left="0" w:firstLine="0"/>
        <w:jc w:val="both"/>
        <w:rPr>
          <w:rFonts w:ascii="Palatino Linotype" w:hAnsi="Palatino Linotype"/>
          <w:lang w:val="es-MX" w:eastAsia="en-US"/>
        </w:rPr>
      </w:pPr>
      <w:r w:rsidRPr="007B26FF">
        <w:rPr>
          <w:rFonts w:ascii="Palatino Linotype" w:hAnsi="Palatino Linotype" w:cs="Arial"/>
          <w:sz w:val="23"/>
          <w:szCs w:val="23"/>
        </w:rPr>
        <w:t xml:space="preserve">En este tenor, por regla general la entrega de la información que se solicite en ejercicio del derecho de acceso a la información pública, deberá ser en congruencia con el principio de gratuidad y solamente en casos excepcionales se procederá al cobro para la entrega de la información, lo cual ocurrirá  </w:t>
      </w:r>
      <w:r w:rsidRPr="007B26FF">
        <w:rPr>
          <w:rFonts w:ascii="Palatino Linotype" w:hAnsi="Palatino Linotype" w:cs="Arial"/>
          <w:b/>
          <w:i/>
          <w:sz w:val="23"/>
          <w:szCs w:val="23"/>
        </w:rPr>
        <w:t>en caso de que se tenga que generar un gasto por la reproducción, por el envío, o por la modalidad de entrega solicitada,</w:t>
      </w:r>
      <w:r w:rsidRPr="007B26FF">
        <w:rPr>
          <w:rFonts w:ascii="Palatino Linotype" w:hAnsi="Palatino Linotype" w:cs="Arial"/>
          <w:sz w:val="23"/>
          <w:szCs w:val="23"/>
        </w:rPr>
        <w:t xml:space="preserve"> supuestos que encuadran con lo  establecido en los artículos 9 fracción III, 17, 165, 174, 175 de la Ley de Acceso a la Información Pública del Estado de México y Municipios, así como el artículo 4.22 de su Reglamento, mismos que fueron utilizados como fundamento por el Sujeto Obligado para solicitar el pago y proceder a la entrega de la información.</w:t>
      </w:r>
    </w:p>
    <w:p w14:paraId="40B43F0A" w14:textId="77777777" w:rsidR="00F917C7" w:rsidRPr="007B26FF" w:rsidRDefault="00F917C7" w:rsidP="00F917C7">
      <w:pPr>
        <w:pStyle w:val="Prrafodelista"/>
        <w:rPr>
          <w:rFonts w:ascii="Palatino Linotype" w:hAnsi="Palatino Linotype" w:cs="Arial"/>
          <w:sz w:val="23"/>
          <w:szCs w:val="23"/>
        </w:rPr>
      </w:pPr>
    </w:p>
    <w:p w14:paraId="2ECFF6B6" w14:textId="77777777" w:rsidR="00F917C7" w:rsidRPr="007B26FF" w:rsidRDefault="00F917C7" w:rsidP="00F917C7">
      <w:pPr>
        <w:pStyle w:val="Prrafodelista"/>
        <w:numPr>
          <w:ilvl w:val="0"/>
          <w:numId w:val="1"/>
        </w:numPr>
        <w:spacing w:line="360" w:lineRule="auto"/>
        <w:ind w:left="0" w:firstLine="0"/>
        <w:jc w:val="both"/>
        <w:rPr>
          <w:rFonts w:ascii="Palatino Linotype" w:hAnsi="Palatino Linotype"/>
          <w:lang w:val="es-MX" w:eastAsia="en-US"/>
        </w:rPr>
      </w:pPr>
      <w:r w:rsidRPr="007B26FF">
        <w:rPr>
          <w:rFonts w:ascii="Palatino Linotype" w:hAnsi="Palatino Linotype" w:cs="Arial"/>
          <w:sz w:val="23"/>
          <w:szCs w:val="23"/>
        </w:rPr>
        <w:t xml:space="preserve">No obstante, dichos preceptos son interpretados en perjuicio de la solicitante, como se explica enseguida, para lo cual es necesario hacer referencia a los mimos en su parte conducente a saber: </w:t>
      </w:r>
    </w:p>
    <w:p w14:paraId="7B38793C" w14:textId="0840C646" w:rsidR="00F917C7" w:rsidRPr="007B26FF" w:rsidRDefault="00F917C7" w:rsidP="00831F0C">
      <w:pPr>
        <w:pStyle w:val="Prrafodelista"/>
        <w:spacing w:line="276" w:lineRule="auto"/>
        <w:rPr>
          <w:rFonts w:ascii="Palatino Linotype" w:hAnsi="Palatino Linotype"/>
          <w:szCs w:val="22"/>
        </w:rPr>
      </w:pPr>
    </w:p>
    <w:p w14:paraId="69860980" w14:textId="77777777" w:rsidR="00F917C7" w:rsidRPr="007B26FF" w:rsidRDefault="00F917C7" w:rsidP="00831F0C">
      <w:pPr>
        <w:spacing w:after="120" w:line="276" w:lineRule="auto"/>
        <w:ind w:left="851" w:right="902"/>
        <w:jc w:val="both"/>
        <w:rPr>
          <w:rFonts w:ascii="Palatino Linotype" w:eastAsiaTheme="minorEastAsia" w:hAnsi="Palatino Linotype" w:cs="Arial"/>
          <w:i/>
          <w:sz w:val="22"/>
          <w:szCs w:val="22"/>
          <w:lang w:val="es-MX"/>
        </w:rPr>
      </w:pPr>
      <w:r w:rsidRPr="007B26FF">
        <w:rPr>
          <w:rFonts w:ascii="Palatino Linotype" w:eastAsiaTheme="minorEastAsia" w:hAnsi="Palatino Linotype" w:cs="Arial"/>
          <w:b/>
          <w:bCs/>
          <w:i/>
          <w:sz w:val="22"/>
          <w:szCs w:val="22"/>
          <w:lang w:val="es-MX"/>
        </w:rPr>
        <w:t xml:space="preserve">“Artículo 9. </w:t>
      </w:r>
      <w:r w:rsidRPr="007B26FF">
        <w:rPr>
          <w:rFonts w:ascii="Palatino Linotype" w:eastAsiaTheme="minorEastAsia" w:hAnsi="Palatino Linotype" w:cs="Arial"/>
          <w:i/>
          <w:sz w:val="22"/>
          <w:szCs w:val="22"/>
          <w:lang w:val="es-MX"/>
        </w:rPr>
        <w:t>El Instituto deberá regir su funcionamiento de acuerdo a los siguientes principios:</w:t>
      </w:r>
    </w:p>
    <w:p w14:paraId="562772F4" w14:textId="77777777" w:rsidR="00F917C7" w:rsidRPr="007B26FF" w:rsidRDefault="00F917C7" w:rsidP="00831F0C">
      <w:pPr>
        <w:autoSpaceDE w:val="0"/>
        <w:autoSpaceDN w:val="0"/>
        <w:adjustRightInd w:val="0"/>
        <w:spacing w:after="120" w:line="276" w:lineRule="auto"/>
        <w:ind w:left="1134" w:right="902"/>
        <w:jc w:val="both"/>
        <w:rPr>
          <w:rFonts w:ascii="Palatino Linotype" w:eastAsiaTheme="minorEastAsia" w:hAnsi="Palatino Linotype" w:cs="Arial"/>
          <w:b/>
          <w:bCs/>
          <w:i/>
          <w:sz w:val="22"/>
          <w:szCs w:val="22"/>
          <w:lang w:val="es-MX"/>
        </w:rPr>
      </w:pPr>
      <w:r w:rsidRPr="007B26FF">
        <w:rPr>
          <w:rFonts w:ascii="Palatino Linotype" w:eastAsiaTheme="minorEastAsia" w:hAnsi="Palatino Linotype" w:cs="Arial"/>
          <w:b/>
          <w:bCs/>
          <w:i/>
          <w:sz w:val="22"/>
          <w:szCs w:val="22"/>
          <w:lang w:val="es-MX"/>
        </w:rPr>
        <w:t>...</w:t>
      </w:r>
    </w:p>
    <w:p w14:paraId="4271D35B" w14:textId="77777777" w:rsidR="00F917C7" w:rsidRPr="007B26FF" w:rsidRDefault="00F917C7" w:rsidP="00831F0C">
      <w:pPr>
        <w:autoSpaceDE w:val="0"/>
        <w:autoSpaceDN w:val="0"/>
        <w:adjustRightInd w:val="0"/>
        <w:spacing w:after="120" w:line="276" w:lineRule="auto"/>
        <w:ind w:left="1134" w:right="902"/>
        <w:jc w:val="both"/>
        <w:rPr>
          <w:rFonts w:ascii="Palatino Linotype" w:eastAsiaTheme="minorEastAsia" w:hAnsi="Palatino Linotype" w:cs="Arial"/>
          <w:i/>
          <w:sz w:val="22"/>
          <w:szCs w:val="22"/>
          <w:lang w:val="es-MX"/>
        </w:rPr>
      </w:pPr>
      <w:r w:rsidRPr="007B26FF">
        <w:rPr>
          <w:rFonts w:ascii="Palatino Linotype" w:eastAsiaTheme="minorEastAsia" w:hAnsi="Palatino Linotype" w:cs="Arial"/>
          <w:b/>
          <w:bCs/>
          <w:i/>
          <w:sz w:val="22"/>
          <w:szCs w:val="22"/>
          <w:lang w:val="es-MX"/>
        </w:rPr>
        <w:lastRenderedPageBreak/>
        <w:t xml:space="preserve">III. Gratuidad: </w:t>
      </w:r>
      <w:r w:rsidRPr="007B26FF">
        <w:rPr>
          <w:rFonts w:ascii="Palatino Linotype" w:eastAsiaTheme="minorEastAsia" w:hAnsi="Palatino Linotype" w:cs="Arial"/>
          <w:i/>
          <w:sz w:val="22"/>
          <w:szCs w:val="22"/>
          <w:lang w:val="es-MX"/>
        </w:rPr>
        <w:t xml:space="preserve">Consiste en que el acceso a la información pública no genera costo alguno para los solicitantes, </w:t>
      </w:r>
      <w:r w:rsidRPr="007B26FF">
        <w:rPr>
          <w:rFonts w:ascii="Palatino Linotype" w:eastAsiaTheme="minorEastAsia" w:hAnsi="Palatino Linotype" w:cs="Arial"/>
          <w:b/>
          <w:i/>
          <w:sz w:val="22"/>
          <w:szCs w:val="22"/>
          <w:lang w:val="es-MX"/>
        </w:rPr>
        <w:t xml:space="preserve">sólo podrá requerirse el cobro correspondiente a la modalidad de reproducción y entrega solicitada </w:t>
      </w:r>
      <w:r w:rsidRPr="007B26FF">
        <w:rPr>
          <w:rFonts w:ascii="Palatino Linotype" w:eastAsiaTheme="minorEastAsia" w:hAnsi="Palatino Linotype" w:cs="Arial"/>
          <w:i/>
          <w:sz w:val="22"/>
          <w:szCs w:val="22"/>
          <w:lang w:val="es-MX"/>
        </w:rPr>
        <w:t>conforme a lo establecido en la presente Ley y demás disposiciones jurídicas aplicables;</w:t>
      </w:r>
    </w:p>
    <w:p w14:paraId="23C6264C" w14:textId="77777777" w:rsidR="00F917C7" w:rsidRPr="007B26FF" w:rsidRDefault="00F917C7" w:rsidP="00831F0C">
      <w:pPr>
        <w:autoSpaceDE w:val="0"/>
        <w:autoSpaceDN w:val="0"/>
        <w:adjustRightInd w:val="0"/>
        <w:spacing w:after="120" w:line="276" w:lineRule="auto"/>
        <w:ind w:left="851" w:right="902"/>
        <w:jc w:val="both"/>
        <w:rPr>
          <w:rFonts w:ascii="Palatino Linotype" w:eastAsiaTheme="minorEastAsia" w:hAnsi="Palatino Linotype" w:cs="Arial"/>
          <w:i/>
          <w:sz w:val="22"/>
          <w:szCs w:val="22"/>
          <w:lang w:val="es-MX"/>
        </w:rPr>
      </w:pPr>
      <w:r w:rsidRPr="007B26FF">
        <w:rPr>
          <w:rFonts w:ascii="Palatino Linotype" w:eastAsiaTheme="minorEastAsia" w:hAnsi="Palatino Linotype" w:cs="Arial"/>
          <w:i/>
          <w:sz w:val="22"/>
          <w:szCs w:val="22"/>
          <w:lang w:val="es-MX"/>
        </w:rPr>
        <w:t>(…)</w:t>
      </w:r>
    </w:p>
    <w:p w14:paraId="03B7FC18" w14:textId="77777777" w:rsidR="00F917C7" w:rsidRPr="007B26FF" w:rsidRDefault="00F917C7" w:rsidP="00831F0C">
      <w:pPr>
        <w:autoSpaceDE w:val="0"/>
        <w:autoSpaceDN w:val="0"/>
        <w:adjustRightInd w:val="0"/>
        <w:spacing w:after="120" w:line="276" w:lineRule="auto"/>
        <w:ind w:left="851" w:right="902"/>
        <w:jc w:val="both"/>
        <w:rPr>
          <w:rFonts w:ascii="Palatino Linotype" w:eastAsiaTheme="minorEastAsia" w:hAnsi="Palatino Linotype" w:cs="Arial"/>
          <w:i/>
          <w:sz w:val="22"/>
          <w:szCs w:val="22"/>
          <w:lang w:val="es-MX"/>
        </w:rPr>
      </w:pPr>
      <w:r w:rsidRPr="007B26FF">
        <w:rPr>
          <w:rFonts w:ascii="Palatino Linotype" w:eastAsiaTheme="minorEastAsia" w:hAnsi="Palatino Linotype" w:cs="Arial"/>
          <w:b/>
          <w:bCs/>
          <w:i/>
          <w:sz w:val="22"/>
          <w:szCs w:val="22"/>
          <w:lang w:val="es-MX"/>
        </w:rPr>
        <w:t xml:space="preserve">Artículo 17. </w:t>
      </w:r>
      <w:r w:rsidRPr="007B26FF">
        <w:rPr>
          <w:rFonts w:ascii="Palatino Linotype" w:eastAsiaTheme="minorEastAsia" w:hAnsi="Palatino Linotype" w:cs="Arial"/>
          <w:i/>
          <w:sz w:val="22"/>
          <w:szCs w:val="22"/>
          <w:lang w:val="es-MX"/>
        </w:rPr>
        <w:t xml:space="preserve">La búsqueda y acceso a la información es gratuita y </w:t>
      </w:r>
      <w:r w:rsidRPr="007B26FF">
        <w:rPr>
          <w:rFonts w:ascii="Palatino Linotype" w:eastAsiaTheme="minorEastAsia" w:hAnsi="Palatino Linotype" w:cs="Arial"/>
          <w:b/>
          <w:i/>
          <w:sz w:val="22"/>
          <w:szCs w:val="22"/>
          <w:lang w:val="es-MX"/>
        </w:rPr>
        <w:t>solo se cubrirán los gastos de reproducción, o por la modalidad de entrega solicitada</w:t>
      </w:r>
      <w:r w:rsidRPr="007B26FF">
        <w:rPr>
          <w:rFonts w:ascii="Palatino Linotype" w:eastAsiaTheme="minorEastAsia" w:hAnsi="Palatino Linotype" w:cs="Arial"/>
          <w:i/>
          <w:sz w:val="22"/>
          <w:szCs w:val="22"/>
          <w:lang w:val="es-MX"/>
        </w:rPr>
        <w:t xml:space="preserve">, </w:t>
      </w:r>
      <w:r w:rsidRPr="007B26FF">
        <w:rPr>
          <w:rFonts w:ascii="Palatino Linotype" w:eastAsiaTheme="minorEastAsia" w:hAnsi="Palatino Linotype" w:cs="Arial"/>
          <w:b/>
          <w:i/>
          <w:sz w:val="22"/>
          <w:szCs w:val="22"/>
          <w:lang w:val="es-MX"/>
        </w:rPr>
        <w:t>así como por el envío</w:t>
      </w:r>
      <w:r w:rsidRPr="007B26FF">
        <w:rPr>
          <w:rFonts w:ascii="Palatino Linotype" w:eastAsiaTheme="minorEastAsia" w:hAnsi="Palatino Linotype" w:cs="Arial"/>
          <w:i/>
          <w:sz w:val="22"/>
          <w:szCs w:val="22"/>
          <w:lang w:val="es-MX"/>
        </w:rPr>
        <w:t>, que en su caso se genere, de conformidad con los derechos, productos y aprovechamientos establecidos en la legislación aplicable, sin que exceda de los límites establecidos en la presente Ley.</w:t>
      </w:r>
    </w:p>
    <w:p w14:paraId="444EC6F6" w14:textId="77777777" w:rsidR="00F917C7" w:rsidRPr="007B26FF" w:rsidRDefault="00F917C7" w:rsidP="00831F0C">
      <w:pPr>
        <w:autoSpaceDE w:val="0"/>
        <w:autoSpaceDN w:val="0"/>
        <w:adjustRightInd w:val="0"/>
        <w:spacing w:after="120" w:line="276" w:lineRule="auto"/>
        <w:ind w:left="851" w:right="902"/>
        <w:jc w:val="both"/>
        <w:rPr>
          <w:rFonts w:ascii="Palatino Linotype" w:eastAsiaTheme="minorEastAsia" w:hAnsi="Palatino Linotype" w:cs="Arial"/>
          <w:i/>
          <w:sz w:val="22"/>
          <w:szCs w:val="22"/>
          <w:lang w:val="es-MX"/>
        </w:rPr>
      </w:pPr>
      <w:r w:rsidRPr="007B26FF">
        <w:rPr>
          <w:rFonts w:ascii="Palatino Linotype" w:eastAsiaTheme="minorEastAsia" w:hAnsi="Palatino Linotype" w:cs="Arial"/>
          <w:i/>
          <w:sz w:val="22"/>
          <w:szCs w:val="22"/>
          <w:lang w:val="es-MX"/>
        </w:rPr>
        <w:t>(…)</w:t>
      </w:r>
    </w:p>
    <w:p w14:paraId="1D33A595" w14:textId="77777777" w:rsidR="00F917C7" w:rsidRPr="007B26FF" w:rsidRDefault="00F917C7" w:rsidP="00831F0C">
      <w:pPr>
        <w:autoSpaceDE w:val="0"/>
        <w:autoSpaceDN w:val="0"/>
        <w:adjustRightInd w:val="0"/>
        <w:spacing w:after="120" w:line="276" w:lineRule="auto"/>
        <w:ind w:left="851" w:right="902"/>
        <w:jc w:val="both"/>
        <w:rPr>
          <w:rFonts w:ascii="Palatino Linotype" w:eastAsiaTheme="minorEastAsia" w:hAnsi="Palatino Linotype" w:cs="Arial"/>
          <w:i/>
          <w:sz w:val="22"/>
          <w:szCs w:val="22"/>
          <w:lang w:val="es-MX"/>
        </w:rPr>
      </w:pPr>
      <w:r w:rsidRPr="007B26FF">
        <w:rPr>
          <w:rFonts w:ascii="Palatino Linotype" w:eastAsiaTheme="minorEastAsia" w:hAnsi="Palatino Linotype" w:cs="Arial"/>
          <w:b/>
          <w:bCs/>
          <w:i/>
          <w:sz w:val="22"/>
          <w:szCs w:val="22"/>
          <w:lang w:val="es-MX"/>
        </w:rPr>
        <w:t>Artículo 165. …</w:t>
      </w:r>
    </w:p>
    <w:p w14:paraId="61641347" w14:textId="77777777" w:rsidR="00F917C7" w:rsidRPr="007B26FF" w:rsidRDefault="00F917C7" w:rsidP="00831F0C">
      <w:pPr>
        <w:autoSpaceDE w:val="0"/>
        <w:autoSpaceDN w:val="0"/>
        <w:adjustRightInd w:val="0"/>
        <w:spacing w:after="120" w:line="276" w:lineRule="auto"/>
        <w:ind w:left="851" w:right="902"/>
        <w:jc w:val="both"/>
        <w:rPr>
          <w:rFonts w:ascii="Palatino Linotype" w:eastAsiaTheme="minorEastAsia" w:hAnsi="Palatino Linotype" w:cs="Arial"/>
          <w:i/>
          <w:sz w:val="22"/>
          <w:szCs w:val="22"/>
          <w:lang w:val="es-MX"/>
        </w:rPr>
      </w:pPr>
      <w:r w:rsidRPr="007B26FF">
        <w:rPr>
          <w:rFonts w:ascii="Palatino Linotype" w:eastAsiaTheme="minorEastAsia" w:hAnsi="Palatino Linotype" w:cs="Arial"/>
          <w:i/>
          <w:sz w:val="22"/>
          <w:szCs w:val="22"/>
          <w:lang w:val="es-MX"/>
        </w:rPr>
        <w:t xml:space="preserve">La información que se entregue en versión pública, </w:t>
      </w:r>
      <w:r w:rsidRPr="007B26FF">
        <w:rPr>
          <w:rFonts w:ascii="Palatino Linotype" w:eastAsiaTheme="minorEastAsia" w:hAnsi="Palatino Linotype" w:cs="Arial"/>
          <w:b/>
          <w:i/>
          <w:sz w:val="22"/>
          <w:szCs w:val="22"/>
          <w:lang w:val="es-MX"/>
        </w:rPr>
        <w:t xml:space="preserve">cuya modalidad de reproducción o envío tenga un costo, </w:t>
      </w:r>
      <w:r w:rsidRPr="007B26FF">
        <w:rPr>
          <w:rFonts w:ascii="Palatino Linotype" w:eastAsiaTheme="minorEastAsia" w:hAnsi="Palatino Linotype" w:cs="Arial"/>
          <w:i/>
          <w:sz w:val="22"/>
          <w:szCs w:val="22"/>
          <w:lang w:val="es-MX"/>
        </w:rPr>
        <w:t>procederá una vez que se acredite el pago respectivo. No puede entenderse como reproducción la elaboración de la misma.</w:t>
      </w:r>
    </w:p>
    <w:p w14:paraId="574475F0" w14:textId="77777777" w:rsidR="00F917C7" w:rsidRPr="007B26FF" w:rsidRDefault="00F917C7" w:rsidP="00831F0C">
      <w:pPr>
        <w:autoSpaceDE w:val="0"/>
        <w:autoSpaceDN w:val="0"/>
        <w:adjustRightInd w:val="0"/>
        <w:spacing w:after="120" w:line="276" w:lineRule="auto"/>
        <w:ind w:left="851" w:right="902"/>
        <w:jc w:val="both"/>
        <w:rPr>
          <w:rFonts w:ascii="Palatino Linotype" w:eastAsiaTheme="minorEastAsia" w:hAnsi="Palatino Linotype" w:cs="Arial"/>
          <w:i/>
          <w:sz w:val="22"/>
          <w:szCs w:val="22"/>
          <w:lang w:val="es-MX"/>
        </w:rPr>
      </w:pPr>
      <w:r w:rsidRPr="007B26FF">
        <w:rPr>
          <w:rFonts w:ascii="Palatino Linotype" w:eastAsiaTheme="minorEastAsia" w:hAnsi="Palatino Linotype" w:cs="Arial"/>
          <w:i/>
          <w:sz w:val="22"/>
          <w:szCs w:val="22"/>
          <w:lang w:val="es-MX"/>
        </w:rPr>
        <w:t>(…)</w:t>
      </w:r>
    </w:p>
    <w:p w14:paraId="786D6EA5" w14:textId="77777777" w:rsidR="00F917C7" w:rsidRPr="007B26FF" w:rsidRDefault="00F917C7" w:rsidP="00831F0C">
      <w:pPr>
        <w:autoSpaceDE w:val="0"/>
        <w:autoSpaceDN w:val="0"/>
        <w:adjustRightInd w:val="0"/>
        <w:spacing w:after="120" w:line="276" w:lineRule="auto"/>
        <w:ind w:left="851" w:right="902"/>
        <w:jc w:val="both"/>
        <w:rPr>
          <w:rFonts w:ascii="Palatino Linotype" w:hAnsi="Palatino Linotype" w:cs="Arial"/>
          <w:bCs/>
          <w:i/>
          <w:sz w:val="22"/>
          <w:szCs w:val="22"/>
        </w:rPr>
      </w:pPr>
      <w:r w:rsidRPr="007B26FF">
        <w:rPr>
          <w:rFonts w:ascii="Palatino Linotype" w:hAnsi="Palatino Linotype" w:cs="Arial"/>
          <w:b/>
          <w:bCs/>
          <w:i/>
          <w:sz w:val="22"/>
          <w:szCs w:val="22"/>
        </w:rPr>
        <w:t xml:space="preserve"> Artículo 174. En caso de existir costos para obtener la información</w:t>
      </w:r>
      <w:r w:rsidRPr="007B26FF">
        <w:rPr>
          <w:rFonts w:ascii="Palatino Linotype" w:hAnsi="Palatino Linotype" w:cs="Arial"/>
          <w:bCs/>
          <w:i/>
          <w:sz w:val="22"/>
          <w:szCs w:val="22"/>
        </w:rPr>
        <w:t xml:space="preserve"> deberán cubrirse de manera previa a la entrega y </w:t>
      </w:r>
      <w:r w:rsidRPr="007B26FF">
        <w:rPr>
          <w:rFonts w:ascii="Palatino Linotype" w:hAnsi="Palatino Linotype" w:cs="Arial"/>
          <w:b/>
          <w:bCs/>
          <w:i/>
          <w:sz w:val="22"/>
          <w:szCs w:val="22"/>
        </w:rPr>
        <w:t>no podrán ser superiores a la suma de</w:t>
      </w:r>
      <w:r w:rsidRPr="007B26FF">
        <w:rPr>
          <w:rFonts w:ascii="Palatino Linotype" w:hAnsi="Palatino Linotype" w:cs="Arial"/>
          <w:bCs/>
          <w:i/>
          <w:sz w:val="22"/>
          <w:szCs w:val="22"/>
        </w:rPr>
        <w:t>:</w:t>
      </w:r>
    </w:p>
    <w:p w14:paraId="193AB6D1" w14:textId="77777777" w:rsidR="00F917C7" w:rsidRPr="007B26FF" w:rsidRDefault="00F917C7" w:rsidP="00831F0C">
      <w:pPr>
        <w:autoSpaceDE w:val="0"/>
        <w:autoSpaceDN w:val="0"/>
        <w:adjustRightInd w:val="0"/>
        <w:spacing w:after="120" w:line="276" w:lineRule="auto"/>
        <w:ind w:left="1134" w:right="902"/>
        <w:jc w:val="both"/>
        <w:rPr>
          <w:rFonts w:ascii="Palatino Linotype" w:hAnsi="Palatino Linotype" w:cs="Arial"/>
          <w:bCs/>
          <w:i/>
          <w:sz w:val="22"/>
          <w:szCs w:val="22"/>
        </w:rPr>
      </w:pPr>
      <w:r w:rsidRPr="007B26FF">
        <w:rPr>
          <w:rFonts w:ascii="Palatino Linotype" w:hAnsi="Palatino Linotype" w:cs="Arial"/>
          <w:b/>
          <w:bCs/>
          <w:i/>
          <w:sz w:val="22"/>
          <w:szCs w:val="22"/>
        </w:rPr>
        <w:t>I.</w:t>
      </w:r>
      <w:r w:rsidRPr="007B26FF">
        <w:rPr>
          <w:rFonts w:ascii="Palatino Linotype" w:hAnsi="Palatino Linotype" w:cs="Arial"/>
          <w:bCs/>
          <w:i/>
          <w:sz w:val="22"/>
          <w:szCs w:val="22"/>
        </w:rPr>
        <w:t xml:space="preserve"> </w:t>
      </w:r>
      <w:r w:rsidRPr="007B26FF">
        <w:rPr>
          <w:rFonts w:ascii="Palatino Linotype" w:hAnsi="Palatino Linotype" w:cs="Arial"/>
          <w:b/>
          <w:bCs/>
          <w:i/>
          <w:sz w:val="22"/>
          <w:szCs w:val="22"/>
        </w:rPr>
        <w:t>El costo de los materiales utilizados en la reproducción</w:t>
      </w:r>
      <w:r w:rsidRPr="007B26FF">
        <w:rPr>
          <w:rFonts w:ascii="Palatino Linotype" w:hAnsi="Palatino Linotype" w:cs="Arial"/>
          <w:bCs/>
          <w:i/>
          <w:sz w:val="22"/>
          <w:szCs w:val="22"/>
        </w:rPr>
        <w:t xml:space="preserve"> de la información;</w:t>
      </w:r>
    </w:p>
    <w:p w14:paraId="7C84219A" w14:textId="77777777" w:rsidR="00F917C7" w:rsidRPr="007B26FF" w:rsidRDefault="00F917C7" w:rsidP="00831F0C">
      <w:pPr>
        <w:autoSpaceDE w:val="0"/>
        <w:autoSpaceDN w:val="0"/>
        <w:adjustRightInd w:val="0"/>
        <w:spacing w:after="120" w:line="276" w:lineRule="auto"/>
        <w:ind w:left="1134" w:right="902"/>
        <w:jc w:val="both"/>
        <w:rPr>
          <w:rFonts w:ascii="Palatino Linotype" w:hAnsi="Palatino Linotype" w:cs="Arial"/>
          <w:bCs/>
          <w:i/>
          <w:sz w:val="22"/>
          <w:szCs w:val="22"/>
        </w:rPr>
      </w:pPr>
      <w:r w:rsidRPr="007B26FF">
        <w:rPr>
          <w:rFonts w:ascii="Palatino Linotype" w:hAnsi="Palatino Linotype" w:cs="Arial"/>
          <w:b/>
          <w:bCs/>
          <w:i/>
          <w:sz w:val="22"/>
          <w:szCs w:val="22"/>
        </w:rPr>
        <w:t>II.</w:t>
      </w:r>
      <w:r w:rsidRPr="007B26FF">
        <w:rPr>
          <w:rFonts w:ascii="Palatino Linotype" w:hAnsi="Palatino Linotype" w:cs="Arial"/>
          <w:bCs/>
          <w:i/>
          <w:sz w:val="22"/>
          <w:szCs w:val="22"/>
        </w:rPr>
        <w:t xml:space="preserve"> </w:t>
      </w:r>
      <w:r w:rsidRPr="007B26FF">
        <w:rPr>
          <w:rFonts w:ascii="Palatino Linotype" w:hAnsi="Palatino Linotype" w:cs="Arial"/>
          <w:b/>
          <w:bCs/>
          <w:i/>
          <w:sz w:val="22"/>
          <w:szCs w:val="22"/>
        </w:rPr>
        <w:t>El costo de envío</w:t>
      </w:r>
      <w:r w:rsidRPr="007B26FF">
        <w:rPr>
          <w:rFonts w:ascii="Palatino Linotype" w:hAnsi="Palatino Linotype" w:cs="Arial"/>
          <w:bCs/>
          <w:i/>
          <w:sz w:val="22"/>
          <w:szCs w:val="22"/>
        </w:rPr>
        <w:t>, en su caso; y</w:t>
      </w:r>
    </w:p>
    <w:p w14:paraId="7409FB31" w14:textId="77777777" w:rsidR="00F917C7" w:rsidRPr="007B26FF" w:rsidRDefault="00F917C7" w:rsidP="00831F0C">
      <w:pPr>
        <w:autoSpaceDE w:val="0"/>
        <w:autoSpaceDN w:val="0"/>
        <w:adjustRightInd w:val="0"/>
        <w:spacing w:after="120" w:line="276" w:lineRule="auto"/>
        <w:ind w:left="1134" w:right="902"/>
        <w:jc w:val="both"/>
        <w:rPr>
          <w:rFonts w:ascii="Palatino Linotype" w:hAnsi="Palatino Linotype" w:cs="Arial"/>
          <w:bCs/>
          <w:i/>
          <w:sz w:val="22"/>
          <w:szCs w:val="22"/>
        </w:rPr>
      </w:pPr>
      <w:r w:rsidRPr="007B26FF">
        <w:rPr>
          <w:rFonts w:ascii="Palatino Linotype" w:hAnsi="Palatino Linotype" w:cs="Arial"/>
          <w:b/>
          <w:bCs/>
          <w:i/>
          <w:sz w:val="22"/>
          <w:szCs w:val="22"/>
        </w:rPr>
        <w:t>III.</w:t>
      </w:r>
      <w:r w:rsidRPr="007B26FF">
        <w:rPr>
          <w:rFonts w:ascii="Palatino Linotype" w:hAnsi="Palatino Linotype" w:cs="Arial"/>
          <w:bCs/>
          <w:i/>
          <w:sz w:val="22"/>
          <w:szCs w:val="22"/>
        </w:rPr>
        <w:t xml:space="preserve"> </w:t>
      </w:r>
      <w:r w:rsidRPr="007B26FF">
        <w:rPr>
          <w:rFonts w:ascii="Palatino Linotype" w:hAnsi="Palatino Linotype" w:cs="Arial"/>
          <w:b/>
          <w:bCs/>
          <w:i/>
          <w:sz w:val="22"/>
          <w:szCs w:val="22"/>
        </w:rPr>
        <w:t>El pago de la certificación de los documentos</w:t>
      </w:r>
      <w:r w:rsidRPr="007B26FF">
        <w:rPr>
          <w:rFonts w:ascii="Palatino Linotype" w:hAnsi="Palatino Linotype" w:cs="Arial"/>
          <w:bCs/>
          <w:i/>
          <w:sz w:val="22"/>
          <w:szCs w:val="22"/>
        </w:rPr>
        <w:t>, cuando proceda.</w:t>
      </w:r>
    </w:p>
    <w:p w14:paraId="3DF67685" w14:textId="77777777" w:rsidR="00F917C7" w:rsidRPr="007B26FF" w:rsidRDefault="00F917C7" w:rsidP="00831F0C">
      <w:pPr>
        <w:spacing w:after="120" w:line="276" w:lineRule="auto"/>
        <w:ind w:left="1134" w:right="902"/>
        <w:jc w:val="both"/>
        <w:rPr>
          <w:rFonts w:ascii="Palatino Linotype" w:hAnsi="Palatino Linotype" w:cs="Arial"/>
          <w:i/>
          <w:sz w:val="22"/>
          <w:szCs w:val="22"/>
        </w:rPr>
      </w:pPr>
      <w:r w:rsidRPr="007B26FF">
        <w:rPr>
          <w:rFonts w:ascii="Palatino Linotype" w:hAnsi="Palatino Linotype" w:cs="Arial"/>
          <w:bCs/>
          <w:i/>
          <w:sz w:val="22"/>
          <w:szCs w:val="22"/>
        </w:rPr>
        <w:t xml:space="preserve">Las cuotas de los derechos aplicables deberán establecerse, en su caso, en el </w:t>
      </w:r>
      <w:r w:rsidRPr="007B26FF">
        <w:rPr>
          <w:rFonts w:ascii="Palatino Linotype" w:hAnsi="Palatino Linotype" w:cs="Arial"/>
          <w:b/>
          <w:bCs/>
          <w:i/>
          <w:sz w:val="22"/>
          <w:szCs w:val="22"/>
        </w:rPr>
        <w:t>Código Financiero del Estado de México y Municipios</w:t>
      </w:r>
      <w:r w:rsidRPr="007B26FF">
        <w:rPr>
          <w:rFonts w:ascii="Palatino Linotype" w:hAnsi="Palatino Linotype" w:cs="Arial"/>
          <w:bCs/>
          <w:i/>
          <w:sz w:val="22"/>
          <w:szCs w:val="22"/>
        </w:rPr>
        <w:t xml:space="preserve"> y demás disposiciones jurídicas aplicables, las cuales se publicarán en los sitios de internet de los sujetos obligados…”</w:t>
      </w:r>
      <w:r w:rsidRPr="007B26FF">
        <w:rPr>
          <w:rFonts w:ascii="Palatino Linotype" w:hAnsi="Palatino Linotype" w:cs="Arial"/>
          <w:i/>
          <w:sz w:val="22"/>
          <w:szCs w:val="22"/>
        </w:rPr>
        <w:t xml:space="preserve"> </w:t>
      </w:r>
    </w:p>
    <w:p w14:paraId="332D9F90" w14:textId="77777777" w:rsidR="00F917C7" w:rsidRPr="007B26FF" w:rsidRDefault="00F917C7" w:rsidP="00831F0C">
      <w:pPr>
        <w:autoSpaceDE w:val="0"/>
        <w:autoSpaceDN w:val="0"/>
        <w:adjustRightInd w:val="0"/>
        <w:spacing w:after="120" w:line="276" w:lineRule="auto"/>
        <w:ind w:left="851" w:right="902"/>
        <w:jc w:val="both"/>
        <w:rPr>
          <w:rFonts w:ascii="Palatino Linotype" w:eastAsiaTheme="minorEastAsia" w:hAnsi="Palatino Linotype" w:cs="Arial"/>
          <w:bCs/>
          <w:i/>
          <w:sz w:val="22"/>
          <w:szCs w:val="22"/>
          <w:lang w:val="es-MX"/>
        </w:rPr>
      </w:pPr>
      <w:r w:rsidRPr="007B26FF">
        <w:rPr>
          <w:rFonts w:ascii="Palatino Linotype" w:eastAsiaTheme="minorEastAsia" w:hAnsi="Palatino Linotype" w:cs="Arial"/>
          <w:bCs/>
          <w:i/>
          <w:sz w:val="22"/>
          <w:szCs w:val="22"/>
          <w:lang w:val="es-MX"/>
        </w:rPr>
        <w:lastRenderedPageBreak/>
        <w:t>(...)</w:t>
      </w:r>
    </w:p>
    <w:p w14:paraId="784F2995" w14:textId="77777777" w:rsidR="00F917C7" w:rsidRPr="007B26FF" w:rsidRDefault="00F917C7" w:rsidP="00831F0C">
      <w:pPr>
        <w:autoSpaceDE w:val="0"/>
        <w:autoSpaceDN w:val="0"/>
        <w:adjustRightInd w:val="0"/>
        <w:spacing w:after="120" w:line="276" w:lineRule="auto"/>
        <w:ind w:left="851" w:right="902"/>
        <w:jc w:val="both"/>
        <w:rPr>
          <w:rFonts w:ascii="Palatino Linotype" w:eastAsiaTheme="minorEastAsia" w:hAnsi="Palatino Linotype" w:cs="Arial"/>
          <w:i/>
          <w:sz w:val="22"/>
          <w:szCs w:val="22"/>
          <w:lang w:val="es-MX"/>
        </w:rPr>
      </w:pPr>
      <w:r w:rsidRPr="007B26FF">
        <w:rPr>
          <w:rFonts w:ascii="Palatino Linotype" w:eastAsiaTheme="minorEastAsia" w:hAnsi="Palatino Linotype" w:cs="Arial"/>
          <w:b/>
          <w:bCs/>
          <w:i/>
          <w:sz w:val="22"/>
          <w:szCs w:val="22"/>
          <w:lang w:val="es-MX"/>
        </w:rPr>
        <w:t xml:space="preserve">Artículo 175. </w:t>
      </w:r>
      <w:r w:rsidRPr="007B26FF">
        <w:rPr>
          <w:rFonts w:ascii="Palatino Linotype" w:eastAsiaTheme="minorEastAsia" w:hAnsi="Palatino Linotype" w:cs="Arial"/>
          <w:i/>
          <w:sz w:val="22"/>
          <w:szCs w:val="22"/>
          <w:lang w:val="es-MX"/>
        </w:rPr>
        <w:t>…</w:t>
      </w:r>
    </w:p>
    <w:p w14:paraId="0FFB23E8" w14:textId="77777777" w:rsidR="00F917C7" w:rsidRPr="007B26FF" w:rsidRDefault="00F917C7" w:rsidP="00831F0C">
      <w:pPr>
        <w:autoSpaceDE w:val="0"/>
        <w:autoSpaceDN w:val="0"/>
        <w:adjustRightInd w:val="0"/>
        <w:spacing w:after="120" w:line="276" w:lineRule="auto"/>
        <w:ind w:left="851" w:right="902"/>
        <w:jc w:val="both"/>
        <w:rPr>
          <w:rFonts w:ascii="Palatino Linotype" w:eastAsiaTheme="minorEastAsia" w:hAnsi="Palatino Linotype" w:cs="Arial"/>
          <w:i/>
          <w:sz w:val="22"/>
          <w:szCs w:val="22"/>
          <w:lang w:val="es-MX"/>
        </w:rPr>
      </w:pPr>
      <w:r w:rsidRPr="007B26FF">
        <w:rPr>
          <w:rFonts w:ascii="Palatino Linotype" w:eastAsiaTheme="minorEastAsia" w:hAnsi="Palatino Linotype" w:cs="Arial"/>
          <w:i/>
          <w:sz w:val="22"/>
          <w:szCs w:val="22"/>
          <w:lang w:val="es-MX"/>
        </w:rPr>
        <w:t>En ningún caso, el pago de derechos deberá exceder el</w:t>
      </w:r>
      <w:r w:rsidRPr="007B26FF">
        <w:rPr>
          <w:rFonts w:ascii="Palatino Linotype" w:eastAsiaTheme="minorEastAsia" w:hAnsi="Palatino Linotype" w:cs="Arial"/>
          <w:b/>
          <w:i/>
          <w:sz w:val="22"/>
          <w:szCs w:val="22"/>
          <w:lang w:val="es-MX"/>
        </w:rPr>
        <w:t xml:space="preserve"> costo de reproducción de la información en el material solicitado</w:t>
      </w:r>
      <w:r w:rsidRPr="007B26FF">
        <w:rPr>
          <w:rFonts w:ascii="Palatino Linotype" w:eastAsiaTheme="minorEastAsia" w:hAnsi="Palatino Linotype" w:cs="Arial"/>
          <w:i/>
          <w:sz w:val="22"/>
          <w:szCs w:val="22"/>
          <w:lang w:val="es-MX"/>
        </w:rPr>
        <w:t>.”</w:t>
      </w:r>
    </w:p>
    <w:p w14:paraId="53C28C1D" w14:textId="77777777" w:rsidR="00F917C7" w:rsidRPr="007B26FF" w:rsidRDefault="00F917C7" w:rsidP="00F917C7">
      <w:pPr>
        <w:pStyle w:val="Prrafodelista"/>
        <w:rPr>
          <w:rFonts w:ascii="Palatino Linotype" w:hAnsi="Palatino Linotype"/>
        </w:rPr>
      </w:pPr>
    </w:p>
    <w:p w14:paraId="43846305" w14:textId="633B1BE7" w:rsidR="00F917C7" w:rsidRPr="007B26FF" w:rsidRDefault="00F917C7" w:rsidP="00F917C7">
      <w:pPr>
        <w:pStyle w:val="Prrafodelista"/>
        <w:numPr>
          <w:ilvl w:val="0"/>
          <w:numId w:val="1"/>
        </w:numPr>
        <w:spacing w:line="360" w:lineRule="auto"/>
        <w:ind w:left="0" w:firstLine="0"/>
        <w:jc w:val="both"/>
        <w:rPr>
          <w:rFonts w:ascii="Palatino Linotype" w:hAnsi="Palatino Linotype"/>
          <w:lang w:val="es-MX" w:eastAsia="en-US"/>
        </w:rPr>
      </w:pPr>
      <w:r w:rsidRPr="007B26FF">
        <w:rPr>
          <w:rFonts w:ascii="Palatino Linotype" w:hAnsi="Palatino Linotype"/>
        </w:rPr>
        <w:t xml:space="preserve">En efecto, de los preceptos citados se desprende que Ley de la Materia estableció el cobró de derechos para la entrega de la información, con el objeto de que se cubran los costos de los materiales utilizados en la reproducción de la información, el costo por </w:t>
      </w:r>
      <w:proofErr w:type="spellStart"/>
      <w:r w:rsidRPr="007B26FF">
        <w:rPr>
          <w:rFonts w:ascii="Palatino Linotype" w:hAnsi="Palatino Linotype"/>
        </w:rPr>
        <w:t>el</w:t>
      </w:r>
      <w:proofErr w:type="spellEnd"/>
      <w:r w:rsidRPr="007B26FF">
        <w:rPr>
          <w:rFonts w:ascii="Palatino Linotype" w:hAnsi="Palatino Linotype"/>
        </w:rPr>
        <w:t xml:space="preserve"> envió de la misma o el pago por la certificación; sin embargo, en el caso que nos ocupa, no se estima que se actualice alguno de los supuestos previstos en la norma, toda vez que la solicitante requirió la información a través del sistema SAIMEX, por lo tanto no se le está requiriendo al Sujeto Obligado que expida copias simples, certificadas o que reproduzca la información que ya asumió poseer en cualquier otro medio físico, sino que proporcione la información de manera electrónica, en otras palabras, con la finalidad de satisfacer la solicitud, no es necesario que el Sujeto Obligado realice una reproducción física de la información que conserva en sus archivos, más bien implica la digitalización o escaneo de la información a entregar.</w:t>
      </w:r>
    </w:p>
    <w:p w14:paraId="6DAA4F5F" w14:textId="77777777" w:rsidR="00F917C7" w:rsidRPr="007B26FF" w:rsidRDefault="00F917C7" w:rsidP="00F917C7">
      <w:pPr>
        <w:pStyle w:val="Prrafodelista"/>
        <w:spacing w:line="360" w:lineRule="auto"/>
        <w:ind w:left="0"/>
        <w:jc w:val="both"/>
        <w:rPr>
          <w:rFonts w:ascii="Palatino Linotype" w:hAnsi="Palatino Linotype"/>
          <w:lang w:val="es-MX" w:eastAsia="en-US"/>
        </w:rPr>
      </w:pPr>
    </w:p>
    <w:p w14:paraId="7F942957" w14:textId="77777777" w:rsidR="00F917C7" w:rsidRPr="007B26FF" w:rsidRDefault="00F917C7" w:rsidP="00F917C7">
      <w:pPr>
        <w:pStyle w:val="Prrafodelista"/>
        <w:numPr>
          <w:ilvl w:val="0"/>
          <w:numId w:val="1"/>
        </w:numPr>
        <w:spacing w:line="360" w:lineRule="auto"/>
        <w:ind w:left="0" w:firstLine="0"/>
        <w:jc w:val="both"/>
        <w:rPr>
          <w:rFonts w:ascii="Palatino Linotype" w:hAnsi="Palatino Linotype"/>
          <w:lang w:val="es-MX" w:eastAsia="en-US"/>
        </w:rPr>
      </w:pPr>
      <w:r w:rsidRPr="007B26FF">
        <w:rPr>
          <w:rFonts w:ascii="Palatino Linotype" w:hAnsi="Palatino Linotype"/>
        </w:rPr>
        <w:t xml:space="preserve">Por ende, contrario a lo sostenido por el Sujeto Obligado, la digitalización o escaneo de la información, no conlleva la utilización de materiales que le generen un costo, como podría serlo por ejemplo hojas de papel para la emisión de copias; así tampoco se genera un gasto por </w:t>
      </w:r>
      <w:proofErr w:type="spellStart"/>
      <w:r w:rsidRPr="007B26FF">
        <w:rPr>
          <w:rFonts w:ascii="Palatino Linotype" w:hAnsi="Palatino Linotype"/>
        </w:rPr>
        <w:t>el</w:t>
      </w:r>
      <w:proofErr w:type="spellEnd"/>
      <w:r w:rsidRPr="007B26FF">
        <w:rPr>
          <w:rFonts w:ascii="Palatino Linotype" w:hAnsi="Palatino Linotype"/>
        </w:rPr>
        <w:t xml:space="preserve"> envió de la información, ya que una de la </w:t>
      </w:r>
      <w:r w:rsidRPr="007B26FF">
        <w:rPr>
          <w:rFonts w:ascii="Palatino Linotype" w:hAnsi="Palatino Linotype"/>
        </w:rPr>
        <w:lastRenderedPageBreak/>
        <w:t>finalidades de la utilización del sistema SAIMEX es evitar la generación de gastos tanto para los solicitantes como para los Sujetos Obligados, pues se trata de un sistema electrónico que para acceder al mismo no necesita recurso alguno, sino solamente la conexión a un sistema de internet; de igual manera en el caso no se actualiza el cobro por certificación, ya que la parte solicitante no requirió la entrega en dicha modalidad.</w:t>
      </w:r>
    </w:p>
    <w:p w14:paraId="7202F6F9" w14:textId="77777777" w:rsidR="00F917C7" w:rsidRPr="007B26FF" w:rsidRDefault="00F917C7" w:rsidP="00F917C7">
      <w:pPr>
        <w:pStyle w:val="Prrafodelista"/>
        <w:rPr>
          <w:rFonts w:ascii="Palatino Linotype" w:hAnsi="Palatino Linotype"/>
        </w:rPr>
      </w:pPr>
    </w:p>
    <w:p w14:paraId="2FE94B35" w14:textId="556177A2" w:rsidR="00B047D7" w:rsidRPr="007B26FF" w:rsidRDefault="00B047D7" w:rsidP="00F917C7">
      <w:pPr>
        <w:pStyle w:val="Prrafodelista"/>
        <w:numPr>
          <w:ilvl w:val="0"/>
          <w:numId w:val="1"/>
        </w:numPr>
        <w:spacing w:line="360" w:lineRule="auto"/>
        <w:ind w:left="0" w:firstLine="0"/>
        <w:jc w:val="both"/>
        <w:rPr>
          <w:rFonts w:ascii="Palatino Linotype" w:hAnsi="Palatino Linotype"/>
          <w:lang w:val="es-MX" w:eastAsia="en-US"/>
        </w:rPr>
      </w:pPr>
      <w:r w:rsidRPr="007B26FF">
        <w:rPr>
          <w:rFonts w:ascii="Palatino Linotype" w:hAnsi="Palatino Linotype"/>
        </w:rPr>
        <w:t>Bajo esta óptica, el derecho del particular de acceder a los documentos que obran en posesión del Sujeto Obligado</w:t>
      </w:r>
      <w:r w:rsidRPr="007B26FF">
        <w:rPr>
          <w:rFonts w:ascii="Palatino Linotype" w:hAnsi="Palatino Linotype"/>
          <w:b/>
        </w:rPr>
        <w:t xml:space="preserve"> </w:t>
      </w:r>
      <w:r w:rsidRPr="007B26FF">
        <w:rPr>
          <w:rFonts w:ascii="Palatino Linotype" w:hAnsi="Palatino Linotype"/>
        </w:rPr>
        <w:t>se encuentra limitado, en virtud de que no le fue proporcionada la información solicitada, incumpliendo así lo previsto en el artículo 4 de la Ley de la Materia, citado con antelación;</w:t>
      </w:r>
      <w:r w:rsidRPr="007B26FF">
        <w:rPr>
          <w:rFonts w:ascii="Palatino Linotype" w:hAnsi="Palatino Linotype" w:cs="Arial"/>
        </w:rPr>
        <w:t xml:space="preserve"> apegándose en todo momento al principio de máxima publicidad consagrado en la Constitución Política de los Estados Unidos Mexicanos, en la Constitución Política del Estado Libre y Soberano de México y demás relativos y aplicables en la Materia</w:t>
      </w:r>
      <w:r w:rsidRPr="007B26FF">
        <w:rPr>
          <w:rFonts w:ascii="Palatino Linotype" w:hAnsi="Palatino Linotype"/>
        </w:rPr>
        <w:t>, al establecer que toda información en posesión de cualquier autoridad, entidad, órgano y organismo federal, estatal y municipal, es pública y solo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 buscando la disponibilidad de los mismos.</w:t>
      </w:r>
    </w:p>
    <w:p w14:paraId="40BCF2DF" w14:textId="77777777" w:rsidR="00F917C7" w:rsidRPr="007B26FF" w:rsidRDefault="00F917C7" w:rsidP="00F917C7">
      <w:pPr>
        <w:pStyle w:val="Prrafodelista"/>
        <w:rPr>
          <w:rFonts w:ascii="Palatino Linotype" w:hAnsi="Palatino Linotype"/>
          <w:lang w:val="es-MX" w:eastAsia="en-US"/>
        </w:rPr>
      </w:pPr>
    </w:p>
    <w:p w14:paraId="0D675CD0" w14:textId="3DF8AF70" w:rsidR="00F917C7" w:rsidRPr="007B26FF" w:rsidRDefault="00F917C7" w:rsidP="007C62F7">
      <w:pPr>
        <w:pStyle w:val="Prrafodelista"/>
        <w:numPr>
          <w:ilvl w:val="0"/>
          <w:numId w:val="1"/>
        </w:numPr>
        <w:spacing w:line="360" w:lineRule="auto"/>
        <w:ind w:left="0" w:firstLine="0"/>
        <w:jc w:val="both"/>
        <w:rPr>
          <w:rFonts w:ascii="Palatino Linotype" w:hAnsi="Palatino Linotype"/>
        </w:rPr>
      </w:pPr>
      <w:r w:rsidRPr="007B26FF">
        <w:rPr>
          <w:rFonts w:ascii="Palatino Linotype" w:hAnsi="Palatino Linotype"/>
        </w:rPr>
        <w:t>Por lo tanto, en</w:t>
      </w:r>
      <w:r w:rsidRPr="007B26FF">
        <w:rPr>
          <w:rFonts w:ascii="Palatino Linotype" w:hAnsi="Palatino Linotype"/>
          <w:spacing w:val="-3"/>
        </w:rPr>
        <w:t xml:space="preserve"> </w:t>
      </w:r>
      <w:r w:rsidRPr="007B26FF">
        <w:rPr>
          <w:rFonts w:ascii="Palatino Linotype" w:hAnsi="Palatino Linotype"/>
        </w:rPr>
        <w:t>el</w:t>
      </w:r>
      <w:r w:rsidRPr="007B26FF">
        <w:rPr>
          <w:rFonts w:ascii="Palatino Linotype" w:hAnsi="Palatino Linotype"/>
          <w:spacing w:val="-2"/>
        </w:rPr>
        <w:t xml:space="preserve"> </w:t>
      </w:r>
      <w:r w:rsidRPr="007B26FF">
        <w:rPr>
          <w:rFonts w:ascii="Palatino Linotype" w:hAnsi="Palatino Linotype"/>
        </w:rPr>
        <w:t>caso</w:t>
      </w:r>
      <w:r w:rsidRPr="007B26FF">
        <w:rPr>
          <w:rFonts w:ascii="Palatino Linotype" w:hAnsi="Palatino Linotype"/>
          <w:spacing w:val="-4"/>
        </w:rPr>
        <w:t xml:space="preserve"> </w:t>
      </w:r>
      <w:r w:rsidRPr="007B26FF">
        <w:rPr>
          <w:rFonts w:ascii="Palatino Linotype" w:hAnsi="Palatino Linotype"/>
        </w:rPr>
        <w:t>que</w:t>
      </w:r>
      <w:r w:rsidRPr="007B26FF">
        <w:rPr>
          <w:rFonts w:ascii="Palatino Linotype" w:hAnsi="Palatino Linotype"/>
          <w:spacing w:val="-1"/>
        </w:rPr>
        <w:t xml:space="preserve"> </w:t>
      </w:r>
      <w:r w:rsidRPr="007B26FF">
        <w:rPr>
          <w:rFonts w:ascii="Palatino Linotype" w:hAnsi="Palatino Linotype"/>
        </w:rPr>
        <w:t>nos</w:t>
      </w:r>
      <w:r w:rsidRPr="007B26FF">
        <w:rPr>
          <w:rFonts w:ascii="Palatino Linotype" w:hAnsi="Palatino Linotype"/>
          <w:spacing w:val="-1"/>
        </w:rPr>
        <w:t xml:space="preserve"> </w:t>
      </w:r>
      <w:r w:rsidRPr="007B26FF">
        <w:rPr>
          <w:rFonts w:ascii="Palatino Linotype" w:hAnsi="Palatino Linotype"/>
        </w:rPr>
        <w:t>ocupa,</w:t>
      </w:r>
      <w:r w:rsidRPr="007B26FF">
        <w:rPr>
          <w:rFonts w:ascii="Palatino Linotype" w:hAnsi="Palatino Linotype"/>
          <w:spacing w:val="-1"/>
        </w:rPr>
        <w:t xml:space="preserve"> </w:t>
      </w:r>
      <w:r w:rsidRPr="007B26FF">
        <w:rPr>
          <w:rFonts w:ascii="Palatino Linotype" w:hAnsi="Palatino Linotype"/>
        </w:rPr>
        <w:t xml:space="preserve">la información solicitada por el hoy </w:t>
      </w:r>
      <w:r w:rsidRPr="007B26FF">
        <w:rPr>
          <w:rFonts w:ascii="Palatino Linotype" w:hAnsi="Palatino Linotype"/>
          <w:b/>
        </w:rPr>
        <w:t>RECURRENTE</w:t>
      </w:r>
      <w:r w:rsidRPr="007B26FF">
        <w:rPr>
          <w:rFonts w:ascii="Palatino Linotype" w:hAnsi="Palatino Linotype"/>
        </w:rPr>
        <w:t>, deberán ser</w:t>
      </w:r>
      <w:r w:rsidRPr="007B26FF">
        <w:rPr>
          <w:rFonts w:ascii="Palatino Linotype" w:hAnsi="Palatino Linotype"/>
          <w:spacing w:val="-2"/>
        </w:rPr>
        <w:t xml:space="preserve"> </w:t>
      </w:r>
      <w:r w:rsidRPr="007B26FF">
        <w:rPr>
          <w:rFonts w:ascii="Palatino Linotype" w:hAnsi="Palatino Linotype"/>
        </w:rPr>
        <w:t>entregados</w:t>
      </w:r>
      <w:r w:rsidRPr="007B26FF">
        <w:rPr>
          <w:rFonts w:ascii="Palatino Linotype" w:hAnsi="Palatino Linotype"/>
          <w:spacing w:val="-1"/>
        </w:rPr>
        <w:t xml:space="preserve"> </w:t>
      </w:r>
      <w:r w:rsidRPr="007B26FF">
        <w:rPr>
          <w:rFonts w:ascii="Palatino Linotype" w:hAnsi="Palatino Linotype"/>
        </w:rPr>
        <w:t>de</w:t>
      </w:r>
      <w:r w:rsidRPr="007B26FF">
        <w:rPr>
          <w:rFonts w:ascii="Palatino Linotype" w:hAnsi="Palatino Linotype"/>
          <w:spacing w:val="-1"/>
        </w:rPr>
        <w:t xml:space="preserve"> </w:t>
      </w:r>
      <w:r w:rsidRPr="007B26FF">
        <w:rPr>
          <w:rFonts w:ascii="Palatino Linotype" w:hAnsi="Palatino Linotype"/>
        </w:rPr>
        <w:t>manera</w:t>
      </w:r>
      <w:r w:rsidRPr="007B26FF">
        <w:rPr>
          <w:rFonts w:ascii="Palatino Linotype" w:hAnsi="Palatino Linotype"/>
          <w:spacing w:val="-1"/>
        </w:rPr>
        <w:t xml:space="preserve"> </w:t>
      </w:r>
      <w:r w:rsidRPr="007B26FF">
        <w:rPr>
          <w:rFonts w:ascii="Palatino Linotype" w:hAnsi="Palatino Linotype"/>
        </w:rPr>
        <w:t>gratuita.</w:t>
      </w:r>
    </w:p>
    <w:p w14:paraId="013453B7" w14:textId="4A4BC266" w:rsidR="007C62F7" w:rsidRPr="007B26FF" w:rsidRDefault="009A6030" w:rsidP="007C62F7">
      <w:pPr>
        <w:pStyle w:val="Ttulo2"/>
        <w:rPr>
          <w:rFonts w:ascii="Palatino Linotype" w:hAnsi="Palatino Linotype"/>
          <w:b/>
          <w:color w:val="auto"/>
          <w:sz w:val="24"/>
        </w:rPr>
      </w:pPr>
      <w:bookmarkStart w:id="127" w:name="_Toc531859120"/>
      <w:bookmarkStart w:id="128" w:name="_Toc2871952"/>
      <w:bookmarkStart w:id="129" w:name="_Toc8218527"/>
      <w:bookmarkStart w:id="130" w:name="_Toc473799824"/>
      <w:bookmarkStart w:id="131" w:name="_Toc487025370"/>
      <w:bookmarkStart w:id="132" w:name="_Toc493790438"/>
      <w:bookmarkStart w:id="133" w:name="_Toc495606558"/>
      <w:bookmarkStart w:id="134" w:name="_Toc497297048"/>
      <w:bookmarkStart w:id="135" w:name="_Toc498503756"/>
      <w:bookmarkStart w:id="136" w:name="_Toc499201876"/>
      <w:bookmarkStart w:id="137" w:name="_Toc524000321"/>
      <w:r w:rsidRPr="007B26FF">
        <w:rPr>
          <w:rFonts w:ascii="Palatino Linotype" w:hAnsi="Palatino Linotype"/>
          <w:b/>
          <w:color w:val="auto"/>
          <w:sz w:val="24"/>
        </w:rPr>
        <w:lastRenderedPageBreak/>
        <w:t>SEXTO</w:t>
      </w:r>
      <w:r w:rsidR="007C62F7" w:rsidRPr="007B26FF">
        <w:rPr>
          <w:rFonts w:ascii="Palatino Linotype" w:hAnsi="Palatino Linotype"/>
          <w:b/>
          <w:color w:val="auto"/>
          <w:sz w:val="24"/>
        </w:rPr>
        <w:t>. De la Versión Pública</w:t>
      </w:r>
      <w:bookmarkEnd w:id="127"/>
      <w:bookmarkEnd w:id="128"/>
      <w:bookmarkEnd w:id="129"/>
      <w:r w:rsidR="007C62F7" w:rsidRPr="007B26FF">
        <w:rPr>
          <w:rFonts w:ascii="Palatino Linotype" w:hAnsi="Palatino Linotype"/>
          <w:b/>
          <w:color w:val="auto"/>
          <w:sz w:val="24"/>
        </w:rPr>
        <w:t xml:space="preserve"> </w:t>
      </w:r>
    </w:p>
    <w:p w14:paraId="2CB062E4" w14:textId="0E0832A4" w:rsidR="007C62F7" w:rsidRPr="007B26FF" w:rsidRDefault="007C62F7" w:rsidP="007C62F7">
      <w:pPr>
        <w:pStyle w:val="Prrafodelista"/>
        <w:numPr>
          <w:ilvl w:val="0"/>
          <w:numId w:val="1"/>
        </w:numPr>
        <w:spacing w:before="240" w:after="240" w:line="360" w:lineRule="auto"/>
        <w:ind w:left="0" w:right="49" w:firstLine="0"/>
        <w:jc w:val="both"/>
        <w:rPr>
          <w:rFonts w:ascii="Palatino Linotype" w:hAnsi="Palatino Linotype" w:cs="Bookman Old Style"/>
        </w:rPr>
      </w:pPr>
      <w:r w:rsidRPr="007B26FF">
        <w:rPr>
          <w:rFonts w:ascii="Palatino Linotype" w:eastAsia="Calibri" w:hAnsi="Palatino Linotype" w:cs="Arial"/>
          <w:szCs w:val="22"/>
          <w:lang w:val="es-ES" w:eastAsia="es-MX"/>
        </w:rPr>
        <w:t xml:space="preserve">Como ya se ha señalado en el considerando anterior el </w:t>
      </w:r>
      <w:r w:rsidRPr="007B26FF">
        <w:rPr>
          <w:rFonts w:ascii="Palatino Linotype" w:eastAsia="Calibri" w:hAnsi="Palatino Linotype" w:cs="Arial"/>
          <w:b/>
          <w:szCs w:val="22"/>
          <w:lang w:val="es-ES" w:eastAsia="es-MX"/>
        </w:rPr>
        <w:t>SUJETO OBLIGADO,</w:t>
      </w:r>
      <w:r w:rsidRPr="007B26FF">
        <w:rPr>
          <w:rFonts w:ascii="Palatino Linotype" w:eastAsia="Calibri" w:hAnsi="Palatino Linotype" w:cs="Arial"/>
          <w:szCs w:val="22"/>
          <w:lang w:val="es-ES" w:eastAsia="es-MX"/>
        </w:rPr>
        <w:t xml:space="preserve"> deberá entregar la información señalada en el considerando anterior.</w:t>
      </w:r>
      <w:r w:rsidRPr="007B26FF">
        <w:rPr>
          <w:rFonts w:ascii="Palatino Linotype" w:eastAsia="Times New Roman" w:hAnsi="Palatino Linotype" w:cs="Times New Roman"/>
          <w:b/>
          <w:szCs w:val="14"/>
          <w:lang w:val="es-ES"/>
        </w:rPr>
        <w:t xml:space="preserve"> </w:t>
      </w:r>
      <w:r w:rsidRPr="007B26FF">
        <w:rPr>
          <w:rFonts w:ascii="Palatino Linotype" w:eastAsia="Calibri" w:hAnsi="Palatino Linotype" w:cs="Arial"/>
          <w:szCs w:val="22"/>
          <w:lang w:val="es-ES" w:eastAsia="es-MX"/>
        </w:rPr>
        <w:t>Documentos en los que, de ser el caso de contener datos personales que deban de ser clasificados como confidenciales, es necesario que se protejan mediante una versión pública</w:t>
      </w:r>
      <w:r w:rsidRPr="007B26FF">
        <w:rPr>
          <w:rFonts w:ascii="Palatino Linotype" w:eastAsia="Times New Roman" w:hAnsi="Palatino Linotype" w:cs="Arial"/>
          <w:color w:val="222222"/>
          <w:szCs w:val="22"/>
          <w:lang w:val="es-ES" w:eastAsia="es-MX"/>
        </w:rPr>
        <w:t xml:space="preserve"> que deje a la vista los datos que ofrezcan la información requerida. </w:t>
      </w:r>
    </w:p>
    <w:p w14:paraId="05CE9BAD" w14:textId="77777777" w:rsidR="007C62F7" w:rsidRPr="007B26FF" w:rsidRDefault="007C62F7" w:rsidP="00BA3B51">
      <w:pPr>
        <w:pStyle w:val="Ttulo3"/>
        <w:numPr>
          <w:ilvl w:val="0"/>
          <w:numId w:val="4"/>
        </w:numPr>
        <w:rPr>
          <w:rFonts w:ascii="Palatino Linotype" w:eastAsia="Calibri" w:hAnsi="Palatino Linotype"/>
          <w:b/>
          <w:color w:val="auto"/>
        </w:rPr>
      </w:pPr>
      <w:bookmarkStart w:id="138" w:name="_Toc531859121"/>
      <w:bookmarkStart w:id="139" w:name="_Toc2871953"/>
      <w:bookmarkStart w:id="140" w:name="_Toc8218528"/>
      <w:r w:rsidRPr="007B26FF">
        <w:rPr>
          <w:rFonts w:ascii="Palatino Linotype" w:hAnsi="Palatino Linotype"/>
          <w:b/>
          <w:color w:val="auto"/>
        </w:rPr>
        <w:t>Requisitos previos.</w:t>
      </w:r>
      <w:bookmarkEnd w:id="138"/>
      <w:bookmarkEnd w:id="139"/>
      <w:bookmarkEnd w:id="140"/>
    </w:p>
    <w:p w14:paraId="6236DCF7" w14:textId="77777777" w:rsidR="007C62F7" w:rsidRPr="007B26FF" w:rsidRDefault="007C62F7" w:rsidP="007C62F7">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6DC7D482" w14:textId="77777777" w:rsidR="007C62F7" w:rsidRPr="007B26FF" w:rsidRDefault="007C62F7" w:rsidP="00BA3B5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7B26FF">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263064D5" w14:textId="77777777" w:rsidR="007C62F7" w:rsidRPr="007B26FF" w:rsidRDefault="007C62F7" w:rsidP="007C62F7">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2998FE8C" w14:textId="77777777" w:rsidR="007C62F7" w:rsidRPr="007B26FF" w:rsidRDefault="007C62F7" w:rsidP="00BA3B5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7B26FF">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6D69F90E" w14:textId="77777777" w:rsidR="007C62F7" w:rsidRPr="007B26FF" w:rsidRDefault="007C62F7" w:rsidP="007C62F7">
      <w:pPr>
        <w:pStyle w:val="Prrafodelista"/>
        <w:spacing w:line="360" w:lineRule="auto"/>
        <w:rPr>
          <w:rFonts w:ascii="Palatino Linotype" w:eastAsia="Calibri" w:hAnsi="Palatino Linotype" w:cs="Arial"/>
          <w:szCs w:val="22"/>
          <w:lang w:val="es-ES" w:eastAsia="es-MX"/>
        </w:rPr>
      </w:pPr>
    </w:p>
    <w:p w14:paraId="158470C5" w14:textId="77777777" w:rsidR="007C62F7" w:rsidRPr="007B26FF" w:rsidRDefault="007C62F7" w:rsidP="00BA3B5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7B26FF">
        <w:rPr>
          <w:rFonts w:ascii="Palatino Linotype" w:hAnsi="Palatino Linotype" w:cs="Arial"/>
        </w:rPr>
        <w:lastRenderedPageBreak/>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6ABECD0B" w14:textId="77777777" w:rsidR="007C62F7" w:rsidRPr="007B26FF" w:rsidRDefault="007C62F7" w:rsidP="007C62F7">
      <w:pPr>
        <w:pStyle w:val="Prrafodelista"/>
        <w:rPr>
          <w:rFonts w:ascii="Palatino Linotype" w:eastAsia="Calibri" w:hAnsi="Palatino Linotype" w:cs="Arial"/>
          <w:szCs w:val="22"/>
          <w:lang w:val="es-ES" w:eastAsia="es-MX"/>
        </w:rPr>
      </w:pPr>
    </w:p>
    <w:p w14:paraId="34CD1802" w14:textId="77777777" w:rsidR="007C62F7" w:rsidRPr="007B26FF" w:rsidRDefault="007C62F7" w:rsidP="00BA3B51">
      <w:pPr>
        <w:pStyle w:val="Ttulo3"/>
        <w:numPr>
          <w:ilvl w:val="0"/>
          <w:numId w:val="4"/>
        </w:numPr>
        <w:rPr>
          <w:rFonts w:ascii="Palatino Linotype" w:hAnsi="Palatino Linotype"/>
          <w:b/>
          <w:color w:val="auto"/>
        </w:rPr>
      </w:pPr>
      <w:bookmarkStart w:id="141" w:name="_Toc531859122"/>
      <w:bookmarkStart w:id="142" w:name="_Toc2871954"/>
      <w:bookmarkStart w:id="143" w:name="_Toc8218529"/>
      <w:r w:rsidRPr="007B26FF">
        <w:rPr>
          <w:rFonts w:ascii="Palatino Linotype" w:hAnsi="Palatino Linotype"/>
          <w:b/>
          <w:color w:val="auto"/>
        </w:rPr>
        <w:t>Supuesto de clasificación.</w:t>
      </w:r>
      <w:bookmarkEnd w:id="141"/>
      <w:bookmarkEnd w:id="142"/>
      <w:bookmarkEnd w:id="143"/>
    </w:p>
    <w:p w14:paraId="3B1EC59D" w14:textId="77777777" w:rsidR="007C62F7" w:rsidRPr="007B26FF" w:rsidRDefault="007C62F7" w:rsidP="007C62F7">
      <w:pPr>
        <w:rPr>
          <w:lang w:val="es-MX" w:eastAsia="en-US"/>
        </w:rPr>
      </w:pPr>
    </w:p>
    <w:p w14:paraId="268FFD6A" w14:textId="77777777" w:rsidR="007C62F7" w:rsidRPr="007B26FF" w:rsidRDefault="007C62F7" w:rsidP="00BA3B5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7B26FF">
        <w:rPr>
          <w:rFonts w:ascii="Palatino Linotype" w:eastAsia="Calibri" w:hAnsi="Palatino Linotype" w:cs="Arial"/>
          <w:szCs w:val="22"/>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7CF99C21" w14:textId="77777777" w:rsidR="007C62F7" w:rsidRPr="007B26FF" w:rsidRDefault="007C62F7" w:rsidP="007C62F7">
      <w:pPr>
        <w:autoSpaceDE w:val="0"/>
        <w:autoSpaceDN w:val="0"/>
        <w:adjustRightInd w:val="0"/>
        <w:spacing w:after="160" w:line="360" w:lineRule="auto"/>
        <w:ind w:left="567" w:right="567"/>
        <w:jc w:val="both"/>
        <w:rPr>
          <w:rFonts w:ascii="Palatino Linotype" w:hAnsi="Palatino Linotype" w:cs="Arial"/>
          <w:i/>
          <w:sz w:val="22"/>
          <w:lang w:val="es-MX"/>
        </w:rPr>
      </w:pPr>
      <w:r w:rsidRPr="007B26FF">
        <w:rPr>
          <w:rFonts w:ascii="Palatino Linotype" w:hAnsi="Palatino Linotype" w:cs="Arial"/>
          <w:b/>
          <w:bCs/>
          <w:i/>
          <w:sz w:val="22"/>
          <w:lang w:val="es-MX"/>
        </w:rPr>
        <w:t xml:space="preserve">Artículo 3. </w:t>
      </w:r>
      <w:r w:rsidRPr="007B26FF">
        <w:rPr>
          <w:rFonts w:ascii="Palatino Linotype" w:hAnsi="Palatino Linotype" w:cs="Arial"/>
          <w:i/>
          <w:sz w:val="22"/>
          <w:lang w:val="es-MX"/>
        </w:rPr>
        <w:t>Para los efectos de la presente Ley se entenderá por:</w:t>
      </w:r>
    </w:p>
    <w:p w14:paraId="0EE788EA" w14:textId="77777777" w:rsidR="007C62F7" w:rsidRPr="007B26FF" w:rsidRDefault="007C62F7" w:rsidP="007C62F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B26FF">
        <w:rPr>
          <w:rFonts w:ascii="Palatino Linotype" w:eastAsia="Calibri" w:hAnsi="Palatino Linotype" w:cs="Arial"/>
          <w:i/>
          <w:sz w:val="22"/>
          <w:szCs w:val="22"/>
          <w:lang w:val="es-ES" w:eastAsia="es-MX"/>
        </w:rPr>
        <w:t xml:space="preserve"> (…)</w:t>
      </w:r>
    </w:p>
    <w:p w14:paraId="637C3446" w14:textId="77777777" w:rsidR="007C62F7" w:rsidRPr="007B26FF" w:rsidRDefault="007C62F7" w:rsidP="007C62F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B26FF">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2EEE5545" w14:textId="77777777" w:rsidR="007C62F7" w:rsidRPr="007B26FF" w:rsidRDefault="007C62F7" w:rsidP="007C62F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B26FF">
        <w:rPr>
          <w:rFonts w:ascii="Palatino Linotype" w:eastAsia="Calibri" w:hAnsi="Palatino Linotype" w:cs="Arial"/>
          <w:i/>
          <w:sz w:val="22"/>
          <w:szCs w:val="22"/>
          <w:lang w:val="es-ES" w:eastAsia="es-MX"/>
        </w:rPr>
        <w:t>(…)</w:t>
      </w:r>
    </w:p>
    <w:p w14:paraId="084A0ADE" w14:textId="77777777" w:rsidR="007C62F7" w:rsidRPr="007B26FF" w:rsidRDefault="007C62F7" w:rsidP="007C62F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B26FF">
        <w:rPr>
          <w:rFonts w:ascii="Palatino Linotype" w:eastAsia="Calibri" w:hAnsi="Palatino Linotype" w:cs="Arial"/>
          <w:i/>
          <w:sz w:val="22"/>
          <w:szCs w:val="22"/>
          <w:lang w:val="es-ES" w:eastAsia="es-MX"/>
        </w:rPr>
        <w:lastRenderedPageBreak/>
        <w:t>XX. Información clasificada: Aquella considerada por la presente Ley como reservada o confidencial;</w:t>
      </w:r>
    </w:p>
    <w:p w14:paraId="1B8F8F1D" w14:textId="77777777" w:rsidR="007C62F7" w:rsidRPr="007B26FF" w:rsidRDefault="007C62F7" w:rsidP="007C62F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B26FF">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D72024E" w14:textId="77777777" w:rsidR="007C62F7" w:rsidRPr="007B26FF" w:rsidRDefault="007C62F7" w:rsidP="007C62F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B26FF">
        <w:rPr>
          <w:rFonts w:ascii="Palatino Linotype" w:eastAsia="Calibri" w:hAnsi="Palatino Linotype" w:cs="Arial"/>
          <w:i/>
          <w:sz w:val="22"/>
          <w:szCs w:val="22"/>
          <w:lang w:val="es-ES" w:eastAsia="es-MX"/>
        </w:rPr>
        <w:t>(…)</w:t>
      </w:r>
    </w:p>
    <w:p w14:paraId="49CF6212" w14:textId="77777777" w:rsidR="007C62F7" w:rsidRPr="007B26FF" w:rsidRDefault="007C62F7" w:rsidP="007C62F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B26FF">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33F23092" w14:textId="77777777" w:rsidR="007C62F7" w:rsidRPr="007B26FF" w:rsidRDefault="007C62F7" w:rsidP="007C62F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B26FF">
        <w:rPr>
          <w:rFonts w:ascii="Palatino Linotype" w:eastAsia="Calibri" w:hAnsi="Palatino Linotype" w:cs="Arial"/>
          <w:i/>
          <w:sz w:val="22"/>
          <w:szCs w:val="22"/>
          <w:lang w:val="es-ES" w:eastAsia="es-MX"/>
        </w:rPr>
        <w:t>(…)</w:t>
      </w:r>
    </w:p>
    <w:p w14:paraId="6D3E1752" w14:textId="77777777" w:rsidR="007C62F7" w:rsidRPr="007B26FF" w:rsidRDefault="007C62F7" w:rsidP="007C62F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B26FF">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02118D2B" w14:textId="77777777" w:rsidR="007C62F7" w:rsidRPr="007B26FF" w:rsidRDefault="007C62F7" w:rsidP="007C62F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B26FF">
        <w:rPr>
          <w:rFonts w:ascii="Palatino Linotype" w:eastAsia="Calibri" w:hAnsi="Palatino Linotype" w:cs="Arial"/>
          <w:i/>
          <w:sz w:val="22"/>
          <w:szCs w:val="22"/>
          <w:lang w:val="es-ES" w:eastAsia="es-MX"/>
        </w:rPr>
        <w:t>(…)</w:t>
      </w:r>
    </w:p>
    <w:p w14:paraId="76615F25" w14:textId="77777777" w:rsidR="007C62F7" w:rsidRPr="007B26FF" w:rsidRDefault="007C62F7" w:rsidP="007C62F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B26FF">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08BF4F3" w14:textId="77777777" w:rsidR="007C62F7" w:rsidRPr="007B26FF" w:rsidRDefault="007C62F7" w:rsidP="007C62F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B26FF">
        <w:rPr>
          <w:rFonts w:ascii="Palatino Linotype" w:eastAsia="Calibri" w:hAnsi="Palatino Linotype" w:cs="Arial"/>
          <w:i/>
          <w:sz w:val="22"/>
          <w:szCs w:val="22"/>
          <w:lang w:val="es-ES" w:eastAsia="es-MX"/>
        </w:rPr>
        <w:t>(…)</w:t>
      </w:r>
    </w:p>
    <w:p w14:paraId="6440C50C" w14:textId="77777777" w:rsidR="007C62F7" w:rsidRPr="007B26FF" w:rsidRDefault="007C62F7" w:rsidP="007C62F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B26FF">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23D45519" w14:textId="77777777" w:rsidR="007C62F7" w:rsidRPr="007B26FF" w:rsidRDefault="007C62F7" w:rsidP="007C62F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B26FF">
        <w:rPr>
          <w:rFonts w:ascii="Palatino Linotype" w:eastAsia="Calibri" w:hAnsi="Palatino Linotype" w:cs="Arial"/>
          <w:i/>
          <w:sz w:val="22"/>
          <w:szCs w:val="22"/>
          <w:lang w:val="es-ES" w:eastAsia="es-MX"/>
        </w:rPr>
        <w:lastRenderedPageBreak/>
        <w:t>I. Se refiera a la información privada y los datos personales concernientes a una persona física o jurídico colectiva identificada o identificable;</w:t>
      </w:r>
    </w:p>
    <w:p w14:paraId="23D15D9A" w14:textId="77777777" w:rsidR="007C62F7" w:rsidRPr="007B26FF" w:rsidRDefault="007C62F7" w:rsidP="007C62F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B26FF">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3200954B" w14:textId="77777777" w:rsidR="007C62F7" w:rsidRPr="007B26FF" w:rsidRDefault="007C62F7" w:rsidP="007C62F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7B26FF">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14:paraId="5B6C2880" w14:textId="77777777" w:rsidR="007C62F7" w:rsidRPr="007B26FF" w:rsidRDefault="007C62F7" w:rsidP="00BA3B5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7B26FF">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F5A9090" w14:textId="77777777" w:rsidR="007C62F7" w:rsidRPr="007B26FF" w:rsidRDefault="007C62F7" w:rsidP="007C62F7">
      <w:pPr>
        <w:pStyle w:val="Prrafodelista"/>
        <w:autoSpaceDE w:val="0"/>
        <w:autoSpaceDN w:val="0"/>
        <w:adjustRightInd w:val="0"/>
        <w:spacing w:after="160" w:line="360" w:lineRule="auto"/>
        <w:ind w:left="426" w:right="50"/>
        <w:jc w:val="both"/>
        <w:rPr>
          <w:rFonts w:ascii="Palatino Linotype" w:eastAsia="Calibri" w:hAnsi="Palatino Linotype" w:cs="Arial"/>
          <w:szCs w:val="22"/>
          <w:lang w:val="es-ES" w:eastAsia="es-MX"/>
        </w:rPr>
      </w:pPr>
    </w:p>
    <w:p w14:paraId="3068CAE4" w14:textId="77777777" w:rsidR="007C62F7" w:rsidRPr="007B26FF" w:rsidRDefault="007C62F7" w:rsidP="00BA3B5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7B26FF">
        <w:rPr>
          <w:rFonts w:ascii="Palatino Linotype" w:hAnsi="Palatino Linotype" w:cs="Arial"/>
        </w:rPr>
        <w:t>Como consecuencia de lo anterior, el sujeto obligado debe identificar claramente el tipo de información y hacer un juicio de subsunción o encaje</w:t>
      </w:r>
      <w:r w:rsidRPr="007B26FF">
        <w:rPr>
          <w:rStyle w:val="Refdenotaalpie"/>
          <w:rFonts w:ascii="Palatino Linotype" w:hAnsi="Palatino Linotype" w:cs="Arial"/>
        </w:rPr>
        <w:footnoteReference w:id="14"/>
      </w:r>
      <w:r w:rsidRPr="007B26FF">
        <w:rPr>
          <w:rFonts w:ascii="Palatino Linotype" w:hAnsi="Palatino Linotype" w:cs="Arial"/>
        </w:rPr>
        <w:t xml:space="preserve"> para </w:t>
      </w:r>
      <w:r w:rsidRPr="007B26FF">
        <w:rPr>
          <w:rFonts w:ascii="Palatino Linotype" w:hAnsi="Palatino Linotype" w:cs="Arial"/>
        </w:rPr>
        <w:lastRenderedPageBreak/>
        <w:t>acreditar que el supuesto de hecho corresponde estrictamente con la hipótesis jurídica. Esto también lo debe de realizar el servidor público habilitado y el titular del área que administra la información.</w:t>
      </w:r>
    </w:p>
    <w:p w14:paraId="3F3C59DB" w14:textId="77777777" w:rsidR="007C62F7" w:rsidRPr="007B26FF" w:rsidRDefault="007C62F7" w:rsidP="007C62F7">
      <w:pPr>
        <w:pStyle w:val="Prrafodelista"/>
        <w:rPr>
          <w:rFonts w:ascii="Palatino Linotype" w:eastAsia="Calibri" w:hAnsi="Palatino Linotype" w:cs="Arial"/>
          <w:szCs w:val="22"/>
          <w:lang w:val="es-ES" w:eastAsia="es-MX"/>
        </w:rPr>
      </w:pPr>
    </w:p>
    <w:p w14:paraId="094FF5E9" w14:textId="77777777" w:rsidR="007C62F7" w:rsidRPr="007B26FF" w:rsidRDefault="007C62F7" w:rsidP="00BA3B5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7B26FF">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5B99ACD5" w14:textId="77777777" w:rsidR="007C62F7" w:rsidRPr="007B26FF" w:rsidRDefault="007C62F7" w:rsidP="007C62F7">
      <w:pPr>
        <w:pStyle w:val="Prrafodelista"/>
        <w:spacing w:line="360" w:lineRule="auto"/>
        <w:rPr>
          <w:rFonts w:ascii="Palatino Linotype" w:eastAsia="Calibri" w:hAnsi="Palatino Linotype" w:cs="Arial"/>
          <w:szCs w:val="22"/>
          <w:lang w:val="es-ES" w:eastAsia="es-MX"/>
        </w:rPr>
      </w:pPr>
    </w:p>
    <w:p w14:paraId="31884245" w14:textId="77777777" w:rsidR="007C62F7" w:rsidRPr="007B26FF" w:rsidRDefault="007C62F7" w:rsidP="00BA3B51">
      <w:pPr>
        <w:pStyle w:val="Ttulo3"/>
        <w:numPr>
          <w:ilvl w:val="0"/>
          <w:numId w:val="4"/>
        </w:numPr>
        <w:rPr>
          <w:rFonts w:ascii="Palatino Linotype" w:hAnsi="Palatino Linotype"/>
          <w:b/>
          <w:color w:val="auto"/>
        </w:rPr>
      </w:pPr>
      <w:bookmarkStart w:id="144" w:name="_Toc531859123"/>
      <w:bookmarkStart w:id="145" w:name="_Toc2871955"/>
      <w:bookmarkStart w:id="146" w:name="_Toc8218530"/>
      <w:r w:rsidRPr="007B26FF">
        <w:rPr>
          <w:rFonts w:ascii="Palatino Linotype" w:hAnsi="Palatino Linotype"/>
          <w:b/>
          <w:color w:val="auto"/>
        </w:rPr>
        <w:t>La intervención del Comité de Transparencia.</w:t>
      </w:r>
      <w:bookmarkEnd w:id="144"/>
      <w:bookmarkEnd w:id="145"/>
      <w:bookmarkEnd w:id="146"/>
    </w:p>
    <w:p w14:paraId="53631134" w14:textId="77777777" w:rsidR="007C62F7" w:rsidRPr="007B26FF" w:rsidRDefault="007C62F7" w:rsidP="007C62F7"/>
    <w:p w14:paraId="1A97E451" w14:textId="77777777" w:rsidR="007C62F7" w:rsidRPr="007B26FF" w:rsidRDefault="007C62F7" w:rsidP="00BA3B51">
      <w:pPr>
        <w:pStyle w:val="Ttulo4"/>
        <w:numPr>
          <w:ilvl w:val="1"/>
          <w:numId w:val="1"/>
        </w:numPr>
        <w:ind w:left="1560" w:hanging="720"/>
        <w:rPr>
          <w:rFonts w:ascii="Palatino Linotype" w:hAnsi="Palatino Linotype"/>
          <w:b/>
          <w:i w:val="0"/>
          <w:color w:val="auto"/>
        </w:rPr>
      </w:pPr>
      <w:r w:rsidRPr="007B26FF">
        <w:rPr>
          <w:rFonts w:ascii="Palatino Linotype" w:hAnsi="Palatino Linotype"/>
          <w:b/>
          <w:i w:val="0"/>
          <w:color w:val="auto"/>
        </w:rPr>
        <w:t>Formalidades para emitir el acuerdo de clasificación.</w:t>
      </w:r>
    </w:p>
    <w:p w14:paraId="501EA488" w14:textId="77777777" w:rsidR="007C62F7" w:rsidRPr="007B26FF" w:rsidRDefault="007C62F7" w:rsidP="007C62F7">
      <w:pPr>
        <w:spacing w:line="360" w:lineRule="auto"/>
        <w:rPr>
          <w:rFonts w:ascii="Palatino Linotype" w:hAnsi="Palatino Linotype"/>
          <w:lang w:val="es-MX" w:eastAsia="en-US"/>
        </w:rPr>
      </w:pPr>
    </w:p>
    <w:p w14:paraId="429ADC95" w14:textId="77777777" w:rsidR="007C62F7" w:rsidRPr="007B26FF" w:rsidRDefault="007C62F7" w:rsidP="00BA3B5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7B26FF">
        <w:rPr>
          <w:rFonts w:ascii="Palatino Linotype" w:hAnsi="Palatino Linotype" w:cs="Arial"/>
        </w:rPr>
        <w:t xml:space="preserve">El Comité de Transparencia, según lo dispuesto en los artículos 128 y 103 de la Ley Estatal y de la Ley General, respectivamente, y </w:t>
      </w:r>
      <w:r w:rsidRPr="007B26FF">
        <w:rPr>
          <w:rFonts w:ascii="Palatino Linotype" w:hAnsi="Palatino Linotype"/>
        </w:rPr>
        <w:t xml:space="preserve">la fracción III del numeral Segundo de los </w:t>
      </w:r>
      <w:r w:rsidRPr="007B26FF">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7B26FF">
        <w:rPr>
          <w:rFonts w:ascii="Palatino Linotype" w:hAnsi="Palatino Linotype"/>
        </w:rPr>
        <w:t xml:space="preserve"> </w:t>
      </w:r>
      <w:r w:rsidRPr="007B26FF">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4A0D1E8A" w14:textId="77777777" w:rsidR="007C62F7" w:rsidRPr="007B26FF" w:rsidRDefault="007C62F7" w:rsidP="007C62F7">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745968E0" w14:textId="77777777" w:rsidR="007C62F7" w:rsidRPr="007B26FF" w:rsidRDefault="007C62F7" w:rsidP="00BA3B5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7B26FF">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251943ED" w14:textId="77777777" w:rsidR="007C62F7" w:rsidRPr="007B26FF" w:rsidRDefault="007C62F7" w:rsidP="007C62F7">
      <w:pPr>
        <w:pStyle w:val="Prrafodelista"/>
        <w:rPr>
          <w:rFonts w:ascii="Palatino Linotype" w:eastAsia="Calibri" w:hAnsi="Palatino Linotype" w:cs="Arial"/>
          <w:szCs w:val="22"/>
          <w:lang w:val="es-ES" w:eastAsia="es-MX"/>
        </w:rPr>
      </w:pPr>
    </w:p>
    <w:p w14:paraId="554F99F6" w14:textId="77777777" w:rsidR="007C62F7" w:rsidRPr="007B26FF" w:rsidRDefault="007C62F7" w:rsidP="00BA3B5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7B26FF">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69D25B6A" w14:textId="77777777" w:rsidR="007C62F7" w:rsidRPr="007B26FF" w:rsidRDefault="007C62F7" w:rsidP="007C62F7"/>
    <w:p w14:paraId="4609E4AC" w14:textId="77777777" w:rsidR="007C62F7" w:rsidRPr="007B26FF" w:rsidRDefault="007C62F7" w:rsidP="00BA3B51">
      <w:pPr>
        <w:pStyle w:val="Ttulo4"/>
        <w:numPr>
          <w:ilvl w:val="0"/>
          <w:numId w:val="5"/>
        </w:numPr>
        <w:rPr>
          <w:rFonts w:ascii="Palatino Linotype" w:hAnsi="Palatino Linotype"/>
          <w:b/>
          <w:i w:val="0"/>
          <w:sz w:val="22"/>
        </w:rPr>
      </w:pPr>
      <w:r w:rsidRPr="007B26FF">
        <w:rPr>
          <w:rFonts w:ascii="Palatino Linotype" w:hAnsi="Palatino Linotype"/>
          <w:b/>
          <w:i w:val="0"/>
          <w:color w:val="auto"/>
        </w:rPr>
        <w:lastRenderedPageBreak/>
        <w:t>Requisitos de fondo del acuerdo de clasificación</w:t>
      </w:r>
    </w:p>
    <w:p w14:paraId="04967B4C" w14:textId="77777777" w:rsidR="007C62F7" w:rsidRPr="007B26FF" w:rsidRDefault="007C62F7" w:rsidP="007C62F7">
      <w:pPr>
        <w:pStyle w:val="Prrafodelista"/>
        <w:spacing w:line="360" w:lineRule="auto"/>
        <w:rPr>
          <w:rFonts w:ascii="Palatino Linotype" w:eastAsia="Calibri" w:hAnsi="Palatino Linotype" w:cs="Arial"/>
          <w:szCs w:val="22"/>
          <w:lang w:val="es-ES" w:eastAsia="es-MX"/>
        </w:rPr>
      </w:pPr>
    </w:p>
    <w:p w14:paraId="1C04B9CD" w14:textId="77777777" w:rsidR="007C62F7" w:rsidRPr="007B26FF" w:rsidRDefault="007C62F7" w:rsidP="00BA3B5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7B26FF">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proofErr w:type="gramStart"/>
      <w:r w:rsidRPr="007B26FF">
        <w:rPr>
          <w:rFonts w:ascii="Palatino Linotype" w:hAnsi="Palatino Linotype" w:cs="Arial"/>
        </w:rPr>
        <w:t>Generales,  al</w:t>
      </w:r>
      <w:proofErr w:type="gramEnd"/>
      <w:r w:rsidRPr="007B26FF">
        <w:rPr>
          <w:rFonts w:ascii="Palatino Linotype" w:hAnsi="Palatino Linotype" w:cs="Arial"/>
        </w:rPr>
        <w:t xml:space="preserve"> señalar que la carga de la prueba, para justificar las restricciones, corresponde a los sujetos obligados, por lo que deberán fundar y motivar debidamente la clasificación. </w:t>
      </w:r>
    </w:p>
    <w:p w14:paraId="7C58A0DF" w14:textId="77777777" w:rsidR="007C62F7" w:rsidRPr="007B26FF" w:rsidRDefault="007C62F7" w:rsidP="007C62F7">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6F207C13" w14:textId="77777777" w:rsidR="007C62F7" w:rsidRPr="007B26FF" w:rsidRDefault="007C62F7" w:rsidP="00BA3B5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7B26FF">
        <w:rPr>
          <w:rFonts w:ascii="Palatino Linotype" w:hAnsi="Palatino Linotype"/>
        </w:rPr>
        <w:t xml:space="preserve">De lo anterior, se desprende </w:t>
      </w:r>
      <w:proofErr w:type="gramStart"/>
      <w:r w:rsidRPr="007B26FF">
        <w:rPr>
          <w:rFonts w:ascii="Palatino Linotype" w:hAnsi="Palatino Linotype"/>
        </w:rPr>
        <w:t>que</w:t>
      </w:r>
      <w:proofErr w:type="gramEnd"/>
      <w:r w:rsidRPr="007B26FF">
        <w:rPr>
          <w:rFonts w:ascii="Palatino Linotype" w:hAnsi="Palatino Linotype"/>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C44E8DA" w14:textId="77777777" w:rsidR="007C62F7" w:rsidRPr="007B26FF" w:rsidRDefault="007C62F7" w:rsidP="007C62F7">
      <w:pPr>
        <w:pStyle w:val="Prrafodelista"/>
        <w:rPr>
          <w:rFonts w:ascii="Palatino Linotype" w:eastAsia="Calibri" w:hAnsi="Palatino Linotype" w:cs="Arial"/>
          <w:szCs w:val="22"/>
          <w:lang w:val="es-ES" w:eastAsia="es-MX"/>
        </w:rPr>
      </w:pPr>
    </w:p>
    <w:p w14:paraId="0AA5C818" w14:textId="77777777" w:rsidR="007C62F7" w:rsidRPr="007B26FF" w:rsidRDefault="007C62F7" w:rsidP="00BA3B5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7B26FF">
        <w:rPr>
          <w:rFonts w:ascii="Palatino Linotype" w:eastAsia="Times New Roman" w:hAnsi="Palatino Linotype" w:cs="Arial"/>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w:t>
      </w:r>
      <w:r w:rsidRPr="007B26FF">
        <w:rPr>
          <w:rFonts w:ascii="Palatino Linotype" w:eastAsia="Times New Roman" w:hAnsi="Palatino Linotype" w:cs="Arial"/>
          <w:lang w:eastAsia="es-MX"/>
        </w:rPr>
        <w:lastRenderedPageBreak/>
        <w:t xml:space="preserve">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7B26FF">
        <w:rPr>
          <w:rFonts w:ascii="Palatino Linotype" w:eastAsia="Times New Roman" w:hAnsi="Palatino Linotype" w:cs="Arial"/>
          <w:lang w:eastAsia="es-MX"/>
        </w:rPr>
        <w:t>hecho....</w:t>
      </w:r>
      <w:proofErr w:type="gramEnd"/>
      <w:r w:rsidRPr="007B26FF">
        <w:rPr>
          <w:rFonts w:ascii="Palatino Linotype" w:eastAsia="Times New Roman" w:hAnsi="Palatino Linotype" w:cs="Arial"/>
          <w:lang w:eastAsia="es-MX"/>
        </w:rPr>
        <w:t>”</w:t>
      </w:r>
      <w:r w:rsidRPr="007B26FF">
        <w:rPr>
          <w:rStyle w:val="Refdenotaalpie"/>
          <w:rFonts w:ascii="Palatino Linotype" w:eastAsia="Times New Roman" w:hAnsi="Palatino Linotype" w:cs="Arial"/>
          <w:lang w:eastAsia="es-MX"/>
        </w:rPr>
        <w:footnoteReference w:id="15"/>
      </w:r>
    </w:p>
    <w:p w14:paraId="14F9EC7B" w14:textId="77777777" w:rsidR="007C62F7" w:rsidRPr="007B26FF" w:rsidRDefault="007C62F7" w:rsidP="007C62F7">
      <w:pPr>
        <w:pStyle w:val="Prrafodelista"/>
        <w:rPr>
          <w:rFonts w:ascii="Palatino Linotype" w:eastAsia="Calibri" w:hAnsi="Palatino Linotype" w:cs="Arial"/>
          <w:szCs w:val="22"/>
          <w:lang w:val="es-ES" w:eastAsia="es-MX"/>
        </w:rPr>
      </w:pPr>
    </w:p>
    <w:p w14:paraId="52F1E128" w14:textId="77777777" w:rsidR="007C62F7" w:rsidRPr="007B26FF" w:rsidRDefault="007C62F7" w:rsidP="00BA3B5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7B26FF">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24579765" w14:textId="77777777" w:rsidR="007C62F7" w:rsidRPr="007B26FF" w:rsidRDefault="007C62F7" w:rsidP="007C62F7">
      <w:pPr>
        <w:spacing w:line="360" w:lineRule="auto"/>
        <w:ind w:left="567" w:right="567"/>
        <w:contextualSpacing/>
        <w:jc w:val="both"/>
        <w:rPr>
          <w:rFonts w:ascii="Palatino Linotype" w:hAnsi="Palatino Linotype" w:cs="Arial"/>
          <w:i/>
          <w:sz w:val="22"/>
        </w:rPr>
      </w:pPr>
      <w:r w:rsidRPr="007B26FF">
        <w:rPr>
          <w:rFonts w:ascii="Palatino Linotype" w:hAnsi="Palatino Linotype" w:cs="Arial"/>
          <w:b/>
          <w:i/>
          <w:sz w:val="22"/>
        </w:rPr>
        <w:t>FUNDAMENTACIÓN Y MOTIVACIÓN.</w:t>
      </w:r>
      <w:r w:rsidRPr="007B26FF">
        <w:rPr>
          <w:rFonts w:ascii="Palatino Linotype" w:hAnsi="Palatino Linotype" w:cs="Arial"/>
          <w:i/>
          <w:sz w:val="22"/>
        </w:rPr>
        <w:t xml:space="preserve"> La </w:t>
      </w:r>
      <w:r w:rsidRPr="007B26FF">
        <w:rPr>
          <w:rFonts w:ascii="Palatino Linotype" w:hAnsi="Palatino Linotype" w:cs="Arial"/>
          <w:i/>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7B26FF">
        <w:rPr>
          <w:rFonts w:ascii="Palatino Linotype" w:hAnsi="Palatino Linotype" w:cs="Arial"/>
          <w:i/>
          <w:sz w:val="22"/>
        </w:rPr>
        <w:t>.</w:t>
      </w:r>
    </w:p>
    <w:p w14:paraId="4F57CBB1" w14:textId="77777777" w:rsidR="007C62F7" w:rsidRPr="007B26FF" w:rsidRDefault="007C62F7" w:rsidP="007C62F7">
      <w:pPr>
        <w:spacing w:line="360" w:lineRule="auto"/>
        <w:ind w:left="567" w:right="567"/>
        <w:contextualSpacing/>
        <w:jc w:val="both"/>
        <w:rPr>
          <w:rFonts w:ascii="Palatino Linotype" w:hAnsi="Palatino Linotype" w:cs="Arial"/>
          <w:i/>
          <w:sz w:val="22"/>
        </w:rPr>
      </w:pPr>
      <w:r w:rsidRPr="007B26FF">
        <w:rPr>
          <w:rFonts w:ascii="Palatino Linotype" w:hAnsi="Palatino Linotype" w:cs="Arial"/>
          <w:i/>
          <w:sz w:val="22"/>
        </w:rPr>
        <w:t>SEGUNDO TRIBUNAL COLEGIADO DEL SEXTO CIRCUITO.</w:t>
      </w:r>
    </w:p>
    <w:p w14:paraId="762E2282" w14:textId="77777777" w:rsidR="007C62F7" w:rsidRPr="007B26FF" w:rsidRDefault="007C62F7" w:rsidP="007C62F7">
      <w:pPr>
        <w:spacing w:line="360" w:lineRule="auto"/>
        <w:ind w:left="567" w:right="567"/>
        <w:contextualSpacing/>
        <w:jc w:val="both"/>
        <w:rPr>
          <w:rFonts w:ascii="Palatino Linotype" w:hAnsi="Palatino Linotype" w:cs="Arial"/>
          <w:i/>
          <w:sz w:val="22"/>
        </w:rPr>
      </w:pPr>
      <w:r w:rsidRPr="007B26FF">
        <w:rPr>
          <w:rFonts w:ascii="Palatino Linotype" w:hAnsi="Palatino Linotype" w:cs="Arial"/>
          <w:i/>
          <w:sz w:val="22"/>
        </w:rPr>
        <w:t>Amparo directo 194/88. Bufete Industrial Construcciones, S.A. de C.V. 28 de junio de 1988. Unanimidad de votos. Ponente: Gustavo Calvillo Rangel. Secretario: Jorge Alberto González Álvarez.</w:t>
      </w:r>
    </w:p>
    <w:p w14:paraId="62EED3EE" w14:textId="77777777" w:rsidR="007C62F7" w:rsidRPr="007B26FF" w:rsidRDefault="007C62F7" w:rsidP="007C62F7">
      <w:pPr>
        <w:spacing w:line="360" w:lineRule="auto"/>
        <w:ind w:left="567" w:right="567"/>
        <w:contextualSpacing/>
        <w:jc w:val="both"/>
        <w:rPr>
          <w:rFonts w:ascii="Palatino Linotype" w:hAnsi="Palatino Linotype" w:cs="Arial"/>
          <w:i/>
          <w:sz w:val="22"/>
        </w:rPr>
      </w:pPr>
      <w:r w:rsidRPr="007B26FF">
        <w:rPr>
          <w:rFonts w:ascii="Palatino Linotype" w:hAnsi="Palatino Linotype" w:cs="Arial"/>
          <w:i/>
          <w:sz w:val="22"/>
        </w:rPr>
        <w:lastRenderedPageBreak/>
        <w:t>Revisión fiscal 103/88. Instituto Mexicano del Seguro Social. 18 de octubre de 1988. Unanimidad de votos. Ponente: Arnoldo Nájera Virgen. Secretario: Alejandro Esponda Rincón.</w:t>
      </w:r>
    </w:p>
    <w:p w14:paraId="7F45314A" w14:textId="77777777" w:rsidR="007C62F7" w:rsidRPr="007B26FF" w:rsidRDefault="007C62F7" w:rsidP="007C62F7">
      <w:pPr>
        <w:spacing w:line="360" w:lineRule="auto"/>
        <w:ind w:left="567" w:right="567"/>
        <w:contextualSpacing/>
        <w:jc w:val="both"/>
        <w:rPr>
          <w:rFonts w:ascii="Palatino Linotype" w:hAnsi="Palatino Linotype" w:cs="Arial"/>
          <w:i/>
          <w:sz w:val="22"/>
        </w:rPr>
      </w:pPr>
      <w:r w:rsidRPr="007B26FF">
        <w:rPr>
          <w:rFonts w:ascii="Palatino Linotype" w:hAnsi="Palatino Linotype" w:cs="Arial"/>
          <w:i/>
          <w:sz w:val="22"/>
        </w:rPr>
        <w:t>Amparo en revisión 333/88. Adilia Romero. 26 de octubre de 1988. Unanimidad de votos. Ponente: Arnoldo Nájera Virgen. Secretario: Enrique Crispín Campos Ramírez.</w:t>
      </w:r>
    </w:p>
    <w:p w14:paraId="1C80F04D" w14:textId="77777777" w:rsidR="007C62F7" w:rsidRPr="007B26FF" w:rsidRDefault="007C62F7" w:rsidP="007C62F7">
      <w:pPr>
        <w:spacing w:line="360" w:lineRule="auto"/>
        <w:ind w:left="567" w:right="567"/>
        <w:contextualSpacing/>
        <w:jc w:val="both"/>
        <w:rPr>
          <w:rFonts w:ascii="Palatino Linotype" w:hAnsi="Palatino Linotype" w:cs="Arial"/>
          <w:i/>
          <w:sz w:val="22"/>
        </w:rPr>
      </w:pPr>
      <w:r w:rsidRPr="007B26FF">
        <w:rPr>
          <w:rFonts w:ascii="Palatino Linotype" w:hAnsi="Palatino Linotype" w:cs="Arial"/>
          <w:i/>
          <w:sz w:val="22"/>
        </w:rPr>
        <w:t>Amparo en revisión 597/95. Emilio Maurer Bretón. 15 de noviembre de 1995. Unanimidad de votos. Ponente: Clementina Ramírez Moguel Goyzueta. Secretario: Gonzalo Carrera Molina.</w:t>
      </w:r>
    </w:p>
    <w:p w14:paraId="198F7CBD" w14:textId="77777777" w:rsidR="007C62F7" w:rsidRPr="007B26FF" w:rsidRDefault="007C62F7" w:rsidP="007C62F7">
      <w:pPr>
        <w:spacing w:line="360" w:lineRule="auto"/>
        <w:ind w:left="567" w:right="567"/>
        <w:contextualSpacing/>
        <w:jc w:val="both"/>
        <w:rPr>
          <w:rFonts w:ascii="Palatino Linotype" w:hAnsi="Palatino Linotype" w:cs="Arial"/>
          <w:i/>
          <w:sz w:val="22"/>
        </w:rPr>
      </w:pPr>
      <w:r w:rsidRPr="007B26FF">
        <w:rPr>
          <w:rFonts w:ascii="Palatino Linotype" w:hAnsi="Palatino Linotype" w:cs="Arial"/>
          <w:i/>
          <w:sz w:val="22"/>
        </w:rPr>
        <w:t xml:space="preserve">Amparo directo 7/96. Pedro Vicente López Miro. 21 de febrero de 1996. Unanimidad de votos. Ponente: María Eugenia Estela Martínez Cardiel. Secretario: Enrique </w:t>
      </w:r>
      <w:proofErr w:type="spellStart"/>
      <w:r w:rsidRPr="007B26FF">
        <w:rPr>
          <w:rFonts w:ascii="Palatino Linotype" w:hAnsi="Palatino Linotype" w:cs="Arial"/>
          <w:i/>
          <w:sz w:val="22"/>
        </w:rPr>
        <w:t>Baigts</w:t>
      </w:r>
      <w:proofErr w:type="spellEnd"/>
      <w:r w:rsidRPr="007B26FF">
        <w:rPr>
          <w:rFonts w:ascii="Palatino Linotype" w:hAnsi="Palatino Linotype" w:cs="Arial"/>
          <w:i/>
          <w:sz w:val="22"/>
        </w:rPr>
        <w:t xml:space="preserve"> Muñoz.</w:t>
      </w:r>
    </w:p>
    <w:p w14:paraId="30B10C11" w14:textId="77777777" w:rsidR="007C62F7" w:rsidRPr="007B26FF" w:rsidRDefault="007C62F7" w:rsidP="007C62F7">
      <w:pPr>
        <w:spacing w:line="360" w:lineRule="auto"/>
        <w:ind w:firstLine="1418"/>
        <w:contextualSpacing/>
        <w:jc w:val="both"/>
        <w:rPr>
          <w:rFonts w:ascii="Palatino Linotype" w:hAnsi="Palatino Linotype" w:cs="Arial"/>
          <w:lang w:val="es-ES"/>
        </w:rPr>
      </w:pPr>
    </w:p>
    <w:p w14:paraId="1328C4DD" w14:textId="77777777" w:rsidR="007C62F7" w:rsidRPr="007B26FF" w:rsidRDefault="007C62F7" w:rsidP="00BA3B51">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7B26FF">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E152037" w14:textId="77777777" w:rsidR="007C62F7" w:rsidRPr="007B26FF" w:rsidRDefault="007C62F7" w:rsidP="007C62F7">
      <w:pPr>
        <w:pStyle w:val="Prrafodelista"/>
        <w:shd w:val="clear" w:color="auto" w:fill="FFFFFF"/>
        <w:spacing w:line="360" w:lineRule="auto"/>
        <w:ind w:left="360"/>
        <w:jc w:val="both"/>
        <w:rPr>
          <w:rFonts w:ascii="Palatino Linotype" w:eastAsia="Times New Roman" w:hAnsi="Palatino Linotype" w:cs="Arial"/>
          <w:lang w:eastAsia="es-MX"/>
        </w:rPr>
      </w:pPr>
    </w:p>
    <w:p w14:paraId="2B818DDC" w14:textId="77777777" w:rsidR="007C62F7" w:rsidRPr="007B26FF" w:rsidRDefault="007C62F7" w:rsidP="00BA3B51">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7B26FF">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42C0D63" w14:textId="77777777" w:rsidR="007C62F7" w:rsidRPr="007B26FF" w:rsidRDefault="007C62F7" w:rsidP="007C62F7">
      <w:pPr>
        <w:shd w:val="clear" w:color="auto" w:fill="FFFFFF"/>
        <w:spacing w:line="360" w:lineRule="auto"/>
        <w:contextualSpacing/>
        <w:jc w:val="both"/>
        <w:rPr>
          <w:rFonts w:ascii="Palatino Linotype" w:hAnsi="Palatino Linotype" w:cs="Arial"/>
          <w:lang w:eastAsia="es-MX"/>
        </w:rPr>
      </w:pPr>
    </w:p>
    <w:p w14:paraId="490A47FC" w14:textId="77777777" w:rsidR="007C62F7" w:rsidRPr="007B26FF" w:rsidRDefault="007C62F7" w:rsidP="00BA3B51">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7B26FF">
        <w:rPr>
          <w:rFonts w:ascii="Palatino Linotype" w:eastAsia="Times New Roman" w:hAnsi="Palatino Linotype" w:cs="Arial"/>
          <w:lang w:eastAsia="es-MX"/>
        </w:rPr>
        <w:lastRenderedPageBreak/>
        <w:t>En ese mismo sentido, el lineamiento trigésimo tercero fracción V de los Lineamientos Generales, precisa que para motivar la clasificación se deben acreditar las circunstancias de tiempo, modo y lugar.</w:t>
      </w:r>
    </w:p>
    <w:p w14:paraId="2A787127" w14:textId="77777777" w:rsidR="007C62F7" w:rsidRPr="007B26FF" w:rsidRDefault="007C62F7" w:rsidP="007C62F7">
      <w:pPr>
        <w:shd w:val="clear" w:color="auto" w:fill="FFFFFF"/>
        <w:spacing w:line="360" w:lineRule="auto"/>
        <w:jc w:val="both"/>
        <w:rPr>
          <w:rFonts w:ascii="Palatino Linotype" w:hAnsi="Palatino Linotype" w:cs="Arial"/>
          <w:lang w:eastAsia="es-MX"/>
        </w:rPr>
      </w:pPr>
    </w:p>
    <w:p w14:paraId="6999C081" w14:textId="77777777" w:rsidR="007C62F7" w:rsidRPr="007B26FF" w:rsidRDefault="007C62F7" w:rsidP="00BA3B51">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7B26FF">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7B26FF">
        <w:rPr>
          <w:rFonts w:ascii="Palatino Linotype" w:hAnsi="Palatino Linotype"/>
        </w:rPr>
        <w:t xml:space="preserve"> </w:t>
      </w:r>
      <w:r w:rsidRPr="007B26FF">
        <w:rPr>
          <w:rFonts w:ascii="Palatino Linotype" w:eastAsia="Times New Roman" w:hAnsi="Palatino Linotype" w:cs="Arial"/>
          <w:lang w:eastAsia="es-MX"/>
        </w:rPr>
        <w:t>datos personales</w:t>
      </w:r>
      <w:r w:rsidRPr="007B26FF">
        <w:rPr>
          <w:rStyle w:val="Refdenotaalpie"/>
          <w:rFonts w:ascii="Palatino Linotype" w:eastAsia="Times New Roman" w:hAnsi="Palatino Linotype" w:cs="Arial"/>
          <w:lang w:eastAsia="es-MX"/>
        </w:rPr>
        <w:footnoteReference w:id="16"/>
      </w:r>
      <w:r w:rsidRPr="007B26FF">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7B26FF">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14:paraId="4A7AFED0" w14:textId="77777777" w:rsidR="007C62F7" w:rsidRPr="007B26FF" w:rsidRDefault="007C62F7" w:rsidP="007C62F7">
      <w:pPr>
        <w:pStyle w:val="Prrafodelista"/>
        <w:rPr>
          <w:rFonts w:ascii="Palatino Linotype" w:eastAsia="Times New Roman" w:hAnsi="Palatino Linotype" w:cs="Arial"/>
          <w:lang w:eastAsia="es-MX"/>
        </w:rPr>
      </w:pPr>
    </w:p>
    <w:p w14:paraId="6B8E4541" w14:textId="77777777" w:rsidR="007C62F7" w:rsidRPr="007B26FF" w:rsidRDefault="007C62F7" w:rsidP="00BA3B51">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7B26FF">
        <w:rPr>
          <w:rFonts w:ascii="Palatino Linotype" w:eastAsia="Calibri" w:hAnsi="Palatino Linotype" w:cs="Arial"/>
          <w:lang w:val="es-ES" w:eastAsia="es-MX"/>
        </w:rPr>
        <w:t xml:space="preserve">Otro tipo de información confidencial constituyen los secretos bancario, fiduciario, industrial, comercial, fiscal, bursátil y postal, cuya titularidad </w:t>
      </w:r>
      <w:r w:rsidRPr="007B26FF">
        <w:rPr>
          <w:rFonts w:ascii="Palatino Linotype" w:eastAsia="Calibri" w:hAnsi="Palatino Linotype" w:cs="Arial"/>
          <w:lang w:val="es-ES" w:eastAsia="es-MX"/>
        </w:rPr>
        <w:lastRenderedPageBreak/>
        <w:t>corresponda a particulares, sujetos de derecho internacional o a sujetos obligados cuando no involucren el ejercicio de recursos públicos, así lo define la fracción XXI del artículo 3 de la Ley Estatal.</w:t>
      </w:r>
    </w:p>
    <w:p w14:paraId="4C03CAB2" w14:textId="77777777" w:rsidR="007C62F7" w:rsidRPr="007B26FF" w:rsidRDefault="007C62F7" w:rsidP="007C62F7">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4883E0B6" w14:textId="77777777" w:rsidR="007C62F7" w:rsidRPr="007B26FF" w:rsidRDefault="007C62F7" w:rsidP="00BA3B51">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7B26FF">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Pr="007B26FF">
        <w:rPr>
          <w:rFonts w:ascii="Palatino Linotype" w:hAnsi="Palatino Linotype"/>
          <w:lang w:val="es-ES"/>
        </w:rPr>
        <w:t xml:space="preserve"> </w:t>
      </w:r>
      <w:bookmarkEnd w:id="130"/>
      <w:bookmarkEnd w:id="131"/>
      <w:bookmarkEnd w:id="132"/>
      <w:bookmarkEnd w:id="133"/>
      <w:bookmarkEnd w:id="134"/>
      <w:bookmarkEnd w:id="135"/>
      <w:bookmarkEnd w:id="136"/>
      <w:bookmarkEnd w:id="137"/>
    </w:p>
    <w:p w14:paraId="06507BFD" w14:textId="77777777" w:rsidR="007C62F7" w:rsidRPr="007B26FF" w:rsidRDefault="007C62F7" w:rsidP="007C62F7">
      <w:pPr>
        <w:pStyle w:val="Prrafodelista"/>
        <w:tabs>
          <w:tab w:val="left" w:pos="851"/>
        </w:tabs>
        <w:spacing w:before="240" w:after="240" w:line="360" w:lineRule="auto"/>
        <w:ind w:left="0" w:right="49"/>
        <w:jc w:val="both"/>
        <w:rPr>
          <w:rFonts w:ascii="Palatino Linotype" w:hAnsi="Palatino Linotype"/>
          <w:lang w:val="es-ES"/>
        </w:rPr>
      </w:pPr>
    </w:p>
    <w:p w14:paraId="58B15287" w14:textId="77777777" w:rsidR="007C62F7" w:rsidRPr="007B26FF" w:rsidRDefault="007C62F7" w:rsidP="00BA3B51">
      <w:pPr>
        <w:pStyle w:val="Prrafodelista"/>
        <w:numPr>
          <w:ilvl w:val="0"/>
          <w:numId w:val="1"/>
        </w:numPr>
        <w:spacing w:before="240" w:after="240" w:line="360" w:lineRule="auto"/>
        <w:ind w:left="0" w:firstLine="0"/>
        <w:jc w:val="both"/>
        <w:rPr>
          <w:rFonts w:ascii="Palatino Linotype" w:hAnsi="Palatino Linotype" w:cs="Arial"/>
        </w:rPr>
      </w:pPr>
      <w:r w:rsidRPr="007B26FF">
        <w:rPr>
          <w:rFonts w:ascii="Palatino Linotype" w:hAnsi="Palatino Linotype"/>
          <w:color w:val="000000"/>
          <w:lang w:val="es-ES" w:eastAsia="es-MX"/>
        </w:rPr>
        <w:t xml:space="preserve">Por lo anteriormente expuesto y fundado, este </w:t>
      </w:r>
      <w:r w:rsidRPr="007B26FF">
        <w:rPr>
          <w:rFonts w:ascii="Palatino Linotype" w:hAnsi="Palatino Linotype"/>
          <w:b/>
          <w:bCs/>
          <w:color w:val="000000"/>
          <w:lang w:val="es-ES" w:eastAsia="es-MX"/>
        </w:rPr>
        <w:t>ÓRGANO GARANTE</w:t>
      </w:r>
      <w:r w:rsidRPr="007B26FF">
        <w:rPr>
          <w:rFonts w:ascii="Palatino Linotype" w:hAnsi="Palatino Linotype"/>
          <w:color w:val="000000"/>
          <w:lang w:val="es-ES" w:eastAsia="es-MX"/>
        </w:rPr>
        <w:t xml:space="preserve"> emite los siguientes:</w:t>
      </w:r>
    </w:p>
    <w:p w14:paraId="25B7F909" w14:textId="77777777" w:rsidR="007C62F7" w:rsidRPr="007B26FF" w:rsidRDefault="007C62F7" w:rsidP="007C62F7">
      <w:pPr>
        <w:keepNext/>
        <w:keepLines/>
        <w:spacing w:line="360" w:lineRule="auto"/>
        <w:jc w:val="center"/>
        <w:outlineLvl w:val="0"/>
        <w:rPr>
          <w:rFonts w:ascii="Palatino Linotype" w:hAnsi="Palatino Linotype" w:cstheme="majorBidi"/>
          <w:b/>
          <w:bCs/>
        </w:rPr>
      </w:pPr>
      <w:bookmarkStart w:id="147" w:name="_Toc447699324"/>
      <w:bookmarkStart w:id="148" w:name="_Toc445745148"/>
      <w:bookmarkStart w:id="149" w:name="_Toc486525261"/>
      <w:bookmarkStart w:id="150" w:name="_Toc8218531"/>
      <w:r w:rsidRPr="007B26FF">
        <w:rPr>
          <w:rFonts w:ascii="Palatino Linotype" w:hAnsi="Palatino Linotype" w:cstheme="majorBidi"/>
          <w:b/>
          <w:bCs/>
        </w:rPr>
        <w:t>R E S O L U T I V O S</w:t>
      </w:r>
      <w:bookmarkEnd w:id="147"/>
      <w:bookmarkEnd w:id="148"/>
      <w:bookmarkEnd w:id="149"/>
      <w:bookmarkEnd w:id="150"/>
    </w:p>
    <w:p w14:paraId="1DD988A4" w14:textId="77777777" w:rsidR="007C62F7" w:rsidRPr="007B26FF" w:rsidRDefault="007C62F7" w:rsidP="007C62F7">
      <w:pPr>
        <w:keepNext/>
        <w:keepLines/>
        <w:spacing w:line="360" w:lineRule="auto"/>
        <w:jc w:val="center"/>
        <w:outlineLvl w:val="0"/>
        <w:rPr>
          <w:rFonts w:ascii="Palatino Linotype" w:hAnsi="Palatino Linotype" w:cstheme="majorBidi"/>
          <w:b/>
          <w:bCs/>
        </w:rPr>
      </w:pPr>
    </w:p>
    <w:p w14:paraId="3D5BC229" w14:textId="47955202" w:rsidR="007C62F7" w:rsidRPr="007B26FF" w:rsidRDefault="007C62F7" w:rsidP="007C62F7">
      <w:pPr>
        <w:spacing w:line="360" w:lineRule="auto"/>
        <w:jc w:val="both"/>
        <w:rPr>
          <w:rFonts w:ascii="Palatino Linotype" w:hAnsi="Palatino Linotype"/>
        </w:rPr>
      </w:pPr>
      <w:r w:rsidRPr="007B26FF">
        <w:rPr>
          <w:rFonts w:ascii="Palatino Linotype" w:hAnsi="Palatino Linotype" w:cs="Arial"/>
          <w:b/>
        </w:rPr>
        <w:t xml:space="preserve">PRIMERO. </w:t>
      </w:r>
      <w:r w:rsidRPr="007B26FF">
        <w:rPr>
          <w:rFonts w:ascii="Palatino Linotype" w:hAnsi="Palatino Linotype" w:cs="Arial"/>
        </w:rPr>
        <w:t>Resultan fundadas las</w:t>
      </w:r>
      <w:r w:rsidRPr="007B26FF">
        <w:rPr>
          <w:rFonts w:ascii="Palatino Linotype" w:hAnsi="Palatino Linotype" w:cs="Arial"/>
          <w:b/>
        </w:rPr>
        <w:t xml:space="preserve"> </w:t>
      </w:r>
      <w:r w:rsidRPr="007B26FF">
        <w:rPr>
          <w:rFonts w:ascii="Palatino Linotype" w:hAnsi="Palatino Linotype" w:cs="Arial"/>
          <w:lang w:val="es-ES"/>
        </w:rPr>
        <w:t xml:space="preserve">razones o motivos de inconformidad hechos valer </w:t>
      </w:r>
      <w:r w:rsidRPr="007B26FF">
        <w:rPr>
          <w:rFonts w:ascii="Palatino Linotype" w:eastAsia="Calibri" w:hAnsi="Palatino Linotype" w:cs="Arial"/>
          <w:lang w:val="es-ES"/>
        </w:rPr>
        <w:t xml:space="preserve">en el recurso de revisión </w:t>
      </w:r>
      <w:r w:rsidRPr="007B26FF">
        <w:rPr>
          <w:rFonts w:ascii="Palatino Linotype" w:hAnsi="Palatino Linotype" w:cs="Arial"/>
          <w:b/>
          <w:bCs/>
        </w:rPr>
        <w:t>0</w:t>
      </w:r>
      <w:r w:rsidR="005724ED" w:rsidRPr="007B26FF">
        <w:rPr>
          <w:rFonts w:ascii="Palatino Linotype" w:hAnsi="Palatino Linotype" w:cs="Arial"/>
          <w:b/>
          <w:bCs/>
        </w:rPr>
        <w:t>0018</w:t>
      </w:r>
      <w:r w:rsidRPr="007B26FF">
        <w:rPr>
          <w:rFonts w:ascii="Palatino Linotype" w:hAnsi="Palatino Linotype" w:cs="Arial"/>
          <w:b/>
          <w:bCs/>
        </w:rPr>
        <w:t>/INFOEM/IP/RR/20</w:t>
      </w:r>
      <w:r w:rsidR="005724ED" w:rsidRPr="007B26FF">
        <w:rPr>
          <w:rFonts w:ascii="Palatino Linotype" w:hAnsi="Palatino Linotype" w:cs="Arial"/>
          <w:b/>
          <w:bCs/>
        </w:rPr>
        <w:t>21</w:t>
      </w:r>
      <w:r w:rsidRPr="007B26FF">
        <w:rPr>
          <w:rFonts w:ascii="Palatino Linotype" w:hAnsi="Palatino Linotype" w:cs="Arial"/>
          <w:b/>
          <w:bCs/>
        </w:rPr>
        <w:t xml:space="preserve"> </w:t>
      </w:r>
      <w:r w:rsidRPr="007B26FF">
        <w:rPr>
          <w:rFonts w:ascii="Palatino Linotype" w:hAnsi="Palatino Linotype" w:cs="Arial"/>
          <w:bCs/>
        </w:rPr>
        <w:t xml:space="preserve">en términos de los considerandos </w:t>
      </w:r>
      <w:r w:rsidR="00831F0C" w:rsidRPr="007B26FF">
        <w:rPr>
          <w:rFonts w:ascii="Palatino Linotype" w:hAnsi="Palatino Linotype" w:cs="Arial"/>
          <w:b/>
          <w:bCs/>
        </w:rPr>
        <w:t>QUINTO y SEXTO</w:t>
      </w:r>
      <w:r w:rsidRPr="007B26FF">
        <w:rPr>
          <w:rFonts w:ascii="Palatino Linotype" w:hAnsi="Palatino Linotype" w:cs="Arial"/>
          <w:b/>
          <w:bCs/>
        </w:rPr>
        <w:t xml:space="preserve"> </w:t>
      </w:r>
      <w:r w:rsidRPr="007B26FF">
        <w:rPr>
          <w:rFonts w:ascii="Palatino Linotype" w:hAnsi="Palatino Linotype" w:cs="Arial"/>
          <w:bCs/>
        </w:rPr>
        <w:t>de la presente resolución.</w:t>
      </w:r>
    </w:p>
    <w:p w14:paraId="278E3F88" w14:textId="461C3D1C" w:rsidR="00771342" w:rsidRPr="007B26FF" w:rsidRDefault="007C62F7" w:rsidP="007C62F7">
      <w:pPr>
        <w:spacing w:before="240" w:after="240" w:line="360" w:lineRule="auto"/>
        <w:jc w:val="both"/>
        <w:rPr>
          <w:rFonts w:ascii="Palatino Linotype" w:hAnsi="Palatino Linotype"/>
        </w:rPr>
      </w:pPr>
      <w:bookmarkStart w:id="151" w:name="_Toc477891768"/>
      <w:bookmarkStart w:id="152" w:name="_Toc477891858"/>
      <w:bookmarkStart w:id="153" w:name="_Toc481576259"/>
      <w:bookmarkStart w:id="154" w:name="_Toc492590391"/>
      <w:bookmarkStart w:id="155" w:name="_Toc462653937"/>
      <w:bookmarkStart w:id="156" w:name="_Toc453696502"/>
      <w:bookmarkStart w:id="157" w:name="_Toc454301155"/>
      <w:r w:rsidRPr="007B26FF">
        <w:rPr>
          <w:rFonts w:ascii="Palatino Linotype" w:hAnsi="Palatino Linotype"/>
          <w:b/>
        </w:rPr>
        <w:t>SEGUNDO.</w:t>
      </w:r>
      <w:r w:rsidRPr="007B26FF">
        <w:rPr>
          <w:rStyle w:val="Ttulo2Car"/>
          <w:rFonts w:ascii="Palatino Linotype" w:hAnsi="Palatino Linotype"/>
          <w:b/>
          <w:color w:val="auto"/>
        </w:rPr>
        <w:t xml:space="preserve"> </w:t>
      </w:r>
      <w:bookmarkEnd w:id="151"/>
      <w:bookmarkEnd w:id="152"/>
      <w:bookmarkEnd w:id="153"/>
      <w:bookmarkEnd w:id="154"/>
      <w:bookmarkEnd w:id="155"/>
      <w:bookmarkEnd w:id="156"/>
      <w:bookmarkEnd w:id="157"/>
      <w:r w:rsidRPr="007B26FF">
        <w:rPr>
          <w:rFonts w:ascii="Palatino Linotype" w:eastAsia="Calibri" w:hAnsi="Palatino Linotype" w:cs="Arial"/>
          <w:lang w:val="es-ES"/>
        </w:rPr>
        <w:t>Se</w:t>
      </w:r>
      <w:r w:rsidRPr="007B26FF">
        <w:rPr>
          <w:rFonts w:ascii="Palatino Linotype" w:eastAsia="Calibri" w:hAnsi="Palatino Linotype" w:cs="Arial"/>
          <w:b/>
          <w:lang w:val="es-ES"/>
        </w:rPr>
        <w:t xml:space="preserve"> </w:t>
      </w:r>
      <w:r w:rsidR="005724ED" w:rsidRPr="007B26FF">
        <w:rPr>
          <w:rFonts w:ascii="Palatino Linotype" w:eastAsia="Calibri" w:hAnsi="Palatino Linotype" w:cs="Arial"/>
          <w:b/>
          <w:lang w:val="es-ES"/>
        </w:rPr>
        <w:t>MODIFICA</w:t>
      </w:r>
      <w:r w:rsidRPr="007B26FF">
        <w:rPr>
          <w:rFonts w:ascii="Palatino Linotype" w:eastAsia="Calibri" w:hAnsi="Palatino Linotype" w:cs="Arial"/>
          <w:b/>
          <w:lang w:val="es-ES"/>
        </w:rPr>
        <w:t xml:space="preserve"> </w:t>
      </w:r>
      <w:r w:rsidRPr="007B26FF">
        <w:rPr>
          <w:rFonts w:ascii="Palatino Linotype" w:eastAsia="Calibri" w:hAnsi="Palatino Linotype" w:cs="Arial"/>
          <w:lang w:val="es-ES"/>
        </w:rPr>
        <w:t xml:space="preserve">la respuesta emitida por el </w:t>
      </w:r>
      <w:r w:rsidRPr="007B26FF">
        <w:rPr>
          <w:rFonts w:ascii="Palatino Linotype" w:hAnsi="Palatino Linotype"/>
          <w:b/>
          <w:bCs/>
          <w:szCs w:val="22"/>
        </w:rPr>
        <w:t xml:space="preserve">Ayuntamiento de </w:t>
      </w:r>
      <w:proofErr w:type="spellStart"/>
      <w:r w:rsidR="005724ED" w:rsidRPr="007B26FF">
        <w:rPr>
          <w:rFonts w:ascii="Palatino Linotype" w:hAnsi="Palatino Linotype"/>
          <w:b/>
          <w:bCs/>
          <w:szCs w:val="22"/>
        </w:rPr>
        <w:t>Técamac</w:t>
      </w:r>
      <w:proofErr w:type="spellEnd"/>
      <w:r w:rsidRPr="007B26FF">
        <w:rPr>
          <w:rFonts w:ascii="Palatino Linotype" w:hAnsi="Palatino Linotype" w:cs="Arial"/>
          <w:lang w:val="es-ES"/>
        </w:rPr>
        <w:t xml:space="preserve"> y se </w:t>
      </w:r>
      <w:r w:rsidRPr="007B26FF">
        <w:rPr>
          <w:rFonts w:ascii="Palatino Linotype" w:hAnsi="Palatino Linotype" w:cs="Arial"/>
          <w:b/>
          <w:lang w:val="es-ES"/>
        </w:rPr>
        <w:t>ORDENA</w:t>
      </w:r>
      <w:r w:rsidRPr="007B26FF">
        <w:rPr>
          <w:rFonts w:ascii="Palatino Linotype" w:hAnsi="Palatino Linotype" w:cs="Arial"/>
          <w:lang w:val="es-ES"/>
        </w:rPr>
        <w:t xml:space="preserve"> entregar, vía Sistema de Acceso a la Información Mexiquense (SAIMEX), de ser el caso en versión pública, del </w:t>
      </w:r>
      <w:bookmarkStart w:id="158" w:name="_Toc460947013"/>
      <w:r w:rsidR="00771342" w:rsidRPr="007B26FF">
        <w:rPr>
          <w:rFonts w:ascii="Palatino Linotype" w:hAnsi="Palatino Linotype"/>
        </w:rPr>
        <w:t xml:space="preserve">Conjunto Urbano de tipo Habitacional de Interés Social y Popular denominado “REAL GRANADA” ubicado </w:t>
      </w:r>
      <w:r w:rsidR="00771342" w:rsidRPr="007B26FF">
        <w:rPr>
          <w:rFonts w:ascii="Palatino Linotype" w:hAnsi="Palatino Linotype"/>
        </w:rPr>
        <w:lastRenderedPageBreak/>
        <w:t xml:space="preserve">en el Municipio de Tecámac, </w:t>
      </w:r>
      <w:r w:rsidR="00771342" w:rsidRPr="007B26FF">
        <w:rPr>
          <w:rFonts w:ascii="Palatino Linotype" w:hAnsi="Palatino Linotype" w:cs="Arial"/>
          <w:lang w:val="es-ES"/>
        </w:rPr>
        <w:t>los documentos en donde conste la siguiente información:</w:t>
      </w:r>
    </w:p>
    <w:p w14:paraId="76D60877" w14:textId="00F60C21" w:rsidR="00831F0C" w:rsidRPr="007B26FF" w:rsidRDefault="00831F0C" w:rsidP="00831F0C">
      <w:pPr>
        <w:pStyle w:val="Prrafodelista"/>
        <w:numPr>
          <w:ilvl w:val="0"/>
          <w:numId w:val="17"/>
        </w:numPr>
        <w:tabs>
          <w:tab w:val="left" w:pos="0"/>
        </w:tabs>
        <w:spacing w:line="360" w:lineRule="auto"/>
        <w:ind w:right="49"/>
        <w:jc w:val="both"/>
        <w:rPr>
          <w:rFonts w:ascii="Palatino Linotype" w:hAnsi="Palatino Linotype"/>
          <w:color w:val="000000"/>
        </w:rPr>
      </w:pPr>
      <w:r w:rsidRPr="007B26FF">
        <w:rPr>
          <w:rFonts w:ascii="Palatino Linotype" w:hAnsi="Palatino Linotype"/>
          <w:color w:val="000000"/>
        </w:rPr>
        <w:t xml:space="preserve">Gaceta Oficial de la Dirección de Desarrollo Urbano y todos sus anexos como es planos de lotificación, plano oficial, apertura de vías públicas y división de lotes, fusión, subdivisión, apertura, ampliación o modificación de vías públicas; lotificación de predios para condominios; cambios de uso del suelo, de densidad e intensidad de su aprovechamiento o de la altura máxima permitida; y </w:t>
      </w:r>
    </w:p>
    <w:p w14:paraId="0C0FB558" w14:textId="77777777" w:rsidR="00831F0C" w:rsidRPr="007B26FF" w:rsidRDefault="00831F0C" w:rsidP="00831F0C">
      <w:pPr>
        <w:pStyle w:val="Prrafodelista"/>
        <w:numPr>
          <w:ilvl w:val="0"/>
          <w:numId w:val="17"/>
        </w:numPr>
        <w:tabs>
          <w:tab w:val="left" w:pos="0"/>
        </w:tabs>
        <w:spacing w:line="360" w:lineRule="auto"/>
        <w:ind w:right="49"/>
        <w:jc w:val="both"/>
        <w:rPr>
          <w:rFonts w:ascii="Palatino Linotype" w:hAnsi="Palatino Linotype"/>
          <w:color w:val="000000"/>
        </w:rPr>
      </w:pPr>
      <w:r w:rsidRPr="007B26FF">
        <w:rPr>
          <w:rFonts w:ascii="Palatino Linotype" w:hAnsi="Palatino Linotype"/>
          <w:color w:val="000000"/>
        </w:rPr>
        <w:t>Cualquier otro acto administrativo de competencia estatal o municipal que haya sido requerido para la lotificación solicitada;</w:t>
      </w:r>
    </w:p>
    <w:p w14:paraId="51ACAB0A" w14:textId="77777777" w:rsidR="00831F0C" w:rsidRPr="007B26FF" w:rsidRDefault="00831F0C" w:rsidP="00831F0C">
      <w:pPr>
        <w:pStyle w:val="Prrafodelista"/>
        <w:numPr>
          <w:ilvl w:val="0"/>
          <w:numId w:val="17"/>
        </w:numPr>
        <w:tabs>
          <w:tab w:val="left" w:pos="0"/>
        </w:tabs>
        <w:spacing w:line="360" w:lineRule="auto"/>
        <w:ind w:right="49"/>
        <w:jc w:val="both"/>
        <w:rPr>
          <w:rFonts w:ascii="Palatino Linotype" w:hAnsi="Palatino Linotype"/>
          <w:color w:val="000000"/>
        </w:rPr>
      </w:pPr>
      <w:r w:rsidRPr="007B26FF">
        <w:rPr>
          <w:rFonts w:ascii="Palatino Linotype" w:hAnsi="Palatino Linotype"/>
          <w:color w:val="000000"/>
        </w:rPr>
        <w:t>Secciones de vías públicas y privadas, en su caso;</w:t>
      </w:r>
    </w:p>
    <w:p w14:paraId="682A6FB4" w14:textId="77777777" w:rsidR="00831F0C" w:rsidRPr="007B26FF" w:rsidRDefault="00831F0C" w:rsidP="00831F0C">
      <w:pPr>
        <w:pStyle w:val="Prrafodelista"/>
        <w:numPr>
          <w:ilvl w:val="0"/>
          <w:numId w:val="17"/>
        </w:numPr>
        <w:tabs>
          <w:tab w:val="left" w:pos="0"/>
        </w:tabs>
        <w:spacing w:line="360" w:lineRule="auto"/>
        <w:ind w:right="49"/>
        <w:jc w:val="both"/>
        <w:rPr>
          <w:rFonts w:ascii="Palatino Linotype" w:hAnsi="Palatino Linotype"/>
          <w:color w:val="000000"/>
        </w:rPr>
      </w:pPr>
      <w:r w:rsidRPr="007B26FF">
        <w:rPr>
          <w:rFonts w:ascii="Palatino Linotype" w:hAnsi="Palatino Linotype"/>
          <w:color w:val="000000"/>
        </w:rPr>
        <w:t>Cuadro de construcción de la poligonal del predio;</w:t>
      </w:r>
    </w:p>
    <w:p w14:paraId="3F0C3AC3" w14:textId="77777777" w:rsidR="00831F0C" w:rsidRPr="007B26FF" w:rsidRDefault="00831F0C" w:rsidP="00831F0C">
      <w:pPr>
        <w:pStyle w:val="Prrafodelista"/>
        <w:numPr>
          <w:ilvl w:val="0"/>
          <w:numId w:val="17"/>
        </w:numPr>
        <w:tabs>
          <w:tab w:val="left" w:pos="0"/>
        </w:tabs>
        <w:spacing w:line="360" w:lineRule="auto"/>
        <w:ind w:right="49"/>
        <w:jc w:val="both"/>
        <w:rPr>
          <w:rFonts w:ascii="Palatino Linotype" w:hAnsi="Palatino Linotype"/>
          <w:color w:val="000000"/>
        </w:rPr>
      </w:pPr>
      <w:r w:rsidRPr="007B26FF">
        <w:rPr>
          <w:rFonts w:ascii="Palatino Linotype" w:hAnsi="Palatino Linotype"/>
          <w:color w:val="000000"/>
        </w:rPr>
        <w:t>Datos generales de la lotificación;</w:t>
      </w:r>
    </w:p>
    <w:p w14:paraId="533713AB" w14:textId="77777777" w:rsidR="00831F0C" w:rsidRPr="007B26FF" w:rsidRDefault="00831F0C" w:rsidP="00831F0C">
      <w:pPr>
        <w:pStyle w:val="Prrafodelista"/>
        <w:numPr>
          <w:ilvl w:val="0"/>
          <w:numId w:val="17"/>
        </w:numPr>
        <w:tabs>
          <w:tab w:val="left" w:pos="0"/>
        </w:tabs>
        <w:spacing w:line="360" w:lineRule="auto"/>
        <w:ind w:right="49"/>
        <w:jc w:val="both"/>
        <w:rPr>
          <w:rFonts w:ascii="Palatino Linotype" w:hAnsi="Palatino Linotype"/>
          <w:color w:val="000000"/>
        </w:rPr>
      </w:pPr>
      <w:r w:rsidRPr="007B26FF">
        <w:rPr>
          <w:rFonts w:ascii="Palatino Linotype" w:hAnsi="Palatino Linotype"/>
          <w:color w:val="000000"/>
        </w:rPr>
        <w:t>Cuadros de cuantificación de lotes, superficies y usos del suelo por manzana;</w:t>
      </w:r>
    </w:p>
    <w:p w14:paraId="02FA763E" w14:textId="77777777" w:rsidR="00831F0C" w:rsidRPr="007B26FF" w:rsidRDefault="00831F0C" w:rsidP="00831F0C">
      <w:pPr>
        <w:pStyle w:val="Prrafodelista"/>
        <w:numPr>
          <w:ilvl w:val="0"/>
          <w:numId w:val="17"/>
        </w:numPr>
        <w:tabs>
          <w:tab w:val="left" w:pos="0"/>
        </w:tabs>
        <w:spacing w:line="360" w:lineRule="auto"/>
        <w:ind w:right="49"/>
        <w:jc w:val="both"/>
        <w:rPr>
          <w:rFonts w:ascii="Palatino Linotype" w:hAnsi="Palatino Linotype"/>
          <w:color w:val="000000"/>
        </w:rPr>
      </w:pPr>
      <w:r w:rsidRPr="007B26FF">
        <w:rPr>
          <w:rFonts w:ascii="Palatino Linotype" w:hAnsi="Palatino Linotype"/>
          <w:color w:val="000000"/>
        </w:rPr>
        <w:t>Datos de las autorizaciones implícitas, en su caso;</w:t>
      </w:r>
    </w:p>
    <w:p w14:paraId="5D96EA4F" w14:textId="77777777" w:rsidR="00831F0C" w:rsidRPr="007B26FF" w:rsidRDefault="00831F0C" w:rsidP="00831F0C">
      <w:pPr>
        <w:pStyle w:val="Prrafodelista"/>
        <w:numPr>
          <w:ilvl w:val="0"/>
          <w:numId w:val="17"/>
        </w:numPr>
        <w:tabs>
          <w:tab w:val="left" w:pos="0"/>
        </w:tabs>
        <w:spacing w:line="360" w:lineRule="auto"/>
        <w:ind w:right="49"/>
        <w:jc w:val="both"/>
        <w:rPr>
          <w:rFonts w:ascii="Palatino Linotype" w:hAnsi="Palatino Linotype"/>
          <w:color w:val="000000"/>
        </w:rPr>
      </w:pPr>
      <w:r w:rsidRPr="007B26FF">
        <w:rPr>
          <w:rFonts w:ascii="Palatino Linotype" w:hAnsi="Palatino Linotype"/>
          <w:color w:val="000000"/>
        </w:rPr>
        <w:t>Datos de autorización y publicación en la Gaceta del Gobierno;</w:t>
      </w:r>
    </w:p>
    <w:p w14:paraId="01A7C4FA" w14:textId="77777777" w:rsidR="00831F0C" w:rsidRPr="007B26FF" w:rsidRDefault="00831F0C" w:rsidP="00831F0C">
      <w:pPr>
        <w:pStyle w:val="Prrafodelista"/>
        <w:numPr>
          <w:ilvl w:val="0"/>
          <w:numId w:val="17"/>
        </w:numPr>
        <w:tabs>
          <w:tab w:val="left" w:pos="0"/>
        </w:tabs>
        <w:spacing w:line="360" w:lineRule="auto"/>
        <w:ind w:right="49"/>
        <w:jc w:val="both"/>
        <w:rPr>
          <w:rFonts w:ascii="Palatino Linotype" w:hAnsi="Palatino Linotype"/>
          <w:color w:val="000000" w:themeColor="text1"/>
        </w:rPr>
      </w:pPr>
      <w:r w:rsidRPr="007B26FF">
        <w:rPr>
          <w:rFonts w:ascii="Palatino Linotype" w:hAnsi="Palatino Linotype"/>
          <w:color w:val="000000"/>
        </w:rPr>
        <w:t>Nombre</w:t>
      </w:r>
      <w:r w:rsidRPr="007B26FF">
        <w:rPr>
          <w:rFonts w:ascii="Palatino Linotype" w:hAnsi="Palatino Linotype"/>
          <w:color w:val="000000" w:themeColor="text1"/>
        </w:rPr>
        <w:t>, firma y datos de registro del perito;</w:t>
      </w:r>
    </w:p>
    <w:p w14:paraId="1C3C60FF" w14:textId="77777777" w:rsidR="00831F0C" w:rsidRPr="007B26FF" w:rsidRDefault="00831F0C" w:rsidP="00831F0C">
      <w:pPr>
        <w:pStyle w:val="Prrafodelista"/>
        <w:numPr>
          <w:ilvl w:val="0"/>
          <w:numId w:val="17"/>
        </w:numPr>
        <w:tabs>
          <w:tab w:val="left" w:pos="0"/>
        </w:tabs>
        <w:spacing w:line="360" w:lineRule="auto"/>
        <w:ind w:right="49"/>
        <w:jc w:val="both"/>
        <w:rPr>
          <w:rFonts w:ascii="Palatino Linotype" w:hAnsi="Palatino Linotype"/>
          <w:color w:val="000000" w:themeColor="text1"/>
        </w:rPr>
      </w:pPr>
      <w:r w:rsidRPr="007B26FF">
        <w:rPr>
          <w:rFonts w:ascii="Palatino Linotype" w:hAnsi="Palatino Linotype"/>
          <w:color w:val="000000" w:themeColor="text1"/>
        </w:rPr>
        <w:t>Etapas o secciones del desarrollo, si las hubiera;</w:t>
      </w:r>
    </w:p>
    <w:p w14:paraId="5361D6A0" w14:textId="5432062D" w:rsidR="00831F0C" w:rsidRPr="007B26FF" w:rsidRDefault="00831F0C" w:rsidP="00831F0C">
      <w:pPr>
        <w:pStyle w:val="Prrafodelista"/>
        <w:numPr>
          <w:ilvl w:val="0"/>
          <w:numId w:val="17"/>
        </w:numPr>
        <w:tabs>
          <w:tab w:val="left" w:pos="0"/>
        </w:tabs>
        <w:spacing w:line="360" w:lineRule="auto"/>
        <w:ind w:right="49"/>
        <w:jc w:val="both"/>
        <w:rPr>
          <w:rFonts w:ascii="Palatino Linotype" w:hAnsi="Palatino Linotype"/>
          <w:color w:val="000000" w:themeColor="text1"/>
        </w:rPr>
      </w:pPr>
      <w:r w:rsidRPr="007B26FF">
        <w:rPr>
          <w:rFonts w:ascii="Palatino Linotype" w:hAnsi="Palatino Linotype"/>
          <w:color w:val="000000" w:themeColor="text1"/>
        </w:rPr>
        <w:t xml:space="preserve">En su caso, </w:t>
      </w:r>
      <w:r w:rsidR="007672F6" w:rsidRPr="007B26FF">
        <w:rPr>
          <w:rFonts w:ascii="Palatino Linotype" w:hAnsi="Palatino Linotype"/>
          <w:color w:val="000000" w:themeColor="text1"/>
        </w:rPr>
        <w:t xml:space="preserve">los </w:t>
      </w:r>
      <w:r w:rsidRPr="007B26FF">
        <w:rPr>
          <w:rFonts w:ascii="Palatino Linotype" w:hAnsi="Palatino Linotype"/>
          <w:color w:val="000000" w:themeColor="text1"/>
        </w:rPr>
        <w:t>nombre</w:t>
      </w:r>
      <w:r w:rsidR="007672F6" w:rsidRPr="007B26FF">
        <w:rPr>
          <w:rFonts w:ascii="Palatino Linotype" w:hAnsi="Palatino Linotype"/>
          <w:color w:val="000000" w:themeColor="text1"/>
        </w:rPr>
        <w:t>s</w:t>
      </w:r>
      <w:r w:rsidRPr="007B26FF">
        <w:rPr>
          <w:rFonts w:ascii="Palatino Linotype" w:hAnsi="Palatino Linotype"/>
          <w:color w:val="000000" w:themeColor="text1"/>
        </w:rPr>
        <w:t xml:space="preserve"> de quienes proyectan, dibujan y revisan</w:t>
      </w:r>
      <w:r w:rsidR="00CA7945" w:rsidRPr="007B26FF">
        <w:rPr>
          <w:rFonts w:ascii="Palatino Linotype" w:hAnsi="Palatino Linotype"/>
          <w:color w:val="000000" w:themeColor="text1"/>
        </w:rPr>
        <w:t xml:space="preserve"> la documentación que se ordena en el inciso a)</w:t>
      </w:r>
      <w:r w:rsidRPr="007B26FF">
        <w:rPr>
          <w:rFonts w:ascii="Palatino Linotype" w:hAnsi="Palatino Linotype"/>
          <w:color w:val="000000" w:themeColor="text1"/>
        </w:rPr>
        <w:t>;</w:t>
      </w:r>
    </w:p>
    <w:p w14:paraId="4E1EF692" w14:textId="77777777" w:rsidR="00831F0C" w:rsidRPr="007B26FF" w:rsidRDefault="00831F0C" w:rsidP="00831F0C">
      <w:pPr>
        <w:pStyle w:val="Prrafodelista"/>
        <w:numPr>
          <w:ilvl w:val="0"/>
          <w:numId w:val="17"/>
        </w:numPr>
        <w:tabs>
          <w:tab w:val="left" w:pos="0"/>
        </w:tabs>
        <w:spacing w:line="360" w:lineRule="auto"/>
        <w:ind w:right="49"/>
        <w:jc w:val="both"/>
        <w:rPr>
          <w:rFonts w:ascii="Palatino Linotype" w:hAnsi="Palatino Linotype"/>
          <w:color w:val="000000" w:themeColor="text1"/>
        </w:rPr>
      </w:pPr>
      <w:r w:rsidRPr="007B26FF">
        <w:rPr>
          <w:rFonts w:ascii="Palatino Linotype" w:hAnsi="Palatino Linotype"/>
          <w:color w:val="000000" w:themeColor="text1"/>
        </w:rPr>
        <w:t>Nombres, cargos y firmas de los funcionarios públicos que autorizan</w:t>
      </w:r>
    </w:p>
    <w:p w14:paraId="14E6162F" w14:textId="77777777" w:rsidR="00831F0C" w:rsidRPr="007B26FF" w:rsidRDefault="00831F0C" w:rsidP="00831F0C">
      <w:pPr>
        <w:pStyle w:val="Prrafodelista"/>
        <w:numPr>
          <w:ilvl w:val="0"/>
          <w:numId w:val="17"/>
        </w:numPr>
        <w:tabs>
          <w:tab w:val="left" w:pos="0"/>
        </w:tabs>
        <w:spacing w:line="360" w:lineRule="auto"/>
        <w:ind w:right="49"/>
        <w:jc w:val="both"/>
        <w:rPr>
          <w:rFonts w:ascii="Palatino Linotype" w:hAnsi="Palatino Linotype"/>
          <w:color w:val="000000"/>
        </w:rPr>
      </w:pPr>
      <w:r w:rsidRPr="007B26FF">
        <w:rPr>
          <w:rFonts w:ascii="Palatino Linotype" w:hAnsi="Palatino Linotype"/>
          <w:color w:val="000000"/>
        </w:rPr>
        <w:t xml:space="preserve"> Oficio No. 224020000/3844/2014 aprobación de proyecto de lotificación;</w:t>
      </w:r>
    </w:p>
    <w:p w14:paraId="59EDC611" w14:textId="77777777" w:rsidR="00831F0C" w:rsidRPr="007B26FF" w:rsidRDefault="00831F0C" w:rsidP="00831F0C">
      <w:pPr>
        <w:pStyle w:val="Prrafodelista"/>
        <w:numPr>
          <w:ilvl w:val="0"/>
          <w:numId w:val="17"/>
        </w:numPr>
        <w:tabs>
          <w:tab w:val="left" w:pos="0"/>
        </w:tabs>
        <w:spacing w:line="360" w:lineRule="auto"/>
        <w:ind w:right="49"/>
        <w:jc w:val="both"/>
        <w:rPr>
          <w:rFonts w:ascii="Palatino Linotype" w:hAnsi="Palatino Linotype"/>
          <w:color w:val="000000"/>
        </w:rPr>
      </w:pPr>
      <w:r w:rsidRPr="007B26FF">
        <w:rPr>
          <w:rFonts w:ascii="Palatino Linotype" w:hAnsi="Palatino Linotype"/>
          <w:color w:val="000000"/>
        </w:rPr>
        <w:lastRenderedPageBreak/>
        <w:t xml:space="preserve">Actas de entrega-recepción tanto parcial como total en el periodo del 2014 al 2020, detallada por </w:t>
      </w:r>
      <w:proofErr w:type="spellStart"/>
      <w:r w:rsidRPr="007B26FF">
        <w:rPr>
          <w:rFonts w:ascii="Palatino Linotype" w:hAnsi="Palatino Linotype"/>
          <w:color w:val="000000"/>
        </w:rPr>
        <w:t>numero</w:t>
      </w:r>
      <w:proofErr w:type="spellEnd"/>
      <w:r w:rsidRPr="007B26FF">
        <w:rPr>
          <w:rFonts w:ascii="Palatino Linotype" w:hAnsi="Palatino Linotype"/>
          <w:color w:val="000000"/>
        </w:rPr>
        <w:t xml:space="preserve"> de expediente;</w:t>
      </w:r>
    </w:p>
    <w:p w14:paraId="11D44E79" w14:textId="77777777" w:rsidR="00831F0C" w:rsidRPr="007B26FF" w:rsidRDefault="00831F0C" w:rsidP="00831F0C">
      <w:pPr>
        <w:pStyle w:val="Prrafodelista"/>
        <w:numPr>
          <w:ilvl w:val="0"/>
          <w:numId w:val="17"/>
        </w:numPr>
        <w:tabs>
          <w:tab w:val="left" w:pos="0"/>
        </w:tabs>
        <w:spacing w:line="360" w:lineRule="auto"/>
        <w:ind w:right="49"/>
        <w:jc w:val="both"/>
        <w:rPr>
          <w:rFonts w:ascii="Palatino Linotype" w:hAnsi="Palatino Linotype"/>
          <w:color w:val="000000"/>
        </w:rPr>
      </w:pPr>
      <w:r w:rsidRPr="007B26FF">
        <w:rPr>
          <w:rFonts w:ascii="Palatino Linotype" w:hAnsi="Palatino Linotype"/>
          <w:color w:val="000000"/>
        </w:rPr>
        <w:t xml:space="preserve">Actas de supervisión correspondiente a la bitácora de supervisión de control de obras de infraestructura, </w:t>
      </w:r>
      <w:proofErr w:type="spellStart"/>
      <w:r w:rsidRPr="007B26FF">
        <w:rPr>
          <w:rFonts w:ascii="Palatino Linotype" w:hAnsi="Palatino Linotype"/>
          <w:color w:val="000000"/>
        </w:rPr>
        <w:t>urbanizacion</w:t>
      </w:r>
      <w:proofErr w:type="spellEnd"/>
      <w:r w:rsidRPr="007B26FF">
        <w:rPr>
          <w:rFonts w:ascii="Palatino Linotype" w:hAnsi="Palatino Linotype"/>
          <w:color w:val="000000"/>
        </w:rPr>
        <w:t xml:space="preserve"> y equipamiento de conjuntos urbanos;</w:t>
      </w:r>
    </w:p>
    <w:p w14:paraId="18D338B3" w14:textId="77777777" w:rsidR="00831F0C" w:rsidRPr="007B26FF" w:rsidRDefault="00831F0C" w:rsidP="00831F0C">
      <w:pPr>
        <w:pStyle w:val="Prrafodelista"/>
        <w:numPr>
          <w:ilvl w:val="0"/>
          <w:numId w:val="17"/>
        </w:numPr>
        <w:tabs>
          <w:tab w:val="left" w:pos="0"/>
        </w:tabs>
        <w:spacing w:line="360" w:lineRule="auto"/>
        <w:ind w:right="49"/>
        <w:jc w:val="both"/>
        <w:rPr>
          <w:rFonts w:ascii="Palatino Linotype" w:hAnsi="Palatino Linotype"/>
          <w:color w:val="000000"/>
        </w:rPr>
      </w:pPr>
      <w:r w:rsidRPr="007B26FF">
        <w:rPr>
          <w:rFonts w:ascii="Palatino Linotype" w:hAnsi="Palatino Linotype"/>
          <w:color w:val="000000"/>
        </w:rPr>
        <w:t xml:space="preserve">La publicidad y/o contenido, propaganda aprobada por la Secretaria de Desarrollo Urbano para evitar propaganda engañosa conforme lo establece el </w:t>
      </w:r>
      <w:proofErr w:type="spellStart"/>
      <w:r w:rsidRPr="007B26FF">
        <w:rPr>
          <w:rFonts w:ascii="Palatino Linotype" w:hAnsi="Palatino Linotype"/>
          <w:color w:val="000000"/>
        </w:rPr>
        <w:t>articulo</w:t>
      </w:r>
      <w:proofErr w:type="spellEnd"/>
      <w:r w:rsidRPr="007B26FF">
        <w:rPr>
          <w:rFonts w:ascii="Palatino Linotype" w:hAnsi="Palatino Linotype"/>
          <w:color w:val="000000"/>
        </w:rPr>
        <w:t xml:space="preserve"> 5.38 fracción XII del Código Administrativo del Estado de México; y, </w:t>
      </w:r>
    </w:p>
    <w:p w14:paraId="7A32DC1A" w14:textId="3EB00941" w:rsidR="00831F0C" w:rsidRPr="007B26FF" w:rsidRDefault="00831F0C" w:rsidP="00831F0C">
      <w:pPr>
        <w:pStyle w:val="Prrafodelista"/>
        <w:numPr>
          <w:ilvl w:val="0"/>
          <w:numId w:val="17"/>
        </w:numPr>
        <w:tabs>
          <w:tab w:val="left" w:pos="0"/>
        </w:tabs>
        <w:spacing w:line="360" w:lineRule="auto"/>
        <w:ind w:right="49"/>
        <w:jc w:val="both"/>
        <w:rPr>
          <w:rFonts w:ascii="Palatino Linotype" w:hAnsi="Palatino Linotype"/>
          <w:color w:val="000000"/>
        </w:rPr>
      </w:pPr>
      <w:r w:rsidRPr="007B26FF">
        <w:rPr>
          <w:rFonts w:ascii="Palatino Linotype" w:hAnsi="Palatino Linotype"/>
          <w:color w:val="000000"/>
        </w:rPr>
        <w:t>La autorización expresa de la Secretaria de Desarrollo Urbano por conducto de la Dirección General de Operación Urbana para transferir o ceder los derechos o cambio de titularidad para la ocupación de los lotes.</w:t>
      </w:r>
    </w:p>
    <w:p w14:paraId="025FD0EB" w14:textId="77777777" w:rsidR="00831F0C" w:rsidRPr="007B26FF" w:rsidRDefault="00831F0C" w:rsidP="00831F0C">
      <w:pPr>
        <w:pStyle w:val="Prrafodelista"/>
        <w:tabs>
          <w:tab w:val="left" w:pos="0"/>
        </w:tabs>
        <w:spacing w:line="360" w:lineRule="auto"/>
        <w:ind w:right="49"/>
        <w:jc w:val="both"/>
        <w:rPr>
          <w:rFonts w:ascii="Palatino Linotype" w:hAnsi="Palatino Linotype"/>
          <w:color w:val="000000"/>
        </w:rPr>
      </w:pPr>
    </w:p>
    <w:p w14:paraId="15FC3DD4" w14:textId="77777777" w:rsidR="007C62F7" w:rsidRPr="007B26FF" w:rsidRDefault="007C62F7" w:rsidP="007C62F7">
      <w:pPr>
        <w:spacing w:line="360" w:lineRule="auto"/>
        <w:jc w:val="both"/>
        <w:rPr>
          <w:rFonts w:ascii="Palatino Linotype" w:hAnsi="Palatino Linotype"/>
          <w:b/>
          <w:szCs w:val="22"/>
        </w:rPr>
      </w:pPr>
      <w:r w:rsidRPr="007B26FF">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r w:rsidRPr="007B26FF">
        <w:rPr>
          <w:rFonts w:ascii="Palatino Linotype" w:hAnsi="Palatino Linotype"/>
          <w:b/>
          <w:szCs w:val="22"/>
        </w:rPr>
        <w:t>.</w:t>
      </w:r>
    </w:p>
    <w:p w14:paraId="08DCAF0F" w14:textId="77777777" w:rsidR="007C62F7" w:rsidRPr="007B26FF" w:rsidRDefault="007C62F7" w:rsidP="007C62F7">
      <w:pPr>
        <w:spacing w:line="360" w:lineRule="auto"/>
        <w:jc w:val="both"/>
        <w:rPr>
          <w:rFonts w:ascii="Palatino Linotype" w:hAnsi="Palatino Linotype"/>
          <w:b/>
          <w:szCs w:val="22"/>
        </w:rPr>
      </w:pPr>
    </w:p>
    <w:p w14:paraId="09658E62" w14:textId="77777777" w:rsidR="005724ED" w:rsidRPr="007B26FF" w:rsidRDefault="005724ED" w:rsidP="005724ED">
      <w:pPr>
        <w:tabs>
          <w:tab w:val="left" w:pos="8080"/>
        </w:tabs>
        <w:spacing w:line="360" w:lineRule="auto"/>
        <w:ind w:right="48"/>
        <w:contextualSpacing/>
        <w:jc w:val="both"/>
        <w:rPr>
          <w:rFonts w:ascii="Palatino Linotype" w:eastAsia="Palatino Linotype" w:hAnsi="Palatino Linotype" w:cs="Palatino Linotype"/>
          <w:b/>
        </w:rPr>
      </w:pPr>
      <w:r w:rsidRPr="007B26FF">
        <w:rPr>
          <w:rFonts w:ascii="Palatino Linotype" w:eastAsia="Palatino Linotype" w:hAnsi="Palatino Linotype" w:cs="Palatino Linotype"/>
          <w:b/>
        </w:rPr>
        <w:t xml:space="preserve">TERCERO. Notifíquese </w:t>
      </w:r>
      <w:r w:rsidRPr="007B26FF">
        <w:rPr>
          <w:rFonts w:ascii="Palatino Linotype" w:eastAsia="Palatino Linotype" w:hAnsi="Palatino Linotype" w:cs="Palatino Linotype"/>
        </w:rPr>
        <w:t xml:space="preserve">al Titular de la Unidad de Transparencia del </w:t>
      </w:r>
      <w:r w:rsidRPr="007B26FF">
        <w:rPr>
          <w:rFonts w:ascii="Palatino Linotype" w:eastAsia="Palatino Linotype" w:hAnsi="Palatino Linotype" w:cs="Palatino Linotype"/>
          <w:b/>
        </w:rPr>
        <w:t>SUJETO OBLIGADO</w:t>
      </w:r>
      <w:r w:rsidRPr="007B26FF">
        <w:rPr>
          <w:rFonts w:ascii="Palatino Linotype" w:eastAsia="Palatino Linotype" w:hAnsi="Palatino Linotype" w:cs="Palatino Linotype"/>
        </w:rPr>
        <w:t xml:space="preserve">, para que conforme a los artículos 186 último párrafo, 189 párrafo </w:t>
      </w:r>
      <w:r w:rsidRPr="007B26FF">
        <w:rPr>
          <w:rFonts w:ascii="Palatino Linotype" w:eastAsia="Palatino Linotype" w:hAnsi="Palatino Linotype" w:cs="Palatino Linotype"/>
        </w:rPr>
        <w:lastRenderedPageBreak/>
        <w:t xml:space="preserve">segundo y 199 de la Ley de Transparencia y Acceso a la Información Pública del Estado de México y Municipios, </w:t>
      </w:r>
      <w:r w:rsidRPr="007B26FF">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181402F8" w14:textId="77777777" w:rsidR="005724ED" w:rsidRPr="007B26FF" w:rsidRDefault="005724ED" w:rsidP="005724ED">
      <w:pPr>
        <w:shd w:val="clear" w:color="auto" w:fill="FFFFFF"/>
        <w:tabs>
          <w:tab w:val="left" w:pos="4020"/>
        </w:tabs>
        <w:spacing w:line="360" w:lineRule="auto"/>
        <w:ind w:right="48"/>
        <w:jc w:val="both"/>
        <w:rPr>
          <w:rFonts w:ascii="Palatino Linotype" w:hAnsi="Palatino Linotype" w:cs="Arial"/>
          <w:b/>
        </w:rPr>
      </w:pPr>
      <w:r w:rsidRPr="007B26FF">
        <w:rPr>
          <w:rFonts w:ascii="Palatino Linotype" w:hAnsi="Palatino Linotype" w:cs="Arial"/>
          <w:b/>
        </w:rPr>
        <w:tab/>
      </w:r>
    </w:p>
    <w:p w14:paraId="52C2B4DE" w14:textId="77777777" w:rsidR="005724ED" w:rsidRPr="007B26FF" w:rsidRDefault="005724ED" w:rsidP="005724ED">
      <w:pPr>
        <w:shd w:val="clear" w:color="auto" w:fill="FFFFFF"/>
        <w:spacing w:line="360" w:lineRule="auto"/>
        <w:ind w:right="48"/>
        <w:jc w:val="both"/>
        <w:rPr>
          <w:rFonts w:ascii="Palatino Linotype" w:hAnsi="Palatino Linotype"/>
        </w:rPr>
      </w:pPr>
      <w:r w:rsidRPr="007B26FF">
        <w:rPr>
          <w:rFonts w:ascii="Palatino Linotype" w:hAnsi="Palatino Linotype" w:cs="Arial"/>
          <w:b/>
        </w:rPr>
        <w:t xml:space="preserve">CUARTO. </w:t>
      </w:r>
      <w:r w:rsidRPr="007B26FF">
        <w:rPr>
          <w:rFonts w:ascii="Palatino Linotype" w:hAnsi="Palatino Linotype"/>
          <w:b/>
          <w:bCs/>
          <w:lang w:val="es-ES"/>
        </w:rPr>
        <w:t>Notifíquese al RECURRENTE</w:t>
      </w:r>
      <w:r w:rsidRPr="007B26FF">
        <w:rPr>
          <w:rFonts w:ascii="Palatino Linotype" w:hAnsi="Palatino Linotype"/>
        </w:rPr>
        <w:t xml:space="preserve"> la presente resolución. </w:t>
      </w:r>
    </w:p>
    <w:p w14:paraId="12A17B26" w14:textId="77777777" w:rsidR="005724ED" w:rsidRPr="007B26FF" w:rsidRDefault="005724ED" w:rsidP="005724ED">
      <w:pPr>
        <w:shd w:val="clear" w:color="auto" w:fill="FFFFFF"/>
        <w:spacing w:line="360" w:lineRule="auto"/>
        <w:ind w:right="48"/>
        <w:jc w:val="both"/>
        <w:rPr>
          <w:rFonts w:ascii="Palatino Linotype" w:hAnsi="Palatino Linotype"/>
          <w:b/>
          <w:color w:val="FF0000"/>
        </w:rPr>
      </w:pPr>
    </w:p>
    <w:p w14:paraId="57FE13C1" w14:textId="285280EC" w:rsidR="005724ED" w:rsidRPr="007B26FF" w:rsidRDefault="005724ED" w:rsidP="005724ED">
      <w:pPr>
        <w:spacing w:line="360" w:lineRule="auto"/>
        <w:ind w:right="48"/>
        <w:jc w:val="both"/>
        <w:rPr>
          <w:rFonts w:ascii="Palatino Linotype" w:eastAsia="MS Mincho" w:hAnsi="Palatino Linotype"/>
          <w:lang w:val="es-ES"/>
        </w:rPr>
      </w:pPr>
      <w:r w:rsidRPr="007B26FF">
        <w:rPr>
          <w:rFonts w:ascii="Palatino Linotype" w:eastAsia="MS Mincho" w:hAnsi="Palatino Linotype"/>
          <w:b/>
        </w:rPr>
        <w:t>QUINTO.</w:t>
      </w:r>
      <w:r w:rsidRPr="007B26FF">
        <w:rPr>
          <w:rFonts w:ascii="Palatino Linotype" w:eastAsia="MS Mincho" w:hAnsi="Palatino Linotype"/>
        </w:rPr>
        <w:t xml:space="preserve"> </w:t>
      </w:r>
      <w:r w:rsidRPr="007B26FF">
        <w:rPr>
          <w:rFonts w:ascii="Palatino Linotype" w:eastAsia="MS Mincho" w:hAnsi="Palatino Linotype"/>
          <w:lang w:val="es-ES"/>
        </w:rPr>
        <w:t xml:space="preserve">Se hace del conocimiento del </w:t>
      </w:r>
      <w:r w:rsidRPr="007B26FF">
        <w:rPr>
          <w:rFonts w:ascii="Palatino Linotype" w:eastAsia="MS Mincho" w:hAnsi="Palatino Linotype"/>
          <w:b/>
          <w:lang w:val="es-ES"/>
        </w:rPr>
        <w:t>RECURRENTE</w:t>
      </w:r>
      <w:r w:rsidRPr="007B26FF">
        <w:rPr>
          <w:rFonts w:ascii="Palatino Linotype" w:eastAsia="MS Mincho" w:hAnsi="Palatino Linotype"/>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7B26FF">
        <w:rPr>
          <w:rFonts w:ascii="Palatino Linotype" w:eastAsia="MS Mincho" w:hAnsi="Palatino Linotype"/>
          <w:bCs/>
          <w:lang w:val="es-ES"/>
        </w:rPr>
        <w:t>vía juicio de amparo</w:t>
      </w:r>
      <w:r w:rsidRPr="007B26FF">
        <w:rPr>
          <w:rFonts w:ascii="Palatino Linotype" w:eastAsia="MS Mincho" w:hAnsi="Palatino Linotype"/>
          <w:lang w:val="es-ES"/>
        </w:rPr>
        <w:t xml:space="preserve"> en los términos de las leyes aplicables.</w:t>
      </w:r>
      <w:bookmarkStart w:id="159" w:name="_GoBack"/>
      <w:bookmarkEnd w:id="159"/>
    </w:p>
    <w:p w14:paraId="4948C0BC" w14:textId="77777777" w:rsidR="005724ED" w:rsidRPr="007B26FF" w:rsidRDefault="005724ED" w:rsidP="005724ED">
      <w:pPr>
        <w:spacing w:line="360" w:lineRule="auto"/>
        <w:ind w:right="48"/>
        <w:jc w:val="both"/>
        <w:rPr>
          <w:rFonts w:ascii="Palatino Linotype" w:eastAsia="MS Mincho" w:hAnsi="Palatino Linotype"/>
          <w:lang w:val="es-ES"/>
        </w:rPr>
      </w:pPr>
    </w:p>
    <w:p w14:paraId="0716BC2D" w14:textId="77777777" w:rsidR="005724ED" w:rsidRPr="007B26FF" w:rsidRDefault="005724ED" w:rsidP="005724ED">
      <w:pPr>
        <w:spacing w:line="360" w:lineRule="auto"/>
        <w:ind w:right="48"/>
        <w:jc w:val="both"/>
        <w:rPr>
          <w:rFonts w:ascii="Palatino Linotype" w:hAnsi="Palatino Linotype"/>
          <w:color w:val="000000"/>
          <w:shd w:val="clear" w:color="auto" w:fill="FFFFFF"/>
        </w:rPr>
      </w:pPr>
      <w:r w:rsidRPr="007B26FF">
        <w:rPr>
          <w:rFonts w:ascii="Palatino Linotype" w:hAnsi="Palatino Linotype"/>
          <w:b/>
          <w:bCs/>
          <w:color w:val="000000"/>
          <w:shd w:val="clear" w:color="auto" w:fill="FFFFFF"/>
        </w:rPr>
        <w:t>SEXTO.</w:t>
      </w:r>
      <w:r w:rsidRPr="007B26FF">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Pr="007B26FF">
        <w:rPr>
          <w:rFonts w:ascii="Palatino Linotype" w:hAnsi="Palatino Linotype"/>
          <w:b/>
          <w:bCs/>
          <w:color w:val="000000"/>
          <w:shd w:val="clear" w:color="auto" w:fill="FFFFFF"/>
        </w:rPr>
        <w:t>SUJETO OBLIGADO</w:t>
      </w:r>
      <w:r w:rsidRPr="007B26FF">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w:t>
      </w:r>
    </w:p>
    <w:p w14:paraId="0E3DAF97" w14:textId="77777777" w:rsidR="005724ED" w:rsidRPr="007B26FF" w:rsidRDefault="005724ED" w:rsidP="005724ED">
      <w:pPr>
        <w:spacing w:line="360" w:lineRule="auto"/>
        <w:ind w:right="48"/>
        <w:jc w:val="both"/>
        <w:rPr>
          <w:rFonts w:ascii="Palatino Linotype" w:hAnsi="Palatino Linotype"/>
          <w:color w:val="000000"/>
          <w:shd w:val="clear" w:color="auto" w:fill="FFFFFF"/>
        </w:rPr>
      </w:pPr>
    </w:p>
    <w:p w14:paraId="6F85F1E5" w14:textId="77777777" w:rsidR="005724ED" w:rsidRPr="007B26FF" w:rsidRDefault="005724ED" w:rsidP="005724ED">
      <w:pPr>
        <w:spacing w:line="360" w:lineRule="auto"/>
        <w:ind w:right="48"/>
        <w:jc w:val="both"/>
        <w:rPr>
          <w:rFonts w:ascii="Palatino Linotype" w:eastAsia="Calibri" w:hAnsi="Palatino Linotype" w:cs="Arial"/>
          <w:bCs/>
        </w:rPr>
      </w:pPr>
      <w:r w:rsidRPr="007B26FF">
        <w:rPr>
          <w:rFonts w:ascii="Palatino Linotype" w:hAnsi="Palatino Linotype"/>
          <w:b/>
          <w:color w:val="000000"/>
          <w:shd w:val="clear" w:color="auto" w:fill="FFFFFF"/>
        </w:rPr>
        <w:t xml:space="preserve">SÉPTIMO. </w:t>
      </w:r>
      <w:r w:rsidRPr="007B26FF">
        <w:rPr>
          <w:rFonts w:ascii="Palatino Linotype" w:eastAsia="Calibri" w:hAnsi="Palatino Linotype" w:cs="Arial"/>
          <w:bCs/>
        </w:rPr>
        <w:t xml:space="preserve">De conformidad con el artículo 198 de la Ley de Transparencia y Acceso a la Información Pública del Estado de México y Municipios, de considerarlo </w:t>
      </w:r>
      <w:r w:rsidRPr="007B26FF">
        <w:rPr>
          <w:rFonts w:ascii="Palatino Linotype" w:eastAsia="Calibri" w:hAnsi="Palatino Linotype" w:cs="Arial"/>
          <w:bCs/>
        </w:rPr>
        <w:lastRenderedPageBreak/>
        <w:t>procedente, el Sujeto Obligado de manera fundada y motivada, podrá solicitar una ampliación de plazo para el cumplimiento de la presente resolución.</w:t>
      </w:r>
    </w:p>
    <w:bookmarkEnd w:id="158"/>
    <w:p w14:paraId="517DE58F" w14:textId="77777777" w:rsidR="0029478C" w:rsidRPr="007B26FF" w:rsidRDefault="0029478C" w:rsidP="0029478C">
      <w:pPr>
        <w:spacing w:line="360" w:lineRule="auto"/>
        <w:jc w:val="both"/>
        <w:rPr>
          <w:rFonts w:ascii="Palatino Linotype" w:eastAsia="MS Mincho" w:hAnsi="Palatino Linotype"/>
          <w:color w:val="000000"/>
        </w:rPr>
      </w:pPr>
    </w:p>
    <w:p w14:paraId="65DC8320" w14:textId="767554C8" w:rsidR="0029478C" w:rsidRPr="007B26FF" w:rsidRDefault="0029478C" w:rsidP="0029478C">
      <w:pPr>
        <w:shd w:val="clear" w:color="auto" w:fill="FFFFFF"/>
        <w:spacing w:before="240" w:after="360" w:line="360" w:lineRule="auto"/>
        <w:ind w:right="49"/>
        <w:jc w:val="both"/>
        <w:rPr>
          <w:rFonts w:ascii="Palatino Linotype" w:hAnsi="Palatino Linotype" w:cs="Arial"/>
        </w:rPr>
      </w:pPr>
      <w:r w:rsidRPr="007B26FF">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w:t>
      </w:r>
      <w:r w:rsidR="00054AEC" w:rsidRPr="007B26FF">
        <w:rPr>
          <w:rFonts w:ascii="Palatino Linotype" w:hAnsi="Palatino Linotype"/>
        </w:rPr>
        <w:t>MARTÍNEZ</w:t>
      </w:r>
      <w:r w:rsidRPr="007B26FF">
        <w:rPr>
          <w:rFonts w:ascii="Palatino Linotype" w:hAnsi="Palatino Linotype"/>
        </w:rPr>
        <w:t xml:space="preserve"> </w:t>
      </w:r>
      <w:r w:rsidR="007B26FF" w:rsidRPr="007B26FF">
        <w:rPr>
          <w:rFonts w:ascii="Palatino Linotype" w:hAnsi="Palatino Linotype"/>
        </w:rPr>
        <w:t>SÁNCHEZ</w:t>
      </w:r>
      <w:r w:rsidRPr="007B26FF">
        <w:rPr>
          <w:rFonts w:ascii="Palatino Linotype" w:hAnsi="Palatino Linotype"/>
        </w:rPr>
        <w:t>; EVA ABAID YAPUR</w:t>
      </w:r>
      <w:r w:rsidR="007B26FF">
        <w:rPr>
          <w:rFonts w:ascii="Palatino Linotype" w:hAnsi="Palatino Linotype"/>
        </w:rPr>
        <w:t xml:space="preserve"> EMITIENDO VOTO PARTICULAR </w:t>
      </w:r>
      <w:r w:rsidRPr="007B26FF">
        <w:rPr>
          <w:rFonts w:ascii="Palatino Linotype" w:hAnsi="Palatino Linotype"/>
        </w:rPr>
        <w:t>; JOSÉ GUADALUPE LUNA HERNÁNDEZ; JAVIER MARTÍNEZ CRUZ Y LUIS GUSTAVO PARRA NORIEGA; EN LA SÉPTIMA  SESIÓN ORDINARIA CELEBRADA EL CUATRO DE MARZO DE DOS MIL VEINTIUNO, ANTE EL SECRETARIO TÉCNICO DEL PLENO ALEXIS TAPIA RAMÍREZ.</w:t>
      </w:r>
      <w:r w:rsidRPr="007B26FF">
        <w:rPr>
          <w:rFonts w:ascii="Palatino Linotype" w:hAnsi="Palatino Linotype" w:cs="Arial"/>
        </w:rPr>
        <w:t xml:space="preserve">  </w:t>
      </w:r>
    </w:p>
    <w:p w14:paraId="0583270B" w14:textId="53AA4F21" w:rsidR="007B26FF" w:rsidRDefault="007B26FF" w:rsidP="006B6F57">
      <w:pPr>
        <w:spacing w:before="240" w:after="240" w:line="360" w:lineRule="auto"/>
        <w:jc w:val="both"/>
        <w:rPr>
          <w:rFonts w:ascii="Palatino Linotype" w:hAnsi="Palatino Linotype"/>
        </w:rPr>
      </w:pPr>
    </w:p>
    <w:p w14:paraId="0D7F0273" w14:textId="77777777" w:rsidR="007B26FF" w:rsidRPr="007B26FF" w:rsidRDefault="007B26FF" w:rsidP="007B26FF">
      <w:pPr>
        <w:rPr>
          <w:rFonts w:ascii="Palatino Linotype" w:hAnsi="Palatino Linotype"/>
        </w:rPr>
      </w:pPr>
    </w:p>
    <w:p w14:paraId="44AB115E" w14:textId="77777777" w:rsidR="007B26FF" w:rsidRPr="007B26FF" w:rsidRDefault="007B26FF" w:rsidP="007B26FF">
      <w:pPr>
        <w:rPr>
          <w:rFonts w:ascii="Palatino Linotype" w:hAnsi="Palatino Linotype"/>
        </w:rPr>
      </w:pPr>
    </w:p>
    <w:p w14:paraId="583BE89E" w14:textId="77777777" w:rsidR="007B26FF" w:rsidRPr="007B26FF" w:rsidRDefault="007B26FF" w:rsidP="007B26FF">
      <w:pPr>
        <w:rPr>
          <w:rFonts w:ascii="Palatino Linotype" w:hAnsi="Palatino Linotype"/>
        </w:rPr>
      </w:pPr>
    </w:p>
    <w:p w14:paraId="7BDBB2A8" w14:textId="77777777" w:rsidR="007B26FF" w:rsidRPr="007B26FF" w:rsidRDefault="007B26FF" w:rsidP="007B26FF">
      <w:pPr>
        <w:rPr>
          <w:rFonts w:ascii="Palatino Linotype" w:hAnsi="Palatino Linotype"/>
        </w:rPr>
      </w:pPr>
    </w:p>
    <w:p w14:paraId="636B2074" w14:textId="77777777" w:rsidR="007B26FF" w:rsidRPr="007B26FF" w:rsidRDefault="007B26FF" w:rsidP="007B26FF">
      <w:pPr>
        <w:rPr>
          <w:rFonts w:ascii="Palatino Linotype" w:hAnsi="Palatino Linotype"/>
        </w:rPr>
      </w:pPr>
    </w:p>
    <w:p w14:paraId="47AA75D6" w14:textId="1FC8FA54" w:rsidR="007B26FF" w:rsidRDefault="007B26FF" w:rsidP="007B26FF">
      <w:pPr>
        <w:rPr>
          <w:rFonts w:ascii="Palatino Linotype" w:hAnsi="Palatino Linotype"/>
        </w:rPr>
      </w:pPr>
    </w:p>
    <w:p w14:paraId="7C38297A" w14:textId="119C19AB" w:rsidR="0029478C" w:rsidRDefault="007B26FF" w:rsidP="007B26FF">
      <w:pPr>
        <w:tabs>
          <w:tab w:val="left" w:pos="3555"/>
        </w:tabs>
        <w:rPr>
          <w:rFonts w:ascii="Palatino Linotype" w:hAnsi="Palatino Linotype"/>
        </w:rPr>
      </w:pPr>
      <w:r>
        <w:rPr>
          <w:rFonts w:ascii="Palatino Linotype" w:hAnsi="Palatino Linotype"/>
        </w:rPr>
        <w:tab/>
      </w:r>
    </w:p>
    <w:p w14:paraId="2C9181C6" w14:textId="77777777" w:rsidR="007B26FF" w:rsidRDefault="007B26FF" w:rsidP="007B26FF">
      <w:pPr>
        <w:tabs>
          <w:tab w:val="left" w:pos="3555"/>
        </w:tabs>
        <w:rPr>
          <w:rFonts w:ascii="Palatino Linotype" w:hAnsi="Palatino Linotype"/>
        </w:rPr>
      </w:pPr>
    </w:p>
    <w:p w14:paraId="652C5BCC" w14:textId="77777777" w:rsidR="007B26FF" w:rsidRDefault="007B26FF" w:rsidP="007B26FF">
      <w:pPr>
        <w:tabs>
          <w:tab w:val="left" w:pos="3555"/>
        </w:tabs>
        <w:rPr>
          <w:rFonts w:ascii="Palatino Linotype" w:hAnsi="Palatino Linotype"/>
        </w:rPr>
      </w:pPr>
    </w:p>
    <w:p w14:paraId="71CA9D43" w14:textId="77777777" w:rsidR="007B26FF" w:rsidRDefault="007B26FF" w:rsidP="007B26FF">
      <w:pPr>
        <w:tabs>
          <w:tab w:val="left" w:pos="3555"/>
        </w:tabs>
        <w:rPr>
          <w:rFonts w:ascii="Palatino Linotype" w:hAnsi="Palatino Linotype"/>
        </w:rPr>
      </w:pPr>
    </w:p>
    <w:p w14:paraId="050012B9" w14:textId="77777777" w:rsidR="007B26FF" w:rsidRDefault="007B26FF" w:rsidP="007B26FF">
      <w:pPr>
        <w:tabs>
          <w:tab w:val="left" w:pos="3555"/>
        </w:tabs>
        <w:rPr>
          <w:rFonts w:ascii="Palatino Linotype" w:hAnsi="Palatino Linotype"/>
        </w:rPr>
      </w:pPr>
    </w:p>
    <w:p w14:paraId="6EDAEE97" w14:textId="77777777" w:rsidR="007B26FF" w:rsidRDefault="007B26FF" w:rsidP="007B26FF">
      <w:pPr>
        <w:tabs>
          <w:tab w:val="left" w:pos="3555"/>
        </w:tabs>
        <w:rPr>
          <w:rFonts w:ascii="Palatino Linotype" w:hAnsi="Palatino Linotype"/>
        </w:rPr>
      </w:pPr>
    </w:p>
    <w:p w14:paraId="5FFFF736" w14:textId="77777777" w:rsidR="007B26FF" w:rsidRDefault="007B26FF" w:rsidP="007B26FF">
      <w:pPr>
        <w:tabs>
          <w:tab w:val="left" w:pos="3555"/>
        </w:tabs>
        <w:rPr>
          <w:rFonts w:ascii="Palatino Linotype" w:hAnsi="Palatino Linotype"/>
        </w:rPr>
      </w:pPr>
    </w:p>
    <w:p w14:paraId="79BBC33B" w14:textId="77777777" w:rsidR="007B26FF" w:rsidRDefault="007B26FF" w:rsidP="007B26FF">
      <w:pPr>
        <w:tabs>
          <w:tab w:val="left" w:pos="3555"/>
        </w:tabs>
        <w:rPr>
          <w:rFonts w:ascii="Palatino Linotype" w:hAnsi="Palatino Linotype"/>
        </w:rPr>
      </w:pPr>
    </w:p>
    <w:p w14:paraId="333DAEDD" w14:textId="77777777" w:rsidR="007B26FF" w:rsidRDefault="007B26FF" w:rsidP="007B26FF">
      <w:pPr>
        <w:tabs>
          <w:tab w:val="left" w:pos="3555"/>
        </w:tabs>
        <w:rPr>
          <w:rFonts w:ascii="Palatino Linotype" w:hAnsi="Palatino Linotype"/>
        </w:rPr>
      </w:pPr>
    </w:p>
    <w:p w14:paraId="606A14A6" w14:textId="77777777" w:rsidR="007B26FF" w:rsidRDefault="007B26FF" w:rsidP="007B26FF">
      <w:pPr>
        <w:tabs>
          <w:tab w:val="left" w:pos="3555"/>
        </w:tabs>
        <w:rPr>
          <w:rFonts w:ascii="Palatino Linotype" w:hAnsi="Palatino Linotype"/>
        </w:rPr>
      </w:pPr>
    </w:p>
    <w:p w14:paraId="60A6FF44" w14:textId="77777777" w:rsidR="007B26FF" w:rsidRDefault="007B26FF" w:rsidP="007B26FF">
      <w:pPr>
        <w:tabs>
          <w:tab w:val="left" w:pos="3555"/>
        </w:tabs>
        <w:rPr>
          <w:rFonts w:ascii="Palatino Linotype" w:hAnsi="Palatino Linotype"/>
        </w:rPr>
      </w:pPr>
    </w:p>
    <w:p w14:paraId="019BC12D" w14:textId="77777777" w:rsidR="007B26FF" w:rsidRPr="007B26FF" w:rsidRDefault="007B26FF" w:rsidP="007B26FF">
      <w:pPr>
        <w:tabs>
          <w:tab w:val="left" w:pos="3555"/>
        </w:tabs>
        <w:rPr>
          <w:rFonts w:ascii="Palatino Linotype" w:hAnsi="Palatino Linotype"/>
        </w:rPr>
      </w:pPr>
    </w:p>
    <w:sectPr w:rsidR="007B26FF" w:rsidRPr="007B26FF" w:rsidSect="00943B9C">
      <w:headerReference w:type="even" r:id="rId10"/>
      <w:headerReference w:type="default" r:id="rId11"/>
      <w:footerReference w:type="default" r:id="rId12"/>
      <w:headerReference w:type="first" r:id="rId13"/>
      <w:footerReference w:type="first" r:id="rId14"/>
      <w:pgSz w:w="12240" w:h="15840"/>
      <w:pgMar w:top="2694" w:right="1701"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7F419F" w14:textId="77777777" w:rsidR="00625729" w:rsidRDefault="00625729" w:rsidP="00587366">
      <w:r>
        <w:separator/>
      </w:r>
    </w:p>
  </w:endnote>
  <w:endnote w:type="continuationSeparator" w:id="0">
    <w:p w14:paraId="6A7F9BFE" w14:textId="77777777" w:rsidR="00625729" w:rsidRDefault="00625729"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316221887"/>
      <w:docPartObj>
        <w:docPartGallery w:val="Page Numbers (Bottom of Page)"/>
        <w:docPartUnique/>
      </w:docPartObj>
    </w:sdtPr>
    <w:sdtContent>
      <w:sdt>
        <w:sdtPr>
          <w:rPr>
            <w:rFonts w:ascii="Palatino Linotype" w:hAnsi="Palatino Linotype"/>
            <w:sz w:val="28"/>
          </w:rPr>
          <w:id w:val="1295024492"/>
          <w:docPartObj>
            <w:docPartGallery w:val="Page Numbers (Top of Page)"/>
            <w:docPartUnique/>
          </w:docPartObj>
        </w:sdtPr>
        <w:sdtContent>
          <w:p w14:paraId="187818B4" w14:textId="246A4717" w:rsidR="00625729" w:rsidRPr="00883450" w:rsidRDefault="00625729">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Pr>
                <w:rFonts w:ascii="Palatino Linotype" w:hAnsi="Palatino Linotype"/>
                <w:b/>
                <w:bCs/>
                <w:noProof/>
                <w:sz w:val="22"/>
                <w:szCs w:val="20"/>
              </w:rPr>
              <w:t>69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Pr>
                <w:rFonts w:ascii="Palatino Linotype" w:hAnsi="Palatino Linotype"/>
                <w:b/>
                <w:bCs/>
                <w:noProof/>
                <w:sz w:val="22"/>
                <w:szCs w:val="20"/>
              </w:rPr>
              <w:t>72</w:t>
            </w:r>
            <w:r w:rsidRPr="00883450">
              <w:rPr>
                <w:rFonts w:ascii="Palatino Linotype" w:hAnsi="Palatino Linotype"/>
                <w:b/>
                <w:bCs/>
                <w:sz w:val="22"/>
                <w:szCs w:val="20"/>
              </w:rPr>
              <w:fldChar w:fldCharType="end"/>
            </w:r>
          </w:p>
        </w:sdtContent>
      </w:sdt>
    </w:sdtContent>
  </w:sdt>
  <w:p w14:paraId="6243EC1B" w14:textId="77777777" w:rsidR="00625729" w:rsidRDefault="0062572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882B7" w14:textId="77777777" w:rsidR="00625729" w:rsidRPr="00883450" w:rsidRDefault="00625729"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Pr="00054AEC">
      <w:rPr>
        <w:rFonts w:ascii="Palatino Linotype" w:hAnsi="Palatino Linotype"/>
        <w:noProof/>
        <w:sz w:val="22"/>
        <w:szCs w:val="22"/>
        <w:lang w:val="es-ES"/>
      </w:rPr>
      <w:t>72</w:t>
    </w:r>
    <w:r w:rsidRPr="00883450">
      <w:rPr>
        <w:rFonts w:ascii="Palatino Linotype" w:hAnsi="Palatino Linotype"/>
        <w:sz w:val="22"/>
        <w:szCs w:val="22"/>
      </w:rPr>
      <w:fldChar w:fldCharType="end"/>
    </w:r>
  </w:p>
  <w:p w14:paraId="5F5C4865" w14:textId="77777777" w:rsidR="00625729" w:rsidRPr="00883450" w:rsidRDefault="00625729">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69BE49" w14:textId="77777777" w:rsidR="00625729" w:rsidRDefault="00625729" w:rsidP="00587366">
      <w:r>
        <w:separator/>
      </w:r>
    </w:p>
  </w:footnote>
  <w:footnote w:type="continuationSeparator" w:id="0">
    <w:p w14:paraId="3C7D5CD0" w14:textId="77777777" w:rsidR="00625729" w:rsidRDefault="00625729" w:rsidP="00587366">
      <w:r>
        <w:continuationSeparator/>
      </w:r>
    </w:p>
  </w:footnote>
  <w:footnote w:id="1">
    <w:p w14:paraId="59FD4549" w14:textId="77777777" w:rsidR="00625729" w:rsidRDefault="00625729" w:rsidP="00AA4FD1">
      <w:pPr>
        <w:pStyle w:val="Textonotapie"/>
      </w:pPr>
      <w:r>
        <w:rPr>
          <w:rStyle w:val="Refdenotaalpie"/>
        </w:rPr>
        <w:footnoteRef/>
      </w:r>
      <w:r>
        <w:t xml:space="preserve"> Artículo 150. Ley de Transparencia y Acceso a la Información Pública del Estado de México y Municipios.</w:t>
      </w:r>
    </w:p>
    <w:p w14:paraId="6457EE50" w14:textId="77777777" w:rsidR="00625729" w:rsidRDefault="00625729" w:rsidP="00AA4FD1">
      <w:pPr>
        <w:pStyle w:val="Textonotapie"/>
      </w:pPr>
      <w:r>
        <w:t>Artículo 151. Ibídem.</w:t>
      </w:r>
    </w:p>
  </w:footnote>
  <w:footnote w:id="2">
    <w:p w14:paraId="1C5E6960" w14:textId="77777777" w:rsidR="00625729" w:rsidRDefault="00625729" w:rsidP="00AA4FD1">
      <w:pPr>
        <w:pStyle w:val="Textonotapie"/>
      </w:pPr>
      <w:r>
        <w:rPr>
          <w:rStyle w:val="Refdenotaalpie"/>
        </w:rPr>
        <w:footnoteRef/>
      </w:r>
      <w:r>
        <w:t xml:space="preserve"> Ley de Transparencia y Acceso a la Información Pública del Estado de México y Municipios. Artículo 9. …</w:t>
      </w:r>
    </w:p>
    <w:p w14:paraId="6CFD5A72" w14:textId="77777777" w:rsidR="00625729" w:rsidRDefault="00625729" w:rsidP="00AA4FD1">
      <w:pPr>
        <w:pStyle w:val="Textonotapie"/>
      </w:pPr>
      <w:r>
        <w:t>II. Eficacia: Obligación del Instituto para tutelar, de manera efectiva, el derecho de acceso a la información;</w:t>
      </w:r>
    </w:p>
    <w:p w14:paraId="4E83A7B2" w14:textId="77777777" w:rsidR="00625729" w:rsidRDefault="00625729" w:rsidP="00AA4FD1">
      <w:pPr>
        <w:pStyle w:val="Textonotapie"/>
      </w:pPr>
      <w:r>
        <w:t xml:space="preserve">… </w:t>
      </w:r>
    </w:p>
  </w:footnote>
  <w:footnote w:id="3">
    <w:p w14:paraId="20B70982" w14:textId="77777777" w:rsidR="00625729" w:rsidRPr="00D02CD1" w:rsidRDefault="00625729" w:rsidP="007C62F7">
      <w:pPr>
        <w:pStyle w:val="Textonotapie"/>
        <w:rPr>
          <w:sz w:val="18"/>
          <w:szCs w:val="18"/>
        </w:rPr>
      </w:pPr>
      <w:r>
        <w:rPr>
          <w:rStyle w:val="Refdenotaalpie"/>
        </w:rPr>
        <w:footnoteRef/>
      </w:r>
      <w:r>
        <w:t xml:space="preserve"> </w:t>
      </w:r>
      <w:hyperlink r:id="rId1" w:history="1">
        <w:r w:rsidRPr="00D02CD1">
          <w:rPr>
            <w:rStyle w:val="Hipervnculo"/>
            <w:sz w:val="18"/>
            <w:szCs w:val="18"/>
          </w:rPr>
          <w:t>http://seduym.edomex.gob.mx/conjuntos_urbanos</w:t>
        </w:r>
      </w:hyperlink>
    </w:p>
  </w:footnote>
  <w:footnote w:id="4">
    <w:p w14:paraId="3F24E231" w14:textId="35403E54" w:rsidR="00625729" w:rsidRPr="00D02CD1" w:rsidRDefault="00625729" w:rsidP="00D02CD1">
      <w:pPr>
        <w:rPr>
          <w:sz w:val="18"/>
          <w:szCs w:val="18"/>
        </w:rPr>
      </w:pPr>
      <w:r w:rsidRPr="00D02CD1">
        <w:rPr>
          <w:rStyle w:val="Refdenotaalpie"/>
          <w:sz w:val="18"/>
          <w:szCs w:val="18"/>
        </w:rPr>
        <w:footnoteRef/>
      </w:r>
      <w:hyperlink r:id="rId2" w:history="1">
        <w:r w:rsidRPr="00D02CD1">
          <w:rPr>
            <w:rStyle w:val="Hipervnculo"/>
            <w:sz w:val="18"/>
            <w:szCs w:val="18"/>
          </w:rPr>
          <w:t>http://legislacion.edomex.gob.mx/sites/legislacion.edomex.gob.mx/files/files/pdf/gct/2015/ene071.PDF</w:t>
        </w:r>
      </w:hyperlink>
    </w:p>
  </w:footnote>
  <w:footnote w:id="5">
    <w:p w14:paraId="503CD601" w14:textId="77777777" w:rsidR="00625729" w:rsidRPr="00C22C70" w:rsidRDefault="00625729" w:rsidP="00C22C70">
      <w:pPr>
        <w:rPr>
          <w:rFonts w:ascii="Palatino Linotype" w:hAnsi="Palatino Linotype"/>
          <w:sz w:val="16"/>
          <w:szCs w:val="16"/>
        </w:rPr>
      </w:pPr>
      <w:r>
        <w:rPr>
          <w:rStyle w:val="Refdenotaalpie"/>
        </w:rPr>
        <w:footnoteRef/>
      </w:r>
      <w:hyperlink r:id="rId3" w:history="1">
        <w:r w:rsidRPr="00C22C70">
          <w:rPr>
            <w:rStyle w:val="Hipervnculo"/>
            <w:rFonts w:ascii="Palatino Linotype" w:hAnsi="Palatino Linotype"/>
            <w:sz w:val="16"/>
            <w:szCs w:val="16"/>
          </w:rPr>
          <w:t>http://legislacion.edomex.gob.mx/sites/legislacion.edomex.gob.mx/files/files/pdf/gct/2016/sep271.PDF</w:t>
        </w:r>
      </w:hyperlink>
    </w:p>
  </w:footnote>
  <w:footnote w:id="6">
    <w:p w14:paraId="48EAB30A" w14:textId="77777777" w:rsidR="00625729" w:rsidRPr="00C324E5" w:rsidRDefault="00625729" w:rsidP="00C22C70">
      <w:pPr>
        <w:pStyle w:val="Prrafodelista"/>
        <w:ind w:left="0"/>
        <w:jc w:val="both"/>
        <w:rPr>
          <w:rFonts w:ascii="Palatino Linotype" w:hAnsi="Palatino Linotype"/>
          <w:sz w:val="18"/>
          <w:szCs w:val="18"/>
        </w:rPr>
      </w:pPr>
      <w:r w:rsidRPr="00C22C70">
        <w:rPr>
          <w:rStyle w:val="Refdenotaalpie"/>
          <w:rFonts w:ascii="Palatino Linotype" w:hAnsi="Palatino Linotype"/>
          <w:sz w:val="16"/>
          <w:szCs w:val="16"/>
        </w:rPr>
        <w:footnoteRef/>
      </w:r>
      <w:hyperlink r:id="rId4" w:history="1">
        <w:r w:rsidRPr="00C22C70">
          <w:rPr>
            <w:rStyle w:val="Hipervnculo"/>
            <w:rFonts w:ascii="Palatino Linotype" w:hAnsi="Palatino Linotype"/>
            <w:sz w:val="16"/>
            <w:szCs w:val="16"/>
          </w:rPr>
          <w:t>http://legislacion.edomex.gob.mx/sites/legislacion.edomex.gob.mx/files/files/pdf/gct/2018/may241.pdf</w:t>
        </w:r>
      </w:hyperlink>
    </w:p>
  </w:footnote>
  <w:footnote w:id="7">
    <w:p w14:paraId="6EE355D4" w14:textId="77777777" w:rsidR="00625729" w:rsidRPr="00C22C70" w:rsidRDefault="00625729" w:rsidP="00C22C70">
      <w:pPr>
        <w:pStyle w:val="Textonotapie"/>
        <w:rPr>
          <w:rFonts w:ascii="Palatino Linotype" w:hAnsi="Palatino Linotype"/>
          <w:sz w:val="16"/>
          <w:szCs w:val="16"/>
        </w:rPr>
      </w:pPr>
      <w:r w:rsidRPr="00C324E5">
        <w:rPr>
          <w:rStyle w:val="Refdenotaalpie"/>
          <w:sz w:val="18"/>
          <w:szCs w:val="18"/>
        </w:rPr>
        <w:footnoteRef/>
      </w:r>
      <w:r w:rsidRPr="00C324E5">
        <w:rPr>
          <w:sz w:val="18"/>
          <w:szCs w:val="18"/>
        </w:rPr>
        <w:t xml:space="preserve"> </w:t>
      </w:r>
      <w:hyperlink r:id="rId5" w:history="1">
        <w:r w:rsidRPr="00C22C70">
          <w:rPr>
            <w:rStyle w:val="Hipervnculo"/>
            <w:rFonts w:ascii="Palatino Linotype" w:hAnsi="Palatino Linotype"/>
            <w:sz w:val="16"/>
            <w:szCs w:val="16"/>
          </w:rPr>
          <w:t>http://legislacion.edomex.gob.mx/sites/legislacion.edomex.gob.mx/files/files/pdf/gct/2018/sep112.pdf</w:t>
        </w:r>
      </w:hyperlink>
    </w:p>
  </w:footnote>
  <w:footnote w:id="8">
    <w:p w14:paraId="2260A5FF" w14:textId="77777777" w:rsidR="00625729" w:rsidRPr="00C22C70" w:rsidRDefault="00625729" w:rsidP="00C22C70">
      <w:pPr>
        <w:pStyle w:val="Prrafodelista"/>
        <w:ind w:left="0"/>
        <w:jc w:val="both"/>
        <w:rPr>
          <w:rFonts w:ascii="Palatino Linotype" w:hAnsi="Palatino Linotype"/>
          <w:sz w:val="16"/>
          <w:szCs w:val="16"/>
        </w:rPr>
      </w:pPr>
      <w:r w:rsidRPr="00C22C70">
        <w:rPr>
          <w:rStyle w:val="Refdenotaalpie"/>
          <w:rFonts w:ascii="Palatino Linotype" w:hAnsi="Palatino Linotype"/>
          <w:sz w:val="16"/>
          <w:szCs w:val="16"/>
        </w:rPr>
        <w:footnoteRef/>
      </w:r>
      <w:r w:rsidRPr="00C22C70">
        <w:rPr>
          <w:rFonts w:ascii="Palatino Linotype" w:hAnsi="Palatino Linotype"/>
          <w:sz w:val="16"/>
          <w:szCs w:val="16"/>
        </w:rPr>
        <w:t xml:space="preserve"> </w:t>
      </w:r>
      <w:hyperlink r:id="rId6" w:history="1">
        <w:r w:rsidRPr="00C22C70">
          <w:rPr>
            <w:rStyle w:val="Hipervnculo"/>
            <w:rFonts w:ascii="Palatino Linotype" w:hAnsi="Palatino Linotype"/>
            <w:sz w:val="16"/>
            <w:szCs w:val="16"/>
          </w:rPr>
          <w:t>http://legislacion.edomex.gob.mx/sites/legislacion.edomex.gob.mx/files/files/pdf/gct/2019/ene101.pdf</w:t>
        </w:r>
      </w:hyperlink>
    </w:p>
  </w:footnote>
  <w:footnote w:id="9">
    <w:p w14:paraId="70CCE467" w14:textId="77777777" w:rsidR="00625729" w:rsidRPr="00C22C70" w:rsidRDefault="00625729" w:rsidP="00C22C70">
      <w:pPr>
        <w:pStyle w:val="Prrafodelista"/>
        <w:ind w:left="0"/>
        <w:jc w:val="both"/>
        <w:rPr>
          <w:rFonts w:ascii="Palatino Linotype" w:hAnsi="Palatino Linotype"/>
          <w:sz w:val="16"/>
          <w:szCs w:val="16"/>
        </w:rPr>
      </w:pPr>
      <w:r w:rsidRPr="00C22C70">
        <w:rPr>
          <w:rStyle w:val="Refdenotaalpie"/>
          <w:rFonts w:ascii="Palatino Linotype" w:hAnsi="Palatino Linotype"/>
          <w:sz w:val="16"/>
          <w:szCs w:val="16"/>
        </w:rPr>
        <w:footnoteRef/>
      </w:r>
      <w:r w:rsidRPr="00C22C70">
        <w:rPr>
          <w:rFonts w:ascii="Palatino Linotype" w:hAnsi="Palatino Linotype"/>
          <w:sz w:val="16"/>
          <w:szCs w:val="16"/>
        </w:rPr>
        <w:t xml:space="preserve"> </w:t>
      </w:r>
      <w:hyperlink r:id="rId7" w:history="1">
        <w:r w:rsidRPr="00C22C70">
          <w:rPr>
            <w:rStyle w:val="Hipervnculo"/>
            <w:rFonts w:ascii="Palatino Linotype" w:hAnsi="Palatino Linotype"/>
            <w:sz w:val="16"/>
            <w:szCs w:val="16"/>
          </w:rPr>
          <w:t>http://legislacion.edomex.gob.mx/sites/legislacion.edomex.gob.mx/files/files/pdf/gct/2019/oct231.pdf</w:t>
        </w:r>
      </w:hyperlink>
    </w:p>
  </w:footnote>
  <w:footnote w:id="10">
    <w:p w14:paraId="7F63292B" w14:textId="77777777" w:rsidR="00625729" w:rsidRPr="00C22C70" w:rsidRDefault="00625729" w:rsidP="00C22C70">
      <w:pPr>
        <w:pStyle w:val="Prrafodelista"/>
        <w:ind w:left="0"/>
        <w:jc w:val="both"/>
        <w:rPr>
          <w:rFonts w:ascii="Palatino Linotype" w:hAnsi="Palatino Linotype"/>
          <w:sz w:val="16"/>
          <w:szCs w:val="16"/>
        </w:rPr>
      </w:pPr>
      <w:r w:rsidRPr="00C22C70">
        <w:rPr>
          <w:rStyle w:val="Refdenotaalpie"/>
          <w:rFonts w:ascii="Palatino Linotype" w:hAnsi="Palatino Linotype"/>
          <w:sz w:val="16"/>
          <w:szCs w:val="16"/>
        </w:rPr>
        <w:footnoteRef/>
      </w:r>
      <w:r w:rsidRPr="00C22C70">
        <w:rPr>
          <w:rFonts w:ascii="Palatino Linotype" w:hAnsi="Palatino Linotype"/>
          <w:sz w:val="16"/>
          <w:szCs w:val="16"/>
        </w:rPr>
        <w:t xml:space="preserve"> </w:t>
      </w:r>
      <w:hyperlink r:id="rId8" w:history="1">
        <w:r w:rsidRPr="00C22C70">
          <w:rPr>
            <w:rStyle w:val="Hipervnculo"/>
            <w:rFonts w:ascii="Palatino Linotype" w:hAnsi="Palatino Linotype"/>
            <w:sz w:val="16"/>
            <w:szCs w:val="16"/>
          </w:rPr>
          <w:t>http://legislacion.edomex.gob.mx/sites/legislacion.edomex.gob.mx/files/files/pdf/gct/2019/mar211.pdf</w:t>
        </w:r>
      </w:hyperlink>
    </w:p>
  </w:footnote>
  <w:footnote w:id="11">
    <w:p w14:paraId="1A2F4A3D" w14:textId="77777777" w:rsidR="00625729" w:rsidRPr="00C22C70" w:rsidRDefault="00625729" w:rsidP="00C22C70">
      <w:pPr>
        <w:pStyle w:val="Prrafodelista"/>
        <w:ind w:left="0"/>
        <w:jc w:val="both"/>
        <w:rPr>
          <w:rFonts w:ascii="Palatino Linotype" w:hAnsi="Palatino Linotype"/>
          <w:sz w:val="16"/>
          <w:szCs w:val="16"/>
        </w:rPr>
      </w:pPr>
      <w:r w:rsidRPr="00C22C70">
        <w:rPr>
          <w:rStyle w:val="Refdenotaalpie"/>
          <w:rFonts w:ascii="Palatino Linotype" w:hAnsi="Palatino Linotype"/>
          <w:sz w:val="16"/>
          <w:szCs w:val="16"/>
        </w:rPr>
        <w:footnoteRef/>
      </w:r>
      <w:r w:rsidRPr="00C22C70">
        <w:rPr>
          <w:rFonts w:ascii="Palatino Linotype" w:hAnsi="Palatino Linotype"/>
          <w:sz w:val="16"/>
          <w:szCs w:val="16"/>
        </w:rPr>
        <w:t xml:space="preserve"> </w:t>
      </w:r>
      <w:hyperlink r:id="rId9" w:history="1">
        <w:r w:rsidRPr="00C22C70">
          <w:rPr>
            <w:rStyle w:val="Hipervnculo"/>
            <w:rFonts w:ascii="Palatino Linotype" w:hAnsi="Palatino Linotype"/>
            <w:sz w:val="16"/>
            <w:szCs w:val="16"/>
          </w:rPr>
          <w:t>http://legislacion.edomex.gob.mx/sites/legislacion.edomex.gob.mx/files/files/pdf/gct/2019/dic121.pdf</w:t>
        </w:r>
      </w:hyperlink>
    </w:p>
  </w:footnote>
  <w:footnote w:id="12">
    <w:p w14:paraId="233FC421" w14:textId="77777777" w:rsidR="00625729" w:rsidRPr="00C324E5" w:rsidRDefault="00625729" w:rsidP="00C22C70">
      <w:pPr>
        <w:pStyle w:val="Prrafodelista"/>
        <w:ind w:left="90"/>
        <w:jc w:val="both"/>
        <w:rPr>
          <w:rFonts w:ascii="Palatino Linotype" w:hAnsi="Palatino Linotype"/>
          <w:sz w:val="16"/>
          <w:szCs w:val="16"/>
        </w:rPr>
      </w:pPr>
      <w:r>
        <w:rPr>
          <w:rStyle w:val="Refdenotaalpie"/>
        </w:rPr>
        <w:footnoteRef/>
      </w:r>
      <w:r>
        <w:t xml:space="preserve"> </w:t>
      </w:r>
      <w:hyperlink r:id="rId10" w:history="1">
        <w:r w:rsidRPr="00C324E5">
          <w:rPr>
            <w:rStyle w:val="Hipervnculo"/>
            <w:rFonts w:ascii="Palatino Linotype" w:hAnsi="Palatino Linotype"/>
            <w:sz w:val="16"/>
            <w:szCs w:val="16"/>
          </w:rPr>
          <w:t>http://legislacion.edomex.gob.mx/sites/legislacion.edomex.gob.mx/files/files/pdf/gct/2020/mar251.pdf</w:t>
        </w:r>
      </w:hyperlink>
    </w:p>
  </w:footnote>
  <w:footnote w:id="13">
    <w:p w14:paraId="6053E1C8" w14:textId="77777777" w:rsidR="00625729" w:rsidRPr="00C324E5" w:rsidRDefault="00625729" w:rsidP="00C22C70">
      <w:pPr>
        <w:jc w:val="both"/>
        <w:rPr>
          <w:rFonts w:ascii="Palatino Linotype" w:hAnsi="Palatino Linotype"/>
          <w:sz w:val="16"/>
          <w:szCs w:val="16"/>
        </w:rPr>
      </w:pPr>
      <w:r>
        <w:rPr>
          <w:rStyle w:val="Refdenotaalpie"/>
        </w:rPr>
        <w:footnoteRef/>
      </w:r>
      <w:r>
        <w:t xml:space="preserve"> </w:t>
      </w:r>
      <w:hyperlink r:id="rId11" w:history="1">
        <w:r w:rsidRPr="00C324E5">
          <w:rPr>
            <w:rStyle w:val="Hipervnculo"/>
            <w:rFonts w:ascii="Palatino Linotype" w:hAnsi="Palatino Linotype"/>
            <w:sz w:val="16"/>
            <w:szCs w:val="16"/>
          </w:rPr>
          <w:t>http://legislacion.edomex.gob.mx/sites/legislacion.edomex.gob.mx/files/files/pdf/gct/2021/feb091.pdf</w:t>
        </w:r>
      </w:hyperlink>
    </w:p>
  </w:footnote>
  <w:footnote w:id="14">
    <w:p w14:paraId="790D913F" w14:textId="77777777" w:rsidR="00625729" w:rsidRDefault="00625729" w:rsidP="007C62F7">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88A0FA1" w14:textId="77777777" w:rsidR="00625729" w:rsidRDefault="00625729" w:rsidP="007C62F7">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3866324" w14:textId="77777777" w:rsidR="00625729" w:rsidRPr="001E1F95" w:rsidRDefault="00625729" w:rsidP="007C62F7">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5">
    <w:p w14:paraId="559612C6" w14:textId="77777777" w:rsidR="00625729" w:rsidRPr="0037004E" w:rsidRDefault="00625729" w:rsidP="007C62F7">
      <w:pPr>
        <w:pStyle w:val="Textonotapie"/>
        <w:jc w:val="both"/>
        <w:rPr>
          <w:lang w:val="es-ES"/>
        </w:rPr>
      </w:pPr>
      <w:r w:rsidRPr="00C4034A">
        <w:rPr>
          <w:rStyle w:val="Refdenotaalpie"/>
        </w:rPr>
        <w:footnoteRef/>
      </w:r>
      <w:r w:rsidRPr="00C4034A">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footnote>
  <w:footnote w:id="16">
    <w:p w14:paraId="795B26B2" w14:textId="77777777" w:rsidR="00625729" w:rsidRDefault="00625729" w:rsidP="007C62F7">
      <w:pPr>
        <w:pStyle w:val="Textonotapie"/>
        <w:jc w:val="both"/>
      </w:pPr>
      <w:r>
        <w:rPr>
          <w:rStyle w:val="Refdenotaalpie"/>
        </w:rPr>
        <w:footnoteRef/>
      </w:r>
      <w:r>
        <w:t xml:space="preserve"> Artículo 3. Para los efectos de la presente Ley se entenderá por:</w:t>
      </w:r>
    </w:p>
    <w:p w14:paraId="38E862AA" w14:textId="77777777" w:rsidR="00625729" w:rsidRDefault="00625729" w:rsidP="007C62F7">
      <w:pPr>
        <w:pStyle w:val="Textonotapie"/>
        <w:jc w:val="both"/>
      </w:pPr>
      <w:r>
        <w:t xml:space="preserve"> (…)</w:t>
      </w:r>
    </w:p>
    <w:p w14:paraId="461DF218" w14:textId="77777777" w:rsidR="00625729" w:rsidRDefault="00625729" w:rsidP="007C62F7">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D7E50" w14:textId="4DBE28B9" w:rsidR="00625729" w:rsidRDefault="00625729">
    <w:pPr>
      <w:pStyle w:val="Encabezado"/>
    </w:pPr>
    <w:r>
      <w:rPr>
        <w:noProof/>
        <w:lang w:val="es-MX" w:eastAsia="es-MX"/>
      </w:rPr>
      <w:pict w14:anchorId="132D2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139015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E5A6E" w14:textId="46F47031" w:rsidR="00625729" w:rsidRDefault="00625729" w:rsidP="001C6012">
    <w:pPr>
      <w:pStyle w:val="Encabezado"/>
      <w:tabs>
        <w:tab w:val="clear" w:pos="4252"/>
        <w:tab w:val="clear" w:pos="8504"/>
        <w:tab w:val="left" w:pos="8460"/>
      </w:tabs>
    </w:pPr>
    <w:r>
      <w:rPr>
        <w:noProof/>
        <w:lang w:val="es-MX" w:eastAsia="es-MX"/>
      </w:rPr>
      <w:pict w14:anchorId="2A80E2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1390158" o:spid="_x0000_s2051" type="#_x0000_t75" style="position:absolute;margin-left:-85.4pt;margin-top:-134.7pt;width:609.4pt;height:793.75pt;z-index:-251656192;mso-position-horizontal-relative:margin;mso-position-vertical-relative:margin" o:allowincell="f">
          <v:imagedata r:id="rId1" o:title="resolución"/>
          <w10:wrap anchorx="margin" anchory="margin"/>
        </v:shape>
      </w:pict>
    </w:r>
    <w:r>
      <w:tab/>
    </w:r>
  </w:p>
  <w:p w14:paraId="64F5F23E" w14:textId="390690E5" w:rsidR="00625729" w:rsidRDefault="00625729">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625729" w:rsidRPr="00674A46" w14:paraId="07F2896E" w14:textId="77777777" w:rsidTr="0081485A">
      <w:trPr>
        <w:trHeight w:val="138"/>
        <w:jc w:val="right"/>
      </w:trPr>
      <w:tc>
        <w:tcPr>
          <w:tcW w:w="4253" w:type="dxa"/>
          <w:vAlign w:val="center"/>
        </w:tcPr>
        <w:p w14:paraId="4A5B1974" w14:textId="3B2AB4E0" w:rsidR="00625729" w:rsidRPr="00674A46" w:rsidRDefault="00625729"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1500F92E" w:rsidR="00625729" w:rsidRPr="00674A46" w:rsidRDefault="00625729" w:rsidP="0051659D">
          <w:pPr>
            <w:pStyle w:val="Encabezado"/>
            <w:rPr>
              <w:rFonts w:ascii="Palatino Linotype" w:hAnsi="Palatino Linotype"/>
              <w:b/>
              <w:sz w:val="22"/>
              <w:szCs w:val="22"/>
            </w:rPr>
          </w:pPr>
          <w:r>
            <w:rPr>
              <w:rFonts w:ascii="Palatino Linotype" w:hAnsi="Palatino Linotype" w:cs="Arial"/>
              <w:b/>
              <w:bCs/>
              <w:sz w:val="22"/>
              <w:szCs w:val="22"/>
              <w:lang w:eastAsia="es-MX"/>
            </w:rPr>
            <w:t>0018/INFOEM/IP/RR/2021</w:t>
          </w:r>
        </w:p>
      </w:tc>
    </w:tr>
    <w:tr w:rsidR="00625729" w:rsidRPr="00674A46" w14:paraId="1B5D8690" w14:textId="77777777" w:rsidTr="0081485A">
      <w:trPr>
        <w:trHeight w:val="233"/>
        <w:jc w:val="right"/>
      </w:trPr>
      <w:tc>
        <w:tcPr>
          <w:tcW w:w="4253" w:type="dxa"/>
          <w:vAlign w:val="center"/>
        </w:tcPr>
        <w:p w14:paraId="3903F2C6" w14:textId="22D569F8" w:rsidR="00625729" w:rsidRPr="00674A46" w:rsidRDefault="00625729"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1D152EF6" w:rsidR="00625729" w:rsidRPr="00B75F20" w:rsidRDefault="00625729" w:rsidP="00926F75">
          <w:pPr>
            <w:pStyle w:val="Encabezado"/>
            <w:jc w:val="both"/>
            <w:rPr>
              <w:rFonts w:ascii="Palatino Linotype" w:hAnsi="Palatino Linotype"/>
              <w:b/>
              <w:sz w:val="22"/>
              <w:szCs w:val="22"/>
            </w:rPr>
          </w:pPr>
          <w:r w:rsidRPr="00C826E6">
            <w:rPr>
              <w:rFonts w:ascii="Palatino Linotype" w:hAnsi="Palatino Linotype"/>
              <w:b/>
              <w:bCs/>
              <w:color w:val="000000"/>
            </w:rPr>
            <w:t>Ayuntamiento de Tecámac</w:t>
          </w:r>
        </w:p>
      </w:tc>
    </w:tr>
    <w:tr w:rsidR="00625729" w:rsidRPr="00674A46" w14:paraId="095EB01B" w14:textId="77777777" w:rsidTr="0081485A">
      <w:trPr>
        <w:trHeight w:val="321"/>
        <w:jc w:val="right"/>
      </w:trPr>
      <w:tc>
        <w:tcPr>
          <w:tcW w:w="4253" w:type="dxa"/>
          <w:vAlign w:val="center"/>
        </w:tcPr>
        <w:p w14:paraId="6E000A51" w14:textId="25DCC1C7" w:rsidR="00625729" w:rsidRPr="00674A46" w:rsidRDefault="00625729"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625729" w:rsidRPr="00674A46" w:rsidRDefault="00625729"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625729" w:rsidRDefault="00625729" w:rsidP="00472C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42E21" w14:textId="6BF5A537" w:rsidR="00625729" w:rsidRDefault="00625729">
    <w:pPr>
      <w:pStyle w:val="Encabezado"/>
    </w:pPr>
    <w:r>
      <w:rPr>
        <w:noProof/>
        <w:lang w:val="es-MX" w:eastAsia="es-MX"/>
      </w:rPr>
      <w:pict w14:anchorId="49D00E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1390156"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tbl>
    <w:tblPr>
      <w:tblStyle w:val="Tablaconcuadrcula"/>
      <w:tblW w:w="7372" w:type="dxa"/>
      <w:tblInd w:w="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625729" w:rsidRPr="00674A46" w14:paraId="65A5AE81" w14:textId="77777777" w:rsidTr="00C324E5">
      <w:trPr>
        <w:trHeight w:val="138"/>
      </w:trPr>
      <w:tc>
        <w:tcPr>
          <w:tcW w:w="3261" w:type="dxa"/>
          <w:vAlign w:val="center"/>
        </w:tcPr>
        <w:p w14:paraId="3BEAA26C" w14:textId="77777777" w:rsidR="00625729" w:rsidRPr="00674A46" w:rsidRDefault="00625729" w:rsidP="003601DB">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3365DB95" w14:textId="0589CEE1" w:rsidR="00625729" w:rsidRPr="00674A46" w:rsidRDefault="00625729" w:rsidP="003601DB">
          <w:pPr>
            <w:pStyle w:val="Encabezado"/>
            <w:rPr>
              <w:rFonts w:ascii="Palatino Linotype" w:hAnsi="Palatino Linotype"/>
              <w:b/>
              <w:sz w:val="22"/>
              <w:szCs w:val="22"/>
            </w:rPr>
          </w:pPr>
          <w:r>
            <w:rPr>
              <w:rFonts w:ascii="Palatino Linotype" w:hAnsi="Palatino Linotype" w:cs="Arial"/>
              <w:b/>
              <w:bCs/>
              <w:sz w:val="22"/>
              <w:szCs w:val="22"/>
              <w:lang w:eastAsia="es-MX"/>
            </w:rPr>
            <w:t>0018/INFOEM/IP/RR/2021</w:t>
          </w:r>
        </w:p>
      </w:tc>
    </w:tr>
    <w:tr w:rsidR="00625729" w:rsidRPr="00B75F20" w14:paraId="31EB3550" w14:textId="77777777" w:rsidTr="00C324E5">
      <w:trPr>
        <w:trHeight w:val="233"/>
      </w:trPr>
      <w:tc>
        <w:tcPr>
          <w:tcW w:w="3261" w:type="dxa"/>
          <w:vAlign w:val="center"/>
        </w:tcPr>
        <w:p w14:paraId="202480BA" w14:textId="77777777" w:rsidR="00625729" w:rsidRPr="00674A46" w:rsidRDefault="00625729" w:rsidP="003601DB">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336B2EB2" w14:textId="55BDB183" w:rsidR="00625729" w:rsidRPr="00625729" w:rsidRDefault="00625729" w:rsidP="003601DB">
          <w:pPr>
            <w:pStyle w:val="Encabezado"/>
            <w:tabs>
              <w:tab w:val="clear" w:pos="4252"/>
              <w:tab w:val="clear" w:pos="8504"/>
              <w:tab w:val="left" w:pos="521"/>
            </w:tabs>
            <w:rPr>
              <w:rFonts w:ascii="Palatino Linotype" w:hAnsi="Palatino Linotype"/>
              <w:b/>
              <w:sz w:val="22"/>
              <w:szCs w:val="22"/>
              <w:highlight w:val="black"/>
            </w:rPr>
          </w:pPr>
          <w:r w:rsidRPr="00625729">
            <w:rPr>
              <w:rFonts w:ascii="Palatino Linotype" w:hAnsi="Palatino Linotype"/>
              <w:b/>
              <w:highlight w:val="black"/>
            </w:rPr>
            <w:t>------------------------------</w:t>
          </w:r>
        </w:p>
      </w:tc>
    </w:tr>
    <w:tr w:rsidR="00625729" w:rsidRPr="00674A46" w14:paraId="44BF1EA7" w14:textId="77777777" w:rsidTr="00C324E5">
      <w:trPr>
        <w:trHeight w:val="321"/>
      </w:trPr>
      <w:tc>
        <w:tcPr>
          <w:tcW w:w="3261" w:type="dxa"/>
          <w:vAlign w:val="center"/>
        </w:tcPr>
        <w:p w14:paraId="2768FEF4" w14:textId="77777777" w:rsidR="00625729" w:rsidRPr="00674A46" w:rsidRDefault="00625729" w:rsidP="003601DB">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020995A9" w14:textId="370380EA" w:rsidR="00625729" w:rsidRPr="00674A46" w:rsidRDefault="00625729" w:rsidP="003601DB">
          <w:pPr>
            <w:pStyle w:val="Encabezado"/>
            <w:jc w:val="both"/>
            <w:rPr>
              <w:rFonts w:ascii="Palatino Linotype" w:hAnsi="Palatino Linotype"/>
              <w:b/>
              <w:sz w:val="22"/>
              <w:szCs w:val="22"/>
            </w:rPr>
          </w:pPr>
          <w:r w:rsidRPr="00C826E6">
            <w:rPr>
              <w:rFonts w:ascii="Palatino Linotype" w:hAnsi="Palatino Linotype"/>
              <w:b/>
              <w:bCs/>
              <w:color w:val="000000"/>
            </w:rPr>
            <w:t>Ayuntamiento de Tecámac</w:t>
          </w:r>
        </w:p>
      </w:tc>
    </w:tr>
    <w:tr w:rsidR="00625729" w:rsidRPr="00674A46" w14:paraId="43A42A63" w14:textId="77777777" w:rsidTr="00C324E5">
      <w:trPr>
        <w:trHeight w:val="321"/>
      </w:trPr>
      <w:tc>
        <w:tcPr>
          <w:tcW w:w="3261" w:type="dxa"/>
          <w:vAlign w:val="center"/>
        </w:tcPr>
        <w:p w14:paraId="7307D797" w14:textId="77777777" w:rsidR="00625729" w:rsidRPr="00674A46" w:rsidRDefault="00625729" w:rsidP="003601DB">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EE6B46B" w14:textId="77777777" w:rsidR="00625729" w:rsidRPr="00674A46" w:rsidRDefault="00625729" w:rsidP="003601DB">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6F5E91E5" w14:textId="019BA1F7" w:rsidR="00625729" w:rsidRDefault="00625729">
    <w:pPr>
      <w:pStyle w:val="Encabezado"/>
    </w:pPr>
  </w:p>
  <w:p w14:paraId="156B5574" w14:textId="3EA5B995" w:rsidR="00625729" w:rsidRDefault="00625729"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B11A5"/>
    <w:multiLevelType w:val="hybridMultilevel"/>
    <w:tmpl w:val="58785042"/>
    <w:lvl w:ilvl="0" w:tplc="7B98170C">
      <w:start w:val="34"/>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7C7DCE"/>
    <w:multiLevelType w:val="hybridMultilevel"/>
    <w:tmpl w:val="C9541F9C"/>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28FE5E95"/>
    <w:multiLevelType w:val="hybridMultilevel"/>
    <w:tmpl w:val="981604B0"/>
    <w:lvl w:ilvl="0" w:tplc="2CFE5756">
      <w:start w:val="2"/>
      <w:numFmt w:val="upperRoman"/>
      <w:lvlText w:val="%1."/>
      <w:lvlJc w:val="left"/>
      <w:pPr>
        <w:ind w:left="668" w:hanging="228"/>
        <w:jc w:val="left"/>
      </w:pPr>
      <w:rPr>
        <w:rFonts w:ascii="Palatino Linotype" w:eastAsia="Palatino Linotype" w:hAnsi="Palatino Linotype" w:cs="Palatino Linotype" w:hint="default"/>
        <w:i/>
        <w:iCs/>
        <w:w w:val="99"/>
        <w:sz w:val="20"/>
        <w:szCs w:val="20"/>
        <w:lang w:val="es-ES" w:eastAsia="en-US" w:bidi="ar-SA"/>
      </w:rPr>
    </w:lvl>
    <w:lvl w:ilvl="1" w:tplc="FA66B372">
      <w:numFmt w:val="bullet"/>
      <w:lvlText w:val="•"/>
      <w:lvlJc w:val="left"/>
      <w:pPr>
        <w:ind w:left="1534" w:hanging="228"/>
      </w:pPr>
      <w:rPr>
        <w:rFonts w:hint="default"/>
        <w:lang w:val="es-ES" w:eastAsia="en-US" w:bidi="ar-SA"/>
      </w:rPr>
    </w:lvl>
    <w:lvl w:ilvl="2" w:tplc="D13A187A">
      <w:numFmt w:val="bullet"/>
      <w:lvlText w:val="•"/>
      <w:lvlJc w:val="left"/>
      <w:pPr>
        <w:ind w:left="2408" w:hanging="228"/>
      </w:pPr>
      <w:rPr>
        <w:rFonts w:hint="default"/>
        <w:lang w:val="es-ES" w:eastAsia="en-US" w:bidi="ar-SA"/>
      </w:rPr>
    </w:lvl>
    <w:lvl w:ilvl="3" w:tplc="4290F17E">
      <w:numFmt w:val="bullet"/>
      <w:lvlText w:val="•"/>
      <w:lvlJc w:val="left"/>
      <w:pPr>
        <w:ind w:left="3282" w:hanging="228"/>
      </w:pPr>
      <w:rPr>
        <w:rFonts w:hint="default"/>
        <w:lang w:val="es-ES" w:eastAsia="en-US" w:bidi="ar-SA"/>
      </w:rPr>
    </w:lvl>
    <w:lvl w:ilvl="4" w:tplc="FD400396">
      <w:numFmt w:val="bullet"/>
      <w:lvlText w:val="•"/>
      <w:lvlJc w:val="left"/>
      <w:pPr>
        <w:ind w:left="4156" w:hanging="228"/>
      </w:pPr>
      <w:rPr>
        <w:rFonts w:hint="default"/>
        <w:lang w:val="es-ES" w:eastAsia="en-US" w:bidi="ar-SA"/>
      </w:rPr>
    </w:lvl>
    <w:lvl w:ilvl="5" w:tplc="0DEA40AA">
      <w:numFmt w:val="bullet"/>
      <w:lvlText w:val="•"/>
      <w:lvlJc w:val="left"/>
      <w:pPr>
        <w:ind w:left="5030" w:hanging="228"/>
      </w:pPr>
      <w:rPr>
        <w:rFonts w:hint="default"/>
        <w:lang w:val="es-ES" w:eastAsia="en-US" w:bidi="ar-SA"/>
      </w:rPr>
    </w:lvl>
    <w:lvl w:ilvl="6" w:tplc="3ACCECD2">
      <w:numFmt w:val="bullet"/>
      <w:lvlText w:val="•"/>
      <w:lvlJc w:val="left"/>
      <w:pPr>
        <w:ind w:left="5904" w:hanging="228"/>
      </w:pPr>
      <w:rPr>
        <w:rFonts w:hint="default"/>
        <w:lang w:val="es-ES" w:eastAsia="en-US" w:bidi="ar-SA"/>
      </w:rPr>
    </w:lvl>
    <w:lvl w:ilvl="7" w:tplc="B43E5CEC">
      <w:numFmt w:val="bullet"/>
      <w:lvlText w:val="•"/>
      <w:lvlJc w:val="left"/>
      <w:pPr>
        <w:ind w:left="6778" w:hanging="228"/>
      </w:pPr>
      <w:rPr>
        <w:rFonts w:hint="default"/>
        <w:lang w:val="es-ES" w:eastAsia="en-US" w:bidi="ar-SA"/>
      </w:rPr>
    </w:lvl>
    <w:lvl w:ilvl="8" w:tplc="43CC5588">
      <w:numFmt w:val="bullet"/>
      <w:lvlText w:val="•"/>
      <w:lvlJc w:val="left"/>
      <w:pPr>
        <w:ind w:left="7652" w:hanging="228"/>
      </w:pPr>
      <w:rPr>
        <w:rFonts w:hint="default"/>
        <w:lang w:val="es-ES" w:eastAsia="en-US" w:bidi="ar-SA"/>
      </w:rPr>
    </w:lvl>
  </w:abstractNum>
  <w:abstractNum w:abstractNumId="5"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E878EF"/>
    <w:multiLevelType w:val="hybridMultilevel"/>
    <w:tmpl w:val="AC328650"/>
    <w:lvl w:ilvl="0" w:tplc="2FB45E00">
      <w:start w:val="30"/>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317490"/>
    <w:multiLevelType w:val="hybridMultilevel"/>
    <w:tmpl w:val="D15A297E"/>
    <w:lvl w:ilvl="0" w:tplc="4FB418BE">
      <w:start w:val="1"/>
      <w:numFmt w:val="decimal"/>
      <w:lvlText w:val="%1."/>
      <w:lvlJc w:val="left"/>
      <w:pPr>
        <w:ind w:left="6570" w:hanging="360"/>
      </w:pPr>
      <w:rPr>
        <w:rFonts w:ascii="Palatino Linotype" w:hAnsi="Palatino Linotype" w:hint="default"/>
        <w:b/>
        <w:i w:val="0"/>
        <w:color w:val="000000" w:themeColor="text1"/>
        <w:sz w:val="24"/>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5314B0"/>
    <w:multiLevelType w:val="hybridMultilevel"/>
    <w:tmpl w:val="C9541F9C"/>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34D50C94"/>
    <w:multiLevelType w:val="hybridMultilevel"/>
    <w:tmpl w:val="6F3EF692"/>
    <w:lvl w:ilvl="0" w:tplc="2C262B66">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44054025"/>
    <w:multiLevelType w:val="hybridMultilevel"/>
    <w:tmpl w:val="F9C21E8A"/>
    <w:lvl w:ilvl="0" w:tplc="C09A74E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1171DC0"/>
    <w:multiLevelType w:val="hybridMultilevel"/>
    <w:tmpl w:val="EC10C8D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D677B41"/>
    <w:multiLevelType w:val="hybridMultilevel"/>
    <w:tmpl w:val="5A1081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0B76F63"/>
    <w:multiLevelType w:val="hybridMultilevel"/>
    <w:tmpl w:val="C35A0E80"/>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8BC131F"/>
    <w:multiLevelType w:val="hybridMultilevel"/>
    <w:tmpl w:val="E9586C8A"/>
    <w:lvl w:ilvl="0" w:tplc="1D1E5A48">
      <w:start w:val="1"/>
      <w:numFmt w:val="upperRoman"/>
      <w:lvlText w:val="%1."/>
      <w:lvlJc w:val="left"/>
      <w:pPr>
        <w:ind w:left="1440" w:hanging="72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6" w15:restartNumberingAfterBreak="0">
    <w:nsid w:val="7BAF3DB4"/>
    <w:multiLevelType w:val="hybridMultilevel"/>
    <w:tmpl w:val="911C54D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7"/>
  </w:num>
  <w:num w:numId="2">
    <w:abstractNumId w:val="13"/>
  </w:num>
  <w:num w:numId="3">
    <w:abstractNumId w:val="16"/>
  </w:num>
  <w:num w:numId="4">
    <w:abstractNumId w:val="1"/>
  </w:num>
  <w:num w:numId="5">
    <w:abstractNumId w:val="5"/>
  </w:num>
  <w:num w:numId="6">
    <w:abstractNumId w:val="3"/>
  </w:num>
  <w:num w:numId="7">
    <w:abstractNumId w:val="6"/>
  </w:num>
  <w:num w:numId="8">
    <w:abstractNumId w:val="0"/>
  </w:num>
  <w:num w:numId="9">
    <w:abstractNumId w:val="11"/>
  </w:num>
  <w:num w:numId="10">
    <w:abstractNumId w:val="12"/>
  </w:num>
  <w:num w:numId="11">
    <w:abstractNumId w:val="8"/>
  </w:num>
  <w:num w:numId="12">
    <w:abstractNumId w:val="14"/>
  </w:num>
  <w:num w:numId="13">
    <w:abstractNumId w:val="4"/>
  </w:num>
  <w:num w:numId="14">
    <w:abstractNumId w:val="9"/>
  </w:num>
  <w:num w:numId="15">
    <w:abstractNumId w:val="10"/>
  </w:num>
  <w:num w:numId="16">
    <w:abstractNumId w:val="15"/>
  </w:num>
  <w:num w:numId="17">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DB"/>
    <w:rsid w:val="00001287"/>
    <w:rsid w:val="000024F2"/>
    <w:rsid w:val="0000310F"/>
    <w:rsid w:val="00003A05"/>
    <w:rsid w:val="0000407F"/>
    <w:rsid w:val="00004906"/>
    <w:rsid w:val="000058E3"/>
    <w:rsid w:val="000065FD"/>
    <w:rsid w:val="00007E8A"/>
    <w:rsid w:val="0001106B"/>
    <w:rsid w:val="00011166"/>
    <w:rsid w:val="00011199"/>
    <w:rsid w:val="000120C5"/>
    <w:rsid w:val="00012472"/>
    <w:rsid w:val="0001398B"/>
    <w:rsid w:val="00016C7F"/>
    <w:rsid w:val="000203D3"/>
    <w:rsid w:val="000211F8"/>
    <w:rsid w:val="00023B29"/>
    <w:rsid w:val="0002415E"/>
    <w:rsid w:val="000246C2"/>
    <w:rsid w:val="00024F35"/>
    <w:rsid w:val="00025B10"/>
    <w:rsid w:val="000303BB"/>
    <w:rsid w:val="0003063D"/>
    <w:rsid w:val="00030F2B"/>
    <w:rsid w:val="000319FD"/>
    <w:rsid w:val="00031F10"/>
    <w:rsid w:val="00032493"/>
    <w:rsid w:val="0003432C"/>
    <w:rsid w:val="00034A1F"/>
    <w:rsid w:val="00034B29"/>
    <w:rsid w:val="0004072A"/>
    <w:rsid w:val="0004193F"/>
    <w:rsid w:val="00041C24"/>
    <w:rsid w:val="00042380"/>
    <w:rsid w:val="000431F7"/>
    <w:rsid w:val="000439C9"/>
    <w:rsid w:val="000440C5"/>
    <w:rsid w:val="0004427A"/>
    <w:rsid w:val="000444FF"/>
    <w:rsid w:val="00045C97"/>
    <w:rsid w:val="00046557"/>
    <w:rsid w:val="0004686A"/>
    <w:rsid w:val="000468E2"/>
    <w:rsid w:val="0004743E"/>
    <w:rsid w:val="00047AE0"/>
    <w:rsid w:val="0005237C"/>
    <w:rsid w:val="00052A3C"/>
    <w:rsid w:val="00053927"/>
    <w:rsid w:val="00053ABC"/>
    <w:rsid w:val="0005437C"/>
    <w:rsid w:val="00054A03"/>
    <w:rsid w:val="00054AEC"/>
    <w:rsid w:val="00056A79"/>
    <w:rsid w:val="00060AEB"/>
    <w:rsid w:val="00061344"/>
    <w:rsid w:val="00061742"/>
    <w:rsid w:val="00062229"/>
    <w:rsid w:val="00062648"/>
    <w:rsid w:val="000631D9"/>
    <w:rsid w:val="0006407E"/>
    <w:rsid w:val="00064A37"/>
    <w:rsid w:val="00064B95"/>
    <w:rsid w:val="00065318"/>
    <w:rsid w:val="0006594F"/>
    <w:rsid w:val="00066013"/>
    <w:rsid w:val="0007192E"/>
    <w:rsid w:val="00072930"/>
    <w:rsid w:val="000732C3"/>
    <w:rsid w:val="00073CA2"/>
    <w:rsid w:val="000800AC"/>
    <w:rsid w:val="00080F9E"/>
    <w:rsid w:val="0008230A"/>
    <w:rsid w:val="00082D11"/>
    <w:rsid w:val="00082F81"/>
    <w:rsid w:val="0008542A"/>
    <w:rsid w:val="00086D80"/>
    <w:rsid w:val="000878AA"/>
    <w:rsid w:val="00090D6F"/>
    <w:rsid w:val="00093A9A"/>
    <w:rsid w:val="00093E38"/>
    <w:rsid w:val="000950AA"/>
    <w:rsid w:val="00095114"/>
    <w:rsid w:val="000A1BDD"/>
    <w:rsid w:val="000A24C0"/>
    <w:rsid w:val="000A3216"/>
    <w:rsid w:val="000A3F90"/>
    <w:rsid w:val="000A4E44"/>
    <w:rsid w:val="000A65A0"/>
    <w:rsid w:val="000A77ED"/>
    <w:rsid w:val="000B01B9"/>
    <w:rsid w:val="000B0370"/>
    <w:rsid w:val="000B0A5E"/>
    <w:rsid w:val="000B4850"/>
    <w:rsid w:val="000B5057"/>
    <w:rsid w:val="000B5A12"/>
    <w:rsid w:val="000B5AB1"/>
    <w:rsid w:val="000B5D79"/>
    <w:rsid w:val="000B6D31"/>
    <w:rsid w:val="000C0061"/>
    <w:rsid w:val="000C0663"/>
    <w:rsid w:val="000C10B9"/>
    <w:rsid w:val="000C1509"/>
    <w:rsid w:val="000C166D"/>
    <w:rsid w:val="000C1D19"/>
    <w:rsid w:val="000C2DF8"/>
    <w:rsid w:val="000C2DFA"/>
    <w:rsid w:val="000C2E5F"/>
    <w:rsid w:val="000C3423"/>
    <w:rsid w:val="000C3861"/>
    <w:rsid w:val="000C4A8E"/>
    <w:rsid w:val="000C5A04"/>
    <w:rsid w:val="000C5AF7"/>
    <w:rsid w:val="000C5DE6"/>
    <w:rsid w:val="000C637F"/>
    <w:rsid w:val="000D009C"/>
    <w:rsid w:val="000D0855"/>
    <w:rsid w:val="000D1AD8"/>
    <w:rsid w:val="000D1E0F"/>
    <w:rsid w:val="000D2FD3"/>
    <w:rsid w:val="000D3275"/>
    <w:rsid w:val="000D3339"/>
    <w:rsid w:val="000D5A1D"/>
    <w:rsid w:val="000D7369"/>
    <w:rsid w:val="000E07DC"/>
    <w:rsid w:val="000E2665"/>
    <w:rsid w:val="000E35BE"/>
    <w:rsid w:val="000E46E5"/>
    <w:rsid w:val="000E5326"/>
    <w:rsid w:val="000E62A0"/>
    <w:rsid w:val="000E6436"/>
    <w:rsid w:val="000E77B8"/>
    <w:rsid w:val="000F01E4"/>
    <w:rsid w:val="000F17AC"/>
    <w:rsid w:val="000F191E"/>
    <w:rsid w:val="000F2EDD"/>
    <w:rsid w:val="000F2F58"/>
    <w:rsid w:val="000F34CB"/>
    <w:rsid w:val="000F36DB"/>
    <w:rsid w:val="000F37A8"/>
    <w:rsid w:val="000F3B67"/>
    <w:rsid w:val="000F523F"/>
    <w:rsid w:val="000F5D21"/>
    <w:rsid w:val="000F6D7E"/>
    <w:rsid w:val="000F76AD"/>
    <w:rsid w:val="000F7786"/>
    <w:rsid w:val="00100187"/>
    <w:rsid w:val="00100B8B"/>
    <w:rsid w:val="00100DDD"/>
    <w:rsid w:val="00101FA5"/>
    <w:rsid w:val="0010268C"/>
    <w:rsid w:val="00102A39"/>
    <w:rsid w:val="00102D65"/>
    <w:rsid w:val="00103888"/>
    <w:rsid w:val="00104C12"/>
    <w:rsid w:val="00105B1D"/>
    <w:rsid w:val="00107499"/>
    <w:rsid w:val="00107557"/>
    <w:rsid w:val="0011001E"/>
    <w:rsid w:val="0011167C"/>
    <w:rsid w:val="00112B02"/>
    <w:rsid w:val="001133C1"/>
    <w:rsid w:val="001139A2"/>
    <w:rsid w:val="00113B08"/>
    <w:rsid w:val="00113BD3"/>
    <w:rsid w:val="001140A4"/>
    <w:rsid w:val="00114A21"/>
    <w:rsid w:val="00115071"/>
    <w:rsid w:val="0012006D"/>
    <w:rsid w:val="00120243"/>
    <w:rsid w:val="00123F05"/>
    <w:rsid w:val="00124A13"/>
    <w:rsid w:val="001250B4"/>
    <w:rsid w:val="001253D1"/>
    <w:rsid w:val="001253FB"/>
    <w:rsid w:val="00130E92"/>
    <w:rsid w:val="001318D2"/>
    <w:rsid w:val="00132C06"/>
    <w:rsid w:val="001330EC"/>
    <w:rsid w:val="00133B79"/>
    <w:rsid w:val="00133CE5"/>
    <w:rsid w:val="0013431F"/>
    <w:rsid w:val="001352E5"/>
    <w:rsid w:val="00136668"/>
    <w:rsid w:val="0013673A"/>
    <w:rsid w:val="00137846"/>
    <w:rsid w:val="00140D44"/>
    <w:rsid w:val="00141114"/>
    <w:rsid w:val="00141BF0"/>
    <w:rsid w:val="0014349F"/>
    <w:rsid w:val="001436BB"/>
    <w:rsid w:val="00143BF3"/>
    <w:rsid w:val="0014481A"/>
    <w:rsid w:val="001459C8"/>
    <w:rsid w:val="001468A5"/>
    <w:rsid w:val="001475E7"/>
    <w:rsid w:val="00147864"/>
    <w:rsid w:val="00150BDE"/>
    <w:rsid w:val="00152ADF"/>
    <w:rsid w:val="00153833"/>
    <w:rsid w:val="00154304"/>
    <w:rsid w:val="0015466E"/>
    <w:rsid w:val="00154765"/>
    <w:rsid w:val="00154EF0"/>
    <w:rsid w:val="00155E0F"/>
    <w:rsid w:val="00156A23"/>
    <w:rsid w:val="00156CC6"/>
    <w:rsid w:val="00163780"/>
    <w:rsid w:val="00163B1F"/>
    <w:rsid w:val="001648EE"/>
    <w:rsid w:val="00164B65"/>
    <w:rsid w:val="00166794"/>
    <w:rsid w:val="00166BFB"/>
    <w:rsid w:val="00166FDA"/>
    <w:rsid w:val="00167D10"/>
    <w:rsid w:val="00170D28"/>
    <w:rsid w:val="00171E0A"/>
    <w:rsid w:val="001729DF"/>
    <w:rsid w:val="00173DDB"/>
    <w:rsid w:val="00173F22"/>
    <w:rsid w:val="00175DB6"/>
    <w:rsid w:val="0017653A"/>
    <w:rsid w:val="001770B7"/>
    <w:rsid w:val="001775DF"/>
    <w:rsid w:val="0018435D"/>
    <w:rsid w:val="001854E7"/>
    <w:rsid w:val="001863AF"/>
    <w:rsid w:val="001901A1"/>
    <w:rsid w:val="00190999"/>
    <w:rsid w:val="0019160F"/>
    <w:rsid w:val="00192B60"/>
    <w:rsid w:val="00192B71"/>
    <w:rsid w:val="00192D8E"/>
    <w:rsid w:val="00192E4B"/>
    <w:rsid w:val="00193EC9"/>
    <w:rsid w:val="00195C4D"/>
    <w:rsid w:val="001972CC"/>
    <w:rsid w:val="001A1188"/>
    <w:rsid w:val="001A138D"/>
    <w:rsid w:val="001A18F8"/>
    <w:rsid w:val="001A1A1F"/>
    <w:rsid w:val="001A1CA8"/>
    <w:rsid w:val="001A2857"/>
    <w:rsid w:val="001A2A89"/>
    <w:rsid w:val="001A3634"/>
    <w:rsid w:val="001A4A80"/>
    <w:rsid w:val="001A4D5D"/>
    <w:rsid w:val="001A61E1"/>
    <w:rsid w:val="001A62B7"/>
    <w:rsid w:val="001A683E"/>
    <w:rsid w:val="001A6C1E"/>
    <w:rsid w:val="001A7367"/>
    <w:rsid w:val="001B2129"/>
    <w:rsid w:val="001B2751"/>
    <w:rsid w:val="001B34DA"/>
    <w:rsid w:val="001B3659"/>
    <w:rsid w:val="001B3AC9"/>
    <w:rsid w:val="001B3B55"/>
    <w:rsid w:val="001B40F3"/>
    <w:rsid w:val="001B4BFB"/>
    <w:rsid w:val="001B53A0"/>
    <w:rsid w:val="001B5F70"/>
    <w:rsid w:val="001B6845"/>
    <w:rsid w:val="001B770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0F3B"/>
    <w:rsid w:val="001D162B"/>
    <w:rsid w:val="001D2194"/>
    <w:rsid w:val="001D393C"/>
    <w:rsid w:val="001D3AB5"/>
    <w:rsid w:val="001D53A2"/>
    <w:rsid w:val="001D7E82"/>
    <w:rsid w:val="001E0228"/>
    <w:rsid w:val="001E0AD2"/>
    <w:rsid w:val="001E2824"/>
    <w:rsid w:val="001E3F91"/>
    <w:rsid w:val="001E4777"/>
    <w:rsid w:val="001E48DA"/>
    <w:rsid w:val="001E6822"/>
    <w:rsid w:val="001E74A5"/>
    <w:rsid w:val="001E7617"/>
    <w:rsid w:val="001E7832"/>
    <w:rsid w:val="001E7B9E"/>
    <w:rsid w:val="001E7E27"/>
    <w:rsid w:val="001F025B"/>
    <w:rsid w:val="001F053F"/>
    <w:rsid w:val="001F0E92"/>
    <w:rsid w:val="001F1169"/>
    <w:rsid w:val="001F2BDF"/>
    <w:rsid w:val="001F4299"/>
    <w:rsid w:val="001F5AF8"/>
    <w:rsid w:val="001F6E45"/>
    <w:rsid w:val="001F783F"/>
    <w:rsid w:val="001F7DE2"/>
    <w:rsid w:val="001F7FDA"/>
    <w:rsid w:val="002031F3"/>
    <w:rsid w:val="00207415"/>
    <w:rsid w:val="00207915"/>
    <w:rsid w:val="002111FF"/>
    <w:rsid w:val="00211229"/>
    <w:rsid w:val="00212873"/>
    <w:rsid w:val="00212C9C"/>
    <w:rsid w:val="00213108"/>
    <w:rsid w:val="0021331A"/>
    <w:rsid w:val="0021453E"/>
    <w:rsid w:val="0021475E"/>
    <w:rsid w:val="00216653"/>
    <w:rsid w:val="002179AC"/>
    <w:rsid w:val="00220794"/>
    <w:rsid w:val="00220ADB"/>
    <w:rsid w:val="002217BA"/>
    <w:rsid w:val="00221E74"/>
    <w:rsid w:val="00222AAA"/>
    <w:rsid w:val="00223507"/>
    <w:rsid w:val="0022353C"/>
    <w:rsid w:val="00223D1A"/>
    <w:rsid w:val="00225ECB"/>
    <w:rsid w:val="00227831"/>
    <w:rsid w:val="00230170"/>
    <w:rsid w:val="002305CF"/>
    <w:rsid w:val="00231760"/>
    <w:rsid w:val="00233092"/>
    <w:rsid w:val="002345FF"/>
    <w:rsid w:val="00234A2F"/>
    <w:rsid w:val="0023555B"/>
    <w:rsid w:val="00237026"/>
    <w:rsid w:val="00237611"/>
    <w:rsid w:val="00241FD2"/>
    <w:rsid w:val="00242E1C"/>
    <w:rsid w:val="00244476"/>
    <w:rsid w:val="0024659E"/>
    <w:rsid w:val="00247768"/>
    <w:rsid w:val="002509BA"/>
    <w:rsid w:val="0025224A"/>
    <w:rsid w:val="00252A20"/>
    <w:rsid w:val="00252B41"/>
    <w:rsid w:val="0025331E"/>
    <w:rsid w:val="002539DD"/>
    <w:rsid w:val="00254FE5"/>
    <w:rsid w:val="0025524F"/>
    <w:rsid w:val="0025717D"/>
    <w:rsid w:val="00260C1D"/>
    <w:rsid w:val="00261001"/>
    <w:rsid w:val="002614BE"/>
    <w:rsid w:val="00261D84"/>
    <w:rsid w:val="00262E4F"/>
    <w:rsid w:val="00263F5A"/>
    <w:rsid w:val="002644CB"/>
    <w:rsid w:val="00264D02"/>
    <w:rsid w:val="0026500D"/>
    <w:rsid w:val="00265CD7"/>
    <w:rsid w:val="002665BD"/>
    <w:rsid w:val="00266985"/>
    <w:rsid w:val="0027187C"/>
    <w:rsid w:val="00271B06"/>
    <w:rsid w:val="002725E2"/>
    <w:rsid w:val="00273013"/>
    <w:rsid w:val="00273786"/>
    <w:rsid w:val="00273C37"/>
    <w:rsid w:val="0027430D"/>
    <w:rsid w:val="00274D35"/>
    <w:rsid w:val="00274F7F"/>
    <w:rsid w:val="00277A35"/>
    <w:rsid w:val="00280994"/>
    <w:rsid w:val="00280E67"/>
    <w:rsid w:val="002820F3"/>
    <w:rsid w:val="00283749"/>
    <w:rsid w:val="002860E1"/>
    <w:rsid w:val="002871EB"/>
    <w:rsid w:val="002879B1"/>
    <w:rsid w:val="00290631"/>
    <w:rsid w:val="00290721"/>
    <w:rsid w:val="00292C6A"/>
    <w:rsid w:val="00293AAD"/>
    <w:rsid w:val="002940E2"/>
    <w:rsid w:val="0029478C"/>
    <w:rsid w:val="002A07F4"/>
    <w:rsid w:val="002A229B"/>
    <w:rsid w:val="002A2974"/>
    <w:rsid w:val="002A35B6"/>
    <w:rsid w:val="002A5AB5"/>
    <w:rsid w:val="002A61A7"/>
    <w:rsid w:val="002A7537"/>
    <w:rsid w:val="002A7FC1"/>
    <w:rsid w:val="002B085C"/>
    <w:rsid w:val="002B0CAD"/>
    <w:rsid w:val="002B284F"/>
    <w:rsid w:val="002B2A2E"/>
    <w:rsid w:val="002B2F4D"/>
    <w:rsid w:val="002B2F59"/>
    <w:rsid w:val="002B4D21"/>
    <w:rsid w:val="002C0074"/>
    <w:rsid w:val="002C0804"/>
    <w:rsid w:val="002C1882"/>
    <w:rsid w:val="002C1ED0"/>
    <w:rsid w:val="002C2D44"/>
    <w:rsid w:val="002C34C3"/>
    <w:rsid w:val="002C4715"/>
    <w:rsid w:val="002C4780"/>
    <w:rsid w:val="002C47ED"/>
    <w:rsid w:val="002C481B"/>
    <w:rsid w:val="002C484A"/>
    <w:rsid w:val="002C570D"/>
    <w:rsid w:val="002C5D25"/>
    <w:rsid w:val="002C6DB3"/>
    <w:rsid w:val="002D050A"/>
    <w:rsid w:val="002D0E3D"/>
    <w:rsid w:val="002D10C8"/>
    <w:rsid w:val="002D1A38"/>
    <w:rsid w:val="002D2E16"/>
    <w:rsid w:val="002D373C"/>
    <w:rsid w:val="002D3C71"/>
    <w:rsid w:val="002D3F95"/>
    <w:rsid w:val="002D4467"/>
    <w:rsid w:val="002D58BE"/>
    <w:rsid w:val="002D59F1"/>
    <w:rsid w:val="002E0CDD"/>
    <w:rsid w:val="002E1FA2"/>
    <w:rsid w:val="002E1FD4"/>
    <w:rsid w:val="002E3DD5"/>
    <w:rsid w:val="002E482C"/>
    <w:rsid w:val="002E4A6D"/>
    <w:rsid w:val="002E5399"/>
    <w:rsid w:val="002E6531"/>
    <w:rsid w:val="002E689B"/>
    <w:rsid w:val="002E6CFE"/>
    <w:rsid w:val="002E74CE"/>
    <w:rsid w:val="002E7AD0"/>
    <w:rsid w:val="002F1871"/>
    <w:rsid w:val="002F24ED"/>
    <w:rsid w:val="002F287A"/>
    <w:rsid w:val="002F2DCB"/>
    <w:rsid w:val="002F3672"/>
    <w:rsid w:val="002F42ED"/>
    <w:rsid w:val="002F4FCE"/>
    <w:rsid w:val="002F72FA"/>
    <w:rsid w:val="002F7480"/>
    <w:rsid w:val="0030028B"/>
    <w:rsid w:val="003007E0"/>
    <w:rsid w:val="0030150B"/>
    <w:rsid w:val="00301B41"/>
    <w:rsid w:val="00301D47"/>
    <w:rsid w:val="003030B1"/>
    <w:rsid w:val="00303717"/>
    <w:rsid w:val="00304013"/>
    <w:rsid w:val="00304137"/>
    <w:rsid w:val="003046AA"/>
    <w:rsid w:val="003049F3"/>
    <w:rsid w:val="00305F6D"/>
    <w:rsid w:val="00306493"/>
    <w:rsid w:val="003064B8"/>
    <w:rsid w:val="00307227"/>
    <w:rsid w:val="003072EE"/>
    <w:rsid w:val="003105D0"/>
    <w:rsid w:val="003105D6"/>
    <w:rsid w:val="00310D66"/>
    <w:rsid w:val="00311517"/>
    <w:rsid w:val="003116A6"/>
    <w:rsid w:val="00311C3D"/>
    <w:rsid w:val="00311E54"/>
    <w:rsid w:val="00312733"/>
    <w:rsid w:val="00313AF4"/>
    <w:rsid w:val="0031434A"/>
    <w:rsid w:val="003146A1"/>
    <w:rsid w:val="00314825"/>
    <w:rsid w:val="00314975"/>
    <w:rsid w:val="00316065"/>
    <w:rsid w:val="0031759E"/>
    <w:rsid w:val="00317883"/>
    <w:rsid w:val="00317EFF"/>
    <w:rsid w:val="003208D6"/>
    <w:rsid w:val="00321AA3"/>
    <w:rsid w:val="00322863"/>
    <w:rsid w:val="00323895"/>
    <w:rsid w:val="00323B4A"/>
    <w:rsid w:val="0032464F"/>
    <w:rsid w:val="00325208"/>
    <w:rsid w:val="00326038"/>
    <w:rsid w:val="00326A93"/>
    <w:rsid w:val="00327D79"/>
    <w:rsid w:val="00330C1C"/>
    <w:rsid w:val="00332E6B"/>
    <w:rsid w:val="003331D8"/>
    <w:rsid w:val="00333331"/>
    <w:rsid w:val="00333BE8"/>
    <w:rsid w:val="00335BFE"/>
    <w:rsid w:val="0033608B"/>
    <w:rsid w:val="00336419"/>
    <w:rsid w:val="00336428"/>
    <w:rsid w:val="003364ED"/>
    <w:rsid w:val="00336D64"/>
    <w:rsid w:val="003374D7"/>
    <w:rsid w:val="00337941"/>
    <w:rsid w:val="003407D0"/>
    <w:rsid w:val="00343BE0"/>
    <w:rsid w:val="00345B79"/>
    <w:rsid w:val="00345D0F"/>
    <w:rsid w:val="003462E1"/>
    <w:rsid w:val="00346885"/>
    <w:rsid w:val="003472B3"/>
    <w:rsid w:val="0035023D"/>
    <w:rsid w:val="00350A12"/>
    <w:rsid w:val="0035104F"/>
    <w:rsid w:val="00353201"/>
    <w:rsid w:val="0035335B"/>
    <w:rsid w:val="00355AEE"/>
    <w:rsid w:val="00355D3B"/>
    <w:rsid w:val="003601DB"/>
    <w:rsid w:val="003606B9"/>
    <w:rsid w:val="0036073F"/>
    <w:rsid w:val="003612FA"/>
    <w:rsid w:val="00361595"/>
    <w:rsid w:val="003621DC"/>
    <w:rsid w:val="003629EE"/>
    <w:rsid w:val="003635B0"/>
    <w:rsid w:val="003641F0"/>
    <w:rsid w:val="003643B3"/>
    <w:rsid w:val="003656E5"/>
    <w:rsid w:val="00370BB1"/>
    <w:rsid w:val="003721B2"/>
    <w:rsid w:val="00372328"/>
    <w:rsid w:val="00372AE1"/>
    <w:rsid w:val="00373EFE"/>
    <w:rsid w:val="0037428A"/>
    <w:rsid w:val="00375BD3"/>
    <w:rsid w:val="003762FD"/>
    <w:rsid w:val="00377CC8"/>
    <w:rsid w:val="0038145C"/>
    <w:rsid w:val="00383E66"/>
    <w:rsid w:val="0038490F"/>
    <w:rsid w:val="003849F7"/>
    <w:rsid w:val="00386CD4"/>
    <w:rsid w:val="00387DC9"/>
    <w:rsid w:val="0039193E"/>
    <w:rsid w:val="00391ADA"/>
    <w:rsid w:val="00391F80"/>
    <w:rsid w:val="00392CDB"/>
    <w:rsid w:val="0039380F"/>
    <w:rsid w:val="00393B71"/>
    <w:rsid w:val="00394095"/>
    <w:rsid w:val="003940F6"/>
    <w:rsid w:val="0039555F"/>
    <w:rsid w:val="00396545"/>
    <w:rsid w:val="00396F71"/>
    <w:rsid w:val="003A04FF"/>
    <w:rsid w:val="003A0AA2"/>
    <w:rsid w:val="003A1B01"/>
    <w:rsid w:val="003A1B7A"/>
    <w:rsid w:val="003A2029"/>
    <w:rsid w:val="003A6417"/>
    <w:rsid w:val="003A65FE"/>
    <w:rsid w:val="003A6A5A"/>
    <w:rsid w:val="003A7221"/>
    <w:rsid w:val="003A730E"/>
    <w:rsid w:val="003A7AED"/>
    <w:rsid w:val="003B2856"/>
    <w:rsid w:val="003B2A0D"/>
    <w:rsid w:val="003B39E2"/>
    <w:rsid w:val="003B45B6"/>
    <w:rsid w:val="003B50CD"/>
    <w:rsid w:val="003B55AD"/>
    <w:rsid w:val="003B565C"/>
    <w:rsid w:val="003B6EB4"/>
    <w:rsid w:val="003B7421"/>
    <w:rsid w:val="003B7EC4"/>
    <w:rsid w:val="003C2A77"/>
    <w:rsid w:val="003C3086"/>
    <w:rsid w:val="003C462F"/>
    <w:rsid w:val="003C7282"/>
    <w:rsid w:val="003D00D5"/>
    <w:rsid w:val="003D01B4"/>
    <w:rsid w:val="003D16A8"/>
    <w:rsid w:val="003D181D"/>
    <w:rsid w:val="003D18D8"/>
    <w:rsid w:val="003D20C4"/>
    <w:rsid w:val="003D3043"/>
    <w:rsid w:val="003D3C1A"/>
    <w:rsid w:val="003D4188"/>
    <w:rsid w:val="003D46D0"/>
    <w:rsid w:val="003D5E95"/>
    <w:rsid w:val="003D6CE0"/>
    <w:rsid w:val="003E05CB"/>
    <w:rsid w:val="003E2663"/>
    <w:rsid w:val="003E5E39"/>
    <w:rsid w:val="003E6679"/>
    <w:rsid w:val="003E6D0F"/>
    <w:rsid w:val="003E712E"/>
    <w:rsid w:val="003F140F"/>
    <w:rsid w:val="003F15DB"/>
    <w:rsid w:val="003F227C"/>
    <w:rsid w:val="003F2702"/>
    <w:rsid w:val="003F2778"/>
    <w:rsid w:val="003F36A4"/>
    <w:rsid w:val="003F70CA"/>
    <w:rsid w:val="003F791F"/>
    <w:rsid w:val="0040137F"/>
    <w:rsid w:val="00401809"/>
    <w:rsid w:val="00402179"/>
    <w:rsid w:val="0040278D"/>
    <w:rsid w:val="00403520"/>
    <w:rsid w:val="00404A69"/>
    <w:rsid w:val="00405A19"/>
    <w:rsid w:val="00406EED"/>
    <w:rsid w:val="00410219"/>
    <w:rsid w:val="00412DB3"/>
    <w:rsid w:val="00412E24"/>
    <w:rsid w:val="00413469"/>
    <w:rsid w:val="00413903"/>
    <w:rsid w:val="00413DAD"/>
    <w:rsid w:val="00414836"/>
    <w:rsid w:val="00414CDC"/>
    <w:rsid w:val="00416727"/>
    <w:rsid w:val="00417555"/>
    <w:rsid w:val="0042068A"/>
    <w:rsid w:val="00420D79"/>
    <w:rsid w:val="00421EDE"/>
    <w:rsid w:val="004229F4"/>
    <w:rsid w:val="004242BB"/>
    <w:rsid w:val="0042437A"/>
    <w:rsid w:val="00424CBA"/>
    <w:rsid w:val="00424E72"/>
    <w:rsid w:val="00426D7C"/>
    <w:rsid w:val="004300ED"/>
    <w:rsid w:val="00431687"/>
    <w:rsid w:val="00432B72"/>
    <w:rsid w:val="00433016"/>
    <w:rsid w:val="00433415"/>
    <w:rsid w:val="00433EF8"/>
    <w:rsid w:val="004342F1"/>
    <w:rsid w:val="004349C0"/>
    <w:rsid w:val="00434B23"/>
    <w:rsid w:val="00434FD0"/>
    <w:rsid w:val="00435917"/>
    <w:rsid w:val="0043626D"/>
    <w:rsid w:val="004362AD"/>
    <w:rsid w:val="00437611"/>
    <w:rsid w:val="00437702"/>
    <w:rsid w:val="004401B5"/>
    <w:rsid w:val="00440800"/>
    <w:rsid w:val="00441847"/>
    <w:rsid w:val="00441D55"/>
    <w:rsid w:val="00442393"/>
    <w:rsid w:val="004436D7"/>
    <w:rsid w:val="00443DCB"/>
    <w:rsid w:val="00443DEB"/>
    <w:rsid w:val="00444891"/>
    <w:rsid w:val="0044535B"/>
    <w:rsid w:val="00445DB4"/>
    <w:rsid w:val="00445FDA"/>
    <w:rsid w:val="00447F0D"/>
    <w:rsid w:val="00450A5F"/>
    <w:rsid w:val="004512AB"/>
    <w:rsid w:val="00451514"/>
    <w:rsid w:val="0045209F"/>
    <w:rsid w:val="00453BB4"/>
    <w:rsid w:val="00454ABA"/>
    <w:rsid w:val="00454E45"/>
    <w:rsid w:val="00456317"/>
    <w:rsid w:val="00456348"/>
    <w:rsid w:val="004613B1"/>
    <w:rsid w:val="00461513"/>
    <w:rsid w:val="0046231E"/>
    <w:rsid w:val="004635E2"/>
    <w:rsid w:val="00464735"/>
    <w:rsid w:val="00464CB6"/>
    <w:rsid w:val="0046566E"/>
    <w:rsid w:val="0046600A"/>
    <w:rsid w:val="004662E0"/>
    <w:rsid w:val="0047025A"/>
    <w:rsid w:val="00470558"/>
    <w:rsid w:val="0047081C"/>
    <w:rsid w:val="00472C41"/>
    <w:rsid w:val="00473115"/>
    <w:rsid w:val="004731E1"/>
    <w:rsid w:val="00473772"/>
    <w:rsid w:val="00474477"/>
    <w:rsid w:val="00474630"/>
    <w:rsid w:val="004764CB"/>
    <w:rsid w:val="004766CF"/>
    <w:rsid w:val="00476730"/>
    <w:rsid w:val="004769A5"/>
    <w:rsid w:val="004778D3"/>
    <w:rsid w:val="004803A2"/>
    <w:rsid w:val="00481A7B"/>
    <w:rsid w:val="004827D5"/>
    <w:rsid w:val="0048386B"/>
    <w:rsid w:val="00483C14"/>
    <w:rsid w:val="00485BA5"/>
    <w:rsid w:val="00485D48"/>
    <w:rsid w:val="00485DB6"/>
    <w:rsid w:val="0048624A"/>
    <w:rsid w:val="0048658E"/>
    <w:rsid w:val="00486674"/>
    <w:rsid w:val="0048771D"/>
    <w:rsid w:val="004905ED"/>
    <w:rsid w:val="00491C96"/>
    <w:rsid w:val="004923B6"/>
    <w:rsid w:val="00493175"/>
    <w:rsid w:val="00494294"/>
    <w:rsid w:val="00495611"/>
    <w:rsid w:val="00496359"/>
    <w:rsid w:val="00496B38"/>
    <w:rsid w:val="00496C48"/>
    <w:rsid w:val="00497897"/>
    <w:rsid w:val="004A03ED"/>
    <w:rsid w:val="004A14BE"/>
    <w:rsid w:val="004A1600"/>
    <w:rsid w:val="004A1821"/>
    <w:rsid w:val="004A22C0"/>
    <w:rsid w:val="004A2BF5"/>
    <w:rsid w:val="004A3085"/>
    <w:rsid w:val="004A4BD5"/>
    <w:rsid w:val="004A4CFD"/>
    <w:rsid w:val="004A677C"/>
    <w:rsid w:val="004A6A7B"/>
    <w:rsid w:val="004A6E25"/>
    <w:rsid w:val="004A7557"/>
    <w:rsid w:val="004B176B"/>
    <w:rsid w:val="004B293C"/>
    <w:rsid w:val="004B3D59"/>
    <w:rsid w:val="004B56EB"/>
    <w:rsid w:val="004B58EA"/>
    <w:rsid w:val="004B5B76"/>
    <w:rsid w:val="004B73EF"/>
    <w:rsid w:val="004C0A9B"/>
    <w:rsid w:val="004C0B60"/>
    <w:rsid w:val="004C20F2"/>
    <w:rsid w:val="004C251E"/>
    <w:rsid w:val="004C33A5"/>
    <w:rsid w:val="004C3F25"/>
    <w:rsid w:val="004C4A6E"/>
    <w:rsid w:val="004C525E"/>
    <w:rsid w:val="004C67E2"/>
    <w:rsid w:val="004C7301"/>
    <w:rsid w:val="004C7A27"/>
    <w:rsid w:val="004D0490"/>
    <w:rsid w:val="004D12F1"/>
    <w:rsid w:val="004D14B2"/>
    <w:rsid w:val="004D1805"/>
    <w:rsid w:val="004D1C90"/>
    <w:rsid w:val="004D1CB6"/>
    <w:rsid w:val="004D257A"/>
    <w:rsid w:val="004D2875"/>
    <w:rsid w:val="004D2CFC"/>
    <w:rsid w:val="004D3142"/>
    <w:rsid w:val="004D52DD"/>
    <w:rsid w:val="004D68F8"/>
    <w:rsid w:val="004D6D19"/>
    <w:rsid w:val="004D71C0"/>
    <w:rsid w:val="004D7866"/>
    <w:rsid w:val="004D7E51"/>
    <w:rsid w:val="004D7F8A"/>
    <w:rsid w:val="004E11D8"/>
    <w:rsid w:val="004E1878"/>
    <w:rsid w:val="004E3378"/>
    <w:rsid w:val="004E3C72"/>
    <w:rsid w:val="004E3C8B"/>
    <w:rsid w:val="004E4879"/>
    <w:rsid w:val="004E4AF8"/>
    <w:rsid w:val="004E5988"/>
    <w:rsid w:val="004E624B"/>
    <w:rsid w:val="004E62B6"/>
    <w:rsid w:val="004E6E3A"/>
    <w:rsid w:val="004F0C96"/>
    <w:rsid w:val="004F197B"/>
    <w:rsid w:val="004F28A0"/>
    <w:rsid w:val="004F2AC8"/>
    <w:rsid w:val="004F3DEB"/>
    <w:rsid w:val="004F44C7"/>
    <w:rsid w:val="004F489F"/>
    <w:rsid w:val="004F4958"/>
    <w:rsid w:val="004F6AFC"/>
    <w:rsid w:val="004F74D4"/>
    <w:rsid w:val="004F766F"/>
    <w:rsid w:val="004F78B7"/>
    <w:rsid w:val="004F7944"/>
    <w:rsid w:val="00500224"/>
    <w:rsid w:val="00502BB2"/>
    <w:rsid w:val="00503166"/>
    <w:rsid w:val="00503F93"/>
    <w:rsid w:val="005041C2"/>
    <w:rsid w:val="00504CDE"/>
    <w:rsid w:val="00504CEC"/>
    <w:rsid w:val="00504E8F"/>
    <w:rsid w:val="00505CA0"/>
    <w:rsid w:val="00506DDD"/>
    <w:rsid w:val="00507C08"/>
    <w:rsid w:val="00507D18"/>
    <w:rsid w:val="0051016E"/>
    <w:rsid w:val="00511536"/>
    <w:rsid w:val="00511612"/>
    <w:rsid w:val="00511A30"/>
    <w:rsid w:val="005126AD"/>
    <w:rsid w:val="00512F22"/>
    <w:rsid w:val="0051659D"/>
    <w:rsid w:val="00516603"/>
    <w:rsid w:val="005167B1"/>
    <w:rsid w:val="00517A46"/>
    <w:rsid w:val="00517D20"/>
    <w:rsid w:val="005215EE"/>
    <w:rsid w:val="00521C67"/>
    <w:rsid w:val="00521F15"/>
    <w:rsid w:val="00522599"/>
    <w:rsid w:val="00522F5F"/>
    <w:rsid w:val="00523B46"/>
    <w:rsid w:val="0052451F"/>
    <w:rsid w:val="005248B9"/>
    <w:rsid w:val="005255D3"/>
    <w:rsid w:val="005257BD"/>
    <w:rsid w:val="00525972"/>
    <w:rsid w:val="00526446"/>
    <w:rsid w:val="00527495"/>
    <w:rsid w:val="00527E7A"/>
    <w:rsid w:val="0053021B"/>
    <w:rsid w:val="00530E68"/>
    <w:rsid w:val="00531594"/>
    <w:rsid w:val="005317E3"/>
    <w:rsid w:val="00532AD0"/>
    <w:rsid w:val="00533E69"/>
    <w:rsid w:val="0053683D"/>
    <w:rsid w:val="00537E2C"/>
    <w:rsid w:val="005407F0"/>
    <w:rsid w:val="00541625"/>
    <w:rsid w:val="00542797"/>
    <w:rsid w:val="00542B3A"/>
    <w:rsid w:val="005434E0"/>
    <w:rsid w:val="00543FF4"/>
    <w:rsid w:val="00544AB9"/>
    <w:rsid w:val="00544EC9"/>
    <w:rsid w:val="00546FBD"/>
    <w:rsid w:val="00550EF7"/>
    <w:rsid w:val="00551A9B"/>
    <w:rsid w:val="005520BF"/>
    <w:rsid w:val="00552213"/>
    <w:rsid w:val="0055327F"/>
    <w:rsid w:val="005534B3"/>
    <w:rsid w:val="0055544F"/>
    <w:rsid w:val="00556B04"/>
    <w:rsid w:val="00556FD5"/>
    <w:rsid w:val="00562B0A"/>
    <w:rsid w:val="00562CCE"/>
    <w:rsid w:val="0056305B"/>
    <w:rsid w:val="0056397F"/>
    <w:rsid w:val="005669D6"/>
    <w:rsid w:val="00566C3D"/>
    <w:rsid w:val="00567045"/>
    <w:rsid w:val="005678C8"/>
    <w:rsid w:val="00567998"/>
    <w:rsid w:val="00567AF8"/>
    <w:rsid w:val="00570308"/>
    <w:rsid w:val="005713E3"/>
    <w:rsid w:val="00571419"/>
    <w:rsid w:val="005724ED"/>
    <w:rsid w:val="00572EE3"/>
    <w:rsid w:val="0057374F"/>
    <w:rsid w:val="005759CD"/>
    <w:rsid w:val="00577884"/>
    <w:rsid w:val="00577C09"/>
    <w:rsid w:val="00580873"/>
    <w:rsid w:val="00581C0F"/>
    <w:rsid w:val="00582919"/>
    <w:rsid w:val="005832C3"/>
    <w:rsid w:val="00583F65"/>
    <w:rsid w:val="005844F1"/>
    <w:rsid w:val="005849B2"/>
    <w:rsid w:val="00585F00"/>
    <w:rsid w:val="00587366"/>
    <w:rsid w:val="0058757A"/>
    <w:rsid w:val="00590037"/>
    <w:rsid w:val="00590516"/>
    <w:rsid w:val="005908F1"/>
    <w:rsid w:val="00592318"/>
    <w:rsid w:val="00593476"/>
    <w:rsid w:val="00594A43"/>
    <w:rsid w:val="00594E32"/>
    <w:rsid w:val="00595511"/>
    <w:rsid w:val="00595601"/>
    <w:rsid w:val="00595BC4"/>
    <w:rsid w:val="00596B4D"/>
    <w:rsid w:val="00596F7B"/>
    <w:rsid w:val="005A228F"/>
    <w:rsid w:val="005A2A65"/>
    <w:rsid w:val="005A2F65"/>
    <w:rsid w:val="005A3068"/>
    <w:rsid w:val="005A3415"/>
    <w:rsid w:val="005A3513"/>
    <w:rsid w:val="005A3BD7"/>
    <w:rsid w:val="005A4255"/>
    <w:rsid w:val="005A4418"/>
    <w:rsid w:val="005A4AF2"/>
    <w:rsid w:val="005A5828"/>
    <w:rsid w:val="005A60E1"/>
    <w:rsid w:val="005A6B49"/>
    <w:rsid w:val="005A76FE"/>
    <w:rsid w:val="005A786F"/>
    <w:rsid w:val="005A7E44"/>
    <w:rsid w:val="005B01D9"/>
    <w:rsid w:val="005B1351"/>
    <w:rsid w:val="005B169C"/>
    <w:rsid w:val="005B2DD1"/>
    <w:rsid w:val="005B39B9"/>
    <w:rsid w:val="005B3A49"/>
    <w:rsid w:val="005B5C9F"/>
    <w:rsid w:val="005B6ADF"/>
    <w:rsid w:val="005B773D"/>
    <w:rsid w:val="005B79EA"/>
    <w:rsid w:val="005B7C5D"/>
    <w:rsid w:val="005C178C"/>
    <w:rsid w:val="005C1A74"/>
    <w:rsid w:val="005C3294"/>
    <w:rsid w:val="005C3414"/>
    <w:rsid w:val="005C347F"/>
    <w:rsid w:val="005C3C00"/>
    <w:rsid w:val="005C3CF9"/>
    <w:rsid w:val="005C5E44"/>
    <w:rsid w:val="005C60A3"/>
    <w:rsid w:val="005C6F55"/>
    <w:rsid w:val="005C7AB3"/>
    <w:rsid w:val="005D1AFE"/>
    <w:rsid w:val="005D2079"/>
    <w:rsid w:val="005D27DD"/>
    <w:rsid w:val="005D3493"/>
    <w:rsid w:val="005D3DD3"/>
    <w:rsid w:val="005D4601"/>
    <w:rsid w:val="005D622E"/>
    <w:rsid w:val="005D7A17"/>
    <w:rsid w:val="005E11D5"/>
    <w:rsid w:val="005E1E12"/>
    <w:rsid w:val="005E1EBD"/>
    <w:rsid w:val="005E2296"/>
    <w:rsid w:val="005E34D4"/>
    <w:rsid w:val="005E3AE2"/>
    <w:rsid w:val="005E3FDE"/>
    <w:rsid w:val="005E4DF1"/>
    <w:rsid w:val="005E5024"/>
    <w:rsid w:val="005E55F2"/>
    <w:rsid w:val="005E5F08"/>
    <w:rsid w:val="005E68FC"/>
    <w:rsid w:val="005E77E6"/>
    <w:rsid w:val="005E7A1F"/>
    <w:rsid w:val="005F05F1"/>
    <w:rsid w:val="005F074E"/>
    <w:rsid w:val="005F20B2"/>
    <w:rsid w:val="005F372B"/>
    <w:rsid w:val="005F3A30"/>
    <w:rsid w:val="005F487C"/>
    <w:rsid w:val="005F53A4"/>
    <w:rsid w:val="005F5FE1"/>
    <w:rsid w:val="005F62B2"/>
    <w:rsid w:val="005F715E"/>
    <w:rsid w:val="005F777C"/>
    <w:rsid w:val="00600589"/>
    <w:rsid w:val="00600B4B"/>
    <w:rsid w:val="006010DA"/>
    <w:rsid w:val="006017AB"/>
    <w:rsid w:val="00602031"/>
    <w:rsid w:val="00604AC3"/>
    <w:rsid w:val="00604B1F"/>
    <w:rsid w:val="00605865"/>
    <w:rsid w:val="0060611A"/>
    <w:rsid w:val="006112F2"/>
    <w:rsid w:val="00614798"/>
    <w:rsid w:val="00614995"/>
    <w:rsid w:val="00614DFF"/>
    <w:rsid w:val="00617125"/>
    <w:rsid w:val="00617813"/>
    <w:rsid w:val="00620176"/>
    <w:rsid w:val="006206CC"/>
    <w:rsid w:val="006214EC"/>
    <w:rsid w:val="00621501"/>
    <w:rsid w:val="00621DB8"/>
    <w:rsid w:val="00622B06"/>
    <w:rsid w:val="0062306D"/>
    <w:rsid w:val="00623D7D"/>
    <w:rsid w:val="006245C1"/>
    <w:rsid w:val="00625729"/>
    <w:rsid w:val="00625797"/>
    <w:rsid w:val="00627163"/>
    <w:rsid w:val="0062768A"/>
    <w:rsid w:val="0063147E"/>
    <w:rsid w:val="0063265C"/>
    <w:rsid w:val="0063278F"/>
    <w:rsid w:val="00634476"/>
    <w:rsid w:val="006349FE"/>
    <w:rsid w:val="00635EBF"/>
    <w:rsid w:val="0063650E"/>
    <w:rsid w:val="00637580"/>
    <w:rsid w:val="00637624"/>
    <w:rsid w:val="0064275F"/>
    <w:rsid w:val="00643903"/>
    <w:rsid w:val="0064393B"/>
    <w:rsid w:val="00644375"/>
    <w:rsid w:val="00644A5C"/>
    <w:rsid w:val="0064508B"/>
    <w:rsid w:val="00646400"/>
    <w:rsid w:val="00646A08"/>
    <w:rsid w:val="00646BEE"/>
    <w:rsid w:val="00646C7D"/>
    <w:rsid w:val="00647721"/>
    <w:rsid w:val="00647A44"/>
    <w:rsid w:val="00650392"/>
    <w:rsid w:val="0065061D"/>
    <w:rsid w:val="00652EAE"/>
    <w:rsid w:val="00653004"/>
    <w:rsid w:val="00653E8D"/>
    <w:rsid w:val="00656621"/>
    <w:rsid w:val="0065715E"/>
    <w:rsid w:val="00657670"/>
    <w:rsid w:val="00657DBF"/>
    <w:rsid w:val="00657DE0"/>
    <w:rsid w:val="006613EB"/>
    <w:rsid w:val="0066155F"/>
    <w:rsid w:val="00662BD0"/>
    <w:rsid w:val="00662C69"/>
    <w:rsid w:val="006631E8"/>
    <w:rsid w:val="00663CC7"/>
    <w:rsid w:val="00664035"/>
    <w:rsid w:val="0066458B"/>
    <w:rsid w:val="006645B4"/>
    <w:rsid w:val="00664805"/>
    <w:rsid w:val="006718FB"/>
    <w:rsid w:val="006720F3"/>
    <w:rsid w:val="00673695"/>
    <w:rsid w:val="00674701"/>
    <w:rsid w:val="00674A46"/>
    <w:rsid w:val="006752B0"/>
    <w:rsid w:val="00675A28"/>
    <w:rsid w:val="00676959"/>
    <w:rsid w:val="00676C6B"/>
    <w:rsid w:val="00680F25"/>
    <w:rsid w:val="00682504"/>
    <w:rsid w:val="006831AE"/>
    <w:rsid w:val="00685689"/>
    <w:rsid w:val="0068594B"/>
    <w:rsid w:val="00686206"/>
    <w:rsid w:val="0068628C"/>
    <w:rsid w:val="00686B04"/>
    <w:rsid w:val="00686CF0"/>
    <w:rsid w:val="00687D53"/>
    <w:rsid w:val="00687DDB"/>
    <w:rsid w:val="006901FA"/>
    <w:rsid w:val="00690ED0"/>
    <w:rsid w:val="00691384"/>
    <w:rsid w:val="00693427"/>
    <w:rsid w:val="00694C00"/>
    <w:rsid w:val="00695083"/>
    <w:rsid w:val="006958A7"/>
    <w:rsid w:val="00695F94"/>
    <w:rsid w:val="006964F5"/>
    <w:rsid w:val="00696EF8"/>
    <w:rsid w:val="006973C4"/>
    <w:rsid w:val="0069770D"/>
    <w:rsid w:val="006A0836"/>
    <w:rsid w:val="006A1047"/>
    <w:rsid w:val="006A2A2F"/>
    <w:rsid w:val="006A2CF3"/>
    <w:rsid w:val="006A2D34"/>
    <w:rsid w:val="006A2EDE"/>
    <w:rsid w:val="006A3BB6"/>
    <w:rsid w:val="006A3D7A"/>
    <w:rsid w:val="006A3E8C"/>
    <w:rsid w:val="006A438E"/>
    <w:rsid w:val="006A53A9"/>
    <w:rsid w:val="006A727B"/>
    <w:rsid w:val="006A7AA4"/>
    <w:rsid w:val="006A7DCA"/>
    <w:rsid w:val="006B004E"/>
    <w:rsid w:val="006B0198"/>
    <w:rsid w:val="006B12E8"/>
    <w:rsid w:val="006B13FB"/>
    <w:rsid w:val="006B1C19"/>
    <w:rsid w:val="006B1EBF"/>
    <w:rsid w:val="006B4A27"/>
    <w:rsid w:val="006B59A4"/>
    <w:rsid w:val="006B5FE4"/>
    <w:rsid w:val="006B6F57"/>
    <w:rsid w:val="006B7A58"/>
    <w:rsid w:val="006C075F"/>
    <w:rsid w:val="006C08A0"/>
    <w:rsid w:val="006C26B3"/>
    <w:rsid w:val="006C2FEE"/>
    <w:rsid w:val="006C48BC"/>
    <w:rsid w:val="006C50C2"/>
    <w:rsid w:val="006C53EB"/>
    <w:rsid w:val="006C55C6"/>
    <w:rsid w:val="006C563A"/>
    <w:rsid w:val="006C5F6F"/>
    <w:rsid w:val="006C6E1A"/>
    <w:rsid w:val="006D27EF"/>
    <w:rsid w:val="006D2CB1"/>
    <w:rsid w:val="006D52D1"/>
    <w:rsid w:val="006D5E1E"/>
    <w:rsid w:val="006D7293"/>
    <w:rsid w:val="006D7529"/>
    <w:rsid w:val="006D7F3D"/>
    <w:rsid w:val="006E013D"/>
    <w:rsid w:val="006E1056"/>
    <w:rsid w:val="006E2FF4"/>
    <w:rsid w:val="006E3985"/>
    <w:rsid w:val="006E3A2A"/>
    <w:rsid w:val="006E3C4C"/>
    <w:rsid w:val="006E4BD4"/>
    <w:rsid w:val="006E4E2A"/>
    <w:rsid w:val="006E582D"/>
    <w:rsid w:val="006E5950"/>
    <w:rsid w:val="006E6B65"/>
    <w:rsid w:val="006E6C14"/>
    <w:rsid w:val="006E7CC5"/>
    <w:rsid w:val="006F02CA"/>
    <w:rsid w:val="006F1784"/>
    <w:rsid w:val="006F1E31"/>
    <w:rsid w:val="006F21C6"/>
    <w:rsid w:val="006F2C12"/>
    <w:rsid w:val="006F2F92"/>
    <w:rsid w:val="006F7062"/>
    <w:rsid w:val="006F7D53"/>
    <w:rsid w:val="00701B72"/>
    <w:rsid w:val="00702A43"/>
    <w:rsid w:val="007049C8"/>
    <w:rsid w:val="00704DE0"/>
    <w:rsid w:val="007050B1"/>
    <w:rsid w:val="007069D1"/>
    <w:rsid w:val="00707096"/>
    <w:rsid w:val="00712144"/>
    <w:rsid w:val="007136BC"/>
    <w:rsid w:val="00714576"/>
    <w:rsid w:val="00715488"/>
    <w:rsid w:val="0071562E"/>
    <w:rsid w:val="00715A04"/>
    <w:rsid w:val="00721335"/>
    <w:rsid w:val="007213FB"/>
    <w:rsid w:val="00721924"/>
    <w:rsid w:val="00721F66"/>
    <w:rsid w:val="00722988"/>
    <w:rsid w:val="00722B93"/>
    <w:rsid w:val="00731F1F"/>
    <w:rsid w:val="00732D6C"/>
    <w:rsid w:val="00735234"/>
    <w:rsid w:val="007365AD"/>
    <w:rsid w:val="00740705"/>
    <w:rsid w:val="00741DC7"/>
    <w:rsid w:val="00742486"/>
    <w:rsid w:val="0074433B"/>
    <w:rsid w:val="0074628D"/>
    <w:rsid w:val="007473D2"/>
    <w:rsid w:val="007479C2"/>
    <w:rsid w:val="00750132"/>
    <w:rsid w:val="00750A80"/>
    <w:rsid w:val="0075151E"/>
    <w:rsid w:val="007521DE"/>
    <w:rsid w:val="007524A1"/>
    <w:rsid w:val="0075265E"/>
    <w:rsid w:val="007532DC"/>
    <w:rsid w:val="00753655"/>
    <w:rsid w:val="0075440D"/>
    <w:rsid w:val="00754AEE"/>
    <w:rsid w:val="00754EF8"/>
    <w:rsid w:val="007550CE"/>
    <w:rsid w:val="0075604A"/>
    <w:rsid w:val="0075650E"/>
    <w:rsid w:val="007575D9"/>
    <w:rsid w:val="00757995"/>
    <w:rsid w:val="007612B3"/>
    <w:rsid w:val="00763EE9"/>
    <w:rsid w:val="007644E6"/>
    <w:rsid w:val="007652EA"/>
    <w:rsid w:val="00765A4A"/>
    <w:rsid w:val="00765B0B"/>
    <w:rsid w:val="007665D7"/>
    <w:rsid w:val="007671AD"/>
    <w:rsid w:val="007672F6"/>
    <w:rsid w:val="007674F3"/>
    <w:rsid w:val="00767CD2"/>
    <w:rsid w:val="00770859"/>
    <w:rsid w:val="00771342"/>
    <w:rsid w:val="007721A1"/>
    <w:rsid w:val="00772B6F"/>
    <w:rsid w:val="00774A5F"/>
    <w:rsid w:val="00774B7D"/>
    <w:rsid w:val="00774DFD"/>
    <w:rsid w:val="007753FA"/>
    <w:rsid w:val="0077544D"/>
    <w:rsid w:val="007764C8"/>
    <w:rsid w:val="00777D10"/>
    <w:rsid w:val="0078079A"/>
    <w:rsid w:val="007809C0"/>
    <w:rsid w:val="00782F63"/>
    <w:rsid w:val="00784662"/>
    <w:rsid w:val="00785F11"/>
    <w:rsid w:val="007860B9"/>
    <w:rsid w:val="00786B00"/>
    <w:rsid w:val="00787BB0"/>
    <w:rsid w:val="0079034C"/>
    <w:rsid w:val="007910C6"/>
    <w:rsid w:val="007914E4"/>
    <w:rsid w:val="00791CE4"/>
    <w:rsid w:val="00791E58"/>
    <w:rsid w:val="00792D17"/>
    <w:rsid w:val="007933AB"/>
    <w:rsid w:val="00793404"/>
    <w:rsid w:val="00793D40"/>
    <w:rsid w:val="007A0692"/>
    <w:rsid w:val="007A082B"/>
    <w:rsid w:val="007A08DD"/>
    <w:rsid w:val="007A1303"/>
    <w:rsid w:val="007A22E2"/>
    <w:rsid w:val="007A2C90"/>
    <w:rsid w:val="007A3C10"/>
    <w:rsid w:val="007A5E6C"/>
    <w:rsid w:val="007A65E0"/>
    <w:rsid w:val="007A70B9"/>
    <w:rsid w:val="007A7602"/>
    <w:rsid w:val="007B002D"/>
    <w:rsid w:val="007B02B9"/>
    <w:rsid w:val="007B1AED"/>
    <w:rsid w:val="007B26B2"/>
    <w:rsid w:val="007B26FF"/>
    <w:rsid w:val="007B2B63"/>
    <w:rsid w:val="007B30F3"/>
    <w:rsid w:val="007B4605"/>
    <w:rsid w:val="007B48E3"/>
    <w:rsid w:val="007B5C9D"/>
    <w:rsid w:val="007B694D"/>
    <w:rsid w:val="007B78DF"/>
    <w:rsid w:val="007C0013"/>
    <w:rsid w:val="007C0C8C"/>
    <w:rsid w:val="007C0CBC"/>
    <w:rsid w:val="007C0EA4"/>
    <w:rsid w:val="007C255D"/>
    <w:rsid w:val="007C2706"/>
    <w:rsid w:val="007C37D2"/>
    <w:rsid w:val="007C3985"/>
    <w:rsid w:val="007C3C28"/>
    <w:rsid w:val="007C6110"/>
    <w:rsid w:val="007C62F7"/>
    <w:rsid w:val="007D0C01"/>
    <w:rsid w:val="007D3933"/>
    <w:rsid w:val="007D3FBD"/>
    <w:rsid w:val="007D4892"/>
    <w:rsid w:val="007D49A0"/>
    <w:rsid w:val="007D739C"/>
    <w:rsid w:val="007D7B38"/>
    <w:rsid w:val="007D7EF3"/>
    <w:rsid w:val="007E004C"/>
    <w:rsid w:val="007E0CCA"/>
    <w:rsid w:val="007E3772"/>
    <w:rsid w:val="007E4E68"/>
    <w:rsid w:val="007E5125"/>
    <w:rsid w:val="007E5DB4"/>
    <w:rsid w:val="007E5F2C"/>
    <w:rsid w:val="007F0617"/>
    <w:rsid w:val="007F3AC9"/>
    <w:rsid w:val="007F3CB7"/>
    <w:rsid w:val="007F5589"/>
    <w:rsid w:val="007F729E"/>
    <w:rsid w:val="007F75F2"/>
    <w:rsid w:val="007F76E9"/>
    <w:rsid w:val="00800E69"/>
    <w:rsid w:val="008039C2"/>
    <w:rsid w:val="008046E4"/>
    <w:rsid w:val="008048F4"/>
    <w:rsid w:val="00804AD7"/>
    <w:rsid w:val="008055FF"/>
    <w:rsid w:val="0080583B"/>
    <w:rsid w:val="008058EB"/>
    <w:rsid w:val="00810F94"/>
    <w:rsid w:val="00813166"/>
    <w:rsid w:val="00813F71"/>
    <w:rsid w:val="00814119"/>
    <w:rsid w:val="0081425E"/>
    <w:rsid w:val="0081485A"/>
    <w:rsid w:val="008167F5"/>
    <w:rsid w:val="00817541"/>
    <w:rsid w:val="0081794B"/>
    <w:rsid w:val="00817D8E"/>
    <w:rsid w:val="008200A3"/>
    <w:rsid w:val="00820BF2"/>
    <w:rsid w:val="00821AED"/>
    <w:rsid w:val="00823A64"/>
    <w:rsid w:val="00824C4E"/>
    <w:rsid w:val="00824E9E"/>
    <w:rsid w:val="00824F1A"/>
    <w:rsid w:val="008264EE"/>
    <w:rsid w:val="00826530"/>
    <w:rsid w:val="00826B2E"/>
    <w:rsid w:val="00826EF9"/>
    <w:rsid w:val="00827DC8"/>
    <w:rsid w:val="00831F0C"/>
    <w:rsid w:val="00833E4C"/>
    <w:rsid w:val="008340DC"/>
    <w:rsid w:val="00836224"/>
    <w:rsid w:val="00837BE4"/>
    <w:rsid w:val="00840559"/>
    <w:rsid w:val="00840788"/>
    <w:rsid w:val="008421F7"/>
    <w:rsid w:val="00842B93"/>
    <w:rsid w:val="00843153"/>
    <w:rsid w:val="00843908"/>
    <w:rsid w:val="00844114"/>
    <w:rsid w:val="00845BF5"/>
    <w:rsid w:val="00845D12"/>
    <w:rsid w:val="00846713"/>
    <w:rsid w:val="00846A1C"/>
    <w:rsid w:val="008473FA"/>
    <w:rsid w:val="00847470"/>
    <w:rsid w:val="00847830"/>
    <w:rsid w:val="008478E8"/>
    <w:rsid w:val="0085000D"/>
    <w:rsid w:val="00851A81"/>
    <w:rsid w:val="00851F4C"/>
    <w:rsid w:val="008523BA"/>
    <w:rsid w:val="00852B26"/>
    <w:rsid w:val="0085480B"/>
    <w:rsid w:val="008560F4"/>
    <w:rsid w:val="00856B0A"/>
    <w:rsid w:val="00856B56"/>
    <w:rsid w:val="00857D29"/>
    <w:rsid w:val="00860A1E"/>
    <w:rsid w:val="00860FE6"/>
    <w:rsid w:val="00861622"/>
    <w:rsid w:val="0086256E"/>
    <w:rsid w:val="008628FF"/>
    <w:rsid w:val="008632C8"/>
    <w:rsid w:val="0086513D"/>
    <w:rsid w:val="008662C0"/>
    <w:rsid w:val="00866DAF"/>
    <w:rsid w:val="00870EAB"/>
    <w:rsid w:val="0087153F"/>
    <w:rsid w:val="0087459A"/>
    <w:rsid w:val="00875167"/>
    <w:rsid w:val="00877086"/>
    <w:rsid w:val="00877764"/>
    <w:rsid w:val="008807C9"/>
    <w:rsid w:val="00881572"/>
    <w:rsid w:val="00882DF4"/>
    <w:rsid w:val="00882FEA"/>
    <w:rsid w:val="00883450"/>
    <w:rsid w:val="0088398C"/>
    <w:rsid w:val="00885C6E"/>
    <w:rsid w:val="008861EA"/>
    <w:rsid w:val="0089031E"/>
    <w:rsid w:val="0089067B"/>
    <w:rsid w:val="00890FAD"/>
    <w:rsid w:val="00891381"/>
    <w:rsid w:val="008915C0"/>
    <w:rsid w:val="00891C3B"/>
    <w:rsid w:val="00892680"/>
    <w:rsid w:val="008926BD"/>
    <w:rsid w:val="0089412A"/>
    <w:rsid w:val="0089488C"/>
    <w:rsid w:val="00896AD4"/>
    <w:rsid w:val="008A0071"/>
    <w:rsid w:val="008A02D3"/>
    <w:rsid w:val="008A11D9"/>
    <w:rsid w:val="008A2F60"/>
    <w:rsid w:val="008A2F75"/>
    <w:rsid w:val="008A460C"/>
    <w:rsid w:val="008A4966"/>
    <w:rsid w:val="008A52F3"/>
    <w:rsid w:val="008A5456"/>
    <w:rsid w:val="008A59AC"/>
    <w:rsid w:val="008A6BC1"/>
    <w:rsid w:val="008A7F7D"/>
    <w:rsid w:val="008B0551"/>
    <w:rsid w:val="008B1A5A"/>
    <w:rsid w:val="008B300E"/>
    <w:rsid w:val="008B382F"/>
    <w:rsid w:val="008B4590"/>
    <w:rsid w:val="008B49B9"/>
    <w:rsid w:val="008B5AB4"/>
    <w:rsid w:val="008B7FFE"/>
    <w:rsid w:val="008C0446"/>
    <w:rsid w:val="008C10D7"/>
    <w:rsid w:val="008C1DF4"/>
    <w:rsid w:val="008C22E9"/>
    <w:rsid w:val="008C2B3C"/>
    <w:rsid w:val="008C41A7"/>
    <w:rsid w:val="008C5BB8"/>
    <w:rsid w:val="008C6BCD"/>
    <w:rsid w:val="008C6F34"/>
    <w:rsid w:val="008C7108"/>
    <w:rsid w:val="008D02A3"/>
    <w:rsid w:val="008D087C"/>
    <w:rsid w:val="008D0AA1"/>
    <w:rsid w:val="008D1008"/>
    <w:rsid w:val="008D1D54"/>
    <w:rsid w:val="008D22D8"/>
    <w:rsid w:val="008D2BCD"/>
    <w:rsid w:val="008D2E1C"/>
    <w:rsid w:val="008D406E"/>
    <w:rsid w:val="008D4E99"/>
    <w:rsid w:val="008D5066"/>
    <w:rsid w:val="008D52BD"/>
    <w:rsid w:val="008D5A97"/>
    <w:rsid w:val="008D6697"/>
    <w:rsid w:val="008D728C"/>
    <w:rsid w:val="008D78B6"/>
    <w:rsid w:val="008D7A72"/>
    <w:rsid w:val="008E0674"/>
    <w:rsid w:val="008E0B38"/>
    <w:rsid w:val="008E11CC"/>
    <w:rsid w:val="008E1B8F"/>
    <w:rsid w:val="008E1BD5"/>
    <w:rsid w:val="008E4CDB"/>
    <w:rsid w:val="008E549B"/>
    <w:rsid w:val="008E5797"/>
    <w:rsid w:val="008E5E89"/>
    <w:rsid w:val="008E625D"/>
    <w:rsid w:val="008F12E6"/>
    <w:rsid w:val="008F1558"/>
    <w:rsid w:val="008F4768"/>
    <w:rsid w:val="008F5927"/>
    <w:rsid w:val="009001DD"/>
    <w:rsid w:val="0090174A"/>
    <w:rsid w:val="009036B3"/>
    <w:rsid w:val="00903870"/>
    <w:rsid w:val="009039BC"/>
    <w:rsid w:val="00903D32"/>
    <w:rsid w:val="0090434E"/>
    <w:rsid w:val="009051B8"/>
    <w:rsid w:val="00905B9A"/>
    <w:rsid w:val="009071FE"/>
    <w:rsid w:val="00907761"/>
    <w:rsid w:val="00910E40"/>
    <w:rsid w:val="00911940"/>
    <w:rsid w:val="0091242A"/>
    <w:rsid w:val="00913AA4"/>
    <w:rsid w:val="00915778"/>
    <w:rsid w:val="009164DD"/>
    <w:rsid w:val="00917A9D"/>
    <w:rsid w:val="009210C9"/>
    <w:rsid w:val="00924F14"/>
    <w:rsid w:val="00925C68"/>
    <w:rsid w:val="00926F75"/>
    <w:rsid w:val="00927A80"/>
    <w:rsid w:val="0093005B"/>
    <w:rsid w:val="009306B8"/>
    <w:rsid w:val="009315B0"/>
    <w:rsid w:val="009316E9"/>
    <w:rsid w:val="00931924"/>
    <w:rsid w:val="0093416D"/>
    <w:rsid w:val="0093533F"/>
    <w:rsid w:val="00935346"/>
    <w:rsid w:val="00936F3C"/>
    <w:rsid w:val="009412A0"/>
    <w:rsid w:val="009417AD"/>
    <w:rsid w:val="00941D44"/>
    <w:rsid w:val="00943531"/>
    <w:rsid w:val="00943B9C"/>
    <w:rsid w:val="00943EB4"/>
    <w:rsid w:val="009459D5"/>
    <w:rsid w:val="00945A61"/>
    <w:rsid w:val="009472FD"/>
    <w:rsid w:val="00950154"/>
    <w:rsid w:val="00950C7B"/>
    <w:rsid w:val="00953054"/>
    <w:rsid w:val="00953338"/>
    <w:rsid w:val="009548C1"/>
    <w:rsid w:val="009549D7"/>
    <w:rsid w:val="009563A5"/>
    <w:rsid w:val="00956868"/>
    <w:rsid w:val="00956B3E"/>
    <w:rsid w:val="0095765F"/>
    <w:rsid w:val="009606E6"/>
    <w:rsid w:val="009609F9"/>
    <w:rsid w:val="00961B83"/>
    <w:rsid w:val="00962F40"/>
    <w:rsid w:val="00963968"/>
    <w:rsid w:val="00965141"/>
    <w:rsid w:val="00967690"/>
    <w:rsid w:val="00967C66"/>
    <w:rsid w:val="00970DBE"/>
    <w:rsid w:val="00970F70"/>
    <w:rsid w:val="00971056"/>
    <w:rsid w:val="009714B2"/>
    <w:rsid w:val="0097252B"/>
    <w:rsid w:val="00972668"/>
    <w:rsid w:val="009727B4"/>
    <w:rsid w:val="00972C36"/>
    <w:rsid w:val="00975E26"/>
    <w:rsid w:val="00977C8B"/>
    <w:rsid w:val="00980EE4"/>
    <w:rsid w:val="009830D3"/>
    <w:rsid w:val="00983212"/>
    <w:rsid w:val="00983B8F"/>
    <w:rsid w:val="009849F0"/>
    <w:rsid w:val="0098595E"/>
    <w:rsid w:val="00986073"/>
    <w:rsid w:val="00986F84"/>
    <w:rsid w:val="0098770F"/>
    <w:rsid w:val="009909DD"/>
    <w:rsid w:val="00990DC0"/>
    <w:rsid w:val="00990EE2"/>
    <w:rsid w:val="009916D2"/>
    <w:rsid w:val="0099229C"/>
    <w:rsid w:val="00992655"/>
    <w:rsid w:val="00992BF0"/>
    <w:rsid w:val="00993D9D"/>
    <w:rsid w:val="009943C4"/>
    <w:rsid w:val="009945EB"/>
    <w:rsid w:val="00995C9F"/>
    <w:rsid w:val="00996436"/>
    <w:rsid w:val="0099752D"/>
    <w:rsid w:val="009A0461"/>
    <w:rsid w:val="009A12A7"/>
    <w:rsid w:val="009A28A2"/>
    <w:rsid w:val="009A5191"/>
    <w:rsid w:val="009A6030"/>
    <w:rsid w:val="009A6119"/>
    <w:rsid w:val="009A7489"/>
    <w:rsid w:val="009B03ED"/>
    <w:rsid w:val="009B063C"/>
    <w:rsid w:val="009B0F5C"/>
    <w:rsid w:val="009B11D6"/>
    <w:rsid w:val="009B2EE9"/>
    <w:rsid w:val="009B42A1"/>
    <w:rsid w:val="009B4864"/>
    <w:rsid w:val="009B4D4E"/>
    <w:rsid w:val="009B5504"/>
    <w:rsid w:val="009B6280"/>
    <w:rsid w:val="009B649B"/>
    <w:rsid w:val="009B6F16"/>
    <w:rsid w:val="009B7156"/>
    <w:rsid w:val="009B7934"/>
    <w:rsid w:val="009C0940"/>
    <w:rsid w:val="009C0DB9"/>
    <w:rsid w:val="009C1D99"/>
    <w:rsid w:val="009C1F8B"/>
    <w:rsid w:val="009C2099"/>
    <w:rsid w:val="009C20A8"/>
    <w:rsid w:val="009C2582"/>
    <w:rsid w:val="009C3701"/>
    <w:rsid w:val="009C6373"/>
    <w:rsid w:val="009D0D0B"/>
    <w:rsid w:val="009D2384"/>
    <w:rsid w:val="009D3240"/>
    <w:rsid w:val="009D38EA"/>
    <w:rsid w:val="009D3A6E"/>
    <w:rsid w:val="009D4C7C"/>
    <w:rsid w:val="009D61D9"/>
    <w:rsid w:val="009D6240"/>
    <w:rsid w:val="009D624D"/>
    <w:rsid w:val="009D7380"/>
    <w:rsid w:val="009D79D8"/>
    <w:rsid w:val="009E0AB4"/>
    <w:rsid w:val="009E21FE"/>
    <w:rsid w:val="009E255E"/>
    <w:rsid w:val="009E4814"/>
    <w:rsid w:val="009E4942"/>
    <w:rsid w:val="009E587C"/>
    <w:rsid w:val="009E5A10"/>
    <w:rsid w:val="009F0B67"/>
    <w:rsid w:val="009F1846"/>
    <w:rsid w:val="009F1E4B"/>
    <w:rsid w:val="009F249C"/>
    <w:rsid w:val="009F307E"/>
    <w:rsid w:val="009F50DE"/>
    <w:rsid w:val="009F54F9"/>
    <w:rsid w:val="009F6D34"/>
    <w:rsid w:val="009F7BB0"/>
    <w:rsid w:val="00A00D50"/>
    <w:rsid w:val="00A023AE"/>
    <w:rsid w:val="00A02B5C"/>
    <w:rsid w:val="00A036C5"/>
    <w:rsid w:val="00A03AD2"/>
    <w:rsid w:val="00A05005"/>
    <w:rsid w:val="00A05D06"/>
    <w:rsid w:val="00A064D5"/>
    <w:rsid w:val="00A07D84"/>
    <w:rsid w:val="00A10336"/>
    <w:rsid w:val="00A10CE2"/>
    <w:rsid w:val="00A1181A"/>
    <w:rsid w:val="00A1244E"/>
    <w:rsid w:val="00A12870"/>
    <w:rsid w:val="00A12CA2"/>
    <w:rsid w:val="00A133FA"/>
    <w:rsid w:val="00A13811"/>
    <w:rsid w:val="00A16B32"/>
    <w:rsid w:val="00A16DF1"/>
    <w:rsid w:val="00A16F1A"/>
    <w:rsid w:val="00A17A17"/>
    <w:rsid w:val="00A206F7"/>
    <w:rsid w:val="00A20B1F"/>
    <w:rsid w:val="00A20CFD"/>
    <w:rsid w:val="00A20DCB"/>
    <w:rsid w:val="00A232CA"/>
    <w:rsid w:val="00A235D0"/>
    <w:rsid w:val="00A26D02"/>
    <w:rsid w:val="00A27A7F"/>
    <w:rsid w:val="00A3276A"/>
    <w:rsid w:val="00A32D56"/>
    <w:rsid w:val="00A33D3A"/>
    <w:rsid w:val="00A341C7"/>
    <w:rsid w:val="00A349D2"/>
    <w:rsid w:val="00A34D65"/>
    <w:rsid w:val="00A35492"/>
    <w:rsid w:val="00A37C47"/>
    <w:rsid w:val="00A4044E"/>
    <w:rsid w:val="00A414CC"/>
    <w:rsid w:val="00A415D9"/>
    <w:rsid w:val="00A41A00"/>
    <w:rsid w:val="00A42869"/>
    <w:rsid w:val="00A436A7"/>
    <w:rsid w:val="00A4379F"/>
    <w:rsid w:val="00A4434D"/>
    <w:rsid w:val="00A45039"/>
    <w:rsid w:val="00A454E0"/>
    <w:rsid w:val="00A45546"/>
    <w:rsid w:val="00A4585A"/>
    <w:rsid w:val="00A459D6"/>
    <w:rsid w:val="00A45B12"/>
    <w:rsid w:val="00A462D5"/>
    <w:rsid w:val="00A46F7C"/>
    <w:rsid w:val="00A471A7"/>
    <w:rsid w:val="00A474A1"/>
    <w:rsid w:val="00A50B8A"/>
    <w:rsid w:val="00A51F40"/>
    <w:rsid w:val="00A5231C"/>
    <w:rsid w:val="00A53A29"/>
    <w:rsid w:val="00A54B26"/>
    <w:rsid w:val="00A55726"/>
    <w:rsid w:val="00A572BC"/>
    <w:rsid w:val="00A574DE"/>
    <w:rsid w:val="00A61049"/>
    <w:rsid w:val="00A62540"/>
    <w:rsid w:val="00A6287C"/>
    <w:rsid w:val="00A62C87"/>
    <w:rsid w:val="00A633DD"/>
    <w:rsid w:val="00A6517F"/>
    <w:rsid w:val="00A65C4D"/>
    <w:rsid w:val="00A670C9"/>
    <w:rsid w:val="00A67428"/>
    <w:rsid w:val="00A70260"/>
    <w:rsid w:val="00A70CF3"/>
    <w:rsid w:val="00A7155E"/>
    <w:rsid w:val="00A71E76"/>
    <w:rsid w:val="00A746FD"/>
    <w:rsid w:val="00A74EDE"/>
    <w:rsid w:val="00A75396"/>
    <w:rsid w:val="00A763AE"/>
    <w:rsid w:val="00A76B0D"/>
    <w:rsid w:val="00A80073"/>
    <w:rsid w:val="00A81AB5"/>
    <w:rsid w:val="00A81D2B"/>
    <w:rsid w:val="00A82510"/>
    <w:rsid w:val="00A82724"/>
    <w:rsid w:val="00A82C5A"/>
    <w:rsid w:val="00A83FF6"/>
    <w:rsid w:val="00A8561B"/>
    <w:rsid w:val="00A8620F"/>
    <w:rsid w:val="00A86AAB"/>
    <w:rsid w:val="00A87674"/>
    <w:rsid w:val="00A8769A"/>
    <w:rsid w:val="00A90D00"/>
    <w:rsid w:val="00A92EC0"/>
    <w:rsid w:val="00A92EED"/>
    <w:rsid w:val="00A94E41"/>
    <w:rsid w:val="00A95A15"/>
    <w:rsid w:val="00A967EB"/>
    <w:rsid w:val="00A9772B"/>
    <w:rsid w:val="00AA0660"/>
    <w:rsid w:val="00AA1F5F"/>
    <w:rsid w:val="00AA2EAA"/>
    <w:rsid w:val="00AA3875"/>
    <w:rsid w:val="00AA404A"/>
    <w:rsid w:val="00AA40DC"/>
    <w:rsid w:val="00AA4FD1"/>
    <w:rsid w:val="00AA6228"/>
    <w:rsid w:val="00AA69A4"/>
    <w:rsid w:val="00AA7AA1"/>
    <w:rsid w:val="00AB2744"/>
    <w:rsid w:val="00AB274F"/>
    <w:rsid w:val="00AB3B51"/>
    <w:rsid w:val="00AB5C44"/>
    <w:rsid w:val="00AB5F30"/>
    <w:rsid w:val="00AB6BE3"/>
    <w:rsid w:val="00AB76E8"/>
    <w:rsid w:val="00AC00BE"/>
    <w:rsid w:val="00AC22B5"/>
    <w:rsid w:val="00AC37C3"/>
    <w:rsid w:val="00AC535B"/>
    <w:rsid w:val="00AC5911"/>
    <w:rsid w:val="00AC5D1D"/>
    <w:rsid w:val="00AC5EC6"/>
    <w:rsid w:val="00AC5F6A"/>
    <w:rsid w:val="00AC7600"/>
    <w:rsid w:val="00AC7784"/>
    <w:rsid w:val="00AD0B3C"/>
    <w:rsid w:val="00AD1AD3"/>
    <w:rsid w:val="00AD1CC0"/>
    <w:rsid w:val="00AD22B5"/>
    <w:rsid w:val="00AD3DB4"/>
    <w:rsid w:val="00AD5125"/>
    <w:rsid w:val="00AD55B2"/>
    <w:rsid w:val="00AD6F04"/>
    <w:rsid w:val="00AD747C"/>
    <w:rsid w:val="00AD785F"/>
    <w:rsid w:val="00AE0445"/>
    <w:rsid w:val="00AE119F"/>
    <w:rsid w:val="00AE1942"/>
    <w:rsid w:val="00AE3053"/>
    <w:rsid w:val="00AE32F9"/>
    <w:rsid w:val="00AE3985"/>
    <w:rsid w:val="00AE3ABA"/>
    <w:rsid w:val="00AE5E2D"/>
    <w:rsid w:val="00AE64FB"/>
    <w:rsid w:val="00AF012D"/>
    <w:rsid w:val="00AF1F04"/>
    <w:rsid w:val="00AF3D59"/>
    <w:rsid w:val="00AF6794"/>
    <w:rsid w:val="00AF6B14"/>
    <w:rsid w:val="00AF6C18"/>
    <w:rsid w:val="00B0144D"/>
    <w:rsid w:val="00B016F7"/>
    <w:rsid w:val="00B02288"/>
    <w:rsid w:val="00B026CE"/>
    <w:rsid w:val="00B02BDD"/>
    <w:rsid w:val="00B047D7"/>
    <w:rsid w:val="00B055B9"/>
    <w:rsid w:val="00B12503"/>
    <w:rsid w:val="00B1288E"/>
    <w:rsid w:val="00B13977"/>
    <w:rsid w:val="00B13D85"/>
    <w:rsid w:val="00B14CBD"/>
    <w:rsid w:val="00B159C2"/>
    <w:rsid w:val="00B16296"/>
    <w:rsid w:val="00B1786A"/>
    <w:rsid w:val="00B203DA"/>
    <w:rsid w:val="00B206D8"/>
    <w:rsid w:val="00B24E55"/>
    <w:rsid w:val="00B26BC4"/>
    <w:rsid w:val="00B312C7"/>
    <w:rsid w:val="00B315D9"/>
    <w:rsid w:val="00B316B9"/>
    <w:rsid w:val="00B32E58"/>
    <w:rsid w:val="00B335A2"/>
    <w:rsid w:val="00B34371"/>
    <w:rsid w:val="00B37104"/>
    <w:rsid w:val="00B3748A"/>
    <w:rsid w:val="00B40045"/>
    <w:rsid w:val="00B411D7"/>
    <w:rsid w:val="00B42B0B"/>
    <w:rsid w:val="00B447D7"/>
    <w:rsid w:val="00B44DF1"/>
    <w:rsid w:val="00B4604F"/>
    <w:rsid w:val="00B47D0D"/>
    <w:rsid w:val="00B51D0F"/>
    <w:rsid w:val="00B52B7D"/>
    <w:rsid w:val="00B52F0F"/>
    <w:rsid w:val="00B531D2"/>
    <w:rsid w:val="00B53616"/>
    <w:rsid w:val="00B53CCA"/>
    <w:rsid w:val="00B54441"/>
    <w:rsid w:val="00B54A5F"/>
    <w:rsid w:val="00B5512D"/>
    <w:rsid w:val="00B560C2"/>
    <w:rsid w:val="00B56409"/>
    <w:rsid w:val="00B569E3"/>
    <w:rsid w:val="00B56F9B"/>
    <w:rsid w:val="00B60FB7"/>
    <w:rsid w:val="00B61CC3"/>
    <w:rsid w:val="00B6211E"/>
    <w:rsid w:val="00B627BE"/>
    <w:rsid w:val="00B62944"/>
    <w:rsid w:val="00B633A4"/>
    <w:rsid w:val="00B6420A"/>
    <w:rsid w:val="00B64919"/>
    <w:rsid w:val="00B6497F"/>
    <w:rsid w:val="00B65C34"/>
    <w:rsid w:val="00B65FA5"/>
    <w:rsid w:val="00B667C6"/>
    <w:rsid w:val="00B67EB8"/>
    <w:rsid w:val="00B711C1"/>
    <w:rsid w:val="00B719C2"/>
    <w:rsid w:val="00B733F9"/>
    <w:rsid w:val="00B7372C"/>
    <w:rsid w:val="00B73838"/>
    <w:rsid w:val="00B7421A"/>
    <w:rsid w:val="00B75267"/>
    <w:rsid w:val="00B75473"/>
    <w:rsid w:val="00B75F20"/>
    <w:rsid w:val="00B762FD"/>
    <w:rsid w:val="00B808A4"/>
    <w:rsid w:val="00B81371"/>
    <w:rsid w:val="00B8296B"/>
    <w:rsid w:val="00B83E2E"/>
    <w:rsid w:val="00B849B5"/>
    <w:rsid w:val="00B84B6C"/>
    <w:rsid w:val="00B866B8"/>
    <w:rsid w:val="00B86EAB"/>
    <w:rsid w:val="00B902E7"/>
    <w:rsid w:val="00B922D9"/>
    <w:rsid w:val="00B926D6"/>
    <w:rsid w:val="00B94C17"/>
    <w:rsid w:val="00B966BF"/>
    <w:rsid w:val="00B974B4"/>
    <w:rsid w:val="00B9772A"/>
    <w:rsid w:val="00BA0012"/>
    <w:rsid w:val="00BA0081"/>
    <w:rsid w:val="00BA2666"/>
    <w:rsid w:val="00BA3B51"/>
    <w:rsid w:val="00BA3DCE"/>
    <w:rsid w:val="00BA4EEA"/>
    <w:rsid w:val="00BA4F66"/>
    <w:rsid w:val="00BA7987"/>
    <w:rsid w:val="00BA7CFA"/>
    <w:rsid w:val="00BB03D0"/>
    <w:rsid w:val="00BB1309"/>
    <w:rsid w:val="00BB2592"/>
    <w:rsid w:val="00BB3156"/>
    <w:rsid w:val="00BB32F4"/>
    <w:rsid w:val="00BB3C9C"/>
    <w:rsid w:val="00BB5CA9"/>
    <w:rsid w:val="00BB6001"/>
    <w:rsid w:val="00BB6662"/>
    <w:rsid w:val="00BB6B13"/>
    <w:rsid w:val="00BC0CE4"/>
    <w:rsid w:val="00BC260A"/>
    <w:rsid w:val="00BC2CF8"/>
    <w:rsid w:val="00BC30BF"/>
    <w:rsid w:val="00BC3150"/>
    <w:rsid w:val="00BC573E"/>
    <w:rsid w:val="00BC61B2"/>
    <w:rsid w:val="00BD010F"/>
    <w:rsid w:val="00BD02D5"/>
    <w:rsid w:val="00BD1076"/>
    <w:rsid w:val="00BD1B67"/>
    <w:rsid w:val="00BD335B"/>
    <w:rsid w:val="00BD33B6"/>
    <w:rsid w:val="00BD39BA"/>
    <w:rsid w:val="00BD39C1"/>
    <w:rsid w:val="00BD3D7F"/>
    <w:rsid w:val="00BD4097"/>
    <w:rsid w:val="00BD4E41"/>
    <w:rsid w:val="00BD4F5D"/>
    <w:rsid w:val="00BD58D8"/>
    <w:rsid w:val="00BD6560"/>
    <w:rsid w:val="00BD680C"/>
    <w:rsid w:val="00BE00FA"/>
    <w:rsid w:val="00BE0C95"/>
    <w:rsid w:val="00BE0D6A"/>
    <w:rsid w:val="00BE108C"/>
    <w:rsid w:val="00BE268F"/>
    <w:rsid w:val="00BE46C5"/>
    <w:rsid w:val="00BE4FCA"/>
    <w:rsid w:val="00BE545A"/>
    <w:rsid w:val="00BE5E11"/>
    <w:rsid w:val="00BE67AB"/>
    <w:rsid w:val="00BE6C95"/>
    <w:rsid w:val="00BE74FA"/>
    <w:rsid w:val="00BE7E44"/>
    <w:rsid w:val="00BF0680"/>
    <w:rsid w:val="00BF0A54"/>
    <w:rsid w:val="00BF0F1C"/>
    <w:rsid w:val="00BF1B7F"/>
    <w:rsid w:val="00BF1C09"/>
    <w:rsid w:val="00BF49F2"/>
    <w:rsid w:val="00BF5657"/>
    <w:rsid w:val="00BF5FEC"/>
    <w:rsid w:val="00BF6747"/>
    <w:rsid w:val="00BF6B5B"/>
    <w:rsid w:val="00BF6D83"/>
    <w:rsid w:val="00BF704D"/>
    <w:rsid w:val="00BF7824"/>
    <w:rsid w:val="00C020F8"/>
    <w:rsid w:val="00C02535"/>
    <w:rsid w:val="00C02903"/>
    <w:rsid w:val="00C03581"/>
    <w:rsid w:val="00C04666"/>
    <w:rsid w:val="00C04D22"/>
    <w:rsid w:val="00C05995"/>
    <w:rsid w:val="00C07A48"/>
    <w:rsid w:val="00C11482"/>
    <w:rsid w:val="00C13C55"/>
    <w:rsid w:val="00C149E0"/>
    <w:rsid w:val="00C14AFD"/>
    <w:rsid w:val="00C14CDF"/>
    <w:rsid w:val="00C150E0"/>
    <w:rsid w:val="00C150F6"/>
    <w:rsid w:val="00C15419"/>
    <w:rsid w:val="00C16762"/>
    <w:rsid w:val="00C17637"/>
    <w:rsid w:val="00C179FC"/>
    <w:rsid w:val="00C200E3"/>
    <w:rsid w:val="00C2038C"/>
    <w:rsid w:val="00C2054F"/>
    <w:rsid w:val="00C20EB1"/>
    <w:rsid w:val="00C2104E"/>
    <w:rsid w:val="00C210CD"/>
    <w:rsid w:val="00C2139F"/>
    <w:rsid w:val="00C2169E"/>
    <w:rsid w:val="00C218B6"/>
    <w:rsid w:val="00C21B00"/>
    <w:rsid w:val="00C2210C"/>
    <w:rsid w:val="00C22C70"/>
    <w:rsid w:val="00C230A3"/>
    <w:rsid w:val="00C24619"/>
    <w:rsid w:val="00C252F4"/>
    <w:rsid w:val="00C27ABF"/>
    <w:rsid w:val="00C3157F"/>
    <w:rsid w:val="00C315FB"/>
    <w:rsid w:val="00C317BD"/>
    <w:rsid w:val="00C31A00"/>
    <w:rsid w:val="00C324E5"/>
    <w:rsid w:val="00C32AF2"/>
    <w:rsid w:val="00C32E86"/>
    <w:rsid w:val="00C33279"/>
    <w:rsid w:val="00C336B9"/>
    <w:rsid w:val="00C357FB"/>
    <w:rsid w:val="00C37DED"/>
    <w:rsid w:val="00C41015"/>
    <w:rsid w:val="00C41EE1"/>
    <w:rsid w:val="00C43EDF"/>
    <w:rsid w:val="00C44029"/>
    <w:rsid w:val="00C45BF0"/>
    <w:rsid w:val="00C47468"/>
    <w:rsid w:val="00C54BEF"/>
    <w:rsid w:val="00C55F12"/>
    <w:rsid w:val="00C55FE8"/>
    <w:rsid w:val="00C609CB"/>
    <w:rsid w:val="00C60F5C"/>
    <w:rsid w:val="00C6138C"/>
    <w:rsid w:val="00C6220B"/>
    <w:rsid w:val="00C63CF2"/>
    <w:rsid w:val="00C648FC"/>
    <w:rsid w:val="00C661D1"/>
    <w:rsid w:val="00C663BE"/>
    <w:rsid w:val="00C71858"/>
    <w:rsid w:val="00C71B19"/>
    <w:rsid w:val="00C722C5"/>
    <w:rsid w:val="00C72EEB"/>
    <w:rsid w:val="00C73C34"/>
    <w:rsid w:val="00C744AE"/>
    <w:rsid w:val="00C74781"/>
    <w:rsid w:val="00C74850"/>
    <w:rsid w:val="00C75A73"/>
    <w:rsid w:val="00C75D27"/>
    <w:rsid w:val="00C7703D"/>
    <w:rsid w:val="00C77598"/>
    <w:rsid w:val="00C77C19"/>
    <w:rsid w:val="00C80034"/>
    <w:rsid w:val="00C80BCE"/>
    <w:rsid w:val="00C82032"/>
    <w:rsid w:val="00C826E6"/>
    <w:rsid w:val="00C83EA7"/>
    <w:rsid w:val="00C84559"/>
    <w:rsid w:val="00C8486C"/>
    <w:rsid w:val="00C85C39"/>
    <w:rsid w:val="00C85EC8"/>
    <w:rsid w:val="00C862C4"/>
    <w:rsid w:val="00C869B2"/>
    <w:rsid w:val="00C86B34"/>
    <w:rsid w:val="00C870F6"/>
    <w:rsid w:val="00C8785E"/>
    <w:rsid w:val="00C90AAF"/>
    <w:rsid w:val="00C90ADB"/>
    <w:rsid w:val="00C90FB4"/>
    <w:rsid w:val="00C90FC9"/>
    <w:rsid w:val="00C91E6F"/>
    <w:rsid w:val="00C92394"/>
    <w:rsid w:val="00C93405"/>
    <w:rsid w:val="00C9362D"/>
    <w:rsid w:val="00C936E7"/>
    <w:rsid w:val="00C94989"/>
    <w:rsid w:val="00C94C06"/>
    <w:rsid w:val="00C952CF"/>
    <w:rsid w:val="00C95593"/>
    <w:rsid w:val="00C965D0"/>
    <w:rsid w:val="00C96A63"/>
    <w:rsid w:val="00C97602"/>
    <w:rsid w:val="00CA1F79"/>
    <w:rsid w:val="00CA2022"/>
    <w:rsid w:val="00CA2A4E"/>
    <w:rsid w:val="00CA407B"/>
    <w:rsid w:val="00CA4422"/>
    <w:rsid w:val="00CA6AAE"/>
    <w:rsid w:val="00CA709B"/>
    <w:rsid w:val="00CA7945"/>
    <w:rsid w:val="00CB0101"/>
    <w:rsid w:val="00CB12C8"/>
    <w:rsid w:val="00CB1684"/>
    <w:rsid w:val="00CB3393"/>
    <w:rsid w:val="00CB3448"/>
    <w:rsid w:val="00CB371D"/>
    <w:rsid w:val="00CB3C69"/>
    <w:rsid w:val="00CB3C89"/>
    <w:rsid w:val="00CB3E21"/>
    <w:rsid w:val="00CB57BF"/>
    <w:rsid w:val="00CC0224"/>
    <w:rsid w:val="00CC053E"/>
    <w:rsid w:val="00CC2D8B"/>
    <w:rsid w:val="00CC2DE4"/>
    <w:rsid w:val="00CC360E"/>
    <w:rsid w:val="00CC399C"/>
    <w:rsid w:val="00CC48D6"/>
    <w:rsid w:val="00CC73D6"/>
    <w:rsid w:val="00CD0A20"/>
    <w:rsid w:val="00CD1D73"/>
    <w:rsid w:val="00CD2C1A"/>
    <w:rsid w:val="00CD6866"/>
    <w:rsid w:val="00CD6BD3"/>
    <w:rsid w:val="00CD6F46"/>
    <w:rsid w:val="00CD75EE"/>
    <w:rsid w:val="00CD76D4"/>
    <w:rsid w:val="00CD7893"/>
    <w:rsid w:val="00CE03CC"/>
    <w:rsid w:val="00CE0DB1"/>
    <w:rsid w:val="00CE2991"/>
    <w:rsid w:val="00CE5BD0"/>
    <w:rsid w:val="00CE670C"/>
    <w:rsid w:val="00CE7E6A"/>
    <w:rsid w:val="00CF030B"/>
    <w:rsid w:val="00CF23A2"/>
    <w:rsid w:val="00CF2F97"/>
    <w:rsid w:val="00CF335B"/>
    <w:rsid w:val="00CF3F0A"/>
    <w:rsid w:val="00CF523E"/>
    <w:rsid w:val="00CF5F6B"/>
    <w:rsid w:val="00CF6EB2"/>
    <w:rsid w:val="00D02CD1"/>
    <w:rsid w:val="00D02D0F"/>
    <w:rsid w:val="00D03556"/>
    <w:rsid w:val="00D03A00"/>
    <w:rsid w:val="00D03B80"/>
    <w:rsid w:val="00D06181"/>
    <w:rsid w:val="00D11056"/>
    <w:rsid w:val="00D11F56"/>
    <w:rsid w:val="00D12D70"/>
    <w:rsid w:val="00D12EE7"/>
    <w:rsid w:val="00D1373C"/>
    <w:rsid w:val="00D14B06"/>
    <w:rsid w:val="00D160DB"/>
    <w:rsid w:val="00D17702"/>
    <w:rsid w:val="00D17C3D"/>
    <w:rsid w:val="00D225CB"/>
    <w:rsid w:val="00D240B5"/>
    <w:rsid w:val="00D25A9F"/>
    <w:rsid w:val="00D26101"/>
    <w:rsid w:val="00D2734A"/>
    <w:rsid w:val="00D276CF"/>
    <w:rsid w:val="00D30003"/>
    <w:rsid w:val="00D300EA"/>
    <w:rsid w:val="00D30114"/>
    <w:rsid w:val="00D306AB"/>
    <w:rsid w:val="00D30F33"/>
    <w:rsid w:val="00D31B93"/>
    <w:rsid w:val="00D33323"/>
    <w:rsid w:val="00D3469A"/>
    <w:rsid w:val="00D3478C"/>
    <w:rsid w:val="00D34A5C"/>
    <w:rsid w:val="00D35986"/>
    <w:rsid w:val="00D36799"/>
    <w:rsid w:val="00D37494"/>
    <w:rsid w:val="00D3789A"/>
    <w:rsid w:val="00D407B7"/>
    <w:rsid w:val="00D408E9"/>
    <w:rsid w:val="00D409B3"/>
    <w:rsid w:val="00D41E2D"/>
    <w:rsid w:val="00D4287D"/>
    <w:rsid w:val="00D42957"/>
    <w:rsid w:val="00D46BB5"/>
    <w:rsid w:val="00D47265"/>
    <w:rsid w:val="00D4793C"/>
    <w:rsid w:val="00D506E8"/>
    <w:rsid w:val="00D509E4"/>
    <w:rsid w:val="00D54BAA"/>
    <w:rsid w:val="00D5541B"/>
    <w:rsid w:val="00D55F9D"/>
    <w:rsid w:val="00D605FB"/>
    <w:rsid w:val="00D613AB"/>
    <w:rsid w:val="00D63990"/>
    <w:rsid w:val="00D63E87"/>
    <w:rsid w:val="00D65068"/>
    <w:rsid w:val="00D6518B"/>
    <w:rsid w:val="00D65243"/>
    <w:rsid w:val="00D658A1"/>
    <w:rsid w:val="00D704E6"/>
    <w:rsid w:val="00D707F7"/>
    <w:rsid w:val="00D71699"/>
    <w:rsid w:val="00D738F0"/>
    <w:rsid w:val="00D74FD3"/>
    <w:rsid w:val="00D7550E"/>
    <w:rsid w:val="00D76195"/>
    <w:rsid w:val="00D77436"/>
    <w:rsid w:val="00D81191"/>
    <w:rsid w:val="00D81AB1"/>
    <w:rsid w:val="00D82CB3"/>
    <w:rsid w:val="00D82FC0"/>
    <w:rsid w:val="00D8322A"/>
    <w:rsid w:val="00D83746"/>
    <w:rsid w:val="00D83C17"/>
    <w:rsid w:val="00D845E3"/>
    <w:rsid w:val="00D84FFF"/>
    <w:rsid w:val="00D852AC"/>
    <w:rsid w:val="00D85885"/>
    <w:rsid w:val="00D85A93"/>
    <w:rsid w:val="00D8720F"/>
    <w:rsid w:val="00D87527"/>
    <w:rsid w:val="00D87652"/>
    <w:rsid w:val="00D9060C"/>
    <w:rsid w:val="00D92D08"/>
    <w:rsid w:val="00D9372E"/>
    <w:rsid w:val="00D9392E"/>
    <w:rsid w:val="00D93EE0"/>
    <w:rsid w:val="00D947F0"/>
    <w:rsid w:val="00D963CC"/>
    <w:rsid w:val="00D9640E"/>
    <w:rsid w:val="00D97F59"/>
    <w:rsid w:val="00DA0EAA"/>
    <w:rsid w:val="00DA39FF"/>
    <w:rsid w:val="00DA3A4F"/>
    <w:rsid w:val="00DA3A77"/>
    <w:rsid w:val="00DA3F4B"/>
    <w:rsid w:val="00DA42C0"/>
    <w:rsid w:val="00DA52A2"/>
    <w:rsid w:val="00DA6F75"/>
    <w:rsid w:val="00DA77AE"/>
    <w:rsid w:val="00DA7DC1"/>
    <w:rsid w:val="00DA7E2F"/>
    <w:rsid w:val="00DB0C0B"/>
    <w:rsid w:val="00DB1C9B"/>
    <w:rsid w:val="00DB27F7"/>
    <w:rsid w:val="00DB31E7"/>
    <w:rsid w:val="00DB3A66"/>
    <w:rsid w:val="00DB4037"/>
    <w:rsid w:val="00DB4AC0"/>
    <w:rsid w:val="00DB4BEF"/>
    <w:rsid w:val="00DB78B2"/>
    <w:rsid w:val="00DB7AE9"/>
    <w:rsid w:val="00DC11BA"/>
    <w:rsid w:val="00DC230C"/>
    <w:rsid w:val="00DC2CE7"/>
    <w:rsid w:val="00DC301A"/>
    <w:rsid w:val="00DC30B5"/>
    <w:rsid w:val="00DC6AEA"/>
    <w:rsid w:val="00DC7377"/>
    <w:rsid w:val="00DD3C18"/>
    <w:rsid w:val="00DD4849"/>
    <w:rsid w:val="00DE0FC0"/>
    <w:rsid w:val="00DE22C9"/>
    <w:rsid w:val="00DE251A"/>
    <w:rsid w:val="00DE347A"/>
    <w:rsid w:val="00DE3A31"/>
    <w:rsid w:val="00DE7DDA"/>
    <w:rsid w:val="00DE7E44"/>
    <w:rsid w:val="00DF0DD2"/>
    <w:rsid w:val="00DF13A5"/>
    <w:rsid w:val="00DF1C93"/>
    <w:rsid w:val="00DF1E5D"/>
    <w:rsid w:val="00DF2ABA"/>
    <w:rsid w:val="00DF419C"/>
    <w:rsid w:val="00DF51C5"/>
    <w:rsid w:val="00DF6844"/>
    <w:rsid w:val="00DF7149"/>
    <w:rsid w:val="00DF72C7"/>
    <w:rsid w:val="00E01188"/>
    <w:rsid w:val="00E01E64"/>
    <w:rsid w:val="00E0252A"/>
    <w:rsid w:val="00E02679"/>
    <w:rsid w:val="00E03246"/>
    <w:rsid w:val="00E03508"/>
    <w:rsid w:val="00E03941"/>
    <w:rsid w:val="00E03C0E"/>
    <w:rsid w:val="00E041D1"/>
    <w:rsid w:val="00E065F2"/>
    <w:rsid w:val="00E06AFA"/>
    <w:rsid w:val="00E073C2"/>
    <w:rsid w:val="00E07E4D"/>
    <w:rsid w:val="00E10C25"/>
    <w:rsid w:val="00E1123F"/>
    <w:rsid w:val="00E12CF5"/>
    <w:rsid w:val="00E12D1C"/>
    <w:rsid w:val="00E1327D"/>
    <w:rsid w:val="00E14317"/>
    <w:rsid w:val="00E14EF0"/>
    <w:rsid w:val="00E14F41"/>
    <w:rsid w:val="00E16412"/>
    <w:rsid w:val="00E165DD"/>
    <w:rsid w:val="00E17463"/>
    <w:rsid w:val="00E17910"/>
    <w:rsid w:val="00E17BD3"/>
    <w:rsid w:val="00E17F3A"/>
    <w:rsid w:val="00E21392"/>
    <w:rsid w:val="00E21F52"/>
    <w:rsid w:val="00E227C3"/>
    <w:rsid w:val="00E22843"/>
    <w:rsid w:val="00E22E88"/>
    <w:rsid w:val="00E244F5"/>
    <w:rsid w:val="00E24C79"/>
    <w:rsid w:val="00E2578C"/>
    <w:rsid w:val="00E25C98"/>
    <w:rsid w:val="00E26881"/>
    <w:rsid w:val="00E26C1E"/>
    <w:rsid w:val="00E26DFE"/>
    <w:rsid w:val="00E2713B"/>
    <w:rsid w:val="00E27D5D"/>
    <w:rsid w:val="00E31B31"/>
    <w:rsid w:val="00E32DDF"/>
    <w:rsid w:val="00E32E34"/>
    <w:rsid w:val="00E33108"/>
    <w:rsid w:val="00E33EB2"/>
    <w:rsid w:val="00E34706"/>
    <w:rsid w:val="00E37290"/>
    <w:rsid w:val="00E42F84"/>
    <w:rsid w:val="00E43ABE"/>
    <w:rsid w:val="00E43DA5"/>
    <w:rsid w:val="00E445BD"/>
    <w:rsid w:val="00E45726"/>
    <w:rsid w:val="00E457C2"/>
    <w:rsid w:val="00E47A5F"/>
    <w:rsid w:val="00E507A5"/>
    <w:rsid w:val="00E50F87"/>
    <w:rsid w:val="00E51DFC"/>
    <w:rsid w:val="00E51E1E"/>
    <w:rsid w:val="00E528D2"/>
    <w:rsid w:val="00E54E89"/>
    <w:rsid w:val="00E6002A"/>
    <w:rsid w:val="00E601CE"/>
    <w:rsid w:val="00E602CF"/>
    <w:rsid w:val="00E61EE8"/>
    <w:rsid w:val="00E62441"/>
    <w:rsid w:val="00E63879"/>
    <w:rsid w:val="00E64EAF"/>
    <w:rsid w:val="00E66EE6"/>
    <w:rsid w:val="00E701D0"/>
    <w:rsid w:val="00E71633"/>
    <w:rsid w:val="00E71A61"/>
    <w:rsid w:val="00E71C2E"/>
    <w:rsid w:val="00E72689"/>
    <w:rsid w:val="00E730AA"/>
    <w:rsid w:val="00E74F43"/>
    <w:rsid w:val="00E750F3"/>
    <w:rsid w:val="00E76F52"/>
    <w:rsid w:val="00E772AB"/>
    <w:rsid w:val="00E803E8"/>
    <w:rsid w:val="00E82084"/>
    <w:rsid w:val="00E82B54"/>
    <w:rsid w:val="00E838B2"/>
    <w:rsid w:val="00E83C86"/>
    <w:rsid w:val="00E83DF6"/>
    <w:rsid w:val="00E84521"/>
    <w:rsid w:val="00E85048"/>
    <w:rsid w:val="00E856B0"/>
    <w:rsid w:val="00E858B4"/>
    <w:rsid w:val="00E85FF0"/>
    <w:rsid w:val="00E8681B"/>
    <w:rsid w:val="00E86AE6"/>
    <w:rsid w:val="00E86BA5"/>
    <w:rsid w:val="00E86C2A"/>
    <w:rsid w:val="00E86CA1"/>
    <w:rsid w:val="00E9033F"/>
    <w:rsid w:val="00E906C3"/>
    <w:rsid w:val="00E90A65"/>
    <w:rsid w:val="00E91E35"/>
    <w:rsid w:val="00E92819"/>
    <w:rsid w:val="00E937B5"/>
    <w:rsid w:val="00E93C6B"/>
    <w:rsid w:val="00E9442F"/>
    <w:rsid w:val="00E95AFF"/>
    <w:rsid w:val="00E969D2"/>
    <w:rsid w:val="00EA0CA1"/>
    <w:rsid w:val="00EA3249"/>
    <w:rsid w:val="00EA3C59"/>
    <w:rsid w:val="00EA4BEE"/>
    <w:rsid w:val="00EA5118"/>
    <w:rsid w:val="00EA600C"/>
    <w:rsid w:val="00EA6DD2"/>
    <w:rsid w:val="00EA755F"/>
    <w:rsid w:val="00EA7A8D"/>
    <w:rsid w:val="00EB0DF0"/>
    <w:rsid w:val="00EB1A2C"/>
    <w:rsid w:val="00EB1B4D"/>
    <w:rsid w:val="00EB385D"/>
    <w:rsid w:val="00EB40DC"/>
    <w:rsid w:val="00EB743F"/>
    <w:rsid w:val="00EB781A"/>
    <w:rsid w:val="00EC064C"/>
    <w:rsid w:val="00EC0BFA"/>
    <w:rsid w:val="00EC115D"/>
    <w:rsid w:val="00EC3328"/>
    <w:rsid w:val="00EC34A9"/>
    <w:rsid w:val="00EC3934"/>
    <w:rsid w:val="00EC3BEB"/>
    <w:rsid w:val="00EC66E6"/>
    <w:rsid w:val="00EC6DB6"/>
    <w:rsid w:val="00EC6FAC"/>
    <w:rsid w:val="00EC7352"/>
    <w:rsid w:val="00ED02EA"/>
    <w:rsid w:val="00ED2270"/>
    <w:rsid w:val="00ED29ED"/>
    <w:rsid w:val="00ED4587"/>
    <w:rsid w:val="00ED512E"/>
    <w:rsid w:val="00ED5477"/>
    <w:rsid w:val="00ED5AF4"/>
    <w:rsid w:val="00ED687C"/>
    <w:rsid w:val="00EE0293"/>
    <w:rsid w:val="00EE048D"/>
    <w:rsid w:val="00EE0A95"/>
    <w:rsid w:val="00EE0ACB"/>
    <w:rsid w:val="00EE0F2F"/>
    <w:rsid w:val="00EE107C"/>
    <w:rsid w:val="00EE1531"/>
    <w:rsid w:val="00EE280E"/>
    <w:rsid w:val="00EE3E9C"/>
    <w:rsid w:val="00EE4D4C"/>
    <w:rsid w:val="00EE4FBE"/>
    <w:rsid w:val="00EE58F0"/>
    <w:rsid w:val="00EE706E"/>
    <w:rsid w:val="00EE754B"/>
    <w:rsid w:val="00EF10EF"/>
    <w:rsid w:val="00EF1AD7"/>
    <w:rsid w:val="00EF2E2B"/>
    <w:rsid w:val="00EF34D2"/>
    <w:rsid w:val="00EF42F4"/>
    <w:rsid w:val="00EF4C26"/>
    <w:rsid w:val="00EF5CC0"/>
    <w:rsid w:val="00EF5E4C"/>
    <w:rsid w:val="00EF7162"/>
    <w:rsid w:val="00F01360"/>
    <w:rsid w:val="00F02E9D"/>
    <w:rsid w:val="00F04044"/>
    <w:rsid w:val="00F046C8"/>
    <w:rsid w:val="00F047AB"/>
    <w:rsid w:val="00F05DE1"/>
    <w:rsid w:val="00F068E2"/>
    <w:rsid w:val="00F06E21"/>
    <w:rsid w:val="00F07200"/>
    <w:rsid w:val="00F07353"/>
    <w:rsid w:val="00F07748"/>
    <w:rsid w:val="00F10319"/>
    <w:rsid w:val="00F10D6B"/>
    <w:rsid w:val="00F126D9"/>
    <w:rsid w:val="00F12CDC"/>
    <w:rsid w:val="00F13E45"/>
    <w:rsid w:val="00F147C6"/>
    <w:rsid w:val="00F15162"/>
    <w:rsid w:val="00F15D5F"/>
    <w:rsid w:val="00F160E5"/>
    <w:rsid w:val="00F16381"/>
    <w:rsid w:val="00F21705"/>
    <w:rsid w:val="00F231FC"/>
    <w:rsid w:val="00F2361E"/>
    <w:rsid w:val="00F23AEF"/>
    <w:rsid w:val="00F25E84"/>
    <w:rsid w:val="00F2706D"/>
    <w:rsid w:val="00F27818"/>
    <w:rsid w:val="00F27ADB"/>
    <w:rsid w:val="00F31039"/>
    <w:rsid w:val="00F31178"/>
    <w:rsid w:val="00F31D0B"/>
    <w:rsid w:val="00F32971"/>
    <w:rsid w:val="00F3349F"/>
    <w:rsid w:val="00F33670"/>
    <w:rsid w:val="00F3400B"/>
    <w:rsid w:val="00F3458B"/>
    <w:rsid w:val="00F34889"/>
    <w:rsid w:val="00F3566D"/>
    <w:rsid w:val="00F35C44"/>
    <w:rsid w:val="00F35CC5"/>
    <w:rsid w:val="00F36C7A"/>
    <w:rsid w:val="00F373B4"/>
    <w:rsid w:val="00F378CB"/>
    <w:rsid w:val="00F40C05"/>
    <w:rsid w:val="00F40E86"/>
    <w:rsid w:val="00F40F5B"/>
    <w:rsid w:val="00F42168"/>
    <w:rsid w:val="00F425B3"/>
    <w:rsid w:val="00F43821"/>
    <w:rsid w:val="00F4414A"/>
    <w:rsid w:val="00F44C78"/>
    <w:rsid w:val="00F45287"/>
    <w:rsid w:val="00F452C0"/>
    <w:rsid w:val="00F459E6"/>
    <w:rsid w:val="00F46070"/>
    <w:rsid w:val="00F471CC"/>
    <w:rsid w:val="00F50E9E"/>
    <w:rsid w:val="00F51CBB"/>
    <w:rsid w:val="00F51DD3"/>
    <w:rsid w:val="00F53AC2"/>
    <w:rsid w:val="00F53C08"/>
    <w:rsid w:val="00F53C70"/>
    <w:rsid w:val="00F54C97"/>
    <w:rsid w:val="00F550C2"/>
    <w:rsid w:val="00F55D7B"/>
    <w:rsid w:val="00F575AC"/>
    <w:rsid w:val="00F602FE"/>
    <w:rsid w:val="00F60C62"/>
    <w:rsid w:val="00F61B52"/>
    <w:rsid w:val="00F6299D"/>
    <w:rsid w:val="00F63F1D"/>
    <w:rsid w:val="00F645AF"/>
    <w:rsid w:val="00F6577C"/>
    <w:rsid w:val="00F66BC9"/>
    <w:rsid w:val="00F67946"/>
    <w:rsid w:val="00F70BC9"/>
    <w:rsid w:val="00F70DCA"/>
    <w:rsid w:val="00F72B99"/>
    <w:rsid w:val="00F72CCD"/>
    <w:rsid w:val="00F72E9F"/>
    <w:rsid w:val="00F73160"/>
    <w:rsid w:val="00F732B1"/>
    <w:rsid w:val="00F739E9"/>
    <w:rsid w:val="00F77F62"/>
    <w:rsid w:val="00F81620"/>
    <w:rsid w:val="00F82323"/>
    <w:rsid w:val="00F84240"/>
    <w:rsid w:val="00F85237"/>
    <w:rsid w:val="00F854D7"/>
    <w:rsid w:val="00F8564F"/>
    <w:rsid w:val="00F87844"/>
    <w:rsid w:val="00F87DAE"/>
    <w:rsid w:val="00F9000A"/>
    <w:rsid w:val="00F9002A"/>
    <w:rsid w:val="00F90CC8"/>
    <w:rsid w:val="00F911B2"/>
    <w:rsid w:val="00F917C7"/>
    <w:rsid w:val="00F91EEE"/>
    <w:rsid w:val="00F94E43"/>
    <w:rsid w:val="00F95929"/>
    <w:rsid w:val="00F95E1D"/>
    <w:rsid w:val="00F95F7E"/>
    <w:rsid w:val="00F97AFE"/>
    <w:rsid w:val="00F97F3F"/>
    <w:rsid w:val="00FA0128"/>
    <w:rsid w:val="00FA0214"/>
    <w:rsid w:val="00FA1786"/>
    <w:rsid w:val="00FA215F"/>
    <w:rsid w:val="00FA2160"/>
    <w:rsid w:val="00FA2E55"/>
    <w:rsid w:val="00FA3191"/>
    <w:rsid w:val="00FA3981"/>
    <w:rsid w:val="00FA448D"/>
    <w:rsid w:val="00FA4835"/>
    <w:rsid w:val="00FA5AE3"/>
    <w:rsid w:val="00FA73DD"/>
    <w:rsid w:val="00FB0E32"/>
    <w:rsid w:val="00FB13C2"/>
    <w:rsid w:val="00FB1677"/>
    <w:rsid w:val="00FB1953"/>
    <w:rsid w:val="00FB380D"/>
    <w:rsid w:val="00FB76C5"/>
    <w:rsid w:val="00FC026A"/>
    <w:rsid w:val="00FC214C"/>
    <w:rsid w:val="00FC2414"/>
    <w:rsid w:val="00FC2479"/>
    <w:rsid w:val="00FC2C4D"/>
    <w:rsid w:val="00FC3245"/>
    <w:rsid w:val="00FC44A1"/>
    <w:rsid w:val="00FC4DEB"/>
    <w:rsid w:val="00FC54AA"/>
    <w:rsid w:val="00FC6D86"/>
    <w:rsid w:val="00FC77FF"/>
    <w:rsid w:val="00FC7E40"/>
    <w:rsid w:val="00FD1351"/>
    <w:rsid w:val="00FD22AA"/>
    <w:rsid w:val="00FD34FF"/>
    <w:rsid w:val="00FD38A5"/>
    <w:rsid w:val="00FD4B65"/>
    <w:rsid w:val="00FD670E"/>
    <w:rsid w:val="00FD6729"/>
    <w:rsid w:val="00FD776B"/>
    <w:rsid w:val="00FD7EFE"/>
    <w:rsid w:val="00FE2025"/>
    <w:rsid w:val="00FE2D41"/>
    <w:rsid w:val="00FE2D9D"/>
    <w:rsid w:val="00FE3280"/>
    <w:rsid w:val="00FE3AFE"/>
    <w:rsid w:val="00FE4790"/>
    <w:rsid w:val="00FE49E3"/>
    <w:rsid w:val="00FE4E1B"/>
    <w:rsid w:val="00FE6019"/>
    <w:rsid w:val="00FE7904"/>
    <w:rsid w:val="00FE79C6"/>
    <w:rsid w:val="00FF0139"/>
    <w:rsid w:val="00FF0AD1"/>
    <w:rsid w:val="00FF1A04"/>
    <w:rsid w:val="00FF2F56"/>
    <w:rsid w:val="00FF3373"/>
    <w:rsid w:val="00FF3B7B"/>
    <w:rsid w:val="00FF3D45"/>
    <w:rsid w:val="00FF4646"/>
    <w:rsid w:val="00FF55AA"/>
    <w:rsid w:val="00FF607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E5E773FE-DF6A-43C9-85A2-95BD1B778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5EBF"/>
    <w:rPr>
      <w:rFonts w:ascii="Times New Roman" w:eastAsia="Times New Roman" w:hAnsi="Times New Roman" w:cs="Times New Roman"/>
      <w:lang w:val="es-US" w:eastAsia="es-ES_tradnl"/>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113B08"/>
    <w:pPr>
      <w:keepNext/>
      <w:keepLines/>
      <w:spacing w:before="40"/>
      <w:outlineLvl w:val="2"/>
    </w:pPr>
    <w:rPr>
      <w:rFonts w:asciiTheme="majorHAnsi" w:eastAsiaTheme="majorEastAsia" w:hAnsiTheme="majorHAnsi" w:cstheme="majorBidi"/>
      <w:color w:val="243F60" w:themeColor="accent1" w:themeShade="7F"/>
      <w:lang w:val="es-ES_tradnl" w:eastAsia="es-ES"/>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62C69"/>
    <w:pPr>
      <w:ind w:left="720"/>
      <w:contextualSpacing/>
    </w:pPr>
    <w:rPr>
      <w:rFonts w:asciiTheme="minorHAnsi" w:eastAsiaTheme="minorEastAsia" w:hAnsiTheme="minorHAnsi" w:cstheme="minorBidi"/>
      <w:lang w:val="es-ES_tradnl" w:eastAsia="es-ES"/>
    </w:r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313AF4"/>
    <w:pPr>
      <w:tabs>
        <w:tab w:val="right" w:leader="dot" w:pos="9676"/>
      </w:tabs>
      <w:spacing w:after="100" w:line="480" w:lineRule="auto"/>
      <w:ind w:left="948" w:hanging="240"/>
    </w:pPr>
    <w:rPr>
      <w:rFonts w:asciiTheme="minorHAnsi" w:eastAsiaTheme="minorEastAsia" w:hAnsiTheme="minorHAnsi" w:cstheme="minorBidi"/>
      <w:lang w:val="es-ES_tradnl" w:eastAsia="es-ES"/>
    </w:r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lang w:val="es-ES" w:eastAsia="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eastAsiaTheme="minorHAnsi"/>
      <w:lang w:val="es-ES_tradnl"/>
    </w:rPr>
  </w:style>
  <w:style w:type="character" w:customStyle="1" w:styleId="apple-style-span">
    <w:name w:val="apple-style-span"/>
    <w:rsid w:val="00847830"/>
  </w:style>
  <w:style w:type="table" w:customStyle="1" w:styleId="Tablaconcuadrcula1clara1">
    <w:name w:val="Tabla con cuadrícula 1 clara1"/>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4-nfasis11">
    <w:name w:val="Tabla con cuadrícula 4 - Énfasis 1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rPr>
      <w:rFonts w:asciiTheme="minorHAnsi" w:eastAsiaTheme="minorEastAsia" w:hAnsiTheme="minorHAnsi" w:cstheme="minorBidi"/>
      <w:lang w:val="es-ES_tradnl" w:eastAsia="es-ES"/>
    </w:r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6"/>
      </w:numPr>
    </w:pPr>
  </w:style>
  <w:style w:type="paragraph" w:customStyle="1" w:styleId="FootnoteTextCharCharChar1">
    <w:name w:val="Footnote Text Char Char Char1"/>
    <w:basedOn w:val="Normal"/>
    <w:next w:val="Textonotapie"/>
    <w:unhideWhenUsed/>
    <w:rsid w:val="00D6518B"/>
    <w:rPr>
      <w:rFonts w:asciiTheme="minorHAnsi" w:eastAsia="Cambria" w:hAnsiTheme="minorHAnsi" w:cstheme="minorBidi"/>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asciiTheme="minorHAnsi" w:eastAsia="Cambria" w:hAnsiTheme="minorHAnsi" w:cstheme="minorBidi"/>
      <w:sz w:val="20"/>
      <w:szCs w:val="20"/>
      <w:lang w:val="es-MX" w:eastAsia="en-US"/>
    </w:rPr>
  </w:style>
  <w:style w:type="character" w:styleId="Hipervnculovisitado">
    <w:name w:val="FollowedHyperlink"/>
    <w:basedOn w:val="Fuentedeprrafopredeter"/>
    <w:uiPriority w:val="99"/>
    <w:semiHidden/>
    <w:unhideWhenUsed/>
    <w:rsid w:val="00D02CD1"/>
    <w:rPr>
      <w:color w:val="800080" w:themeColor="followedHyperlink"/>
      <w:u w:val="single"/>
    </w:rPr>
  </w:style>
  <w:style w:type="character" w:customStyle="1" w:styleId="Mencinsinresolver1">
    <w:name w:val="Mención sin resolver1"/>
    <w:basedOn w:val="Fuentedeprrafopredeter"/>
    <w:uiPriority w:val="99"/>
    <w:semiHidden/>
    <w:unhideWhenUsed/>
    <w:rsid w:val="00D02C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79588">
      <w:bodyDiv w:val="1"/>
      <w:marLeft w:val="0"/>
      <w:marRight w:val="0"/>
      <w:marTop w:val="0"/>
      <w:marBottom w:val="0"/>
      <w:divBdr>
        <w:top w:val="none" w:sz="0" w:space="0" w:color="auto"/>
        <w:left w:val="none" w:sz="0" w:space="0" w:color="auto"/>
        <w:bottom w:val="none" w:sz="0" w:space="0" w:color="auto"/>
        <w:right w:val="none" w:sz="0" w:space="0" w:color="auto"/>
      </w:divBdr>
    </w:div>
    <w:div w:id="58092982">
      <w:bodyDiv w:val="1"/>
      <w:marLeft w:val="0"/>
      <w:marRight w:val="0"/>
      <w:marTop w:val="0"/>
      <w:marBottom w:val="0"/>
      <w:divBdr>
        <w:top w:val="none" w:sz="0" w:space="0" w:color="auto"/>
        <w:left w:val="none" w:sz="0" w:space="0" w:color="auto"/>
        <w:bottom w:val="none" w:sz="0" w:space="0" w:color="auto"/>
        <w:right w:val="none" w:sz="0" w:space="0" w:color="auto"/>
      </w:divBdr>
    </w:div>
    <w:div w:id="94981965">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29578710">
      <w:bodyDiv w:val="1"/>
      <w:marLeft w:val="0"/>
      <w:marRight w:val="0"/>
      <w:marTop w:val="0"/>
      <w:marBottom w:val="0"/>
      <w:divBdr>
        <w:top w:val="none" w:sz="0" w:space="0" w:color="auto"/>
        <w:left w:val="none" w:sz="0" w:space="0" w:color="auto"/>
        <w:bottom w:val="none" w:sz="0" w:space="0" w:color="auto"/>
        <w:right w:val="none" w:sz="0" w:space="0" w:color="auto"/>
      </w:divBdr>
    </w:div>
    <w:div w:id="248734167">
      <w:bodyDiv w:val="1"/>
      <w:marLeft w:val="0"/>
      <w:marRight w:val="0"/>
      <w:marTop w:val="0"/>
      <w:marBottom w:val="0"/>
      <w:divBdr>
        <w:top w:val="none" w:sz="0" w:space="0" w:color="auto"/>
        <w:left w:val="none" w:sz="0" w:space="0" w:color="auto"/>
        <w:bottom w:val="none" w:sz="0" w:space="0" w:color="auto"/>
        <w:right w:val="none" w:sz="0" w:space="0" w:color="auto"/>
      </w:divBdr>
    </w:div>
    <w:div w:id="349574698">
      <w:bodyDiv w:val="1"/>
      <w:marLeft w:val="0"/>
      <w:marRight w:val="0"/>
      <w:marTop w:val="0"/>
      <w:marBottom w:val="0"/>
      <w:divBdr>
        <w:top w:val="none" w:sz="0" w:space="0" w:color="auto"/>
        <w:left w:val="none" w:sz="0" w:space="0" w:color="auto"/>
        <w:bottom w:val="none" w:sz="0" w:space="0" w:color="auto"/>
        <w:right w:val="none" w:sz="0" w:space="0" w:color="auto"/>
      </w:divBdr>
    </w:div>
    <w:div w:id="463810161">
      <w:bodyDiv w:val="1"/>
      <w:marLeft w:val="0"/>
      <w:marRight w:val="0"/>
      <w:marTop w:val="0"/>
      <w:marBottom w:val="0"/>
      <w:divBdr>
        <w:top w:val="none" w:sz="0" w:space="0" w:color="auto"/>
        <w:left w:val="none" w:sz="0" w:space="0" w:color="auto"/>
        <w:bottom w:val="none" w:sz="0" w:space="0" w:color="auto"/>
        <w:right w:val="none" w:sz="0" w:space="0" w:color="auto"/>
      </w:divBdr>
    </w:div>
    <w:div w:id="467747083">
      <w:bodyDiv w:val="1"/>
      <w:marLeft w:val="0"/>
      <w:marRight w:val="0"/>
      <w:marTop w:val="0"/>
      <w:marBottom w:val="0"/>
      <w:divBdr>
        <w:top w:val="none" w:sz="0" w:space="0" w:color="auto"/>
        <w:left w:val="none" w:sz="0" w:space="0" w:color="auto"/>
        <w:bottom w:val="none" w:sz="0" w:space="0" w:color="auto"/>
        <w:right w:val="none" w:sz="0" w:space="0" w:color="auto"/>
      </w:divBdr>
    </w:div>
    <w:div w:id="49028947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6703640">
      <w:bodyDiv w:val="1"/>
      <w:marLeft w:val="0"/>
      <w:marRight w:val="0"/>
      <w:marTop w:val="0"/>
      <w:marBottom w:val="0"/>
      <w:divBdr>
        <w:top w:val="none" w:sz="0" w:space="0" w:color="auto"/>
        <w:left w:val="none" w:sz="0" w:space="0" w:color="auto"/>
        <w:bottom w:val="none" w:sz="0" w:space="0" w:color="auto"/>
        <w:right w:val="none" w:sz="0" w:space="0" w:color="auto"/>
      </w:divBdr>
    </w:div>
    <w:div w:id="559708724">
      <w:bodyDiv w:val="1"/>
      <w:marLeft w:val="0"/>
      <w:marRight w:val="0"/>
      <w:marTop w:val="0"/>
      <w:marBottom w:val="0"/>
      <w:divBdr>
        <w:top w:val="none" w:sz="0" w:space="0" w:color="auto"/>
        <w:left w:val="none" w:sz="0" w:space="0" w:color="auto"/>
        <w:bottom w:val="none" w:sz="0" w:space="0" w:color="auto"/>
        <w:right w:val="none" w:sz="0" w:space="0" w:color="auto"/>
      </w:divBdr>
    </w:div>
    <w:div w:id="561134802">
      <w:bodyDiv w:val="1"/>
      <w:marLeft w:val="0"/>
      <w:marRight w:val="0"/>
      <w:marTop w:val="0"/>
      <w:marBottom w:val="0"/>
      <w:divBdr>
        <w:top w:val="none" w:sz="0" w:space="0" w:color="auto"/>
        <w:left w:val="none" w:sz="0" w:space="0" w:color="auto"/>
        <w:bottom w:val="none" w:sz="0" w:space="0" w:color="auto"/>
        <w:right w:val="none" w:sz="0" w:space="0" w:color="auto"/>
      </w:divBdr>
    </w:div>
    <w:div w:id="584342172">
      <w:bodyDiv w:val="1"/>
      <w:marLeft w:val="0"/>
      <w:marRight w:val="0"/>
      <w:marTop w:val="0"/>
      <w:marBottom w:val="0"/>
      <w:divBdr>
        <w:top w:val="none" w:sz="0" w:space="0" w:color="auto"/>
        <w:left w:val="none" w:sz="0" w:space="0" w:color="auto"/>
        <w:bottom w:val="none" w:sz="0" w:space="0" w:color="auto"/>
        <w:right w:val="none" w:sz="0" w:space="0" w:color="auto"/>
      </w:divBdr>
    </w:div>
    <w:div w:id="693267336">
      <w:bodyDiv w:val="1"/>
      <w:marLeft w:val="0"/>
      <w:marRight w:val="0"/>
      <w:marTop w:val="0"/>
      <w:marBottom w:val="0"/>
      <w:divBdr>
        <w:top w:val="none" w:sz="0" w:space="0" w:color="auto"/>
        <w:left w:val="none" w:sz="0" w:space="0" w:color="auto"/>
        <w:bottom w:val="none" w:sz="0" w:space="0" w:color="auto"/>
        <w:right w:val="none" w:sz="0" w:space="0" w:color="auto"/>
      </w:divBdr>
    </w:div>
    <w:div w:id="712196519">
      <w:bodyDiv w:val="1"/>
      <w:marLeft w:val="0"/>
      <w:marRight w:val="0"/>
      <w:marTop w:val="0"/>
      <w:marBottom w:val="0"/>
      <w:divBdr>
        <w:top w:val="none" w:sz="0" w:space="0" w:color="auto"/>
        <w:left w:val="none" w:sz="0" w:space="0" w:color="auto"/>
        <w:bottom w:val="none" w:sz="0" w:space="0" w:color="auto"/>
        <w:right w:val="none" w:sz="0" w:space="0" w:color="auto"/>
      </w:divBdr>
    </w:div>
    <w:div w:id="727606231">
      <w:bodyDiv w:val="1"/>
      <w:marLeft w:val="0"/>
      <w:marRight w:val="0"/>
      <w:marTop w:val="0"/>
      <w:marBottom w:val="0"/>
      <w:divBdr>
        <w:top w:val="none" w:sz="0" w:space="0" w:color="auto"/>
        <w:left w:val="none" w:sz="0" w:space="0" w:color="auto"/>
        <w:bottom w:val="none" w:sz="0" w:space="0" w:color="auto"/>
        <w:right w:val="none" w:sz="0" w:space="0" w:color="auto"/>
      </w:divBdr>
    </w:div>
    <w:div w:id="746807247">
      <w:bodyDiv w:val="1"/>
      <w:marLeft w:val="0"/>
      <w:marRight w:val="0"/>
      <w:marTop w:val="0"/>
      <w:marBottom w:val="0"/>
      <w:divBdr>
        <w:top w:val="none" w:sz="0" w:space="0" w:color="auto"/>
        <w:left w:val="none" w:sz="0" w:space="0" w:color="auto"/>
        <w:bottom w:val="none" w:sz="0" w:space="0" w:color="auto"/>
        <w:right w:val="none" w:sz="0" w:space="0" w:color="auto"/>
      </w:divBdr>
    </w:div>
    <w:div w:id="759913845">
      <w:bodyDiv w:val="1"/>
      <w:marLeft w:val="0"/>
      <w:marRight w:val="0"/>
      <w:marTop w:val="0"/>
      <w:marBottom w:val="0"/>
      <w:divBdr>
        <w:top w:val="none" w:sz="0" w:space="0" w:color="auto"/>
        <w:left w:val="none" w:sz="0" w:space="0" w:color="auto"/>
        <w:bottom w:val="none" w:sz="0" w:space="0" w:color="auto"/>
        <w:right w:val="none" w:sz="0" w:space="0" w:color="auto"/>
      </w:divBdr>
    </w:div>
    <w:div w:id="810170628">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2789582">
      <w:bodyDiv w:val="1"/>
      <w:marLeft w:val="0"/>
      <w:marRight w:val="0"/>
      <w:marTop w:val="0"/>
      <w:marBottom w:val="0"/>
      <w:divBdr>
        <w:top w:val="none" w:sz="0" w:space="0" w:color="auto"/>
        <w:left w:val="none" w:sz="0" w:space="0" w:color="auto"/>
        <w:bottom w:val="none" w:sz="0" w:space="0" w:color="auto"/>
        <w:right w:val="none" w:sz="0" w:space="0" w:color="auto"/>
      </w:divBdr>
    </w:div>
    <w:div w:id="892035962">
      <w:bodyDiv w:val="1"/>
      <w:marLeft w:val="0"/>
      <w:marRight w:val="0"/>
      <w:marTop w:val="0"/>
      <w:marBottom w:val="0"/>
      <w:divBdr>
        <w:top w:val="none" w:sz="0" w:space="0" w:color="auto"/>
        <w:left w:val="none" w:sz="0" w:space="0" w:color="auto"/>
        <w:bottom w:val="none" w:sz="0" w:space="0" w:color="auto"/>
        <w:right w:val="none" w:sz="0" w:space="0" w:color="auto"/>
      </w:divBdr>
    </w:div>
    <w:div w:id="900868976">
      <w:bodyDiv w:val="1"/>
      <w:marLeft w:val="0"/>
      <w:marRight w:val="0"/>
      <w:marTop w:val="0"/>
      <w:marBottom w:val="0"/>
      <w:divBdr>
        <w:top w:val="none" w:sz="0" w:space="0" w:color="auto"/>
        <w:left w:val="none" w:sz="0" w:space="0" w:color="auto"/>
        <w:bottom w:val="none" w:sz="0" w:space="0" w:color="auto"/>
        <w:right w:val="none" w:sz="0" w:space="0" w:color="auto"/>
      </w:divBdr>
    </w:div>
    <w:div w:id="911622402">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037582567">
      <w:bodyDiv w:val="1"/>
      <w:marLeft w:val="0"/>
      <w:marRight w:val="0"/>
      <w:marTop w:val="0"/>
      <w:marBottom w:val="0"/>
      <w:divBdr>
        <w:top w:val="none" w:sz="0" w:space="0" w:color="auto"/>
        <w:left w:val="none" w:sz="0" w:space="0" w:color="auto"/>
        <w:bottom w:val="none" w:sz="0" w:space="0" w:color="auto"/>
        <w:right w:val="none" w:sz="0" w:space="0" w:color="auto"/>
      </w:divBdr>
    </w:div>
    <w:div w:id="1071196504">
      <w:bodyDiv w:val="1"/>
      <w:marLeft w:val="0"/>
      <w:marRight w:val="0"/>
      <w:marTop w:val="0"/>
      <w:marBottom w:val="0"/>
      <w:divBdr>
        <w:top w:val="none" w:sz="0" w:space="0" w:color="auto"/>
        <w:left w:val="none" w:sz="0" w:space="0" w:color="auto"/>
        <w:bottom w:val="none" w:sz="0" w:space="0" w:color="auto"/>
        <w:right w:val="none" w:sz="0" w:space="0" w:color="auto"/>
      </w:divBdr>
    </w:div>
    <w:div w:id="1073040504">
      <w:bodyDiv w:val="1"/>
      <w:marLeft w:val="0"/>
      <w:marRight w:val="0"/>
      <w:marTop w:val="0"/>
      <w:marBottom w:val="0"/>
      <w:divBdr>
        <w:top w:val="none" w:sz="0" w:space="0" w:color="auto"/>
        <w:left w:val="none" w:sz="0" w:space="0" w:color="auto"/>
        <w:bottom w:val="none" w:sz="0" w:space="0" w:color="auto"/>
        <w:right w:val="none" w:sz="0" w:space="0" w:color="auto"/>
      </w:divBdr>
    </w:div>
    <w:div w:id="1083792492">
      <w:bodyDiv w:val="1"/>
      <w:marLeft w:val="0"/>
      <w:marRight w:val="0"/>
      <w:marTop w:val="0"/>
      <w:marBottom w:val="0"/>
      <w:divBdr>
        <w:top w:val="none" w:sz="0" w:space="0" w:color="auto"/>
        <w:left w:val="none" w:sz="0" w:space="0" w:color="auto"/>
        <w:bottom w:val="none" w:sz="0" w:space="0" w:color="auto"/>
        <w:right w:val="none" w:sz="0" w:space="0" w:color="auto"/>
      </w:divBdr>
    </w:div>
    <w:div w:id="1155027336">
      <w:bodyDiv w:val="1"/>
      <w:marLeft w:val="0"/>
      <w:marRight w:val="0"/>
      <w:marTop w:val="0"/>
      <w:marBottom w:val="0"/>
      <w:divBdr>
        <w:top w:val="none" w:sz="0" w:space="0" w:color="auto"/>
        <w:left w:val="none" w:sz="0" w:space="0" w:color="auto"/>
        <w:bottom w:val="none" w:sz="0" w:space="0" w:color="auto"/>
        <w:right w:val="none" w:sz="0" w:space="0" w:color="auto"/>
      </w:divBdr>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217550754">
      <w:bodyDiv w:val="1"/>
      <w:marLeft w:val="0"/>
      <w:marRight w:val="0"/>
      <w:marTop w:val="0"/>
      <w:marBottom w:val="0"/>
      <w:divBdr>
        <w:top w:val="none" w:sz="0" w:space="0" w:color="auto"/>
        <w:left w:val="none" w:sz="0" w:space="0" w:color="auto"/>
        <w:bottom w:val="none" w:sz="0" w:space="0" w:color="auto"/>
        <w:right w:val="none" w:sz="0" w:space="0" w:color="auto"/>
      </w:divBdr>
    </w:div>
    <w:div w:id="1252474564">
      <w:bodyDiv w:val="1"/>
      <w:marLeft w:val="0"/>
      <w:marRight w:val="0"/>
      <w:marTop w:val="0"/>
      <w:marBottom w:val="0"/>
      <w:divBdr>
        <w:top w:val="none" w:sz="0" w:space="0" w:color="auto"/>
        <w:left w:val="none" w:sz="0" w:space="0" w:color="auto"/>
        <w:bottom w:val="none" w:sz="0" w:space="0" w:color="auto"/>
        <w:right w:val="none" w:sz="0" w:space="0" w:color="auto"/>
      </w:divBdr>
    </w:div>
    <w:div w:id="1309742750">
      <w:bodyDiv w:val="1"/>
      <w:marLeft w:val="0"/>
      <w:marRight w:val="0"/>
      <w:marTop w:val="0"/>
      <w:marBottom w:val="0"/>
      <w:divBdr>
        <w:top w:val="none" w:sz="0" w:space="0" w:color="auto"/>
        <w:left w:val="none" w:sz="0" w:space="0" w:color="auto"/>
        <w:bottom w:val="none" w:sz="0" w:space="0" w:color="auto"/>
        <w:right w:val="none" w:sz="0" w:space="0" w:color="auto"/>
      </w:divBdr>
    </w:div>
    <w:div w:id="1310090598">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50912144">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44155623">
      <w:bodyDiv w:val="1"/>
      <w:marLeft w:val="0"/>
      <w:marRight w:val="0"/>
      <w:marTop w:val="0"/>
      <w:marBottom w:val="0"/>
      <w:divBdr>
        <w:top w:val="none" w:sz="0" w:space="0" w:color="auto"/>
        <w:left w:val="none" w:sz="0" w:space="0" w:color="auto"/>
        <w:bottom w:val="none" w:sz="0" w:space="0" w:color="auto"/>
        <w:right w:val="none" w:sz="0" w:space="0" w:color="auto"/>
      </w:divBdr>
    </w:div>
    <w:div w:id="1472213599">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588689171">
      <w:bodyDiv w:val="1"/>
      <w:marLeft w:val="0"/>
      <w:marRight w:val="0"/>
      <w:marTop w:val="0"/>
      <w:marBottom w:val="0"/>
      <w:divBdr>
        <w:top w:val="none" w:sz="0" w:space="0" w:color="auto"/>
        <w:left w:val="none" w:sz="0" w:space="0" w:color="auto"/>
        <w:bottom w:val="none" w:sz="0" w:space="0" w:color="auto"/>
        <w:right w:val="none" w:sz="0" w:space="0" w:color="auto"/>
      </w:divBdr>
    </w:div>
    <w:div w:id="161174568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1399356">
      <w:bodyDiv w:val="1"/>
      <w:marLeft w:val="0"/>
      <w:marRight w:val="0"/>
      <w:marTop w:val="0"/>
      <w:marBottom w:val="0"/>
      <w:divBdr>
        <w:top w:val="none" w:sz="0" w:space="0" w:color="auto"/>
        <w:left w:val="none" w:sz="0" w:space="0" w:color="auto"/>
        <w:bottom w:val="none" w:sz="0" w:space="0" w:color="auto"/>
        <w:right w:val="none" w:sz="0" w:space="0" w:color="auto"/>
      </w:divBdr>
    </w:div>
    <w:div w:id="1683238313">
      <w:bodyDiv w:val="1"/>
      <w:marLeft w:val="0"/>
      <w:marRight w:val="0"/>
      <w:marTop w:val="0"/>
      <w:marBottom w:val="0"/>
      <w:divBdr>
        <w:top w:val="none" w:sz="0" w:space="0" w:color="auto"/>
        <w:left w:val="none" w:sz="0" w:space="0" w:color="auto"/>
        <w:bottom w:val="none" w:sz="0" w:space="0" w:color="auto"/>
        <w:right w:val="none" w:sz="0" w:space="0" w:color="auto"/>
      </w:divBdr>
    </w:div>
    <w:div w:id="1723482536">
      <w:bodyDiv w:val="1"/>
      <w:marLeft w:val="0"/>
      <w:marRight w:val="0"/>
      <w:marTop w:val="0"/>
      <w:marBottom w:val="0"/>
      <w:divBdr>
        <w:top w:val="none" w:sz="0" w:space="0" w:color="auto"/>
        <w:left w:val="none" w:sz="0" w:space="0" w:color="auto"/>
        <w:bottom w:val="none" w:sz="0" w:space="0" w:color="auto"/>
        <w:right w:val="none" w:sz="0" w:space="0" w:color="auto"/>
      </w:divBdr>
      <w:divsChild>
        <w:div w:id="1819616865">
          <w:marLeft w:val="0"/>
          <w:marRight w:val="0"/>
          <w:marTop w:val="0"/>
          <w:marBottom w:val="0"/>
          <w:divBdr>
            <w:top w:val="none" w:sz="0" w:space="0" w:color="auto"/>
            <w:left w:val="none" w:sz="0" w:space="0" w:color="auto"/>
            <w:bottom w:val="none" w:sz="0" w:space="0" w:color="auto"/>
            <w:right w:val="none" w:sz="0" w:space="0" w:color="auto"/>
          </w:divBdr>
        </w:div>
      </w:divsChild>
    </w:div>
    <w:div w:id="1785267455">
      <w:bodyDiv w:val="1"/>
      <w:marLeft w:val="0"/>
      <w:marRight w:val="0"/>
      <w:marTop w:val="0"/>
      <w:marBottom w:val="0"/>
      <w:divBdr>
        <w:top w:val="none" w:sz="0" w:space="0" w:color="auto"/>
        <w:left w:val="none" w:sz="0" w:space="0" w:color="auto"/>
        <w:bottom w:val="none" w:sz="0" w:space="0" w:color="auto"/>
        <w:right w:val="none" w:sz="0" w:space="0" w:color="auto"/>
      </w:divBdr>
    </w:div>
    <w:div w:id="1827624197">
      <w:bodyDiv w:val="1"/>
      <w:marLeft w:val="0"/>
      <w:marRight w:val="0"/>
      <w:marTop w:val="0"/>
      <w:marBottom w:val="0"/>
      <w:divBdr>
        <w:top w:val="none" w:sz="0" w:space="0" w:color="auto"/>
        <w:left w:val="none" w:sz="0" w:space="0" w:color="auto"/>
        <w:bottom w:val="none" w:sz="0" w:space="0" w:color="auto"/>
        <w:right w:val="none" w:sz="0" w:space="0" w:color="auto"/>
      </w:divBdr>
    </w:div>
    <w:div w:id="1829788393">
      <w:bodyDiv w:val="1"/>
      <w:marLeft w:val="0"/>
      <w:marRight w:val="0"/>
      <w:marTop w:val="0"/>
      <w:marBottom w:val="0"/>
      <w:divBdr>
        <w:top w:val="none" w:sz="0" w:space="0" w:color="auto"/>
        <w:left w:val="none" w:sz="0" w:space="0" w:color="auto"/>
        <w:bottom w:val="none" w:sz="0" w:space="0" w:color="auto"/>
        <w:right w:val="none" w:sz="0" w:space="0" w:color="auto"/>
      </w:divBdr>
    </w:div>
    <w:div w:id="1861040780">
      <w:bodyDiv w:val="1"/>
      <w:marLeft w:val="0"/>
      <w:marRight w:val="0"/>
      <w:marTop w:val="0"/>
      <w:marBottom w:val="0"/>
      <w:divBdr>
        <w:top w:val="none" w:sz="0" w:space="0" w:color="auto"/>
        <w:left w:val="none" w:sz="0" w:space="0" w:color="auto"/>
        <w:bottom w:val="none" w:sz="0" w:space="0" w:color="auto"/>
        <w:right w:val="none" w:sz="0" w:space="0" w:color="auto"/>
      </w:divBdr>
    </w:div>
    <w:div w:id="1864393297">
      <w:bodyDiv w:val="1"/>
      <w:marLeft w:val="0"/>
      <w:marRight w:val="0"/>
      <w:marTop w:val="0"/>
      <w:marBottom w:val="0"/>
      <w:divBdr>
        <w:top w:val="none" w:sz="0" w:space="0" w:color="auto"/>
        <w:left w:val="none" w:sz="0" w:space="0" w:color="auto"/>
        <w:bottom w:val="none" w:sz="0" w:space="0" w:color="auto"/>
        <w:right w:val="none" w:sz="0" w:space="0" w:color="auto"/>
      </w:divBdr>
    </w:div>
    <w:div w:id="1892499988">
      <w:bodyDiv w:val="1"/>
      <w:marLeft w:val="0"/>
      <w:marRight w:val="0"/>
      <w:marTop w:val="0"/>
      <w:marBottom w:val="0"/>
      <w:divBdr>
        <w:top w:val="none" w:sz="0" w:space="0" w:color="auto"/>
        <w:left w:val="none" w:sz="0" w:space="0" w:color="auto"/>
        <w:bottom w:val="none" w:sz="0" w:space="0" w:color="auto"/>
        <w:right w:val="none" w:sz="0" w:space="0" w:color="auto"/>
      </w:divBdr>
    </w:div>
    <w:div w:id="1927954726">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2005890363">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 w:id="2055228282">
      <w:bodyDiv w:val="1"/>
      <w:marLeft w:val="0"/>
      <w:marRight w:val="0"/>
      <w:marTop w:val="0"/>
      <w:marBottom w:val="0"/>
      <w:divBdr>
        <w:top w:val="none" w:sz="0" w:space="0" w:color="auto"/>
        <w:left w:val="none" w:sz="0" w:space="0" w:color="auto"/>
        <w:bottom w:val="none" w:sz="0" w:space="0" w:color="auto"/>
        <w:right w:val="none" w:sz="0" w:space="0" w:color="auto"/>
      </w:divBdr>
    </w:div>
    <w:div w:id="2142067915">
      <w:bodyDiv w:val="1"/>
      <w:marLeft w:val="0"/>
      <w:marRight w:val="0"/>
      <w:marTop w:val="0"/>
      <w:marBottom w:val="0"/>
      <w:divBdr>
        <w:top w:val="none" w:sz="0" w:space="0" w:color="auto"/>
        <w:left w:val="none" w:sz="0" w:space="0" w:color="auto"/>
        <w:bottom w:val="none" w:sz="0" w:space="0" w:color="auto"/>
        <w:right w:val="none" w:sz="0" w:space="0" w:color="auto"/>
      </w:divBdr>
    </w:div>
    <w:div w:id="21447350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legislacion.edomex.gob.mx/sites/legislacion.edomex.gob.mx/files/files/pdf/gct/2019/mar211.pdf" TargetMode="External"/><Relationship Id="rId3" Type="http://schemas.openxmlformats.org/officeDocument/2006/relationships/hyperlink" Target="http://legislacion.edomex.gob.mx/sites/legislacion.edomex.gob.mx/files/files/pdf/gct/2016/sep271.PDF" TargetMode="External"/><Relationship Id="rId7" Type="http://schemas.openxmlformats.org/officeDocument/2006/relationships/hyperlink" Target="http://legislacion.edomex.gob.mx/sites/legislacion.edomex.gob.mx/files/files/pdf/gct/2019/oct231.pdf" TargetMode="External"/><Relationship Id="rId2" Type="http://schemas.openxmlformats.org/officeDocument/2006/relationships/hyperlink" Target="http://legislacion.edomex.gob.mx/sites/legislacion.edomex.gob.mx/files/files/pdf/gct/2015/ene071.PDF" TargetMode="External"/><Relationship Id="rId1" Type="http://schemas.openxmlformats.org/officeDocument/2006/relationships/hyperlink" Target="http://seduym.edomex.gob.mx/conjuntos_urbanos" TargetMode="External"/><Relationship Id="rId6" Type="http://schemas.openxmlformats.org/officeDocument/2006/relationships/hyperlink" Target="http://legislacion.edomex.gob.mx/sites/legislacion.edomex.gob.mx/files/files/pdf/gct/2019/ene101.pdf" TargetMode="External"/><Relationship Id="rId11" Type="http://schemas.openxmlformats.org/officeDocument/2006/relationships/hyperlink" Target="http://legislacion.edomex.gob.mx/sites/legislacion.edomex.gob.mx/files/files/pdf/gct/2021/feb091.pdf" TargetMode="External"/><Relationship Id="rId5" Type="http://schemas.openxmlformats.org/officeDocument/2006/relationships/hyperlink" Target="http://legislacion.edomex.gob.mx/sites/legislacion.edomex.gob.mx/files/files/pdf/gct/2018/sep112.pdf" TargetMode="External"/><Relationship Id="rId10" Type="http://schemas.openxmlformats.org/officeDocument/2006/relationships/hyperlink" Target="http://legislacion.edomex.gob.mx/sites/legislacion.edomex.gob.mx/files/files/pdf/gct/2020/mar251.pdf" TargetMode="External"/><Relationship Id="rId4" Type="http://schemas.openxmlformats.org/officeDocument/2006/relationships/hyperlink" Target="http://legislacion.edomex.gob.mx/sites/legislacion.edomex.gob.mx/files/files/pdf/gct/2018/may241.pdf" TargetMode="External"/><Relationship Id="rId9" Type="http://schemas.openxmlformats.org/officeDocument/2006/relationships/hyperlink" Target="http://legislacion.edomex.gob.mx/sites/legislacion.edomex.gob.mx/files/files/pdf/gct/2019/dic12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D1609-945B-4F64-AFA3-D6F259CD3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72</Pages>
  <Words>16381</Words>
  <Characters>90101</Characters>
  <Application>Microsoft Office Word</Application>
  <DocSecurity>0</DocSecurity>
  <Lines>750</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C.P. Verónica Mtz</cp:lastModifiedBy>
  <cp:revision>32</cp:revision>
  <cp:lastPrinted>2019-01-16T02:59:00Z</cp:lastPrinted>
  <dcterms:created xsi:type="dcterms:W3CDTF">2021-02-24T04:34:00Z</dcterms:created>
  <dcterms:modified xsi:type="dcterms:W3CDTF">2021-04-14T17:23:00Z</dcterms:modified>
</cp:coreProperties>
</file>