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A95E4" w14:textId="30B2E401" w:rsidR="006549E5" w:rsidRPr="00C35F18" w:rsidRDefault="006549E5" w:rsidP="006549E5">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 xml:space="preserve">a </w:t>
      </w:r>
      <w:r w:rsidR="005F08C6">
        <w:rPr>
          <w:rFonts w:ascii="Palatino Linotype" w:hAnsi="Palatino Linotype"/>
          <w:sz w:val="24"/>
          <w:szCs w:val="24"/>
          <w:lang w:eastAsia="es-MX"/>
        </w:rPr>
        <w:t>once</w:t>
      </w:r>
      <w:r w:rsidR="00DB4E73">
        <w:rPr>
          <w:rFonts w:ascii="Palatino Linotype" w:hAnsi="Palatino Linotype"/>
          <w:sz w:val="24"/>
          <w:szCs w:val="24"/>
          <w:lang w:eastAsia="es-MX"/>
        </w:rPr>
        <w:t xml:space="preserve"> de agosto</w:t>
      </w:r>
      <w:r>
        <w:rPr>
          <w:rFonts w:ascii="Palatino Linotype" w:hAnsi="Palatino Linotype"/>
          <w:sz w:val="24"/>
          <w:szCs w:val="24"/>
          <w:lang w:eastAsia="es-MX"/>
        </w:rPr>
        <w:t xml:space="preserv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veintiuno</w:t>
      </w:r>
      <w:r w:rsidRPr="00C35F18">
        <w:rPr>
          <w:rFonts w:ascii="Palatino Linotype" w:hAnsi="Palatino Linotype"/>
          <w:sz w:val="24"/>
          <w:szCs w:val="24"/>
          <w:lang w:eastAsia="es-MX"/>
        </w:rPr>
        <w:t>.</w:t>
      </w:r>
    </w:p>
    <w:p w14:paraId="06252B38" w14:textId="77777777" w:rsidR="006549E5" w:rsidRPr="00C35F18" w:rsidRDefault="006549E5" w:rsidP="006549E5">
      <w:pPr>
        <w:pStyle w:val="Sinespaciado"/>
        <w:spacing w:line="360" w:lineRule="auto"/>
        <w:jc w:val="both"/>
        <w:rPr>
          <w:rFonts w:ascii="Palatino Linotype" w:hAnsi="Palatino Linotype"/>
          <w:sz w:val="24"/>
          <w:szCs w:val="24"/>
          <w:lang w:eastAsia="es-MX"/>
        </w:rPr>
      </w:pPr>
      <w:bookmarkStart w:id="0" w:name="_GoBack"/>
      <w:bookmarkEnd w:id="0"/>
    </w:p>
    <w:p w14:paraId="5AF7A4AF" w14:textId="7120AB49" w:rsidR="006549E5" w:rsidRPr="00C35F18" w:rsidRDefault="006549E5" w:rsidP="006549E5">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DB4E73" w:rsidRPr="00DB4E73">
        <w:rPr>
          <w:rFonts w:ascii="Palatino Linotype" w:hAnsi="Palatino Linotype"/>
          <w:b/>
          <w:sz w:val="24"/>
          <w:szCs w:val="24"/>
        </w:rPr>
        <w:t>02160/INFOEM/IP/RR/2021</w:t>
      </w:r>
      <w:r>
        <w:rPr>
          <w:rFonts w:ascii="Palatino Linotype" w:hAnsi="Palatino Linotype"/>
          <w:sz w:val="24"/>
          <w:szCs w:val="24"/>
        </w:rPr>
        <w:t xml:space="preserve">, interpuesto por </w:t>
      </w:r>
      <w:proofErr w:type="spellStart"/>
      <w:r w:rsidR="00C85653">
        <w:rPr>
          <w:rFonts w:ascii="Palatino Linotype" w:hAnsi="Palatino Linotype"/>
          <w:b/>
          <w:bCs/>
          <w:sz w:val="24"/>
          <w:szCs w:val="24"/>
        </w:rPr>
        <w:t>xxxxxxxxxxxxxxxx</w:t>
      </w:r>
      <w:proofErr w:type="spellEnd"/>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bCs/>
          <w:sz w:val="24"/>
          <w:szCs w:val="24"/>
        </w:rPr>
        <w:t>el R</w:t>
      </w:r>
      <w:r w:rsidRPr="00C35F18">
        <w:rPr>
          <w:rFonts w:ascii="Palatino Linotype" w:hAnsi="Palatino Linotype"/>
          <w:b/>
          <w:sz w:val="24"/>
          <w:szCs w:val="24"/>
        </w:rPr>
        <w:t>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sidR="00DB4E73" w:rsidRPr="00DB4E73">
        <w:rPr>
          <w:rFonts w:ascii="Palatino Linotype" w:hAnsi="Palatino Linotype" w:cs="Arial"/>
          <w:b/>
          <w:szCs w:val="20"/>
        </w:rPr>
        <w:t>Ayuntamiento de Teotihuacán</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6975C741" w14:textId="77777777" w:rsidR="006549E5" w:rsidRDefault="006549E5" w:rsidP="006549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666A0837" w14:textId="77777777" w:rsidR="006549E5" w:rsidRPr="00C35F18" w:rsidRDefault="006549E5" w:rsidP="006549E5">
      <w:pPr>
        <w:pStyle w:val="Sinespaciado"/>
        <w:spacing w:line="360" w:lineRule="auto"/>
        <w:jc w:val="both"/>
        <w:rPr>
          <w:rFonts w:ascii="Palatino Linotype" w:hAnsi="Palatino Linotype"/>
          <w:sz w:val="24"/>
          <w:szCs w:val="24"/>
        </w:rPr>
      </w:pPr>
    </w:p>
    <w:p w14:paraId="0CCA0CA3" w14:textId="77777777" w:rsidR="006549E5" w:rsidRPr="00DD5971" w:rsidRDefault="006549E5" w:rsidP="006549E5">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3E5376D9" w14:textId="77777777" w:rsidR="006549E5" w:rsidRDefault="006549E5" w:rsidP="006549E5">
      <w:pPr>
        <w:pStyle w:val="Sinespaciado"/>
        <w:spacing w:line="360" w:lineRule="auto"/>
        <w:jc w:val="both"/>
        <w:rPr>
          <w:rFonts w:ascii="Palatino Linotype" w:hAnsi="Palatino Linotype"/>
          <w:b/>
          <w:sz w:val="24"/>
          <w:szCs w:val="24"/>
        </w:rPr>
      </w:pPr>
    </w:p>
    <w:p w14:paraId="23032E10" w14:textId="77777777" w:rsidR="006549E5" w:rsidRPr="00DD5971" w:rsidRDefault="006549E5" w:rsidP="006549E5">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4C0ADD60" w14:textId="3292B86C" w:rsidR="006549E5" w:rsidRDefault="006549E5" w:rsidP="006549E5">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doce de marzo de dos mil veintiuno,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00DB4E73" w:rsidRPr="00DB4E73">
        <w:rPr>
          <w:rFonts w:ascii="Palatino Linotype" w:hAnsi="Palatino Linotype"/>
          <w:b/>
          <w:sz w:val="24"/>
          <w:szCs w:val="24"/>
        </w:rPr>
        <w:t>00042/TEOTIHUA/IP/2021</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57DB833E" w14:textId="77777777" w:rsidR="006549E5" w:rsidRPr="003E737B" w:rsidRDefault="006549E5" w:rsidP="006549E5">
      <w:pPr>
        <w:pStyle w:val="Sinespaciado"/>
        <w:spacing w:line="360" w:lineRule="auto"/>
        <w:jc w:val="both"/>
        <w:rPr>
          <w:rFonts w:ascii="Palatino Linotype" w:hAnsi="Palatino Linotype"/>
          <w:sz w:val="16"/>
          <w:szCs w:val="24"/>
        </w:rPr>
      </w:pPr>
    </w:p>
    <w:p w14:paraId="26D87F76" w14:textId="0A1F1E7C" w:rsidR="00DB4E73" w:rsidRPr="00DB4E73" w:rsidRDefault="00DB4E73" w:rsidP="00DB4E73">
      <w:pPr>
        <w:tabs>
          <w:tab w:val="left" w:pos="5647"/>
        </w:tabs>
        <w:ind w:left="567" w:right="567"/>
        <w:jc w:val="both"/>
        <w:rPr>
          <w:rFonts w:ascii="Palatino Linotype" w:hAnsi="Palatino Linotype"/>
          <w:i/>
          <w:lang w:val="es-ES_tradnl"/>
        </w:rPr>
      </w:pPr>
      <w:r w:rsidRPr="00DB4E73">
        <w:rPr>
          <w:rFonts w:ascii="Palatino Linotype" w:hAnsi="Palatino Linotype"/>
          <w:i/>
          <w:lang w:val="es-ES_tradnl"/>
        </w:rPr>
        <w:t xml:space="preserve">“Deseo se realice una búsqueda exhaustiva y razonable en todas las áreas que pudieran contar con la siguiente información, ya que quiero conocer lo siguiente: 1. Los expedientes de adquisiciones por excepción a la Licitación Pública que se hayan realizado durante los ejercicios 2017, 2018, 2019 y 2020. 2. En versión pública los expedientes que fueron resueltos en materia de autorización de pensiones durante los ejercicios 2018, 2019 y 2020. 3. Cuáles son las acciones de control y evaluación que se han realizado en materia de pensiones y cuáles han sido sus resultados y, en </w:t>
      </w:r>
      <w:r w:rsidRPr="00DB4E73">
        <w:rPr>
          <w:rFonts w:ascii="Palatino Linotype" w:hAnsi="Palatino Linotype"/>
          <w:i/>
          <w:lang w:val="es-ES_tradnl"/>
        </w:rPr>
        <w:lastRenderedPageBreak/>
        <w:t>su caso, las sanciones que se han impuesto, correspondientes a los ejercicios 2018, 2019 y 2020.”</w:t>
      </w:r>
    </w:p>
    <w:p w14:paraId="025DFE2B" w14:textId="77777777" w:rsidR="006549E5" w:rsidRPr="00B31118" w:rsidRDefault="006549E5" w:rsidP="006549E5">
      <w:pPr>
        <w:jc w:val="both"/>
        <w:rPr>
          <w:rFonts w:ascii="Palatino Linotype" w:hAnsi="Palatino Linotype"/>
          <w:i/>
          <w:lang w:val="es-ES_tradnl"/>
        </w:rPr>
      </w:pPr>
    </w:p>
    <w:p w14:paraId="6AEC797B" w14:textId="77777777" w:rsidR="006549E5" w:rsidRDefault="006549E5" w:rsidP="006549E5">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0CFD56EE" w14:textId="77777777" w:rsidR="006549E5" w:rsidRPr="00452ABA" w:rsidRDefault="006549E5" w:rsidP="006549E5">
      <w:pPr>
        <w:pStyle w:val="Sinespaciado"/>
        <w:spacing w:line="360" w:lineRule="auto"/>
        <w:jc w:val="both"/>
        <w:rPr>
          <w:rFonts w:ascii="Palatino Linotype" w:eastAsia="Times New Roman" w:hAnsi="Palatino Linotype" w:cs="Times New Roman"/>
          <w:sz w:val="24"/>
          <w:szCs w:val="24"/>
          <w:lang w:val="es-ES_tradnl" w:eastAsia="es-ES"/>
        </w:rPr>
      </w:pPr>
    </w:p>
    <w:p w14:paraId="741EC266" w14:textId="77777777" w:rsidR="003905A7" w:rsidRPr="003905A7" w:rsidRDefault="003905A7" w:rsidP="003905A7">
      <w:pPr>
        <w:spacing w:line="360" w:lineRule="auto"/>
        <w:jc w:val="both"/>
        <w:rPr>
          <w:rFonts w:ascii="Palatino Linotype" w:eastAsia="Calibri" w:hAnsi="Palatino Linotype" w:cs="Arial"/>
          <w:b/>
          <w:sz w:val="28"/>
        </w:rPr>
      </w:pPr>
      <w:r w:rsidRPr="003905A7">
        <w:rPr>
          <w:rFonts w:ascii="Palatino Linotype" w:eastAsia="Calibri" w:hAnsi="Palatino Linotype" w:cs="Arial"/>
          <w:b/>
          <w:sz w:val="28"/>
        </w:rPr>
        <w:t>SEGUNDO. De la prórroga para emitir respuesta.</w:t>
      </w:r>
    </w:p>
    <w:p w14:paraId="578B93BF" w14:textId="2107F8EE" w:rsidR="003905A7" w:rsidRPr="003905A7" w:rsidRDefault="003905A7" w:rsidP="003905A7">
      <w:pPr>
        <w:spacing w:line="360" w:lineRule="auto"/>
        <w:jc w:val="both"/>
        <w:rPr>
          <w:rFonts w:ascii="Palatino Linotype" w:eastAsia="Calibri" w:hAnsi="Palatino Linotype" w:cs="Arial"/>
        </w:rPr>
      </w:pPr>
      <w:r w:rsidRPr="003905A7">
        <w:rPr>
          <w:rFonts w:ascii="Palatino Linotype" w:eastAsia="Calibri" w:hAnsi="Palatino Linotype" w:cs="Arial"/>
        </w:rPr>
        <w:t xml:space="preserve">Del expediente electrónico del </w:t>
      </w:r>
      <w:r w:rsidRPr="003905A7">
        <w:rPr>
          <w:rFonts w:ascii="Palatino Linotype" w:eastAsia="Calibri" w:hAnsi="Palatino Linotype" w:cs="Arial"/>
          <w:b/>
        </w:rPr>
        <w:t>SAIMEX</w:t>
      </w:r>
      <w:r w:rsidRPr="003905A7">
        <w:rPr>
          <w:rFonts w:ascii="Palatino Linotype" w:eastAsia="Calibri" w:hAnsi="Palatino Linotype" w:cs="Arial"/>
        </w:rPr>
        <w:t xml:space="preserve">, se aprecia que </w:t>
      </w:r>
      <w:r w:rsidRPr="003905A7">
        <w:rPr>
          <w:rFonts w:ascii="Palatino Linotype" w:eastAsia="Calibri" w:hAnsi="Palatino Linotype" w:cs="Arial"/>
          <w:b/>
        </w:rPr>
        <w:t>el sujeto obligado,</w:t>
      </w:r>
      <w:r w:rsidRPr="003905A7">
        <w:rPr>
          <w:rFonts w:ascii="Palatino Linotype" w:eastAsia="Calibri" w:hAnsi="Palatino Linotype" w:cs="Arial"/>
        </w:rPr>
        <w:t xml:space="preserve"> en fecha </w:t>
      </w:r>
      <w:r>
        <w:rPr>
          <w:rFonts w:ascii="Palatino Linotype" w:eastAsia="Calibri" w:hAnsi="Palatino Linotype" w:cs="Arial"/>
        </w:rPr>
        <w:t>nueve de abril</w:t>
      </w:r>
      <w:r w:rsidRPr="003905A7">
        <w:rPr>
          <w:rFonts w:ascii="Palatino Linotype" w:eastAsia="Calibri" w:hAnsi="Palatino Linotype" w:cs="Arial"/>
        </w:rPr>
        <w:t xml:space="preserve"> de dos mil veintiuno, notifico al </w:t>
      </w:r>
      <w:r w:rsidRPr="003905A7">
        <w:rPr>
          <w:rFonts w:ascii="Palatino Linotype" w:eastAsia="Calibri" w:hAnsi="Palatino Linotype" w:cs="Arial"/>
          <w:b/>
        </w:rPr>
        <w:t>Recurrente</w:t>
      </w:r>
      <w:r w:rsidRPr="003905A7">
        <w:rPr>
          <w:rFonts w:ascii="Palatino Linotype" w:eastAsia="Calibri" w:hAnsi="Palatino Linotype" w:cs="Arial"/>
        </w:rPr>
        <w:t xml:space="preserve"> que el plazo de quince días hábiles para emitir su respuesta había sido prorrogado por siete días hábiles, empero no pasa desapercibido para este Órgano Garante, que dicha prorroga no fue emitida conforme al procedimiento establecido en las Ley de Transparencia local.</w:t>
      </w:r>
    </w:p>
    <w:p w14:paraId="17F48ED4" w14:textId="77777777" w:rsidR="003905A7" w:rsidRDefault="003905A7" w:rsidP="006549E5">
      <w:pPr>
        <w:pStyle w:val="Sinespaciado"/>
        <w:spacing w:line="360" w:lineRule="auto"/>
        <w:jc w:val="both"/>
        <w:rPr>
          <w:rFonts w:ascii="Palatino Linotype" w:hAnsi="Palatino Linotype" w:cs="Arial"/>
          <w:b/>
          <w:sz w:val="28"/>
        </w:rPr>
      </w:pPr>
    </w:p>
    <w:p w14:paraId="6DFC9A96" w14:textId="55EF1841" w:rsidR="006549E5" w:rsidRDefault="003905A7" w:rsidP="006549E5">
      <w:pPr>
        <w:pStyle w:val="Sinespaciado"/>
        <w:spacing w:line="360" w:lineRule="auto"/>
        <w:jc w:val="both"/>
        <w:rPr>
          <w:rFonts w:ascii="Palatino Linotype" w:hAnsi="Palatino Linotype" w:cs="Arial"/>
          <w:b/>
          <w:sz w:val="28"/>
          <w:szCs w:val="20"/>
        </w:rPr>
      </w:pPr>
      <w:r>
        <w:rPr>
          <w:rFonts w:ascii="Palatino Linotype" w:hAnsi="Palatino Linotype" w:cs="Arial"/>
          <w:b/>
          <w:sz w:val="28"/>
        </w:rPr>
        <w:t>TERCERO</w:t>
      </w:r>
      <w:r w:rsidR="006549E5" w:rsidRPr="004E2A95">
        <w:rPr>
          <w:rFonts w:ascii="Palatino Linotype" w:hAnsi="Palatino Linotype" w:cs="Arial"/>
          <w:b/>
          <w:sz w:val="28"/>
        </w:rPr>
        <w:t xml:space="preserve">. </w:t>
      </w:r>
      <w:r w:rsidR="006549E5" w:rsidRPr="004E2A95">
        <w:rPr>
          <w:rFonts w:ascii="Palatino Linotype" w:hAnsi="Palatino Linotype" w:cs="Arial"/>
          <w:b/>
          <w:sz w:val="28"/>
          <w:szCs w:val="20"/>
        </w:rPr>
        <w:t>De la respuesta del Sujeto Obligado.</w:t>
      </w:r>
    </w:p>
    <w:p w14:paraId="7EFC0B44" w14:textId="3BA683AC" w:rsidR="00DB4E73" w:rsidRPr="00DB4E73" w:rsidRDefault="00DB4E73" w:rsidP="00DB4E73">
      <w:pPr>
        <w:spacing w:line="360" w:lineRule="auto"/>
        <w:jc w:val="both"/>
        <w:rPr>
          <w:rFonts w:ascii="Palatino Linotype" w:eastAsia="Calibri" w:hAnsi="Palatino Linotype" w:cs="Arial"/>
        </w:rPr>
      </w:pPr>
      <w:r w:rsidRPr="00DB4E73">
        <w:rPr>
          <w:rFonts w:ascii="Palatino Linotype" w:eastAsia="Calibri" w:hAnsi="Palatino Linotype" w:cs="Arial"/>
        </w:rPr>
        <w:t xml:space="preserve">De las constancias que obran en el expediente del sistema SAIMEX, aperturado con motivo del ingreso de la solicitud de información, se advierte que en fecha </w:t>
      </w:r>
      <w:r w:rsidR="00285FC2">
        <w:rPr>
          <w:rFonts w:ascii="Palatino Linotype" w:eastAsia="Calibri" w:hAnsi="Palatino Linotype" w:cs="Arial"/>
        </w:rPr>
        <w:t>veintiuno</w:t>
      </w:r>
      <w:r w:rsidR="00285FC2" w:rsidRPr="00DB4E73">
        <w:rPr>
          <w:rFonts w:ascii="Palatino Linotype" w:eastAsia="Calibri" w:hAnsi="Palatino Linotype" w:cs="Arial"/>
        </w:rPr>
        <w:t xml:space="preserve"> </w:t>
      </w:r>
      <w:r w:rsidR="00285FC2">
        <w:rPr>
          <w:rFonts w:ascii="Palatino Linotype" w:eastAsia="Calibri" w:hAnsi="Palatino Linotype" w:cs="Arial"/>
        </w:rPr>
        <w:t>de</w:t>
      </w:r>
      <w:r w:rsidR="003905A7">
        <w:rPr>
          <w:rFonts w:ascii="Palatino Linotype" w:eastAsia="Calibri" w:hAnsi="Palatino Linotype" w:cs="Arial"/>
        </w:rPr>
        <w:t xml:space="preserve"> abril </w:t>
      </w:r>
      <w:r w:rsidRPr="00DB4E73">
        <w:rPr>
          <w:rFonts w:ascii="Palatino Linotype" w:eastAsia="Calibri" w:hAnsi="Palatino Linotype" w:cs="Arial"/>
        </w:rPr>
        <w:t xml:space="preserve">de dos mil veintiuno, </w:t>
      </w:r>
      <w:r w:rsidRPr="00DB4E73">
        <w:rPr>
          <w:rFonts w:ascii="Palatino Linotype" w:eastAsia="Calibri" w:hAnsi="Palatino Linotype" w:cs="Arial"/>
          <w:b/>
        </w:rPr>
        <w:t>el sujeto obligado</w:t>
      </w:r>
      <w:r w:rsidRPr="00DB4E73">
        <w:rPr>
          <w:rFonts w:ascii="Palatino Linotype" w:eastAsia="Calibri" w:hAnsi="Palatino Linotype" w:cs="Arial"/>
        </w:rPr>
        <w:t xml:space="preserve"> emitió respuesta en los términos siguientes:</w:t>
      </w:r>
    </w:p>
    <w:p w14:paraId="264927AA" w14:textId="77777777" w:rsidR="00DB4E73" w:rsidRPr="00DB4E73" w:rsidRDefault="00DB4E73" w:rsidP="00DB4E73">
      <w:pPr>
        <w:spacing w:line="360" w:lineRule="auto"/>
        <w:jc w:val="both"/>
        <w:rPr>
          <w:rFonts w:ascii="Palatino Linotype" w:eastAsia="Calibri" w:hAnsi="Palatino Linotype" w:cs="Arial"/>
        </w:rPr>
      </w:pPr>
    </w:p>
    <w:p w14:paraId="5CD42D81" w14:textId="77777777" w:rsidR="003905A7" w:rsidRPr="003905A7" w:rsidRDefault="00DB4E73" w:rsidP="003905A7">
      <w:pPr>
        <w:ind w:left="567" w:right="567"/>
        <w:jc w:val="right"/>
        <w:rPr>
          <w:rFonts w:ascii="Palatino Linotype" w:eastAsia="Calibri" w:hAnsi="Palatino Linotype" w:cs="Arial"/>
          <w:i/>
        </w:rPr>
      </w:pPr>
      <w:r w:rsidRPr="00DB4E73">
        <w:rPr>
          <w:rFonts w:ascii="Palatino Linotype" w:eastAsia="Calibri" w:hAnsi="Palatino Linotype" w:cs="Arial"/>
          <w:i/>
        </w:rPr>
        <w:t>“</w:t>
      </w:r>
      <w:r w:rsidR="003905A7" w:rsidRPr="003905A7">
        <w:rPr>
          <w:rFonts w:ascii="Palatino Linotype" w:eastAsia="Calibri" w:hAnsi="Palatino Linotype" w:cs="Arial"/>
          <w:i/>
        </w:rPr>
        <w:t>Folio de la solicitud: 00042/TEOTIHUA/IP/2021</w:t>
      </w:r>
    </w:p>
    <w:p w14:paraId="3E468F5D" w14:textId="77777777" w:rsidR="003905A7" w:rsidRDefault="003905A7" w:rsidP="003905A7">
      <w:pPr>
        <w:ind w:left="567" w:right="567"/>
        <w:jc w:val="both"/>
        <w:rPr>
          <w:rFonts w:ascii="Palatino Linotype" w:eastAsia="Calibri" w:hAnsi="Palatino Linotype" w:cs="Arial"/>
          <w:i/>
        </w:rPr>
      </w:pPr>
    </w:p>
    <w:p w14:paraId="52E287ED" w14:textId="34410AC2" w:rsidR="003905A7" w:rsidRPr="003905A7" w:rsidRDefault="003905A7" w:rsidP="003905A7">
      <w:pPr>
        <w:ind w:left="567" w:right="567"/>
        <w:jc w:val="both"/>
        <w:rPr>
          <w:rFonts w:ascii="Palatino Linotype" w:eastAsia="Calibri" w:hAnsi="Palatino Linotype" w:cs="Arial"/>
          <w:i/>
        </w:rPr>
      </w:pPr>
      <w:r w:rsidRPr="003905A7">
        <w:rPr>
          <w:rFonts w:ascii="Palatino Linotype" w:eastAsia="Calibri"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8575AC" w14:textId="77777777" w:rsidR="003905A7" w:rsidRPr="003905A7" w:rsidRDefault="003905A7" w:rsidP="003905A7">
      <w:pPr>
        <w:ind w:left="567" w:right="567"/>
        <w:jc w:val="both"/>
        <w:rPr>
          <w:rFonts w:ascii="Palatino Linotype" w:eastAsia="Calibri" w:hAnsi="Palatino Linotype" w:cs="Arial"/>
          <w:i/>
        </w:rPr>
      </w:pPr>
      <w:r w:rsidRPr="003905A7">
        <w:rPr>
          <w:rFonts w:ascii="Palatino Linotype" w:eastAsia="Calibri" w:hAnsi="Palatino Linotype" w:cs="Arial"/>
          <w:i/>
        </w:rPr>
        <w:t xml:space="preserve">Hago de su conocimiento que este H. Ayuntamiento de Teotihuacán no genera la información correspondiente a pensiones, cabe señalar que la información solicitada es generada por el Instituto de Seguridad Social del Estado de México y Municipios ISSEMYM. </w:t>
      </w:r>
      <w:r w:rsidRPr="003905A7">
        <w:rPr>
          <w:rFonts w:ascii="Palatino Linotype" w:eastAsia="Calibri" w:hAnsi="Palatino Linotype" w:cs="Arial"/>
          <w:b/>
          <w:bCs/>
          <w:i/>
        </w:rPr>
        <w:t xml:space="preserve">Los expedientes de los procesos de licitación y contratación de </w:t>
      </w:r>
      <w:r w:rsidRPr="003905A7">
        <w:rPr>
          <w:rFonts w:ascii="Palatino Linotype" w:eastAsia="Calibri" w:hAnsi="Palatino Linotype" w:cs="Arial"/>
          <w:b/>
          <w:bCs/>
          <w:i/>
        </w:rPr>
        <w:lastRenderedPageBreak/>
        <w:t>obra pública de los años 2017 los puede encontrar en la siguiente liga: https://www.ipomex.org.mx/ipo/lgt/indice/teotihuacan/licitaciones.web</w:t>
      </w:r>
      <w:r w:rsidRPr="003905A7">
        <w:rPr>
          <w:rFonts w:ascii="Palatino Linotype" w:eastAsia="Calibri" w:hAnsi="Palatino Linotype" w:cs="Arial"/>
          <w:i/>
        </w:rPr>
        <w:t xml:space="preserve">, asimismo le informo </w:t>
      </w:r>
      <w:r w:rsidRPr="003905A7">
        <w:rPr>
          <w:rFonts w:ascii="Palatino Linotype" w:eastAsia="Calibri" w:hAnsi="Palatino Linotype" w:cs="Arial"/>
          <w:b/>
          <w:bCs/>
          <w:i/>
        </w:rPr>
        <w:t>que los expedientes de procesos de licitación de obra de los ejercicios 2018, 2019 y 2020 lo puede encontrar en la siguiente liga: https://www.ipomex.org.mx/ipo3/lgt/indice/TEOTIHUACAN/art_92_xxix_a.web</w:t>
      </w:r>
      <w:r w:rsidRPr="003905A7">
        <w:rPr>
          <w:rFonts w:ascii="Palatino Linotype" w:eastAsia="Calibri" w:hAnsi="Palatino Linotype" w:cs="Arial"/>
          <w:i/>
        </w:rPr>
        <w:t xml:space="preserve"> asimismo </w:t>
      </w:r>
      <w:r w:rsidRPr="000E6E78">
        <w:rPr>
          <w:rFonts w:ascii="Palatino Linotype" w:eastAsia="Calibri" w:hAnsi="Palatino Linotype" w:cs="Arial"/>
          <w:b/>
          <w:bCs/>
          <w:i/>
        </w:rPr>
        <w:t>los de adjudicación directa de los años 2018, 2019 y 2020 en la siguiente: https://www.ipomex.org.mx/ipo3/lgt/indice/TEOTIHUACAN/art_92_xxix_b.web</w:t>
      </w:r>
      <w:r w:rsidRPr="003905A7">
        <w:rPr>
          <w:rFonts w:ascii="Palatino Linotype" w:eastAsia="Calibri" w:hAnsi="Palatino Linotype" w:cs="Arial"/>
          <w:i/>
        </w:rPr>
        <w:t xml:space="preserve"> Asimismo le comento que se adjuntan 2 contratos de adquisiciones y servicios, los demás los puede encontrar publicados en la página del compra net: https://compranet.hacienda.gob.mx/web/login.html</w:t>
      </w:r>
    </w:p>
    <w:p w14:paraId="1D94E1F1" w14:textId="77777777" w:rsidR="003905A7" w:rsidRDefault="003905A7" w:rsidP="003905A7">
      <w:pPr>
        <w:ind w:left="567" w:right="567"/>
        <w:jc w:val="both"/>
        <w:rPr>
          <w:rFonts w:ascii="Palatino Linotype" w:eastAsia="Calibri" w:hAnsi="Palatino Linotype" w:cs="Arial"/>
          <w:i/>
        </w:rPr>
      </w:pPr>
    </w:p>
    <w:p w14:paraId="36003AE0" w14:textId="33F6C94A" w:rsidR="003905A7" w:rsidRPr="003905A7" w:rsidRDefault="003905A7" w:rsidP="003905A7">
      <w:pPr>
        <w:ind w:left="567" w:right="567"/>
        <w:jc w:val="both"/>
        <w:rPr>
          <w:rFonts w:ascii="Palatino Linotype" w:eastAsia="Calibri" w:hAnsi="Palatino Linotype" w:cs="Arial"/>
          <w:i/>
        </w:rPr>
      </w:pPr>
      <w:r w:rsidRPr="003905A7">
        <w:rPr>
          <w:rFonts w:ascii="Palatino Linotype" w:eastAsia="Calibri" w:hAnsi="Palatino Linotype" w:cs="Arial"/>
          <w:i/>
        </w:rPr>
        <w:t>ATENTAMENTE</w:t>
      </w:r>
    </w:p>
    <w:p w14:paraId="5F837741" w14:textId="41DF72B9" w:rsidR="00DB4E73" w:rsidRPr="00DB4E73" w:rsidRDefault="003905A7" w:rsidP="003905A7">
      <w:pPr>
        <w:ind w:left="567" w:right="567"/>
        <w:jc w:val="both"/>
        <w:rPr>
          <w:rFonts w:ascii="Palatino Linotype" w:eastAsia="Calibri" w:hAnsi="Palatino Linotype" w:cs="Arial"/>
        </w:rPr>
      </w:pPr>
      <w:r w:rsidRPr="003905A7">
        <w:rPr>
          <w:rFonts w:ascii="Palatino Linotype" w:eastAsia="Calibri" w:hAnsi="Palatino Linotype" w:cs="Arial"/>
          <w:i/>
        </w:rPr>
        <w:t>C. MARCO ANTONIO MACÍAS DE LA O</w:t>
      </w:r>
      <w:r w:rsidR="00DB4E73" w:rsidRPr="00DB4E73">
        <w:rPr>
          <w:rFonts w:ascii="Palatino Linotype" w:eastAsia="Calibri" w:hAnsi="Palatino Linotype" w:cs="Arial"/>
          <w:i/>
        </w:rPr>
        <w:t>” (sic)</w:t>
      </w:r>
    </w:p>
    <w:p w14:paraId="7B467FE1" w14:textId="77777777" w:rsidR="006549E5" w:rsidRPr="00AA5ED6" w:rsidRDefault="006549E5" w:rsidP="006549E5">
      <w:pPr>
        <w:pStyle w:val="Sinespaciado"/>
        <w:spacing w:line="360" w:lineRule="auto"/>
        <w:jc w:val="both"/>
        <w:rPr>
          <w:rFonts w:ascii="Palatino Linotype" w:hAnsi="Palatino Linotype"/>
          <w:i/>
          <w:szCs w:val="26"/>
        </w:rPr>
      </w:pPr>
    </w:p>
    <w:p w14:paraId="5AA4DCBD" w14:textId="25324C44" w:rsidR="006549E5" w:rsidRDefault="006549E5" w:rsidP="00EB7398">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sidR="000E6E78">
        <w:rPr>
          <w:rFonts w:ascii="Palatino Linotype" w:hAnsi="Palatino Linotype"/>
          <w:sz w:val="24"/>
          <w:szCs w:val="26"/>
        </w:rPr>
        <w:t>los</w:t>
      </w:r>
      <w:r w:rsidRPr="00786A58">
        <w:rPr>
          <w:rFonts w:ascii="Palatino Linotype" w:hAnsi="Palatino Linotype"/>
          <w:sz w:val="24"/>
          <w:szCs w:val="26"/>
        </w:rPr>
        <w:t xml:space="preserve"> archivo</w:t>
      </w:r>
      <w:r w:rsidR="000E6E78">
        <w:rPr>
          <w:rFonts w:ascii="Palatino Linotype" w:hAnsi="Palatino Linotype"/>
          <w:sz w:val="24"/>
          <w:szCs w:val="26"/>
        </w:rPr>
        <w:t>s</w:t>
      </w:r>
      <w:r w:rsidRPr="00786A58">
        <w:rPr>
          <w:rFonts w:ascii="Palatino Linotype" w:hAnsi="Palatino Linotype"/>
          <w:sz w:val="24"/>
          <w:szCs w:val="26"/>
        </w:rPr>
        <w:t xml:space="preserve"> electrónico</w:t>
      </w:r>
      <w:r w:rsidR="000E6E78">
        <w:rPr>
          <w:rFonts w:ascii="Palatino Linotype" w:hAnsi="Palatino Linotype"/>
          <w:sz w:val="24"/>
          <w:szCs w:val="26"/>
        </w:rPr>
        <w:t>s</w:t>
      </w:r>
      <w:r w:rsidRPr="00786A58">
        <w:rPr>
          <w:rFonts w:ascii="Palatino Linotype" w:hAnsi="Palatino Linotype"/>
          <w:sz w:val="24"/>
          <w:szCs w:val="26"/>
        </w:rPr>
        <w:t xml:space="preserve"> denominado</w:t>
      </w:r>
      <w:r w:rsidR="000E6E78">
        <w:rPr>
          <w:rFonts w:ascii="Palatino Linotype" w:hAnsi="Palatino Linotype"/>
          <w:sz w:val="24"/>
          <w:szCs w:val="26"/>
        </w:rPr>
        <w:t>s</w:t>
      </w:r>
      <w:r>
        <w:rPr>
          <w:rFonts w:ascii="Palatino Linotype" w:hAnsi="Palatino Linotype"/>
          <w:sz w:val="24"/>
          <w:szCs w:val="26"/>
        </w:rPr>
        <w:t xml:space="preserve"> “</w:t>
      </w:r>
      <w:r w:rsidR="000E6E78" w:rsidRPr="000E6E78">
        <w:rPr>
          <w:rFonts w:ascii="Palatino Linotype" w:hAnsi="Palatino Linotype"/>
          <w:sz w:val="24"/>
          <w:szCs w:val="26"/>
        </w:rPr>
        <w:t>Respuesta 42 -ip-2021 Administración.pdf</w:t>
      </w:r>
      <w:r w:rsidR="00EB7398">
        <w:rPr>
          <w:rFonts w:ascii="Palatino Linotype" w:hAnsi="Palatino Linotype"/>
          <w:sz w:val="24"/>
          <w:szCs w:val="26"/>
        </w:rPr>
        <w:t>”, “</w:t>
      </w:r>
      <w:r w:rsidR="00E306E8" w:rsidRPr="00E306E8">
        <w:rPr>
          <w:rFonts w:ascii="Palatino Linotype" w:hAnsi="Palatino Linotype"/>
          <w:sz w:val="24"/>
          <w:szCs w:val="26"/>
        </w:rPr>
        <w:t>FAST.pdf</w:t>
      </w:r>
      <w:r w:rsidR="00EB7398">
        <w:rPr>
          <w:rFonts w:ascii="Palatino Linotype" w:hAnsi="Palatino Linotype"/>
          <w:sz w:val="24"/>
          <w:szCs w:val="26"/>
        </w:rPr>
        <w:t>” y “</w:t>
      </w:r>
      <w:proofErr w:type="spellStart"/>
      <w:r w:rsidR="00E306E8" w:rsidRPr="00E306E8">
        <w:rPr>
          <w:rFonts w:ascii="Palatino Linotype" w:hAnsi="Palatino Linotype"/>
          <w:sz w:val="24"/>
          <w:szCs w:val="26"/>
        </w:rPr>
        <w:t>Fast</w:t>
      </w:r>
      <w:proofErr w:type="spellEnd"/>
      <w:r w:rsidR="00E306E8" w:rsidRPr="00E306E8">
        <w:rPr>
          <w:rFonts w:ascii="Palatino Linotype" w:hAnsi="Palatino Linotype"/>
          <w:sz w:val="24"/>
          <w:szCs w:val="26"/>
        </w:rPr>
        <w:t xml:space="preserve"> 2.pdf</w:t>
      </w:r>
      <w:r>
        <w:rPr>
          <w:rFonts w:ascii="Palatino Linotype" w:hAnsi="Palatino Linotype"/>
          <w:sz w:val="24"/>
          <w:szCs w:val="26"/>
        </w:rPr>
        <w:t>”, de</w:t>
      </w:r>
      <w:r w:rsidR="00EB7398">
        <w:rPr>
          <w:rFonts w:ascii="Palatino Linotype" w:hAnsi="Palatino Linotype"/>
          <w:sz w:val="24"/>
          <w:szCs w:val="26"/>
        </w:rPr>
        <w:t xml:space="preserve"> </w:t>
      </w:r>
      <w:r>
        <w:rPr>
          <w:rFonts w:ascii="Palatino Linotype" w:hAnsi="Palatino Linotype"/>
          <w:sz w:val="24"/>
          <w:szCs w:val="26"/>
        </w:rPr>
        <w:t>l</w:t>
      </w:r>
      <w:r w:rsidR="00EB7398">
        <w:rPr>
          <w:rFonts w:ascii="Palatino Linotype" w:hAnsi="Palatino Linotype"/>
          <w:sz w:val="24"/>
          <w:szCs w:val="26"/>
        </w:rPr>
        <w:t>os</w:t>
      </w:r>
      <w:r>
        <w:rPr>
          <w:rFonts w:ascii="Palatino Linotype" w:hAnsi="Palatino Linotype"/>
          <w:sz w:val="24"/>
          <w:szCs w:val="26"/>
        </w:rPr>
        <w:t xml:space="preserve"> cual</w:t>
      </w:r>
      <w:r w:rsidR="00EB7398">
        <w:rPr>
          <w:rFonts w:ascii="Palatino Linotype" w:hAnsi="Palatino Linotype"/>
          <w:sz w:val="24"/>
          <w:szCs w:val="26"/>
        </w:rPr>
        <w:t>es</w:t>
      </w:r>
      <w:r>
        <w:rPr>
          <w:rFonts w:ascii="Palatino Linotype" w:hAnsi="Palatino Linotype"/>
          <w:sz w:val="24"/>
          <w:szCs w:val="26"/>
        </w:rPr>
        <w:t xml:space="preserve"> se hará mérito de su estudio </w:t>
      </w:r>
      <w:r>
        <w:rPr>
          <w:rFonts w:ascii="Palatino Linotype" w:hAnsi="Palatino Linotype" w:cs="Arial"/>
          <w:sz w:val="24"/>
          <w:szCs w:val="24"/>
        </w:rPr>
        <w:t>en el considerando respectivo</w:t>
      </w:r>
      <w:r>
        <w:rPr>
          <w:rFonts w:ascii="Palatino Linotype" w:hAnsi="Palatino Linotype"/>
          <w:sz w:val="24"/>
          <w:szCs w:val="26"/>
        </w:rPr>
        <w:t>.</w:t>
      </w:r>
    </w:p>
    <w:p w14:paraId="01B51E33" w14:textId="77777777" w:rsidR="006549E5" w:rsidRDefault="006549E5" w:rsidP="006549E5">
      <w:pPr>
        <w:pStyle w:val="Sinespaciado"/>
        <w:spacing w:line="360" w:lineRule="auto"/>
        <w:jc w:val="both"/>
        <w:rPr>
          <w:rFonts w:ascii="Palatino Linotype" w:hAnsi="Palatino Linotype"/>
          <w:sz w:val="24"/>
          <w:szCs w:val="26"/>
        </w:rPr>
      </w:pPr>
    </w:p>
    <w:p w14:paraId="1C542E58" w14:textId="77777777" w:rsidR="006549E5" w:rsidRDefault="006549E5" w:rsidP="006549E5">
      <w:pPr>
        <w:pStyle w:val="Sinespaciado"/>
        <w:spacing w:line="360" w:lineRule="auto"/>
        <w:jc w:val="both"/>
        <w:rPr>
          <w:rFonts w:ascii="Palatino Linotype" w:hAnsi="Palatino Linotype"/>
          <w:sz w:val="24"/>
          <w:szCs w:val="26"/>
        </w:rPr>
      </w:pPr>
    </w:p>
    <w:p w14:paraId="6482B911" w14:textId="77777777" w:rsidR="006549E5" w:rsidRPr="00D04234" w:rsidRDefault="006549E5" w:rsidP="006549E5">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06029C84" w14:textId="7B70CF03" w:rsidR="006549E5" w:rsidRPr="00D04234" w:rsidRDefault="006549E5" w:rsidP="006549E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veintiuno de abril de dos mil veintiuno,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834A20" w:rsidRPr="00834A20">
        <w:rPr>
          <w:rFonts w:ascii="Palatino Linotype" w:hAnsi="Palatino Linotype"/>
          <w:b/>
          <w:sz w:val="24"/>
          <w:szCs w:val="24"/>
        </w:rPr>
        <w:t>02160/INFOEM/IP/RR/2021</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2D3B378A" w14:textId="77777777" w:rsidR="006549E5" w:rsidRDefault="006549E5" w:rsidP="006549E5">
      <w:pPr>
        <w:spacing w:before="240"/>
        <w:jc w:val="both"/>
        <w:rPr>
          <w:rFonts w:ascii="Palatino Linotype" w:hAnsi="Palatino Linotype" w:cs="Arial"/>
          <w:b/>
        </w:rPr>
      </w:pPr>
    </w:p>
    <w:p w14:paraId="53CE7CD4" w14:textId="77777777" w:rsidR="006549E5" w:rsidRPr="00D04234" w:rsidRDefault="006549E5" w:rsidP="006549E5">
      <w:pPr>
        <w:spacing w:before="240"/>
        <w:jc w:val="both"/>
        <w:rPr>
          <w:rFonts w:ascii="Palatino Linotype" w:hAnsi="Palatino Linotype" w:cs="Arial"/>
          <w:b/>
        </w:rPr>
      </w:pPr>
      <w:r w:rsidRPr="00D04234">
        <w:rPr>
          <w:rFonts w:ascii="Palatino Linotype" w:hAnsi="Palatino Linotype" w:cs="Arial"/>
          <w:b/>
        </w:rPr>
        <w:t>Acto Impugnado:</w:t>
      </w:r>
    </w:p>
    <w:p w14:paraId="3397A6BC" w14:textId="1ED85FEF" w:rsidR="006549E5" w:rsidRPr="000E3209" w:rsidRDefault="006549E5" w:rsidP="006549E5">
      <w:pPr>
        <w:ind w:left="851" w:right="850"/>
        <w:jc w:val="both"/>
        <w:rPr>
          <w:rFonts w:ascii="Palatino Linotype" w:hAnsi="Palatino Linotype" w:cs="Arial"/>
          <w:i/>
        </w:rPr>
      </w:pPr>
      <w:r w:rsidRPr="000E3209">
        <w:rPr>
          <w:rFonts w:ascii="Palatino Linotype" w:hAnsi="Palatino Linotype" w:cs="Arial"/>
          <w:i/>
        </w:rPr>
        <w:t>“</w:t>
      </w:r>
      <w:r w:rsidR="00834A20" w:rsidRPr="00834A20">
        <w:rPr>
          <w:rFonts w:ascii="Palatino Linotype" w:hAnsi="Palatino Linotype" w:cs="Arial"/>
          <w:i/>
        </w:rPr>
        <w:t>No se entregó la totalidad de la información solicitada</w:t>
      </w:r>
      <w:r w:rsidRPr="000E3209">
        <w:rPr>
          <w:rFonts w:ascii="Palatino Linotype" w:hAnsi="Palatino Linotype" w:cs="Arial"/>
          <w:i/>
        </w:rPr>
        <w:t>"(Sic)</w:t>
      </w:r>
    </w:p>
    <w:p w14:paraId="5BE44C58" w14:textId="77777777" w:rsidR="006549E5" w:rsidRDefault="006549E5" w:rsidP="006549E5">
      <w:pPr>
        <w:spacing w:before="240"/>
        <w:jc w:val="both"/>
        <w:rPr>
          <w:rFonts w:ascii="Palatino Linotype" w:hAnsi="Palatino Linotype" w:cs="Arial"/>
          <w:b/>
        </w:rPr>
      </w:pPr>
    </w:p>
    <w:p w14:paraId="6051A1D6" w14:textId="77777777" w:rsidR="006549E5" w:rsidRPr="00BE6D77" w:rsidRDefault="006549E5" w:rsidP="006549E5">
      <w:pPr>
        <w:spacing w:before="240"/>
        <w:jc w:val="both"/>
        <w:rPr>
          <w:rFonts w:ascii="Palatino Linotype" w:hAnsi="Palatino Linotype" w:cs="Arial"/>
        </w:rPr>
      </w:pPr>
      <w:r w:rsidRPr="00BE6D77">
        <w:rPr>
          <w:rFonts w:ascii="Palatino Linotype" w:hAnsi="Palatino Linotype" w:cs="Arial"/>
          <w:b/>
        </w:rPr>
        <w:t>Razones o Motivos de Inconformidad</w:t>
      </w:r>
      <w:r w:rsidRPr="00BE6D77">
        <w:rPr>
          <w:rFonts w:ascii="Palatino Linotype" w:hAnsi="Palatino Linotype" w:cs="Arial"/>
        </w:rPr>
        <w:t xml:space="preserve">: </w:t>
      </w:r>
    </w:p>
    <w:p w14:paraId="36BA6EBA" w14:textId="113B7F34" w:rsidR="006549E5" w:rsidRPr="00E229F6" w:rsidRDefault="006549E5" w:rsidP="006549E5">
      <w:pPr>
        <w:spacing w:line="360" w:lineRule="auto"/>
        <w:ind w:left="851" w:right="851"/>
        <w:jc w:val="both"/>
        <w:rPr>
          <w:rFonts w:ascii="Palatino Linotype" w:hAnsi="Palatino Linotype" w:cs="Arial"/>
          <w:i/>
        </w:rPr>
      </w:pPr>
      <w:r w:rsidRPr="00E229F6">
        <w:rPr>
          <w:rFonts w:ascii="Palatino Linotype" w:hAnsi="Palatino Linotype" w:cs="Arial"/>
          <w:i/>
        </w:rPr>
        <w:t>“</w:t>
      </w:r>
      <w:r w:rsidR="00834A20" w:rsidRPr="00834A20">
        <w:rPr>
          <w:rFonts w:ascii="Palatino Linotype" w:hAnsi="Palatino Linotype" w:cs="Arial"/>
          <w:i/>
        </w:rPr>
        <w:t>No se entregó la totalidad de la información solicitada</w:t>
      </w:r>
      <w:r w:rsidRPr="00E229F6">
        <w:rPr>
          <w:rFonts w:ascii="Palatino Linotype" w:hAnsi="Palatino Linotype" w:cs="Arial"/>
          <w:i/>
        </w:rPr>
        <w:t>” (Sic)</w:t>
      </w:r>
    </w:p>
    <w:p w14:paraId="2936A333" w14:textId="77777777" w:rsidR="006549E5" w:rsidRDefault="006549E5" w:rsidP="006549E5">
      <w:pPr>
        <w:pStyle w:val="Sinespaciado"/>
        <w:spacing w:line="360" w:lineRule="auto"/>
        <w:jc w:val="both"/>
        <w:rPr>
          <w:rFonts w:ascii="Palatino Linotype" w:hAnsi="Palatino Linotype"/>
          <w:sz w:val="24"/>
          <w:szCs w:val="26"/>
        </w:rPr>
      </w:pPr>
    </w:p>
    <w:p w14:paraId="301F95E6" w14:textId="77777777" w:rsidR="006549E5" w:rsidRPr="004657BE" w:rsidRDefault="006549E5" w:rsidP="006549E5">
      <w:pPr>
        <w:pStyle w:val="Sinespaciado"/>
        <w:spacing w:line="360" w:lineRule="auto"/>
        <w:jc w:val="both"/>
        <w:rPr>
          <w:rFonts w:ascii="Palatino Linotype" w:hAnsi="Palatino Linotype"/>
          <w:sz w:val="24"/>
          <w:szCs w:val="24"/>
        </w:rPr>
      </w:pPr>
    </w:p>
    <w:p w14:paraId="46C65F23" w14:textId="77777777" w:rsidR="006549E5" w:rsidRPr="004657BE" w:rsidRDefault="006549E5" w:rsidP="006549E5">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433C9F9A" w14:textId="73A926B4" w:rsidR="006549E5" w:rsidRPr="004657BE" w:rsidRDefault="006549E5" w:rsidP="006549E5">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w:t>
      </w:r>
      <w:r w:rsidR="00834A20">
        <w:rPr>
          <w:rFonts w:ascii="Palatino Linotype" w:hAnsi="Palatino Linotype"/>
          <w:sz w:val="24"/>
          <w:szCs w:val="24"/>
        </w:rPr>
        <w:t>tres de mayo</w:t>
      </w:r>
      <w:r>
        <w:rPr>
          <w:rFonts w:ascii="Palatino Linotype" w:hAnsi="Palatino Linotype"/>
          <w:sz w:val="24"/>
          <w:szCs w:val="24"/>
        </w:rPr>
        <w:t xml:space="preserve"> de </w:t>
      </w:r>
      <w:r w:rsidRPr="004657BE">
        <w:rPr>
          <w:rFonts w:ascii="Palatino Linotype" w:hAnsi="Palatino Linotype"/>
          <w:sz w:val="24"/>
          <w:szCs w:val="24"/>
        </w:rPr>
        <w:t xml:space="preserve">dos mil </w:t>
      </w:r>
      <w:r>
        <w:rPr>
          <w:rFonts w:ascii="Palatino Linotype" w:hAnsi="Palatino Linotype"/>
          <w:sz w:val="24"/>
          <w:szCs w:val="24"/>
        </w:rPr>
        <w:t>veintiuno</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07C3A147" w14:textId="77777777" w:rsidR="006549E5" w:rsidRDefault="006549E5" w:rsidP="006549E5">
      <w:pPr>
        <w:pStyle w:val="Sinespaciado"/>
        <w:spacing w:line="360" w:lineRule="auto"/>
        <w:jc w:val="both"/>
        <w:rPr>
          <w:rFonts w:ascii="Palatino Linotype" w:hAnsi="Palatino Linotype"/>
          <w:sz w:val="24"/>
          <w:szCs w:val="24"/>
        </w:rPr>
      </w:pPr>
    </w:p>
    <w:p w14:paraId="770EDB75" w14:textId="77777777" w:rsidR="006549E5" w:rsidRDefault="006549E5" w:rsidP="006549E5">
      <w:pPr>
        <w:pStyle w:val="Sinespaciado"/>
        <w:spacing w:line="360" w:lineRule="auto"/>
        <w:jc w:val="both"/>
        <w:rPr>
          <w:rFonts w:ascii="Palatino Linotype" w:hAnsi="Palatino Linotype"/>
          <w:sz w:val="24"/>
          <w:szCs w:val="24"/>
        </w:rPr>
      </w:pPr>
    </w:p>
    <w:p w14:paraId="10062054"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5612DDB4" w14:textId="28DFA445" w:rsidR="006549E5" w:rsidRDefault="00834A20" w:rsidP="006549E5">
      <w:pPr>
        <w:tabs>
          <w:tab w:val="left" w:pos="6096"/>
        </w:tabs>
        <w:spacing w:line="360" w:lineRule="auto"/>
        <w:jc w:val="both"/>
        <w:rPr>
          <w:rFonts w:ascii="Palatino Linotype" w:hAnsi="Palatino Linotype"/>
        </w:rPr>
      </w:pPr>
      <w:r w:rsidRPr="00834A20">
        <w:rPr>
          <w:rFonts w:ascii="Palatino Linotype" w:eastAsia="Calibri" w:hAnsi="Palatino Linotype" w:cs="Arial"/>
        </w:rPr>
        <w:t xml:space="preserve">De las constancias que integran el expediente virtual, se advierte que tanto el </w:t>
      </w:r>
      <w:r w:rsidRPr="00834A20">
        <w:rPr>
          <w:rFonts w:ascii="Palatino Linotype" w:eastAsia="Calibri" w:hAnsi="Palatino Linotype" w:cs="Arial"/>
          <w:b/>
          <w:bCs/>
        </w:rPr>
        <w:t>sujeto obligado</w:t>
      </w:r>
      <w:r w:rsidRPr="00834A20">
        <w:rPr>
          <w:rFonts w:ascii="Palatino Linotype" w:eastAsia="Calibri" w:hAnsi="Palatino Linotype" w:cs="Arial"/>
        </w:rPr>
        <w:t xml:space="preserve">, como </w:t>
      </w:r>
      <w:r w:rsidRPr="00834A20">
        <w:rPr>
          <w:rFonts w:ascii="Palatino Linotype" w:eastAsia="Calibri" w:hAnsi="Palatino Linotype" w:cs="Arial"/>
          <w:b/>
          <w:bCs/>
        </w:rPr>
        <w:t>el recurrente</w:t>
      </w:r>
      <w:r w:rsidRPr="00834A20">
        <w:rPr>
          <w:rFonts w:ascii="Palatino Linotype" w:eastAsia="Calibri" w:hAnsi="Palatino Linotype" w:cs="Arial"/>
        </w:rPr>
        <w:t xml:space="preserve"> fueron omisos en rendir dentro del término de ley que les fue otorgado, el informe justificado y las manifestaciones que a sus intereses convinieran, respectivamente. 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2CD01C28" w14:textId="77777777" w:rsidR="006549E5" w:rsidRDefault="006549E5" w:rsidP="006549E5">
      <w:pPr>
        <w:pStyle w:val="Sinespaciado"/>
        <w:spacing w:line="360" w:lineRule="auto"/>
        <w:jc w:val="both"/>
        <w:rPr>
          <w:rFonts w:ascii="Palatino Linotype" w:hAnsi="Palatino Linotype"/>
          <w:sz w:val="24"/>
          <w:szCs w:val="24"/>
        </w:rPr>
      </w:pPr>
    </w:p>
    <w:p w14:paraId="51A0908D"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SEXTO. Del cierre de instrucción.</w:t>
      </w:r>
      <w:r w:rsidRPr="0014447C">
        <w:rPr>
          <w:rFonts w:ascii="Palatino Linotype" w:hAnsi="Palatino Linotype"/>
          <w:b/>
          <w:sz w:val="26"/>
          <w:szCs w:val="26"/>
        </w:rPr>
        <w:tab/>
      </w:r>
    </w:p>
    <w:p w14:paraId="17D64093" w14:textId="36B11267" w:rsidR="006549E5" w:rsidRPr="0014447C"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834A20">
        <w:rPr>
          <w:rFonts w:ascii="Palatino Linotype" w:hAnsi="Palatino Linotype"/>
          <w:sz w:val="24"/>
          <w:szCs w:val="24"/>
        </w:rPr>
        <w:t>doce de julio</w:t>
      </w:r>
      <w:r>
        <w:rPr>
          <w:rFonts w:ascii="Palatino Linotype" w:hAnsi="Palatino Linotype"/>
          <w:sz w:val="24"/>
          <w:szCs w:val="24"/>
        </w:rPr>
        <w:t xml:space="preserve"> de dos mil veintiuno,</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11780898" w14:textId="77777777" w:rsidR="006549E5" w:rsidRDefault="006549E5" w:rsidP="006549E5">
      <w:pPr>
        <w:pStyle w:val="Sinespaciado"/>
        <w:spacing w:line="360" w:lineRule="auto"/>
        <w:jc w:val="both"/>
        <w:rPr>
          <w:rFonts w:ascii="Palatino Linotype" w:hAnsi="Palatino Linotype"/>
          <w:sz w:val="24"/>
          <w:szCs w:val="24"/>
        </w:rPr>
      </w:pPr>
    </w:p>
    <w:p w14:paraId="44EE63BE" w14:textId="77777777" w:rsidR="006549E5" w:rsidRDefault="006549E5" w:rsidP="006549E5">
      <w:pPr>
        <w:pStyle w:val="Sinespaciado"/>
        <w:spacing w:line="360" w:lineRule="auto"/>
        <w:jc w:val="both"/>
        <w:rPr>
          <w:rFonts w:ascii="Palatino Linotype" w:hAnsi="Palatino Linotype"/>
          <w:sz w:val="24"/>
          <w:szCs w:val="24"/>
        </w:rPr>
      </w:pPr>
    </w:p>
    <w:p w14:paraId="08755687" w14:textId="77777777" w:rsidR="006549E5" w:rsidRPr="00915450" w:rsidRDefault="006549E5" w:rsidP="006549E5">
      <w:pPr>
        <w:spacing w:line="360" w:lineRule="auto"/>
        <w:jc w:val="both"/>
        <w:rPr>
          <w:rFonts w:ascii="Palatino Linotype" w:hAnsi="Palatino Linotype" w:cs="Arial"/>
          <w:b/>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rPr>
        <w:t>.</w:t>
      </w:r>
    </w:p>
    <w:p w14:paraId="18853F1B" w14:textId="16FE8527" w:rsidR="006549E5" w:rsidRDefault="006549E5" w:rsidP="006549E5">
      <w:pPr>
        <w:spacing w:line="360" w:lineRule="auto"/>
        <w:jc w:val="both"/>
        <w:rPr>
          <w:rFonts w:ascii="Palatino Linotype" w:hAnsi="Palatino Linotype" w:cs="Arial"/>
        </w:rPr>
      </w:pPr>
      <w:r w:rsidRPr="00A6293C">
        <w:rPr>
          <w:rFonts w:ascii="Palatino Linotype" w:hAnsi="Palatino Linotype" w:cs="Arial"/>
        </w:rPr>
        <w:t xml:space="preserve">En </w:t>
      </w:r>
      <w:r w:rsidRPr="00CA5653">
        <w:rPr>
          <w:rFonts w:ascii="Palatino Linotype" w:hAnsi="Palatino Linotype" w:cs="Arial"/>
        </w:rPr>
        <w:t xml:space="preserve">fecha </w:t>
      </w:r>
      <w:r w:rsidR="00834A20">
        <w:rPr>
          <w:rFonts w:ascii="Palatino Linotype" w:hAnsi="Palatino Linotype" w:cs="Arial"/>
        </w:rPr>
        <w:t>doce de julio</w:t>
      </w:r>
      <w:r w:rsidRPr="000477A9">
        <w:rPr>
          <w:rFonts w:ascii="Palatino Linotype" w:hAnsi="Palatino Linotype" w:cs="Arial"/>
        </w:rPr>
        <w:t xml:space="preserve"> de dos mil veintiuno</w:t>
      </w:r>
      <w:r w:rsidRPr="00CA5653">
        <w:rPr>
          <w:rFonts w:ascii="Palatino Linotype" w:hAnsi="Palatino Linotype" w:cs="Arial"/>
        </w:rPr>
        <w:t>,</w:t>
      </w:r>
      <w:r w:rsidRPr="00A6293C">
        <w:rPr>
          <w:rFonts w:ascii="Palatino Linotype" w:hAnsi="Palatino Linotype" w:cs="Arial"/>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4AD29BEA" w14:textId="77777777" w:rsidR="006549E5" w:rsidRDefault="006549E5" w:rsidP="006549E5">
      <w:pPr>
        <w:pStyle w:val="Sinespaciado"/>
        <w:spacing w:line="360" w:lineRule="auto"/>
        <w:jc w:val="center"/>
        <w:rPr>
          <w:rFonts w:ascii="Palatino Linotype" w:hAnsi="Palatino Linotype"/>
          <w:b/>
          <w:sz w:val="28"/>
          <w:szCs w:val="28"/>
        </w:rPr>
      </w:pPr>
    </w:p>
    <w:p w14:paraId="0CB44730" w14:textId="77777777" w:rsidR="006549E5" w:rsidRPr="0014447C" w:rsidRDefault="006549E5" w:rsidP="006549E5">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7B1BB47B" w14:textId="77777777" w:rsidR="006549E5" w:rsidRDefault="006549E5" w:rsidP="006549E5">
      <w:pPr>
        <w:pStyle w:val="Sinespaciado"/>
        <w:spacing w:line="360" w:lineRule="auto"/>
        <w:jc w:val="both"/>
        <w:rPr>
          <w:rFonts w:ascii="Palatino Linotype" w:hAnsi="Palatino Linotype"/>
          <w:b/>
          <w:sz w:val="26"/>
          <w:szCs w:val="26"/>
        </w:rPr>
      </w:pPr>
    </w:p>
    <w:p w14:paraId="70E7CDCA"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07CEA902" w14:textId="77777777" w:rsidR="006549E5" w:rsidRDefault="006549E5" w:rsidP="006549E5">
      <w:pPr>
        <w:spacing w:line="360" w:lineRule="auto"/>
        <w:jc w:val="both"/>
        <w:rPr>
          <w:rFonts w:ascii="Palatino Linotype" w:hAnsi="Palatino Linotype" w:cs="Arial"/>
        </w:rPr>
      </w:pPr>
      <w:r>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Pr>
          <w:rFonts w:ascii="Palatino Linotype" w:hAnsi="Palatino Linotype" w:cs="Arial"/>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1E36777D" w14:textId="77777777" w:rsidR="006549E5" w:rsidRDefault="006549E5" w:rsidP="006549E5">
      <w:pPr>
        <w:spacing w:line="360" w:lineRule="auto"/>
        <w:jc w:val="both"/>
        <w:rPr>
          <w:rFonts w:ascii="Palatino Linotype" w:hAnsi="Palatino Linotype" w:cs="Arial"/>
        </w:rPr>
      </w:pPr>
    </w:p>
    <w:p w14:paraId="2A92AE02" w14:textId="77777777" w:rsidR="006549E5" w:rsidRDefault="006549E5" w:rsidP="006549E5">
      <w:pPr>
        <w:spacing w:line="360" w:lineRule="auto"/>
        <w:jc w:val="both"/>
        <w:rPr>
          <w:rFonts w:ascii="Palatino Linotype" w:hAnsi="Palatino Linotype" w:cs="Arial"/>
        </w:rPr>
      </w:pPr>
      <w:r>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82A5406" w14:textId="77777777" w:rsidR="006549E5" w:rsidRPr="00937BFA" w:rsidRDefault="006549E5" w:rsidP="006549E5">
      <w:pPr>
        <w:pStyle w:val="Sinespaciado"/>
        <w:spacing w:line="360" w:lineRule="auto"/>
        <w:jc w:val="both"/>
        <w:rPr>
          <w:rFonts w:ascii="Palatino Linotype" w:hAnsi="Palatino Linotype"/>
          <w:sz w:val="24"/>
          <w:szCs w:val="24"/>
        </w:rPr>
      </w:pPr>
    </w:p>
    <w:p w14:paraId="6AE64717" w14:textId="77777777" w:rsidR="006549E5" w:rsidRDefault="006549E5" w:rsidP="006549E5">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1F422030"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46D99B64" w14:textId="77777777" w:rsidR="006549E5"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52B2FE2" w14:textId="77777777" w:rsidR="006549E5" w:rsidRDefault="006549E5" w:rsidP="006549E5">
      <w:pPr>
        <w:pStyle w:val="Sinespaciado"/>
        <w:spacing w:line="360" w:lineRule="auto"/>
        <w:jc w:val="both"/>
        <w:rPr>
          <w:rFonts w:ascii="Palatino Linotype" w:hAnsi="Palatino Linotype"/>
          <w:sz w:val="24"/>
          <w:szCs w:val="24"/>
        </w:rPr>
      </w:pPr>
    </w:p>
    <w:p w14:paraId="04D8C1CE" w14:textId="77777777" w:rsidR="006549E5" w:rsidRPr="004F59FF" w:rsidRDefault="006549E5" w:rsidP="006549E5">
      <w:pPr>
        <w:pStyle w:val="Sinespaciado"/>
        <w:jc w:val="both"/>
        <w:rPr>
          <w:rFonts w:ascii="Palatino Linotype" w:hAnsi="Palatino Linotype"/>
          <w:b/>
          <w:sz w:val="14"/>
          <w:szCs w:val="26"/>
          <w:lang w:val="es-ES"/>
        </w:rPr>
      </w:pPr>
    </w:p>
    <w:p w14:paraId="0A8FA101" w14:textId="77777777" w:rsidR="006549E5" w:rsidRPr="0014447C" w:rsidRDefault="006549E5" w:rsidP="006549E5">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43205A70" w14:textId="77777777" w:rsidR="006549E5" w:rsidRPr="0014447C"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B3A4192" w14:textId="77777777" w:rsidR="006549E5" w:rsidRPr="0014447C" w:rsidRDefault="006549E5" w:rsidP="006549E5">
      <w:pPr>
        <w:pStyle w:val="Sinespaciado"/>
        <w:spacing w:line="360" w:lineRule="auto"/>
        <w:jc w:val="both"/>
        <w:rPr>
          <w:rFonts w:ascii="Palatino Linotype" w:hAnsi="Palatino Linotype"/>
          <w:sz w:val="24"/>
          <w:szCs w:val="24"/>
        </w:rPr>
      </w:pPr>
    </w:p>
    <w:p w14:paraId="14F25170" w14:textId="77777777" w:rsidR="006549E5"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2F2AEF89" w14:textId="77777777" w:rsidR="006549E5" w:rsidRPr="0014447C" w:rsidRDefault="006549E5" w:rsidP="006549E5">
      <w:pPr>
        <w:pStyle w:val="Sinespaciado"/>
        <w:spacing w:line="360" w:lineRule="auto"/>
        <w:jc w:val="both"/>
        <w:rPr>
          <w:rFonts w:ascii="Palatino Linotype" w:hAnsi="Palatino Linotype"/>
          <w:sz w:val="24"/>
          <w:szCs w:val="24"/>
        </w:rPr>
      </w:pPr>
    </w:p>
    <w:p w14:paraId="1D3416F0" w14:textId="77777777" w:rsidR="006549E5" w:rsidRDefault="006549E5" w:rsidP="006549E5">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60C98E" w14:textId="77777777" w:rsidR="006549E5" w:rsidRDefault="006549E5" w:rsidP="006549E5">
      <w:pPr>
        <w:pStyle w:val="Sinespaciado"/>
        <w:spacing w:line="360" w:lineRule="auto"/>
        <w:jc w:val="both"/>
        <w:rPr>
          <w:rFonts w:ascii="Palatino Linotype" w:hAnsi="Palatino Linotype"/>
          <w:sz w:val="24"/>
          <w:szCs w:val="24"/>
        </w:rPr>
      </w:pPr>
    </w:p>
    <w:p w14:paraId="06213AA9" w14:textId="77777777" w:rsidR="006549E5" w:rsidRDefault="006549E5" w:rsidP="006549E5">
      <w:pPr>
        <w:pStyle w:val="Sinespaciado"/>
        <w:spacing w:line="360" w:lineRule="auto"/>
        <w:jc w:val="both"/>
        <w:rPr>
          <w:rFonts w:ascii="Palatino Linotype" w:hAnsi="Palatino Linotype"/>
          <w:sz w:val="24"/>
          <w:szCs w:val="24"/>
        </w:rPr>
      </w:pPr>
    </w:p>
    <w:p w14:paraId="43D4126D" w14:textId="77777777" w:rsidR="006549E5" w:rsidRDefault="006549E5" w:rsidP="006549E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39D3BFCE" w14:textId="77777777" w:rsidR="006549E5" w:rsidRDefault="006549E5" w:rsidP="006549E5">
      <w:pPr>
        <w:autoSpaceDE w:val="0"/>
        <w:autoSpaceDN w:val="0"/>
        <w:adjustRightInd w:val="0"/>
        <w:spacing w:line="360" w:lineRule="auto"/>
        <w:jc w:val="both"/>
        <w:rPr>
          <w:rFonts w:ascii="Palatino Linotype" w:hAnsi="Palatino Linotype" w:cs="Arial"/>
        </w:rPr>
      </w:pPr>
      <w:r w:rsidRPr="00AD2A5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B72245F" w14:textId="77777777" w:rsidR="006549E5" w:rsidRPr="00AD2A55" w:rsidRDefault="006549E5" w:rsidP="006549E5">
      <w:pPr>
        <w:autoSpaceDE w:val="0"/>
        <w:autoSpaceDN w:val="0"/>
        <w:adjustRightInd w:val="0"/>
        <w:spacing w:line="360" w:lineRule="auto"/>
        <w:jc w:val="both"/>
        <w:rPr>
          <w:rFonts w:ascii="Palatino Linotype" w:hAnsi="Palatino Linotype" w:cs="Arial"/>
        </w:rPr>
      </w:pPr>
    </w:p>
    <w:p w14:paraId="34E9FE85" w14:textId="77777777" w:rsidR="006549E5" w:rsidRDefault="006549E5" w:rsidP="006549E5">
      <w:pPr>
        <w:spacing w:line="360" w:lineRule="auto"/>
        <w:jc w:val="both"/>
        <w:rPr>
          <w:rFonts w:ascii="Palatino Linotype" w:hAnsi="Palatino Linotype"/>
        </w:rPr>
      </w:pPr>
      <w:r w:rsidRPr="008D7AC2">
        <w:rPr>
          <w:rFonts w:ascii="Palatino Linotype" w:hAnsi="Palatino Linotype"/>
        </w:rPr>
        <w:lastRenderedPageBreak/>
        <w:t xml:space="preserve">Con el propósito de resolver </w:t>
      </w:r>
      <w:r>
        <w:rPr>
          <w:rFonts w:ascii="Palatino Linotype" w:hAnsi="Palatino Linotype"/>
        </w:rPr>
        <w:t>el</w:t>
      </w:r>
      <w:r w:rsidRPr="008D7AC2">
        <w:rPr>
          <w:rFonts w:ascii="Palatino Linotype" w:hAnsi="Palatino Linotype"/>
        </w:rPr>
        <w:t xml:space="preserve"> presente medio de impugnación, es conveniente recordar que </w:t>
      </w:r>
      <w:r>
        <w:rPr>
          <w:rFonts w:ascii="Palatino Linotype" w:hAnsi="Palatino Linotype"/>
        </w:rPr>
        <w:t>la parte</w:t>
      </w:r>
      <w:r w:rsidRPr="008D7AC2">
        <w:rPr>
          <w:rFonts w:ascii="Palatino Linotype" w:hAnsi="Palatino Linotype"/>
        </w:rPr>
        <w:t xml:space="preserve"> </w:t>
      </w:r>
      <w:r w:rsidRPr="008D7AC2">
        <w:rPr>
          <w:rFonts w:ascii="Palatino Linotype" w:hAnsi="Palatino Linotype"/>
          <w:b/>
        </w:rPr>
        <w:t>Recurrente</w:t>
      </w:r>
      <w:r w:rsidRPr="008D7AC2">
        <w:rPr>
          <w:rFonts w:ascii="Palatino Linotype" w:hAnsi="Palatino Linotype"/>
        </w:rPr>
        <w:t xml:space="preserve"> solicitó</w:t>
      </w:r>
      <w:r w:rsidRPr="008D7AC2">
        <w:rPr>
          <w:rFonts w:ascii="Calibri" w:eastAsia="Calibri" w:hAnsi="Calibri"/>
        </w:rPr>
        <w:t xml:space="preserve"> </w:t>
      </w:r>
      <w:r w:rsidRPr="008D7AC2">
        <w:rPr>
          <w:rFonts w:ascii="Palatino Linotype" w:hAnsi="Palatino Linotype"/>
        </w:rPr>
        <w:t xml:space="preserve">al </w:t>
      </w:r>
      <w:r w:rsidRPr="008D7AC2">
        <w:rPr>
          <w:rFonts w:ascii="Palatino Linotype" w:hAnsi="Palatino Linotype"/>
          <w:b/>
        </w:rPr>
        <w:t>Sujeto Obligado</w:t>
      </w:r>
      <w:r w:rsidRPr="008D7AC2">
        <w:rPr>
          <w:rFonts w:ascii="Palatino Linotype" w:hAnsi="Palatino Linotype"/>
        </w:rPr>
        <w:t xml:space="preserve"> que se le proporcionara</w:t>
      </w:r>
      <w:r>
        <w:rPr>
          <w:rFonts w:ascii="Palatino Linotype" w:hAnsi="Palatino Linotype" w:cs="Arial"/>
        </w:rPr>
        <w:t>,</w:t>
      </w:r>
      <w:r w:rsidRPr="008D7AC2">
        <w:rPr>
          <w:rFonts w:ascii="Palatino Linotype" w:hAnsi="Palatino Linotype"/>
        </w:rPr>
        <w:t xml:space="preserve"> objetivamente lo siguiente:</w:t>
      </w:r>
    </w:p>
    <w:p w14:paraId="0FD5FC07" w14:textId="77777777" w:rsidR="006549E5" w:rsidRDefault="006549E5" w:rsidP="006549E5">
      <w:pPr>
        <w:pStyle w:val="Sinespaciado"/>
        <w:spacing w:line="360" w:lineRule="auto"/>
        <w:jc w:val="both"/>
        <w:rPr>
          <w:rFonts w:ascii="Palatino Linotype" w:hAnsi="Palatino Linotype"/>
        </w:rPr>
      </w:pPr>
    </w:p>
    <w:p w14:paraId="1D4B4441" w14:textId="77777777" w:rsidR="00113A8A" w:rsidRPr="00223B10" w:rsidRDefault="00113A8A" w:rsidP="00113A8A">
      <w:pPr>
        <w:pStyle w:val="Prrafodelista"/>
        <w:numPr>
          <w:ilvl w:val="0"/>
          <w:numId w:val="39"/>
        </w:numPr>
        <w:tabs>
          <w:tab w:val="left" w:pos="709"/>
        </w:tabs>
        <w:spacing w:line="360" w:lineRule="auto"/>
        <w:jc w:val="both"/>
        <w:rPr>
          <w:rFonts w:ascii="Palatino Linotype" w:hAnsi="Palatino Linotype"/>
        </w:rPr>
      </w:pPr>
      <w:r w:rsidRPr="00223B10">
        <w:rPr>
          <w:rFonts w:ascii="Palatino Linotype" w:hAnsi="Palatino Linotype"/>
        </w:rPr>
        <w:t xml:space="preserve">Los expedientes de adquisiciones por excepción a la Licitación Pública que se hayan realizado durante los ejercicios 2017, 2018, 2019 y 2020. </w:t>
      </w:r>
    </w:p>
    <w:p w14:paraId="6B863AD1" w14:textId="77777777" w:rsidR="00113A8A" w:rsidRPr="00223B10" w:rsidRDefault="00113A8A" w:rsidP="00113A8A">
      <w:pPr>
        <w:pStyle w:val="Prrafodelista"/>
        <w:numPr>
          <w:ilvl w:val="0"/>
          <w:numId w:val="39"/>
        </w:numPr>
        <w:tabs>
          <w:tab w:val="left" w:pos="709"/>
        </w:tabs>
        <w:spacing w:line="360" w:lineRule="auto"/>
        <w:jc w:val="both"/>
        <w:rPr>
          <w:rFonts w:ascii="Palatino Linotype" w:hAnsi="Palatino Linotype"/>
        </w:rPr>
      </w:pPr>
      <w:r>
        <w:rPr>
          <w:rFonts w:ascii="Palatino Linotype" w:hAnsi="Palatino Linotype"/>
        </w:rPr>
        <w:t>L</w:t>
      </w:r>
      <w:r w:rsidRPr="00223B10">
        <w:rPr>
          <w:rFonts w:ascii="Palatino Linotype" w:hAnsi="Palatino Linotype"/>
        </w:rPr>
        <w:t xml:space="preserve">os expedientes que fueron resueltos en materia de autorización de pensiones durante los ejercicios 2018, 2019 y 2020. </w:t>
      </w:r>
    </w:p>
    <w:p w14:paraId="178B4F87" w14:textId="77777777" w:rsidR="00113A8A" w:rsidRPr="00223B10" w:rsidRDefault="00113A8A" w:rsidP="00113A8A">
      <w:pPr>
        <w:pStyle w:val="Prrafodelista"/>
        <w:numPr>
          <w:ilvl w:val="0"/>
          <w:numId w:val="39"/>
        </w:numPr>
        <w:tabs>
          <w:tab w:val="left" w:pos="709"/>
        </w:tabs>
        <w:spacing w:line="360" w:lineRule="auto"/>
        <w:jc w:val="both"/>
        <w:rPr>
          <w:rFonts w:ascii="Palatino Linotype" w:hAnsi="Palatino Linotype"/>
        </w:rPr>
      </w:pPr>
      <w:r>
        <w:rPr>
          <w:rFonts w:ascii="Palatino Linotype" w:hAnsi="Palatino Linotype"/>
        </w:rPr>
        <w:t>L</w:t>
      </w:r>
      <w:r w:rsidRPr="00223B10">
        <w:rPr>
          <w:rFonts w:ascii="Palatino Linotype" w:hAnsi="Palatino Linotype"/>
        </w:rPr>
        <w:t>as acciones de control y evaluación que se han realizado en materia de pensiones y cuáles han sido sus resultados y, en su caso, las sanciones que se han impuesto, correspondientes a los ejercicios 2018, 2019 y 2020.</w:t>
      </w:r>
    </w:p>
    <w:p w14:paraId="66A118BD" w14:textId="77777777" w:rsidR="006549E5" w:rsidRPr="00113A8A" w:rsidRDefault="006549E5" w:rsidP="006549E5">
      <w:pPr>
        <w:pStyle w:val="Sinespaciado"/>
        <w:spacing w:line="360" w:lineRule="auto"/>
        <w:ind w:left="1080"/>
        <w:jc w:val="both"/>
        <w:rPr>
          <w:rFonts w:ascii="Palatino Linotype" w:hAnsi="Palatino Linotype"/>
          <w:lang w:val="es-ES"/>
        </w:rPr>
      </w:pPr>
    </w:p>
    <w:p w14:paraId="326F5E31" w14:textId="77777777" w:rsidR="00BA5FE9" w:rsidRDefault="006549E5" w:rsidP="00113A8A">
      <w:pPr>
        <w:spacing w:before="240" w:line="360" w:lineRule="auto"/>
        <w:jc w:val="both"/>
        <w:rPr>
          <w:rFonts w:ascii="Palatino Linotype" w:hAnsi="Palatino Linotype"/>
        </w:rPr>
      </w:pPr>
      <w:r w:rsidRPr="008D7AC2">
        <w:rPr>
          <w:rFonts w:ascii="Palatino Linotype" w:hAnsi="Palatino Linotype"/>
        </w:rPr>
        <w:t xml:space="preserve">Atento a la solicitud de información, el </w:t>
      </w:r>
      <w:r w:rsidRPr="008D7AC2">
        <w:rPr>
          <w:rFonts w:ascii="Palatino Linotype" w:hAnsi="Palatino Linotype"/>
          <w:b/>
        </w:rPr>
        <w:t>Sujeto Obligado</w:t>
      </w:r>
      <w:r w:rsidRPr="008D7AC2">
        <w:rPr>
          <w:rFonts w:ascii="Palatino Linotype" w:hAnsi="Palatino Linotype"/>
        </w:rPr>
        <w:t xml:space="preserve"> emitió su respuesta, </w:t>
      </w:r>
      <w:r w:rsidR="00BA5FE9">
        <w:rPr>
          <w:rFonts w:ascii="Palatino Linotype" w:hAnsi="Palatino Linotype"/>
        </w:rPr>
        <w:t xml:space="preserve">informando que lo siguiente:  </w:t>
      </w:r>
    </w:p>
    <w:p w14:paraId="32FB5CE7" w14:textId="36AC096E" w:rsidR="00BA5FE9" w:rsidRDefault="00BA5FE9" w:rsidP="00113A8A">
      <w:pPr>
        <w:spacing w:before="240" w:line="360" w:lineRule="auto"/>
        <w:jc w:val="both"/>
        <w:rPr>
          <w:rFonts w:ascii="Palatino Linotype" w:hAnsi="Palatino Linotype"/>
        </w:rPr>
      </w:pPr>
      <w:r>
        <w:rPr>
          <w:rFonts w:ascii="Palatino Linotype" w:hAnsi="Palatino Linotype"/>
        </w:rPr>
        <w:t>L</w:t>
      </w:r>
      <w:r w:rsidRPr="00BA5FE9">
        <w:rPr>
          <w:rFonts w:ascii="Palatino Linotype" w:hAnsi="Palatino Linotype"/>
        </w:rPr>
        <w:t xml:space="preserve">os expedientes de los procesos de licitación y contratación de obra pública de los años 2017 los puede encontrar en la siguiente liga: </w:t>
      </w:r>
      <w:hyperlink r:id="rId7" w:history="1">
        <w:r w:rsidRPr="00CE4FB0">
          <w:rPr>
            <w:rStyle w:val="Hipervnculo"/>
            <w:rFonts w:ascii="Palatino Linotype" w:hAnsi="Palatino Linotype"/>
          </w:rPr>
          <w:t>https://www.ipomex.org.mx/ipo/lgt/indice/teotihuacan/licitaciones.web</w:t>
        </w:r>
      </w:hyperlink>
      <w:r>
        <w:rPr>
          <w:rFonts w:ascii="Palatino Linotype" w:hAnsi="Palatino Linotype"/>
        </w:rPr>
        <w:t xml:space="preserve">. </w:t>
      </w:r>
    </w:p>
    <w:p w14:paraId="66AC3D4D" w14:textId="77777777" w:rsidR="00BA5FE9" w:rsidRDefault="00BA5FE9" w:rsidP="00113A8A">
      <w:pPr>
        <w:spacing w:before="240" w:line="360" w:lineRule="auto"/>
        <w:jc w:val="both"/>
        <w:rPr>
          <w:rFonts w:ascii="Palatino Linotype" w:hAnsi="Palatino Linotype"/>
        </w:rPr>
      </w:pPr>
      <w:r>
        <w:rPr>
          <w:rFonts w:ascii="Palatino Linotype" w:hAnsi="Palatino Linotype"/>
        </w:rPr>
        <w:t>L</w:t>
      </w:r>
      <w:r w:rsidRPr="00BA5FE9">
        <w:rPr>
          <w:rFonts w:ascii="Palatino Linotype" w:hAnsi="Palatino Linotype"/>
        </w:rPr>
        <w:t>os expedientes de procesos de licitación de obra de los ejercicios 2018, 2019 y 2020 lo</w:t>
      </w:r>
      <w:r>
        <w:rPr>
          <w:rFonts w:ascii="Palatino Linotype" w:hAnsi="Palatino Linotype"/>
        </w:rPr>
        <w:t>s</w:t>
      </w:r>
      <w:r w:rsidRPr="00BA5FE9">
        <w:rPr>
          <w:rFonts w:ascii="Palatino Linotype" w:hAnsi="Palatino Linotype"/>
        </w:rPr>
        <w:t xml:space="preserve"> puede encontrar en la siguiente liga: </w:t>
      </w:r>
      <w:hyperlink r:id="rId8" w:history="1">
        <w:r w:rsidRPr="00CE4FB0">
          <w:rPr>
            <w:rStyle w:val="Hipervnculo"/>
            <w:rFonts w:ascii="Palatino Linotype" w:hAnsi="Palatino Linotype"/>
          </w:rPr>
          <w:t>https://www.ipomex.org.mx/ipo3/lgt/indice/TEOTIHUACAN/art_92_xxix_a.web</w:t>
        </w:r>
      </w:hyperlink>
      <w:r>
        <w:rPr>
          <w:rFonts w:ascii="Palatino Linotype" w:hAnsi="Palatino Linotype"/>
        </w:rPr>
        <w:t>.</w:t>
      </w:r>
    </w:p>
    <w:p w14:paraId="3EF4C977" w14:textId="77777777" w:rsidR="00BA5FE9" w:rsidRDefault="00BA5FE9" w:rsidP="00113A8A">
      <w:pPr>
        <w:spacing w:before="240" w:line="360" w:lineRule="auto"/>
        <w:jc w:val="both"/>
        <w:rPr>
          <w:rFonts w:ascii="Palatino Linotype" w:hAnsi="Palatino Linotype"/>
        </w:rPr>
      </w:pPr>
      <w:r>
        <w:rPr>
          <w:rFonts w:ascii="Palatino Linotype" w:hAnsi="Palatino Linotype"/>
        </w:rPr>
        <w:t xml:space="preserve"> L</w:t>
      </w:r>
      <w:r w:rsidRPr="00BA5FE9">
        <w:rPr>
          <w:rFonts w:ascii="Palatino Linotype" w:hAnsi="Palatino Linotype"/>
        </w:rPr>
        <w:t xml:space="preserve">os de adjudicación directa de los años 2018, 2019 y 2020 en la siguiente: </w:t>
      </w:r>
      <w:hyperlink r:id="rId9" w:history="1">
        <w:r w:rsidRPr="00CE4FB0">
          <w:rPr>
            <w:rStyle w:val="Hipervnculo"/>
            <w:rFonts w:ascii="Palatino Linotype" w:hAnsi="Palatino Linotype"/>
          </w:rPr>
          <w:t>https://www.ipomex.org.mx/ipo3/lgt/indice/TEOTIHUACAN/art_92_xxix_b.web</w:t>
        </w:r>
      </w:hyperlink>
      <w:r>
        <w:rPr>
          <w:rFonts w:ascii="Palatino Linotype" w:hAnsi="Palatino Linotype"/>
        </w:rPr>
        <w:t xml:space="preserve">. </w:t>
      </w:r>
      <w:r w:rsidRPr="00BA5FE9">
        <w:rPr>
          <w:rFonts w:ascii="Palatino Linotype" w:hAnsi="Palatino Linotype"/>
        </w:rPr>
        <w:t xml:space="preserve"> </w:t>
      </w:r>
    </w:p>
    <w:p w14:paraId="048D1704" w14:textId="647A111C" w:rsidR="00BA5FE9" w:rsidRDefault="00BA5FE9" w:rsidP="00113A8A">
      <w:pPr>
        <w:spacing w:before="240" w:line="360" w:lineRule="auto"/>
        <w:jc w:val="both"/>
        <w:rPr>
          <w:rFonts w:ascii="Palatino Linotype" w:hAnsi="Palatino Linotype"/>
        </w:rPr>
      </w:pPr>
      <w:r w:rsidRPr="00BA5FE9">
        <w:rPr>
          <w:rFonts w:ascii="Palatino Linotype" w:hAnsi="Palatino Linotype"/>
        </w:rPr>
        <w:lastRenderedPageBreak/>
        <w:t>Asimismo</w:t>
      </w:r>
      <w:r>
        <w:rPr>
          <w:rFonts w:ascii="Palatino Linotype" w:hAnsi="Palatino Linotype"/>
        </w:rPr>
        <w:t>, manifestó que</w:t>
      </w:r>
      <w:r w:rsidRPr="00BA5FE9">
        <w:rPr>
          <w:rFonts w:ascii="Palatino Linotype" w:hAnsi="Palatino Linotype"/>
        </w:rPr>
        <w:t xml:space="preserve"> </w:t>
      </w:r>
      <w:r w:rsidRPr="00BA5FE9">
        <w:rPr>
          <w:rFonts w:ascii="Palatino Linotype" w:hAnsi="Palatino Linotype"/>
          <w:b/>
          <w:bCs/>
        </w:rPr>
        <w:t>se adjuntan 2 contratos de adquisiciones y servicios</w:t>
      </w:r>
      <w:r w:rsidRPr="00BA5FE9">
        <w:rPr>
          <w:rFonts w:ascii="Palatino Linotype" w:hAnsi="Palatino Linotype"/>
        </w:rPr>
        <w:t xml:space="preserve">, los demás los puede encontrar publicados en la página </w:t>
      </w:r>
      <w:proofErr w:type="gramStart"/>
      <w:r w:rsidRPr="00BA5FE9">
        <w:rPr>
          <w:rFonts w:ascii="Palatino Linotype" w:hAnsi="Palatino Linotype"/>
        </w:rPr>
        <w:t>del</w:t>
      </w:r>
      <w:proofErr w:type="gramEnd"/>
      <w:r w:rsidRPr="00BA5FE9">
        <w:rPr>
          <w:rFonts w:ascii="Palatino Linotype" w:hAnsi="Palatino Linotype"/>
        </w:rPr>
        <w:t xml:space="preserve"> compra net</w:t>
      </w:r>
      <w:r>
        <w:rPr>
          <w:rFonts w:ascii="Palatino Linotype" w:hAnsi="Palatino Linotype"/>
        </w:rPr>
        <w:t xml:space="preserve"> en la liga electrónica</w:t>
      </w:r>
      <w:r w:rsidRPr="00BA5FE9">
        <w:rPr>
          <w:rFonts w:ascii="Palatino Linotype" w:hAnsi="Palatino Linotype"/>
        </w:rPr>
        <w:t xml:space="preserve">: </w:t>
      </w:r>
      <w:hyperlink r:id="rId10" w:history="1">
        <w:r w:rsidRPr="00CE4FB0">
          <w:rPr>
            <w:rStyle w:val="Hipervnculo"/>
            <w:rFonts w:ascii="Palatino Linotype" w:hAnsi="Palatino Linotype"/>
          </w:rPr>
          <w:t>https://compranet.hacienda.gob.mx/web/login.html</w:t>
        </w:r>
      </w:hyperlink>
      <w:r>
        <w:rPr>
          <w:rFonts w:ascii="Palatino Linotype" w:hAnsi="Palatino Linotype"/>
        </w:rPr>
        <w:t xml:space="preserve"> </w:t>
      </w:r>
    </w:p>
    <w:p w14:paraId="4D3EF150" w14:textId="7269EB70" w:rsidR="006549E5" w:rsidRDefault="00BA5FE9" w:rsidP="00113A8A">
      <w:pPr>
        <w:spacing w:before="240" w:line="360" w:lineRule="auto"/>
        <w:jc w:val="both"/>
        <w:rPr>
          <w:rFonts w:ascii="Palatino Linotype" w:hAnsi="Palatino Linotype"/>
          <w:szCs w:val="26"/>
        </w:rPr>
      </w:pPr>
      <w:r>
        <w:rPr>
          <w:rFonts w:ascii="Palatino Linotype" w:hAnsi="Palatino Linotype"/>
        </w:rPr>
        <w:t xml:space="preserve">De igual forma se precisa que </w:t>
      </w:r>
      <w:r>
        <w:rPr>
          <w:rFonts w:ascii="Palatino Linotype" w:eastAsia="Calibri" w:hAnsi="Palatino Linotype"/>
        </w:rPr>
        <w:t>adjunto a su respuesta</w:t>
      </w:r>
      <w:r w:rsidR="006549E5">
        <w:rPr>
          <w:rFonts w:ascii="Palatino Linotype" w:eastAsia="Calibri" w:hAnsi="Palatino Linotype"/>
        </w:rPr>
        <w:t xml:space="preserve"> </w:t>
      </w:r>
      <w:r w:rsidR="00C948F6" w:rsidRPr="00C948F6">
        <w:rPr>
          <w:rFonts w:ascii="Palatino Linotype" w:eastAsia="Calibri" w:hAnsi="Palatino Linotype"/>
        </w:rPr>
        <w:t>los archivos electrónicos denominados “Respuesta 42 -ip-2021 Administración.pdf”, “FAST.pdf” y “</w:t>
      </w:r>
      <w:proofErr w:type="spellStart"/>
      <w:r w:rsidR="00C948F6" w:rsidRPr="00C948F6">
        <w:rPr>
          <w:rFonts w:ascii="Palatino Linotype" w:eastAsia="Calibri" w:hAnsi="Palatino Linotype"/>
        </w:rPr>
        <w:t>Fast</w:t>
      </w:r>
      <w:proofErr w:type="spellEnd"/>
      <w:r w:rsidR="00C948F6" w:rsidRPr="00C948F6">
        <w:rPr>
          <w:rFonts w:ascii="Palatino Linotype" w:eastAsia="Calibri" w:hAnsi="Palatino Linotype"/>
        </w:rPr>
        <w:t xml:space="preserve"> 2.pdf</w:t>
      </w:r>
      <w:r w:rsidR="006549E5">
        <w:rPr>
          <w:rFonts w:ascii="Palatino Linotype" w:hAnsi="Palatino Linotype"/>
          <w:szCs w:val="26"/>
        </w:rPr>
        <w:t xml:space="preserve">, </w:t>
      </w:r>
      <w:r w:rsidR="00113A8A">
        <w:rPr>
          <w:rFonts w:ascii="Palatino Linotype" w:hAnsi="Palatino Linotype"/>
          <w:szCs w:val="26"/>
        </w:rPr>
        <w:t>los cuales se describen a continuación:</w:t>
      </w:r>
    </w:p>
    <w:p w14:paraId="7E6EA09F" w14:textId="77777777" w:rsidR="00113A8A" w:rsidRDefault="00113A8A" w:rsidP="00113A8A">
      <w:pPr>
        <w:spacing w:before="240" w:line="360" w:lineRule="auto"/>
        <w:jc w:val="both"/>
        <w:rPr>
          <w:rFonts w:ascii="Palatino Linotype" w:hAnsi="Palatino Linotype"/>
          <w:szCs w:val="26"/>
        </w:rPr>
      </w:pPr>
    </w:p>
    <w:p w14:paraId="02BC5E10" w14:textId="75397989" w:rsidR="006549E5" w:rsidRPr="00491574" w:rsidRDefault="008D74C3" w:rsidP="00113A8A">
      <w:pPr>
        <w:pStyle w:val="Prrafodelista"/>
        <w:numPr>
          <w:ilvl w:val="0"/>
          <w:numId w:val="40"/>
        </w:numPr>
        <w:spacing w:before="240" w:line="360" w:lineRule="auto"/>
        <w:jc w:val="both"/>
        <w:rPr>
          <w:rFonts w:ascii="Palatino Linotype" w:hAnsi="Palatino Linotype"/>
        </w:rPr>
      </w:pPr>
      <w:r w:rsidRPr="008D74C3">
        <w:rPr>
          <w:rFonts w:ascii="Palatino Linotype" w:hAnsi="Palatino Linotype"/>
          <w:b/>
          <w:bCs/>
          <w:szCs w:val="26"/>
        </w:rPr>
        <w:t>Respuesta 42 -ip-2021 Administración.pdf</w:t>
      </w:r>
      <w:r w:rsidR="00113A8A" w:rsidRPr="00491574">
        <w:rPr>
          <w:rFonts w:ascii="Palatino Linotype" w:hAnsi="Palatino Linotype"/>
          <w:b/>
          <w:bCs/>
          <w:szCs w:val="26"/>
        </w:rPr>
        <w:t>:</w:t>
      </w:r>
      <w:r>
        <w:rPr>
          <w:rFonts w:ascii="Palatino Linotype" w:hAnsi="Palatino Linotype"/>
          <w:szCs w:val="26"/>
        </w:rPr>
        <w:t xml:space="preserve"> Documento electrónico que contiene el oficio número DA/0101/2021, signado por el Director de Administración y Remitido al Titular de la Unidad de Transparencia, ambos del Sujeto obligado, a través del cual, medularmente informa que en lo que respecta a los </w:t>
      </w:r>
      <w:r w:rsidR="00A36054">
        <w:rPr>
          <w:rFonts w:ascii="Palatino Linotype" w:hAnsi="Palatino Linotype"/>
          <w:szCs w:val="26"/>
        </w:rPr>
        <w:t>puntos</w:t>
      </w:r>
      <w:r>
        <w:rPr>
          <w:rFonts w:ascii="Palatino Linotype" w:hAnsi="Palatino Linotype"/>
          <w:szCs w:val="26"/>
        </w:rPr>
        <w:t xml:space="preserve"> </w:t>
      </w:r>
      <w:r w:rsidR="00A36054">
        <w:rPr>
          <w:rFonts w:ascii="Palatino Linotype" w:hAnsi="Palatino Linotype"/>
          <w:szCs w:val="26"/>
        </w:rPr>
        <w:t>2 y 3 de la solicitud de información, ese Ayuntamiento de Teotihuacan no genera la información, informando que quien genera dicha información el Instituto de Seguridad Social del Estado de México y Municipios (ISSEMYM)</w:t>
      </w:r>
      <w:r w:rsidR="00491574">
        <w:rPr>
          <w:rFonts w:ascii="Palatino Linotype" w:hAnsi="Palatino Linotype"/>
          <w:szCs w:val="26"/>
        </w:rPr>
        <w:t>.</w:t>
      </w:r>
    </w:p>
    <w:p w14:paraId="274AC9B5" w14:textId="59E1D866" w:rsidR="00886407" w:rsidRPr="008B7717" w:rsidRDefault="00C06655" w:rsidP="007B3CEC">
      <w:pPr>
        <w:pStyle w:val="Prrafodelista"/>
        <w:numPr>
          <w:ilvl w:val="0"/>
          <w:numId w:val="40"/>
        </w:numPr>
        <w:spacing w:before="240" w:line="360" w:lineRule="auto"/>
        <w:jc w:val="both"/>
        <w:rPr>
          <w:rFonts w:ascii="Palatino Linotype" w:hAnsi="Palatino Linotype"/>
        </w:rPr>
      </w:pPr>
      <w:r w:rsidRPr="00C06655">
        <w:rPr>
          <w:rFonts w:ascii="Palatino Linotype" w:hAnsi="Palatino Linotype"/>
          <w:b/>
          <w:bCs/>
          <w:szCs w:val="26"/>
        </w:rPr>
        <w:t>FAST.pdf</w:t>
      </w:r>
      <w:r w:rsidR="00886407">
        <w:rPr>
          <w:rFonts w:ascii="Palatino Linotype" w:hAnsi="Palatino Linotype"/>
          <w:b/>
          <w:bCs/>
          <w:szCs w:val="26"/>
        </w:rPr>
        <w:t xml:space="preserve"> y </w:t>
      </w:r>
      <w:proofErr w:type="spellStart"/>
      <w:r w:rsidR="00886407" w:rsidRPr="00886407">
        <w:rPr>
          <w:rFonts w:ascii="Palatino Linotype" w:hAnsi="Palatino Linotype"/>
          <w:b/>
          <w:bCs/>
          <w:szCs w:val="26"/>
        </w:rPr>
        <w:t>Fast</w:t>
      </w:r>
      <w:proofErr w:type="spellEnd"/>
      <w:r w:rsidR="00886407" w:rsidRPr="00886407">
        <w:rPr>
          <w:rFonts w:ascii="Palatino Linotype" w:hAnsi="Palatino Linotype"/>
          <w:b/>
          <w:bCs/>
          <w:szCs w:val="26"/>
        </w:rPr>
        <w:t xml:space="preserve"> 2.pdf</w:t>
      </w:r>
      <w:r w:rsidR="00491574">
        <w:rPr>
          <w:rFonts w:ascii="Palatino Linotype" w:hAnsi="Palatino Linotype"/>
          <w:szCs w:val="26"/>
        </w:rPr>
        <w:t>: Documento</w:t>
      </w:r>
      <w:r w:rsidR="00886407">
        <w:rPr>
          <w:rFonts w:ascii="Palatino Linotype" w:hAnsi="Palatino Linotype"/>
          <w:szCs w:val="26"/>
        </w:rPr>
        <w:t>s</w:t>
      </w:r>
      <w:r w:rsidR="00491574">
        <w:rPr>
          <w:rFonts w:ascii="Palatino Linotype" w:hAnsi="Palatino Linotype"/>
          <w:szCs w:val="26"/>
        </w:rPr>
        <w:t xml:space="preserve"> </w:t>
      </w:r>
      <w:r>
        <w:rPr>
          <w:rFonts w:ascii="Palatino Linotype" w:hAnsi="Palatino Linotype"/>
          <w:szCs w:val="26"/>
        </w:rPr>
        <w:t xml:space="preserve">que </w:t>
      </w:r>
      <w:r w:rsidR="00886407">
        <w:rPr>
          <w:rFonts w:ascii="Palatino Linotype" w:hAnsi="Palatino Linotype"/>
          <w:szCs w:val="26"/>
        </w:rPr>
        <w:t xml:space="preserve">el primero de ellos </w:t>
      </w:r>
      <w:r>
        <w:rPr>
          <w:rFonts w:ascii="Palatino Linotype" w:hAnsi="Palatino Linotype"/>
          <w:szCs w:val="26"/>
        </w:rPr>
        <w:t>contiene 423 páginas</w:t>
      </w:r>
      <w:r w:rsidR="00886407">
        <w:rPr>
          <w:rFonts w:ascii="Palatino Linotype" w:hAnsi="Palatino Linotype"/>
          <w:szCs w:val="26"/>
        </w:rPr>
        <w:t xml:space="preserve"> y el segundo 231</w:t>
      </w:r>
      <w:r>
        <w:rPr>
          <w:rFonts w:ascii="Palatino Linotype" w:hAnsi="Palatino Linotype"/>
          <w:szCs w:val="26"/>
        </w:rPr>
        <w:t xml:space="preserve"> de las que se advierte </w:t>
      </w:r>
      <w:r w:rsidR="00886407">
        <w:rPr>
          <w:rFonts w:ascii="Palatino Linotype" w:hAnsi="Palatino Linotype"/>
          <w:szCs w:val="26"/>
        </w:rPr>
        <w:t>dos</w:t>
      </w:r>
      <w:r>
        <w:rPr>
          <w:rFonts w:ascii="Palatino Linotype" w:hAnsi="Palatino Linotype"/>
          <w:szCs w:val="26"/>
        </w:rPr>
        <w:t xml:space="preserve"> expediente</w:t>
      </w:r>
      <w:r w:rsidR="00886407">
        <w:rPr>
          <w:rFonts w:ascii="Palatino Linotype" w:hAnsi="Palatino Linotype"/>
          <w:szCs w:val="26"/>
        </w:rPr>
        <w:t>s</w:t>
      </w:r>
      <w:r>
        <w:rPr>
          <w:rFonts w:ascii="Palatino Linotype" w:hAnsi="Palatino Linotype"/>
          <w:szCs w:val="26"/>
        </w:rPr>
        <w:t xml:space="preserve"> formado</w:t>
      </w:r>
      <w:r w:rsidR="00886407">
        <w:rPr>
          <w:rFonts w:ascii="Palatino Linotype" w:hAnsi="Palatino Linotype"/>
          <w:szCs w:val="26"/>
        </w:rPr>
        <w:t>s</w:t>
      </w:r>
      <w:r>
        <w:rPr>
          <w:rFonts w:ascii="Palatino Linotype" w:hAnsi="Palatino Linotype"/>
          <w:szCs w:val="26"/>
        </w:rPr>
        <w:t xml:space="preserve"> con motivo de la compra </w:t>
      </w:r>
      <w:r w:rsidR="00886407">
        <w:rPr>
          <w:rFonts w:ascii="Palatino Linotype" w:hAnsi="Palatino Linotype"/>
          <w:szCs w:val="26"/>
        </w:rPr>
        <w:t>de equipo</w:t>
      </w:r>
      <w:r>
        <w:rPr>
          <w:rFonts w:ascii="Palatino Linotype" w:hAnsi="Palatino Linotype"/>
          <w:szCs w:val="26"/>
        </w:rPr>
        <w:t xml:space="preserve"> de Seguridad Pública, en las cuales constan los apartados referentes a la requisición de área usuaria, invitación a empresas para estudio de mercado, cotizaciones de empresas, investigación de mercado, solicitud de suficiencia presupuestaria, sesiones del comité de </w:t>
      </w:r>
      <w:r w:rsidR="00886407">
        <w:rPr>
          <w:rFonts w:ascii="Palatino Linotype" w:hAnsi="Palatino Linotype"/>
          <w:szCs w:val="26"/>
        </w:rPr>
        <w:t>adquisiciones,</w:t>
      </w:r>
      <w:r>
        <w:rPr>
          <w:rFonts w:ascii="Palatino Linotype" w:hAnsi="Palatino Linotype"/>
          <w:szCs w:val="26"/>
        </w:rPr>
        <w:t xml:space="preserve"> así como el contrato de compraventa y pedido de compra</w:t>
      </w:r>
      <w:r w:rsidR="008405F5">
        <w:rPr>
          <w:rFonts w:ascii="Palatino Linotype" w:hAnsi="Palatino Linotype"/>
          <w:szCs w:val="26"/>
        </w:rPr>
        <w:t xml:space="preserve">, de los cuales, es preciso </w:t>
      </w:r>
      <w:r w:rsidR="008405F5">
        <w:rPr>
          <w:rFonts w:ascii="Palatino Linotype" w:hAnsi="Palatino Linotype"/>
          <w:szCs w:val="26"/>
        </w:rPr>
        <w:lastRenderedPageBreak/>
        <w:t>señalar que</w:t>
      </w:r>
      <w:r w:rsidR="008405F5" w:rsidRPr="008405F5">
        <w:t xml:space="preserve"> </w:t>
      </w:r>
      <w:r w:rsidR="008405F5" w:rsidRPr="008405F5">
        <w:rPr>
          <w:rFonts w:ascii="Palatino Linotype" w:hAnsi="Palatino Linotype"/>
          <w:szCs w:val="26"/>
        </w:rPr>
        <w:t>al momento de presentar la documentación, dejó datos visibles que pueden considerarse información confidencial (</w:t>
      </w:r>
      <w:r w:rsidR="008405F5">
        <w:rPr>
          <w:rFonts w:ascii="Palatino Linotype" w:hAnsi="Palatino Linotype"/>
          <w:szCs w:val="26"/>
        </w:rPr>
        <w:t>de forma íntegra Credenciales de elector, CURP, actas de nacimiento, fotografía en cédula profesional</w:t>
      </w:r>
      <w:r w:rsidR="008405F5" w:rsidRPr="008405F5">
        <w:rPr>
          <w:rFonts w:ascii="Palatino Linotype" w:hAnsi="Palatino Linotype"/>
          <w:szCs w:val="26"/>
        </w:rPr>
        <w:t xml:space="preserve">), </w:t>
      </w:r>
      <w:r w:rsidR="008405F5">
        <w:rPr>
          <w:rFonts w:ascii="Palatino Linotype" w:hAnsi="Palatino Linotype"/>
          <w:szCs w:val="26"/>
        </w:rPr>
        <w:t xml:space="preserve"> así como información considerada como reservada correspondiente a las especificaciones técnicas del equipo de seguridad pública; </w:t>
      </w:r>
      <w:r w:rsidR="008405F5" w:rsidRPr="008405F5">
        <w:rPr>
          <w:rFonts w:ascii="Palatino Linotype" w:hAnsi="Palatino Linotype"/>
          <w:szCs w:val="26"/>
        </w:rPr>
        <w:t>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por ello, se hará del conocimiento de la Dirección de Protección de Datos Personales de este Instituto de las posibles infracciones en que el Sujeto Obligado incurrió, para que en ejercicio de sus atribuciones contenidas en el numeral 24, fracciones V, XI y XII,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3FB5C83E" w14:textId="77777777" w:rsidR="008B7717" w:rsidRPr="008B7717" w:rsidRDefault="008B7717" w:rsidP="008B7717">
      <w:pPr>
        <w:pStyle w:val="Prrafodelista"/>
        <w:spacing w:before="240" w:line="360" w:lineRule="auto"/>
        <w:ind w:left="720"/>
        <w:jc w:val="both"/>
        <w:rPr>
          <w:rFonts w:ascii="Palatino Linotype" w:hAnsi="Palatino Linotype"/>
        </w:rPr>
      </w:pPr>
    </w:p>
    <w:p w14:paraId="318495AB" w14:textId="2B0F4AAC" w:rsidR="006549E5" w:rsidRPr="008B7717" w:rsidRDefault="007B3CEC" w:rsidP="008B7717">
      <w:pPr>
        <w:spacing w:line="360" w:lineRule="auto"/>
        <w:jc w:val="both"/>
        <w:rPr>
          <w:rFonts w:ascii="Palatino Linotype" w:hAnsi="Palatino Linotype" w:cs="Arial"/>
        </w:rPr>
      </w:pPr>
      <w:r>
        <w:rPr>
          <w:rFonts w:ascii="Palatino Linotype" w:hAnsi="Palatino Linotype" w:cs="Arial"/>
        </w:rPr>
        <w:lastRenderedPageBreak/>
        <w:t xml:space="preserve">Derivado de la respuesta que le fue </w:t>
      </w:r>
      <w:r w:rsidRPr="00C2600D">
        <w:rPr>
          <w:rFonts w:ascii="Palatino Linotype" w:hAnsi="Palatino Linotype" w:cs="Arial"/>
        </w:rPr>
        <w:t xml:space="preserve">proporcionada, el </w:t>
      </w:r>
      <w:r w:rsidRPr="00C2600D">
        <w:rPr>
          <w:rFonts w:ascii="Palatino Linotype" w:hAnsi="Palatino Linotype" w:cs="Arial"/>
          <w:b/>
        </w:rPr>
        <w:t>recurrente</w:t>
      </w:r>
      <w:r w:rsidRPr="00C2600D">
        <w:rPr>
          <w:rFonts w:ascii="Palatino Linotype" w:hAnsi="Palatino Linotype" w:cs="Arial"/>
        </w:rPr>
        <w:t xml:space="preserve"> interpone el presente recurso de revisión, haciendo valer sustancial</w:t>
      </w:r>
      <w:r>
        <w:rPr>
          <w:rFonts w:ascii="Palatino Linotype" w:hAnsi="Palatino Linotype" w:cs="Arial"/>
        </w:rPr>
        <w:t>mente que no le fue entregada la totalidad de la información, razones o motivos de inconformidad que resultan fundados para interponer el recurso de revisión, al encuadrar en el supuesto consagrado en la fracción V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rPr>
        <w:t>.</w:t>
      </w:r>
    </w:p>
    <w:p w14:paraId="12141924" w14:textId="28153B6B" w:rsidR="00F9743E" w:rsidRDefault="00F9743E" w:rsidP="006549E5">
      <w:pPr>
        <w:autoSpaceDE w:val="0"/>
        <w:autoSpaceDN w:val="0"/>
        <w:adjustRightInd w:val="0"/>
        <w:spacing w:line="360" w:lineRule="auto"/>
        <w:jc w:val="both"/>
        <w:rPr>
          <w:rFonts w:ascii="Palatino Linotype" w:hAnsi="Palatino Linotype" w:cs="Arial"/>
        </w:rPr>
      </w:pPr>
    </w:p>
    <w:p w14:paraId="64EBAD23" w14:textId="77777777" w:rsidR="00F9743E" w:rsidRDefault="00F9743E" w:rsidP="00F9743E">
      <w:pPr>
        <w:spacing w:line="360" w:lineRule="auto"/>
        <w:jc w:val="both"/>
        <w:rPr>
          <w:rFonts w:ascii="Palatino Linotype" w:hAnsi="Palatino Linotype" w:cs="Arial"/>
          <w:b/>
        </w:rPr>
      </w:pPr>
      <w:r>
        <w:rPr>
          <w:rFonts w:ascii="Palatino Linotype" w:hAnsi="Palatino Linotype" w:cs="Arial"/>
        </w:rPr>
        <w:t xml:space="preserve">Acotado lo anterior, lo procedente es hacer estudio de la respuesta proporcionada por el </w:t>
      </w:r>
      <w:r>
        <w:rPr>
          <w:rFonts w:ascii="Palatino Linotype" w:hAnsi="Palatino Linotype" w:cs="Arial"/>
          <w:b/>
        </w:rPr>
        <w:t>Sujeto Obligado,</w:t>
      </w:r>
      <w:r>
        <w:rPr>
          <w:rFonts w:ascii="Palatino Linotype" w:hAnsi="Palatino Linotype" w:cs="Arial"/>
        </w:rPr>
        <w:t xml:space="preserve"> a efecto de estar en posibilidades de poder determinar, si se satisface el derecho de acceso a la información del </w:t>
      </w:r>
      <w:r>
        <w:rPr>
          <w:rFonts w:ascii="Palatino Linotype" w:hAnsi="Palatino Linotype" w:cs="Arial"/>
          <w:b/>
        </w:rPr>
        <w:t xml:space="preserve">Recurrente. </w:t>
      </w:r>
    </w:p>
    <w:p w14:paraId="405E04E3" w14:textId="77777777" w:rsidR="00F9743E" w:rsidRDefault="00F9743E" w:rsidP="00F9743E">
      <w:pPr>
        <w:spacing w:line="360" w:lineRule="auto"/>
        <w:jc w:val="both"/>
        <w:rPr>
          <w:rFonts w:ascii="Palatino Linotype" w:hAnsi="Palatino Linotype" w:cs="Arial"/>
          <w:b/>
        </w:rPr>
      </w:pPr>
    </w:p>
    <w:p w14:paraId="5FEA2C30" w14:textId="464FDCE1" w:rsidR="00B17212" w:rsidRPr="00A404F0" w:rsidRDefault="008B7717" w:rsidP="00A404F0">
      <w:pPr>
        <w:spacing w:line="360" w:lineRule="auto"/>
        <w:jc w:val="both"/>
        <w:rPr>
          <w:rFonts w:ascii="Palatino Linotype" w:eastAsia="Calibri" w:hAnsi="Palatino Linotype" w:cs="Arial"/>
          <w:lang w:eastAsia="en-US"/>
        </w:rPr>
      </w:pPr>
      <w:r w:rsidRPr="008B7717">
        <w:rPr>
          <w:rFonts w:ascii="Palatino Linotype" w:eastAsia="Calibri" w:hAnsi="Palatino Linotype" w:cs="Arial"/>
        </w:rPr>
        <w:t xml:space="preserve">Primeramente, del contenido de la respuesta, </w:t>
      </w:r>
      <w:r>
        <w:rPr>
          <w:rFonts w:ascii="Palatino Linotype" w:eastAsia="Calibri" w:hAnsi="Palatino Linotype" w:cs="Arial"/>
        </w:rPr>
        <w:t>correspondiente</w:t>
      </w:r>
      <w:r w:rsidRPr="008B7717">
        <w:rPr>
          <w:rFonts w:ascii="Palatino Linotype" w:eastAsia="Calibri" w:hAnsi="Palatino Linotype" w:cs="Arial"/>
        </w:rPr>
        <w:t xml:space="preserve"> al numeral </w:t>
      </w:r>
      <w:r w:rsidRPr="008B7717">
        <w:rPr>
          <w:rFonts w:ascii="Palatino Linotype" w:eastAsia="Calibri" w:hAnsi="Palatino Linotype" w:cs="Arial"/>
          <w:b/>
        </w:rPr>
        <w:t>1,</w:t>
      </w:r>
      <w:r w:rsidRPr="008B7717">
        <w:rPr>
          <w:rFonts w:ascii="Palatino Linotype" w:eastAsia="Calibri" w:hAnsi="Palatino Linotype" w:cs="Arial"/>
        </w:rPr>
        <w:t xml:space="preserve"> relativo a los expedientes de Adquisiciones con excepciones a las Licitaciones Públicas en el periodo de 2017 a 2020, el </w:t>
      </w:r>
      <w:r w:rsidRPr="008B7717">
        <w:rPr>
          <w:rFonts w:ascii="Palatino Linotype" w:eastAsia="Calibri" w:hAnsi="Palatino Linotype" w:cs="Arial"/>
          <w:b/>
        </w:rPr>
        <w:t>sujeto obligado</w:t>
      </w:r>
      <w:r w:rsidRPr="008B7717">
        <w:rPr>
          <w:rFonts w:ascii="Palatino Linotype" w:eastAsia="Calibri" w:hAnsi="Palatino Linotype" w:cs="Arial"/>
        </w:rPr>
        <w:t xml:space="preserve"> informa que dicha información ya se encuentra publicada en la</w:t>
      </w:r>
      <w:r w:rsidR="00A404F0">
        <w:rPr>
          <w:rFonts w:ascii="Palatino Linotype" w:eastAsia="Calibri" w:hAnsi="Palatino Linotype" w:cs="Arial"/>
        </w:rPr>
        <w:t>s ligas</w:t>
      </w:r>
      <w:r w:rsidRPr="008B7717">
        <w:rPr>
          <w:rFonts w:ascii="Palatino Linotype" w:eastAsia="Calibri" w:hAnsi="Palatino Linotype" w:cs="Arial"/>
        </w:rPr>
        <w:t xml:space="preserve"> electrónica</w:t>
      </w:r>
      <w:r w:rsidR="00A404F0">
        <w:rPr>
          <w:rFonts w:ascii="Palatino Linotype" w:eastAsia="Calibri" w:hAnsi="Palatino Linotype" w:cs="Arial"/>
        </w:rPr>
        <w:t xml:space="preserve">s: </w:t>
      </w:r>
      <w:hyperlink r:id="rId11" w:history="1">
        <w:r w:rsidR="00A404F0" w:rsidRPr="00CE4FB0">
          <w:rPr>
            <w:rStyle w:val="Hipervnculo"/>
            <w:rFonts w:ascii="Palatino Linotype" w:hAnsi="Palatino Linotype"/>
          </w:rPr>
          <w:t>https://www.ipomex.org.mx/ipo/lgt/indice/teotihuacan/licitaciones.web</w:t>
        </w:r>
      </w:hyperlink>
      <w:r w:rsidR="00B17212">
        <w:rPr>
          <w:rFonts w:ascii="Palatino Linotype" w:hAnsi="Palatino Linotype"/>
        </w:rPr>
        <w:t xml:space="preserve">. </w:t>
      </w:r>
    </w:p>
    <w:p w14:paraId="35AE06D4" w14:textId="0F5DFDA5" w:rsidR="00B17212" w:rsidRDefault="00BE5661" w:rsidP="00B17212">
      <w:pPr>
        <w:spacing w:before="240" w:line="360" w:lineRule="auto"/>
        <w:jc w:val="both"/>
        <w:rPr>
          <w:rFonts w:ascii="Palatino Linotype" w:hAnsi="Palatino Linotype"/>
        </w:rPr>
      </w:pPr>
      <w:hyperlink r:id="rId12" w:history="1">
        <w:r w:rsidR="00B17212" w:rsidRPr="00CE4FB0">
          <w:rPr>
            <w:rStyle w:val="Hipervnculo"/>
            <w:rFonts w:ascii="Palatino Linotype" w:hAnsi="Palatino Linotype"/>
          </w:rPr>
          <w:t>https://www.ipomex.org.mx/ipo3/lgt/indice/TEOTIHUACAN/art_92_xxix_a.web</w:t>
        </w:r>
      </w:hyperlink>
      <w:r w:rsidR="00B17212">
        <w:rPr>
          <w:rFonts w:ascii="Palatino Linotype" w:hAnsi="Palatino Linotype"/>
        </w:rPr>
        <w:t>.</w:t>
      </w:r>
    </w:p>
    <w:p w14:paraId="7048C13D" w14:textId="0577506F" w:rsidR="00B17212" w:rsidRDefault="00B17212" w:rsidP="00B17212">
      <w:pPr>
        <w:spacing w:before="240" w:line="360" w:lineRule="auto"/>
        <w:jc w:val="both"/>
        <w:rPr>
          <w:rFonts w:ascii="Palatino Linotype" w:hAnsi="Palatino Linotype"/>
        </w:rPr>
      </w:pPr>
      <w:r>
        <w:rPr>
          <w:rFonts w:ascii="Palatino Linotype" w:hAnsi="Palatino Linotype"/>
        </w:rPr>
        <w:t xml:space="preserve"> </w:t>
      </w:r>
      <w:hyperlink r:id="rId13" w:history="1">
        <w:r w:rsidRPr="00CE4FB0">
          <w:rPr>
            <w:rStyle w:val="Hipervnculo"/>
            <w:rFonts w:ascii="Palatino Linotype" w:hAnsi="Palatino Linotype"/>
          </w:rPr>
          <w:t>https://www.ipomex.org.mx/ipo3/lgt/indice/TEOTIHUACAN/art_92_xxix_b.web</w:t>
        </w:r>
      </w:hyperlink>
      <w:r>
        <w:rPr>
          <w:rFonts w:ascii="Palatino Linotype" w:hAnsi="Palatino Linotype"/>
        </w:rPr>
        <w:t xml:space="preserve">. </w:t>
      </w:r>
      <w:r w:rsidRPr="00BA5FE9">
        <w:rPr>
          <w:rFonts w:ascii="Palatino Linotype" w:hAnsi="Palatino Linotype"/>
        </w:rPr>
        <w:t xml:space="preserve"> </w:t>
      </w:r>
    </w:p>
    <w:p w14:paraId="322A3347" w14:textId="241E79DA" w:rsidR="00B17212" w:rsidRDefault="00B17212" w:rsidP="00B17212">
      <w:pPr>
        <w:spacing w:before="240" w:line="360" w:lineRule="auto"/>
        <w:jc w:val="both"/>
        <w:rPr>
          <w:rFonts w:ascii="Palatino Linotype" w:hAnsi="Palatino Linotype"/>
        </w:rPr>
      </w:pPr>
      <w:r w:rsidRPr="00BA5FE9">
        <w:rPr>
          <w:rFonts w:ascii="Palatino Linotype" w:hAnsi="Palatino Linotype"/>
        </w:rPr>
        <w:lastRenderedPageBreak/>
        <w:t>Asimismo</w:t>
      </w:r>
      <w:r>
        <w:rPr>
          <w:rFonts w:ascii="Palatino Linotype" w:hAnsi="Palatino Linotype"/>
        </w:rPr>
        <w:t>, manifestó que</w:t>
      </w:r>
      <w:r w:rsidRPr="00BA5FE9">
        <w:rPr>
          <w:rFonts w:ascii="Palatino Linotype" w:hAnsi="Palatino Linotype"/>
        </w:rPr>
        <w:t xml:space="preserve"> </w:t>
      </w:r>
      <w:r w:rsidRPr="00BA5FE9">
        <w:rPr>
          <w:rFonts w:ascii="Palatino Linotype" w:hAnsi="Palatino Linotype"/>
          <w:b/>
          <w:bCs/>
        </w:rPr>
        <w:t>se adjuntan 2 contratos de adquisiciones y servicios</w:t>
      </w:r>
      <w:r w:rsidRPr="00BA5FE9">
        <w:rPr>
          <w:rFonts w:ascii="Palatino Linotype" w:hAnsi="Palatino Linotype"/>
        </w:rPr>
        <w:t>, los demás los puede encontrar publicados en la página de compra net</w:t>
      </w:r>
      <w:r>
        <w:rPr>
          <w:rFonts w:ascii="Palatino Linotype" w:hAnsi="Palatino Linotype"/>
        </w:rPr>
        <w:t xml:space="preserve"> en la liga electrónica</w:t>
      </w:r>
      <w:r w:rsidRPr="00BA5FE9">
        <w:rPr>
          <w:rFonts w:ascii="Palatino Linotype" w:hAnsi="Palatino Linotype"/>
        </w:rPr>
        <w:t xml:space="preserve">: </w:t>
      </w:r>
      <w:hyperlink r:id="rId14" w:history="1">
        <w:r w:rsidRPr="00CE4FB0">
          <w:rPr>
            <w:rStyle w:val="Hipervnculo"/>
            <w:rFonts w:ascii="Palatino Linotype" w:hAnsi="Palatino Linotype"/>
          </w:rPr>
          <w:t>https://compranet.hacienda.gob.mx/web/login.html</w:t>
        </w:r>
      </w:hyperlink>
      <w:r>
        <w:rPr>
          <w:rFonts w:ascii="Palatino Linotype" w:hAnsi="Palatino Linotype"/>
        </w:rPr>
        <w:t xml:space="preserve"> </w:t>
      </w:r>
    </w:p>
    <w:p w14:paraId="7F2BE25C" w14:textId="669DBE17" w:rsidR="008B7717" w:rsidRDefault="00A404F0" w:rsidP="008B7717">
      <w:pPr>
        <w:spacing w:line="360" w:lineRule="auto"/>
        <w:jc w:val="both"/>
        <w:rPr>
          <w:rFonts w:ascii="Palatino Linotype" w:eastAsia="Calibri" w:hAnsi="Palatino Linotype" w:cs="Arial"/>
        </w:rPr>
      </w:pPr>
      <w:r>
        <w:rPr>
          <w:rFonts w:ascii="Palatino Linotype" w:eastAsia="Calibri" w:hAnsi="Palatino Linotype" w:cs="Arial"/>
        </w:rPr>
        <w:t>E</w:t>
      </w:r>
      <w:r w:rsidR="008B7717" w:rsidRPr="008B7717">
        <w:rPr>
          <w:rFonts w:ascii="Palatino Linotype" w:eastAsia="Calibri" w:hAnsi="Palatino Linotype" w:cs="Arial"/>
        </w:rPr>
        <w:t>n esa virtud, este Órgano Garante en uso de sus atribuciones procedió a hacer consulta de la página electrónica proporcionada, consistente en la página oficial del Sujeto Obligado en el Sistema de Información Pública de Oficio Mexiquense IPOMEX, de la que se advierte el contenido siguiente:</w:t>
      </w:r>
    </w:p>
    <w:p w14:paraId="4C9270EA" w14:textId="59DD49E1" w:rsidR="00D03AE8" w:rsidRDefault="00D03AE8" w:rsidP="008B7717">
      <w:pPr>
        <w:spacing w:line="360" w:lineRule="auto"/>
        <w:jc w:val="both"/>
        <w:rPr>
          <w:rFonts w:ascii="Palatino Linotype" w:eastAsia="Calibri" w:hAnsi="Palatino Linotype" w:cs="Arial"/>
        </w:rPr>
      </w:pPr>
    </w:p>
    <w:p w14:paraId="63E39F51" w14:textId="57A4A2AD" w:rsidR="00D03AE8" w:rsidRPr="008B7717" w:rsidRDefault="00D03AE8" w:rsidP="00D03AE8">
      <w:pPr>
        <w:spacing w:line="360" w:lineRule="auto"/>
        <w:jc w:val="center"/>
        <w:rPr>
          <w:rFonts w:ascii="Palatino Linotype" w:eastAsia="Calibri" w:hAnsi="Palatino Linotype" w:cs="Arial"/>
        </w:rPr>
      </w:pPr>
      <w:r>
        <w:rPr>
          <w:noProof/>
          <w:lang w:val="es-MX" w:eastAsia="es-MX"/>
        </w:rPr>
        <mc:AlternateContent>
          <mc:Choice Requires="wps">
            <w:drawing>
              <wp:anchor distT="0" distB="0" distL="114300" distR="114300" simplePos="0" relativeHeight="251659264" behindDoc="0" locked="0" layoutInCell="1" allowOverlap="1" wp14:anchorId="6560809E" wp14:editId="509A4E10">
                <wp:simplePos x="0" y="0"/>
                <wp:positionH relativeFrom="margin">
                  <wp:posOffset>3499569</wp:posOffset>
                </wp:positionH>
                <wp:positionV relativeFrom="paragraph">
                  <wp:posOffset>1851241</wp:posOffset>
                </wp:positionV>
                <wp:extent cx="571500" cy="257175"/>
                <wp:effectExtent l="19050" t="19050" r="19050" b="47625"/>
                <wp:wrapNone/>
                <wp:docPr id="2" name="Flecha: hacia la izquierda 2"/>
                <wp:cNvGraphicFramePr/>
                <a:graphic xmlns:a="http://schemas.openxmlformats.org/drawingml/2006/main">
                  <a:graphicData uri="http://schemas.microsoft.com/office/word/2010/wordprocessingShape">
                    <wps:wsp>
                      <wps:cNvSpPr/>
                      <wps:spPr>
                        <a:xfrm>
                          <a:off x="0" y="0"/>
                          <a:ext cx="571500" cy="2571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71D13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 o:spid="_x0000_s1026" type="#_x0000_t66" style="position:absolute;margin-left:275.55pt;margin-top:145.75pt;width:45pt;height:20.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" adj="4860" fillcolor="red" strokecolor="red" strokeweight="1pt">
                <w10:wrap anchorx="margin"/>
              </v:shape>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0B6E8E15" wp14:editId="67DB5D8A">
                <wp:simplePos x="0" y="0"/>
                <wp:positionH relativeFrom="margin">
                  <wp:posOffset>845353</wp:posOffset>
                </wp:positionH>
                <wp:positionV relativeFrom="paragraph">
                  <wp:posOffset>894055</wp:posOffset>
                </wp:positionV>
                <wp:extent cx="2068542" cy="291501"/>
                <wp:effectExtent l="19050" t="19050" r="27305" b="13335"/>
                <wp:wrapNone/>
                <wp:docPr id="9" name="Rectángulo 9"/>
                <wp:cNvGraphicFramePr/>
                <a:graphic xmlns:a="http://schemas.openxmlformats.org/drawingml/2006/main">
                  <a:graphicData uri="http://schemas.microsoft.com/office/word/2010/wordprocessingShape">
                    <wps:wsp>
                      <wps:cNvSpPr/>
                      <wps:spPr>
                        <a:xfrm>
                          <a:off x="0" y="0"/>
                          <a:ext cx="2068542" cy="2915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565587" id="Rectángulo 9" o:spid="_x0000_s1026" style="position:absolute;margin-left:66.55pt;margin-top:70.4pt;width:162.9pt;height:2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" filled="f" strokecolor="red" strokeweight="2.25pt">
                <w10:wrap anchorx="margin"/>
              </v:rect>
            </w:pict>
          </mc:Fallback>
        </mc:AlternateContent>
      </w:r>
      <w:r w:rsidRPr="00D03AE8">
        <w:rPr>
          <w:rFonts w:ascii="Palatino Linotype" w:eastAsia="Calibri" w:hAnsi="Palatino Linotype" w:cs="Arial"/>
          <w:noProof/>
          <w:lang w:val="es-MX" w:eastAsia="es-MX"/>
        </w:rPr>
        <w:drawing>
          <wp:inline distT="0" distB="0" distL="0" distR="0" wp14:anchorId="36941036" wp14:editId="503F0D1A">
            <wp:extent cx="4403952" cy="34350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3427" cy="3442396"/>
                    </a:xfrm>
                    <a:prstGeom prst="rect">
                      <a:avLst/>
                    </a:prstGeom>
                  </pic:spPr>
                </pic:pic>
              </a:graphicData>
            </a:graphic>
          </wp:inline>
        </w:drawing>
      </w:r>
    </w:p>
    <w:p w14:paraId="21761EC0" w14:textId="4EADED81" w:rsidR="00506840" w:rsidRDefault="00D03AE8" w:rsidP="00D03AE8">
      <w:pPr>
        <w:spacing w:line="360" w:lineRule="auto"/>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82816" behindDoc="0" locked="0" layoutInCell="1" allowOverlap="1" wp14:anchorId="3238C7B4" wp14:editId="070340CF">
                <wp:simplePos x="0" y="0"/>
                <wp:positionH relativeFrom="margin">
                  <wp:posOffset>845353</wp:posOffset>
                </wp:positionH>
                <wp:positionV relativeFrom="paragraph">
                  <wp:posOffset>384978</wp:posOffset>
                </wp:positionV>
                <wp:extent cx="2913931" cy="377765"/>
                <wp:effectExtent l="19050" t="19050" r="20320" b="22860"/>
                <wp:wrapNone/>
                <wp:docPr id="25" name="Rectángulo 25"/>
                <wp:cNvGraphicFramePr/>
                <a:graphic xmlns:a="http://schemas.openxmlformats.org/drawingml/2006/main">
                  <a:graphicData uri="http://schemas.microsoft.com/office/word/2010/wordprocessingShape">
                    <wps:wsp>
                      <wps:cNvSpPr/>
                      <wps:spPr>
                        <a:xfrm>
                          <a:off x="0" y="0"/>
                          <a:ext cx="2913931" cy="3777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2D3C80" id="Rectángulo 25" o:spid="_x0000_s1026" style="position:absolute;margin-left:66.55pt;margin-top:30.3pt;width:229.45pt;height:2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" filled="f" strokecolor="red" strokeweight="2.25pt">
                <w10:wrap anchorx="margin"/>
              </v:rect>
            </w:pict>
          </mc:Fallback>
        </mc:AlternateContent>
      </w:r>
      <w:r>
        <w:rPr>
          <w:noProof/>
          <w:lang w:val="es-MX" w:eastAsia="es-MX"/>
        </w:rPr>
        <mc:AlternateContent>
          <mc:Choice Requires="wps">
            <w:drawing>
              <wp:anchor distT="0" distB="0" distL="114300" distR="114300" simplePos="0" relativeHeight="251680768" behindDoc="0" locked="0" layoutInCell="1" allowOverlap="1" wp14:anchorId="6A214BAE" wp14:editId="2BCFE28D">
                <wp:simplePos x="0" y="0"/>
                <wp:positionH relativeFrom="margin">
                  <wp:posOffset>3551830</wp:posOffset>
                </wp:positionH>
                <wp:positionV relativeFrom="paragraph">
                  <wp:posOffset>1279884</wp:posOffset>
                </wp:positionV>
                <wp:extent cx="571500" cy="257175"/>
                <wp:effectExtent l="19050" t="19050" r="19050" b="47625"/>
                <wp:wrapNone/>
                <wp:docPr id="24" name="Flecha: hacia la izquierda 24"/>
                <wp:cNvGraphicFramePr/>
                <a:graphic xmlns:a="http://schemas.openxmlformats.org/drawingml/2006/main">
                  <a:graphicData uri="http://schemas.microsoft.com/office/word/2010/wordprocessingShape">
                    <wps:wsp>
                      <wps:cNvSpPr/>
                      <wps:spPr>
                        <a:xfrm>
                          <a:off x="0" y="0"/>
                          <a:ext cx="571500" cy="2571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3D68CB" id="Flecha: hacia la izquierda 24" o:spid="_x0000_s1026" type="#_x0000_t66" style="position:absolute;margin-left:279.65pt;margin-top:100.8pt;width:45pt;height:20.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" adj="4860" fillcolor="red" strokecolor="red" strokeweight="1pt">
                <w10:wrap anchorx="margin"/>
              </v:shape>
            </w:pict>
          </mc:Fallback>
        </mc:AlternateContent>
      </w:r>
      <w:r w:rsidRPr="00D03AE8">
        <w:rPr>
          <w:rFonts w:ascii="Palatino Linotype" w:hAnsi="Palatino Linotype" w:cs="Arial"/>
          <w:noProof/>
          <w:lang w:val="es-MX" w:eastAsia="es-MX"/>
        </w:rPr>
        <w:drawing>
          <wp:inline distT="0" distB="0" distL="0" distR="0" wp14:anchorId="7E4D6A8B" wp14:editId="4CFB24BC">
            <wp:extent cx="4323555" cy="3001993"/>
            <wp:effectExtent l="0" t="0" r="127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5586" cy="3017290"/>
                    </a:xfrm>
                    <a:prstGeom prst="rect">
                      <a:avLst/>
                    </a:prstGeom>
                  </pic:spPr>
                </pic:pic>
              </a:graphicData>
            </a:graphic>
          </wp:inline>
        </w:drawing>
      </w:r>
    </w:p>
    <w:p w14:paraId="7B050A11" w14:textId="017D4C47" w:rsidR="00506840" w:rsidRDefault="005F08C6" w:rsidP="00506840">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9984" behindDoc="0" locked="0" layoutInCell="1" allowOverlap="1" wp14:anchorId="03F8F6E6" wp14:editId="4869F666">
                <wp:simplePos x="0" y="0"/>
                <wp:positionH relativeFrom="column">
                  <wp:posOffset>53340</wp:posOffset>
                </wp:positionH>
                <wp:positionV relativeFrom="paragraph">
                  <wp:posOffset>3649345</wp:posOffset>
                </wp:positionV>
                <wp:extent cx="5817235" cy="752475"/>
                <wp:effectExtent l="0" t="0" r="69215" b="85725"/>
                <wp:wrapNone/>
                <wp:docPr id="32" name="Conector recto de flecha 32"/>
                <wp:cNvGraphicFramePr/>
                <a:graphic xmlns:a="http://schemas.openxmlformats.org/drawingml/2006/main">
                  <a:graphicData uri="http://schemas.microsoft.com/office/word/2010/wordprocessingShape">
                    <wps:wsp>
                      <wps:cNvCnPr/>
                      <wps:spPr>
                        <a:xfrm>
                          <a:off x="0" y="0"/>
                          <a:ext cx="581723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E6A17DB" id="_x0000_t32" coordsize="21600,21600" o:spt="32" o:oned="t" path="m,l21600,21600e" filled="f">
                <v:path arrowok="t" fillok="f" o:connecttype="none"/>
                <o:lock v:ext="edit" shapetype="t"/>
              </v:shapetype>
              <v:shape id="Conector recto de flecha 32" o:spid="_x0000_s1026" type="#_x0000_t32" style="position:absolute;margin-left:4.2pt;margin-top:287.35pt;width:458.05pt;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" strokecolor="#4472c4 [3204]" strokeweight=".5pt">
                <v:stroke endarrow="block" joinstyle="miter"/>
              </v:shape>
            </w:pict>
          </mc:Fallback>
        </mc:AlternateContent>
      </w:r>
      <w:r w:rsidR="00506840">
        <w:rPr>
          <w:rFonts w:ascii="Palatino Linotype" w:hAnsi="Palatino Linotype" w:cs="Arial"/>
        </w:rPr>
        <w:t>De la imagen previamente insertada, se puede acreditar que la</w:t>
      </w:r>
      <w:r w:rsidR="00D03AE8">
        <w:rPr>
          <w:rFonts w:ascii="Palatino Linotype" w:hAnsi="Palatino Linotype" w:cs="Arial"/>
        </w:rPr>
        <w:t>s</w:t>
      </w:r>
      <w:r w:rsidR="00506840">
        <w:rPr>
          <w:rFonts w:ascii="Palatino Linotype" w:hAnsi="Palatino Linotype" w:cs="Arial"/>
        </w:rPr>
        <w:t xml:space="preserve"> liga</w:t>
      </w:r>
      <w:r w:rsidR="00D03AE8">
        <w:rPr>
          <w:rFonts w:ascii="Palatino Linotype" w:hAnsi="Palatino Linotype" w:cs="Arial"/>
        </w:rPr>
        <w:t>s</w:t>
      </w:r>
      <w:r w:rsidR="00506840">
        <w:rPr>
          <w:rFonts w:ascii="Palatino Linotype" w:hAnsi="Palatino Linotype" w:cs="Arial"/>
        </w:rPr>
        <w:t xml:space="preserve"> electrónica</w:t>
      </w:r>
      <w:r w:rsidR="00D03AE8">
        <w:rPr>
          <w:rFonts w:ascii="Palatino Linotype" w:hAnsi="Palatino Linotype" w:cs="Arial"/>
        </w:rPr>
        <w:t>s</w:t>
      </w:r>
      <w:r w:rsidR="00506840">
        <w:rPr>
          <w:rFonts w:ascii="Palatino Linotype" w:hAnsi="Palatino Linotype" w:cs="Arial"/>
        </w:rPr>
        <w:t xml:space="preserve"> proporcionada</w:t>
      </w:r>
      <w:r w:rsidR="00D03AE8">
        <w:rPr>
          <w:rFonts w:ascii="Palatino Linotype" w:hAnsi="Palatino Linotype" w:cs="Arial"/>
        </w:rPr>
        <w:t>s</w:t>
      </w:r>
      <w:r w:rsidR="00506840">
        <w:rPr>
          <w:rFonts w:ascii="Palatino Linotype" w:hAnsi="Palatino Linotype" w:cs="Arial"/>
        </w:rPr>
        <w:t>, remite de forma directa a la</w:t>
      </w:r>
      <w:r w:rsidR="00D03AE8">
        <w:rPr>
          <w:rFonts w:ascii="Palatino Linotype" w:hAnsi="Palatino Linotype" w:cs="Arial"/>
        </w:rPr>
        <w:t>s</w:t>
      </w:r>
      <w:r w:rsidR="00506840">
        <w:rPr>
          <w:rFonts w:ascii="Palatino Linotype" w:hAnsi="Palatino Linotype" w:cs="Arial"/>
        </w:rPr>
        <w:t xml:space="preserve"> </w:t>
      </w:r>
      <w:r w:rsidR="00D03AE8">
        <w:rPr>
          <w:rFonts w:ascii="Palatino Linotype" w:hAnsi="Palatino Linotype" w:cs="Arial"/>
        </w:rPr>
        <w:t>fracciones</w:t>
      </w:r>
      <w:r w:rsidR="00506840">
        <w:rPr>
          <w:rFonts w:ascii="Palatino Linotype" w:hAnsi="Palatino Linotype" w:cs="Arial"/>
        </w:rPr>
        <w:t xml:space="preserve"> XXIX A</w:t>
      </w:r>
      <w:r w:rsidR="00D03AE8">
        <w:rPr>
          <w:rFonts w:ascii="Palatino Linotype" w:hAnsi="Palatino Linotype" w:cs="Arial"/>
        </w:rPr>
        <w:t xml:space="preserve"> y B</w:t>
      </w:r>
      <w:r w:rsidR="00506840">
        <w:rPr>
          <w:rFonts w:ascii="Palatino Linotype" w:hAnsi="Palatino Linotype" w:cs="Arial"/>
        </w:rPr>
        <w:t xml:space="preserve"> del artículo 92 de la Ley de Transparencia local, relativa a la</w:t>
      </w:r>
      <w:r w:rsidR="00506840" w:rsidRPr="00D61EA3">
        <w:rPr>
          <w:rFonts w:ascii="Palatino Linotype" w:hAnsi="Palatino Linotype" w:cs="Arial"/>
        </w:rPr>
        <w:t xml:space="preserve"> información sobre los procesos y resultados sobre procedimientos de </w:t>
      </w:r>
      <w:r w:rsidR="00506840" w:rsidRPr="00D61EA3">
        <w:rPr>
          <w:rFonts w:ascii="Palatino Linotype" w:hAnsi="Palatino Linotype" w:cs="Arial"/>
          <w:u w:val="single"/>
        </w:rPr>
        <w:t>adjudicación directa, invitación restringida y licitación de cualquier naturaleza</w:t>
      </w:r>
      <w:r w:rsidR="00506840" w:rsidRPr="00D61EA3">
        <w:rPr>
          <w:rFonts w:ascii="Palatino Linotype" w:hAnsi="Palatino Linotype" w:cs="Arial"/>
        </w:rPr>
        <w:t>, incluyendo la versión pública del expediente</w:t>
      </w:r>
      <w:r w:rsidR="00506840">
        <w:rPr>
          <w:rFonts w:ascii="Palatino Linotype" w:hAnsi="Palatino Linotype" w:cs="Arial"/>
        </w:rPr>
        <w:t xml:space="preserve"> </w:t>
      </w:r>
      <w:r w:rsidR="00506840" w:rsidRPr="00D61EA3">
        <w:rPr>
          <w:rFonts w:ascii="Palatino Linotype" w:hAnsi="Palatino Linotype" w:cs="Arial"/>
        </w:rPr>
        <w:t>respectivo</w:t>
      </w:r>
      <w:r w:rsidR="00506840">
        <w:rPr>
          <w:rFonts w:ascii="Palatino Linotype" w:hAnsi="Palatino Linotype" w:cs="Arial"/>
        </w:rPr>
        <w:t xml:space="preserve"> y de los contratos celebrados, por ello, con la finalidad de corroborar que la información publicada se encuentre en su totalidad, de forma aleatoria se hizo consulta de los registros del año 2018 (dos mil dieciocho), En lo que respecta al año 2018 (dos mil dieciocho), el </w:t>
      </w:r>
      <w:r w:rsidR="00506840">
        <w:rPr>
          <w:rFonts w:ascii="Palatino Linotype" w:hAnsi="Palatino Linotype" w:cs="Arial"/>
          <w:b/>
        </w:rPr>
        <w:t>Sujeto Obligado</w:t>
      </w:r>
      <w:r w:rsidR="00506840">
        <w:rPr>
          <w:rFonts w:ascii="Palatino Linotype" w:hAnsi="Palatino Linotype" w:cs="Arial"/>
        </w:rPr>
        <w:t xml:space="preserve"> reporta </w:t>
      </w:r>
      <w:r w:rsidR="00D03AE8">
        <w:rPr>
          <w:rFonts w:ascii="Palatino Linotype" w:hAnsi="Palatino Linotype" w:cs="Arial"/>
        </w:rPr>
        <w:t>32</w:t>
      </w:r>
      <w:r w:rsidR="00506840">
        <w:rPr>
          <w:rFonts w:ascii="Palatino Linotype" w:hAnsi="Palatino Linotype" w:cs="Arial"/>
        </w:rPr>
        <w:t xml:space="preserve"> registros, de los cuales se advierte que únicamente se informa respecto de la Dirección de </w:t>
      </w:r>
      <w:r w:rsidR="00D03AE8">
        <w:rPr>
          <w:rFonts w:ascii="Palatino Linotype" w:hAnsi="Palatino Linotype" w:cs="Arial"/>
        </w:rPr>
        <w:t>Obra Pública</w:t>
      </w:r>
      <w:r w:rsidR="00506840">
        <w:rPr>
          <w:rFonts w:ascii="Palatino Linotype" w:hAnsi="Palatino Linotype" w:cs="Arial"/>
        </w:rPr>
        <w:t xml:space="preserve">, </w:t>
      </w:r>
      <w:r w:rsidR="000F41DA">
        <w:rPr>
          <w:rFonts w:ascii="Palatino Linotype" w:hAnsi="Palatino Linotype" w:cs="Arial"/>
        </w:rPr>
        <w:t xml:space="preserve">por lo que </w:t>
      </w:r>
      <w:r w:rsidR="00506840">
        <w:rPr>
          <w:rFonts w:ascii="Palatino Linotype" w:hAnsi="Palatino Linotype" w:cs="Arial"/>
        </w:rPr>
        <w:t>se inserta imagen a continuación para mayor referencia:</w:t>
      </w:r>
    </w:p>
    <w:p w14:paraId="64433C38" w14:textId="440D626F" w:rsidR="00506840" w:rsidRDefault="00733877" w:rsidP="00733877">
      <w:pPr>
        <w:spacing w:line="360" w:lineRule="auto"/>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88960" behindDoc="0" locked="0" layoutInCell="1" allowOverlap="1" wp14:anchorId="68BE5F15" wp14:editId="3978F352">
                <wp:simplePos x="0" y="0"/>
                <wp:positionH relativeFrom="margin">
                  <wp:posOffset>897111</wp:posOffset>
                </wp:positionH>
                <wp:positionV relativeFrom="paragraph">
                  <wp:posOffset>4640089</wp:posOffset>
                </wp:positionV>
                <wp:extent cx="1939146" cy="196610"/>
                <wp:effectExtent l="19050" t="19050" r="23495" b="13335"/>
                <wp:wrapNone/>
                <wp:docPr id="30" name="Rectángulo 30"/>
                <wp:cNvGraphicFramePr/>
                <a:graphic xmlns:a="http://schemas.openxmlformats.org/drawingml/2006/main">
                  <a:graphicData uri="http://schemas.microsoft.com/office/word/2010/wordprocessingShape">
                    <wps:wsp>
                      <wps:cNvSpPr/>
                      <wps:spPr>
                        <a:xfrm>
                          <a:off x="0" y="0"/>
                          <a:ext cx="1939146" cy="196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5071DD" id="Rectángulo 30" o:spid="_x0000_s1026" style="position:absolute;margin-left:70.65pt;margin-top:365.35pt;width:152.7pt;height:1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" filled="f" strokecolor="red" strokeweight="2.25pt">
                <w10:wrap anchorx="margin"/>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14:anchorId="44E39CF2" wp14:editId="2EFAF4A5">
                <wp:simplePos x="0" y="0"/>
                <wp:positionH relativeFrom="margin">
                  <wp:posOffset>897111</wp:posOffset>
                </wp:positionH>
                <wp:positionV relativeFrom="paragraph">
                  <wp:posOffset>7046859</wp:posOffset>
                </wp:positionV>
                <wp:extent cx="2258324" cy="100219"/>
                <wp:effectExtent l="19050" t="19050" r="27940" b="14605"/>
                <wp:wrapNone/>
                <wp:docPr id="29" name="Rectángulo 29"/>
                <wp:cNvGraphicFramePr/>
                <a:graphic xmlns:a="http://schemas.openxmlformats.org/drawingml/2006/main">
                  <a:graphicData uri="http://schemas.microsoft.com/office/word/2010/wordprocessingShape">
                    <wps:wsp>
                      <wps:cNvSpPr/>
                      <wps:spPr>
                        <a:xfrm>
                          <a:off x="0" y="0"/>
                          <a:ext cx="2258324" cy="1002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63858C" id="Rectángulo 29" o:spid="_x0000_s1026" style="position:absolute;margin-left:70.65pt;margin-top:554.85pt;width:177.8pt;height:7.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" filled="f" strokecolor="red" strokeweight="2.25pt">
                <w10:wrap anchorx="margin"/>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14:anchorId="0BCC21A3" wp14:editId="01D583F3">
                <wp:simplePos x="0" y="0"/>
                <wp:positionH relativeFrom="column">
                  <wp:posOffset>2785877</wp:posOffset>
                </wp:positionH>
                <wp:positionV relativeFrom="paragraph">
                  <wp:posOffset>-53029</wp:posOffset>
                </wp:positionV>
                <wp:extent cx="722822" cy="377766"/>
                <wp:effectExtent l="19050" t="19050" r="20320" b="41910"/>
                <wp:wrapNone/>
                <wp:docPr id="28" name="Flecha: a la derecha 28"/>
                <wp:cNvGraphicFramePr/>
                <a:graphic xmlns:a="http://schemas.openxmlformats.org/drawingml/2006/main">
                  <a:graphicData uri="http://schemas.microsoft.com/office/word/2010/wordprocessingShape">
                    <wps:wsp>
                      <wps:cNvSpPr/>
                      <wps:spPr>
                        <a:xfrm rot="10800000">
                          <a:off x="0" y="0"/>
                          <a:ext cx="722822" cy="37776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816D0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8" o:spid="_x0000_s1026" type="#_x0000_t13" style="position:absolute;margin-left:219.35pt;margin-top:-4.2pt;width:56.9pt;height:29.7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" adj="15956" fillcolor="red" strokecolor="red" strokeweight="1pt"/>
            </w:pict>
          </mc:Fallback>
        </mc:AlternateContent>
      </w:r>
      <w:r w:rsidRPr="00733877">
        <w:rPr>
          <w:rFonts w:ascii="Palatino Linotype" w:hAnsi="Palatino Linotype" w:cs="Arial"/>
          <w:noProof/>
          <w:lang w:val="es-MX" w:eastAsia="es-MX"/>
        </w:rPr>
        <w:drawing>
          <wp:inline distT="0" distB="0" distL="0" distR="0" wp14:anchorId="10C14699" wp14:editId="59F51F06">
            <wp:extent cx="4305043" cy="773789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1203" cy="7748966"/>
                    </a:xfrm>
                    <a:prstGeom prst="rect">
                      <a:avLst/>
                    </a:prstGeom>
                  </pic:spPr>
                </pic:pic>
              </a:graphicData>
            </a:graphic>
          </wp:inline>
        </w:drawing>
      </w:r>
    </w:p>
    <w:p w14:paraId="17476873" w14:textId="51D2CA9F" w:rsidR="000F41DA" w:rsidRDefault="000F41DA" w:rsidP="000F41DA">
      <w:pPr>
        <w:spacing w:line="360" w:lineRule="auto"/>
        <w:jc w:val="both"/>
        <w:rPr>
          <w:rFonts w:ascii="Palatino Linotype" w:hAnsi="Palatino Linotype" w:cs="Arial"/>
        </w:rPr>
      </w:pPr>
      <w:r>
        <w:rPr>
          <w:rFonts w:ascii="Palatino Linotype" w:hAnsi="Palatino Linotype" w:cs="Arial"/>
        </w:rPr>
        <w:lastRenderedPageBreak/>
        <w:t>Aunado a lo anterior, referente a los hipervínculos relacionados: al fallo de la junta de aclaraciones, documento donde conste la prestación de las propuestas</w:t>
      </w:r>
      <w:r w:rsidR="00733877">
        <w:rPr>
          <w:rFonts w:ascii="Palatino Linotype" w:hAnsi="Palatino Linotype" w:cs="Arial"/>
        </w:rPr>
        <w:t>,</w:t>
      </w:r>
      <w:r>
        <w:rPr>
          <w:rFonts w:ascii="Palatino Linotype" w:hAnsi="Palatino Linotype" w:cs="Arial"/>
        </w:rPr>
        <w:t xml:space="preserve"> al (los) dictamen (es)</w:t>
      </w:r>
      <w:r w:rsidR="00733877">
        <w:rPr>
          <w:rFonts w:ascii="Palatino Linotype" w:hAnsi="Palatino Linotype" w:cs="Arial"/>
        </w:rPr>
        <w:t xml:space="preserve"> y al documento del contrato y anexos</w:t>
      </w:r>
      <w:r>
        <w:rPr>
          <w:rFonts w:ascii="Palatino Linotype" w:hAnsi="Palatino Linotype" w:cs="Arial"/>
        </w:rPr>
        <w:t xml:space="preserve">, se advierten </w:t>
      </w:r>
      <w:r w:rsidR="00733877">
        <w:rPr>
          <w:rFonts w:ascii="Palatino Linotype" w:hAnsi="Palatino Linotype" w:cs="Arial"/>
        </w:rPr>
        <w:t xml:space="preserve">que no cuenta </w:t>
      </w:r>
      <w:r w:rsidR="002F0CBC">
        <w:rPr>
          <w:rFonts w:ascii="Palatino Linotype" w:hAnsi="Palatino Linotype" w:cs="Arial"/>
        </w:rPr>
        <w:t>con enlaces</w:t>
      </w:r>
      <w:r w:rsidR="00733877">
        <w:rPr>
          <w:rFonts w:ascii="Palatino Linotype" w:hAnsi="Palatino Linotype" w:cs="Arial"/>
        </w:rPr>
        <w:t xml:space="preserve"> que permitan acceder a los documentos referidos</w:t>
      </w:r>
      <w:r w:rsidR="0066007A">
        <w:rPr>
          <w:rFonts w:ascii="Palatino Linotype" w:hAnsi="Palatino Linotype" w:cs="Arial"/>
        </w:rPr>
        <w:t>, por lo que se aprecia que no contienen todo el expediente, por lo que no se tiene por atendido el requerimiento solicitado por el particular</w:t>
      </w:r>
      <w:r w:rsidR="00733877">
        <w:rPr>
          <w:rFonts w:ascii="Palatino Linotype" w:hAnsi="Palatino Linotype" w:cs="Arial"/>
        </w:rPr>
        <w:t>.</w:t>
      </w:r>
    </w:p>
    <w:p w14:paraId="1477E9EC" w14:textId="5755C0C6" w:rsidR="00733877" w:rsidRDefault="00733877" w:rsidP="000F41DA">
      <w:pPr>
        <w:spacing w:line="360" w:lineRule="auto"/>
        <w:jc w:val="both"/>
        <w:rPr>
          <w:rFonts w:ascii="Palatino Linotype" w:hAnsi="Palatino Linotype" w:cs="Arial"/>
        </w:rPr>
      </w:pPr>
    </w:p>
    <w:p w14:paraId="0FD1550F" w14:textId="0A9791AF" w:rsidR="00733877" w:rsidRDefault="00733877" w:rsidP="000F41DA">
      <w:pPr>
        <w:spacing w:line="360" w:lineRule="auto"/>
        <w:jc w:val="both"/>
        <w:rPr>
          <w:rFonts w:ascii="Palatino Linotype" w:hAnsi="Palatino Linotype" w:cs="Arial"/>
        </w:rPr>
      </w:pPr>
      <w:r>
        <w:rPr>
          <w:rFonts w:ascii="Palatino Linotype" w:hAnsi="Palatino Linotype" w:cs="Arial"/>
        </w:rPr>
        <w:t xml:space="preserve">Aunado a lo anterior, en relación a los contratos remitidos por el particular </w:t>
      </w:r>
      <w:r w:rsidRPr="00733877">
        <w:rPr>
          <w:rFonts w:ascii="Palatino Linotype" w:hAnsi="Palatino Linotype" w:cs="Arial"/>
        </w:rPr>
        <w:t>de adquisiciones y servicios,</w:t>
      </w:r>
      <w:r>
        <w:rPr>
          <w:rFonts w:ascii="Palatino Linotype" w:hAnsi="Palatino Linotype" w:cs="Arial"/>
        </w:rPr>
        <w:t xml:space="preserve"> y a lo manifestado en relación a que </w:t>
      </w:r>
      <w:r w:rsidRPr="00733877">
        <w:rPr>
          <w:rFonts w:ascii="Palatino Linotype" w:hAnsi="Palatino Linotype" w:cs="Arial"/>
        </w:rPr>
        <w:t>los demás</w:t>
      </w:r>
      <w:r>
        <w:rPr>
          <w:rFonts w:ascii="Palatino Linotype" w:hAnsi="Palatino Linotype" w:cs="Arial"/>
        </w:rPr>
        <w:t xml:space="preserve"> contratos</w:t>
      </w:r>
      <w:r w:rsidRPr="00733877">
        <w:rPr>
          <w:rFonts w:ascii="Palatino Linotype" w:hAnsi="Palatino Linotype" w:cs="Arial"/>
        </w:rPr>
        <w:t xml:space="preserve"> los puede encontrar publicados en la página de compra net en la liga electrónica: </w:t>
      </w:r>
      <w:hyperlink r:id="rId18" w:history="1">
        <w:r w:rsidRPr="00CE4FB0">
          <w:rPr>
            <w:rStyle w:val="Hipervnculo"/>
            <w:rFonts w:ascii="Palatino Linotype" w:hAnsi="Palatino Linotype" w:cs="Arial"/>
          </w:rPr>
          <w:t>https://compranet.hacienda.gob.mx/web/login.html</w:t>
        </w:r>
      </w:hyperlink>
      <w:r>
        <w:rPr>
          <w:rFonts w:ascii="Palatino Linotype" w:hAnsi="Palatino Linotype" w:cs="Arial"/>
        </w:rPr>
        <w:t xml:space="preserve">, </w:t>
      </w:r>
      <w:r w:rsidR="002F0CBC">
        <w:rPr>
          <w:rFonts w:ascii="Palatino Linotype" w:hAnsi="Palatino Linotype" w:cs="Arial"/>
        </w:rPr>
        <w:t>la cual</w:t>
      </w:r>
      <w:r>
        <w:rPr>
          <w:rFonts w:ascii="Palatino Linotype" w:hAnsi="Palatino Linotype" w:cs="Arial"/>
        </w:rPr>
        <w:t xml:space="preserve"> </w:t>
      </w:r>
      <w:r w:rsidR="002F0CBC" w:rsidRPr="002F0CBC">
        <w:rPr>
          <w:rFonts w:ascii="Palatino Linotype" w:hAnsi="Palatino Linotype" w:cs="Arial"/>
        </w:rPr>
        <w:t xml:space="preserve">únicamente lo direcciona </w:t>
      </w:r>
      <w:r w:rsidR="002F0CBC">
        <w:rPr>
          <w:rFonts w:ascii="Palatino Linotype" w:hAnsi="Palatino Linotype" w:cs="Arial"/>
        </w:rPr>
        <w:t>a la página principal de Compra Net</w:t>
      </w:r>
      <w:r w:rsidR="002F0CBC" w:rsidRPr="002F0CBC">
        <w:rPr>
          <w:rFonts w:ascii="Palatino Linotype" w:hAnsi="Palatino Linotype" w:cs="Arial"/>
        </w:rPr>
        <w:t>, sin especificar el procedimiento de acceso a los datos solicitados, como se puede apreciar de las siguientes imágenes ilustrativas</w:t>
      </w:r>
      <w:r w:rsidR="002F0CBC">
        <w:rPr>
          <w:rFonts w:ascii="Palatino Linotype" w:hAnsi="Palatino Linotype" w:cs="Arial"/>
        </w:rPr>
        <w:t>:</w:t>
      </w:r>
    </w:p>
    <w:p w14:paraId="1F06AF53" w14:textId="3BC1FEE1" w:rsidR="002F0CBC" w:rsidRDefault="002F0CBC" w:rsidP="00B918B9">
      <w:pPr>
        <w:spacing w:line="360" w:lineRule="auto"/>
        <w:jc w:val="both"/>
        <w:rPr>
          <w:rFonts w:ascii="Palatino Linotype" w:hAnsi="Palatino Linotype" w:cs="Arial"/>
        </w:rPr>
      </w:pPr>
      <w:r w:rsidRPr="002F0CBC">
        <w:rPr>
          <w:rFonts w:ascii="Palatino Linotype" w:hAnsi="Palatino Linotype" w:cs="Arial"/>
          <w:noProof/>
          <w:lang w:val="es-MX" w:eastAsia="es-MX"/>
        </w:rPr>
        <w:drawing>
          <wp:inline distT="0" distB="0" distL="0" distR="0" wp14:anchorId="40F7D40A" wp14:editId="06A82364">
            <wp:extent cx="5760720" cy="18491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849120"/>
                    </a:xfrm>
                    <a:prstGeom prst="rect">
                      <a:avLst/>
                    </a:prstGeom>
                  </pic:spPr>
                </pic:pic>
              </a:graphicData>
            </a:graphic>
          </wp:inline>
        </w:drawing>
      </w:r>
    </w:p>
    <w:p w14:paraId="0E8006E9" w14:textId="6095C167" w:rsidR="002F0CBC" w:rsidRDefault="002F0CBC" w:rsidP="00B918B9">
      <w:pPr>
        <w:spacing w:line="360" w:lineRule="auto"/>
        <w:jc w:val="both"/>
        <w:rPr>
          <w:rFonts w:ascii="Palatino Linotype" w:hAnsi="Palatino Linotype" w:cs="Arial"/>
        </w:rPr>
      </w:pPr>
    </w:p>
    <w:p w14:paraId="0B36E51C" w14:textId="77777777" w:rsidR="002F0CBC" w:rsidRDefault="002F0CBC" w:rsidP="002F0CBC">
      <w:pPr>
        <w:spacing w:line="360" w:lineRule="auto"/>
        <w:jc w:val="both"/>
        <w:rPr>
          <w:rFonts w:ascii="Palatino Linotype" w:hAnsi="Palatino Linotype"/>
        </w:rPr>
      </w:pPr>
      <w:r>
        <w:rPr>
          <w:rFonts w:ascii="Palatino Linotype" w:hAnsi="Palatino Linotype"/>
        </w:rPr>
        <w:t xml:space="preserve">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w:t>
      </w:r>
      <w:r>
        <w:rPr>
          <w:rFonts w:ascii="Palatino Linotype" w:hAnsi="Palatino Linotype"/>
        </w:rPr>
        <w:lastRenderedPageBreak/>
        <w:t>como la forma en que se deberá consultar la información, señalando una fuente precisa y concreta, a saber:</w:t>
      </w:r>
    </w:p>
    <w:p w14:paraId="54002123" w14:textId="77777777" w:rsidR="002F0CBC" w:rsidRDefault="002F0CBC" w:rsidP="002F0CBC">
      <w:pPr>
        <w:spacing w:line="360" w:lineRule="auto"/>
        <w:jc w:val="both"/>
        <w:rPr>
          <w:rFonts w:ascii="Palatino Linotype" w:hAnsi="Palatino Linotype"/>
        </w:rPr>
      </w:pPr>
    </w:p>
    <w:p w14:paraId="24041DDF" w14:textId="77777777" w:rsidR="002F0CBC" w:rsidRDefault="002F0CBC" w:rsidP="002F0CBC">
      <w:pPr>
        <w:ind w:left="567" w:right="616"/>
        <w:jc w:val="both"/>
        <w:rPr>
          <w:rFonts w:ascii="Palatino Linotype" w:hAnsi="Palatino Linotype"/>
          <w:i/>
          <w:sz w:val="22"/>
          <w:szCs w:val="22"/>
        </w:rPr>
      </w:pPr>
      <w:r>
        <w:rPr>
          <w:rFonts w:ascii="Palatino Linotype" w:hAnsi="Palatino Linotype"/>
          <w:b/>
          <w:i/>
        </w:rPr>
        <w:t>Artículo 11.</w:t>
      </w:r>
      <w:r>
        <w:rPr>
          <w:rFonts w:ascii="Palatino Linotype" w:hAnsi="Palatino Linotype"/>
          <w:i/>
        </w:rPr>
        <w:t xml:space="preserve"> </w:t>
      </w:r>
      <w:r>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4CFACBE7" w14:textId="77777777" w:rsidR="002F0CBC" w:rsidRDefault="002F0CBC" w:rsidP="002F0CBC">
      <w:pPr>
        <w:ind w:left="567" w:right="616"/>
        <w:jc w:val="both"/>
        <w:rPr>
          <w:rFonts w:ascii="Palatino Linotype" w:hAnsi="Palatino Linotype"/>
          <w:i/>
        </w:rPr>
      </w:pPr>
      <w:r>
        <w:rPr>
          <w:rFonts w:ascii="Palatino Linotype" w:hAnsi="Palatino Linotype"/>
          <w:i/>
        </w:rPr>
        <w:t>[…]</w:t>
      </w:r>
    </w:p>
    <w:p w14:paraId="4C6D393B" w14:textId="77777777" w:rsidR="002F0CBC" w:rsidRDefault="002F0CBC" w:rsidP="002F0CBC">
      <w:pPr>
        <w:ind w:left="567" w:right="616"/>
        <w:jc w:val="both"/>
        <w:rPr>
          <w:rFonts w:ascii="Palatino Linotype" w:hAnsi="Palatino Linotype"/>
          <w:i/>
        </w:rPr>
      </w:pPr>
    </w:p>
    <w:p w14:paraId="15395DE2" w14:textId="77777777" w:rsidR="002F0CBC" w:rsidRDefault="002F0CBC" w:rsidP="002F0CBC">
      <w:pPr>
        <w:ind w:left="567" w:right="616"/>
        <w:jc w:val="both"/>
        <w:rPr>
          <w:rFonts w:ascii="Palatino Linotype" w:hAnsi="Palatino Linotype"/>
        </w:rPr>
      </w:pPr>
      <w:r>
        <w:rPr>
          <w:rFonts w:ascii="Palatino Linotype" w:hAnsi="Palatino Linotype"/>
          <w:b/>
          <w:i/>
        </w:rPr>
        <w:t>Artículo 161.</w:t>
      </w:r>
      <w:r>
        <w:rPr>
          <w:rFonts w:ascii="Palatino Linotype" w:hAnsi="Palatino Linotype"/>
          <w:i/>
        </w:rPr>
        <w:t xml:space="preserve"> </w:t>
      </w:r>
      <w:r>
        <w:rPr>
          <w:rFonts w:ascii="Palatino Linotype" w:hAnsi="Palatino Linotype"/>
          <w:b/>
          <w:i/>
          <w:u w:val="single"/>
        </w:rPr>
        <w:t>Cuando la información requerida por el solicitante ya esté disponible al público</w:t>
      </w:r>
      <w:r>
        <w:rPr>
          <w:rFonts w:ascii="Palatino Linotype" w:hAnsi="Palatino Linotype"/>
          <w:i/>
        </w:rPr>
        <w:t xml:space="preserve"> en medios impresos, tales como libros, compendios, trípticos, registros públicos, </w:t>
      </w:r>
      <w:r>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4D36B96" w14:textId="77777777" w:rsidR="002F0CBC" w:rsidRDefault="002F0CBC" w:rsidP="002F0CBC">
      <w:pPr>
        <w:spacing w:line="360" w:lineRule="auto"/>
        <w:jc w:val="both"/>
        <w:rPr>
          <w:rFonts w:ascii="Palatino Linotype" w:hAnsi="Palatino Linotype"/>
        </w:rPr>
      </w:pPr>
    </w:p>
    <w:p w14:paraId="4DD33414" w14:textId="77777777" w:rsidR="002F0CBC" w:rsidRDefault="002F0CBC" w:rsidP="002F0CBC">
      <w:pPr>
        <w:spacing w:line="360" w:lineRule="auto"/>
        <w:jc w:val="both"/>
        <w:rPr>
          <w:rFonts w:ascii="Palatino Linotype" w:hAnsi="Palatino Linotype"/>
        </w:rPr>
      </w:pPr>
      <w:r>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A81D442" w14:textId="77777777" w:rsidR="002F0CBC" w:rsidRDefault="002F0CBC" w:rsidP="002F0CBC">
      <w:pPr>
        <w:spacing w:line="360" w:lineRule="auto"/>
        <w:jc w:val="both"/>
        <w:rPr>
          <w:rFonts w:ascii="Palatino Linotype" w:hAnsi="Palatino Linotype"/>
        </w:rPr>
      </w:pPr>
    </w:p>
    <w:p w14:paraId="21B8BE85" w14:textId="77777777" w:rsidR="002F0CBC" w:rsidRDefault="002F0CBC" w:rsidP="002F0CBC">
      <w:pPr>
        <w:numPr>
          <w:ilvl w:val="0"/>
          <w:numId w:val="45"/>
        </w:numPr>
        <w:ind w:left="1134" w:hanging="567"/>
        <w:jc w:val="both"/>
        <w:rPr>
          <w:rFonts w:ascii="Palatino Linotype" w:hAnsi="Palatino Linotype"/>
        </w:rPr>
      </w:pPr>
      <w:r>
        <w:rPr>
          <w:rFonts w:ascii="Palatino Linotype" w:hAnsi="Palatino Linotype"/>
        </w:rPr>
        <w:t>La fuente</w:t>
      </w:r>
    </w:p>
    <w:p w14:paraId="4771C64A" w14:textId="77777777" w:rsidR="002F0CBC" w:rsidRDefault="002F0CBC" w:rsidP="002F0CBC">
      <w:pPr>
        <w:numPr>
          <w:ilvl w:val="0"/>
          <w:numId w:val="45"/>
        </w:numPr>
        <w:ind w:left="1134" w:hanging="567"/>
        <w:jc w:val="both"/>
        <w:rPr>
          <w:rFonts w:ascii="Palatino Linotype" w:hAnsi="Palatino Linotype"/>
        </w:rPr>
      </w:pPr>
      <w:r>
        <w:rPr>
          <w:rFonts w:ascii="Palatino Linotype" w:hAnsi="Palatino Linotype"/>
        </w:rPr>
        <w:t>El lugar y</w:t>
      </w:r>
    </w:p>
    <w:p w14:paraId="72D0D3C8" w14:textId="77777777" w:rsidR="002F0CBC" w:rsidRDefault="002F0CBC" w:rsidP="002F0CBC">
      <w:pPr>
        <w:numPr>
          <w:ilvl w:val="0"/>
          <w:numId w:val="45"/>
        </w:numPr>
        <w:ind w:left="1134" w:hanging="567"/>
        <w:jc w:val="both"/>
        <w:rPr>
          <w:rFonts w:ascii="Palatino Linotype" w:hAnsi="Palatino Linotype"/>
        </w:rPr>
      </w:pPr>
      <w:r>
        <w:rPr>
          <w:rFonts w:ascii="Palatino Linotype" w:hAnsi="Palatino Linotype"/>
        </w:rPr>
        <w:lastRenderedPageBreak/>
        <w:t xml:space="preserve">La forma </w:t>
      </w:r>
    </w:p>
    <w:p w14:paraId="505983C3" w14:textId="77777777" w:rsidR="002F0CBC" w:rsidRDefault="002F0CBC" w:rsidP="002F0CBC">
      <w:pPr>
        <w:spacing w:line="360" w:lineRule="auto"/>
        <w:jc w:val="both"/>
        <w:rPr>
          <w:rFonts w:ascii="Palatino Linotype" w:hAnsi="Palatino Linotype"/>
        </w:rPr>
      </w:pPr>
    </w:p>
    <w:p w14:paraId="15209D18" w14:textId="77777777" w:rsidR="002F0CBC" w:rsidRDefault="002F0CBC" w:rsidP="002F0CBC">
      <w:pPr>
        <w:spacing w:line="360" w:lineRule="auto"/>
        <w:jc w:val="both"/>
        <w:rPr>
          <w:rFonts w:ascii="Palatino Linotype" w:hAnsi="Palatino Linotype"/>
        </w:rPr>
      </w:pPr>
      <w:r>
        <w:rPr>
          <w:rFonts w:ascii="Palatino Linotype" w:hAnsi="Palatino Linotype"/>
        </w:rPr>
        <w:t>Asimismo, se establece que la fuente de la información deberá ser:</w:t>
      </w:r>
    </w:p>
    <w:p w14:paraId="1F375F9D" w14:textId="77777777" w:rsidR="002F0CBC" w:rsidRDefault="002F0CBC" w:rsidP="002F0CBC">
      <w:pPr>
        <w:spacing w:line="360" w:lineRule="auto"/>
        <w:jc w:val="both"/>
        <w:rPr>
          <w:rFonts w:ascii="Palatino Linotype" w:hAnsi="Palatino Linotype"/>
        </w:rPr>
      </w:pPr>
    </w:p>
    <w:p w14:paraId="2A5BBEDC" w14:textId="77777777" w:rsidR="002F0CBC" w:rsidRDefault="002F0CBC" w:rsidP="002F0CBC">
      <w:pPr>
        <w:numPr>
          <w:ilvl w:val="0"/>
          <w:numId w:val="46"/>
        </w:numPr>
        <w:ind w:left="1134" w:hanging="556"/>
        <w:jc w:val="both"/>
        <w:rPr>
          <w:rFonts w:ascii="Palatino Linotype" w:hAnsi="Palatino Linotype"/>
        </w:rPr>
      </w:pPr>
      <w:r>
        <w:rPr>
          <w:rFonts w:ascii="Palatino Linotype" w:hAnsi="Palatino Linotype"/>
        </w:rPr>
        <w:t>Precisa</w:t>
      </w:r>
    </w:p>
    <w:p w14:paraId="1CB5D9F0" w14:textId="77777777" w:rsidR="002F0CBC" w:rsidRDefault="002F0CBC" w:rsidP="002F0CBC">
      <w:pPr>
        <w:numPr>
          <w:ilvl w:val="0"/>
          <w:numId w:val="46"/>
        </w:numPr>
        <w:ind w:left="1134" w:hanging="556"/>
        <w:jc w:val="both"/>
        <w:rPr>
          <w:rFonts w:ascii="Palatino Linotype" w:hAnsi="Palatino Linotype"/>
        </w:rPr>
      </w:pPr>
      <w:r>
        <w:rPr>
          <w:rFonts w:ascii="Palatino Linotype" w:hAnsi="Palatino Linotype"/>
        </w:rPr>
        <w:t>Concreta</w:t>
      </w:r>
    </w:p>
    <w:p w14:paraId="077681C4" w14:textId="77777777" w:rsidR="002F0CBC" w:rsidRDefault="002F0CBC" w:rsidP="002F0CBC">
      <w:pPr>
        <w:numPr>
          <w:ilvl w:val="0"/>
          <w:numId w:val="46"/>
        </w:numPr>
        <w:ind w:left="1134" w:hanging="556"/>
        <w:jc w:val="both"/>
        <w:rPr>
          <w:rFonts w:ascii="Palatino Linotype" w:hAnsi="Palatino Linotype"/>
        </w:rPr>
      </w:pPr>
      <w:r>
        <w:rPr>
          <w:rFonts w:ascii="Palatino Linotype" w:hAnsi="Palatino Linotype"/>
          <w:b/>
        </w:rPr>
        <w:t>Y no debe implicar que el solicitante realice una búsqueda en toda la información que se encuentre disponible</w:t>
      </w:r>
      <w:r>
        <w:rPr>
          <w:rFonts w:ascii="Palatino Linotype" w:hAnsi="Palatino Linotype"/>
        </w:rPr>
        <w:t>.</w:t>
      </w:r>
    </w:p>
    <w:p w14:paraId="685CEACE" w14:textId="77777777" w:rsidR="002F0CBC" w:rsidRDefault="002F0CBC" w:rsidP="002F0CBC">
      <w:pPr>
        <w:spacing w:line="360" w:lineRule="auto"/>
        <w:jc w:val="both"/>
        <w:rPr>
          <w:rFonts w:ascii="Palatino Linotype" w:hAnsi="Palatino Linotype"/>
        </w:rPr>
      </w:pPr>
    </w:p>
    <w:p w14:paraId="4FA8E04A" w14:textId="716D7DA9" w:rsidR="002F0CBC" w:rsidRDefault="002F0CBC" w:rsidP="002F0CBC">
      <w:pPr>
        <w:spacing w:line="360" w:lineRule="auto"/>
        <w:jc w:val="both"/>
        <w:rPr>
          <w:rFonts w:ascii="Palatino Linotype" w:hAnsi="Palatino Linotype"/>
        </w:rPr>
      </w:pPr>
      <w:r>
        <w:rPr>
          <w:rFonts w:ascii="Palatino Linotype" w:hAnsi="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w:t>
      </w:r>
      <w:r w:rsidR="0017075A">
        <w:rPr>
          <w:rFonts w:ascii="Palatino Linotype" w:hAnsi="Palatino Linotype"/>
        </w:rPr>
        <w:t xml:space="preserve"> la</w:t>
      </w:r>
      <w:r>
        <w:rPr>
          <w:rFonts w:ascii="Palatino Linotype" w:hAnsi="Palatino Linotype"/>
        </w:rPr>
        <w:t xml:space="preserve"> página oficial</w:t>
      </w:r>
      <w:r w:rsidR="0017075A">
        <w:rPr>
          <w:rFonts w:ascii="Palatino Linotype" w:hAnsi="Palatino Linotype"/>
        </w:rPr>
        <w:t xml:space="preserve"> referida</w:t>
      </w:r>
      <w:r>
        <w:rPr>
          <w:rFonts w:ascii="Palatino Linotype" w:hAnsi="Palatino Linotype"/>
        </w:rPr>
        <w:t>,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1CB14F9A" w14:textId="77777777" w:rsidR="002F0CBC" w:rsidRDefault="002F0CBC" w:rsidP="002F0CBC">
      <w:pPr>
        <w:spacing w:line="360" w:lineRule="auto"/>
        <w:jc w:val="both"/>
        <w:rPr>
          <w:rFonts w:ascii="Palatino Linotype" w:hAnsi="Palatino Linotype"/>
        </w:rPr>
      </w:pPr>
    </w:p>
    <w:p w14:paraId="04137F3D" w14:textId="6195F078" w:rsidR="00506840" w:rsidRPr="0017075A" w:rsidRDefault="002F0CBC" w:rsidP="0017075A">
      <w:pPr>
        <w:spacing w:line="360" w:lineRule="auto"/>
        <w:ind w:right="51"/>
        <w:jc w:val="both"/>
        <w:rPr>
          <w:rFonts w:ascii="Palatino Linotype" w:hAnsi="Palatino Linotype" w:cs="Arial"/>
          <w:szCs w:val="22"/>
        </w:rPr>
      </w:pPr>
      <w:r>
        <w:rPr>
          <w:rFonts w:ascii="Palatino Linotype" w:eastAsia="Arial Unicode MS" w:hAnsi="Palatino Linotype" w:cs="Arial"/>
        </w:rPr>
        <w:t xml:space="preserve">Por lo anteriormente expuesto, se concluye que el </w:t>
      </w:r>
      <w:r>
        <w:rPr>
          <w:rFonts w:ascii="Palatino Linotype" w:eastAsia="Arial Unicode MS" w:hAnsi="Palatino Linotype" w:cs="Arial"/>
          <w:b/>
        </w:rPr>
        <w:t>Sujeto Obligado</w:t>
      </w:r>
      <w:r>
        <w:rPr>
          <w:rFonts w:ascii="Palatino Linotype" w:eastAsia="Arial Unicode MS" w:hAnsi="Palatino Linotype" w:cs="Arial"/>
        </w:rPr>
        <w:t xml:space="preserve"> no colmó las pretensiones realizadas por el particular, con dichas instrucciones para acceder a la información solicitada en la multirreferida página de internet; no obstante</w:t>
      </w:r>
      <w:r>
        <w:rPr>
          <w:rFonts w:ascii="Palatino Linotype" w:hAnsi="Palatino Linotype" w:cs="Arial"/>
          <w:color w:val="000000" w:themeColor="text1"/>
        </w:rPr>
        <w:t xml:space="preserve">, no pasa desapercibido para esta ponencia que el plazo transcurrido entre la solicitud de información y la respuesta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fue de </w:t>
      </w:r>
      <w:r>
        <w:rPr>
          <w:rFonts w:ascii="Palatino Linotype" w:hAnsi="Palatino Linotype" w:cs="Arial"/>
          <w:b/>
          <w:i/>
          <w:color w:val="000000" w:themeColor="text1"/>
        </w:rPr>
        <w:t>veintidós días hábiles</w:t>
      </w:r>
      <w:r>
        <w:rPr>
          <w:rFonts w:ascii="Palatino Linotype" w:hAnsi="Palatino Linotype" w:cs="Arial"/>
          <w:color w:val="000000" w:themeColor="text1"/>
        </w:rPr>
        <w:t xml:space="preserve">; al </w:t>
      </w:r>
      <w:r>
        <w:rPr>
          <w:rFonts w:ascii="Palatino Linotype" w:hAnsi="Palatino Linotype" w:cs="Arial"/>
          <w:color w:val="000000" w:themeColor="text1"/>
        </w:rPr>
        <w:lastRenderedPageBreak/>
        <w:t xml:space="preserve">respecto, el artículo 161, de la Ley de Transparencia local indica que cuando la información requerida esté disponible en internet,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w:t>
      </w:r>
      <w:r>
        <w:rPr>
          <w:rFonts w:ascii="Palatino Linotype" w:hAnsi="Palatino Linotype" w:cs="Arial"/>
          <w:b/>
          <w:i/>
          <w:color w:val="000000" w:themeColor="text1"/>
          <w:u w:val="single"/>
        </w:rPr>
        <w:t>deberá hacerlo saber al solicitante en un plazo no mayor a cinco días hábiles</w:t>
      </w:r>
      <w:r>
        <w:rPr>
          <w:rFonts w:ascii="Palatino Linotype" w:hAnsi="Palatino Linotype" w:cs="Arial"/>
          <w:color w:val="000000" w:themeColor="text1"/>
        </w:rPr>
        <w:t xml:space="preserve">; bajo esa premisa, la respuesta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w:t>
      </w:r>
      <w:r>
        <w:rPr>
          <w:rFonts w:ascii="Palatino Linotype" w:hAnsi="Palatino Linotype" w:cs="Arial"/>
        </w:rPr>
        <w:t>vulneró el referido dispositivo de la Ley de Transparencia.</w:t>
      </w:r>
    </w:p>
    <w:p w14:paraId="56CE2BE4" w14:textId="50370BE0" w:rsidR="005E0523" w:rsidRDefault="005E0523" w:rsidP="0017075A">
      <w:pPr>
        <w:tabs>
          <w:tab w:val="left" w:pos="5085"/>
        </w:tabs>
        <w:spacing w:line="360" w:lineRule="auto"/>
        <w:rPr>
          <w:rFonts w:ascii="Palatino Linotype" w:hAnsi="Palatino Linotype" w:cs="Arial"/>
        </w:rPr>
      </w:pPr>
    </w:p>
    <w:p w14:paraId="175CCC5C" w14:textId="6D2C931B" w:rsidR="005E0523" w:rsidRPr="00BA3D3C" w:rsidRDefault="005E0523" w:rsidP="005E0523">
      <w:pPr>
        <w:spacing w:line="360" w:lineRule="auto"/>
        <w:jc w:val="both"/>
        <w:rPr>
          <w:rFonts w:ascii="Palatino Linotype" w:hAnsi="Palatino Linotype" w:cs="Arial"/>
        </w:rPr>
      </w:pPr>
      <w:r>
        <w:rPr>
          <w:rFonts w:ascii="Palatino Linotype" w:hAnsi="Palatino Linotype" w:cs="Arial"/>
        </w:rPr>
        <w:t xml:space="preserve">Imágenes que demuestran </w:t>
      </w:r>
      <w:r w:rsidR="008E1DEE">
        <w:rPr>
          <w:rFonts w:ascii="Palatino Linotype" w:hAnsi="Palatino Linotype" w:cs="Arial"/>
        </w:rPr>
        <w:t>que,</w:t>
      </w:r>
      <w:r>
        <w:rPr>
          <w:rFonts w:ascii="Palatino Linotype" w:hAnsi="Palatino Linotype" w:cs="Arial"/>
        </w:rPr>
        <w:t xml:space="preserve"> si bien el </w:t>
      </w:r>
      <w:r>
        <w:rPr>
          <w:rFonts w:ascii="Palatino Linotype" w:hAnsi="Palatino Linotype" w:cs="Arial"/>
          <w:b/>
        </w:rPr>
        <w:t>sujeto obligado</w:t>
      </w:r>
      <w:r>
        <w:rPr>
          <w:rFonts w:ascii="Palatino Linotype" w:hAnsi="Palatino Linotype" w:cs="Arial"/>
        </w:rPr>
        <w:t xml:space="preserve"> reconoce tener en sus archivos la información peticionada, y que la misma se encuentra publicada, también lo es que no se encuentra completa, en </w:t>
      </w:r>
      <w:r w:rsidR="008E1DEE">
        <w:rPr>
          <w:rFonts w:ascii="Palatino Linotype" w:hAnsi="Palatino Linotype" w:cs="Arial"/>
        </w:rPr>
        <w:t>consecuencia,</w:t>
      </w:r>
      <w:r>
        <w:rPr>
          <w:rFonts w:ascii="Palatino Linotype" w:hAnsi="Palatino Linotype" w:cs="Arial"/>
        </w:rPr>
        <w:t xml:space="preserve"> no se tiene por colmado el punto en estudio, resultando dable ordenar al </w:t>
      </w:r>
      <w:r>
        <w:rPr>
          <w:rFonts w:ascii="Palatino Linotype" w:hAnsi="Palatino Linotype" w:cs="Arial"/>
          <w:b/>
        </w:rPr>
        <w:t>Sujeto Obligado</w:t>
      </w:r>
      <w:r>
        <w:rPr>
          <w:rFonts w:ascii="Palatino Linotype" w:hAnsi="Palatino Linotype" w:cs="Arial"/>
        </w:rPr>
        <w:t>, haga entrega de la información.</w:t>
      </w:r>
    </w:p>
    <w:p w14:paraId="678FEBFA" w14:textId="77777777" w:rsidR="005E0523" w:rsidRDefault="005E0523" w:rsidP="00B918B9">
      <w:pPr>
        <w:tabs>
          <w:tab w:val="left" w:pos="5085"/>
        </w:tabs>
        <w:spacing w:line="360" w:lineRule="auto"/>
        <w:jc w:val="center"/>
        <w:rPr>
          <w:rFonts w:ascii="Palatino Linotype" w:hAnsi="Palatino Linotype" w:cs="Arial"/>
        </w:rPr>
      </w:pPr>
    </w:p>
    <w:p w14:paraId="07AAEC57" w14:textId="33D23E33" w:rsidR="00195DAD" w:rsidRPr="00195DAD" w:rsidRDefault="008E1DEE" w:rsidP="00195DAD">
      <w:pPr>
        <w:spacing w:before="240" w:line="360" w:lineRule="auto"/>
        <w:jc w:val="both"/>
        <w:rPr>
          <w:rFonts w:ascii="Palatino Linotype" w:hAnsi="Palatino Linotype"/>
        </w:rPr>
      </w:pPr>
      <w:r w:rsidRPr="00195DAD">
        <w:rPr>
          <w:rFonts w:ascii="Palatino Linotype" w:hAnsi="Palatino Linotype" w:cs="Arial"/>
        </w:rPr>
        <w:t xml:space="preserve">Ahora bien, en lo que corresponde a los numerales </w:t>
      </w:r>
      <w:r w:rsidRPr="00195DAD">
        <w:rPr>
          <w:rFonts w:ascii="Palatino Linotype" w:hAnsi="Palatino Linotype" w:cs="Arial"/>
          <w:b/>
        </w:rPr>
        <w:t>2</w:t>
      </w:r>
      <w:r w:rsidRPr="00195DAD">
        <w:rPr>
          <w:rFonts w:ascii="Palatino Linotype" w:hAnsi="Palatino Linotype" w:cs="Arial"/>
        </w:rPr>
        <w:t xml:space="preserve"> y </w:t>
      </w:r>
      <w:r w:rsidRPr="00195DAD">
        <w:rPr>
          <w:rFonts w:ascii="Palatino Linotype" w:hAnsi="Palatino Linotype" w:cs="Arial"/>
          <w:b/>
        </w:rPr>
        <w:t>3</w:t>
      </w:r>
      <w:r w:rsidRPr="00195DAD">
        <w:rPr>
          <w:rFonts w:ascii="Palatino Linotype" w:hAnsi="Palatino Linotype" w:cs="Arial"/>
        </w:rPr>
        <w:t xml:space="preserve">, el </w:t>
      </w:r>
      <w:r w:rsidRPr="00195DAD">
        <w:rPr>
          <w:rFonts w:ascii="Palatino Linotype" w:hAnsi="Palatino Linotype" w:cs="Arial"/>
          <w:b/>
        </w:rPr>
        <w:t>Sujeto Obligado</w:t>
      </w:r>
      <w:r w:rsidRPr="00195DAD">
        <w:rPr>
          <w:rFonts w:ascii="Palatino Linotype" w:hAnsi="Palatino Linotype" w:cs="Arial"/>
        </w:rPr>
        <w:t xml:space="preserve"> emitió respuesta, mediante la cual </w:t>
      </w:r>
      <w:r w:rsidR="00195DAD" w:rsidRPr="00195DAD">
        <w:rPr>
          <w:rFonts w:ascii="Palatino Linotype" w:hAnsi="Palatino Linotype"/>
        </w:rPr>
        <w:t xml:space="preserve">manifiesta que </w:t>
      </w:r>
      <w:r w:rsidR="0017075A" w:rsidRPr="0017075A">
        <w:rPr>
          <w:rFonts w:ascii="Palatino Linotype" w:hAnsi="Palatino Linotype"/>
        </w:rPr>
        <w:t>ese Ayuntamiento de Teotihuacan no genera la información, informando que quien genera dicha información el Instituto de Seguridad Social del Estado de México y Municipios (ISSEMYM).</w:t>
      </w:r>
    </w:p>
    <w:p w14:paraId="76F40A17" w14:textId="43398A04" w:rsidR="007B3CEC" w:rsidRPr="00195DAD" w:rsidRDefault="007B3CEC" w:rsidP="006549E5">
      <w:pPr>
        <w:autoSpaceDE w:val="0"/>
        <w:autoSpaceDN w:val="0"/>
        <w:adjustRightInd w:val="0"/>
        <w:spacing w:line="360" w:lineRule="auto"/>
        <w:jc w:val="both"/>
        <w:rPr>
          <w:rFonts w:ascii="Palatino Linotype" w:hAnsi="Palatino Linotype" w:cs="Arial"/>
        </w:rPr>
      </w:pPr>
    </w:p>
    <w:p w14:paraId="24DB9588" w14:textId="044A3AC8" w:rsidR="002923E0" w:rsidRPr="0017075A" w:rsidRDefault="002923E0" w:rsidP="002923E0">
      <w:pPr>
        <w:spacing w:line="360" w:lineRule="auto"/>
        <w:jc w:val="both"/>
        <w:rPr>
          <w:rFonts w:ascii="Palatino Linotype" w:eastAsiaTheme="minorHAnsi" w:hAnsi="Palatino Linotype" w:cs="Arial"/>
          <w:lang w:val="es-MX"/>
        </w:rPr>
      </w:pPr>
      <w:r w:rsidRPr="0017075A">
        <w:rPr>
          <w:rFonts w:ascii="Palatino Linotype" w:eastAsiaTheme="minorHAnsi" w:hAnsi="Palatino Linotype" w:cs="Arial"/>
          <w:lang w:val="es-MX"/>
        </w:rPr>
        <w:t xml:space="preserve">Al respecto, de la información generada con motivo de las pensiones, es necesario traer a colación la Ley de Seguridad Social para los Servidores Públicos del Estado de México y Municipios; la cual puede ser consultada en la siguiente página electrónica: </w:t>
      </w:r>
      <w:hyperlink r:id="rId20" w:history="1">
        <w:r w:rsidR="0017075A" w:rsidRPr="00CE4FB0">
          <w:rPr>
            <w:rStyle w:val="Hipervnculo"/>
            <w:rFonts w:eastAsia="Batang" w:cs="Arial"/>
            <w:lang w:val="es-MX"/>
          </w:rPr>
          <w:t>https://legislacion.edomex.gob.mx/sites/legislacion.edomex.gob.mx/files/files/pdf/ley/vig/leyvig016.pdf</w:t>
        </w:r>
      </w:hyperlink>
      <w:r w:rsidRPr="0017075A">
        <w:rPr>
          <w:rFonts w:ascii="Palatino Linotype" w:eastAsiaTheme="minorHAnsi" w:hAnsi="Palatino Linotype" w:cs="Arial"/>
          <w:lang w:val="es-MX"/>
        </w:rPr>
        <w:t xml:space="preserve">; misma que tiene como objetivo regular el régimen de seguridad social en favor de los servidores públicos del estado y municipios, así como de sus organismos </w:t>
      </w:r>
      <w:r w:rsidRPr="0017075A">
        <w:rPr>
          <w:rFonts w:ascii="Palatino Linotype" w:eastAsiaTheme="minorHAnsi" w:hAnsi="Palatino Linotype" w:cs="Arial"/>
          <w:lang w:val="es-MX"/>
        </w:rPr>
        <w:lastRenderedPageBreak/>
        <w:t xml:space="preserve">auxiliares y fideicomiso públicos; ahora bien, de dicho ordenamiento se desprende el artículo 20 que a la letra menciona: </w:t>
      </w:r>
    </w:p>
    <w:p w14:paraId="170439C8" w14:textId="77777777" w:rsidR="002923E0" w:rsidRPr="00C46D60" w:rsidRDefault="002923E0" w:rsidP="002923E0">
      <w:pPr>
        <w:spacing w:line="360" w:lineRule="auto"/>
        <w:ind w:left="567" w:right="539"/>
        <w:jc w:val="both"/>
        <w:rPr>
          <w:rFonts w:ascii="Palatino Linotype" w:eastAsia="Batang" w:hAnsi="Palatino Linotype" w:cs="Tahoma"/>
          <w:b/>
          <w:bCs/>
        </w:rPr>
      </w:pPr>
    </w:p>
    <w:p w14:paraId="18296A0D"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ARTÍCULO 20.- Son atribuciones del Consejo Directivo:</w:t>
      </w:r>
    </w:p>
    <w:p w14:paraId="07D637A3"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 Cumplir y hacer cumplir las disposiciones de esta ley y sus reglamentos;</w:t>
      </w:r>
    </w:p>
    <w:p w14:paraId="4021238F"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II. Proponer al Titular del Poder Ejecutivo del Estado los proyectos de reformas y adiciones a la presente ley;</w:t>
      </w:r>
    </w:p>
    <w:p w14:paraId="525DF965"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III. Aprobar las bases para la celebración de convenios que el Instituto requiera para el cumplimiento de sus objetivos;</w:t>
      </w:r>
    </w:p>
    <w:p w14:paraId="7A35665D" w14:textId="77777777" w:rsidR="002923E0" w:rsidRPr="00C46D60" w:rsidRDefault="002923E0" w:rsidP="002923E0">
      <w:pPr>
        <w:spacing w:line="360" w:lineRule="auto"/>
        <w:ind w:left="567" w:right="539"/>
        <w:jc w:val="both"/>
        <w:rPr>
          <w:rFonts w:ascii="Palatino Linotype" w:eastAsia="Batang" w:hAnsi="Palatino Linotype" w:cs="Tahoma"/>
          <w:b/>
          <w:bCs/>
          <w:i/>
        </w:rPr>
      </w:pPr>
      <w:r w:rsidRPr="00C46D60">
        <w:rPr>
          <w:rFonts w:ascii="Palatino Linotype" w:eastAsia="Batang" w:hAnsi="Palatino Linotype" w:cs="Tahoma"/>
          <w:b/>
          <w:bCs/>
          <w:i/>
        </w:rPr>
        <w:t>IV. Aprobar las bases generales para conceder, negar, suspender, modificar y revocar las pensiones en los términos de esta ley y sus disposiciones reglamentarias, así como para otorgar los créditos que ésta prevé;</w:t>
      </w:r>
    </w:p>
    <w:p w14:paraId="6DA4F358" w14:textId="77777777" w:rsidR="002923E0" w:rsidRPr="00C46D60" w:rsidRDefault="002923E0" w:rsidP="002923E0">
      <w:pPr>
        <w:spacing w:line="360" w:lineRule="auto"/>
        <w:ind w:left="567" w:right="539"/>
        <w:jc w:val="both"/>
        <w:rPr>
          <w:rFonts w:ascii="Palatino Linotype" w:eastAsia="Batang" w:hAnsi="Palatino Linotype" w:cs="Tahoma"/>
          <w:b/>
          <w:bCs/>
          <w:i/>
        </w:rPr>
      </w:pPr>
      <w:r w:rsidRPr="00C46D60">
        <w:rPr>
          <w:rFonts w:ascii="Palatino Linotype" w:eastAsia="Batang" w:hAnsi="Palatino Linotype" w:cs="Tahoma"/>
          <w:b/>
          <w:bCs/>
          <w:i/>
        </w:rPr>
        <w:t>V. Autorizar, supervisar, controlar y evaluar las actividades del Instituto; para tal efecto, conocerá y, en su caso, aprobará los programas correspondientes;</w:t>
      </w:r>
    </w:p>
    <w:p w14:paraId="6C187705"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VI. Aprobar los reglamentos internos del Instituto, los cuales deberán ser elaborados con la participación de los interesados;</w:t>
      </w:r>
    </w:p>
    <w:p w14:paraId="019AE4FE"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VII. Elaborar y aprobar el catálogo de riesgos profesionales y de trabajo;</w:t>
      </w:r>
    </w:p>
    <w:p w14:paraId="2E4FA696" w14:textId="77777777" w:rsidR="002923E0" w:rsidRPr="00C46D60" w:rsidRDefault="002923E0" w:rsidP="002923E0">
      <w:pPr>
        <w:spacing w:line="360" w:lineRule="auto"/>
        <w:ind w:left="567" w:right="539"/>
        <w:jc w:val="both"/>
        <w:rPr>
          <w:rFonts w:ascii="Palatino Linotype" w:eastAsia="Batang" w:hAnsi="Palatino Linotype" w:cs="Tahoma"/>
          <w:b/>
          <w:bCs/>
          <w:i/>
        </w:rPr>
      </w:pPr>
      <w:r w:rsidRPr="00C46D60">
        <w:rPr>
          <w:rFonts w:ascii="Palatino Linotype" w:eastAsia="Batang" w:hAnsi="Palatino Linotype" w:cs="Tahoma"/>
          <w:b/>
          <w:bCs/>
          <w:i/>
        </w:rPr>
        <w:t>VIII. Aprobar las disposiciones administrativas de observancia general, así como la integración de los comités o comisiones necesarios para el mejor cumplimiento de sus funciones;</w:t>
      </w:r>
    </w:p>
    <w:p w14:paraId="40B698D1"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
          <w:bCs/>
          <w:i/>
        </w:rPr>
        <w:t xml:space="preserve">IX. Aprobar la estructura orgánica del Instituto, la creación de unidades desconcentradas y vigilar el desarrollo de programas de modernización administrativa y de sistemas de información, y en general de medidas </w:t>
      </w:r>
      <w:r w:rsidRPr="00C46D60">
        <w:rPr>
          <w:rFonts w:ascii="Palatino Linotype" w:eastAsia="Batang" w:hAnsi="Palatino Linotype" w:cs="Tahoma"/>
          <w:b/>
          <w:bCs/>
          <w:i/>
        </w:rPr>
        <w:lastRenderedPageBreak/>
        <w:t>convenientes para el mejor funcionamiento, a propuesta del Director General</w:t>
      </w:r>
      <w:r w:rsidRPr="00C46D60">
        <w:rPr>
          <w:rFonts w:ascii="Palatino Linotype" w:eastAsia="Batang" w:hAnsi="Palatino Linotype" w:cs="Tahoma"/>
          <w:bCs/>
          <w:i/>
        </w:rPr>
        <w:t>;</w:t>
      </w:r>
    </w:p>
    <w:p w14:paraId="3811647A"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 Nombrar y remover a los servidores públicos del segundo y tercer nivel jerárquico de la estructura orgánica, a propuesta del Director General del Instituto;</w:t>
      </w:r>
    </w:p>
    <w:p w14:paraId="0E4876B0"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XI. Conferir y otorgar poderes generales o especiales y delegar facultades en el Director General y en otros servidores públicos del Instituto;</w:t>
      </w:r>
    </w:p>
    <w:p w14:paraId="0CFDF3AA"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XII. Administrar el patrimonio del Instituto y autorizar sus inversiones, así como la constitución de los fondos necesarios para dar soporte financiero a las prestaciones que le corresponde otorgar, y vigilar el comportamiento de las reservas financieras;</w:t>
      </w:r>
    </w:p>
    <w:p w14:paraId="05797D4E"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XIII. Determinar anualmente el porcentaje de cuotas y aportaciones para otras prestaciones señaladas en el Título IV y aportaciones para riesgos de trabajo;</w:t>
      </w:r>
    </w:p>
    <w:p w14:paraId="20C8C3D3"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XIV. Determinar en caso de aportaciones extraordinarias, el monto de éstas y el periodo de vigencia;</w:t>
      </w:r>
    </w:p>
    <w:p w14:paraId="510D28C1"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XV. Aprobar los proyectos de los presupuestos anuales de ingresos y de egresos;</w:t>
      </w:r>
    </w:p>
    <w:p w14:paraId="00E14950"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XVI. Revisar y, en su caso, aprobar los estados financieros, establecer los periodos de presentación, así como los informes generales o especiales y, en su caso, ordenar su publicación;</w:t>
      </w:r>
    </w:p>
    <w:p w14:paraId="5DC62354"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XVII. Adquirir y enajenar bienes muebles e inmuebles para el cumplimiento de sus objetivos;</w:t>
      </w:r>
    </w:p>
    <w:p w14:paraId="431B0042" w14:textId="2058A771"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XVIII. Las demás que le confieren esta ley y sus disposiciones reglamentarias.</w:t>
      </w:r>
    </w:p>
    <w:p w14:paraId="7DE5C23C" w14:textId="77777777" w:rsidR="002923E0" w:rsidRDefault="002923E0" w:rsidP="002923E0">
      <w:pPr>
        <w:spacing w:line="360" w:lineRule="auto"/>
        <w:jc w:val="both"/>
        <w:rPr>
          <w:rFonts w:ascii="Palatino Linotype" w:eastAsia="Batang" w:hAnsi="Palatino Linotype" w:cs="Tahoma"/>
          <w:bCs/>
        </w:rPr>
      </w:pPr>
    </w:p>
    <w:p w14:paraId="725964F7" w14:textId="2D27753B" w:rsidR="002923E0" w:rsidRPr="0017075A" w:rsidRDefault="00716B0D" w:rsidP="002923E0">
      <w:pPr>
        <w:spacing w:line="360" w:lineRule="auto"/>
        <w:jc w:val="both"/>
        <w:rPr>
          <w:rFonts w:ascii="Palatino Linotype" w:eastAsia="Batang" w:hAnsi="Palatino Linotype" w:cs="Tahoma"/>
          <w:bCs/>
          <w:lang w:val="es-ES_tradnl"/>
        </w:rPr>
      </w:pPr>
      <w:r w:rsidRPr="0017075A">
        <w:rPr>
          <w:rFonts w:ascii="Palatino Linotype" w:eastAsia="Batang" w:hAnsi="Palatino Linotype" w:cs="Tahoma"/>
          <w:bCs/>
          <w:lang w:val="es-ES_tradnl"/>
        </w:rPr>
        <w:t xml:space="preserve">De lo </w:t>
      </w:r>
      <w:r w:rsidR="002923E0" w:rsidRPr="0017075A">
        <w:rPr>
          <w:rFonts w:ascii="Palatino Linotype" w:eastAsia="Batang" w:hAnsi="Palatino Linotype" w:cs="Tahoma"/>
          <w:bCs/>
          <w:lang w:val="es-ES_tradnl"/>
        </w:rPr>
        <w:t>expuesto</w:t>
      </w:r>
      <w:r w:rsidRPr="0017075A">
        <w:rPr>
          <w:rFonts w:ascii="Palatino Linotype" w:eastAsia="Batang" w:hAnsi="Palatino Linotype" w:cs="Tahoma"/>
          <w:bCs/>
          <w:lang w:val="es-ES_tradnl"/>
        </w:rPr>
        <w:t xml:space="preserve"> anteriormente</w:t>
      </w:r>
      <w:r w:rsidR="002923E0" w:rsidRPr="0017075A">
        <w:rPr>
          <w:rFonts w:ascii="Palatino Linotype" w:eastAsia="Batang" w:hAnsi="Palatino Linotype" w:cs="Tahoma"/>
          <w:bCs/>
          <w:lang w:val="es-ES_tradnl"/>
        </w:rPr>
        <w:t xml:space="preserve">, se </w:t>
      </w:r>
      <w:r w:rsidRPr="0017075A">
        <w:rPr>
          <w:rFonts w:ascii="Palatino Linotype" w:eastAsia="Batang" w:hAnsi="Palatino Linotype" w:cs="Tahoma"/>
          <w:bCs/>
          <w:lang w:val="es-ES_tradnl"/>
        </w:rPr>
        <w:t>desprende</w:t>
      </w:r>
      <w:r w:rsidR="002923E0" w:rsidRPr="0017075A">
        <w:rPr>
          <w:rFonts w:ascii="Palatino Linotype" w:eastAsia="Batang" w:hAnsi="Palatino Linotype" w:cs="Tahoma"/>
          <w:bCs/>
          <w:lang w:val="es-ES_tradnl"/>
        </w:rPr>
        <w:t xml:space="preserve"> que dentro de las atribuciones del Consejo Directivo del </w:t>
      </w:r>
      <w:r w:rsidR="002923E0" w:rsidRPr="00716B0D">
        <w:rPr>
          <w:rFonts w:ascii="Palatino Linotype" w:eastAsia="Batang" w:hAnsi="Palatino Linotype" w:cs="Tahoma"/>
          <w:bCs/>
          <w:lang w:val="es-ES_tradnl"/>
        </w:rPr>
        <w:t xml:space="preserve">Instituto de Seguridad Social del Estado de México y Municipios (ISSEMyM), se encuentra, la de atender cuestiones relacionadas con las pensiones; en </w:t>
      </w:r>
      <w:r w:rsidR="002923E0" w:rsidRPr="00716B0D">
        <w:rPr>
          <w:rFonts w:ascii="Palatino Linotype" w:eastAsia="Batang" w:hAnsi="Palatino Linotype" w:cs="Tahoma"/>
          <w:bCs/>
          <w:lang w:val="es-ES_tradnl"/>
        </w:rPr>
        <w:lastRenderedPageBreak/>
        <w:t xml:space="preserve">este sentido, </w:t>
      </w:r>
      <w:r>
        <w:rPr>
          <w:rFonts w:ascii="Palatino Linotype" w:eastAsia="Batang" w:hAnsi="Palatino Linotype" w:cs="Tahoma"/>
          <w:bCs/>
          <w:lang w:val="es-ES_tradnl"/>
        </w:rPr>
        <w:t xml:space="preserve">resulta oportuno </w:t>
      </w:r>
      <w:r w:rsidR="002923E0" w:rsidRPr="00716B0D">
        <w:rPr>
          <w:rFonts w:ascii="Palatino Linotype" w:eastAsia="Batang" w:hAnsi="Palatino Linotype" w:cs="Tahoma"/>
          <w:bCs/>
          <w:lang w:val="es-ES_tradnl"/>
        </w:rPr>
        <w:t xml:space="preserve">traer al estudio el Manual de Operación del Comité de Pensiones del H. Consejo Directivo del Instituto de Seguridad Social del Estado de México y  Municipios, </w:t>
      </w:r>
      <w:r>
        <w:rPr>
          <w:rFonts w:ascii="Palatino Linotype" w:eastAsia="Batang" w:hAnsi="Palatino Linotype" w:cs="Tahoma"/>
          <w:bCs/>
          <w:lang w:val="es-ES_tradnl"/>
        </w:rPr>
        <w:t>el cual se encuentra para su consulta en la página electrónica</w:t>
      </w:r>
      <w:r w:rsidR="002923E0" w:rsidRPr="00716B0D">
        <w:rPr>
          <w:rFonts w:ascii="Palatino Linotype" w:eastAsia="Batang" w:hAnsi="Palatino Linotype" w:cs="Tahoma"/>
          <w:bCs/>
          <w:lang w:val="es-ES_tradnl"/>
        </w:rPr>
        <w:t xml:space="preserve">: </w:t>
      </w:r>
      <w:hyperlink r:id="rId21" w:history="1">
        <w:r w:rsidR="002923E0" w:rsidRPr="0017075A">
          <w:rPr>
            <w:rFonts w:eastAsia="Batang"/>
          </w:rPr>
          <w:t>http://legislacion.edomex.gob.mx/sites/legislacion.edomex.gob.mx/files/files/pdf/gct/2010/feb161.PDF</w:t>
        </w:r>
      </w:hyperlink>
      <w:r w:rsidR="002923E0" w:rsidRPr="00716B0D">
        <w:rPr>
          <w:rFonts w:ascii="Palatino Linotype" w:eastAsia="Batang" w:hAnsi="Palatino Linotype" w:cs="Tahoma"/>
          <w:bCs/>
          <w:lang w:val="es-ES_tradnl"/>
        </w:rPr>
        <w:t>;</w:t>
      </w:r>
      <w:r w:rsidR="002923E0" w:rsidRPr="0017075A">
        <w:rPr>
          <w:rFonts w:ascii="Palatino Linotype" w:eastAsia="Batang" w:hAnsi="Palatino Linotype" w:cs="Tahoma"/>
          <w:bCs/>
          <w:lang w:val="es-ES_tradnl"/>
        </w:rPr>
        <w:t xml:space="preserve"> el cual establece las bases para la integración y funcionamiento del Comité de Pensiones del H. Consejo Directivo del Instituto de Seguridad Social del Estado de México y Municipios;  </w:t>
      </w:r>
      <w:r w:rsidR="002923E0" w:rsidRPr="00716B0D">
        <w:rPr>
          <w:rFonts w:ascii="Palatino Linotype" w:eastAsia="Batang" w:hAnsi="Palatino Linotype" w:cs="Tahoma"/>
          <w:bCs/>
          <w:lang w:val="es-ES_tradnl"/>
        </w:rPr>
        <w:t xml:space="preserve">de dicho ordenamiento legal, </w:t>
      </w:r>
      <w:r>
        <w:rPr>
          <w:rFonts w:ascii="Palatino Linotype" w:eastAsia="Batang" w:hAnsi="Palatino Linotype" w:cs="Tahoma"/>
          <w:bCs/>
          <w:lang w:val="es-ES_tradnl"/>
        </w:rPr>
        <w:t>y de acuerdo a lo dispuesto en</w:t>
      </w:r>
      <w:r w:rsidR="002923E0" w:rsidRPr="00716B0D">
        <w:rPr>
          <w:rFonts w:ascii="Palatino Linotype" w:eastAsia="Batang" w:hAnsi="Palatino Linotype" w:cs="Tahoma"/>
          <w:bCs/>
          <w:lang w:val="es-ES_tradnl"/>
        </w:rPr>
        <w:t xml:space="preserve"> los artículos 3, 4, 5 y 11, que a la letra señalan:</w:t>
      </w:r>
    </w:p>
    <w:p w14:paraId="6A834A98" w14:textId="77777777" w:rsidR="002923E0" w:rsidRPr="00C46D60" w:rsidRDefault="002923E0" w:rsidP="002923E0">
      <w:pPr>
        <w:spacing w:line="360" w:lineRule="auto"/>
        <w:ind w:left="567" w:right="539"/>
        <w:jc w:val="both"/>
        <w:rPr>
          <w:rFonts w:ascii="Palatino Linotype" w:eastAsia="Batang" w:hAnsi="Palatino Linotype" w:cs="Tahoma"/>
          <w:bCs/>
          <w:i/>
        </w:rPr>
      </w:pPr>
    </w:p>
    <w:p w14:paraId="49D19497"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Artículo 3.- El Comité de Pensiones tendrá por objeto resolver las solicitudes para el otorgamiento de las prestaciones en materia de pensiones a los derechohabientes del Instituto, previstas en la ley, siempre y cuando acrediten reunir los requisitos establecidos en las disposiciones legales y reglamentarias correspondientes.</w:t>
      </w:r>
    </w:p>
    <w:p w14:paraId="083E49DD" w14:textId="77777777" w:rsidR="002923E0" w:rsidRPr="00C46D60" w:rsidRDefault="002923E0" w:rsidP="002923E0">
      <w:pPr>
        <w:spacing w:line="360" w:lineRule="auto"/>
        <w:ind w:left="567" w:right="539"/>
        <w:jc w:val="both"/>
        <w:rPr>
          <w:rFonts w:ascii="Palatino Linotype" w:eastAsia="Batang" w:hAnsi="Palatino Linotype" w:cs="Tahoma"/>
          <w:bCs/>
          <w:i/>
        </w:rPr>
      </w:pPr>
    </w:p>
    <w:p w14:paraId="58A45111"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Artículo 4.- El Comité de Pensiones es un órgano auxiliar del H. Consejo Directivo del Instituto con facultades decisorias para analizar y resolver sobre la procedencia o improcedencia de las solicitudes de pensiones, así como del estímulo por permanencia de los servidores públicos.</w:t>
      </w:r>
    </w:p>
    <w:p w14:paraId="1080334B"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Artículo 5.- El Comité de Pensiones estará integrado por:</w:t>
      </w:r>
    </w:p>
    <w:p w14:paraId="213C7600"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 Un Presidente, que será el Director de Seguridad Social;</w:t>
      </w:r>
    </w:p>
    <w:p w14:paraId="2787A8DB"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II. Un Secretario Técnico, que será el Jefe del Departamento de Pensiones: y</w:t>
      </w:r>
    </w:p>
    <w:p w14:paraId="1A659EA5"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III. Nueve vocales que serán:</w:t>
      </w:r>
    </w:p>
    <w:p w14:paraId="4783E58D"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a) Un representante del Sindicato Único de Trabajadores de los Poderes, Municipios e Instituciones Descentralizadas del Estado de México;</w:t>
      </w:r>
    </w:p>
    <w:p w14:paraId="2A0A223F"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lastRenderedPageBreak/>
        <w:t>b) Un representante del Sindicato de Maestros al Servicio del Estado de México;</w:t>
      </w:r>
    </w:p>
    <w:p w14:paraId="61D0A46D"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c) Un representante de los Sindicatos Universitarios del Estado de México;</w:t>
      </w:r>
    </w:p>
    <w:p w14:paraId="1C40C5C3"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d) Un representante de la Agrupación Mayoritaria de Jubilados y Pensionados del Instituto;</w:t>
      </w:r>
    </w:p>
    <w:p w14:paraId="7BEF8D59"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e) Un representante de la Dirección de Atención al Derechohabiente;</w:t>
      </w:r>
    </w:p>
    <w:p w14:paraId="300E826C"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f) Un representante de la Subdirección de Administración del Sistema para el Retiro;</w:t>
      </w:r>
    </w:p>
    <w:p w14:paraId="37AE4313"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g) Un representante de la Subdirección de Relaciones Institucionales;</w:t>
      </w:r>
    </w:p>
    <w:p w14:paraId="33500193"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h) Un representante de la Unidad de Contraloría Interna; y</w:t>
      </w:r>
    </w:p>
    <w:p w14:paraId="1F593DCB"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 Un representante de la Unidad Jurídica y Consultiva.</w:t>
      </w:r>
    </w:p>
    <w:p w14:paraId="3DA462F9"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Por cada uno de los integrantes del Comité de Pensiones, se nombrará un suplente a excepción del Presidente y del Secretario Técnico.</w:t>
      </w:r>
    </w:p>
    <w:p w14:paraId="6675B635"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Los integrantes del Comité de Pensiones tendrán derecho a voz y voto, con excepción del Secretario Técnico y de los Representantes de las Unidades de Contraloría Interna y Jurídica y Consultiva, quienes sólo contarán con voz.</w:t>
      </w:r>
    </w:p>
    <w:p w14:paraId="4CDC0198"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 xml:space="preserve"> </w:t>
      </w:r>
    </w:p>
    <w:p w14:paraId="2F36051A"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Artículo 11.- El Comité de Pensiones tendrá las siguientes funciones y atribuciones:</w:t>
      </w:r>
    </w:p>
    <w:p w14:paraId="466E8AF7"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 Analizar y dictaminar las solicitudes de pensión o del estímulo por permanencia;</w:t>
      </w:r>
    </w:p>
    <w:p w14:paraId="19D5FB60"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II. Conceder, negar, modificar o suspender las pensiones y el estímulo por permanencia en términos de las disposiciones legales, reglamentarias y otras determinaciones aprobadas por el H. Consejo Directivo del Instituto;</w:t>
      </w:r>
    </w:p>
    <w:p w14:paraId="41195CF4"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III. Expedir o modificar su Manual de Operación y ordenar su publicación en el periódico oficial "Gaceta de Gobierno", por conducto de su Presidente;</w:t>
      </w:r>
    </w:p>
    <w:p w14:paraId="050FD6A2"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lastRenderedPageBreak/>
        <w:t>IV. Resolver los recursos administrativos de inconformidad que se presenten en contra de sus dictámenes o resoluciones;</w:t>
      </w:r>
    </w:p>
    <w:p w14:paraId="4BA9BE19"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V. Proporcionar la información que le sea solicitada por las áreas competentes del Instituto;</w:t>
      </w:r>
    </w:p>
    <w:p w14:paraId="49EE963B"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VI. Requerir a los servidores públicos o pensionados la información, documentación o cualquier otro elemento necesario, para determinar sobre la procedencia o improcedencia de la solicitud de pensión o de estímulo por permanencia;</w:t>
      </w:r>
    </w:p>
    <w:p w14:paraId="61062468"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VII. Verificar en cualquier momento la autenticidad de los documentos que integran el expediente de la pensión o estímulo por permanencia solicitado;</w:t>
      </w:r>
    </w:p>
    <w:p w14:paraId="43AF94DB"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VIII. Aprobar o modificar los formatos o instrumentos legales que sean necesarios en el trámite de pensión o de estímulo por permanencia;</w:t>
      </w:r>
    </w:p>
    <w:p w14:paraId="41EE5EB0" w14:textId="77777777" w:rsidR="002923E0" w:rsidRPr="00C46D60" w:rsidRDefault="002923E0" w:rsidP="002923E0">
      <w:pPr>
        <w:spacing w:line="360" w:lineRule="auto"/>
        <w:ind w:left="567" w:right="539"/>
        <w:jc w:val="both"/>
        <w:rPr>
          <w:rFonts w:ascii="Palatino Linotype" w:eastAsia="Batang" w:hAnsi="Palatino Linotype" w:cs="Tahoma"/>
          <w:bCs/>
        </w:rPr>
      </w:pPr>
      <w:r w:rsidRPr="00C46D60">
        <w:rPr>
          <w:rFonts w:ascii="Palatino Linotype" w:eastAsia="Batang" w:hAnsi="Palatino Linotype" w:cs="Tahoma"/>
          <w:bCs/>
        </w:rPr>
        <w:t>IX. Acordar las medidas administrativas necesarias para el mejor cumplimiento de sus funciones; y</w:t>
      </w:r>
    </w:p>
    <w:p w14:paraId="70B36A90" w14:textId="77777777" w:rsidR="002923E0" w:rsidRPr="00C46D60" w:rsidRDefault="002923E0" w:rsidP="002923E0">
      <w:pPr>
        <w:spacing w:line="360" w:lineRule="auto"/>
        <w:ind w:left="567" w:right="539"/>
        <w:jc w:val="both"/>
        <w:rPr>
          <w:rFonts w:ascii="Palatino Linotype" w:eastAsia="Batang" w:hAnsi="Palatino Linotype" w:cs="Tahoma"/>
          <w:bCs/>
          <w:i/>
        </w:rPr>
      </w:pPr>
      <w:r w:rsidRPr="00C46D60">
        <w:rPr>
          <w:rFonts w:ascii="Palatino Linotype" w:eastAsia="Batang" w:hAnsi="Palatino Linotype" w:cs="Tahoma"/>
          <w:bCs/>
          <w:i/>
        </w:rPr>
        <w:t>X. Las demás que le señale la Ley, el Reglamento, el presente Manual de Operación y otras disposiciones reglamentarias.</w:t>
      </w:r>
    </w:p>
    <w:p w14:paraId="2E0C1458" w14:textId="77777777" w:rsidR="002923E0" w:rsidRPr="00C46D60" w:rsidRDefault="002923E0" w:rsidP="002923E0">
      <w:pPr>
        <w:spacing w:line="360" w:lineRule="auto"/>
        <w:jc w:val="both"/>
        <w:rPr>
          <w:rFonts w:ascii="Palatino Linotype" w:eastAsia="Batang" w:hAnsi="Palatino Linotype" w:cs="Tahoma"/>
          <w:bCs/>
        </w:rPr>
      </w:pPr>
    </w:p>
    <w:p w14:paraId="20753B87" w14:textId="04300840" w:rsidR="002923E0" w:rsidRPr="008B58DF" w:rsidRDefault="002923E0" w:rsidP="002923E0">
      <w:pPr>
        <w:spacing w:line="360" w:lineRule="auto"/>
        <w:jc w:val="both"/>
        <w:rPr>
          <w:rFonts w:ascii="Palatino Linotype" w:eastAsia="Batang" w:hAnsi="Palatino Linotype" w:cs="Tahoma"/>
          <w:bCs/>
        </w:rPr>
      </w:pPr>
      <w:r w:rsidRPr="008B58DF">
        <w:rPr>
          <w:rFonts w:ascii="Palatino Linotype" w:eastAsia="Batang" w:hAnsi="Palatino Linotype" w:cs="Tahoma"/>
          <w:bCs/>
        </w:rPr>
        <w:t>De lo anterior, puede apreciarse que</w:t>
      </w:r>
      <w:r w:rsidRPr="008B58DF">
        <w:rPr>
          <w:rFonts w:ascii="Palatino Linotype" w:eastAsia="Batang" w:hAnsi="Palatino Linotype" w:cs="Tahoma"/>
          <w:b/>
          <w:bCs/>
        </w:rPr>
        <w:t xml:space="preserve"> </w:t>
      </w:r>
      <w:r w:rsidR="008B58DF" w:rsidRPr="008B58DF">
        <w:rPr>
          <w:rFonts w:ascii="Palatino Linotype" w:eastAsia="Batang" w:hAnsi="Palatino Linotype" w:cs="Tahoma"/>
          <w:bCs/>
        </w:rPr>
        <w:t>el Comité</w:t>
      </w:r>
      <w:r w:rsidRPr="008B58DF">
        <w:rPr>
          <w:rFonts w:ascii="Palatino Linotype" w:eastAsia="Batang" w:hAnsi="Palatino Linotype" w:cs="Tahoma"/>
          <w:bCs/>
        </w:rPr>
        <w:t xml:space="preserve"> de Pensiones del Consejo Directivo del Instituto de Seguridad Social del Estado de México y Municipios, corresponde a la autoridad administrativa que cuenta con la competencia para conocer y resolver de cuestiones relacionadas con el otorgamiento de pensiones; no así </w:t>
      </w:r>
      <w:r w:rsidR="008B58DF">
        <w:rPr>
          <w:rFonts w:ascii="Palatino Linotype" w:eastAsia="Batang" w:hAnsi="Palatino Linotype" w:cs="Tahoma"/>
          <w:bCs/>
        </w:rPr>
        <w:t xml:space="preserve">al </w:t>
      </w:r>
      <w:r w:rsidR="001948EB" w:rsidRPr="001948EB">
        <w:rPr>
          <w:rFonts w:ascii="Palatino Linotype" w:eastAsia="Batang" w:hAnsi="Palatino Linotype" w:cs="Tahoma"/>
          <w:bCs/>
        </w:rPr>
        <w:t>Ayuntamiento de Teotihuacán</w:t>
      </w:r>
      <w:r w:rsidR="008B58DF">
        <w:rPr>
          <w:rFonts w:ascii="Palatino Linotype" w:eastAsia="Batang" w:hAnsi="Palatino Linotype" w:cs="Tahoma"/>
          <w:bCs/>
        </w:rPr>
        <w:t>.</w:t>
      </w:r>
    </w:p>
    <w:p w14:paraId="4C796F6D" w14:textId="77777777" w:rsidR="002923E0" w:rsidRDefault="002923E0" w:rsidP="002923E0">
      <w:pPr>
        <w:spacing w:line="360" w:lineRule="auto"/>
        <w:jc w:val="both"/>
        <w:rPr>
          <w:rFonts w:ascii="Palatino Linotype" w:eastAsia="Batang" w:hAnsi="Palatino Linotype" w:cs="Tahoma"/>
          <w:bCs/>
        </w:rPr>
      </w:pPr>
    </w:p>
    <w:p w14:paraId="4E22072B" w14:textId="46C7F6A9" w:rsidR="002923E0" w:rsidRPr="001D5396" w:rsidRDefault="008B58DF" w:rsidP="001D5396">
      <w:pPr>
        <w:spacing w:line="360" w:lineRule="auto"/>
        <w:jc w:val="both"/>
        <w:rPr>
          <w:rFonts w:ascii="Palatino Linotype" w:eastAsia="Batang" w:hAnsi="Palatino Linotype" w:cs="Tahoma"/>
          <w:bCs/>
          <w:lang w:val="es-ES_tradnl"/>
        </w:rPr>
      </w:pPr>
      <w:r>
        <w:rPr>
          <w:rFonts w:ascii="Palatino Linotype" w:hAnsi="Palatino Linotype"/>
        </w:rPr>
        <w:t xml:space="preserve">Aunado a lo anterior, es menester señalar que </w:t>
      </w:r>
      <w:r w:rsidRPr="008B58DF">
        <w:rPr>
          <w:rFonts w:ascii="Palatino Linotype" w:eastAsia="Batang" w:hAnsi="Palatino Linotype" w:cs="Tahoma"/>
          <w:bCs/>
        </w:rPr>
        <w:t xml:space="preserve">el </w:t>
      </w:r>
      <w:r w:rsidR="001D5396" w:rsidRPr="001D5396">
        <w:rPr>
          <w:rFonts w:ascii="Palatino Linotype" w:eastAsia="Batang" w:hAnsi="Palatino Linotype" w:cs="Tahoma"/>
          <w:bCs/>
        </w:rPr>
        <w:t xml:space="preserve">Ayuntamiento de Teotihuacán </w:t>
      </w:r>
      <w:r w:rsidRPr="008B58DF">
        <w:rPr>
          <w:rFonts w:ascii="Palatino Linotype" w:eastAsia="Batang" w:hAnsi="Palatino Linotype" w:cs="Tahoma"/>
          <w:bCs/>
        </w:rPr>
        <w:t xml:space="preserve">y el </w:t>
      </w:r>
      <w:r w:rsidRPr="008B58DF">
        <w:rPr>
          <w:rFonts w:ascii="Palatino Linotype" w:eastAsia="Batang" w:hAnsi="Palatino Linotype" w:cs="Tahoma"/>
          <w:bCs/>
          <w:lang w:val="es-ES_tradnl"/>
        </w:rPr>
        <w:t xml:space="preserve">Instituto de Seguridad Social del Estado de México y Municipios (ISSEMyM), </w:t>
      </w:r>
      <w:r w:rsidRPr="008B58DF">
        <w:rPr>
          <w:rFonts w:ascii="Palatino Linotype" w:eastAsia="Batang" w:hAnsi="Palatino Linotype" w:cs="Tahoma"/>
          <w:bCs/>
          <w:lang w:val="es-ES_tradnl"/>
        </w:rPr>
        <w:lastRenderedPageBreak/>
        <w:t>corresponden a Sujetos Obligados diversos</w:t>
      </w:r>
      <w:r>
        <w:rPr>
          <w:rFonts w:ascii="Palatino Linotype" w:hAnsi="Palatino Linotype"/>
        </w:rPr>
        <w:t xml:space="preserve">, </w:t>
      </w:r>
      <w:r w:rsidR="002D092A">
        <w:rPr>
          <w:rFonts w:ascii="Palatino Linotype" w:hAnsi="Palatino Linotype"/>
        </w:rPr>
        <w:t xml:space="preserve"> de conformidad </w:t>
      </w:r>
      <w:r w:rsidR="002D092A" w:rsidRPr="008B58DF">
        <w:rPr>
          <w:rFonts w:ascii="Palatino Linotype" w:eastAsia="Batang" w:hAnsi="Palatino Linotype" w:cs="Tahoma"/>
          <w:bCs/>
          <w:lang w:val="es-ES_tradnl"/>
        </w:rPr>
        <w:t>con el Padrón de Sujetos Obligados y sus diversas modificaciones, el cual es emitido por este Órgano Garante para determinar de forma clara los Sujetos de la Ley de Transparencia y Acceso a la Información Pública del Estado de México y Municipios y de la Ley de Protección de Datos Personales en Posesión de Sujetos Obligados del Estado de México y Municipios; información que se concatena con el índice de Sujetos Obligados que muestra el sitio de Información Pública de Oficio Mexiquense (IPOMEX), del cual se inserta impresión de pantalla a fin de robustecer que se trata de Sujetos Obligados diversos:</w:t>
      </w:r>
    </w:p>
    <w:p w14:paraId="794E06AD" w14:textId="07C289F2" w:rsidR="00EB31A8" w:rsidRDefault="00EB31A8" w:rsidP="00EB31A8">
      <w:pPr>
        <w:spacing w:line="360" w:lineRule="auto"/>
        <w:jc w:val="both"/>
        <w:rPr>
          <w:rFonts w:ascii="Palatino Linotype" w:hAnsi="Palatino Linotype" w:cs="Arial"/>
        </w:rPr>
      </w:pPr>
    </w:p>
    <w:p w14:paraId="3E3D148C" w14:textId="15D375D2" w:rsidR="00654180" w:rsidRDefault="00654180" w:rsidP="00654180">
      <w:pPr>
        <w:jc w:val="center"/>
      </w:pPr>
      <w:r>
        <w:rPr>
          <w:noProof/>
          <w:lang w:val="es-MX" w:eastAsia="es-MX"/>
        </w:rPr>
        <mc:AlternateContent>
          <mc:Choice Requires="wps">
            <w:drawing>
              <wp:anchor distT="0" distB="0" distL="114300" distR="114300" simplePos="0" relativeHeight="251676672" behindDoc="0" locked="0" layoutInCell="1" allowOverlap="1" wp14:anchorId="6C5BA8F1" wp14:editId="6543939B">
                <wp:simplePos x="0" y="0"/>
                <wp:positionH relativeFrom="column">
                  <wp:posOffset>777240</wp:posOffset>
                </wp:positionH>
                <wp:positionV relativeFrom="paragraph">
                  <wp:posOffset>1417320</wp:posOffset>
                </wp:positionV>
                <wp:extent cx="409575" cy="171450"/>
                <wp:effectExtent l="38100" t="0" r="9525" b="38100"/>
                <wp:wrapNone/>
                <wp:docPr id="19" name="Flecha: hacia abajo 19"/>
                <wp:cNvGraphicFramePr/>
                <a:graphic xmlns:a="http://schemas.openxmlformats.org/drawingml/2006/main">
                  <a:graphicData uri="http://schemas.microsoft.com/office/word/2010/wordprocessingShape">
                    <wps:wsp>
                      <wps:cNvSpPr/>
                      <wps:spPr>
                        <a:xfrm>
                          <a:off x="0" y="0"/>
                          <a:ext cx="409575" cy="1714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F4B656" id="Flecha: hacia abajo 19" o:spid="_x0000_s1026" type="#_x0000_t67" style="position:absolute;margin-left:61.2pt;margin-top:111.6pt;width:32.2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" adj="10800" fillcolor="red" strokecolor="red" strokeweight="1pt"/>
            </w:pict>
          </mc:Fallback>
        </mc:AlternateContent>
      </w:r>
      <w:r>
        <w:rPr>
          <w:noProof/>
          <w:lang w:val="es-MX" w:eastAsia="es-MX"/>
        </w:rPr>
        <w:drawing>
          <wp:inline distT="0" distB="0" distL="0" distR="0" wp14:anchorId="0546FFF1" wp14:editId="742AE80E">
            <wp:extent cx="4629150" cy="32668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067" t="9656" r="1053" b="21545"/>
                    <a:stretch/>
                  </pic:blipFill>
                  <pic:spPr bwMode="auto">
                    <a:xfrm>
                      <a:off x="0" y="0"/>
                      <a:ext cx="4647572" cy="3279884"/>
                    </a:xfrm>
                    <a:prstGeom prst="rect">
                      <a:avLst/>
                    </a:prstGeom>
                    <a:ln>
                      <a:noFill/>
                    </a:ln>
                    <a:extLst>
                      <a:ext uri="{53640926-AAD7-44D8-BBD7-CCE9431645EC}">
                        <a14:shadowObscured xmlns:a14="http://schemas.microsoft.com/office/drawing/2010/main"/>
                      </a:ext>
                    </a:extLst>
                  </pic:spPr>
                </pic:pic>
              </a:graphicData>
            </a:graphic>
          </wp:inline>
        </w:drawing>
      </w:r>
    </w:p>
    <w:p w14:paraId="484A255C" w14:textId="77777777" w:rsidR="00654180" w:rsidRDefault="00654180" w:rsidP="00654180">
      <w:pPr>
        <w:jc w:val="center"/>
      </w:pPr>
      <w:r>
        <w:t>(…)</w:t>
      </w:r>
    </w:p>
    <w:p w14:paraId="5F8826D7" w14:textId="3A071ABE" w:rsidR="00654180" w:rsidRDefault="00654180" w:rsidP="00654180">
      <w:pPr>
        <w:jc w:val="center"/>
      </w:pPr>
      <w:r>
        <w:rPr>
          <w:noProof/>
          <w:lang w:val="es-MX" w:eastAsia="es-MX"/>
        </w:rPr>
        <w:lastRenderedPageBreak/>
        <mc:AlternateContent>
          <mc:Choice Requires="wps">
            <w:drawing>
              <wp:anchor distT="0" distB="0" distL="114300" distR="114300" simplePos="0" relativeHeight="251678720" behindDoc="0" locked="0" layoutInCell="1" allowOverlap="1" wp14:anchorId="3D99CDA1" wp14:editId="38A90947">
                <wp:simplePos x="0" y="0"/>
                <wp:positionH relativeFrom="column">
                  <wp:posOffset>910590</wp:posOffset>
                </wp:positionH>
                <wp:positionV relativeFrom="paragraph">
                  <wp:posOffset>921385</wp:posOffset>
                </wp:positionV>
                <wp:extent cx="257175" cy="304800"/>
                <wp:effectExtent l="0" t="19050" r="47625" b="38100"/>
                <wp:wrapNone/>
                <wp:docPr id="20" name="Flecha: a la derecha 20"/>
                <wp:cNvGraphicFramePr/>
                <a:graphic xmlns:a="http://schemas.openxmlformats.org/drawingml/2006/main">
                  <a:graphicData uri="http://schemas.microsoft.com/office/word/2010/wordprocessingShape">
                    <wps:wsp>
                      <wps:cNvSpPr/>
                      <wps:spPr>
                        <a:xfrm>
                          <a:off x="0" y="0"/>
                          <a:ext cx="257175"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323F7F" id="Flecha: a la derecha 20" o:spid="_x0000_s1026" type="#_x0000_t13" style="position:absolute;margin-left:71.7pt;margin-top:72.55pt;width:20.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" adj="10800" fillcolor="red" strokecolor="red" strokeweight="1pt"/>
            </w:pict>
          </mc:Fallback>
        </mc:AlternateContent>
      </w:r>
      <w:r>
        <w:rPr>
          <w:noProof/>
          <w:lang w:val="es-MX" w:eastAsia="es-MX"/>
        </w:rPr>
        <w:drawing>
          <wp:inline distT="0" distB="0" distL="0" distR="0" wp14:anchorId="0CD0AB33" wp14:editId="3C4471E9">
            <wp:extent cx="4216400" cy="15144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1427" t="57869" r="712" b="18226"/>
                    <a:stretch/>
                  </pic:blipFill>
                  <pic:spPr bwMode="auto">
                    <a:xfrm>
                      <a:off x="0" y="0"/>
                      <a:ext cx="4226100" cy="1517959"/>
                    </a:xfrm>
                    <a:prstGeom prst="rect">
                      <a:avLst/>
                    </a:prstGeom>
                    <a:ln>
                      <a:noFill/>
                    </a:ln>
                    <a:extLst>
                      <a:ext uri="{53640926-AAD7-44D8-BBD7-CCE9431645EC}">
                        <a14:shadowObscured xmlns:a14="http://schemas.microsoft.com/office/drawing/2010/main"/>
                      </a:ext>
                    </a:extLst>
                  </pic:spPr>
                </pic:pic>
              </a:graphicData>
            </a:graphic>
          </wp:inline>
        </w:drawing>
      </w:r>
    </w:p>
    <w:p w14:paraId="00D1C1DC" w14:textId="5F21F4AA" w:rsidR="00EB31A8" w:rsidRDefault="00EB31A8" w:rsidP="00EB31A8">
      <w:pPr>
        <w:spacing w:line="360" w:lineRule="auto"/>
        <w:jc w:val="both"/>
        <w:rPr>
          <w:rFonts w:ascii="Palatino Linotype" w:hAnsi="Palatino Linotype" w:cs="Arial"/>
        </w:rPr>
      </w:pPr>
    </w:p>
    <w:p w14:paraId="09EA6BC3" w14:textId="27B60393" w:rsidR="00345EFF" w:rsidRPr="001D5396" w:rsidRDefault="00654180" w:rsidP="00345EFF">
      <w:pPr>
        <w:spacing w:line="360" w:lineRule="auto"/>
        <w:jc w:val="both"/>
        <w:rPr>
          <w:rFonts w:ascii="Palatino Linotype" w:hAnsi="Palatino Linotype" w:cs="Arial"/>
          <w:lang w:eastAsia="es-MX"/>
        </w:rPr>
      </w:pPr>
      <w:r w:rsidRPr="001D5396">
        <w:rPr>
          <w:rFonts w:ascii="Palatino Linotype" w:eastAsiaTheme="minorHAnsi" w:hAnsi="Palatino Linotype" w:cs="Arial"/>
          <w:lang w:val="es-MX" w:eastAsia="es-MX"/>
        </w:rPr>
        <w:t xml:space="preserve">Derivado de lo anterior, se advierte que </w:t>
      </w:r>
      <w:r w:rsidR="00345EFF" w:rsidRPr="001D5396">
        <w:rPr>
          <w:rFonts w:ascii="Palatino Linotype" w:eastAsiaTheme="minorHAnsi" w:hAnsi="Palatino Linotype" w:cs="Arial"/>
          <w:lang w:val="es-MX" w:eastAsia="es-MX"/>
        </w:rPr>
        <w:t>indudablemente</w:t>
      </w:r>
      <w:r w:rsidRPr="001D5396">
        <w:rPr>
          <w:rFonts w:ascii="Palatino Linotype" w:eastAsiaTheme="minorHAnsi" w:hAnsi="Palatino Linotype" w:cs="Arial"/>
          <w:lang w:val="es-MX" w:eastAsia="es-MX"/>
        </w:rPr>
        <w:t xml:space="preserve"> el Sujeto Obligado es incompetente para conocer de la información solicitada</w:t>
      </w:r>
      <w:r w:rsidR="00345EFF" w:rsidRPr="001D5396">
        <w:rPr>
          <w:rFonts w:ascii="Palatino Linotype" w:eastAsiaTheme="minorHAnsi" w:hAnsi="Palatino Linotype" w:cs="Arial"/>
          <w:lang w:val="es-MX" w:eastAsia="es-MX"/>
        </w:rPr>
        <w:t>, sin embargo,  en</w:t>
      </w:r>
      <w:r w:rsidR="00345EFF" w:rsidRPr="001D5396">
        <w:rPr>
          <w:rFonts w:ascii="Palatino Linotype" w:hAnsi="Palatino Linotype" w:cs="Arial"/>
          <w:lang w:eastAsia="es-MX"/>
        </w:rPr>
        <w:t xml:space="preserve"> este sentido será necesario que, toda vez que el Sujeto Obligado no se pronunció dentro del término establecido por la Ley, remita a la parte Recurrente el acuerdo de incompetencia correspondiente apegándonos </w:t>
      </w:r>
      <w:r w:rsidR="00345EFF" w:rsidRPr="00E82C6D">
        <w:rPr>
          <w:rFonts w:ascii="Palatino Linotype" w:hAnsi="Palatino Linotype" w:cs="Arial"/>
          <w:lang w:eastAsia="es-MX"/>
        </w:rPr>
        <w:t xml:space="preserve">a lo que establece la Ley de </w:t>
      </w:r>
      <w:r w:rsidR="00345EFF" w:rsidRPr="001D5396">
        <w:rPr>
          <w:rFonts w:ascii="Palatino Linotype" w:hAnsi="Palatino Linotype" w:cs="Arial"/>
          <w:lang w:eastAsia="es-MX"/>
        </w:rPr>
        <w:t xml:space="preserve">Transparencia y Acceso a la Información Pública del Estado de México y Municipios, siendo aplicable lo que dictan los artículos 49 fracción II y 167 de la Ley de, los cuales disponen lo siguiente: </w:t>
      </w:r>
    </w:p>
    <w:p w14:paraId="0134C7A6" w14:textId="77777777" w:rsidR="00345EFF" w:rsidRPr="00E82C6D" w:rsidRDefault="00345EFF" w:rsidP="00345EFF">
      <w:pPr>
        <w:autoSpaceDE w:val="0"/>
        <w:autoSpaceDN w:val="0"/>
        <w:adjustRightInd w:val="0"/>
        <w:ind w:left="851" w:right="899"/>
        <w:jc w:val="both"/>
        <w:rPr>
          <w:rFonts w:ascii="Palatino Linotype" w:hAnsi="Palatino Linotype" w:cs="Arial"/>
          <w:b/>
          <w:bCs/>
          <w:i/>
        </w:rPr>
      </w:pPr>
    </w:p>
    <w:p w14:paraId="60DBDA6F" w14:textId="77777777" w:rsidR="00345EFF" w:rsidRPr="00E82C6D" w:rsidRDefault="00345EFF" w:rsidP="00345EFF">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“Artículo 49. </w:t>
      </w:r>
      <w:r w:rsidRPr="00E82C6D">
        <w:rPr>
          <w:rFonts w:ascii="Palatino Linotype" w:hAnsi="Palatino Linotype" w:cs="Arial"/>
          <w:i/>
        </w:rPr>
        <w:t>Los Comités de Transparencia tendrán las siguientes atribuciones:</w:t>
      </w:r>
    </w:p>
    <w:p w14:paraId="6D57B7D4" w14:textId="77777777" w:rsidR="00345EFF" w:rsidRPr="00E82C6D" w:rsidRDefault="00345EFF" w:rsidP="00345EFF">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I. </w:t>
      </w:r>
      <w:r w:rsidRPr="00E82C6D">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59342DB6" w14:textId="77777777" w:rsidR="00345EFF" w:rsidRPr="00E82C6D" w:rsidRDefault="00345EFF" w:rsidP="00345EFF">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II. </w:t>
      </w:r>
      <w:r w:rsidRPr="00E82C6D">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E82C6D">
        <w:rPr>
          <w:rFonts w:ascii="Palatino Linotype" w:hAnsi="Palatino Linotype" w:cs="Arial"/>
          <w:b/>
          <w:i/>
        </w:rPr>
        <w:t>o de incompetencia realicen los titulares de las áreas de los sujetos obligados</w:t>
      </w:r>
      <w:r w:rsidRPr="00E82C6D">
        <w:rPr>
          <w:rFonts w:ascii="Palatino Linotype" w:hAnsi="Palatino Linotype" w:cs="Arial"/>
          <w:i/>
        </w:rPr>
        <w:t>;</w:t>
      </w:r>
    </w:p>
    <w:p w14:paraId="41CA75F6" w14:textId="77777777" w:rsidR="00345EFF" w:rsidRPr="00E82C6D" w:rsidRDefault="00345EFF" w:rsidP="00345EFF">
      <w:pPr>
        <w:autoSpaceDE w:val="0"/>
        <w:autoSpaceDN w:val="0"/>
        <w:adjustRightInd w:val="0"/>
        <w:ind w:left="851" w:right="899"/>
        <w:jc w:val="both"/>
        <w:rPr>
          <w:rFonts w:ascii="Palatino Linotype" w:hAnsi="Palatino Linotype"/>
          <w:b/>
          <w:i/>
          <w:u w:val="single"/>
        </w:rPr>
      </w:pPr>
      <w:r w:rsidRPr="00E82C6D">
        <w:rPr>
          <w:rFonts w:ascii="Palatino Linotype" w:hAnsi="Palatino Linotype"/>
          <w:b/>
          <w:bCs/>
          <w:i/>
        </w:rPr>
        <w:t xml:space="preserve">Artículo 167. </w:t>
      </w:r>
      <w:r w:rsidRPr="00E82C6D">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w:t>
      </w:r>
      <w:r w:rsidRPr="00E82C6D">
        <w:rPr>
          <w:rFonts w:ascii="Palatino Linotype" w:hAnsi="Palatino Linotype"/>
          <w:b/>
          <w:bCs/>
          <w:i/>
          <w:u w:val="single"/>
        </w:rPr>
        <w:t xml:space="preserve">dentro de los tres días hábiles posteriores a </w:t>
      </w:r>
      <w:r w:rsidRPr="00E82C6D">
        <w:rPr>
          <w:rFonts w:ascii="Palatino Linotype" w:hAnsi="Palatino Linotype"/>
          <w:b/>
          <w:bCs/>
          <w:i/>
          <w:u w:val="single"/>
        </w:rPr>
        <w:lastRenderedPageBreak/>
        <w:t>la recepción de la solicitud</w:t>
      </w:r>
      <w:r w:rsidRPr="00E82C6D">
        <w:rPr>
          <w:rFonts w:ascii="Palatino Linotype" w:hAnsi="Palatino Linotype"/>
          <w:i/>
        </w:rPr>
        <w:t xml:space="preserve"> y, </w:t>
      </w:r>
      <w:r w:rsidRPr="00E82C6D">
        <w:rPr>
          <w:rFonts w:ascii="Palatino Linotype" w:hAnsi="Palatino Linotype"/>
          <w:b/>
          <w:i/>
          <w:u w:val="single"/>
        </w:rPr>
        <w:t>en su caso orientar al solicitante, el o los sujetos obligados competentes.</w:t>
      </w:r>
    </w:p>
    <w:p w14:paraId="0F1C25DA" w14:textId="77777777" w:rsidR="00345EFF" w:rsidRPr="00E82C6D" w:rsidRDefault="00345EFF" w:rsidP="00345EFF">
      <w:pPr>
        <w:autoSpaceDE w:val="0"/>
        <w:autoSpaceDN w:val="0"/>
        <w:adjustRightInd w:val="0"/>
        <w:ind w:left="851" w:right="899"/>
        <w:jc w:val="both"/>
        <w:rPr>
          <w:rFonts w:ascii="Palatino Linotype" w:hAnsi="Palatino Linotype" w:cs="Arial"/>
          <w:b/>
          <w:i/>
          <w:u w:val="single"/>
        </w:rPr>
      </w:pPr>
    </w:p>
    <w:p w14:paraId="45E4DA9C" w14:textId="77777777" w:rsidR="00345EFF" w:rsidRPr="00E82C6D" w:rsidRDefault="00345EFF" w:rsidP="00345EFF">
      <w:pPr>
        <w:tabs>
          <w:tab w:val="left" w:pos="709"/>
        </w:tabs>
        <w:spacing w:line="360" w:lineRule="auto"/>
        <w:ind w:right="51"/>
        <w:jc w:val="both"/>
        <w:rPr>
          <w:rFonts w:ascii="Palatino Linotype" w:eastAsia="Calibri" w:hAnsi="Palatino Linotype" w:cs="Arial"/>
        </w:rPr>
      </w:pPr>
      <w:r w:rsidRPr="00E82C6D">
        <w:rPr>
          <w:rFonts w:ascii="Palatino Linotype" w:hAnsi="Palatino Linotype"/>
        </w:rPr>
        <w:t xml:space="preserve">De esta manera, se sustenta que el Sujeto Obligado a través de su Comité de Transparencia debe confirmar la incompetencia que en el presente asunto encuadra en el supuesto de la Ley, es decir se deberá elaborar </w:t>
      </w:r>
      <w:r w:rsidRPr="00E82C6D">
        <w:rPr>
          <w:rFonts w:ascii="Palatino Linotype" w:eastAsia="Calibri" w:hAnsi="Palatino Linotype" w:cs="Arial"/>
        </w:rPr>
        <w:t>el acuerdo mediante el cual se confirme la incompetencia declarada por el Titular de la Unidad de Transparencia, respecto a la solicitud de información presentada por el</w:t>
      </w:r>
      <w:r w:rsidRPr="00E82C6D">
        <w:rPr>
          <w:rFonts w:ascii="Palatino Linotype" w:eastAsia="Calibri" w:hAnsi="Palatino Linotype" w:cs="Arial"/>
          <w:b/>
        </w:rPr>
        <w:t xml:space="preserve"> </w:t>
      </w:r>
      <w:r w:rsidRPr="00E82C6D">
        <w:rPr>
          <w:rFonts w:ascii="Palatino Linotype" w:eastAsia="Calibri" w:hAnsi="Palatino Linotype" w:cs="Arial"/>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E82C6D">
        <w:rPr>
          <w:rFonts w:ascii="Palatino Linotype" w:eastAsia="Calibri" w:hAnsi="Palatino Linotype" w:cs="Arial"/>
          <w:b/>
        </w:rPr>
        <w:t xml:space="preserve"> </w:t>
      </w:r>
      <w:r w:rsidRPr="00E82C6D">
        <w:rPr>
          <w:rFonts w:ascii="Palatino Linotype" w:eastAsia="Calibri" w:hAnsi="Palatino Linotype" w:cs="Arial"/>
        </w:rPr>
        <w:t>Obligado.</w:t>
      </w:r>
    </w:p>
    <w:p w14:paraId="77A37846" w14:textId="77777777" w:rsidR="00345EFF" w:rsidRPr="00E82C6D" w:rsidRDefault="00345EFF" w:rsidP="00345EFF">
      <w:pPr>
        <w:tabs>
          <w:tab w:val="left" w:pos="709"/>
        </w:tabs>
        <w:spacing w:line="360" w:lineRule="auto"/>
        <w:ind w:right="51"/>
        <w:jc w:val="both"/>
        <w:rPr>
          <w:rFonts w:ascii="Palatino Linotype" w:eastAsia="Calibri" w:hAnsi="Palatino Linotype" w:cs="Arial"/>
        </w:rPr>
      </w:pPr>
    </w:p>
    <w:p w14:paraId="5549FAF5" w14:textId="77777777" w:rsidR="00345EFF" w:rsidRDefault="00345EFF" w:rsidP="00345EFF">
      <w:pPr>
        <w:tabs>
          <w:tab w:val="left" w:pos="709"/>
        </w:tabs>
        <w:spacing w:line="360" w:lineRule="auto"/>
        <w:ind w:right="51"/>
        <w:jc w:val="both"/>
        <w:rPr>
          <w:rFonts w:ascii="Palatino Linotype" w:hAnsi="Palatino Linotype"/>
        </w:rPr>
      </w:pPr>
      <w:r w:rsidRPr="00E82C6D">
        <w:rPr>
          <w:rFonts w:ascii="Palatino Linotype" w:hAnsi="Palatino Linotype"/>
        </w:rPr>
        <w:t>Por otra parte, ante la incompetencia, el Sujeto Obligado</w:t>
      </w:r>
      <w:r w:rsidRPr="00E82C6D">
        <w:rPr>
          <w:rFonts w:ascii="Palatino Linotype" w:hAnsi="Palatino Linotype"/>
          <w:b/>
        </w:rPr>
        <w:t xml:space="preserve"> </w:t>
      </w:r>
      <w:r w:rsidRPr="00E82C6D">
        <w:rPr>
          <w:rFonts w:ascii="Palatino Linotype" w:hAnsi="Palatino Linotype"/>
        </w:rPr>
        <w:t>tiene la potestad de orientar al particular sobre la dependencia pública ante quien deba presentar su solicitud de información. En este orden de ideas, se dejan a salvo los derechos de</w:t>
      </w:r>
      <w:r>
        <w:rPr>
          <w:rFonts w:ascii="Palatino Linotype" w:hAnsi="Palatino Linotype"/>
        </w:rPr>
        <w:t xml:space="preserve"> </w:t>
      </w:r>
      <w:r w:rsidRPr="00E82C6D">
        <w:rPr>
          <w:rFonts w:ascii="Palatino Linotype" w:hAnsi="Palatino Linotype"/>
        </w:rPr>
        <w:t>l</w:t>
      </w:r>
      <w:r>
        <w:rPr>
          <w:rFonts w:ascii="Palatino Linotype" w:hAnsi="Palatino Linotype"/>
        </w:rPr>
        <w:t>a parte</w:t>
      </w:r>
      <w:r w:rsidRPr="00E82C6D">
        <w:rPr>
          <w:rFonts w:ascii="Palatino Linotype" w:hAnsi="Palatino Linotype"/>
        </w:rPr>
        <w:t xml:space="preserve"> Recurrente</w:t>
      </w:r>
      <w:r w:rsidRPr="00E82C6D">
        <w:rPr>
          <w:rFonts w:ascii="Palatino Linotype" w:hAnsi="Palatino Linotype"/>
          <w:b/>
        </w:rPr>
        <w:t xml:space="preserve"> </w:t>
      </w:r>
      <w:r w:rsidRPr="00E82C6D">
        <w:rPr>
          <w:rFonts w:ascii="Palatino Linotype" w:hAnsi="Palatino Linotype"/>
        </w:rPr>
        <w:t>para que formule una nueva solicitud de información ante el</w:t>
      </w:r>
      <w:r w:rsidRPr="00E82C6D">
        <w:rPr>
          <w:rFonts w:ascii="Palatino Linotype" w:hAnsi="Palatino Linotype"/>
          <w:b/>
        </w:rPr>
        <w:t xml:space="preserve"> </w:t>
      </w:r>
      <w:r w:rsidRPr="00E82C6D">
        <w:rPr>
          <w:rFonts w:ascii="Palatino Linotype" w:hAnsi="Palatino Linotype"/>
        </w:rPr>
        <w:t>Sujeto</w:t>
      </w:r>
      <w:r w:rsidRPr="00E82C6D">
        <w:rPr>
          <w:rFonts w:ascii="Palatino Linotype" w:hAnsi="Palatino Linotype"/>
          <w:b/>
        </w:rPr>
        <w:t xml:space="preserve"> </w:t>
      </w:r>
      <w:r w:rsidRPr="00E82C6D">
        <w:rPr>
          <w:rFonts w:ascii="Palatino Linotype" w:hAnsi="Palatino Linotype"/>
        </w:rPr>
        <w:t>Obligado</w:t>
      </w:r>
      <w:r w:rsidRPr="00E82C6D">
        <w:rPr>
          <w:rFonts w:ascii="Palatino Linotype" w:hAnsi="Palatino Linotype"/>
          <w:b/>
        </w:rPr>
        <w:t xml:space="preserve"> </w:t>
      </w:r>
      <w:r w:rsidRPr="00E82C6D">
        <w:rPr>
          <w:rFonts w:ascii="Palatino Linotype" w:hAnsi="Palatino Linotype"/>
        </w:rPr>
        <w:t>competente.</w:t>
      </w:r>
      <w:r w:rsidRPr="00FD1753">
        <w:rPr>
          <w:rFonts w:ascii="Palatino Linotype" w:hAnsi="Palatino Linotype"/>
        </w:rPr>
        <w:t xml:space="preserve"> </w:t>
      </w:r>
    </w:p>
    <w:p w14:paraId="122D67A4" w14:textId="77777777" w:rsidR="00345EFF" w:rsidRDefault="00345EFF" w:rsidP="00345EFF">
      <w:pPr>
        <w:shd w:val="clear" w:color="auto" w:fill="FFFFFF" w:themeFill="background1"/>
        <w:spacing w:line="360" w:lineRule="auto"/>
        <w:ind w:left="708" w:right="-28"/>
        <w:jc w:val="both"/>
        <w:rPr>
          <w:rFonts w:ascii="Palatino Linotype" w:eastAsia="Calibri" w:hAnsi="Palatino Linotype" w:cs="Tahoma"/>
          <w:bCs/>
        </w:rPr>
      </w:pPr>
    </w:p>
    <w:p w14:paraId="416320D2" w14:textId="72EDC1DC" w:rsidR="00EB31A8" w:rsidRPr="00D13EF1" w:rsidRDefault="00EB31A8" w:rsidP="00345EFF">
      <w:pPr>
        <w:spacing w:line="360" w:lineRule="auto"/>
        <w:jc w:val="both"/>
        <w:rPr>
          <w:rFonts w:ascii="Palatino Linotype" w:hAnsi="Palatino Linotype" w:cs="Arial"/>
          <w:b/>
          <w:i/>
          <w:sz w:val="28"/>
        </w:rPr>
      </w:pPr>
      <w:r w:rsidRPr="00D13EF1">
        <w:rPr>
          <w:rFonts w:ascii="Palatino Linotype" w:hAnsi="Palatino Linotype" w:cs="Arial"/>
          <w:b/>
          <w:i/>
          <w:sz w:val="28"/>
        </w:rPr>
        <w:t>De la versión pública</w:t>
      </w:r>
    </w:p>
    <w:p w14:paraId="12EEE971"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727E3CA9"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w:t>
      </w:r>
      <w:r w:rsidRPr="00D13EF1">
        <w:rPr>
          <w:rFonts w:ascii="Palatino Linotype" w:hAnsi="Palatino Linotype" w:cs="Arial"/>
        </w:rPr>
        <w:lastRenderedPageBreak/>
        <w:t>servidores públicos, de acuerdo con dispuesto en los artículos 3, fracciones IX, XX, XXI y XLV; 4, 51, 91, 137 y 143 de la Ley de Transparencia y Acceso a la Información Pública del Estado de México y Municipios.</w:t>
      </w:r>
    </w:p>
    <w:p w14:paraId="6FEA0A77"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00A066CE"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4948BC9"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71C3522B"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D343125"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064E41DF" w14:textId="77777777" w:rsidR="00EB31A8"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13EF1">
        <w:rPr>
          <w:rFonts w:ascii="Palatino Linotype" w:hAnsi="Palatino Linotype" w:cs="Arial"/>
          <w:b/>
        </w:rPr>
        <w:t>Registro Federal de Contribuyentes</w:t>
      </w:r>
      <w:r w:rsidRPr="00D13EF1">
        <w:rPr>
          <w:rFonts w:ascii="Palatino Linotype" w:hAnsi="Palatino Linotype" w:cs="Arial"/>
        </w:rPr>
        <w:t xml:space="preserve"> (RFC), la </w:t>
      </w:r>
      <w:r w:rsidRPr="00D13EF1">
        <w:rPr>
          <w:rFonts w:ascii="Palatino Linotype" w:hAnsi="Palatino Linotype" w:cs="Arial"/>
          <w:b/>
        </w:rPr>
        <w:t>Clave Única de Registro de Población</w:t>
      </w:r>
      <w:r w:rsidRPr="00D13EF1">
        <w:rPr>
          <w:rFonts w:ascii="Palatino Linotype" w:hAnsi="Palatino Linotype" w:cs="Arial"/>
        </w:rPr>
        <w:t xml:space="preserve"> (CURP), la </w:t>
      </w:r>
      <w:r w:rsidRPr="00D13EF1">
        <w:rPr>
          <w:rFonts w:ascii="Palatino Linotype" w:hAnsi="Palatino Linotype" w:cs="Arial"/>
          <w:b/>
        </w:rPr>
        <w:t>Clave de cualquier tipo de seguridad social</w:t>
      </w:r>
      <w:r w:rsidRPr="00D13EF1">
        <w:rPr>
          <w:rFonts w:ascii="Palatino Linotype" w:hAnsi="Palatino Linotype" w:cs="Arial"/>
        </w:rPr>
        <w:t xml:space="preserve"> (ISSEMYM, u otros), así como, </w:t>
      </w:r>
      <w:r w:rsidRPr="00D13EF1">
        <w:rPr>
          <w:rFonts w:ascii="Palatino Linotype" w:hAnsi="Palatino Linotype" w:cs="Arial"/>
        </w:rPr>
        <w:lastRenderedPageBreak/>
        <w:t xml:space="preserve">los </w:t>
      </w:r>
      <w:r w:rsidRPr="00D13EF1">
        <w:rPr>
          <w:rFonts w:ascii="Palatino Linotype" w:hAnsi="Palatino Linotype" w:cs="Arial"/>
          <w:b/>
        </w:rPr>
        <w:t>préstamos o descuentos</w:t>
      </w:r>
      <w:r w:rsidRPr="00D13EF1">
        <w:rPr>
          <w:rFonts w:ascii="Palatino Linotype" w:hAnsi="Palatino Linotype" w:cs="Arial"/>
        </w:rPr>
        <w:t xml:space="preserve"> que se le hagan a la persona y que no tengan relación con los impuestos o la cuota por seguridad social.</w:t>
      </w:r>
    </w:p>
    <w:p w14:paraId="0341AB02"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094A188A"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A9C0B12"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4F61B76D"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Lo anterior, es compartido por el entonces Instituto Federal de Acceso a la Información Protección de Datos (IFAI) a través del Criterio 09/2009, el cual es del tenor literal siguiente:</w:t>
      </w:r>
    </w:p>
    <w:p w14:paraId="72C6B1ED"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4BA4CF6D"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“Registro Federal de Contribuyentes (RFC) de las personas físicas es un dato personal confidencial. </w:t>
      </w:r>
      <w:r w:rsidRPr="00D13EF1">
        <w:rPr>
          <w:rFonts w:ascii="Palatino Linotype" w:hAnsi="Palatino Linotype" w:cs="Arial"/>
          <w:i/>
        </w:rPr>
        <w:t>De conformidad con lo establecido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 xml:space="preserve">Gubernamental </w:t>
      </w:r>
      <w:r w:rsidRPr="00D13EF1">
        <w:rPr>
          <w:rFonts w:ascii="Palatino Linotype" w:hAnsi="Palatino Linotype" w:cs="Arial"/>
          <w:i/>
          <w:u w:val="single"/>
        </w:rPr>
        <w:t>se considera información confidencial los datos personales que</w:t>
      </w:r>
      <w:r w:rsidRPr="00D13EF1">
        <w:rPr>
          <w:rFonts w:ascii="Palatino Linotype" w:hAnsi="Palatino Linotype" w:cs="Arial"/>
          <w:bCs/>
          <w:i/>
          <w:u w:val="single"/>
        </w:rPr>
        <w:t xml:space="preserve"> </w:t>
      </w:r>
      <w:r w:rsidRPr="00D13EF1">
        <w:rPr>
          <w:rFonts w:ascii="Palatino Linotype" w:hAnsi="Palatino Linotype" w:cs="Arial"/>
          <w:i/>
          <w:u w:val="single"/>
        </w:rPr>
        <w:t>requieren el consentimiento de los individuos para su difusión, distribución o</w:t>
      </w:r>
      <w:r w:rsidRPr="00D13EF1">
        <w:rPr>
          <w:rFonts w:ascii="Palatino Linotype" w:hAnsi="Palatino Linotype" w:cs="Arial"/>
          <w:bCs/>
          <w:i/>
          <w:u w:val="single"/>
        </w:rPr>
        <w:t xml:space="preserve"> </w:t>
      </w:r>
      <w:r w:rsidRPr="00D13EF1">
        <w:rPr>
          <w:rFonts w:ascii="Palatino Linotype" w:hAnsi="Palatino Linotype" w:cs="Arial"/>
          <w:i/>
          <w:u w:val="single"/>
        </w:rPr>
        <w:t>comercialización en los términos de esta Ley. Por su parte, según dispone el</w:t>
      </w:r>
      <w:r w:rsidRPr="00D13EF1">
        <w:rPr>
          <w:rFonts w:ascii="Palatino Linotype" w:hAnsi="Palatino Linotype" w:cs="Arial"/>
          <w:bCs/>
          <w:i/>
          <w:u w:val="single"/>
        </w:rPr>
        <w:t xml:space="preserve"> </w:t>
      </w:r>
      <w:r w:rsidRPr="00D13EF1">
        <w:rPr>
          <w:rFonts w:ascii="Palatino Linotype" w:hAnsi="Palatino Linotype" w:cs="Arial"/>
          <w:i/>
          <w:u w:val="single"/>
        </w:rPr>
        <w:t>artículo 3, fracción II de la Ley Federal de Transparencia y Acceso a la Información</w:t>
      </w:r>
      <w:r w:rsidRPr="00D13EF1">
        <w:rPr>
          <w:rFonts w:ascii="Palatino Linotype" w:hAnsi="Palatino Linotype" w:cs="Arial"/>
          <w:bCs/>
          <w:i/>
          <w:u w:val="single"/>
        </w:rPr>
        <w:t xml:space="preserve"> </w:t>
      </w:r>
      <w:r w:rsidRPr="00D13EF1">
        <w:rPr>
          <w:rFonts w:ascii="Palatino Linotype" w:hAnsi="Palatino Linotype" w:cs="Arial"/>
          <w:i/>
          <w:u w:val="single"/>
        </w:rPr>
        <w:t>Pública Gubernamental, dato personal es toda aquella información concerniente a</w:t>
      </w:r>
      <w:r w:rsidRPr="00D13EF1">
        <w:rPr>
          <w:rFonts w:ascii="Palatino Linotype" w:hAnsi="Palatino Linotype" w:cs="Arial"/>
          <w:bCs/>
          <w:i/>
          <w:u w:val="single"/>
        </w:rPr>
        <w:t xml:space="preserve"> </w:t>
      </w:r>
      <w:r w:rsidRPr="00D13EF1">
        <w:rPr>
          <w:rFonts w:ascii="Palatino Linotype" w:hAnsi="Palatino Linotype" w:cs="Arial"/>
          <w:i/>
          <w:u w:val="single"/>
        </w:rPr>
        <w:t>una persona física identificada o identificable</w:t>
      </w:r>
      <w:r w:rsidRPr="00D13EF1">
        <w:rPr>
          <w:rFonts w:ascii="Palatino Linotype" w:hAnsi="Palatino Linotype" w:cs="Arial"/>
          <w:i/>
        </w:rPr>
        <w:t xml:space="preserve">. Para </w:t>
      </w:r>
      <w:r w:rsidRPr="00D13EF1">
        <w:rPr>
          <w:rFonts w:ascii="Palatino Linotype" w:hAnsi="Palatino Linotype" w:cs="Arial"/>
          <w:i/>
          <w:u w:val="single"/>
        </w:rPr>
        <w:t>obtener el RFC es necesario</w:t>
      </w:r>
      <w:r w:rsidRPr="00D13EF1">
        <w:rPr>
          <w:rFonts w:ascii="Palatino Linotype" w:hAnsi="Palatino Linotype" w:cs="Arial"/>
          <w:b/>
          <w:bCs/>
          <w:i/>
          <w:u w:val="single"/>
        </w:rPr>
        <w:t xml:space="preserve"> </w:t>
      </w:r>
      <w:r w:rsidRPr="00D13EF1">
        <w:rPr>
          <w:rFonts w:ascii="Palatino Linotype" w:hAnsi="Palatino Linotype" w:cs="Arial"/>
          <w:i/>
          <w:u w:val="single"/>
        </w:rPr>
        <w:t>acreditar previamente mediante documentos oficiales (pasaporte, acta de</w:t>
      </w:r>
      <w:r w:rsidRPr="00D13EF1">
        <w:rPr>
          <w:rFonts w:ascii="Palatino Linotype" w:hAnsi="Palatino Linotype" w:cs="Arial"/>
          <w:b/>
          <w:bCs/>
          <w:i/>
          <w:u w:val="single"/>
        </w:rPr>
        <w:t xml:space="preserve"> </w:t>
      </w:r>
      <w:r w:rsidRPr="00D13EF1">
        <w:rPr>
          <w:rFonts w:ascii="Palatino Linotype" w:hAnsi="Palatino Linotype" w:cs="Arial"/>
          <w:i/>
          <w:u w:val="single"/>
        </w:rPr>
        <w:t>nacimiento, etc.) la identidad de la persona, su fecha y lugar de nacimiento, entre</w:t>
      </w:r>
      <w:r w:rsidRPr="00D13EF1">
        <w:rPr>
          <w:rFonts w:ascii="Palatino Linotype" w:hAnsi="Palatino Linotype" w:cs="Arial"/>
          <w:b/>
          <w:bCs/>
          <w:i/>
          <w:u w:val="single"/>
        </w:rPr>
        <w:t xml:space="preserve"> </w:t>
      </w:r>
      <w:r w:rsidRPr="00D13EF1">
        <w:rPr>
          <w:rFonts w:ascii="Palatino Linotype" w:hAnsi="Palatino Linotype" w:cs="Arial"/>
          <w:i/>
          <w:u w:val="single"/>
        </w:rPr>
        <w:t xml:space="preserve">otros. </w:t>
      </w:r>
      <w:r w:rsidRPr="00D13EF1">
        <w:rPr>
          <w:rFonts w:ascii="Palatino Linotype" w:hAnsi="Palatino Linotype" w:cs="Arial"/>
          <w:i/>
        </w:rPr>
        <w:t>De acuerdo con la legislación tributaria, las personas físicas tramitan su</w:t>
      </w:r>
      <w:r w:rsidRPr="00D13EF1">
        <w:rPr>
          <w:rFonts w:ascii="Palatino Linotype" w:hAnsi="Palatino Linotype" w:cs="Arial"/>
          <w:b/>
          <w:bCs/>
          <w:i/>
        </w:rPr>
        <w:t xml:space="preserve"> </w:t>
      </w:r>
      <w:r w:rsidRPr="00D13EF1">
        <w:rPr>
          <w:rFonts w:ascii="Palatino Linotype" w:hAnsi="Palatino Linotype" w:cs="Arial"/>
          <w:i/>
        </w:rPr>
        <w:t>inscripción en el Registro Federal de Contribuyentes con el único propósito de</w:t>
      </w:r>
      <w:r w:rsidRPr="00D13EF1">
        <w:rPr>
          <w:rFonts w:ascii="Palatino Linotype" w:hAnsi="Palatino Linotype" w:cs="Arial"/>
          <w:b/>
          <w:bCs/>
          <w:i/>
        </w:rPr>
        <w:t xml:space="preserve"> </w:t>
      </w:r>
      <w:r w:rsidRPr="00D13EF1">
        <w:rPr>
          <w:rFonts w:ascii="Palatino Linotype" w:hAnsi="Palatino Linotype" w:cs="Arial"/>
          <w:i/>
        </w:rPr>
        <w:t>realizar mediante esa clave de identificación, operaciones o actividades de</w:t>
      </w:r>
      <w:r w:rsidRPr="00D13EF1">
        <w:rPr>
          <w:rFonts w:ascii="Palatino Linotype" w:hAnsi="Palatino Linotype" w:cs="Arial"/>
          <w:b/>
          <w:bCs/>
          <w:i/>
        </w:rPr>
        <w:t xml:space="preserve"> </w:t>
      </w:r>
      <w:r w:rsidRPr="00D13EF1">
        <w:rPr>
          <w:rFonts w:ascii="Palatino Linotype" w:hAnsi="Palatino Linotype" w:cs="Arial"/>
          <w:i/>
        </w:rPr>
        <w:t>naturaleza tributaria. En este sentido, el artículo 79 del Código Fiscal de la</w:t>
      </w:r>
      <w:r w:rsidRPr="00D13EF1">
        <w:rPr>
          <w:rFonts w:ascii="Palatino Linotype" w:hAnsi="Palatino Linotype" w:cs="Arial"/>
          <w:b/>
          <w:bCs/>
          <w:i/>
        </w:rPr>
        <w:t xml:space="preserve"> </w:t>
      </w:r>
      <w:r w:rsidRPr="00D13EF1">
        <w:rPr>
          <w:rFonts w:ascii="Palatino Linotype" w:hAnsi="Palatino Linotype" w:cs="Arial"/>
          <w:i/>
        </w:rPr>
        <w:t xml:space="preserve">Federación prevé que la utilización de una </w:t>
      </w:r>
      <w:r w:rsidRPr="00D13EF1">
        <w:rPr>
          <w:rFonts w:ascii="Palatino Linotype" w:hAnsi="Palatino Linotype" w:cs="Arial"/>
          <w:i/>
        </w:rPr>
        <w:lastRenderedPageBreak/>
        <w:t>clave de registro no asignada por la</w:t>
      </w:r>
      <w:r w:rsidRPr="00D13EF1">
        <w:rPr>
          <w:rFonts w:ascii="Palatino Linotype" w:hAnsi="Palatino Linotype" w:cs="Arial"/>
          <w:b/>
          <w:bCs/>
          <w:i/>
        </w:rPr>
        <w:t xml:space="preserve"> </w:t>
      </w:r>
      <w:r w:rsidRPr="00D13EF1">
        <w:rPr>
          <w:rFonts w:ascii="Palatino Linotype" w:hAnsi="Palatino Linotype" w:cs="Arial"/>
          <w:i/>
        </w:rPr>
        <w:t>autoridad constituye como una infracción en materia fiscal. De acuerdo con lo</w:t>
      </w:r>
      <w:r w:rsidRPr="00D13EF1">
        <w:rPr>
          <w:rFonts w:ascii="Palatino Linotype" w:hAnsi="Palatino Linotype" w:cs="Arial"/>
          <w:b/>
          <w:bCs/>
          <w:i/>
        </w:rPr>
        <w:t xml:space="preserve"> </w:t>
      </w:r>
      <w:r w:rsidRPr="00D13EF1">
        <w:rPr>
          <w:rFonts w:ascii="Palatino Linotype" w:hAnsi="Palatino Linotype" w:cs="Arial"/>
          <w:i/>
        </w:rPr>
        <w:t>antes apuntado, el RFC vinculado al nombre de su titular, permite identificar la</w:t>
      </w:r>
      <w:r w:rsidRPr="00D13EF1">
        <w:rPr>
          <w:rFonts w:ascii="Palatino Linotype" w:hAnsi="Palatino Linotype" w:cs="Arial"/>
          <w:b/>
          <w:bCs/>
          <w:i/>
        </w:rPr>
        <w:t xml:space="preserve"> </w:t>
      </w:r>
      <w:r w:rsidRPr="00D13EF1">
        <w:rPr>
          <w:rFonts w:ascii="Palatino Linotype" w:hAnsi="Palatino Linotype" w:cs="Arial"/>
          <w:i/>
        </w:rPr>
        <w:t xml:space="preserve">edad de la persona, así como su </w:t>
      </w:r>
      <w:proofErr w:type="spellStart"/>
      <w:r w:rsidRPr="00D13EF1">
        <w:rPr>
          <w:rFonts w:ascii="Palatino Linotype" w:hAnsi="Palatino Linotype" w:cs="Arial"/>
          <w:i/>
        </w:rPr>
        <w:t>homoclave</w:t>
      </w:r>
      <w:proofErr w:type="spellEnd"/>
      <w:r w:rsidRPr="00D13EF1">
        <w:rPr>
          <w:rFonts w:ascii="Palatino Linotype" w:hAnsi="Palatino Linotype" w:cs="Arial"/>
          <w:i/>
        </w:rPr>
        <w:t>, siendo esta última única e irrepetible,</w:t>
      </w:r>
      <w:r w:rsidRPr="00D13EF1">
        <w:rPr>
          <w:rFonts w:ascii="Palatino Linotype" w:hAnsi="Palatino Linotype" w:cs="Arial"/>
          <w:b/>
          <w:bCs/>
          <w:i/>
        </w:rPr>
        <w:t xml:space="preserve"> </w:t>
      </w:r>
      <w:r w:rsidRPr="00D13EF1">
        <w:rPr>
          <w:rFonts w:ascii="Palatino Linotype" w:hAnsi="Palatino Linotype" w:cs="Arial"/>
          <w:i/>
        </w:rPr>
        <w:t>por lo que es posible concluir que el RFC constituye un dato personal y, por tanto,</w:t>
      </w:r>
      <w:r w:rsidRPr="00D13EF1">
        <w:rPr>
          <w:rFonts w:ascii="Palatino Linotype" w:hAnsi="Palatino Linotype" w:cs="Arial"/>
          <w:b/>
          <w:bCs/>
          <w:i/>
        </w:rPr>
        <w:t xml:space="preserve"> </w:t>
      </w:r>
      <w:r w:rsidRPr="00D13EF1">
        <w:rPr>
          <w:rFonts w:ascii="Palatino Linotype" w:hAnsi="Palatino Linotype" w:cs="Arial"/>
          <w:i/>
        </w:rPr>
        <w:t>información confidencial, de conformidad con los previsto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Gubernamental</w:t>
      </w:r>
      <w:r w:rsidRPr="00D13EF1">
        <w:rPr>
          <w:rFonts w:ascii="Palatino Linotype" w:hAnsi="Palatino Linotype" w:cs="Arial"/>
          <w:bCs/>
          <w:i/>
        </w:rPr>
        <w:t>…” (Sic)</w:t>
      </w:r>
    </w:p>
    <w:p w14:paraId="0CB66C08" w14:textId="77777777" w:rsidR="00EB31A8" w:rsidRPr="00D13EF1" w:rsidRDefault="00EB31A8" w:rsidP="00EB31A8">
      <w:pPr>
        <w:tabs>
          <w:tab w:val="left" w:pos="8647"/>
        </w:tabs>
        <w:ind w:left="567" w:right="567"/>
        <w:jc w:val="both"/>
        <w:rPr>
          <w:rFonts w:ascii="Palatino Linotype" w:hAnsi="Palatino Linotype" w:cs="Arial"/>
          <w:bCs/>
          <w:i/>
        </w:rPr>
      </w:pPr>
    </w:p>
    <w:p w14:paraId="4D5B23CE" w14:textId="77777777" w:rsidR="00EB31A8" w:rsidRPr="00D13EF1" w:rsidRDefault="00EB31A8" w:rsidP="00EB31A8">
      <w:pPr>
        <w:tabs>
          <w:tab w:val="left" w:pos="8647"/>
        </w:tabs>
        <w:ind w:left="567" w:right="284"/>
        <w:jc w:val="right"/>
        <w:rPr>
          <w:rFonts w:ascii="Palatino Linotype" w:hAnsi="Palatino Linotype" w:cs="Arial"/>
        </w:rPr>
      </w:pPr>
      <w:r w:rsidRPr="00D13EF1">
        <w:rPr>
          <w:rFonts w:ascii="Palatino Linotype" w:hAnsi="Palatino Linotype" w:cs="Arial"/>
        </w:rPr>
        <w:t>(Énfasis añadido)</w:t>
      </w:r>
    </w:p>
    <w:p w14:paraId="3C7978D1" w14:textId="77777777" w:rsidR="00EB31A8" w:rsidRDefault="00EB31A8" w:rsidP="00EB31A8">
      <w:pPr>
        <w:tabs>
          <w:tab w:val="left" w:pos="8647"/>
        </w:tabs>
        <w:spacing w:line="360" w:lineRule="auto"/>
        <w:ind w:right="51"/>
        <w:jc w:val="both"/>
        <w:rPr>
          <w:rFonts w:ascii="Palatino Linotype" w:hAnsi="Palatino Linotype" w:cs="Arial"/>
        </w:rPr>
      </w:pPr>
    </w:p>
    <w:p w14:paraId="1B1CC1BF"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Así, el RFC se vincula al nombre de su titular y permite identificar la edad de la persona, su fecha de nacimiento, así como su </w:t>
      </w:r>
      <w:proofErr w:type="spellStart"/>
      <w:r w:rsidRPr="00D13EF1">
        <w:rPr>
          <w:rFonts w:ascii="Palatino Linotype" w:hAnsi="Palatino Linotype" w:cs="Arial"/>
        </w:rPr>
        <w:t>homoclave</w:t>
      </w:r>
      <w:proofErr w:type="spellEnd"/>
      <w:r w:rsidRPr="00D13EF1">
        <w:rPr>
          <w:rFonts w:ascii="Palatino Linotype" w:hAnsi="Palatino Linotype" w:cs="Arial"/>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9416B5E"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1DC0CAB8"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82DB8F5"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5D1D46C0"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Argumento que es compartido por el entonces </w:t>
      </w:r>
      <w:r w:rsidRPr="00D13EF1">
        <w:rPr>
          <w:rFonts w:ascii="Palatino Linotype" w:hAnsi="Palatino Linotype" w:cs="Arial"/>
          <w:b/>
          <w:bCs/>
        </w:rPr>
        <w:t xml:space="preserve">Instituto Federal de Acceso a la Información y Protección de Datos (IFAI), conforme al </w:t>
      </w:r>
      <w:r w:rsidRPr="00D13EF1">
        <w:rPr>
          <w:rFonts w:ascii="Palatino Linotype" w:hAnsi="Palatino Linotype" w:cs="Arial"/>
        </w:rPr>
        <w:t xml:space="preserve">criterio número 0003-10, el cual refiere: </w:t>
      </w:r>
    </w:p>
    <w:p w14:paraId="473012FC"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1A552238" w14:textId="77777777" w:rsidR="00EB31A8" w:rsidRPr="00D13EF1" w:rsidRDefault="00EB31A8" w:rsidP="00EB31A8">
      <w:pPr>
        <w:tabs>
          <w:tab w:val="left" w:pos="8505"/>
        </w:tabs>
        <w:ind w:left="567" w:right="567"/>
        <w:jc w:val="both"/>
        <w:rPr>
          <w:rFonts w:ascii="Palatino Linotype" w:hAnsi="Palatino Linotype" w:cs="Arial"/>
          <w:i/>
        </w:rPr>
      </w:pPr>
      <w:r w:rsidRPr="00D13EF1">
        <w:rPr>
          <w:rFonts w:ascii="Palatino Linotype" w:hAnsi="Palatino Linotype" w:cs="Arial"/>
          <w:b/>
          <w:bCs/>
          <w:i/>
        </w:rPr>
        <w:lastRenderedPageBreak/>
        <w:t xml:space="preserve">“Clave Única de Registro de Población (CURP) es un dato personal confidencial. </w:t>
      </w:r>
      <w:r w:rsidRPr="00D13EF1">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13EF1">
        <w:rPr>
          <w:rFonts w:ascii="Palatino Linotype" w:hAnsi="Palatino Linotype" w:cs="Arial"/>
          <w:b/>
          <w:bCs/>
          <w:i/>
        </w:rPr>
        <w:t>..</w:t>
      </w:r>
      <w:r w:rsidRPr="00D13EF1">
        <w:rPr>
          <w:rFonts w:ascii="Palatino Linotype" w:hAnsi="Palatino Linotype" w:cs="Arial"/>
          <w:i/>
        </w:rPr>
        <w:t>.” (Sic)</w:t>
      </w:r>
    </w:p>
    <w:p w14:paraId="4F0E7B8F" w14:textId="77777777" w:rsidR="00EB31A8" w:rsidRPr="00D13EF1" w:rsidRDefault="00EB31A8" w:rsidP="00EB31A8">
      <w:pPr>
        <w:autoSpaceDE w:val="0"/>
        <w:autoSpaceDN w:val="0"/>
        <w:adjustRightInd w:val="0"/>
        <w:spacing w:line="360" w:lineRule="auto"/>
        <w:contextualSpacing/>
        <w:jc w:val="both"/>
        <w:rPr>
          <w:rFonts w:ascii="Palatino Linotype" w:hAnsi="Palatino Linotype" w:cs="Arial"/>
        </w:rPr>
      </w:pPr>
    </w:p>
    <w:p w14:paraId="79A70625" w14:textId="77777777" w:rsidR="00EB31A8" w:rsidRPr="00D13EF1" w:rsidRDefault="00EB31A8" w:rsidP="00EB31A8">
      <w:pPr>
        <w:autoSpaceDE w:val="0"/>
        <w:autoSpaceDN w:val="0"/>
        <w:adjustRightInd w:val="0"/>
        <w:spacing w:line="360" w:lineRule="auto"/>
        <w:contextualSpacing/>
        <w:jc w:val="both"/>
        <w:rPr>
          <w:rFonts w:ascii="Palatino Linotype" w:hAnsi="Palatino Linotype" w:cs="Arial"/>
        </w:rPr>
      </w:pPr>
      <w:r w:rsidRPr="00D13EF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A3BA8C" w14:textId="77777777" w:rsidR="00EB31A8" w:rsidRPr="00D13EF1" w:rsidRDefault="00EB31A8" w:rsidP="00EB31A8">
      <w:pPr>
        <w:autoSpaceDE w:val="0"/>
        <w:autoSpaceDN w:val="0"/>
        <w:adjustRightInd w:val="0"/>
        <w:spacing w:line="360" w:lineRule="auto"/>
        <w:contextualSpacing/>
        <w:jc w:val="both"/>
        <w:rPr>
          <w:rFonts w:ascii="Palatino Linotype" w:hAnsi="Palatino Linotype" w:cs="Arial"/>
        </w:rPr>
      </w:pPr>
    </w:p>
    <w:p w14:paraId="7F383F22"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2BDAF6FC"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0A41F04D"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1EAC69C7"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5762CCC9"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4571E87"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1D3ADCEA" w14:textId="77777777" w:rsidR="00EB31A8" w:rsidRPr="00D13EF1" w:rsidRDefault="00EB31A8" w:rsidP="00EB31A8">
      <w:pPr>
        <w:tabs>
          <w:tab w:val="left" w:pos="8505"/>
        </w:tabs>
        <w:ind w:left="567" w:right="567"/>
        <w:jc w:val="both"/>
        <w:rPr>
          <w:rFonts w:ascii="Palatino Linotype" w:hAnsi="Palatino Linotype" w:cs="Arial"/>
          <w:bCs/>
          <w:i/>
        </w:rPr>
      </w:pPr>
      <w:r w:rsidRPr="00D13EF1">
        <w:rPr>
          <w:rFonts w:ascii="Palatino Linotype" w:hAnsi="Palatino Linotype" w:cs="Arial"/>
          <w:bCs/>
          <w:i/>
        </w:rPr>
        <w:t>“</w:t>
      </w:r>
      <w:r w:rsidRPr="00D13EF1">
        <w:rPr>
          <w:rFonts w:ascii="Palatino Linotype" w:hAnsi="Palatino Linotype" w:cs="Arial"/>
          <w:b/>
          <w:bCs/>
          <w:i/>
        </w:rPr>
        <w:t>Cuarto</w:t>
      </w:r>
      <w:r w:rsidRPr="00D13EF1">
        <w:rPr>
          <w:rFonts w:ascii="Palatino Linotype" w:hAnsi="Palatino Linotype" w:cs="Arial"/>
          <w:bCs/>
          <w:i/>
        </w:rPr>
        <w:t xml:space="preserve">. </w:t>
      </w:r>
      <w:r w:rsidRPr="00D13EF1">
        <w:rPr>
          <w:rFonts w:ascii="Palatino Linotype" w:hAnsi="Palatino Linotype" w:cs="Arial"/>
          <w:b/>
          <w:bCs/>
          <w:i/>
          <w:u w:val="single"/>
        </w:rPr>
        <w:t>Para clasificar la información como reservada o confidencial,</w:t>
      </w:r>
      <w:r w:rsidRPr="00D13EF1">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39B580"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Los sujetos obligados deberán aplicar, de manera estricta, las excepciones al derecho de acceso a la información y sólo podrán invocarlas cuando acrediten su procedencia.</w:t>
      </w:r>
    </w:p>
    <w:p w14:paraId="1EF4EE0E"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14:paraId="355D60FC"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
          <w:bCs/>
          <w:i/>
        </w:rPr>
        <w:t>Quinto</w:t>
      </w:r>
      <w:r w:rsidRPr="00D13EF1">
        <w:rPr>
          <w:rFonts w:ascii="Palatino Linotype" w:hAnsi="Palatino Linotype" w:cs="Arial"/>
          <w:bCs/>
          <w:i/>
        </w:rPr>
        <w:t xml:space="preserve">. </w:t>
      </w:r>
      <w:r w:rsidRPr="00D13EF1">
        <w:rPr>
          <w:rFonts w:ascii="Palatino Linotype" w:hAnsi="Palatino Linotype" w:cs="Arial"/>
          <w:b/>
          <w:bCs/>
          <w:i/>
        </w:rPr>
        <w:t xml:space="preserve">La carga de la prueba para justificar toda negativa de acceso a la información, </w:t>
      </w:r>
      <w:r w:rsidRPr="00D13EF1">
        <w:rPr>
          <w:rFonts w:ascii="Palatino Linotype" w:hAnsi="Palatino Linotype" w:cs="Arial"/>
          <w:bCs/>
          <w:i/>
        </w:rPr>
        <w:t>por actualizarse cualquiera de los supuestos de clasificación previstos en la Ley General, la Ley Federal y leyes estatales, corresponderá</w:t>
      </w:r>
      <w:r w:rsidRPr="00D13EF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D13EF1">
        <w:rPr>
          <w:rFonts w:ascii="Palatino Linotype" w:hAnsi="Palatino Linotype" w:cs="Arial"/>
          <w:bCs/>
          <w:i/>
        </w:rPr>
        <w:t>, observando lo dispuesto en la Ley General y las demás disposiciones aplicables en la materia.</w:t>
      </w:r>
    </w:p>
    <w:p w14:paraId="5A5E6B7A" w14:textId="77777777" w:rsidR="00EB31A8" w:rsidRPr="00D13EF1" w:rsidRDefault="00EB31A8" w:rsidP="00EB31A8">
      <w:pPr>
        <w:tabs>
          <w:tab w:val="left" w:pos="8647"/>
        </w:tabs>
        <w:ind w:left="567" w:right="567"/>
        <w:jc w:val="both"/>
        <w:rPr>
          <w:rFonts w:ascii="Palatino Linotype" w:hAnsi="Palatino Linotype" w:cs="Arial"/>
          <w:bCs/>
          <w:i/>
        </w:rPr>
      </w:pPr>
    </w:p>
    <w:p w14:paraId="734E0F8B"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
          <w:bCs/>
          <w:i/>
        </w:rPr>
        <w:lastRenderedPageBreak/>
        <w:t>Octavo</w:t>
      </w:r>
      <w:r w:rsidRPr="00D13EF1">
        <w:rPr>
          <w:rFonts w:ascii="Palatino Linotype" w:hAnsi="Palatino Linotype" w:cs="Arial"/>
          <w:bCs/>
          <w:i/>
        </w:rPr>
        <w:t xml:space="preserve">. </w:t>
      </w:r>
      <w:r w:rsidRPr="00D13EF1">
        <w:rPr>
          <w:rFonts w:ascii="Palatino Linotype" w:hAnsi="Palatino Linotype" w:cs="Arial"/>
          <w:bCs/>
          <w:i/>
          <w:u w:val="single"/>
        </w:rPr>
        <w:t>Para fundar la clasificación de la información se debe señalar el artículo, fracción, inciso, párrafo o numeral de la ley o tratado internacional</w:t>
      </w:r>
      <w:r w:rsidRPr="00D13EF1">
        <w:rPr>
          <w:rFonts w:ascii="Palatino Linotype" w:hAnsi="Palatino Linotype" w:cs="Arial"/>
          <w:bCs/>
          <w:i/>
        </w:rPr>
        <w:t xml:space="preserve"> suscrito por el Estado mexicano que expresamente le otorga el carácter de reservada o confidencial.</w:t>
      </w:r>
    </w:p>
    <w:p w14:paraId="14B73ABD"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54552639"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14:paraId="61A83012"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DE LA INFORMACIÓN CONFIDENCIAL</w:t>
      </w:r>
    </w:p>
    <w:p w14:paraId="0C491ACD"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Trigésimo octavo. </w:t>
      </w:r>
      <w:r w:rsidRPr="00D13EF1">
        <w:rPr>
          <w:rFonts w:ascii="Palatino Linotype" w:hAnsi="Palatino Linotype" w:cs="Arial"/>
          <w:bCs/>
          <w:i/>
        </w:rPr>
        <w:t>Se considera información confidencial:</w:t>
      </w:r>
    </w:p>
    <w:p w14:paraId="6B95F267" w14:textId="77777777" w:rsidR="00EB31A8" w:rsidRPr="00D13EF1" w:rsidRDefault="00EB31A8" w:rsidP="00EB31A8">
      <w:pPr>
        <w:tabs>
          <w:tab w:val="left" w:pos="8647"/>
        </w:tabs>
        <w:ind w:left="567" w:right="567"/>
        <w:jc w:val="both"/>
        <w:rPr>
          <w:rFonts w:ascii="Palatino Linotype" w:hAnsi="Palatino Linotype" w:cs="Arial"/>
          <w:b/>
          <w:bCs/>
          <w:i/>
        </w:rPr>
      </w:pPr>
      <w:r w:rsidRPr="00D13EF1">
        <w:rPr>
          <w:rFonts w:ascii="Palatino Linotype" w:hAnsi="Palatino Linotype" w:cs="Arial"/>
          <w:bCs/>
          <w:i/>
        </w:rPr>
        <w:t xml:space="preserve">I. </w:t>
      </w:r>
      <w:r w:rsidRPr="00D13EF1">
        <w:rPr>
          <w:rFonts w:ascii="Palatino Linotype" w:hAnsi="Palatino Linotype" w:cs="Arial"/>
          <w:b/>
          <w:bCs/>
          <w:i/>
          <w:u w:val="single"/>
        </w:rPr>
        <w:t>Los datos personales en los términos de la norma aplicable</w:t>
      </w:r>
      <w:r w:rsidRPr="00D13EF1">
        <w:rPr>
          <w:rFonts w:ascii="Palatino Linotype" w:hAnsi="Palatino Linotype" w:cs="Arial"/>
          <w:b/>
          <w:bCs/>
          <w:i/>
        </w:rPr>
        <w:t>;</w:t>
      </w:r>
    </w:p>
    <w:p w14:paraId="728141A4"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3C023E4" w14:textId="77777777" w:rsidR="00EB31A8" w:rsidRPr="00D13EF1" w:rsidRDefault="00EB31A8" w:rsidP="00EB31A8">
      <w:pPr>
        <w:tabs>
          <w:tab w:val="left" w:pos="8647"/>
        </w:tabs>
        <w:ind w:left="567" w:right="567"/>
        <w:jc w:val="both"/>
        <w:rPr>
          <w:rFonts w:ascii="Palatino Linotype" w:hAnsi="Palatino Linotype" w:cs="Arial"/>
          <w:bCs/>
          <w:i/>
        </w:rPr>
      </w:pPr>
      <w:proofErr w:type="gramStart"/>
      <w:r w:rsidRPr="00D13EF1">
        <w:rPr>
          <w:rFonts w:ascii="Palatino Linotype" w:hAnsi="Palatino Linotype" w:cs="Arial"/>
          <w:bCs/>
          <w:i/>
        </w:rPr>
        <w:t>III …</w:t>
      </w:r>
      <w:proofErr w:type="gramEnd"/>
    </w:p>
    <w:p w14:paraId="5D2DD0A5" w14:textId="77777777" w:rsidR="00EB31A8" w:rsidRPr="00D13EF1" w:rsidRDefault="00EB31A8" w:rsidP="00EB31A8">
      <w:pPr>
        <w:tabs>
          <w:tab w:val="left" w:pos="8647"/>
        </w:tabs>
        <w:ind w:left="567" w:right="567"/>
        <w:jc w:val="both"/>
        <w:rPr>
          <w:rFonts w:ascii="Palatino Linotype" w:hAnsi="Palatino Linotype" w:cs="Arial"/>
          <w:bCs/>
          <w:i/>
        </w:rPr>
      </w:pPr>
      <w:r w:rsidRPr="00D13EF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41AA3C95" w14:textId="77777777" w:rsidR="00EB31A8" w:rsidRPr="00D13EF1" w:rsidRDefault="00EB31A8" w:rsidP="00EB31A8">
      <w:pPr>
        <w:tabs>
          <w:tab w:val="left" w:pos="8647"/>
        </w:tabs>
        <w:ind w:left="567" w:right="567"/>
        <w:jc w:val="right"/>
        <w:rPr>
          <w:rFonts w:ascii="Palatino Linotype" w:hAnsi="Palatino Linotype" w:cs="Arial"/>
          <w:bCs/>
        </w:rPr>
      </w:pPr>
      <w:r w:rsidRPr="00D13EF1">
        <w:rPr>
          <w:rFonts w:ascii="Palatino Linotype" w:hAnsi="Palatino Linotype" w:cs="Arial"/>
          <w:bCs/>
        </w:rPr>
        <w:t>(Énfasis añadido)</w:t>
      </w:r>
    </w:p>
    <w:p w14:paraId="3AE2F686"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301836B7"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BF7E1A0"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5F97741D" w14:textId="77777777" w:rsidR="00EB31A8" w:rsidRPr="00D13EF1" w:rsidRDefault="00EB31A8" w:rsidP="00EB31A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sidRPr="00D13EF1">
        <w:rPr>
          <w:rFonts w:ascii="Palatino Linotype" w:hAnsi="Palatino Linotype" w:cs="Arial"/>
        </w:rPr>
        <w:lastRenderedPageBreak/>
        <w:t>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4E7731" w14:textId="77777777" w:rsidR="00EB31A8" w:rsidRPr="00D13EF1" w:rsidRDefault="00EB31A8" w:rsidP="00EB31A8">
      <w:pPr>
        <w:tabs>
          <w:tab w:val="left" w:pos="8647"/>
        </w:tabs>
        <w:spacing w:line="360" w:lineRule="auto"/>
        <w:ind w:right="51"/>
        <w:jc w:val="both"/>
        <w:rPr>
          <w:rFonts w:ascii="Palatino Linotype" w:hAnsi="Palatino Linotype" w:cs="Arial"/>
        </w:rPr>
      </w:pPr>
    </w:p>
    <w:p w14:paraId="6D3F79E6" w14:textId="77777777" w:rsidR="00EB31A8" w:rsidRPr="00D13EF1" w:rsidRDefault="00EB31A8" w:rsidP="00EB31A8">
      <w:pPr>
        <w:autoSpaceDE w:val="0"/>
        <w:autoSpaceDN w:val="0"/>
        <w:adjustRightInd w:val="0"/>
        <w:spacing w:line="360" w:lineRule="auto"/>
        <w:contextualSpacing/>
        <w:jc w:val="both"/>
        <w:rPr>
          <w:rFonts w:ascii="Palatino Linotype" w:hAnsi="Palatino Linotype" w:cs="Arial"/>
          <w:iCs/>
        </w:rPr>
      </w:pPr>
      <w:r w:rsidRPr="00D13EF1">
        <w:rPr>
          <w:rFonts w:ascii="Palatino Linotype" w:hAnsi="Palatino Linotype" w:cs="Arial"/>
        </w:rPr>
        <w:t xml:space="preserve">Entonces, el </w:t>
      </w:r>
      <w:r w:rsidRPr="00D13EF1">
        <w:rPr>
          <w:rFonts w:ascii="Palatino Linotype" w:hAnsi="Palatino Linotype" w:cs="Arial"/>
          <w:b/>
        </w:rPr>
        <w:t>sujeto obligado</w:t>
      </w:r>
      <w:r w:rsidRPr="00D13EF1">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D13EF1">
        <w:rPr>
          <w:rFonts w:ascii="Palatino Linotype" w:hAnsi="Palatino Linotype" w:cs="Arial"/>
          <w:i/>
          <w:iCs/>
        </w:rPr>
        <w:t>.</w:t>
      </w:r>
    </w:p>
    <w:p w14:paraId="37346A5C" w14:textId="77777777" w:rsidR="00EB31A8" w:rsidRDefault="00EB31A8" w:rsidP="00EB31A8">
      <w:pPr>
        <w:autoSpaceDE w:val="0"/>
        <w:autoSpaceDN w:val="0"/>
        <w:adjustRightInd w:val="0"/>
        <w:spacing w:line="360" w:lineRule="auto"/>
        <w:contextualSpacing/>
        <w:jc w:val="both"/>
        <w:rPr>
          <w:rFonts w:ascii="Palatino Linotype" w:hAnsi="Palatino Linotype" w:cs="Arial"/>
          <w:iCs/>
        </w:rPr>
      </w:pPr>
    </w:p>
    <w:p w14:paraId="70E1245C" w14:textId="77777777" w:rsidR="00EB31A8" w:rsidRPr="003F0285" w:rsidRDefault="00EB31A8" w:rsidP="00EB31A8">
      <w:pPr>
        <w:numPr>
          <w:ilvl w:val="0"/>
          <w:numId w:val="43"/>
        </w:numPr>
        <w:tabs>
          <w:tab w:val="left" w:pos="709"/>
        </w:tabs>
        <w:spacing w:line="360" w:lineRule="auto"/>
        <w:jc w:val="both"/>
        <w:rPr>
          <w:rFonts w:ascii="Palatino Linotype" w:hAnsi="Palatino Linotype"/>
          <w:i/>
          <w:sz w:val="28"/>
        </w:rPr>
      </w:pPr>
      <w:r w:rsidRPr="003F0285">
        <w:rPr>
          <w:rFonts w:ascii="Palatino Linotype" w:hAnsi="Palatino Linotype"/>
          <w:b/>
          <w:i/>
          <w:sz w:val="28"/>
        </w:rPr>
        <w:t>Vista a la Dirección General Jurídica y de Verificación</w:t>
      </w:r>
    </w:p>
    <w:p w14:paraId="083CCE91" w14:textId="77777777" w:rsidR="00EB31A8" w:rsidRPr="003F0285" w:rsidRDefault="00EB31A8" w:rsidP="00EB31A8">
      <w:pPr>
        <w:autoSpaceDE w:val="0"/>
        <w:autoSpaceDN w:val="0"/>
        <w:adjustRightInd w:val="0"/>
        <w:spacing w:line="360" w:lineRule="auto"/>
        <w:contextualSpacing/>
        <w:jc w:val="both"/>
        <w:rPr>
          <w:rFonts w:ascii="Palatino Linotype" w:hAnsi="Palatino Linotype" w:cs="Arial"/>
        </w:rPr>
      </w:pPr>
    </w:p>
    <w:p w14:paraId="1FCD4EF2" w14:textId="77777777" w:rsidR="00EB31A8" w:rsidRPr="003F0285" w:rsidRDefault="00EB31A8" w:rsidP="00EB31A8">
      <w:pPr>
        <w:autoSpaceDE w:val="0"/>
        <w:autoSpaceDN w:val="0"/>
        <w:adjustRightInd w:val="0"/>
        <w:spacing w:line="360" w:lineRule="auto"/>
        <w:contextualSpacing/>
        <w:jc w:val="both"/>
        <w:rPr>
          <w:rFonts w:ascii="Palatino Linotype" w:hAnsi="Palatino Linotype" w:cs="Arial"/>
        </w:rPr>
      </w:pPr>
      <w:r w:rsidRPr="003F0285">
        <w:rPr>
          <w:rFonts w:ascii="Palatino Linotype" w:hAnsi="Palatino Linotype" w:cs="Arial"/>
        </w:rPr>
        <w:t xml:space="preserve">No pasa desapercibido para este Órgano Garante, que de la solicitud de información, se desprende la naturaleza de las obligaciones comunes de los </w:t>
      </w:r>
      <w:r w:rsidRPr="003F0285">
        <w:rPr>
          <w:rFonts w:ascii="Palatino Linotype" w:hAnsi="Palatino Linotype" w:cs="Arial"/>
          <w:b/>
        </w:rPr>
        <w:t>sujetos obligados</w:t>
      </w:r>
      <w:r w:rsidRPr="003F0285">
        <w:rPr>
          <w:rFonts w:ascii="Palatino Linotype" w:hAnsi="Palatino Linotype" w:cs="Arial"/>
        </w:rPr>
        <w:t>, respecto a hacer pública y mantener actualizada la información establecida en el artículo 92 de la Ley de Transparencia y Acceso a la Información Pública del Estado de México y Municipios.</w:t>
      </w:r>
    </w:p>
    <w:p w14:paraId="225A4B38" w14:textId="77777777" w:rsidR="00EB31A8" w:rsidRPr="003F0285" w:rsidRDefault="00EB31A8" w:rsidP="00EB31A8">
      <w:pPr>
        <w:autoSpaceDE w:val="0"/>
        <w:autoSpaceDN w:val="0"/>
        <w:adjustRightInd w:val="0"/>
        <w:spacing w:line="360" w:lineRule="auto"/>
        <w:contextualSpacing/>
        <w:jc w:val="both"/>
        <w:rPr>
          <w:rFonts w:ascii="Palatino Linotype" w:hAnsi="Palatino Linotype" w:cs="Arial"/>
        </w:rPr>
      </w:pPr>
    </w:p>
    <w:p w14:paraId="7D046ABF" w14:textId="77777777" w:rsidR="00EB31A8" w:rsidRPr="003F0285" w:rsidRDefault="00EB31A8" w:rsidP="00EB31A8">
      <w:pPr>
        <w:autoSpaceDE w:val="0"/>
        <w:autoSpaceDN w:val="0"/>
        <w:adjustRightInd w:val="0"/>
        <w:spacing w:line="360" w:lineRule="auto"/>
        <w:contextualSpacing/>
        <w:jc w:val="both"/>
        <w:rPr>
          <w:rFonts w:ascii="Palatino Linotype" w:hAnsi="Palatino Linotype" w:cs="Arial"/>
        </w:rPr>
      </w:pPr>
      <w:r w:rsidRPr="003F0285">
        <w:rPr>
          <w:rFonts w:ascii="Palatino Linotype" w:hAnsi="Palatino Linotype" w:cs="Arial"/>
        </w:rPr>
        <w:t xml:space="preserve">En consecuencia, y atendiendo a las facultades de vigilancia y verificación establecidas en el Reglamento Interno de este Instituto, es dable ordenar se gire oficio a la Dirección </w:t>
      </w:r>
      <w:r w:rsidRPr="003F0285">
        <w:rPr>
          <w:rFonts w:ascii="Palatino Linotype" w:hAnsi="Palatino Linotype" w:cs="Arial"/>
        </w:rPr>
        <w:lastRenderedPageBreak/>
        <w:t>General Jurídica y de Verificación, para que realice las acciones necesarias en ejercicio de sus atribuciones.</w:t>
      </w:r>
    </w:p>
    <w:p w14:paraId="2D802590" w14:textId="77777777" w:rsidR="00EB31A8" w:rsidRPr="00D13EF1" w:rsidRDefault="00EB31A8" w:rsidP="00EB31A8">
      <w:pPr>
        <w:autoSpaceDE w:val="0"/>
        <w:autoSpaceDN w:val="0"/>
        <w:adjustRightInd w:val="0"/>
        <w:spacing w:line="360" w:lineRule="auto"/>
        <w:contextualSpacing/>
        <w:jc w:val="both"/>
        <w:rPr>
          <w:rFonts w:ascii="Palatino Linotype" w:hAnsi="Palatino Linotype" w:cs="Arial"/>
          <w:iCs/>
        </w:rPr>
      </w:pPr>
    </w:p>
    <w:p w14:paraId="282DC8AD" w14:textId="3B1A95F6" w:rsidR="00EB31A8" w:rsidRPr="00D13EF1" w:rsidRDefault="00EB31A8" w:rsidP="00EB31A8">
      <w:pPr>
        <w:spacing w:line="360" w:lineRule="auto"/>
        <w:jc w:val="both"/>
        <w:rPr>
          <w:rFonts w:ascii="Palatino Linotype" w:hAnsi="Palatino Linotype"/>
        </w:rPr>
      </w:pPr>
      <w:r w:rsidRPr="00D13EF1">
        <w:rPr>
          <w:rFonts w:ascii="Palatino Linotype" w:hAnsi="Palatino Linotype"/>
        </w:rPr>
        <w:t xml:space="preserve">En mérito de lo expuesto en líneas anteriores, al resultar fundados los motivos de inconformidad vertidos por </w:t>
      </w:r>
      <w:r w:rsidRPr="00D13EF1">
        <w:rPr>
          <w:rFonts w:ascii="Palatino Linotype" w:hAnsi="Palatino Linotype"/>
          <w:b/>
        </w:rPr>
        <w:t>el recurrente</w:t>
      </w:r>
      <w:r w:rsidRPr="00D13EF1">
        <w:rPr>
          <w:rFonts w:ascii="Palatino Linotype" w:hAnsi="Palatino Linotype"/>
        </w:rPr>
        <w:t xml:space="preserve">, con fundamento en la </w:t>
      </w:r>
      <w:r w:rsidR="000A296D">
        <w:rPr>
          <w:rFonts w:ascii="Palatino Linotype" w:hAnsi="Palatino Linotype"/>
        </w:rPr>
        <w:t>segunda</w:t>
      </w:r>
      <w:r w:rsidRPr="00D13EF1">
        <w:rPr>
          <w:rFonts w:ascii="Palatino Linotype" w:hAnsi="Palatino Linotype"/>
        </w:rPr>
        <w:t xml:space="preserve"> hipótesis del artículo 186 fracción III de la Ley de Transparencia y Acceso a la Información Pública del Estado de México y Municipios, se </w:t>
      </w:r>
      <w:r w:rsidR="000A296D">
        <w:rPr>
          <w:rFonts w:ascii="Palatino Linotype" w:hAnsi="Palatino Linotype"/>
          <w:b/>
        </w:rPr>
        <w:t>MODIFICA</w:t>
      </w:r>
      <w:r w:rsidRPr="00D13EF1">
        <w:rPr>
          <w:rFonts w:ascii="Palatino Linotype" w:hAnsi="Palatino Linotype"/>
          <w:b/>
        </w:rPr>
        <w:t xml:space="preserve"> </w:t>
      </w:r>
      <w:r w:rsidRPr="00D13EF1">
        <w:rPr>
          <w:rFonts w:ascii="Palatino Linotype" w:hAnsi="Palatino Linotype"/>
        </w:rPr>
        <w:t xml:space="preserve">la respuesta emitida a la solicitud de información </w:t>
      </w:r>
      <w:r w:rsidR="001D5396" w:rsidRPr="001D5396">
        <w:rPr>
          <w:rFonts w:ascii="Palatino Linotype" w:hAnsi="Palatino Linotype" w:cs="Arial"/>
          <w:b/>
        </w:rPr>
        <w:t>00042/TEOTIHUA/IP/2021</w:t>
      </w:r>
      <w:r w:rsidRPr="00D13EF1">
        <w:rPr>
          <w:rFonts w:ascii="Palatino Linotype" w:hAnsi="Palatino Linotype" w:cs="Arial"/>
        </w:rPr>
        <w:t xml:space="preserve">, </w:t>
      </w:r>
      <w:r w:rsidRPr="00D13EF1">
        <w:rPr>
          <w:rFonts w:ascii="Palatino Linotype" w:hAnsi="Palatino Linotype"/>
        </w:rPr>
        <w:t>que ha sido materia del presente fallo.</w:t>
      </w:r>
    </w:p>
    <w:p w14:paraId="7F7853A2" w14:textId="77777777" w:rsidR="00EB31A8" w:rsidRPr="00D13EF1" w:rsidRDefault="00EB31A8" w:rsidP="00EB31A8">
      <w:pPr>
        <w:spacing w:line="360" w:lineRule="auto"/>
        <w:jc w:val="both"/>
        <w:rPr>
          <w:rFonts w:ascii="Palatino Linotype" w:hAnsi="Palatino Linotype"/>
        </w:rPr>
      </w:pPr>
    </w:p>
    <w:p w14:paraId="462D764C" w14:textId="77777777" w:rsidR="00EB31A8" w:rsidRPr="00D13EF1" w:rsidRDefault="00EB31A8" w:rsidP="00EB31A8">
      <w:pPr>
        <w:spacing w:line="360" w:lineRule="auto"/>
        <w:jc w:val="both"/>
        <w:rPr>
          <w:rFonts w:ascii="Palatino Linotype" w:hAnsi="Palatino Linotype"/>
        </w:rPr>
      </w:pPr>
      <w:r w:rsidRPr="00D13EF1">
        <w:rPr>
          <w:rFonts w:ascii="Palatino Linotype" w:hAnsi="Palatino Linotype"/>
        </w:rPr>
        <w:t>Por lo antes expuesto y fundado es de resolverse y,</w:t>
      </w:r>
    </w:p>
    <w:p w14:paraId="5920129B" w14:textId="77777777" w:rsidR="00EB31A8" w:rsidRPr="00D13EF1" w:rsidRDefault="00EB31A8" w:rsidP="00EB31A8">
      <w:pPr>
        <w:spacing w:line="360" w:lineRule="auto"/>
        <w:jc w:val="both"/>
        <w:rPr>
          <w:rFonts w:ascii="Palatino Linotype" w:hAnsi="Palatino Linotype"/>
        </w:rPr>
      </w:pPr>
    </w:p>
    <w:p w14:paraId="3E76ABB6" w14:textId="77777777" w:rsidR="00EB31A8" w:rsidRPr="00D13EF1" w:rsidRDefault="00EB31A8" w:rsidP="00EB31A8">
      <w:pPr>
        <w:spacing w:line="360" w:lineRule="auto"/>
        <w:jc w:val="center"/>
        <w:rPr>
          <w:rFonts w:ascii="Palatino Linotype" w:hAnsi="Palatino Linotype"/>
          <w:b/>
          <w:bCs/>
          <w:spacing w:val="60"/>
          <w:sz w:val="28"/>
          <w:lang w:val="es-ES_tradnl"/>
        </w:rPr>
      </w:pPr>
      <w:r w:rsidRPr="00D13EF1">
        <w:rPr>
          <w:rFonts w:ascii="Palatino Linotype" w:hAnsi="Palatino Linotype"/>
          <w:b/>
          <w:bCs/>
          <w:spacing w:val="60"/>
          <w:sz w:val="28"/>
          <w:lang w:val="es-ES_tradnl"/>
        </w:rPr>
        <w:t>SE    RESUELVE</w:t>
      </w:r>
    </w:p>
    <w:p w14:paraId="69A63211" w14:textId="77777777" w:rsidR="00EB31A8" w:rsidRDefault="00EB31A8" w:rsidP="00EB31A8">
      <w:pPr>
        <w:autoSpaceDE w:val="0"/>
        <w:autoSpaceDN w:val="0"/>
        <w:adjustRightInd w:val="0"/>
        <w:spacing w:line="360" w:lineRule="auto"/>
        <w:ind w:right="49"/>
        <w:jc w:val="both"/>
        <w:rPr>
          <w:rFonts w:ascii="Palatino Linotype" w:hAnsi="Palatino Linotype" w:cs="Arial"/>
          <w:szCs w:val="28"/>
          <w:lang w:val="es-ES_tradnl"/>
        </w:rPr>
      </w:pPr>
    </w:p>
    <w:p w14:paraId="27DBA4EC" w14:textId="53EC33C7" w:rsidR="00EB31A8" w:rsidRDefault="00EB31A8" w:rsidP="00EB31A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lang w:val="es-ES_tradnl"/>
        </w:rPr>
        <w:t>PRIMERO.</w:t>
      </w:r>
      <w:r w:rsidRPr="00D13EF1">
        <w:rPr>
          <w:rFonts w:ascii="Palatino Linotype" w:hAnsi="Palatino Linotype" w:cs="Arial"/>
          <w:lang w:val="es-ES_tradnl"/>
        </w:rPr>
        <w:t xml:space="preserve"> </w:t>
      </w:r>
      <w:r w:rsidRPr="00D13EF1">
        <w:rPr>
          <w:rFonts w:ascii="Palatino Linotype" w:hAnsi="Palatino Linotype" w:cs="Arial"/>
        </w:rPr>
        <w:t>Se</w:t>
      </w:r>
      <w:r w:rsidRPr="00D13EF1">
        <w:rPr>
          <w:rFonts w:ascii="Palatino Linotype" w:hAnsi="Palatino Linotype" w:cs="Arial"/>
          <w:b/>
        </w:rPr>
        <w:t xml:space="preserve"> </w:t>
      </w:r>
      <w:r w:rsidR="000A296D">
        <w:rPr>
          <w:rFonts w:ascii="Palatino Linotype" w:hAnsi="Palatino Linotype" w:cs="Arial"/>
          <w:b/>
        </w:rPr>
        <w:t>MODIFICA</w:t>
      </w:r>
      <w:r w:rsidRPr="00D13EF1">
        <w:rPr>
          <w:rFonts w:ascii="Palatino Linotype" w:hAnsi="Palatino Linotype" w:cs="Arial"/>
          <w:b/>
        </w:rPr>
        <w:t xml:space="preserve"> </w:t>
      </w:r>
      <w:r w:rsidRPr="00D13EF1">
        <w:rPr>
          <w:rFonts w:ascii="Palatino Linotype" w:eastAsia="Arial Unicode MS" w:hAnsi="Palatino Linotype" w:cs="Arial"/>
        </w:rPr>
        <w:t xml:space="preserve">la respuesta entregada por </w:t>
      </w:r>
      <w:r w:rsidRPr="00D13EF1">
        <w:rPr>
          <w:rFonts w:ascii="Palatino Linotype" w:eastAsia="Arial Unicode MS" w:hAnsi="Palatino Linotype" w:cs="Arial"/>
          <w:b/>
        </w:rPr>
        <w:t>el sujeto obligado</w:t>
      </w:r>
      <w:r w:rsidRPr="00D13EF1">
        <w:rPr>
          <w:rFonts w:ascii="Palatino Linotype" w:hAnsi="Palatino Linotype" w:cs="Arial"/>
        </w:rPr>
        <w:t xml:space="preserve">, a la solicitud de información </w:t>
      </w:r>
      <w:r w:rsidR="001D5396" w:rsidRPr="001D5396">
        <w:rPr>
          <w:rFonts w:ascii="Palatino Linotype" w:hAnsi="Palatino Linotype" w:cs="Arial"/>
          <w:b/>
        </w:rPr>
        <w:t>00042/TEOTIHUA/IP/2021</w:t>
      </w:r>
      <w:r w:rsidRPr="00D13EF1">
        <w:rPr>
          <w:rFonts w:ascii="Palatino Linotype" w:hAnsi="Palatino Linotype" w:cs="Arial"/>
        </w:rPr>
        <w:t xml:space="preserve">, por resultar fundados los motivos de inconformidad vertidos por </w:t>
      </w:r>
      <w:r w:rsidRPr="00D13EF1">
        <w:rPr>
          <w:rFonts w:ascii="Palatino Linotype" w:hAnsi="Palatino Linotype" w:cs="Arial"/>
          <w:b/>
        </w:rPr>
        <w:t>el recurrente</w:t>
      </w:r>
      <w:r w:rsidRPr="00D13EF1">
        <w:rPr>
          <w:rFonts w:ascii="Palatino Linotype" w:hAnsi="Palatino Linotype" w:cs="Arial"/>
        </w:rPr>
        <w:t xml:space="preserve">, en términos del Considerando </w:t>
      </w:r>
      <w:r w:rsidRPr="00D13EF1">
        <w:rPr>
          <w:rFonts w:ascii="Palatino Linotype" w:hAnsi="Palatino Linotype" w:cs="Arial"/>
          <w:b/>
        </w:rPr>
        <w:t xml:space="preserve">CUARTO </w:t>
      </w:r>
      <w:r w:rsidRPr="00D13EF1">
        <w:rPr>
          <w:rFonts w:ascii="Palatino Linotype" w:hAnsi="Palatino Linotype" w:cs="Arial"/>
        </w:rPr>
        <w:t xml:space="preserve">de </w:t>
      </w:r>
      <w:r w:rsidR="00345EFF" w:rsidRPr="00D13EF1">
        <w:rPr>
          <w:rFonts w:ascii="Palatino Linotype" w:hAnsi="Palatino Linotype" w:cs="Arial"/>
        </w:rPr>
        <w:t>esta</w:t>
      </w:r>
      <w:r w:rsidRPr="00D13EF1">
        <w:rPr>
          <w:rFonts w:ascii="Palatino Linotype" w:hAnsi="Palatino Linotype" w:cs="Arial"/>
        </w:rPr>
        <w:t xml:space="preserve"> resolución.</w:t>
      </w:r>
    </w:p>
    <w:p w14:paraId="3052B70B" w14:textId="77777777" w:rsidR="00EB31A8" w:rsidRDefault="00EB31A8" w:rsidP="00EB31A8">
      <w:pPr>
        <w:autoSpaceDE w:val="0"/>
        <w:autoSpaceDN w:val="0"/>
        <w:adjustRightInd w:val="0"/>
        <w:spacing w:line="360" w:lineRule="auto"/>
        <w:ind w:right="49"/>
        <w:jc w:val="both"/>
        <w:rPr>
          <w:rFonts w:ascii="Palatino Linotype" w:hAnsi="Palatino Linotype" w:cs="Arial"/>
        </w:rPr>
      </w:pPr>
    </w:p>
    <w:p w14:paraId="7044FB82" w14:textId="731EC3F6" w:rsidR="00EB31A8" w:rsidRPr="00D13EF1" w:rsidRDefault="00EB31A8" w:rsidP="00EB31A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SEGUNDO.</w:t>
      </w:r>
      <w:r w:rsidRPr="00D13EF1">
        <w:rPr>
          <w:rFonts w:ascii="Palatino Linotype" w:hAnsi="Palatino Linotype" w:cs="Arial"/>
        </w:rPr>
        <w:t xml:space="preserve"> Se </w:t>
      </w:r>
      <w:r w:rsidRPr="00D13EF1">
        <w:rPr>
          <w:rFonts w:ascii="Palatino Linotype" w:hAnsi="Palatino Linotype" w:cs="Arial"/>
          <w:b/>
        </w:rPr>
        <w:t>ORDENA</w:t>
      </w:r>
      <w:r w:rsidRPr="00D13EF1">
        <w:rPr>
          <w:rFonts w:ascii="Palatino Linotype" w:hAnsi="Palatino Linotype" w:cs="Arial"/>
        </w:rPr>
        <w:t xml:space="preserve"> al </w:t>
      </w:r>
      <w:r w:rsidRPr="00D13EF1">
        <w:rPr>
          <w:rFonts w:ascii="Palatino Linotype" w:hAnsi="Palatino Linotype" w:cs="Arial"/>
          <w:b/>
        </w:rPr>
        <w:t>sujeto obligado</w:t>
      </w:r>
      <w:r w:rsidRPr="00D13EF1">
        <w:rPr>
          <w:rFonts w:ascii="Palatino Linotype" w:hAnsi="Palatino Linotype" w:cs="Arial"/>
        </w:rPr>
        <w:t xml:space="preserve">, en términos del considerando </w:t>
      </w:r>
      <w:r w:rsidRPr="00D13EF1">
        <w:rPr>
          <w:rFonts w:ascii="Palatino Linotype" w:hAnsi="Palatino Linotype" w:cs="Arial"/>
          <w:b/>
        </w:rPr>
        <w:t xml:space="preserve">cuarto </w:t>
      </w:r>
      <w:r w:rsidRPr="00D13EF1">
        <w:rPr>
          <w:rFonts w:ascii="Palatino Linotype" w:hAnsi="Palatino Linotype" w:cs="Arial"/>
        </w:rPr>
        <w:t xml:space="preserve">de esta resolución, haga entrega a través del SAIMEX, </w:t>
      </w:r>
      <w:r w:rsidR="00345EFF">
        <w:rPr>
          <w:rFonts w:ascii="Palatino Linotype" w:hAnsi="Palatino Linotype" w:cs="Arial"/>
        </w:rPr>
        <w:t xml:space="preserve">de ser procedente </w:t>
      </w:r>
      <w:r w:rsidRPr="00D13EF1">
        <w:rPr>
          <w:rFonts w:ascii="Palatino Linotype" w:hAnsi="Palatino Linotype" w:cs="Arial"/>
        </w:rPr>
        <w:t>en versión pública de lo siguiente:</w:t>
      </w:r>
    </w:p>
    <w:p w14:paraId="21719441" w14:textId="77777777" w:rsidR="00EB31A8" w:rsidRPr="00D13EF1" w:rsidRDefault="00EB31A8" w:rsidP="00EB31A8">
      <w:pPr>
        <w:autoSpaceDE w:val="0"/>
        <w:autoSpaceDN w:val="0"/>
        <w:adjustRightInd w:val="0"/>
        <w:spacing w:line="360" w:lineRule="auto"/>
        <w:ind w:right="49"/>
        <w:jc w:val="both"/>
        <w:rPr>
          <w:rFonts w:ascii="Palatino Linotype" w:hAnsi="Palatino Linotype" w:cs="Arial"/>
        </w:rPr>
      </w:pPr>
    </w:p>
    <w:p w14:paraId="1D5135FE" w14:textId="0CB3E43D" w:rsidR="00EB31A8" w:rsidRDefault="00EB31A8" w:rsidP="00EB31A8">
      <w:pPr>
        <w:pStyle w:val="Prrafodelista"/>
        <w:numPr>
          <w:ilvl w:val="0"/>
          <w:numId w:val="42"/>
        </w:numPr>
        <w:tabs>
          <w:tab w:val="left" w:pos="709"/>
        </w:tabs>
        <w:spacing w:line="360" w:lineRule="auto"/>
        <w:ind w:left="1134" w:hanging="567"/>
        <w:jc w:val="both"/>
        <w:rPr>
          <w:rFonts w:ascii="Palatino Linotype" w:hAnsi="Palatino Linotype"/>
        </w:rPr>
      </w:pPr>
      <w:r w:rsidRPr="00223B10">
        <w:rPr>
          <w:rFonts w:ascii="Palatino Linotype" w:hAnsi="Palatino Linotype"/>
        </w:rPr>
        <w:t xml:space="preserve">Los expedientes de adquisiciones por excepción a la Licitación Pública que se hayan realizado durante los ejercicios 2017, 2018, 2019 y 2020. </w:t>
      </w:r>
    </w:p>
    <w:p w14:paraId="4C4F7330" w14:textId="1EF1479D" w:rsidR="00345EFF" w:rsidRPr="00345EFF" w:rsidRDefault="00345EFF" w:rsidP="00345EFF">
      <w:pPr>
        <w:pStyle w:val="Prrafodelista"/>
        <w:numPr>
          <w:ilvl w:val="0"/>
          <w:numId w:val="42"/>
        </w:numPr>
        <w:spacing w:line="360" w:lineRule="auto"/>
        <w:ind w:left="1134" w:hanging="567"/>
        <w:jc w:val="both"/>
        <w:rPr>
          <w:rFonts w:ascii="Palatino Linotype" w:hAnsi="Palatino Linotype"/>
          <w:iCs/>
          <w:lang w:val="es-ES_tradnl"/>
        </w:rPr>
      </w:pPr>
      <w:r w:rsidRPr="00345EFF">
        <w:rPr>
          <w:rFonts w:ascii="Palatino Linotype" w:hAnsi="Palatino Linotype" w:cs="Arial"/>
          <w:iCs/>
        </w:rPr>
        <w:lastRenderedPageBreak/>
        <w:t>El acuerdo que emita el Comité de Transparencia en el que se confirme la declaración de incompetencia del Sujeto</w:t>
      </w:r>
      <w:r w:rsidRPr="00345EFF">
        <w:rPr>
          <w:rFonts w:ascii="Palatino Linotype" w:hAnsi="Palatino Linotype" w:cs="Arial"/>
          <w:b/>
          <w:iCs/>
        </w:rPr>
        <w:t xml:space="preserve"> </w:t>
      </w:r>
      <w:r w:rsidRPr="00345EFF">
        <w:rPr>
          <w:rFonts w:ascii="Palatino Linotype" w:hAnsi="Palatino Linotype" w:cs="Arial"/>
          <w:iCs/>
        </w:rPr>
        <w:t>Obligado</w:t>
      </w:r>
      <w:r w:rsidRPr="00345EFF">
        <w:rPr>
          <w:rFonts w:ascii="Palatino Linotype" w:hAnsi="Palatino Linotype" w:cs="Arial"/>
          <w:b/>
          <w:iCs/>
        </w:rPr>
        <w:t xml:space="preserve"> </w:t>
      </w:r>
      <w:r w:rsidRPr="00345EFF">
        <w:rPr>
          <w:rFonts w:ascii="Palatino Linotype" w:hAnsi="Palatino Linotype" w:cs="Arial"/>
          <w:iCs/>
        </w:rPr>
        <w:t xml:space="preserve">respecto de </w:t>
      </w:r>
      <w:r>
        <w:rPr>
          <w:rFonts w:ascii="Palatino Linotype" w:hAnsi="Palatino Linotype" w:cs="Arial"/>
          <w:iCs/>
        </w:rPr>
        <w:t>los puntos 2 y 3 de la solicitud de información</w:t>
      </w:r>
      <w:r w:rsidRPr="00345EFF">
        <w:rPr>
          <w:rFonts w:ascii="Palatino Linotype" w:hAnsi="Palatino Linotype" w:cs="Arial"/>
          <w:iCs/>
        </w:rPr>
        <w:t xml:space="preserve"> </w:t>
      </w:r>
      <w:r w:rsidR="001D5396">
        <w:rPr>
          <w:rFonts w:ascii="Palatino Linotype" w:hAnsi="Palatino Linotype" w:cs="Arial"/>
          <w:iCs/>
        </w:rPr>
        <w:t>número</w:t>
      </w:r>
      <w:r w:rsidRPr="00345EFF">
        <w:rPr>
          <w:rFonts w:ascii="Palatino Linotype" w:hAnsi="Palatino Linotype" w:cs="Arial"/>
          <w:iCs/>
        </w:rPr>
        <w:t xml:space="preserve"> </w:t>
      </w:r>
      <w:r w:rsidR="001D5396" w:rsidRPr="001D5396">
        <w:rPr>
          <w:rFonts w:ascii="Palatino Linotype" w:hAnsi="Palatino Linotype" w:cs="Arial"/>
          <w:iCs/>
        </w:rPr>
        <w:t>00042/TEOTIHUA/IP/2021</w:t>
      </w:r>
      <w:r>
        <w:rPr>
          <w:rFonts w:ascii="Palatino Linotype" w:hAnsi="Palatino Linotype" w:cs="Arial"/>
          <w:iCs/>
        </w:rPr>
        <w:t>.</w:t>
      </w:r>
    </w:p>
    <w:p w14:paraId="57C5FF7B" w14:textId="77777777" w:rsidR="00EB31A8" w:rsidRDefault="00EB31A8" w:rsidP="00EB31A8">
      <w:pPr>
        <w:spacing w:line="360" w:lineRule="auto"/>
        <w:jc w:val="both"/>
        <w:rPr>
          <w:rFonts w:ascii="Palatino Linotype" w:hAnsi="Palatino Linotype" w:cs="Arial"/>
        </w:rPr>
      </w:pPr>
    </w:p>
    <w:p w14:paraId="61E6FFE7" w14:textId="77777777" w:rsidR="00EB31A8" w:rsidRPr="001E2755" w:rsidRDefault="00EB31A8" w:rsidP="00EB31A8">
      <w:pPr>
        <w:spacing w:line="360" w:lineRule="auto"/>
        <w:jc w:val="both"/>
        <w:rPr>
          <w:rFonts w:ascii="Palatino Linotype" w:hAnsi="Palatino Linotype" w:cs="Arial"/>
          <w:i/>
          <w:iCs/>
        </w:rPr>
      </w:pPr>
      <w:r w:rsidRPr="001E2755">
        <w:rPr>
          <w:rFonts w:ascii="Palatino Linotype" w:hAnsi="Palatino Linotype" w:cs="Arial"/>
          <w:i/>
          <w:iCs/>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75F4222C" w14:textId="77777777" w:rsidR="00EB31A8" w:rsidRPr="00D13EF1" w:rsidRDefault="00EB31A8" w:rsidP="00EB31A8">
      <w:pPr>
        <w:spacing w:line="360" w:lineRule="auto"/>
        <w:jc w:val="both"/>
        <w:rPr>
          <w:rFonts w:ascii="Palatino Linotype" w:hAnsi="Palatino Linotype" w:cs="Arial"/>
        </w:rPr>
      </w:pPr>
    </w:p>
    <w:p w14:paraId="31CFE959" w14:textId="77777777" w:rsidR="00EB31A8" w:rsidRDefault="00EB31A8" w:rsidP="00EB31A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TERCERO.</w:t>
      </w:r>
      <w:r w:rsidRPr="00D13EF1">
        <w:rPr>
          <w:rFonts w:ascii="Palatino Linotype" w:hAnsi="Palatino Linotype" w:cs="Arial"/>
          <w:b/>
        </w:rPr>
        <w:t xml:space="preserve"> NOTIFÍQUESE</w:t>
      </w:r>
      <w:r w:rsidRPr="00D13EF1">
        <w:rPr>
          <w:rFonts w:ascii="Palatino Linotype" w:hAnsi="Palatino Linotype" w:cs="Arial"/>
          <w:i/>
        </w:rPr>
        <w:t xml:space="preserve"> </w:t>
      </w:r>
      <w:r w:rsidRPr="00D13EF1">
        <w:rPr>
          <w:rFonts w:ascii="Palatino Linotype" w:hAnsi="Palatino Linotype" w:cs="Arial"/>
        </w:rPr>
        <w:t>la presente resolución al Titular de la Unidad de Transparencia del</w:t>
      </w:r>
      <w:r w:rsidRPr="00D13EF1">
        <w:rPr>
          <w:rFonts w:ascii="Palatino Linotype" w:hAnsi="Palatino Linotype" w:cs="Arial"/>
          <w:b/>
        </w:rPr>
        <w:t xml:space="preserve"> sujeto obligado</w:t>
      </w:r>
      <w:r w:rsidRPr="00D13EF1">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037BC73" w14:textId="77777777" w:rsidR="00EB31A8" w:rsidRPr="00D13EF1" w:rsidRDefault="00EB31A8" w:rsidP="00EB31A8">
      <w:pPr>
        <w:autoSpaceDE w:val="0"/>
        <w:autoSpaceDN w:val="0"/>
        <w:adjustRightInd w:val="0"/>
        <w:spacing w:line="360" w:lineRule="auto"/>
        <w:ind w:right="49"/>
        <w:jc w:val="both"/>
        <w:rPr>
          <w:rFonts w:ascii="Palatino Linotype" w:hAnsi="Palatino Linotype" w:cs="Arial"/>
        </w:rPr>
      </w:pPr>
    </w:p>
    <w:p w14:paraId="45453555" w14:textId="77777777" w:rsidR="00EB31A8" w:rsidRPr="00D13EF1" w:rsidRDefault="00EB31A8" w:rsidP="00EB31A8">
      <w:pPr>
        <w:autoSpaceDE w:val="0"/>
        <w:autoSpaceDN w:val="0"/>
        <w:adjustRightInd w:val="0"/>
        <w:spacing w:line="360" w:lineRule="auto"/>
        <w:jc w:val="both"/>
        <w:rPr>
          <w:rFonts w:ascii="Palatino Linotype" w:hAnsi="Palatino Linotype" w:cs="Arial"/>
        </w:rPr>
      </w:pPr>
      <w:r w:rsidRPr="00D13EF1">
        <w:rPr>
          <w:rFonts w:ascii="Palatino Linotype" w:hAnsi="Palatino Linotype" w:cs="Arial"/>
          <w:b/>
          <w:sz w:val="28"/>
          <w:szCs w:val="28"/>
        </w:rPr>
        <w:t>CUARTO.</w:t>
      </w:r>
      <w:r w:rsidRPr="00D13EF1">
        <w:rPr>
          <w:rFonts w:ascii="Palatino Linotype" w:hAnsi="Palatino Linotype" w:cs="Arial"/>
          <w:b/>
        </w:rPr>
        <w:t xml:space="preserve"> </w:t>
      </w:r>
      <w:r w:rsidRPr="00D13EF1">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1BE881" w14:textId="77777777" w:rsidR="00EB31A8" w:rsidRPr="00D13EF1" w:rsidRDefault="00EB31A8" w:rsidP="00EB31A8">
      <w:pPr>
        <w:autoSpaceDE w:val="0"/>
        <w:autoSpaceDN w:val="0"/>
        <w:adjustRightInd w:val="0"/>
        <w:spacing w:line="360" w:lineRule="auto"/>
        <w:jc w:val="both"/>
        <w:rPr>
          <w:rFonts w:ascii="Palatino Linotype" w:hAnsi="Palatino Linotype" w:cs="Arial"/>
        </w:rPr>
      </w:pPr>
    </w:p>
    <w:p w14:paraId="48B3628C" w14:textId="77777777" w:rsidR="00EB31A8" w:rsidRDefault="00EB31A8" w:rsidP="00EB31A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rPr>
        <w:t>QUINTO</w:t>
      </w:r>
      <w:r w:rsidRPr="00D13EF1">
        <w:rPr>
          <w:rFonts w:ascii="Palatino Linotype" w:hAnsi="Palatino Linotype" w:cs="Arial"/>
          <w:b/>
        </w:rPr>
        <w:t>. NOTIFÍQUESE</w:t>
      </w:r>
      <w:r w:rsidRPr="00D13EF1">
        <w:rPr>
          <w:rFonts w:ascii="Palatino Linotype" w:hAnsi="Palatino Linotype" w:cs="Arial"/>
        </w:rPr>
        <w:t xml:space="preserve"> a través del SAIMEX, al </w:t>
      </w:r>
      <w:r w:rsidRPr="00D13EF1">
        <w:rPr>
          <w:rFonts w:ascii="Palatino Linotype" w:hAnsi="Palatino Linotype" w:cs="Arial"/>
          <w:b/>
        </w:rPr>
        <w:t>recurrente</w:t>
      </w:r>
      <w:r w:rsidRPr="00D13EF1">
        <w:rPr>
          <w:rFonts w:ascii="Palatino Linotype" w:hAnsi="Palatino Linotype" w:cs="Arial"/>
        </w:rPr>
        <w:t xml:space="preserve"> la presente resolución, así </w:t>
      </w:r>
      <w:r w:rsidRPr="002071EB">
        <w:rPr>
          <w:rFonts w:ascii="Palatino Linotype" w:hAnsi="Palatino Linotype" w:cs="Arial"/>
        </w:rPr>
        <w:t xml:space="preserve">mismo de conformidad con lo establecido en el artículo 196 de la Ley de Transparencia y Acceso a la Información Pública del Estado de México y </w:t>
      </w:r>
      <w:r w:rsidRPr="002071EB">
        <w:rPr>
          <w:rFonts w:ascii="Palatino Linotype" w:hAnsi="Palatino Linotype" w:cs="Arial"/>
        </w:rPr>
        <w:lastRenderedPageBreak/>
        <w:t>Municipios podrá promover el Juicio de Amparo en los términos de las leyes aplicables.</w:t>
      </w:r>
    </w:p>
    <w:p w14:paraId="24D86BDA" w14:textId="77777777" w:rsidR="00EB31A8" w:rsidRDefault="00EB31A8" w:rsidP="00EB31A8">
      <w:pPr>
        <w:autoSpaceDE w:val="0"/>
        <w:autoSpaceDN w:val="0"/>
        <w:adjustRightInd w:val="0"/>
        <w:spacing w:line="360" w:lineRule="auto"/>
        <w:ind w:right="49"/>
        <w:jc w:val="both"/>
        <w:rPr>
          <w:rFonts w:ascii="Palatino Linotype" w:hAnsi="Palatino Linotype" w:cs="Arial"/>
        </w:rPr>
      </w:pPr>
    </w:p>
    <w:p w14:paraId="1DAE5F9E" w14:textId="3A593D7E" w:rsidR="00EB31A8" w:rsidRDefault="00EB31A8" w:rsidP="00EB31A8">
      <w:pPr>
        <w:widowControl w:val="0"/>
        <w:tabs>
          <w:tab w:val="left" w:pos="1701"/>
        </w:tabs>
        <w:autoSpaceDE w:val="0"/>
        <w:autoSpaceDN w:val="0"/>
        <w:adjustRightInd w:val="0"/>
        <w:spacing w:line="360" w:lineRule="auto"/>
        <w:ind w:right="49"/>
        <w:jc w:val="both"/>
        <w:rPr>
          <w:rFonts w:ascii="Palatino Linotype" w:hAnsi="Palatino Linotype"/>
          <w:color w:val="000000"/>
          <w:lang w:eastAsia="es-ES_tradnl"/>
        </w:rPr>
      </w:pPr>
      <w:r>
        <w:rPr>
          <w:rFonts w:ascii="Palatino Linotype" w:hAnsi="Palatino Linotype"/>
          <w:b/>
          <w:color w:val="000000"/>
          <w:sz w:val="28"/>
          <w:szCs w:val="28"/>
          <w:lang w:eastAsia="es-ES_tradnl"/>
        </w:rPr>
        <w:t>SEXTO</w:t>
      </w:r>
      <w:r w:rsidRPr="0074033D">
        <w:rPr>
          <w:rFonts w:ascii="Palatino Linotype" w:hAnsi="Palatino Linotype"/>
          <w:color w:val="000000"/>
          <w:lang w:eastAsia="es-ES_tradnl"/>
        </w:rPr>
        <w:t xml:space="preserve">. </w:t>
      </w:r>
      <w:r w:rsidR="001D5396" w:rsidRPr="001D5396">
        <w:rPr>
          <w:rFonts w:ascii="Palatino Linotype" w:hAnsi="Palatino Linotype"/>
          <w:b/>
          <w:bCs/>
          <w:color w:val="000000"/>
          <w:lang w:eastAsia="es-ES_tradnl"/>
        </w:rPr>
        <w:t>GÍRESE</w:t>
      </w:r>
      <w:r w:rsidRPr="0074033D">
        <w:rPr>
          <w:rFonts w:ascii="Palatino Linotype" w:hAnsi="Palatino Linotype"/>
          <w:color w:val="000000"/>
          <w:lang w:eastAsia="es-ES_tradnl"/>
        </w:rPr>
        <w:t xml:space="preserv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74033D">
        <w:rPr>
          <w:rFonts w:ascii="Palatino Linotype" w:hAnsi="Palatino Linotype"/>
          <w:b/>
          <w:color w:val="000000"/>
          <w:lang w:eastAsia="es-ES_tradnl"/>
        </w:rPr>
        <w:t>CUARTO</w:t>
      </w:r>
      <w:r w:rsidRPr="0074033D">
        <w:rPr>
          <w:rFonts w:ascii="Palatino Linotype" w:hAnsi="Palatino Linotype"/>
          <w:color w:val="000000"/>
          <w:lang w:eastAsia="es-ES_tradnl"/>
        </w:rPr>
        <w:t xml:space="preserve"> de la presente resolución.</w:t>
      </w:r>
    </w:p>
    <w:p w14:paraId="3F8A4FB3" w14:textId="38205C58" w:rsidR="001D5396" w:rsidRDefault="001D5396" w:rsidP="00EB31A8">
      <w:pPr>
        <w:widowControl w:val="0"/>
        <w:tabs>
          <w:tab w:val="left" w:pos="1701"/>
        </w:tabs>
        <w:autoSpaceDE w:val="0"/>
        <w:autoSpaceDN w:val="0"/>
        <w:adjustRightInd w:val="0"/>
        <w:spacing w:line="360" w:lineRule="auto"/>
        <w:ind w:right="49"/>
        <w:jc w:val="both"/>
        <w:rPr>
          <w:rFonts w:ascii="Palatino Linotype" w:hAnsi="Palatino Linotype"/>
          <w:color w:val="000000"/>
          <w:lang w:eastAsia="es-ES_tradnl"/>
        </w:rPr>
      </w:pPr>
    </w:p>
    <w:p w14:paraId="4F0B05EA" w14:textId="168CA50A" w:rsidR="001D5396" w:rsidRDefault="001D5396" w:rsidP="001D5396">
      <w:pPr>
        <w:autoSpaceDE w:val="0"/>
        <w:autoSpaceDN w:val="0"/>
        <w:adjustRightInd w:val="0"/>
        <w:spacing w:line="360" w:lineRule="auto"/>
        <w:jc w:val="both"/>
        <w:rPr>
          <w:rFonts w:ascii="Palatino Linotype" w:eastAsia="MS Mincho" w:hAnsi="Palatino Linotype"/>
          <w:szCs w:val="22"/>
          <w:lang w:val="es-MX" w:eastAsia="en-US"/>
        </w:rPr>
      </w:pPr>
      <w:r>
        <w:rPr>
          <w:rFonts w:ascii="Palatino Linotype" w:hAnsi="Palatino Linotype"/>
          <w:b/>
          <w:color w:val="000000"/>
          <w:sz w:val="28"/>
          <w:szCs w:val="28"/>
          <w:lang w:eastAsia="es-MX"/>
        </w:rPr>
        <w:t>SÉPTIMO</w:t>
      </w:r>
      <w:r>
        <w:rPr>
          <w:rFonts w:ascii="Palatino Linotype" w:hAnsi="Palatino Linotype"/>
          <w:color w:val="000000"/>
          <w:sz w:val="28"/>
          <w:szCs w:val="28"/>
          <w:lang w:eastAsia="es-MX"/>
        </w:rPr>
        <w:t>.</w:t>
      </w:r>
      <w:r>
        <w:rPr>
          <w:rFonts w:ascii="Palatino Linotype" w:hAnsi="Palatino Linotype"/>
          <w:color w:val="000000"/>
          <w:lang w:eastAsia="es-MX"/>
        </w:rPr>
        <w:t xml:space="preserve"> </w:t>
      </w:r>
      <w:r>
        <w:rPr>
          <w:rFonts w:ascii="Palatino Linotype" w:hAnsi="Palatino Linotype"/>
          <w:b/>
          <w:color w:val="000000"/>
          <w:lang w:eastAsia="es-MX"/>
        </w:rPr>
        <w:t>G</w:t>
      </w:r>
      <w:r>
        <w:rPr>
          <w:rFonts w:ascii="Palatino Linotype" w:hAnsi="Palatino Linotype" w:cs="Arial"/>
          <w:b/>
        </w:rPr>
        <w:t xml:space="preserve">ÍRESE </w:t>
      </w:r>
      <w:r>
        <w:rPr>
          <w:rFonts w:ascii="Palatino Linotype" w:hAnsi="Palatino Linotype"/>
          <w:color w:val="000000"/>
          <w:szCs w:val="22"/>
          <w:lang w:eastAsia="es-MX"/>
        </w:rPr>
        <w:t xml:space="preserve">oficio al Titular de la Dirección de Protección de Datos Personales, en atención al artículo 82, fracción XXVII de la Ley de Protección de Datos Personales del Estado de México y Municipios, a fin de que determinen lo conducente en términos del Considerando </w:t>
      </w:r>
      <w:r>
        <w:rPr>
          <w:rFonts w:ascii="Palatino Linotype" w:hAnsi="Palatino Linotype"/>
          <w:b/>
          <w:bCs/>
          <w:color w:val="000000"/>
          <w:szCs w:val="22"/>
          <w:lang w:eastAsia="es-MX"/>
        </w:rPr>
        <w:t>CUARTO</w:t>
      </w:r>
      <w:r>
        <w:rPr>
          <w:rFonts w:ascii="Palatino Linotype" w:hAnsi="Palatino Linotype"/>
          <w:color w:val="000000"/>
          <w:szCs w:val="22"/>
          <w:lang w:eastAsia="es-MX"/>
        </w:rPr>
        <w:t xml:space="preserve"> de la presente resolución</w:t>
      </w:r>
      <w:r w:rsidR="00C31A1B">
        <w:rPr>
          <w:rFonts w:ascii="Palatino Linotype" w:eastAsia="MS Mincho" w:hAnsi="Palatino Linotype"/>
          <w:szCs w:val="22"/>
          <w:lang w:val="es-MX" w:eastAsia="en-US"/>
        </w:rPr>
        <w:t>.</w:t>
      </w:r>
    </w:p>
    <w:p w14:paraId="4C837F66" w14:textId="77777777" w:rsidR="001D5396" w:rsidRPr="0074033D" w:rsidRDefault="001D5396" w:rsidP="00EB31A8">
      <w:pPr>
        <w:widowControl w:val="0"/>
        <w:tabs>
          <w:tab w:val="left" w:pos="1701"/>
        </w:tabs>
        <w:autoSpaceDE w:val="0"/>
        <w:autoSpaceDN w:val="0"/>
        <w:adjustRightInd w:val="0"/>
        <w:spacing w:line="360" w:lineRule="auto"/>
        <w:ind w:right="49"/>
        <w:jc w:val="both"/>
        <w:rPr>
          <w:rFonts w:ascii="Palatino Linotype" w:hAnsi="Palatino Linotype"/>
        </w:rPr>
      </w:pPr>
    </w:p>
    <w:p w14:paraId="7D4375C4" w14:textId="77777777" w:rsidR="006549E5" w:rsidRDefault="006549E5" w:rsidP="006549E5">
      <w:pPr>
        <w:pStyle w:val="Sinespaciado"/>
        <w:spacing w:line="240" w:lineRule="atLeast"/>
        <w:jc w:val="both"/>
        <w:rPr>
          <w:rFonts w:ascii="Palatino Linotype" w:hAnsi="Palatino Linotype"/>
          <w:sz w:val="24"/>
          <w:szCs w:val="24"/>
        </w:rPr>
      </w:pPr>
    </w:p>
    <w:p w14:paraId="450F0159" w14:textId="3DDD83C5" w:rsidR="001E2755" w:rsidRPr="009D6D38" w:rsidRDefault="006226AD" w:rsidP="009D6D38">
      <w:pPr>
        <w:pStyle w:val="Sinespaciado"/>
        <w:spacing w:line="360" w:lineRule="auto"/>
        <w:jc w:val="both"/>
        <w:rPr>
          <w:rFonts w:ascii="Palatino Linotype" w:hAnsi="Palatino Linotype"/>
        </w:rPr>
      </w:pPr>
      <w:r w:rsidRPr="006226AD">
        <w:rPr>
          <w:rFonts w:ascii="Palatino Linotype" w:hAnsi="Palatino Linotype"/>
          <w:sz w:val="24"/>
          <w:szCs w:val="24"/>
        </w:rPr>
        <w:t>ASÍ LO ACORDÓ, POR UNANIMIDAD DE VOTOS, EL PLENO DEL INSTITUTO DE TRANSPARENCIA, ACCESO A LA INFORMACIÓN PÚBLICA Y PROTECCIÓN DE DATOS PERSONALES DEL ESTADO DE MÉXICO Y MUNICIPIOS, CONFORMADO POR LOS COMISIONADOS ZULEMA MARTÍNEZ SÁNCHEZ, EVA ABAID YAPUR Y JAVIER MARTÍNEZ CRUZ</w:t>
      </w:r>
      <w:r>
        <w:rPr>
          <w:rFonts w:ascii="Palatino Linotype" w:hAnsi="Palatino Linotype"/>
          <w:sz w:val="24"/>
          <w:szCs w:val="24"/>
        </w:rPr>
        <w:t xml:space="preserve"> (VOTO PARTICULAR)</w:t>
      </w:r>
      <w:r w:rsidRPr="006226AD">
        <w:rPr>
          <w:rFonts w:ascii="Palatino Linotype" w:hAnsi="Palatino Linotype"/>
          <w:sz w:val="24"/>
          <w:szCs w:val="24"/>
        </w:rPr>
        <w:t>, EN LA VIGÉSIMA SÉPTIMA SESIÓN ORDINARIA CELEBRADA EL ONCE DE AGOSTO DE DOS MIL VEINTIUNO, ANTE EL SECRETARIO TÉCNICO DEL PLENO, ALEXIS TAPIA RAMÍREZ</w:t>
      </w:r>
      <w:r>
        <w:rPr>
          <w:rFonts w:ascii="Palatino Linotype" w:hAnsi="Palatino Linotype"/>
          <w:sz w:val="24"/>
          <w:szCs w:val="24"/>
        </w:rPr>
        <w:t>.</w:t>
      </w:r>
      <w:r w:rsidR="009D6D38">
        <w:rPr>
          <w:rFonts w:ascii="Palatino Linotype" w:hAnsi="Palatino Linotype"/>
          <w:sz w:val="24"/>
          <w:szCs w:val="24"/>
        </w:rPr>
        <w:t>-----------------------------------------------------------</w:t>
      </w:r>
      <w:r>
        <w:rPr>
          <w:rFonts w:ascii="Palatino Linotype" w:hAnsi="Palatino Linotype"/>
          <w:sz w:val="24"/>
          <w:szCs w:val="24"/>
        </w:rPr>
        <w:t>---------------------------------------</w:t>
      </w:r>
    </w:p>
    <w:p w14:paraId="51B93AEB" w14:textId="7ABB1082" w:rsidR="006549E5" w:rsidRDefault="009D6D38" w:rsidP="006549E5">
      <w:pPr>
        <w:spacing w:line="240" w:lineRule="atLeast"/>
        <w:jc w:val="both"/>
        <w:rPr>
          <w:rFonts w:ascii="Palatino Linotype" w:hAnsi="Palatino Linotype" w:cs="Arial"/>
          <w:sz w:val="18"/>
          <w:szCs w:val="18"/>
        </w:rPr>
      </w:pPr>
      <w:r>
        <w:rPr>
          <w:rFonts w:ascii="Palatino Linotype" w:hAnsi="Palatino Linotype" w:cs="Arial"/>
          <w:sz w:val="18"/>
          <w:szCs w:val="18"/>
        </w:rPr>
        <w:t>ZMS/</w:t>
      </w:r>
      <w:r w:rsidR="006549E5">
        <w:rPr>
          <w:rFonts w:ascii="Palatino Linotype" w:hAnsi="Palatino Linotype" w:cs="Arial"/>
          <w:sz w:val="18"/>
          <w:szCs w:val="18"/>
        </w:rPr>
        <w:t>OSAM/</w:t>
      </w:r>
      <w:r>
        <w:rPr>
          <w:rFonts w:ascii="Palatino Linotype" w:hAnsi="Palatino Linotype" w:cs="Arial"/>
          <w:sz w:val="18"/>
          <w:szCs w:val="18"/>
        </w:rPr>
        <w:t>EJDG</w:t>
      </w:r>
    </w:p>
    <w:p w14:paraId="4A161A5E" w14:textId="77777777" w:rsidR="006549E5" w:rsidRDefault="006549E5" w:rsidP="006549E5">
      <w:pPr>
        <w:spacing w:line="276" w:lineRule="auto"/>
        <w:jc w:val="both"/>
        <w:rPr>
          <w:rFonts w:ascii="Palatino Linotype" w:hAnsi="Palatino Linotype" w:cs="Arial"/>
          <w:sz w:val="18"/>
          <w:szCs w:val="18"/>
        </w:rPr>
      </w:pPr>
    </w:p>
    <w:p w14:paraId="4CFE6F8D" w14:textId="77777777" w:rsidR="006549E5" w:rsidRPr="00C24D80" w:rsidRDefault="006549E5" w:rsidP="006549E5">
      <w:pPr>
        <w:spacing w:line="276" w:lineRule="auto"/>
        <w:jc w:val="both"/>
        <w:rPr>
          <w:rFonts w:ascii="Palatino Linotype" w:hAnsi="Palatino Linotype"/>
        </w:rPr>
      </w:pPr>
    </w:p>
    <w:p w14:paraId="580A412C" w14:textId="77777777" w:rsidR="006549E5" w:rsidRDefault="006549E5" w:rsidP="006549E5"/>
    <w:p w14:paraId="1C7323BB" w14:textId="77777777" w:rsidR="006549E5" w:rsidRDefault="006549E5" w:rsidP="006549E5"/>
    <w:p w14:paraId="082E823F" w14:textId="77777777" w:rsidR="006549E5" w:rsidRDefault="006549E5" w:rsidP="006549E5"/>
    <w:p w14:paraId="7B475F09" w14:textId="77777777" w:rsidR="006549E5" w:rsidRDefault="006549E5" w:rsidP="006549E5"/>
    <w:p w14:paraId="7C15C64A" w14:textId="77777777" w:rsidR="006549E5" w:rsidRDefault="006549E5" w:rsidP="006549E5"/>
    <w:p w14:paraId="6A6505FB" w14:textId="77777777" w:rsidR="006549E5" w:rsidRDefault="006549E5" w:rsidP="006549E5"/>
    <w:p w14:paraId="40A36D30" w14:textId="77777777" w:rsidR="006549E5" w:rsidRDefault="006549E5" w:rsidP="006549E5"/>
    <w:p w14:paraId="58A09FB4" w14:textId="77777777" w:rsidR="006549E5" w:rsidRDefault="006549E5" w:rsidP="006549E5"/>
    <w:p w14:paraId="251BB15B" w14:textId="77777777" w:rsidR="006549E5" w:rsidRDefault="006549E5" w:rsidP="006549E5"/>
    <w:p w14:paraId="326FB84A" w14:textId="77777777" w:rsidR="006549E5" w:rsidRDefault="006549E5" w:rsidP="006549E5"/>
    <w:p w14:paraId="02FDCC9F" w14:textId="77777777" w:rsidR="006549E5" w:rsidRDefault="006549E5" w:rsidP="006549E5"/>
    <w:p w14:paraId="5D9FAC27" w14:textId="77777777" w:rsidR="006549E5" w:rsidRDefault="006549E5" w:rsidP="006549E5"/>
    <w:p w14:paraId="519C3D72" w14:textId="77777777" w:rsidR="006549E5" w:rsidRDefault="006549E5" w:rsidP="006549E5"/>
    <w:p w14:paraId="71EE10C2" w14:textId="77777777" w:rsidR="006549E5" w:rsidRDefault="006549E5" w:rsidP="006549E5"/>
    <w:p w14:paraId="5505D437" w14:textId="77777777" w:rsidR="006549E5" w:rsidRDefault="006549E5" w:rsidP="006549E5"/>
    <w:p w14:paraId="29C25E07" w14:textId="77777777" w:rsidR="007C2EA1" w:rsidRDefault="007C2EA1"/>
    <w:sectPr w:rsidR="007C2EA1" w:rsidSect="00425511">
      <w:headerReference w:type="even" r:id="rId24"/>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DBC3B" w14:textId="77777777" w:rsidR="00BE5661" w:rsidRDefault="00BE5661" w:rsidP="006549E5">
      <w:r>
        <w:separator/>
      </w:r>
    </w:p>
  </w:endnote>
  <w:endnote w:type="continuationSeparator" w:id="0">
    <w:p w14:paraId="7FDE711D" w14:textId="77777777" w:rsidR="00BE5661" w:rsidRDefault="00BE5661" w:rsidP="0065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72B6D" w14:textId="77777777" w:rsidR="00B83333" w:rsidRPr="000B69FA" w:rsidRDefault="00D71252"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5653">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5653">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F3679" w14:textId="77777777" w:rsidR="00B83333" w:rsidRPr="000B69FA" w:rsidRDefault="00D71252"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56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5653">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70B6F" w14:textId="77777777" w:rsidR="00BE5661" w:rsidRDefault="00BE5661" w:rsidP="006549E5">
      <w:r>
        <w:separator/>
      </w:r>
    </w:p>
  </w:footnote>
  <w:footnote w:type="continuationSeparator" w:id="0">
    <w:p w14:paraId="69A3C38A" w14:textId="77777777" w:rsidR="00BE5661" w:rsidRDefault="00BE5661" w:rsidP="006549E5">
      <w:r>
        <w:continuationSeparator/>
      </w:r>
    </w:p>
  </w:footnote>
  <w:footnote w:id="1">
    <w:p w14:paraId="16525651" w14:textId="77777777" w:rsidR="006549E5" w:rsidRPr="00615B4B" w:rsidRDefault="006549E5" w:rsidP="006549E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FC613B3" w14:textId="77777777" w:rsidR="006549E5" w:rsidRPr="00615B4B" w:rsidRDefault="006549E5" w:rsidP="006549E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E4F5D72" w14:textId="77777777" w:rsidR="007B3CEC" w:rsidRPr="00C36D37" w:rsidRDefault="007B3CEC" w:rsidP="007B3CEC">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14:paraId="55C0B541" w14:textId="77777777" w:rsidR="007B3CEC" w:rsidRDefault="007B3CEC" w:rsidP="007B3CEC">
      <w:pPr>
        <w:pStyle w:val="Textonotapie"/>
        <w:jc w:val="both"/>
      </w:pPr>
      <w:r w:rsidRPr="00D55523">
        <w:rPr>
          <w:rFonts w:ascii="Palatino Linotype" w:hAnsi="Palatino Linotype"/>
          <w:b/>
          <w:i/>
        </w:rPr>
        <w:t>V</w:t>
      </w:r>
      <w:r w:rsidRPr="00D55523">
        <w:rPr>
          <w:rFonts w:ascii="Palatino Linotype" w:hAnsi="Palatino Linotype"/>
          <w:i/>
        </w:rPr>
        <w:t xml:space="preserve">. </w:t>
      </w:r>
      <w:r w:rsidRPr="009D68C4">
        <w:rPr>
          <w:rFonts w:ascii="Palatino Linotype" w:hAnsi="Palatino Linotype"/>
          <w:i/>
        </w:rPr>
        <w:t>La entrega de información incompleta</w:t>
      </w:r>
      <w:r w:rsidRPr="00D55523">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D2461" w14:textId="69419100" w:rsidR="003C21C4" w:rsidRDefault="00BE5661">
    <w:pPr>
      <w:pStyle w:val="Encabezado"/>
    </w:pPr>
    <w:r>
      <w:rPr>
        <w:noProof/>
        <w:lang w:val="es-MX" w:eastAsia="es-MX"/>
      </w:rPr>
      <w:pict w14:anchorId="1364A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3465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D64C4" w14:textId="18A31213" w:rsidR="00B83333" w:rsidRDefault="00BE5661">
    <w:pPr>
      <w:pStyle w:val="Encabezado"/>
    </w:pPr>
    <w:r>
      <w:rPr>
        <w:noProof/>
        <w:lang w:val="es-MX" w:eastAsia="es-MX"/>
      </w:rPr>
      <w:pict w14:anchorId="42F91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3465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83333" w14:paraId="08EAF540" w14:textId="77777777" w:rsidTr="00425511">
      <w:trPr>
        <w:trHeight w:val="227"/>
      </w:trPr>
      <w:tc>
        <w:tcPr>
          <w:tcW w:w="5949" w:type="dxa"/>
          <w:hideMark/>
        </w:tcPr>
        <w:p w14:paraId="531F6F12" w14:textId="77777777" w:rsidR="00B83333" w:rsidRDefault="00D71252" w:rsidP="00425511">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77F4E465" w14:textId="5E8A533F" w:rsidR="00B83333" w:rsidRDefault="00DB4E73" w:rsidP="00425511">
          <w:pPr>
            <w:spacing w:after="120" w:line="256" w:lineRule="auto"/>
            <w:ind w:left="208" w:right="214"/>
            <w:jc w:val="right"/>
            <w:rPr>
              <w:rFonts w:ascii="Palatino Linotype" w:hAnsi="Palatino Linotype" w:cs="Arial"/>
              <w:szCs w:val="20"/>
            </w:rPr>
          </w:pPr>
          <w:r w:rsidRPr="00DB4E73">
            <w:rPr>
              <w:rFonts w:ascii="Palatino Linotype" w:hAnsi="Palatino Linotype" w:cs="Arial"/>
              <w:bCs/>
              <w:lang w:eastAsia="es-MX"/>
            </w:rPr>
            <w:t>02160/INFOEM/IP/RR/2021</w:t>
          </w:r>
        </w:p>
      </w:tc>
    </w:tr>
    <w:tr w:rsidR="00B83333" w14:paraId="741D7B80" w14:textId="77777777" w:rsidTr="00425511">
      <w:trPr>
        <w:trHeight w:val="242"/>
      </w:trPr>
      <w:tc>
        <w:tcPr>
          <w:tcW w:w="5949" w:type="dxa"/>
          <w:hideMark/>
        </w:tcPr>
        <w:p w14:paraId="38CF43C9" w14:textId="77777777" w:rsidR="00B83333" w:rsidRDefault="00D71252" w:rsidP="00425511">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02683DF4" w14:textId="487512CC" w:rsidR="00B83333" w:rsidRDefault="00DB4E73" w:rsidP="00425511">
          <w:pPr>
            <w:spacing w:after="120" w:line="256" w:lineRule="auto"/>
            <w:ind w:left="72" w:right="214"/>
            <w:jc w:val="right"/>
            <w:rPr>
              <w:rFonts w:ascii="Palatino Linotype" w:hAnsi="Palatino Linotype" w:cs="Arial"/>
              <w:szCs w:val="20"/>
            </w:rPr>
          </w:pPr>
          <w:r w:rsidRPr="00DB4E73">
            <w:rPr>
              <w:rFonts w:ascii="Palatino Linotype" w:hAnsi="Palatino Linotype" w:cs="Arial"/>
              <w:szCs w:val="20"/>
            </w:rPr>
            <w:t>Ayuntamiento de Teotihuacán</w:t>
          </w:r>
        </w:p>
      </w:tc>
    </w:tr>
    <w:tr w:rsidR="00B83333" w14:paraId="6C6B4C48" w14:textId="77777777" w:rsidTr="00425511">
      <w:trPr>
        <w:trHeight w:val="342"/>
      </w:trPr>
      <w:tc>
        <w:tcPr>
          <w:tcW w:w="5949" w:type="dxa"/>
          <w:hideMark/>
        </w:tcPr>
        <w:p w14:paraId="2A17D0BE" w14:textId="77777777" w:rsidR="00B83333" w:rsidRDefault="00D71252" w:rsidP="00425511">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6EAFE183" w14:textId="77777777" w:rsidR="00B83333" w:rsidRDefault="00D71252"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6B5A635C" w14:textId="77777777" w:rsidR="00B83333" w:rsidRDefault="00BE566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83333" w14:paraId="2C66DB54" w14:textId="77777777" w:rsidTr="00425511">
      <w:trPr>
        <w:trHeight w:val="227"/>
      </w:trPr>
      <w:tc>
        <w:tcPr>
          <w:tcW w:w="5103" w:type="dxa"/>
          <w:hideMark/>
        </w:tcPr>
        <w:p w14:paraId="2641F725" w14:textId="77777777" w:rsidR="00B83333" w:rsidRDefault="00D71252"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BB2FB7E" w14:textId="401AA4C4" w:rsidR="00B83333" w:rsidRPr="00B4142F" w:rsidRDefault="00DB4E73" w:rsidP="00425511">
          <w:pPr>
            <w:spacing w:after="120" w:line="256" w:lineRule="auto"/>
            <w:ind w:left="208" w:right="214"/>
            <w:jc w:val="right"/>
            <w:rPr>
              <w:rFonts w:ascii="Palatino Linotype" w:hAnsi="Palatino Linotype" w:cs="Arial"/>
              <w:szCs w:val="20"/>
            </w:rPr>
          </w:pPr>
          <w:r w:rsidRPr="00DB4E73">
            <w:rPr>
              <w:rFonts w:ascii="Palatino Linotype" w:hAnsi="Palatino Linotype" w:cs="Arial"/>
              <w:bCs/>
              <w:lang w:eastAsia="es-MX"/>
            </w:rPr>
            <w:t>02160/INFOEM/IP/RR/2021</w:t>
          </w:r>
        </w:p>
      </w:tc>
    </w:tr>
    <w:tr w:rsidR="00B83333" w14:paraId="36118F4E" w14:textId="77777777" w:rsidTr="00425511">
      <w:trPr>
        <w:trHeight w:val="196"/>
      </w:trPr>
      <w:tc>
        <w:tcPr>
          <w:tcW w:w="5103" w:type="dxa"/>
          <w:hideMark/>
        </w:tcPr>
        <w:p w14:paraId="00F8F518" w14:textId="77777777" w:rsidR="00B83333" w:rsidRDefault="00D71252"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69DF4972" w14:textId="6AB8DBA5" w:rsidR="00B83333" w:rsidRPr="00ED35E5" w:rsidRDefault="00C85653" w:rsidP="00EF09D0">
          <w:pPr>
            <w:pStyle w:val="Prrafodelista"/>
            <w:spacing w:after="120" w:line="256" w:lineRule="auto"/>
            <w:ind w:left="568" w:right="214"/>
            <w:jc w:val="right"/>
            <w:rPr>
              <w:rFonts w:ascii="Palatino Linotype" w:hAnsi="Palatino Linotype" w:cs="Arial"/>
            </w:rPr>
          </w:pPr>
          <w:proofErr w:type="spellStart"/>
          <w:r>
            <w:rPr>
              <w:rFonts w:ascii="Palatino Linotype" w:hAnsi="Palatino Linotype" w:cs="Arial"/>
            </w:rPr>
            <w:t>xxxxxxxxxxxxxxxxxx</w:t>
          </w:r>
          <w:proofErr w:type="spellEnd"/>
          <w:r w:rsidR="00D71252">
            <w:rPr>
              <w:rFonts w:ascii="Palatino Linotype" w:hAnsi="Palatino Linotype" w:cs="Arial"/>
            </w:rPr>
            <w:t xml:space="preserve">  </w:t>
          </w:r>
        </w:p>
      </w:tc>
    </w:tr>
    <w:tr w:rsidR="00B83333" w14:paraId="739CAB56" w14:textId="77777777" w:rsidTr="00425511">
      <w:trPr>
        <w:trHeight w:val="242"/>
      </w:trPr>
      <w:tc>
        <w:tcPr>
          <w:tcW w:w="5103" w:type="dxa"/>
          <w:hideMark/>
        </w:tcPr>
        <w:p w14:paraId="5AB37010" w14:textId="77777777" w:rsidR="00B83333" w:rsidRDefault="00D71252"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0DEEFA7" w14:textId="19F92F68" w:rsidR="00B83333" w:rsidRDefault="00DB4E73" w:rsidP="00425511">
          <w:pPr>
            <w:spacing w:after="120" w:line="256" w:lineRule="auto"/>
            <w:ind w:left="208" w:right="214"/>
            <w:jc w:val="right"/>
            <w:rPr>
              <w:rFonts w:ascii="Palatino Linotype" w:hAnsi="Palatino Linotype" w:cs="Arial"/>
              <w:szCs w:val="20"/>
            </w:rPr>
          </w:pPr>
          <w:r w:rsidRPr="00DB4E73">
            <w:rPr>
              <w:rFonts w:ascii="Palatino Linotype" w:hAnsi="Palatino Linotype" w:cs="Arial"/>
              <w:szCs w:val="20"/>
            </w:rPr>
            <w:t>Ayuntamiento de Teotihuacán</w:t>
          </w:r>
        </w:p>
      </w:tc>
    </w:tr>
    <w:tr w:rsidR="00B83333" w14:paraId="292506E9" w14:textId="77777777" w:rsidTr="00425511">
      <w:trPr>
        <w:trHeight w:val="342"/>
      </w:trPr>
      <w:tc>
        <w:tcPr>
          <w:tcW w:w="5103" w:type="dxa"/>
          <w:hideMark/>
        </w:tcPr>
        <w:p w14:paraId="5C6601FE" w14:textId="77777777" w:rsidR="00B83333" w:rsidRDefault="00D71252" w:rsidP="0042551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506761F0" w14:textId="77777777" w:rsidR="00B83333" w:rsidRDefault="00D71252"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C86E081" w14:textId="744C00B8" w:rsidR="00B83333" w:rsidRDefault="00BE5661">
    <w:pPr>
      <w:pStyle w:val="Encabezado"/>
    </w:pPr>
    <w:r>
      <w:rPr>
        <w:noProof/>
        <w:lang w:val="es-MX" w:eastAsia="es-MX"/>
      </w:rPr>
      <w:pict w14:anchorId="22C48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3465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48716F"/>
    <w:multiLevelType w:val="hybridMultilevel"/>
    <w:tmpl w:val="08A06300"/>
    <w:lvl w:ilvl="0" w:tplc="3E5CD9E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3">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A804D7"/>
    <w:multiLevelType w:val="hybridMultilevel"/>
    <w:tmpl w:val="E7705CA0"/>
    <w:lvl w:ilvl="0" w:tplc="18FAB568">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4693261A"/>
    <w:multiLevelType w:val="hybridMultilevel"/>
    <w:tmpl w:val="730060E6"/>
    <w:lvl w:ilvl="0" w:tplc="201AF870">
      <w:numFmt w:val="bullet"/>
      <w:lvlText w:val=""/>
      <w:lvlJc w:val="left"/>
      <w:pPr>
        <w:ind w:left="720" w:hanging="360"/>
      </w:pPr>
      <w:rPr>
        <w:rFonts w:ascii="Symbol" w:eastAsiaTheme="minorHAnsi" w:hAnsi="Symbol" w:cstheme="minorBidi"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32">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08E6B0E"/>
    <w:multiLevelType w:val="hybridMultilevel"/>
    <w:tmpl w:val="6C14DE38"/>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D452F01"/>
    <w:multiLevelType w:val="hybridMultilevel"/>
    <w:tmpl w:val="7ECCE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2A036B"/>
    <w:multiLevelType w:val="hybridMultilevel"/>
    <w:tmpl w:val="7F901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2">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7"/>
  </w:num>
  <w:num w:numId="2">
    <w:abstractNumId w:val="33"/>
  </w:num>
  <w:num w:numId="3">
    <w:abstractNumId w:val="28"/>
  </w:num>
  <w:num w:numId="4">
    <w:abstractNumId w:val="27"/>
  </w:num>
  <w:num w:numId="5">
    <w:abstractNumId w:val="22"/>
  </w:num>
  <w:num w:numId="6">
    <w:abstractNumId w:val="35"/>
  </w:num>
  <w:num w:numId="7">
    <w:abstractNumId w:val="25"/>
  </w:num>
  <w:num w:numId="8">
    <w:abstractNumId w:val="24"/>
  </w:num>
  <w:num w:numId="9">
    <w:abstractNumId w:val="16"/>
  </w:num>
  <w:num w:numId="10">
    <w:abstractNumId w:val="11"/>
  </w:num>
  <w:num w:numId="11">
    <w:abstractNumId w:val="5"/>
  </w:num>
  <w:num w:numId="12">
    <w:abstractNumId w:val="7"/>
  </w:num>
  <w:num w:numId="13">
    <w:abstractNumId w:val="12"/>
  </w:num>
  <w:num w:numId="14">
    <w:abstractNumId w:val="32"/>
  </w:num>
  <w:num w:numId="15">
    <w:abstractNumId w:val="6"/>
  </w:num>
  <w:num w:numId="16">
    <w:abstractNumId w:val="20"/>
  </w:num>
  <w:num w:numId="17">
    <w:abstractNumId w:val="13"/>
  </w:num>
  <w:num w:numId="18">
    <w:abstractNumId w:val="30"/>
  </w:num>
  <w:num w:numId="19">
    <w:abstractNumId w:val="4"/>
  </w:num>
  <w:num w:numId="20">
    <w:abstractNumId w:val="39"/>
  </w:num>
  <w:num w:numId="21">
    <w:abstractNumId w:val="43"/>
  </w:num>
  <w:num w:numId="22">
    <w:abstractNumId w:val="23"/>
  </w:num>
  <w:num w:numId="23">
    <w:abstractNumId w:val="2"/>
  </w:num>
  <w:num w:numId="24">
    <w:abstractNumId w:val="0"/>
  </w:num>
  <w:num w:numId="25">
    <w:abstractNumId w:val="41"/>
  </w:num>
  <w:num w:numId="26">
    <w:abstractNumId w:val="44"/>
  </w:num>
  <w:num w:numId="27">
    <w:abstractNumId w:val="21"/>
  </w:num>
  <w:num w:numId="28">
    <w:abstractNumId w:val="9"/>
  </w:num>
  <w:num w:numId="29">
    <w:abstractNumId w:val="10"/>
  </w:num>
  <w:num w:numId="30">
    <w:abstractNumId w:val="40"/>
  </w:num>
  <w:num w:numId="31">
    <w:abstractNumId w:val="3"/>
  </w:num>
  <w:num w:numId="32">
    <w:abstractNumId w:val="26"/>
  </w:num>
  <w:num w:numId="33">
    <w:abstractNumId w:val="19"/>
  </w:num>
  <w:num w:numId="34">
    <w:abstractNumId w:val="8"/>
  </w:num>
  <w:num w:numId="35">
    <w:abstractNumId w:val="18"/>
  </w:num>
  <w:num w:numId="36">
    <w:abstractNumId w:val="37"/>
  </w:num>
  <w:num w:numId="37">
    <w:abstractNumId w:val="42"/>
  </w:num>
  <w:num w:numId="38">
    <w:abstractNumId w:val="1"/>
  </w:num>
  <w:num w:numId="39">
    <w:abstractNumId w:val="36"/>
  </w:num>
  <w:num w:numId="40">
    <w:abstractNumId w:val="29"/>
  </w:num>
  <w:num w:numId="41">
    <w:abstractNumId w:val="38"/>
  </w:num>
  <w:num w:numId="42">
    <w:abstractNumId w:val="34"/>
  </w:num>
  <w:num w:numId="43">
    <w:abstractNumId w:val="15"/>
  </w:num>
  <w:num w:numId="44">
    <w:abstractNumId w:val="14"/>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9E5"/>
    <w:rsid w:val="000329CE"/>
    <w:rsid w:val="000A296D"/>
    <w:rsid w:val="000E6E78"/>
    <w:rsid w:val="000F41DA"/>
    <w:rsid w:val="00113A8A"/>
    <w:rsid w:val="0017075A"/>
    <w:rsid w:val="001948EB"/>
    <w:rsid w:val="00195DAD"/>
    <w:rsid w:val="001D5396"/>
    <w:rsid w:val="001E2755"/>
    <w:rsid w:val="00285FC2"/>
    <w:rsid w:val="00286FF5"/>
    <w:rsid w:val="002923E0"/>
    <w:rsid w:val="002D092A"/>
    <w:rsid w:val="002F0CBC"/>
    <w:rsid w:val="00345EFF"/>
    <w:rsid w:val="00385D88"/>
    <w:rsid w:val="003905A7"/>
    <w:rsid w:val="003C21C4"/>
    <w:rsid w:val="00483C9E"/>
    <w:rsid w:val="00491574"/>
    <w:rsid w:val="004A7CBC"/>
    <w:rsid w:val="004B275F"/>
    <w:rsid w:val="004F7932"/>
    <w:rsid w:val="00506840"/>
    <w:rsid w:val="00536A2A"/>
    <w:rsid w:val="0054617C"/>
    <w:rsid w:val="005D40D7"/>
    <w:rsid w:val="005E0523"/>
    <w:rsid w:val="005F08C6"/>
    <w:rsid w:val="00620548"/>
    <w:rsid w:val="006226AD"/>
    <w:rsid w:val="00624483"/>
    <w:rsid w:val="00654180"/>
    <w:rsid w:val="006549E5"/>
    <w:rsid w:val="0066007A"/>
    <w:rsid w:val="00716B0D"/>
    <w:rsid w:val="00733877"/>
    <w:rsid w:val="007B3CEC"/>
    <w:rsid w:val="007C2EA1"/>
    <w:rsid w:val="007D784F"/>
    <w:rsid w:val="00834A20"/>
    <w:rsid w:val="008405F5"/>
    <w:rsid w:val="00886407"/>
    <w:rsid w:val="008B58DF"/>
    <w:rsid w:val="008B7717"/>
    <w:rsid w:val="008D74C3"/>
    <w:rsid w:val="008E1DEE"/>
    <w:rsid w:val="0092340A"/>
    <w:rsid w:val="009D326A"/>
    <w:rsid w:val="009D6D38"/>
    <w:rsid w:val="00A36054"/>
    <w:rsid w:val="00A404F0"/>
    <w:rsid w:val="00AA5F2E"/>
    <w:rsid w:val="00AD047C"/>
    <w:rsid w:val="00B17212"/>
    <w:rsid w:val="00B918B9"/>
    <w:rsid w:val="00BA5FE9"/>
    <w:rsid w:val="00BE5661"/>
    <w:rsid w:val="00C03962"/>
    <w:rsid w:val="00C06655"/>
    <w:rsid w:val="00C31A1B"/>
    <w:rsid w:val="00C35065"/>
    <w:rsid w:val="00C37FF0"/>
    <w:rsid w:val="00C85653"/>
    <w:rsid w:val="00C948F6"/>
    <w:rsid w:val="00D03AE8"/>
    <w:rsid w:val="00D71252"/>
    <w:rsid w:val="00DB4E73"/>
    <w:rsid w:val="00E306E8"/>
    <w:rsid w:val="00E93E98"/>
    <w:rsid w:val="00EB25F8"/>
    <w:rsid w:val="00EB31A8"/>
    <w:rsid w:val="00EB7398"/>
    <w:rsid w:val="00F6128F"/>
    <w:rsid w:val="00F974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8D45F0"/>
  <w15:chartTrackingRefBased/>
  <w15:docId w15:val="{5AC7BBAB-C4D5-41D5-858F-8E54A205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3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6549E5"/>
    <w:pPr>
      <w:keepNext/>
      <w:spacing w:before="240" w:after="60"/>
      <w:outlineLvl w:val="0"/>
    </w:pPr>
    <w:rPr>
      <w:rFonts w:ascii="Arial" w:hAnsi="Arial"/>
      <w:b/>
      <w:bCs/>
      <w:spacing w:val="30"/>
      <w:kern w:val="32"/>
      <w:szCs w:val="32"/>
      <w:lang w:val="es-ES_tradnl" w:eastAsia="en-US"/>
    </w:rPr>
  </w:style>
  <w:style w:type="paragraph" w:styleId="Ttulo2">
    <w:name w:val="heading 2"/>
    <w:basedOn w:val="Normal"/>
    <w:next w:val="Normal"/>
    <w:link w:val="Ttulo2Car"/>
    <w:uiPriority w:val="9"/>
    <w:unhideWhenUsed/>
    <w:qFormat/>
    <w:rsid w:val="006549E5"/>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paragraph" w:styleId="Ttulo4">
    <w:name w:val="heading 4"/>
    <w:basedOn w:val="Normal"/>
    <w:link w:val="Ttulo4Car"/>
    <w:uiPriority w:val="9"/>
    <w:qFormat/>
    <w:rsid w:val="006549E5"/>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49E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6549E5"/>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6549E5"/>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6549E5"/>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6549E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549E5"/>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6549E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549E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549E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549E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549E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549E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549E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549E5"/>
    <w:rPr>
      <w:sz w:val="20"/>
      <w:szCs w:val="20"/>
    </w:rPr>
  </w:style>
  <w:style w:type="paragraph" w:styleId="Sinespaciado">
    <w:name w:val="No Spacing"/>
    <w:aliases w:val="Francesa,INAI"/>
    <w:link w:val="SinespaciadoCar"/>
    <w:uiPriority w:val="1"/>
    <w:qFormat/>
    <w:rsid w:val="006549E5"/>
    <w:pPr>
      <w:spacing w:after="0" w:line="240" w:lineRule="auto"/>
    </w:pPr>
  </w:style>
  <w:style w:type="character" w:customStyle="1" w:styleId="SinespaciadoCar">
    <w:name w:val="Sin espaciado Car"/>
    <w:aliases w:val="Francesa Car,INAI Car"/>
    <w:link w:val="Sinespaciado"/>
    <w:uiPriority w:val="1"/>
    <w:locked/>
    <w:rsid w:val="006549E5"/>
  </w:style>
  <w:style w:type="character" w:styleId="Refdecomentario">
    <w:name w:val="annotation reference"/>
    <w:basedOn w:val="Fuentedeprrafopredeter"/>
    <w:uiPriority w:val="99"/>
    <w:semiHidden/>
    <w:unhideWhenUsed/>
    <w:rsid w:val="006549E5"/>
    <w:rPr>
      <w:sz w:val="16"/>
      <w:szCs w:val="16"/>
    </w:rPr>
  </w:style>
  <w:style w:type="paragraph" w:styleId="Textocomentario">
    <w:name w:val="annotation text"/>
    <w:basedOn w:val="Normal"/>
    <w:link w:val="TextocomentarioCar"/>
    <w:uiPriority w:val="99"/>
    <w:semiHidden/>
    <w:unhideWhenUsed/>
    <w:rsid w:val="006549E5"/>
    <w:pPr>
      <w:spacing w:after="160"/>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6549E5"/>
    <w:rPr>
      <w:sz w:val="20"/>
      <w:szCs w:val="20"/>
    </w:rPr>
  </w:style>
  <w:style w:type="paragraph" w:customStyle="1" w:styleId="Citas">
    <w:name w:val="Citas"/>
    <w:basedOn w:val="Normal"/>
    <w:qFormat/>
    <w:rsid w:val="006549E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1"/>
    <w:unhideWhenUsed/>
    <w:qFormat/>
    <w:rsid w:val="006549E5"/>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6549E5"/>
  </w:style>
  <w:style w:type="paragraph" w:styleId="Textodeglobo">
    <w:name w:val="Balloon Text"/>
    <w:basedOn w:val="Normal"/>
    <w:link w:val="TextodegloboCar"/>
    <w:uiPriority w:val="99"/>
    <w:semiHidden/>
    <w:unhideWhenUsed/>
    <w:rsid w:val="006549E5"/>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6549E5"/>
    <w:rPr>
      <w:rFonts w:ascii="Segoe UI" w:hAnsi="Segoe UI" w:cs="Segoe UI"/>
      <w:sz w:val="18"/>
      <w:szCs w:val="18"/>
    </w:rPr>
  </w:style>
  <w:style w:type="paragraph" w:styleId="Textosinformato">
    <w:name w:val="Plain Text"/>
    <w:basedOn w:val="Normal"/>
    <w:link w:val="TextosinformatoCar"/>
    <w:rsid w:val="006549E5"/>
    <w:rPr>
      <w:rFonts w:ascii="Courier New" w:hAnsi="Courier New"/>
      <w:sz w:val="20"/>
      <w:szCs w:val="20"/>
    </w:rPr>
  </w:style>
  <w:style w:type="character" w:customStyle="1" w:styleId="TextosinformatoCar">
    <w:name w:val="Texto sin formato Car"/>
    <w:basedOn w:val="Fuentedeprrafopredeter"/>
    <w:link w:val="Textosinformato"/>
    <w:rsid w:val="006549E5"/>
    <w:rPr>
      <w:rFonts w:ascii="Courier New" w:eastAsia="Times New Roman" w:hAnsi="Courier New" w:cs="Times New Roman"/>
      <w:sz w:val="20"/>
      <w:szCs w:val="20"/>
      <w:lang w:val="es-ES" w:eastAsia="es-ES"/>
    </w:rPr>
  </w:style>
  <w:style w:type="paragraph" w:customStyle="1" w:styleId="Default">
    <w:name w:val="Default"/>
    <w:rsid w:val="006549E5"/>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6549E5"/>
    <w:rPr>
      <w:b/>
      <w:bCs/>
    </w:rPr>
  </w:style>
  <w:style w:type="character" w:customStyle="1" w:styleId="lbl-encabezado-negro">
    <w:name w:val="lbl-encabezado-negro"/>
    <w:basedOn w:val="Fuentedeprrafopredeter"/>
    <w:rsid w:val="006549E5"/>
  </w:style>
  <w:style w:type="character" w:customStyle="1" w:styleId="red">
    <w:name w:val="red"/>
    <w:basedOn w:val="Fuentedeprrafopredeter"/>
    <w:rsid w:val="006549E5"/>
  </w:style>
  <w:style w:type="paragraph" w:customStyle="1" w:styleId="francesa">
    <w:name w:val="francesa"/>
    <w:basedOn w:val="Normal"/>
    <w:rsid w:val="006549E5"/>
    <w:pPr>
      <w:spacing w:before="100" w:beforeAutospacing="1" w:after="100" w:afterAutospacing="1"/>
    </w:pPr>
    <w:rPr>
      <w:lang w:val="es-MX" w:eastAsia="es-MX"/>
    </w:rPr>
  </w:style>
  <w:style w:type="table" w:styleId="Tablaconcuadrcula">
    <w:name w:val="Table Grid"/>
    <w:basedOn w:val="Tablanormal"/>
    <w:uiPriority w:val="39"/>
    <w:rsid w:val="00654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6549E5"/>
    <w:pPr>
      <w:spacing w:line="221" w:lineRule="atLeast"/>
    </w:pPr>
    <w:rPr>
      <w:color w:val="auto"/>
    </w:rPr>
  </w:style>
  <w:style w:type="paragraph" w:customStyle="1" w:styleId="n2">
    <w:name w:val="n2"/>
    <w:basedOn w:val="Normal"/>
    <w:rsid w:val="006549E5"/>
    <w:pPr>
      <w:spacing w:before="100" w:beforeAutospacing="1" w:after="100" w:afterAutospacing="1"/>
    </w:pPr>
    <w:rPr>
      <w:lang w:val="es-MX" w:eastAsia="es-MX"/>
    </w:rPr>
  </w:style>
  <w:style w:type="character" w:styleId="nfasis">
    <w:name w:val="Emphasis"/>
    <w:basedOn w:val="Fuentedeprrafopredeter"/>
    <w:uiPriority w:val="20"/>
    <w:qFormat/>
    <w:rsid w:val="006549E5"/>
    <w:rPr>
      <w:i/>
      <w:iCs/>
    </w:rPr>
  </w:style>
  <w:style w:type="paragraph" w:customStyle="1" w:styleId="j">
    <w:name w:val="j"/>
    <w:basedOn w:val="Normal"/>
    <w:rsid w:val="006549E5"/>
    <w:pPr>
      <w:spacing w:before="100" w:beforeAutospacing="1" w:after="100" w:afterAutospacing="1"/>
    </w:pPr>
    <w:rPr>
      <w:lang w:val="es-MX" w:eastAsia="es-MX"/>
    </w:rPr>
  </w:style>
  <w:style w:type="paragraph" w:customStyle="1" w:styleId="j2">
    <w:name w:val="j2"/>
    <w:basedOn w:val="Normal"/>
    <w:rsid w:val="006549E5"/>
    <w:pPr>
      <w:spacing w:before="100" w:beforeAutospacing="1" w:after="100" w:afterAutospacing="1"/>
    </w:pPr>
    <w:rPr>
      <w:lang w:val="es-MX" w:eastAsia="es-MX"/>
    </w:rPr>
  </w:style>
  <w:style w:type="paragraph" w:customStyle="1" w:styleId="o">
    <w:name w:val="o"/>
    <w:basedOn w:val="Normal"/>
    <w:rsid w:val="006549E5"/>
    <w:pPr>
      <w:spacing w:before="100" w:beforeAutospacing="1" w:after="100" w:afterAutospacing="1"/>
    </w:pPr>
    <w:rPr>
      <w:lang w:val="es-MX" w:eastAsia="es-MX"/>
    </w:rPr>
  </w:style>
  <w:style w:type="character" w:customStyle="1" w:styleId="nacep">
    <w:name w:val="n_acep"/>
    <w:basedOn w:val="Fuentedeprrafopredeter"/>
    <w:rsid w:val="006549E5"/>
  </w:style>
  <w:style w:type="character" w:customStyle="1" w:styleId="h">
    <w:name w:val="h"/>
    <w:basedOn w:val="Fuentedeprrafopredeter"/>
    <w:rsid w:val="006549E5"/>
  </w:style>
  <w:style w:type="character" w:customStyle="1" w:styleId="i1">
    <w:name w:val="i1"/>
    <w:basedOn w:val="Fuentedeprrafopredeter"/>
    <w:rsid w:val="006549E5"/>
  </w:style>
  <w:style w:type="paragraph" w:styleId="Sangradetextonormal">
    <w:name w:val="Body Text Indent"/>
    <w:basedOn w:val="Normal"/>
    <w:link w:val="SangradetextonormalCar"/>
    <w:uiPriority w:val="99"/>
    <w:unhideWhenUsed/>
    <w:rsid w:val="006549E5"/>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6549E5"/>
    <w:rPr>
      <w:rFonts w:ascii="Calibri" w:eastAsia="Calibri" w:hAnsi="Calibri" w:cs="Times New Roman"/>
    </w:rPr>
  </w:style>
  <w:style w:type="paragraph" w:styleId="NormalWeb">
    <w:name w:val="Normal (Web)"/>
    <w:basedOn w:val="Normal"/>
    <w:uiPriority w:val="99"/>
    <w:rsid w:val="006549E5"/>
    <w:pPr>
      <w:spacing w:before="100" w:beforeAutospacing="1" w:after="100" w:afterAutospacing="1"/>
    </w:pPr>
  </w:style>
  <w:style w:type="paragraph" w:styleId="Asuntodelcomentario">
    <w:name w:val="annotation subject"/>
    <w:basedOn w:val="Textocomentario"/>
    <w:next w:val="Textocomentario"/>
    <w:link w:val="AsuntodelcomentarioCar"/>
    <w:uiPriority w:val="99"/>
    <w:semiHidden/>
    <w:unhideWhenUsed/>
    <w:rsid w:val="006549E5"/>
    <w:rPr>
      <w:b/>
      <w:bCs/>
    </w:rPr>
  </w:style>
  <w:style w:type="character" w:customStyle="1" w:styleId="AsuntodelcomentarioCar">
    <w:name w:val="Asunto del comentario Car"/>
    <w:basedOn w:val="TextocomentarioCar"/>
    <w:link w:val="Asuntodelcomentario"/>
    <w:uiPriority w:val="99"/>
    <w:semiHidden/>
    <w:rsid w:val="006549E5"/>
    <w:rPr>
      <w:b/>
      <w:bCs/>
      <w:sz w:val="20"/>
      <w:szCs w:val="20"/>
    </w:rPr>
  </w:style>
  <w:style w:type="paragraph" w:styleId="Revisin">
    <w:name w:val="Revision"/>
    <w:hidden/>
    <w:uiPriority w:val="99"/>
    <w:semiHidden/>
    <w:rsid w:val="006549E5"/>
    <w:pPr>
      <w:spacing w:after="0" w:line="240" w:lineRule="auto"/>
    </w:pPr>
  </w:style>
  <w:style w:type="character" w:customStyle="1" w:styleId="notranslate">
    <w:name w:val="notranslate"/>
    <w:basedOn w:val="Fuentedeprrafopredeter"/>
    <w:rsid w:val="006549E5"/>
  </w:style>
  <w:style w:type="character" w:styleId="Hipervnculovisitado">
    <w:name w:val="FollowedHyperlink"/>
    <w:basedOn w:val="Fuentedeprrafopredeter"/>
    <w:uiPriority w:val="99"/>
    <w:semiHidden/>
    <w:unhideWhenUsed/>
    <w:rsid w:val="006549E5"/>
    <w:rPr>
      <w:color w:val="954F72" w:themeColor="followedHyperlink"/>
      <w:u w:val="single"/>
    </w:rPr>
  </w:style>
  <w:style w:type="character" w:customStyle="1" w:styleId="UnresolvedMention">
    <w:name w:val="Unresolved Mention"/>
    <w:basedOn w:val="Fuentedeprrafopredeter"/>
    <w:uiPriority w:val="99"/>
    <w:semiHidden/>
    <w:unhideWhenUsed/>
    <w:rsid w:val="00F61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4102">
      <w:bodyDiv w:val="1"/>
      <w:marLeft w:val="0"/>
      <w:marRight w:val="0"/>
      <w:marTop w:val="0"/>
      <w:marBottom w:val="0"/>
      <w:divBdr>
        <w:top w:val="none" w:sz="0" w:space="0" w:color="auto"/>
        <w:left w:val="none" w:sz="0" w:space="0" w:color="auto"/>
        <w:bottom w:val="none" w:sz="0" w:space="0" w:color="auto"/>
        <w:right w:val="none" w:sz="0" w:space="0" w:color="auto"/>
      </w:divBdr>
    </w:div>
    <w:div w:id="472211163">
      <w:bodyDiv w:val="1"/>
      <w:marLeft w:val="0"/>
      <w:marRight w:val="0"/>
      <w:marTop w:val="0"/>
      <w:marBottom w:val="0"/>
      <w:divBdr>
        <w:top w:val="none" w:sz="0" w:space="0" w:color="auto"/>
        <w:left w:val="none" w:sz="0" w:space="0" w:color="auto"/>
        <w:bottom w:val="none" w:sz="0" w:space="0" w:color="auto"/>
        <w:right w:val="none" w:sz="0" w:space="0" w:color="auto"/>
      </w:divBdr>
    </w:div>
    <w:div w:id="985431115">
      <w:bodyDiv w:val="1"/>
      <w:marLeft w:val="0"/>
      <w:marRight w:val="0"/>
      <w:marTop w:val="0"/>
      <w:marBottom w:val="0"/>
      <w:divBdr>
        <w:top w:val="none" w:sz="0" w:space="0" w:color="auto"/>
        <w:left w:val="none" w:sz="0" w:space="0" w:color="auto"/>
        <w:bottom w:val="none" w:sz="0" w:space="0" w:color="auto"/>
        <w:right w:val="none" w:sz="0" w:space="0" w:color="auto"/>
      </w:divBdr>
    </w:div>
    <w:div w:id="208957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OTIHUACAN/art_92_xxix_a.web" TargetMode="External"/><Relationship Id="rId13" Type="http://schemas.openxmlformats.org/officeDocument/2006/relationships/hyperlink" Target="https://www.ipomex.org.mx/ipo3/lgt/indice/TEOTIHUACAN/art_92_xxix_b.web" TargetMode="External"/><Relationship Id="rId18" Type="http://schemas.openxmlformats.org/officeDocument/2006/relationships/hyperlink" Target="https://compranet.hacienda.gob.mx/web/login.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legislacion.edomex.gob.mx/sites/legislacion.edomex.gob.mx/files/files/pdf/gct/2010/feb161.PDF" TargetMode="External"/><Relationship Id="rId7" Type="http://schemas.openxmlformats.org/officeDocument/2006/relationships/hyperlink" Target="https://www.ipomex.org.mx/ipo/lgt/indice/teotihuacan/licitaciones.web" TargetMode="External"/><Relationship Id="rId12" Type="http://schemas.openxmlformats.org/officeDocument/2006/relationships/hyperlink" Target="https://www.ipomex.org.mx/ipo3/lgt/indice/TEOTIHUACAN/art_92_xxix_a.web"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legislacion.edomex.gob.mx/sites/legislacion.edomex.gob.mx/files/files/pdf/ley/vig/leyvig016.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lgt/indice/teotihuacan/licitaciones.web"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compranet.hacienda.gob.mx/web/login.htm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ipomex.org.mx/ipo3/lgt/indice/TEOTIHUACAN/art_92_xxix_b.web" TargetMode="External"/><Relationship Id="rId14" Type="http://schemas.openxmlformats.org/officeDocument/2006/relationships/hyperlink" Target="https://compranet.hacienda.gob.mx/web/login.html"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38</Pages>
  <Words>8076</Words>
  <Characters>44421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20</cp:revision>
  <dcterms:created xsi:type="dcterms:W3CDTF">2021-07-15T21:38:00Z</dcterms:created>
  <dcterms:modified xsi:type="dcterms:W3CDTF">2021-08-20T04:13:00Z</dcterms:modified>
</cp:coreProperties>
</file>