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3465"/>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diez (10) de noviembre de dos mil veintiuno.</w:t>
      </w:r>
    </w:p>
    <w:p w:rsidR="00000000" w:rsidDel="00000000" w:rsidP="00000000" w:rsidRDefault="00000000" w:rsidRPr="00000000" w14:paraId="00000002">
      <w:pPr>
        <w:tabs>
          <w:tab w:val="left" w:pos="3465"/>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electrónico formado con motivo del recurso de revisión </w:t>
      </w:r>
      <w:r w:rsidDel="00000000" w:rsidR="00000000" w:rsidRPr="00000000">
        <w:rPr>
          <w:rFonts w:ascii="Palatino Linotype" w:cs="Palatino Linotype" w:eastAsia="Palatino Linotype" w:hAnsi="Palatino Linotype"/>
          <w:b w:val="1"/>
          <w:rtl w:val="0"/>
        </w:rPr>
        <w:t xml:space="preserve">04698/INFOEM/IP/RR/2021, </w:t>
      </w:r>
      <w:r w:rsidDel="00000000" w:rsidR="00000000" w:rsidRPr="00000000">
        <w:rPr>
          <w:rFonts w:ascii="Palatino Linotype" w:cs="Palatino Linotype" w:eastAsia="Palatino Linotype" w:hAnsi="Palatino Linotype"/>
          <w:rtl w:val="0"/>
        </w:rPr>
        <w:t xml:space="preserve">promovido por </w:t>
      </w:r>
      <w:r w:rsidDel="00000000" w:rsidR="00000000" w:rsidRPr="00000000">
        <w:rPr>
          <w:rFonts w:ascii="Palatino Linotype" w:cs="Palatino Linotype" w:eastAsia="Palatino Linotype" w:hAnsi="Palatino Linotype"/>
          <w:b w:val="1"/>
          <w:rtl w:val="0"/>
        </w:rPr>
        <w:t xml:space="preserve">una persona que no dejó registro de nombre o seudónimo para poder ser identificado,</w:t>
      </w:r>
      <w:r w:rsidDel="00000000" w:rsidR="00000000" w:rsidRPr="00000000">
        <w:rPr>
          <w:rFonts w:ascii="Palatino Linotype" w:cs="Palatino Linotype" w:eastAsia="Palatino Linotype" w:hAnsi="Palatino Linotype"/>
          <w:rtl w:val="0"/>
        </w:rPr>
        <w:t xml:space="preserve"> a través del Sistema de Acceso a la Información Mexiquense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 quien en lo sucesivo se le identificará como </w:t>
      </w:r>
      <w:r w:rsidDel="00000000" w:rsidR="00000000" w:rsidRPr="00000000">
        <w:rPr>
          <w:rFonts w:ascii="Palatino Linotype" w:cs="Palatino Linotype" w:eastAsia="Palatino Linotype" w:hAnsi="Palatino Linotype"/>
          <w:b w:val="1"/>
          <w:rtl w:val="0"/>
        </w:rPr>
        <w:t xml:space="preserve">EL RECURRENTE</w:t>
      </w:r>
      <w:r w:rsidDel="00000000" w:rsidR="00000000" w:rsidRPr="00000000">
        <w:rPr>
          <w:rFonts w:ascii="Palatino Linotype" w:cs="Palatino Linotype" w:eastAsia="Palatino Linotype" w:hAnsi="Palatino Linotype"/>
          <w:rtl w:val="0"/>
        </w:rPr>
        <w:t xml:space="preserve">, en contra de la respuesta de la </w:t>
      </w:r>
      <w:r w:rsidDel="00000000" w:rsidR="00000000" w:rsidRPr="00000000">
        <w:rPr>
          <w:rFonts w:ascii="Palatino Linotype" w:cs="Palatino Linotype" w:eastAsia="Palatino Linotype" w:hAnsi="Palatino Linotype"/>
          <w:b w:val="1"/>
          <w:rtl w:val="0"/>
        </w:rPr>
        <w:t xml:space="preserve">Junta de Caminos del Estado de México, </w:t>
      </w:r>
      <w:r w:rsidDel="00000000" w:rsidR="00000000" w:rsidRPr="00000000">
        <w:rPr>
          <w:rFonts w:ascii="Palatino Linotype" w:cs="Palatino Linotype" w:eastAsia="Palatino Linotype" w:hAnsi="Palatino Linotype"/>
          <w:rtl w:val="0"/>
        </w:rPr>
        <w:t xml:space="preserve">en lo sucesivo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se procede a dictar la presente resolución, con base en los siguientes:</w:t>
      </w:r>
    </w:p>
    <w:p w:rsidR="00000000" w:rsidDel="00000000" w:rsidP="00000000" w:rsidRDefault="00000000" w:rsidRPr="00000000" w14:paraId="00000004">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05">
      <w:pPr>
        <w:pStyle w:val="Heading1"/>
        <w:spacing w:before="0" w:line="360" w:lineRule="auto"/>
        <w:jc w:val="center"/>
        <w:rPr>
          <w:rFonts w:ascii="Palatino Linotype" w:cs="Palatino Linotype" w:eastAsia="Palatino Linotype" w:hAnsi="Palatino Linotype"/>
          <w:b w:val="1"/>
          <w:color w:val="000000"/>
          <w:sz w:val="24"/>
          <w:szCs w:val="24"/>
        </w:rPr>
      </w:pPr>
      <w:bookmarkStart w:colFirst="0" w:colLast="0" w:name="_heading=h.gjdgxs" w:id="0"/>
      <w:bookmarkEnd w:id="0"/>
      <w:r w:rsidDel="00000000" w:rsidR="00000000" w:rsidRPr="00000000">
        <w:rPr>
          <w:rFonts w:ascii="Palatino Linotype" w:cs="Palatino Linotype" w:eastAsia="Palatino Linotype" w:hAnsi="Palatino Linotype"/>
          <w:b w:val="1"/>
          <w:color w:val="000000"/>
          <w:sz w:val="24"/>
          <w:szCs w:val="24"/>
          <w:rtl w:val="0"/>
        </w:rPr>
        <w:t xml:space="preserve">A N T E C E D E N T E S</w:t>
      </w:r>
    </w:p>
    <w:p w:rsidR="00000000" w:rsidDel="00000000" w:rsidP="00000000" w:rsidRDefault="00000000" w:rsidRPr="00000000" w14:paraId="00000006">
      <w:pPr>
        <w:spacing w:line="360" w:lineRule="auto"/>
        <w:rPr/>
      </w:pPr>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día diecinueve (19) de agosto de dos mil veintiuno</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 presentó ante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vía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SAIMEX</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la solicitud de información pública registrada con el número</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00044/JC/IP/2021,</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mediante la cual se solicitó la siguiente información:</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spacing w:line="360" w:lineRule="auto"/>
        <w:ind w:left="567" w:right="61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“Solicito toda la información actualizada al día en que ingresa la presente solicitud, respecto de la autorización al ejecutivo del Estado de México, por la contratación de crédito APP (rehabilitación o conservación de red carretera) para construir los caminos del sur. De manera específica, solicito las expresiones documentales donde conste lo siguiente (sea cualquiera denominación que pueda tener el documento): ¿A cuánto asciende el monto que ha egresado hasta el momento? ¿Cómo se ha gastado? ¿En dónde se han aplicado? Cabe mencionar que la secretaría de obra indica que este es el sujeto obligado que debe contar con la información que solicito”</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474"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146" w:right="474"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Modalidad de entrega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 través del SAIMEX</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46" w:right="474"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día nueve (9) de septiembre de dos mil veintiuno,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emitió su respuesta mediante seis (6) archivos, cuyos contenidos son los siguientes:</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0"/>
        </w:tabs>
        <w:spacing w:after="0" w:before="0" w:line="360" w:lineRule="auto"/>
        <w:ind w:left="851" w:right="49" w:hanging="36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folio 00044-JC-IP-2021.pdf</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que corresponde al siguiente oficio:</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419100</wp:posOffset>
                </wp:positionV>
                <wp:extent cx="5680049" cy="3405022"/>
                <wp:effectExtent b="0" l="0" r="0" t="0"/>
                <wp:wrapNone/>
                <wp:docPr id="39" name=""/>
                <a:graphic>
                  <a:graphicData uri="http://schemas.microsoft.com/office/word/2010/wordprocessingShape">
                    <wps:wsp>
                      <wps:cNvCnPr/>
                      <wps:spPr>
                        <a:xfrm>
                          <a:off x="2518676" y="2090189"/>
                          <a:ext cx="5654649" cy="3379622"/>
                        </a:xfrm>
                        <a:prstGeom prst="straightConnector1">
                          <a:avLst/>
                        </a:prstGeom>
                        <a:noFill/>
                        <a:ln cap="flat" cmpd="sng" w="2540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419100</wp:posOffset>
                </wp:positionV>
                <wp:extent cx="5680049" cy="3405022"/>
                <wp:effectExtent b="0" l="0" r="0" t="0"/>
                <wp:wrapNone/>
                <wp:docPr id="39"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5680049" cy="3405022"/>
                        </a:xfrm>
                        <a:prstGeom prst="rect"/>
                        <a:ln/>
                      </pic:spPr>
                    </pic:pic>
                  </a:graphicData>
                </a:graphic>
              </wp:anchor>
            </w:drawing>
          </mc:Fallback>
        </mc:AlternateContent>
      </w:r>
    </w:p>
    <w:p w:rsidR="00000000" w:rsidDel="00000000" w:rsidP="00000000" w:rsidRDefault="00000000" w:rsidRPr="00000000" w14:paraId="00000010">
      <w:pPr>
        <w:tabs>
          <w:tab w:val="left" w:pos="0"/>
        </w:tabs>
        <w:spacing w:line="360" w:lineRule="auto"/>
        <w:ind w:right="49"/>
        <w:jc w:val="center"/>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Pr>
        <w:drawing>
          <wp:inline distB="0" distT="0" distL="0" distR="0">
            <wp:extent cx="5449104" cy="6514749"/>
            <wp:effectExtent b="0" l="0" r="0" t="0"/>
            <wp:docPr id="4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449104" cy="6514749"/>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tabs>
          <w:tab w:val="left" w:pos="0"/>
        </w:tabs>
        <w:spacing w:line="360" w:lineRule="auto"/>
        <w:ind w:right="49"/>
        <w:jc w:val="center"/>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0"/>
        </w:tabs>
        <w:spacing w:after="0" w:before="0" w:line="360" w:lineRule="auto"/>
        <w:ind w:left="851" w:right="49" w:hanging="36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Oficio 0217.- Ing. René Juarez García, Respuesta SAIMEX folio 00044-JC-IP-2021.pdf,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cuyo contenido corresponde al oficio siguiente:</w:t>
      </w:r>
      <w:r w:rsidDel="00000000" w:rsidR="00000000" w:rsidRPr="00000000">
        <w:rPr>
          <w:rtl w:val="0"/>
        </w:rPr>
      </w:r>
    </w:p>
    <w:p w:rsidR="00000000" w:rsidDel="00000000" w:rsidP="00000000" w:rsidRDefault="00000000" w:rsidRPr="00000000" w14:paraId="00000013">
      <w:pPr>
        <w:tabs>
          <w:tab w:val="left" w:pos="0"/>
        </w:tabs>
        <w:spacing w:line="360" w:lineRule="auto"/>
        <w:ind w:right="49"/>
        <w:jc w:val="center"/>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Pr>
        <w:drawing>
          <wp:inline distB="0" distT="0" distL="0" distR="0">
            <wp:extent cx="5339849" cy="6617400"/>
            <wp:effectExtent b="0" l="0" r="0" t="0"/>
            <wp:docPr id="45"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5339849" cy="66174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0"/>
        </w:tabs>
        <w:spacing w:after="0" w:before="0" w:line="360" w:lineRule="auto"/>
        <w:ind w:left="851" w:right="49" w:hanging="36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OFICIO 302 SOLICITUD 44.pdf</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cuyo oficio adjunto es el siguiente:</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360" w:lineRule="auto"/>
        <w:ind w:left="851" w:right="49"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jc w:val="center"/>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Pr>
        <w:drawing>
          <wp:inline distB="0" distT="0" distL="0" distR="0">
            <wp:extent cx="5353485" cy="5954517"/>
            <wp:effectExtent b="0" l="0" r="0" t="0"/>
            <wp:docPr id="44"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353485" cy="5954517"/>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jc w:val="center"/>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Pr>
        <w:drawing>
          <wp:inline distB="0" distT="0" distL="0" distR="0">
            <wp:extent cx="4072144" cy="2313969"/>
            <wp:effectExtent b="0" l="0" r="0" t="0"/>
            <wp:docPr id="47"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4072144" cy="2313969"/>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0"/>
        </w:tabs>
        <w:spacing w:after="0" w:before="0" w:line="360" w:lineRule="auto"/>
        <w:ind w:left="851" w:right="49" w:hanging="36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Documento 6.pdf,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del cual se desprende el oficio siguiente:</w:t>
      </w:r>
      <w:r w:rsidDel="00000000" w:rsidR="00000000" w:rsidRPr="00000000">
        <w:rPr>
          <w:rtl w:val="0"/>
        </w:rPr>
      </w:r>
    </w:p>
    <w:p w:rsidR="00000000" w:rsidDel="00000000" w:rsidP="00000000" w:rsidRDefault="00000000" w:rsidRPr="00000000" w14:paraId="0000001A">
      <w:pPr>
        <w:jc w:val="center"/>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Pr>
        <w:drawing>
          <wp:inline distB="0" distT="0" distL="0" distR="0">
            <wp:extent cx="4020309" cy="4390673"/>
            <wp:effectExtent b="0" l="0" r="0" t="0"/>
            <wp:docPr id="46"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4020309" cy="4390673"/>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0"/>
        </w:tabs>
        <w:spacing w:after="0" w:before="0" w:line="360" w:lineRule="auto"/>
        <w:ind w:left="851" w:right="49" w:hanging="36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220C0101000800T03262021.pdf,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que pertenece al oficio siguiente:</w:t>
      </w:r>
      <w:r w:rsidDel="00000000" w:rsidR="00000000" w:rsidRPr="00000000">
        <w:rPr>
          <w:rtl w:val="0"/>
        </w:rPr>
      </w:r>
    </w:p>
    <w:p w:rsidR="00000000" w:rsidDel="00000000" w:rsidP="00000000" w:rsidRDefault="00000000" w:rsidRPr="00000000" w14:paraId="0000001C">
      <w:pPr>
        <w:tabs>
          <w:tab w:val="left" w:pos="0"/>
        </w:tabs>
        <w:spacing w:line="360" w:lineRule="auto"/>
        <w:ind w:right="49"/>
        <w:jc w:val="center"/>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Pr>
        <w:drawing>
          <wp:inline distB="0" distT="0" distL="0" distR="0">
            <wp:extent cx="5166104" cy="5844316"/>
            <wp:effectExtent b="0" l="0" r="0" t="0"/>
            <wp:docPr id="49"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5166104" cy="5844316"/>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0"/>
        </w:tabs>
        <w:spacing w:after="0" w:before="0" w:line="360" w:lineRule="auto"/>
        <w:ind w:left="851" w:right="49" w:hanging="36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Oficio de respuesta 0361_2021.pdf,</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que concierne al oficio mediante el cual se informa de la respuesta emitida al solicitante, que versa en los siguientes terminos:</w:t>
      </w:r>
      <w:r w:rsidDel="00000000" w:rsidR="00000000" w:rsidRPr="00000000">
        <w:rPr>
          <w:rtl w:val="0"/>
        </w:rPr>
      </w:r>
    </w:p>
    <w:p w:rsidR="00000000" w:rsidDel="00000000" w:rsidP="00000000" w:rsidRDefault="00000000" w:rsidRPr="00000000" w14:paraId="0000001F">
      <w:pPr>
        <w:tabs>
          <w:tab w:val="left" w:pos="0"/>
        </w:tabs>
        <w:spacing w:line="360" w:lineRule="auto"/>
        <w:ind w:right="49"/>
        <w:jc w:val="center"/>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Pr>
        <w:drawing>
          <wp:inline distB="0" distT="0" distL="0" distR="0">
            <wp:extent cx="5000684" cy="5858090"/>
            <wp:effectExtent b="0" l="0" r="0" t="0"/>
            <wp:docPr id="48"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5000684" cy="585809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360" w:lineRule="auto"/>
        <w:ind w:left="1146" w:right="49"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bookmarkStart w:colFirst="0" w:colLast="0" w:name="_heading=h.30j0zll" w:id="1"/>
      <w:bookmarkEnd w:id="1"/>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fecha catorce (14) de septiembre de dos mil veintiuno, el particular interpuso el recurso de revisión en contra de la respuesta, señalando como:</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0"/>
        </w:tabs>
        <w:spacing w:after="0" w:before="0" w:line="360" w:lineRule="auto"/>
        <w:ind w:left="720" w:right="49" w:hanging="36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bookmarkStart w:colFirst="0" w:colLast="0" w:name="_heading=h.1fob9te" w:id="2"/>
      <w:bookmarkEnd w:id="2"/>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Acto impugnado: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“La totalidad de la respuesta entregada (no consiento nada)”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360" w:lineRule="auto"/>
        <w:ind w:left="708" w:right="49"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0"/>
        </w:tabs>
        <w:spacing w:after="0" w:before="0" w:line="360" w:lineRule="auto"/>
        <w:ind w:left="720" w:right="49" w:hanging="36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bookmarkStart w:colFirst="0" w:colLast="0" w:name="_heading=h.3znysh7" w:id="3"/>
      <w:bookmarkEnd w:id="3"/>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Razones o Motivos de inconformidad: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“en relación a que no se es explícito en relación con la supuesta inexistencia de la información, es decir, todo lo contestan en negativa y me envían a un link pero se limitan a decir que no tienen nada cuando deberían fundar y motivar dicha inexistencia o haciéndolo por comité, pero determinando que si es por ejemplo, por el estatus que guarda la licitación y aún no se llega a la etapa correspondiente, porque es un hecho que los recursos se han previsto presupuestalmente, pero su respuesta es vaga y ambigua y no me genera ninguna certeza sobre la causa de la supuesta inexistencia de la información”</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 w:right="0" w:firstLine="0"/>
        <w:jc w:val="left"/>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 registró el recurso de revisión bajo el número de expediente al rubro indicado, y con fundamento en lo dispuesto por el artículo 185 fracción I de la Ley de Transparencia y Acceso a la Información Pública del Estado de México y Municipios, se turnó a 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Comisionada María del Rosario Mejía Ayala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con el objeto de su análisis.</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La Comisionada Ponente con fundamento en lo dispuesto por el artículo 185 fracción II de la ley de la materia, a través del acuerdo de admisión de fecha veinte (20) de septiembre de dos mil veintiuno, puso a disposición de las partes el expediente electrónico vía SAIMEX a efecto de que en un plazo máximo de siete días manifestaran lo que a su derecho conviniera, ofrecieran pruebas y alegatos según corresponda al caso concreto, de esta forma para que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presentara el Informe Justificado procedente.</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en fecha veintisiete (27) de septiembre del año en curso, rindió el informe justificado respectivo, mismo que fue hecho del conocimiento del hoy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RECURRENTE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mediante acuerdo de fecha cuatro (04) de octubre de dos mil veintiuno. Por su parte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RECURRENTE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no realizó manifestaciones que a su derecho conviniera y asistiera, como se desprende de la siguiente captura:</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inline distB="0" distT="0" distL="0" distR="0">
            <wp:extent cx="5602605" cy="1353185"/>
            <wp:effectExtent b="0" l="0" r="0" t="0"/>
            <wp:docPr id="51"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5602605" cy="1353185"/>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bookmarkStart w:colFirst="0" w:colLast="0" w:name="_heading=h.2et92p0" w:id="4"/>
      <w:bookmarkEnd w:id="4"/>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La Comisionada Ponente mediante acuerdo de fecha cuatro (04) de noviembre de dos mil veintiuno, amplió el termino para resolver, posteriormente mediante acuerdo de misma fecha decretó el cierre de instrucción, por lo que no habiendo más que hacer constar, y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pStyle w:val="Heading2"/>
        <w:jc w:val="center"/>
        <w:rPr>
          <w:rFonts w:ascii="Palatino Linotype" w:cs="Palatino Linotype" w:eastAsia="Palatino Linotype" w:hAnsi="Palatino Linotype"/>
          <w:b w:val="1"/>
          <w:color w:val="000000"/>
        </w:rPr>
      </w:pPr>
      <w:bookmarkStart w:colFirst="0" w:colLast="0" w:name="_heading=h.tyjcwt" w:id="5"/>
      <w:bookmarkEnd w:id="5"/>
      <w:r w:rsidDel="00000000" w:rsidR="00000000" w:rsidRPr="00000000">
        <w:rPr>
          <w:rFonts w:ascii="Palatino Linotype" w:cs="Palatino Linotype" w:eastAsia="Palatino Linotype" w:hAnsi="Palatino Linotype"/>
          <w:b w:val="1"/>
          <w:color w:val="000000"/>
          <w:rtl w:val="0"/>
        </w:rPr>
        <w:t xml:space="preserve">CONSIDERANDO</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pStyle w:val="Heading2"/>
        <w:spacing w:before="0" w:line="360" w:lineRule="auto"/>
        <w:rPr>
          <w:rFonts w:ascii="Palatino Linotype" w:cs="Palatino Linotype" w:eastAsia="Palatino Linotype" w:hAnsi="Palatino Linotype"/>
          <w:b w:val="1"/>
          <w:color w:val="000000"/>
          <w:sz w:val="24"/>
          <w:szCs w:val="24"/>
        </w:rPr>
      </w:pPr>
      <w:bookmarkStart w:colFirst="0" w:colLast="0" w:name="_heading=h.3dy6vkm" w:id="6"/>
      <w:bookmarkEnd w:id="6"/>
      <w:r w:rsidDel="00000000" w:rsidR="00000000" w:rsidRPr="00000000">
        <w:rPr>
          <w:rFonts w:ascii="Palatino Linotype" w:cs="Palatino Linotype" w:eastAsia="Palatino Linotype" w:hAnsi="Palatino Linotype"/>
          <w:b w:val="1"/>
          <w:color w:val="000000"/>
          <w:sz w:val="24"/>
          <w:szCs w:val="24"/>
          <w:rtl w:val="0"/>
        </w:rPr>
        <w:t xml:space="preserve">PRIMERO. De la competencia</w:t>
      </w:r>
    </w:p>
    <w:p w:rsidR="00000000" w:rsidDel="00000000" w:rsidP="00000000" w:rsidRDefault="00000000" w:rsidRPr="00000000" w14:paraId="00000034">
      <w:pPr>
        <w:spacing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360" w:lineRule="auto"/>
        <w:ind w:left="0" w:right="0"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bookmarkStart w:colFirst="0" w:colLast="0" w:name="_heading=h.1t3h5sf" w:id="7"/>
      <w:bookmarkEnd w:id="7"/>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360" w:lineRule="auto"/>
        <w:ind w:left="0" w:right="0"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bookmarkStart w:colFirst="0" w:colLast="0" w:name="_heading=h.4d34og8" w:id="8"/>
      <w:bookmarkEnd w:id="8"/>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SEGUNDO. De previo y especial pronunciamiento.</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 la revisión al expediente electrónico del SAIMEX se desprende que la parte solicitante en ejercicio de su derecho de acceso a la información pública en el expediente que se revisa, tanto en la solicitud de información como en el recurso de revisión no proporciona su nombre completo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lo que el nombre del solicitando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Garante.</w:t>
      </w:r>
    </w:p>
    <w:p w:rsidR="00000000" w:rsidDel="00000000" w:rsidP="00000000" w:rsidRDefault="00000000" w:rsidRPr="00000000" w14:paraId="00000042">
      <w:pPr>
        <w:pStyle w:val="Heading1"/>
        <w:spacing w:before="0" w:line="360" w:lineRule="auto"/>
        <w:rPr>
          <w:rFonts w:ascii="Palatino Linotype" w:cs="Palatino Linotype" w:eastAsia="Palatino Linotype" w:hAnsi="Palatino Linotype"/>
          <w:b w:val="1"/>
          <w:color w:val="000000"/>
          <w:sz w:val="24"/>
          <w:szCs w:val="24"/>
        </w:rPr>
      </w:pPr>
      <w:bookmarkStart w:colFirst="0" w:colLast="0" w:name="_heading=h.2s8eyo1" w:id="9"/>
      <w:bookmarkEnd w:id="9"/>
      <w:r w:rsidDel="00000000" w:rsidR="00000000" w:rsidRPr="00000000">
        <w:rPr>
          <w:rtl w:val="0"/>
        </w:rPr>
      </w:r>
    </w:p>
    <w:p w:rsidR="00000000" w:rsidDel="00000000" w:rsidP="00000000" w:rsidRDefault="00000000" w:rsidRPr="00000000" w14:paraId="00000043">
      <w:pPr>
        <w:pStyle w:val="Heading1"/>
        <w:spacing w:before="0" w:line="360" w:lineRule="auto"/>
        <w:rPr>
          <w:rFonts w:ascii="Palatino Linotype" w:cs="Palatino Linotype" w:eastAsia="Palatino Linotype" w:hAnsi="Palatino Linotype"/>
          <w:b w:val="1"/>
          <w:color w:val="000000"/>
          <w:sz w:val="24"/>
          <w:szCs w:val="24"/>
        </w:rPr>
      </w:pPr>
      <w:bookmarkStart w:colFirst="0" w:colLast="0" w:name="_heading=h.17dp8vu" w:id="10"/>
      <w:bookmarkEnd w:id="10"/>
      <w:r w:rsidDel="00000000" w:rsidR="00000000" w:rsidRPr="00000000">
        <w:rPr>
          <w:rFonts w:ascii="Palatino Linotype" w:cs="Palatino Linotype" w:eastAsia="Palatino Linotype" w:hAnsi="Palatino Linotype"/>
          <w:b w:val="1"/>
          <w:color w:val="000000"/>
          <w:sz w:val="24"/>
          <w:szCs w:val="24"/>
          <w:rtl w:val="0"/>
        </w:rPr>
        <w:t xml:space="preserve">TERCERO. De la oportunidad y procedencia.</w:t>
      </w:r>
    </w:p>
    <w:p w:rsidR="00000000" w:rsidDel="00000000" w:rsidP="00000000" w:rsidRDefault="00000000" w:rsidRPr="00000000" w14:paraId="00000044">
      <w:pPr>
        <w:spacing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555555"/>
          <w:sz w:val="24"/>
          <w:szCs w:val="24"/>
          <w:u w:val="none"/>
          <w:shd w:fill="auto" w:val="clear"/>
          <w:vertAlign w:val="baseline"/>
        </w:rPr>
      </w:pPr>
      <w:bookmarkStart w:colFirst="0" w:colLast="0" w:name="_heading=h.3rdcrjn" w:id="11"/>
      <w:bookmarkEnd w:id="11"/>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medio de impugnación fue presentado a través 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SAIMEX,</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en el formato previamente aprobado para tal efecto y dentro del plazo legal de quince días hábiles otorgados; para el caso en particular es de señalar que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entregó su respuesta el día nueve (09) de septiembre de dos mil veintiuno, de tal forma que el plazo para interponer el recurso transcurrió del día diez (10) de septiembre al uno (01) de octubre de dos mil veintiuno; en consecuencia, el ahora recurrente presentó su inconformidad el día catorce (14) de septiembre de dos mil veintiuno; es decir, dentro del plazo legalmente establecido para tal efecto.</w:t>
      </w:r>
      <w:r w:rsidDel="00000000" w:rsidR="00000000" w:rsidRPr="00000000">
        <w:rPr>
          <w:rtl w:val="0"/>
        </w:rPr>
      </w:r>
    </w:p>
    <w:p w:rsidR="00000000" w:rsidDel="00000000" w:rsidP="00000000" w:rsidRDefault="00000000" w:rsidRPr="00000000" w14:paraId="00000046">
      <w:pPr>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000000" w:rsidDel="00000000" w:rsidP="00000000" w:rsidRDefault="00000000" w:rsidRPr="00000000" w14:paraId="00000048">
      <w:pPr>
        <w:pStyle w:val="Heading1"/>
        <w:spacing w:before="0" w:line="360" w:lineRule="auto"/>
        <w:rPr>
          <w:rFonts w:ascii="Palatino Linotype" w:cs="Palatino Linotype" w:eastAsia="Palatino Linotype" w:hAnsi="Palatino Linotype"/>
          <w:b w:val="1"/>
          <w:color w:val="000000"/>
          <w:sz w:val="24"/>
          <w:szCs w:val="24"/>
        </w:rPr>
      </w:pPr>
      <w:r w:rsidDel="00000000" w:rsidR="00000000" w:rsidRPr="00000000">
        <w:rPr>
          <w:rtl w:val="0"/>
        </w:rPr>
      </w:r>
    </w:p>
    <w:p w:rsidR="00000000" w:rsidDel="00000000" w:rsidP="00000000" w:rsidRDefault="00000000" w:rsidRPr="00000000" w14:paraId="00000049">
      <w:pPr>
        <w:pStyle w:val="Heading1"/>
        <w:spacing w:before="0" w:line="360" w:lineRule="auto"/>
        <w:rPr>
          <w:rFonts w:ascii="Palatino Linotype" w:cs="Palatino Linotype" w:eastAsia="Palatino Linotype" w:hAnsi="Palatino Linotype"/>
          <w:b w:val="1"/>
          <w:color w:val="000000"/>
          <w:sz w:val="24"/>
          <w:szCs w:val="24"/>
        </w:rPr>
      </w:pPr>
      <w:bookmarkStart w:colFirst="0" w:colLast="0" w:name="_heading=h.26in1rg" w:id="12"/>
      <w:bookmarkEnd w:id="12"/>
      <w:r w:rsidDel="00000000" w:rsidR="00000000" w:rsidRPr="00000000">
        <w:rPr>
          <w:rFonts w:ascii="Palatino Linotype" w:cs="Palatino Linotype" w:eastAsia="Palatino Linotype" w:hAnsi="Palatino Linotype"/>
          <w:b w:val="1"/>
          <w:color w:val="000000"/>
          <w:sz w:val="24"/>
          <w:szCs w:val="24"/>
          <w:rtl w:val="0"/>
        </w:rPr>
        <w:t xml:space="preserve">CUARTO. Del planteamiento de la </w:t>
      </w:r>
      <w:r w:rsidDel="00000000" w:rsidR="00000000" w:rsidRPr="00000000">
        <w:rPr>
          <w:rFonts w:ascii="Palatino Linotype" w:cs="Palatino Linotype" w:eastAsia="Palatino Linotype" w:hAnsi="Palatino Linotype"/>
          <w:b w:val="1"/>
          <w:i w:val="1"/>
          <w:color w:val="000000"/>
          <w:sz w:val="24"/>
          <w:szCs w:val="24"/>
          <w:rtl w:val="0"/>
        </w:rPr>
        <w:t xml:space="preserve">Litis</w:t>
      </w:r>
      <w:r w:rsidDel="00000000" w:rsidR="00000000" w:rsidRPr="00000000">
        <w:rPr>
          <w:rFonts w:ascii="Palatino Linotype" w:cs="Palatino Linotype" w:eastAsia="Palatino Linotype" w:hAnsi="Palatino Linotype"/>
          <w:b w:val="1"/>
          <w:color w:val="000000"/>
          <w:sz w:val="24"/>
          <w:szCs w:val="24"/>
          <w:rtl w:val="0"/>
        </w:rPr>
        <w:t xml:space="preserve">.</w:t>
      </w:r>
    </w:p>
    <w:p w:rsidR="00000000" w:rsidDel="00000000" w:rsidP="00000000" w:rsidRDefault="00000000" w:rsidRPr="00000000" w14:paraId="0000004A">
      <w:pPr>
        <w:spacing w:line="360" w:lineRule="auto"/>
        <w:rPr/>
      </w:pP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 solicitó, la siguiente información a modo desagregado:</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93" w:right="0"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De la autorización al Ejecutivo del Estado de México, por la contratación de crédito APP (rehabilitación o conservación de red carretera) para construir los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caminos del sur</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la siguiente información al 19 de agosto de 2021:</w:t>
      </w:r>
    </w:p>
    <w:p w:rsidR="00000000" w:rsidDel="00000000" w:rsidP="00000000" w:rsidRDefault="00000000" w:rsidRPr="00000000" w14:paraId="0000004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Monto egresado;</w:t>
      </w:r>
    </w:p>
    <w:p w:rsidR="00000000" w:rsidDel="00000000" w:rsidP="00000000" w:rsidRDefault="00000000" w:rsidRPr="00000000" w14:paraId="000000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¿Cómo se ha gastado?; y</w:t>
      </w:r>
    </w:p>
    <w:p w:rsidR="00000000" w:rsidDel="00000000" w:rsidP="00000000" w:rsidRDefault="00000000" w:rsidRPr="00000000" w14:paraId="0000005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¿En dónde se han aplicado?</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respuesta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informó que no se cuenta con registros de montos egresados, gastados y aplicados.</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Inconforme con la respuesta, el solicitante interpuso recurso de revisión, señalando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grosso modo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su inconformidad ante la falta de motivación y fundamentación en la inexistencia de la información.</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dichas condiciones, la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Litis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 resolver en el presente recurso de revisión, se circunscribe a determinar si se actualizan las causales de procedencia previstas en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artículo 179</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fracción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XIII</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de 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Ley de Transparencia y Acceso a la Información Pública del Estado de México y Municipios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fracción que determina la hipótesis jurídica de la falta, deficiencia o insuficiencia de la fundamentación y/o motivación en la respuesta; causal de la que se dolió el particular recurrente al momento de interponer su recurso de revisión, por lo que se determinará si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con su respuesta ciertamente actualiza la causal de referencia;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completa e integral.</w:t>
      </w:r>
    </w:p>
    <w:p w:rsidR="00000000" w:rsidDel="00000000" w:rsidP="00000000" w:rsidRDefault="00000000" w:rsidRPr="00000000" w14:paraId="00000057">
      <w:pPr>
        <w:spacing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8">
      <w:pPr>
        <w:pStyle w:val="Heading1"/>
        <w:spacing w:before="0" w:line="360" w:lineRule="auto"/>
        <w:rPr>
          <w:rFonts w:ascii="Palatino Linotype" w:cs="Palatino Linotype" w:eastAsia="Palatino Linotype" w:hAnsi="Palatino Linotype"/>
          <w:b w:val="1"/>
          <w:color w:val="000000"/>
          <w:sz w:val="24"/>
          <w:szCs w:val="24"/>
        </w:rPr>
      </w:pPr>
      <w:bookmarkStart w:colFirst="0" w:colLast="0" w:name="_heading=h.lnxbz9" w:id="13"/>
      <w:bookmarkEnd w:id="13"/>
      <w:r w:rsidDel="00000000" w:rsidR="00000000" w:rsidRPr="00000000">
        <w:rPr>
          <w:rFonts w:ascii="Palatino Linotype" w:cs="Palatino Linotype" w:eastAsia="Palatino Linotype" w:hAnsi="Palatino Linotype"/>
          <w:b w:val="1"/>
          <w:color w:val="000000"/>
          <w:sz w:val="24"/>
          <w:szCs w:val="24"/>
          <w:rtl w:val="0"/>
        </w:rPr>
        <w:t xml:space="preserve">QUINTO. Del estudio y resolución del asunto</w:t>
      </w:r>
    </w:p>
    <w:p w:rsidR="00000000" w:rsidDel="00000000" w:rsidP="00000000" w:rsidRDefault="00000000" w:rsidRPr="00000000" w14:paraId="00000059">
      <w:pPr>
        <w:spacing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Primeramente es menester precisar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debe ser cuidadoso del debido cumplimiento de las obligaciones constitucionales que se le imponen, en consecuencia, a todas las autoridades, en el ámbito de su competencia, según lo dispone el tercer párrafo del artículo primero de 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Constitución Política de los Estados Unidos Mexicanos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al señalar la obligación de “promover, respetar, proteger y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garantizar</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los derechos humanos”, entre los cuales se encuentra dicho derecho.</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Así las cosas, podemos definir el Derecho de Acceso a la Información Pública como: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La igualdad de oportunidades para recibir, buscar e impartir información</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superscript"/>
        </w:rPr>
        <w:footnoteReference w:customMarkFollows="0" w:id="0"/>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superscript"/>
        </w:rPr>
        <w:footnoteReference w:customMarkFollows="0" w:id="1"/>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que se constituye como una herramienta fundamental para ejercer</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 el control democrático de las gestiones estatales, de forma tal que puedan cuestionar, indagar y considerar si se está dando un adecuado cumplimiento a las funciones públicas,</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superscript"/>
        </w:rPr>
        <w:footnoteReference w:customMarkFollows="0" w:id="2"/>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fomentando</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 la transparencia de las actividades estatales y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promoviendo</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 la responsabilidad de los funcionarios sobre su gestión pública,</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superscript"/>
        </w:rPr>
        <w:footnoteReference w:customMarkFollows="0" w:id="3"/>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que permite</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 saber qué están haciendo los gobiernos por sus pueblos, sin lo cual la verdad languidecería y la participación en el gobierno permanecería fragmentada.</w:t>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426"/>
        </w:tabs>
        <w:spacing w:after="0" w:before="0" w:line="360" w:lineRule="auto"/>
        <w:ind w:left="720" w:right="51" w:hanging="36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bookmarkStart w:colFirst="0" w:colLast="0" w:name="_heading=h.35nkun2" w:id="14"/>
      <w:bookmarkEnd w:id="14"/>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De la respuesta a la solicitud de información.</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360" w:lineRule="auto"/>
        <w:ind w:left="720" w:right="51"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Expuesto lo anterior, de la lectura a la solicitud de información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00044/JC/IP/2021</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y como fuera señalado en el Planteamiento de la</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 Litis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de esta resolución, se advierte que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refirió que no se ha egresado, aplicado y gastado monto alguno relativo al proyecto que se señaló en la solicitud de información; contexto que se refrendó al rendir el informe justificado; </w:t>
      </w: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no obstante se agregó</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una cifra de montos a la fecha de la solicitud de información de los rubros requeridos, que es de $0.00 (cero pesos), como se observa:</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inline distB="0" distT="0" distL="0" distR="0">
            <wp:extent cx="5355802" cy="3336401"/>
            <wp:effectExtent b="0" l="0" r="0" t="0"/>
            <wp:docPr id="50"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5355802" cy="3336401"/>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Al respecto, este Instituto no puede prejuzgar sobre las contestaciones esgrimidas por los sujetos obligados, dado que no se encuentra facultado para dudar de la veracidad de las respuestas emitidas por los sujetos obligados ni de la que ponen a disposición de los solicitantes; situación que se aleja de las atribuciones de este Instituto máxime que al momento que ponen a disposición ésta, la misma tiene el carácter oficial y se presume veraz, tan es así que la misma queda registrada en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SAIMEX</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Sirviendo de apoyo a lo anterior por analogía, el criterio 31-10 emitido por el ahora Instituto Nacional de Transparencia, Acceso a la Información y Protección de Datos Personales, que a la letra dice:</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240" w:line="360" w:lineRule="auto"/>
        <w:ind w:left="851" w:right="850"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El Instituto Federal de Acceso a la Información y Protección de Datos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no cuenta con facultades para pronunciarse respecto de la veracidad de los documentos proporcionados por los sujetos obligados.</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000000" w:rsidDel="00000000" w:rsidP="00000000" w:rsidRDefault="00000000" w:rsidRPr="00000000" w14:paraId="0000006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Y 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Ley de Transparencia y Acceso a la Información Pública del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Estado</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de México y Municipios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que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616"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Los Sujetos Obligados deben poner en práctica, políticas y programas de acceso a la información que se apeguen a criterios de publicidad, veracidad, oportunidad, precisión y suficiencia en beneficio de los solicitantes.”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Énfasis añadido</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9" w:right="758"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Numerales que compelen al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 respetar en todo momento a los criterios ya expuestos, imipidiendo a este Órgano Colegiado cuestionar la veracidad de la información.</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Luego entonces, con lo acotado vía informe justificado, se advierte que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se tiene por parcialmente colmada la solicitud de información</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por quedar plenamente establecido que el monto de los tres rubros que integraron la solicitud de información es de $0.00 (cero pesos), por las siguientes consideraciones.</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Si bien es cierto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ya realizó un pronunciamiento enfático que da contestación a lo requerido y que este Órgano Garante no está facultado para dudar de la veracidad de las respuestas que emiten los sujetos obligados, se tuvo a bien indagar lo siguiente.</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Que el proyecto que se señala en la solicitud de información existe y es competencia de la</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Junta de Caminos del Estado de México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en virtud de que el día veintitrés (23) de diciembre de dos mil diecinueve, en el periódico oficial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Gaceta del Gobierno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se publicó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Decreto Número 120</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por el que se autoriza el financiamiento y las obligaciones que contraerá el Estado para el desarrollo y la ejecución de la inversión pública productiva 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"Proyecto Rehabilitación y Conservación de una Red Carretera Libre de Peaje con una longitud de 1,637.8 km, con Residencia en Tejupilco, Ixtapan de la Sal y Toluca"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con el objeto de rehabilitar, conservar y mantener 82 caminos que suman un total de 1,637.8 kilómetros, cuyo Artículo Primero establece lo siguiente:</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360" w:lineRule="auto"/>
        <w:ind w:left="567" w:right="567"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ARTÍCULO PRIMERO.</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En consideración de que </w:t>
      </w:r>
      <w:r w:rsidDel="00000000" w:rsidR="00000000" w:rsidRPr="00000000">
        <w:rPr>
          <w:rFonts w:ascii="Palatino Linotype" w:cs="Palatino Linotype" w:eastAsia="Palatino Linotype" w:hAnsi="Palatino Linotype"/>
          <w:b w:val="1"/>
          <w:i w:val="1"/>
          <w:smallCaps w:val="0"/>
          <w:strike w:val="0"/>
          <w:color w:val="000000"/>
          <w:sz w:val="24"/>
          <w:szCs w:val="24"/>
          <w:u w:val="single"/>
          <w:shd w:fill="auto" w:val="clear"/>
          <w:vertAlign w:val="baseline"/>
          <w:rtl w:val="0"/>
        </w:rPr>
        <w:t xml:space="preserve">la Junta de Caminos del Estado de México, como unidad contratante</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 y la Secretaría de Finanzas emitieron, con fechas 29 de marzo de 2019 y 1 de abril de 2019, respectivamente</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 conforme a lo establecido por los artículos 15 y 16 de la Ley de Asociaciones Público Privadas del Estado de México y Municipios,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el Dictamen de Factibilidad y la Resolución correspondientes,</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 asimismo se analizó el impacto del proyecto objeto de este decreto en las finanzas públicas del Estado,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se autoriza el financiamiento y las obligaciones que contraerá el Estado para el desarrollo y la ejecución de la inversión pública productiva del "Proyecto Rehabilitación y Conservación de una Red Carretera Libre de Peaje con una longitud de 1,637.8 km, con Residencia en Tejupilco, Ixtapan de la Sal y Toluca"</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 con el objeto de rehabilitar, conservar y mantener 82 caminos que suman un total de 1,637.8 kilómetros, correspondientes a las residencias de Tejupilco, Ixtapan de la Sal y Toluca, en términos de lo establecido por la Ley de Asociaciones Público Privadas del Estado de México y Municipios, por el reglamento de dicha ley, y por el presente Decreto.”</w:t>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240" w:before="240" w:line="276" w:lineRule="auto"/>
        <w:ind w:left="567" w:right="567"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(Énfasis añadido)</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 la lectura al dispositivo primero del decreto, se logra observar que el ente público contratante del macro proyecto fue, efectivamente, 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Junta de Caminos del Estado de México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Asimismo, se señala que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el proyecto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será contratado a través de alguno de los mecanismos previstos en la Ley de Asociaciones Público Privadas del Estado de México y Municipios y en su Reglamento, el cual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estará a cargo de la Junta de Caminos del Estado de México, quien fungirá como unidad contratante para su desarrollo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superscript"/>
        </w:rPr>
        <w:footnoteReference w:customMarkFollows="0" w:id="4"/>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Asimismo, el cuarto párrafo del Artículo Tercero del Decreto señala que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los recursos para el pago serán con cargo al presupuesto de la Junta de Caminos del Estado de México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de acuerdo con las proyecciones financieras de mediano y largo plazos correspondientes,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bajo la modalidad de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proyecto de Asociación Público Privada (APP)</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en el entendido de que las partidas presupuestales de los presupuestos de egresos de la Junta de Caminos del Estado de México, durante la vigencia del contrato de prestación de servicios bajo el esquema de Asociación Público Privada correspondiente, deberán hacer mención especial de las obligaciones que resulten a cargo de dicho organismo público descentralizado conforme al proyecto autorizado, considerando en los mismos los pagos que se deban realizar, en cada ejercicio, al inversionista desarrollador, así como de que esta Legislatura aprobará las asignaciones presupuestales suficientes para cumplir con las obligaciones de pago bajo dicho contrato.</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No es ocioso señalar que 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Junta de Caminos del Estado de México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dentro de su portal oficial, creó un micrositio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superscript"/>
        </w:rPr>
        <w:footnoteReference w:customMarkFollows="0" w:id="5"/>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dedicado al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1"/>
          <w:smallCaps w:val="0"/>
          <w:strike w:val="0"/>
          <w:color w:val="000000"/>
          <w:sz w:val="24"/>
          <w:szCs w:val="24"/>
          <w:u w:val="single"/>
          <w:shd w:fill="auto" w:val="clear"/>
          <w:vertAlign w:val="baseline"/>
          <w:rtl w:val="0"/>
        </w:rPr>
        <w:t xml:space="preserve">Proyecto de Asociación Público Privada del SUR del Estado de México</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cuya nomenclatura es coincidente con la información requerida por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RECURRENTE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pues éste solicitó acceder a información de un proyecto APP para construir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los caminos del sur</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dentro del cual, además del Decreto número 120, se pueden consultar diversos documentos generados con motivo de la licitación pública internacional número SCEM-JC-DC-2020-APP-001-C, la cual consiste en el procedimiento de adjudicación empleado para llevar a cabo el proyecto de mérito. Se adjunta captura de imagen del portal como mera referencia: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3175000</wp:posOffset>
                </wp:positionV>
                <wp:extent cx="5537403" cy="1701165"/>
                <wp:effectExtent b="0" l="0" r="0" t="0"/>
                <wp:wrapNone/>
                <wp:docPr id="40" name=""/>
                <a:graphic>
                  <a:graphicData uri="http://schemas.microsoft.com/office/word/2010/wordprocessingShape">
                    <wps:wsp>
                      <wps:cNvCnPr/>
                      <wps:spPr>
                        <a:xfrm>
                          <a:off x="2589999" y="2942118"/>
                          <a:ext cx="5512003" cy="1675765"/>
                        </a:xfrm>
                        <a:prstGeom prst="straightConnector1">
                          <a:avLst/>
                        </a:prstGeom>
                        <a:noFill/>
                        <a:ln cap="flat" cmpd="sng" w="2540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3175000</wp:posOffset>
                </wp:positionV>
                <wp:extent cx="5537403" cy="1701165"/>
                <wp:effectExtent b="0" l="0" r="0" t="0"/>
                <wp:wrapNone/>
                <wp:docPr id="40" name="image15.png"/>
                <a:graphic>
                  <a:graphicData uri="http://schemas.openxmlformats.org/drawingml/2006/picture">
                    <pic:pic>
                      <pic:nvPicPr>
                        <pic:cNvPr id="0" name="image15.png"/>
                        <pic:cNvPicPr preferRelativeResize="0"/>
                      </pic:nvPicPr>
                      <pic:blipFill>
                        <a:blip r:embed="rId18"/>
                        <a:srcRect/>
                        <a:stretch>
                          <a:fillRect/>
                        </a:stretch>
                      </pic:blipFill>
                      <pic:spPr>
                        <a:xfrm>
                          <a:off x="0" y="0"/>
                          <a:ext cx="5537403" cy="1701165"/>
                        </a:xfrm>
                        <a:prstGeom prst="rect"/>
                        <a:ln/>
                      </pic:spPr>
                    </pic:pic>
                  </a:graphicData>
                </a:graphic>
              </wp:anchor>
            </w:drawing>
          </mc:Fallback>
        </mc:AlternateConten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240" w:before="240" w:line="360" w:lineRule="auto"/>
        <w:ind w:left="0" w:right="51" w:firstLine="0"/>
        <w:jc w:val="center"/>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inline distB="0" distT="0" distL="0" distR="0">
            <wp:extent cx="5189854" cy="2282172"/>
            <wp:effectExtent b="12700" l="12700" r="12700" t="12700"/>
            <wp:docPr id="53" name="image16.png"/>
            <a:graphic>
              <a:graphicData uri="http://schemas.openxmlformats.org/drawingml/2006/picture">
                <pic:pic>
                  <pic:nvPicPr>
                    <pic:cNvPr id="0" name="image16.png"/>
                    <pic:cNvPicPr preferRelativeResize="0"/>
                  </pic:nvPicPr>
                  <pic:blipFill>
                    <a:blip r:embed="rId19"/>
                    <a:srcRect b="0" l="0" r="0" t="0"/>
                    <a:stretch>
                      <a:fillRect/>
                    </a:stretch>
                  </pic:blipFill>
                  <pic:spPr>
                    <a:xfrm>
                      <a:off x="0" y="0"/>
                      <a:ext cx="5189854" cy="2282172"/>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Luego entonces, la competencia para poseer, generar y administrar la información relacionada con el "Proyecto Rehabilitación y Conservación de una Red Carretera Libre de Peaje con una longitud de 1,637.8 km, con Residencia en Tejupilco, Ixtapan de la Sal y Toluca" le concierne a 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Junta de Caminos del Estado de México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360" w:lineRule="auto"/>
        <w:ind w:left="0" w:right="51"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No obstante lo anterior, también se encontró al respecto la siguiente nota periodística: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685800</wp:posOffset>
                </wp:positionV>
                <wp:extent cx="5631789" cy="1816962"/>
                <wp:effectExtent b="0" l="0" r="0" t="0"/>
                <wp:wrapNone/>
                <wp:docPr id="37" name=""/>
                <a:graphic>
                  <a:graphicData uri="http://schemas.microsoft.com/office/word/2010/wordprocessingShape">
                    <wps:wsp>
                      <wps:cNvCnPr/>
                      <wps:spPr>
                        <a:xfrm>
                          <a:off x="2542806" y="2884219"/>
                          <a:ext cx="5606389" cy="1791562"/>
                        </a:xfrm>
                        <a:prstGeom prst="straightConnector1">
                          <a:avLst/>
                        </a:prstGeom>
                        <a:noFill/>
                        <a:ln cap="flat" cmpd="sng" w="2540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685800</wp:posOffset>
                </wp:positionV>
                <wp:extent cx="5631789" cy="1816962"/>
                <wp:effectExtent b="0" l="0" r="0" t="0"/>
                <wp:wrapNone/>
                <wp:docPr id="37" name="image2.png"/>
                <a:graphic>
                  <a:graphicData uri="http://schemas.openxmlformats.org/drawingml/2006/picture">
                    <pic:pic>
                      <pic:nvPicPr>
                        <pic:cNvPr id="0" name="image2.png"/>
                        <pic:cNvPicPr preferRelativeResize="0"/>
                      </pic:nvPicPr>
                      <pic:blipFill>
                        <a:blip r:embed="rId20"/>
                        <a:srcRect/>
                        <a:stretch>
                          <a:fillRect/>
                        </a:stretch>
                      </pic:blipFill>
                      <pic:spPr>
                        <a:xfrm>
                          <a:off x="0" y="0"/>
                          <a:ext cx="5631789" cy="1816962"/>
                        </a:xfrm>
                        <a:prstGeom prst="rect"/>
                        <a:ln/>
                      </pic:spPr>
                    </pic:pic>
                  </a:graphicData>
                </a:graphic>
              </wp:anchor>
            </w:drawing>
          </mc:Fallback>
        </mc:AlternateContent>
      </w:r>
    </w:p>
    <w:p w:rsidR="00000000" w:rsidDel="00000000" w:rsidP="00000000" w:rsidRDefault="00000000" w:rsidRPr="00000000" w14:paraId="00000082">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Pr>
        <w:drawing>
          <wp:inline distB="0" distT="0" distL="0" distR="0">
            <wp:extent cx="5022169" cy="5178703"/>
            <wp:effectExtent b="0" l="0" r="0" t="0"/>
            <wp:docPr id="52"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5022169" cy="5178703"/>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jc w:val="center"/>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84">
      <w:pPr>
        <w:jc w:val="center"/>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Fuente: https://diarioportal.com/2021/08/12/urge-legislatura-a-edomex-iniciar-obras-en-carreteras-del-sur-de-la-entidad/</w:t>
      </w:r>
    </w:p>
    <w:p w:rsidR="00000000" w:rsidDel="00000000" w:rsidP="00000000" w:rsidRDefault="00000000" w:rsidRPr="00000000" w14:paraId="00000085">
      <w:pPr>
        <w:jc w:val="center"/>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8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Como se advierte de la nota de referencia, la respuesta emitida por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guarda congruencia, toda vez que de la nota plasmada se advierte que no se han iniciado las obras del proyecto señalado en la solicitud de información que ocupa el presente estudio; asimismo se observa que la nota de referencia es del día doce (12) de agosto de dos mil veintiuno, es decir siete (7) días naturales posteriores a la interposición de la solicitud de información 00044/JC/IP/2021.</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Si bien es cierto  las notas periodísticas o publicaciones a través de la red de Internet constituyen el derecho a la libre expresión de los profesionales de la materia, previsto en el artículo 7 de 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Constitución Política de los Estados Unidos Mexicanos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en las cuales cada medio informativo vierte su opinión, comentario o señalamiento respecto de hechos que al parecer se suscitaron en un tiempo y lugar determinado y no pueden ser consideradas como un medio de prueba; también lo es que, arrojan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indicios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sobre los hechos a que se refieren.</w:t>
      </w:r>
    </w:p>
    <w:p w:rsidR="00000000" w:rsidDel="00000000" w:rsidP="00000000" w:rsidRDefault="00000000" w:rsidRPr="00000000" w14:paraId="00000089">
      <w:pPr>
        <w:spacing w:line="360" w:lineRule="auto"/>
        <w:ind w:right="34"/>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Apoya lo anterior, la Jurisprudencia con número de registro 1000830, emitida por la Sala Superior, Apéndice de 2011, localizable en VIII. Electoral Primera Parte Vigentes, Materia Electoral, tesis 191, página 244, cuyo rubro y contenido del tenor literal siguiente: </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709" w:firstLine="0"/>
        <w:jc w:val="both"/>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567"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“NOTAS PERIODÍSTICAS. ELEMENTOS PARA DETERMINAR SU FUERZA INDICIARIA.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Los medios probatorios que se hacen consistir en notas periodísticas, sólo pueden arrojar indicios sobre los hechos a que se refieren, pero para calificar si se trata de indicios simples o de indicios de mayor grado convictivo,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términos del artículo 16, apartado 1, de la Ley General del Sistema de Medios de Impugnación en Materia Electoral, o de la ley que sea aplicable, esto permite.</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567"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otro lado, relativo a los motivos de inconformidad consistentes en: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no se es explícito en relación con la supuesta inexistencia de la información</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y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deberían fundar y motivar dicha inexistencia o haciéndolo por comité</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resultan procedentes por las siguientes consideraciones.</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La Ley de Transparencia y Acceso a la Información Pública del Estado de México y Municipios establece, en su artículo 19,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dos supuestos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generales para proceder en el caso de información inexistente pero cuya existencia se presume por relacionarse con las facultades, competencias y funciones legales de los sujetos obligados, como a continuación se observa: </w:t>
      </w:r>
    </w:p>
    <w:p w:rsidR="00000000" w:rsidDel="00000000" w:rsidP="00000000" w:rsidRDefault="00000000" w:rsidRPr="00000000" w14:paraId="00000091">
      <w:pPr>
        <w:spacing w:line="360" w:lineRule="auto"/>
        <w:ind w:left="36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2">
      <w:pPr>
        <w:spacing w:line="360" w:lineRule="auto"/>
        <w:ind w:left="567" w:right="61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19.</w:t>
      </w:r>
      <w:r w:rsidDel="00000000" w:rsidR="00000000" w:rsidRPr="00000000">
        <w:rPr>
          <w:rFonts w:ascii="Palatino Linotype" w:cs="Palatino Linotype" w:eastAsia="Palatino Linotype" w:hAnsi="Palatino Linotype"/>
          <w:i w:val="1"/>
          <w:rtl w:val="0"/>
        </w:rPr>
        <w:t xml:space="preserve"> Se presume que la información debe existir si se refiere a las facultades, competencias y funciones que los ordenamientos jurídicos aplicables otorgan a los sujetos obligados.</w:t>
      </w:r>
    </w:p>
    <w:p w:rsidR="00000000" w:rsidDel="00000000" w:rsidP="00000000" w:rsidRDefault="00000000" w:rsidRPr="00000000" w14:paraId="00000093">
      <w:pPr>
        <w:spacing w:line="360" w:lineRule="auto"/>
        <w:ind w:left="567" w:right="618"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94">
      <w:pPr>
        <w:spacing w:line="360" w:lineRule="auto"/>
        <w:ind w:left="567" w:right="618"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En los casos en que ciertas facultades, competencias o funciones no se hayan ejercido, se debe motivar la respuesta en función de las causas que motiven tal circunstancia. </w:t>
      </w:r>
    </w:p>
    <w:p w:rsidR="00000000" w:rsidDel="00000000" w:rsidP="00000000" w:rsidRDefault="00000000" w:rsidRPr="00000000" w14:paraId="00000095">
      <w:pPr>
        <w:spacing w:line="360" w:lineRule="auto"/>
        <w:ind w:left="567" w:right="618"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96">
      <w:pPr>
        <w:spacing w:line="360" w:lineRule="auto"/>
        <w:ind w:left="567" w:right="61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97">
      <w:pPr>
        <w:spacing w:line="360" w:lineRule="auto"/>
        <w:ind w:left="36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primer supuesto, que corresponde a lo señalado en su segundo párrafo, alude a actos no realizados y contemplados en alguna hipótesis jurídica: </w:t>
      </w:r>
    </w:p>
    <w:p w:rsidR="00000000" w:rsidDel="00000000" w:rsidP="00000000" w:rsidRDefault="00000000" w:rsidRPr="00000000" w14:paraId="00000099">
      <w:pPr>
        <w:spacing w:line="360" w:lineRule="auto"/>
        <w:ind w:left="36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A">
      <w:pPr>
        <w:spacing w:line="360" w:lineRule="auto"/>
        <w:ind w:left="3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Cuya realización dependa de que un tercero demande la emisión de un acto de autoridad, la expedición de una licencia, por ejemplo; </w:t>
      </w:r>
    </w:p>
    <w:p w:rsidR="00000000" w:rsidDel="00000000" w:rsidP="00000000" w:rsidRDefault="00000000" w:rsidRPr="00000000" w14:paraId="0000009B">
      <w:pPr>
        <w:spacing w:line="360" w:lineRule="auto"/>
        <w:ind w:left="36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C">
      <w:pPr>
        <w:spacing w:line="360" w:lineRule="auto"/>
        <w:ind w:left="3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 De un acontecimiento de realización probable, la Cuenta Pública correspondiente a un ejercicio fiscal en curso; o</w:t>
      </w:r>
    </w:p>
    <w:p w:rsidR="00000000" w:rsidDel="00000000" w:rsidP="00000000" w:rsidRDefault="00000000" w:rsidRPr="00000000" w14:paraId="0000009D">
      <w:pPr>
        <w:spacing w:line="360" w:lineRule="auto"/>
        <w:ind w:left="36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E">
      <w:pPr>
        <w:spacing w:line="360" w:lineRule="auto"/>
        <w:ind w:left="3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 Una facultad potestativa, la firma de convenio de colaboración.</w:t>
      </w:r>
    </w:p>
    <w:p w:rsidR="00000000" w:rsidDel="00000000" w:rsidP="00000000" w:rsidRDefault="00000000" w:rsidRPr="00000000" w14:paraId="0000009F">
      <w:pPr>
        <w:spacing w:line="360" w:lineRule="auto"/>
        <w:ind w:left="36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rsidR="00000000" w:rsidDel="00000000" w:rsidP="00000000" w:rsidRDefault="00000000" w:rsidRPr="00000000" w14:paraId="000000A1">
      <w:pPr>
        <w:spacing w:line="360" w:lineRule="auto"/>
        <w:ind w:left="36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segundo supuesto, que corresponde a lo señalado en su último párrafo del artículo antes referido, alude a: </w:t>
      </w:r>
    </w:p>
    <w:p w:rsidR="00000000" w:rsidDel="00000000" w:rsidP="00000000" w:rsidRDefault="00000000" w:rsidRPr="00000000" w14:paraId="000000A3">
      <w:pPr>
        <w:spacing w:line="360" w:lineRule="auto"/>
        <w:ind w:left="36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4">
      <w:pPr>
        <w:spacing w:line="360" w:lineRule="auto"/>
        <w:ind w:left="3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 Actos realizados sobre los cuales: </w:t>
      </w:r>
    </w:p>
    <w:p w:rsidR="00000000" w:rsidDel="00000000" w:rsidP="00000000" w:rsidRDefault="00000000" w:rsidRPr="00000000" w14:paraId="000000A5">
      <w:pPr>
        <w:spacing w:line="360" w:lineRule="auto"/>
        <w:ind w:left="36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6">
      <w:pPr>
        <w:spacing w:line="360" w:lineRule="auto"/>
        <w:ind w:left="3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No se generó, poseyó o administró el documento que registre la información solicitada; </w:t>
      </w:r>
    </w:p>
    <w:p w:rsidR="00000000" w:rsidDel="00000000" w:rsidP="00000000" w:rsidRDefault="00000000" w:rsidRPr="00000000" w14:paraId="000000A7">
      <w:pPr>
        <w:spacing w:line="360" w:lineRule="auto"/>
        <w:ind w:left="36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8">
      <w:pPr>
        <w:spacing w:line="360" w:lineRule="auto"/>
        <w:ind w:left="3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 Habiendo sido generada, poseída o administrada, no se cuenta con la información solicitada.</w:t>
      </w:r>
    </w:p>
    <w:p w:rsidR="00000000" w:rsidDel="00000000" w:rsidP="00000000" w:rsidRDefault="00000000" w:rsidRPr="00000000" w14:paraId="000000A9">
      <w:pPr>
        <w:spacing w:line="360" w:lineRule="auto"/>
        <w:ind w:left="36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A">
      <w:pPr>
        <w:spacing w:line="360" w:lineRule="auto"/>
        <w:ind w:left="3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 El sujeto obligado fue omiso en el ejercicio de una facultad, competencia o atribución inexcusable. </w:t>
      </w:r>
    </w:p>
    <w:p w:rsidR="00000000" w:rsidDel="00000000" w:rsidP="00000000" w:rsidRDefault="00000000" w:rsidRPr="00000000" w14:paraId="000000AB">
      <w:pPr>
        <w:spacing w:line="360" w:lineRule="auto"/>
        <w:ind w:left="36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estos casos, será necesario acreditar que se cumplieron los supuestos del artículo 169 del citado ordenamiento y emitir la resolución que confirme la inexistencia cumpliendo con las formalidades señaladas en el artículo 170 de la misma norma. </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cualquiera de los casos, imperativamente, el sujeto obligado 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o, en su defecto,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de no localizar la información que debía tener, procediendo según lo refieren los párrafos segundo o tercero del artículo 19 de la Ley de Transparencia y Acceso a la Información Pública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pero emitiendo una respuesta; siendo del caso concreto que ciertamente si se advierte que se actualiza el párrafo tercero del citado artículo 19, que es el correspondiente a la declaratoria de inexistencia.</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No así, en lo relativo al párrafo segundo en el que se alude a actos no realizados y contemplados en alguna hipótesis jurídica pero, a) cuya realización dependa de que un tercero demande la emisión de un acto de autoridad; b) de un acontecimiento de realización probable; o, C) una facultad potestativa.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 modo tal que se estima procedente, ordenar el Acuerdo de Inexistencia, ya que si se programó la obra, se debe ejecutar porque se presupuestó y si por algún motivo no la realizó o no cuenta con la información deberá emitirse el Acuerdo de Inexistencia a través del Comité de Transparencia y ponerse a disposición del particular.</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ese orden de ideas, en el caso concreto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EL 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deberá hacer entrega del Acuerdo de Inexistencia a través del Comité de Transparencia; ello, de conformidad con los artículos</w:t>
      </w:r>
      <w:r w:rsidDel="00000000" w:rsidR="00000000" w:rsidRPr="00000000">
        <w:rPr>
          <w:rFonts w:ascii="Palatino Linotype" w:cs="Palatino Linotype" w:eastAsia="Palatino Linotype" w:hAnsi="Palatino Linotype"/>
          <w:b w:val="0"/>
          <w:i w:val="0"/>
          <w:smallCaps w:val="0"/>
          <w:strike w:val="0"/>
          <w:color w:val="222222"/>
          <w:sz w:val="24"/>
          <w:szCs w:val="24"/>
          <w:u w:val="none"/>
          <w:shd w:fill="auto" w:val="clear"/>
          <w:vertAlign w:val="baseline"/>
          <w:rtl w:val="0"/>
        </w:rPr>
        <w:t xml:space="preserve"> 19, 169 y 170 de la Ley de Transparencia y Acceso a la Información Pública del Estado de México y Municipios,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esto en razón de que existe fuente obligacional que constriñe al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 contar con la información de referencia, con fundamento en los preceptos que se transcriben a continuación para mayor referencia:</w:t>
      </w: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02" w:right="902"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05" w:right="61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19.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Se presume que la información debe existir si se refiere a las facultades, competencias y funciones que los ordenamientos jurídicos aplicables otorgan a los sujetos obligados. </w:t>
      </w: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05" w:right="61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05" w:right="616"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05" w:right="616"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05" w:right="61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49.</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Los Comités de Transparencia tendrán las siguientes atribuciones:</w:t>
      </w: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05" w:right="61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05" w:right="61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II.</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Confirmar, modificar o revocar las determinaciones que en materia de ampliación del plazo de respuesta, clasificación de la información y declaración de inexistencia o de incompetencia realicen los titulares de las áreas de los sujetos obligados;</w:t>
      </w: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05" w:right="61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05" w:right="61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XIII.</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Dictaminar las declaratorias de inexistencia de la información que les remitan las unidades administrativas y resolver en consecuencia;</w:t>
      </w: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05" w:right="61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05" w:right="616"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05" w:right="61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169.</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Cuando la información no se encuentre en los archivos del sujeto obligado, el Comité de Transparencia:</w:t>
      </w: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05" w:right="61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 Analizará el caso y tomará las medidas necesarias para localizar la información;</w:t>
      </w: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05" w:right="61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II. Expedirá una resolución que confirme la inexistencia del documento;</w:t>
      </w: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05" w:right="61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05" w:right="61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IV. Notificará al órgano interno de control o equivalente del sujeto obligado quien, en su caso, deberá iniciar el procedimiento de responsabilidad administrativa que corresponda.</w:t>
      </w: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05" w:right="61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La Unidad de Transparencia deberá notificarlo al solicitante por escrito, en un plazo que no exceda de quince días hábiles contados a partir del día siguiente a la presentación de la solicitud.</w:t>
      </w: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05" w:right="61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Este plazo podrá ampliarse hasta por otros siete días hábiles, siempre que existan razones para ello, debiendo notificarse por escrito al solicitante.</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05" w:right="61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05" w:right="61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170.</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02" w:right="902"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(Énfasis añadido)</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02" w:right="90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observancia a lo anterior, resultan aplicables los criterios de interpretación en el orden administrativo número 0003-11 y 004-11 emitidos por Acuerdo del Pleno del Instituto de Transparencia y Acceso a la Información Pública del Estado de México y Municipios, que a la letra dicen:</w:t>
      </w: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502" w:right="90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“CRITERIO 003-11.</w:t>
      </w: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502" w:right="90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“INEXISTENCIA, CONCEPTO DE, EN MATERIA DE TRANSPARENCIA.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La interpretación sistemática de los artículos 29 y 30, fracción VIII, de la Ley de Transparencia y Acceso a la Información Pública del Estado de México y Municipios, permite concluir que la inexistencia de la </w:t>
      </w:r>
      <w:r w:rsidDel="00000000" w:rsidR="00000000" w:rsidRPr="00000000">
        <w:rPr>
          <w:rFonts w:ascii="Palatino Linotype" w:cs="Palatino Linotype" w:eastAsia="Palatino Linotype" w:hAnsi="Palatino Linotype"/>
          <w:b w:val="0"/>
          <w:i w:val="1"/>
          <w:smallCaps w:val="0"/>
          <w:strike w:val="0"/>
          <w:color w:val="000000"/>
          <w:sz w:val="24"/>
          <w:szCs w:val="24"/>
          <w:u w:val="single"/>
          <w:shd w:fill="auto" w:val="clear"/>
          <w:vertAlign w:val="baseline"/>
          <w:rtl w:val="0"/>
        </w:rPr>
        <w:t xml:space="preserve">información</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 en el derecho de acceso a la información pública</w:t>
      </w:r>
      <w:r w:rsidDel="00000000" w:rsidR="00000000" w:rsidRPr="00000000">
        <w:rPr>
          <w:rFonts w:ascii="Palatino Linotype" w:cs="Palatino Linotype" w:eastAsia="Palatino Linotype" w:hAnsi="Palatino Linotype"/>
          <w:b w:val="0"/>
          <w:i w:val="1"/>
          <w:smallCaps w:val="0"/>
          <w:strike w:val="0"/>
          <w:color w:val="000000"/>
          <w:sz w:val="24"/>
          <w:szCs w:val="24"/>
          <w:u w:val="single"/>
          <w:shd w:fill="auto" w:val="clear"/>
          <w:vertAlign w:val="baseline"/>
          <w:rtl w:val="0"/>
        </w:rPr>
        <w:t xml:space="preserve"> conlleva necesariamente a los siguientes supuestos:</w:t>
      </w: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502" w:right="90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502" w:right="90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b) </w:t>
      </w:r>
      <w:r w:rsidDel="00000000" w:rsidR="00000000" w:rsidRPr="00000000">
        <w:rPr>
          <w:rFonts w:ascii="Palatino Linotype" w:cs="Palatino Linotype" w:eastAsia="Palatino Linotype" w:hAnsi="Palatino Linotype"/>
          <w:b w:val="1"/>
          <w:i w:val="1"/>
          <w:smallCaps w:val="0"/>
          <w:strike w:val="0"/>
          <w:color w:val="000000"/>
          <w:sz w:val="24"/>
          <w:szCs w:val="24"/>
          <w:u w:val="single"/>
          <w:shd w:fill="auto" w:val="clear"/>
          <w:vertAlign w:val="baseline"/>
          <w:rtl w:val="0"/>
        </w:rPr>
        <w:t xml:space="preserve">En los casos en que por las atribuciones conferidas al Sujeto Obligado éste debió generar, administrar o poseer la información, pero en incumplimiento a la normatividad respectiva no llevó a cabo ninguna de esas acciones.</w:t>
      </w: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502" w:right="90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502" w:right="900" w:firstLine="0"/>
        <w:jc w:val="left"/>
        <w:rPr>
          <w:rFonts w:ascii="Palatino Linotype" w:cs="Palatino Linotype" w:eastAsia="Palatino Linotype" w:hAnsi="Palatino Linotype"/>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502" w:right="90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CRITERIO 004/2011</w:t>
      </w: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502" w:right="90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INEXISTENCIA. DECLARATORIA DE LA. ALCANCES Y PROCEDIMIENTOS.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De la interpretación de los artículos 29 y 30, fracción VIII, de la Ley de Transparencia y Acceso a la Información Pública del Estado de México y Municipios, se concluye </w:t>
      </w:r>
      <w:r w:rsidDel="00000000" w:rsidR="00000000" w:rsidRPr="00000000">
        <w:rPr>
          <w:rFonts w:ascii="Palatino Linotype" w:cs="Palatino Linotype" w:eastAsia="Palatino Linotype" w:hAnsi="Palatino Linotype"/>
          <w:b w:val="0"/>
          <w:i w:val="1"/>
          <w:smallCaps w:val="0"/>
          <w:strike w:val="0"/>
          <w:color w:val="000000"/>
          <w:sz w:val="24"/>
          <w:szCs w:val="24"/>
          <w:u w:val="single"/>
          <w:shd w:fill="auto" w:val="clear"/>
          <w:vertAlign w:val="baseline"/>
          <w:rtl w:val="0"/>
        </w:rPr>
        <w:t xml:space="preserve">que cuando el Titular de la Unidad de Información no localice la documentación solicitada, a pesar de haber sido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generada, poseída o</w:t>
      </w:r>
      <w:r w:rsidDel="00000000" w:rsidR="00000000" w:rsidRPr="00000000">
        <w:rPr>
          <w:rFonts w:ascii="Palatino Linotype" w:cs="Palatino Linotype" w:eastAsia="Palatino Linotype" w:hAnsi="Palatino Linotype"/>
          <w:b w:val="0"/>
          <w:i w:val="1"/>
          <w:smallCaps w:val="0"/>
          <w:strike w:val="0"/>
          <w:color w:val="000000"/>
          <w:sz w:val="24"/>
          <w:szCs w:val="24"/>
          <w:u w:val="single"/>
          <w:shd w:fill="auto" w:val="clear"/>
          <w:vertAlign w:val="baseline"/>
          <w:rtl w:val="0"/>
        </w:rPr>
        <w:t xml:space="preserve"> administrada por el Sujeto Obligado, turnará la solicitud al Comité de Información el cual es el único competente para conocer y deliberar mediante resolución el dictamen de declaratoria de inexistencia</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 la cual tiene como propósito que el particular tenga la certeza jurídica de que el Sujeto Obligado realizó una búsqueda exhaustiva y minuciosa de la información en los archivos a cargo. En consecuencia, </w:t>
      </w:r>
      <w:r w:rsidDel="00000000" w:rsidR="00000000" w:rsidRPr="00000000">
        <w:rPr>
          <w:rFonts w:ascii="Palatino Linotype" w:cs="Palatino Linotype" w:eastAsia="Palatino Linotype" w:hAnsi="Palatino Linotype"/>
          <w:b w:val="0"/>
          <w:i w:val="1"/>
          <w:smallCaps w:val="0"/>
          <w:strike w:val="0"/>
          <w:color w:val="000000"/>
          <w:sz w:val="24"/>
          <w:szCs w:val="24"/>
          <w:u w:val="single"/>
          <w:shd w:fill="auto" w:val="clear"/>
          <w:vertAlign w:val="baseline"/>
          <w:rtl w:val="0"/>
        </w:rPr>
        <w:t xml:space="preserve">es deber del Comité de Información instruir una búsqueda exhaustiva a todas y cada una de las áreas que integran orgánica o funcionalmente al Sujeto Obligado, para localizar los documentos que contengan la información materia de una solicitud,</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502" w:right="90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Bajo el entendido de que dicha búsqueda exhaustiva permitirá dos determinaciones:</w:t>
      </w: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502" w:right="90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a) Que se localice la documentación que contenga la información solicitada y de ser así la información pueda entregarse al solicitante en la forma en que se encuentra disponible, o</w:t>
      </w: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502" w:right="90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b</w:t>
      </w:r>
      <w:r w:rsidDel="00000000" w:rsidR="00000000" w:rsidRPr="00000000">
        <w:rPr>
          <w:rFonts w:ascii="Palatino Linotype" w:cs="Palatino Linotype" w:eastAsia="Palatino Linotype" w:hAnsi="Palatino Linotype"/>
          <w:b w:val="0"/>
          <w:i w:val="1"/>
          <w:smallCaps w:val="0"/>
          <w:strike w:val="0"/>
          <w:color w:val="000000"/>
          <w:sz w:val="24"/>
          <w:szCs w:val="24"/>
          <w:u w:val="single"/>
          <w:shd w:fill="auto" w:val="clear"/>
          <w:vertAlign w:val="baseline"/>
          <w:rtl w:val="0"/>
        </w:rPr>
        <w:t xml:space="preserve">)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502" w:right="90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4"/>
          <w:szCs w:val="24"/>
          <w:u w:val="single"/>
          <w:shd w:fill="auto" w:val="clear"/>
          <w:vertAlign w:val="baseline"/>
          <w:rtl w:val="0"/>
        </w:rPr>
        <w:t xml:space="preserve">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502" w:right="90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(Énfasis añadido)</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 w:val="left" w:pos="284"/>
          <w:tab w:val="left" w:pos="426"/>
        </w:tabs>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C">
      <w:pPr>
        <w:pStyle w:val="Heading2"/>
        <w:numPr>
          <w:ilvl w:val="0"/>
          <w:numId w:val="3"/>
        </w:numPr>
        <w:spacing w:before="0" w:line="360" w:lineRule="auto"/>
        <w:ind w:left="720" w:hanging="360"/>
        <w:rPr>
          <w:rFonts w:ascii="Palatino Linotype" w:cs="Palatino Linotype" w:eastAsia="Palatino Linotype" w:hAnsi="Palatino Linotype"/>
          <w:b w:val="1"/>
          <w:color w:val="000000"/>
          <w:sz w:val="24"/>
          <w:szCs w:val="24"/>
        </w:rPr>
      </w:pPr>
      <w:bookmarkStart w:colFirst="0" w:colLast="0" w:name="_heading=h.1ksv4uv" w:id="15"/>
      <w:bookmarkEnd w:id="15"/>
      <w:r w:rsidDel="00000000" w:rsidR="00000000" w:rsidRPr="00000000">
        <w:rPr>
          <w:rFonts w:ascii="Palatino Linotype" w:cs="Palatino Linotype" w:eastAsia="Palatino Linotype" w:hAnsi="Palatino Linotype"/>
          <w:b w:val="1"/>
          <w:color w:val="000000"/>
          <w:sz w:val="24"/>
          <w:szCs w:val="24"/>
          <w:rtl w:val="0"/>
        </w:rPr>
        <w:t xml:space="preserve">Determinación</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lo anteriormente expuesto, este Órgano Garante considera fundadas las razones o motivos de inconformidad que plantea la</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RECURRENTE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determinando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MODIFICAR</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la respuesta 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este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ÓRGANO GARANTE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emite los siguientes.</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5559301" cy="981364"/>
                <wp:effectExtent b="0" l="0" r="0" t="0"/>
                <wp:wrapNone/>
                <wp:docPr id="38" name=""/>
                <a:graphic>
                  <a:graphicData uri="http://schemas.microsoft.com/office/word/2010/wordprocessingShape">
                    <wps:wsp>
                      <wps:cNvCnPr/>
                      <wps:spPr>
                        <a:xfrm>
                          <a:off x="2579050" y="3302018"/>
                          <a:ext cx="5533901" cy="955964"/>
                        </a:xfrm>
                        <a:prstGeom prst="straightConnector1">
                          <a:avLst/>
                        </a:prstGeom>
                        <a:noFill/>
                        <a:ln cap="flat" cmpd="sng" w="2540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5559301" cy="981364"/>
                <wp:effectExtent b="0" l="0" r="0" t="0"/>
                <wp:wrapNone/>
                <wp:docPr id="38" name="image3.png"/>
                <a:graphic>
                  <a:graphicData uri="http://schemas.openxmlformats.org/drawingml/2006/picture">
                    <pic:pic>
                      <pic:nvPicPr>
                        <pic:cNvPr id="0" name="image3.png"/>
                        <pic:cNvPicPr preferRelativeResize="0"/>
                      </pic:nvPicPr>
                      <pic:blipFill>
                        <a:blip r:embed="rId22"/>
                        <a:srcRect/>
                        <a:stretch>
                          <a:fillRect/>
                        </a:stretch>
                      </pic:blipFill>
                      <pic:spPr>
                        <a:xfrm>
                          <a:off x="0" y="0"/>
                          <a:ext cx="5559301" cy="981364"/>
                        </a:xfrm>
                        <a:prstGeom prst="rect"/>
                        <a:ln/>
                      </pic:spPr>
                    </pic:pic>
                  </a:graphicData>
                </a:graphic>
              </wp:anchor>
            </w:drawing>
          </mc:Fallback>
        </mc:AlternateConten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1">
      <w:pPr>
        <w:spacing w:line="360" w:lineRule="auto"/>
        <w:ind w:right="34"/>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E2">
      <w:pPr>
        <w:pStyle w:val="Heading1"/>
        <w:spacing w:before="0" w:line="360" w:lineRule="auto"/>
        <w:jc w:val="center"/>
        <w:rPr>
          <w:rFonts w:ascii="Palatino Linotype" w:cs="Palatino Linotype" w:eastAsia="Palatino Linotype" w:hAnsi="Palatino Linotype"/>
          <w:b w:val="1"/>
          <w:color w:val="000000"/>
          <w:sz w:val="24"/>
          <w:szCs w:val="24"/>
        </w:rPr>
      </w:pPr>
      <w:bookmarkStart w:colFirst="0" w:colLast="0" w:name="_heading=h.44sinio" w:id="16"/>
      <w:bookmarkEnd w:id="16"/>
      <w:r w:rsidDel="00000000" w:rsidR="00000000" w:rsidRPr="00000000">
        <w:rPr>
          <w:rFonts w:ascii="Palatino Linotype" w:cs="Palatino Linotype" w:eastAsia="Palatino Linotype" w:hAnsi="Palatino Linotype"/>
          <w:b w:val="1"/>
          <w:color w:val="000000"/>
          <w:sz w:val="24"/>
          <w:szCs w:val="24"/>
          <w:rtl w:val="0"/>
        </w:rPr>
        <w:t xml:space="preserve">R E S O L U T I V O S </w:t>
      </w:r>
    </w:p>
    <w:p w:rsidR="00000000" w:rsidDel="00000000" w:rsidP="00000000" w:rsidRDefault="00000000" w:rsidRPr="00000000" w14:paraId="000000E3">
      <w:pPr>
        <w:spacing w:line="360" w:lineRule="auto"/>
        <w:rPr/>
      </w:pPr>
      <w:r w:rsidDel="00000000" w:rsidR="00000000" w:rsidRPr="00000000">
        <w:rPr>
          <w:rtl w:val="0"/>
        </w:rPr>
      </w:r>
    </w:p>
    <w:p w:rsidR="00000000" w:rsidDel="00000000" w:rsidP="00000000" w:rsidRDefault="00000000" w:rsidRPr="00000000" w14:paraId="000000E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Resultan fundadas las</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razones y motivos de inconformidad hechos valer en el Recurso de Revisión </w:t>
      </w:r>
      <w:r w:rsidDel="00000000" w:rsidR="00000000" w:rsidRPr="00000000">
        <w:rPr>
          <w:rFonts w:ascii="Palatino Linotype" w:cs="Palatino Linotype" w:eastAsia="Palatino Linotype" w:hAnsi="Palatino Linotype"/>
          <w:b w:val="1"/>
          <w:rtl w:val="0"/>
        </w:rPr>
        <w:t xml:space="preserve">04698/INFOEM/IP/RR/2021, </w:t>
      </w:r>
      <w:r w:rsidDel="00000000" w:rsidR="00000000" w:rsidRPr="00000000">
        <w:rPr>
          <w:rFonts w:ascii="Palatino Linotype" w:cs="Palatino Linotype" w:eastAsia="Palatino Linotype" w:hAnsi="Palatino Linotype"/>
          <w:rtl w:val="0"/>
        </w:rPr>
        <w:t xml:space="preserve">en términos del </w:t>
      </w:r>
      <w:r w:rsidDel="00000000" w:rsidR="00000000" w:rsidRPr="00000000">
        <w:rPr>
          <w:rFonts w:ascii="Palatino Linotype" w:cs="Palatino Linotype" w:eastAsia="Palatino Linotype" w:hAnsi="Palatino Linotype"/>
          <w:b w:val="1"/>
          <w:rtl w:val="0"/>
        </w:rPr>
        <w:t xml:space="preserve">Considerando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QUINTO </w:t>
      </w:r>
      <w:r w:rsidDel="00000000" w:rsidR="00000000" w:rsidRPr="00000000">
        <w:rPr>
          <w:rFonts w:ascii="Palatino Linotype" w:cs="Palatino Linotype" w:eastAsia="Palatino Linotype" w:hAnsi="Palatino Linotype"/>
          <w:rtl w:val="0"/>
        </w:rPr>
        <w:t xml:space="preserve">de la presente resolución.</w:t>
      </w:r>
    </w:p>
    <w:p w:rsidR="00000000" w:rsidDel="00000000" w:rsidP="00000000" w:rsidRDefault="00000000" w:rsidRPr="00000000" w14:paraId="000000E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6">
      <w:pPr>
        <w:spacing w:line="360" w:lineRule="auto"/>
        <w:jc w:val="both"/>
        <w:rPr>
          <w:rFonts w:ascii="Palatino Linotype" w:cs="Palatino Linotype" w:eastAsia="Palatino Linotype" w:hAnsi="Palatino Linotype"/>
          <w:color w:val="000000"/>
        </w:rPr>
      </w:pPr>
      <w:bookmarkStart w:colFirst="0" w:colLast="0" w:name="_heading=h.2jxsxqh" w:id="17"/>
      <w:bookmarkEnd w:id="17"/>
      <w:r w:rsidDel="00000000" w:rsidR="00000000" w:rsidRPr="00000000">
        <w:rPr>
          <w:rFonts w:ascii="Palatino Linotype" w:cs="Palatino Linotype" w:eastAsia="Palatino Linotype" w:hAnsi="Palatino Linotype"/>
          <w:b w:val="1"/>
          <w:rtl w:val="0"/>
        </w:rPr>
        <w:t xml:space="preserve">SEGUNDO.</w:t>
      </w:r>
      <w:r w:rsidDel="00000000" w:rsidR="00000000" w:rsidRPr="00000000">
        <w:rPr>
          <w:rFonts w:ascii="Palatino Linotype" w:cs="Palatino Linotype" w:eastAsia="Palatino Linotype" w:hAnsi="Palatino Linotype"/>
          <w:b w:val="1"/>
          <w:color w:val="366091"/>
          <w:sz w:val="26"/>
          <w:szCs w:val="26"/>
          <w:rtl w:val="0"/>
        </w:rPr>
        <w:t xml:space="preserve"> </w:t>
      </w:r>
      <w:r w:rsidDel="00000000" w:rsidR="00000000" w:rsidRPr="00000000">
        <w:rPr>
          <w:rFonts w:ascii="Palatino Linotype" w:cs="Palatino Linotype" w:eastAsia="Palatino Linotype" w:hAnsi="Palatino Linotype"/>
          <w:rtl w:val="0"/>
        </w:rPr>
        <w:t xml:space="preserve">Se</w:t>
      </w:r>
      <w:r w:rsidDel="00000000" w:rsidR="00000000" w:rsidRPr="00000000">
        <w:rPr>
          <w:rFonts w:ascii="Palatino Linotype" w:cs="Palatino Linotype" w:eastAsia="Palatino Linotype" w:hAnsi="Palatino Linotype"/>
          <w:b w:val="1"/>
          <w:rtl w:val="0"/>
        </w:rPr>
        <w:t xml:space="preserve"> MODIFICA </w:t>
      </w:r>
      <w:r w:rsidDel="00000000" w:rsidR="00000000" w:rsidRPr="00000000">
        <w:rPr>
          <w:rFonts w:ascii="Palatino Linotype" w:cs="Palatino Linotype" w:eastAsia="Palatino Linotype" w:hAnsi="Palatino Linotype"/>
          <w:rtl w:val="0"/>
        </w:rPr>
        <w:t xml:space="preserve">la respuesta emitida por la </w:t>
      </w:r>
      <w:r w:rsidDel="00000000" w:rsidR="00000000" w:rsidRPr="00000000">
        <w:rPr>
          <w:rFonts w:ascii="Palatino Linotype" w:cs="Palatino Linotype" w:eastAsia="Palatino Linotype" w:hAnsi="Palatino Linotype"/>
          <w:b w:val="1"/>
          <w:rtl w:val="0"/>
        </w:rPr>
        <w:t xml:space="preserve">Junta de Caminos del Estado de México </w:t>
      </w:r>
      <w:r w:rsidDel="00000000" w:rsidR="00000000" w:rsidRPr="00000000">
        <w:rPr>
          <w:rFonts w:ascii="Palatino Linotype" w:cs="Palatino Linotype" w:eastAsia="Palatino Linotype" w:hAnsi="Palatino Linotype"/>
          <w:rtl w:val="0"/>
        </w:rPr>
        <w:t xml:space="preserve">y se</w:t>
      </w:r>
      <w:r w:rsidDel="00000000" w:rsidR="00000000" w:rsidRPr="00000000">
        <w:rPr>
          <w:rFonts w:ascii="Palatino Linotype" w:cs="Palatino Linotype" w:eastAsia="Palatino Linotype" w:hAnsi="Palatino Linotype"/>
          <w:b w:val="1"/>
          <w:rtl w:val="0"/>
        </w:rPr>
        <w:t xml:space="preserve"> ORDENA </w:t>
      </w:r>
      <w:r w:rsidDel="00000000" w:rsidR="00000000" w:rsidRPr="00000000">
        <w:rPr>
          <w:rFonts w:ascii="Palatino Linotype" w:cs="Palatino Linotype" w:eastAsia="Palatino Linotype" w:hAnsi="Palatino Linotype"/>
          <w:rtl w:val="0"/>
        </w:rPr>
        <w:t xml:space="preserve">entregar vía Sistema de Acceso a la Información Mexiquense (SAIMEX),</w:t>
      </w:r>
      <w:r w:rsidDel="00000000" w:rsidR="00000000" w:rsidRPr="00000000">
        <w:rPr>
          <w:rFonts w:ascii="Palatino Linotype" w:cs="Palatino Linotype" w:eastAsia="Palatino Linotype" w:hAnsi="Palatino Linotype"/>
          <w:color w:val="000000"/>
          <w:rtl w:val="0"/>
        </w:rPr>
        <w:t xml:space="preserve"> lo siguiente:</w:t>
      </w:r>
    </w:p>
    <w:p w:rsidR="00000000" w:rsidDel="00000000" w:rsidP="00000000" w:rsidRDefault="00000000" w:rsidRPr="00000000" w14:paraId="000000E7">
      <w:pP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E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09" w:right="474" w:hanging="36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El acuerdo de inexistencia que emita el Comité de Transparencia de conformidad con los artículos 19, 169 y 170 de la Ley de Transparencia y Acceso a la Información Pública del Estado de México y Municipios.</w:t>
      </w:r>
    </w:p>
    <w:p w:rsidR="00000000" w:rsidDel="00000000" w:rsidP="00000000" w:rsidRDefault="00000000" w:rsidRPr="00000000" w14:paraId="000000E9">
      <w:pPr>
        <w:spacing w:line="360" w:lineRule="auto"/>
        <w:ind w:right="474"/>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A">
      <w:pPr>
        <w:spacing w:line="360" w:lineRule="auto"/>
        <w:ind w:right="49"/>
        <w:jc w:val="both"/>
        <w:rPr>
          <w:rFonts w:ascii="Palatino Linotype" w:cs="Palatino Linotype" w:eastAsia="Palatino Linotype" w:hAnsi="Palatino Linotype"/>
          <w:color w:val="222222"/>
          <w:highlight w:val="white"/>
        </w:rPr>
      </w:pPr>
      <w:r w:rsidDel="00000000" w:rsidR="00000000" w:rsidRPr="00000000">
        <w:rPr>
          <w:rFonts w:ascii="Palatino Linotype" w:cs="Palatino Linotype" w:eastAsia="Palatino Linotype" w:hAnsi="Palatino Linotype"/>
          <w:b w:val="1"/>
          <w:rtl w:val="0"/>
        </w:rPr>
        <w:t xml:space="preserve">TERCERO. Notifíquese </w:t>
      </w:r>
      <w:r w:rsidDel="00000000" w:rsidR="00000000" w:rsidRPr="00000000">
        <w:rPr>
          <w:rFonts w:ascii="Palatino Linotype" w:cs="Palatino Linotype" w:eastAsia="Palatino Linotype" w:hAnsi="Palatino Linotype"/>
          <w:rtl w:val="0"/>
        </w:rPr>
        <w:t xml:space="preserve">al Titular de la Unidad de Transparencia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vía SAIMEX, para que conforme a los artículos 186 último párrafo, 189 párrafo segundo y 199 de la Ley de Transparencia y Acceso a la Información Pública del Estado de México y Municipios, </w:t>
      </w:r>
      <w:r w:rsidDel="00000000" w:rsidR="00000000" w:rsidRPr="00000000">
        <w:rPr>
          <w:rFonts w:ascii="Palatino Linotype" w:cs="Palatino Linotype" w:eastAsia="Palatino Linotype" w:hAnsi="Palatino Linotype"/>
          <w:color w:val="222222"/>
          <w:highlight w:val="white"/>
          <w:rtl w:val="0"/>
        </w:rPr>
        <w:t xml:space="preserve">dé cumplimiento a lo ordenado dentro del plazo de </w:t>
      </w:r>
      <w:r w:rsidDel="00000000" w:rsidR="00000000" w:rsidRPr="00000000">
        <w:rPr>
          <w:rFonts w:ascii="Palatino Linotype" w:cs="Palatino Linotype" w:eastAsia="Palatino Linotype" w:hAnsi="Palatino Linotype"/>
          <w:b w:val="1"/>
          <w:color w:val="222222"/>
          <w:highlight w:val="white"/>
          <w:rtl w:val="0"/>
        </w:rPr>
        <w:t xml:space="preserve">diez días hábiles</w:t>
      </w:r>
      <w:r w:rsidDel="00000000" w:rsidR="00000000" w:rsidRPr="00000000">
        <w:rPr>
          <w:rFonts w:ascii="Palatino Linotype" w:cs="Palatino Linotype" w:eastAsia="Palatino Linotype" w:hAnsi="Palatino Linotype"/>
          <w:color w:val="222222"/>
          <w:highlight w:val="white"/>
          <w:rtl w:val="0"/>
        </w:rPr>
        <w:t xml:space="preserve">, debiendo rendir a este Instituto el informe de cumplimiento de la resolución en un plazo de tres días hábiles posteriores.</w:t>
      </w:r>
    </w:p>
    <w:p w:rsidR="00000000" w:rsidDel="00000000" w:rsidP="00000000" w:rsidRDefault="00000000" w:rsidRPr="00000000" w14:paraId="000000EB">
      <w:pPr>
        <w:spacing w:line="360" w:lineRule="auto"/>
        <w:ind w:right="49"/>
        <w:jc w:val="both"/>
        <w:rPr>
          <w:rFonts w:ascii="Palatino Linotype" w:cs="Palatino Linotype" w:eastAsia="Palatino Linotype" w:hAnsi="Palatino Linotype"/>
          <w:color w:val="222222"/>
          <w:highlight w:val="white"/>
        </w:rPr>
      </w:pPr>
      <w:r w:rsidDel="00000000" w:rsidR="00000000" w:rsidRPr="00000000">
        <w:rPr>
          <w:rtl w:val="0"/>
        </w:rPr>
      </w:r>
    </w:p>
    <w:p w:rsidR="00000000" w:rsidDel="00000000" w:rsidP="00000000" w:rsidRDefault="00000000" w:rsidRPr="00000000" w14:paraId="000000E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w:t>
      </w:r>
      <w:r w:rsidDel="00000000" w:rsidR="00000000" w:rsidRPr="00000000">
        <w:rPr>
          <w:rFonts w:ascii="Palatino Linotype" w:cs="Palatino Linotype" w:eastAsia="Palatino Linotype" w:hAnsi="Palatino Linotype"/>
          <w:rtl w:val="0"/>
        </w:rPr>
        <w:t xml:space="preserve">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 manera fundada y motivada, podrá solicitar una ampliación de plazo para el cumplimiento de la presente resolución.</w:t>
      </w:r>
    </w:p>
    <w:p w:rsidR="00000000" w:rsidDel="00000000" w:rsidP="00000000" w:rsidRDefault="00000000" w:rsidRPr="00000000" w14:paraId="000000E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E">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w:t>
      </w:r>
      <w:r w:rsidDel="00000000" w:rsidR="00000000" w:rsidRPr="00000000">
        <w:rPr>
          <w:rFonts w:ascii="Palatino Linotype" w:cs="Palatino Linotype" w:eastAsia="Palatino Linotype" w:hAnsi="Palatino Linotype"/>
          <w:b w:val="1"/>
          <w:color w:val="222222"/>
          <w:rtl w:val="0"/>
        </w:rPr>
        <w:t xml:space="preserve">Notifíquese </w:t>
      </w:r>
      <w:r w:rsidDel="00000000" w:rsidR="00000000" w:rsidRPr="00000000">
        <w:rPr>
          <w:rFonts w:ascii="Palatino Linotype" w:cs="Palatino Linotype" w:eastAsia="Palatino Linotype" w:hAnsi="Palatino Linotype"/>
          <w:color w:val="222222"/>
          <w:rtl w:val="0"/>
        </w:rPr>
        <w:t xml:space="preserve">a</w:t>
      </w:r>
      <w:r w:rsidDel="00000000" w:rsidR="00000000" w:rsidRPr="00000000">
        <w:rPr>
          <w:rFonts w:ascii="Palatino Linotype" w:cs="Palatino Linotype" w:eastAsia="Palatino Linotype" w:hAnsi="Palatino Linotype"/>
          <w:b w:val="1"/>
          <w:rtl w:val="0"/>
        </w:rPr>
        <w:t xml:space="preserve"> EL RECURRENTE</w:t>
      </w:r>
      <w:r w:rsidDel="00000000" w:rsidR="00000000" w:rsidRPr="00000000">
        <w:rPr>
          <w:rFonts w:ascii="Palatino Linotype" w:cs="Palatino Linotype" w:eastAsia="Palatino Linotype" w:hAnsi="Palatino Linotype"/>
          <w:rtl w:val="0"/>
        </w:rPr>
        <w:t xml:space="preserve"> vía SAIMEX la presente resolución.</w:t>
      </w:r>
    </w:p>
    <w:p w:rsidR="00000000" w:rsidDel="00000000" w:rsidP="00000000" w:rsidRDefault="00000000" w:rsidRPr="00000000" w14:paraId="000000EF">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0">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SEXTO.</w:t>
      </w:r>
      <w:r w:rsidDel="00000000" w:rsidR="00000000" w:rsidRPr="00000000">
        <w:rPr>
          <w:rFonts w:ascii="Palatino Linotype" w:cs="Palatino Linotype" w:eastAsia="Palatino Linotype" w:hAnsi="Palatino Linotype"/>
          <w:rtl w:val="0"/>
        </w:rPr>
        <w:t xml:space="preserve"> Se hace del conocimiento de </w:t>
      </w:r>
      <w:r w:rsidDel="00000000" w:rsidR="00000000" w:rsidRPr="00000000">
        <w:rPr>
          <w:rFonts w:ascii="Palatino Linotype" w:cs="Palatino Linotype" w:eastAsia="Palatino Linotype" w:hAnsi="Palatino Linotype"/>
          <w:b w:val="1"/>
          <w:rtl w:val="0"/>
        </w:rPr>
        <w:t xml:space="preserve">EL RECURRENTE</w:t>
      </w:r>
      <w:r w:rsidDel="00000000" w:rsidR="00000000" w:rsidRPr="00000000">
        <w:rPr>
          <w:rFonts w:ascii="Palatino Linotype" w:cs="Palatino Linotype" w:eastAsia="Palatino Linotype" w:hAnsi="Palatino Linotype"/>
          <w:rtl w:val="0"/>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000000" w:rsidDel="00000000" w:rsidP="00000000" w:rsidRDefault="00000000" w:rsidRPr="00000000" w14:paraId="000000F1">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2">
      <w:pPr>
        <w:tabs>
          <w:tab w:val="left" w:pos="0"/>
        </w:tabs>
        <w:spacing w:line="360" w:lineRule="auto"/>
        <w:ind w:right="49"/>
        <w:jc w:val="both"/>
        <w:rPr>
          <w:rFonts w:ascii="Palatino Linotype" w:cs="Palatino Linotype" w:eastAsia="Palatino Linotype" w:hAnsi="Palatino Linotype"/>
        </w:rPr>
      </w:pPr>
      <w:bookmarkStart w:colFirst="0" w:colLast="0" w:name="_heading=h.z337ya" w:id="18"/>
      <w:bookmarkEnd w:id="18"/>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GUADALUPE RAMÍREZ PEÑA Y LUIS GUSTAVO PARRA NORIEGA; EN LA CUADRAGÉSIMA SESIÓN ORDINARIA CELEBRADA EL DIEZ DE NOVIEMBRE DE DOS MIL VEINTIUNO, ANTE EL SECRETARIO TÉCNICO DEL PLENO, ALEXIS TAPIA RAMÍREZ.</w:t>
      </w:r>
    </w:p>
    <w:p w:rsidR="00000000" w:rsidDel="00000000" w:rsidP="00000000" w:rsidRDefault="00000000" w:rsidRPr="00000000" w14:paraId="000000F3">
      <w:pPr>
        <w:spacing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4">
      <w:pPr>
        <w:spacing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5">
      <w:pPr>
        <w:spacing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6">
      <w:pPr>
        <w:spacing w:line="360" w:lineRule="auto"/>
        <w:rPr/>
      </w:pPr>
      <w:r w:rsidDel="00000000" w:rsidR="00000000" w:rsidRPr="00000000">
        <w:rPr>
          <w:rtl w:val="0"/>
        </w:rPr>
      </w:r>
    </w:p>
    <w:p w:rsidR="00000000" w:rsidDel="00000000" w:rsidP="00000000" w:rsidRDefault="00000000" w:rsidRPr="00000000" w14:paraId="000000F7">
      <w:pPr>
        <w:spacing w:line="360" w:lineRule="auto"/>
        <w:rPr/>
      </w:pPr>
      <w:r w:rsidDel="00000000" w:rsidR="00000000" w:rsidRPr="00000000">
        <w:rPr>
          <w:rtl w:val="0"/>
        </w:rPr>
      </w:r>
    </w:p>
    <w:p w:rsidR="00000000" w:rsidDel="00000000" w:rsidP="00000000" w:rsidRDefault="00000000" w:rsidRPr="00000000" w14:paraId="000000F8">
      <w:pPr>
        <w:spacing w:line="360" w:lineRule="auto"/>
        <w:rPr/>
      </w:pPr>
      <w:r w:rsidDel="00000000" w:rsidR="00000000" w:rsidRPr="00000000">
        <w:rPr>
          <w:rtl w:val="0"/>
        </w:rPr>
      </w:r>
    </w:p>
    <w:p w:rsidR="00000000" w:rsidDel="00000000" w:rsidP="00000000" w:rsidRDefault="00000000" w:rsidRPr="00000000" w14:paraId="000000F9">
      <w:pPr>
        <w:spacing w:line="360" w:lineRule="auto"/>
        <w:rPr/>
      </w:pPr>
      <w:r w:rsidDel="00000000" w:rsidR="00000000" w:rsidRPr="00000000">
        <w:rPr>
          <w:rtl w:val="0"/>
        </w:rPr>
      </w:r>
    </w:p>
    <w:p w:rsidR="00000000" w:rsidDel="00000000" w:rsidP="00000000" w:rsidRDefault="00000000" w:rsidRPr="00000000" w14:paraId="000000FA">
      <w:pPr>
        <w:spacing w:line="360" w:lineRule="auto"/>
        <w:rPr/>
      </w:pPr>
      <w:r w:rsidDel="00000000" w:rsidR="00000000" w:rsidRPr="00000000">
        <w:rPr>
          <w:rtl w:val="0"/>
        </w:rPr>
      </w:r>
    </w:p>
    <w:p w:rsidR="00000000" w:rsidDel="00000000" w:rsidP="00000000" w:rsidRDefault="00000000" w:rsidRPr="00000000" w14:paraId="000000FB">
      <w:pPr>
        <w:spacing w:line="360" w:lineRule="auto"/>
        <w:rPr/>
      </w:pPr>
      <w:r w:rsidDel="00000000" w:rsidR="00000000" w:rsidRPr="00000000">
        <w:rPr>
          <w:rtl w:val="0"/>
        </w:rPr>
      </w:r>
    </w:p>
    <w:p w:rsidR="00000000" w:rsidDel="00000000" w:rsidP="00000000" w:rsidRDefault="00000000" w:rsidRPr="00000000" w14:paraId="000000FC">
      <w:pPr>
        <w:spacing w:line="360" w:lineRule="auto"/>
        <w:rPr/>
      </w:pPr>
      <w:r w:rsidDel="00000000" w:rsidR="00000000" w:rsidRPr="00000000">
        <w:rPr>
          <w:rtl w:val="0"/>
        </w:rPr>
      </w:r>
    </w:p>
    <w:p w:rsidR="00000000" w:rsidDel="00000000" w:rsidP="00000000" w:rsidRDefault="00000000" w:rsidRPr="00000000" w14:paraId="000000FD">
      <w:pPr>
        <w:spacing w:line="360" w:lineRule="auto"/>
        <w:rPr/>
      </w:pPr>
      <w:r w:rsidDel="00000000" w:rsidR="00000000" w:rsidRPr="00000000">
        <w:rPr>
          <w:rtl w:val="0"/>
        </w:rPr>
      </w:r>
    </w:p>
    <w:p w:rsidR="00000000" w:rsidDel="00000000" w:rsidP="00000000" w:rsidRDefault="00000000" w:rsidRPr="00000000" w14:paraId="000000FE">
      <w:pPr>
        <w:spacing w:line="360" w:lineRule="auto"/>
        <w:rPr/>
      </w:pPr>
      <w:r w:rsidDel="00000000" w:rsidR="00000000" w:rsidRPr="00000000">
        <w:rPr>
          <w:rtl w:val="0"/>
        </w:rPr>
      </w:r>
    </w:p>
    <w:p w:rsidR="00000000" w:rsidDel="00000000" w:rsidP="00000000" w:rsidRDefault="00000000" w:rsidRPr="00000000" w14:paraId="000000FF">
      <w:pPr>
        <w:spacing w:line="360" w:lineRule="auto"/>
        <w:rPr/>
      </w:pPr>
      <w:r w:rsidDel="00000000" w:rsidR="00000000" w:rsidRPr="00000000">
        <w:rPr>
          <w:rtl w:val="0"/>
        </w:rPr>
      </w:r>
    </w:p>
    <w:p w:rsidR="00000000" w:rsidDel="00000000" w:rsidP="00000000" w:rsidRDefault="00000000" w:rsidRPr="00000000" w14:paraId="00000100">
      <w:pPr>
        <w:spacing w:line="360" w:lineRule="auto"/>
        <w:rPr/>
      </w:pPr>
      <w:r w:rsidDel="00000000" w:rsidR="00000000" w:rsidRPr="00000000">
        <w:rPr>
          <w:rtl w:val="0"/>
        </w:rPr>
      </w:r>
    </w:p>
    <w:p w:rsidR="00000000" w:rsidDel="00000000" w:rsidP="00000000" w:rsidRDefault="00000000" w:rsidRPr="00000000" w14:paraId="00000101">
      <w:pPr>
        <w:spacing w:line="360" w:lineRule="auto"/>
        <w:rPr/>
      </w:pPr>
      <w:r w:rsidDel="00000000" w:rsidR="00000000" w:rsidRPr="00000000">
        <w:rPr>
          <w:rtl w:val="0"/>
        </w:rPr>
      </w:r>
    </w:p>
    <w:p w:rsidR="00000000" w:rsidDel="00000000" w:rsidP="00000000" w:rsidRDefault="00000000" w:rsidRPr="00000000" w14:paraId="00000102">
      <w:pPr>
        <w:spacing w:line="360" w:lineRule="auto"/>
        <w:rPr/>
      </w:pPr>
      <w:r w:rsidDel="00000000" w:rsidR="00000000" w:rsidRPr="00000000">
        <w:rPr>
          <w:rtl w:val="0"/>
        </w:rPr>
      </w:r>
    </w:p>
    <w:p w:rsidR="00000000" w:rsidDel="00000000" w:rsidP="00000000" w:rsidRDefault="00000000" w:rsidRPr="00000000" w14:paraId="00000103">
      <w:pPr>
        <w:spacing w:line="360" w:lineRule="auto"/>
        <w:rPr/>
      </w:pPr>
      <w:r w:rsidDel="00000000" w:rsidR="00000000" w:rsidRPr="00000000">
        <w:rPr>
          <w:rtl w:val="0"/>
        </w:rPr>
      </w:r>
    </w:p>
    <w:p w:rsidR="00000000" w:rsidDel="00000000" w:rsidP="00000000" w:rsidRDefault="00000000" w:rsidRPr="00000000" w14:paraId="00000104">
      <w:pPr>
        <w:spacing w:line="360" w:lineRule="auto"/>
        <w:rPr/>
      </w:pPr>
      <w:r w:rsidDel="00000000" w:rsidR="00000000" w:rsidRPr="00000000">
        <w:rPr>
          <w:rtl w:val="0"/>
        </w:rPr>
      </w:r>
    </w:p>
    <w:p w:rsidR="00000000" w:rsidDel="00000000" w:rsidP="00000000" w:rsidRDefault="00000000" w:rsidRPr="00000000" w14:paraId="00000105">
      <w:pPr>
        <w:spacing w:line="360" w:lineRule="auto"/>
        <w:rPr/>
      </w:pPr>
      <w:r w:rsidDel="00000000" w:rsidR="00000000" w:rsidRPr="00000000">
        <w:rPr>
          <w:rtl w:val="0"/>
        </w:rPr>
      </w:r>
    </w:p>
    <w:p w:rsidR="00000000" w:rsidDel="00000000" w:rsidP="00000000" w:rsidRDefault="00000000" w:rsidRPr="00000000" w14:paraId="00000106">
      <w:pPr>
        <w:spacing w:line="360" w:lineRule="auto"/>
        <w:rPr/>
      </w:pPr>
      <w:r w:rsidDel="00000000" w:rsidR="00000000" w:rsidRPr="00000000">
        <w:rPr>
          <w:rtl w:val="0"/>
        </w:rPr>
      </w:r>
    </w:p>
    <w:p w:rsidR="00000000" w:rsidDel="00000000" w:rsidP="00000000" w:rsidRDefault="00000000" w:rsidRPr="00000000" w14:paraId="00000107">
      <w:pPr>
        <w:spacing w:line="360" w:lineRule="auto"/>
        <w:rPr/>
      </w:pPr>
      <w:r w:rsidDel="00000000" w:rsidR="00000000" w:rsidRPr="00000000">
        <w:rPr>
          <w:rtl w:val="0"/>
        </w:rPr>
      </w:r>
    </w:p>
    <w:p w:rsidR="00000000" w:rsidDel="00000000" w:rsidP="00000000" w:rsidRDefault="00000000" w:rsidRPr="00000000" w14:paraId="00000108">
      <w:pPr>
        <w:spacing w:line="360" w:lineRule="auto"/>
        <w:rPr/>
      </w:pPr>
      <w:r w:rsidDel="00000000" w:rsidR="00000000" w:rsidRPr="00000000">
        <w:rPr>
          <w:rtl w:val="0"/>
        </w:rPr>
      </w:r>
    </w:p>
    <w:p w:rsidR="00000000" w:rsidDel="00000000" w:rsidP="00000000" w:rsidRDefault="00000000" w:rsidRPr="00000000" w14:paraId="00000109">
      <w:pPr>
        <w:spacing w:line="360" w:lineRule="auto"/>
        <w:rPr/>
      </w:pPr>
      <w:r w:rsidDel="00000000" w:rsidR="00000000" w:rsidRPr="00000000">
        <w:rPr>
          <w:rtl w:val="0"/>
        </w:rPr>
      </w:r>
    </w:p>
    <w:p w:rsidR="00000000" w:rsidDel="00000000" w:rsidP="00000000" w:rsidRDefault="00000000" w:rsidRPr="00000000" w14:paraId="0000010A">
      <w:pPr>
        <w:spacing w:line="360" w:lineRule="auto"/>
        <w:rPr/>
      </w:pPr>
      <w:r w:rsidDel="00000000" w:rsidR="00000000" w:rsidRPr="00000000">
        <w:rPr>
          <w:rtl w:val="0"/>
        </w:rPr>
      </w:r>
    </w:p>
    <w:p w:rsidR="00000000" w:rsidDel="00000000" w:rsidP="00000000" w:rsidRDefault="00000000" w:rsidRPr="00000000" w14:paraId="0000010B">
      <w:pPr>
        <w:spacing w:line="360" w:lineRule="auto"/>
        <w:rPr/>
      </w:pPr>
      <w:r w:rsidDel="00000000" w:rsidR="00000000" w:rsidRPr="00000000">
        <w:rPr>
          <w:rtl w:val="0"/>
        </w:rPr>
      </w:r>
    </w:p>
    <w:p w:rsidR="00000000" w:rsidDel="00000000" w:rsidP="00000000" w:rsidRDefault="00000000" w:rsidRPr="00000000" w14:paraId="0000010C">
      <w:pPr>
        <w:spacing w:line="360" w:lineRule="auto"/>
        <w:rPr/>
      </w:pPr>
      <w:r w:rsidDel="00000000" w:rsidR="00000000" w:rsidRPr="00000000">
        <w:rPr>
          <w:rtl w:val="0"/>
        </w:rPr>
      </w:r>
    </w:p>
    <w:p w:rsidR="00000000" w:rsidDel="00000000" w:rsidP="00000000" w:rsidRDefault="00000000" w:rsidRPr="00000000" w14:paraId="0000010D">
      <w:pPr>
        <w:spacing w:line="360" w:lineRule="auto"/>
        <w:rPr/>
      </w:pPr>
      <w:r w:rsidDel="00000000" w:rsidR="00000000" w:rsidRPr="00000000">
        <w:rPr>
          <w:rtl w:val="0"/>
        </w:rPr>
      </w:r>
    </w:p>
    <w:p w:rsidR="00000000" w:rsidDel="00000000" w:rsidP="00000000" w:rsidRDefault="00000000" w:rsidRPr="00000000" w14:paraId="0000010E">
      <w:pPr>
        <w:spacing w:line="360" w:lineRule="auto"/>
        <w:rPr/>
      </w:pPr>
      <w:r w:rsidDel="00000000" w:rsidR="00000000" w:rsidRPr="00000000">
        <w:rPr>
          <w:rtl w:val="0"/>
        </w:rPr>
      </w:r>
    </w:p>
    <w:p w:rsidR="00000000" w:rsidDel="00000000" w:rsidP="00000000" w:rsidRDefault="00000000" w:rsidRPr="00000000" w14:paraId="0000010F">
      <w:pPr>
        <w:spacing w:line="360" w:lineRule="auto"/>
        <w:rPr/>
      </w:pPr>
      <w:r w:rsidDel="00000000" w:rsidR="00000000" w:rsidRPr="00000000">
        <w:rPr>
          <w:rtl w:val="0"/>
        </w:rPr>
      </w:r>
    </w:p>
    <w:sectPr>
      <w:headerReference r:id="rId23" w:type="default"/>
      <w:headerReference r:id="rId24" w:type="first"/>
      <w:footerReference r:id="rId25" w:type="default"/>
      <w:footerReference r:id="rId26" w:type="first"/>
      <w:pgSz w:h="15840" w:w="12240" w:orient="portrait"/>
      <w:pgMar w:bottom="1985" w:top="2410"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ambr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Página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Página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708"/>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 Convención Americana sobre Derechos Humanos. Artículo 13.</w:t>
      </w:r>
    </w:p>
  </w:footnote>
  <w:footnote w:id="1">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 Constitución Política de los Estados Unidos Mexicanos. Artículo sexto, sección A, fracción I.</w:t>
      </w:r>
    </w:p>
  </w:footnote>
  <w:footnote w:id="2">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 Corte Interamericana de Derechos Humanos. Caso Claude Reyes y otros vs. Chile. Sentencia de 19 de septiembre de 2006. Serie C. No. 151. Párr. 86.</w:t>
      </w:r>
    </w:p>
  </w:footnote>
  <w:footnote w:id="3">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 Ibídem. Parr. 87.</w:t>
      </w:r>
      <w:r w:rsidDel="00000000" w:rsidR="00000000" w:rsidRPr="00000000">
        <w:rPr>
          <w:rtl w:val="0"/>
        </w:rPr>
      </w:r>
    </w:p>
  </w:footnote>
  <w:footnote w:id="4">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Artículo Segundo, Decreto Número 120 publicado el veintitrés (23) de diciembre de dos mil diecinueve en el periódico oficial </w:t>
      </w:r>
      <w:r w:rsidDel="00000000" w:rsidR="00000000" w:rsidRPr="00000000">
        <w:rPr>
          <w:rFonts w:ascii="Cambria" w:cs="Cambria" w:eastAsia="Cambria" w:hAnsi="Cambria"/>
          <w:b w:val="0"/>
          <w:i w:val="1"/>
          <w:smallCaps w:val="0"/>
          <w:strike w:val="0"/>
          <w:color w:val="000000"/>
          <w:sz w:val="20"/>
          <w:szCs w:val="20"/>
          <w:u w:val="none"/>
          <w:shd w:fill="auto" w:val="clear"/>
          <w:vertAlign w:val="baseline"/>
          <w:rtl w:val="0"/>
        </w:rPr>
        <w:t xml:space="preserve">Gaceta del Gobierno</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w:t>
      </w:r>
    </w:p>
  </w:footnote>
  <w:footnote w:id="5">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Consultable en http://jcem.edomex.gob.mx/proyecto-asociacion-publico-privada-del-sur</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-1078864</wp:posOffset>
          </wp:positionH>
          <wp:positionV relativeFrom="paragraph">
            <wp:posOffset>-411479</wp:posOffset>
          </wp:positionV>
          <wp:extent cx="7813085" cy="10170000"/>
          <wp:effectExtent b="0" l="0" r="0" t="0"/>
          <wp:wrapNone/>
          <wp:docPr id="4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13085" cy="10170000"/>
                  </a:xfrm>
                  <a:prstGeom prst="rect"/>
                  <a:ln/>
                </pic:spPr>
              </pic:pic>
            </a:graphicData>
          </a:graphic>
        </wp:anchor>
      </w:drawing>
    </w:r>
  </w:p>
  <w:tbl>
    <w:tblPr>
      <w:tblStyle w:val="Table1"/>
      <w:tblW w:w="6095.0" w:type="dxa"/>
      <w:jc w:val="left"/>
      <w:tblInd w:w="3119.0" w:type="dxa"/>
      <w:tblLayout w:type="fixed"/>
      <w:tblLook w:val="0400"/>
    </w:tblPr>
    <w:tblGrid>
      <w:gridCol w:w="2551"/>
      <w:gridCol w:w="3544"/>
      <w:tblGridChange w:id="0">
        <w:tblGrid>
          <w:gridCol w:w="2551"/>
          <w:gridCol w:w="3544"/>
        </w:tblGrid>
      </w:tblGridChange>
    </w:tblGrid>
    <w:tr>
      <w:trPr>
        <w:cantSplit w:val="0"/>
        <w:tblHeader w:val="0"/>
      </w:trPr>
      <w:tc>
        <w:tcPr>
          <w:vAlign w:val="center"/>
        </w:tcPr>
        <w:p w:rsidR="00000000" w:rsidDel="00000000" w:rsidP="00000000" w:rsidRDefault="00000000" w:rsidRPr="00000000" w14:paraId="00000117">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Recurso de Revisión:</w:t>
          </w:r>
        </w:p>
      </w:tc>
      <w:tc>
        <w:tcPr>
          <w:vAlign w:val="center"/>
        </w:tcPr>
        <w:p w:rsidR="00000000" w:rsidDel="00000000" w:rsidP="00000000" w:rsidRDefault="00000000" w:rsidRPr="00000000" w14:paraId="00000118">
          <w:pPr>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04698/INFOEM/IP/RR/2021</w:t>
          </w:r>
        </w:p>
      </w:tc>
    </w:tr>
    <w:tr>
      <w:trPr>
        <w:cantSplit w:val="0"/>
        <w:tblHeader w:val="0"/>
      </w:trPr>
      <w:tc>
        <w:tcPr>
          <w:vAlign w:val="center"/>
        </w:tcPr>
        <w:p w:rsidR="00000000" w:rsidDel="00000000" w:rsidP="00000000" w:rsidRDefault="00000000" w:rsidRPr="00000000" w14:paraId="00000119">
          <w:pPr>
            <w:ind w:left="35" w:hanging="35"/>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Recurrente:</w:t>
          </w:r>
        </w:p>
      </w:tc>
      <w:tc>
        <w:tcPr>
          <w:vAlign w:val="center"/>
        </w:tcPr>
        <w:p w:rsidR="00000000" w:rsidDel="00000000" w:rsidP="00000000" w:rsidRDefault="00000000" w:rsidRPr="00000000" w14:paraId="0000011A">
          <w:pPr>
            <w:rPr>
              <w:b w:val="1"/>
              <w:sz w:val="21"/>
              <w:szCs w:val="21"/>
            </w:rPr>
          </w:pPr>
          <w:r w:rsidDel="00000000" w:rsidR="00000000" w:rsidRPr="00000000">
            <w:rPr>
              <w:rtl w:val="0"/>
            </w:rPr>
          </w:r>
        </w:p>
      </w:tc>
    </w:tr>
    <w:tr>
      <w:trPr>
        <w:cantSplit w:val="0"/>
        <w:trHeight w:val="228" w:hRule="atLeast"/>
        <w:tblHeader w:val="0"/>
      </w:trPr>
      <w:tc>
        <w:tcPr>
          <w:vAlign w:val="center"/>
        </w:tcPr>
        <w:p w:rsidR="00000000" w:rsidDel="00000000" w:rsidP="00000000" w:rsidRDefault="00000000" w:rsidRPr="00000000" w14:paraId="0000011B">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Sujeto Obligado:</w:t>
          </w:r>
        </w:p>
      </w:tc>
      <w:tc>
        <w:tcPr>
          <w:vAlign w:val="center"/>
        </w:tcPr>
        <w:p w:rsidR="00000000" w:rsidDel="00000000" w:rsidP="00000000" w:rsidRDefault="00000000" w:rsidRPr="00000000" w14:paraId="0000011C">
          <w:pPr>
            <w:ind w:left="35" w:hanging="35"/>
            <w:jc w:val="both"/>
            <w:rPr>
              <w:sz w:val="21"/>
              <w:szCs w:val="21"/>
            </w:rPr>
          </w:pPr>
          <w:r w:rsidDel="00000000" w:rsidR="00000000" w:rsidRPr="00000000">
            <w:rPr>
              <w:rFonts w:ascii="Palatino Linotype" w:cs="Palatino Linotype" w:eastAsia="Palatino Linotype" w:hAnsi="Palatino Linotype"/>
              <w:b w:val="1"/>
              <w:sz w:val="21"/>
              <w:szCs w:val="21"/>
              <w:rtl w:val="0"/>
            </w:rPr>
            <w:t xml:space="preserve">Junta de Caminos del Estado de México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1D">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Comisionada Ponente:</w:t>
          </w:r>
        </w:p>
      </w:tc>
      <w:tc>
        <w:tcPr>
          <w:vAlign w:val="center"/>
        </w:tcPr>
        <w:p w:rsidR="00000000" w:rsidDel="00000000" w:rsidP="00000000" w:rsidRDefault="00000000" w:rsidRPr="00000000" w14:paraId="0000011E">
          <w:pPr>
            <w:ind w:right="-533"/>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María del Rosario Mejía Ayala</w:t>
          </w:r>
        </w:p>
      </w:tc>
    </w:tr>
  </w:tbl>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5812.0" w:type="dxa"/>
      <w:jc w:val="left"/>
      <w:tblInd w:w="2977.0" w:type="dxa"/>
      <w:tblLayout w:type="fixed"/>
      <w:tblLook w:val="0400"/>
    </w:tblPr>
    <w:tblGrid>
      <w:gridCol w:w="2552"/>
      <w:gridCol w:w="3260"/>
      <w:tblGridChange w:id="0">
        <w:tblGrid>
          <w:gridCol w:w="2552"/>
          <w:gridCol w:w="3260"/>
        </w:tblGrid>
      </w:tblGridChange>
    </w:tblGrid>
    <w:tr>
      <w:trPr>
        <w:cantSplit w:val="0"/>
        <w:tblHeader w:val="0"/>
      </w:trPr>
      <w:tc>
        <w:tcPr>
          <w:vAlign w:val="center"/>
        </w:tcPr>
        <w:p w:rsidR="00000000" w:rsidDel="00000000" w:rsidP="00000000" w:rsidRDefault="00000000" w:rsidRPr="00000000" w14:paraId="00000121">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Recurso de Revisión:</w:t>
          </w:r>
        </w:p>
      </w:tc>
      <w:tc>
        <w:tcPr>
          <w:vAlign w:val="center"/>
        </w:tcPr>
        <w:p w:rsidR="00000000" w:rsidDel="00000000" w:rsidP="00000000" w:rsidRDefault="00000000" w:rsidRPr="00000000" w14:paraId="00000122">
          <w:pPr>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04698/INFOEM/IP/RR/2021</w:t>
          </w:r>
        </w:p>
      </w:tc>
    </w:tr>
    <w:tr>
      <w:trPr>
        <w:cantSplit w:val="0"/>
        <w:trHeight w:val="228" w:hRule="atLeast"/>
        <w:tblHeader w:val="0"/>
      </w:trPr>
      <w:tc>
        <w:tcPr>
          <w:vAlign w:val="center"/>
        </w:tcPr>
        <w:p w:rsidR="00000000" w:rsidDel="00000000" w:rsidP="00000000" w:rsidRDefault="00000000" w:rsidRPr="00000000" w14:paraId="00000123">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Sujeto Obligado:</w:t>
          </w:r>
        </w:p>
      </w:tc>
      <w:tc>
        <w:tcPr>
          <w:vAlign w:val="center"/>
        </w:tcPr>
        <w:p w:rsidR="00000000" w:rsidDel="00000000" w:rsidP="00000000" w:rsidRDefault="00000000" w:rsidRPr="00000000" w14:paraId="00000124">
          <w:pPr>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Junta de Caminos del Estado de México</w:t>
          </w:r>
        </w:p>
      </w:tc>
    </w:tr>
    <w:tr>
      <w:trPr>
        <w:cantSplit w:val="0"/>
        <w:tblHeader w:val="0"/>
      </w:trPr>
      <w:tc>
        <w:tcPr>
          <w:vAlign w:val="center"/>
        </w:tcPr>
        <w:p w:rsidR="00000000" w:rsidDel="00000000" w:rsidP="00000000" w:rsidRDefault="00000000" w:rsidRPr="00000000" w14:paraId="00000125">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Comisionada Ponente:</w:t>
          </w:r>
        </w:p>
      </w:tc>
      <w:tc>
        <w:tcPr>
          <w:vAlign w:val="center"/>
        </w:tcPr>
        <w:p w:rsidR="00000000" w:rsidDel="00000000" w:rsidP="00000000" w:rsidRDefault="00000000" w:rsidRPr="00000000" w14:paraId="00000126">
          <w:pPr>
            <w:ind w:right="-533"/>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María del Rosario Mejía Ayala</w:t>
          </w:r>
        </w:p>
      </w:tc>
    </w:tr>
  </w:tbl>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 w:val="left" w:pos="2326"/>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r w:rsidDel="00000000" w:rsidR="00000000" w:rsidRPr="00000000">
      <w:drawing>
        <wp:anchor allowOverlap="1" behindDoc="1" distB="0" distT="0" distL="0" distR="0" hidden="0" layoutInCell="1" locked="0" relativeHeight="0" simplePos="0">
          <wp:simplePos x="0" y="0"/>
          <wp:positionH relativeFrom="column">
            <wp:posOffset>-1071901</wp:posOffset>
          </wp:positionH>
          <wp:positionV relativeFrom="paragraph">
            <wp:posOffset>-997298</wp:posOffset>
          </wp:positionV>
          <wp:extent cx="7809876" cy="10165823"/>
          <wp:effectExtent b="0" l="0" r="0" t="0"/>
          <wp:wrapNone/>
          <wp:docPr id="4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2">
    <w:lvl w:ilvl="0">
      <w:start w:val="1"/>
      <w:numFmt w:val="decimal"/>
      <w:lvlText w:val="%1."/>
      <w:lvlJc w:val="left"/>
      <w:pPr>
        <w:ind w:left="502" w:hanging="360"/>
      </w:pPr>
      <w:rPr>
        <w:b w:val="1"/>
        <w:i w:val="0"/>
        <w:color w:val="00000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lowerLetter"/>
      <w:lvlText w:val="%1)"/>
      <w:lvlJc w:val="left"/>
      <w:pPr>
        <w:ind w:left="1287" w:hanging="360.0000000000001"/>
      </w:pPr>
      <w:rPr/>
    </w:lvl>
    <w:lvl w:ilvl="1">
      <w:start w:val="1"/>
      <w:numFmt w:val="lowerLetter"/>
      <w:lvlText w:val="%2."/>
      <w:lvlJc w:val="left"/>
      <w:pPr>
        <w:ind w:left="2007" w:hanging="360"/>
      </w:pPr>
      <w:rPr/>
    </w:lvl>
    <w:lvl w:ilvl="2">
      <w:start w:val="1"/>
      <w:numFmt w:val="lowerRoman"/>
      <w:lvlText w:val="%3."/>
      <w:lvlJc w:val="right"/>
      <w:pPr>
        <w:ind w:left="2727" w:hanging="180"/>
      </w:pPr>
      <w:rPr/>
    </w:lvl>
    <w:lvl w:ilvl="3">
      <w:start w:val="1"/>
      <w:numFmt w:val="decimal"/>
      <w:lvlText w:val="%4."/>
      <w:lvlJc w:val="left"/>
      <w:pPr>
        <w:ind w:left="3447" w:hanging="360"/>
      </w:pPr>
      <w:rPr/>
    </w:lvl>
    <w:lvl w:ilvl="4">
      <w:start w:val="1"/>
      <w:numFmt w:val="lowerLetter"/>
      <w:lvlText w:val="%5."/>
      <w:lvlJc w:val="left"/>
      <w:pPr>
        <w:ind w:left="4167" w:hanging="360"/>
      </w:pPr>
      <w:rPr/>
    </w:lvl>
    <w:lvl w:ilvl="5">
      <w:start w:val="1"/>
      <w:numFmt w:val="lowerRoman"/>
      <w:lvlText w:val="%6."/>
      <w:lvlJc w:val="right"/>
      <w:pPr>
        <w:ind w:left="4887" w:hanging="180"/>
      </w:pPr>
      <w:rPr/>
    </w:lvl>
    <w:lvl w:ilvl="6">
      <w:start w:val="1"/>
      <w:numFmt w:val="decimal"/>
      <w:lvlText w:val="%7."/>
      <w:lvlJc w:val="left"/>
      <w:pPr>
        <w:ind w:left="5607" w:hanging="360"/>
      </w:pPr>
      <w:rPr/>
    </w:lvl>
    <w:lvl w:ilvl="7">
      <w:start w:val="1"/>
      <w:numFmt w:val="lowerLetter"/>
      <w:lvlText w:val="%8."/>
      <w:lvlJc w:val="left"/>
      <w:pPr>
        <w:ind w:left="6327" w:hanging="360"/>
      </w:pPr>
      <w:rPr/>
    </w:lvl>
    <w:lvl w:ilvl="8">
      <w:start w:val="1"/>
      <w:numFmt w:val="lowerRoman"/>
      <w:lvlText w:val="%9."/>
      <w:lvlJc w:val="right"/>
      <w:pPr>
        <w:ind w:left="7047" w:hanging="180"/>
      </w:pPr>
      <w:rPr/>
    </w:lvl>
  </w:abstractNum>
  <w:abstractNum w:abstractNumId="6">
    <w:lvl w:ilvl="0">
      <w:start w:val="1"/>
      <w:numFmt w:val="bullet"/>
      <w:lvlText w:val="●"/>
      <w:lvlJc w:val="left"/>
      <w:pPr>
        <w:ind w:left="1146" w:hanging="360"/>
      </w:pPr>
      <w:rPr>
        <w:rFonts w:ascii="Noto Sans Symbols" w:cs="Noto Sans Symbols" w:eastAsia="Noto Sans Symbols" w:hAnsi="Noto Sans Symbols"/>
      </w:rPr>
    </w:lvl>
    <w:lvl w:ilvl="1">
      <w:start w:val="1"/>
      <w:numFmt w:val="bullet"/>
      <w:lvlText w:val="o"/>
      <w:lvlJc w:val="left"/>
      <w:pPr>
        <w:ind w:left="1866" w:hanging="360"/>
      </w:pPr>
      <w:rPr>
        <w:rFonts w:ascii="Courier New" w:cs="Courier New" w:eastAsia="Courier New" w:hAnsi="Courier New"/>
      </w:rPr>
    </w:lvl>
    <w:lvl w:ilvl="2">
      <w:start w:val="1"/>
      <w:numFmt w:val="bullet"/>
      <w:lvlText w:val="▪"/>
      <w:lvlJc w:val="left"/>
      <w:pPr>
        <w:ind w:left="2586" w:hanging="360"/>
      </w:pPr>
      <w:rPr>
        <w:rFonts w:ascii="Noto Sans Symbols" w:cs="Noto Sans Symbols" w:eastAsia="Noto Sans Symbols" w:hAnsi="Noto Sans Symbols"/>
      </w:rPr>
    </w:lvl>
    <w:lvl w:ilvl="3">
      <w:start w:val="1"/>
      <w:numFmt w:val="bullet"/>
      <w:lvlText w:val="●"/>
      <w:lvlJc w:val="left"/>
      <w:pPr>
        <w:ind w:left="3306" w:hanging="360"/>
      </w:pPr>
      <w:rPr>
        <w:rFonts w:ascii="Noto Sans Symbols" w:cs="Noto Sans Symbols" w:eastAsia="Noto Sans Symbols" w:hAnsi="Noto Sans Symbols"/>
      </w:rPr>
    </w:lvl>
    <w:lvl w:ilvl="4">
      <w:start w:val="1"/>
      <w:numFmt w:val="bullet"/>
      <w:lvlText w:val="o"/>
      <w:lvlJc w:val="left"/>
      <w:pPr>
        <w:ind w:left="4026" w:hanging="360"/>
      </w:pPr>
      <w:rPr>
        <w:rFonts w:ascii="Courier New" w:cs="Courier New" w:eastAsia="Courier New" w:hAnsi="Courier New"/>
      </w:rPr>
    </w:lvl>
    <w:lvl w:ilvl="5">
      <w:start w:val="1"/>
      <w:numFmt w:val="bullet"/>
      <w:lvlText w:val="▪"/>
      <w:lvlJc w:val="left"/>
      <w:pPr>
        <w:ind w:left="4746" w:hanging="360"/>
      </w:pPr>
      <w:rPr>
        <w:rFonts w:ascii="Noto Sans Symbols" w:cs="Noto Sans Symbols" w:eastAsia="Noto Sans Symbols" w:hAnsi="Noto Sans Symbols"/>
      </w:rPr>
    </w:lvl>
    <w:lvl w:ilvl="6">
      <w:start w:val="1"/>
      <w:numFmt w:val="bullet"/>
      <w:lvlText w:val="●"/>
      <w:lvlJc w:val="left"/>
      <w:pPr>
        <w:ind w:left="5466" w:hanging="360"/>
      </w:pPr>
      <w:rPr>
        <w:rFonts w:ascii="Noto Sans Symbols" w:cs="Noto Sans Symbols" w:eastAsia="Noto Sans Symbols" w:hAnsi="Noto Sans Symbols"/>
      </w:rPr>
    </w:lvl>
    <w:lvl w:ilvl="7">
      <w:start w:val="1"/>
      <w:numFmt w:val="bullet"/>
      <w:lvlText w:val="o"/>
      <w:lvlJc w:val="left"/>
      <w:pPr>
        <w:ind w:left="6186" w:hanging="360"/>
      </w:pPr>
      <w:rPr>
        <w:rFonts w:ascii="Courier New" w:cs="Courier New" w:eastAsia="Courier New" w:hAnsi="Courier New"/>
      </w:rPr>
    </w:lvl>
    <w:lvl w:ilvl="8">
      <w:start w:val="1"/>
      <w:numFmt w:val="bullet"/>
      <w:lvlText w:val="▪"/>
      <w:lvlJc w:val="left"/>
      <w:pPr>
        <w:ind w:left="6906" w:hanging="360"/>
      </w:pPr>
      <w:rPr>
        <w:rFonts w:ascii="Noto Sans Symbols" w:cs="Noto Sans Symbols" w:eastAsia="Noto Sans Symbols" w:hAnsi="Noto Sans Symbols"/>
      </w:rPr>
    </w:lvl>
  </w:abstractNum>
  <w:abstractNum w:abstractNumId="7">
    <w:lvl w:ilvl="0">
      <w:start w:val="1"/>
      <w:numFmt w:val="lowerLetter"/>
      <w:lvlText w:val="%1)"/>
      <w:lvlJc w:val="left"/>
      <w:pPr>
        <w:ind w:left="720" w:hanging="360"/>
      </w:pPr>
      <w:rPr>
        <w:b w:val="1"/>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256" w:lineRule="auto"/>
    </w:pPr>
    <w:rPr>
      <w:rFonts w:ascii="Calibri" w:cs="Calibri" w:eastAsia="Calibri" w:hAnsi="Calibri"/>
      <w:color w:val="366091"/>
      <w:sz w:val="26"/>
      <w:szCs w:val="2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spacing w:before="40" w:lineRule="auto"/>
    </w:pPr>
    <w:rPr>
      <w:rFonts w:ascii="Calibri" w:cs="Calibri" w:eastAsia="Calibri" w:hAnsi="Calibri"/>
      <w:i w:val="1"/>
      <w:color w:val="366091"/>
    </w:rPr>
  </w:style>
  <w:style w:type="paragraph" w:styleId="Heading5">
    <w:name w:val="heading 5"/>
    <w:basedOn w:val="Normal"/>
    <w:next w:val="Normal"/>
    <w:pPr>
      <w:keepNext w:val="1"/>
      <w:keepLines w:val="1"/>
      <w:spacing w:before="40" w:lineRule="auto"/>
    </w:pPr>
    <w:rPr>
      <w:rFonts w:ascii="Calibri" w:cs="Calibri" w:eastAsia="Calibri" w:hAnsi="Calibri"/>
      <w:color w:val="366091"/>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866A97"/>
    <w:rPr>
      <w:rFonts w:ascii="Times New Roman" w:cs="Times New Roman" w:eastAsia="Times New Roman" w:hAnsi="Times New Roman"/>
      <w:lang w:eastAsia="es-MX" w:val="es-MX"/>
    </w:rPr>
  </w:style>
  <w:style w:type="paragraph" w:styleId="Ttulo1">
    <w:name w:val="heading 1"/>
    <w:basedOn w:val="Normal"/>
    <w:next w:val="Normal"/>
    <w:link w:val="Ttulo1Car"/>
    <w:uiPriority w:val="9"/>
    <w:qFormat w:val="1"/>
    <w:rsid w:val="00A07966"/>
    <w:pPr>
      <w:keepNext w:val="1"/>
      <w:keepLines w:val="1"/>
      <w:spacing w:before="240"/>
      <w:outlineLvl w:val="0"/>
    </w:pPr>
    <w:rPr>
      <w:rFonts w:asciiTheme="majorHAnsi" w:cstheme="majorBidi" w:eastAsiaTheme="majorEastAsia" w:hAnsiTheme="majorHAnsi"/>
      <w:color w:val="365f91" w:themeColor="accent1" w:themeShade="0000BF"/>
      <w:sz w:val="32"/>
      <w:szCs w:val="32"/>
      <w:lang w:eastAsia="es-ES"/>
    </w:rPr>
  </w:style>
  <w:style w:type="paragraph" w:styleId="Ttulo2">
    <w:name w:val="heading 2"/>
    <w:basedOn w:val="Normal"/>
    <w:next w:val="Normal"/>
    <w:link w:val="Ttulo2Car"/>
    <w:uiPriority w:val="9"/>
    <w:unhideWhenUsed w:val="1"/>
    <w:qFormat w:val="1"/>
    <w:rsid w:val="00A07966"/>
    <w:pPr>
      <w:keepNext w:val="1"/>
      <w:keepLines w:val="1"/>
      <w:spacing w:before="40" w:line="256" w:lineRule="auto"/>
      <w:outlineLvl w:val="1"/>
    </w:pPr>
    <w:rPr>
      <w:rFonts w:asciiTheme="majorHAnsi" w:cstheme="majorBidi" w:eastAsiaTheme="majorEastAsia" w:hAnsiTheme="majorHAnsi"/>
      <w:color w:val="365f91" w:themeColor="accent1" w:themeShade="0000BF"/>
      <w:sz w:val="26"/>
      <w:szCs w:val="26"/>
      <w:lang w:eastAsia="en-US"/>
    </w:rPr>
  </w:style>
  <w:style w:type="paragraph" w:styleId="Ttulo3">
    <w:name w:val="heading 3"/>
    <w:basedOn w:val="Normal"/>
    <w:link w:val="Ttulo3Car"/>
    <w:uiPriority w:val="9"/>
    <w:unhideWhenUsed w:val="1"/>
    <w:qFormat w:val="1"/>
    <w:rsid w:val="00A07966"/>
    <w:pPr>
      <w:spacing w:after="100" w:afterAutospacing="1" w:before="100" w:beforeAutospacing="1"/>
      <w:outlineLvl w:val="2"/>
    </w:pPr>
    <w:rPr>
      <w:b w:val="1"/>
      <w:bCs w:val="1"/>
      <w:sz w:val="27"/>
      <w:szCs w:val="27"/>
    </w:rPr>
  </w:style>
  <w:style w:type="paragraph" w:styleId="Ttulo4">
    <w:name w:val="heading 4"/>
    <w:basedOn w:val="Normal"/>
    <w:next w:val="Normal"/>
    <w:link w:val="Ttulo4Car"/>
    <w:uiPriority w:val="9"/>
    <w:unhideWhenUsed w:val="1"/>
    <w:qFormat w:val="1"/>
    <w:rsid w:val="00A07966"/>
    <w:pPr>
      <w:keepNext w:val="1"/>
      <w:keepLines w:val="1"/>
      <w:spacing w:before="40"/>
      <w:outlineLvl w:val="3"/>
    </w:pPr>
    <w:rPr>
      <w:rFonts w:asciiTheme="majorHAnsi" w:cstheme="majorBidi" w:eastAsiaTheme="majorEastAsia" w:hAnsiTheme="majorHAnsi"/>
      <w:i w:val="1"/>
      <w:iCs w:val="1"/>
      <w:color w:val="365f91" w:themeColor="accent1" w:themeShade="0000BF"/>
      <w:lang w:eastAsia="es-ES"/>
    </w:rPr>
  </w:style>
  <w:style w:type="paragraph" w:styleId="Ttulo5">
    <w:name w:val="heading 5"/>
    <w:basedOn w:val="Normal"/>
    <w:next w:val="Normal"/>
    <w:link w:val="Ttulo5Car"/>
    <w:uiPriority w:val="9"/>
    <w:semiHidden w:val="1"/>
    <w:unhideWhenUsed w:val="1"/>
    <w:qFormat w:val="1"/>
    <w:rsid w:val="00A07966"/>
    <w:pPr>
      <w:keepNext w:val="1"/>
      <w:keepLines w:val="1"/>
      <w:spacing w:before="40"/>
      <w:outlineLvl w:val="4"/>
    </w:pPr>
    <w:rPr>
      <w:rFonts w:asciiTheme="majorHAnsi" w:cstheme="majorBidi" w:eastAsiaTheme="majorEastAsia" w:hAnsiTheme="majorHAnsi"/>
      <w:color w:val="365f91" w:themeColor="accent1" w:themeShade="0000BF"/>
      <w:lang w:eastAsia="es-ES"/>
    </w:rPr>
  </w:style>
  <w:style w:type="paragraph" w:styleId="Ttulo6">
    <w:name w:val="heading 6"/>
    <w:basedOn w:val="Normal"/>
    <w:next w:val="Normal"/>
    <w:link w:val="Ttulo6Car"/>
    <w:semiHidden w:val="1"/>
    <w:unhideWhenUsed w:val="1"/>
    <w:qFormat w:val="1"/>
    <w:rsid w:val="009417CA"/>
    <w:pPr>
      <w:tabs>
        <w:tab w:val="num" w:pos="4320"/>
      </w:tabs>
      <w:spacing w:after="60" w:before="240"/>
      <w:ind w:left="4320" w:hanging="720"/>
      <w:outlineLvl w:val="5"/>
    </w:pPr>
    <w:rPr>
      <w:b w:val="1"/>
      <w:bCs w:val="1"/>
      <w:sz w:val="22"/>
      <w:szCs w:val="22"/>
      <w:lang w:eastAsia="en-US" w:val="en-US"/>
    </w:rPr>
  </w:style>
  <w:style w:type="paragraph" w:styleId="Ttulo7">
    <w:name w:val="heading 7"/>
    <w:basedOn w:val="Normal"/>
    <w:next w:val="Normal"/>
    <w:link w:val="Ttulo7Car"/>
    <w:uiPriority w:val="9"/>
    <w:semiHidden w:val="1"/>
    <w:unhideWhenUsed w:val="1"/>
    <w:qFormat w:val="1"/>
    <w:rsid w:val="009417CA"/>
    <w:pPr>
      <w:tabs>
        <w:tab w:val="num" w:pos="5040"/>
      </w:tabs>
      <w:spacing w:after="60" w:before="240"/>
      <w:ind w:left="5040" w:hanging="720"/>
      <w:outlineLvl w:val="6"/>
    </w:pPr>
    <w:rPr>
      <w:rFonts w:asciiTheme="minorHAnsi" w:cstheme="minorBidi" w:eastAsiaTheme="minorEastAsia" w:hAnsiTheme="minorHAnsi"/>
      <w:lang w:eastAsia="en-US" w:val="en-US"/>
    </w:rPr>
  </w:style>
  <w:style w:type="paragraph" w:styleId="Ttulo8">
    <w:name w:val="heading 8"/>
    <w:basedOn w:val="Normal"/>
    <w:next w:val="Normal"/>
    <w:link w:val="Ttulo8Car"/>
    <w:uiPriority w:val="9"/>
    <w:semiHidden w:val="1"/>
    <w:unhideWhenUsed w:val="1"/>
    <w:qFormat w:val="1"/>
    <w:rsid w:val="009417CA"/>
    <w:pPr>
      <w:tabs>
        <w:tab w:val="num" w:pos="5760"/>
      </w:tabs>
      <w:spacing w:after="60" w:before="240"/>
      <w:ind w:left="5760" w:hanging="720"/>
      <w:outlineLvl w:val="7"/>
    </w:pPr>
    <w:rPr>
      <w:rFonts w:asciiTheme="minorHAnsi" w:cstheme="minorBidi" w:eastAsiaTheme="minorEastAsia" w:hAnsiTheme="minorHAnsi"/>
      <w:i w:val="1"/>
      <w:iCs w:val="1"/>
      <w:lang w:eastAsia="en-US" w:val="en-US"/>
    </w:rPr>
  </w:style>
  <w:style w:type="paragraph" w:styleId="Ttulo9">
    <w:name w:val="heading 9"/>
    <w:basedOn w:val="Normal"/>
    <w:next w:val="Normal"/>
    <w:link w:val="Ttulo9Car"/>
    <w:uiPriority w:val="9"/>
    <w:semiHidden w:val="1"/>
    <w:unhideWhenUsed w:val="1"/>
    <w:qFormat w:val="1"/>
    <w:rsid w:val="009417CA"/>
    <w:pPr>
      <w:tabs>
        <w:tab w:val="num" w:pos="6480"/>
      </w:tabs>
      <w:spacing w:after="60" w:before="240"/>
      <w:ind w:left="6480" w:hanging="720"/>
      <w:outlineLvl w:val="8"/>
    </w:pPr>
    <w:rPr>
      <w:rFonts w:asciiTheme="majorHAnsi" w:cstheme="majorBidi" w:eastAsiaTheme="majorEastAsia" w:hAnsiTheme="majorHAnsi"/>
      <w:sz w:val="22"/>
      <w:szCs w:val="22"/>
      <w:lang w:eastAsia="en-US" w:val="en-U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C80F8C"/>
    <w:pPr>
      <w:tabs>
        <w:tab w:val="center" w:pos="4252"/>
        <w:tab w:val="right" w:pos="8504"/>
      </w:tabs>
    </w:pPr>
    <w:rPr>
      <w:rFonts w:asciiTheme="minorHAnsi" w:cstheme="minorBidi" w:eastAsiaTheme="minorEastAsia" w:hAnsiTheme="minorHAnsi"/>
      <w:lang w:eastAsia="es-ES" w:val="es-ES_tradnl"/>
    </w:rPr>
  </w:style>
  <w:style w:type="character" w:styleId="EncabezadoCar" w:customStyle="1">
    <w:name w:val="Encabezado Car"/>
    <w:basedOn w:val="Fuentedeprrafopredeter"/>
    <w:link w:val="Encabezado"/>
    <w:uiPriority w:val="99"/>
    <w:rsid w:val="00C80F8C"/>
  </w:style>
  <w:style w:type="paragraph" w:styleId="Piedepgina">
    <w:name w:val="footer"/>
    <w:basedOn w:val="Normal"/>
    <w:link w:val="PiedepginaCar"/>
    <w:uiPriority w:val="99"/>
    <w:unhideWhenUsed w:val="1"/>
    <w:rsid w:val="00C80F8C"/>
    <w:pPr>
      <w:tabs>
        <w:tab w:val="center" w:pos="4252"/>
        <w:tab w:val="right" w:pos="8504"/>
      </w:tabs>
    </w:pPr>
    <w:rPr>
      <w:rFonts w:asciiTheme="minorHAnsi" w:cstheme="minorBidi" w:eastAsiaTheme="minorEastAsia" w:hAnsiTheme="minorHAnsi"/>
      <w:lang w:eastAsia="es-ES" w:val="es-ES_tradnl"/>
    </w:rPr>
  </w:style>
  <w:style w:type="character" w:styleId="PiedepginaCar" w:customStyle="1">
    <w:name w:val="Pie de página Car"/>
    <w:basedOn w:val="Fuentedeprrafopredeter"/>
    <w:link w:val="Piedepgina"/>
    <w:uiPriority w:val="99"/>
    <w:rsid w:val="00C80F8C"/>
  </w:style>
  <w:style w:type="paragraph" w:styleId="Textodeglobo">
    <w:name w:val="Balloon Text"/>
    <w:basedOn w:val="Normal"/>
    <w:link w:val="TextodegloboCar"/>
    <w:uiPriority w:val="99"/>
    <w:semiHidden w:val="1"/>
    <w:unhideWhenUsed w:val="1"/>
    <w:rsid w:val="00C80F8C"/>
    <w:rPr>
      <w:rFonts w:ascii="Lucida Grande" w:cs="Lucida Grande" w:hAnsi="Lucida Grande" w:eastAsiaTheme="minorEastAsia"/>
      <w:sz w:val="18"/>
      <w:szCs w:val="18"/>
      <w:lang w:val="es-ES_tradnl"/>
    </w:rPr>
  </w:style>
  <w:style w:type="character" w:styleId="TextodegloboCar" w:customStyle="1">
    <w:name w:val="Texto de globo Car"/>
    <w:basedOn w:val="Fuentedeprrafopredeter"/>
    <w:link w:val="Textodeglobo"/>
    <w:uiPriority w:val="99"/>
    <w:semiHidden w:val="1"/>
    <w:rsid w:val="00C80F8C"/>
    <w:rPr>
      <w:rFonts w:ascii="Lucida Grande" w:cs="Lucida Grande" w:hAnsi="Lucida Grande"/>
      <w:sz w:val="18"/>
      <w:szCs w:val="18"/>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9D4854"/>
    <w:rPr>
      <w:rFonts w:ascii="Times New Roman" w:cs="Times New Roman" w:eastAsia="Times New Roman" w:hAnsi="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9D4854"/>
    <w:pPr>
      <w:ind w:left="708"/>
    </w:pPr>
    <w:rPr>
      <w:lang w:eastAsia="es-ES" w:val="es-ES"/>
    </w:rPr>
  </w:style>
  <w:style w:type="table" w:styleId="Tablaconcuadrcula">
    <w:name w:val="Table Grid"/>
    <w:basedOn w:val="Tablanormal"/>
    <w:uiPriority w:val="59"/>
    <w:rsid w:val="00087A2F"/>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ormaltextrun" w:customStyle="1">
    <w:name w:val="normaltextrun"/>
    <w:basedOn w:val="Fuentedeprrafopredeter"/>
    <w:rsid w:val="00087A2F"/>
  </w:style>
  <w:style w:type="character" w:styleId="apple-converted-space" w:customStyle="1">
    <w:name w:val="apple-converted-space"/>
    <w:basedOn w:val="Fuentedeprrafopredeter"/>
    <w:qFormat w:val="1"/>
    <w:rsid w:val="00087A2F"/>
  </w:style>
  <w:style w:type="paragraph" w:styleId="paragraph" w:customStyle="1">
    <w:name w:val="paragraph"/>
    <w:basedOn w:val="Normal"/>
    <w:rsid w:val="00087A2F"/>
    <w:pPr>
      <w:spacing w:after="100" w:afterAutospacing="1" w:before="100" w:beforeAutospacing="1"/>
    </w:pPr>
  </w:style>
  <w:style w:type="character" w:styleId="eop" w:customStyle="1">
    <w:name w:val="eop"/>
    <w:basedOn w:val="Fuentedeprrafopredeter"/>
    <w:rsid w:val="00087A2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087A2F"/>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val="1"/>
    <w:rsid w:val="00087A2F"/>
    <w:rPr>
      <w:rFonts w:eastAsiaTheme="minorHAnsi"/>
      <w:sz w:val="20"/>
      <w:szCs w:val="20"/>
      <w:lang w:eastAsia="en-US" w:val="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val="1"/>
    <w:qFormat w:val="1"/>
    <w:rsid w:val="00087A2F"/>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val="1"/>
    <w:rsid w:val="00087A2F"/>
    <w:rPr>
      <w:color w:val="0000ff" w:themeColor="hyperlink"/>
      <w:u w:val="single"/>
    </w:rPr>
  </w:style>
  <w:style w:type="paragraph" w:styleId="Default" w:customStyle="1">
    <w:name w:val="Default"/>
    <w:rsid w:val="00087A2F"/>
    <w:pPr>
      <w:autoSpaceDE w:val="0"/>
      <w:autoSpaceDN w:val="0"/>
      <w:adjustRightInd w:val="0"/>
    </w:pPr>
    <w:rPr>
      <w:rFonts w:ascii="Arial" w:cs="Arial" w:hAnsi="Arial" w:eastAsiaTheme="minorHAnsi"/>
      <w:color w:val="000000"/>
      <w:lang w:eastAsia="en-US" w:val="es-MX"/>
    </w:rPr>
  </w:style>
  <w:style w:type="paragraph" w:styleId="NormalWeb">
    <w:name w:val="Normal (Web)"/>
    <w:basedOn w:val="Normal"/>
    <w:uiPriority w:val="99"/>
    <w:unhideWhenUsed w:val="1"/>
    <w:rsid w:val="00C657AA"/>
    <w:pPr>
      <w:spacing w:after="100" w:afterAutospacing="1" w:before="100" w:beforeAutospacing="1"/>
    </w:pPr>
  </w:style>
  <w:style w:type="paragraph" w:styleId="Standard" w:customStyle="1">
    <w:name w:val="Standard"/>
    <w:uiPriority w:val="99"/>
    <w:rsid w:val="00734B70"/>
    <w:pPr>
      <w:widowControl w:val="0"/>
      <w:suppressAutoHyphens w:val="1"/>
      <w:autoSpaceDN w:val="0"/>
      <w:textAlignment w:val="baseline"/>
    </w:pPr>
    <w:rPr>
      <w:rFonts w:ascii="Liberation Serif" w:cs="Lohit Hindi" w:eastAsia="DejaVu Sans" w:hAnsi="Liberation Serif"/>
      <w:kern w:val="3"/>
      <w:lang w:bidi="hi-IN" w:eastAsia="zh-CN" w:val="es-MX"/>
    </w:rPr>
  </w:style>
  <w:style w:type="paragraph" w:styleId="Sinespaciado">
    <w:name w:val="No Spacing"/>
    <w:aliases w:val="Francesa,INAI"/>
    <w:link w:val="SinespaciadoCar"/>
    <w:uiPriority w:val="1"/>
    <w:qFormat w:val="1"/>
    <w:rsid w:val="00652DED"/>
    <w:rPr>
      <w:rFonts w:ascii="Times New Roman" w:cs="Times New Roman" w:eastAsia="Times New Roman" w:hAnsi="Times New Roman"/>
      <w:lang w:val="es-MX"/>
    </w:rPr>
  </w:style>
  <w:style w:type="character" w:styleId="SinespaciadoCar" w:customStyle="1">
    <w:name w:val="Sin espaciado Car"/>
    <w:aliases w:val="Francesa Car,INAI Car"/>
    <w:link w:val="Sinespaciado"/>
    <w:uiPriority w:val="1"/>
    <w:locked w:val="1"/>
    <w:rsid w:val="00652DED"/>
    <w:rPr>
      <w:rFonts w:ascii="Times New Roman" w:cs="Times New Roman" w:eastAsia="Times New Roman" w:hAnsi="Times New Roman"/>
      <w:lang w:val="es-MX"/>
    </w:rPr>
  </w:style>
  <w:style w:type="paragraph" w:styleId="q" w:customStyle="1">
    <w:name w:val="q"/>
    <w:basedOn w:val="Normal"/>
    <w:rsid w:val="00CF02AF"/>
    <w:pPr>
      <w:spacing w:after="100" w:afterAutospacing="1" w:before="100" w:beforeAutospacing="1"/>
    </w:pPr>
  </w:style>
  <w:style w:type="paragraph" w:styleId="Bibliografa">
    <w:name w:val="Bibliography"/>
    <w:basedOn w:val="Normal"/>
    <w:next w:val="Normal"/>
    <w:uiPriority w:val="37"/>
    <w:semiHidden w:val="1"/>
    <w:unhideWhenUsed w:val="1"/>
    <w:rsid w:val="00B753C7"/>
  </w:style>
  <w:style w:type="character" w:styleId="nacep" w:customStyle="1">
    <w:name w:val="n_acep"/>
    <w:basedOn w:val="Fuentedeprrafopredeter"/>
    <w:rsid w:val="000D1CE4"/>
  </w:style>
  <w:style w:type="character" w:styleId="m2871584667633129156gmail-apple-converted-space" w:customStyle="1">
    <w:name w:val="m_2871584667633129156gmail-apple-converted-space"/>
    <w:basedOn w:val="Fuentedeprrafopredeter"/>
    <w:rsid w:val="009C1A6A"/>
  </w:style>
  <w:style w:type="character" w:styleId="m2871584667633129156gmail-msofootnotereference" w:customStyle="1">
    <w:name w:val="m_2871584667633129156gmail-msofootnotereference"/>
    <w:basedOn w:val="Fuentedeprrafopredeter"/>
    <w:rsid w:val="009C1A6A"/>
  </w:style>
  <w:style w:type="paragraph" w:styleId="m2871584667633129156gmail-msofootnotetext" w:customStyle="1">
    <w:name w:val="m_2871584667633129156gmail-msofootnotetext"/>
    <w:basedOn w:val="Normal"/>
    <w:rsid w:val="009C1A6A"/>
    <w:pPr>
      <w:spacing w:after="100" w:afterAutospacing="1" w:before="100" w:beforeAutospacing="1"/>
    </w:pPr>
  </w:style>
  <w:style w:type="character" w:styleId="TextonotapieCar1" w:customStyle="1">
    <w:name w:val="Texto nota pie Car1"/>
    <w:aliases w:val="Footnote Text Char Char Char Char Char Car1,Footnote Text Char Char Char Char Car1,Footnote reference Car1,FA Fu Car1,Footnote Text Char Char Char Car1,Footnote Text Cha Car1,FA Fußnotentext Car1,FA Fu?notentext Car1,Ca Car"/>
    <w:uiPriority w:val="99"/>
    <w:rsid w:val="00DA3116"/>
    <w:rPr>
      <w:rFonts w:ascii="Times New Roman" w:eastAsia="Times New Roman" w:hAnsi="Times New Roman"/>
      <w:lang w:eastAsia="es-ES" w:val="es-ES"/>
    </w:rPr>
  </w:style>
  <w:style w:type="paragraph" w:styleId="Texto" w:customStyle="1">
    <w:name w:val="Texto"/>
    <w:basedOn w:val="Normal"/>
    <w:link w:val="TextoCar"/>
    <w:rsid w:val="004554CC"/>
    <w:pPr>
      <w:spacing w:after="101" w:line="216" w:lineRule="exact"/>
      <w:ind w:firstLine="288"/>
      <w:jc w:val="both"/>
    </w:pPr>
    <w:rPr>
      <w:rFonts w:ascii="Arial" w:cs="Arial" w:hAnsi="Arial"/>
      <w:sz w:val="18"/>
      <w:szCs w:val="18"/>
      <w:lang w:eastAsia="es-ES"/>
    </w:rPr>
  </w:style>
  <w:style w:type="table" w:styleId="Tabladelista1clara-nfasis1">
    <w:name w:val="List Table 1 Light Accent 1"/>
    <w:basedOn w:val="Tablanormal"/>
    <w:uiPriority w:val="46"/>
    <w:rsid w:val="001E21D6"/>
    <w:tblPr>
      <w:tblStyleRowBandSize w:val="1"/>
      <w:tblStyleColBandSize w:val="1"/>
    </w:tblPr>
    <w:tblStylePr w:type="firstRow">
      <w:rPr>
        <w:b w:val="1"/>
        <w:bCs w:val="1"/>
      </w:rPr>
      <w:tblPr/>
      <w:tcPr>
        <w:tcBorders>
          <w:bottom w:color="95b3d7" w:space="0" w:sz="4" w:themeColor="accent1" w:themeTint="000099" w:val="single"/>
        </w:tcBorders>
      </w:tcPr>
    </w:tblStylePr>
    <w:tblStylePr w:type="lastRow">
      <w:rPr>
        <w:b w:val="1"/>
        <w:bCs w:val="1"/>
      </w:rPr>
      <w:tblPr/>
      <w:tcPr>
        <w:tcBorders>
          <w:top w:color="95b3d7"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Ttulo1Car" w:customStyle="1">
    <w:name w:val="Título 1 Car"/>
    <w:basedOn w:val="Fuentedeprrafopredeter"/>
    <w:link w:val="Ttulo1"/>
    <w:uiPriority w:val="9"/>
    <w:rsid w:val="00A07966"/>
    <w:rPr>
      <w:rFonts w:asciiTheme="majorHAnsi" w:cstheme="majorBidi" w:eastAsiaTheme="majorEastAsia" w:hAnsiTheme="majorHAnsi"/>
      <w:color w:val="365f91" w:themeColor="accent1" w:themeShade="0000BF"/>
      <w:sz w:val="32"/>
      <w:szCs w:val="32"/>
      <w:lang w:val="es-MX"/>
    </w:rPr>
  </w:style>
  <w:style w:type="character" w:styleId="Ttulo2Car" w:customStyle="1">
    <w:name w:val="Título 2 Car"/>
    <w:basedOn w:val="Fuentedeprrafopredeter"/>
    <w:link w:val="Ttulo2"/>
    <w:uiPriority w:val="9"/>
    <w:rsid w:val="00A07966"/>
    <w:rPr>
      <w:rFonts w:asciiTheme="majorHAnsi" w:cstheme="majorBidi" w:eastAsiaTheme="majorEastAsia" w:hAnsiTheme="majorHAnsi"/>
      <w:color w:val="365f91" w:themeColor="accent1" w:themeShade="0000BF"/>
      <w:sz w:val="26"/>
      <w:szCs w:val="26"/>
      <w:lang w:eastAsia="en-US" w:val="es-MX"/>
    </w:rPr>
  </w:style>
  <w:style w:type="character" w:styleId="Ttulo3Car" w:customStyle="1">
    <w:name w:val="Título 3 Car"/>
    <w:basedOn w:val="Fuentedeprrafopredeter"/>
    <w:link w:val="Ttulo3"/>
    <w:uiPriority w:val="9"/>
    <w:rsid w:val="00A07966"/>
    <w:rPr>
      <w:rFonts w:ascii="Times New Roman" w:cs="Times New Roman" w:eastAsia="Times New Roman" w:hAnsi="Times New Roman"/>
      <w:b w:val="1"/>
      <w:bCs w:val="1"/>
      <w:sz w:val="27"/>
      <w:szCs w:val="27"/>
      <w:lang w:eastAsia="es-MX" w:val="es-MX"/>
    </w:rPr>
  </w:style>
  <w:style w:type="character" w:styleId="Ttulo4Car" w:customStyle="1">
    <w:name w:val="Título 4 Car"/>
    <w:basedOn w:val="Fuentedeprrafopredeter"/>
    <w:link w:val="Ttulo4"/>
    <w:uiPriority w:val="9"/>
    <w:rsid w:val="00A07966"/>
    <w:rPr>
      <w:rFonts w:asciiTheme="majorHAnsi" w:cstheme="majorBidi" w:eastAsiaTheme="majorEastAsia" w:hAnsiTheme="majorHAnsi"/>
      <w:i w:val="1"/>
      <w:iCs w:val="1"/>
      <w:color w:val="365f91" w:themeColor="accent1" w:themeShade="0000BF"/>
      <w:lang w:val="es-MX"/>
    </w:rPr>
  </w:style>
  <w:style w:type="character" w:styleId="Ttulo5Car" w:customStyle="1">
    <w:name w:val="Título 5 Car"/>
    <w:basedOn w:val="Fuentedeprrafopredeter"/>
    <w:link w:val="Ttulo5"/>
    <w:uiPriority w:val="9"/>
    <w:semiHidden w:val="1"/>
    <w:rsid w:val="00A07966"/>
    <w:rPr>
      <w:rFonts w:asciiTheme="majorHAnsi" w:cstheme="majorBidi" w:eastAsiaTheme="majorEastAsia" w:hAnsiTheme="majorHAnsi"/>
      <w:color w:val="365f91" w:themeColor="accent1" w:themeShade="0000BF"/>
      <w:lang w:val="es-MX"/>
    </w:rPr>
  </w:style>
  <w:style w:type="character" w:styleId="Hipervnculovisitado">
    <w:name w:val="FollowedHyperlink"/>
    <w:basedOn w:val="Fuentedeprrafopredeter"/>
    <w:uiPriority w:val="99"/>
    <w:semiHidden w:val="1"/>
    <w:unhideWhenUsed w:val="1"/>
    <w:rsid w:val="00A07966"/>
    <w:rPr>
      <w:color w:val="800080" w:themeColor="followedHyperlink"/>
      <w:u w:val="single"/>
    </w:rPr>
  </w:style>
  <w:style w:type="paragraph" w:styleId="Textocomentario">
    <w:name w:val="annotation text"/>
    <w:basedOn w:val="Normal"/>
    <w:link w:val="TextocomentarioCar"/>
    <w:uiPriority w:val="99"/>
    <w:semiHidden w:val="1"/>
    <w:unhideWhenUsed w:val="1"/>
    <w:rsid w:val="00A07966"/>
    <w:rPr>
      <w:sz w:val="20"/>
      <w:szCs w:val="20"/>
      <w:lang w:eastAsia="es-ES"/>
    </w:rPr>
  </w:style>
  <w:style w:type="character" w:styleId="TextocomentarioCar" w:customStyle="1">
    <w:name w:val="Texto comentario Car"/>
    <w:basedOn w:val="Fuentedeprrafopredeter"/>
    <w:link w:val="Textocomentario"/>
    <w:uiPriority w:val="99"/>
    <w:semiHidden w:val="1"/>
    <w:rsid w:val="00A07966"/>
    <w:rPr>
      <w:rFonts w:ascii="Times New Roman" w:cs="Times New Roman" w:eastAsia="Times New Roman" w:hAnsi="Times New Roman"/>
      <w:sz w:val="20"/>
      <w:szCs w:val="20"/>
      <w:lang w:val="es-MX"/>
    </w:rPr>
  </w:style>
  <w:style w:type="paragraph" w:styleId="Textoindependiente2">
    <w:name w:val="Body Text 2"/>
    <w:basedOn w:val="Normal"/>
    <w:link w:val="Textoindependiente2Car"/>
    <w:uiPriority w:val="99"/>
    <w:semiHidden w:val="1"/>
    <w:unhideWhenUsed w:val="1"/>
    <w:rsid w:val="00A07966"/>
    <w:pPr>
      <w:spacing w:after="120" w:line="480" w:lineRule="auto"/>
    </w:pPr>
    <w:rPr>
      <w:lang w:eastAsia="es-ES" w:val="es-ES"/>
    </w:rPr>
  </w:style>
  <w:style w:type="character" w:styleId="Textoindependiente2Car" w:customStyle="1">
    <w:name w:val="Texto independiente 2 Car"/>
    <w:basedOn w:val="Fuentedeprrafopredeter"/>
    <w:link w:val="Textoindependiente2"/>
    <w:uiPriority w:val="99"/>
    <w:semiHidden w:val="1"/>
    <w:rsid w:val="00A07966"/>
    <w:rPr>
      <w:rFonts w:ascii="Times New Roman" w:cs="Times New Roman" w:eastAsia="Times New Roman" w:hAnsi="Times New Roman"/>
      <w:lang w:val="es-ES"/>
    </w:rPr>
  </w:style>
  <w:style w:type="paragraph" w:styleId="Textosinformato">
    <w:name w:val="Plain Text"/>
    <w:basedOn w:val="Normal"/>
    <w:link w:val="TextosinformatoCar"/>
    <w:unhideWhenUsed w:val="1"/>
    <w:rsid w:val="00A07966"/>
    <w:rPr>
      <w:rFonts w:ascii="Courier New" w:hAnsi="Courier New"/>
      <w:sz w:val="20"/>
      <w:szCs w:val="20"/>
      <w:lang w:eastAsia="es-ES" w:val="es-ES"/>
    </w:rPr>
  </w:style>
  <w:style w:type="character" w:styleId="TextosinformatoCar" w:customStyle="1">
    <w:name w:val="Texto sin formato Car"/>
    <w:basedOn w:val="Fuentedeprrafopredeter"/>
    <w:link w:val="Textosinformato"/>
    <w:rsid w:val="00A07966"/>
    <w:rPr>
      <w:rFonts w:ascii="Courier New" w:cs="Times New Roman" w:eastAsia="Times New Roman" w:hAnsi="Courier New"/>
      <w:sz w:val="20"/>
      <w:szCs w:val="20"/>
      <w:lang w:val="es-ES"/>
    </w:rPr>
  </w:style>
  <w:style w:type="paragraph" w:styleId="Asuntodelcomentario">
    <w:name w:val="annotation subject"/>
    <w:basedOn w:val="Textocomentario"/>
    <w:next w:val="Textocomentario"/>
    <w:link w:val="AsuntodelcomentarioCar"/>
    <w:uiPriority w:val="99"/>
    <w:semiHidden w:val="1"/>
    <w:unhideWhenUsed w:val="1"/>
    <w:rsid w:val="00A07966"/>
    <w:rPr>
      <w:b w:val="1"/>
      <w:bCs w:val="1"/>
    </w:rPr>
  </w:style>
  <w:style w:type="character" w:styleId="AsuntodelcomentarioCar" w:customStyle="1">
    <w:name w:val="Asunto del comentario Car"/>
    <w:basedOn w:val="TextocomentarioCar"/>
    <w:link w:val="Asuntodelcomentario"/>
    <w:uiPriority w:val="99"/>
    <w:semiHidden w:val="1"/>
    <w:rsid w:val="00A07966"/>
    <w:rPr>
      <w:rFonts w:ascii="Times New Roman" w:cs="Times New Roman" w:eastAsia="Times New Roman" w:hAnsi="Times New Roman"/>
      <w:b w:val="1"/>
      <w:bCs w:val="1"/>
      <w:sz w:val="20"/>
      <w:szCs w:val="20"/>
      <w:lang w:val="es-MX"/>
    </w:rPr>
  </w:style>
  <w:style w:type="character" w:styleId="TextoCar" w:customStyle="1">
    <w:name w:val="Texto Car"/>
    <w:link w:val="Texto"/>
    <w:locked w:val="1"/>
    <w:rsid w:val="00A07966"/>
    <w:rPr>
      <w:rFonts w:ascii="Arial" w:cs="Arial" w:eastAsia="Times New Roman" w:hAnsi="Arial"/>
      <w:sz w:val="18"/>
      <w:szCs w:val="18"/>
      <w:lang w:val="es-MX"/>
    </w:rPr>
  </w:style>
  <w:style w:type="character" w:styleId="ROMANOSCar" w:customStyle="1">
    <w:name w:val="ROMANOS Car"/>
    <w:link w:val="ROMANOS"/>
    <w:locked w:val="1"/>
    <w:rsid w:val="00A07966"/>
    <w:rPr>
      <w:rFonts w:ascii="Arial" w:cs="Arial" w:eastAsia="Times New Roman" w:hAnsi="Arial"/>
      <w:sz w:val="18"/>
      <w:szCs w:val="18"/>
      <w:lang w:val="es-ES"/>
    </w:rPr>
  </w:style>
  <w:style w:type="paragraph" w:styleId="ROMANOS" w:customStyle="1">
    <w:name w:val="ROMANOS"/>
    <w:basedOn w:val="Normal"/>
    <w:link w:val="ROMANOSCar"/>
    <w:rsid w:val="00A07966"/>
    <w:pPr>
      <w:tabs>
        <w:tab w:val="left" w:pos="720"/>
      </w:tabs>
      <w:spacing w:after="101" w:line="216" w:lineRule="exact"/>
      <w:ind w:left="720" w:hanging="432"/>
      <w:jc w:val="both"/>
    </w:pPr>
    <w:rPr>
      <w:rFonts w:ascii="Arial" w:cs="Arial" w:hAnsi="Arial"/>
      <w:sz w:val="18"/>
      <w:szCs w:val="18"/>
      <w:lang w:eastAsia="es-ES" w:val="es-ES"/>
    </w:rPr>
  </w:style>
  <w:style w:type="paragraph" w:styleId="n2" w:customStyle="1">
    <w:name w:val="n2"/>
    <w:basedOn w:val="Normal"/>
    <w:rsid w:val="00A07966"/>
    <w:pPr>
      <w:spacing w:after="100" w:afterAutospacing="1" w:before="100" w:beforeAutospacing="1"/>
    </w:pPr>
  </w:style>
  <w:style w:type="paragraph" w:styleId="j" w:customStyle="1">
    <w:name w:val="j"/>
    <w:basedOn w:val="Normal"/>
    <w:rsid w:val="00A07966"/>
    <w:pPr>
      <w:spacing w:after="100" w:afterAutospacing="1" w:before="100" w:beforeAutospacing="1"/>
    </w:pPr>
  </w:style>
  <w:style w:type="character" w:styleId="Listavistosa-nfasis1Car" w:customStyle="1">
    <w:name w:val="Lista vistosa - Énfasis 1 Car"/>
    <w:link w:val="Listavistosa-nfasis11"/>
    <w:uiPriority w:val="34"/>
    <w:locked w:val="1"/>
    <w:rsid w:val="00A07966"/>
    <w:rPr>
      <w:rFonts w:ascii="Times New Roman" w:cs="Times New Roman" w:eastAsia="Times New Roman" w:hAnsi="Times New Roman"/>
      <w:lang w:val="es-ES"/>
    </w:rPr>
  </w:style>
  <w:style w:type="paragraph" w:styleId="Listavistosa-nfasis11" w:customStyle="1">
    <w:name w:val="Lista vistosa - Énfasis 11"/>
    <w:basedOn w:val="Normal"/>
    <w:link w:val="Listavistosa-nfasis1Car"/>
    <w:uiPriority w:val="34"/>
    <w:qFormat w:val="1"/>
    <w:rsid w:val="00A07966"/>
    <w:pPr>
      <w:ind w:left="708"/>
    </w:pPr>
    <w:rPr>
      <w:lang w:eastAsia="es-ES" w:val="es-ES"/>
    </w:rPr>
  </w:style>
  <w:style w:type="paragraph" w:styleId="Pa2" w:customStyle="1">
    <w:name w:val="Pa2"/>
    <w:basedOn w:val="Normal"/>
    <w:next w:val="Normal"/>
    <w:uiPriority w:val="99"/>
    <w:rsid w:val="00A07966"/>
    <w:pPr>
      <w:autoSpaceDE w:val="0"/>
      <w:autoSpaceDN w:val="0"/>
      <w:adjustRightInd w:val="0"/>
      <w:spacing w:line="240" w:lineRule="atLeast"/>
    </w:pPr>
    <w:rPr>
      <w:rFonts w:ascii="Helvetica" w:hAnsi="Helvetica"/>
      <w:lang w:eastAsia="es-ES_tradnl" w:val="es-ES_tradnl"/>
    </w:rPr>
  </w:style>
  <w:style w:type="paragraph" w:styleId="RSCGnotaalpie" w:customStyle="1">
    <w:name w:val="RSCG nota al pie"/>
    <w:basedOn w:val="Normal"/>
    <w:uiPriority w:val="99"/>
    <w:qFormat w:val="1"/>
    <w:rsid w:val="00A07966"/>
    <w:pPr>
      <w:spacing w:after="120"/>
      <w:jc w:val="both"/>
    </w:pPr>
    <w:rPr>
      <w:rFonts w:ascii="Palatino" w:hAnsi="Palatino" w:cstheme="minorBidi"/>
      <w:sz w:val="22"/>
      <w:szCs w:val="22"/>
      <w:lang w:eastAsia="en-US"/>
    </w:rPr>
  </w:style>
  <w:style w:type="character" w:styleId="ANOTACIONCar" w:customStyle="1">
    <w:name w:val="ANOTACION Car"/>
    <w:link w:val="ANOTACION"/>
    <w:locked w:val="1"/>
    <w:rsid w:val="00A07966"/>
    <w:rPr>
      <w:rFonts w:ascii="Times New Roman" w:cs="Times New Roman" w:eastAsia="Times New Roman" w:hAnsi="Times New Roman"/>
      <w:b w:val="1"/>
      <w:sz w:val="18"/>
      <w:szCs w:val="18"/>
      <w:lang w:eastAsia="x-none" w:val="x-none"/>
    </w:rPr>
  </w:style>
  <w:style w:type="paragraph" w:styleId="ANOTACION" w:customStyle="1">
    <w:name w:val="ANOTACION"/>
    <w:basedOn w:val="Normal"/>
    <w:link w:val="ANOTACIONCar"/>
    <w:rsid w:val="00A07966"/>
    <w:pPr>
      <w:spacing w:after="101" w:before="101"/>
      <w:jc w:val="center"/>
    </w:pPr>
    <w:rPr>
      <w:b w:val="1"/>
      <w:sz w:val="18"/>
      <w:szCs w:val="18"/>
      <w:lang w:eastAsia="x-none" w:val="x-none"/>
    </w:rPr>
  </w:style>
  <w:style w:type="character" w:styleId="Refdecomentario">
    <w:name w:val="annotation reference"/>
    <w:basedOn w:val="Fuentedeprrafopredeter"/>
    <w:uiPriority w:val="99"/>
    <w:semiHidden w:val="1"/>
    <w:unhideWhenUsed w:val="1"/>
    <w:rsid w:val="00A07966"/>
    <w:rPr>
      <w:sz w:val="16"/>
      <w:szCs w:val="16"/>
    </w:rPr>
  </w:style>
  <w:style w:type="character" w:styleId="m1553324590483875794gmail-m8993139698400752374gmail-apple-converted-space" w:customStyle="1">
    <w:name w:val="m_1553324590483875794gmail-m_8993139698400752374gmail-apple-converted-space"/>
    <w:basedOn w:val="Fuentedeprrafopredeter"/>
    <w:rsid w:val="00A07966"/>
  </w:style>
  <w:style w:type="character" w:styleId="d" w:customStyle="1">
    <w:name w:val="d"/>
    <w:basedOn w:val="Fuentedeprrafopredeter"/>
    <w:rsid w:val="00A07966"/>
  </w:style>
  <w:style w:type="character" w:styleId="apple-style-span" w:customStyle="1">
    <w:name w:val="apple-style-span"/>
    <w:rsid w:val="00A07966"/>
  </w:style>
  <w:style w:type="character" w:styleId="negritas1" w:customStyle="1">
    <w:name w:val="negritas1"/>
    <w:rsid w:val="00A07966"/>
    <w:rPr>
      <w:rFonts w:ascii="Arial" w:cs="Arial" w:hAnsi="Arial" w:hint="default"/>
      <w:b w:val="1"/>
      <w:bCs w:val="1"/>
      <w:sz w:val="18"/>
      <w:szCs w:val="18"/>
    </w:rPr>
  </w:style>
  <w:style w:type="character" w:styleId="b" w:customStyle="1">
    <w:name w:val="b"/>
    <w:basedOn w:val="Fuentedeprrafopredeter"/>
    <w:rsid w:val="00A07966"/>
  </w:style>
  <w:style w:type="character" w:styleId="k" w:customStyle="1">
    <w:name w:val="k"/>
    <w:basedOn w:val="Fuentedeprrafopredeter"/>
    <w:rsid w:val="00A07966"/>
  </w:style>
  <w:style w:type="character" w:styleId="h" w:customStyle="1">
    <w:name w:val="h"/>
    <w:basedOn w:val="Fuentedeprrafopredeter"/>
    <w:rsid w:val="00A07966"/>
  </w:style>
  <w:style w:type="character" w:styleId="lbl-encabezado-blanco2" w:customStyle="1">
    <w:name w:val="lbl-encabezado-blanco2"/>
    <w:rsid w:val="00A07966"/>
    <w:rPr>
      <w:color w:val="ffffff"/>
    </w:rPr>
  </w:style>
  <w:style w:type="table" w:styleId="Tabladecuadrcula1clara-nfasis1">
    <w:name w:val="Grid Table 1 Light Accent 1"/>
    <w:basedOn w:val="Tablanormal"/>
    <w:uiPriority w:val="46"/>
    <w:rsid w:val="00A07966"/>
    <w:rPr>
      <w:rFonts w:eastAsiaTheme="minorHAnsi"/>
      <w:sz w:val="22"/>
      <w:szCs w:val="22"/>
      <w:lang w:eastAsia="en-US" w:val="es-MX"/>
    </w:rPr>
    <w:tblPr>
      <w:tblStyleRowBandSize w:val="1"/>
      <w:tblStyleColBandSize w:val="1"/>
      <w:tblBorders>
        <w:top w:color="b8cce4" w:space="0" w:sz="4" w:themeColor="accent1" w:themeTint="000066" w:val="single"/>
        <w:left w:color="b8cce4" w:space="0" w:sz="4" w:themeColor="accent1" w:themeTint="000066" w:val="single"/>
        <w:bottom w:color="b8cce4" w:space="0" w:sz="4" w:themeColor="accent1" w:themeTint="000066" w:val="single"/>
        <w:right w:color="b8cce4" w:space="0" w:sz="4" w:themeColor="accent1" w:themeTint="000066" w:val="single"/>
        <w:insideH w:color="b8cce4" w:space="0" w:sz="4" w:themeColor="accent1" w:themeTint="000066" w:val="single"/>
        <w:insideV w:color="b8cce4" w:space="0" w:sz="4" w:themeColor="accent1" w:themeTint="000066" w:val="single"/>
      </w:tblBorders>
    </w:tblPr>
    <w:tblStylePr w:type="firstRow">
      <w:rPr>
        <w:b w:val="1"/>
        <w:bCs w:val="1"/>
      </w:rPr>
      <w:tblPr/>
      <w:tcPr>
        <w:tcBorders>
          <w:bottom w:color="95b3d7" w:space="0" w:sz="12" w:themeColor="accent1" w:themeTint="000099" w:val="single"/>
        </w:tcBorders>
      </w:tcPr>
    </w:tblStylePr>
    <w:tblStylePr w:type="lastRow">
      <w:rPr>
        <w:b w:val="1"/>
        <w:bCs w:val="1"/>
      </w:rPr>
      <w:tblPr/>
      <w:tcPr>
        <w:tcBorders>
          <w:top w:color="95b3d7" w:space="0" w:sz="2" w:themeColor="accent1" w:themeTint="000099" w:val="double"/>
        </w:tcBorders>
      </w:tcPr>
    </w:tblStylePr>
    <w:tblStylePr w:type="firstCol">
      <w:rPr>
        <w:b w:val="1"/>
        <w:bCs w:val="1"/>
      </w:rPr>
    </w:tblStylePr>
    <w:tblStylePr w:type="lastCol">
      <w:rPr>
        <w:b w:val="1"/>
        <w:bCs w:val="1"/>
      </w:rPr>
    </w:tblStylePr>
  </w:style>
  <w:style w:type="paragraph" w:styleId="TDC1">
    <w:name w:val="toc 1"/>
    <w:basedOn w:val="Normal"/>
    <w:next w:val="Normal"/>
    <w:autoRedefine w:val="1"/>
    <w:uiPriority w:val="39"/>
    <w:unhideWhenUsed w:val="1"/>
    <w:rsid w:val="00A07966"/>
    <w:pPr>
      <w:tabs>
        <w:tab w:val="right" w:leader="dot" w:pos="8779"/>
      </w:tabs>
      <w:spacing w:after="100" w:line="360" w:lineRule="auto"/>
      <w:ind w:left="284"/>
    </w:pPr>
    <w:rPr>
      <w:rFonts w:asciiTheme="minorHAnsi" w:cstheme="minorBidi" w:eastAsiaTheme="minorEastAsia" w:hAnsiTheme="minorHAnsi"/>
      <w:lang w:eastAsia="es-ES" w:val="es-ES_tradnl"/>
    </w:rPr>
  </w:style>
  <w:style w:type="paragraph" w:styleId="TDC2">
    <w:name w:val="toc 2"/>
    <w:basedOn w:val="Normal"/>
    <w:next w:val="Normal"/>
    <w:autoRedefine w:val="1"/>
    <w:uiPriority w:val="39"/>
    <w:unhideWhenUsed w:val="1"/>
    <w:rsid w:val="00A07966"/>
    <w:pPr>
      <w:tabs>
        <w:tab w:val="left" w:pos="709"/>
        <w:tab w:val="right" w:leader="dot" w:pos="8779"/>
      </w:tabs>
      <w:spacing w:after="100" w:line="480" w:lineRule="auto"/>
      <w:ind w:left="284"/>
    </w:pPr>
    <w:rPr>
      <w:rFonts w:asciiTheme="minorHAnsi" w:cstheme="minorBidi" w:eastAsiaTheme="minorEastAsia" w:hAnsiTheme="minorHAnsi"/>
      <w:lang w:eastAsia="es-ES" w:val="es-ES_tradnl"/>
    </w:rPr>
  </w:style>
  <w:style w:type="paragraph" w:styleId="Textoindependiente">
    <w:name w:val="Body Text"/>
    <w:basedOn w:val="Normal"/>
    <w:link w:val="TextoindependienteCar"/>
    <w:rsid w:val="00A07966"/>
    <w:pPr>
      <w:jc w:val="both"/>
    </w:pPr>
    <w:rPr>
      <w:rFonts w:ascii="Arial" w:hAnsi="Arial"/>
      <w:szCs w:val="20"/>
      <w:lang w:eastAsia="es-ES" w:val="es-ES_tradnl"/>
    </w:rPr>
  </w:style>
  <w:style w:type="character" w:styleId="TextoindependienteCar" w:customStyle="1">
    <w:name w:val="Texto independiente Car"/>
    <w:basedOn w:val="Fuentedeprrafopredeter"/>
    <w:link w:val="Textoindependiente"/>
    <w:rsid w:val="00A07966"/>
    <w:rPr>
      <w:rFonts w:ascii="Arial" w:cs="Times New Roman" w:eastAsia="Times New Roman" w:hAnsi="Arial"/>
      <w:szCs w:val="20"/>
    </w:rPr>
  </w:style>
  <w:style w:type="paragraph" w:styleId="p" w:customStyle="1">
    <w:name w:val="p"/>
    <w:basedOn w:val="Normal"/>
    <w:rsid w:val="00A07966"/>
    <w:pPr>
      <w:spacing w:after="100" w:afterAutospacing="1" w:before="100" w:beforeAutospacing="1"/>
    </w:pPr>
  </w:style>
  <w:style w:type="character" w:styleId="a" w:customStyle="1">
    <w:name w:val="a"/>
    <w:basedOn w:val="Fuentedeprrafopredeter"/>
    <w:rsid w:val="00A07966"/>
  </w:style>
  <w:style w:type="character" w:styleId="g" w:customStyle="1">
    <w:name w:val="g"/>
    <w:basedOn w:val="Fuentedeprrafopredeter"/>
    <w:rsid w:val="00A07966"/>
  </w:style>
  <w:style w:type="table" w:styleId="Tablaconcuadrcula1" w:customStyle="1">
    <w:name w:val="Tabla con cuadrícula1"/>
    <w:basedOn w:val="Tablanormal"/>
    <w:next w:val="Tablaconcuadrcula"/>
    <w:uiPriority w:val="59"/>
    <w:rsid w:val="00A07966"/>
    <w:rPr>
      <w:rFonts w:eastAsia="Times New Roma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tulodeTDC">
    <w:name w:val="TOC Heading"/>
    <w:basedOn w:val="Ttulo1"/>
    <w:next w:val="Normal"/>
    <w:uiPriority w:val="39"/>
    <w:unhideWhenUsed w:val="1"/>
    <w:qFormat w:val="1"/>
    <w:rsid w:val="00A07966"/>
    <w:pPr>
      <w:spacing w:line="259" w:lineRule="auto"/>
      <w:outlineLvl w:val="9"/>
    </w:pPr>
    <w:rPr>
      <w:rFonts w:ascii="Palatino Linotype" w:hAnsi="Palatino Linotype"/>
      <w:b w:val="1"/>
      <w:color w:val="000000" w:themeColor="text1"/>
      <w:sz w:val="24"/>
      <w:lang w:eastAsia="es-MX"/>
    </w:rPr>
  </w:style>
  <w:style w:type="paragraph" w:styleId="FootnoteTextCharCharChar1" w:customStyle="1">
    <w:name w:val="Footnote Text Char Char Char1"/>
    <w:basedOn w:val="Normal"/>
    <w:next w:val="Textonotapie"/>
    <w:unhideWhenUsed w:val="1"/>
    <w:rsid w:val="00A07966"/>
    <w:rPr>
      <w:rFonts w:eastAsia="Cambria" w:asciiTheme="minorHAnsi" w:cstheme="minorBidi" w:hAnsiTheme="minorHAnsi"/>
      <w:sz w:val="20"/>
      <w:szCs w:val="20"/>
      <w:lang w:eastAsia="en-US"/>
    </w:rPr>
  </w:style>
  <w:style w:type="character" w:styleId="il" w:customStyle="1">
    <w:name w:val="il"/>
    <w:basedOn w:val="Fuentedeprrafopredeter"/>
    <w:rsid w:val="00A07966"/>
  </w:style>
  <w:style w:type="paragraph" w:styleId="TDC3">
    <w:name w:val="toc 3"/>
    <w:basedOn w:val="Normal"/>
    <w:next w:val="Normal"/>
    <w:autoRedefine w:val="1"/>
    <w:uiPriority w:val="39"/>
    <w:unhideWhenUsed w:val="1"/>
    <w:rsid w:val="00A07966"/>
    <w:pPr>
      <w:spacing w:after="100"/>
      <w:ind w:left="480"/>
    </w:pPr>
    <w:rPr>
      <w:rFonts w:asciiTheme="minorHAnsi" w:cstheme="minorBidi" w:eastAsiaTheme="minorEastAsia" w:hAnsiTheme="minorHAnsi"/>
      <w:lang w:eastAsia="es-ES" w:val="es-ES_tradnl"/>
    </w:rPr>
  </w:style>
  <w:style w:type="character" w:styleId="Textoennegrita">
    <w:name w:val="Strong"/>
    <w:uiPriority w:val="22"/>
    <w:qFormat w:val="1"/>
    <w:rsid w:val="00A07966"/>
    <w:rPr>
      <w:b w:val="1"/>
      <w:bCs w:val="1"/>
    </w:rPr>
  </w:style>
  <w:style w:type="character" w:styleId="titulorubrolgt" w:customStyle="1">
    <w:name w:val="titulorubrolgt"/>
    <w:basedOn w:val="Fuentedeprrafopredeter"/>
    <w:rsid w:val="00A07966"/>
  </w:style>
  <w:style w:type="character" w:styleId="ctr" w:customStyle="1">
    <w:name w:val="ctr"/>
    <w:basedOn w:val="Fuentedeprrafopredeter"/>
    <w:rsid w:val="00A07966"/>
  </w:style>
  <w:style w:type="paragraph" w:styleId="Textonotapie1" w:customStyle="1">
    <w:name w:val="Texto nota pie1"/>
    <w:basedOn w:val="Normal"/>
    <w:next w:val="Textonotapie"/>
    <w:uiPriority w:val="99"/>
    <w:unhideWhenUsed w:val="1"/>
    <w:rsid w:val="00A07966"/>
    <w:rPr>
      <w:rFonts w:eastAsia="Cambria" w:asciiTheme="minorHAnsi" w:cstheme="minorBidi" w:hAnsiTheme="minorHAnsi"/>
      <w:sz w:val="20"/>
      <w:szCs w:val="20"/>
      <w:lang w:eastAsia="en-US"/>
    </w:rPr>
  </w:style>
  <w:style w:type="character" w:styleId="nfasis">
    <w:name w:val="Emphasis"/>
    <w:basedOn w:val="Fuentedeprrafopredeter"/>
    <w:uiPriority w:val="20"/>
    <w:qFormat w:val="1"/>
    <w:rsid w:val="00A07966"/>
    <w:rPr>
      <w:i w:val="1"/>
      <w:iCs w:val="1"/>
    </w:rPr>
  </w:style>
  <w:style w:type="paragraph" w:styleId="j1" w:customStyle="1">
    <w:name w:val="j1"/>
    <w:basedOn w:val="Normal"/>
    <w:rsid w:val="00A07966"/>
    <w:pPr>
      <w:spacing w:after="100" w:afterAutospacing="1" w:before="100" w:beforeAutospacing="1"/>
    </w:pPr>
  </w:style>
  <w:style w:type="table" w:styleId="Cuadrculadetablaclara1" w:customStyle="1">
    <w:name w:val="Cuadrícula de tabla clara1"/>
    <w:basedOn w:val="Tablanormal"/>
    <w:uiPriority w:val="40"/>
    <w:rsid w:val="00A07966"/>
    <w:rPr>
      <w:rFonts w:eastAsiaTheme="minorHAnsi"/>
      <w:sz w:val="22"/>
      <w:szCs w:val="22"/>
      <w:lang w:eastAsia="en-US" w:val="es-MX"/>
    </w:rPr>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table" w:styleId="Tablanormal11" w:customStyle="1">
    <w:name w:val="Tabla normal 11"/>
    <w:basedOn w:val="Tablanormal"/>
    <w:uiPriority w:val="41"/>
    <w:rsid w:val="00A07966"/>
    <w:rPr>
      <w:rFonts w:eastAsiaTheme="minorHAnsi"/>
      <w:sz w:val="22"/>
      <w:szCs w:val="22"/>
      <w:lang w:eastAsia="en-US" w:val="es-MX"/>
    </w:rPr>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paragraph" w:styleId="m3468294172500300143gmail-msolistparagraph" w:customStyle="1">
    <w:name w:val="m_3468294172500300143gmail-msolistparagraph"/>
    <w:basedOn w:val="Normal"/>
    <w:rsid w:val="00A07966"/>
    <w:pPr>
      <w:spacing w:after="100" w:afterAutospacing="1" w:before="100" w:beforeAutospacing="1"/>
    </w:pPr>
  </w:style>
  <w:style w:type="paragraph" w:styleId="m7640689326625126977gmail-msolistparagraph" w:customStyle="1">
    <w:name w:val="m_7640689326625126977gmail-msolistparagraph"/>
    <w:basedOn w:val="Normal"/>
    <w:rsid w:val="00A07966"/>
    <w:pPr>
      <w:spacing w:after="100" w:afterAutospacing="1" w:before="100" w:beforeAutospacing="1"/>
    </w:pPr>
  </w:style>
  <w:style w:type="character" w:styleId="stytxtare" w:customStyle="1">
    <w:name w:val="stytxtare"/>
    <w:rsid w:val="00A07966"/>
  </w:style>
  <w:style w:type="paragraph" w:styleId="yiv6449924580ydp7ca81294msonormal" w:customStyle="1">
    <w:name w:val="yiv6449924580ydp7ca81294msonormal"/>
    <w:basedOn w:val="Normal"/>
    <w:rsid w:val="00A07966"/>
    <w:pPr>
      <w:spacing w:after="100" w:afterAutospacing="1" w:before="100" w:beforeAutospacing="1"/>
    </w:pPr>
  </w:style>
  <w:style w:type="paragraph" w:styleId="gmail-msolistparagraph" w:customStyle="1">
    <w:name w:val="gmail-msolistparagraph"/>
    <w:basedOn w:val="Normal"/>
    <w:rsid w:val="00A07966"/>
    <w:pPr>
      <w:spacing w:after="100" w:afterAutospacing="1" w:before="100" w:beforeAutospacing="1"/>
    </w:pPr>
  </w:style>
  <w:style w:type="character" w:styleId="vidspn" w:customStyle="1">
    <w:name w:val="vid_spn"/>
    <w:basedOn w:val="Fuentedeprrafopredeter"/>
    <w:rsid w:val="00A07966"/>
  </w:style>
  <w:style w:type="character" w:styleId="Ttulo6Car" w:customStyle="1">
    <w:name w:val="Título 6 Car"/>
    <w:basedOn w:val="Fuentedeprrafopredeter"/>
    <w:link w:val="Ttulo6"/>
    <w:semiHidden w:val="1"/>
    <w:rsid w:val="009417CA"/>
    <w:rPr>
      <w:rFonts w:ascii="Times New Roman" w:cs="Times New Roman" w:eastAsia="Times New Roman" w:hAnsi="Times New Roman"/>
      <w:b w:val="1"/>
      <w:bCs w:val="1"/>
      <w:sz w:val="22"/>
      <w:szCs w:val="22"/>
      <w:lang w:eastAsia="en-US" w:val="en-US"/>
    </w:rPr>
  </w:style>
  <w:style w:type="character" w:styleId="Ttulo7Car" w:customStyle="1">
    <w:name w:val="Título 7 Car"/>
    <w:basedOn w:val="Fuentedeprrafopredeter"/>
    <w:link w:val="Ttulo7"/>
    <w:uiPriority w:val="9"/>
    <w:semiHidden w:val="1"/>
    <w:rsid w:val="009417CA"/>
    <w:rPr>
      <w:lang w:eastAsia="en-US" w:val="en-US"/>
    </w:rPr>
  </w:style>
  <w:style w:type="character" w:styleId="Ttulo8Car" w:customStyle="1">
    <w:name w:val="Título 8 Car"/>
    <w:basedOn w:val="Fuentedeprrafopredeter"/>
    <w:link w:val="Ttulo8"/>
    <w:uiPriority w:val="9"/>
    <w:semiHidden w:val="1"/>
    <w:rsid w:val="009417CA"/>
    <w:rPr>
      <w:i w:val="1"/>
      <w:iCs w:val="1"/>
      <w:lang w:eastAsia="en-US" w:val="en-US"/>
    </w:rPr>
  </w:style>
  <w:style w:type="character" w:styleId="Ttulo9Car" w:customStyle="1">
    <w:name w:val="Título 9 Car"/>
    <w:basedOn w:val="Fuentedeprrafopredeter"/>
    <w:link w:val="Ttulo9"/>
    <w:uiPriority w:val="9"/>
    <w:semiHidden w:val="1"/>
    <w:rsid w:val="009417CA"/>
    <w:rPr>
      <w:rFonts w:asciiTheme="majorHAnsi" w:cstheme="majorBidi" w:eastAsiaTheme="majorEastAsia" w:hAnsiTheme="majorHAnsi"/>
      <w:sz w:val="22"/>
      <w:szCs w:val="22"/>
      <w:lang w:eastAsia="en-US" w:val="en-US"/>
    </w:rPr>
  </w:style>
  <w:style w:type="table" w:styleId="Tabladecuadrcula1clara1" w:customStyle="1">
    <w:name w:val="Tabla de cuadrícula 1 clara1"/>
    <w:basedOn w:val="Tablanormal"/>
    <w:uiPriority w:val="99"/>
    <w:rsid w:val="009417CA"/>
    <w:tblPr>
      <w:tblStyleRowBandSize w:val="1"/>
      <w:tblStyleColBandSize w:val="1"/>
      <w:tblBorders>
        <w:top w:color="999999" w:space="0" w:sz="4" w:themeColor="text1" w:themeTint="000066" w:val="single"/>
        <w:left w:color="999999" w:space="0" w:sz="4" w:themeColor="text1" w:themeTint="000066" w:val="single"/>
        <w:bottom w:color="999999" w:space="0" w:sz="4" w:themeColor="text1" w:themeTint="000066" w:val="single"/>
        <w:right w:color="999999" w:space="0" w:sz="4" w:themeColor="text1" w:themeTint="000066" w:val="single"/>
        <w:insideH w:color="999999" w:space="0" w:sz="4" w:themeColor="text1" w:themeTint="000066" w:val="single"/>
        <w:insideV w:color="999999" w:space="0" w:sz="4" w:themeColor="text1" w:themeTint="000066"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2" w:themeColor="text1" w:themeTint="000099" w:val="double"/>
        </w:tcBorders>
      </w:tcPr>
    </w:tblStylePr>
    <w:tblStylePr w:type="firstCol">
      <w:rPr>
        <w:b w:val="1"/>
        <w:bCs w:val="1"/>
      </w:rPr>
    </w:tblStylePr>
    <w:tblStylePr w:type="lastCol">
      <w:rPr>
        <w:b w:val="1"/>
        <w:bCs w:val="1"/>
      </w:rPr>
    </w:tblStylePr>
  </w:style>
  <w:style w:type="table" w:styleId="Tabladecuadrcula4-nfasis11" w:customStyle="1">
    <w:name w:val="Tabla de cuadrícula 4 - Énfasis 11"/>
    <w:basedOn w:val="Tablanormal"/>
    <w:uiPriority w:val="49"/>
    <w:rsid w:val="009417CA"/>
    <w:tblPr>
      <w:tblStyleRowBandSize w:val="1"/>
      <w:tblStyleColBandSize w:val="1"/>
      <w:tblBorders>
        <w:top w:color="95b3d7" w:space="0" w:sz="4" w:themeColor="accent1" w:themeTint="000099" w:val="single"/>
        <w:left w:color="95b3d7" w:space="0" w:sz="4" w:themeColor="accent1" w:themeTint="000099" w:val="single"/>
        <w:bottom w:color="95b3d7" w:space="0" w:sz="4" w:themeColor="accent1" w:themeTint="000099" w:val="single"/>
        <w:right w:color="95b3d7" w:space="0" w:sz="4" w:themeColor="accent1" w:themeTint="000099" w:val="single"/>
        <w:insideH w:color="95b3d7" w:space="0" w:sz="4" w:themeColor="accent1" w:themeTint="000099" w:val="single"/>
        <w:insideV w:color="95b3d7" w:space="0" w:sz="4" w:themeColor="accent1" w:themeTint="000099" w:val="single"/>
      </w:tblBorders>
    </w:tblPr>
    <w:tblStylePr w:type="firstRow">
      <w:rPr>
        <w:b w:val="1"/>
        <w:bCs w:val="1"/>
        <w:color w:val="ffffff" w:themeColor="background1"/>
      </w:rPr>
      <w:tblPr/>
      <w:tcPr>
        <w:tcBorders>
          <w:top w:color="4f81bd" w:space="0" w:sz="4" w:themeColor="accent1" w:val="single"/>
          <w:left w:color="4f81bd" w:space="0" w:sz="4" w:themeColor="accent1" w:val="single"/>
          <w:bottom w:color="4f81bd" w:space="0" w:sz="4" w:themeColor="accent1" w:val="single"/>
          <w:right w:color="4f81bd" w:space="0" w:sz="4" w:themeColor="accent1" w:val="single"/>
          <w:insideH w:space="0" w:sz="0" w:val="nil"/>
          <w:insideV w:space="0" w:sz="0" w:val="nil"/>
        </w:tcBorders>
        <w:shd w:color="auto" w:fill="4f81bd" w:themeFill="accent1" w:val="clear"/>
      </w:tcPr>
    </w:tblStylePr>
    <w:tblStylePr w:type="lastRow">
      <w:rPr>
        <w:b w:val="1"/>
        <w:bCs w:val="1"/>
      </w:rPr>
      <w:tblPr/>
      <w:tcPr>
        <w:tcBorders>
          <w:top w:color="4f81bd" w:space="0" w:sz="4" w:themeColor="accent1" w:val="doub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paragraph" w:styleId="m-698976158124685028gmail-msolistparagraph" w:customStyle="1">
    <w:name w:val="m_-698976158124685028gmail-msolistparagraph"/>
    <w:basedOn w:val="Normal"/>
    <w:rsid w:val="009417CA"/>
    <w:pPr>
      <w:spacing w:after="100" w:afterAutospacing="1" w:before="100" w:beforeAutospacing="1"/>
    </w:pPr>
  </w:style>
  <w:style w:type="numbering" w:styleId="Estiloimportado1" w:customStyle="1">
    <w:name w:val="Estilo importado 1"/>
    <w:rsid w:val="009417CA"/>
    <w:pPr>
      <w:numPr>
        <w:numId w:val="1"/>
      </w:numPr>
    </w:pPr>
  </w:style>
  <w:style w:type="paragraph" w:styleId="ADB1" w:customStyle="1">
    <w:name w:val="ADB1"/>
    <w:basedOn w:val="Normal"/>
    <w:next w:val="Textonotapie"/>
    <w:uiPriority w:val="99"/>
    <w:unhideWhenUsed w:val="1"/>
    <w:qFormat w:val="1"/>
    <w:rsid w:val="009417CA"/>
    <w:rPr>
      <w:rFonts w:eastAsia="Cambria" w:asciiTheme="minorHAnsi" w:cstheme="minorBidi" w:hAnsiTheme="minorHAnsi"/>
      <w:sz w:val="20"/>
      <w:szCs w:val="20"/>
      <w:lang w:eastAsia="en-US"/>
    </w:rPr>
  </w:style>
  <w:style w:type="paragraph" w:styleId="m-698976158124685028gmail-default" w:customStyle="1">
    <w:name w:val="m_-698976158124685028gmail-default"/>
    <w:basedOn w:val="Normal"/>
    <w:rsid w:val="009417CA"/>
    <w:pPr>
      <w:spacing w:after="100" w:afterAutospacing="1" w:before="100" w:beforeAutospacing="1"/>
    </w:pPr>
  </w:style>
  <w:style w:type="table" w:styleId="Tabladecuadrcula1clara">
    <w:name w:val="Grid Table 1 Light"/>
    <w:basedOn w:val="Tablanormal"/>
    <w:uiPriority w:val="46"/>
    <w:rsid w:val="009417CA"/>
    <w:tblPr>
      <w:tblStyleRowBandSize w:val="1"/>
      <w:tblStyleColBandSize w:val="1"/>
      <w:tblBorders>
        <w:top w:color="999999" w:space="0" w:sz="4" w:themeColor="text1" w:themeTint="000066" w:val="single"/>
        <w:left w:color="999999" w:space="0" w:sz="4" w:themeColor="text1" w:themeTint="000066" w:val="single"/>
        <w:bottom w:color="999999" w:space="0" w:sz="4" w:themeColor="text1" w:themeTint="000066" w:val="single"/>
        <w:right w:color="999999" w:space="0" w:sz="4" w:themeColor="text1" w:themeTint="000066" w:val="single"/>
        <w:insideH w:color="999999" w:space="0" w:sz="4" w:themeColor="text1" w:themeTint="000066" w:val="single"/>
        <w:insideV w:color="999999" w:space="0" w:sz="4" w:themeColor="text1" w:themeTint="000066"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2" w:themeColor="text1" w:themeTint="000099" w:val="double"/>
        </w:tcBorders>
      </w:tcPr>
    </w:tblStylePr>
    <w:tblStylePr w:type="firstCol">
      <w:rPr>
        <w:b w:val="1"/>
        <w:bCs w:val="1"/>
      </w:rPr>
    </w:tblStylePr>
    <w:tblStylePr w:type="lastCol">
      <w:rPr>
        <w:b w:val="1"/>
        <w:bCs w:val="1"/>
      </w:rPr>
    </w:tblStylePr>
  </w:style>
  <w:style w:type="paragraph" w:styleId="francesa" w:customStyle="1">
    <w:name w:val="francesa"/>
    <w:basedOn w:val="Normal"/>
    <w:rsid w:val="009417CA"/>
    <w:pPr>
      <w:spacing w:after="100" w:afterAutospacing="1" w:before="100" w:beforeAutospacing="1"/>
    </w:pPr>
  </w:style>
  <w:style w:type="paragraph" w:styleId="Ttulo10" w:customStyle="1">
    <w:name w:val="Título1"/>
    <w:basedOn w:val="Normal"/>
    <w:next w:val="Textoindependiente"/>
    <w:qFormat w:val="1"/>
    <w:rsid w:val="00AA5E30"/>
    <w:pPr>
      <w:keepNext w:val="1"/>
      <w:suppressAutoHyphens w:val="1"/>
      <w:spacing w:after="120" w:before="240"/>
    </w:pPr>
    <w:rPr>
      <w:rFonts w:ascii="Liberation Sans" w:cs="Lohit Devanagari" w:eastAsia="Noto Sans CJK SC" w:hAnsi="Liberation Sans"/>
      <w:sz w:val="28"/>
      <w:szCs w:val="28"/>
      <w:lang w:eastAsia="es-ES"/>
    </w:rPr>
  </w:style>
  <w:style w:type="table" w:styleId="Tablaconcuadrcula27" w:customStyle="1">
    <w:name w:val="Tabla con cuadrícula27"/>
    <w:basedOn w:val="Tablanormal"/>
    <w:next w:val="Tablaconcuadrcula"/>
    <w:uiPriority w:val="39"/>
    <w:rsid w:val="00AA5E30"/>
    <w:rPr>
      <w:rFonts w:eastAsia="Times New Roma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22" Type="http://schemas.openxmlformats.org/officeDocument/2006/relationships/image" Target="media/image3.png"/><Relationship Id="rId21" Type="http://schemas.openxmlformats.org/officeDocument/2006/relationships/image" Target="media/image14.png"/><Relationship Id="rId24" Type="http://schemas.openxmlformats.org/officeDocument/2006/relationships/header" Target="header1.xml"/><Relationship Id="rId23"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26" Type="http://schemas.openxmlformats.org/officeDocument/2006/relationships/footer" Target="footer1.xml"/><Relationship Id="rId25"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5.png"/><Relationship Id="rId11" Type="http://schemas.openxmlformats.org/officeDocument/2006/relationships/image" Target="media/image6.png"/><Relationship Id="rId10" Type="http://schemas.openxmlformats.org/officeDocument/2006/relationships/image" Target="media/image9.png"/><Relationship Id="rId13" Type="http://schemas.openxmlformats.org/officeDocument/2006/relationships/image" Target="media/image7.png"/><Relationship Id="rId12" Type="http://schemas.openxmlformats.org/officeDocument/2006/relationships/image" Target="media/image8.png"/><Relationship Id="rId15" Type="http://schemas.openxmlformats.org/officeDocument/2006/relationships/image" Target="media/image10.png"/><Relationship Id="rId14" Type="http://schemas.openxmlformats.org/officeDocument/2006/relationships/image" Target="media/image11.png"/><Relationship Id="rId17" Type="http://schemas.openxmlformats.org/officeDocument/2006/relationships/image" Target="media/image12.png"/><Relationship Id="rId16" Type="http://schemas.openxmlformats.org/officeDocument/2006/relationships/image" Target="media/image13.png"/><Relationship Id="rId19" Type="http://schemas.openxmlformats.org/officeDocument/2006/relationships/image" Target="media/image16.png"/><Relationship Id="rId18" Type="http://schemas.openxmlformats.org/officeDocument/2006/relationships/image" Target="media/image15.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EXBRKZ2F05JLSUIbkm/EHmAG/A==">AMUW2mVu/NAKf75gcSyGQZJgnl5RPKJVOTzleNy4mFz1WfAC1feTY2AVBExlMNjcKjjl3rhxWtboRAMwv6C6/rCvZ+TTfL6bL+alxk7SQKy0G86MTt8BE6XyjNm5TIKfYucykxUzY85oGC+rqfc5gB4ocI3d5w7HObvqc/6zg8M8jLodNad1qp/V6k/FhdDmbXJGfJAsyD0Rb9CVh2qORSS1xLqebQuPH4f1vmS+Cz2w9IMoQTMbnUO0IhLqQbp3goL3RUZC0XXn7CBVJFU1Ac+ldpdPLP+yCJeasAIXnhgESFK838YxaeNymtzHqyBt75M9x60X+7RSXohgSzs2XzzNlPadPUCuCMbrNxRvOXgSbGCz2elwhGeeyc4JfpAbqrbf3vkzOGQ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2021-10-28T21:43:00Z</dcterms:created>
  <dc:creator>iMac</dc:creator>
</cp:coreProperties>
</file>