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07E" w:rsidRPr="004B5D57" w:rsidRDefault="00C0507E" w:rsidP="00C0507E">
      <w:pPr>
        <w:spacing w:line="360" w:lineRule="auto"/>
        <w:jc w:val="both"/>
        <w:rPr>
          <w:rFonts w:ascii="Palatino Linotype" w:hAnsi="Palatino Linotype"/>
          <w:lang w:val="es-ES_tradnl" w:eastAsia="es-ES"/>
        </w:rPr>
      </w:pPr>
    </w:p>
    <w:p w:rsidR="00C0507E" w:rsidRPr="001431BD" w:rsidRDefault="00C0507E" w:rsidP="00C0507E">
      <w:pPr>
        <w:spacing w:line="360" w:lineRule="auto"/>
        <w:jc w:val="center"/>
        <w:rPr>
          <w:rFonts w:ascii="Palatino Linotype" w:eastAsiaTheme="minorEastAsia" w:hAnsi="Palatino Linotype"/>
          <w:lang w:val="es-ES_tradnl" w:eastAsia="es-ES"/>
        </w:rPr>
      </w:pPr>
      <w:r w:rsidRPr="001431BD">
        <w:rPr>
          <w:rFonts w:ascii="Palatino Linotype" w:eastAsiaTheme="minorEastAsia" w:hAnsi="Palatino Linotype"/>
          <w:b/>
          <w:lang w:val="es-ES_tradnl" w:eastAsia="es-ES"/>
        </w:rPr>
        <w:t>ÍNDICE</w:t>
      </w:r>
      <w:r w:rsidRPr="001431BD">
        <w:rPr>
          <w:rFonts w:ascii="Palatino Linotype" w:eastAsiaTheme="minorEastAsia" w:hAnsi="Palatino Linotype"/>
          <w:lang w:val="es-ES_tradnl" w:eastAsia="es-ES"/>
        </w:rPr>
        <w:t>.</w:t>
      </w:r>
    </w:p>
    <w:sdt>
      <w:sdtPr>
        <w:rPr>
          <w:rFonts w:ascii="Palatino Linotype" w:eastAsiaTheme="minorEastAsia" w:hAnsi="Palatino Linotype"/>
          <w:lang w:val="es-ES" w:eastAsia="es-ES"/>
        </w:rPr>
        <w:id w:val="1703668029"/>
        <w:docPartObj>
          <w:docPartGallery w:val="Table of Contents"/>
          <w:docPartUnique/>
        </w:docPartObj>
      </w:sdtPr>
      <w:sdtEndPr>
        <w:rPr>
          <w:bCs/>
        </w:rPr>
      </w:sdtEndPr>
      <w:sdtContent>
        <w:p w:rsidR="00C0507E" w:rsidRPr="001431BD" w:rsidRDefault="00C0507E" w:rsidP="00C0507E">
          <w:pPr>
            <w:keepNext/>
            <w:keepLines/>
            <w:spacing w:line="360" w:lineRule="auto"/>
            <w:rPr>
              <w:rFonts w:ascii="Palatino Linotype" w:eastAsiaTheme="majorEastAsia" w:hAnsi="Palatino Linotype" w:cstheme="majorBidi"/>
              <w:b/>
              <w:szCs w:val="32"/>
            </w:rPr>
          </w:pPr>
        </w:p>
        <w:p w:rsidR="00182EB7" w:rsidRPr="00182EB7" w:rsidRDefault="00C0507E" w:rsidP="00182EB7">
          <w:pPr>
            <w:pStyle w:val="TDC1"/>
            <w:tabs>
              <w:tab w:val="right" w:leader="dot" w:pos="9034"/>
            </w:tabs>
            <w:spacing w:line="360" w:lineRule="auto"/>
            <w:rPr>
              <w:rFonts w:ascii="Palatino Linotype" w:eastAsiaTheme="minorEastAsia" w:hAnsi="Palatino Linotype"/>
              <w:b/>
              <w:noProof/>
              <w:sz w:val="24"/>
              <w:szCs w:val="24"/>
              <w:lang w:val="es-ES" w:eastAsia="es-ES"/>
            </w:rPr>
          </w:pPr>
          <w:r w:rsidRPr="001431BD">
            <w:rPr>
              <w:rFonts w:ascii="Palatino Linotype" w:eastAsiaTheme="minorEastAsia" w:hAnsi="Palatino Linotype"/>
              <w:b/>
              <w:sz w:val="24"/>
              <w:szCs w:val="24"/>
              <w:lang w:val="es-ES_tradnl" w:eastAsia="es-ES"/>
            </w:rPr>
            <w:fldChar w:fldCharType="begin"/>
          </w:r>
          <w:r w:rsidRPr="001431BD">
            <w:rPr>
              <w:rFonts w:ascii="Palatino Linotype" w:eastAsiaTheme="minorEastAsia" w:hAnsi="Palatino Linotype"/>
              <w:b/>
              <w:sz w:val="24"/>
              <w:szCs w:val="24"/>
              <w:lang w:val="es-ES_tradnl" w:eastAsia="es-ES"/>
            </w:rPr>
            <w:instrText xml:space="preserve"> TOC \o "1-3" \h \z \u </w:instrText>
          </w:r>
          <w:r w:rsidRPr="001431BD">
            <w:rPr>
              <w:rFonts w:ascii="Palatino Linotype" w:eastAsiaTheme="minorEastAsia" w:hAnsi="Palatino Linotype"/>
              <w:b/>
              <w:sz w:val="24"/>
              <w:szCs w:val="24"/>
              <w:lang w:val="es-ES_tradnl" w:eastAsia="es-ES"/>
            </w:rPr>
            <w:fldChar w:fldCharType="separate"/>
          </w:r>
          <w:hyperlink w:anchor="_Toc82516494" w:history="1">
            <w:r w:rsidR="00182EB7" w:rsidRPr="00182EB7">
              <w:rPr>
                <w:rStyle w:val="Hipervnculo"/>
                <w:rFonts w:ascii="Palatino Linotype" w:eastAsiaTheme="majorEastAsia" w:hAnsi="Palatino Linotype" w:cstheme="majorBidi"/>
                <w:b/>
                <w:noProof/>
                <w:sz w:val="24"/>
                <w:szCs w:val="24"/>
              </w:rPr>
              <w:t>ANTECEDENTES</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_Toc82516494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2</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2516495" w:history="1">
            <w:r w:rsidR="00182EB7" w:rsidRPr="00182EB7">
              <w:rPr>
                <w:rStyle w:val="Hipervnculo"/>
                <w:rFonts w:ascii="Palatino Linotype" w:eastAsiaTheme="majorEastAsia" w:hAnsi="Palatino Linotype" w:cstheme="majorBidi"/>
                <w:b/>
                <w:noProof/>
                <w:sz w:val="24"/>
                <w:szCs w:val="24"/>
              </w:rPr>
              <w:t>CONSIDERANDO</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_Toc82516495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9</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2"/>
            <w:spacing w:line="360" w:lineRule="auto"/>
            <w:rPr>
              <w:rFonts w:ascii="Palatino Linotype" w:eastAsiaTheme="minorEastAsia" w:hAnsi="Palatino Linotype"/>
              <w:b/>
              <w:noProof/>
              <w:sz w:val="24"/>
              <w:szCs w:val="24"/>
              <w:lang w:val="es-ES" w:eastAsia="es-ES"/>
            </w:rPr>
          </w:pPr>
          <w:hyperlink w:anchor="_Toc82516496" w:history="1">
            <w:r w:rsidR="00182EB7" w:rsidRPr="00182EB7">
              <w:rPr>
                <w:rStyle w:val="Hipervnculo"/>
                <w:rFonts w:ascii="Palatino Linotype" w:eastAsiaTheme="majorEastAsia" w:hAnsi="Palatino Linotype" w:cstheme="majorBidi"/>
                <w:b/>
                <w:noProof/>
                <w:sz w:val="24"/>
                <w:szCs w:val="24"/>
              </w:rPr>
              <w:t>PRIMERO. De la competencia</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_Toc82516496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9</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2"/>
            <w:spacing w:line="360" w:lineRule="auto"/>
            <w:rPr>
              <w:rFonts w:ascii="Palatino Linotype" w:eastAsiaTheme="minorEastAsia" w:hAnsi="Palatino Linotype"/>
              <w:b/>
              <w:noProof/>
              <w:sz w:val="24"/>
              <w:szCs w:val="24"/>
              <w:lang w:val="es-ES" w:eastAsia="es-ES"/>
            </w:rPr>
          </w:pPr>
          <w:hyperlink w:anchor="_Toc82516497" w:history="1">
            <w:r w:rsidR="00182EB7" w:rsidRPr="00182EB7">
              <w:rPr>
                <w:rStyle w:val="Hipervnculo"/>
                <w:rFonts w:ascii="Palatino Linotype" w:eastAsiaTheme="majorEastAsia" w:hAnsi="Palatino Linotype" w:cstheme="majorBidi"/>
                <w:b/>
                <w:noProof/>
                <w:sz w:val="24"/>
                <w:szCs w:val="24"/>
              </w:rPr>
              <w:t>SEGUNDO. De la oportunidad y procedencia.</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_Toc82516497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10</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2516498" w:history="1">
            <w:r w:rsidR="00182EB7" w:rsidRPr="00182EB7">
              <w:rPr>
                <w:rStyle w:val="Hipervnculo"/>
                <w:rFonts w:ascii="Palatino Linotype" w:eastAsia="MS Gothic" w:hAnsi="Palatino Linotype" w:cstheme="majorBidi"/>
                <w:b/>
                <w:noProof/>
                <w:sz w:val="24"/>
                <w:szCs w:val="24"/>
                <w:lang w:val="es-ES_tradnl" w:eastAsia="es-ES"/>
              </w:rPr>
              <w:t>TERCERO. Planteamiento de la Litis</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_Toc82516498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11</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2516499" w:history="1">
            <w:r w:rsidR="00182EB7" w:rsidRPr="00182EB7">
              <w:rPr>
                <w:rStyle w:val="Hipervnculo"/>
                <w:rFonts w:ascii="Palatino Linotype" w:eastAsia="MS Gothic" w:hAnsi="Palatino Linotype" w:cstheme="majorBidi"/>
                <w:b/>
                <w:noProof/>
                <w:sz w:val="24"/>
                <w:szCs w:val="24"/>
                <w:lang w:val="es-ES_tradnl" w:eastAsia="es-ES"/>
              </w:rPr>
              <w:t>CUARTO. Del estudio y resolución del recurso de revisión.</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_Toc82516499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12</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2"/>
            <w:tabs>
              <w:tab w:val="left" w:pos="440"/>
            </w:tabs>
            <w:spacing w:line="360" w:lineRule="auto"/>
            <w:rPr>
              <w:rFonts w:ascii="Palatino Linotype" w:eastAsiaTheme="minorEastAsia" w:hAnsi="Palatino Linotype"/>
              <w:b/>
              <w:noProof/>
              <w:sz w:val="24"/>
              <w:szCs w:val="24"/>
              <w:lang w:val="es-ES" w:eastAsia="es-ES"/>
            </w:rPr>
          </w:pPr>
          <w:hyperlink w:anchor="_Toc82516500" w:history="1">
            <w:r w:rsidR="00182EB7" w:rsidRPr="00182EB7">
              <w:rPr>
                <w:rStyle w:val="Hipervnculo"/>
                <w:rFonts w:ascii="Palatino Linotype" w:eastAsia="MS Gothic" w:hAnsi="Palatino Linotype"/>
                <w:b/>
                <w:noProof/>
                <w:sz w:val="24"/>
                <w:szCs w:val="24"/>
                <w:lang w:val="es-ES_tradnl" w:eastAsia="es-ES"/>
              </w:rPr>
              <w:t>I.</w:t>
            </w:r>
            <w:r w:rsidR="00182EB7" w:rsidRPr="00182EB7">
              <w:rPr>
                <w:rFonts w:ascii="Palatino Linotype" w:eastAsiaTheme="minorEastAsia" w:hAnsi="Palatino Linotype"/>
                <w:b/>
                <w:noProof/>
                <w:sz w:val="24"/>
                <w:szCs w:val="24"/>
                <w:lang w:val="es-ES" w:eastAsia="es-ES"/>
              </w:rPr>
              <w:tab/>
            </w:r>
            <w:r w:rsidR="00182EB7" w:rsidRPr="00182EB7">
              <w:rPr>
                <w:rStyle w:val="Hipervnculo"/>
                <w:rFonts w:ascii="Palatino Linotype" w:eastAsia="MS Gothic" w:hAnsi="Palatino Linotype"/>
                <w:b/>
                <w:noProof/>
                <w:sz w:val="24"/>
                <w:szCs w:val="24"/>
                <w:lang w:val="es-ES_tradnl" w:eastAsia="es-ES"/>
              </w:rPr>
              <w:t>Del derecho de acceso a la información.</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_Toc82516500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12</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1"/>
            <w:tabs>
              <w:tab w:val="left" w:pos="660"/>
              <w:tab w:val="right" w:leader="dot" w:pos="9034"/>
            </w:tabs>
            <w:spacing w:line="360" w:lineRule="auto"/>
            <w:rPr>
              <w:rFonts w:ascii="Palatino Linotype" w:eastAsiaTheme="minorEastAsia" w:hAnsi="Palatino Linotype"/>
              <w:b/>
              <w:noProof/>
              <w:sz w:val="24"/>
              <w:szCs w:val="24"/>
              <w:lang w:val="es-ES" w:eastAsia="es-ES"/>
            </w:rPr>
          </w:pPr>
          <w:hyperlink w:anchor="_Toc82516501" w:history="1">
            <w:r w:rsidR="00182EB7" w:rsidRPr="00182EB7">
              <w:rPr>
                <w:rStyle w:val="Hipervnculo"/>
                <w:rFonts w:ascii="Palatino Linotype" w:hAnsi="Palatino Linotype"/>
                <w:b/>
                <w:noProof/>
                <w:sz w:val="24"/>
                <w:szCs w:val="24"/>
              </w:rPr>
              <w:t>II.</w:t>
            </w:r>
            <w:r w:rsidR="00182EB7" w:rsidRPr="00182EB7">
              <w:rPr>
                <w:rFonts w:ascii="Palatino Linotype" w:eastAsiaTheme="minorEastAsia" w:hAnsi="Palatino Linotype"/>
                <w:b/>
                <w:noProof/>
                <w:sz w:val="24"/>
                <w:szCs w:val="24"/>
                <w:lang w:val="es-ES" w:eastAsia="es-ES"/>
              </w:rPr>
              <w:tab/>
            </w:r>
            <w:r w:rsidR="00182EB7" w:rsidRPr="00182EB7">
              <w:rPr>
                <w:rStyle w:val="Hipervnculo"/>
                <w:rFonts w:ascii="Palatino Linotype" w:hAnsi="Palatino Linotype"/>
                <w:b/>
                <w:noProof/>
                <w:sz w:val="24"/>
                <w:szCs w:val="24"/>
              </w:rPr>
              <w:t>De la información solicitada y la respuesta del Sujeto Obligado.</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_Toc82516501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16</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2516502" w:history="1">
            <w:r w:rsidR="00182EB7" w:rsidRPr="00182EB7">
              <w:rPr>
                <w:rStyle w:val="Hipervnculo"/>
                <w:rFonts w:ascii="Palatino Linotype" w:hAnsi="Palatino Linotype"/>
                <w:b/>
                <w:noProof/>
                <w:sz w:val="24"/>
                <w:szCs w:val="24"/>
              </w:rPr>
              <w:t>III. Del Fondo Estatal de Fortalecimiento Municipal (FEFOM).</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_Toc82516502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20</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2516503" w:history="1">
            <w:r w:rsidR="00182EB7" w:rsidRPr="00182EB7">
              <w:rPr>
                <w:rStyle w:val="Hipervnculo"/>
                <w:rFonts w:ascii="Palatino Linotype" w:hAnsi="Palatino Linotype"/>
                <w:b/>
                <w:noProof/>
                <w:sz w:val="24"/>
                <w:szCs w:val="24"/>
              </w:rPr>
              <w:t>IV. Del Fondo de Aportaciones para el Fortalecimiento de los Municipios y de las Demarcaciones Territoriales del Distrito Federal (FORTAMUNDF).</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_Toc82516503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24</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2516504" w:history="1">
            <w:r w:rsidR="00182EB7" w:rsidRPr="00182EB7">
              <w:rPr>
                <w:rStyle w:val="Hipervnculo"/>
                <w:rFonts w:ascii="Palatino Linotype" w:hAnsi="Palatino Linotype" w:cs="Times New Roman"/>
                <w:b/>
                <w:noProof/>
                <w:sz w:val="24"/>
                <w:szCs w:val="24"/>
                <w:lang w:eastAsia="es-ES_tradnl"/>
              </w:rPr>
              <w:t xml:space="preserve">QUINTO. </w:t>
            </w:r>
            <w:r w:rsidR="00182EB7" w:rsidRPr="00182EB7">
              <w:rPr>
                <w:rStyle w:val="Hipervnculo"/>
                <w:rFonts w:ascii="Palatino Linotype" w:hAnsi="Palatino Linotype"/>
                <w:b/>
                <w:noProof/>
                <w:sz w:val="24"/>
                <w:szCs w:val="24"/>
              </w:rPr>
              <w:t xml:space="preserve"> De la elaboración de la versión pública.</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_Toc82516504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30</w:t>
            </w:r>
            <w:r w:rsidR="00182EB7" w:rsidRPr="00182EB7">
              <w:rPr>
                <w:rFonts w:ascii="Palatino Linotype" w:hAnsi="Palatino Linotype"/>
                <w:b/>
                <w:noProof/>
                <w:webHidden/>
                <w:sz w:val="24"/>
                <w:szCs w:val="24"/>
              </w:rPr>
              <w:fldChar w:fldCharType="end"/>
            </w:r>
          </w:hyperlink>
        </w:p>
        <w:p w:rsidR="00182EB7" w:rsidRPr="00182EB7" w:rsidRDefault="00286DEF" w:rsidP="00182EB7">
          <w:pPr>
            <w:pStyle w:val="TDC3"/>
            <w:tabs>
              <w:tab w:val="right" w:leader="dot" w:pos="9034"/>
            </w:tabs>
            <w:spacing w:line="360" w:lineRule="auto"/>
            <w:rPr>
              <w:rFonts w:ascii="Palatino Linotype" w:hAnsi="Palatino Linotype"/>
              <w:b/>
              <w:noProof/>
            </w:rPr>
          </w:pPr>
          <w:hyperlink w:anchor="_Toc82516505" w:history="1">
            <w:r w:rsidR="00182EB7" w:rsidRPr="00182EB7">
              <w:rPr>
                <w:rStyle w:val="Hipervnculo"/>
                <w:rFonts w:ascii="Palatino Linotype" w:hAnsi="Palatino Linotype" w:cs="Arial"/>
                <w:b/>
                <w:noProof/>
              </w:rPr>
              <w:t>I. Requisitos previos.</w:t>
            </w:r>
            <w:r w:rsidR="00182EB7" w:rsidRPr="00182EB7">
              <w:rPr>
                <w:rFonts w:ascii="Palatino Linotype" w:hAnsi="Palatino Linotype"/>
                <w:b/>
                <w:noProof/>
                <w:webHidden/>
              </w:rPr>
              <w:tab/>
            </w:r>
            <w:r w:rsidR="00182EB7" w:rsidRPr="00182EB7">
              <w:rPr>
                <w:rFonts w:ascii="Palatino Linotype" w:hAnsi="Palatino Linotype"/>
                <w:b/>
                <w:noProof/>
                <w:webHidden/>
              </w:rPr>
              <w:fldChar w:fldCharType="begin"/>
            </w:r>
            <w:r w:rsidR="00182EB7" w:rsidRPr="00182EB7">
              <w:rPr>
                <w:rFonts w:ascii="Palatino Linotype" w:hAnsi="Palatino Linotype"/>
                <w:b/>
                <w:noProof/>
                <w:webHidden/>
              </w:rPr>
              <w:instrText xml:space="preserve"> PAGEREF _Toc82516505 \h </w:instrText>
            </w:r>
            <w:r w:rsidR="00182EB7" w:rsidRPr="00182EB7">
              <w:rPr>
                <w:rFonts w:ascii="Palatino Linotype" w:hAnsi="Palatino Linotype"/>
                <w:b/>
                <w:noProof/>
                <w:webHidden/>
              </w:rPr>
            </w:r>
            <w:r w:rsidR="00182EB7" w:rsidRPr="00182EB7">
              <w:rPr>
                <w:rFonts w:ascii="Palatino Linotype" w:hAnsi="Palatino Linotype"/>
                <w:b/>
                <w:noProof/>
                <w:webHidden/>
              </w:rPr>
              <w:fldChar w:fldCharType="separate"/>
            </w:r>
            <w:r w:rsidR="00182EB7" w:rsidRPr="00182EB7">
              <w:rPr>
                <w:rFonts w:ascii="Palatino Linotype" w:hAnsi="Palatino Linotype"/>
                <w:b/>
                <w:noProof/>
                <w:webHidden/>
              </w:rPr>
              <w:t>31</w:t>
            </w:r>
            <w:r w:rsidR="00182EB7" w:rsidRPr="00182EB7">
              <w:rPr>
                <w:rFonts w:ascii="Palatino Linotype" w:hAnsi="Palatino Linotype"/>
                <w:b/>
                <w:noProof/>
                <w:webHidden/>
              </w:rPr>
              <w:fldChar w:fldCharType="end"/>
            </w:r>
          </w:hyperlink>
        </w:p>
        <w:p w:rsidR="00182EB7" w:rsidRPr="00182EB7" w:rsidRDefault="00286DEF" w:rsidP="00182EB7">
          <w:pPr>
            <w:pStyle w:val="TDC3"/>
            <w:tabs>
              <w:tab w:val="right" w:leader="dot" w:pos="9034"/>
            </w:tabs>
            <w:spacing w:line="360" w:lineRule="auto"/>
            <w:rPr>
              <w:rFonts w:ascii="Palatino Linotype" w:hAnsi="Palatino Linotype"/>
              <w:b/>
              <w:noProof/>
            </w:rPr>
          </w:pPr>
          <w:hyperlink w:anchor="_Toc82516506" w:history="1">
            <w:r w:rsidR="00182EB7" w:rsidRPr="00182EB7">
              <w:rPr>
                <w:rStyle w:val="Hipervnculo"/>
                <w:rFonts w:ascii="Palatino Linotype" w:hAnsi="Palatino Linotype" w:cs="Arial"/>
                <w:b/>
                <w:noProof/>
              </w:rPr>
              <w:t>II. Supuestos de clasificación.</w:t>
            </w:r>
            <w:r w:rsidR="00182EB7" w:rsidRPr="00182EB7">
              <w:rPr>
                <w:rFonts w:ascii="Palatino Linotype" w:hAnsi="Palatino Linotype"/>
                <w:b/>
                <w:noProof/>
                <w:webHidden/>
              </w:rPr>
              <w:tab/>
            </w:r>
            <w:r w:rsidR="00182EB7" w:rsidRPr="00182EB7">
              <w:rPr>
                <w:rFonts w:ascii="Palatino Linotype" w:hAnsi="Palatino Linotype"/>
                <w:b/>
                <w:noProof/>
                <w:webHidden/>
              </w:rPr>
              <w:fldChar w:fldCharType="begin"/>
            </w:r>
            <w:r w:rsidR="00182EB7" w:rsidRPr="00182EB7">
              <w:rPr>
                <w:rFonts w:ascii="Palatino Linotype" w:hAnsi="Palatino Linotype"/>
                <w:b/>
                <w:noProof/>
                <w:webHidden/>
              </w:rPr>
              <w:instrText xml:space="preserve"> PAGEREF _Toc82516506 \h </w:instrText>
            </w:r>
            <w:r w:rsidR="00182EB7" w:rsidRPr="00182EB7">
              <w:rPr>
                <w:rFonts w:ascii="Palatino Linotype" w:hAnsi="Palatino Linotype"/>
                <w:b/>
                <w:noProof/>
                <w:webHidden/>
              </w:rPr>
            </w:r>
            <w:r w:rsidR="00182EB7" w:rsidRPr="00182EB7">
              <w:rPr>
                <w:rFonts w:ascii="Palatino Linotype" w:hAnsi="Palatino Linotype"/>
                <w:b/>
                <w:noProof/>
                <w:webHidden/>
              </w:rPr>
              <w:fldChar w:fldCharType="separate"/>
            </w:r>
            <w:r w:rsidR="00182EB7" w:rsidRPr="00182EB7">
              <w:rPr>
                <w:rFonts w:ascii="Palatino Linotype" w:hAnsi="Palatino Linotype"/>
                <w:b/>
                <w:noProof/>
                <w:webHidden/>
              </w:rPr>
              <w:t>32</w:t>
            </w:r>
            <w:r w:rsidR="00182EB7" w:rsidRPr="00182EB7">
              <w:rPr>
                <w:rFonts w:ascii="Palatino Linotype" w:hAnsi="Palatino Linotype"/>
                <w:b/>
                <w:noProof/>
                <w:webHidden/>
              </w:rPr>
              <w:fldChar w:fldCharType="end"/>
            </w:r>
          </w:hyperlink>
        </w:p>
        <w:p w:rsidR="00182EB7" w:rsidRPr="00182EB7" w:rsidRDefault="00286DEF" w:rsidP="00182EB7">
          <w:pPr>
            <w:pStyle w:val="TDC3"/>
            <w:tabs>
              <w:tab w:val="right" w:leader="dot" w:pos="9034"/>
            </w:tabs>
            <w:spacing w:line="360" w:lineRule="auto"/>
            <w:rPr>
              <w:rFonts w:ascii="Palatino Linotype" w:hAnsi="Palatino Linotype"/>
              <w:b/>
              <w:noProof/>
            </w:rPr>
          </w:pPr>
          <w:hyperlink w:anchor="_Toc82516507" w:history="1">
            <w:r w:rsidR="00182EB7" w:rsidRPr="00182EB7">
              <w:rPr>
                <w:rStyle w:val="Hipervnculo"/>
                <w:rFonts w:ascii="Palatino Linotype" w:hAnsi="Palatino Linotype" w:cs="Arial"/>
                <w:b/>
                <w:noProof/>
              </w:rPr>
              <w:t>III. La intervención del Comité de Transparencia.</w:t>
            </w:r>
            <w:r w:rsidR="00182EB7" w:rsidRPr="00182EB7">
              <w:rPr>
                <w:rFonts w:ascii="Palatino Linotype" w:hAnsi="Palatino Linotype"/>
                <w:b/>
                <w:noProof/>
                <w:webHidden/>
              </w:rPr>
              <w:tab/>
            </w:r>
            <w:r w:rsidR="00182EB7" w:rsidRPr="00182EB7">
              <w:rPr>
                <w:rFonts w:ascii="Palatino Linotype" w:hAnsi="Palatino Linotype"/>
                <w:b/>
                <w:noProof/>
                <w:webHidden/>
              </w:rPr>
              <w:fldChar w:fldCharType="begin"/>
            </w:r>
            <w:r w:rsidR="00182EB7" w:rsidRPr="00182EB7">
              <w:rPr>
                <w:rFonts w:ascii="Palatino Linotype" w:hAnsi="Palatino Linotype"/>
                <w:b/>
                <w:noProof/>
                <w:webHidden/>
              </w:rPr>
              <w:instrText xml:space="preserve"> PAGEREF _Toc82516507 \h </w:instrText>
            </w:r>
            <w:r w:rsidR="00182EB7" w:rsidRPr="00182EB7">
              <w:rPr>
                <w:rFonts w:ascii="Palatino Linotype" w:hAnsi="Palatino Linotype"/>
                <w:b/>
                <w:noProof/>
                <w:webHidden/>
              </w:rPr>
            </w:r>
            <w:r w:rsidR="00182EB7" w:rsidRPr="00182EB7">
              <w:rPr>
                <w:rFonts w:ascii="Palatino Linotype" w:hAnsi="Palatino Linotype"/>
                <w:b/>
                <w:noProof/>
                <w:webHidden/>
              </w:rPr>
              <w:fldChar w:fldCharType="separate"/>
            </w:r>
            <w:r w:rsidR="00182EB7" w:rsidRPr="00182EB7">
              <w:rPr>
                <w:rFonts w:ascii="Palatino Linotype" w:hAnsi="Palatino Linotype"/>
                <w:b/>
                <w:noProof/>
                <w:webHidden/>
              </w:rPr>
              <w:t>37</w:t>
            </w:r>
            <w:r w:rsidR="00182EB7" w:rsidRPr="00182EB7">
              <w:rPr>
                <w:rFonts w:ascii="Palatino Linotype" w:hAnsi="Palatino Linotype"/>
                <w:b/>
                <w:noProof/>
                <w:webHidden/>
              </w:rPr>
              <w:fldChar w:fldCharType="end"/>
            </w:r>
          </w:hyperlink>
        </w:p>
        <w:p w:rsidR="00182EB7" w:rsidRPr="00182EB7" w:rsidRDefault="00286DEF" w:rsidP="00182EB7">
          <w:pPr>
            <w:pStyle w:val="TDC1"/>
            <w:tabs>
              <w:tab w:val="right" w:leader="dot" w:pos="9034"/>
            </w:tabs>
            <w:spacing w:line="360" w:lineRule="auto"/>
            <w:rPr>
              <w:rFonts w:ascii="Palatino Linotype" w:eastAsiaTheme="minorEastAsia" w:hAnsi="Palatino Linotype"/>
              <w:b/>
              <w:noProof/>
              <w:sz w:val="24"/>
              <w:szCs w:val="24"/>
              <w:lang w:val="es-ES" w:eastAsia="es-ES"/>
            </w:rPr>
          </w:pPr>
          <w:hyperlink w:anchor="_Toc82516508" w:history="1">
            <w:r w:rsidR="00182EB7" w:rsidRPr="00182EB7">
              <w:rPr>
                <w:rStyle w:val="Hipervnculo"/>
                <w:rFonts w:ascii="Palatino Linotype" w:eastAsiaTheme="majorEastAsia" w:hAnsi="Palatino Linotype" w:cstheme="majorBidi"/>
                <w:b/>
                <w:noProof/>
                <w:sz w:val="24"/>
                <w:szCs w:val="24"/>
              </w:rPr>
              <w:t>R E S O L U T I V O S</w:t>
            </w:r>
            <w:r w:rsidR="00182EB7" w:rsidRPr="00182EB7">
              <w:rPr>
                <w:rFonts w:ascii="Palatino Linotype" w:hAnsi="Palatino Linotype"/>
                <w:b/>
                <w:noProof/>
                <w:webHidden/>
                <w:sz w:val="24"/>
                <w:szCs w:val="24"/>
              </w:rPr>
              <w:tab/>
            </w:r>
            <w:r w:rsidR="00182EB7" w:rsidRPr="00182EB7">
              <w:rPr>
                <w:rFonts w:ascii="Palatino Linotype" w:hAnsi="Palatino Linotype"/>
                <w:b/>
                <w:noProof/>
                <w:webHidden/>
                <w:sz w:val="24"/>
                <w:szCs w:val="24"/>
              </w:rPr>
              <w:fldChar w:fldCharType="begin"/>
            </w:r>
            <w:r w:rsidR="00182EB7" w:rsidRPr="00182EB7">
              <w:rPr>
                <w:rFonts w:ascii="Palatino Linotype" w:hAnsi="Palatino Linotype"/>
                <w:b/>
                <w:noProof/>
                <w:webHidden/>
                <w:sz w:val="24"/>
                <w:szCs w:val="24"/>
              </w:rPr>
              <w:instrText xml:space="preserve"> PAGEREF _Toc82516508 \h </w:instrText>
            </w:r>
            <w:r w:rsidR="00182EB7" w:rsidRPr="00182EB7">
              <w:rPr>
                <w:rFonts w:ascii="Palatino Linotype" w:hAnsi="Palatino Linotype"/>
                <w:b/>
                <w:noProof/>
                <w:webHidden/>
                <w:sz w:val="24"/>
                <w:szCs w:val="24"/>
              </w:rPr>
            </w:r>
            <w:r w:rsidR="00182EB7" w:rsidRPr="00182EB7">
              <w:rPr>
                <w:rFonts w:ascii="Palatino Linotype" w:hAnsi="Palatino Linotype"/>
                <w:b/>
                <w:noProof/>
                <w:webHidden/>
                <w:sz w:val="24"/>
                <w:szCs w:val="24"/>
              </w:rPr>
              <w:fldChar w:fldCharType="separate"/>
            </w:r>
            <w:r w:rsidR="00182EB7" w:rsidRPr="00182EB7">
              <w:rPr>
                <w:rFonts w:ascii="Palatino Linotype" w:hAnsi="Palatino Linotype"/>
                <w:b/>
                <w:noProof/>
                <w:webHidden/>
                <w:sz w:val="24"/>
                <w:szCs w:val="24"/>
              </w:rPr>
              <w:t>42</w:t>
            </w:r>
            <w:r w:rsidR="00182EB7" w:rsidRPr="00182EB7">
              <w:rPr>
                <w:rFonts w:ascii="Palatino Linotype" w:hAnsi="Palatino Linotype"/>
                <w:b/>
                <w:noProof/>
                <w:webHidden/>
                <w:sz w:val="24"/>
                <w:szCs w:val="24"/>
              </w:rPr>
              <w:fldChar w:fldCharType="end"/>
            </w:r>
          </w:hyperlink>
        </w:p>
        <w:p w:rsidR="00C0507E" w:rsidRPr="001431BD" w:rsidRDefault="00C0507E" w:rsidP="00C0507E">
          <w:pPr>
            <w:spacing w:line="360" w:lineRule="auto"/>
            <w:rPr>
              <w:rFonts w:ascii="Palatino Linotype" w:eastAsiaTheme="minorEastAsia" w:hAnsi="Palatino Linotype"/>
              <w:lang w:val="es-ES_tradnl" w:eastAsia="es-ES"/>
            </w:rPr>
          </w:pPr>
          <w:r w:rsidRPr="001431BD">
            <w:rPr>
              <w:rFonts w:ascii="Palatino Linotype" w:eastAsiaTheme="minorEastAsia" w:hAnsi="Palatino Linotype"/>
              <w:b/>
              <w:bCs/>
              <w:lang w:val="es-ES" w:eastAsia="es-ES"/>
            </w:rPr>
            <w:fldChar w:fldCharType="end"/>
          </w:r>
        </w:p>
      </w:sdtContent>
    </w:sdt>
    <w:p w:rsidR="00C0507E" w:rsidRPr="001431BD" w:rsidRDefault="00C0507E" w:rsidP="00C0507E">
      <w:pPr>
        <w:spacing w:line="360" w:lineRule="auto"/>
        <w:jc w:val="both"/>
        <w:rPr>
          <w:rFonts w:ascii="Palatino Linotype" w:eastAsiaTheme="minorEastAsia" w:hAnsi="Palatino Linotype"/>
          <w:lang w:val="es-ES_tradnl" w:eastAsia="es-ES"/>
        </w:rPr>
      </w:pPr>
    </w:p>
    <w:p w:rsidR="00C0507E" w:rsidRPr="001431BD" w:rsidRDefault="00C0507E" w:rsidP="00C0507E">
      <w:pPr>
        <w:spacing w:line="360" w:lineRule="auto"/>
        <w:jc w:val="both"/>
        <w:rPr>
          <w:rFonts w:ascii="Palatino Linotype" w:eastAsiaTheme="minorEastAsia" w:hAnsi="Palatino Linotype"/>
          <w:lang w:val="es-ES_tradnl" w:eastAsia="es-ES"/>
        </w:rPr>
      </w:pPr>
    </w:p>
    <w:p w:rsidR="00C0507E" w:rsidRPr="001431BD" w:rsidRDefault="00C0507E" w:rsidP="00C0507E">
      <w:pPr>
        <w:spacing w:line="360" w:lineRule="auto"/>
        <w:jc w:val="both"/>
        <w:rPr>
          <w:rFonts w:ascii="Palatino Linotype" w:eastAsiaTheme="minorEastAsia" w:hAnsi="Palatino Linotype"/>
          <w:lang w:val="es-ES_tradnl" w:eastAsia="es-ES"/>
        </w:rPr>
      </w:pPr>
      <w:r w:rsidRPr="001431BD">
        <w:rPr>
          <w:rFonts w:ascii="Palatino Linotype" w:eastAsiaTheme="minorEastAsia" w:hAnsi="Palatino Linotype"/>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de fecha </w:t>
      </w:r>
      <w:r w:rsidR="007724AE">
        <w:rPr>
          <w:rFonts w:ascii="Palatino Linotype" w:eastAsiaTheme="minorEastAsia" w:hAnsi="Palatino Linotype"/>
          <w:lang w:val="es-ES_tradnl" w:eastAsia="es-ES"/>
        </w:rPr>
        <w:t>veintidós (22) de septiembre</w:t>
      </w:r>
      <w:r w:rsidRPr="001431BD">
        <w:rPr>
          <w:rFonts w:ascii="Palatino Linotype" w:eastAsiaTheme="minorEastAsia" w:hAnsi="Palatino Linotype"/>
          <w:lang w:val="es-ES_tradnl" w:eastAsia="es-ES"/>
        </w:rPr>
        <w:t xml:space="preserve">  de dos mil veintiuno.</w:t>
      </w:r>
    </w:p>
    <w:p w:rsidR="00C0507E" w:rsidRPr="001431BD" w:rsidRDefault="00C0507E" w:rsidP="00C0507E">
      <w:pPr>
        <w:spacing w:line="360" w:lineRule="auto"/>
        <w:jc w:val="both"/>
        <w:rPr>
          <w:rFonts w:ascii="Palatino Linotype" w:eastAsiaTheme="minorEastAsia" w:hAnsi="Palatino Linotype"/>
          <w:lang w:val="es-ES_tradnl" w:eastAsia="es-ES"/>
        </w:rPr>
      </w:pPr>
    </w:p>
    <w:p w:rsidR="00C0507E" w:rsidRPr="001431BD" w:rsidRDefault="00C0507E" w:rsidP="00C0507E">
      <w:pPr>
        <w:spacing w:line="360" w:lineRule="auto"/>
        <w:jc w:val="both"/>
        <w:rPr>
          <w:rFonts w:ascii="Palatino Linotype" w:hAnsi="Palatino Linotype"/>
        </w:rPr>
      </w:pPr>
      <w:r w:rsidRPr="001431BD">
        <w:rPr>
          <w:rFonts w:ascii="Palatino Linotype" w:hAnsi="Palatino Linotype"/>
          <w:b/>
        </w:rPr>
        <w:t>VISTO</w:t>
      </w:r>
      <w:r w:rsidRPr="001431BD">
        <w:rPr>
          <w:rFonts w:ascii="Palatino Linotype" w:hAnsi="Palatino Linotype"/>
        </w:rPr>
        <w:t xml:space="preserve"> el expediente electrónico formado con motivo del recurso de revisión </w:t>
      </w:r>
      <w:r>
        <w:rPr>
          <w:rFonts w:ascii="Palatino Linotype" w:hAnsi="Palatino Linotype"/>
          <w:b/>
        </w:rPr>
        <w:t>03648</w:t>
      </w:r>
      <w:r w:rsidRPr="001431BD">
        <w:rPr>
          <w:rFonts w:ascii="Palatino Linotype" w:hAnsi="Palatino Linotype"/>
          <w:b/>
        </w:rPr>
        <w:t>/INFOEM/IP/RR/2021,</w:t>
      </w:r>
      <w:r w:rsidRPr="001431BD">
        <w:rPr>
          <w:rFonts w:ascii="Palatino Linotype" w:hAnsi="Palatino Linotype" w:cs="Arial"/>
          <w:b/>
          <w:bCs/>
        </w:rPr>
        <w:t xml:space="preserve"> </w:t>
      </w:r>
      <w:r w:rsidRPr="001431BD">
        <w:rPr>
          <w:rFonts w:ascii="Palatino Linotype" w:eastAsiaTheme="minorEastAsia" w:hAnsi="Palatino Linotype"/>
          <w:lang w:val="es-ES_tradnl" w:eastAsia="es-ES"/>
        </w:rPr>
        <w:t xml:space="preserve">promovido </w:t>
      </w:r>
      <w:r w:rsidR="000369DF">
        <w:rPr>
          <w:rFonts w:ascii="Palatino Linotype" w:eastAsiaTheme="minorEastAsia" w:hAnsi="Palatino Linotype"/>
          <w:b/>
          <w:lang w:val="es-ES_tradnl" w:eastAsia="es-ES"/>
        </w:rPr>
        <w:t>XXXXXXXXXXXXXXXXXXX</w:t>
      </w:r>
      <w:r w:rsidRPr="001431BD">
        <w:rPr>
          <w:rFonts w:ascii="Palatino Linotype" w:hAnsi="Palatino Linotype"/>
        </w:rPr>
        <w:t xml:space="preserve">, quien en lo sucesivo se identificará como </w:t>
      </w:r>
      <w:r w:rsidRPr="001431BD">
        <w:rPr>
          <w:rFonts w:ascii="Palatino Linotype" w:hAnsi="Palatino Linotype"/>
          <w:b/>
        </w:rPr>
        <w:t xml:space="preserve">EL </w:t>
      </w:r>
      <w:r w:rsidRPr="001431BD">
        <w:rPr>
          <w:rFonts w:ascii="Palatino Linotype" w:hAnsi="Palatino Linotype" w:cs="Arial"/>
          <w:b/>
        </w:rPr>
        <w:t>RECURRENTE</w:t>
      </w:r>
      <w:r w:rsidRPr="001431BD">
        <w:rPr>
          <w:rFonts w:ascii="Palatino Linotype" w:hAnsi="Palatino Linotype" w:cs="Arial"/>
        </w:rPr>
        <w:t>, en contra de la respuesta de</w:t>
      </w:r>
      <w:r>
        <w:rPr>
          <w:rFonts w:ascii="Palatino Linotype" w:hAnsi="Palatino Linotype" w:cs="Arial"/>
        </w:rPr>
        <w:t xml:space="preserve"> </w:t>
      </w:r>
      <w:r w:rsidRPr="001431BD">
        <w:rPr>
          <w:rFonts w:ascii="Palatino Linotype" w:hAnsi="Palatino Linotype" w:cs="Arial"/>
        </w:rPr>
        <w:t>l</w:t>
      </w:r>
      <w:r>
        <w:rPr>
          <w:rFonts w:ascii="Palatino Linotype" w:hAnsi="Palatino Linotype" w:cs="Arial"/>
        </w:rPr>
        <w:t>a</w:t>
      </w:r>
      <w:r w:rsidRPr="001431BD">
        <w:rPr>
          <w:rFonts w:ascii="Palatino Linotype" w:hAnsi="Palatino Linotype" w:cs="Arial"/>
        </w:rPr>
        <w:t xml:space="preserve"> </w:t>
      </w:r>
      <w:r>
        <w:rPr>
          <w:rFonts w:ascii="Palatino Linotype" w:hAnsi="Palatino Linotype" w:cs="Arial"/>
          <w:b/>
        </w:rPr>
        <w:t>Secretaría de Finanzas</w:t>
      </w:r>
      <w:r w:rsidRPr="001431BD">
        <w:rPr>
          <w:rFonts w:ascii="Palatino Linotype" w:hAnsi="Palatino Linotype" w:cs="Arial"/>
          <w:b/>
        </w:rPr>
        <w:t>,</w:t>
      </w:r>
      <w:r w:rsidRPr="001431BD">
        <w:rPr>
          <w:rFonts w:ascii="Palatino Linotype" w:hAnsi="Palatino Linotype"/>
          <w:b/>
        </w:rPr>
        <w:t xml:space="preserve"> </w:t>
      </w:r>
      <w:r w:rsidRPr="001431BD">
        <w:rPr>
          <w:rFonts w:ascii="Palatino Linotype" w:hAnsi="Palatino Linotype"/>
        </w:rPr>
        <w:t>en lo sucesivo el</w:t>
      </w:r>
      <w:r w:rsidRPr="001431BD">
        <w:rPr>
          <w:rFonts w:ascii="Palatino Linotype" w:hAnsi="Palatino Linotype"/>
          <w:b/>
        </w:rPr>
        <w:t xml:space="preserve"> SUJETO OBLIGADO</w:t>
      </w:r>
      <w:r w:rsidRPr="001431BD">
        <w:rPr>
          <w:rFonts w:ascii="Palatino Linotype" w:hAnsi="Palatino Linotype"/>
        </w:rPr>
        <w:t>, por lo que se procede a dictar la presente resolución, con base en los siguientes:</w:t>
      </w:r>
    </w:p>
    <w:p w:rsidR="00C0507E" w:rsidRPr="001431BD" w:rsidRDefault="00C0507E" w:rsidP="00C0507E">
      <w:pPr>
        <w:spacing w:line="360" w:lineRule="auto"/>
        <w:jc w:val="both"/>
        <w:rPr>
          <w:rFonts w:ascii="Palatino Linotype" w:hAnsi="Palatino Linotype"/>
          <w:b/>
        </w:rPr>
      </w:pPr>
    </w:p>
    <w:p w:rsidR="00C0507E" w:rsidRPr="001431BD" w:rsidRDefault="00C0507E" w:rsidP="00C0507E">
      <w:pPr>
        <w:keepNext/>
        <w:keepLines/>
        <w:spacing w:line="360" w:lineRule="auto"/>
        <w:jc w:val="center"/>
        <w:outlineLvl w:val="0"/>
        <w:rPr>
          <w:rFonts w:ascii="Palatino Linotype" w:eastAsiaTheme="majorEastAsia" w:hAnsi="Palatino Linotype" w:cstheme="majorBidi"/>
          <w:b/>
          <w:szCs w:val="32"/>
        </w:rPr>
      </w:pPr>
      <w:bookmarkStart w:id="0" w:name="_Toc82516494"/>
      <w:r w:rsidRPr="001431BD">
        <w:rPr>
          <w:rFonts w:ascii="Palatino Linotype" w:eastAsiaTheme="majorEastAsia" w:hAnsi="Palatino Linotype" w:cstheme="majorBidi"/>
          <w:b/>
          <w:szCs w:val="32"/>
        </w:rPr>
        <w:t>ANTECEDENTES</w:t>
      </w:r>
      <w:bookmarkEnd w:id="0"/>
    </w:p>
    <w:p w:rsidR="00C0507E" w:rsidRPr="001431BD" w:rsidRDefault="00C0507E" w:rsidP="00C0507E">
      <w:pPr>
        <w:spacing w:line="360" w:lineRule="auto"/>
        <w:rPr>
          <w:rFonts w:ascii="Palatino Linotype" w:eastAsiaTheme="minorEastAsia" w:hAnsi="Palatino Linotype"/>
        </w:rPr>
      </w:pPr>
    </w:p>
    <w:p w:rsidR="00C0507E" w:rsidRPr="001431BD" w:rsidRDefault="00C0507E" w:rsidP="00C0507E">
      <w:pPr>
        <w:numPr>
          <w:ilvl w:val="0"/>
          <w:numId w:val="1"/>
        </w:numPr>
        <w:spacing w:line="360" w:lineRule="auto"/>
        <w:ind w:left="0" w:firstLine="0"/>
        <w:contextualSpacing/>
        <w:jc w:val="both"/>
        <w:rPr>
          <w:rFonts w:ascii="Palatino Linotype" w:hAnsi="Palatino Linotype" w:cs="Arial"/>
          <w:lang w:val="es-ES" w:eastAsia="es-ES"/>
        </w:rPr>
      </w:pPr>
      <w:r w:rsidRPr="001431BD">
        <w:rPr>
          <w:rFonts w:ascii="Palatino Linotype" w:eastAsia="Calibri" w:hAnsi="Palatino Linotype" w:cs="Arial"/>
          <w:lang w:val="es-ES" w:eastAsia="es-ES"/>
        </w:rPr>
        <w:t xml:space="preserve">El día </w:t>
      </w:r>
      <w:r w:rsidR="002F4A0D">
        <w:rPr>
          <w:rFonts w:ascii="Palatino Linotype" w:eastAsia="Calibri" w:hAnsi="Palatino Linotype" w:cs="Arial"/>
          <w:lang w:val="es-ES" w:eastAsia="es-ES"/>
        </w:rPr>
        <w:t>catorce (14) de junio</w:t>
      </w:r>
      <w:r w:rsidRPr="001431BD">
        <w:rPr>
          <w:rFonts w:ascii="Palatino Linotype" w:eastAsia="Calibri" w:hAnsi="Palatino Linotype" w:cs="Arial"/>
          <w:lang w:val="es-ES" w:eastAsia="es-ES"/>
        </w:rPr>
        <w:t xml:space="preserve">  de dos mil veintiuno,</w:t>
      </w:r>
      <w:r w:rsidRPr="001431BD">
        <w:rPr>
          <w:rFonts w:ascii="Palatino Linotype" w:eastAsia="Calibri" w:hAnsi="Palatino Linotype"/>
          <w:lang w:val="es-ES" w:eastAsia="es-ES"/>
        </w:rPr>
        <w:t xml:space="preserve"> </w:t>
      </w:r>
      <w:r w:rsidRPr="001431BD">
        <w:rPr>
          <w:rFonts w:ascii="Palatino Linotype" w:eastAsia="Calibri" w:hAnsi="Palatino Linotype"/>
          <w:b/>
          <w:lang w:val="es-ES" w:eastAsia="es-ES"/>
        </w:rPr>
        <w:t>EL RECURRENTE</w:t>
      </w:r>
      <w:r w:rsidRPr="001431BD">
        <w:rPr>
          <w:rFonts w:ascii="Palatino Linotype" w:eastAsiaTheme="minorEastAsia" w:hAnsi="Palatino Linotype"/>
          <w:b/>
          <w:lang w:val="es-ES_tradnl" w:eastAsia="es-ES"/>
        </w:rPr>
        <w:t>,</w:t>
      </w:r>
      <w:r w:rsidRPr="001431BD">
        <w:rPr>
          <w:rFonts w:ascii="Palatino Linotype" w:eastAsia="Calibri" w:hAnsi="Palatino Linotype" w:cs="Arial"/>
          <w:lang w:val="es-ES" w:eastAsia="es-ES"/>
        </w:rPr>
        <w:t xml:space="preserve"> ante el </w:t>
      </w:r>
      <w:r w:rsidRPr="001431BD">
        <w:rPr>
          <w:rFonts w:ascii="Palatino Linotype" w:eastAsia="Calibri" w:hAnsi="Palatino Linotype" w:cs="Arial"/>
          <w:b/>
          <w:lang w:val="es-ES" w:eastAsia="es-ES"/>
        </w:rPr>
        <w:t>SUJETO OBLIGADO</w:t>
      </w:r>
      <w:r w:rsidRPr="001431BD">
        <w:rPr>
          <w:rFonts w:ascii="Palatino Linotype" w:eastAsia="Calibri" w:hAnsi="Palatino Linotype" w:cs="Arial"/>
          <w:lang w:val="es-ES_tradnl" w:eastAsia="es-ES"/>
        </w:rPr>
        <w:t xml:space="preserve"> vía </w:t>
      </w:r>
      <w:r w:rsidRPr="001431BD">
        <w:rPr>
          <w:rFonts w:ascii="Palatino Linotype" w:eastAsia="Calibri" w:hAnsi="Palatino Linotype" w:cs="Arial"/>
          <w:lang w:val="es-ES" w:eastAsia="es-ES"/>
        </w:rPr>
        <w:t>Sistema de Acceso a la Información Mexiquense (</w:t>
      </w:r>
      <w:r w:rsidRPr="001431BD">
        <w:rPr>
          <w:rFonts w:ascii="Palatino Linotype" w:eastAsia="Calibri" w:hAnsi="Palatino Linotype" w:cs="Arial"/>
          <w:b/>
          <w:lang w:val="es-ES" w:eastAsia="es-ES"/>
        </w:rPr>
        <w:t>SAIMEX)</w:t>
      </w:r>
      <w:r w:rsidRPr="001431BD">
        <w:rPr>
          <w:rFonts w:ascii="Palatino Linotype" w:eastAsia="Calibri" w:hAnsi="Palatino Linotype" w:cs="Arial"/>
          <w:lang w:val="es-ES" w:eastAsia="es-ES"/>
        </w:rPr>
        <w:t xml:space="preserve">, presentó una solicitud de información registrada con el número </w:t>
      </w:r>
      <w:r w:rsidR="002F4A0D" w:rsidRPr="002F4A0D">
        <w:rPr>
          <w:rFonts w:ascii="Palatino Linotype" w:hAnsi="Palatino Linotype"/>
          <w:b/>
          <w:bCs/>
        </w:rPr>
        <w:t>00258/SF/IP/2021</w:t>
      </w:r>
      <w:r w:rsidRPr="001431BD">
        <w:rPr>
          <w:rFonts w:ascii="Palatino Linotype" w:eastAsiaTheme="minorEastAsia" w:hAnsi="Palatino Linotype"/>
          <w:b/>
          <w:lang w:val="es-ES_tradnl" w:eastAsia="es-ES"/>
        </w:rPr>
        <w:t xml:space="preserve">, </w:t>
      </w:r>
      <w:r w:rsidRPr="001431BD">
        <w:rPr>
          <w:rFonts w:ascii="Palatino Linotype" w:eastAsia="Calibri" w:hAnsi="Palatino Linotype" w:cs="Arial"/>
          <w:lang w:val="es-ES" w:eastAsia="es-ES"/>
        </w:rPr>
        <w:t>mediante la cual solicitó lo siguiente:</w:t>
      </w:r>
    </w:p>
    <w:p w:rsidR="00C0507E" w:rsidRPr="001431BD" w:rsidRDefault="00C0507E" w:rsidP="00C0507E">
      <w:pPr>
        <w:spacing w:line="360" w:lineRule="auto"/>
        <w:contextualSpacing/>
        <w:jc w:val="both"/>
        <w:rPr>
          <w:rFonts w:ascii="Palatino Linotype" w:hAnsi="Palatino Linotype" w:cs="Arial"/>
          <w:lang w:val="es-ES" w:eastAsia="es-ES"/>
        </w:rPr>
      </w:pPr>
    </w:p>
    <w:p w:rsidR="00C0507E" w:rsidRPr="001431BD" w:rsidRDefault="00C0507E" w:rsidP="00C0507E">
      <w:pPr>
        <w:pStyle w:val="Prrafodelista"/>
        <w:spacing w:line="360" w:lineRule="auto"/>
        <w:ind w:left="1069" w:right="567"/>
        <w:jc w:val="both"/>
        <w:rPr>
          <w:rFonts w:ascii="Palatino Linotype" w:hAnsi="Palatino Linotype"/>
          <w:i/>
          <w:color w:val="000000"/>
        </w:rPr>
      </w:pPr>
      <w:r w:rsidRPr="001431BD">
        <w:rPr>
          <w:rFonts w:ascii="Palatino Linotype" w:hAnsi="Palatino Linotype"/>
          <w:i/>
          <w:color w:val="000000"/>
        </w:rPr>
        <w:t xml:space="preserve"> “</w:t>
      </w:r>
      <w:r w:rsidR="002F4A0D" w:rsidRPr="002F4A0D">
        <w:rPr>
          <w:rFonts w:ascii="Palatino Linotype" w:hAnsi="Palatino Linotype"/>
          <w:i/>
          <w:color w:val="000000"/>
        </w:rPr>
        <w:t>De la manera más atenta, solicito la información relacionada a la asignación y liberación de los recursos denominados FORTAMUN y FEFOM, de los 125 municipios del Estado de Mexico, de los años 2019 y 2020. En caso de que exista una diferencia de lo asignado a lo liberado, en las dos participaciones, conocer el motivo por el cual no se realizó al cien por ciento la liberación.</w:t>
      </w:r>
      <w:r w:rsidRPr="001431BD">
        <w:rPr>
          <w:rFonts w:ascii="Palatino Linotype" w:hAnsi="Palatino Linotype"/>
          <w:i/>
          <w:color w:val="000000"/>
        </w:rPr>
        <w:t xml:space="preserve">” (Sic) </w:t>
      </w:r>
    </w:p>
    <w:p w:rsidR="00C0507E" w:rsidRPr="001431BD" w:rsidRDefault="00C0507E" w:rsidP="00C0507E">
      <w:pPr>
        <w:pStyle w:val="Prrafodelista"/>
        <w:spacing w:line="360" w:lineRule="auto"/>
        <w:ind w:left="1069" w:right="567"/>
        <w:jc w:val="both"/>
        <w:rPr>
          <w:rFonts w:ascii="Palatino Linotype" w:eastAsia="Calibri" w:hAnsi="Palatino Linotype" w:cs="Arial"/>
          <w:i/>
          <w:lang w:val="es-ES" w:eastAsia="es-ES"/>
        </w:rPr>
      </w:pPr>
    </w:p>
    <w:p w:rsidR="00C0507E" w:rsidRPr="002F4A0D" w:rsidRDefault="002F4A0D" w:rsidP="002F4A0D">
      <w:pPr>
        <w:numPr>
          <w:ilvl w:val="0"/>
          <w:numId w:val="1"/>
        </w:numPr>
        <w:spacing w:line="360" w:lineRule="auto"/>
        <w:ind w:left="0" w:firstLine="0"/>
        <w:contextualSpacing/>
        <w:jc w:val="both"/>
        <w:rPr>
          <w:rFonts w:ascii="Palatino Linotype" w:eastAsia="Calibri" w:hAnsi="Palatino Linotype"/>
          <w:lang w:val="es-ES" w:eastAsia="es-ES"/>
        </w:rPr>
      </w:pPr>
      <w:r>
        <w:rPr>
          <w:rFonts w:ascii="Palatino Linotype" w:eastAsia="Calibri" w:hAnsi="Palatino Linotype"/>
          <w:lang w:val="es-ES" w:eastAsia="es-ES"/>
        </w:rPr>
        <w:lastRenderedPageBreak/>
        <w:t>El cinco (05) de julio de dos mil veintiuno, se realizó un requerimiento al servidor público habilitado, al cual se le dio respuesta en la misma fecha:</w:t>
      </w:r>
    </w:p>
    <w:p w:rsidR="00C0507E" w:rsidRPr="001431BD" w:rsidRDefault="00C0507E" w:rsidP="00C0507E">
      <w:pPr>
        <w:spacing w:line="360" w:lineRule="auto"/>
        <w:contextualSpacing/>
        <w:jc w:val="both"/>
        <w:rPr>
          <w:noProof/>
          <w:lang w:val="es-ES" w:eastAsia="es-ES"/>
        </w:rPr>
      </w:pPr>
    </w:p>
    <w:p w:rsidR="00C0507E" w:rsidRDefault="002F4A0D" w:rsidP="00C0507E">
      <w:pPr>
        <w:spacing w:line="360" w:lineRule="auto"/>
        <w:contextualSpacing/>
        <w:jc w:val="center"/>
        <w:rPr>
          <w:rFonts w:ascii="Palatino Linotype" w:eastAsia="Calibri" w:hAnsi="Palatino Linotype"/>
          <w:lang w:val="es-ES" w:eastAsia="es-ES"/>
        </w:rPr>
      </w:pPr>
      <w:r>
        <w:rPr>
          <w:noProof/>
        </w:rPr>
        <w:drawing>
          <wp:inline distT="0" distB="0" distL="0" distR="0" wp14:anchorId="4F8809C5" wp14:editId="6660D2E7">
            <wp:extent cx="5203825" cy="115252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718" t="20346" r="23043" b="65795"/>
                    <a:stretch/>
                  </pic:blipFill>
                  <pic:spPr bwMode="auto">
                    <a:xfrm>
                      <a:off x="0" y="0"/>
                      <a:ext cx="5217556" cy="1155566"/>
                    </a:xfrm>
                    <a:prstGeom prst="rect">
                      <a:avLst/>
                    </a:prstGeom>
                    <a:ln>
                      <a:noFill/>
                    </a:ln>
                    <a:extLst>
                      <a:ext uri="{53640926-AAD7-44D8-BBD7-CCE9431645EC}">
                        <a14:shadowObscured xmlns:a14="http://schemas.microsoft.com/office/drawing/2010/main"/>
                      </a:ext>
                    </a:extLst>
                  </pic:spPr>
                </pic:pic>
              </a:graphicData>
            </a:graphic>
          </wp:inline>
        </w:drawing>
      </w:r>
    </w:p>
    <w:p w:rsidR="00C0507E" w:rsidRPr="001431BD" w:rsidRDefault="00C0507E" w:rsidP="00C0507E">
      <w:pPr>
        <w:spacing w:line="360" w:lineRule="auto"/>
        <w:contextualSpacing/>
        <w:jc w:val="both"/>
        <w:rPr>
          <w:rFonts w:ascii="Palatino Linotype" w:eastAsia="Calibri" w:hAnsi="Palatino Linotype"/>
          <w:lang w:val="es-ES" w:eastAsia="es-ES"/>
        </w:rPr>
      </w:pPr>
    </w:p>
    <w:p w:rsidR="00C0507E" w:rsidRPr="001431BD" w:rsidRDefault="00C0507E" w:rsidP="00C0507E">
      <w:pPr>
        <w:numPr>
          <w:ilvl w:val="0"/>
          <w:numId w:val="1"/>
        </w:numPr>
        <w:spacing w:line="360" w:lineRule="auto"/>
        <w:ind w:left="0" w:firstLine="0"/>
        <w:contextualSpacing/>
        <w:jc w:val="both"/>
        <w:rPr>
          <w:rFonts w:ascii="Palatino Linotype" w:eastAsia="Calibri" w:hAnsi="Palatino Linotype"/>
          <w:lang w:val="es-ES" w:eastAsia="es-ES"/>
        </w:rPr>
      </w:pPr>
      <w:r w:rsidRPr="001431BD">
        <w:rPr>
          <w:rFonts w:ascii="Palatino Linotype" w:eastAsiaTheme="minorEastAsia" w:hAnsi="Palatino Linotype"/>
          <w:lang w:val="es-ES_tradnl" w:eastAsia="es-ES"/>
        </w:rPr>
        <w:t xml:space="preserve">El </w:t>
      </w:r>
      <w:r w:rsidR="002F4A0D">
        <w:rPr>
          <w:rFonts w:ascii="Palatino Linotype" w:eastAsiaTheme="minorEastAsia" w:hAnsi="Palatino Linotype"/>
          <w:lang w:val="es-ES_tradnl" w:eastAsia="es-ES"/>
        </w:rPr>
        <w:t xml:space="preserve">cinco (05) de julio </w:t>
      </w:r>
      <w:r w:rsidRPr="001431BD">
        <w:rPr>
          <w:rFonts w:ascii="Palatino Linotype" w:eastAsiaTheme="minorEastAsia" w:hAnsi="Palatino Linotype"/>
          <w:lang w:val="es-ES_tradnl" w:eastAsia="es-ES"/>
        </w:rPr>
        <w:t xml:space="preserve"> de dos mil veintiuno, </w:t>
      </w:r>
      <w:r w:rsidRPr="001431BD">
        <w:rPr>
          <w:rFonts w:ascii="Palatino Linotype" w:eastAsia="Calibri" w:hAnsi="Palatino Linotype"/>
          <w:lang w:val="es-ES" w:eastAsia="es-ES"/>
        </w:rPr>
        <w:t xml:space="preserve">el </w:t>
      </w:r>
      <w:r w:rsidRPr="001431BD">
        <w:rPr>
          <w:rFonts w:ascii="Palatino Linotype" w:eastAsia="Calibri" w:hAnsi="Palatino Linotype" w:cs="Arial"/>
          <w:b/>
          <w:lang w:val="es-AR" w:eastAsia="es-ES"/>
        </w:rPr>
        <w:t>SUJETO OBLIGADO</w:t>
      </w:r>
      <w:r w:rsidRPr="001431BD">
        <w:rPr>
          <w:rFonts w:ascii="Palatino Linotype" w:eastAsia="Calibri" w:hAnsi="Palatino Linotype" w:cs="Arial"/>
          <w:b/>
          <w:i/>
          <w:lang w:val="es-AR" w:eastAsia="es-ES"/>
        </w:rPr>
        <w:t xml:space="preserve"> </w:t>
      </w:r>
      <w:r w:rsidRPr="001431BD">
        <w:rPr>
          <w:rFonts w:ascii="Palatino Linotype" w:hAnsi="Palatino Linotype" w:cs="Arial"/>
          <w:lang w:val="es-ES" w:eastAsia="es-ES"/>
        </w:rPr>
        <w:t>dio respuestas a la solicitud de información en los siguientes términos:</w:t>
      </w:r>
    </w:p>
    <w:p w:rsidR="00C0507E" w:rsidRPr="001431BD" w:rsidRDefault="00C0507E" w:rsidP="00C0507E">
      <w:pPr>
        <w:spacing w:line="360" w:lineRule="auto"/>
        <w:ind w:left="720"/>
        <w:contextualSpacing/>
        <w:rPr>
          <w:rFonts w:ascii="Palatino Linotype" w:hAnsi="Palatino Linotype" w:cs="Arial"/>
          <w:lang w:val="es-ES" w:eastAsia="es-ES"/>
        </w:rPr>
      </w:pPr>
    </w:p>
    <w:tbl>
      <w:tblPr>
        <w:tblW w:w="7075" w:type="dxa"/>
        <w:jc w:val="center"/>
        <w:tblCellSpacing w:w="0" w:type="dxa"/>
        <w:tblCellMar>
          <w:left w:w="0" w:type="dxa"/>
          <w:right w:w="0" w:type="dxa"/>
        </w:tblCellMar>
        <w:tblLook w:val="04A0" w:firstRow="1" w:lastRow="0" w:firstColumn="1" w:lastColumn="0" w:noHBand="0" w:noVBand="1"/>
      </w:tblPr>
      <w:tblGrid>
        <w:gridCol w:w="7075"/>
      </w:tblGrid>
      <w:tr w:rsidR="002F4A0D" w:rsidRPr="002F4A0D" w:rsidTr="002F4A0D">
        <w:trPr>
          <w:trHeight w:val="343"/>
          <w:tblCellSpacing w:w="0" w:type="dxa"/>
          <w:jc w:val="center"/>
        </w:trPr>
        <w:tc>
          <w:tcPr>
            <w:tcW w:w="0" w:type="auto"/>
            <w:vAlign w:val="center"/>
            <w:hideMark/>
          </w:tcPr>
          <w:p w:rsidR="002F4A0D" w:rsidRPr="002F4A0D" w:rsidRDefault="002F4A0D" w:rsidP="002F4A0D">
            <w:pPr>
              <w:jc w:val="right"/>
              <w:rPr>
                <w:rFonts w:ascii="Palatino Linotype" w:hAnsi="Palatino Linotype"/>
                <w:i/>
                <w:sz w:val="22"/>
                <w:lang w:val="es-ES" w:eastAsia="es-ES"/>
              </w:rPr>
            </w:pPr>
            <w:r w:rsidRPr="002F4A0D">
              <w:rPr>
                <w:rFonts w:ascii="Palatino Linotype" w:hAnsi="Palatino Linotype"/>
                <w:i/>
                <w:sz w:val="22"/>
                <w:szCs w:val="18"/>
                <w:lang w:val="es-ES" w:eastAsia="es-ES"/>
              </w:rPr>
              <w:br/>
              <w:t>Metepec, México a 05 de Julio de 2021</w:t>
            </w:r>
          </w:p>
        </w:tc>
      </w:tr>
      <w:tr w:rsidR="002F4A0D" w:rsidRPr="002F4A0D" w:rsidTr="002F4A0D">
        <w:trPr>
          <w:trHeight w:val="343"/>
          <w:tblCellSpacing w:w="0" w:type="dxa"/>
          <w:jc w:val="center"/>
        </w:trPr>
        <w:tc>
          <w:tcPr>
            <w:tcW w:w="0" w:type="auto"/>
            <w:vAlign w:val="center"/>
            <w:hideMark/>
          </w:tcPr>
          <w:p w:rsidR="002F4A0D" w:rsidRPr="002F4A0D" w:rsidRDefault="002F4A0D" w:rsidP="002F4A0D">
            <w:pPr>
              <w:jc w:val="right"/>
              <w:rPr>
                <w:rFonts w:ascii="Palatino Linotype" w:hAnsi="Palatino Linotype"/>
                <w:i/>
                <w:sz w:val="22"/>
                <w:lang w:val="es-ES" w:eastAsia="es-ES"/>
              </w:rPr>
            </w:pPr>
            <w:r w:rsidRPr="002F4A0D">
              <w:rPr>
                <w:rFonts w:ascii="Palatino Linotype" w:hAnsi="Palatino Linotype"/>
                <w:i/>
                <w:sz w:val="22"/>
                <w:szCs w:val="18"/>
                <w:lang w:val="es-ES" w:eastAsia="es-ES"/>
              </w:rPr>
              <w:t>Nombre</w:t>
            </w:r>
            <w:r w:rsidR="000369DF">
              <w:rPr>
                <w:rFonts w:ascii="Palatino Linotype" w:hAnsi="Palatino Linotype"/>
                <w:i/>
                <w:sz w:val="22"/>
                <w:szCs w:val="18"/>
                <w:lang w:val="es-ES" w:eastAsia="es-ES"/>
              </w:rPr>
              <w:t xml:space="preserve"> del solicitante: XXXXXXXXXXXXXXXXXXXXXX</w:t>
            </w:r>
          </w:p>
        </w:tc>
      </w:tr>
      <w:tr w:rsidR="002F4A0D" w:rsidRPr="002F4A0D" w:rsidTr="002F4A0D">
        <w:trPr>
          <w:trHeight w:val="343"/>
          <w:tblCellSpacing w:w="0" w:type="dxa"/>
          <w:jc w:val="center"/>
        </w:trPr>
        <w:tc>
          <w:tcPr>
            <w:tcW w:w="0" w:type="auto"/>
            <w:vAlign w:val="center"/>
            <w:hideMark/>
          </w:tcPr>
          <w:p w:rsidR="002F4A0D" w:rsidRPr="002F4A0D" w:rsidRDefault="002F4A0D" w:rsidP="002F4A0D">
            <w:pPr>
              <w:jc w:val="right"/>
              <w:rPr>
                <w:rFonts w:ascii="Palatino Linotype" w:hAnsi="Palatino Linotype"/>
                <w:i/>
                <w:sz w:val="22"/>
                <w:lang w:val="es-ES" w:eastAsia="es-ES"/>
              </w:rPr>
            </w:pPr>
            <w:r w:rsidRPr="002F4A0D">
              <w:rPr>
                <w:rFonts w:ascii="Palatino Linotype" w:hAnsi="Palatino Linotype"/>
                <w:i/>
                <w:sz w:val="22"/>
                <w:szCs w:val="18"/>
                <w:lang w:val="es-ES" w:eastAsia="es-ES"/>
              </w:rPr>
              <w:t>Folio de la solicitud: 00258/SF/IP/2021</w:t>
            </w:r>
          </w:p>
        </w:tc>
      </w:tr>
      <w:tr w:rsidR="002F4A0D" w:rsidRPr="002F4A0D" w:rsidTr="002F4A0D">
        <w:trPr>
          <w:trHeight w:val="514"/>
          <w:tblCellSpacing w:w="0" w:type="dxa"/>
          <w:jc w:val="center"/>
        </w:trPr>
        <w:tc>
          <w:tcPr>
            <w:tcW w:w="0" w:type="auto"/>
            <w:vAlign w:val="center"/>
            <w:hideMark/>
          </w:tcPr>
          <w:p w:rsidR="002F4A0D" w:rsidRPr="002F4A0D" w:rsidRDefault="002F4A0D" w:rsidP="002F4A0D">
            <w:pPr>
              <w:jc w:val="right"/>
              <w:rPr>
                <w:rFonts w:ascii="Palatino Linotype" w:hAnsi="Palatino Linotype"/>
                <w:i/>
                <w:sz w:val="22"/>
                <w:lang w:val="es-ES" w:eastAsia="es-ES"/>
              </w:rPr>
            </w:pPr>
          </w:p>
        </w:tc>
        <w:bookmarkStart w:id="1" w:name="_GoBack"/>
        <w:bookmarkEnd w:id="1"/>
      </w:tr>
      <w:tr w:rsidR="002F4A0D" w:rsidRPr="002F4A0D" w:rsidTr="002F4A0D">
        <w:trPr>
          <w:trHeight w:val="171"/>
          <w:tblCellSpacing w:w="0" w:type="dxa"/>
          <w:jc w:val="center"/>
        </w:trPr>
        <w:tc>
          <w:tcPr>
            <w:tcW w:w="0" w:type="auto"/>
            <w:vAlign w:val="center"/>
            <w:hideMark/>
          </w:tcPr>
          <w:p w:rsidR="002F4A0D" w:rsidRPr="002F4A0D" w:rsidRDefault="002F4A0D" w:rsidP="002F4A0D">
            <w:pPr>
              <w:rPr>
                <w:rFonts w:ascii="Palatino Linotype" w:hAnsi="Palatino Linotype"/>
                <w:i/>
                <w:sz w:val="22"/>
                <w:lang w:val="es-ES" w:eastAsia="es-ES"/>
              </w:rPr>
            </w:pPr>
            <w:r w:rsidRPr="002F4A0D">
              <w:rPr>
                <w:rFonts w:ascii="Palatino Linotype" w:hAnsi="Palatino Linotype"/>
                <w:i/>
                <w:sz w:val="22"/>
                <w:szCs w:val="18"/>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2F4A0D" w:rsidRPr="002F4A0D" w:rsidTr="002F4A0D">
        <w:trPr>
          <w:trHeight w:val="428"/>
          <w:tblCellSpacing w:w="0" w:type="dxa"/>
          <w:jc w:val="center"/>
        </w:trPr>
        <w:tc>
          <w:tcPr>
            <w:tcW w:w="0" w:type="auto"/>
            <w:vAlign w:val="center"/>
            <w:hideMark/>
          </w:tcPr>
          <w:p w:rsidR="002F4A0D" w:rsidRPr="002F4A0D" w:rsidRDefault="002F4A0D" w:rsidP="002F4A0D">
            <w:pPr>
              <w:rPr>
                <w:rFonts w:ascii="Palatino Linotype" w:hAnsi="Palatino Linotype"/>
                <w:i/>
                <w:sz w:val="22"/>
                <w:lang w:val="es-ES" w:eastAsia="es-ES"/>
              </w:rPr>
            </w:pPr>
          </w:p>
        </w:tc>
      </w:tr>
      <w:tr w:rsidR="002F4A0D" w:rsidRPr="002F4A0D" w:rsidTr="002F4A0D">
        <w:trPr>
          <w:trHeight w:val="171"/>
          <w:tblCellSpacing w:w="0" w:type="dxa"/>
          <w:jc w:val="center"/>
        </w:trPr>
        <w:tc>
          <w:tcPr>
            <w:tcW w:w="0" w:type="auto"/>
            <w:vAlign w:val="center"/>
            <w:hideMark/>
          </w:tcPr>
          <w:p w:rsidR="002F4A0D" w:rsidRPr="002F4A0D" w:rsidRDefault="002F4A0D" w:rsidP="002F4A0D">
            <w:pPr>
              <w:rPr>
                <w:rFonts w:ascii="Palatino Linotype" w:hAnsi="Palatino Linotype"/>
                <w:i/>
                <w:sz w:val="22"/>
                <w:lang w:val="es-ES" w:eastAsia="es-ES"/>
              </w:rPr>
            </w:pPr>
            <w:r w:rsidRPr="002F4A0D">
              <w:rPr>
                <w:rFonts w:ascii="Palatino Linotype" w:hAnsi="Palatino Linotype"/>
                <w:i/>
                <w:sz w:val="22"/>
                <w:szCs w:val="18"/>
                <w:lang w:val="es-ES" w:eastAsia="es-ES"/>
              </w:rPr>
              <w:t>Sobre el particular, sírvase encontrar en archivo adjunto copia del oficio de notificación número 20700004S/UT-0894/2021 mediante el cual se detalla lo referente a su solicitud.</w:t>
            </w:r>
          </w:p>
        </w:tc>
      </w:tr>
      <w:tr w:rsidR="002F4A0D" w:rsidRPr="002F4A0D" w:rsidTr="002F4A0D">
        <w:trPr>
          <w:trHeight w:val="428"/>
          <w:tblCellSpacing w:w="0" w:type="dxa"/>
          <w:jc w:val="center"/>
        </w:trPr>
        <w:tc>
          <w:tcPr>
            <w:tcW w:w="0" w:type="auto"/>
            <w:vAlign w:val="center"/>
            <w:hideMark/>
          </w:tcPr>
          <w:p w:rsidR="002F4A0D" w:rsidRPr="002F4A0D" w:rsidRDefault="002F4A0D" w:rsidP="002F4A0D">
            <w:pPr>
              <w:rPr>
                <w:rFonts w:ascii="Palatino Linotype" w:hAnsi="Palatino Linotype"/>
                <w:i/>
                <w:sz w:val="22"/>
                <w:lang w:val="es-ES" w:eastAsia="es-ES"/>
              </w:rPr>
            </w:pPr>
          </w:p>
        </w:tc>
      </w:tr>
      <w:tr w:rsidR="002F4A0D" w:rsidRPr="002F4A0D" w:rsidTr="002F4A0D">
        <w:trPr>
          <w:trHeight w:val="171"/>
          <w:tblCellSpacing w:w="0" w:type="dxa"/>
          <w:jc w:val="center"/>
        </w:trPr>
        <w:tc>
          <w:tcPr>
            <w:tcW w:w="0" w:type="auto"/>
            <w:vAlign w:val="center"/>
            <w:hideMark/>
          </w:tcPr>
          <w:p w:rsidR="002F4A0D" w:rsidRPr="002F4A0D" w:rsidRDefault="002F4A0D" w:rsidP="002F4A0D">
            <w:pPr>
              <w:jc w:val="center"/>
              <w:rPr>
                <w:rFonts w:ascii="Palatino Linotype" w:hAnsi="Palatino Linotype"/>
                <w:i/>
                <w:sz w:val="22"/>
                <w:szCs w:val="20"/>
                <w:lang w:val="es-ES" w:eastAsia="es-ES"/>
              </w:rPr>
            </w:pPr>
          </w:p>
        </w:tc>
      </w:tr>
      <w:tr w:rsidR="002F4A0D" w:rsidRPr="002F4A0D" w:rsidTr="002F4A0D">
        <w:trPr>
          <w:trHeight w:val="171"/>
          <w:tblCellSpacing w:w="0" w:type="dxa"/>
          <w:jc w:val="center"/>
        </w:trPr>
        <w:tc>
          <w:tcPr>
            <w:tcW w:w="0" w:type="auto"/>
            <w:vAlign w:val="center"/>
            <w:hideMark/>
          </w:tcPr>
          <w:p w:rsidR="002F4A0D" w:rsidRPr="002F4A0D" w:rsidRDefault="002F4A0D" w:rsidP="002F4A0D">
            <w:pPr>
              <w:rPr>
                <w:rFonts w:ascii="Palatino Linotype" w:hAnsi="Palatino Linotype"/>
                <w:i/>
                <w:sz w:val="22"/>
                <w:szCs w:val="20"/>
                <w:lang w:val="es-ES" w:eastAsia="es-ES"/>
              </w:rPr>
            </w:pPr>
          </w:p>
        </w:tc>
      </w:tr>
      <w:tr w:rsidR="002F4A0D" w:rsidRPr="002F4A0D" w:rsidTr="002F4A0D">
        <w:trPr>
          <w:trHeight w:val="171"/>
          <w:tblCellSpacing w:w="0" w:type="dxa"/>
          <w:jc w:val="center"/>
        </w:trPr>
        <w:tc>
          <w:tcPr>
            <w:tcW w:w="0" w:type="auto"/>
            <w:vAlign w:val="center"/>
            <w:hideMark/>
          </w:tcPr>
          <w:p w:rsidR="002F4A0D" w:rsidRPr="002F4A0D" w:rsidRDefault="002F4A0D" w:rsidP="002F4A0D">
            <w:pPr>
              <w:rPr>
                <w:rFonts w:ascii="Palatino Linotype" w:hAnsi="Palatino Linotype"/>
                <w:i/>
                <w:sz w:val="22"/>
                <w:lang w:val="es-ES" w:eastAsia="es-ES"/>
              </w:rPr>
            </w:pPr>
            <w:r w:rsidRPr="002F4A0D">
              <w:rPr>
                <w:rFonts w:ascii="Palatino Linotype" w:hAnsi="Palatino Linotype"/>
                <w:i/>
                <w:sz w:val="22"/>
                <w:szCs w:val="18"/>
                <w:lang w:val="es-ES" w:eastAsia="es-ES"/>
              </w:rPr>
              <w:t>ATENTAMENTE</w:t>
            </w:r>
          </w:p>
        </w:tc>
      </w:tr>
      <w:tr w:rsidR="002F4A0D" w:rsidRPr="002F4A0D" w:rsidTr="002F4A0D">
        <w:trPr>
          <w:trHeight w:val="257"/>
          <w:tblCellSpacing w:w="0" w:type="dxa"/>
          <w:jc w:val="center"/>
        </w:trPr>
        <w:tc>
          <w:tcPr>
            <w:tcW w:w="0" w:type="auto"/>
            <w:vAlign w:val="center"/>
            <w:hideMark/>
          </w:tcPr>
          <w:p w:rsidR="002F4A0D" w:rsidRPr="002F4A0D" w:rsidRDefault="002F4A0D" w:rsidP="002F4A0D">
            <w:pPr>
              <w:rPr>
                <w:rFonts w:ascii="Palatino Linotype" w:hAnsi="Palatino Linotype"/>
                <w:i/>
                <w:sz w:val="22"/>
                <w:lang w:val="es-ES" w:eastAsia="es-ES"/>
              </w:rPr>
            </w:pPr>
          </w:p>
        </w:tc>
      </w:tr>
      <w:tr w:rsidR="002F4A0D" w:rsidRPr="002F4A0D" w:rsidTr="002F4A0D">
        <w:trPr>
          <w:trHeight w:val="171"/>
          <w:tblCellSpacing w:w="0" w:type="dxa"/>
          <w:jc w:val="center"/>
        </w:trPr>
        <w:tc>
          <w:tcPr>
            <w:tcW w:w="0" w:type="auto"/>
            <w:vAlign w:val="center"/>
            <w:hideMark/>
          </w:tcPr>
          <w:p w:rsidR="002F4A0D" w:rsidRPr="002F4A0D" w:rsidRDefault="002F4A0D" w:rsidP="002F4A0D">
            <w:pPr>
              <w:rPr>
                <w:rFonts w:ascii="Palatino Linotype" w:hAnsi="Palatino Linotype"/>
                <w:i/>
                <w:sz w:val="22"/>
                <w:lang w:val="es-ES" w:eastAsia="es-ES"/>
              </w:rPr>
            </w:pPr>
            <w:r w:rsidRPr="002F4A0D">
              <w:rPr>
                <w:rFonts w:ascii="Palatino Linotype" w:hAnsi="Palatino Linotype"/>
                <w:i/>
                <w:sz w:val="22"/>
                <w:szCs w:val="18"/>
                <w:lang w:val="es-ES" w:eastAsia="es-ES"/>
              </w:rPr>
              <w:t>Lic. Rodolfo Esteban Rivadeneyra Hernández</w:t>
            </w:r>
          </w:p>
        </w:tc>
      </w:tr>
    </w:tbl>
    <w:p w:rsidR="00C0507E" w:rsidRPr="001431BD" w:rsidRDefault="00C0507E" w:rsidP="00C0507E">
      <w:pPr>
        <w:spacing w:line="360" w:lineRule="auto"/>
        <w:ind w:right="567"/>
        <w:jc w:val="both"/>
        <w:rPr>
          <w:rFonts w:ascii="Palatino Linotype" w:hAnsi="Palatino Linotype"/>
        </w:rPr>
      </w:pPr>
    </w:p>
    <w:p w:rsidR="00C0507E" w:rsidRPr="001431BD" w:rsidRDefault="00C0507E" w:rsidP="00C0507E">
      <w:pPr>
        <w:spacing w:line="360" w:lineRule="auto"/>
        <w:ind w:right="567"/>
        <w:jc w:val="both"/>
        <w:rPr>
          <w:rFonts w:ascii="Palatino Linotype" w:hAnsi="Palatino Linotype"/>
        </w:rPr>
      </w:pPr>
    </w:p>
    <w:p w:rsidR="00C0507E" w:rsidRDefault="002F4A0D" w:rsidP="00C0507E">
      <w:pPr>
        <w:spacing w:line="360" w:lineRule="auto"/>
        <w:ind w:right="567"/>
        <w:jc w:val="both"/>
        <w:rPr>
          <w:rFonts w:ascii="Palatino Linotype" w:hAnsi="Palatino Linotype"/>
        </w:rPr>
      </w:pPr>
      <w:r>
        <w:rPr>
          <w:rFonts w:ascii="Palatino Linotype" w:hAnsi="Palatino Linotype"/>
        </w:rPr>
        <w:lastRenderedPageBreak/>
        <w:t>A la respuesta se adjuntaron los siguientes documentos:</w:t>
      </w:r>
    </w:p>
    <w:p w:rsidR="002F4A0D" w:rsidRDefault="002F4A0D" w:rsidP="00C0507E">
      <w:pPr>
        <w:spacing w:line="360" w:lineRule="auto"/>
        <w:ind w:right="567"/>
        <w:jc w:val="both"/>
        <w:rPr>
          <w:rFonts w:ascii="Palatino Linotype" w:hAnsi="Palatino Linotype"/>
        </w:rPr>
      </w:pPr>
    </w:p>
    <w:p w:rsidR="00845955" w:rsidRPr="00D60100" w:rsidRDefault="00286DEF" w:rsidP="00D60100">
      <w:pPr>
        <w:pStyle w:val="Prrafodelista"/>
        <w:numPr>
          <w:ilvl w:val="0"/>
          <w:numId w:val="11"/>
        </w:numPr>
        <w:spacing w:line="360" w:lineRule="auto"/>
        <w:ind w:right="567"/>
        <w:jc w:val="both"/>
        <w:rPr>
          <w:rFonts w:ascii="Palatino Linotype" w:hAnsi="Palatino Linotype"/>
        </w:rPr>
      </w:pPr>
      <w:hyperlink r:id="rId9" w:tgtFrame="_blank" w:history="1">
        <w:r w:rsidR="002F4A0D" w:rsidRPr="00D60100">
          <w:rPr>
            <w:rStyle w:val="Hipervnculo"/>
            <w:rFonts w:ascii="Palatino Linotype" w:hAnsi="Palatino Linotype" w:cs="Arial"/>
            <w:b/>
            <w:bCs/>
            <w:color w:val="auto"/>
            <w:sz w:val="24"/>
            <w:u w:val="none"/>
          </w:rPr>
          <w:t>258 SS Planeación y Pto.pdf</w:t>
        </w:r>
      </w:hyperlink>
      <w:r w:rsidR="002F4A0D" w:rsidRPr="00D60100">
        <w:rPr>
          <w:rFonts w:ascii="Palatino Linotype" w:hAnsi="Palatino Linotype"/>
          <w:sz w:val="24"/>
        </w:rPr>
        <w:t>:</w:t>
      </w:r>
      <w:r w:rsidR="002F4A0D" w:rsidRPr="00D60100">
        <w:rPr>
          <w:rFonts w:ascii="Palatino Linotype" w:hAnsi="Palatino Linotype"/>
        </w:rPr>
        <w:t xml:space="preserve"> documento en formato</w:t>
      </w:r>
      <w:r w:rsidR="008245FE" w:rsidRPr="00D60100">
        <w:rPr>
          <w:rFonts w:ascii="Palatino Linotype" w:hAnsi="Palatino Linotype"/>
        </w:rPr>
        <w:t xml:space="preserve"> PDF, que consta de dos oficios: el primero es el</w:t>
      </w:r>
      <w:r w:rsidR="002F4A0D" w:rsidRPr="00D60100">
        <w:rPr>
          <w:rFonts w:ascii="Palatino Linotype" w:hAnsi="Palatino Linotype"/>
        </w:rPr>
        <w:t xml:space="preserve"> oficio número 20704004L/176/2021, </w:t>
      </w:r>
      <w:r w:rsidR="008245FE" w:rsidRPr="00D60100">
        <w:rPr>
          <w:rFonts w:ascii="Palatino Linotype" w:hAnsi="Palatino Linotype"/>
        </w:rPr>
        <w:t xml:space="preserve">suscrito por el Director General y Servidos Público Habilitado de la Secretaría de Planeación y Presupuesto y dirigido al Jefe de la UIPPE y Titular de la Unidad de Transparencia de la Secretaría de Finanzas en el que manifestó que la información relacionada con los recursos del FEFOM asignados y liberados para los ejercicios fiscal 2019 y 2020, puede ser consultada en la liga electrónica </w:t>
      </w:r>
      <w:hyperlink r:id="rId10" w:history="1">
        <w:r w:rsidR="008245FE" w:rsidRPr="00D60100">
          <w:rPr>
            <w:rStyle w:val="Hipervnculo"/>
            <w:rFonts w:ascii="Palatino Linotype" w:hAnsi="Palatino Linotype"/>
          </w:rPr>
          <w:t>https://transparenciafiscal.edomex.gob.mx/afefm</w:t>
        </w:r>
      </w:hyperlink>
      <w:r w:rsidR="008245FE" w:rsidRPr="00D60100">
        <w:rPr>
          <w:rFonts w:ascii="Palatino Linotype" w:hAnsi="Palatino Linotype"/>
        </w:rPr>
        <w:t xml:space="preserve"> , asimismo manifestó que los fondos que no fueron liberados al cien por ciento, se debe a que los municipios no dieron cumplimiento a lo establecido en los Lineamientos para la utilización del FEFOM y sus criterios de aplicación; y el oficio número 20704005L/0042/2021, suscrito por el Director General de Evaluación de la Información Financiera y Recursos Federales</w:t>
      </w:r>
      <w:r w:rsidR="007732CE" w:rsidRPr="00D60100">
        <w:rPr>
          <w:rFonts w:ascii="Palatino Linotype" w:hAnsi="Palatino Linotype"/>
        </w:rPr>
        <w:t>, dirigido AL Director General y Servidor Público Habilitado de la Subsecretaría de Planeación y Presupues</w:t>
      </w:r>
      <w:r w:rsidR="00845955" w:rsidRPr="00D60100">
        <w:rPr>
          <w:rFonts w:ascii="Palatino Linotype" w:hAnsi="Palatino Linotype"/>
        </w:rPr>
        <w:t>to, mediante el cual se realizaron las mismas manifestaciones que en el oficio referido anteriormente.</w:t>
      </w:r>
    </w:p>
    <w:p w:rsidR="008245FE" w:rsidRPr="002F4A0D" w:rsidRDefault="008245FE" w:rsidP="00C0507E">
      <w:pPr>
        <w:spacing w:line="360" w:lineRule="auto"/>
        <w:ind w:right="567"/>
        <w:jc w:val="both"/>
        <w:rPr>
          <w:rFonts w:ascii="Palatino Linotype" w:hAnsi="Palatino Linotype"/>
        </w:rPr>
      </w:pPr>
    </w:p>
    <w:p w:rsidR="002F4A0D" w:rsidRPr="00D60100" w:rsidRDefault="00286DEF" w:rsidP="00D60100">
      <w:pPr>
        <w:pStyle w:val="Prrafodelista"/>
        <w:numPr>
          <w:ilvl w:val="0"/>
          <w:numId w:val="11"/>
        </w:numPr>
        <w:spacing w:line="360" w:lineRule="auto"/>
        <w:ind w:right="567"/>
        <w:jc w:val="both"/>
        <w:rPr>
          <w:rFonts w:ascii="Palatino Linotype" w:hAnsi="Palatino Linotype"/>
          <w:sz w:val="24"/>
        </w:rPr>
      </w:pPr>
      <w:hyperlink r:id="rId11" w:tgtFrame="_blank" w:history="1">
        <w:r w:rsidR="002F4A0D" w:rsidRPr="00D60100">
          <w:rPr>
            <w:rStyle w:val="Hipervnculo"/>
            <w:rFonts w:ascii="Palatino Linotype" w:hAnsi="Palatino Linotype" w:cs="Arial"/>
            <w:b/>
            <w:bCs/>
            <w:color w:val="auto"/>
            <w:sz w:val="24"/>
            <w:u w:val="none"/>
          </w:rPr>
          <w:t>UIPPE 258.pdf</w:t>
        </w:r>
      </w:hyperlink>
      <w:r w:rsidR="002F4A0D" w:rsidRPr="00D60100">
        <w:rPr>
          <w:rFonts w:ascii="Palatino Linotype" w:hAnsi="Palatino Linotype"/>
          <w:sz w:val="24"/>
        </w:rPr>
        <w:t>:</w:t>
      </w:r>
      <w:r w:rsidR="008245FE" w:rsidRPr="00D60100">
        <w:rPr>
          <w:rFonts w:ascii="Palatino Linotype" w:hAnsi="Palatino Linotype"/>
        </w:rPr>
        <w:t xml:space="preserve"> </w:t>
      </w:r>
      <w:r w:rsidR="00845955" w:rsidRPr="00D60100">
        <w:rPr>
          <w:rFonts w:ascii="Palatino Linotype" w:hAnsi="Palatino Linotype"/>
        </w:rPr>
        <w:t>oficio 20700004S/UT-0894/2021, suscrito por el Jefe de la UIPPE y Titular de la Unidad de Transparencia de la Secretaría de Finanzas y dirigido al particular, mediante el cual manifestó dar respuesta a la solicitud de información mediante el oficio 20704004L/176/2021.</w:t>
      </w:r>
    </w:p>
    <w:p w:rsidR="00C0507E" w:rsidRPr="001431BD" w:rsidRDefault="00C0507E" w:rsidP="00C0507E">
      <w:pPr>
        <w:spacing w:line="360" w:lineRule="auto"/>
        <w:ind w:right="567"/>
        <w:jc w:val="both"/>
        <w:rPr>
          <w:rFonts w:ascii="Palatino Linotype" w:hAnsi="Palatino Linotype"/>
        </w:rPr>
      </w:pPr>
    </w:p>
    <w:p w:rsidR="00C0507E" w:rsidRPr="001431BD" w:rsidRDefault="00C0507E" w:rsidP="00C0507E">
      <w:pPr>
        <w:numPr>
          <w:ilvl w:val="0"/>
          <w:numId w:val="1"/>
        </w:numPr>
        <w:spacing w:line="360" w:lineRule="auto"/>
        <w:ind w:left="0" w:firstLine="0"/>
        <w:contextualSpacing/>
        <w:jc w:val="both"/>
        <w:rPr>
          <w:rFonts w:ascii="Palatino Linotype" w:eastAsiaTheme="minorEastAsia" w:hAnsi="Palatino Linotype" w:cs="Arial"/>
          <w:i/>
          <w:lang w:val="es-ES_tradnl" w:eastAsia="es-ES"/>
        </w:rPr>
      </w:pPr>
      <w:r w:rsidRPr="001431BD">
        <w:rPr>
          <w:rFonts w:ascii="Palatino Linotype" w:eastAsia="Calibri" w:hAnsi="Palatino Linotype" w:cs="Arial"/>
          <w:lang w:val="es-AR" w:eastAsia="es-ES"/>
        </w:rPr>
        <w:t xml:space="preserve">El </w:t>
      </w:r>
      <w:r w:rsidR="00845955">
        <w:rPr>
          <w:rFonts w:ascii="Palatino Linotype" w:eastAsia="Calibri" w:hAnsi="Palatino Linotype" w:cs="Arial"/>
          <w:lang w:val="es-AR" w:eastAsia="es-ES"/>
        </w:rPr>
        <w:t>seis (06) de julio</w:t>
      </w:r>
      <w:r w:rsidRPr="001431BD">
        <w:rPr>
          <w:rFonts w:ascii="Palatino Linotype" w:eastAsia="Calibri" w:hAnsi="Palatino Linotype" w:cs="Arial"/>
          <w:lang w:val="es-AR" w:eastAsia="es-ES"/>
        </w:rPr>
        <w:t xml:space="preserve">  de dos mil veintiuno</w:t>
      </w:r>
      <w:r w:rsidRPr="001431BD">
        <w:rPr>
          <w:rFonts w:ascii="Palatino Linotype" w:hAnsi="Palatino Linotype" w:cs="Arial"/>
          <w:lang w:val="es-ES" w:eastAsia="es-ES"/>
        </w:rPr>
        <w:t xml:space="preserve">, </w:t>
      </w:r>
      <w:r w:rsidRPr="001431BD">
        <w:rPr>
          <w:rFonts w:ascii="Palatino Linotype" w:eastAsiaTheme="minorEastAsia" w:hAnsi="Palatino Linotype"/>
          <w:b/>
          <w:lang w:val="es-ES_tradnl" w:eastAsia="es-ES"/>
        </w:rPr>
        <w:t>EL RECURRENTE</w:t>
      </w:r>
      <w:r w:rsidRPr="001431BD">
        <w:rPr>
          <w:rFonts w:ascii="Palatino Linotype" w:hAnsi="Palatino Linotype" w:cs="Arial"/>
          <w:lang w:val="es-ES" w:eastAsia="es-ES"/>
        </w:rPr>
        <w:t xml:space="preserve"> interpuso el recurso de revisión, en contra de la respuesta, señalando como:</w:t>
      </w:r>
      <w:bookmarkStart w:id="2" w:name="_Toc462307683"/>
      <w:bookmarkStart w:id="3" w:name="_Toc472427085"/>
      <w:bookmarkStart w:id="4" w:name="_Toc472500652"/>
    </w:p>
    <w:p w:rsidR="00C0507E" w:rsidRPr="001431BD" w:rsidRDefault="00C0507E" w:rsidP="00C0507E">
      <w:pPr>
        <w:spacing w:line="360" w:lineRule="auto"/>
        <w:ind w:left="567" w:right="567"/>
        <w:contextualSpacing/>
        <w:rPr>
          <w:rFonts w:ascii="Palatino Linotype" w:eastAsiaTheme="minorEastAsia" w:hAnsi="Palatino Linotype" w:cs="Arial"/>
          <w:i/>
          <w:lang w:val="es-ES_tradnl" w:eastAsia="es-ES"/>
        </w:rPr>
      </w:pPr>
    </w:p>
    <w:p w:rsidR="00C0507E" w:rsidRPr="001431BD" w:rsidRDefault="00C0507E" w:rsidP="00C0507E">
      <w:pPr>
        <w:spacing w:line="360" w:lineRule="auto"/>
        <w:ind w:left="567" w:right="567"/>
        <w:contextualSpacing/>
        <w:jc w:val="both"/>
        <w:rPr>
          <w:rFonts w:ascii="Palatino Linotype" w:eastAsia="Calibri" w:hAnsi="Palatino Linotype" w:cs="Arial"/>
          <w:i/>
          <w:lang w:val="es-ES" w:eastAsia="es-ES"/>
        </w:rPr>
      </w:pPr>
      <w:r w:rsidRPr="001431BD">
        <w:rPr>
          <w:rFonts w:ascii="Palatino Linotype" w:eastAsiaTheme="minorEastAsia" w:hAnsi="Palatino Linotype"/>
          <w:b/>
          <w:lang w:val="es-ES_tradnl" w:eastAsia="es-ES"/>
        </w:rPr>
        <w:lastRenderedPageBreak/>
        <w:t>Acto impugnado</w:t>
      </w:r>
      <w:r w:rsidRPr="001431BD">
        <w:rPr>
          <w:rFonts w:ascii="Palatino Linotype" w:eastAsiaTheme="minorEastAsia" w:hAnsi="Palatino Linotype"/>
          <w:b/>
          <w:i/>
          <w:lang w:val="es-ES_tradnl" w:eastAsia="es-ES"/>
        </w:rPr>
        <w:t>:</w:t>
      </w:r>
      <w:r w:rsidRPr="001431BD">
        <w:rPr>
          <w:rFonts w:ascii="Palatino Linotype" w:hAnsi="Palatino Linotype"/>
          <w:i/>
          <w:color w:val="000000"/>
        </w:rPr>
        <w:t xml:space="preserve"> “</w:t>
      </w:r>
      <w:r w:rsidR="00845955" w:rsidRPr="00845955">
        <w:rPr>
          <w:rFonts w:ascii="Palatino Linotype" w:hAnsi="Palatino Linotype"/>
          <w:i/>
          <w:color w:val="000000"/>
        </w:rPr>
        <w:t>No se me entregó la información completa</w:t>
      </w:r>
      <w:r w:rsidRPr="001431BD">
        <w:rPr>
          <w:rFonts w:ascii="Palatino Linotype" w:hAnsi="Palatino Linotype"/>
          <w:i/>
          <w:color w:val="000000"/>
        </w:rPr>
        <w:t xml:space="preserve">” (Sic); </w:t>
      </w:r>
      <w:r w:rsidRPr="001431BD">
        <w:rPr>
          <w:rFonts w:ascii="Palatino Linotype" w:eastAsia="Calibri" w:hAnsi="Palatino Linotype" w:cs="Arial"/>
          <w:i/>
          <w:lang w:val="es-ES" w:eastAsia="es-ES"/>
        </w:rPr>
        <w:t>Y</w:t>
      </w:r>
    </w:p>
    <w:p w:rsidR="00C0507E" w:rsidRPr="001431BD" w:rsidRDefault="00C0507E" w:rsidP="00C0507E">
      <w:pPr>
        <w:spacing w:line="360" w:lineRule="auto"/>
        <w:ind w:left="567" w:right="567"/>
        <w:contextualSpacing/>
        <w:jc w:val="both"/>
        <w:rPr>
          <w:rFonts w:ascii="Palatino Linotype" w:eastAsia="Calibri" w:hAnsi="Palatino Linotype" w:cs="Arial"/>
          <w:lang w:val="es-ES" w:eastAsia="es-ES"/>
        </w:rPr>
      </w:pPr>
    </w:p>
    <w:p w:rsidR="00C0507E" w:rsidRPr="001431BD" w:rsidRDefault="00C0507E" w:rsidP="00C0507E">
      <w:pPr>
        <w:spacing w:line="360" w:lineRule="auto"/>
        <w:ind w:left="567" w:right="567"/>
        <w:contextualSpacing/>
        <w:jc w:val="both"/>
        <w:rPr>
          <w:rFonts w:ascii="Palatino Linotype" w:hAnsi="Palatino Linotype"/>
          <w:i/>
          <w:color w:val="000000"/>
        </w:rPr>
      </w:pPr>
      <w:r w:rsidRPr="001431BD">
        <w:rPr>
          <w:rFonts w:ascii="Palatino Linotype" w:eastAsiaTheme="minorEastAsia" w:hAnsi="Palatino Linotype"/>
          <w:b/>
          <w:lang w:val="es-ES_tradnl" w:eastAsia="es-ES"/>
        </w:rPr>
        <w:t>Razones o Motivos de inconformidad:</w:t>
      </w:r>
      <w:r w:rsidRPr="001431BD">
        <w:rPr>
          <w:rFonts w:ascii="Palatino Linotype" w:eastAsiaTheme="majorEastAsia" w:hAnsi="Palatino Linotype" w:cstheme="majorBidi"/>
          <w:b/>
          <w:color w:val="2E74B5" w:themeColor="accent1" w:themeShade="BF"/>
          <w:sz w:val="26"/>
          <w:szCs w:val="26"/>
          <w:lang w:val="es-ES" w:eastAsia="es-ES"/>
        </w:rPr>
        <w:t xml:space="preserve"> </w:t>
      </w:r>
      <w:r w:rsidRPr="001431BD">
        <w:rPr>
          <w:rFonts w:ascii="Palatino Linotype" w:eastAsiaTheme="majorEastAsia" w:hAnsi="Palatino Linotype" w:cstheme="majorBidi"/>
          <w:i/>
          <w:lang w:val="es-ES" w:eastAsia="es-ES"/>
        </w:rPr>
        <w:t>“</w:t>
      </w:r>
      <w:r w:rsidR="00845955" w:rsidRPr="00845955">
        <w:rPr>
          <w:rFonts w:ascii="Palatino Linotype" w:hAnsi="Palatino Linotype"/>
          <w:i/>
          <w:color w:val="000000"/>
        </w:rPr>
        <w:t>Únicamente se me redirecciona a una liga de página de Internet en donde se puede verificar el recurso denominado FEFOM y sus reportes de liberación en 2019, no así se encuentra información de la liberación del recurso para el año 2020. Del recurso denominado FORTAMUN, no se refiere información alguna.</w:t>
      </w:r>
      <w:r w:rsidRPr="001431BD">
        <w:rPr>
          <w:rFonts w:ascii="Palatino Linotype" w:hAnsi="Palatino Linotype"/>
          <w:i/>
          <w:color w:val="000000"/>
        </w:rPr>
        <w:t>” (Sic).</w:t>
      </w:r>
    </w:p>
    <w:bookmarkEnd w:id="2"/>
    <w:bookmarkEnd w:id="3"/>
    <w:bookmarkEnd w:id="4"/>
    <w:p w:rsidR="00C0507E" w:rsidRPr="001431BD" w:rsidRDefault="00C0507E" w:rsidP="00C0507E">
      <w:pPr>
        <w:spacing w:line="360" w:lineRule="auto"/>
        <w:jc w:val="both"/>
        <w:rPr>
          <w:rFonts w:ascii="Palatino Linotype" w:eastAsia="Calibri" w:hAnsi="Palatino Linotype" w:cs="Arial"/>
          <w:lang w:val="es-AR" w:eastAsia="es-ES"/>
        </w:rPr>
      </w:pPr>
    </w:p>
    <w:p w:rsidR="00C0507E" w:rsidRPr="001431BD" w:rsidRDefault="00C0507E" w:rsidP="00C0507E">
      <w:pPr>
        <w:numPr>
          <w:ilvl w:val="0"/>
          <w:numId w:val="1"/>
        </w:numPr>
        <w:spacing w:line="360" w:lineRule="auto"/>
        <w:ind w:left="0" w:firstLine="0"/>
        <w:contextualSpacing/>
        <w:jc w:val="both"/>
        <w:rPr>
          <w:rFonts w:ascii="Palatino Linotype" w:eastAsia="Calibri" w:hAnsi="Palatino Linotype" w:cs="Arial"/>
          <w:lang w:val="es-AR" w:eastAsia="es-ES"/>
        </w:rPr>
      </w:pPr>
      <w:r w:rsidRPr="001431BD">
        <w:rPr>
          <w:rFonts w:ascii="Palatino Linotype" w:hAnsi="Palatino Linotype" w:cs="Arial"/>
          <w:lang w:val="es-ES" w:eastAsia="es-ES"/>
        </w:rPr>
        <w:t xml:space="preserve">Se registró el recurso de revisión bajo el número de expediente </w:t>
      </w:r>
      <w:r w:rsidRPr="001431BD">
        <w:rPr>
          <w:rFonts w:ascii="Palatino Linotype" w:eastAsiaTheme="minorEastAsia" w:hAnsi="Palatino Linotype" w:cs="Arial"/>
          <w:bCs/>
          <w:lang w:val="es-ES_tradnl" w:eastAsia="es-ES"/>
        </w:rPr>
        <w:t xml:space="preserve">al rubro indicado, asimismo con fundamento en lo dispuesto por el </w:t>
      </w:r>
      <w:r w:rsidRPr="001431BD">
        <w:rPr>
          <w:rFonts w:ascii="Palatino Linotype" w:eastAsia="Calibri" w:hAnsi="Palatino Linotype" w:cs="Arial"/>
          <w:lang w:val="es-ES" w:eastAsia="es-ES"/>
        </w:rPr>
        <w:t xml:space="preserve">artículo 185 fracción I de la </w:t>
      </w:r>
      <w:r w:rsidRPr="001431BD">
        <w:rPr>
          <w:rFonts w:ascii="Palatino Linotype" w:eastAsia="Calibri" w:hAnsi="Palatino Linotype" w:cs="Arial"/>
          <w:b/>
          <w:lang w:val="es-ES" w:eastAsia="es-ES"/>
        </w:rPr>
        <w:t xml:space="preserve">Ley de Transparencia y Acceso a la Información Pública del Estado de México y Municipios </w:t>
      </w:r>
      <w:r w:rsidRPr="001431BD">
        <w:rPr>
          <w:rFonts w:ascii="Palatino Linotype" w:hAnsi="Palatino Linotype" w:cs="Arial"/>
          <w:lang w:val="es-ES" w:eastAsia="es-ES"/>
        </w:rPr>
        <w:t xml:space="preserve">se turnó al </w:t>
      </w:r>
      <w:r w:rsidR="00F26E4A">
        <w:rPr>
          <w:rFonts w:ascii="Palatino Linotype" w:hAnsi="Palatino Linotype" w:cs="Arial"/>
          <w:b/>
          <w:lang w:val="es-ES" w:eastAsia="es-ES"/>
        </w:rPr>
        <w:t>Comisionado Luis Gustavo Parra Noriega</w:t>
      </w:r>
      <w:r w:rsidRPr="001431BD">
        <w:rPr>
          <w:rFonts w:ascii="Palatino Linotype" w:hAnsi="Palatino Linotype" w:cs="Arial"/>
          <w:b/>
          <w:lang w:val="es-ES" w:eastAsia="es-ES"/>
        </w:rPr>
        <w:t xml:space="preserve">, </w:t>
      </w:r>
      <w:r w:rsidRPr="001431BD">
        <w:rPr>
          <w:rFonts w:ascii="Palatino Linotype" w:hAnsi="Palatino Linotype" w:cs="Arial"/>
          <w:lang w:val="es-ES" w:eastAsia="es-ES"/>
        </w:rPr>
        <w:t xml:space="preserve">con el objeto de </w:t>
      </w:r>
      <w:r w:rsidRPr="001431BD">
        <w:rPr>
          <w:rFonts w:ascii="Palatino Linotype" w:hAnsi="Palatino Linotype" w:cs="Arial"/>
          <w:lang w:eastAsia="es-ES"/>
        </w:rPr>
        <w:t xml:space="preserve">su análisis. </w:t>
      </w:r>
    </w:p>
    <w:p w:rsidR="00C0507E" w:rsidRPr="001431BD" w:rsidRDefault="00C0507E" w:rsidP="00C0507E">
      <w:pPr>
        <w:spacing w:line="360" w:lineRule="auto"/>
        <w:contextualSpacing/>
        <w:jc w:val="both"/>
        <w:rPr>
          <w:rFonts w:ascii="Palatino Linotype" w:eastAsia="Calibri" w:hAnsi="Palatino Linotype" w:cs="Arial"/>
          <w:lang w:val="es-AR" w:eastAsia="es-ES"/>
        </w:rPr>
      </w:pPr>
    </w:p>
    <w:p w:rsidR="00C0507E" w:rsidRDefault="00C0507E" w:rsidP="00C0507E">
      <w:pPr>
        <w:numPr>
          <w:ilvl w:val="0"/>
          <w:numId w:val="1"/>
        </w:numPr>
        <w:spacing w:line="360" w:lineRule="auto"/>
        <w:ind w:left="0" w:firstLine="0"/>
        <w:contextualSpacing/>
        <w:jc w:val="both"/>
        <w:rPr>
          <w:rFonts w:ascii="Palatino Linotype" w:eastAsiaTheme="minorEastAsia" w:hAnsi="Palatino Linotype" w:cstheme="minorBidi"/>
          <w:i/>
          <w:color w:val="000000"/>
          <w:sz w:val="22"/>
          <w:szCs w:val="22"/>
          <w:lang w:val="es-ES_tradnl" w:eastAsia="es-ES"/>
        </w:rPr>
      </w:pPr>
      <w:r w:rsidRPr="001431BD">
        <w:rPr>
          <w:rFonts w:ascii="Palatino Linotype" w:eastAsia="Calibri" w:hAnsi="Palatino Linotype" w:cs="Arial"/>
          <w:lang w:val="es-ES" w:eastAsia="es-ES"/>
        </w:rPr>
        <w:t>El Comisionado Ponente con fundamento en lo dispuesto por el artículo 185 fracción II de la ley de la materia, a través del</w:t>
      </w:r>
      <w:r w:rsidR="00F26E4A">
        <w:rPr>
          <w:rFonts w:ascii="Palatino Linotype" w:eastAsia="Calibri" w:hAnsi="Palatino Linotype" w:cs="Arial"/>
          <w:lang w:val="es-ES" w:eastAsia="es-ES"/>
        </w:rPr>
        <w:t xml:space="preserve"> acuerdo de admisión de nueve (09)</w:t>
      </w:r>
      <w:r w:rsidRPr="001431BD">
        <w:rPr>
          <w:rFonts w:ascii="Palatino Linotype" w:eastAsia="Calibri" w:hAnsi="Palatino Linotype" w:cs="Arial"/>
          <w:lang w:val="es-ES" w:eastAsia="es-ES"/>
        </w:rPr>
        <w:t xml:space="preserve"> de julio de dos mil veintiuno, puso a disposición de las partes el expediente electrónico </w:t>
      </w:r>
      <w:r w:rsidRPr="001431BD">
        <w:rPr>
          <w:rFonts w:ascii="Palatino Linotype" w:eastAsia="Calibri" w:hAnsi="Palatino Linotype" w:cs="Arial"/>
          <w:lang w:val="es-ES_tradnl" w:eastAsia="es-ES"/>
        </w:rPr>
        <w:t xml:space="preserve">vía </w:t>
      </w:r>
      <w:r w:rsidRPr="001431BD">
        <w:rPr>
          <w:rFonts w:ascii="Palatino Linotype" w:eastAsia="Calibri" w:hAnsi="Palatino Linotype" w:cs="Arial"/>
          <w:b/>
          <w:lang w:val="es-ES" w:eastAsia="es-ES"/>
        </w:rPr>
        <w:t xml:space="preserve">SAIMEX </w:t>
      </w:r>
      <w:r w:rsidRPr="001431BD">
        <w:rPr>
          <w:rFonts w:ascii="Palatino Linotype" w:eastAsia="Calibri" w:hAnsi="Palatino Linotype" w:cs="Arial"/>
          <w:lang w:val="es-ES" w:eastAsia="es-ES"/>
        </w:rPr>
        <w:t xml:space="preserve">a efecto de que en un plazo máximo de siete días manifestaran lo que a derecho convinieran, ofrecieran pruebas y alegatos según corresponda al caso concreto, de esta forma para que el </w:t>
      </w:r>
      <w:r w:rsidRPr="001431BD">
        <w:rPr>
          <w:rFonts w:ascii="Palatino Linotype" w:eastAsia="Calibri" w:hAnsi="Palatino Linotype" w:cs="Arial"/>
          <w:b/>
          <w:lang w:val="es-ES" w:eastAsia="es-ES"/>
        </w:rPr>
        <w:t>SUJETO OBLIGADO</w:t>
      </w:r>
      <w:r w:rsidRPr="001431BD">
        <w:rPr>
          <w:rFonts w:ascii="Palatino Linotype" w:eastAsia="Calibri" w:hAnsi="Palatino Linotype" w:cs="Arial"/>
          <w:lang w:val="es-ES" w:eastAsia="es-ES"/>
        </w:rPr>
        <w:t xml:space="preserve"> presentara el informe justificado procedente. </w:t>
      </w:r>
    </w:p>
    <w:p w:rsidR="001F0D28" w:rsidRPr="001F0D28" w:rsidRDefault="001F0D28" w:rsidP="001F0D28">
      <w:pPr>
        <w:spacing w:line="360" w:lineRule="auto"/>
        <w:contextualSpacing/>
        <w:jc w:val="both"/>
        <w:rPr>
          <w:rFonts w:ascii="Palatino Linotype" w:eastAsiaTheme="minorEastAsia" w:hAnsi="Palatino Linotype" w:cstheme="minorBidi"/>
          <w:i/>
          <w:color w:val="000000"/>
          <w:sz w:val="22"/>
          <w:szCs w:val="22"/>
          <w:lang w:val="es-ES_tradnl" w:eastAsia="es-ES"/>
        </w:rPr>
      </w:pPr>
    </w:p>
    <w:p w:rsidR="00C0507E" w:rsidRDefault="00C0507E" w:rsidP="00C0507E">
      <w:pPr>
        <w:numPr>
          <w:ilvl w:val="0"/>
          <w:numId w:val="1"/>
        </w:numPr>
        <w:spacing w:line="360" w:lineRule="auto"/>
        <w:ind w:left="0" w:firstLine="0"/>
        <w:contextualSpacing/>
        <w:jc w:val="both"/>
        <w:rPr>
          <w:rFonts w:ascii="Palatino Linotype" w:eastAsia="Calibri" w:hAnsi="Palatino Linotype" w:cs="Arial"/>
          <w:lang w:val="es-ES" w:eastAsia="es-ES"/>
        </w:rPr>
      </w:pPr>
      <w:r w:rsidRPr="001431BD">
        <w:rPr>
          <w:rFonts w:ascii="Palatino Linotype" w:eastAsia="Calibri" w:hAnsi="Palatino Linotype" w:cs="Arial"/>
          <w:lang w:val="es-ES" w:eastAsia="es-ES"/>
        </w:rPr>
        <w:t xml:space="preserve">El día </w:t>
      </w:r>
      <w:r w:rsidR="001F0D28">
        <w:rPr>
          <w:rFonts w:ascii="Palatino Linotype" w:eastAsia="Calibri" w:hAnsi="Palatino Linotype" w:cs="Arial"/>
          <w:lang w:val="es-ES" w:eastAsia="es-ES"/>
        </w:rPr>
        <w:t>tres (03) de agosto</w:t>
      </w:r>
      <w:r w:rsidRPr="001431BD">
        <w:rPr>
          <w:rFonts w:ascii="Palatino Linotype" w:eastAsia="Calibri" w:hAnsi="Palatino Linotype" w:cs="Arial"/>
          <w:lang w:val="es-ES" w:eastAsia="es-ES"/>
        </w:rPr>
        <w:t xml:space="preserve"> de dos mil veintiuno, el </w:t>
      </w:r>
      <w:r w:rsidRPr="001431BD">
        <w:rPr>
          <w:rFonts w:ascii="Palatino Linotype" w:eastAsia="Calibri" w:hAnsi="Palatino Linotype" w:cs="Arial"/>
          <w:b/>
          <w:lang w:val="es-ES" w:eastAsia="es-ES"/>
        </w:rPr>
        <w:t>SUJETO OBLIGADO</w:t>
      </w:r>
      <w:r w:rsidRPr="001431BD">
        <w:rPr>
          <w:rFonts w:ascii="Palatino Linotype" w:eastAsia="Calibri" w:hAnsi="Palatino Linotype" w:cs="Arial"/>
          <w:lang w:val="es-ES" w:eastAsia="es-ES"/>
        </w:rPr>
        <w:t xml:space="preserve"> rindió informe justificado que se puso a la vista el </w:t>
      </w:r>
      <w:r w:rsidR="001F0D28">
        <w:rPr>
          <w:rFonts w:ascii="Palatino Linotype" w:eastAsia="Calibri" w:hAnsi="Palatino Linotype" w:cs="Arial"/>
          <w:lang w:val="es-ES" w:eastAsia="es-ES"/>
        </w:rPr>
        <w:t xml:space="preserve">seis (06) de septiembre </w:t>
      </w:r>
      <w:r w:rsidRPr="001431BD">
        <w:rPr>
          <w:rFonts w:ascii="Palatino Linotype" w:eastAsia="Calibri" w:hAnsi="Palatino Linotype" w:cs="Arial"/>
          <w:lang w:val="es-ES" w:eastAsia="es-ES"/>
        </w:rPr>
        <w:t xml:space="preserve"> de dos mil veintiuno, y </w:t>
      </w:r>
      <w:r w:rsidR="001F0D28">
        <w:rPr>
          <w:rFonts w:ascii="Palatino Linotype" w:eastAsia="Calibri" w:hAnsi="Palatino Linotype" w:cs="Arial"/>
          <w:lang w:val="es-ES" w:eastAsia="es-ES"/>
        </w:rPr>
        <w:t xml:space="preserve">en el </w:t>
      </w:r>
      <w:r w:rsidRPr="001431BD">
        <w:rPr>
          <w:rFonts w:ascii="Palatino Linotype" w:eastAsia="Calibri" w:hAnsi="Palatino Linotype" w:cs="Arial"/>
          <w:lang w:val="es-ES" w:eastAsia="es-ES"/>
        </w:rPr>
        <w:t>que consta</w:t>
      </w:r>
      <w:r w:rsidR="001F0D28">
        <w:rPr>
          <w:rFonts w:ascii="Palatino Linotype" w:eastAsia="Calibri" w:hAnsi="Palatino Linotype" w:cs="Arial"/>
          <w:lang w:val="es-ES" w:eastAsia="es-ES"/>
        </w:rPr>
        <w:t>n</w:t>
      </w:r>
      <w:r w:rsidRPr="001431BD">
        <w:rPr>
          <w:rFonts w:ascii="Palatino Linotype" w:eastAsia="Calibri" w:hAnsi="Palatino Linotype" w:cs="Arial"/>
          <w:lang w:val="es-ES" w:eastAsia="es-ES"/>
        </w:rPr>
        <w:t xml:space="preserve"> de los siguientes documentos:</w:t>
      </w:r>
    </w:p>
    <w:p w:rsidR="001F0D28" w:rsidRDefault="001F0D28" w:rsidP="001F0D28">
      <w:pPr>
        <w:spacing w:line="360" w:lineRule="auto"/>
        <w:contextualSpacing/>
        <w:jc w:val="both"/>
        <w:rPr>
          <w:rFonts w:ascii="Palatino Linotype" w:eastAsia="Calibri" w:hAnsi="Palatino Linotype" w:cs="Arial"/>
          <w:lang w:val="es-ES" w:eastAsia="es-ES"/>
        </w:rPr>
      </w:pPr>
    </w:p>
    <w:p w:rsidR="001F0D28" w:rsidRDefault="00286DEF" w:rsidP="001F0D28">
      <w:pPr>
        <w:pStyle w:val="Prrafodelista"/>
        <w:numPr>
          <w:ilvl w:val="0"/>
          <w:numId w:val="7"/>
        </w:numPr>
        <w:spacing w:line="360" w:lineRule="auto"/>
        <w:jc w:val="both"/>
        <w:rPr>
          <w:rFonts w:ascii="Palatino Linotype" w:hAnsi="Palatino Linotype"/>
          <w:sz w:val="24"/>
        </w:rPr>
      </w:pPr>
      <w:hyperlink r:id="rId12" w:history="1">
        <w:r w:rsidR="001F0D28" w:rsidRPr="001F0D28">
          <w:rPr>
            <w:rStyle w:val="Hipervnculo"/>
            <w:rFonts w:ascii="Palatino Linotype" w:hAnsi="Palatino Linotype" w:cs="Arial"/>
            <w:b/>
            <w:bCs/>
            <w:color w:val="auto"/>
            <w:sz w:val="24"/>
          </w:rPr>
          <w:t>RR 3648-2021 DGI.pdf</w:t>
        </w:r>
      </w:hyperlink>
      <w:r w:rsidR="001F0D28" w:rsidRPr="001F0D28">
        <w:rPr>
          <w:rFonts w:ascii="Palatino Linotype" w:hAnsi="Palatino Linotype"/>
          <w:sz w:val="24"/>
        </w:rPr>
        <w:t>:</w:t>
      </w:r>
      <w:r w:rsidR="00822CE0">
        <w:rPr>
          <w:rFonts w:ascii="Palatino Linotype" w:hAnsi="Palatino Linotype"/>
          <w:sz w:val="24"/>
        </w:rPr>
        <w:t xml:space="preserve"> consta de dos oficios con números 20704004L/0222/2021 y 20704005L/48/2021; en ambos se manifestó que el monto asignado y liberado para los ejercicios fiscales</w:t>
      </w:r>
      <w:r w:rsidR="00717FB8">
        <w:rPr>
          <w:rFonts w:ascii="Palatino Linotype" w:hAnsi="Palatino Linotype"/>
          <w:sz w:val="24"/>
        </w:rPr>
        <w:t xml:space="preserve"> 2019 y 2020 para cada uno de lo</w:t>
      </w:r>
      <w:r w:rsidR="00822CE0">
        <w:rPr>
          <w:rFonts w:ascii="Palatino Linotype" w:hAnsi="Palatino Linotype"/>
          <w:sz w:val="24"/>
        </w:rPr>
        <w:t>s 125 municipios de la entidad, pueden ser consultados de manera pública en las siguientes ligas electrónicas :</w:t>
      </w:r>
    </w:p>
    <w:p w:rsidR="00822CE0" w:rsidRDefault="00822CE0" w:rsidP="00822CE0">
      <w:pPr>
        <w:pStyle w:val="Prrafodelista"/>
        <w:spacing w:line="360" w:lineRule="auto"/>
        <w:jc w:val="both"/>
        <w:rPr>
          <w:rFonts w:ascii="Palatino Linotype" w:hAnsi="Palatino Linotype"/>
          <w:sz w:val="24"/>
        </w:rPr>
      </w:pPr>
    </w:p>
    <w:p w:rsidR="00822CE0" w:rsidRDefault="00822CE0" w:rsidP="00822CE0">
      <w:pPr>
        <w:pStyle w:val="Prrafodelista"/>
        <w:spacing w:line="360" w:lineRule="auto"/>
        <w:jc w:val="both"/>
        <w:rPr>
          <w:rFonts w:ascii="Palatino Linotype" w:hAnsi="Palatino Linotype"/>
          <w:sz w:val="24"/>
        </w:rPr>
      </w:pPr>
      <w:r>
        <w:rPr>
          <w:rFonts w:ascii="Palatino Linotype" w:hAnsi="Palatino Linotype"/>
          <w:sz w:val="24"/>
        </w:rPr>
        <w:t xml:space="preserve">DEL FORTATUM </w:t>
      </w:r>
    </w:p>
    <w:p w:rsidR="00822CE0" w:rsidRDefault="00822CE0" w:rsidP="00822CE0">
      <w:pPr>
        <w:pStyle w:val="Prrafodelista"/>
        <w:spacing w:line="360" w:lineRule="auto"/>
        <w:jc w:val="both"/>
        <w:rPr>
          <w:rFonts w:ascii="Palatino Linotype" w:hAnsi="Palatino Linotype"/>
          <w:sz w:val="24"/>
        </w:rPr>
      </w:pPr>
      <w:r>
        <w:rPr>
          <w:rFonts w:ascii="Palatino Linotype" w:hAnsi="Palatino Linotype"/>
          <w:sz w:val="24"/>
        </w:rPr>
        <w:t>AÑO 2019:</w:t>
      </w:r>
    </w:p>
    <w:p w:rsidR="00822CE0" w:rsidRDefault="00286DEF" w:rsidP="00822CE0">
      <w:pPr>
        <w:pStyle w:val="Prrafodelista"/>
        <w:spacing w:line="360" w:lineRule="auto"/>
        <w:jc w:val="both"/>
        <w:rPr>
          <w:rFonts w:ascii="Palatino Linotype" w:hAnsi="Palatino Linotype"/>
          <w:sz w:val="24"/>
        </w:rPr>
      </w:pPr>
      <w:hyperlink r:id="rId13" w:history="1">
        <w:r w:rsidR="00717FB8" w:rsidRPr="00D24F43">
          <w:rPr>
            <w:rStyle w:val="Hipervnculo"/>
            <w:rFonts w:ascii="Palatino Linotype" w:hAnsi="Palatino Linotype"/>
            <w:sz w:val="24"/>
          </w:rPr>
          <w:t>http://transparenciafiscal.edomex.gob.mx/sites/transparenciafiscal.edomex.gob.mx/files/files/pdf/marco-programatico-presupuestal/FISM-FORTAMUNDF-2019.pdf</w:t>
        </w:r>
      </w:hyperlink>
    </w:p>
    <w:p w:rsidR="00717FB8" w:rsidRDefault="00717FB8" w:rsidP="00822CE0">
      <w:pPr>
        <w:pStyle w:val="Prrafodelista"/>
        <w:spacing w:line="360" w:lineRule="auto"/>
        <w:jc w:val="both"/>
        <w:rPr>
          <w:rFonts w:ascii="Palatino Linotype" w:hAnsi="Palatino Linotype"/>
          <w:sz w:val="24"/>
        </w:rPr>
      </w:pPr>
    </w:p>
    <w:p w:rsidR="00822CE0" w:rsidRDefault="00822CE0" w:rsidP="00822CE0">
      <w:pPr>
        <w:pStyle w:val="Prrafodelista"/>
        <w:spacing w:line="360" w:lineRule="auto"/>
        <w:jc w:val="both"/>
        <w:rPr>
          <w:rFonts w:ascii="Palatino Linotype" w:hAnsi="Palatino Linotype"/>
          <w:sz w:val="24"/>
        </w:rPr>
      </w:pPr>
      <w:r>
        <w:rPr>
          <w:rFonts w:ascii="Palatino Linotype" w:hAnsi="Palatino Linotype"/>
          <w:sz w:val="24"/>
        </w:rPr>
        <w:t>AÑO 2020:</w:t>
      </w:r>
    </w:p>
    <w:p w:rsidR="00822CE0" w:rsidRDefault="00286DEF" w:rsidP="00822CE0">
      <w:pPr>
        <w:pStyle w:val="Prrafodelista"/>
        <w:spacing w:line="360" w:lineRule="auto"/>
        <w:jc w:val="both"/>
        <w:rPr>
          <w:rFonts w:ascii="Palatino Linotype" w:hAnsi="Palatino Linotype"/>
          <w:sz w:val="24"/>
        </w:rPr>
      </w:pPr>
      <w:hyperlink r:id="rId14" w:history="1">
        <w:r w:rsidR="00717FB8" w:rsidRPr="00D24F43">
          <w:rPr>
            <w:rStyle w:val="Hipervnculo"/>
            <w:rFonts w:ascii="Palatino Linotype" w:hAnsi="Palatino Linotype"/>
            <w:sz w:val="24"/>
          </w:rPr>
          <w:t>http://transparenciafiscal.edomex.gob.mx/sites/transparenciafiscal.edomex.gob.mx/files/files/pdf/marco-programatico-presupuestal/Anexo-Metodologico-FORTAMUNDF-2020.pdf</w:t>
        </w:r>
      </w:hyperlink>
    </w:p>
    <w:p w:rsidR="00717FB8" w:rsidRDefault="00717FB8" w:rsidP="00822CE0">
      <w:pPr>
        <w:pStyle w:val="Prrafodelista"/>
        <w:spacing w:line="360" w:lineRule="auto"/>
        <w:jc w:val="both"/>
        <w:rPr>
          <w:rFonts w:ascii="Palatino Linotype" w:hAnsi="Palatino Linotype"/>
          <w:sz w:val="24"/>
        </w:rPr>
      </w:pPr>
    </w:p>
    <w:p w:rsidR="00717FB8" w:rsidRDefault="00717FB8" w:rsidP="00822CE0">
      <w:pPr>
        <w:pStyle w:val="Prrafodelista"/>
        <w:spacing w:line="360" w:lineRule="auto"/>
        <w:jc w:val="both"/>
        <w:rPr>
          <w:rFonts w:ascii="Palatino Linotype" w:hAnsi="Palatino Linotype"/>
          <w:sz w:val="24"/>
        </w:rPr>
      </w:pPr>
      <w:r>
        <w:rPr>
          <w:rFonts w:ascii="Palatino Linotype" w:hAnsi="Palatino Linotype"/>
          <w:sz w:val="24"/>
        </w:rPr>
        <w:t>DEL FEFOM</w:t>
      </w:r>
    </w:p>
    <w:p w:rsidR="00717FB8" w:rsidRDefault="00286DEF" w:rsidP="00822CE0">
      <w:pPr>
        <w:pStyle w:val="Prrafodelista"/>
        <w:spacing w:line="360" w:lineRule="auto"/>
        <w:jc w:val="both"/>
        <w:rPr>
          <w:rFonts w:ascii="Palatino Linotype" w:hAnsi="Palatino Linotype"/>
          <w:sz w:val="24"/>
        </w:rPr>
      </w:pPr>
      <w:hyperlink r:id="rId15" w:history="1">
        <w:r w:rsidR="00717FB8" w:rsidRPr="00D24F43">
          <w:rPr>
            <w:rStyle w:val="Hipervnculo"/>
            <w:rFonts w:ascii="Palatino Linotype" w:hAnsi="Palatino Linotype"/>
            <w:sz w:val="24"/>
          </w:rPr>
          <w:t>http://fefom.edomex.gob.mx/asignacion_presupuestal</w:t>
        </w:r>
      </w:hyperlink>
      <w:r w:rsidR="00717FB8">
        <w:rPr>
          <w:rFonts w:ascii="Palatino Linotype" w:hAnsi="Palatino Linotype"/>
          <w:sz w:val="24"/>
        </w:rPr>
        <w:t xml:space="preserve"> </w:t>
      </w:r>
    </w:p>
    <w:p w:rsidR="00717FB8" w:rsidRDefault="00717FB8" w:rsidP="00822CE0">
      <w:pPr>
        <w:pStyle w:val="Prrafodelista"/>
        <w:spacing w:line="360" w:lineRule="auto"/>
        <w:jc w:val="both"/>
        <w:rPr>
          <w:rFonts w:ascii="Palatino Linotype" w:hAnsi="Palatino Linotype"/>
          <w:sz w:val="24"/>
        </w:rPr>
      </w:pPr>
    </w:p>
    <w:p w:rsidR="00717FB8" w:rsidRDefault="00717FB8" w:rsidP="00822CE0">
      <w:pPr>
        <w:pStyle w:val="Prrafodelista"/>
        <w:spacing w:line="360" w:lineRule="auto"/>
        <w:jc w:val="both"/>
        <w:rPr>
          <w:rFonts w:ascii="Palatino Linotype" w:hAnsi="Palatino Linotype"/>
          <w:sz w:val="24"/>
        </w:rPr>
      </w:pPr>
    </w:p>
    <w:p w:rsidR="00717FB8" w:rsidRDefault="00717FB8" w:rsidP="00822CE0">
      <w:pPr>
        <w:pStyle w:val="Prrafodelista"/>
        <w:spacing w:line="360" w:lineRule="auto"/>
        <w:jc w:val="both"/>
        <w:rPr>
          <w:rFonts w:ascii="Palatino Linotype" w:hAnsi="Palatino Linotype"/>
          <w:sz w:val="24"/>
        </w:rPr>
      </w:pPr>
      <w:r>
        <w:rPr>
          <w:rFonts w:ascii="Palatino Linotype" w:hAnsi="Palatino Linotype"/>
          <w:sz w:val="24"/>
        </w:rPr>
        <w:t>AÑO 2019:</w:t>
      </w:r>
    </w:p>
    <w:p w:rsidR="00717FB8" w:rsidRDefault="00286DEF" w:rsidP="00822CE0">
      <w:pPr>
        <w:pStyle w:val="Prrafodelista"/>
        <w:spacing w:line="360" w:lineRule="auto"/>
        <w:jc w:val="both"/>
        <w:rPr>
          <w:rFonts w:ascii="Palatino Linotype" w:hAnsi="Palatino Linotype"/>
          <w:sz w:val="24"/>
        </w:rPr>
      </w:pPr>
      <w:hyperlink r:id="rId16" w:history="1">
        <w:r w:rsidR="00717FB8" w:rsidRPr="00D24F43">
          <w:rPr>
            <w:rStyle w:val="Hipervnculo"/>
            <w:rFonts w:ascii="Palatino Linotype" w:hAnsi="Palatino Linotype"/>
            <w:sz w:val="24"/>
          </w:rPr>
          <w:t>http://transparenciafiscal.edomex.gob.mx/sites/transparenciafiscal.edomex.gob.mx/files/files/pdf/marco-programatico-presupuestal/FEFOM-2019.pdf</w:t>
        </w:r>
      </w:hyperlink>
      <w:r w:rsidR="00717FB8">
        <w:rPr>
          <w:rFonts w:ascii="Palatino Linotype" w:hAnsi="Palatino Linotype"/>
          <w:sz w:val="24"/>
        </w:rPr>
        <w:t xml:space="preserve"> </w:t>
      </w:r>
    </w:p>
    <w:p w:rsidR="00717FB8" w:rsidRDefault="00717FB8" w:rsidP="00822CE0">
      <w:pPr>
        <w:pStyle w:val="Prrafodelista"/>
        <w:spacing w:line="360" w:lineRule="auto"/>
        <w:jc w:val="both"/>
        <w:rPr>
          <w:rFonts w:ascii="Palatino Linotype" w:hAnsi="Palatino Linotype"/>
          <w:sz w:val="24"/>
        </w:rPr>
      </w:pPr>
    </w:p>
    <w:p w:rsidR="00717FB8" w:rsidRDefault="00717FB8" w:rsidP="00822CE0">
      <w:pPr>
        <w:pStyle w:val="Prrafodelista"/>
        <w:spacing w:line="360" w:lineRule="auto"/>
        <w:jc w:val="both"/>
        <w:rPr>
          <w:rFonts w:ascii="Palatino Linotype" w:hAnsi="Palatino Linotype"/>
          <w:sz w:val="24"/>
        </w:rPr>
      </w:pPr>
      <w:r>
        <w:rPr>
          <w:rFonts w:ascii="Palatino Linotype" w:hAnsi="Palatino Linotype"/>
          <w:sz w:val="24"/>
        </w:rPr>
        <w:t>AÑO 2020:</w:t>
      </w:r>
    </w:p>
    <w:p w:rsidR="00717FB8" w:rsidRDefault="00286DEF" w:rsidP="00822CE0">
      <w:pPr>
        <w:pStyle w:val="Prrafodelista"/>
        <w:spacing w:line="360" w:lineRule="auto"/>
        <w:jc w:val="both"/>
        <w:rPr>
          <w:rFonts w:ascii="Palatino Linotype" w:hAnsi="Palatino Linotype"/>
          <w:sz w:val="24"/>
        </w:rPr>
      </w:pPr>
      <w:hyperlink r:id="rId17" w:history="1">
        <w:r w:rsidR="00717FB8" w:rsidRPr="00D24F43">
          <w:rPr>
            <w:rStyle w:val="Hipervnculo"/>
            <w:rFonts w:ascii="Palatino Linotype" w:hAnsi="Palatino Linotype"/>
            <w:sz w:val="24"/>
          </w:rPr>
          <w:t>http://transparenciafiscal.edomex.gob.mx/sites/transparenciafiscal.edomex.gob.mx/files/files/pdf/marco-programatico-presupuestal/lineamientos-FEFOM-2020.pdf</w:t>
        </w:r>
      </w:hyperlink>
      <w:r w:rsidR="00717FB8">
        <w:rPr>
          <w:rFonts w:ascii="Palatino Linotype" w:hAnsi="Palatino Linotype"/>
          <w:sz w:val="24"/>
        </w:rPr>
        <w:t xml:space="preserve"> </w:t>
      </w:r>
    </w:p>
    <w:p w:rsidR="00DE35A1" w:rsidRDefault="00DE35A1" w:rsidP="00822CE0">
      <w:pPr>
        <w:pStyle w:val="Prrafodelista"/>
        <w:spacing w:line="360" w:lineRule="auto"/>
        <w:jc w:val="both"/>
        <w:rPr>
          <w:rFonts w:ascii="Palatino Linotype" w:hAnsi="Palatino Linotype"/>
          <w:sz w:val="24"/>
        </w:rPr>
      </w:pPr>
    </w:p>
    <w:p w:rsidR="00822CE0" w:rsidRDefault="00717FB8" w:rsidP="00822CE0">
      <w:pPr>
        <w:pStyle w:val="Prrafodelista"/>
        <w:spacing w:line="360" w:lineRule="auto"/>
        <w:jc w:val="both"/>
        <w:rPr>
          <w:rFonts w:ascii="Palatino Linotype" w:hAnsi="Palatino Linotype"/>
          <w:sz w:val="24"/>
        </w:rPr>
      </w:pPr>
      <w:r>
        <w:rPr>
          <w:rFonts w:ascii="Palatino Linotype" w:hAnsi="Palatino Linotype"/>
          <w:sz w:val="24"/>
        </w:rPr>
        <w:t xml:space="preserve">Asimismo, en los oficios se manifestó que en caso de que exista discrepancia entre </w:t>
      </w:r>
      <w:r w:rsidR="00DE35A1">
        <w:rPr>
          <w:rFonts w:ascii="Palatino Linotype" w:hAnsi="Palatino Linotype"/>
          <w:sz w:val="24"/>
        </w:rPr>
        <w:t>los asignados</w:t>
      </w:r>
      <w:r>
        <w:rPr>
          <w:rFonts w:ascii="Palatino Linotype" w:hAnsi="Palatino Linotype"/>
          <w:sz w:val="24"/>
        </w:rPr>
        <w:t xml:space="preserve"> y lo enterado al municipio, en el caso del FEFOM, corresponde a que los municipios no dieron cumplimiento a lo establecido en los Lineamientos para la utilización del Fondo Estatal de Fortalecimiento Municipal y su</w:t>
      </w:r>
      <w:r w:rsidR="00DE35A1">
        <w:rPr>
          <w:rFonts w:ascii="Palatino Linotype" w:hAnsi="Palatino Linotype"/>
          <w:sz w:val="24"/>
        </w:rPr>
        <w:t>s</w:t>
      </w:r>
      <w:r>
        <w:rPr>
          <w:rFonts w:ascii="Palatino Linotype" w:hAnsi="Palatino Linotype"/>
          <w:sz w:val="24"/>
        </w:rPr>
        <w:t xml:space="preserve"> Criterios de Aplicación. Por lo que respecta al FORTAMUN, en caso de que existiera discrepancia entre lo asignado y lo enterado, obedece a que el municipio tiene alguna deuda en el pago de derechos de agua potable</w:t>
      </w:r>
      <w:r w:rsidR="00DE35A1">
        <w:rPr>
          <w:rFonts w:ascii="Palatino Linotype" w:hAnsi="Palatino Linotype"/>
          <w:sz w:val="24"/>
        </w:rPr>
        <w:t>, agua en bloque, energía eléctrica, ISSEMYM entre otros, y dichos recursos son pagados a la CONAGUA, CAEM, CFE, ISSEMYM entre otras.</w:t>
      </w:r>
    </w:p>
    <w:p w:rsidR="00DE35A1" w:rsidRPr="001F0D28" w:rsidRDefault="00DE35A1" w:rsidP="00822CE0">
      <w:pPr>
        <w:pStyle w:val="Prrafodelista"/>
        <w:spacing w:line="360" w:lineRule="auto"/>
        <w:jc w:val="both"/>
        <w:rPr>
          <w:rFonts w:ascii="Palatino Linotype" w:hAnsi="Palatino Linotype"/>
          <w:sz w:val="24"/>
        </w:rPr>
      </w:pPr>
    </w:p>
    <w:p w:rsidR="001F0D28" w:rsidRPr="00C751AD" w:rsidRDefault="00286DEF" w:rsidP="001F0D28">
      <w:pPr>
        <w:pStyle w:val="Prrafodelista"/>
        <w:numPr>
          <w:ilvl w:val="0"/>
          <w:numId w:val="7"/>
        </w:numPr>
        <w:spacing w:line="360" w:lineRule="auto"/>
        <w:jc w:val="both"/>
        <w:rPr>
          <w:rFonts w:ascii="Palatino Linotype" w:hAnsi="Palatino Linotype"/>
          <w:sz w:val="24"/>
        </w:rPr>
      </w:pPr>
      <w:hyperlink r:id="rId18" w:history="1">
        <w:r w:rsidR="001F0D28" w:rsidRPr="001F0D28">
          <w:rPr>
            <w:rStyle w:val="Hipervnculo"/>
            <w:rFonts w:ascii="Palatino Linotype" w:hAnsi="Palatino Linotype" w:cs="Arial"/>
            <w:b/>
            <w:bCs/>
            <w:color w:val="auto"/>
            <w:sz w:val="24"/>
          </w:rPr>
          <w:t>FEFOM-2019.pdf</w:t>
        </w:r>
      </w:hyperlink>
      <w:r w:rsidR="001F0D28" w:rsidRPr="001F0D28">
        <w:rPr>
          <w:rFonts w:ascii="Palatino Linotype" w:hAnsi="Palatino Linotype" w:cs="Arial"/>
          <w:sz w:val="24"/>
        </w:rPr>
        <w:t>:</w:t>
      </w:r>
      <w:r w:rsidR="00DE35A1">
        <w:rPr>
          <w:rFonts w:ascii="Palatino Linotype" w:hAnsi="Palatino Linotype" w:cs="Arial"/>
          <w:sz w:val="24"/>
        </w:rPr>
        <w:t xml:space="preserve"> Gaceta del Gobierno del Estado Libre y Soberano de México del jueves treinta y uno de enero de dos mil diecinueve, con el Acuerdo mediante el cual se dan a conocer las fórmulas y variables utilizadas para determinar el monto </w:t>
      </w:r>
      <w:r w:rsidR="00C751AD">
        <w:rPr>
          <w:rFonts w:ascii="Palatino Linotype" w:hAnsi="Palatino Linotype" w:cs="Arial"/>
          <w:sz w:val="24"/>
        </w:rPr>
        <w:t>correspondiente a cada municipio del Fondo Estatal de Fortalecimiento Municipal para el ejercicio fiscal 2019.</w:t>
      </w:r>
    </w:p>
    <w:p w:rsidR="00C751AD" w:rsidRPr="001F0D28" w:rsidRDefault="00C751AD" w:rsidP="00C751AD">
      <w:pPr>
        <w:pStyle w:val="Prrafodelista"/>
        <w:spacing w:line="360" w:lineRule="auto"/>
        <w:jc w:val="both"/>
        <w:rPr>
          <w:rFonts w:ascii="Palatino Linotype" w:hAnsi="Palatino Linotype"/>
          <w:sz w:val="24"/>
        </w:rPr>
      </w:pPr>
    </w:p>
    <w:p w:rsidR="001F0D28" w:rsidRDefault="00286DEF" w:rsidP="001F0D28">
      <w:pPr>
        <w:pStyle w:val="Prrafodelista"/>
        <w:numPr>
          <w:ilvl w:val="0"/>
          <w:numId w:val="7"/>
        </w:numPr>
        <w:spacing w:line="360" w:lineRule="auto"/>
        <w:jc w:val="both"/>
        <w:rPr>
          <w:rFonts w:ascii="Palatino Linotype" w:hAnsi="Palatino Linotype"/>
          <w:sz w:val="24"/>
        </w:rPr>
      </w:pPr>
      <w:hyperlink r:id="rId19" w:history="1">
        <w:r w:rsidR="001F0D28" w:rsidRPr="001F0D28">
          <w:rPr>
            <w:rStyle w:val="Hipervnculo"/>
            <w:rFonts w:ascii="Palatino Linotype" w:hAnsi="Palatino Linotype" w:cs="Arial"/>
            <w:b/>
            <w:bCs/>
            <w:color w:val="auto"/>
            <w:sz w:val="24"/>
          </w:rPr>
          <w:t>RR 3648-2021 Informe Justificado.pdf</w:t>
        </w:r>
      </w:hyperlink>
      <w:r w:rsidR="001F0D28" w:rsidRPr="001F0D28">
        <w:rPr>
          <w:rFonts w:ascii="Palatino Linotype" w:hAnsi="Palatino Linotype"/>
          <w:sz w:val="24"/>
        </w:rPr>
        <w:t>:</w:t>
      </w:r>
      <w:r w:rsidR="00C751AD">
        <w:rPr>
          <w:rFonts w:ascii="Palatino Linotype" w:hAnsi="Palatino Linotype"/>
          <w:sz w:val="24"/>
        </w:rPr>
        <w:t xml:space="preserve"> Informe Justificado suscrito por el Titular de la Unidad de Transparencia de la Secretaría de Finanzas, mediante </w:t>
      </w:r>
      <w:r w:rsidR="00C751AD">
        <w:rPr>
          <w:rFonts w:ascii="Palatino Linotype" w:hAnsi="Palatino Linotype"/>
          <w:sz w:val="24"/>
        </w:rPr>
        <w:lastRenderedPageBreak/>
        <w:t xml:space="preserve">el que solicitó se tenga por rendido el informe justificado </w:t>
      </w:r>
      <w:r w:rsidR="00511195">
        <w:rPr>
          <w:rFonts w:ascii="Palatino Linotype" w:hAnsi="Palatino Linotype"/>
          <w:sz w:val="24"/>
        </w:rPr>
        <w:t>y se tengan por ofrecidas, admitidas y desahogadas las pruebas a que se hace mención.</w:t>
      </w:r>
    </w:p>
    <w:p w:rsidR="00C751AD" w:rsidRPr="00C751AD" w:rsidRDefault="00C751AD" w:rsidP="00C751AD">
      <w:pPr>
        <w:spacing w:line="360" w:lineRule="auto"/>
        <w:jc w:val="both"/>
        <w:rPr>
          <w:rFonts w:ascii="Palatino Linotype" w:hAnsi="Palatino Linotype"/>
        </w:rPr>
      </w:pPr>
    </w:p>
    <w:p w:rsidR="001F0D28" w:rsidRPr="00511195" w:rsidRDefault="00286DEF" w:rsidP="001F0D28">
      <w:pPr>
        <w:pStyle w:val="Prrafodelista"/>
        <w:numPr>
          <w:ilvl w:val="0"/>
          <w:numId w:val="7"/>
        </w:numPr>
        <w:spacing w:line="360" w:lineRule="auto"/>
        <w:jc w:val="both"/>
        <w:rPr>
          <w:rFonts w:ascii="Palatino Linotype" w:hAnsi="Palatino Linotype"/>
          <w:sz w:val="24"/>
        </w:rPr>
      </w:pPr>
      <w:hyperlink r:id="rId20" w:history="1">
        <w:r w:rsidR="001F0D28" w:rsidRPr="001F0D28">
          <w:rPr>
            <w:rStyle w:val="Hipervnculo"/>
            <w:rFonts w:ascii="Palatino Linotype" w:hAnsi="Palatino Linotype" w:cs="Arial"/>
            <w:b/>
            <w:bCs/>
            <w:color w:val="auto"/>
            <w:sz w:val="24"/>
          </w:rPr>
          <w:t>FEFOM-2020.pdf</w:t>
        </w:r>
      </w:hyperlink>
      <w:r w:rsidR="001F0D28" w:rsidRPr="001F0D28">
        <w:rPr>
          <w:rFonts w:ascii="Palatino Linotype" w:hAnsi="Palatino Linotype" w:cs="Arial"/>
          <w:sz w:val="24"/>
        </w:rPr>
        <w:t>:</w:t>
      </w:r>
      <w:r w:rsidR="00511195">
        <w:rPr>
          <w:rFonts w:ascii="Palatino Linotype" w:hAnsi="Palatino Linotype" w:cs="Arial"/>
          <w:sz w:val="24"/>
        </w:rPr>
        <w:t xml:space="preserve"> Gaceta del Gobierno del Estado Libre y Soberano de México del treinta y uno de enero de dos mil veinte, mediante el cual se emite el Acuerdo por el cual se dan a conocer las formulas y variables utilizadas para la determinar el monto asignado a cada municipio del Fondo Estatal de Fortalecimiento Municipal para el ejercicio fiscal 2020.</w:t>
      </w:r>
    </w:p>
    <w:p w:rsidR="00511195" w:rsidRPr="00511195" w:rsidRDefault="00511195" w:rsidP="00511195">
      <w:pPr>
        <w:spacing w:line="360" w:lineRule="auto"/>
        <w:jc w:val="both"/>
        <w:rPr>
          <w:rFonts w:ascii="Palatino Linotype" w:hAnsi="Palatino Linotype"/>
        </w:rPr>
      </w:pPr>
    </w:p>
    <w:p w:rsidR="001F0D28" w:rsidRDefault="00286DEF" w:rsidP="001F0D28">
      <w:pPr>
        <w:pStyle w:val="Prrafodelista"/>
        <w:numPr>
          <w:ilvl w:val="0"/>
          <w:numId w:val="7"/>
        </w:numPr>
        <w:spacing w:line="360" w:lineRule="auto"/>
        <w:jc w:val="both"/>
        <w:rPr>
          <w:rFonts w:ascii="Palatino Linotype" w:hAnsi="Palatino Linotype"/>
          <w:sz w:val="24"/>
        </w:rPr>
      </w:pPr>
      <w:hyperlink r:id="rId21" w:history="1">
        <w:r w:rsidR="001F0D28" w:rsidRPr="001F0D28">
          <w:rPr>
            <w:rStyle w:val="Hipervnculo"/>
            <w:rFonts w:ascii="Palatino Linotype" w:hAnsi="Palatino Linotype" w:cs="Arial"/>
            <w:b/>
            <w:bCs/>
            <w:color w:val="auto"/>
            <w:sz w:val="24"/>
          </w:rPr>
          <w:t>FISM-FORTAMUNDF-2019.pdf</w:t>
        </w:r>
      </w:hyperlink>
      <w:r w:rsidR="001F0D28" w:rsidRPr="001F0D28">
        <w:rPr>
          <w:rFonts w:ascii="Palatino Linotype" w:hAnsi="Palatino Linotype"/>
          <w:sz w:val="24"/>
        </w:rPr>
        <w:t>:</w:t>
      </w:r>
      <w:r w:rsidR="00511195">
        <w:rPr>
          <w:rFonts w:ascii="Palatino Linotype" w:hAnsi="Palatino Linotype"/>
          <w:sz w:val="24"/>
        </w:rPr>
        <w:t xml:space="preserve"> Gaceta del Gobierno del Estado Libre y Soberano de México del treinta y uno de enero de dos mil diecinueve, mediante el cual se emite el Acuerdo por el que se dan a conocer las variables, fórmulas, metodología, distribución y el calendario de las asignaciones por municipio que corresponden al Fondo de Aportaciones para el Fortalecimiento de los Municipios y de las demarcaciones territoriales del Distrito Federal (FORTAMUNDF) para el ejercicio fiscal 2019.</w:t>
      </w:r>
    </w:p>
    <w:p w:rsidR="00511195" w:rsidRPr="00511195" w:rsidRDefault="00511195" w:rsidP="00511195">
      <w:pPr>
        <w:spacing w:line="360" w:lineRule="auto"/>
        <w:jc w:val="both"/>
        <w:rPr>
          <w:rFonts w:ascii="Palatino Linotype" w:hAnsi="Palatino Linotype"/>
        </w:rPr>
      </w:pPr>
    </w:p>
    <w:p w:rsidR="00C0507E" w:rsidRDefault="00286DEF" w:rsidP="00C0507E">
      <w:pPr>
        <w:pStyle w:val="Prrafodelista"/>
        <w:numPr>
          <w:ilvl w:val="0"/>
          <w:numId w:val="7"/>
        </w:numPr>
        <w:spacing w:line="360" w:lineRule="auto"/>
        <w:jc w:val="both"/>
        <w:rPr>
          <w:rFonts w:ascii="Palatino Linotype" w:hAnsi="Palatino Linotype"/>
          <w:sz w:val="24"/>
        </w:rPr>
      </w:pPr>
      <w:hyperlink r:id="rId22" w:history="1">
        <w:r w:rsidR="001F0D28" w:rsidRPr="001F0D28">
          <w:rPr>
            <w:rStyle w:val="Hipervnculo"/>
            <w:rFonts w:ascii="Palatino Linotype" w:hAnsi="Palatino Linotype" w:cs="Arial"/>
            <w:b/>
            <w:bCs/>
            <w:color w:val="auto"/>
            <w:sz w:val="24"/>
          </w:rPr>
          <w:t>Anexo-Metodologico-FORTAMUNDF-2020.pdf</w:t>
        </w:r>
      </w:hyperlink>
      <w:r w:rsidR="001F0D28" w:rsidRPr="001F0D28">
        <w:rPr>
          <w:rFonts w:ascii="Palatino Linotype" w:hAnsi="Palatino Linotype"/>
          <w:sz w:val="24"/>
        </w:rPr>
        <w:t>:</w:t>
      </w:r>
      <w:r w:rsidR="00511195">
        <w:rPr>
          <w:rFonts w:ascii="Palatino Linotype" w:hAnsi="Palatino Linotype"/>
          <w:sz w:val="24"/>
        </w:rPr>
        <w:t xml:space="preserve"> Gaceta del Gobierno del Estado Libre y Soberano de México</w:t>
      </w:r>
      <w:r w:rsidR="00423FF0">
        <w:rPr>
          <w:rFonts w:ascii="Palatino Linotype" w:hAnsi="Palatino Linotype"/>
          <w:sz w:val="24"/>
        </w:rPr>
        <w:t xml:space="preserve"> del treinta y uno de enero de dos mil veinte, mediante el cual se emite el acuerdo por el que se dan a conocer </w:t>
      </w:r>
      <w:r w:rsidR="003E07F5">
        <w:rPr>
          <w:rFonts w:ascii="Palatino Linotype" w:hAnsi="Palatino Linotype"/>
          <w:sz w:val="24"/>
        </w:rPr>
        <w:t>las variables, fórmulas, distribución y el calendario de las asignaciones por municipio que corresponden al Fondo de Aportaciones para el Fortalecimiento de los Municipios y de las demarcaciones territoriales del Distrito Federal (FORTAMUNDF) PARA EL EJERCICIO FISCAL 2020.</w:t>
      </w:r>
    </w:p>
    <w:p w:rsidR="003E07F5" w:rsidRPr="003E07F5" w:rsidRDefault="003E07F5" w:rsidP="003E07F5">
      <w:pPr>
        <w:spacing w:line="360" w:lineRule="auto"/>
        <w:jc w:val="both"/>
        <w:rPr>
          <w:rFonts w:ascii="Palatino Linotype" w:hAnsi="Palatino Linotype"/>
        </w:rPr>
      </w:pPr>
    </w:p>
    <w:p w:rsidR="00C0507E" w:rsidRPr="001431BD" w:rsidRDefault="00C0507E" w:rsidP="00C0507E">
      <w:pPr>
        <w:pStyle w:val="Prrafodelista"/>
        <w:numPr>
          <w:ilvl w:val="0"/>
          <w:numId w:val="1"/>
        </w:numPr>
        <w:spacing w:line="360" w:lineRule="auto"/>
        <w:ind w:left="0" w:right="48" w:firstLine="0"/>
        <w:jc w:val="both"/>
        <w:rPr>
          <w:rFonts w:ascii="Palatino Linotype" w:hAnsi="Palatino Linotype"/>
          <w:b/>
          <w:sz w:val="24"/>
        </w:rPr>
      </w:pPr>
      <w:r w:rsidRPr="001431BD">
        <w:rPr>
          <w:rFonts w:ascii="Palatino Linotype" w:hAnsi="Palatino Linotype"/>
          <w:sz w:val="24"/>
        </w:rPr>
        <w:lastRenderedPageBreak/>
        <w:t xml:space="preserve">El veintitrés (23) de agosto de dos mil veintiuno, en la Segunda Sesión Extraordinaria, el Pleno de este </w:t>
      </w:r>
      <w:r w:rsidR="003E07F5">
        <w:rPr>
          <w:rFonts w:ascii="Palatino Linotype" w:hAnsi="Palatino Linotype"/>
          <w:sz w:val="24"/>
        </w:rPr>
        <w:t>Órgano Garante aprobó el returno</w:t>
      </w:r>
      <w:r w:rsidRPr="001431BD">
        <w:rPr>
          <w:rFonts w:ascii="Palatino Linotype" w:hAnsi="Palatino Linotype"/>
          <w:sz w:val="24"/>
        </w:rPr>
        <w:t xml:space="preserve"> del recurso de revisión al rubro indicado, a la Ponencia de la </w:t>
      </w:r>
      <w:r w:rsidRPr="001431BD">
        <w:rPr>
          <w:rFonts w:ascii="Palatino Linotype" w:hAnsi="Palatino Linotype"/>
          <w:b/>
          <w:sz w:val="24"/>
        </w:rPr>
        <w:t>Comisionada María del Rosario Mejía Ayala.</w:t>
      </w:r>
    </w:p>
    <w:p w:rsidR="00C0507E" w:rsidRPr="001431BD" w:rsidRDefault="00C0507E" w:rsidP="00C0507E">
      <w:pPr>
        <w:spacing w:line="360" w:lineRule="auto"/>
        <w:contextualSpacing/>
        <w:jc w:val="both"/>
        <w:rPr>
          <w:rFonts w:ascii="Palatino Linotype" w:eastAsiaTheme="minorEastAsia" w:hAnsi="Palatino Linotype"/>
          <w:b/>
          <w:u w:val="single"/>
          <w:lang w:val="es-ES_tradnl" w:eastAsia="es-ES"/>
        </w:rPr>
      </w:pPr>
    </w:p>
    <w:p w:rsidR="00C0507E" w:rsidRPr="001431BD" w:rsidRDefault="00C0507E" w:rsidP="00C0507E">
      <w:pPr>
        <w:numPr>
          <w:ilvl w:val="0"/>
          <w:numId w:val="1"/>
        </w:numPr>
        <w:spacing w:line="360" w:lineRule="auto"/>
        <w:ind w:left="0" w:firstLine="0"/>
        <w:contextualSpacing/>
        <w:jc w:val="both"/>
        <w:rPr>
          <w:rFonts w:ascii="Palatino Linotype" w:eastAsiaTheme="minorEastAsia" w:hAnsi="Palatino Linotype"/>
          <w:b/>
          <w:u w:val="single"/>
          <w:lang w:val="es-ES_tradnl" w:eastAsia="es-ES"/>
        </w:rPr>
      </w:pPr>
      <w:r w:rsidRPr="001431BD">
        <w:rPr>
          <w:rFonts w:ascii="Palatino Linotype" w:eastAsiaTheme="minorEastAsia" w:hAnsi="Palatino Linotype"/>
          <w:lang w:val="es-ES_tradnl" w:eastAsia="es-ES"/>
        </w:rPr>
        <w:t>El Comisionado Ponente decretó el cierre de instrucción</w:t>
      </w:r>
      <w:r w:rsidRPr="001431BD">
        <w:rPr>
          <w:rFonts w:ascii="Palatino Linotype" w:eastAsiaTheme="minorEastAsia" w:hAnsi="Palatino Linotype" w:cs="Arial"/>
          <w:lang w:val="es-ES_tradnl" w:eastAsia="es-ES"/>
        </w:rPr>
        <w:t xml:space="preserve"> </w:t>
      </w:r>
      <w:r w:rsidRPr="001431BD">
        <w:rPr>
          <w:rFonts w:ascii="Palatino Linotype" w:eastAsiaTheme="minorEastAsia" w:hAnsi="Palatino Linotype"/>
          <w:lang w:val="es-ES_tradnl" w:eastAsia="es-ES"/>
        </w:rPr>
        <w:t>media</w:t>
      </w:r>
      <w:r w:rsidR="003E07F5">
        <w:rPr>
          <w:rFonts w:ascii="Palatino Linotype" w:eastAsiaTheme="minorEastAsia" w:hAnsi="Palatino Linotype"/>
          <w:lang w:val="es-ES_tradnl" w:eastAsia="es-ES"/>
        </w:rPr>
        <w:t>nte el acuerdo de fecha diez (10</w:t>
      </w:r>
      <w:r w:rsidR="009208F7">
        <w:rPr>
          <w:rFonts w:ascii="Palatino Linotype" w:eastAsiaTheme="minorEastAsia" w:hAnsi="Palatino Linotype"/>
          <w:lang w:val="es-ES_tradnl" w:eastAsia="es-ES"/>
        </w:rPr>
        <w:t xml:space="preserve">) </w:t>
      </w:r>
      <w:r w:rsidR="009208F7" w:rsidRPr="001431BD">
        <w:rPr>
          <w:rFonts w:ascii="Palatino Linotype" w:eastAsiaTheme="minorEastAsia" w:hAnsi="Palatino Linotype"/>
          <w:lang w:val="es-ES_tradnl" w:eastAsia="es-ES"/>
        </w:rPr>
        <w:t>de</w:t>
      </w:r>
      <w:r w:rsidRPr="001431BD">
        <w:rPr>
          <w:rFonts w:ascii="Palatino Linotype" w:eastAsiaTheme="minorEastAsia" w:hAnsi="Palatino Linotype"/>
          <w:lang w:val="es-ES_tradnl" w:eastAsia="es-ES"/>
        </w:rPr>
        <w:t xml:space="preserve"> septiembre de dos mil veintiuno.</w:t>
      </w:r>
      <w:r w:rsidRPr="001431BD">
        <w:rPr>
          <w:rFonts w:ascii="Palatino Linotype" w:eastAsiaTheme="minorEastAsia" w:hAnsi="Palatino Linotype" w:cs="Arial"/>
          <w:lang w:val="es-ES_tradnl" w:eastAsia="es-ES"/>
        </w:rPr>
        <w:t xml:space="preserve"> </w:t>
      </w:r>
    </w:p>
    <w:p w:rsidR="00C0507E" w:rsidRPr="001431BD" w:rsidRDefault="00C0507E" w:rsidP="00C0507E">
      <w:pPr>
        <w:spacing w:line="360" w:lineRule="auto"/>
        <w:contextualSpacing/>
        <w:jc w:val="both"/>
        <w:rPr>
          <w:rFonts w:ascii="Palatino Linotype" w:eastAsiaTheme="minorEastAsia" w:hAnsi="Palatino Linotype"/>
          <w:b/>
          <w:u w:val="single"/>
          <w:lang w:val="es-ES_tradnl" w:eastAsia="es-ES"/>
        </w:rPr>
      </w:pPr>
    </w:p>
    <w:p w:rsidR="00C0507E" w:rsidRPr="001431BD" w:rsidRDefault="00C0507E" w:rsidP="00C0507E">
      <w:pPr>
        <w:keepNext/>
        <w:keepLines/>
        <w:spacing w:line="360" w:lineRule="auto"/>
        <w:jc w:val="center"/>
        <w:outlineLvl w:val="0"/>
        <w:rPr>
          <w:rFonts w:ascii="Palatino Linotype" w:eastAsiaTheme="majorEastAsia" w:hAnsi="Palatino Linotype" w:cstheme="majorBidi"/>
        </w:rPr>
      </w:pPr>
      <w:bookmarkStart w:id="5" w:name="_Toc82516495"/>
      <w:r w:rsidRPr="001431BD">
        <w:rPr>
          <w:rFonts w:ascii="Palatino Linotype" w:eastAsiaTheme="majorEastAsia" w:hAnsi="Palatino Linotype" w:cstheme="majorBidi"/>
          <w:b/>
        </w:rPr>
        <w:t>CONSIDERANDO</w:t>
      </w:r>
      <w:bookmarkEnd w:id="5"/>
      <w:r w:rsidRPr="001431BD">
        <w:rPr>
          <w:rFonts w:ascii="Palatino Linotype" w:eastAsiaTheme="majorEastAsia" w:hAnsi="Palatino Linotype" w:cstheme="majorBidi"/>
          <w:b/>
        </w:rPr>
        <w:t xml:space="preserve"> </w:t>
      </w:r>
    </w:p>
    <w:p w:rsidR="00C0507E" w:rsidRPr="001431BD" w:rsidRDefault="00C0507E" w:rsidP="00C0507E">
      <w:pPr>
        <w:spacing w:line="360" w:lineRule="auto"/>
        <w:rPr>
          <w:rFonts w:ascii="Palatino Linotype" w:eastAsiaTheme="minorEastAsia" w:hAnsi="Palatino Linotype"/>
        </w:rPr>
      </w:pPr>
    </w:p>
    <w:p w:rsidR="00C0507E" w:rsidRPr="001431BD" w:rsidRDefault="00C0507E" w:rsidP="00C0507E">
      <w:pPr>
        <w:keepNext/>
        <w:keepLines/>
        <w:spacing w:line="360" w:lineRule="auto"/>
        <w:outlineLvl w:val="1"/>
        <w:rPr>
          <w:rFonts w:ascii="Palatino Linotype" w:eastAsiaTheme="majorEastAsia" w:hAnsi="Palatino Linotype" w:cstheme="majorBidi"/>
          <w:b/>
          <w:szCs w:val="26"/>
        </w:rPr>
      </w:pPr>
      <w:bookmarkStart w:id="6" w:name="_Toc82516496"/>
      <w:r w:rsidRPr="001431BD">
        <w:rPr>
          <w:rFonts w:ascii="Palatino Linotype" w:eastAsiaTheme="majorEastAsia" w:hAnsi="Palatino Linotype" w:cstheme="majorBidi"/>
          <w:b/>
          <w:szCs w:val="26"/>
        </w:rPr>
        <w:t>PRIMERO. De la competencia</w:t>
      </w:r>
      <w:bookmarkEnd w:id="6"/>
    </w:p>
    <w:p w:rsidR="00C0507E" w:rsidRPr="001431BD" w:rsidRDefault="00C0507E" w:rsidP="00C0507E">
      <w:pPr>
        <w:keepNext/>
        <w:keepLines/>
        <w:spacing w:line="360" w:lineRule="auto"/>
        <w:outlineLvl w:val="1"/>
        <w:rPr>
          <w:rFonts w:ascii="Palatino Linotype" w:eastAsiaTheme="majorEastAsia" w:hAnsi="Palatino Linotype" w:cstheme="majorBidi"/>
          <w:b/>
          <w:bCs/>
          <w:spacing w:val="60"/>
          <w:szCs w:val="26"/>
        </w:rPr>
      </w:pPr>
    </w:p>
    <w:p w:rsidR="00C0507E" w:rsidRPr="001431BD" w:rsidRDefault="00C0507E" w:rsidP="00C0507E">
      <w:pPr>
        <w:numPr>
          <w:ilvl w:val="0"/>
          <w:numId w:val="1"/>
        </w:numPr>
        <w:spacing w:line="360" w:lineRule="auto"/>
        <w:ind w:left="0" w:firstLine="0"/>
        <w:contextualSpacing/>
        <w:jc w:val="both"/>
        <w:rPr>
          <w:rFonts w:ascii="Palatino Linotype" w:eastAsiaTheme="minorEastAsia" w:hAnsi="Palatino Linotype"/>
          <w:lang w:val="es-ES_tradnl" w:eastAsia="es-ES"/>
        </w:rPr>
      </w:pPr>
      <w:r w:rsidRPr="001431BD">
        <w:rPr>
          <w:rFonts w:ascii="Palatino Linotype" w:eastAsia="Calibri" w:hAnsi="Palatino Linotype"/>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431BD">
        <w:rPr>
          <w:rFonts w:ascii="Palatino Linotype" w:eastAsia="Calibri" w:hAnsi="Palatino Linotype"/>
          <w:b/>
          <w:lang w:val="es-ES" w:eastAsia="es-ES"/>
        </w:rPr>
        <w:t>Constitución Política de los Estados Unidos Mexicanos</w:t>
      </w:r>
      <w:r w:rsidRPr="001431BD">
        <w:rPr>
          <w:rFonts w:ascii="Palatino Linotype" w:eastAsia="Calibri" w:hAnsi="Palatino Linotype"/>
          <w:lang w:val="es-ES" w:eastAsia="es-ES"/>
        </w:rPr>
        <w:t xml:space="preserve">; 5, párrafos </w:t>
      </w:r>
      <w:r w:rsidRPr="001431BD">
        <w:rPr>
          <w:rFonts w:ascii="Palatino Linotype" w:eastAsiaTheme="minorEastAsia" w:hAnsi="Palatino Linotype" w:cs="Arial"/>
          <w:bCs/>
          <w:color w:val="222222"/>
          <w:lang w:val="es-ES" w:eastAsia="es-ES"/>
        </w:rPr>
        <w:t xml:space="preserve">vigésimo, vigésimo primero y vigésimo segundo </w:t>
      </w:r>
      <w:r w:rsidRPr="001431BD">
        <w:rPr>
          <w:rFonts w:ascii="Palatino Linotype" w:eastAsia="Calibri" w:hAnsi="Palatino Linotype"/>
          <w:lang w:val="es-ES" w:eastAsia="es-ES"/>
        </w:rPr>
        <w:t xml:space="preserve">fracciones IV y V de la </w:t>
      </w:r>
      <w:r w:rsidRPr="001431BD">
        <w:rPr>
          <w:rFonts w:ascii="Palatino Linotype" w:eastAsia="Calibri" w:hAnsi="Palatino Linotype"/>
          <w:b/>
          <w:lang w:val="es-ES" w:eastAsia="es-ES"/>
        </w:rPr>
        <w:t>Constitución Política del Estado Libre y Soberano de México</w:t>
      </w:r>
      <w:r w:rsidRPr="001431BD">
        <w:rPr>
          <w:rFonts w:ascii="Palatino Linotype" w:eastAsia="Calibri" w:hAnsi="Palatino Linotype"/>
          <w:lang w:val="es-ES" w:eastAsia="es-ES"/>
        </w:rPr>
        <w:t xml:space="preserve">; artículos 1, 2 fracción II, 13, 29, 36 fracciones I y II, 176, 178, 179, 181 párrafo tercero y 185 </w:t>
      </w:r>
      <w:r w:rsidRPr="001431BD">
        <w:rPr>
          <w:rFonts w:ascii="Palatino Linotype" w:eastAsia="Calibri" w:hAnsi="Palatino Linotype" w:cs="Arial"/>
          <w:lang w:val="es-ES" w:eastAsia="es-ES"/>
        </w:rPr>
        <w:t xml:space="preserve">de la </w:t>
      </w:r>
      <w:r w:rsidRPr="001431BD">
        <w:rPr>
          <w:rFonts w:ascii="Palatino Linotype" w:eastAsia="Calibri" w:hAnsi="Palatino Linotype" w:cs="Arial"/>
          <w:b/>
          <w:lang w:val="es-ES" w:eastAsia="es-ES"/>
        </w:rPr>
        <w:t>Ley de Transparencia y Acceso a la Información Pública del Estado de México y Municipios</w:t>
      </w:r>
      <w:r w:rsidRPr="001431BD">
        <w:rPr>
          <w:rFonts w:ascii="Palatino Linotype" w:eastAsia="Calibri" w:hAnsi="Palatino Linotype" w:cs="Arial"/>
          <w:lang w:val="es-ES" w:eastAsia="es-ES"/>
        </w:rPr>
        <w:t xml:space="preserve">; y 7, 9 fracciones I y XXIV, y 11 del </w:t>
      </w:r>
      <w:r w:rsidRPr="001431BD">
        <w:rPr>
          <w:rFonts w:ascii="Palatino Linotype" w:eastAsia="Calibri" w:hAnsi="Palatino Linotype" w:cs="Arial"/>
          <w:b/>
          <w:lang w:val="es-ES" w:eastAsia="es-ES"/>
        </w:rPr>
        <w:t>Reglamento Interior del Instituto de Transparencia, Acceso a la Información Pública y Protección de Datos Personales del Estado de México y Municipios</w:t>
      </w:r>
      <w:r w:rsidRPr="001431BD">
        <w:rPr>
          <w:rFonts w:ascii="Palatino Linotype" w:eastAsiaTheme="minorEastAsia" w:hAnsi="Palatino Linotype"/>
          <w:lang w:val="es-ES_tradnl" w:eastAsia="es-ES"/>
        </w:rPr>
        <w:t>.</w:t>
      </w:r>
    </w:p>
    <w:p w:rsidR="00C0507E" w:rsidRDefault="00C0507E" w:rsidP="00C0507E">
      <w:pPr>
        <w:spacing w:line="360" w:lineRule="auto"/>
        <w:contextualSpacing/>
        <w:jc w:val="both"/>
        <w:rPr>
          <w:rFonts w:ascii="Palatino Linotype" w:eastAsiaTheme="minorEastAsia" w:hAnsi="Palatino Linotype"/>
          <w:lang w:val="es-ES_tradnl" w:eastAsia="es-ES"/>
        </w:rPr>
      </w:pPr>
    </w:p>
    <w:p w:rsidR="009B7C41" w:rsidRPr="001431BD" w:rsidRDefault="009B7C41" w:rsidP="00C0507E">
      <w:pPr>
        <w:spacing w:line="360" w:lineRule="auto"/>
        <w:contextualSpacing/>
        <w:jc w:val="both"/>
        <w:rPr>
          <w:rFonts w:ascii="Palatino Linotype" w:eastAsiaTheme="minorEastAsia" w:hAnsi="Palatino Linotype"/>
          <w:lang w:val="es-ES_tradnl" w:eastAsia="es-ES"/>
        </w:rPr>
      </w:pPr>
    </w:p>
    <w:p w:rsidR="00C0507E" w:rsidRPr="001431BD" w:rsidRDefault="00C0507E" w:rsidP="00C0507E">
      <w:pPr>
        <w:keepNext/>
        <w:keepLines/>
        <w:spacing w:line="360" w:lineRule="auto"/>
        <w:outlineLvl w:val="1"/>
        <w:rPr>
          <w:rFonts w:ascii="Palatino Linotype" w:eastAsiaTheme="majorEastAsia" w:hAnsi="Palatino Linotype" w:cstheme="majorBidi"/>
          <w:b/>
          <w:szCs w:val="26"/>
        </w:rPr>
      </w:pPr>
      <w:bookmarkStart w:id="7" w:name="_Toc82516497"/>
      <w:r w:rsidRPr="001431BD">
        <w:rPr>
          <w:rFonts w:ascii="Palatino Linotype" w:eastAsiaTheme="majorEastAsia" w:hAnsi="Palatino Linotype" w:cstheme="majorBidi"/>
          <w:b/>
          <w:szCs w:val="26"/>
        </w:rPr>
        <w:lastRenderedPageBreak/>
        <w:t>SEGUNDO. De la oportunidad y procedencia.</w:t>
      </w:r>
      <w:bookmarkEnd w:id="7"/>
    </w:p>
    <w:p w:rsidR="00C0507E" w:rsidRPr="001431BD" w:rsidRDefault="00C0507E" w:rsidP="00C0507E">
      <w:pPr>
        <w:spacing w:line="360" w:lineRule="auto"/>
        <w:rPr>
          <w:rFonts w:ascii="Palatino Linotype" w:eastAsiaTheme="minorEastAsia" w:hAnsi="Palatino Linotype"/>
        </w:rPr>
      </w:pPr>
    </w:p>
    <w:p w:rsidR="00C0507E" w:rsidRPr="001431BD" w:rsidRDefault="00C0507E" w:rsidP="00C0507E">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431BD">
        <w:rPr>
          <w:rFonts w:ascii="Palatino Linotype" w:eastAsia="Calibri" w:hAnsi="Palatino Linotype" w:cs="Arial"/>
          <w:lang w:val="es-ES_tradnl" w:eastAsia="es-ES"/>
        </w:rPr>
        <w:t xml:space="preserve">El medio de impugnación fue presentado a través del </w:t>
      </w:r>
      <w:r w:rsidRPr="001431BD">
        <w:rPr>
          <w:rFonts w:ascii="Palatino Linotype" w:eastAsia="Calibri" w:hAnsi="Palatino Linotype" w:cs="Arial"/>
          <w:b/>
          <w:lang w:val="es-ES_tradnl" w:eastAsia="es-ES"/>
        </w:rPr>
        <w:t>SAIMEX,</w:t>
      </w:r>
      <w:r w:rsidRPr="001431BD">
        <w:rPr>
          <w:rFonts w:ascii="Palatino Linotype" w:eastAsia="Calibri" w:hAnsi="Palatino Linotype" w:cs="Arial"/>
          <w:lang w:val="es-ES_tradnl" w:eastAsia="es-ES"/>
        </w:rPr>
        <w:t xml:space="preserve"> en el formato previamente aprobado para tal efecto y dentro del plazo legal de quince días hábiles otorgados; siendo así que el </w:t>
      </w:r>
      <w:r w:rsidRPr="001431BD">
        <w:rPr>
          <w:rFonts w:ascii="Palatino Linotype" w:eastAsia="Calibri" w:hAnsi="Palatino Linotype" w:cs="Arial"/>
          <w:b/>
          <w:lang w:val="es-ES_tradnl" w:eastAsia="es-ES"/>
        </w:rPr>
        <w:t>SUJETO OBLIGADO</w:t>
      </w:r>
      <w:r w:rsidRPr="001431BD">
        <w:rPr>
          <w:rFonts w:ascii="Palatino Linotype" w:eastAsia="Calibri" w:hAnsi="Palatino Linotype" w:cs="Arial"/>
          <w:lang w:val="es-ES_tradnl" w:eastAsia="es-ES"/>
        </w:rPr>
        <w:t xml:space="preserve"> entregó respuesta a la solicitud el día </w:t>
      </w:r>
      <w:r w:rsidR="00CD134D">
        <w:rPr>
          <w:rFonts w:ascii="Palatino Linotype" w:eastAsia="Calibri" w:hAnsi="Palatino Linotype" w:cs="Arial"/>
          <w:lang w:val="es-ES_tradnl" w:eastAsia="es-ES"/>
        </w:rPr>
        <w:t>cinco (05) de julio</w:t>
      </w:r>
      <w:r w:rsidRPr="001431BD">
        <w:rPr>
          <w:rFonts w:ascii="Palatino Linotype" w:eastAsia="Calibri" w:hAnsi="Palatino Linotype" w:cs="Arial"/>
          <w:lang w:val="es-ES_tradnl" w:eastAsia="es-ES"/>
        </w:rPr>
        <w:t xml:space="preserve">  de dos mil veintiuno, </w:t>
      </w:r>
      <w:r w:rsidRPr="001431BD">
        <w:rPr>
          <w:rFonts w:ascii="Palatino Linotype" w:eastAsiaTheme="minorEastAsia" w:hAnsi="Palatino Linotype" w:cs="Arial"/>
          <w:lang w:val="es-ES_tradnl" w:eastAsia="es-ES"/>
        </w:rPr>
        <w:t xml:space="preserve">de tal forma que el plazo para interponer el recurso de revisión transcurrió del </w:t>
      </w:r>
      <w:r w:rsidR="00CD134D">
        <w:rPr>
          <w:rFonts w:ascii="Palatino Linotype" w:eastAsiaTheme="minorEastAsia" w:hAnsi="Palatino Linotype" w:cs="Arial"/>
          <w:lang w:val="es-ES_tradnl" w:eastAsia="es-ES"/>
        </w:rPr>
        <w:t>seis (06) de julio</w:t>
      </w:r>
      <w:r w:rsidRPr="001431BD">
        <w:rPr>
          <w:rFonts w:ascii="Palatino Linotype" w:eastAsiaTheme="minorEastAsia" w:hAnsi="Palatino Linotype" w:cs="Arial"/>
          <w:lang w:val="es-ES_tradnl" w:eastAsia="es-ES"/>
        </w:rPr>
        <w:t xml:space="preserve">  al </w:t>
      </w:r>
      <w:r w:rsidR="00CD134D">
        <w:rPr>
          <w:rFonts w:ascii="Palatino Linotype" w:eastAsiaTheme="minorEastAsia" w:hAnsi="Palatino Linotype" w:cs="Arial"/>
          <w:lang w:val="es-ES_tradnl" w:eastAsia="es-ES"/>
        </w:rPr>
        <w:t>nueve (09) de agosto</w:t>
      </w:r>
      <w:r w:rsidRPr="001431BD">
        <w:rPr>
          <w:rFonts w:ascii="Palatino Linotype" w:eastAsiaTheme="minorEastAsia" w:hAnsi="Palatino Linotype" w:cs="Arial"/>
          <w:lang w:val="es-ES_tradnl" w:eastAsia="es-ES"/>
        </w:rPr>
        <w:t xml:space="preserve">  de dos mil veintiuno; en consecuencia, presentó su inconformidad el día </w:t>
      </w:r>
      <w:r w:rsidR="00CD134D">
        <w:rPr>
          <w:rFonts w:ascii="Palatino Linotype" w:eastAsiaTheme="minorEastAsia" w:hAnsi="Palatino Linotype" w:cs="Arial"/>
          <w:lang w:val="es-ES_tradnl" w:eastAsia="es-ES"/>
        </w:rPr>
        <w:t xml:space="preserve">seis (06) de julio </w:t>
      </w:r>
      <w:r w:rsidRPr="001431BD">
        <w:rPr>
          <w:rFonts w:ascii="Palatino Linotype" w:eastAsiaTheme="minorEastAsia" w:hAnsi="Palatino Linotype" w:cs="Arial"/>
          <w:lang w:val="es-ES_tradnl" w:eastAsia="es-ES"/>
        </w:rPr>
        <w:t xml:space="preserve"> de dos mil veintiuno, por lo que se encuentra dentro de los márgenes temporales previstos en el artículo 178 de la </w:t>
      </w:r>
      <w:r w:rsidRPr="001431BD">
        <w:rPr>
          <w:rFonts w:ascii="Palatino Linotype" w:eastAsiaTheme="minorEastAsia" w:hAnsi="Palatino Linotype" w:cs="Arial"/>
          <w:b/>
          <w:lang w:val="es-ES_tradnl" w:eastAsia="es-ES"/>
        </w:rPr>
        <w:t xml:space="preserve">Ley de Transparencia y Acceso a la Información Pública del Estado de México y Municipios </w:t>
      </w:r>
      <w:r w:rsidRPr="001431BD">
        <w:rPr>
          <w:rFonts w:ascii="Palatino Linotype" w:eastAsiaTheme="minorEastAsia" w:hAnsi="Palatino Linotype" w:cs="Arial"/>
          <w:lang w:val="es-ES_tradnl" w:eastAsia="es-ES"/>
        </w:rPr>
        <w:t>vigente.</w:t>
      </w:r>
    </w:p>
    <w:p w:rsidR="00C0507E" w:rsidRPr="001431BD" w:rsidRDefault="00C0507E" w:rsidP="00C0507E">
      <w:pPr>
        <w:spacing w:line="360" w:lineRule="auto"/>
        <w:ind w:right="49"/>
        <w:contextualSpacing/>
        <w:jc w:val="both"/>
        <w:rPr>
          <w:rFonts w:ascii="Palatino Linotype" w:eastAsiaTheme="minorEastAsia" w:hAnsi="Palatino Linotype" w:cs="Arial"/>
          <w:lang w:val="es-ES_tradnl" w:eastAsia="es-ES"/>
        </w:rPr>
      </w:pPr>
    </w:p>
    <w:p w:rsidR="00703149" w:rsidRPr="00703149" w:rsidRDefault="00C0507E"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1431BD">
        <w:rPr>
          <w:rFonts w:ascii="Palatino Linotype" w:eastAsia="Calibri" w:hAnsi="Palatino Linotype" w:cs="Arial"/>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bookmarkStart w:id="8" w:name="_Toc452722829"/>
      <w:bookmarkStart w:id="9" w:name="_Toc454373811"/>
      <w:bookmarkStart w:id="10" w:name="_Toc476675991"/>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703149" w:rsidP="00703149">
      <w:pPr>
        <w:keepNext/>
        <w:keepLines/>
        <w:spacing w:line="360" w:lineRule="auto"/>
        <w:ind w:right="48"/>
        <w:outlineLvl w:val="0"/>
        <w:rPr>
          <w:rFonts w:ascii="Palatino Linotype" w:eastAsia="MS Gothic" w:hAnsi="Palatino Linotype" w:cstheme="majorBidi"/>
          <w:b/>
          <w:lang w:val="es-ES_tradnl" w:eastAsia="es-ES"/>
        </w:rPr>
      </w:pPr>
      <w:bookmarkStart w:id="11" w:name="_Toc70417465"/>
      <w:bookmarkStart w:id="12" w:name="_Toc80812774"/>
      <w:bookmarkStart w:id="13" w:name="_Toc82516498"/>
      <w:r w:rsidRPr="00703149">
        <w:rPr>
          <w:rFonts w:ascii="Palatino Linotype" w:eastAsia="MS Gothic" w:hAnsi="Palatino Linotype" w:cstheme="majorBidi"/>
          <w:b/>
          <w:lang w:val="es-ES_tradnl" w:eastAsia="es-ES"/>
        </w:rPr>
        <w:t>TERCERO. Planteamiento de la Litis</w:t>
      </w:r>
      <w:bookmarkEnd w:id="11"/>
      <w:bookmarkEnd w:id="12"/>
      <w:bookmarkEnd w:id="13"/>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5367AC"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MS Gothic" w:hAnsi="Palatino Linotype"/>
        </w:rPr>
        <w:t>El particular solicitó</w:t>
      </w:r>
      <w:r w:rsidR="009208F7" w:rsidRPr="00703149">
        <w:rPr>
          <w:rFonts w:ascii="Palatino Linotype" w:eastAsia="MS Gothic" w:hAnsi="Palatino Linotype"/>
        </w:rPr>
        <w:t xml:space="preserve"> </w:t>
      </w:r>
      <w:r w:rsidRPr="00703149">
        <w:rPr>
          <w:rFonts w:ascii="Palatino Linotype" w:eastAsia="MS Gothic" w:hAnsi="Palatino Linotype"/>
        </w:rPr>
        <w:t>información relacionada a la asignación y liberación de los recursos denominados FORTAMUN y FEFOM, de los 125 municipios del Estado de México, de los años 2019 y 2020, y en caso de que exista una diferencia de lo asignado a lo liberado, en las dos participaciones, conocer el motivo por el cual no se realizó al cien por ciento la liberación.</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iCs/>
          <w:color w:val="000000"/>
        </w:rPr>
        <w:lastRenderedPageBreak/>
        <w:t xml:space="preserve">En respuesta, el SUJETO OBLIGADO </w:t>
      </w:r>
      <w:r w:rsidR="005367AC" w:rsidRPr="00703149">
        <w:rPr>
          <w:rFonts w:ascii="Palatino Linotype" w:hAnsi="Palatino Linotype"/>
          <w:iCs/>
          <w:color w:val="000000"/>
        </w:rPr>
        <w:t xml:space="preserve">manifestó que la información solicitada podía ser consultada en la liga electrónica que remitió a través de un oficio; </w:t>
      </w:r>
      <w:r w:rsidR="005367AC" w:rsidRPr="00703149">
        <w:rPr>
          <w:rFonts w:ascii="Palatino Linotype" w:hAnsi="Palatino Linotype"/>
        </w:rPr>
        <w:t>asimismo, manifestó que los fondos que no fueron liberados al cien por ciento, se debe a que los municipios no dieron cumplimiento a lo establecido en los Lineamientos para la utilización del FEFOM y sus criterios de aplicación.</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rPr>
        <w:t>Derivado de ello, el particular interpuso recurso de revisión; manifestó e</w:t>
      </w:r>
      <w:r w:rsidR="005367AC" w:rsidRPr="00703149">
        <w:rPr>
          <w:rFonts w:ascii="Palatino Linotype" w:hAnsi="Palatino Linotype"/>
        </w:rPr>
        <w:t xml:space="preserve">n sus motivos de inconformidad </w:t>
      </w:r>
      <w:r w:rsidR="005367AC" w:rsidRPr="00703149">
        <w:rPr>
          <w:rFonts w:ascii="Palatino Linotype" w:hAnsi="Palatino Linotype"/>
          <w:i/>
          <w:color w:val="000000"/>
          <w:lang w:val="es-ES"/>
        </w:rPr>
        <w:t>“</w:t>
      </w:r>
      <w:r w:rsidR="005367AC" w:rsidRPr="00703149">
        <w:rPr>
          <w:rFonts w:ascii="Palatino Linotype" w:hAnsi="Palatino Linotype"/>
          <w:i/>
          <w:color w:val="000000"/>
        </w:rPr>
        <w:t>Únicamente se me redirecciona a una liga de página de Internet en donde se puede verificar el recurso denominado FEFOM y sus reportes de liberación en 2019, no así se encuentra información de la liberación del recurso para el año 2020. Del recurso denominado FORTAMUN, no se refiere información alguna.”.</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MS Gothic" w:hAnsi="Palatino Linotype"/>
        </w:rPr>
        <w:t>En consecuencia, la Litis del presente asunto corresponde en resolver si el SUJETO OBLIGADO atendió la solicitud con apego a los principios establecidos en el artículo 11 de la Ley de Transparencia Local, si con la entrega de los documentos en respuesta se garantiza que la informaci</w:t>
      </w:r>
      <w:r w:rsidR="005367AC" w:rsidRPr="00703149">
        <w:rPr>
          <w:rFonts w:ascii="Palatino Linotype" w:eastAsia="MS Gothic" w:hAnsi="Palatino Linotype"/>
        </w:rPr>
        <w:t>ón sea completa</w:t>
      </w:r>
      <w:r w:rsidRPr="00703149">
        <w:rPr>
          <w:rFonts w:ascii="Palatino Linotype" w:eastAsia="MS Gothic" w:hAnsi="Palatino Linotype"/>
        </w:rPr>
        <w:t>.</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MS Gothic" w:hAnsi="Palatino Linotype"/>
        </w:rPr>
        <w:t>Así mismo determinar si se actualizan las causales de procedencia pr</w:t>
      </w:r>
      <w:r w:rsidR="005367AC" w:rsidRPr="00703149">
        <w:rPr>
          <w:rFonts w:ascii="Palatino Linotype" w:eastAsia="MS Gothic" w:hAnsi="Palatino Linotype"/>
        </w:rPr>
        <w:t xml:space="preserve">evistas en la fracciones I y V </w:t>
      </w:r>
      <w:r w:rsidRPr="00703149">
        <w:rPr>
          <w:rFonts w:ascii="Palatino Linotype" w:eastAsia="MS Gothic" w:hAnsi="Palatino Linotype"/>
        </w:rPr>
        <w:t xml:space="preserve">del artículo 179 de la Ley de Transparencia y Acceso a la Información Pública del Estado de México y sus Municipios, que establecen la negativa de la información solicitada y la entrega de información </w:t>
      </w:r>
      <w:r w:rsidR="005367AC" w:rsidRPr="00703149">
        <w:rPr>
          <w:rFonts w:ascii="Palatino Linotype" w:eastAsia="MS Gothic" w:hAnsi="Palatino Linotype"/>
        </w:rPr>
        <w:t>incompleta.</w:t>
      </w:r>
    </w:p>
    <w:p w:rsidR="00703149" w:rsidRDefault="00703149" w:rsidP="00703149">
      <w:pPr>
        <w:spacing w:line="360" w:lineRule="auto"/>
        <w:ind w:right="49"/>
        <w:contextualSpacing/>
        <w:jc w:val="both"/>
        <w:rPr>
          <w:rFonts w:ascii="Palatino Linotype" w:eastAsia="MS Gothic" w:hAnsi="Palatino Linotype"/>
        </w:rPr>
      </w:pPr>
    </w:p>
    <w:p w:rsidR="00703149" w:rsidRPr="0080709C" w:rsidRDefault="00703149" w:rsidP="00703149">
      <w:pPr>
        <w:keepNext/>
        <w:keepLines/>
        <w:spacing w:line="360" w:lineRule="auto"/>
        <w:ind w:right="48"/>
        <w:outlineLvl w:val="0"/>
        <w:rPr>
          <w:rFonts w:ascii="Palatino Linotype" w:eastAsia="MS Gothic" w:hAnsi="Palatino Linotype" w:cstheme="majorBidi"/>
          <w:b/>
          <w:lang w:val="es-ES_tradnl" w:eastAsia="es-ES"/>
        </w:rPr>
      </w:pPr>
      <w:bookmarkStart w:id="14" w:name="_Toc70417466"/>
      <w:bookmarkStart w:id="15" w:name="_Toc80812775"/>
      <w:bookmarkStart w:id="16" w:name="_Toc82516499"/>
      <w:r w:rsidRPr="0080709C">
        <w:rPr>
          <w:rFonts w:ascii="Palatino Linotype" w:eastAsia="MS Gothic" w:hAnsi="Palatino Linotype" w:cstheme="majorBidi"/>
          <w:b/>
          <w:lang w:val="es-ES_tradnl" w:eastAsia="es-ES"/>
        </w:rPr>
        <w:lastRenderedPageBreak/>
        <w:t>CUARTO. Del estudio y resolución del recurso de revisión.</w:t>
      </w:r>
      <w:bookmarkEnd w:id="14"/>
      <w:bookmarkEnd w:id="15"/>
      <w:bookmarkEnd w:id="16"/>
    </w:p>
    <w:p w:rsidR="00703149" w:rsidRPr="0080709C" w:rsidRDefault="00703149" w:rsidP="00703149">
      <w:pPr>
        <w:keepNext/>
        <w:keepLines/>
        <w:spacing w:line="360" w:lineRule="auto"/>
        <w:ind w:right="48"/>
        <w:outlineLvl w:val="0"/>
        <w:rPr>
          <w:rFonts w:ascii="Palatino Linotype" w:eastAsia="MS Gothic" w:hAnsi="Palatino Linotype" w:cstheme="majorBidi"/>
          <w:b/>
          <w:lang w:val="es-ES_tradnl" w:eastAsia="es-ES"/>
        </w:rPr>
      </w:pPr>
    </w:p>
    <w:p w:rsidR="00703149" w:rsidRPr="0080709C" w:rsidRDefault="00703149" w:rsidP="00703149">
      <w:pPr>
        <w:pStyle w:val="Prrafodelista"/>
        <w:keepNext/>
        <w:keepLines/>
        <w:numPr>
          <w:ilvl w:val="0"/>
          <w:numId w:val="12"/>
        </w:numPr>
        <w:spacing w:line="360" w:lineRule="auto"/>
        <w:jc w:val="both"/>
        <w:outlineLvl w:val="1"/>
        <w:rPr>
          <w:rFonts w:ascii="Palatino Linotype" w:eastAsia="MS Gothic" w:hAnsi="Palatino Linotype"/>
          <w:b/>
          <w:sz w:val="24"/>
          <w:lang w:val="es-ES_tradnl" w:eastAsia="es-ES"/>
        </w:rPr>
      </w:pPr>
      <w:bookmarkStart w:id="17" w:name="_Toc498528948"/>
      <w:bookmarkStart w:id="18" w:name="_Toc71234379"/>
      <w:bookmarkStart w:id="19" w:name="_Toc71239557"/>
      <w:bookmarkStart w:id="20" w:name="_Toc80812776"/>
      <w:bookmarkStart w:id="21" w:name="_Toc82516500"/>
      <w:r w:rsidRPr="0080709C">
        <w:rPr>
          <w:rFonts w:ascii="Palatino Linotype" w:eastAsia="MS Gothic" w:hAnsi="Palatino Linotype"/>
          <w:b/>
          <w:sz w:val="24"/>
          <w:lang w:val="es-ES_tradnl" w:eastAsia="es-ES"/>
        </w:rPr>
        <w:t>De</w:t>
      </w:r>
      <w:bookmarkEnd w:id="17"/>
      <w:r w:rsidRPr="0080709C">
        <w:rPr>
          <w:rFonts w:ascii="Palatino Linotype" w:eastAsia="MS Gothic" w:hAnsi="Palatino Linotype"/>
          <w:b/>
          <w:sz w:val="24"/>
          <w:lang w:val="es-ES_tradnl" w:eastAsia="es-ES"/>
        </w:rPr>
        <w:t>l derecho de acceso a la información.</w:t>
      </w:r>
      <w:bookmarkEnd w:id="18"/>
      <w:bookmarkEnd w:id="19"/>
      <w:bookmarkEnd w:id="20"/>
      <w:bookmarkEnd w:id="21"/>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Theme="minorEastAsia" w:hAnsi="Palatino Linotype"/>
          <w:lang w:val="es-ES_tradnl" w:eastAsia="es-ES"/>
        </w:rPr>
        <w:t>E</w:t>
      </w:r>
      <w:r w:rsidRPr="00703149">
        <w:rPr>
          <w:rFonts w:ascii="Palatino Linotype" w:hAnsi="Palatino Linotype" w:cs="Arial"/>
          <w:color w:val="000000"/>
          <w:lang w:val="es-ES_tradnl"/>
        </w:rPr>
        <w:t>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w:t>
      </w:r>
      <w:r w:rsidRPr="00703149">
        <w:rPr>
          <w:rFonts w:ascii="Palatino Linotype" w:hAnsi="Palatino Linotype" w:cs="Arial"/>
          <w:color w:val="000000"/>
          <w:lang w:val="es-ES_tradnl" w:eastAsia="es-ES"/>
        </w:rPr>
        <w:t xml:space="preserve">. </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lang w:val="es-ES_tradnl" w:eastAsia="es-ES"/>
        </w:rPr>
        <w:t xml:space="preserve">Definiendo el Derecho de Acceso a la Información Pública como: </w:t>
      </w:r>
      <w:r w:rsidRPr="00703149">
        <w:rPr>
          <w:rFonts w:ascii="Palatino Linotype" w:eastAsiaTheme="minorEastAsia" w:hAnsi="Palatino Linotype"/>
          <w:i/>
          <w:color w:val="000000"/>
          <w:lang w:val="es-ES_tradnl" w:eastAsia="es-ES"/>
        </w:rPr>
        <w:t>La igualdad de oportunidades para recibir, buscar e impartir información</w:t>
      </w:r>
      <w:r w:rsidRPr="0080709C">
        <w:rPr>
          <w:rFonts w:eastAsiaTheme="minorEastAsia"/>
          <w:i/>
          <w:vertAlign w:val="superscript"/>
          <w:lang w:val="es-ES_tradnl" w:eastAsia="es-ES"/>
        </w:rPr>
        <w:footnoteReference w:id="1"/>
      </w:r>
      <w:r w:rsidRPr="00703149">
        <w:rPr>
          <w:rFonts w:ascii="Palatino Linotype" w:eastAsiaTheme="minorEastAsia" w:hAnsi="Palatino Linotype"/>
          <w:i/>
          <w:color w:val="000000"/>
          <w:lang w:val="es-ES_tradnl" w:eastAsia="es-ES"/>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80709C">
        <w:rPr>
          <w:rFonts w:eastAsiaTheme="minorEastAsia"/>
          <w:i/>
          <w:vertAlign w:val="superscript"/>
          <w:lang w:val="es-ES_tradnl" w:eastAsia="es-ES"/>
        </w:rPr>
        <w:footnoteReference w:id="2"/>
      </w:r>
      <w:r w:rsidRPr="00703149">
        <w:rPr>
          <w:rFonts w:ascii="Palatino Linotype" w:eastAsiaTheme="minorEastAsia" w:hAnsi="Palatino Linotype"/>
          <w:color w:val="000000"/>
          <w:lang w:val="es-ES_tradnl" w:eastAsia="es-ES"/>
        </w:rPr>
        <w:t>que se constituye como una herramienta fundamental para ejercer</w:t>
      </w:r>
      <w:r w:rsidRPr="00703149">
        <w:rPr>
          <w:rFonts w:ascii="Palatino Linotype" w:eastAsiaTheme="minorEastAsia" w:hAnsi="Palatino Linotype"/>
          <w:i/>
          <w:color w:val="000000"/>
          <w:lang w:val="es-ES_tradnl" w:eastAsia="es-ES"/>
        </w:rPr>
        <w:t xml:space="preserve"> el control democrático de las gestiones estatales, de forma tal que puedan cuestionar, indagar y considerar si se está dando un adecuado cumplimiento a las funciones públicas,</w:t>
      </w:r>
      <w:r w:rsidRPr="0080709C">
        <w:rPr>
          <w:rFonts w:eastAsiaTheme="minorEastAsia"/>
          <w:i/>
          <w:vertAlign w:val="superscript"/>
          <w:lang w:val="es-ES_tradnl" w:eastAsia="es-ES"/>
        </w:rPr>
        <w:footnoteReference w:id="3"/>
      </w:r>
      <w:r w:rsidRPr="00703149">
        <w:rPr>
          <w:rFonts w:ascii="Palatino Linotype" w:eastAsiaTheme="minorEastAsia" w:hAnsi="Palatino Linotype"/>
          <w:color w:val="000000"/>
          <w:lang w:val="es-ES_tradnl" w:eastAsia="es-ES"/>
        </w:rPr>
        <w:t>fomentando</w:t>
      </w:r>
      <w:r w:rsidRPr="00703149">
        <w:rPr>
          <w:rFonts w:ascii="Palatino Linotype" w:eastAsiaTheme="minorEastAsia" w:hAnsi="Palatino Linotype"/>
          <w:i/>
          <w:color w:val="000000"/>
          <w:lang w:val="es-ES_tradnl" w:eastAsia="es-ES"/>
        </w:rPr>
        <w:t xml:space="preserve"> la transparencia de las actividades estatales y </w:t>
      </w:r>
      <w:r w:rsidRPr="00703149">
        <w:rPr>
          <w:rFonts w:ascii="Palatino Linotype" w:eastAsiaTheme="minorEastAsia" w:hAnsi="Palatino Linotype"/>
          <w:color w:val="000000"/>
          <w:lang w:val="es-ES_tradnl" w:eastAsia="es-ES"/>
        </w:rPr>
        <w:t>promoviendo</w:t>
      </w:r>
      <w:r w:rsidRPr="00703149">
        <w:rPr>
          <w:rFonts w:ascii="Palatino Linotype" w:eastAsiaTheme="minorEastAsia" w:hAnsi="Palatino Linotype"/>
          <w:i/>
          <w:color w:val="000000"/>
          <w:lang w:val="es-ES_tradnl" w:eastAsia="es-ES"/>
        </w:rPr>
        <w:t xml:space="preserve"> la responsabilidad de los funcionarios sobre su gestión pública,</w:t>
      </w:r>
      <w:r w:rsidRPr="0080709C">
        <w:rPr>
          <w:rFonts w:eastAsiaTheme="minorEastAsia"/>
          <w:i/>
          <w:vertAlign w:val="superscript"/>
          <w:lang w:val="es-ES_tradnl" w:eastAsia="es-ES"/>
        </w:rPr>
        <w:footnoteReference w:id="4"/>
      </w:r>
      <w:r w:rsidRPr="00703149">
        <w:rPr>
          <w:rFonts w:ascii="Palatino Linotype" w:eastAsiaTheme="minorEastAsia" w:hAnsi="Palatino Linotype"/>
          <w:color w:val="000000"/>
          <w:lang w:val="es-ES_tradnl" w:eastAsia="es-ES"/>
        </w:rPr>
        <w:t>que permite</w:t>
      </w:r>
      <w:r w:rsidRPr="00703149">
        <w:rPr>
          <w:rFonts w:ascii="Palatino Linotype" w:eastAsiaTheme="minorEastAsia" w:hAnsi="Palatino Linotype"/>
          <w:i/>
          <w:color w:val="000000"/>
          <w:lang w:val="es-ES_tradnl" w:eastAsia="es-ES"/>
        </w:rPr>
        <w:t xml:space="preserve"> saber qué están </w:t>
      </w:r>
      <w:r w:rsidRPr="00703149">
        <w:rPr>
          <w:rFonts w:ascii="Palatino Linotype" w:eastAsiaTheme="minorEastAsia" w:hAnsi="Palatino Linotype"/>
          <w:i/>
          <w:color w:val="000000"/>
          <w:lang w:val="es-ES_tradnl" w:eastAsia="es-ES"/>
        </w:rPr>
        <w:lastRenderedPageBreak/>
        <w:t>haciendo los gobiernos por sus pueblos, sin lo cual la verdad languidecería y la participación en el gobierno permanecería fragmentada.</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lang w:val="es-ES_tradnl" w:eastAsia="es-ES"/>
        </w:rPr>
        <w:t>En México, además de los derechos, están reconocidas las garantías para su protección, en ese sentido el párrafo tercero de artículo primero de la Constitución Política de los Estados Unidos Mexicanos, dispone lo siguiente:</w:t>
      </w:r>
    </w:p>
    <w:p w:rsidR="00703149" w:rsidRDefault="00703149" w:rsidP="00703149">
      <w:pPr>
        <w:spacing w:line="360" w:lineRule="auto"/>
        <w:ind w:right="49"/>
        <w:contextualSpacing/>
        <w:jc w:val="both"/>
        <w:rPr>
          <w:rFonts w:ascii="Palatino Linotype" w:hAnsi="Palatino Linotype"/>
          <w:lang w:val="es-ES_tradnl" w:eastAsia="es-ES"/>
        </w:rPr>
      </w:pPr>
    </w:p>
    <w:p w:rsidR="00703149" w:rsidRPr="0080709C" w:rsidRDefault="00703149" w:rsidP="00703149">
      <w:pPr>
        <w:spacing w:line="360" w:lineRule="auto"/>
        <w:ind w:left="567" w:right="567"/>
        <w:contextualSpacing/>
        <w:jc w:val="both"/>
        <w:rPr>
          <w:rFonts w:ascii="Palatino Linotype" w:hAnsi="Palatino Linotype"/>
          <w:i/>
          <w:sz w:val="22"/>
          <w:lang w:val="es-ES_tradnl" w:eastAsia="es-ES"/>
        </w:rPr>
      </w:pPr>
      <w:r w:rsidRPr="0080709C">
        <w:rPr>
          <w:rFonts w:ascii="Palatino Linotype" w:hAnsi="Palatino Linotype"/>
          <w:i/>
          <w:sz w:val="22"/>
          <w:lang w:val="es-ES_tradnl" w:eastAsia="es-ES"/>
        </w:rPr>
        <w:t>“</w:t>
      </w:r>
      <w:r w:rsidRPr="0080709C">
        <w:rPr>
          <w:rFonts w:ascii="Palatino Linotype" w:hAnsi="Palatino Linotype"/>
          <w:b/>
          <w:i/>
          <w:sz w:val="22"/>
          <w:lang w:val="es-ES_tradnl" w:eastAsia="es-ES"/>
        </w:rPr>
        <w:t>Artículo 1.-</w:t>
      </w:r>
      <w:r w:rsidRPr="0080709C">
        <w:rPr>
          <w:rFonts w:ascii="Palatino Linotype" w:hAnsi="Palatino Linotype"/>
          <w:i/>
          <w:sz w:val="22"/>
          <w:lang w:val="es-ES_tradnl" w:eastAsia="es-ES"/>
        </w:rPr>
        <w:t xml:space="preserve"> </w:t>
      </w:r>
    </w:p>
    <w:p w:rsidR="00703149" w:rsidRPr="0080709C" w:rsidRDefault="00703149" w:rsidP="00703149">
      <w:pPr>
        <w:spacing w:line="360" w:lineRule="auto"/>
        <w:ind w:left="567" w:right="567"/>
        <w:contextualSpacing/>
        <w:jc w:val="both"/>
        <w:rPr>
          <w:rFonts w:ascii="Palatino Linotype" w:hAnsi="Palatino Linotype"/>
          <w:i/>
          <w:sz w:val="22"/>
          <w:lang w:val="es-ES_tradnl" w:eastAsia="es-ES"/>
        </w:rPr>
      </w:pPr>
      <w:r w:rsidRPr="0080709C">
        <w:rPr>
          <w:rFonts w:ascii="Palatino Linotype" w:hAnsi="Palatino Linotype"/>
          <w:i/>
          <w:sz w:val="22"/>
          <w:lang w:val="es-ES_tradnl" w:eastAsia="es-ES"/>
        </w:rPr>
        <w:t>(…)</w:t>
      </w:r>
    </w:p>
    <w:p w:rsidR="00703149" w:rsidRPr="0080709C" w:rsidRDefault="00703149" w:rsidP="00703149">
      <w:pPr>
        <w:spacing w:line="360" w:lineRule="auto"/>
        <w:ind w:left="567" w:right="567"/>
        <w:contextualSpacing/>
        <w:jc w:val="both"/>
        <w:rPr>
          <w:rFonts w:ascii="Palatino Linotype" w:hAnsi="Palatino Linotype"/>
          <w:i/>
          <w:sz w:val="22"/>
        </w:rPr>
      </w:pPr>
      <w:r w:rsidRPr="0080709C">
        <w:rPr>
          <w:rFonts w:ascii="Palatino Linotype" w:hAnsi="Palatino Linotype"/>
          <w:i/>
          <w:sz w:val="22"/>
          <w:lang w:val="es-ES_tradnl" w:eastAsia="es-ES"/>
        </w:rPr>
        <w:t>Todas las</w:t>
      </w:r>
      <w:r w:rsidRPr="0080709C">
        <w:rPr>
          <w:rFonts w:ascii="Palatino Linotype" w:hAnsi="Palatino Linotype"/>
          <w:sz w:val="22"/>
          <w:lang w:val="es-ES_tradnl" w:eastAsia="es-ES"/>
        </w:rPr>
        <w:t xml:space="preserve"> </w:t>
      </w:r>
      <w:r w:rsidRPr="0080709C">
        <w:rPr>
          <w:rFonts w:ascii="Palatino Linotype" w:hAnsi="Palatino Linotype"/>
          <w:i/>
          <w:sz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703149" w:rsidRPr="0080709C" w:rsidRDefault="00703149" w:rsidP="00703149">
      <w:pPr>
        <w:spacing w:line="360" w:lineRule="auto"/>
        <w:ind w:left="567" w:right="567"/>
        <w:contextualSpacing/>
        <w:jc w:val="both"/>
        <w:rPr>
          <w:rFonts w:ascii="Palatino Linotype" w:hAnsi="Palatino Linotype"/>
          <w:sz w:val="22"/>
          <w:lang w:val="es-ES_tradnl" w:eastAsia="es-ES"/>
        </w:rPr>
      </w:pPr>
      <w:r w:rsidRPr="0080709C">
        <w:rPr>
          <w:rFonts w:ascii="Palatino Linotype" w:hAnsi="Palatino Linotype"/>
          <w:i/>
          <w:sz w:val="22"/>
        </w:rPr>
        <w:t>(…)</w:t>
      </w:r>
      <w:r w:rsidRPr="0080709C">
        <w:rPr>
          <w:rFonts w:ascii="Palatino Linotype" w:hAnsi="Palatino Linotype"/>
          <w:sz w:val="22"/>
          <w:lang w:val="es-ES_tradnl" w:eastAsia="es-ES"/>
        </w:rPr>
        <w:t>”.</w:t>
      </w:r>
    </w:p>
    <w:p w:rsidR="00703149" w:rsidRPr="0080709C" w:rsidRDefault="00703149" w:rsidP="00703149">
      <w:pPr>
        <w:spacing w:line="360" w:lineRule="auto"/>
        <w:ind w:left="567" w:right="567"/>
        <w:contextualSpacing/>
        <w:jc w:val="both"/>
        <w:rPr>
          <w:rFonts w:ascii="Palatino Linotype" w:hAnsi="Palatino Linotype"/>
          <w:b/>
          <w:sz w:val="22"/>
          <w:lang w:val="es-ES_tradnl" w:eastAsia="es-ES"/>
        </w:rPr>
      </w:pPr>
      <w:r w:rsidRPr="0080709C">
        <w:rPr>
          <w:rFonts w:ascii="Palatino Linotype" w:hAnsi="Palatino Linotype"/>
          <w:b/>
          <w:i/>
          <w:sz w:val="22"/>
        </w:rPr>
        <w:t>(Énfasis Añadido)</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lang w:val="es-ES_tradnl" w:eastAsia="es-ES"/>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 mismo artículo.</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Theme="minorEastAsia" w:hAnsi="Palatino Linotype"/>
          <w:lang w:val="es-ES_tradnl" w:eastAsia="es-ES"/>
        </w:rPr>
        <w:t xml:space="preserve">Así, conforme a la Constitución Política de las Estado Unidos Mexicanos </w:t>
      </w:r>
      <w:r w:rsidRPr="00703149">
        <w:rPr>
          <w:rFonts w:ascii="Palatino Linotype" w:eastAsia="Calibri" w:hAnsi="Palatino Linotype"/>
          <w:lang w:val="es-ES_tradnl" w:eastAsia="es-ES"/>
        </w:rPr>
        <w:t>y la Constitución Política del Estado Libre y Soberano de México respectivamente</w:t>
      </w:r>
      <w:r w:rsidRPr="00703149">
        <w:rPr>
          <w:rFonts w:ascii="Palatino Linotype" w:eastAsiaTheme="minorEastAsia" w:hAnsi="Palatino Linotype"/>
          <w:lang w:val="es-ES_tradnl" w:eastAsia="es-ES"/>
        </w:rPr>
        <w:t xml:space="preserve">, el cumplimiento de las garantías primarias, entendidas como obligaciones </w:t>
      </w:r>
      <w:r w:rsidRPr="00703149">
        <w:rPr>
          <w:rFonts w:ascii="Palatino Linotype" w:eastAsiaTheme="minorEastAsia" w:hAnsi="Palatino Linotype"/>
          <w:lang w:val="es-ES_tradnl" w:eastAsia="es-ES"/>
        </w:rPr>
        <w:lastRenderedPageBreak/>
        <w:t>inmediatamente relacionadas con el Derecho de Acceso a la Información Pública, permiten que todas las autoridades, en el ámbito de sus atribuciones lo respeten, protejan y garanticen.</w:t>
      </w:r>
    </w:p>
    <w:p w:rsid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80709C" w:rsidRDefault="00703149" w:rsidP="00703149">
      <w:pPr>
        <w:spacing w:line="360" w:lineRule="auto"/>
        <w:ind w:left="567" w:right="567"/>
        <w:jc w:val="center"/>
        <w:rPr>
          <w:rFonts w:ascii="Palatino Linotype" w:eastAsiaTheme="minorEastAsia" w:hAnsi="Palatino Linotype" w:cs="Arial"/>
          <w:b/>
          <w:bCs/>
          <w:i/>
          <w:sz w:val="22"/>
          <w:lang w:val="es-ES_tradnl" w:eastAsia="es-ES"/>
        </w:rPr>
      </w:pPr>
      <w:r w:rsidRPr="0080709C">
        <w:rPr>
          <w:rFonts w:ascii="Palatino Linotype" w:eastAsiaTheme="minorEastAsia" w:hAnsi="Palatino Linotype" w:cs="Arial"/>
          <w:b/>
          <w:bCs/>
          <w:i/>
          <w:sz w:val="22"/>
          <w:lang w:val="es-ES_tradnl" w:eastAsia="es-ES"/>
        </w:rPr>
        <w:t>Constitución Política de los Estados Unidos Mexicanos</w:t>
      </w:r>
    </w:p>
    <w:p w:rsidR="00703149" w:rsidRPr="0080709C" w:rsidRDefault="00703149" w:rsidP="00703149">
      <w:pPr>
        <w:spacing w:line="360" w:lineRule="auto"/>
        <w:ind w:left="567" w:right="567"/>
        <w:jc w:val="both"/>
        <w:rPr>
          <w:rFonts w:ascii="Palatino Linotype" w:eastAsiaTheme="minorEastAsia" w:hAnsi="Palatino Linotype" w:cs="Arial"/>
          <w:b/>
          <w:bCs/>
          <w:i/>
          <w:sz w:val="22"/>
          <w:lang w:val="es-ES_tradnl" w:eastAsia="es-ES"/>
        </w:rPr>
      </w:pPr>
      <w:r w:rsidRPr="0080709C">
        <w:rPr>
          <w:rFonts w:ascii="Palatino Linotype" w:eastAsiaTheme="minorEastAsia" w:hAnsi="Palatino Linotype" w:cs="Arial"/>
          <w:b/>
          <w:bCs/>
          <w:i/>
          <w:sz w:val="22"/>
          <w:lang w:val="es-ES_tradnl" w:eastAsia="es-ES"/>
        </w:rPr>
        <w:t>“Artículo 6.</w:t>
      </w:r>
      <w:r w:rsidRPr="0080709C">
        <w:rPr>
          <w:rFonts w:ascii="Palatino Linotype" w:eastAsiaTheme="minorEastAsia" w:hAnsi="Palatino Linotype" w:cs="Arial"/>
          <w:bCs/>
          <w:i/>
          <w:sz w:val="22"/>
          <w:lang w:val="es-ES_tradnl" w:eastAsia="es-ES"/>
        </w:rPr>
        <w:t xml:space="preserve"> …</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Cs/>
          <w:i/>
          <w:sz w:val="22"/>
          <w:lang w:val="es-ES_tradnl" w:eastAsia="es-ES"/>
        </w:rPr>
        <w:t>…</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Cs/>
          <w:i/>
          <w:sz w:val="22"/>
          <w:lang w:val="es-ES_tradnl" w:eastAsia="es-ES"/>
        </w:rPr>
        <w:t>Para efectos de lo dispuesto en el presente artículo se observará lo siguiente:</w:t>
      </w:r>
    </w:p>
    <w:p w:rsidR="00703149" w:rsidRPr="0080709C" w:rsidRDefault="00703149" w:rsidP="00703149">
      <w:pPr>
        <w:spacing w:line="360" w:lineRule="auto"/>
        <w:ind w:left="567" w:right="567"/>
        <w:jc w:val="both"/>
        <w:rPr>
          <w:rFonts w:ascii="Palatino Linotype" w:eastAsiaTheme="minorEastAsia" w:hAnsi="Palatino Linotype" w:cs="Arial"/>
          <w:b/>
          <w:bCs/>
          <w:i/>
          <w:sz w:val="22"/>
          <w:lang w:val="es-ES_tradnl" w:eastAsia="es-ES"/>
        </w:rPr>
      </w:pPr>
      <w:r w:rsidRPr="0080709C">
        <w:rPr>
          <w:rFonts w:ascii="Palatino Linotype" w:eastAsiaTheme="minorEastAsia" w:hAnsi="Palatino Linotype" w:cs="Arial"/>
          <w:b/>
          <w:bCs/>
          <w:i/>
          <w:sz w:val="22"/>
          <w:lang w:val="es-ES_tradnl" w:eastAsia="es-ES"/>
        </w:rPr>
        <w:t>A</w:t>
      </w: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Para el ejercicio del derecho de acceso a la información</w:t>
      </w:r>
      <w:r w:rsidRPr="0080709C">
        <w:rPr>
          <w:rFonts w:ascii="Palatino Linotype" w:eastAsiaTheme="minorEastAsia" w:hAnsi="Palatino Linotype" w:cs="Arial"/>
          <w:bCs/>
          <w:i/>
          <w:sz w:val="22"/>
          <w:lang w:val="es-ES_tradnl" w:eastAsia="es-ES"/>
        </w:rPr>
        <w:t xml:space="preserve">, la Federación y </w:t>
      </w:r>
      <w:r w:rsidRPr="0080709C">
        <w:rPr>
          <w:rFonts w:ascii="Palatino Linotype" w:eastAsiaTheme="minorEastAsia" w:hAnsi="Palatino Linotype" w:cs="Arial"/>
          <w:b/>
          <w:bCs/>
          <w:i/>
          <w:sz w:val="22"/>
          <w:lang w:val="es-ES_tradnl" w:eastAsia="es-ES"/>
        </w:rPr>
        <w:t>las entidades federativas, en el ámbito de sus respectivas competencias, se regirán por los siguientes principios y bases:</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 xml:space="preserve">I. </w:t>
      </w:r>
      <w:r w:rsidRPr="0080709C">
        <w:rPr>
          <w:rFonts w:ascii="Palatino Linotype" w:eastAsiaTheme="minorEastAsia" w:hAnsi="Palatino Linotype" w:cs="Arial"/>
          <w:b/>
          <w:bCs/>
          <w:i/>
          <w:sz w:val="22"/>
          <w:lang w:val="es-ES_tradnl" w:eastAsia="es-ES"/>
        </w:rPr>
        <w:tab/>
        <w:t>Toda la información en posesión de cualquier</w:t>
      </w: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autoridad</w:t>
      </w:r>
      <w:r w:rsidRPr="0080709C">
        <w:rPr>
          <w:rFonts w:ascii="Palatino Linotype" w:eastAsiaTheme="minorEastAsia" w:hAnsi="Palatino Linotype" w:cs="Arial"/>
          <w:bCs/>
          <w:i/>
          <w:sz w:val="22"/>
          <w:lang w:val="es-ES_tradnl" w:eastAsia="es-E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80709C">
        <w:rPr>
          <w:rFonts w:ascii="Palatino Linotype" w:eastAsiaTheme="minorEastAsia" w:hAnsi="Palatino Linotype" w:cs="Arial"/>
          <w:b/>
          <w:bCs/>
          <w:i/>
          <w:sz w:val="22"/>
          <w:lang w:val="es-ES_tradnl" w:eastAsia="es-ES"/>
        </w:rPr>
        <w:t>municipal</w:t>
      </w: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es pública</w:t>
      </w:r>
      <w:r w:rsidRPr="0080709C">
        <w:rPr>
          <w:rFonts w:ascii="Palatino Linotype" w:eastAsiaTheme="minorEastAsia" w:hAnsi="Palatino Linotype" w:cs="Arial"/>
          <w:bCs/>
          <w:i/>
          <w:sz w:val="22"/>
          <w:lang w:val="es-ES_tradnl" w:eastAsia="es-ES"/>
        </w:rPr>
        <w:t xml:space="preserve"> y sólo podrá ser reservada temporalmente por razones de interés público y seguridad nacional, en los términos que fijen las leyes. </w:t>
      </w:r>
      <w:r w:rsidRPr="0080709C">
        <w:rPr>
          <w:rFonts w:ascii="Palatino Linotype" w:eastAsiaTheme="minorEastAsia" w:hAnsi="Palatino Linotype" w:cs="Arial"/>
          <w:b/>
          <w:bCs/>
          <w:i/>
          <w:sz w:val="22"/>
          <w:lang w:val="es-ES_tradnl" w:eastAsia="es-ES"/>
        </w:rPr>
        <w:t>En la interpretación de este derecho deberá prevalecer el principio de máxima publicidad. Los sujetos obligados deberán documentar todo acto que derive del ejercicio de sus facultades, competencias o funciones</w:t>
      </w:r>
      <w:r w:rsidRPr="0080709C">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703149" w:rsidRPr="0080709C" w:rsidRDefault="00703149" w:rsidP="00703149">
      <w:pPr>
        <w:pStyle w:val="Prrafodelista"/>
        <w:tabs>
          <w:tab w:val="left" w:pos="567"/>
        </w:tabs>
        <w:spacing w:line="360" w:lineRule="auto"/>
        <w:ind w:left="567" w:right="567"/>
        <w:jc w:val="both"/>
        <w:rPr>
          <w:rFonts w:ascii="Palatino Linotype" w:hAnsi="Palatino Linotype" w:cs="Arial"/>
          <w:b/>
          <w:bCs/>
          <w:i/>
        </w:rPr>
      </w:pPr>
      <w:r w:rsidRPr="0080709C">
        <w:rPr>
          <w:rFonts w:ascii="Palatino Linotype" w:hAnsi="Palatino Linotype" w:cs="Arial"/>
          <w:b/>
          <w:bCs/>
          <w:i/>
        </w:rPr>
        <w:t>(Énfasis añadido)</w:t>
      </w:r>
    </w:p>
    <w:p w:rsidR="00703149" w:rsidRPr="0080709C" w:rsidRDefault="00703149" w:rsidP="00703149">
      <w:pPr>
        <w:pStyle w:val="Prrafodelista"/>
        <w:tabs>
          <w:tab w:val="left" w:pos="567"/>
        </w:tabs>
        <w:spacing w:line="360" w:lineRule="auto"/>
        <w:ind w:left="567" w:right="567"/>
        <w:jc w:val="both"/>
        <w:rPr>
          <w:rFonts w:ascii="Palatino Linotype" w:hAnsi="Palatino Linotype" w:cs="Arial"/>
          <w:b/>
          <w:bCs/>
          <w:i/>
        </w:rPr>
      </w:pPr>
    </w:p>
    <w:p w:rsidR="00703149" w:rsidRPr="0080709C" w:rsidRDefault="00703149" w:rsidP="00703149">
      <w:pPr>
        <w:spacing w:line="360" w:lineRule="auto"/>
        <w:ind w:left="567" w:right="567"/>
        <w:jc w:val="center"/>
        <w:rPr>
          <w:rFonts w:ascii="Palatino Linotype" w:eastAsiaTheme="minorEastAsia" w:hAnsi="Palatino Linotype" w:cs="Arial"/>
          <w:b/>
          <w:bCs/>
          <w:i/>
          <w:sz w:val="22"/>
          <w:lang w:val="es-ES_tradnl" w:eastAsia="es-ES"/>
        </w:rPr>
      </w:pPr>
      <w:r w:rsidRPr="0080709C">
        <w:rPr>
          <w:rFonts w:ascii="Palatino Linotype" w:eastAsiaTheme="minorEastAsia" w:hAnsi="Palatino Linotype" w:cs="Arial"/>
          <w:b/>
          <w:bCs/>
          <w:i/>
          <w:sz w:val="22"/>
          <w:lang w:val="es-ES_tradnl" w:eastAsia="es-ES"/>
        </w:rPr>
        <w:t>Constitución Política del Estado Libre y Soberano de México</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“Artículo 5</w:t>
      </w:r>
      <w:r w:rsidRPr="0080709C">
        <w:rPr>
          <w:rFonts w:ascii="Palatino Linotype" w:eastAsiaTheme="minorEastAsia" w:hAnsi="Palatino Linotype" w:cs="Arial"/>
          <w:bCs/>
          <w:i/>
          <w:sz w:val="22"/>
          <w:lang w:val="es-ES_tradnl" w:eastAsia="es-ES"/>
        </w:rPr>
        <w:t>.- …</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Cs/>
          <w:i/>
          <w:sz w:val="22"/>
          <w:lang w:val="es-ES_tradnl" w:eastAsia="es-ES"/>
        </w:rPr>
        <w:t>…</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lastRenderedPageBreak/>
        <w:t>El derecho a la información será garantizado por el Estado. La ley establecerá las previsiones que permitan asegurar la protección, el respeto y la difusión de este derecho</w:t>
      </w:r>
      <w:r w:rsidRPr="0080709C">
        <w:rPr>
          <w:rFonts w:ascii="Palatino Linotype" w:eastAsiaTheme="minorEastAsia" w:hAnsi="Palatino Linotype" w:cs="Arial"/>
          <w:bCs/>
          <w:i/>
          <w:sz w:val="22"/>
          <w:lang w:val="es-ES_tradnl" w:eastAsia="es-ES"/>
        </w:rPr>
        <w:t>.</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Cs/>
          <w:i/>
          <w:sz w:val="22"/>
          <w:lang w:val="es-ES_tradnl"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Este derecho se regirá por los principios y bases siguientes</w:t>
      </w:r>
      <w:r w:rsidRPr="0080709C">
        <w:rPr>
          <w:rFonts w:ascii="Palatino Linotype" w:eastAsiaTheme="minorEastAsia" w:hAnsi="Palatino Linotype" w:cs="Arial"/>
          <w:bCs/>
          <w:i/>
          <w:sz w:val="22"/>
          <w:lang w:val="es-ES_tradnl" w:eastAsia="es-ES"/>
        </w:rPr>
        <w:t>:</w:t>
      </w:r>
    </w:p>
    <w:p w:rsidR="00703149" w:rsidRPr="0080709C" w:rsidRDefault="00703149" w:rsidP="00703149">
      <w:pPr>
        <w:spacing w:line="360" w:lineRule="auto"/>
        <w:ind w:left="567" w:right="567"/>
        <w:jc w:val="both"/>
        <w:rPr>
          <w:rFonts w:ascii="Palatino Linotype" w:eastAsiaTheme="minorEastAsia" w:hAnsi="Palatino Linotype" w:cs="Arial"/>
          <w:bCs/>
          <w:i/>
          <w:sz w:val="22"/>
          <w:lang w:val="es-ES_tradnl" w:eastAsia="es-ES"/>
        </w:rPr>
      </w:pPr>
      <w:r w:rsidRPr="0080709C">
        <w:rPr>
          <w:rFonts w:ascii="Palatino Linotype" w:eastAsiaTheme="minorEastAsia" w:hAnsi="Palatino Linotype" w:cs="Arial"/>
          <w:b/>
          <w:bCs/>
          <w:i/>
          <w:sz w:val="22"/>
          <w:lang w:val="es-ES_tradnl" w:eastAsia="es-ES"/>
        </w:rPr>
        <w:t>I. Toda la información en posesión de cualquier autoridad, entidad, órgano y organismos de los</w:t>
      </w:r>
      <w:r w:rsidRPr="0080709C">
        <w:rPr>
          <w:rFonts w:ascii="Palatino Linotype" w:eastAsiaTheme="minorEastAsia" w:hAnsi="Palatino Linotype" w:cs="Arial"/>
          <w:bCs/>
          <w:i/>
          <w:sz w:val="22"/>
          <w:lang w:val="es-ES_tradnl" w:eastAsia="es-ES"/>
        </w:rPr>
        <w:t xml:space="preserve"> Poderes Ejecutivo, Legislativo y Judicial, órganos autónomos, partidos políticos, fideicomisos y fondos públicos estatales y </w:t>
      </w:r>
      <w:r w:rsidRPr="0080709C">
        <w:rPr>
          <w:rFonts w:ascii="Palatino Linotype" w:eastAsiaTheme="minorEastAsia" w:hAnsi="Palatino Linotype" w:cs="Arial"/>
          <w:b/>
          <w:bCs/>
          <w:i/>
          <w:sz w:val="22"/>
          <w:lang w:val="es-ES_tradnl" w:eastAsia="es-ES"/>
        </w:rPr>
        <w:t>municipales</w:t>
      </w:r>
      <w:r w:rsidRPr="0080709C">
        <w:rPr>
          <w:rFonts w:ascii="Palatino Linotype" w:eastAsiaTheme="minorEastAsia" w:hAnsi="Palatino Linotype" w:cs="Arial"/>
          <w:bCs/>
          <w:i/>
          <w:sz w:val="22"/>
          <w:lang w:val="es-ES_tradnl" w:eastAsia="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80709C">
        <w:rPr>
          <w:rFonts w:ascii="Palatino Linotype" w:eastAsiaTheme="minorEastAsia" w:hAnsi="Palatino Linotype" w:cs="Arial"/>
          <w:b/>
          <w:bCs/>
          <w:i/>
          <w:sz w:val="22"/>
          <w:lang w:val="es-ES_tradnl" w:eastAsia="es-ES"/>
        </w:rPr>
        <w:t>es pública</w:t>
      </w:r>
      <w:r w:rsidRPr="0080709C">
        <w:rPr>
          <w:rFonts w:ascii="Palatino Linotype" w:eastAsiaTheme="minorEastAsia" w:hAnsi="Palatino Linotype" w:cs="Arial"/>
          <w:bCs/>
          <w:i/>
          <w:sz w:val="22"/>
          <w:lang w:val="es-ES_tradnl" w:eastAsia="es-ES"/>
        </w:rPr>
        <w:t xml:space="preserve"> y sólo podrá ser reservada temporalmente por razones previstas en la Constitución Política de los Estados Unidos Mexicanos de interés público y seguridad, en los términos que fijen las leyes. </w:t>
      </w:r>
      <w:r w:rsidRPr="0080709C">
        <w:rPr>
          <w:rFonts w:ascii="Palatino Linotype" w:eastAsiaTheme="minorEastAsia" w:hAnsi="Palatino Linotype" w:cs="Arial"/>
          <w:b/>
          <w:bCs/>
          <w:i/>
          <w:sz w:val="22"/>
          <w:lang w:val="es-ES_tradnl" w:eastAsia="es-ES"/>
        </w:rPr>
        <w:t>En la interpretación de este derecho deberá prevalecer el principio de máxima publicidad</w:t>
      </w:r>
      <w:r w:rsidRPr="0080709C">
        <w:rPr>
          <w:rFonts w:ascii="Palatino Linotype" w:eastAsiaTheme="minorEastAsia" w:hAnsi="Palatino Linotype" w:cs="Arial"/>
          <w:bCs/>
          <w:i/>
          <w:sz w:val="22"/>
          <w:lang w:val="es-ES_tradnl" w:eastAsia="es-ES"/>
        </w:rPr>
        <w:t xml:space="preserve">. </w:t>
      </w:r>
      <w:r w:rsidRPr="0080709C">
        <w:rPr>
          <w:rFonts w:ascii="Palatino Linotype" w:eastAsiaTheme="minorEastAsia" w:hAnsi="Palatino Linotype" w:cs="Arial"/>
          <w:b/>
          <w:bCs/>
          <w:i/>
          <w:sz w:val="22"/>
          <w:lang w:val="es-ES_tradnl" w:eastAsia="es-ES"/>
        </w:rPr>
        <w:t>Los sujetos obligados deberán documentar todo acto que derive del ejercicio de sus facultades, competencias o funciones</w:t>
      </w:r>
      <w:r w:rsidRPr="0080709C">
        <w:rPr>
          <w:rFonts w:ascii="Palatino Linotype" w:eastAsiaTheme="minorEastAsia" w:hAnsi="Palatino Linotype" w:cs="Arial"/>
          <w:bCs/>
          <w:i/>
          <w:sz w:val="22"/>
          <w:lang w:val="es-ES_tradnl" w:eastAsia="es-ES"/>
        </w:rPr>
        <w:t>, la ley determinará los supuestos específicos bajo los cuales procederá la declaración de inexistencia de la información.”</w:t>
      </w:r>
    </w:p>
    <w:p w:rsidR="00703149" w:rsidRPr="0080709C" w:rsidRDefault="00703149" w:rsidP="00703149">
      <w:pPr>
        <w:pStyle w:val="Prrafodelista"/>
        <w:tabs>
          <w:tab w:val="left" w:pos="567"/>
        </w:tabs>
        <w:spacing w:line="360" w:lineRule="auto"/>
        <w:ind w:left="567" w:right="567"/>
        <w:jc w:val="both"/>
        <w:rPr>
          <w:rFonts w:ascii="Palatino Linotype" w:hAnsi="Palatino Linotype" w:cs="Arial"/>
          <w:b/>
          <w:bCs/>
          <w:i/>
        </w:rPr>
      </w:pPr>
      <w:r w:rsidRPr="0080709C">
        <w:rPr>
          <w:rFonts w:ascii="Palatino Linotype" w:hAnsi="Palatino Linotype" w:cs="Arial"/>
          <w:b/>
          <w:bCs/>
          <w:i/>
        </w:rPr>
        <w:t>(Énfasis añadido)</w:t>
      </w:r>
    </w:p>
    <w:p w:rsid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Theme="minorEastAsia" w:hAnsi="Palatino Linotype" w:cs="Arial"/>
          <w:lang w:val="es-ES_tradnl" w:eastAsia="es-ES"/>
        </w:rPr>
        <w:t xml:space="preserve">Según el artículo 150 de la Ley de Transparencia del Estado, la solicitud es la garantía primaria del Derecho de Acceso a la Información, además, establece que se regirá </w:t>
      </w:r>
      <w:r w:rsidRPr="00703149">
        <w:rPr>
          <w:rFonts w:ascii="Palatino Linotype" w:eastAsiaTheme="minorEastAsia" w:hAnsi="Palatino Linotype" w:cs="Arial"/>
          <w:i/>
          <w:lang w:val="es-ES_tradnl" w:eastAsia="es-ES"/>
        </w:rPr>
        <w:t xml:space="preserve">por los principios de simplicidad, rapidez gratuidad del procedimiento, auxilio y </w:t>
      </w:r>
      <w:r w:rsidRPr="00703149">
        <w:rPr>
          <w:rFonts w:ascii="Palatino Linotype" w:eastAsiaTheme="minorEastAsia" w:hAnsi="Palatino Linotype" w:cs="Arial"/>
          <w:i/>
          <w:lang w:val="es-ES_tradnl" w:eastAsia="es-ES"/>
        </w:rPr>
        <w:lastRenderedPageBreak/>
        <w:t>orientación a los particulares</w:t>
      </w:r>
      <w:r w:rsidRPr="00703149">
        <w:rPr>
          <w:rFonts w:ascii="Palatino Linotype" w:eastAsiaTheme="minorEastAsia" w:hAnsi="Palatino Linotype" w:cs="Arial"/>
          <w:lang w:val="es-ES_tradnl" w:eastAsia="es-ES"/>
        </w:rPr>
        <w:t>, contemplando el derecho de las personas con discapacidad y hablantes de lengua indígena.</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Theme="minorEastAsia" w:hAnsi="Palatino Linotype" w:cs="Arial"/>
          <w:lang w:val="es-ES_tradnl" w:eastAsia="es-ES"/>
        </w:rPr>
        <w:t xml:space="preserve">El Derecho de Acceso a la Información se garantiza y respeta oportunamente, y según lo que dispone la Ley, las </w:t>
      </w:r>
      <w:r w:rsidRPr="00703149">
        <w:rPr>
          <w:rFonts w:ascii="Palatino Linotype" w:eastAsiaTheme="minorEastAsia" w:hAnsi="Palatino Linotype" w:cs="Arial"/>
          <w:i/>
          <w:lang w:val="es-ES_tradnl" w:eastAsia="es-ES"/>
        </w:rPr>
        <w:t>solicitudes de acceso a la información</w:t>
      </w:r>
      <w:r w:rsidRPr="00703149">
        <w:rPr>
          <w:rFonts w:ascii="Palatino Linotype" w:eastAsiaTheme="minorEastAsia" w:hAnsi="Palatino Linotype" w:cs="Arial"/>
          <w:lang w:val="es-ES_tradnl" w:eastAsia="es-ES"/>
        </w:rPr>
        <w:t>.</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Theme="minorEastAsia" w:hAnsi="Palatino Linotype" w:cs="Arial"/>
          <w:lang w:val="es-ES_tradnl" w:eastAsia="es-ES"/>
        </w:rPr>
        <w:t>Así entonces, se procede analizar, en primer lugar, si el SUJETO OBLIGADO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toda la información solicitada.</w:t>
      </w:r>
    </w:p>
    <w:p w:rsidR="00703149" w:rsidRPr="0080709C" w:rsidRDefault="00703149" w:rsidP="00703149">
      <w:pPr>
        <w:pStyle w:val="Ttulo1"/>
        <w:spacing w:before="0" w:line="360" w:lineRule="auto"/>
        <w:rPr>
          <w:rFonts w:ascii="Palatino Linotype" w:hAnsi="Palatino Linotype"/>
          <w:b/>
          <w:color w:val="auto"/>
          <w:sz w:val="24"/>
          <w:szCs w:val="24"/>
        </w:rPr>
      </w:pPr>
    </w:p>
    <w:p w:rsidR="00703149" w:rsidRPr="006E1CC1" w:rsidRDefault="00703149" w:rsidP="00703149">
      <w:pPr>
        <w:pStyle w:val="Ttulo1"/>
        <w:numPr>
          <w:ilvl w:val="0"/>
          <w:numId w:val="17"/>
        </w:numPr>
        <w:spacing w:before="0" w:line="360" w:lineRule="auto"/>
        <w:rPr>
          <w:rFonts w:ascii="Palatino Linotype" w:hAnsi="Palatino Linotype"/>
          <w:b/>
          <w:color w:val="auto"/>
          <w:sz w:val="24"/>
          <w:szCs w:val="24"/>
        </w:rPr>
      </w:pPr>
      <w:bookmarkStart w:id="22" w:name="_Toc80812777"/>
      <w:bookmarkStart w:id="23" w:name="_Toc82516501"/>
      <w:r w:rsidRPr="0080709C">
        <w:rPr>
          <w:rFonts w:ascii="Palatino Linotype" w:hAnsi="Palatino Linotype"/>
          <w:b/>
          <w:color w:val="auto"/>
          <w:sz w:val="24"/>
          <w:szCs w:val="24"/>
        </w:rPr>
        <w:t>De la información solicitada y la respuesta del Sujeto Obligado.</w:t>
      </w:r>
      <w:bookmarkEnd w:id="22"/>
      <w:bookmarkEnd w:id="23"/>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8F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Cambria" w:hAnsi="Palatino Linotype" w:cs="Arial"/>
        </w:rPr>
        <w:t xml:space="preserve">Consecuentemente y derivado del Planteamiento de la Litis, se procede analizar el contenido íntegro de las actuaciones que obran en el expediente electrónico, y así este Órgano Garante dicte la resolución correspondiente, tomando en consideración los elementos aportados por las partes y apegándose en todo momento al principio de máxima publicidad de acuerdo con lo establecido en el artículo 8 de la </w:t>
      </w:r>
      <w:r w:rsidRPr="00703149">
        <w:rPr>
          <w:rFonts w:ascii="Palatino Linotype" w:eastAsia="Calibri" w:hAnsi="Palatino Linotype" w:cs="Arial"/>
          <w:lang w:val="es-ES"/>
        </w:rPr>
        <w:t>Ley de Transparencia y Acceso a la Información Pública del Estado de México y Municipios</w:t>
      </w:r>
      <w:r w:rsidRPr="00703149">
        <w:rPr>
          <w:rFonts w:ascii="Palatino Linotype" w:hAnsi="Palatino Linotype" w:cs="Arial"/>
          <w:lang w:val="es-ES"/>
        </w:rPr>
        <w:t>.</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7C4A14"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cs="Arial"/>
          <w:lang w:val="es-ES"/>
        </w:rPr>
        <w:t>En este caso, el particular  solicitó</w:t>
      </w:r>
      <w:r w:rsidR="009208F7" w:rsidRPr="00703149">
        <w:rPr>
          <w:rFonts w:ascii="Palatino Linotype" w:hAnsi="Palatino Linotype" w:cs="Arial"/>
          <w:lang w:val="es-ES"/>
        </w:rPr>
        <w:t xml:space="preserve"> </w:t>
      </w:r>
      <w:r w:rsidR="007E0AD9" w:rsidRPr="00703149">
        <w:rPr>
          <w:rFonts w:ascii="Palatino Linotype" w:hAnsi="Palatino Linotype" w:cs="Arial"/>
          <w:lang w:val="es-ES"/>
        </w:rPr>
        <w:t>del año 2019 y 2020</w:t>
      </w:r>
      <w:r w:rsidRPr="00703149">
        <w:rPr>
          <w:rFonts w:ascii="Palatino Linotype" w:hAnsi="Palatino Linotype" w:cs="Arial"/>
          <w:lang w:val="es-ES"/>
        </w:rPr>
        <w:t xml:space="preserve"> información relacionada con:</w:t>
      </w:r>
    </w:p>
    <w:p w:rsidR="00703149" w:rsidRDefault="00703149" w:rsidP="00703149">
      <w:pPr>
        <w:pStyle w:val="Prrafodelista"/>
        <w:spacing w:line="360" w:lineRule="auto"/>
        <w:ind w:left="786" w:right="822"/>
        <w:jc w:val="both"/>
        <w:rPr>
          <w:rFonts w:ascii="Palatino Linotype" w:hAnsi="Palatino Linotype" w:cs="Arial"/>
          <w:sz w:val="24"/>
          <w:lang w:val="es-ES"/>
        </w:rPr>
      </w:pPr>
      <w:r>
        <w:rPr>
          <w:rFonts w:ascii="Palatino Linotype" w:hAnsi="Palatino Linotype" w:cs="Arial"/>
          <w:sz w:val="24"/>
          <w:lang w:val="es-ES"/>
        </w:rPr>
        <w:lastRenderedPageBreak/>
        <w:t>a). Asignación y liberación del recurso Fondo de Aportaciones para el Fortalecimiento de los Municipios y de las Demarcaciones Territoriales del Distrito Federal (FORTAMUNDF); y</w:t>
      </w:r>
    </w:p>
    <w:p w:rsidR="00703149" w:rsidRPr="00703149" w:rsidRDefault="00703149" w:rsidP="00703149">
      <w:pPr>
        <w:spacing w:line="360" w:lineRule="auto"/>
        <w:ind w:left="426" w:right="822"/>
        <w:jc w:val="both"/>
        <w:rPr>
          <w:rFonts w:ascii="Palatino Linotype" w:hAnsi="Palatino Linotype" w:cs="Arial"/>
          <w:lang w:val="es-ES"/>
        </w:rPr>
      </w:pPr>
    </w:p>
    <w:p w:rsidR="00703149" w:rsidRDefault="00703149" w:rsidP="00703149">
      <w:pPr>
        <w:pStyle w:val="Prrafodelista"/>
        <w:spacing w:line="360" w:lineRule="auto"/>
        <w:ind w:left="786" w:right="822"/>
        <w:jc w:val="both"/>
        <w:rPr>
          <w:rFonts w:ascii="Palatino Linotype" w:hAnsi="Palatino Linotype" w:cs="Arial"/>
          <w:sz w:val="24"/>
          <w:lang w:val="es-ES"/>
        </w:rPr>
      </w:pPr>
      <w:r>
        <w:rPr>
          <w:rFonts w:ascii="Palatino Linotype" w:hAnsi="Palatino Linotype" w:cs="Arial"/>
          <w:sz w:val="24"/>
          <w:lang w:val="es-ES"/>
        </w:rPr>
        <w:t>b). Asignación y liberación del Fondo Estatal de Fortalecimiento Municipal (FEFOM);</w:t>
      </w:r>
    </w:p>
    <w:p w:rsidR="00703149" w:rsidRDefault="00703149" w:rsidP="00703149">
      <w:pPr>
        <w:pStyle w:val="Prrafodelista"/>
        <w:spacing w:line="360" w:lineRule="auto"/>
        <w:ind w:left="786" w:right="822"/>
        <w:jc w:val="both"/>
        <w:rPr>
          <w:rFonts w:ascii="Palatino Linotype" w:hAnsi="Palatino Linotype" w:cs="Arial"/>
          <w:sz w:val="24"/>
          <w:lang w:val="es-ES"/>
        </w:rPr>
      </w:pPr>
    </w:p>
    <w:p w:rsidR="00703149" w:rsidRPr="007E0AD9" w:rsidRDefault="00703149" w:rsidP="00703149">
      <w:pPr>
        <w:pStyle w:val="Prrafodelista"/>
        <w:spacing w:line="360" w:lineRule="auto"/>
        <w:ind w:left="786" w:right="822"/>
        <w:jc w:val="both"/>
        <w:rPr>
          <w:rFonts w:ascii="Palatino Linotype" w:hAnsi="Palatino Linotype"/>
          <w:color w:val="000000"/>
          <w:sz w:val="24"/>
        </w:rPr>
      </w:pPr>
      <w:r>
        <w:rPr>
          <w:rFonts w:ascii="Palatino Linotype" w:hAnsi="Palatino Linotype" w:cs="Arial"/>
          <w:sz w:val="24"/>
          <w:lang w:val="es-ES"/>
        </w:rPr>
        <w:t>c). En caso de que exista una diferencia entre lo asignado y liberado, conocer el motivo por el cual no se realizó al cien por ciento la liberación.</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7C4A14"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iCs/>
          <w:color w:val="000000"/>
        </w:rPr>
        <w:t xml:space="preserve">En respuesta, el SUJETO OBLIGADO manifestó que la información solicitada podía ser consultada en la liga electrónica que remitió a través de un oficio; </w:t>
      </w:r>
      <w:r w:rsidRPr="00703149">
        <w:rPr>
          <w:rFonts w:ascii="Palatino Linotype" w:hAnsi="Palatino Linotype"/>
        </w:rPr>
        <w:t>asimismo, manifestó que los fondos que no fueron liberados al cien por ciento, se debe a que los municipios no dieron cumplimiento a lo establecido en los Lineamientos para la utilización del FEFOM y sus criterios de aplicación.</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7C4A14"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rPr>
        <w:t xml:space="preserve">Derivado de ello, el particular interpuso recurso de revisión; manifestó en sus motivos de inconformidad </w:t>
      </w:r>
      <w:r w:rsidRPr="00703149">
        <w:rPr>
          <w:rFonts w:ascii="Palatino Linotype" w:hAnsi="Palatino Linotype"/>
          <w:i/>
          <w:color w:val="000000"/>
          <w:lang w:val="es-ES"/>
        </w:rPr>
        <w:t>“</w:t>
      </w:r>
      <w:r w:rsidRPr="00703149">
        <w:rPr>
          <w:rFonts w:ascii="Palatino Linotype" w:hAnsi="Palatino Linotype"/>
          <w:i/>
          <w:color w:val="000000"/>
        </w:rPr>
        <w:t>Únicamente se me redirecciona a una liga de página de Internet en donde se puede verificar el recurso denominado FEFOM y sus reportes de liberación en 2019, no así se encuentra información de la liberación del recurso para el año 2020. Del recurso denominado FORTAMUN, no se refiere información alguna.”</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626CB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eastAsia="Calibri" w:hAnsi="Palatino Linotype" w:cs="Tahoma"/>
          <w:iCs/>
          <w:lang w:val="es-ES" w:eastAsia="es-ES_tradnl"/>
        </w:rPr>
        <w:t xml:space="preserve">Conforme a lo anterior, se logra vislumbrar que el ahora Recurrente, únicamente se inconformó con la falta de información sobre la liberación del recurso </w:t>
      </w:r>
      <w:r w:rsidRPr="00703149">
        <w:rPr>
          <w:rFonts w:ascii="Palatino Linotype" w:eastAsia="Calibri" w:hAnsi="Palatino Linotype" w:cs="Tahoma"/>
          <w:iCs/>
          <w:lang w:val="es-ES" w:eastAsia="es-ES_tradnl"/>
        </w:rPr>
        <w:lastRenderedPageBreak/>
        <w:t xml:space="preserve">denominado FEFOM del año dos mil veinte, así como la falta de información del recurso denominado FORTAMUNDF; por lo que, no se inconformó con los documentos entregados en respuesta, referentes a </w:t>
      </w:r>
      <w:r w:rsidR="00C111FA" w:rsidRPr="00703149">
        <w:rPr>
          <w:rFonts w:ascii="Palatino Linotype" w:eastAsia="Calibri" w:hAnsi="Palatino Linotype" w:cs="Tahoma"/>
          <w:iCs/>
          <w:lang w:val="es-ES" w:eastAsia="es-ES_tradnl"/>
        </w:rPr>
        <w:t>la asignación y liberación del recurso denominado FEFOM, así como los motivos por los que no se liberó al cien por ciento el recurso asignado</w:t>
      </w:r>
      <w:r w:rsidR="00095E9C" w:rsidRPr="00703149">
        <w:rPr>
          <w:rFonts w:ascii="Palatino Linotype" w:eastAsia="Calibri" w:hAnsi="Palatino Linotype" w:cs="Tahoma"/>
          <w:iCs/>
          <w:lang w:val="es-ES" w:eastAsia="es-ES_tradnl"/>
        </w:rPr>
        <w:t xml:space="preserve"> del recurso FEFOM</w:t>
      </w:r>
      <w:r w:rsidRPr="00703149">
        <w:rPr>
          <w:rFonts w:ascii="Palatino Linotype" w:hAnsi="Palatino Linotype" w:cs="Tahoma"/>
          <w:bCs/>
          <w:iCs/>
          <w:color w:val="000000"/>
        </w:rPr>
        <w:t xml:space="preserve">; por lo que, </w:t>
      </w:r>
      <w:r w:rsidRPr="00703149">
        <w:rPr>
          <w:rFonts w:ascii="Palatino Linotype" w:hAnsi="Palatino Linotype" w:cs="Tahoma"/>
          <w:bCs/>
          <w:iCs/>
          <w:color w:val="000000"/>
          <w:lang w:val="es-ES"/>
        </w:rPr>
        <w:t xml:space="preserve">no se hará pronunciamiento alguno de conformidad con el artículo 195 </w:t>
      </w:r>
      <w:r w:rsidRPr="00703149">
        <w:rPr>
          <w:rFonts w:ascii="Palatino Linotype" w:hAnsi="Palatino Linotype" w:cs="Tahoma"/>
          <w:bCs/>
          <w:iCs/>
          <w:color w:val="000000"/>
        </w:rPr>
        <w:t xml:space="preserve">de la Ley de Transparencia y Acceso a la Información Pública del Estado de México y Municipios, con relación con el diverso 195, fracción IV, de Código de Procedimientos Administrativos del Estado de México, que establece que será improcedente el recurso contra </w:t>
      </w:r>
      <w:r w:rsidRPr="00703149">
        <w:rPr>
          <w:rFonts w:ascii="Palatino Linotype" w:hAnsi="Palatino Linotype" w:cs="Tahoma"/>
          <w:b/>
          <w:bCs/>
          <w:iCs/>
          <w:color w:val="000000"/>
        </w:rPr>
        <w:t>los actos que se hayan consentido tácitamente,</w:t>
      </w:r>
      <w:r w:rsidRPr="00703149">
        <w:rPr>
          <w:rFonts w:ascii="Palatino Linotype" w:hAnsi="Palatino Linotype" w:cs="Tahoma"/>
          <w:bCs/>
          <w:iCs/>
          <w:color w:val="000000"/>
        </w:rPr>
        <w:t xml:space="preserve"> entendiéndose por estos cuando el agravio no se haya promovido en el plazo señalado para el efecto.</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626CB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cs="Tahoma"/>
          <w:bCs/>
          <w:lang w:eastAsia="es-ES"/>
        </w:rPr>
        <w:t xml:space="preserve">De la misma manera resulta aplicable el criterio sostenido por el Poder Judicial de la Federación de rubro </w:t>
      </w:r>
      <w:r w:rsidRPr="00703149">
        <w:rPr>
          <w:rFonts w:ascii="Palatino Linotype" w:hAnsi="Palatino Linotype" w:cs="Tahoma"/>
          <w:b/>
          <w:lang w:eastAsia="es-ES"/>
        </w:rPr>
        <w:t>ACTOS CONSENTIDOS TÁCITAMENTE</w:t>
      </w:r>
      <w:r w:rsidRPr="00703149">
        <w:rPr>
          <w:rFonts w:ascii="Palatino Linotype" w:hAnsi="Palatino Linotype" w:cs="Tahoma"/>
          <w:bCs/>
          <w:lang w:eastAsia="es-ES"/>
        </w:rPr>
        <w:t>, Tesis VI.2o. J/21, emitida en la novena época, por el Segundo Tribunal Colegiado del Sexto Circuito, publicada en la Gaceta del Semanario Judicial de la Federación en agosto de 1995, página 291, número de registro 204707, del que se desprende que cuando no se reclaman los actos de autoridad en la vía y plazos establecidos en la Ley, se presume que el Particular está conforme con los mismos.</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626CB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cs="Tahoma"/>
          <w:bCs/>
          <w:lang w:eastAsia="es-ES"/>
        </w:rPr>
        <w:t>Conforme a lo previo, en el caso de que el Solicitante no haya manifestado su inconformidad en contra del acto en su totalidad o en cualquiera de sus partes, se tendrá por consentido al no haber realizado argumento alguno que formulara un agravio en su contra, por lo que, en la especie, se válida la respuesta respecto de los puntos no controvertidos y se arriba a la conclusión de que estos quedaron firmes.</w:t>
      </w:r>
    </w:p>
    <w:p w:rsidR="00703149" w:rsidRPr="00703149" w:rsidRDefault="00626CB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cs="Tahoma"/>
          <w:bCs/>
          <w:lang w:eastAsia="es-ES"/>
        </w:rPr>
        <w:lastRenderedPageBreak/>
        <w:t>Asimismo, resulta relevante traer a colación el Criterio 01/20, emitido por el Instituto Nacional de Transparencia, Acceso a la Información y Protección de Datos Personales, que establece lo siguiente:</w:t>
      </w:r>
    </w:p>
    <w:p w:rsidR="00703149" w:rsidRDefault="00703149" w:rsidP="00703149">
      <w:pPr>
        <w:spacing w:line="360" w:lineRule="auto"/>
        <w:ind w:right="49"/>
        <w:contextualSpacing/>
        <w:jc w:val="both"/>
        <w:rPr>
          <w:rFonts w:ascii="Palatino Linotype" w:hAnsi="Palatino Linotype" w:cs="Tahoma"/>
          <w:bCs/>
          <w:lang w:eastAsia="es-ES"/>
        </w:rPr>
      </w:pPr>
    </w:p>
    <w:p w:rsidR="00703149" w:rsidRPr="00626CB7" w:rsidRDefault="00703149" w:rsidP="00703149">
      <w:pPr>
        <w:pStyle w:val="Prrafodelista"/>
        <w:spacing w:line="360" w:lineRule="auto"/>
        <w:ind w:left="851" w:right="822"/>
        <w:jc w:val="both"/>
        <w:rPr>
          <w:rFonts w:ascii="Palatino Linotype" w:hAnsi="Palatino Linotype" w:cs="Tahoma"/>
          <w:bCs/>
          <w:i/>
          <w:color w:val="000000"/>
          <w:sz w:val="24"/>
        </w:rPr>
      </w:pPr>
      <w:r w:rsidRPr="00626CB7">
        <w:rPr>
          <w:rFonts w:ascii="Palatino Linotype" w:hAnsi="Palatino Linotype" w:cs="Tahoma"/>
          <w:b/>
          <w:bCs/>
          <w:i/>
          <w:color w:val="000000"/>
          <w:sz w:val="24"/>
        </w:rPr>
        <w:t xml:space="preserve">“Actos consentidos tácitamente. Improcedencia de su análisis. </w:t>
      </w:r>
      <w:r w:rsidRPr="00626CB7">
        <w:rPr>
          <w:rFonts w:ascii="Palatino Linotype" w:hAnsi="Palatino Linotype" w:cs="Tahoma"/>
          <w:bCs/>
          <w:i/>
          <w:color w:val="000000"/>
          <w:sz w:val="24"/>
        </w:rPr>
        <w:t>Si en su recurso de revisión, la persona recurrente no expresó inconformidad alguna con ciertas partes de la respuesta otorgada, se entienden tácitamente consentidas, por ende, no deben formar parte del estudio de fondo de la resolución que emite el Instituto.”</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626CB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cs="Tahoma"/>
          <w:bCs/>
          <w:lang w:eastAsia="es-ES"/>
        </w:rPr>
        <w:t xml:space="preserve">Conforme al Criterio establecido, es improcedente entrar al análisis de las partes de la respuesta del Sujeto Obligado que no fueron impugnadas por el Recurrente; por lo que, en el presente caso, se tiene por consentida parte de la información proporcionada por el Ente Recurrido, en respuesta. </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C111FA"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cs="Tahoma"/>
          <w:bCs/>
          <w:iCs/>
          <w:lang w:eastAsia="es-ES"/>
        </w:rPr>
        <w:t>En este contexto, se hará pronunciamiento, únicamente por la asignación y liberación del recurso denominado FEFOM</w:t>
      </w:r>
      <w:r w:rsidR="00602594" w:rsidRPr="00703149">
        <w:rPr>
          <w:rFonts w:ascii="Palatino Linotype" w:hAnsi="Palatino Linotype" w:cs="Tahoma"/>
          <w:bCs/>
          <w:iCs/>
          <w:lang w:eastAsia="es-ES"/>
        </w:rPr>
        <w:t xml:space="preserve"> del ejercicio fiscal 2020; la asignación y liberación del recurso denominado FORTAMUNDF del ejercicio fiscal 2019 y 2020</w:t>
      </w:r>
      <w:r w:rsidR="000D2883" w:rsidRPr="00703149">
        <w:rPr>
          <w:rFonts w:ascii="Palatino Linotype" w:hAnsi="Palatino Linotype" w:cs="Tahoma"/>
          <w:bCs/>
          <w:iCs/>
          <w:lang w:eastAsia="es-ES"/>
        </w:rPr>
        <w:t>.</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626CB7"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cs="Tahoma"/>
          <w:bCs/>
          <w:iCs/>
          <w:lang w:eastAsia="es-ES"/>
        </w:rPr>
        <w:t xml:space="preserve">Por lo expuesto, en el presente caso, únicamente se hará pronunciamiento sobre el Estado de Posición Financiera al </w:t>
      </w:r>
      <w:r w:rsidRPr="00703149">
        <w:rPr>
          <w:rFonts w:ascii="Palatino Linotype" w:eastAsia="Calibri" w:hAnsi="Palatino Linotype" w:cs="Tahoma"/>
          <w:bCs/>
          <w:iCs/>
          <w:lang w:val="es-ES" w:eastAsia="es-ES_tradnl"/>
        </w:rPr>
        <w:t xml:space="preserve">treinta y uno de marzo de dos mil veintiuno, ya que la inconformidad del Recurrente radica en la entrega de información incompleta. Situación que actualiza </w:t>
      </w:r>
      <w:r w:rsidRPr="00703149">
        <w:rPr>
          <w:rFonts w:ascii="Palatino Linotype" w:hAnsi="Palatino Linotype" w:cs="Tahoma"/>
          <w:bCs/>
          <w:iCs/>
          <w:lang w:eastAsia="es-ES"/>
        </w:rPr>
        <w:t xml:space="preserve">la causal de procedencia del Recurso de Revisión, en términos del artículo 179, fracción VI, de la Ley de Transparencia y Acceso a la Información Pública del Estado de México. </w:t>
      </w:r>
    </w:p>
    <w:p w:rsidR="00703149" w:rsidRDefault="00703149" w:rsidP="00703149">
      <w:pPr>
        <w:spacing w:line="360" w:lineRule="auto"/>
        <w:ind w:right="49"/>
        <w:contextualSpacing/>
        <w:jc w:val="both"/>
        <w:rPr>
          <w:rFonts w:ascii="Palatino Linotype" w:hAnsi="Palatino Linotype"/>
          <w:b/>
        </w:rPr>
      </w:pPr>
      <w:bookmarkStart w:id="24" w:name="_Toc82516502"/>
      <w:r w:rsidRPr="006E1CC1">
        <w:rPr>
          <w:rFonts w:ascii="Palatino Linotype" w:hAnsi="Palatino Linotype"/>
          <w:b/>
        </w:rPr>
        <w:lastRenderedPageBreak/>
        <w:t>III. Del Fondo Estatal de Fortalecimiento Municipal (FEFOM).</w:t>
      </w:r>
      <w:bookmarkEnd w:id="24"/>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64F94"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iCs/>
          <w:color w:val="000000"/>
        </w:rPr>
        <w:t xml:space="preserve">Primeramente, es importante </w:t>
      </w:r>
      <w:r w:rsidR="00FF3DCD" w:rsidRPr="00703149">
        <w:rPr>
          <w:rFonts w:ascii="Palatino Linotype" w:hAnsi="Palatino Linotype"/>
          <w:iCs/>
          <w:color w:val="000000"/>
        </w:rPr>
        <w:t>señalar que de acuerdo a los</w:t>
      </w:r>
      <w:r w:rsidRPr="00703149">
        <w:rPr>
          <w:rFonts w:ascii="Palatino Linotype" w:hAnsi="Palatino Linotype"/>
          <w:iCs/>
          <w:color w:val="000000"/>
        </w:rPr>
        <w:t xml:space="preserve"> Lineamientos para la utilización de Fondo Estatal de Fortalecimiento Municipal</w:t>
      </w:r>
      <w:r w:rsidR="00FF3DCD" w:rsidRPr="00703149">
        <w:rPr>
          <w:rFonts w:ascii="Palatino Linotype" w:hAnsi="Palatino Linotype"/>
          <w:iCs/>
          <w:color w:val="000000"/>
        </w:rPr>
        <w:t xml:space="preserve"> 2020</w:t>
      </w:r>
      <w:r w:rsidRPr="00703149">
        <w:rPr>
          <w:rFonts w:ascii="Palatino Linotype" w:hAnsi="Palatino Linotype"/>
          <w:iCs/>
          <w:color w:val="000000"/>
        </w:rPr>
        <w:t xml:space="preserve">, los recursos del FEFOM tienen como finalidad fortalecer la inversión pública en los Municipios para contribuir sustancialmente al desarrollo regional. </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42402"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iCs/>
          <w:color w:val="000000"/>
        </w:rPr>
        <w:t>En este caso, hay que señalar que por lo que respecta a los recursos asignados del FEFOM para el ejercicio fiscal 2020, el Sujeto Obligado remitió mediante informe justificado el Acuerdo por el que se dan a conocer las fórmulas y variables utilizadas para determinar el monto asignado a cada Municipio; se inserta la siguiente imagen a modo de ejemplo, en la que observa el monto asignado a cada Municipio:</w:t>
      </w:r>
    </w:p>
    <w:p w:rsid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Default="00703149" w:rsidP="00703149">
      <w:pPr>
        <w:spacing w:line="360" w:lineRule="auto"/>
        <w:ind w:right="49"/>
        <w:contextualSpacing/>
        <w:jc w:val="both"/>
        <w:rPr>
          <w:rFonts w:ascii="Palatino Linotype" w:eastAsiaTheme="minorEastAsia" w:hAnsi="Palatino Linotype"/>
          <w:lang w:val="es-ES_tradnl" w:eastAsia="es-ES"/>
        </w:rPr>
      </w:pPr>
      <w:r>
        <w:rPr>
          <w:noProof/>
        </w:rPr>
        <w:lastRenderedPageBreak/>
        <w:drawing>
          <wp:inline distT="0" distB="0" distL="0" distR="0" wp14:anchorId="2FE6D5EE" wp14:editId="45A9E12E">
            <wp:extent cx="5128895" cy="4648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845" t="14448" r="32164" b="29231"/>
                    <a:stretch/>
                  </pic:blipFill>
                  <pic:spPr bwMode="auto">
                    <a:xfrm>
                      <a:off x="0" y="0"/>
                      <a:ext cx="5136414" cy="4655014"/>
                    </a:xfrm>
                    <a:prstGeom prst="rect">
                      <a:avLst/>
                    </a:prstGeom>
                    <a:ln>
                      <a:noFill/>
                    </a:ln>
                    <a:extLst>
                      <a:ext uri="{53640926-AAD7-44D8-BBD7-CCE9431645EC}">
                        <a14:shadowObscured xmlns:a14="http://schemas.microsoft.com/office/drawing/2010/main"/>
                      </a:ext>
                    </a:extLst>
                  </pic:spPr>
                </pic:pic>
              </a:graphicData>
            </a:graphic>
          </wp:inline>
        </w:drawing>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2E0BD8"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iCs/>
          <w:color w:val="000000"/>
        </w:rPr>
        <w:t>En este contexto, con la información remitida por la Secretaría de Finan</w:t>
      </w:r>
      <w:r w:rsidR="00EB6029" w:rsidRPr="00703149">
        <w:rPr>
          <w:rFonts w:ascii="Palatino Linotype" w:hAnsi="Palatino Linotype"/>
          <w:iCs/>
          <w:color w:val="000000"/>
        </w:rPr>
        <w:t xml:space="preserve">zas Mediante, mediante informe justificado, sobre el monto asignado a cada Municipio del recurso Fondo Estatal de Fortalecimiento Municipal 2020 (FEFOM),  se colma ese punto de la solicitud de información. </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EB6029"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iCs/>
          <w:color w:val="000000"/>
        </w:rPr>
        <w:t xml:space="preserve">Por otro lado, </w:t>
      </w:r>
      <w:r w:rsidR="00920A45" w:rsidRPr="00703149">
        <w:rPr>
          <w:rFonts w:ascii="Palatino Linotype" w:hAnsi="Palatino Linotype"/>
          <w:iCs/>
          <w:color w:val="000000"/>
        </w:rPr>
        <w:t xml:space="preserve">de la información solicitada sobre la liberación de los recursos del FEFOM, </w:t>
      </w:r>
      <w:r w:rsidRPr="00703149">
        <w:rPr>
          <w:rFonts w:ascii="Palatino Linotype" w:hAnsi="Palatino Linotype"/>
          <w:iCs/>
          <w:color w:val="000000"/>
        </w:rPr>
        <w:t>los Lineamientos señalados</w:t>
      </w:r>
      <w:r w:rsidR="00FF3DCD" w:rsidRPr="00703149">
        <w:rPr>
          <w:rFonts w:ascii="Palatino Linotype" w:hAnsi="Palatino Linotype"/>
          <w:iCs/>
          <w:color w:val="000000"/>
        </w:rPr>
        <w:t xml:space="preserve"> establecen que los municipios podrán disponer de los recursos asignados siempre que cumplan con los siguientes requisitos:</w:t>
      </w:r>
    </w:p>
    <w:p w:rsidR="00703149" w:rsidRPr="00FF3DCD" w:rsidRDefault="00703149" w:rsidP="00703149">
      <w:pPr>
        <w:pStyle w:val="Prrafodelista"/>
        <w:spacing w:line="360" w:lineRule="auto"/>
        <w:ind w:left="786" w:right="822"/>
        <w:jc w:val="both"/>
        <w:rPr>
          <w:rFonts w:ascii="Palatino Linotype" w:hAnsi="Palatino Linotype"/>
          <w:i/>
        </w:rPr>
      </w:pPr>
      <w:r>
        <w:rPr>
          <w:rFonts w:ascii="Palatino Linotype" w:hAnsi="Palatino Linotype"/>
          <w:i/>
        </w:rPr>
        <w:lastRenderedPageBreak/>
        <w:t>“</w:t>
      </w:r>
      <w:r w:rsidRPr="00FF3DCD">
        <w:rPr>
          <w:rFonts w:ascii="Palatino Linotype" w:hAnsi="Palatino Linotype"/>
          <w:i/>
        </w:rPr>
        <w:t>7. Los municipios podrán disponer de los recursos asignados del Fefom siempre que cumplan con lo siguiente: a) Solicitar a la Subsecretaría los recursos del Fefom en hoja membretada y debidamente firmada por el servidor público facultado para tal efecto, respetando lo establecido en los numerales 3, 4, 5 y 6 de estos Lineamientos;</w:t>
      </w:r>
    </w:p>
    <w:p w:rsidR="00703149" w:rsidRPr="00FF3DCD" w:rsidRDefault="00703149" w:rsidP="00703149">
      <w:pPr>
        <w:pStyle w:val="Prrafodelista"/>
        <w:spacing w:line="360" w:lineRule="auto"/>
        <w:ind w:left="786" w:right="822"/>
        <w:jc w:val="both"/>
        <w:rPr>
          <w:rFonts w:ascii="Palatino Linotype" w:hAnsi="Palatino Linotype"/>
          <w:i/>
        </w:rPr>
      </w:pPr>
      <w:r w:rsidRPr="00FF3DCD">
        <w:rPr>
          <w:rFonts w:ascii="Palatino Linotype" w:hAnsi="Palatino Linotype"/>
          <w:i/>
        </w:rPr>
        <w:t xml:space="preserve">b) Presentar a la Subsecretaría el Expediente Técnico Fefom de las acciones a financiar con los recursos del Fefom; </w:t>
      </w:r>
    </w:p>
    <w:p w:rsidR="00703149" w:rsidRPr="00FF3DCD" w:rsidRDefault="00703149" w:rsidP="00703149">
      <w:pPr>
        <w:pStyle w:val="Prrafodelista"/>
        <w:spacing w:line="360" w:lineRule="auto"/>
        <w:ind w:left="786" w:right="822"/>
        <w:jc w:val="both"/>
        <w:rPr>
          <w:rFonts w:ascii="Palatino Linotype" w:hAnsi="Palatino Linotype"/>
          <w:i/>
        </w:rPr>
      </w:pPr>
      <w:r w:rsidRPr="00FF3DCD">
        <w:rPr>
          <w:rFonts w:ascii="Palatino Linotype" w:hAnsi="Palatino Linotype"/>
          <w:i/>
        </w:rPr>
        <w:t xml:space="preserve">c) Presentar el dictamen de rentabilidad social del estudio socio-económico de los proyectos de inversión a financiar con recursos del Fefom; y </w:t>
      </w:r>
    </w:p>
    <w:p w:rsidR="00703149" w:rsidRPr="00920A45" w:rsidRDefault="00703149" w:rsidP="00703149">
      <w:pPr>
        <w:pStyle w:val="Prrafodelista"/>
        <w:spacing w:line="360" w:lineRule="auto"/>
        <w:ind w:left="786" w:right="822"/>
        <w:jc w:val="both"/>
        <w:rPr>
          <w:rFonts w:ascii="Palatino Linotype" w:hAnsi="Palatino Linotype"/>
          <w:i/>
        </w:rPr>
      </w:pPr>
      <w:r w:rsidRPr="00FF3DCD">
        <w:rPr>
          <w:rFonts w:ascii="Palatino Linotype" w:hAnsi="Palatino Linotype"/>
          <w:i/>
        </w:rPr>
        <w:t>d) Firmar el convenio marco de ejecución y sus anexos con la Subsecretaría.</w:t>
      </w:r>
      <w:r>
        <w:rPr>
          <w:rFonts w:ascii="Palatino Linotype" w:hAnsi="Palatino Linotype"/>
          <w:i/>
        </w:rPr>
        <w:t>” (Sic)</w:t>
      </w:r>
    </w:p>
    <w:p w:rsid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703149" w:rsidRPr="00703149" w:rsidRDefault="00920A45"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iCs/>
          <w:color w:val="000000"/>
        </w:rPr>
        <w:t>Asimismo, los Lineamientos para la utilización del FEFOM 2020, establecen que los recursos se radicaran a los municipios, durante enero a octubre del 2020. La Secretaría de Finanzas hará la radicación durante los últimos cinco días hábiles de cada mes, siempre y cuando los Municipios hayan cumplido lo dispuesto en los artículos 57 y 59 del Presupuesto de Egresos del Gobierno del Estado de México para el ejercicio fiscal 2020.</w:t>
      </w:r>
    </w:p>
    <w:p w:rsidR="00703149" w:rsidRPr="00703149" w:rsidRDefault="00703149" w:rsidP="00703149">
      <w:pPr>
        <w:spacing w:line="360" w:lineRule="auto"/>
        <w:ind w:right="49"/>
        <w:contextualSpacing/>
        <w:jc w:val="both"/>
        <w:rPr>
          <w:rFonts w:ascii="Palatino Linotype" w:eastAsiaTheme="minorEastAsia" w:hAnsi="Palatino Linotype"/>
          <w:lang w:val="es-ES_tradnl" w:eastAsia="es-ES"/>
        </w:rPr>
      </w:pPr>
    </w:p>
    <w:p w:rsidR="00920A45" w:rsidRPr="00703149" w:rsidRDefault="00920A45" w:rsidP="00703149">
      <w:pPr>
        <w:numPr>
          <w:ilvl w:val="0"/>
          <w:numId w:val="1"/>
        </w:numPr>
        <w:spacing w:line="360" w:lineRule="auto"/>
        <w:ind w:left="0" w:right="49" w:firstLine="0"/>
        <w:contextualSpacing/>
        <w:jc w:val="both"/>
        <w:rPr>
          <w:rFonts w:ascii="Palatino Linotype" w:eastAsiaTheme="minorEastAsia" w:hAnsi="Palatino Linotype"/>
          <w:lang w:val="es-ES_tradnl" w:eastAsia="es-ES"/>
        </w:rPr>
      </w:pPr>
      <w:r w:rsidRPr="00703149">
        <w:rPr>
          <w:rFonts w:ascii="Palatino Linotype" w:hAnsi="Palatino Linotype"/>
          <w:iCs/>
          <w:color w:val="000000"/>
        </w:rPr>
        <w:t>En este caso, de la información sobre la liberación de los recursos del FEFOM</w:t>
      </w:r>
      <w:r w:rsidR="000D2883" w:rsidRPr="00703149">
        <w:rPr>
          <w:rFonts w:ascii="Palatino Linotype" w:hAnsi="Palatino Linotype"/>
          <w:iCs/>
          <w:color w:val="000000"/>
        </w:rPr>
        <w:t xml:space="preserve"> 2020</w:t>
      </w:r>
      <w:r w:rsidRPr="00703149">
        <w:rPr>
          <w:rFonts w:ascii="Palatino Linotype" w:hAnsi="Palatino Linotype"/>
          <w:iCs/>
          <w:color w:val="000000"/>
        </w:rPr>
        <w:t>, el Sujeto Obligado</w:t>
      </w:r>
      <w:r w:rsidR="005067C9" w:rsidRPr="00703149">
        <w:rPr>
          <w:rFonts w:ascii="Palatino Linotype" w:hAnsi="Palatino Linotype"/>
          <w:iCs/>
          <w:color w:val="000000"/>
        </w:rPr>
        <w:t>,</w:t>
      </w:r>
      <w:r w:rsidRPr="00703149">
        <w:rPr>
          <w:rFonts w:ascii="Palatino Linotype" w:hAnsi="Palatino Linotype"/>
          <w:iCs/>
          <w:color w:val="000000"/>
        </w:rPr>
        <w:t xml:space="preserve"> remiti</w:t>
      </w:r>
      <w:r w:rsidR="005067C9" w:rsidRPr="00703149">
        <w:rPr>
          <w:rFonts w:ascii="Palatino Linotype" w:hAnsi="Palatino Linotype"/>
          <w:iCs/>
          <w:color w:val="000000"/>
        </w:rPr>
        <w:t>ó mediante informe justificado</w:t>
      </w:r>
      <w:r w:rsidRPr="00703149">
        <w:rPr>
          <w:rFonts w:ascii="Palatino Linotype" w:hAnsi="Palatino Linotype"/>
          <w:iCs/>
          <w:color w:val="000000"/>
        </w:rPr>
        <w:t xml:space="preserve"> la liga electrónica </w:t>
      </w:r>
      <w:hyperlink r:id="rId24" w:history="1">
        <w:r w:rsidRPr="00703149">
          <w:rPr>
            <w:rStyle w:val="Hipervnculo"/>
            <w:rFonts w:ascii="Palatino Linotype" w:hAnsi="Palatino Linotype"/>
            <w:iCs/>
          </w:rPr>
          <w:t>http://fefom.edomex.gob.mx/asignacion_presupuestal</w:t>
        </w:r>
      </w:hyperlink>
      <w:r w:rsidRPr="00703149">
        <w:rPr>
          <w:rFonts w:ascii="Palatino Linotype" w:hAnsi="Palatino Linotype"/>
          <w:iCs/>
          <w:color w:val="000000"/>
        </w:rPr>
        <w:t xml:space="preserve"> , que remite </w:t>
      </w:r>
      <w:r w:rsidR="005067C9" w:rsidRPr="00703149">
        <w:rPr>
          <w:rFonts w:ascii="Palatino Linotype" w:hAnsi="Palatino Linotype"/>
          <w:iCs/>
          <w:color w:val="000000"/>
        </w:rPr>
        <w:t>al Fondo de Fortalecimiento Municipal, de la Asignación Presupuestal, estatus de aprobación FEFOM al 31 de octubre de 2020, en el cual se encuentra el importe ministrado a cada Municipio, por lo que en ese contexto, colma con ese punto de la solicitud de información:</w:t>
      </w:r>
    </w:p>
    <w:p w:rsidR="005067C9" w:rsidRDefault="005067C9" w:rsidP="005067C9">
      <w:pPr>
        <w:pStyle w:val="Prrafodelista"/>
        <w:spacing w:line="360" w:lineRule="auto"/>
        <w:ind w:left="0" w:right="48"/>
        <w:jc w:val="center"/>
        <w:rPr>
          <w:rFonts w:ascii="Palatino Linotype" w:hAnsi="Palatino Linotype"/>
          <w:iCs/>
          <w:color w:val="000000"/>
          <w:sz w:val="24"/>
        </w:rPr>
      </w:pPr>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201295</wp:posOffset>
                </wp:positionH>
                <wp:positionV relativeFrom="paragraph">
                  <wp:posOffset>1623695</wp:posOffset>
                </wp:positionV>
                <wp:extent cx="2752725" cy="219075"/>
                <wp:effectExtent l="19050" t="19050" r="28575" b="28575"/>
                <wp:wrapNone/>
                <wp:docPr id="9" name="Rectángulo redondeado 9"/>
                <wp:cNvGraphicFramePr/>
                <a:graphic xmlns:a="http://schemas.openxmlformats.org/drawingml/2006/main">
                  <a:graphicData uri="http://schemas.microsoft.com/office/word/2010/wordprocessingShape">
                    <wps:wsp>
                      <wps:cNvSpPr/>
                      <wps:spPr>
                        <a:xfrm>
                          <a:off x="0" y="0"/>
                          <a:ext cx="2752725" cy="2190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268921" id="Rectángulo redondeado 9" o:spid="_x0000_s1026" style="position:absolute;margin-left:15.85pt;margin-top:127.85pt;width:216.75pt;height:17.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uDaqgIAAKEFAAAOAAAAZHJzL2Uyb0RvYy54bWysVM1u2zAMvg/YOwi6r3aMZmmMOkXQIsOA&#10;oi3aDj0rshQbkEVNUv72NnuWvdgoyXaDrthhWA6KKJIfyc8kL68OnSI7YV0LuqKTs5wSoTnUrd5U&#10;9Nvz6tMFJc4zXTMFWlT0KBy9Wnz8cLk3pSigAVULSxBEu3JvKtp4b8osc7wRHXNnYIRGpQTbMY+i&#10;3WS1ZXtE71RW5PnnbA+2Nha4cA5fb5KSLiK+lIL7eymd8ERVFHPz8bTxXIczW1yycmOZaVrep8H+&#10;IYuOtRqDjlA3zDOyte0fUF3LLTiQ/oxDl4GULRexBqxmkr+p5qlhRsRakBxnRprc/4Pld7sHS9q6&#10;onNKNOvwEz0iab9+6s1WAbGiBl0LVgOZB672xpXo8mQebC85vIbCD9J24R9LIofI73HkVxw84fhY&#10;zKbFrJhSwlFXTOb5bBpAs1dvY53/IqAj4VJRC1tdh3wit2x363yyH+xCRA2rVil8Z6XSZI/IF1ME&#10;DrID1dZBGwW7WV8rS3YMe2G1yvHXRz8xw1yUxpRCoam0ePNHJVKARyGRrlBMihAaVYywjHOh/SSp&#10;GlaLFG16GmzwiIUrjYABWWKWI3YPMFgmkAE7MdDbB1cR+3x0zv+WWHIePWJk0H507loN9j0AhVX1&#10;kZP9QFKiJrC0hvqIzWQhTZkzfNXiZ7xlzj8wi2OFA4irwt/jIRXgl4L+RkkD9sd778Eeux21lOxx&#10;TCvqvm+ZFZSorxrnYD45Pw9zHYXz6axAwZ5q1qcave2uAb/+BJeS4fEa7L0artJC94IbZRmioopp&#10;jrEryr0dhGuf1gfuJC6Wy2iGs2yYv9VPhgfwwGro0OfDC7Om72WPU3AHw0iz8k03J9vgqWG59SDb&#10;2OqvvPZ84x6IjdPvrLBoTuVo9bpZF78BAAD//wMAUEsDBBQABgAIAAAAIQBQZJi33wAAAAoBAAAP&#10;AAAAZHJzL2Rvd25yZXYueG1sTI9NT8MwDIbvSPyHyEjcWLKOrqw0ndAEN4S0wYFj2nhtoXGqJusK&#10;vx5zgps/Hr1+XGxn14sJx9B50rBcKBBItbcdNRreXp9u7kCEaMia3hNq+MIA2/LyojC59Wfa43SI&#10;jeAQCrnR0MY45FKGukVnwsIPSLw7+tGZyO3YSDuaM4e7XiZKraUzHfGF1gy4a7H+PJychm/17l4y&#10;wmaze1xNxw8Xqsw/a319NT/cg4g4xz8YfvVZHUp2qvyJbBC9htUyY1JDkqZcMHC7ThMQFU82KgFZ&#10;FvL/C+UPAAAA//8DAFBLAQItABQABgAIAAAAIQC2gziS/gAAAOEBAAATAAAAAAAAAAAAAAAAAAAA&#10;AABbQ29udGVudF9UeXBlc10ueG1sUEsBAi0AFAAGAAgAAAAhADj9If/WAAAAlAEAAAsAAAAAAAAA&#10;AAAAAAAALwEAAF9yZWxzLy5yZWxzUEsBAi0AFAAGAAgAAAAhAASe4NqqAgAAoQUAAA4AAAAAAAAA&#10;AAAAAAAALgIAAGRycy9lMm9Eb2MueG1sUEsBAi0AFAAGAAgAAAAhAFBkmLffAAAACgEAAA8AAAAA&#10;AAAAAAAAAAAABAUAAGRycy9kb3ducmV2LnhtbFBLBQYAAAAABAAEAPMAAAAQBgAAAAA=&#10;" filled="f" strokecolor="red" strokeweight="2.25pt">
                <v:stroke joinstyle="miter"/>
              </v:roundrect>
            </w:pict>
          </mc:Fallback>
        </mc:AlternateContent>
      </w:r>
      <w:r>
        <w:rPr>
          <w:noProof/>
        </w:rPr>
        <w:drawing>
          <wp:inline distT="0" distB="0" distL="0" distR="0" wp14:anchorId="6BEE2120" wp14:editId="117D993A">
            <wp:extent cx="5285441" cy="1905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000" t="35974" r="19062" b="33950"/>
                    <a:stretch/>
                  </pic:blipFill>
                  <pic:spPr bwMode="auto">
                    <a:xfrm>
                      <a:off x="0" y="0"/>
                      <a:ext cx="5294663" cy="1908324"/>
                    </a:xfrm>
                    <a:prstGeom prst="rect">
                      <a:avLst/>
                    </a:prstGeom>
                    <a:ln>
                      <a:noFill/>
                    </a:ln>
                    <a:extLst>
                      <a:ext uri="{53640926-AAD7-44D8-BBD7-CCE9431645EC}">
                        <a14:shadowObscured xmlns:a14="http://schemas.microsoft.com/office/drawing/2010/main"/>
                      </a:ext>
                    </a:extLst>
                  </pic:spPr>
                </pic:pic>
              </a:graphicData>
            </a:graphic>
          </wp:inline>
        </w:drawing>
      </w:r>
    </w:p>
    <w:p w:rsidR="005067C9" w:rsidRDefault="005067C9" w:rsidP="005067C9">
      <w:pPr>
        <w:pStyle w:val="Prrafodelista"/>
        <w:spacing w:line="360" w:lineRule="auto"/>
        <w:ind w:left="0" w:right="48"/>
        <w:jc w:val="center"/>
        <w:rPr>
          <w:rFonts w:ascii="Palatino Linotype" w:hAnsi="Palatino Linotype"/>
          <w:iCs/>
          <w:color w:val="000000"/>
          <w:sz w:val="24"/>
        </w:rPr>
      </w:pPr>
    </w:p>
    <w:p w:rsidR="007C4A14" w:rsidRDefault="005067C9" w:rsidP="005067C9">
      <w:pPr>
        <w:pStyle w:val="Prrafodelista"/>
        <w:spacing w:line="360" w:lineRule="auto"/>
        <w:ind w:left="0" w:right="48"/>
        <w:jc w:val="center"/>
        <w:rPr>
          <w:rFonts w:ascii="Palatino Linotype" w:hAnsi="Palatino Linotype"/>
          <w:iCs/>
          <w:color w:val="000000"/>
          <w:sz w:val="24"/>
        </w:rPr>
      </w:pPr>
      <w:r>
        <w:rPr>
          <w:noProof/>
        </w:rPr>
        <mc:AlternateContent>
          <mc:Choice Requires="wps">
            <w:drawing>
              <wp:anchor distT="0" distB="0" distL="114300" distR="114300" simplePos="0" relativeHeight="251660288" behindDoc="0" locked="0" layoutInCell="1" allowOverlap="1">
                <wp:simplePos x="0" y="0"/>
                <wp:positionH relativeFrom="column">
                  <wp:posOffset>3868420</wp:posOffset>
                </wp:positionH>
                <wp:positionV relativeFrom="paragraph">
                  <wp:posOffset>400685</wp:posOffset>
                </wp:positionV>
                <wp:extent cx="781050" cy="409575"/>
                <wp:effectExtent l="19050" t="19050" r="19050" b="28575"/>
                <wp:wrapNone/>
                <wp:docPr id="16" name="Rectángulo redondeado 16"/>
                <wp:cNvGraphicFramePr/>
                <a:graphic xmlns:a="http://schemas.openxmlformats.org/drawingml/2006/main">
                  <a:graphicData uri="http://schemas.microsoft.com/office/word/2010/wordprocessingShape">
                    <wps:wsp>
                      <wps:cNvSpPr/>
                      <wps:spPr>
                        <a:xfrm>
                          <a:off x="0" y="0"/>
                          <a:ext cx="781050" cy="409575"/>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BCEECD" id="Rectángulo redondeado 16" o:spid="_x0000_s1026" style="position:absolute;margin-left:304.6pt;margin-top:31.55pt;width:61.5pt;height:32.2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DueqwIAAKIFAAAOAAAAZHJzL2Uyb0RvYy54bWysVM1u2zAMvg/YOwi6r3aCpD9GnSJokWFA&#10;0Rb9Qc+KLMUGZFGTlDjZ2+xZ9mKjJNsNumKHYTkookl+JD+RvLzat4rshHUN6JJOTnJKhOZQNXpT&#10;0pfn1ZdzSpxnumIKtCjpQTh6tfj86bIzhZhCDaoSliCIdkVnSlp7b4osc7wWLXMnYIRGpQTbMo+i&#10;3WSVZR2ityqb5vlp1oGtjAUunMOvN0lJFxFfSsH9vZROeKJKirn5eNp4rsOZLS5ZsbHM1A3v02D/&#10;kEXLGo1BR6gb5hnZ2uYPqLbhFhxIf8KhzUDKhotYA1Yzyd9V81QzI2ItSI4zI03u/8Hyu92DJU2F&#10;b3dKiWYtvtEjsvbrp95sFRArKtCVYBUQNEC2OuMKdHoyD7aXHF5D6Xtp2/CPRZF9ZPgwMiz2nnD8&#10;eHY+yef4DhxVs/xifjYPmNmbs7HOfxXQknApqYWtrkI+kVy2u3U+2Q92IaCGVaMUfmeF0qQr6fQ8&#10;AAfZgWqqoI2C3ayvlSU7hs2wWuX466MfmWEuSmNKoc5UWbz5gxIpwKOQyBfWMk0RQqeKEZZxLrSf&#10;JFXNKpGizY+DDR6xcKURMCBLzHLE7gEGywQyYCcGevvgKmKjj8753xJLzqNHjAzaj85to8F+BKCw&#10;qj5ysh9IStQEltZQHbCbLKQxc4avGnzGW+b8A7M4V/jyuCv8PR5SAb4U9DdKarA/Pvoe7LHdUUtJ&#10;h3NaUvd9y6ygRH3TOAgXk9ksDHYUZvOzKQr2WLM+1uhtew34+hPcSobHa7D3arhKC+0rrpRliIoq&#10;pjnGLin3dhCufdofuJS4WC6jGQ6zYf5WPxkewAOroUOf96/Mmr6XPQ7BHQwzzYp33Zxsg6eG5daD&#10;bGKrv/Ha842LIDZOv7TCpjmWo9Xbal38BgAA//8DAFBLAwQUAAYACAAAACEAutLMbt0AAAAKAQAA&#10;DwAAAGRycy9kb3ducmV2LnhtbEyPTU/DMAyG70j8h8iTuLFkrdSy0nRCE9wQEoMDx7Tx2rLGqZqs&#10;K/x6zAlu/nj0+nG5W9wgZpxC70nDZq1AIDXe9tRqeH97ur0DEaIhawZPqOELA+yq66vSFNZf6BXn&#10;Q2wFh1AojIYuxrGQMjQdOhPWfkTi3dFPzkRup1bayVw43A0yUSqTzvTEFzoz4r7D5nQ4Ow3f6sO9&#10;5ITtdv+YzsdPF+rcP2t9s1oe7kFEXOIfDL/6rA4VO9X+TDaIQUOmtgmjXKQbEAzkacKDmskkz0BW&#10;pfz/QvUDAAD//wMAUEsBAi0AFAAGAAgAAAAhALaDOJL+AAAA4QEAABMAAAAAAAAAAAAAAAAAAAAA&#10;AFtDb250ZW50X1R5cGVzXS54bWxQSwECLQAUAAYACAAAACEAOP0h/9YAAACUAQAACwAAAAAAAAAA&#10;AAAAAAAvAQAAX3JlbHMvLnJlbHNQSwECLQAUAAYACAAAACEA9/A7nqsCAACiBQAADgAAAAAAAAAA&#10;AAAAAAAuAgAAZHJzL2Uyb0RvYy54bWxQSwECLQAUAAYACAAAACEAutLMbt0AAAAKAQAADwAAAAAA&#10;AAAAAAAAAAAFBQAAZHJzL2Rvd25yZXYueG1sUEsFBgAAAAAEAAQA8wAAAA8GAAAAAA==&#10;" filled="f" strokecolor="red" strokeweight="2.25pt">
                <v:stroke joinstyle="miter"/>
              </v:roundrect>
            </w:pict>
          </mc:Fallback>
        </mc:AlternateContent>
      </w:r>
      <w:r>
        <w:rPr>
          <w:noProof/>
        </w:rPr>
        <w:drawing>
          <wp:inline distT="0" distB="0" distL="0" distR="0" wp14:anchorId="5DFE690C" wp14:editId="684A0B98">
            <wp:extent cx="3933825" cy="5124058"/>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5659" t="14743" r="36311" b="10360"/>
                    <a:stretch/>
                  </pic:blipFill>
                  <pic:spPr bwMode="auto">
                    <a:xfrm>
                      <a:off x="0" y="0"/>
                      <a:ext cx="3954950" cy="5151574"/>
                    </a:xfrm>
                    <a:prstGeom prst="rect">
                      <a:avLst/>
                    </a:prstGeom>
                    <a:ln>
                      <a:noFill/>
                    </a:ln>
                    <a:extLst>
                      <a:ext uri="{53640926-AAD7-44D8-BBD7-CCE9431645EC}">
                        <a14:shadowObscured xmlns:a14="http://schemas.microsoft.com/office/drawing/2010/main"/>
                      </a:ext>
                    </a:extLst>
                  </pic:spPr>
                </pic:pic>
              </a:graphicData>
            </a:graphic>
          </wp:inline>
        </w:drawing>
      </w:r>
    </w:p>
    <w:p w:rsidR="006E1CC1" w:rsidRDefault="004B0859" w:rsidP="004B0859">
      <w:pPr>
        <w:pStyle w:val="Ttulo1"/>
        <w:rPr>
          <w:rFonts w:ascii="Palatino Linotype" w:hAnsi="Palatino Linotype"/>
          <w:b/>
          <w:color w:val="auto"/>
          <w:sz w:val="24"/>
        </w:rPr>
      </w:pPr>
      <w:bookmarkStart w:id="25" w:name="_Toc82516503"/>
      <w:r w:rsidRPr="004B0859">
        <w:rPr>
          <w:rFonts w:ascii="Palatino Linotype" w:hAnsi="Palatino Linotype"/>
          <w:b/>
          <w:color w:val="auto"/>
          <w:sz w:val="24"/>
        </w:rPr>
        <w:lastRenderedPageBreak/>
        <w:t>IV. Del Fondo de Aportaciones para el Fortalecimiento de los Municipios y de las Demarcaciones Territoriales del Distrito Federal (FORTAMUNDF).</w:t>
      </w:r>
      <w:bookmarkEnd w:id="25"/>
    </w:p>
    <w:p w:rsidR="004B0859" w:rsidRDefault="004B0859" w:rsidP="004B0859"/>
    <w:p w:rsidR="000437E8" w:rsidRPr="000437E8" w:rsidRDefault="000437E8" w:rsidP="000437E8">
      <w:pPr>
        <w:pStyle w:val="Prrafodelista"/>
        <w:spacing w:line="360" w:lineRule="auto"/>
        <w:ind w:left="0" w:right="48"/>
        <w:jc w:val="both"/>
        <w:rPr>
          <w:rFonts w:ascii="Palatino Linotype" w:hAnsi="Palatino Linotype"/>
          <w:iCs/>
          <w:color w:val="000000"/>
          <w:sz w:val="24"/>
        </w:rPr>
      </w:pPr>
    </w:p>
    <w:p w:rsidR="006E1CC1" w:rsidRDefault="000D2883" w:rsidP="00703149">
      <w:pPr>
        <w:pStyle w:val="Prrafodelista"/>
        <w:numPr>
          <w:ilvl w:val="0"/>
          <w:numId w:val="1"/>
        </w:numPr>
        <w:spacing w:line="360" w:lineRule="auto"/>
        <w:ind w:left="0" w:right="48" w:firstLine="0"/>
        <w:jc w:val="both"/>
        <w:rPr>
          <w:rFonts w:ascii="Palatino Linotype" w:hAnsi="Palatino Linotype"/>
          <w:iCs/>
          <w:color w:val="000000"/>
          <w:sz w:val="24"/>
        </w:rPr>
      </w:pPr>
      <w:r>
        <w:rPr>
          <w:rFonts w:ascii="Palatino Linotype" w:hAnsi="Palatino Linotype"/>
          <w:iCs/>
          <w:color w:val="000000"/>
          <w:sz w:val="24"/>
        </w:rPr>
        <w:t>Conforme con el artículo 36 de la Ley de Coordinación Fiscal, el Fondo de Aportaciones para el Fortalecimiento de los Municipios y de las Demarcaciones Ter</w:t>
      </w:r>
      <w:r w:rsidR="00E44B46">
        <w:rPr>
          <w:rFonts w:ascii="Palatino Linotype" w:hAnsi="Palatino Linotype"/>
          <w:iCs/>
          <w:color w:val="000000"/>
          <w:sz w:val="24"/>
        </w:rPr>
        <w:t>ritoriales del Distrito Federal</w:t>
      </w:r>
      <w:r>
        <w:rPr>
          <w:rFonts w:ascii="Palatino Linotype" w:hAnsi="Palatino Linotype"/>
          <w:iCs/>
          <w:color w:val="000000"/>
          <w:sz w:val="24"/>
        </w:rPr>
        <w:t xml:space="preserve"> se determinará anualmente</w:t>
      </w:r>
      <w:r w:rsidR="00E44B46">
        <w:rPr>
          <w:rFonts w:ascii="Palatino Linotype" w:hAnsi="Palatino Linotype"/>
          <w:iCs/>
          <w:color w:val="000000"/>
          <w:sz w:val="24"/>
        </w:rPr>
        <w:t xml:space="preserve"> en el</w:t>
      </w:r>
      <w:r>
        <w:rPr>
          <w:rFonts w:ascii="Palatino Linotype" w:hAnsi="Palatino Linotype"/>
          <w:iCs/>
          <w:color w:val="000000"/>
          <w:sz w:val="24"/>
        </w:rPr>
        <w:t xml:space="preserve"> presupuesto de egresos de la Federación</w:t>
      </w:r>
      <w:r w:rsidR="00E44B46">
        <w:rPr>
          <w:rFonts w:ascii="Palatino Linotype" w:hAnsi="Palatino Linotype"/>
          <w:iCs/>
          <w:color w:val="000000"/>
          <w:sz w:val="24"/>
        </w:rPr>
        <w:t>,</w:t>
      </w:r>
      <w:r>
        <w:rPr>
          <w:rFonts w:ascii="Palatino Linotype" w:hAnsi="Palatino Linotype"/>
          <w:iCs/>
          <w:color w:val="000000"/>
          <w:sz w:val="24"/>
        </w:rPr>
        <w:t xml:space="preserve"> con recursos federales, por un monto equivalente. Asimismo, establece que los Gobiernos </w:t>
      </w:r>
      <w:r w:rsidR="00BC632A">
        <w:rPr>
          <w:rFonts w:ascii="Palatino Linotype" w:hAnsi="Palatino Linotype"/>
          <w:iCs/>
          <w:color w:val="000000"/>
          <w:sz w:val="24"/>
        </w:rPr>
        <w:t>Estatales y del Distrito Federal deberán publicar en su respectivo Periódico Oficial las variables y fórmulas utilizadas para determinar los montos que correspondan a cada Municipio o Demarcación Territorial por concepto de este Fondo, así como el calendario de ministraciones, a más tardar el 31 de enero de cada año.</w:t>
      </w:r>
    </w:p>
    <w:p w:rsidR="006E1CC1" w:rsidRDefault="006E1CC1" w:rsidP="00703149">
      <w:pPr>
        <w:pStyle w:val="Prrafodelista"/>
        <w:spacing w:line="360" w:lineRule="auto"/>
        <w:ind w:left="0" w:right="48"/>
        <w:jc w:val="both"/>
        <w:rPr>
          <w:rFonts w:ascii="Palatino Linotype" w:hAnsi="Palatino Linotype"/>
          <w:iCs/>
          <w:color w:val="000000"/>
          <w:sz w:val="24"/>
        </w:rPr>
      </w:pPr>
    </w:p>
    <w:p w:rsidR="006E1CC1" w:rsidRDefault="00BC632A" w:rsidP="00703149">
      <w:pPr>
        <w:pStyle w:val="Prrafodelista"/>
        <w:numPr>
          <w:ilvl w:val="0"/>
          <w:numId w:val="1"/>
        </w:numPr>
        <w:spacing w:line="360" w:lineRule="auto"/>
        <w:ind w:left="0" w:right="48" w:firstLine="0"/>
        <w:jc w:val="both"/>
        <w:rPr>
          <w:rFonts w:ascii="Palatino Linotype" w:hAnsi="Palatino Linotype"/>
          <w:iCs/>
          <w:color w:val="000000"/>
          <w:sz w:val="24"/>
        </w:rPr>
      </w:pPr>
      <w:r>
        <w:rPr>
          <w:rFonts w:ascii="Palatino Linotype" w:hAnsi="Palatino Linotype"/>
          <w:iCs/>
          <w:color w:val="000000"/>
          <w:sz w:val="24"/>
        </w:rPr>
        <w:t xml:space="preserve">En este caso, cabe señalar que con respecto a la información solicitada sobre la asignación del FORTAMUNDF  para el ejercicio Fiscal 2019 y 2020, el Sujeto Obligado remitió </w:t>
      </w:r>
      <w:r w:rsidR="002127F7">
        <w:rPr>
          <w:rFonts w:ascii="Palatino Linotype" w:hAnsi="Palatino Linotype"/>
          <w:iCs/>
          <w:color w:val="000000"/>
          <w:sz w:val="24"/>
        </w:rPr>
        <w:t>mediante informe justificado las Gacetas del Gobierno del Estado Libre y Soberano de México, mediante la cual se publica el A</w:t>
      </w:r>
      <w:r>
        <w:rPr>
          <w:rFonts w:ascii="Palatino Linotype" w:hAnsi="Palatino Linotype"/>
          <w:iCs/>
          <w:color w:val="000000"/>
          <w:sz w:val="24"/>
        </w:rPr>
        <w:t xml:space="preserve">cuerdo </w:t>
      </w:r>
      <w:r w:rsidR="002127F7">
        <w:rPr>
          <w:rFonts w:ascii="Palatino Linotype" w:hAnsi="Palatino Linotype"/>
          <w:iCs/>
          <w:color w:val="000000"/>
          <w:sz w:val="24"/>
        </w:rPr>
        <w:t>por el que se dan a conocer las variables, fórmula, metodología, distribución y el calendario de las asignaciones por Municipio que corresponden al Fondo de Aportaciones para el Fortalecimiento de los Municipios y de las Demarcaciones Territoriales del Distrito Federal (FORTAMUNDF), se insertan imagen a modo de ejemplo de la información que se entregó en informe justificado:</w:t>
      </w:r>
    </w:p>
    <w:p w:rsidR="002127F7" w:rsidRDefault="002127F7" w:rsidP="002127F7">
      <w:pPr>
        <w:pStyle w:val="Prrafodelista"/>
        <w:spacing w:line="360" w:lineRule="auto"/>
        <w:ind w:left="0" w:right="48"/>
        <w:jc w:val="center"/>
        <w:rPr>
          <w:rFonts w:ascii="Palatino Linotype" w:hAnsi="Palatino Linotype"/>
          <w:iCs/>
          <w:color w:val="000000"/>
          <w:sz w:val="24"/>
        </w:rPr>
      </w:pPr>
      <w:r>
        <w:rPr>
          <w:noProof/>
        </w:rPr>
        <w:lastRenderedPageBreak/>
        <mc:AlternateContent>
          <mc:Choice Requires="wps">
            <w:drawing>
              <wp:anchor distT="0" distB="0" distL="114300" distR="114300" simplePos="0" relativeHeight="251661312" behindDoc="0" locked="0" layoutInCell="1" allowOverlap="1">
                <wp:simplePos x="0" y="0"/>
                <wp:positionH relativeFrom="column">
                  <wp:posOffset>2553970</wp:posOffset>
                </wp:positionH>
                <wp:positionV relativeFrom="paragraph">
                  <wp:posOffset>842645</wp:posOffset>
                </wp:positionV>
                <wp:extent cx="1152525" cy="361950"/>
                <wp:effectExtent l="19050" t="19050" r="28575" b="19050"/>
                <wp:wrapNone/>
                <wp:docPr id="19" name="Rectángulo redondeado 19"/>
                <wp:cNvGraphicFramePr/>
                <a:graphic xmlns:a="http://schemas.openxmlformats.org/drawingml/2006/main">
                  <a:graphicData uri="http://schemas.microsoft.com/office/word/2010/wordprocessingShape">
                    <wps:wsp>
                      <wps:cNvSpPr/>
                      <wps:spPr>
                        <a:xfrm>
                          <a:off x="0" y="0"/>
                          <a:ext cx="1152525" cy="3619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2AEDF2" id="Rectángulo redondeado 19" o:spid="_x0000_s1026" style="position:absolute;margin-left:201.1pt;margin-top:66.35pt;width:90.75pt;height:28.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RrQIAAKMFAAAOAAAAZHJzL2Uyb0RvYy54bWysVNtqGzEQfS/0H4Tem/W6cS4m62ASXAoh&#10;MUlKnmWtZC9oNepI9tr9m35Lf6wj7SUmDX0otUGr0cycuc/V9b42bKfQV2ALnp+MOFNWQlnZdcG/&#10;PS8+XXDmg7ClMGBVwQ/K8+vZxw9XjZuqMWzAlAoZgVg/bVzBNyG4aZZ5uVG18CfglCWmBqxFIBLX&#10;WYmiIfTaZOPR6CxrAEuHIJX39HrbMvks4WutZHjQ2qvATMHJt5BOTOcqntnsSkzXKNymkp0b4h+8&#10;qEVlyegAdSuCYFus/oCqK4ngQYcTCXUGWldSpRgomnz0JpqnjXAqxULJ8W5Ik/9/sPJ+t0RWlVS7&#10;S86sqKlGj5S1Xz/temuAoSrBlkqUwEiAstU4PyWlJ7fEjvJ0jaHvNdbxS0GxfcrwYciw2gcm6THP&#10;J2P6cyaJ9/ksv5ykEmSv2g59+KKgZvFScIStLaNDKbtid+cDmSX5Xi5atLCojEmlNJY1BR9fTM4n&#10;ScODqcrIjXIe16sbg2wnqBsWixH9YkiEdiRGlLH0GANtQ0u3cDAqYhj7qDQljIIZtxZiq6oBVkip&#10;bMhb1kaUqrU2OTbWayTTCTAia/JywO4AeskWpMdufe7ko6pKnT4oj/7mWKs8aCTLYMOgXFcW8D0A&#10;Q1F1llv5PkltamKWVlAeqJ0Q2jnzTi4qKuOd8GEpkAaLRpCWRXigQxugSkF342wD+OO99yhP/U5c&#10;zhoa1IL771uBijPz1dIkXOanp3GyE3E6OR8Tgcec1THHbusboOrntJacTNcoH0x/1Qj1C+2UebRK&#10;LGEl2S64DNgTN6FdILSVpJrPkxhNsxPhzj45GcFjVmOHPu9fBLqulwNNwT30Qy2mb7q5lY2aFubb&#10;ALpKrf6a1y7ftAlS43RbK66aYzpJve7W2W8AAAD//wMAUEsDBBQABgAIAAAAIQCYYs8X3wAAAAsB&#10;AAAPAAAAZHJzL2Rvd25yZXYueG1sTI9BT8MwDIXvSPyHyEjcWEILtCtNJzTBDSFtcOCYNl5baJyq&#10;ybrCr8ec4Gb7PT1/r9wsbhAzTqH3pOF6pUAgNd721Gp4e326ykGEaMiawRNq+MIAm+r8rDSF9Sfa&#10;4byPreAQCoXR0MU4FlKGpkNnwsqPSKwd/ORM5HVqpZ3MicPdIBOl7qQzPfGHzoy47bD53B+dhm/1&#10;7l4ywna9fUznw4cLdeaftb68WB7uQURc4p8ZfvEZHSpmqv2RbBCDhhuVJGxlIU0yEOy4zVMear7k&#10;6wxkVcr/HaofAAAA//8DAFBLAQItABQABgAIAAAAIQC2gziS/gAAAOEBAAATAAAAAAAAAAAAAAAA&#10;AAAAAABbQ29udGVudF9UeXBlc10ueG1sUEsBAi0AFAAGAAgAAAAhADj9If/WAAAAlAEAAAsAAAAA&#10;AAAAAAAAAAAALwEAAF9yZWxzLy5yZWxzUEsBAi0AFAAGAAgAAAAhABaf5hGtAgAAowUAAA4AAAAA&#10;AAAAAAAAAAAALgIAAGRycy9lMm9Eb2MueG1sUEsBAi0AFAAGAAgAAAAhAJhizxffAAAACwEAAA8A&#10;AAAAAAAAAAAAAAAABwUAAGRycy9kb3ducmV2LnhtbFBLBQYAAAAABAAEAPMAAAATBgAAAAA=&#10;" filled="f" strokecolor="red" strokeweight="2.25pt">
                <v:stroke joinstyle="miter"/>
              </v:roundrect>
            </w:pict>
          </mc:Fallback>
        </mc:AlternateContent>
      </w:r>
      <w:r>
        <w:rPr>
          <w:noProof/>
        </w:rPr>
        <w:drawing>
          <wp:inline distT="0" distB="0" distL="0" distR="0" wp14:anchorId="28A969C9" wp14:editId="118E3D03">
            <wp:extent cx="4998720" cy="5819775"/>
            <wp:effectExtent l="0" t="0" r="0" b="952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181" t="20936" r="31668" b="18911"/>
                    <a:stretch/>
                  </pic:blipFill>
                  <pic:spPr bwMode="auto">
                    <a:xfrm>
                      <a:off x="0" y="0"/>
                      <a:ext cx="5017530" cy="5841675"/>
                    </a:xfrm>
                    <a:prstGeom prst="rect">
                      <a:avLst/>
                    </a:prstGeom>
                    <a:ln>
                      <a:noFill/>
                    </a:ln>
                    <a:extLst>
                      <a:ext uri="{53640926-AAD7-44D8-BBD7-CCE9431645EC}">
                        <a14:shadowObscured xmlns:a14="http://schemas.microsoft.com/office/drawing/2010/main"/>
                      </a:ext>
                    </a:extLst>
                  </pic:spPr>
                </pic:pic>
              </a:graphicData>
            </a:graphic>
          </wp:inline>
        </w:drawing>
      </w:r>
    </w:p>
    <w:p w:rsidR="002127F7" w:rsidRDefault="002127F7" w:rsidP="002127F7">
      <w:pPr>
        <w:pStyle w:val="Prrafodelista"/>
        <w:spacing w:line="360" w:lineRule="auto"/>
        <w:ind w:left="0" w:right="48"/>
        <w:jc w:val="center"/>
        <w:rPr>
          <w:rFonts w:ascii="Palatino Linotype" w:hAnsi="Palatino Linotype"/>
          <w:iCs/>
          <w:color w:val="000000"/>
          <w:sz w:val="24"/>
        </w:rPr>
      </w:pPr>
    </w:p>
    <w:p w:rsidR="002127F7" w:rsidRDefault="002127F7" w:rsidP="002127F7">
      <w:pPr>
        <w:pStyle w:val="Prrafodelista"/>
        <w:spacing w:line="360" w:lineRule="auto"/>
        <w:ind w:left="0" w:right="48"/>
        <w:jc w:val="center"/>
        <w:rPr>
          <w:rFonts w:ascii="Palatino Linotype" w:hAnsi="Palatino Linotype"/>
          <w:iCs/>
          <w:color w:val="000000"/>
          <w:sz w:val="24"/>
        </w:rPr>
      </w:pPr>
      <w:r>
        <w:rPr>
          <w:noProof/>
        </w:rPr>
        <w:lastRenderedPageBreak/>
        <mc:AlternateContent>
          <mc:Choice Requires="wps">
            <w:drawing>
              <wp:anchor distT="0" distB="0" distL="114300" distR="114300" simplePos="0" relativeHeight="251662336" behindDoc="0" locked="0" layoutInCell="1" allowOverlap="1">
                <wp:simplePos x="0" y="0"/>
                <wp:positionH relativeFrom="column">
                  <wp:posOffset>2639695</wp:posOffset>
                </wp:positionH>
                <wp:positionV relativeFrom="paragraph">
                  <wp:posOffset>528320</wp:posOffset>
                </wp:positionV>
                <wp:extent cx="1066800" cy="285750"/>
                <wp:effectExtent l="19050" t="19050" r="19050" b="19050"/>
                <wp:wrapNone/>
                <wp:docPr id="20" name="Rectángulo redondeado 20"/>
                <wp:cNvGraphicFramePr/>
                <a:graphic xmlns:a="http://schemas.openxmlformats.org/drawingml/2006/main">
                  <a:graphicData uri="http://schemas.microsoft.com/office/word/2010/wordprocessingShape">
                    <wps:wsp>
                      <wps:cNvSpPr/>
                      <wps:spPr>
                        <a:xfrm>
                          <a:off x="0" y="0"/>
                          <a:ext cx="1066800" cy="285750"/>
                        </a:xfrm>
                        <a:prstGeom prst="round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6F8FD2" id="Rectángulo redondeado 20" o:spid="_x0000_s1026" style="position:absolute;margin-left:207.85pt;margin-top:41.6pt;width:84pt;height:22.5pt;z-index:2516623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ZrqgIAAKMFAAAOAAAAZHJzL2Uyb0RvYy54bWysVM1u2zAMvg/YOwi6r3aCpu2COkXQIsOA&#10;oi3aDj0rshQbkEWNUuJkb7Nn2YuNkn8adMUOw3yQJZH8SH4ieXm1bwzbKfQ12IJPTnLOlJVQ1nZT&#10;8G/Pq08XnPkgbCkMWFXwg/L8avHxw2Xr5moKFZhSISMQ6+etK3gVgptnmZeVaoQ/AacsCTVgIwId&#10;cZOVKFpCb0w2zfOzrAUsHYJU3tPtTSfki4SvtZLhXmuvAjMFp9hCWjGt67hmi0sx36BwVS37MMQ/&#10;RNGI2pLTEepGBMG2WP8B1dQSwYMOJxKaDLSupUo5UDaT/E02T5VwKuVC5Hg30uT/H6y82z0gq8uC&#10;T4keKxp6o0di7ddPu9kaYKhKsKUSJTBSILZa5+dk9OQesD952sbU9xqb+Kek2D4xfBgZVvvAJF1O&#10;8rOzi5w8SZJNL2bnswSavVo79OGLgobFTcERtraMASV2xe7WB3JL+oNe9GhhVRuTntJY1vbIycKD&#10;qcsojXoeN+trg2wnqBpWq5y+mBKhHanRyVi6jIl2qaVdOBgVMYx9VJoIo2SmnYdYqmqEFVIqGyad&#10;qBKl6rzNjp0NFsl1AozImqIcsXuAQbMDGbC7mHv9aKpSpY/G+d8C64xHi+QZbBiNm9oCvgdgKKve&#10;c6c/kNRRE1laQ3mgckLo+sw7uarpGW+FDw8CqbHo5WlYhHtatAF6Keh3nFWAP967j/pU7yTlrKVG&#10;Lbj/vhWoODNfLXXC58npaezsdDidncc6xmPJ+lhit8010OtPaCw5mbZRP5hhqxGaF5opy+iVRMJK&#10;8l1wGXA4XIdugNBUkmq5TGrUzU6EW/vkZASPrMYKfd6/CHR9LQfqgjsYmlrM31RzpxstLSy3AXSd&#10;Sv2V155vmgSpcPqpFUfN8Tlpvc7WxW8AAAD//wMAUEsDBBQABgAIAAAAIQCmKwX/3gAAAAoBAAAP&#10;AAAAZHJzL2Rvd25yZXYueG1sTI/BToNAEIbvJn2HzTTxZpeCFUSWxjR6MyZWDx4Xdgq07CxhtxR9&#10;eseTHmfmyz/fX2xn24sJR985UrBeRSCQamc6ahR8vD/fZCB80GR07wgVfKGHbbm4KnRu3IXecNqH&#10;RnAI+VwraEMYcil93aLVfuUGJL4d3Gh14HFspBn1hcNtL+MoupNWd8QfWj3grsX6tD9bBd/Rp31N&#10;CZv73VMyHY7WV6l7Uep6OT8+gAg4hz8YfvVZHUp2qtyZjBe9gtv1JmVUQZbEIBjYZAkvKibjLAZZ&#10;FvJ/hfIHAAD//wMAUEsBAi0AFAAGAAgAAAAhALaDOJL+AAAA4QEAABMAAAAAAAAAAAAAAAAAAAAA&#10;AFtDb250ZW50X1R5cGVzXS54bWxQSwECLQAUAAYACAAAACEAOP0h/9YAAACUAQAACwAAAAAAAAAA&#10;AAAAAAAvAQAAX3JlbHMvLnJlbHNQSwECLQAUAAYACAAAACEATmR2a6oCAACjBQAADgAAAAAAAAAA&#10;AAAAAAAuAgAAZHJzL2Uyb0RvYy54bWxQSwECLQAUAAYACAAAACEApisF/94AAAAKAQAADwAAAAAA&#10;AAAAAAAAAAAEBQAAZHJzL2Rvd25yZXYueG1sUEsFBgAAAAAEAAQA8wAAAA8GAAAAAA==&#10;" filled="f" strokecolor="red" strokeweight="2.25pt">
                <v:stroke joinstyle="miter"/>
              </v:roundrect>
            </w:pict>
          </mc:Fallback>
        </mc:AlternateContent>
      </w:r>
      <w:r>
        <w:rPr>
          <w:noProof/>
        </w:rPr>
        <w:drawing>
          <wp:inline distT="0" distB="0" distL="0" distR="0" wp14:anchorId="1F8EF511" wp14:editId="029B3EFF">
            <wp:extent cx="4679359" cy="5019675"/>
            <wp:effectExtent l="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1015" t="19461" r="32496" b="10949"/>
                    <a:stretch/>
                  </pic:blipFill>
                  <pic:spPr bwMode="auto">
                    <a:xfrm>
                      <a:off x="0" y="0"/>
                      <a:ext cx="4685230" cy="5025973"/>
                    </a:xfrm>
                    <a:prstGeom prst="rect">
                      <a:avLst/>
                    </a:prstGeom>
                    <a:ln>
                      <a:noFill/>
                    </a:ln>
                    <a:extLst>
                      <a:ext uri="{53640926-AAD7-44D8-BBD7-CCE9431645EC}">
                        <a14:shadowObscured xmlns:a14="http://schemas.microsoft.com/office/drawing/2010/main"/>
                      </a:ext>
                    </a:extLst>
                  </pic:spPr>
                </pic:pic>
              </a:graphicData>
            </a:graphic>
          </wp:inline>
        </w:drawing>
      </w:r>
    </w:p>
    <w:p w:rsidR="002127F7" w:rsidRDefault="002127F7" w:rsidP="002127F7">
      <w:pPr>
        <w:pStyle w:val="Prrafodelista"/>
        <w:spacing w:line="360" w:lineRule="auto"/>
        <w:ind w:left="0" w:right="48"/>
        <w:jc w:val="both"/>
        <w:rPr>
          <w:rFonts w:ascii="Palatino Linotype" w:hAnsi="Palatino Linotype"/>
          <w:iCs/>
          <w:color w:val="000000"/>
          <w:sz w:val="24"/>
        </w:rPr>
      </w:pPr>
    </w:p>
    <w:p w:rsidR="004B0859" w:rsidRDefault="00A87807" w:rsidP="00703149">
      <w:pPr>
        <w:pStyle w:val="Prrafodelista"/>
        <w:numPr>
          <w:ilvl w:val="0"/>
          <w:numId w:val="1"/>
        </w:numPr>
        <w:spacing w:line="360" w:lineRule="auto"/>
        <w:ind w:left="0" w:right="48" w:firstLine="0"/>
        <w:jc w:val="both"/>
        <w:rPr>
          <w:rFonts w:ascii="Palatino Linotype" w:hAnsi="Palatino Linotype"/>
          <w:iCs/>
          <w:color w:val="000000"/>
          <w:sz w:val="24"/>
        </w:rPr>
      </w:pPr>
      <w:r>
        <w:rPr>
          <w:rFonts w:ascii="Palatino Linotype" w:hAnsi="Palatino Linotype"/>
          <w:iCs/>
          <w:color w:val="000000"/>
          <w:sz w:val="24"/>
        </w:rPr>
        <w:t>En este contexto, la información sobre la asignación de los recursos FOTAMUNDF, del ejercicio fiscal 2019 y 2020, se colma con la entrega de la información remitida mediante informe justificado.</w:t>
      </w:r>
    </w:p>
    <w:p w:rsidR="00A87807" w:rsidRDefault="00A87807" w:rsidP="00703149">
      <w:pPr>
        <w:pStyle w:val="Prrafodelista"/>
        <w:spacing w:line="360" w:lineRule="auto"/>
        <w:ind w:left="0" w:right="48"/>
        <w:jc w:val="both"/>
        <w:rPr>
          <w:rFonts w:ascii="Palatino Linotype" w:hAnsi="Palatino Linotype"/>
          <w:iCs/>
          <w:color w:val="000000"/>
          <w:sz w:val="24"/>
        </w:rPr>
      </w:pPr>
    </w:p>
    <w:p w:rsidR="004B0859" w:rsidRPr="00072172" w:rsidRDefault="004B08A9" w:rsidP="00703149">
      <w:pPr>
        <w:pStyle w:val="Prrafodelista"/>
        <w:numPr>
          <w:ilvl w:val="0"/>
          <w:numId w:val="1"/>
        </w:numPr>
        <w:spacing w:line="360" w:lineRule="auto"/>
        <w:ind w:left="0" w:right="48" w:firstLine="0"/>
        <w:jc w:val="both"/>
        <w:rPr>
          <w:rFonts w:ascii="Palatino Linotype" w:hAnsi="Palatino Linotype"/>
          <w:iCs/>
          <w:color w:val="000000"/>
          <w:sz w:val="24"/>
        </w:rPr>
      </w:pPr>
      <w:r>
        <w:rPr>
          <w:rFonts w:ascii="Palatino Linotype" w:hAnsi="Palatino Linotype"/>
          <w:iCs/>
          <w:color w:val="000000"/>
          <w:sz w:val="24"/>
        </w:rPr>
        <w:t xml:space="preserve">Por otro lado, la Ley de Coordinación Fiscal establece en su artículo 37, que las aportaciones federales que, con cargo al Fondo de Aportaciones para el Fortalecimiento </w:t>
      </w:r>
      <w:r w:rsidRPr="004B08A9">
        <w:rPr>
          <w:rFonts w:ascii="Palatino Linotype" w:hAnsi="Palatino Linotype"/>
          <w:sz w:val="24"/>
        </w:rPr>
        <w:t xml:space="preserve">de los Municipios y de las Demarcaciones Territoriales del Distrito </w:t>
      </w:r>
      <w:r w:rsidRPr="004B08A9">
        <w:rPr>
          <w:rFonts w:ascii="Palatino Linotype" w:hAnsi="Palatino Linotype"/>
          <w:sz w:val="24"/>
        </w:rPr>
        <w:lastRenderedPageBreak/>
        <w:t>Federal, reciban los municipios a través de las entidades y las demarcaciones territoriales por conducto del Distrito Federal, se destinarán a la satisfacción de sus requerimientos, dando prioridad al cumplimiento de sus obligaciones financieras, al pago de derechos y aprovechamientos por concepto de agua, descargas de aguas residuales, a la modernización de los sistemas de recaudación locales, mantenimiento de infraestructura, y a la atención de las necesidades directamente vinculadas con la seguridad pública de sus habitantes</w:t>
      </w:r>
      <w:r w:rsidR="00072172">
        <w:rPr>
          <w:rFonts w:ascii="Palatino Linotype" w:hAnsi="Palatino Linotype"/>
          <w:sz w:val="24"/>
        </w:rPr>
        <w:t>.</w:t>
      </w:r>
    </w:p>
    <w:p w:rsidR="00072172" w:rsidRDefault="00072172" w:rsidP="00703149">
      <w:pPr>
        <w:pStyle w:val="Prrafodelista"/>
        <w:spacing w:line="360" w:lineRule="auto"/>
        <w:ind w:left="0" w:right="48"/>
        <w:jc w:val="both"/>
        <w:rPr>
          <w:rFonts w:ascii="Palatino Linotype" w:hAnsi="Palatino Linotype"/>
          <w:iCs/>
          <w:color w:val="000000"/>
          <w:sz w:val="24"/>
        </w:rPr>
      </w:pPr>
    </w:p>
    <w:p w:rsidR="004B0859" w:rsidRDefault="007111E2" w:rsidP="00703149">
      <w:pPr>
        <w:pStyle w:val="Prrafodelista"/>
        <w:numPr>
          <w:ilvl w:val="0"/>
          <w:numId w:val="1"/>
        </w:numPr>
        <w:spacing w:line="360" w:lineRule="auto"/>
        <w:ind w:left="0" w:right="48" w:firstLine="0"/>
        <w:jc w:val="both"/>
        <w:rPr>
          <w:rFonts w:ascii="Palatino Linotype" w:hAnsi="Palatino Linotype"/>
          <w:iCs/>
          <w:color w:val="000000"/>
          <w:sz w:val="24"/>
        </w:rPr>
      </w:pPr>
      <w:r>
        <w:rPr>
          <w:rFonts w:ascii="Palatino Linotype" w:hAnsi="Palatino Linotype"/>
          <w:iCs/>
          <w:color w:val="000000"/>
          <w:sz w:val="24"/>
        </w:rPr>
        <w:t xml:space="preserve">En este caso, el particular solicitó conocer el monto </w:t>
      </w:r>
      <w:r w:rsidR="003572B2">
        <w:rPr>
          <w:rFonts w:ascii="Palatino Linotype" w:hAnsi="Palatino Linotype"/>
          <w:iCs/>
          <w:color w:val="000000"/>
          <w:sz w:val="24"/>
        </w:rPr>
        <w:t>asignado</w:t>
      </w:r>
      <w:r>
        <w:rPr>
          <w:rFonts w:ascii="Palatino Linotype" w:hAnsi="Palatino Linotype"/>
          <w:iCs/>
          <w:color w:val="000000"/>
          <w:sz w:val="24"/>
        </w:rPr>
        <w:t xml:space="preserve"> del FONRTAMUNDF de los ejercicios fiscales 2019 y 2020, así como el motivo, si existiera una diferencia entre el monto asignado y liberado, mediante informe justificado, el Sujeto Obligado manifestó que en caso de que existiera una discrepancia entre lo asignado y lo enterado, esto obedece a que el Municipio tiene alguna deuda en el pago de derechos de agua potable, agua en bloque, energía eléctrica, ISSEMYM, entre otros, y dichos recursos son pagados a la CONAGUA, CAEM, CFE, ISSEMYM, entre otras.</w:t>
      </w:r>
    </w:p>
    <w:p w:rsidR="007111E2" w:rsidRDefault="007111E2" w:rsidP="007111E2">
      <w:pPr>
        <w:pStyle w:val="Prrafodelista"/>
        <w:spacing w:line="360" w:lineRule="auto"/>
        <w:ind w:left="0" w:right="48"/>
        <w:jc w:val="both"/>
        <w:rPr>
          <w:rFonts w:ascii="Palatino Linotype" w:hAnsi="Palatino Linotype"/>
          <w:iCs/>
          <w:color w:val="000000"/>
          <w:sz w:val="24"/>
        </w:rPr>
      </w:pPr>
    </w:p>
    <w:p w:rsidR="007111E2" w:rsidRDefault="007111E2" w:rsidP="007111E2">
      <w:pPr>
        <w:pStyle w:val="Prrafodelista"/>
        <w:spacing w:line="360" w:lineRule="auto"/>
        <w:ind w:left="0" w:right="48"/>
        <w:jc w:val="center"/>
        <w:rPr>
          <w:rFonts w:ascii="Palatino Linotype" w:hAnsi="Palatino Linotype"/>
          <w:iCs/>
          <w:color w:val="000000"/>
          <w:sz w:val="24"/>
        </w:rPr>
      </w:pPr>
      <w:r>
        <w:rPr>
          <w:noProof/>
        </w:rPr>
        <w:drawing>
          <wp:inline distT="0" distB="0" distL="0" distR="0" wp14:anchorId="12008C84" wp14:editId="6906A66D">
            <wp:extent cx="5321935" cy="1485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7220" t="45705" r="8282" b="39257"/>
                    <a:stretch/>
                  </pic:blipFill>
                  <pic:spPr bwMode="auto">
                    <a:xfrm>
                      <a:off x="0" y="0"/>
                      <a:ext cx="5330381" cy="1488258"/>
                    </a:xfrm>
                    <a:prstGeom prst="rect">
                      <a:avLst/>
                    </a:prstGeom>
                    <a:ln>
                      <a:noFill/>
                    </a:ln>
                    <a:extLst>
                      <a:ext uri="{53640926-AAD7-44D8-BBD7-CCE9431645EC}">
                        <a14:shadowObscured xmlns:a14="http://schemas.microsoft.com/office/drawing/2010/main"/>
                      </a:ext>
                    </a:extLst>
                  </pic:spPr>
                </pic:pic>
              </a:graphicData>
            </a:graphic>
          </wp:inline>
        </w:drawing>
      </w:r>
    </w:p>
    <w:p w:rsidR="007111E2" w:rsidRDefault="007111E2" w:rsidP="007111E2">
      <w:pPr>
        <w:pStyle w:val="Prrafodelista"/>
        <w:spacing w:line="360" w:lineRule="auto"/>
        <w:ind w:left="0" w:right="48"/>
        <w:jc w:val="center"/>
        <w:rPr>
          <w:rFonts w:ascii="Palatino Linotype" w:hAnsi="Palatino Linotype"/>
          <w:iCs/>
          <w:color w:val="000000"/>
          <w:sz w:val="24"/>
        </w:rPr>
      </w:pPr>
    </w:p>
    <w:p w:rsidR="004B0859" w:rsidRDefault="007111E2" w:rsidP="00703149">
      <w:pPr>
        <w:pStyle w:val="Prrafodelista"/>
        <w:numPr>
          <w:ilvl w:val="0"/>
          <w:numId w:val="1"/>
        </w:numPr>
        <w:spacing w:line="360" w:lineRule="auto"/>
        <w:ind w:left="0" w:right="48" w:firstLine="0"/>
        <w:jc w:val="both"/>
        <w:rPr>
          <w:rFonts w:ascii="Palatino Linotype" w:hAnsi="Palatino Linotype"/>
          <w:iCs/>
          <w:color w:val="000000"/>
          <w:sz w:val="24"/>
        </w:rPr>
      </w:pPr>
      <w:r>
        <w:rPr>
          <w:rFonts w:ascii="Palatino Linotype" w:hAnsi="Palatino Linotype"/>
          <w:iCs/>
          <w:color w:val="000000"/>
          <w:sz w:val="24"/>
        </w:rPr>
        <w:t>Si bien, el Sujeto Obligado manifestó el motivo por el que pudiera existir una diferencia entre el monto asignado</w:t>
      </w:r>
      <w:r w:rsidR="00F218E0">
        <w:rPr>
          <w:rFonts w:ascii="Palatino Linotype" w:hAnsi="Palatino Linotype"/>
          <w:iCs/>
          <w:color w:val="000000"/>
          <w:sz w:val="24"/>
        </w:rPr>
        <w:t xml:space="preserve"> y el monto enterado, este no entregó información, ni se pronunció sobre el monto liberado o enterado sobre los recursos del Fondo de </w:t>
      </w:r>
      <w:r w:rsidR="00F218E0">
        <w:rPr>
          <w:rFonts w:ascii="Palatino Linotype" w:hAnsi="Palatino Linotype"/>
          <w:iCs/>
          <w:color w:val="000000"/>
          <w:sz w:val="24"/>
        </w:rPr>
        <w:lastRenderedPageBreak/>
        <w:t>Aportaciones para el Fortalecimiento de los Municipios y de las Demarcaciones Territoriales del Distrito Federal de los ejercicios fiscales 2019 y 2020.</w:t>
      </w:r>
    </w:p>
    <w:p w:rsidR="00F218E0" w:rsidRDefault="00F218E0" w:rsidP="00703149">
      <w:pPr>
        <w:pStyle w:val="Prrafodelista"/>
        <w:spacing w:line="360" w:lineRule="auto"/>
        <w:ind w:left="0" w:right="48"/>
        <w:jc w:val="both"/>
        <w:rPr>
          <w:rFonts w:ascii="Palatino Linotype" w:hAnsi="Palatino Linotype"/>
          <w:iCs/>
          <w:color w:val="000000"/>
          <w:sz w:val="24"/>
        </w:rPr>
      </w:pPr>
    </w:p>
    <w:p w:rsidR="004B0859" w:rsidRPr="003572B2" w:rsidRDefault="001245BD" w:rsidP="00703149">
      <w:pPr>
        <w:pStyle w:val="Prrafodelista"/>
        <w:numPr>
          <w:ilvl w:val="0"/>
          <w:numId w:val="1"/>
        </w:numPr>
        <w:spacing w:line="360" w:lineRule="auto"/>
        <w:ind w:left="0" w:right="48" w:firstLine="0"/>
        <w:jc w:val="both"/>
        <w:rPr>
          <w:rFonts w:ascii="Palatino Linotype" w:hAnsi="Palatino Linotype"/>
          <w:iCs/>
          <w:color w:val="000000"/>
          <w:sz w:val="28"/>
        </w:rPr>
      </w:pPr>
      <w:r>
        <w:rPr>
          <w:rFonts w:ascii="Palatino Linotype" w:hAnsi="Palatino Linotype"/>
          <w:iCs/>
          <w:color w:val="000000"/>
          <w:sz w:val="24"/>
        </w:rPr>
        <w:t xml:space="preserve">En este contexto, </w:t>
      </w:r>
      <w:r w:rsidR="003572B2">
        <w:rPr>
          <w:rFonts w:ascii="Palatino Linotype" w:hAnsi="Palatino Linotype"/>
          <w:iCs/>
          <w:color w:val="000000"/>
          <w:sz w:val="24"/>
        </w:rPr>
        <w:t xml:space="preserve">el  Acuerdo por el que se dan a conocer las variables, fórmula, metodología, distribución y el calendario de las asignaciones por Municipio que corresponden al Fondo de Aportaciones para el Fortalecimiento de los Municipios y de las Demarcaciones Territoriales del Distrito Federal (FORTAMUNDF), </w:t>
      </w:r>
      <w:r>
        <w:rPr>
          <w:rFonts w:ascii="Palatino Linotype" w:hAnsi="Palatino Linotype"/>
          <w:iCs/>
          <w:color w:val="000000"/>
          <w:sz w:val="24"/>
        </w:rPr>
        <w:t xml:space="preserve">señala que </w:t>
      </w:r>
      <w:r w:rsidR="003572B2">
        <w:rPr>
          <w:rFonts w:ascii="Palatino Linotype" w:hAnsi="Palatino Linotype"/>
          <w:iCs/>
          <w:color w:val="000000"/>
          <w:sz w:val="24"/>
        </w:rPr>
        <w:t xml:space="preserve">el ejercicio de los recursos de este fondo, deberá ser informado, de manera trimestral, a través </w:t>
      </w:r>
      <w:r w:rsidR="003572B2" w:rsidRPr="003572B2">
        <w:rPr>
          <w:rFonts w:ascii="Palatino Linotype" w:hAnsi="Palatino Linotype"/>
          <w:sz w:val="24"/>
        </w:rPr>
        <w:t>del Sistema de Recursos Federales Transferidos de la Secretaria de Ha</w:t>
      </w:r>
      <w:r>
        <w:rPr>
          <w:rFonts w:ascii="Palatino Linotype" w:hAnsi="Palatino Linotype"/>
          <w:sz w:val="24"/>
        </w:rPr>
        <w:t xml:space="preserve">cienda y Crédito Público </w:t>
      </w:r>
      <w:r w:rsidR="003572B2" w:rsidRPr="003572B2">
        <w:rPr>
          <w:rFonts w:ascii="Palatino Linotype" w:hAnsi="Palatino Linotype"/>
          <w:sz w:val="24"/>
        </w:rPr>
        <w:t>como lo establece el artículo 48 de la Ley de Coordinación Fiscal</w:t>
      </w:r>
      <w:r w:rsidR="003572B2">
        <w:rPr>
          <w:rFonts w:ascii="Palatino Linotype" w:hAnsi="Palatino Linotype"/>
          <w:sz w:val="24"/>
        </w:rPr>
        <w:t xml:space="preserve">, que </w:t>
      </w:r>
      <w:r>
        <w:rPr>
          <w:rFonts w:ascii="Palatino Linotype" w:hAnsi="Palatino Linotype"/>
          <w:sz w:val="24"/>
        </w:rPr>
        <w:t>refiere lo</w:t>
      </w:r>
      <w:r w:rsidR="003572B2">
        <w:rPr>
          <w:rFonts w:ascii="Palatino Linotype" w:hAnsi="Palatino Linotype"/>
          <w:sz w:val="24"/>
        </w:rPr>
        <w:t xml:space="preserve"> siguiente:</w:t>
      </w:r>
    </w:p>
    <w:p w:rsidR="003572B2" w:rsidRPr="003572B2" w:rsidRDefault="003572B2" w:rsidP="003572B2">
      <w:pPr>
        <w:pStyle w:val="Prrafodelista"/>
        <w:spacing w:line="360" w:lineRule="auto"/>
        <w:ind w:left="0" w:right="48"/>
        <w:jc w:val="both"/>
        <w:rPr>
          <w:rFonts w:ascii="Palatino Linotype" w:hAnsi="Palatino Linotype"/>
          <w:iCs/>
          <w:color w:val="000000"/>
          <w:sz w:val="28"/>
        </w:rPr>
      </w:pPr>
    </w:p>
    <w:p w:rsidR="003572B2" w:rsidRDefault="003572B2" w:rsidP="003572B2">
      <w:pPr>
        <w:pStyle w:val="Prrafodelista"/>
        <w:spacing w:line="360" w:lineRule="auto"/>
        <w:ind w:left="851" w:right="822"/>
        <w:jc w:val="both"/>
        <w:rPr>
          <w:rFonts w:ascii="Palatino Linotype" w:hAnsi="Palatino Linotype"/>
          <w:i/>
        </w:rPr>
      </w:pPr>
      <w:r>
        <w:rPr>
          <w:rFonts w:ascii="Palatino Linotype" w:hAnsi="Palatino Linotype"/>
          <w:i/>
        </w:rPr>
        <w:t>“</w:t>
      </w:r>
      <w:r w:rsidRPr="003572B2">
        <w:rPr>
          <w:rFonts w:ascii="Palatino Linotype" w:hAnsi="Palatino Linotype"/>
          <w:i/>
        </w:rPr>
        <w:t xml:space="preserve">Artículo 48. Los Estados y el Distrito Federal enviarán al Ejecutivo Federal, por conducto de la Secretaría de Hacienda y Crédito Público, informes sobre el ejercicio y destino de los recursos de los Fondos de Aportaciones Federales a que se refiere este Capítulo. </w:t>
      </w:r>
    </w:p>
    <w:p w:rsidR="003572B2" w:rsidRPr="001245BD" w:rsidRDefault="003572B2" w:rsidP="003572B2">
      <w:pPr>
        <w:pStyle w:val="Prrafodelista"/>
        <w:spacing w:line="360" w:lineRule="auto"/>
        <w:ind w:left="851" w:right="822"/>
        <w:jc w:val="both"/>
        <w:rPr>
          <w:rFonts w:ascii="Palatino Linotype" w:hAnsi="Palatino Linotype"/>
          <w:b/>
          <w:i/>
        </w:rPr>
      </w:pPr>
      <w:r w:rsidRPr="003572B2">
        <w:rPr>
          <w:rFonts w:ascii="Palatino Linotype" w:hAnsi="Palatino Linotype"/>
          <w:i/>
        </w:rPr>
        <w:t xml:space="preserve">Para los efectos del párrafo anterior, </w:t>
      </w:r>
      <w:r w:rsidRPr="001245BD">
        <w:rPr>
          <w:rFonts w:ascii="Palatino Linotype" w:hAnsi="Palatino Linotype"/>
          <w:b/>
          <w:i/>
        </w:rPr>
        <w:t xml:space="preserve">los Estados y el Distrito Federal reportarán tanto la información relativa a la Entidad Federativa, como aquélla de sus respectivos Municipios o Demarcaciones Territoriales para el caso del Distrito Federal, en los Fondos que correspondan, así como los resultados obtenidos; asimismo, remitirán la información consolidada a más tardar a los 20 días naturales posteriores a la terminación de cada trimestre del ejercicio fiscal. </w:t>
      </w:r>
    </w:p>
    <w:p w:rsidR="003572B2" w:rsidRDefault="003572B2" w:rsidP="003572B2">
      <w:pPr>
        <w:pStyle w:val="Prrafodelista"/>
        <w:spacing w:line="360" w:lineRule="auto"/>
        <w:ind w:left="851" w:right="822"/>
        <w:jc w:val="both"/>
        <w:rPr>
          <w:rFonts w:ascii="Palatino Linotype" w:hAnsi="Palatino Linotype"/>
          <w:i/>
        </w:rPr>
      </w:pPr>
      <w:r w:rsidRPr="003572B2">
        <w:rPr>
          <w:rFonts w:ascii="Palatino Linotype" w:hAnsi="Palatino Linotype"/>
          <w:i/>
        </w:rPr>
        <w:t xml:space="preserve">La Secretaría de Hacienda y Crédito Público incluirá los reportes señalados en el párrafo anterior, por Entidad Federativa, en los informes trimestrales que deben entregarse al Congreso de la Unión en los términos del artículo 107, fracción I, de la </w:t>
      </w:r>
      <w:r w:rsidRPr="003572B2">
        <w:rPr>
          <w:rFonts w:ascii="Palatino Linotype" w:hAnsi="Palatino Linotype"/>
          <w:i/>
        </w:rPr>
        <w:lastRenderedPageBreak/>
        <w:t xml:space="preserve">Ley Federal de Presupuesto y Responsabilidad Hacendaria; asimismo, pondrá dicha información a disposición para consulta en su página electrónica de Internet, la cual deberá actualizar a más tardar en la fecha en que el Ejecutivo Federal entregue los citados informes. </w:t>
      </w:r>
    </w:p>
    <w:p w:rsidR="003572B2" w:rsidRDefault="003572B2" w:rsidP="003572B2">
      <w:pPr>
        <w:pStyle w:val="Prrafodelista"/>
        <w:spacing w:line="360" w:lineRule="auto"/>
        <w:ind w:left="851" w:right="822"/>
        <w:jc w:val="both"/>
        <w:rPr>
          <w:rFonts w:ascii="Palatino Linotype" w:hAnsi="Palatino Linotype"/>
          <w:i/>
        </w:rPr>
      </w:pPr>
      <w:r w:rsidRPr="003572B2">
        <w:rPr>
          <w:rFonts w:ascii="Palatino Linotype" w:hAnsi="Palatino Linotype"/>
          <w:i/>
        </w:rPr>
        <w:t xml:space="preserve">Los Estados, el Distrito Federal, los Municipios y las Demarcaciones Territoriales del Distrito Federal, publicarán los informes a que se refiere el párrafo primero de este artículo en los órganos locales oficiales de difusión y los pondrán a disposición del público en general a través de sus respectivas páginas electrónicas de Internet o de otros medios locales de difusión, a más tardar a los 5 días hábiles posteriores a la fecha señalada en el párrafo anterior. </w:t>
      </w:r>
    </w:p>
    <w:p w:rsidR="003572B2" w:rsidRPr="003572B2" w:rsidRDefault="003572B2" w:rsidP="003572B2">
      <w:pPr>
        <w:pStyle w:val="Prrafodelista"/>
        <w:spacing w:line="360" w:lineRule="auto"/>
        <w:ind w:left="851" w:right="822"/>
        <w:jc w:val="both"/>
        <w:rPr>
          <w:rFonts w:ascii="Palatino Linotype" w:hAnsi="Palatino Linotype"/>
          <w:i/>
          <w:iCs/>
          <w:color w:val="000000"/>
          <w:sz w:val="28"/>
        </w:rPr>
      </w:pPr>
      <w:r w:rsidRPr="003572B2">
        <w:rPr>
          <w:rFonts w:ascii="Palatino Linotype" w:hAnsi="Palatino Linotype"/>
          <w:i/>
        </w:rPr>
        <w:t>Las entidades federativas enterarán al ente ejecutor local del gasto, el presupuesto que le corresponda en un máximo de cinco días hábiles, una vez recibida la ministración correspondiente de cada uno de los Fondos contemplados en el Capítulo V del presente ordenamiento</w:t>
      </w:r>
      <w:r>
        <w:rPr>
          <w:rFonts w:ascii="Palatino Linotype" w:hAnsi="Palatino Linotype"/>
          <w:i/>
        </w:rPr>
        <w:t>.” (Sic)</w:t>
      </w:r>
    </w:p>
    <w:p w:rsidR="009208F7" w:rsidRPr="0080709C" w:rsidRDefault="009208F7" w:rsidP="009208F7">
      <w:pPr>
        <w:pStyle w:val="Prrafodelista"/>
        <w:tabs>
          <w:tab w:val="left" w:pos="0"/>
        </w:tabs>
        <w:spacing w:line="360" w:lineRule="auto"/>
        <w:ind w:left="0" w:right="48"/>
        <w:jc w:val="both"/>
        <w:rPr>
          <w:rFonts w:ascii="Palatino Linotype" w:hAnsi="Palatino Linotype"/>
          <w:sz w:val="24"/>
        </w:rPr>
      </w:pPr>
    </w:p>
    <w:p w:rsidR="001245BD" w:rsidRPr="001245BD" w:rsidRDefault="001245BD" w:rsidP="00703149">
      <w:pPr>
        <w:pStyle w:val="Sinespaciado"/>
        <w:numPr>
          <w:ilvl w:val="0"/>
          <w:numId w:val="1"/>
        </w:numPr>
        <w:spacing w:line="360" w:lineRule="auto"/>
        <w:ind w:left="0" w:firstLine="0"/>
        <w:jc w:val="both"/>
        <w:rPr>
          <w:rFonts w:ascii="Palatino Linotype" w:hAnsi="Palatino Linotype" w:cs="Arial"/>
          <w:b/>
          <w:sz w:val="24"/>
          <w:szCs w:val="24"/>
        </w:rPr>
      </w:pPr>
      <w:bookmarkStart w:id="26" w:name="_Toc72934786"/>
      <w:r w:rsidRPr="001245BD">
        <w:rPr>
          <w:rFonts w:ascii="Palatino Linotype" w:hAnsi="Palatino Linotype" w:cs="Arial"/>
          <w:sz w:val="24"/>
          <w:szCs w:val="24"/>
        </w:rPr>
        <w:t>Asimismo, el Noveno del</w:t>
      </w:r>
      <w:r>
        <w:rPr>
          <w:rFonts w:ascii="Palatino Linotype" w:hAnsi="Palatino Linotype" w:cs="Arial"/>
          <w:b/>
          <w:sz w:val="24"/>
          <w:szCs w:val="24"/>
        </w:rPr>
        <w:t xml:space="preserve"> </w:t>
      </w:r>
      <w:r>
        <w:rPr>
          <w:rFonts w:ascii="Palatino Linotype" w:hAnsi="Palatino Linotype"/>
          <w:iCs/>
          <w:color w:val="000000"/>
          <w:sz w:val="24"/>
        </w:rPr>
        <w:t>Acuerdo por el que se dan a conocer las variables, fórmula, metodología, distribución y el calendario de las asignaciones por Municipio que corresponden FORTAMUNDF</w:t>
      </w:r>
      <w:r w:rsidRPr="001245BD">
        <w:rPr>
          <w:rFonts w:ascii="Palatino Linotype" w:hAnsi="Palatino Linotype"/>
          <w:iCs/>
          <w:color w:val="000000"/>
          <w:sz w:val="24"/>
          <w:szCs w:val="24"/>
        </w:rPr>
        <w:t xml:space="preserve">, </w:t>
      </w:r>
      <w:r w:rsidR="009C4242">
        <w:rPr>
          <w:rFonts w:ascii="Palatino Linotype" w:hAnsi="Palatino Linotype"/>
          <w:iCs/>
          <w:color w:val="000000"/>
          <w:sz w:val="24"/>
          <w:szCs w:val="24"/>
        </w:rPr>
        <w:t xml:space="preserve">señala que </w:t>
      </w:r>
      <w:r w:rsidRPr="001245BD">
        <w:rPr>
          <w:rFonts w:ascii="Palatino Linotype" w:hAnsi="Palatino Linotype"/>
          <w:sz w:val="24"/>
          <w:szCs w:val="24"/>
        </w:rPr>
        <w:t>para la ejecución de las obras o acciones que lleven a cabo los municipios con los recurso de este Fondo, deberán presentar ante la Secretaría de Finanzas, de manera mensual, la información que sobre la aplicación del Fondo le sea requerida, con la finalidad de que la Secretaría antes mencionada informe lo conducente a las dependencias federales</w:t>
      </w:r>
      <w:r>
        <w:rPr>
          <w:rFonts w:ascii="Palatino Linotype" w:hAnsi="Palatino Linotype"/>
          <w:sz w:val="24"/>
          <w:szCs w:val="24"/>
        </w:rPr>
        <w:t>.</w:t>
      </w:r>
    </w:p>
    <w:p w:rsidR="001245BD" w:rsidRDefault="001245BD" w:rsidP="00703149">
      <w:pPr>
        <w:pStyle w:val="Sinespaciado"/>
        <w:spacing w:line="360" w:lineRule="auto"/>
        <w:jc w:val="both"/>
        <w:rPr>
          <w:rFonts w:ascii="Palatino Linotype" w:hAnsi="Palatino Linotype" w:cs="Arial"/>
          <w:b/>
          <w:sz w:val="24"/>
          <w:szCs w:val="24"/>
        </w:rPr>
      </w:pPr>
    </w:p>
    <w:p w:rsidR="001245BD" w:rsidRPr="00182EB7" w:rsidRDefault="001245BD" w:rsidP="00703149">
      <w:pPr>
        <w:pStyle w:val="Sinespaciado"/>
        <w:numPr>
          <w:ilvl w:val="0"/>
          <w:numId w:val="1"/>
        </w:numPr>
        <w:spacing w:line="360" w:lineRule="auto"/>
        <w:ind w:left="0" w:firstLine="0"/>
        <w:jc w:val="both"/>
        <w:rPr>
          <w:rFonts w:ascii="Palatino Linotype" w:hAnsi="Palatino Linotype" w:cs="Arial"/>
          <w:b/>
          <w:sz w:val="24"/>
          <w:szCs w:val="24"/>
        </w:rPr>
      </w:pPr>
      <w:r w:rsidRPr="001245BD">
        <w:rPr>
          <w:rFonts w:ascii="Palatino Linotype" w:hAnsi="Palatino Linotype" w:cs="Arial"/>
          <w:sz w:val="24"/>
          <w:szCs w:val="24"/>
        </w:rPr>
        <w:t>Por lo anteriormente señalado, se determina que la Secretar</w:t>
      </w:r>
      <w:r w:rsidR="009C4242">
        <w:rPr>
          <w:rFonts w:ascii="Palatino Linotype" w:hAnsi="Palatino Linotype" w:cs="Arial"/>
          <w:sz w:val="24"/>
          <w:szCs w:val="24"/>
        </w:rPr>
        <w:t>ía de Finanzas colmó</w:t>
      </w:r>
      <w:r w:rsidRPr="001245BD">
        <w:rPr>
          <w:rFonts w:ascii="Palatino Linotype" w:hAnsi="Palatino Linotype" w:cs="Arial"/>
          <w:sz w:val="24"/>
          <w:szCs w:val="24"/>
        </w:rPr>
        <w:t xml:space="preserve"> de forma parcial la solicitud de acceso a la información pública; asimismo, se </w:t>
      </w:r>
      <w:r w:rsidR="009C4242">
        <w:rPr>
          <w:rFonts w:ascii="Palatino Linotype" w:hAnsi="Palatino Linotype" w:cs="Arial"/>
          <w:sz w:val="24"/>
          <w:szCs w:val="24"/>
        </w:rPr>
        <w:t>advierte tiene facultades para</w:t>
      </w:r>
      <w:r w:rsidRPr="001245BD">
        <w:rPr>
          <w:rFonts w:ascii="Palatino Linotype" w:hAnsi="Palatino Linotype" w:cs="Arial"/>
          <w:sz w:val="24"/>
          <w:szCs w:val="24"/>
        </w:rPr>
        <w:t xml:space="preserve"> posee</w:t>
      </w:r>
      <w:r w:rsidR="009C4242">
        <w:rPr>
          <w:rFonts w:ascii="Palatino Linotype" w:hAnsi="Palatino Linotype" w:cs="Arial"/>
          <w:sz w:val="24"/>
          <w:szCs w:val="24"/>
        </w:rPr>
        <w:t>r</w:t>
      </w:r>
      <w:r w:rsidRPr="001245BD">
        <w:rPr>
          <w:rFonts w:ascii="Palatino Linotype" w:hAnsi="Palatino Linotype" w:cs="Arial"/>
          <w:sz w:val="24"/>
          <w:szCs w:val="24"/>
        </w:rPr>
        <w:t xml:space="preserve"> o administra</w:t>
      </w:r>
      <w:r w:rsidR="009C4242">
        <w:rPr>
          <w:rFonts w:ascii="Palatino Linotype" w:hAnsi="Palatino Linotype" w:cs="Arial"/>
          <w:sz w:val="24"/>
          <w:szCs w:val="24"/>
        </w:rPr>
        <w:t>r</w:t>
      </w:r>
      <w:r w:rsidRPr="001245BD">
        <w:rPr>
          <w:rFonts w:ascii="Palatino Linotype" w:hAnsi="Palatino Linotype" w:cs="Arial"/>
          <w:sz w:val="24"/>
          <w:szCs w:val="24"/>
        </w:rPr>
        <w:t xml:space="preserve"> información sobre el monto </w:t>
      </w:r>
      <w:r w:rsidRPr="001245BD">
        <w:rPr>
          <w:rFonts w:ascii="Palatino Linotype" w:hAnsi="Palatino Linotype" w:cs="Arial"/>
          <w:sz w:val="24"/>
          <w:szCs w:val="24"/>
        </w:rPr>
        <w:lastRenderedPageBreak/>
        <w:t>liberado de los recurso del Fondo</w:t>
      </w:r>
      <w:r>
        <w:rPr>
          <w:rFonts w:ascii="Palatino Linotype" w:hAnsi="Palatino Linotype" w:cs="Arial"/>
          <w:b/>
          <w:sz w:val="24"/>
          <w:szCs w:val="24"/>
        </w:rPr>
        <w:t xml:space="preserve"> </w:t>
      </w:r>
      <w:r>
        <w:rPr>
          <w:rFonts w:ascii="Palatino Linotype" w:hAnsi="Palatino Linotype"/>
          <w:iCs/>
          <w:color w:val="000000"/>
          <w:sz w:val="24"/>
        </w:rPr>
        <w:t>de Aportaciones para el Fortalecimiento de los Municipios y de las Demarcaciones Territoriales del Distrito Federal de los ejercicios fiscales 2019 y 2020.</w:t>
      </w:r>
    </w:p>
    <w:p w:rsidR="00182EB7" w:rsidRPr="00182EB7" w:rsidRDefault="00182EB7" w:rsidP="00703149">
      <w:pPr>
        <w:pStyle w:val="Sinespaciado"/>
        <w:spacing w:line="360" w:lineRule="auto"/>
        <w:jc w:val="both"/>
        <w:rPr>
          <w:rFonts w:ascii="Palatino Linotype" w:hAnsi="Palatino Linotype" w:cs="Arial"/>
          <w:b/>
          <w:sz w:val="24"/>
          <w:szCs w:val="24"/>
        </w:rPr>
      </w:pPr>
    </w:p>
    <w:p w:rsidR="00182EB7" w:rsidRPr="00715461" w:rsidRDefault="00182EB7" w:rsidP="00715461">
      <w:pPr>
        <w:pStyle w:val="Ttulo1"/>
        <w:spacing w:before="0" w:line="360" w:lineRule="auto"/>
        <w:rPr>
          <w:rFonts w:ascii="Palatino Linotype" w:hAnsi="Palatino Linotype"/>
          <w:b/>
          <w:color w:val="000000" w:themeColor="text1"/>
          <w:sz w:val="24"/>
          <w:szCs w:val="24"/>
        </w:rPr>
      </w:pPr>
      <w:bookmarkStart w:id="27" w:name="_Toc74188153"/>
      <w:bookmarkStart w:id="28" w:name="_Toc82516504"/>
      <w:r>
        <w:rPr>
          <w:rFonts w:ascii="Palatino Linotype" w:hAnsi="Palatino Linotype" w:cs="Times New Roman"/>
          <w:b/>
          <w:color w:val="000000" w:themeColor="text1"/>
          <w:sz w:val="24"/>
          <w:szCs w:val="24"/>
          <w:lang w:eastAsia="es-ES_tradnl"/>
        </w:rPr>
        <w:t>QUIN</w:t>
      </w:r>
      <w:r w:rsidRPr="000B0711">
        <w:rPr>
          <w:rFonts w:ascii="Palatino Linotype" w:hAnsi="Palatino Linotype" w:cs="Times New Roman"/>
          <w:b/>
          <w:color w:val="000000" w:themeColor="text1"/>
          <w:sz w:val="24"/>
          <w:szCs w:val="24"/>
          <w:lang w:eastAsia="es-ES_tradnl"/>
        </w:rPr>
        <w:t xml:space="preserve">TO. </w:t>
      </w:r>
      <w:r w:rsidRPr="000B0711">
        <w:rPr>
          <w:rFonts w:ascii="Palatino Linotype" w:hAnsi="Palatino Linotype"/>
          <w:b/>
          <w:color w:val="000000" w:themeColor="text1"/>
          <w:sz w:val="24"/>
          <w:szCs w:val="24"/>
        </w:rPr>
        <w:t xml:space="preserve"> De la elaboración de la versión pública.</w:t>
      </w:r>
      <w:bookmarkEnd w:id="27"/>
      <w:bookmarkEnd w:id="28"/>
      <w:r w:rsidRPr="000B0711">
        <w:rPr>
          <w:rFonts w:ascii="Palatino Linotype" w:hAnsi="Palatino Linotype"/>
          <w:b/>
          <w:color w:val="000000" w:themeColor="text1"/>
          <w:sz w:val="24"/>
          <w:szCs w:val="24"/>
        </w:rPr>
        <w:t xml:space="preserve"> </w:t>
      </w: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Debe destacarse que, debido a la naturaleza de la información solicitada</w:t>
      </w:r>
      <w:r w:rsidRPr="000B0711">
        <w:rPr>
          <w:rFonts w:ascii="Palatino Linotype" w:eastAsia="MS Gothic" w:hAnsi="Palatino Linotype"/>
          <w:b/>
          <w:sz w:val="24"/>
          <w:szCs w:val="26"/>
        </w:rPr>
        <w:t xml:space="preserve">, </w:t>
      </w:r>
      <w:r w:rsidRPr="000B0711">
        <w:rPr>
          <w:rFonts w:ascii="Palatino Linotype" w:eastAsia="MS Gothic" w:hAnsi="Palatino Linotype"/>
          <w:sz w:val="24"/>
          <w:szCs w:val="26"/>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0B0711">
        <w:rPr>
          <w:rFonts w:ascii="Palatino Linotype" w:eastAsia="MS Gothic" w:hAnsi="Palatino Linotype"/>
          <w:b/>
          <w:sz w:val="24"/>
          <w:szCs w:val="26"/>
          <w:u w:val="single"/>
        </w:rPr>
        <w:t>versión pública</w:t>
      </w:r>
      <w:r w:rsidRPr="000B0711">
        <w:rPr>
          <w:rFonts w:ascii="Palatino Linotype" w:eastAsia="MS Gothic" w:hAnsi="Palatino Linotype"/>
          <w:sz w:val="24"/>
          <w:szCs w:val="26"/>
        </w:rPr>
        <w:t xml:space="preserve"> de los documentos por las consideraciones que se estimen pertinentes.</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71546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0B0711">
        <w:rPr>
          <w:rFonts w:ascii="Palatino Linotype" w:eastAsia="MS Gothic" w:hAnsi="Palatino Linotype"/>
          <w:sz w:val="24"/>
          <w:szCs w:val="26"/>
          <w:vertAlign w:val="superscript"/>
        </w:rPr>
        <w:footnoteReference w:id="5"/>
      </w:r>
      <w:r w:rsidRPr="000B0711">
        <w:rPr>
          <w:rFonts w:ascii="Palatino Linotype" w:eastAsia="MS Gothic" w:hAnsi="Palatino Linotype"/>
          <w:sz w:val="24"/>
          <w:szCs w:val="26"/>
        </w:rPr>
        <w:t xml:space="preserve"> aunque cualquier límite o restricción, </w:t>
      </w:r>
      <w:r w:rsidRPr="000B0711">
        <w:rPr>
          <w:rFonts w:ascii="Palatino Linotype" w:eastAsia="MS Gothic" w:hAnsi="Palatino Linotype"/>
          <w:sz w:val="24"/>
          <w:szCs w:val="26"/>
        </w:rPr>
        <w:lastRenderedPageBreak/>
        <w:t>para ser legítimo, debe reunir con tres requisitos: primero, debe de estar establecida en un ordenamiento legal, antes de su aplicación; debe de corresponder a un fin legítimo y ser estrictamente proporcional con el principio o valor que se pretende preservar.</w:t>
      </w:r>
      <w:r w:rsidRPr="000B0711">
        <w:rPr>
          <w:rFonts w:ascii="Palatino Linotype" w:eastAsia="MS Gothic" w:hAnsi="Palatino Linotype"/>
          <w:sz w:val="24"/>
          <w:szCs w:val="26"/>
          <w:vertAlign w:val="superscript"/>
        </w:rPr>
        <w:footnoteReference w:id="6"/>
      </w:r>
      <w:r w:rsidRPr="000B0711">
        <w:rPr>
          <w:rFonts w:ascii="Palatino Linotype" w:eastAsia="MS Gothic" w:hAnsi="Palatino Linotype"/>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715461" w:rsidRPr="000B0711" w:rsidRDefault="00715461" w:rsidP="0071546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29" w:name="_Toc51863315"/>
      <w:bookmarkStart w:id="30" w:name="_Toc52444649"/>
      <w:bookmarkStart w:id="31" w:name="_Toc57154368"/>
      <w:bookmarkStart w:id="32" w:name="_Toc74188154"/>
      <w:bookmarkStart w:id="33" w:name="_Toc82516505"/>
      <w:r w:rsidRPr="000B0711">
        <w:rPr>
          <w:rFonts w:ascii="Palatino Linotype" w:hAnsi="Palatino Linotype" w:cs="Arial"/>
          <w:b/>
          <w:sz w:val="24"/>
        </w:rPr>
        <w:t>I. Requisitos previos.</w:t>
      </w:r>
      <w:bookmarkEnd w:id="29"/>
      <w:bookmarkEnd w:id="30"/>
      <w:bookmarkEnd w:id="31"/>
      <w:bookmarkEnd w:id="32"/>
      <w:bookmarkEnd w:id="33"/>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w:t>
      </w:r>
      <w:r w:rsidRPr="000B0711">
        <w:rPr>
          <w:rFonts w:ascii="Palatino Linotype" w:eastAsia="MS Gothic" w:hAnsi="Palatino Linotype"/>
          <w:sz w:val="24"/>
          <w:szCs w:val="26"/>
        </w:rPr>
        <w:lastRenderedPageBreak/>
        <w:t>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0B0711">
        <w:rPr>
          <w:rFonts w:ascii="Palatino Linotype" w:eastAsia="MS Gothic" w:hAnsi="Palatino Linotype"/>
          <w:b/>
          <w:sz w:val="24"/>
          <w:szCs w:val="26"/>
          <w:u w:val="single"/>
        </w:rPr>
        <w:t xml:space="preserve">no se puede hacer un acuerdo para clasificar de manera general todos los documentos de un expediente o área,  </w:t>
      </w:r>
      <w:r w:rsidRPr="000B0711">
        <w:rPr>
          <w:rFonts w:ascii="Palatino Linotype" w:eastAsia="MS Gothic" w:hAnsi="Palatino Linotype"/>
          <w:sz w:val="24"/>
          <w:szCs w:val="26"/>
        </w:rPr>
        <w:t>sin individualizar su análisis y tampoco se puede hacer un acuerdo por cada dato que se vaya a clasificar dentro de un documento con diez datos, por ejemplo, susceptibles de ser clasificados.</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34" w:name="_Toc51863316"/>
      <w:bookmarkStart w:id="35" w:name="_Toc52444650"/>
      <w:bookmarkStart w:id="36" w:name="_Toc57154369"/>
      <w:bookmarkStart w:id="37" w:name="_Toc74188155"/>
      <w:bookmarkStart w:id="38" w:name="_Toc82516506"/>
      <w:r w:rsidRPr="000B0711">
        <w:rPr>
          <w:rFonts w:ascii="Palatino Linotype" w:hAnsi="Palatino Linotype" w:cs="Arial"/>
          <w:b/>
          <w:sz w:val="24"/>
        </w:rPr>
        <w:t>II. Supuestos de clasificación.</w:t>
      </w:r>
      <w:bookmarkEnd w:id="34"/>
      <w:bookmarkEnd w:id="35"/>
      <w:bookmarkEnd w:id="36"/>
      <w:bookmarkEnd w:id="37"/>
      <w:bookmarkEnd w:id="38"/>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Las disposiciones constitucionales y legales en la materia establecen los dos supuestos generales para clasificar la información: por reserva y por confidencialidad.</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71546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lastRenderedPageBreak/>
        <w:t>Los artículos 143 y 116 de la Ley Estatal y de la Ley General, respectivamente, señalan los supuestos para que la información pueda ser clasificada como confidencial:</w:t>
      </w:r>
    </w:p>
    <w:p w:rsidR="00182EB7" w:rsidRPr="00715461" w:rsidRDefault="00182EB7" w:rsidP="00182EB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715461">
        <w:rPr>
          <w:rFonts w:ascii="Palatino Linotype" w:hAnsi="Palatino Linotype" w:cs="Bookman Old Style"/>
          <w:bCs/>
          <w:i/>
          <w:color w:val="000000"/>
          <w:sz w:val="22"/>
        </w:rPr>
        <w:t xml:space="preserve">“I. </w:t>
      </w:r>
      <w:r w:rsidRPr="00715461">
        <w:rPr>
          <w:rFonts w:ascii="Palatino Linotype" w:hAnsi="Palatino Linotype" w:cs="Bookman Old Style"/>
          <w:i/>
          <w:color w:val="000000"/>
          <w:sz w:val="22"/>
        </w:rPr>
        <w:t xml:space="preserve">Se refiera a la información privada y los datos personales concernientes a una persona física o jurídico colectiva identificada o identificable; </w:t>
      </w:r>
    </w:p>
    <w:p w:rsidR="00182EB7" w:rsidRPr="00715461" w:rsidRDefault="00182EB7" w:rsidP="00182EB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715461">
        <w:rPr>
          <w:rFonts w:ascii="Palatino Linotype" w:hAnsi="Palatino Linotype" w:cs="Bookman Old Style"/>
          <w:bCs/>
          <w:i/>
          <w:color w:val="000000"/>
          <w:sz w:val="22"/>
        </w:rPr>
        <w:t xml:space="preserve">II. </w:t>
      </w:r>
      <w:r w:rsidRPr="00715461">
        <w:rPr>
          <w:rFonts w:ascii="Palatino Linotype" w:hAnsi="Palatino Linotype" w:cs="Bookman Old Style"/>
          <w:i/>
          <w:color w:val="000000"/>
          <w:sz w:val="22"/>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182EB7" w:rsidRPr="00715461" w:rsidRDefault="00182EB7" w:rsidP="00182EB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715461">
        <w:rPr>
          <w:rFonts w:ascii="Palatino Linotype" w:hAnsi="Palatino Linotype" w:cs="Bookman Old Style"/>
          <w:bCs/>
          <w:i/>
          <w:color w:val="000000"/>
          <w:sz w:val="22"/>
        </w:rPr>
        <w:t xml:space="preserve">III. </w:t>
      </w:r>
      <w:r w:rsidRPr="00715461">
        <w:rPr>
          <w:rFonts w:ascii="Palatino Linotype" w:hAnsi="Palatino Linotype" w:cs="Bookman Old Style"/>
          <w:i/>
          <w:color w:val="000000"/>
          <w:sz w:val="22"/>
        </w:rPr>
        <w:t xml:space="preserve">La que presenten los particulares a los sujetos obligados, de conformidad con lo dispuesto por las leyes o los tratados internacionales. </w:t>
      </w:r>
    </w:p>
    <w:p w:rsidR="00182EB7" w:rsidRPr="00715461" w:rsidRDefault="00182EB7" w:rsidP="00182EB7">
      <w:pPr>
        <w:widowControl w:val="0"/>
        <w:tabs>
          <w:tab w:val="left" w:pos="8222"/>
        </w:tabs>
        <w:autoSpaceDE w:val="0"/>
        <w:autoSpaceDN w:val="0"/>
        <w:adjustRightInd w:val="0"/>
        <w:spacing w:after="240" w:line="276" w:lineRule="auto"/>
        <w:ind w:left="567" w:right="567"/>
        <w:jc w:val="both"/>
        <w:rPr>
          <w:rFonts w:ascii="Palatino Linotype" w:hAnsi="Palatino Linotype" w:cs="Times"/>
          <w:i/>
          <w:color w:val="000000"/>
          <w:sz w:val="22"/>
        </w:rPr>
      </w:pPr>
      <w:r w:rsidRPr="00715461">
        <w:rPr>
          <w:rFonts w:ascii="Palatino Linotype" w:hAnsi="Palatino Linotype" w:cs="Bookman Old Style"/>
          <w:i/>
          <w:color w:val="000000"/>
          <w:sz w:val="22"/>
        </w:rPr>
        <w:t xml:space="preserve">La información confidencial no estará sujeta a temporalidad alguna y sólo podrán tener acceso a ella los titulares de la misma, sus representantes y los servidores públicos facultados para ello. </w:t>
      </w:r>
    </w:p>
    <w:p w:rsidR="00182EB7" w:rsidRPr="00715461" w:rsidRDefault="00182EB7" w:rsidP="00182EB7">
      <w:pPr>
        <w:widowControl w:val="0"/>
        <w:tabs>
          <w:tab w:val="left" w:pos="8222"/>
        </w:tabs>
        <w:autoSpaceDE w:val="0"/>
        <w:autoSpaceDN w:val="0"/>
        <w:adjustRightInd w:val="0"/>
        <w:spacing w:after="240" w:line="276" w:lineRule="auto"/>
        <w:ind w:left="567" w:right="567"/>
        <w:jc w:val="both"/>
        <w:rPr>
          <w:rFonts w:ascii="Palatino Linotype" w:hAnsi="Palatino Linotype" w:cs="Bookman Old Style"/>
          <w:i/>
          <w:color w:val="000000"/>
          <w:sz w:val="22"/>
        </w:rPr>
      </w:pPr>
      <w:r w:rsidRPr="00715461">
        <w:rPr>
          <w:rFonts w:ascii="Palatino Linotype" w:hAnsi="Palatino Linotype" w:cs="Bookman Old Style"/>
          <w:i/>
          <w:color w:val="000000"/>
          <w:sz w:val="22"/>
        </w:rPr>
        <w:t>No se considerará confidencial la información que se encuentre en los registros públicos o en fuentes de acceso público, ni tampoco la que sea considerada por la presente ley como información pública. “</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lastRenderedPageBreak/>
        <w:t xml:space="preserve">Como consecuencia de lo anterior, el </w:t>
      </w:r>
      <w:r w:rsidRPr="000B0711">
        <w:rPr>
          <w:rFonts w:ascii="Palatino Linotype" w:eastAsia="MS Gothic" w:hAnsi="Palatino Linotype"/>
          <w:b/>
          <w:sz w:val="24"/>
          <w:szCs w:val="26"/>
        </w:rPr>
        <w:t>SUJETO OBLIGADO</w:t>
      </w:r>
      <w:r w:rsidRPr="000B0711">
        <w:rPr>
          <w:rFonts w:ascii="Palatino Linotype" w:eastAsia="MS Gothic" w:hAnsi="Palatino Linotype"/>
          <w:sz w:val="24"/>
          <w:szCs w:val="26"/>
        </w:rPr>
        <w:t xml:space="preserve"> debe identificar claramente el tipo de información y hacer un juicio de subsunción o encaje</w:t>
      </w:r>
      <w:r w:rsidRPr="000B0711">
        <w:rPr>
          <w:rFonts w:ascii="Palatino Linotype" w:eastAsia="MS Gothic" w:hAnsi="Palatino Linotype"/>
          <w:sz w:val="24"/>
          <w:szCs w:val="26"/>
          <w:vertAlign w:val="superscript"/>
        </w:rPr>
        <w:footnoteReference w:id="7"/>
      </w:r>
      <w:r w:rsidRPr="000B0711">
        <w:rPr>
          <w:rFonts w:ascii="Palatino Linotype" w:eastAsia="MS Gothic" w:hAnsi="Palatino Linotype"/>
          <w:sz w:val="24"/>
          <w:szCs w:val="26"/>
        </w:rPr>
        <w:t xml:space="preserve"> para acreditar que el supuesto de hecho corresponde estrictamente con la hipótesis jurídica. Esto también lo debe de realizar el servidor público habilitado y el titular del área que administra la información.</w:t>
      </w:r>
    </w:p>
    <w:p w:rsidR="00182EB7" w:rsidRPr="000B0711" w:rsidRDefault="00182EB7" w:rsidP="0071546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Al respecto, los Lineamientos Generales en Materia de Clasificación y Desclasificación de la Información, así Como para la Elaboración de Versiones Públicas, por cuanto hace a la clasificación de la información, señalan lo siguiente:</w:t>
      </w:r>
    </w:p>
    <w:p w:rsidR="00182EB7" w:rsidRPr="000B0711" w:rsidRDefault="00182EB7" w:rsidP="00182EB7">
      <w:pPr>
        <w:pStyle w:val="Prrafodelista"/>
        <w:tabs>
          <w:tab w:val="left" w:pos="142"/>
          <w:tab w:val="left" w:pos="284"/>
          <w:tab w:val="left" w:pos="426"/>
        </w:tabs>
        <w:spacing w:before="240" w:after="240" w:line="360" w:lineRule="auto"/>
        <w:ind w:left="0"/>
        <w:jc w:val="both"/>
        <w:rPr>
          <w:rFonts w:ascii="Palatino Linotype" w:hAnsi="Palatino Linotype" w:cs="Arial"/>
        </w:rPr>
      </w:pP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t>“</w:t>
      </w:r>
      <w:r w:rsidRPr="000B0711">
        <w:rPr>
          <w:rFonts w:ascii="Palatino Linotype" w:hAnsi="Palatino Linotype" w:cs="Arial"/>
          <w:b/>
          <w:i/>
        </w:rPr>
        <w:t>Quincuagésimo.</w:t>
      </w:r>
      <w:r w:rsidRPr="000B0711">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b/>
          <w:i/>
        </w:rPr>
        <w:t>Quincuagésimo primero.</w:t>
      </w:r>
      <w:r w:rsidRPr="000B0711">
        <w:rPr>
          <w:rFonts w:ascii="Palatino Linotype" w:hAnsi="Palatino Linotype" w:cs="Arial"/>
          <w:i/>
        </w:rPr>
        <w:t xml:space="preserve"> La leyenda en los documentos clasificados indicará:</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t>I. La fecha de sesión del Comité de Transparencia en donde se confirmó la clasificación, en su caso;</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t>II. El nombre del área;</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t>III. La palabra reservado o confidencial;</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lastRenderedPageBreak/>
        <w:t>IV. Las partes o secciones reservadas o confidenciales, en su caso;</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t>V. El fundamento legal;</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t>VI. El periodo de reserva, y</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t>VII. La rúbrica del titular del área.</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b/>
          <w:i/>
        </w:rPr>
        <w:t>Quincuagésimo segundo.</w:t>
      </w:r>
      <w:r w:rsidRPr="000B0711">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rsidR="00182EB7" w:rsidRPr="000B0711" w:rsidRDefault="00182EB7" w:rsidP="00182EB7">
      <w:pPr>
        <w:pStyle w:val="Prrafodelista"/>
        <w:tabs>
          <w:tab w:val="left" w:pos="142"/>
          <w:tab w:val="left" w:pos="284"/>
          <w:tab w:val="left" w:pos="426"/>
        </w:tabs>
        <w:spacing w:before="240" w:after="240" w:line="276" w:lineRule="auto"/>
        <w:ind w:left="567" w:right="567"/>
        <w:jc w:val="both"/>
        <w:rPr>
          <w:rFonts w:ascii="Palatino Linotype" w:hAnsi="Palatino Linotype" w:cs="Arial"/>
          <w:i/>
        </w:rPr>
      </w:pPr>
      <w:r w:rsidRPr="000B0711">
        <w:rPr>
          <w:rFonts w:ascii="Palatino Linotype" w:hAnsi="Palatino Linotype" w:cs="Arial"/>
          <w:b/>
          <w:i/>
        </w:rPr>
        <w:t>Quincuagésimo tercero.</w:t>
      </w:r>
      <w:r w:rsidRPr="000B0711">
        <w:rPr>
          <w:rFonts w:ascii="Palatino Linotype" w:hAnsi="Palatino Linotype" w:cs="Arial"/>
          <w:i/>
        </w:rPr>
        <w:t xml:space="preserve"> El formato para señalar la clasificación parcial de un documento, es el siguiente:</w:t>
      </w:r>
    </w:p>
    <w:p w:rsidR="00182EB7" w:rsidRPr="000B0711" w:rsidRDefault="00182EB7" w:rsidP="00182EB7">
      <w:pPr>
        <w:pStyle w:val="Prrafodelista"/>
        <w:tabs>
          <w:tab w:val="left" w:pos="142"/>
          <w:tab w:val="left" w:pos="284"/>
          <w:tab w:val="left" w:pos="426"/>
        </w:tabs>
        <w:spacing w:before="240" w:after="240" w:line="360" w:lineRule="auto"/>
        <w:ind w:left="0"/>
        <w:jc w:val="center"/>
        <w:rPr>
          <w:rFonts w:ascii="Palatino Linotype" w:hAnsi="Palatino Linotype" w:cs="Arial"/>
        </w:rPr>
      </w:pPr>
      <w:r w:rsidRPr="000B0711">
        <w:rPr>
          <w:rFonts w:ascii="Palatino Linotype" w:hAnsi="Palatino Linotype" w:cs="Arial"/>
          <w:i/>
          <w:noProof/>
        </w:rPr>
        <w:lastRenderedPageBreak/>
        <w:drawing>
          <wp:inline distT="0" distB="0" distL="0" distR="0" wp14:anchorId="41563F46" wp14:editId="24C63A6C">
            <wp:extent cx="4686300" cy="5353050"/>
            <wp:effectExtent l="57150" t="57150" r="114300" b="11430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86300" cy="535305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82EB7" w:rsidRPr="000B0711" w:rsidRDefault="00182EB7" w:rsidP="00182EB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Una vez hecho lo anterior, se remite la información al Titular de la Unidad de Transparencia, con el acuerdo de clasificación correspondiente, para que sea sometido al conocimiento del Comité de Transparencia.</w:t>
      </w:r>
    </w:p>
    <w:p w:rsidR="00182EB7" w:rsidRPr="000B0711" w:rsidRDefault="00182EB7" w:rsidP="00182EB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182EB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182EB7">
      <w:pPr>
        <w:pStyle w:val="Prrafodelista"/>
        <w:tabs>
          <w:tab w:val="left" w:pos="142"/>
          <w:tab w:val="left" w:pos="284"/>
          <w:tab w:val="left" w:pos="426"/>
        </w:tabs>
        <w:spacing w:before="240" w:after="240" w:line="360" w:lineRule="auto"/>
        <w:ind w:left="0"/>
        <w:jc w:val="both"/>
        <w:outlineLvl w:val="2"/>
        <w:rPr>
          <w:rFonts w:ascii="Palatino Linotype" w:hAnsi="Palatino Linotype" w:cs="Arial"/>
          <w:b/>
          <w:sz w:val="24"/>
        </w:rPr>
      </w:pPr>
      <w:bookmarkStart w:id="39" w:name="_Toc51863317"/>
      <w:bookmarkStart w:id="40" w:name="_Toc52444651"/>
      <w:bookmarkStart w:id="41" w:name="_Toc57154370"/>
      <w:bookmarkStart w:id="42" w:name="_Toc74188156"/>
      <w:bookmarkStart w:id="43" w:name="_Toc82516507"/>
      <w:r w:rsidRPr="000B0711">
        <w:rPr>
          <w:rFonts w:ascii="Palatino Linotype" w:hAnsi="Palatino Linotype" w:cs="Arial"/>
          <w:b/>
          <w:sz w:val="24"/>
        </w:rPr>
        <w:lastRenderedPageBreak/>
        <w:t>III. La intervención del Comité de Transparencia.</w:t>
      </w:r>
      <w:bookmarkEnd w:id="39"/>
      <w:bookmarkEnd w:id="40"/>
      <w:bookmarkEnd w:id="41"/>
      <w:bookmarkEnd w:id="42"/>
      <w:bookmarkEnd w:id="43"/>
    </w:p>
    <w:p w:rsidR="00182EB7" w:rsidRPr="000B0711" w:rsidRDefault="00182EB7" w:rsidP="00182EB7">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182EB7">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0B0711">
        <w:rPr>
          <w:rFonts w:ascii="Palatino Linotype" w:hAnsi="Palatino Linotype" w:cs="Arial"/>
          <w:b/>
          <w:sz w:val="24"/>
        </w:rPr>
        <w:t>a) Formalidades para emitir el Acuerdo de Clasificación.</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0B0711">
        <w:rPr>
          <w:rFonts w:ascii="Palatino Linotype" w:eastAsia="MS Gothic" w:hAnsi="Palatino Linotype"/>
          <w:b/>
          <w:sz w:val="24"/>
          <w:szCs w:val="26"/>
          <w:u w:val="single"/>
        </w:rPr>
        <w:t>confirmar, modificar o revocar</w:t>
      </w:r>
      <w:r w:rsidRPr="000B0711">
        <w:rPr>
          <w:rFonts w:ascii="Palatino Linotype" w:eastAsia="MS Gothic" w:hAnsi="Palatino Linotype"/>
          <w:sz w:val="24"/>
          <w:szCs w:val="26"/>
        </w:rPr>
        <w:t xml:space="preserve"> la clasificación de la información que ha hecho el titular del área que administra la información. Por lo tanto, el Comité </w:t>
      </w:r>
      <w:r w:rsidRPr="000B0711">
        <w:rPr>
          <w:rFonts w:ascii="Palatino Linotype" w:eastAsia="MS Gothic" w:hAnsi="Palatino Linotype"/>
          <w:b/>
          <w:sz w:val="24"/>
          <w:szCs w:val="26"/>
          <w:u w:val="single"/>
        </w:rPr>
        <w:t>no aprueba</w:t>
      </w:r>
      <w:r w:rsidRPr="000B0711">
        <w:rPr>
          <w:rFonts w:ascii="Palatino Linotype" w:eastAsia="MS Gothic" w:hAnsi="Palatino Linotype"/>
          <w:sz w:val="24"/>
          <w:szCs w:val="26"/>
        </w:rPr>
        <w:t xml:space="preserve"> la clasificación, sino que revisa lo que ha hecho el titular del área y confirma, modifica o revoca la decisión a través de un acuerdo.</w:t>
      </w:r>
    </w:p>
    <w:p w:rsidR="00182EB7" w:rsidRPr="000B0711" w:rsidRDefault="00182EB7" w:rsidP="0071546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 xml:space="preserve">Evidentemente, esta decisión implica una restricción a un derecho humano, por lo tanto, puede generar un agravio al particular y, en consecuencia, es necesario que </w:t>
      </w:r>
      <w:r w:rsidRPr="000B0711">
        <w:rPr>
          <w:rFonts w:ascii="Palatino Linotype" w:eastAsia="MS Gothic" w:hAnsi="Palatino Linotype"/>
          <w:b/>
          <w:sz w:val="24"/>
          <w:szCs w:val="26"/>
          <w:u w:val="single"/>
        </w:rPr>
        <w:t>el acto reúna con los requisitos elementales</w:t>
      </w:r>
      <w:r w:rsidRPr="000B0711">
        <w:rPr>
          <w:rFonts w:ascii="Palatino Linotype" w:eastAsia="MS Gothic" w:hAnsi="Palatino Linotype"/>
          <w:sz w:val="24"/>
          <w:szCs w:val="26"/>
        </w:rPr>
        <w:t xml:space="preserve">,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w:t>
      </w:r>
      <w:r w:rsidRPr="000B0711">
        <w:rPr>
          <w:rFonts w:ascii="Palatino Linotype" w:eastAsia="MS Gothic" w:hAnsi="Palatino Linotype"/>
          <w:sz w:val="24"/>
          <w:szCs w:val="26"/>
        </w:rPr>
        <w:lastRenderedPageBreak/>
        <w:t>puede generar vicios de legalidad de origen en el acto que restringe un derecho humano.</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b/>
          <w:sz w:val="24"/>
        </w:rPr>
      </w:pPr>
      <w:r w:rsidRPr="000B0711">
        <w:rPr>
          <w:rFonts w:ascii="Palatino Linotype" w:hAnsi="Palatino Linotype" w:cs="Arial"/>
          <w:b/>
          <w:sz w:val="24"/>
        </w:rPr>
        <w:t>b) Requisitos de fondo del Acuerdo de Clasificación.</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rsidR="00182EB7" w:rsidRPr="000B0711" w:rsidRDefault="00182EB7" w:rsidP="00715461">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 xml:space="preserve">De lo anterior, se desprende que para una correcta clasificación total o parcial, esto es determinar los datos que se suprimen en las versiones públicas, es necesario fundar </w:t>
      </w:r>
      <w:r w:rsidRPr="000B0711">
        <w:rPr>
          <w:rFonts w:ascii="Palatino Linotype" w:eastAsia="MS Gothic" w:hAnsi="Palatino Linotype"/>
          <w:sz w:val="24"/>
          <w:szCs w:val="26"/>
        </w:rPr>
        <w:lastRenderedPageBreak/>
        <w:t>y motivar, de manera correcta, la clasificación; considerando que todo acto que la autoridad pronuncie en el ejercicio de sus atribuciones, debe expresar los fundamentos legales que le dieron origen y las razones por las que se deben aplicar al caso concreto.</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szCs w:val="26"/>
        </w:rPr>
        <w:t>Han sido vastos los estudios doctrinarios relativos a estos derechos fundamentales y al principio de legalidad en ellos contenidos; como ejemplo, el procesalista José Ovalle Fabela, en su obra “Garantías Constitucionales del Proceso”, refiere que “...</w:t>
      </w:r>
      <w:r w:rsidRPr="000B0711">
        <w:rPr>
          <w:rFonts w:ascii="Palatino Linotype" w:eastAsia="MS Gothic" w:hAnsi="Palatino Linotype"/>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B0711">
        <w:rPr>
          <w:rFonts w:ascii="Palatino Linotype" w:eastAsia="MS Gothic" w:hAnsi="Palatino Linotype"/>
          <w:sz w:val="24"/>
          <w:szCs w:val="26"/>
        </w:rPr>
        <w:t>....”</w:t>
      </w:r>
      <w:r w:rsidRPr="000B0711">
        <w:rPr>
          <w:rFonts w:ascii="Palatino Linotype" w:eastAsia="MS Gothic" w:hAnsi="Palatino Linotype"/>
          <w:sz w:val="24"/>
          <w:szCs w:val="26"/>
          <w:vertAlign w:val="superscript"/>
        </w:rPr>
        <w:footnoteReference w:id="8"/>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15461">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hAnsi="Palatino Linotype" w:cs="Arial"/>
          <w:sz w:val="24"/>
        </w:rPr>
        <w:t>Por su parte, el intérprete judicial del país ha establecido una jurisprudencia respecto a qué debe entenderse por fundamentación y motivación, en los siguientes términos:</w:t>
      </w:r>
    </w:p>
    <w:p w:rsidR="00182EB7" w:rsidRPr="000B0711" w:rsidRDefault="00182EB7" w:rsidP="00182EB7">
      <w:pPr>
        <w:pStyle w:val="Prrafodelista"/>
        <w:tabs>
          <w:tab w:val="left" w:pos="142"/>
          <w:tab w:val="left" w:pos="284"/>
          <w:tab w:val="left" w:pos="426"/>
        </w:tabs>
        <w:spacing w:before="240" w:line="360" w:lineRule="auto"/>
        <w:ind w:left="0"/>
        <w:jc w:val="both"/>
        <w:rPr>
          <w:rFonts w:ascii="Palatino Linotype" w:hAnsi="Palatino Linotype" w:cs="Arial"/>
        </w:rPr>
      </w:pPr>
    </w:p>
    <w:p w:rsidR="00182EB7" w:rsidRPr="00703149" w:rsidRDefault="00182EB7" w:rsidP="00182EB7">
      <w:pPr>
        <w:spacing w:line="276" w:lineRule="auto"/>
        <w:ind w:left="851" w:right="618"/>
        <w:contextualSpacing/>
        <w:jc w:val="both"/>
        <w:rPr>
          <w:rFonts w:ascii="Palatino Linotype" w:hAnsi="Palatino Linotype" w:cs="Arial"/>
          <w:i/>
          <w:color w:val="000000"/>
          <w:sz w:val="22"/>
        </w:rPr>
      </w:pPr>
      <w:r w:rsidRPr="00703149">
        <w:rPr>
          <w:rFonts w:ascii="Palatino Linotype" w:hAnsi="Palatino Linotype" w:cs="Arial"/>
          <w:b/>
          <w:i/>
          <w:color w:val="000000"/>
          <w:sz w:val="22"/>
        </w:rPr>
        <w:t>FUNDAMENTACIÓN Y MOTIVACIÓN.</w:t>
      </w:r>
      <w:r w:rsidRPr="00703149">
        <w:rPr>
          <w:rFonts w:ascii="Palatino Linotype" w:hAnsi="Palatino Linotype" w:cs="Arial"/>
          <w:i/>
          <w:color w:val="000000"/>
          <w:sz w:val="22"/>
        </w:rPr>
        <w:t xml:space="preserve"> “La </w:t>
      </w:r>
      <w:r w:rsidRPr="00703149">
        <w:rPr>
          <w:rFonts w:ascii="Palatino Linotype" w:hAnsi="Palatino Linotype" w:cs="Arial"/>
          <w:i/>
          <w:color w:val="000000"/>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703149">
        <w:rPr>
          <w:rFonts w:ascii="Palatino Linotype" w:hAnsi="Palatino Linotype" w:cs="Arial"/>
          <w:i/>
          <w:color w:val="000000"/>
          <w:sz w:val="22"/>
        </w:rPr>
        <w:t>.”</w:t>
      </w:r>
    </w:p>
    <w:p w:rsidR="00182EB7" w:rsidRPr="00703149" w:rsidRDefault="00182EB7" w:rsidP="00182EB7">
      <w:pPr>
        <w:spacing w:line="360" w:lineRule="auto"/>
        <w:ind w:left="851" w:right="618"/>
        <w:contextualSpacing/>
        <w:jc w:val="both"/>
        <w:rPr>
          <w:rFonts w:ascii="Palatino Linotype" w:hAnsi="Palatino Linotype" w:cs="Arial"/>
          <w:i/>
          <w:color w:val="000000"/>
          <w:sz w:val="22"/>
        </w:rPr>
      </w:pPr>
      <w:r w:rsidRPr="00703149">
        <w:rPr>
          <w:rFonts w:ascii="Palatino Linotype" w:hAnsi="Palatino Linotype" w:cs="Arial"/>
          <w:i/>
          <w:color w:val="000000"/>
          <w:sz w:val="22"/>
        </w:rPr>
        <w:lastRenderedPageBreak/>
        <w:t>SEGUNDO TRIBUNAL COLEGIADO DEL SEXTO CIRCUITO.</w:t>
      </w:r>
    </w:p>
    <w:p w:rsidR="00182EB7" w:rsidRPr="00703149" w:rsidRDefault="00182EB7" w:rsidP="00182EB7">
      <w:pPr>
        <w:spacing w:line="360" w:lineRule="auto"/>
        <w:ind w:left="851" w:right="618"/>
        <w:contextualSpacing/>
        <w:jc w:val="both"/>
        <w:rPr>
          <w:rFonts w:ascii="Palatino Linotype" w:hAnsi="Palatino Linotype" w:cs="Arial"/>
          <w:i/>
          <w:color w:val="000000"/>
          <w:sz w:val="22"/>
        </w:rPr>
      </w:pPr>
      <w:r w:rsidRPr="00703149">
        <w:rPr>
          <w:rFonts w:ascii="Palatino Linotype" w:hAnsi="Palatino Linotype" w:cs="Arial"/>
          <w:i/>
          <w:color w:val="000000"/>
          <w:sz w:val="22"/>
        </w:rPr>
        <w:t>Amparo directo 194/88. Bufete Industrial Construcciones, S.A. de C.V. 28 de junio de 1988. Unanimidad de votos. Ponente: Gustavo Calvillo Rangel. Secretario: Jorge Alberto González Álvarez.</w:t>
      </w:r>
    </w:p>
    <w:p w:rsidR="00182EB7" w:rsidRPr="00703149" w:rsidRDefault="00182EB7" w:rsidP="00182EB7">
      <w:pPr>
        <w:spacing w:line="360" w:lineRule="auto"/>
        <w:ind w:left="851" w:right="618"/>
        <w:contextualSpacing/>
        <w:jc w:val="both"/>
        <w:rPr>
          <w:rFonts w:ascii="Palatino Linotype" w:hAnsi="Palatino Linotype" w:cs="Arial"/>
          <w:i/>
          <w:color w:val="000000"/>
          <w:sz w:val="22"/>
        </w:rPr>
      </w:pPr>
      <w:r w:rsidRPr="00703149">
        <w:rPr>
          <w:rFonts w:ascii="Palatino Linotype" w:hAnsi="Palatino Linotype" w:cs="Arial"/>
          <w:i/>
          <w:color w:val="000000"/>
          <w:sz w:val="22"/>
        </w:rPr>
        <w:t>Revisión fiscal 103/88. Instituto Mexicano del Seguro Social. 18 de octubre de 1988. Unanimidad de votos. Ponente: Arnoldo Nájera Virgen. Secretario: Alejandro Esponda Rincón.</w:t>
      </w:r>
    </w:p>
    <w:p w:rsidR="00182EB7" w:rsidRPr="00703149" w:rsidRDefault="00182EB7" w:rsidP="00182EB7">
      <w:pPr>
        <w:spacing w:line="360" w:lineRule="auto"/>
        <w:ind w:left="851" w:right="618"/>
        <w:contextualSpacing/>
        <w:jc w:val="both"/>
        <w:rPr>
          <w:rFonts w:ascii="Palatino Linotype" w:hAnsi="Palatino Linotype" w:cs="Arial"/>
          <w:i/>
          <w:color w:val="000000"/>
          <w:sz w:val="22"/>
        </w:rPr>
      </w:pPr>
      <w:r w:rsidRPr="00703149">
        <w:rPr>
          <w:rFonts w:ascii="Palatino Linotype" w:hAnsi="Palatino Linotype" w:cs="Arial"/>
          <w:i/>
          <w:color w:val="000000"/>
          <w:sz w:val="22"/>
        </w:rPr>
        <w:t>Amparo en revisión 333/88. Adilia Romero. 26 de octubre de 1988. Unanimidad de votos. Ponente: Arnoldo Nájera Virgen. Secretario: Enrique Crispín Campos Ramírez.</w:t>
      </w:r>
    </w:p>
    <w:p w:rsidR="00182EB7" w:rsidRPr="00703149" w:rsidRDefault="00182EB7" w:rsidP="00182EB7">
      <w:pPr>
        <w:spacing w:line="360" w:lineRule="auto"/>
        <w:ind w:left="851" w:right="618"/>
        <w:contextualSpacing/>
        <w:jc w:val="both"/>
        <w:rPr>
          <w:rFonts w:ascii="Palatino Linotype" w:hAnsi="Palatino Linotype" w:cs="Arial"/>
          <w:i/>
          <w:color w:val="000000"/>
          <w:sz w:val="22"/>
        </w:rPr>
      </w:pPr>
      <w:r w:rsidRPr="00703149">
        <w:rPr>
          <w:rFonts w:ascii="Palatino Linotype" w:hAnsi="Palatino Linotype" w:cs="Arial"/>
          <w:i/>
          <w:color w:val="000000"/>
          <w:sz w:val="22"/>
        </w:rPr>
        <w:t>Amparo en revisión 597/95. Emilio Maurer Bretón. 15 de noviembre de 1995. Unanimidad de votos. Ponente: Clementina Ramírez Moguel Goyzueta. Secretario: Gonzalo Carrera Molina.</w:t>
      </w:r>
    </w:p>
    <w:p w:rsidR="00182EB7" w:rsidRPr="00703149" w:rsidRDefault="00182EB7" w:rsidP="00182EB7">
      <w:pPr>
        <w:spacing w:line="360" w:lineRule="auto"/>
        <w:ind w:left="851" w:right="618"/>
        <w:contextualSpacing/>
        <w:jc w:val="both"/>
        <w:rPr>
          <w:rFonts w:ascii="Palatino Linotype" w:hAnsi="Palatino Linotype" w:cs="Arial"/>
          <w:i/>
          <w:color w:val="000000"/>
          <w:sz w:val="22"/>
        </w:rPr>
      </w:pPr>
      <w:r w:rsidRPr="00703149">
        <w:rPr>
          <w:rFonts w:ascii="Palatino Linotype" w:hAnsi="Palatino Linotype" w:cs="Arial"/>
          <w:i/>
          <w:color w:val="000000"/>
          <w:sz w:val="22"/>
        </w:rPr>
        <w:t>Amparo directo 7/96. Pedro Vicente López Miro. 21 de febrero de 1996. Unanimidad de votos. Ponente: María Eugenia Estela Martínez Cardiel. Secretario: Enrique Baigts Muñoz.</w:t>
      </w: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82EB7" w:rsidRPr="000B0711"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rPr>
        <w:t>En ese mismo sentido, el numeral trigésimo tercero fracción V de los Lineamientos Generales, precisa que para motivar la clasificación se deben acreditar las circunstancias de tiempo, modo y lugar.</w:t>
      </w:r>
    </w:p>
    <w:p w:rsidR="00182EB7" w:rsidRPr="000B0711" w:rsidRDefault="00182EB7" w:rsidP="00703149">
      <w:pPr>
        <w:pStyle w:val="Prrafodelista"/>
        <w:tabs>
          <w:tab w:val="left" w:pos="142"/>
          <w:tab w:val="left" w:pos="284"/>
          <w:tab w:val="left" w:pos="426"/>
        </w:tabs>
        <w:spacing w:before="240" w:after="240" w:line="360" w:lineRule="auto"/>
        <w:ind w:left="0"/>
        <w:jc w:val="both"/>
        <w:rPr>
          <w:rFonts w:ascii="Palatino Linotype" w:hAnsi="Palatino Linotype" w:cs="Arial"/>
          <w:sz w:val="24"/>
        </w:rPr>
      </w:pPr>
    </w:p>
    <w:p w:rsidR="001245BD" w:rsidRPr="00182EB7" w:rsidRDefault="00182EB7" w:rsidP="00703149">
      <w:pPr>
        <w:pStyle w:val="Prrafodelista"/>
        <w:numPr>
          <w:ilvl w:val="0"/>
          <w:numId w:val="1"/>
        </w:numPr>
        <w:tabs>
          <w:tab w:val="left" w:pos="142"/>
          <w:tab w:val="left" w:pos="284"/>
          <w:tab w:val="left" w:pos="426"/>
        </w:tabs>
        <w:spacing w:before="240" w:after="240" w:line="360" w:lineRule="auto"/>
        <w:ind w:left="0" w:firstLine="0"/>
        <w:jc w:val="both"/>
        <w:rPr>
          <w:rFonts w:ascii="Palatino Linotype" w:hAnsi="Palatino Linotype" w:cs="Arial"/>
          <w:sz w:val="24"/>
        </w:rPr>
      </w:pPr>
      <w:r w:rsidRPr="000B0711">
        <w:rPr>
          <w:rFonts w:ascii="Palatino Linotype" w:eastAsia="MS Gothic" w:hAnsi="Palatino Linotype"/>
          <w:sz w:val="24"/>
        </w:rPr>
        <w:t xml:space="preserve">Otro </w:t>
      </w:r>
      <w:r w:rsidRPr="000B0711">
        <w:rPr>
          <w:rFonts w:ascii="Palatino Linotype" w:eastAsia="MS Gothic" w:hAnsi="Palatino Linotype"/>
          <w:sz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703149" w:rsidRPr="00703149" w:rsidRDefault="009208F7" w:rsidP="00703149">
      <w:pPr>
        <w:pStyle w:val="Sinespaciado"/>
        <w:numPr>
          <w:ilvl w:val="0"/>
          <w:numId w:val="1"/>
        </w:numPr>
        <w:spacing w:line="360" w:lineRule="auto"/>
        <w:ind w:left="0" w:firstLine="0"/>
        <w:contextualSpacing/>
        <w:jc w:val="both"/>
        <w:rPr>
          <w:rFonts w:ascii="Palatino Linotype" w:eastAsia="Calibri" w:hAnsi="Palatino Linotype"/>
        </w:rPr>
      </w:pPr>
      <w:r w:rsidRPr="009C4242">
        <w:rPr>
          <w:rFonts w:ascii="Palatino Linotype" w:eastAsiaTheme="minorEastAsia" w:hAnsi="Palatino Linotype"/>
          <w:sz w:val="24"/>
          <w:szCs w:val="24"/>
          <w:lang w:val="es-ES_tradnl" w:eastAsia="es-ES"/>
        </w:rPr>
        <w:t xml:space="preserve">Este Órgano Garante determina </w:t>
      </w:r>
      <w:bookmarkEnd w:id="26"/>
      <w:r w:rsidRPr="009C4242">
        <w:rPr>
          <w:rFonts w:ascii="Palatino Linotype" w:eastAsiaTheme="minorEastAsia" w:hAnsi="Palatino Linotype"/>
          <w:sz w:val="24"/>
          <w:szCs w:val="24"/>
          <w:lang w:val="es-ES_tradnl" w:eastAsia="es-ES"/>
        </w:rPr>
        <w:t xml:space="preserve">que la información entregada en respuesta,  colma de forma parcial el derecho de acceso a la información pública, </w:t>
      </w:r>
      <w:bookmarkStart w:id="44" w:name="_Toc69765094"/>
      <w:bookmarkStart w:id="45" w:name="_Toc72934787"/>
      <w:r w:rsidRPr="009C4242">
        <w:rPr>
          <w:rFonts w:ascii="Palatino Linotype" w:eastAsia="MS Gothic" w:hAnsi="Palatino Linotype" w:cstheme="majorBidi"/>
          <w:bCs/>
          <w:sz w:val="24"/>
          <w:szCs w:val="24"/>
        </w:rPr>
        <w:t>e</w:t>
      </w:r>
      <w:r w:rsidRPr="009C4242">
        <w:rPr>
          <w:rFonts w:ascii="Palatino Linotype" w:eastAsia="MS Gothic" w:hAnsi="Palatino Linotype" w:cstheme="majorBidi"/>
          <w:sz w:val="24"/>
          <w:szCs w:val="24"/>
        </w:rPr>
        <w:t xml:space="preserve">n ese sentido, los motivos de inconformidad hechos vales por el RECURRENTE, en el recurso de revisión, resultan fundados, por lo cual, con fundamento en el artículo 186, fracción III de la Ley de Transparencia y Acceso a la Información Pública del Estado de México y Municipios, se determina </w:t>
      </w:r>
      <w:r w:rsidRPr="009C4242">
        <w:rPr>
          <w:rFonts w:ascii="Palatino Linotype" w:eastAsia="MS Gothic" w:hAnsi="Palatino Linotype" w:cstheme="majorBidi"/>
          <w:b/>
          <w:sz w:val="24"/>
          <w:szCs w:val="24"/>
        </w:rPr>
        <w:t>MODIFICAR</w:t>
      </w:r>
      <w:r w:rsidRPr="009C4242">
        <w:rPr>
          <w:rFonts w:ascii="Palatino Linotype" w:eastAsia="MS Gothic" w:hAnsi="Palatino Linotype" w:cstheme="majorBidi"/>
          <w:sz w:val="24"/>
          <w:szCs w:val="24"/>
        </w:rPr>
        <w:t xml:space="preserve"> la respuesta</w:t>
      </w:r>
      <w:bookmarkEnd w:id="44"/>
      <w:bookmarkEnd w:id="45"/>
      <w:r w:rsidRPr="009C4242">
        <w:rPr>
          <w:rFonts w:ascii="Palatino Linotype" w:eastAsia="MS Gothic" w:hAnsi="Palatino Linotype" w:cstheme="majorBidi"/>
          <w:sz w:val="24"/>
          <w:szCs w:val="24"/>
        </w:rPr>
        <w:t xml:space="preserve"> y se ordena al Suj</w:t>
      </w:r>
      <w:r w:rsidR="009C4242">
        <w:rPr>
          <w:rFonts w:ascii="Palatino Linotype" w:eastAsia="MS Gothic" w:hAnsi="Palatino Linotype" w:cstheme="majorBidi"/>
          <w:sz w:val="24"/>
          <w:szCs w:val="24"/>
        </w:rPr>
        <w:t xml:space="preserve">eto Obligado la entrega, </w:t>
      </w:r>
      <w:r w:rsidR="00470B6D">
        <w:rPr>
          <w:rFonts w:ascii="Palatino Linotype" w:eastAsia="MS Gothic" w:hAnsi="Palatino Linotype" w:cstheme="majorBidi"/>
          <w:sz w:val="24"/>
          <w:szCs w:val="24"/>
        </w:rPr>
        <w:t xml:space="preserve">de ser procedente en versión pública, </w:t>
      </w:r>
      <w:r w:rsidR="009C4242">
        <w:rPr>
          <w:rFonts w:ascii="Palatino Linotype" w:eastAsia="MS Gothic" w:hAnsi="Palatino Linotype" w:cstheme="majorBidi"/>
          <w:sz w:val="24"/>
          <w:szCs w:val="24"/>
        </w:rPr>
        <w:t xml:space="preserve">del monto liberado del </w:t>
      </w:r>
      <w:r w:rsidR="009C4242">
        <w:rPr>
          <w:rFonts w:ascii="Palatino Linotype" w:hAnsi="Palatino Linotype"/>
          <w:iCs/>
          <w:color w:val="000000"/>
          <w:sz w:val="24"/>
        </w:rPr>
        <w:t xml:space="preserve">Fondo de Aportaciones para el Fortalecimiento de los Municipios y de las Demarcaciones Territoriales del Distrito Federal, de los Municipios que conforman el Estado de México, del ejercicio fiscal dos mil diecinueve y dos mil veinte. </w:t>
      </w:r>
    </w:p>
    <w:p w:rsidR="00703149" w:rsidRPr="00703149" w:rsidRDefault="00703149" w:rsidP="00703149">
      <w:pPr>
        <w:pStyle w:val="Sinespaciado"/>
        <w:spacing w:line="360" w:lineRule="auto"/>
        <w:contextualSpacing/>
        <w:jc w:val="both"/>
        <w:rPr>
          <w:rFonts w:ascii="Palatino Linotype" w:eastAsia="Calibri" w:hAnsi="Palatino Linotype"/>
        </w:rPr>
      </w:pPr>
    </w:p>
    <w:p w:rsidR="00702614" w:rsidRPr="00703149" w:rsidRDefault="00702614" w:rsidP="00703149">
      <w:pPr>
        <w:pStyle w:val="Sinespaciado"/>
        <w:numPr>
          <w:ilvl w:val="0"/>
          <w:numId w:val="1"/>
        </w:numPr>
        <w:spacing w:line="360" w:lineRule="auto"/>
        <w:ind w:left="0" w:firstLine="0"/>
        <w:contextualSpacing/>
        <w:jc w:val="both"/>
        <w:rPr>
          <w:rFonts w:ascii="Palatino Linotype" w:eastAsia="Calibri" w:hAnsi="Palatino Linotype"/>
          <w:sz w:val="24"/>
        </w:rPr>
      </w:pPr>
      <w:r w:rsidRPr="00703149">
        <w:rPr>
          <w:rFonts w:ascii="Palatino Linotype" w:eastAsia="Calibri" w:hAnsi="Palatino Linotype"/>
          <w:sz w:val="24"/>
        </w:rPr>
        <w:t xml:space="preserve">Por lo anteriormente expuesto y fundado, este </w:t>
      </w:r>
      <w:r w:rsidRPr="00703149">
        <w:rPr>
          <w:rFonts w:ascii="Palatino Linotype" w:eastAsia="Calibri" w:hAnsi="Palatino Linotype"/>
          <w:b/>
          <w:bCs/>
          <w:sz w:val="24"/>
        </w:rPr>
        <w:t>ÓRGANO GARANTE</w:t>
      </w:r>
      <w:r w:rsidRPr="00703149">
        <w:rPr>
          <w:rFonts w:ascii="Palatino Linotype" w:eastAsia="Calibri" w:hAnsi="Palatino Linotype"/>
          <w:sz w:val="24"/>
        </w:rPr>
        <w:t xml:space="preserve"> emite los siguientes:</w:t>
      </w:r>
    </w:p>
    <w:p w:rsidR="00702614" w:rsidRPr="009C585A" w:rsidRDefault="00702614" w:rsidP="00702614">
      <w:pPr>
        <w:spacing w:line="360" w:lineRule="auto"/>
        <w:contextualSpacing/>
        <w:jc w:val="both"/>
        <w:rPr>
          <w:rFonts w:ascii="Palatino Linotype" w:eastAsia="Calibri" w:hAnsi="Palatino Linotype"/>
        </w:rPr>
      </w:pPr>
    </w:p>
    <w:p w:rsidR="00702614" w:rsidRPr="009C585A" w:rsidRDefault="00702614" w:rsidP="00702614">
      <w:pPr>
        <w:keepNext/>
        <w:keepLines/>
        <w:spacing w:line="360" w:lineRule="auto"/>
        <w:jc w:val="center"/>
        <w:outlineLvl w:val="0"/>
        <w:rPr>
          <w:rFonts w:ascii="Palatino Linotype" w:eastAsiaTheme="majorEastAsia" w:hAnsi="Palatino Linotype" w:cstheme="majorBidi"/>
          <w:b/>
          <w:color w:val="000000" w:themeColor="text1"/>
          <w:lang w:eastAsia="en-US"/>
        </w:rPr>
      </w:pPr>
      <w:bookmarkStart w:id="46" w:name="_Toc528153792"/>
      <w:bookmarkStart w:id="47" w:name="_Toc71158406"/>
      <w:bookmarkStart w:id="48" w:name="_Toc82516508"/>
      <w:r w:rsidRPr="009C585A">
        <w:rPr>
          <w:rFonts w:ascii="Palatino Linotype" w:eastAsiaTheme="majorEastAsia" w:hAnsi="Palatino Linotype" w:cstheme="majorBidi"/>
          <w:b/>
          <w:color w:val="000000" w:themeColor="text1"/>
          <w:lang w:eastAsia="en-US"/>
        </w:rPr>
        <w:lastRenderedPageBreak/>
        <w:t>R E S O L U T I V O S</w:t>
      </w:r>
      <w:bookmarkEnd w:id="46"/>
      <w:bookmarkEnd w:id="47"/>
      <w:bookmarkEnd w:id="48"/>
    </w:p>
    <w:p w:rsidR="00702614" w:rsidRPr="009C585A" w:rsidRDefault="00702614" w:rsidP="00702614">
      <w:pPr>
        <w:keepNext/>
        <w:keepLines/>
        <w:spacing w:line="360" w:lineRule="auto"/>
        <w:jc w:val="center"/>
        <w:outlineLvl w:val="0"/>
        <w:rPr>
          <w:rFonts w:ascii="Palatino Linotype" w:eastAsiaTheme="majorEastAsia" w:hAnsi="Palatino Linotype" w:cstheme="majorBidi"/>
          <w:b/>
          <w:color w:val="000000" w:themeColor="text1"/>
          <w:lang w:eastAsia="en-US"/>
        </w:rPr>
      </w:pPr>
    </w:p>
    <w:bookmarkEnd w:id="8"/>
    <w:bookmarkEnd w:id="9"/>
    <w:bookmarkEnd w:id="10"/>
    <w:p w:rsidR="009B7C41" w:rsidRPr="000B0711" w:rsidRDefault="009B7C41" w:rsidP="009B7C41">
      <w:pPr>
        <w:spacing w:line="360" w:lineRule="auto"/>
        <w:ind w:right="48"/>
        <w:jc w:val="both"/>
        <w:rPr>
          <w:rFonts w:ascii="Palatino Linotype" w:hAnsi="Palatino Linotype" w:cs="Arial"/>
          <w:bCs/>
        </w:rPr>
      </w:pPr>
      <w:r w:rsidRPr="000B0711">
        <w:rPr>
          <w:rFonts w:ascii="Palatino Linotype" w:hAnsi="Palatino Linotype" w:cs="Arial"/>
          <w:b/>
        </w:rPr>
        <w:t xml:space="preserve">PRIMERO. </w:t>
      </w:r>
      <w:r w:rsidRPr="000B0711">
        <w:rPr>
          <w:rFonts w:ascii="Palatino Linotype" w:hAnsi="Palatino Linotype" w:cs="Arial"/>
        </w:rPr>
        <w:t>Resultan fundadas las</w:t>
      </w:r>
      <w:r w:rsidRPr="000B0711">
        <w:rPr>
          <w:rFonts w:ascii="Palatino Linotype" w:hAnsi="Palatino Linotype" w:cs="Arial"/>
          <w:b/>
        </w:rPr>
        <w:t xml:space="preserve"> </w:t>
      </w:r>
      <w:r w:rsidRPr="000B0711">
        <w:rPr>
          <w:rFonts w:ascii="Palatino Linotype" w:hAnsi="Palatino Linotype" w:cs="Arial"/>
          <w:lang w:val="es-ES"/>
        </w:rPr>
        <w:t xml:space="preserve">razones o motivos de inconformidad hechos valer </w:t>
      </w:r>
      <w:r w:rsidRPr="000B0711">
        <w:rPr>
          <w:rFonts w:ascii="Palatino Linotype" w:eastAsia="Calibri" w:hAnsi="Palatino Linotype" w:cs="Arial"/>
          <w:lang w:val="es-ES"/>
        </w:rPr>
        <w:t xml:space="preserve">en el recurso de revisión </w:t>
      </w:r>
      <w:r>
        <w:rPr>
          <w:rFonts w:ascii="Palatino Linotype" w:hAnsi="Palatino Linotype" w:cs="Arial"/>
          <w:b/>
          <w:bCs/>
        </w:rPr>
        <w:t>03648</w:t>
      </w:r>
      <w:r w:rsidRPr="000B0711">
        <w:rPr>
          <w:rFonts w:ascii="Palatino Linotype" w:hAnsi="Palatino Linotype" w:cs="Arial"/>
          <w:b/>
          <w:bCs/>
        </w:rPr>
        <w:t xml:space="preserve">/INFOEM/IP/RR/2021, </w:t>
      </w:r>
      <w:r w:rsidRPr="000B0711">
        <w:rPr>
          <w:rFonts w:ascii="Palatino Linotype" w:hAnsi="Palatino Linotype" w:cs="Arial"/>
          <w:bCs/>
        </w:rPr>
        <w:t xml:space="preserve">en términos del </w:t>
      </w:r>
      <w:r w:rsidRPr="000B0711">
        <w:rPr>
          <w:rFonts w:ascii="Palatino Linotype" w:hAnsi="Palatino Linotype" w:cs="Arial"/>
          <w:b/>
          <w:bCs/>
        </w:rPr>
        <w:t>Considerando</w:t>
      </w:r>
      <w:r w:rsidRPr="000B0711">
        <w:rPr>
          <w:rFonts w:ascii="Palatino Linotype" w:hAnsi="Palatino Linotype" w:cs="Arial"/>
          <w:bCs/>
        </w:rPr>
        <w:t xml:space="preserve"> </w:t>
      </w:r>
      <w:r>
        <w:rPr>
          <w:rFonts w:ascii="Palatino Linotype" w:hAnsi="Palatino Linotype" w:cs="Arial"/>
          <w:b/>
          <w:bCs/>
        </w:rPr>
        <w:t>CUARTO</w:t>
      </w:r>
      <w:r w:rsidRPr="000B0711">
        <w:rPr>
          <w:rFonts w:ascii="Palatino Linotype" w:hAnsi="Palatino Linotype" w:cs="Arial"/>
          <w:b/>
          <w:bCs/>
        </w:rPr>
        <w:t xml:space="preserve">   </w:t>
      </w:r>
      <w:r w:rsidRPr="000B0711">
        <w:rPr>
          <w:rFonts w:ascii="Palatino Linotype" w:hAnsi="Palatino Linotype" w:cs="Arial"/>
          <w:bCs/>
        </w:rPr>
        <w:t>de la presente resolución.</w:t>
      </w:r>
    </w:p>
    <w:p w:rsidR="009B7C41" w:rsidRPr="000B0711" w:rsidRDefault="009B7C41" w:rsidP="009B7C41">
      <w:pPr>
        <w:spacing w:line="360" w:lineRule="auto"/>
        <w:ind w:right="48"/>
        <w:jc w:val="both"/>
        <w:rPr>
          <w:rFonts w:ascii="Palatino Linotype" w:hAnsi="Palatino Linotype" w:cs="Arial"/>
          <w:bCs/>
        </w:rPr>
      </w:pPr>
    </w:p>
    <w:p w:rsidR="009B7C41" w:rsidRPr="000B0711" w:rsidRDefault="009B7C41" w:rsidP="009B7C41">
      <w:pPr>
        <w:spacing w:line="360" w:lineRule="auto"/>
        <w:ind w:right="48"/>
        <w:jc w:val="both"/>
        <w:rPr>
          <w:rFonts w:ascii="Palatino Linotype" w:hAnsi="Palatino Linotype" w:cs="Arial"/>
          <w:bCs/>
        </w:rPr>
      </w:pPr>
      <w:bookmarkStart w:id="49" w:name="_Toc477891768"/>
      <w:bookmarkStart w:id="50" w:name="_Toc477891858"/>
      <w:bookmarkStart w:id="51" w:name="_Toc481576259"/>
      <w:bookmarkStart w:id="52" w:name="_Toc492590391"/>
      <w:bookmarkStart w:id="53" w:name="_Toc462653937"/>
      <w:bookmarkStart w:id="54" w:name="_Toc453696502"/>
      <w:bookmarkStart w:id="55" w:name="_Toc454301155"/>
      <w:r w:rsidRPr="000B0711">
        <w:rPr>
          <w:rFonts w:ascii="Palatino Linotype" w:hAnsi="Palatino Linotype"/>
          <w:b/>
        </w:rPr>
        <w:t>SEGUNDO.</w:t>
      </w:r>
      <w:r w:rsidRPr="000B0711">
        <w:rPr>
          <w:rStyle w:val="Ttulo2Car"/>
          <w:sz w:val="28"/>
        </w:rPr>
        <w:t xml:space="preserve"> </w:t>
      </w:r>
      <w:bookmarkEnd w:id="49"/>
      <w:bookmarkEnd w:id="50"/>
      <w:bookmarkEnd w:id="51"/>
      <w:bookmarkEnd w:id="52"/>
      <w:bookmarkEnd w:id="53"/>
      <w:bookmarkEnd w:id="54"/>
      <w:bookmarkEnd w:id="55"/>
      <w:r w:rsidRPr="000B0711">
        <w:rPr>
          <w:rFonts w:ascii="Palatino Linotype" w:eastAsia="Calibri" w:hAnsi="Palatino Linotype" w:cs="Arial"/>
          <w:lang w:val="es-ES"/>
        </w:rPr>
        <w:t>Se</w:t>
      </w:r>
      <w:r w:rsidRPr="000B0711">
        <w:rPr>
          <w:rFonts w:ascii="Palatino Linotype" w:eastAsia="Calibri" w:hAnsi="Palatino Linotype" w:cs="Arial"/>
          <w:b/>
          <w:lang w:val="es-ES"/>
        </w:rPr>
        <w:t xml:space="preserve"> MODIFICA </w:t>
      </w:r>
      <w:r w:rsidR="00470B6D">
        <w:rPr>
          <w:rFonts w:ascii="Palatino Linotype" w:eastAsia="Calibri" w:hAnsi="Palatino Linotype" w:cs="Arial"/>
          <w:lang w:val="es-ES"/>
        </w:rPr>
        <w:t>la respuesta emitida por la</w:t>
      </w:r>
      <w:r w:rsidRPr="000B0711">
        <w:rPr>
          <w:rFonts w:ascii="Palatino Linotype" w:eastAsia="Calibri" w:hAnsi="Palatino Linotype" w:cs="Arial"/>
          <w:lang w:val="es-ES"/>
        </w:rPr>
        <w:t xml:space="preserve"> </w:t>
      </w:r>
      <w:r w:rsidR="00470B6D">
        <w:rPr>
          <w:rFonts w:ascii="Palatino Linotype" w:hAnsi="Palatino Linotype" w:cs="Arial"/>
          <w:b/>
        </w:rPr>
        <w:t>Secretaría de Finanzas</w:t>
      </w:r>
      <w:r w:rsidRPr="000B0711">
        <w:rPr>
          <w:rFonts w:ascii="Palatino Linotype" w:hAnsi="Palatino Linotype" w:cs="Arial"/>
          <w:b/>
        </w:rPr>
        <w:t xml:space="preserve"> </w:t>
      </w:r>
      <w:r w:rsidRPr="000B0711">
        <w:rPr>
          <w:rFonts w:ascii="Palatino Linotype" w:eastAsia="Calibri" w:hAnsi="Palatino Linotype" w:cs="Arial"/>
          <w:lang w:val="es-ES"/>
        </w:rPr>
        <w:t>y se</w:t>
      </w:r>
      <w:r w:rsidRPr="000B0711">
        <w:rPr>
          <w:rFonts w:ascii="Palatino Linotype" w:eastAsia="Calibri" w:hAnsi="Palatino Linotype" w:cs="Arial"/>
          <w:b/>
          <w:lang w:val="es-ES"/>
        </w:rPr>
        <w:t xml:space="preserve"> ORDENA </w:t>
      </w:r>
      <w:r w:rsidRPr="000B0711">
        <w:rPr>
          <w:rFonts w:ascii="Palatino Linotype" w:hAnsi="Palatino Linotype" w:cs="Arial"/>
          <w:lang w:val="es-ES"/>
        </w:rPr>
        <w:t>entregar vía Sistema de Accesos a la Información Mexique</w:t>
      </w:r>
      <w:r w:rsidR="00470B6D">
        <w:rPr>
          <w:rFonts w:ascii="Palatino Linotype" w:hAnsi="Palatino Linotype" w:cs="Arial"/>
          <w:lang w:val="es-ES"/>
        </w:rPr>
        <w:t xml:space="preserve">nse (SAIMEX), de ser procedente en versión pública, </w:t>
      </w:r>
      <w:r w:rsidRPr="000B0711">
        <w:rPr>
          <w:rFonts w:ascii="Palatino Linotype" w:hAnsi="Palatino Linotype" w:cs="Arial"/>
          <w:lang w:val="es-ES"/>
        </w:rPr>
        <w:t xml:space="preserve">la siguiente </w:t>
      </w:r>
      <w:r w:rsidRPr="000B0711">
        <w:rPr>
          <w:rFonts w:ascii="Palatino Linotype" w:hAnsi="Palatino Linotype" w:cs="Arial"/>
          <w:bCs/>
        </w:rPr>
        <w:t>información:</w:t>
      </w:r>
    </w:p>
    <w:p w:rsidR="009B7C41" w:rsidRPr="000B0711" w:rsidRDefault="009B7C41" w:rsidP="009B7C41">
      <w:pPr>
        <w:spacing w:line="360" w:lineRule="auto"/>
        <w:ind w:right="48"/>
        <w:jc w:val="both"/>
        <w:rPr>
          <w:rFonts w:ascii="Palatino Linotype" w:hAnsi="Palatino Linotype" w:cs="Arial"/>
          <w:bCs/>
        </w:rPr>
      </w:pPr>
    </w:p>
    <w:p w:rsidR="009B7C41" w:rsidRPr="00390657" w:rsidRDefault="00470B6D" w:rsidP="00470B6D">
      <w:pPr>
        <w:pStyle w:val="Prrafodelista"/>
        <w:numPr>
          <w:ilvl w:val="0"/>
          <w:numId w:val="16"/>
        </w:numPr>
        <w:spacing w:line="360" w:lineRule="auto"/>
        <w:ind w:right="48"/>
        <w:jc w:val="both"/>
        <w:rPr>
          <w:rFonts w:ascii="Palatino Linotype" w:eastAsia="Palatino Linotype" w:hAnsi="Palatino Linotype" w:cs="Palatino Linotype"/>
          <w:b/>
          <w:sz w:val="24"/>
        </w:rPr>
      </w:pPr>
      <w:bookmarkStart w:id="56" w:name="_Toc460947013"/>
      <w:r>
        <w:rPr>
          <w:rFonts w:ascii="Palatino Linotype" w:hAnsi="Palatino Linotype" w:cs="Arial"/>
          <w:b/>
          <w:bCs/>
          <w:sz w:val="24"/>
        </w:rPr>
        <w:t xml:space="preserve">Documento o documentos </w:t>
      </w:r>
      <w:r w:rsidR="00182EB7">
        <w:rPr>
          <w:rFonts w:ascii="Palatino Linotype" w:hAnsi="Palatino Linotype" w:cs="Arial"/>
          <w:b/>
          <w:bCs/>
          <w:sz w:val="24"/>
        </w:rPr>
        <w:t>donde conste</w:t>
      </w:r>
      <w:r>
        <w:rPr>
          <w:rFonts w:ascii="Palatino Linotype" w:hAnsi="Palatino Linotype" w:cs="Arial"/>
          <w:b/>
          <w:bCs/>
          <w:sz w:val="24"/>
        </w:rPr>
        <w:t xml:space="preserve"> el monto liberado </w:t>
      </w:r>
      <w:r w:rsidRPr="00470B6D">
        <w:rPr>
          <w:rFonts w:ascii="Palatino Linotype" w:eastAsia="MS Gothic" w:hAnsi="Palatino Linotype" w:cstheme="majorBidi"/>
          <w:b/>
          <w:sz w:val="24"/>
        </w:rPr>
        <w:t xml:space="preserve">del </w:t>
      </w:r>
      <w:r w:rsidRPr="00470B6D">
        <w:rPr>
          <w:rFonts w:ascii="Palatino Linotype" w:hAnsi="Palatino Linotype"/>
          <w:b/>
          <w:iCs/>
          <w:color w:val="000000"/>
          <w:sz w:val="24"/>
        </w:rPr>
        <w:t>Fondo de Aportaciones para el Fortalecimiento de los Municipios y de las Demarcaciones Territoriales del Distrito Federal</w:t>
      </w:r>
      <w:r>
        <w:rPr>
          <w:rFonts w:ascii="Palatino Linotype" w:hAnsi="Palatino Linotype"/>
          <w:b/>
          <w:iCs/>
          <w:color w:val="000000"/>
          <w:sz w:val="24"/>
        </w:rPr>
        <w:t xml:space="preserve"> (FORTAMUNDF)</w:t>
      </w:r>
      <w:r w:rsidRPr="00470B6D">
        <w:rPr>
          <w:rFonts w:ascii="Palatino Linotype" w:hAnsi="Palatino Linotype"/>
          <w:b/>
          <w:iCs/>
          <w:color w:val="000000"/>
          <w:sz w:val="24"/>
        </w:rPr>
        <w:t>, de los Municipios que conforman el Estado de México, del ejercicio fiscal dos mil diecinueve y dos mil veinte.</w:t>
      </w:r>
    </w:p>
    <w:p w:rsidR="00390657" w:rsidRDefault="00390657" w:rsidP="00390657">
      <w:pPr>
        <w:spacing w:line="360" w:lineRule="auto"/>
        <w:ind w:right="48"/>
        <w:jc w:val="both"/>
        <w:rPr>
          <w:rFonts w:ascii="Palatino Linotype" w:eastAsia="Palatino Linotype" w:hAnsi="Palatino Linotype" w:cs="Palatino Linotype"/>
          <w:b/>
        </w:rPr>
      </w:pPr>
    </w:p>
    <w:p w:rsidR="00390657" w:rsidRPr="00390657" w:rsidRDefault="00390657" w:rsidP="00390657">
      <w:pPr>
        <w:spacing w:line="360" w:lineRule="auto"/>
        <w:jc w:val="both"/>
        <w:rPr>
          <w:rFonts w:ascii="Palatino Linotype" w:eastAsia="Calibri" w:hAnsi="Palatino Linotype" w:cs="Arial"/>
        </w:rPr>
      </w:pPr>
      <w:r w:rsidRPr="004648A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rsidR="00470B6D" w:rsidRPr="000B0711" w:rsidRDefault="00470B6D" w:rsidP="00470B6D">
      <w:pPr>
        <w:pStyle w:val="Prrafodelista"/>
        <w:spacing w:line="360" w:lineRule="auto"/>
        <w:ind w:right="48"/>
        <w:jc w:val="both"/>
        <w:rPr>
          <w:rFonts w:ascii="Palatino Linotype" w:eastAsia="Palatino Linotype" w:hAnsi="Palatino Linotype" w:cs="Palatino Linotype"/>
          <w:b/>
          <w:sz w:val="24"/>
        </w:rPr>
      </w:pPr>
    </w:p>
    <w:p w:rsidR="009B7C41" w:rsidRPr="000B0711" w:rsidRDefault="009B7C41" w:rsidP="009B7C41">
      <w:pPr>
        <w:tabs>
          <w:tab w:val="left" w:pos="8080"/>
        </w:tabs>
        <w:spacing w:line="360" w:lineRule="auto"/>
        <w:ind w:right="48"/>
        <w:contextualSpacing/>
        <w:jc w:val="both"/>
        <w:rPr>
          <w:rFonts w:ascii="Palatino Linotype" w:eastAsia="Palatino Linotype" w:hAnsi="Palatino Linotype" w:cs="Palatino Linotype"/>
          <w:b/>
        </w:rPr>
      </w:pPr>
      <w:r w:rsidRPr="000B0711">
        <w:rPr>
          <w:rFonts w:ascii="Palatino Linotype" w:eastAsia="Palatino Linotype" w:hAnsi="Palatino Linotype" w:cs="Palatino Linotype"/>
          <w:b/>
        </w:rPr>
        <w:t xml:space="preserve">TERCERO. Notifíquese </w:t>
      </w:r>
      <w:r w:rsidRPr="000B0711">
        <w:rPr>
          <w:rFonts w:ascii="Palatino Linotype" w:eastAsia="Palatino Linotype" w:hAnsi="Palatino Linotype" w:cs="Palatino Linotype"/>
        </w:rPr>
        <w:t xml:space="preserve">al Titular de la Unidad de Transparencia del </w:t>
      </w:r>
      <w:r w:rsidRPr="000B0711">
        <w:rPr>
          <w:rFonts w:ascii="Palatino Linotype" w:eastAsia="Palatino Linotype" w:hAnsi="Palatino Linotype" w:cs="Palatino Linotype"/>
          <w:b/>
        </w:rPr>
        <w:t>SUJETO OBLIGADO</w:t>
      </w:r>
      <w:r w:rsidRPr="000B071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w:t>
      </w:r>
      <w:r w:rsidRPr="000B0711">
        <w:rPr>
          <w:rFonts w:ascii="Palatino Linotype" w:eastAsia="Palatino Linotype" w:hAnsi="Palatino Linotype" w:cs="Palatino Linotype"/>
        </w:rPr>
        <w:lastRenderedPageBreak/>
        <w:t xml:space="preserve">Estado de México y Municipios, </w:t>
      </w:r>
      <w:r w:rsidRPr="000B0711">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9B7C41" w:rsidRPr="000B0711" w:rsidRDefault="009B7C41" w:rsidP="009B7C41">
      <w:pPr>
        <w:shd w:val="clear" w:color="auto" w:fill="FFFFFF"/>
        <w:tabs>
          <w:tab w:val="left" w:pos="4020"/>
        </w:tabs>
        <w:spacing w:line="360" w:lineRule="auto"/>
        <w:ind w:right="48"/>
        <w:jc w:val="both"/>
        <w:rPr>
          <w:rFonts w:ascii="Palatino Linotype" w:hAnsi="Palatino Linotype" w:cs="Arial"/>
          <w:b/>
        </w:rPr>
      </w:pPr>
      <w:r w:rsidRPr="000B0711">
        <w:rPr>
          <w:rFonts w:ascii="Palatino Linotype" w:hAnsi="Palatino Linotype" w:cs="Arial"/>
          <w:b/>
        </w:rPr>
        <w:tab/>
      </w:r>
    </w:p>
    <w:p w:rsidR="009B7C41" w:rsidRPr="000B0711" w:rsidRDefault="009B7C41" w:rsidP="009B7C41">
      <w:pPr>
        <w:shd w:val="clear" w:color="auto" w:fill="FFFFFF"/>
        <w:spacing w:line="360" w:lineRule="auto"/>
        <w:ind w:right="48"/>
        <w:jc w:val="both"/>
        <w:rPr>
          <w:rFonts w:ascii="Palatino Linotype" w:hAnsi="Palatino Linotype"/>
        </w:rPr>
      </w:pPr>
      <w:r w:rsidRPr="000B0711">
        <w:rPr>
          <w:rFonts w:ascii="Palatino Linotype" w:hAnsi="Palatino Linotype" w:cs="Arial"/>
          <w:b/>
        </w:rPr>
        <w:t xml:space="preserve">CUARTO. </w:t>
      </w:r>
      <w:r w:rsidRPr="000B0711">
        <w:rPr>
          <w:rFonts w:ascii="Palatino Linotype" w:hAnsi="Palatino Linotype"/>
          <w:b/>
          <w:bCs/>
          <w:lang w:val="es-ES"/>
        </w:rPr>
        <w:t>Notifíquese al RECURRENTE</w:t>
      </w:r>
      <w:r w:rsidRPr="000B0711">
        <w:rPr>
          <w:rFonts w:ascii="Palatino Linotype" w:hAnsi="Palatino Linotype"/>
        </w:rPr>
        <w:t xml:space="preserve"> la presente resolución</w:t>
      </w:r>
      <w:r w:rsidR="00470B6D">
        <w:rPr>
          <w:rFonts w:ascii="Palatino Linotype" w:hAnsi="Palatino Linotype"/>
        </w:rPr>
        <w:t>.</w:t>
      </w:r>
    </w:p>
    <w:p w:rsidR="009B7C41" w:rsidRPr="000B0711" w:rsidRDefault="009B7C41" w:rsidP="009B7C41">
      <w:pPr>
        <w:shd w:val="clear" w:color="auto" w:fill="FFFFFF"/>
        <w:spacing w:line="360" w:lineRule="auto"/>
        <w:ind w:right="48"/>
        <w:jc w:val="both"/>
        <w:rPr>
          <w:rFonts w:ascii="Palatino Linotype" w:hAnsi="Palatino Linotype"/>
          <w:b/>
          <w:color w:val="FF0000"/>
        </w:rPr>
      </w:pPr>
    </w:p>
    <w:bookmarkEnd w:id="56"/>
    <w:p w:rsidR="009B7C41" w:rsidRPr="000B0711" w:rsidRDefault="009B7C41" w:rsidP="009B7C41">
      <w:pPr>
        <w:spacing w:line="360" w:lineRule="auto"/>
        <w:ind w:right="48"/>
        <w:jc w:val="both"/>
        <w:rPr>
          <w:rFonts w:ascii="Palatino Linotype" w:eastAsia="MS Mincho" w:hAnsi="Palatino Linotype"/>
          <w:lang w:val="es-ES"/>
        </w:rPr>
      </w:pPr>
      <w:r w:rsidRPr="000B0711">
        <w:rPr>
          <w:rFonts w:ascii="Palatino Linotype" w:eastAsia="MS Mincho" w:hAnsi="Palatino Linotype"/>
          <w:b/>
        </w:rPr>
        <w:t>QUINTO.</w:t>
      </w:r>
      <w:r w:rsidRPr="000B0711">
        <w:rPr>
          <w:rFonts w:ascii="Palatino Linotype" w:eastAsia="MS Mincho" w:hAnsi="Palatino Linotype"/>
        </w:rPr>
        <w:t xml:space="preserve"> </w:t>
      </w:r>
      <w:r w:rsidRPr="000B0711">
        <w:rPr>
          <w:rFonts w:ascii="Palatino Linotype" w:eastAsia="MS Mincho" w:hAnsi="Palatino Linotype"/>
          <w:lang w:val="es-ES"/>
        </w:rPr>
        <w:t xml:space="preserve">Se hace del conocimiento del </w:t>
      </w:r>
      <w:r w:rsidRPr="000B0711">
        <w:rPr>
          <w:rFonts w:ascii="Palatino Linotype" w:hAnsi="Palatino Linotype"/>
          <w:b/>
        </w:rPr>
        <w:t>RECURRENTE</w:t>
      </w:r>
      <w:r w:rsidRPr="000B0711">
        <w:rPr>
          <w:rFonts w:ascii="Palatino Linotype" w:hAnsi="Palatino Linotype"/>
        </w:rPr>
        <w:t xml:space="preserve"> </w:t>
      </w:r>
      <w:r w:rsidRPr="000B0711">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B0711">
        <w:rPr>
          <w:rFonts w:ascii="Palatino Linotype" w:eastAsia="MS Mincho" w:hAnsi="Palatino Linotype"/>
          <w:bCs/>
          <w:lang w:val="es-ES"/>
        </w:rPr>
        <w:t>vía juicio de amparo</w:t>
      </w:r>
      <w:r w:rsidRPr="000B0711">
        <w:rPr>
          <w:rFonts w:ascii="Palatino Linotype" w:eastAsia="MS Mincho" w:hAnsi="Palatino Linotype"/>
          <w:lang w:val="es-ES"/>
        </w:rPr>
        <w:t> en los términos de las leyes aplicables.</w:t>
      </w:r>
    </w:p>
    <w:p w:rsidR="009B7C41" w:rsidRPr="000B0711" w:rsidRDefault="009B7C41" w:rsidP="009B7C41">
      <w:pPr>
        <w:spacing w:line="360" w:lineRule="auto"/>
        <w:ind w:right="48"/>
        <w:jc w:val="both"/>
        <w:rPr>
          <w:rFonts w:ascii="Palatino Linotype" w:hAnsi="Palatino Linotype"/>
          <w:color w:val="000000"/>
          <w:shd w:val="clear" w:color="auto" w:fill="FFFFFF"/>
        </w:rPr>
      </w:pPr>
    </w:p>
    <w:p w:rsidR="009B7C41" w:rsidRPr="000B0711" w:rsidRDefault="00470B6D" w:rsidP="009B7C41">
      <w:pPr>
        <w:spacing w:line="360" w:lineRule="auto"/>
        <w:ind w:right="48"/>
        <w:jc w:val="both"/>
        <w:rPr>
          <w:rFonts w:ascii="Palatino Linotype" w:eastAsia="Calibri" w:hAnsi="Palatino Linotype" w:cs="Arial"/>
          <w:bCs/>
        </w:rPr>
      </w:pPr>
      <w:r>
        <w:rPr>
          <w:rFonts w:ascii="Palatino Linotype" w:hAnsi="Palatino Linotype"/>
          <w:b/>
          <w:color w:val="000000"/>
          <w:shd w:val="clear" w:color="auto" w:fill="FFFFFF"/>
        </w:rPr>
        <w:t>SEXTO</w:t>
      </w:r>
      <w:r w:rsidR="009B7C41" w:rsidRPr="000B0711">
        <w:rPr>
          <w:rFonts w:ascii="Palatino Linotype" w:hAnsi="Palatino Linotype"/>
          <w:b/>
          <w:color w:val="000000"/>
          <w:shd w:val="clear" w:color="auto" w:fill="FFFFFF"/>
        </w:rPr>
        <w:t xml:space="preserve">. </w:t>
      </w:r>
      <w:r w:rsidR="009B7C41" w:rsidRPr="000B0711">
        <w:rPr>
          <w:rFonts w:ascii="Palatino Linotype" w:eastAsia="Calibri" w:hAnsi="Palatino Linotype" w:cs="Arial"/>
          <w:bC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702614" w:rsidRDefault="00702614" w:rsidP="00C0507E">
      <w:pPr>
        <w:spacing w:line="360" w:lineRule="auto"/>
        <w:ind w:right="48"/>
        <w:jc w:val="both"/>
        <w:rPr>
          <w:rFonts w:ascii="Palatino Linotype" w:hAnsi="Palatino Linotype"/>
        </w:rPr>
      </w:pPr>
    </w:p>
    <w:p w:rsidR="00C0507E" w:rsidRPr="004E33B5" w:rsidRDefault="00C0507E" w:rsidP="00C0507E">
      <w:pPr>
        <w:spacing w:line="360" w:lineRule="auto"/>
        <w:ind w:right="48"/>
        <w:jc w:val="both"/>
        <w:rPr>
          <w:rFonts w:ascii="Palatino Linotype" w:hAnsi="Palatino Linotype"/>
        </w:rPr>
      </w:pPr>
      <w:r w:rsidRPr="00FA6533">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w:t>
      </w:r>
      <w:r w:rsidR="007724AE">
        <w:rPr>
          <w:rFonts w:ascii="Palatino Linotype" w:hAnsi="Palatino Linotype"/>
        </w:rPr>
        <w:t>TERCERA</w:t>
      </w:r>
      <w:r>
        <w:rPr>
          <w:rFonts w:ascii="Palatino Linotype" w:hAnsi="Palatino Linotype"/>
        </w:rPr>
        <w:t xml:space="preserve"> </w:t>
      </w:r>
      <w:r w:rsidRPr="00FA6533">
        <w:rPr>
          <w:rFonts w:ascii="Palatino Linotype" w:hAnsi="Palatino Linotype"/>
        </w:rPr>
        <w:t>SESIÓ</w:t>
      </w:r>
      <w:r>
        <w:rPr>
          <w:rFonts w:ascii="Palatino Linotype" w:hAnsi="Palatino Linotype"/>
        </w:rPr>
        <w:t>N</w:t>
      </w:r>
      <w:r w:rsidR="007724AE">
        <w:rPr>
          <w:rFonts w:ascii="Palatino Linotype" w:hAnsi="Palatino Linotype"/>
        </w:rPr>
        <w:t xml:space="preserve"> ORDINARIA CELEBRADA EL DÍA VEINTIDÓS</w:t>
      </w:r>
      <w:r w:rsidRPr="00FA6533">
        <w:rPr>
          <w:rFonts w:ascii="Palatino Linotype" w:hAnsi="Palatino Linotype"/>
        </w:rPr>
        <w:t xml:space="preserve"> </w:t>
      </w:r>
      <w:r w:rsidRPr="00FA6533">
        <w:rPr>
          <w:rFonts w:ascii="Palatino Linotype" w:hAnsi="Palatino Linotype"/>
        </w:rPr>
        <w:lastRenderedPageBreak/>
        <w:t>DE SEPTIEMBRE   DE DOS MIL VEINTIUNO, ANTE EL SECRETARIO TÉCNICO DEL PLENO, ALEXIS TAPIA RAMÍREZ.</w:t>
      </w:r>
      <w:r w:rsidRPr="004E33B5">
        <w:rPr>
          <w:rFonts w:ascii="Palatino Linotype" w:hAnsi="Palatino Linotype"/>
        </w:rPr>
        <w:t xml:space="preserve"> </w:t>
      </w:r>
    </w:p>
    <w:p w:rsidR="00C0507E" w:rsidRDefault="00C0507E" w:rsidP="00C0507E">
      <w:pPr>
        <w:ind w:right="48"/>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Default="00C0507E" w:rsidP="00C0507E">
      <w:pPr>
        <w:spacing w:line="360" w:lineRule="auto"/>
        <w:ind w:right="49"/>
        <w:jc w:val="both"/>
        <w:rPr>
          <w:rFonts w:ascii="Palatino Linotype" w:eastAsiaTheme="minorEastAsia" w:hAnsi="Palatino Linotype" w:cs="Arial"/>
          <w:lang w:val="es-ES_tradnl" w:eastAsia="es-ES"/>
        </w:rPr>
      </w:pPr>
    </w:p>
    <w:p w:rsidR="00C0507E" w:rsidRPr="001431BD" w:rsidRDefault="00C0507E" w:rsidP="00C0507E">
      <w:pPr>
        <w:spacing w:line="360" w:lineRule="auto"/>
        <w:ind w:right="49"/>
        <w:jc w:val="both"/>
        <w:rPr>
          <w:rFonts w:ascii="Palatino Linotype" w:eastAsiaTheme="minorEastAsia" w:hAnsi="Palatino Linotype" w:cs="Arial"/>
          <w:lang w:val="es-ES_tradnl" w:eastAsia="es-ES"/>
        </w:rPr>
      </w:pPr>
    </w:p>
    <w:p w:rsidR="00C0507E" w:rsidRPr="001431BD" w:rsidRDefault="00C0507E" w:rsidP="00C0507E">
      <w:pPr>
        <w:spacing w:line="360" w:lineRule="auto"/>
        <w:ind w:right="49"/>
        <w:jc w:val="both"/>
        <w:rPr>
          <w:rFonts w:ascii="Palatino Linotype" w:eastAsiaTheme="minorEastAsia" w:hAnsi="Palatino Linotype" w:cs="Arial"/>
          <w:lang w:val="es-ES_tradnl" w:eastAsia="es-ES"/>
        </w:rPr>
      </w:pPr>
    </w:p>
    <w:p w:rsidR="00C0507E" w:rsidRPr="008A1B86" w:rsidRDefault="00C0507E" w:rsidP="00C0507E">
      <w:pPr>
        <w:spacing w:line="360" w:lineRule="auto"/>
        <w:rPr>
          <w:rFonts w:ascii="Palatino Linotype" w:hAnsi="Palatino Linotype"/>
        </w:rPr>
      </w:pPr>
    </w:p>
    <w:p w:rsidR="00C0507E" w:rsidRDefault="00C0507E" w:rsidP="00C0507E"/>
    <w:p w:rsidR="00C0507E" w:rsidRDefault="00C0507E" w:rsidP="00C0507E"/>
    <w:p w:rsidR="00C0507E" w:rsidRDefault="00C0507E" w:rsidP="00C0507E"/>
    <w:p w:rsidR="00C0507E" w:rsidRDefault="00C0507E" w:rsidP="00C0507E"/>
    <w:p w:rsidR="00C0507E" w:rsidRPr="00766C07" w:rsidRDefault="00C0507E" w:rsidP="00C0507E"/>
    <w:p w:rsidR="00703149" w:rsidRDefault="00703149"/>
    <w:sectPr w:rsidR="00703149" w:rsidSect="00703149">
      <w:headerReference w:type="even" r:id="rId31"/>
      <w:headerReference w:type="default" r:id="rId32"/>
      <w:footerReference w:type="default" r:id="rId33"/>
      <w:headerReference w:type="first" r:id="rId34"/>
      <w:footerReference w:type="first" r:id="rId35"/>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6DEF" w:rsidRDefault="00286DEF" w:rsidP="00C0507E">
      <w:r>
        <w:separator/>
      </w:r>
    </w:p>
  </w:endnote>
  <w:endnote w:type="continuationSeparator" w:id="0">
    <w:p w:rsidR="00286DEF" w:rsidRDefault="00286DEF" w:rsidP="00C05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149" w:rsidRDefault="00703149">
    <w:pPr>
      <w:pStyle w:val="Piedepgina"/>
      <w:jc w:val="right"/>
    </w:pPr>
    <w:r>
      <w:rPr>
        <w:lang w:val="es-ES"/>
      </w:rPr>
      <w:t xml:space="preserve">Página </w:t>
    </w:r>
    <w:r>
      <w:rPr>
        <w:b/>
        <w:bCs/>
      </w:rPr>
      <w:fldChar w:fldCharType="begin"/>
    </w:r>
    <w:r>
      <w:rPr>
        <w:b/>
        <w:bCs/>
      </w:rPr>
      <w:instrText>PAGE</w:instrText>
    </w:r>
    <w:r>
      <w:rPr>
        <w:b/>
        <w:bCs/>
      </w:rPr>
      <w:fldChar w:fldCharType="separate"/>
    </w:r>
    <w:r w:rsidR="000369DF">
      <w:rPr>
        <w:b/>
        <w:bCs/>
        <w:noProof/>
      </w:rPr>
      <w:t>44</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369DF">
      <w:rPr>
        <w:b/>
        <w:bCs/>
        <w:noProof/>
      </w:rPr>
      <w:t>44</w:t>
    </w:r>
    <w:r>
      <w:rPr>
        <w:b/>
        <w:bCs/>
      </w:rPr>
      <w:fldChar w:fldCharType="end"/>
    </w:r>
  </w:p>
  <w:p w:rsidR="00703149" w:rsidRDefault="0070314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149" w:rsidRDefault="00703149">
    <w:pPr>
      <w:pStyle w:val="Piedepgina"/>
      <w:jc w:val="right"/>
    </w:pPr>
    <w:r>
      <w:rPr>
        <w:lang w:val="es-ES"/>
      </w:rPr>
      <w:t xml:space="preserve">Página </w:t>
    </w:r>
    <w:r>
      <w:rPr>
        <w:b/>
        <w:bCs/>
      </w:rPr>
      <w:fldChar w:fldCharType="begin"/>
    </w:r>
    <w:r>
      <w:rPr>
        <w:b/>
        <w:bCs/>
      </w:rPr>
      <w:instrText>PAGE</w:instrText>
    </w:r>
    <w:r>
      <w:rPr>
        <w:b/>
        <w:bCs/>
      </w:rPr>
      <w:fldChar w:fldCharType="separate"/>
    </w:r>
    <w:r w:rsidR="000369DF">
      <w:rPr>
        <w:b/>
        <w:bCs/>
        <w:noProof/>
      </w:rPr>
      <w:t>1</w:t>
    </w:r>
    <w:r>
      <w:rPr>
        <w:b/>
        <w:bCs/>
      </w:rPr>
      <w:fldChar w:fldCharType="end"/>
    </w:r>
    <w:r>
      <w:rPr>
        <w:lang w:val="es-ES"/>
      </w:rPr>
      <w:t xml:space="preserve"> de </w:t>
    </w:r>
    <w:r>
      <w:rPr>
        <w:b/>
        <w:bCs/>
      </w:rPr>
      <w:fldChar w:fldCharType="begin"/>
    </w:r>
    <w:r>
      <w:rPr>
        <w:b/>
        <w:bCs/>
      </w:rPr>
      <w:instrText>NUMPAGES</w:instrText>
    </w:r>
    <w:r>
      <w:rPr>
        <w:b/>
        <w:bCs/>
      </w:rPr>
      <w:fldChar w:fldCharType="separate"/>
    </w:r>
    <w:r w:rsidR="000369DF">
      <w:rPr>
        <w:b/>
        <w:bCs/>
        <w:noProof/>
      </w:rPr>
      <w:t>44</w:t>
    </w:r>
    <w:r>
      <w:rPr>
        <w:b/>
        <w:bCs/>
      </w:rPr>
      <w:fldChar w:fldCharType="end"/>
    </w:r>
  </w:p>
  <w:p w:rsidR="00703149" w:rsidRDefault="0070314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6DEF" w:rsidRDefault="00286DEF" w:rsidP="00C0507E">
      <w:r>
        <w:separator/>
      </w:r>
    </w:p>
  </w:footnote>
  <w:footnote w:type="continuationSeparator" w:id="0">
    <w:p w:rsidR="00286DEF" w:rsidRDefault="00286DEF" w:rsidP="00C0507E">
      <w:r>
        <w:continuationSeparator/>
      </w:r>
    </w:p>
  </w:footnote>
  <w:footnote w:id="1">
    <w:p w:rsidR="00703149" w:rsidRDefault="00703149" w:rsidP="009208F7">
      <w:pPr>
        <w:pStyle w:val="Textonotapie"/>
      </w:pPr>
      <w:r>
        <w:rPr>
          <w:rStyle w:val="Refdenotaalpie"/>
        </w:rPr>
        <w:footnoteRef/>
      </w:r>
      <w:r>
        <w:t xml:space="preserve"> Convención Americana sobre Derechos Humanos. Artículo 13.</w:t>
      </w:r>
    </w:p>
  </w:footnote>
  <w:footnote w:id="2">
    <w:p w:rsidR="00703149" w:rsidRDefault="00703149" w:rsidP="009208F7">
      <w:pPr>
        <w:pStyle w:val="Textonotapie"/>
      </w:pPr>
      <w:r>
        <w:rPr>
          <w:rStyle w:val="Refdenotaalpie"/>
        </w:rPr>
        <w:footnoteRef/>
      </w:r>
      <w:r>
        <w:t xml:space="preserve"> Constitución Política de los Estados Unidos Mexicanos. Artículo sexto, sección A, fracción I.</w:t>
      </w:r>
    </w:p>
  </w:footnote>
  <w:footnote w:id="3">
    <w:p w:rsidR="00703149" w:rsidRDefault="00703149" w:rsidP="009208F7">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703149" w:rsidRDefault="00703149" w:rsidP="009208F7">
      <w:pPr>
        <w:pStyle w:val="Textonotapie"/>
      </w:pPr>
      <w:r>
        <w:rPr>
          <w:rStyle w:val="Refdenotaalpie"/>
        </w:rPr>
        <w:footnoteRef/>
      </w:r>
      <w:r>
        <w:t xml:space="preserve"> Ibídem. Parr. 87.</w:t>
      </w:r>
    </w:p>
  </w:footnote>
  <w:footnote w:id="5">
    <w:p w:rsidR="00703149" w:rsidRPr="00034B44" w:rsidRDefault="00703149" w:rsidP="00182EB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703149" w:rsidRPr="00034B44" w:rsidRDefault="00703149" w:rsidP="00182EB7">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6">
    <w:p w:rsidR="00703149" w:rsidRPr="00034B44" w:rsidRDefault="00703149" w:rsidP="00182EB7">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rsidR="00703149" w:rsidRPr="00034B44" w:rsidRDefault="00703149" w:rsidP="00182EB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703149" w:rsidRPr="00034B44" w:rsidRDefault="00703149" w:rsidP="00182EB7">
      <w:pPr>
        <w:pStyle w:val="Textonotapie"/>
        <w:jc w:val="both"/>
        <w:rPr>
          <w:rFonts w:ascii="Palatino Linotype" w:hAnsi="Palatino Linotype"/>
          <w:sz w:val="18"/>
        </w:rPr>
      </w:pPr>
      <w:r w:rsidRPr="00034B44">
        <w:rPr>
          <w:rFonts w:ascii="Palatino Linotype" w:hAnsi="Palatino Linotype"/>
          <w:sz w:val="18"/>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703149" w:rsidRPr="00034B44" w:rsidRDefault="00703149" w:rsidP="00182EB7">
      <w:pPr>
        <w:pStyle w:val="Textonotapie"/>
        <w:jc w:val="both"/>
        <w:rPr>
          <w:rFonts w:ascii="Palatino Linotype" w:hAnsi="Palatino Linotype"/>
          <w:sz w:val="18"/>
        </w:rPr>
      </w:pPr>
      <w:r w:rsidRPr="00034B44">
        <w:rPr>
          <w:rFonts w:ascii="Palatino Linotype" w:hAnsi="Palatino Linotype"/>
          <w:sz w:val="18"/>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8">
    <w:p w:rsidR="00703149" w:rsidRPr="00034B44" w:rsidRDefault="00703149" w:rsidP="00182EB7">
      <w:pPr>
        <w:pStyle w:val="Textonotapie"/>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149" w:rsidRDefault="00286DEF">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3" o:spid="_x0000_s2049" type="#_x0000_t75" alt="" style="position:absolute;margin-left:0;margin-top:0;width:589.8pt;height:768pt;z-index:-251659776;mso-wrap-edited:f;mso-width-percent:0;mso-height-percent:0;mso-position-horizontal:center;mso-position-horizontal-relative:margin;mso-position-vertical:center;mso-position-vertical-relative:margin;mso-width-percent:0;mso-height-percent:0" o:allowincell="f">
          <v:imagedata r:id="rId1" o:title="resolución infoem image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2268"/>
      <w:gridCol w:w="6946"/>
    </w:tblGrid>
    <w:tr w:rsidR="00703149" w:rsidRPr="005C106F" w:rsidTr="00703149">
      <w:trPr>
        <w:trHeight w:val="1435"/>
      </w:trPr>
      <w:tc>
        <w:tcPr>
          <w:tcW w:w="2268" w:type="dxa"/>
          <w:shd w:val="clear" w:color="auto" w:fill="auto"/>
        </w:tcPr>
        <w:p w:rsidR="00703149" w:rsidRPr="005C106F" w:rsidRDefault="00703149" w:rsidP="00703149">
          <w:pPr>
            <w:tabs>
              <w:tab w:val="right" w:pos="4273"/>
            </w:tabs>
            <w:rPr>
              <w:rFonts w:ascii="Garamond" w:eastAsia="Calibri" w:hAnsi="Garamond"/>
              <w:sz w:val="16"/>
              <w:szCs w:val="16"/>
              <w:lang w:eastAsia="en-US"/>
            </w:rPr>
          </w:pPr>
        </w:p>
      </w:tc>
      <w:tc>
        <w:tcPr>
          <w:tcW w:w="6946" w:type="dxa"/>
          <w:shd w:val="clear" w:color="auto" w:fill="auto"/>
        </w:tcPr>
        <w:p w:rsidR="00703149" w:rsidRDefault="00703149" w:rsidP="00703149"/>
        <w:tbl>
          <w:tblPr>
            <w:tblW w:w="6662" w:type="dxa"/>
            <w:tblInd w:w="40" w:type="dxa"/>
            <w:tblLayout w:type="fixed"/>
            <w:tblLook w:val="0420" w:firstRow="1" w:lastRow="0" w:firstColumn="0" w:lastColumn="0" w:noHBand="0" w:noVBand="1"/>
          </w:tblPr>
          <w:tblGrid>
            <w:gridCol w:w="2551"/>
            <w:gridCol w:w="4111"/>
          </w:tblGrid>
          <w:tr w:rsidR="00703149" w:rsidTr="00703149">
            <w:trPr>
              <w:trHeight w:val="150"/>
            </w:trPr>
            <w:tc>
              <w:tcPr>
                <w:tcW w:w="2551" w:type="dxa"/>
                <w:shd w:val="clear" w:color="auto" w:fill="auto"/>
              </w:tcPr>
              <w:p w:rsidR="00703149" w:rsidRPr="00020E73" w:rsidRDefault="00703149" w:rsidP="0070314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111" w:type="dxa"/>
                <w:shd w:val="clear" w:color="auto" w:fill="auto"/>
              </w:tcPr>
              <w:p w:rsidR="00703149" w:rsidRPr="00020E73" w:rsidRDefault="00703149" w:rsidP="00703149">
                <w:pPr>
                  <w:tabs>
                    <w:tab w:val="right" w:pos="8838"/>
                  </w:tabs>
                  <w:ind w:left="-108" w:right="-102"/>
                  <w:jc w:val="both"/>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eastAsia="en-US"/>
                  </w:rPr>
                  <w:t>03648</w:t>
                </w:r>
                <w:r w:rsidRPr="009E7B0A">
                  <w:rPr>
                    <w:rFonts w:ascii="Palatino Linotype" w:eastAsia="Calibri" w:hAnsi="Palatino Linotype" w:cs="Tahoma"/>
                    <w:bCs/>
                    <w:sz w:val="22"/>
                    <w:szCs w:val="22"/>
                    <w:lang w:eastAsia="en-US"/>
                  </w:rPr>
                  <w:t>/INFOEM/IP/RR/2021</w:t>
                </w:r>
                <w:r w:rsidRPr="009E7B0A">
                  <w:rPr>
                    <w:rFonts w:ascii="Palatino Linotype" w:eastAsia="Calibri" w:hAnsi="Palatino Linotype" w:cs="Tahoma"/>
                    <w:b/>
                    <w:bCs/>
                    <w:sz w:val="22"/>
                    <w:szCs w:val="22"/>
                    <w:lang w:eastAsia="en-US"/>
                  </w:rPr>
                  <w:t xml:space="preserve"> </w:t>
                </w:r>
              </w:p>
            </w:tc>
          </w:tr>
          <w:tr w:rsidR="00703149" w:rsidTr="00703149">
            <w:trPr>
              <w:trHeight w:val="295"/>
            </w:trPr>
            <w:tc>
              <w:tcPr>
                <w:tcW w:w="2551" w:type="dxa"/>
                <w:shd w:val="clear" w:color="auto" w:fill="auto"/>
              </w:tcPr>
              <w:p w:rsidR="00703149" w:rsidRPr="00020E73" w:rsidRDefault="00703149" w:rsidP="00703149">
                <w:pPr>
                  <w:tabs>
                    <w:tab w:val="right" w:pos="8838"/>
                  </w:tabs>
                  <w:ind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111" w:type="dxa"/>
                <w:shd w:val="clear" w:color="auto" w:fill="auto"/>
              </w:tcPr>
              <w:p w:rsidR="00703149" w:rsidRPr="00020E73" w:rsidRDefault="00703149" w:rsidP="00703149">
                <w:pPr>
                  <w:tabs>
                    <w:tab w:val="left" w:pos="2834"/>
                    <w:tab w:val="right" w:pos="8838"/>
                  </w:tabs>
                  <w:ind w:left="-108" w:right="-102"/>
                  <w:jc w:val="both"/>
                  <w:rPr>
                    <w:rFonts w:ascii="Palatino Linotype" w:eastAsia="Calibri" w:hAnsi="Palatino Linotype" w:cs="Tahoma"/>
                    <w:b/>
                    <w:sz w:val="22"/>
                    <w:szCs w:val="22"/>
                    <w:lang w:val="es-ES" w:eastAsia="en-US"/>
                  </w:rPr>
                </w:pPr>
                <w:r>
                  <w:rPr>
                    <w:rFonts w:ascii="Palatino Linotype" w:eastAsia="Calibri" w:hAnsi="Palatino Linotype" w:cs="Tahoma"/>
                    <w:sz w:val="22"/>
                    <w:szCs w:val="22"/>
                    <w:lang w:eastAsia="en-US"/>
                  </w:rPr>
                  <w:t>Secretaría de Finanzas</w:t>
                </w:r>
              </w:p>
            </w:tc>
          </w:tr>
          <w:tr w:rsidR="00703149" w:rsidTr="00703149">
            <w:trPr>
              <w:trHeight w:val="295"/>
            </w:trPr>
            <w:tc>
              <w:tcPr>
                <w:tcW w:w="2551" w:type="dxa"/>
                <w:shd w:val="clear" w:color="auto" w:fill="auto"/>
              </w:tcPr>
              <w:p w:rsidR="00703149" w:rsidRPr="00020E73" w:rsidRDefault="00703149" w:rsidP="00703149">
                <w:pPr>
                  <w:tabs>
                    <w:tab w:val="right" w:pos="8838"/>
                  </w:tabs>
                  <w:ind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111" w:type="dxa"/>
                <w:shd w:val="clear" w:color="auto" w:fill="auto"/>
              </w:tcPr>
              <w:p w:rsidR="00703149" w:rsidRPr="00020E73" w:rsidRDefault="00703149" w:rsidP="00703149">
                <w:pPr>
                  <w:tabs>
                    <w:tab w:val="right" w:pos="8838"/>
                  </w:tabs>
                  <w:ind w:left="-108" w:right="171"/>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703149" w:rsidRPr="00020E73" w:rsidRDefault="00703149" w:rsidP="00703149">
                <w:pPr>
                  <w:tabs>
                    <w:tab w:val="right" w:pos="8838"/>
                  </w:tabs>
                  <w:ind w:left="-108" w:right="171"/>
                  <w:jc w:val="both"/>
                  <w:rPr>
                    <w:rFonts w:ascii="Palatino Linotype" w:eastAsia="Calibri" w:hAnsi="Palatino Linotype" w:cs="Tahoma"/>
                    <w:b/>
                    <w:sz w:val="22"/>
                    <w:szCs w:val="22"/>
                    <w:lang w:val="es-ES" w:eastAsia="en-US"/>
                  </w:rPr>
                </w:pPr>
              </w:p>
            </w:tc>
          </w:tr>
        </w:tbl>
        <w:p w:rsidR="00703149" w:rsidRPr="005C106F" w:rsidRDefault="00703149" w:rsidP="00703149">
          <w:pPr>
            <w:tabs>
              <w:tab w:val="right" w:pos="8838"/>
            </w:tabs>
            <w:ind w:left="-28"/>
            <w:jc w:val="both"/>
            <w:rPr>
              <w:rFonts w:ascii="Arial" w:eastAsia="Calibri" w:hAnsi="Arial" w:cs="Arial"/>
              <w:b/>
              <w:sz w:val="22"/>
              <w:szCs w:val="22"/>
              <w:lang w:eastAsia="en-US"/>
            </w:rPr>
          </w:pPr>
        </w:p>
      </w:tc>
    </w:tr>
  </w:tbl>
  <w:p w:rsidR="00703149" w:rsidRPr="00443C6B" w:rsidRDefault="00286DEF" w:rsidP="00703149">
    <w:pPr>
      <w:pStyle w:val="Encabezado"/>
      <w:rPr>
        <w:sz w:val="14"/>
      </w:rPr>
    </w:pPr>
    <w:r>
      <w:rPr>
        <w:noProof/>
        <w:sz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4" o:spid="_x0000_s2050" type="#_x0000_t75" alt="" style="position:absolute;margin-left:-68.8pt;margin-top:-120.5pt;width:589.8pt;height:768pt;z-index:-251658752;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Layout w:type="fixed"/>
      <w:tblLook w:val="04A0" w:firstRow="1" w:lastRow="0" w:firstColumn="1" w:lastColumn="0" w:noHBand="0" w:noVBand="1"/>
    </w:tblPr>
    <w:tblGrid>
      <w:gridCol w:w="2268"/>
      <w:gridCol w:w="6804"/>
    </w:tblGrid>
    <w:tr w:rsidR="00703149" w:rsidRPr="00330DA7" w:rsidTr="00703149">
      <w:trPr>
        <w:trHeight w:val="1435"/>
      </w:trPr>
      <w:tc>
        <w:tcPr>
          <w:tcW w:w="2268" w:type="dxa"/>
          <w:shd w:val="clear" w:color="auto" w:fill="auto"/>
        </w:tcPr>
        <w:p w:rsidR="00703149" w:rsidRPr="00330DA7" w:rsidRDefault="00703149" w:rsidP="00703149">
          <w:pPr>
            <w:tabs>
              <w:tab w:val="right" w:pos="4273"/>
            </w:tabs>
            <w:rPr>
              <w:rFonts w:ascii="Garamond" w:eastAsia="Calibri" w:hAnsi="Garamond"/>
              <w:sz w:val="22"/>
              <w:szCs w:val="22"/>
              <w:lang w:eastAsia="en-US"/>
            </w:rPr>
          </w:pPr>
        </w:p>
      </w:tc>
      <w:tc>
        <w:tcPr>
          <w:tcW w:w="6804" w:type="dxa"/>
          <w:shd w:val="clear" w:color="auto" w:fill="auto"/>
        </w:tcPr>
        <w:tbl>
          <w:tblPr>
            <w:tblW w:w="6662" w:type="dxa"/>
            <w:tblInd w:w="40" w:type="dxa"/>
            <w:tblLayout w:type="fixed"/>
            <w:tblLook w:val="0420" w:firstRow="1" w:lastRow="0" w:firstColumn="0" w:lastColumn="0" w:noHBand="0" w:noVBand="1"/>
          </w:tblPr>
          <w:tblGrid>
            <w:gridCol w:w="2444"/>
            <w:gridCol w:w="4218"/>
          </w:tblGrid>
          <w:tr w:rsidR="00703149" w:rsidRPr="00330DA7" w:rsidTr="00703149">
            <w:trPr>
              <w:trHeight w:val="144"/>
            </w:trPr>
            <w:tc>
              <w:tcPr>
                <w:tcW w:w="2444" w:type="dxa"/>
                <w:shd w:val="clear" w:color="auto" w:fill="auto"/>
              </w:tcPr>
              <w:p w:rsidR="00703149" w:rsidRPr="00020E73" w:rsidRDefault="00703149" w:rsidP="00703149">
                <w:pPr>
                  <w:tabs>
                    <w:tab w:val="right" w:pos="8838"/>
                  </w:tabs>
                  <w:ind w:left="-264" w:right="-105" w:firstLine="19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Recurso de Revisión:</w:t>
                </w:r>
              </w:p>
            </w:tc>
            <w:tc>
              <w:tcPr>
                <w:tcW w:w="4218" w:type="dxa"/>
                <w:shd w:val="clear" w:color="auto" w:fill="auto"/>
              </w:tcPr>
              <w:p w:rsidR="00703149" w:rsidRPr="00020E73" w:rsidRDefault="00703149" w:rsidP="00703149">
                <w:pPr>
                  <w:tabs>
                    <w:tab w:val="right" w:pos="8838"/>
                  </w:tabs>
                  <w:ind w:left="-74" w:right="-105"/>
                  <w:jc w:val="both"/>
                  <w:rPr>
                    <w:rFonts w:ascii="Palatino Linotype" w:eastAsia="Calibri" w:hAnsi="Palatino Linotype" w:cs="Tahoma"/>
                    <w:bCs/>
                    <w:sz w:val="22"/>
                    <w:szCs w:val="22"/>
                    <w:lang w:val="es-ES" w:eastAsia="en-US"/>
                  </w:rPr>
                </w:pPr>
                <w:r>
                  <w:rPr>
                    <w:rFonts w:ascii="Palatino Linotype" w:eastAsia="Calibri" w:hAnsi="Palatino Linotype" w:cs="Tahoma"/>
                    <w:sz w:val="22"/>
                    <w:szCs w:val="22"/>
                    <w:lang w:eastAsia="en-US"/>
                  </w:rPr>
                  <w:t>03648</w:t>
                </w:r>
                <w:r w:rsidRPr="009E7B0A">
                  <w:rPr>
                    <w:rFonts w:ascii="Palatino Linotype" w:eastAsia="Calibri" w:hAnsi="Palatino Linotype" w:cs="Tahoma"/>
                    <w:sz w:val="22"/>
                    <w:szCs w:val="22"/>
                    <w:lang w:eastAsia="en-US"/>
                  </w:rPr>
                  <w:t>/INFOEM/IP/RR/2021</w:t>
                </w:r>
                <w:r>
                  <w:rPr>
                    <w:rFonts w:ascii="Palatino Linotype" w:eastAsia="Calibri" w:hAnsi="Palatino Linotype" w:cs="Tahoma"/>
                    <w:b/>
                    <w:bCs/>
                    <w:sz w:val="22"/>
                    <w:szCs w:val="22"/>
                    <w:lang w:eastAsia="en-US"/>
                  </w:rPr>
                  <w:t xml:space="preserve"> </w:t>
                </w:r>
              </w:p>
            </w:tc>
          </w:tr>
          <w:tr w:rsidR="00703149" w:rsidRPr="00330DA7" w:rsidTr="00703149">
            <w:trPr>
              <w:trHeight w:val="144"/>
            </w:trPr>
            <w:tc>
              <w:tcPr>
                <w:tcW w:w="2444" w:type="dxa"/>
                <w:shd w:val="clear" w:color="auto" w:fill="auto"/>
              </w:tcPr>
              <w:p w:rsidR="00703149" w:rsidRPr="00020E73" w:rsidRDefault="00703149" w:rsidP="0070314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Recurrente:</w:t>
                </w:r>
              </w:p>
            </w:tc>
            <w:tc>
              <w:tcPr>
                <w:tcW w:w="4218" w:type="dxa"/>
                <w:shd w:val="clear" w:color="auto" w:fill="auto"/>
              </w:tcPr>
              <w:p w:rsidR="00703149" w:rsidRPr="00020E73" w:rsidRDefault="000369DF" w:rsidP="00703149">
                <w:pPr>
                  <w:tabs>
                    <w:tab w:val="left" w:pos="3122"/>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XXXXXXXXXXXXXXXXXX</w:t>
                </w:r>
              </w:p>
            </w:tc>
          </w:tr>
          <w:tr w:rsidR="00703149" w:rsidRPr="00330DA7" w:rsidTr="00703149">
            <w:trPr>
              <w:trHeight w:val="283"/>
            </w:trPr>
            <w:tc>
              <w:tcPr>
                <w:tcW w:w="2444" w:type="dxa"/>
                <w:shd w:val="clear" w:color="auto" w:fill="auto"/>
              </w:tcPr>
              <w:p w:rsidR="00703149" w:rsidRPr="00020E73" w:rsidRDefault="00703149" w:rsidP="00703149">
                <w:pPr>
                  <w:tabs>
                    <w:tab w:val="right" w:pos="8838"/>
                  </w:tabs>
                  <w:ind w:left="-74" w:right="-105"/>
                  <w:rPr>
                    <w:rFonts w:ascii="Palatino Linotype" w:eastAsia="Calibri" w:hAnsi="Palatino Linotype" w:cs="Tahoma"/>
                    <w:b/>
                    <w:sz w:val="22"/>
                    <w:szCs w:val="22"/>
                    <w:lang w:val="es-ES" w:eastAsia="en-US"/>
                  </w:rPr>
                </w:pPr>
                <w:r w:rsidRPr="00020E73">
                  <w:rPr>
                    <w:rFonts w:ascii="Palatino Linotype" w:eastAsia="Calibri" w:hAnsi="Palatino Linotype" w:cs="Tahoma"/>
                    <w:b/>
                    <w:sz w:val="22"/>
                    <w:szCs w:val="22"/>
                    <w:lang w:val="es-ES" w:eastAsia="en-US"/>
                  </w:rPr>
                  <w:t>Sujeto Obligado:</w:t>
                </w:r>
              </w:p>
            </w:tc>
            <w:tc>
              <w:tcPr>
                <w:tcW w:w="4218" w:type="dxa"/>
                <w:shd w:val="clear" w:color="auto" w:fill="auto"/>
              </w:tcPr>
              <w:p w:rsidR="00703149" w:rsidRPr="009E7B0A" w:rsidRDefault="00703149" w:rsidP="00703149">
                <w:pPr>
                  <w:tabs>
                    <w:tab w:val="left" w:pos="2834"/>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eastAsia="en-US"/>
                  </w:rPr>
                  <w:t>Secretaría de Fianzas</w:t>
                </w:r>
              </w:p>
            </w:tc>
          </w:tr>
          <w:tr w:rsidR="00703149" w:rsidRPr="00330DA7" w:rsidTr="00703149">
            <w:trPr>
              <w:trHeight w:val="283"/>
            </w:trPr>
            <w:tc>
              <w:tcPr>
                <w:tcW w:w="2444" w:type="dxa"/>
                <w:shd w:val="clear" w:color="auto" w:fill="auto"/>
              </w:tcPr>
              <w:p w:rsidR="00703149" w:rsidRPr="00020E73" w:rsidRDefault="00703149" w:rsidP="00703149">
                <w:pPr>
                  <w:tabs>
                    <w:tab w:val="right" w:pos="8838"/>
                  </w:tabs>
                  <w:ind w:left="-74" w:right="-105"/>
                  <w:rPr>
                    <w:rFonts w:ascii="Palatino Linotype" w:eastAsia="Calibri" w:hAnsi="Palatino Linotype" w:cs="Tahoma"/>
                    <w:b/>
                    <w:sz w:val="22"/>
                    <w:szCs w:val="22"/>
                    <w:lang w:val="es-ES" w:eastAsia="en-US"/>
                  </w:rPr>
                </w:pPr>
                <w:r>
                  <w:rPr>
                    <w:rFonts w:ascii="Palatino Linotype" w:eastAsia="Calibri" w:hAnsi="Palatino Linotype" w:cs="Tahoma"/>
                    <w:b/>
                    <w:sz w:val="22"/>
                    <w:szCs w:val="22"/>
                    <w:lang w:val="es-ES" w:eastAsia="en-US"/>
                  </w:rPr>
                  <w:t>Comisionada ponente</w:t>
                </w:r>
                <w:r w:rsidRPr="00020E73">
                  <w:rPr>
                    <w:rFonts w:ascii="Palatino Linotype" w:eastAsia="Calibri" w:hAnsi="Palatino Linotype" w:cs="Tahoma"/>
                    <w:b/>
                    <w:sz w:val="22"/>
                    <w:szCs w:val="22"/>
                    <w:lang w:val="es-ES" w:eastAsia="en-US"/>
                  </w:rPr>
                  <w:t>:</w:t>
                </w:r>
              </w:p>
            </w:tc>
            <w:tc>
              <w:tcPr>
                <w:tcW w:w="4218" w:type="dxa"/>
                <w:shd w:val="clear" w:color="auto" w:fill="auto"/>
              </w:tcPr>
              <w:p w:rsidR="00703149" w:rsidRPr="00020E73" w:rsidRDefault="00703149" w:rsidP="00703149">
                <w:pPr>
                  <w:tabs>
                    <w:tab w:val="right" w:pos="8838"/>
                  </w:tabs>
                  <w:ind w:left="-74" w:right="-105"/>
                  <w:jc w:val="both"/>
                  <w:rPr>
                    <w:rFonts w:ascii="Palatino Linotype" w:eastAsia="Calibri" w:hAnsi="Palatino Linotype" w:cs="Tahoma"/>
                    <w:sz w:val="22"/>
                    <w:szCs w:val="22"/>
                    <w:lang w:val="es-ES" w:eastAsia="en-US"/>
                  </w:rPr>
                </w:pPr>
                <w:r>
                  <w:rPr>
                    <w:rFonts w:ascii="Palatino Linotype" w:eastAsia="Calibri" w:hAnsi="Palatino Linotype" w:cs="Tahoma"/>
                    <w:sz w:val="22"/>
                    <w:szCs w:val="22"/>
                    <w:lang w:val="es-ES" w:eastAsia="en-US"/>
                  </w:rPr>
                  <w:t>María del Rosario Mejía Ayala</w:t>
                </w:r>
              </w:p>
              <w:p w:rsidR="00703149" w:rsidRPr="00020E73" w:rsidRDefault="00703149" w:rsidP="00703149">
                <w:pPr>
                  <w:tabs>
                    <w:tab w:val="right" w:pos="8838"/>
                  </w:tabs>
                  <w:ind w:left="-74" w:right="-105"/>
                  <w:jc w:val="both"/>
                  <w:rPr>
                    <w:rFonts w:ascii="Palatino Linotype" w:eastAsia="Calibri" w:hAnsi="Palatino Linotype" w:cs="Tahoma"/>
                    <w:b/>
                    <w:sz w:val="22"/>
                    <w:szCs w:val="22"/>
                    <w:lang w:val="es-ES" w:eastAsia="en-US"/>
                  </w:rPr>
                </w:pPr>
              </w:p>
            </w:tc>
          </w:tr>
        </w:tbl>
        <w:p w:rsidR="00703149" w:rsidRPr="00330DA7" w:rsidRDefault="00703149" w:rsidP="00703149">
          <w:pPr>
            <w:tabs>
              <w:tab w:val="right" w:pos="8838"/>
            </w:tabs>
            <w:ind w:left="-28"/>
            <w:jc w:val="both"/>
            <w:rPr>
              <w:rFonts w:ascii="Arial" w:eastAsia="Calibri" w:hAnsi="Arial" w:cs="Arial"/>
              <w:b/>
              <w:sz w:val="22"/>
              <w:szCs w:val="22"/>
              <w:lang w:eastAsia="en-US"/>
            </w:rPr>
          </w:pPr>
        </w:p>
      </w:tc>
    </w:tr>
  </w:tbl>
  <w:p w:rsidR="00703149" w:rsidRPr="00827FA0" w:rsidRDefault="00286DEF" w:rsidP="00703149">
    <w:pPr>
      <w:pStyle w:val="Encabezado"/>
      <w:rPr>
        <w:sz w:val="2"/>
        <w:szCs w:val="22"/>
      </w:rPr>
    </w:pPr>
    <w:r>
      <w:rPr>
        <w:noProof/>
        <w:sz w:val="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7395962" o:spid="_x0000_s2051" type="#_x0000_t75" alt="" style="position:absolute;margin-left:-68.8pt;margin-top:-117.6pt;width:589.8pt;height:768pt;z-index:-251657728;mso-wrap-edited:f;mso-width-percent:0;mso-height-percent:0;mso-position-horizontal-relative:margin;mso-position-vertical-relative:margin;mso-width-percent:0;mso-height-percent:0" o:allowincell="f">
          <v:imagedata r:id="rId1" o:title="resolución infoem image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B51"/>
    <w:multiLevelType w:val="hybridMultilevel"/>
    <w:tmpl w:val="365857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CA95385"/>
    <w:multiLevelType w:val="hybridMultilevel"/>
    <w:tmpl w:val="CE0078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37B0C19"/>
    <w:multiLevelType w:val="hybridMultilevel"/>
    <w:tmpl w:val="766460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30BF6"/>
    <w:multiLevelType w:val="hybridMultilevel"/>
    <w:tmpl w:val="231A13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15:restartNumberingAfterBreak="0">
    <w:nsid w:val="34317490"/>
    <w:multiLevelType w:val="hybridMultilevel"/>
    <w:tmpl w:val="1B2E098E"/>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4B753FA"/>
    <w:multiLevelType w:val="hybridMultilevel"/>
    <w:tmpl w:val="724C630E"/>
    <w:lvl w:ilvl="0" w:tplc="C3A05FBC">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8AA5D73"/>
    <w:multiLevelType w:val="hybridMultilevel"/>
    <w:tmpl w:val="92262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E6831A2"/>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A731B01"/>
    <w:multiLevelType w:val="hybridMultilevel"/>
    <w:tmpl w:val="6E5E9B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73BE1125"/>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5AD3C3D"/>
    <w:multiLevelType w:val="hybridMultilevel"/>
    <w:tmpl w:val="7714A4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A8F08F5"/>
    <w:multiLevelType w:val="hybridMultilevel"/>
    <w:tmpl w:val="D17643BE"/>
    <w:lvl w:ilvl="0" w:tplc="40DCC414">
      <w:start w:val="1"/>
      <w:numFmt w:val="decimal"/>
      <w:lvlText w:val="%1."/>
      <w:lvlJc w:val="left"/>
      <w:pPr>
        <w:ind w:left="720" w:hanging="360"/>
      </w:pPr>
      <w:rPr>
        <w:rFonts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tentative="1">
      <w:start w:val="1"/>
      <w:numFmt w:val="bullet"/>
      <w:lvlText w:val="o"/>
      <w:lvlJc w:val="left"/>
      <w:pPr>
        <w:ind w:left="3102" w:hanging="360"/>
      </w:pPr>
      <w:rPr>
        <w:rFonts w:ascii="Courier New" w:hAnsi="Courier New" w:cs="Courier New" w:hint="default"/>
      </w:rPr>
    </w:lvl>
    <w:lvl w:ilvl="2" w:tplc="080A0005" w:tentative="1">
      <w:start w:val="1"/>
      <w:numFmt w:val="bullet"/>
      <w:lvlText w:val=""/>
      <w:lvlJc w:val="left"/>
      <w:pPr>
        <w:ind w:left="3822" w:hanging="360"/>
      </w:pPr>
      <w:rPr>
        <w:rFonts w:ascii="Wingdings" w:hAnsi="Wingdings" w:hint="default"/>
      </w:rPr>
    </w:lvl>
    <w:lvl w:ilvl="3" w:tplc="080A0001" w:tentative="1">
      <w:start w:val="1"/>
      <w:numFmt w:val="bullet"/>
      <w:lvlText w:val=""/>
      <w:lvlJc w:val="left"/>
      <w:pPr>
        <w:ind w:left="4542" w:hanging="360"/>
      </w:pPr>
      <w:rPr>
        <w:rFonts w:ascii="Symbol" w:hAnsi="Symbol" w:hint="default"/>
      </w:rPr>
    </w:lvl>
    <w:lvl w:ilvl="4" w:tplc="080A0003" w:tentative="1">
      <w:start w:val="1"/>
      <w:numFmt w:val="bullet"/>
      <w:lvlText w:val="o"/>
      <w:lvlJc w:val="left"/>
      <w:pPr>
        <w:ind w:left="5262" w:hanging="360"/>
      </w:pPr>
      <w:rPr>
        <w:rFonts w:ascii="Courier New" w:hAnsi="Courier New" w:cs="Courier New" w:hint="default"/>
      </w:rPr>
    </w:lvl>
    <w:lvl w:ilvl="5" w:tplc="080A0005" w:tentative="1">
      <w:start w:val="1"/>
      <w:numFmt w:val="bullet"/>
      <w:lvlText w:val=""/>
      <w:lvlJc w:val="left"/>
      <w:pPr>
        <w:ind w:left="5982" w:hanging="360"/>
      </w:pPr>
      <w:rPr>
        <w:rFonts w:ascii="Wingdings" w:hAnsi="Wingdings" w:hint="default"/>
      </w:rPr>
    </w:lvl>
    <w:lvl w:ilvl="6" w:tplc="080A0001" w:tentative="1">
      <w:start w:val="1"/>
      <w:numFmt w:val="bullet"/>
      <w:lvlText w:val=""/>
      <w:lvlJc w:val="left"/>
      <w:pPr>
        <w:ind w:left="6702" w:hanging="360"/>
      </w:pPr>
      <w:rPr>
        <w:rFonts w:ascii="Symbol" w:hAnsi="Symbol" w:hint="default"/>
      </w:rPr>
    </w:lvl>
    <w:lvl w:ilvl="7" w:tplc="080A0003" w:tentative="1">
      <w:start w:val="1"/>
      <w:numFmt w:val="bullet"/>
      <w:lvlText w:val="o"/>
      <w:lvlJc w:val="left"/>
      <w:pPr>
        <w:ind w:left="7422" w:hanging="360"/>
      </w:pPr>
      <w:rPr>
        <w:rFonts w:ascii="Courier New" w:hAnsi="Courier New" w:cs="Courier New" w:hint="default"/>
      </w:rPr>
    </w:lvl>
    <w:lvl w:ilvl="8" w:tplc="080A0005" w:tentative="1">
      <w:start w:val="1"/>
      <w:numFmt w:val="bullet"/>
      <w:lvlText w:val=""/>
      <w:lvlJc w:val="left"/>
      <w:pPr>
        <w:ind w:left="8142" w:hanging="360"/>
      </w:pPr>
      <w:rPr>
        <w:rFonts w:ascii="Wingdings" w:hAnsi="Wingdings" w:hint="default"/>
      </w:rPr>
    </w:lvl>
  </w:abstractNum>
  <w:abstractNum w:abstractNumId="16" w15:restartNumberingAfterBreak="0">
    <w:nsid w:val="7E2C32A8"/>
    <w:multiLevelType w:val="hybridMultilevel"/>
    <w:tmpl w:val="D5A0EB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3"/>
  </w:num>
  <w:num w:numId="4">
    <w:abstractNumId w:val="1"/>
  </w:num>
  <w:num w:numId="5">
    <w:abstractNumId w:val="11"/>
  </w:num>
  <w:num w:numId="6">
    <w:abstractNumId w:val="3"/>
  </w:num>
  <w:num w:numId="7">
    <w:abstractNumId w:val="0"/>
  </w:num>
  <w:num w:numId="8">
    <w:abstractNumId w:val="15"/>
  </w:num>
  <w:num w:numId="9">
    <w:abstractNumId w:val="5"/>
  </w:num>
  <w:num w:numId="10">
    <w:abstractNumId w:val="2"/>
  </w:num>
  <w:num w:numId="11">
    <w:abstractNumId w:val="16"/>
  </w:num>
  <w:num w:numId="12">
    <w:abstractNumId w:val="4"/>
  </w:num>
  <w:num w:numId="13">
    <w:abstractNumId w:val="14"/>
  </w:num>
  <w:num w:numId="14">
    <w:abstractNumId w:val="12"/>
  </w:num>
  <w:num w:numId="15">
    <w:abstractNumId w:val="7"/>
  </w:num>
  <w:num w:numId="16">
    <w:abstractNumId w:val="10"/>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507E"/>
    <w:rsid w:val="00007A3C"/>
    <w:rsid w:val="000369DF"/>
    <w:rsid w:val="000437E8"/>
    <w:rsid w:val="00043C3D"/>
    <w:rsid w:val="00072172"/>
    <w:rsid w:val="00095E9C"/>
    <w:rsid w:val="000D2883"/>
    <w:rsid w:val="001245BD"/>
    <w:rsid w:val="00182EB7"/>
    <w:rsid w:val="001D454B"/>
    <w:rsid w:val="001F0D28"/>
    <w:rsid w:val="002127F7"/>
    <w:rsid w:val="00214EBE"/>
    <w:rsid w:val="00286DEF"/>
    <w:rsid w:val="002E0BD8"/>
    <w:rsid w:val="002F4A0D"/>
    <w:rsid w:val="003143CF"/>
    <w:rsid w:val="003572B2"/>
    <w:rsid w:val="00390657"/>
    <w:rsid w:val="003C0153"/>
    <w:rsid w:val="003E07F5"/>
    <w:rsid w:val="00407B58"/>
    <w:rsid w:val="00423FF0"/>
    <w:rsid w:val="00470B6D"/>
    <w:rsid w:val="004B0859"/>
    <w:rsid w:val="004B08A9"/>
    <w:rsid w:val="005067C9"/>
    <w:rsid w:val="00511195"/>
    <w:rsid w:val="005367AC"/>
    <w:rsid w:val="00602594"/>
    <w:rsid w:val="00626CB7"/>
    <w:rsid w:val="006E1CC1"/>
    <w:rsid w:val="00702614"/>
    <w:rsid w:val="00703149"/>
    <w:rsid w:val="007111E2"/>
    <w:rsid w:val="00715461"/>
    <w:rsid w:val="00717FB8"/>
    <w:rsid w:val="0076643E"/>
    <w:rsid w:val="007724AE"/>
    <w:rsid w:val="007732CE"/>
    <w:rsid w:val="007B1AAE"/>
    <w:rsid w:val="007C4A14"/>
    <w:rsid w:val="007E0AD9"/>
    <w:rsid w:val="00822CE0"/>
    <w:rsid w:val="008245FE"/>
    <w:rsid w:val="00845955"/>
    <w:rsid w:val="008D0164"/>
    <w:rsid w:val="009208F7"/>
    <w:rsid w:val="00920A45"/>
    <w:rsid w:val="00942402"/>
    <w:rsid w:val="009550AC"/>
    <w:rsid w:val="00964F94"/>
    <w:rsid w:val="009B7C41"/>
    <w:rsid w:val="009C4242"/>
    <w:rsid w:val="00A17DCC"/>
    <w:rsid w:val="00A42365"/>
    <w:rsid w:val="00A87807"/>
    <w:rsid w:val="00A95E54"/>
    <w:rsid w:val="00BC632A"/>
    <w:rsid w:val="00BE5E58"/>
    <w:rsid w:val="00C0507E"/>
    <w:rsid w:val="00C111FA"/>
    <w:rsid w:val="00C751AD"/>
    <w:rsid w:val="00CD134D"/>
    <w:rsid w:val="00CE026F"/>
    <w:rsid w:val="00D00116"/>
    <w:rsid w:val="00D37518"/>
    <w:rsid w:val="00D60100"/>
    <w:rsid w:val="00DE35A1"/>
    <w:rsid w:val="00E44B46"/>
    <w:rsid w:val="00E8256F"/>
    <w:rsid w:val="00EB6029"/>
    <w:rsid w:val="00F218E0"/>
    <w:rsid w:val="00F26E4A"/>
    <w:rsid w:val="00FB44B7"/>
    <w:rsid w:val="00FC352A"/>
    <w:rsid w:val="00FF3D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7B94BA72-0ADC-4A2A-875D-419DACF40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507E"/>
    <w:pPr>
      <w:spacing w:after="0" w:line="240" w:lineRule="auto"/>
    </w:pPr>
    <w:rPr>
      <w:rFonts w:ascii="Times New Roman" w:eastAsia="Times New Roman" w:hAnsi="Times New Roman" w:cs="Times New Roman"/>
      <w:sz w:val="24"/>
      <w:szCs w:val="24"/>
      <w:lang w:val="es-MX" w:eastAsia="es-MX"/>
    </w:rPr>
  </w:style>
  <w:style w:type="paragraph" w:styleId="Ttulo1">
    <w:name w:val="heading 1"/>
    <w:basedOn w:val="Normal"/>
    <w:next w:val="Normal"/>
    <w:link w:val="Ttulo1Car"/>
    <w:uiPriority w:val="9"/>
    <w:qFormat/>
    <w:rsid w:val="009208F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B7C41"/>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0507E"/>
    <w:pPr>
      <w:tabs>
        <w:tab w:val="center" w:pos="4419"/>
        <w:tab w:val="right" w:pos="8838"/>
      </w:tabs>
    </w:pPr>
  </w:style>
  <w:style w:type="character" w:customStyle="1" w:styleId="EncabezadoCar">
    <w:name w:val="Encabezado Car"/>
    <w:basedOn w:val="Fuentedeprrafopredeter"/>
    <w:link w:val="Encabezado"/>
    <w:uiPriority w:val="99"/>
    <w:rsid w:val="00C0507E"/>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C0507E"/>
    <w:pPr>
      <w:tabs>
        <w:tab w:val="center" w:pos="4419"/>
        <w:tab w:val="right" w:pos="8838"/>
      </w:tabs>
    </w:pPr>
  </w:style>
  <w:style w:type="character" w:customStyle="1" w:styleId="PiedepginaCar">
    <w:name w:val="Pie de página Car"/>
    <w:basedOn w:val="Fuentedeprrafopredeter"/>
    <w:link w:val="Piedepgina"/>
    <w:uiPriority w:val="99"/>
    <w:rsid w:val="00C0507E"/>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0507E"/>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C0507E"/>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C0507E"/>
    <w:rPr>
      <w:color w:val="0563C1"/>
      <w:u w:val="single"/>
    </w:rPr>
  </w:style>
  <w:style w:type="paragraph" w:styleId="Sinespaciado">
    <w:name w:val="No Spacing"/>
    <w:aliases w:val="Francesa,INAI"/>
    <w:link w:val="SinespaciadoCar"/>
    <w:uiPriority w:val="1"/>
    <w:qFormat/>
    <w:rsid w:val="00C0507E"/>
    <w:pPr>
      <w:spacing w:after="0" w:line="240" w:lineRule="auto"/>
    </w:pPr>
    <w:rPr>
      <w:lang w:val="es-MX"/>
    </w:rPr>
  </w:style>
  <w:style w:type="character" w:customStyle="1" w:styleId="SinespaciadoCar">
    <w:name w:val="Sin espaciado Car"/>
    <w:aliases w:val="Francesa Car,INAI Car"/>
    <w:link w:val="Sinespaciado"/>
    <w:uiPriority w:val="1"/>
    <w:locked/>
    <w:rsid w:val="00C0507E"/>
    <w:rPr>
      <w:lang w:val="es-MX"/>
    </w:rPr>
  </w:style>
  <w:style w:type="paragraph" w:styleId="TDC1">
    <w:name w:val="toc 1"/>
    <w:basedOn w:val="Normal"/>
    <w:next w:val="Normal"/>
    <w:autoRedefine/>
    <w:uiPriority w:val="39"/>
    <w:unhideWhenUsed/>
    <w:rsid w:val="00C0507E"/>
    <w:pPr>
      <w:spacing w:after="100" w:line="259" w:lineRule="auto"/>
    </w:pPr>
    <w:rPr>
      <w:rFonts w:asciiTheme="minorHAnsi" w:eastAsiaTheme="minorHAnsi" w:hAnsiTheme="minorHAnsi" w:cstheme="minorBidi"/>
      <w:sz w:val="22"/>
      <w:szCs w:val="22"/>
      <w:lang w:eastAsia="en-US"/>
    </w:rPr>
  </w:style>
  <w:style w:type="paragraph" w:styleId="TDC2">
    <w:name w:val="toc 2"/>
    <w:basedOn w:val="Normal"/>
    <w:next w:val="Normal"/>
    <w:autoRedefine/>
    <w:uiPriority w:val="39"/>
    <w:unhideWhenUsed/>
    <w:rsid w:val="00C0507E"/>
    <w:pPr>
      <w:tabs>
        <w:tab w:val="right" w:leader="dot" w:pos="8637"/>
      </w:tabs>
      <w:spacing w:line="480" w:lineRule="auto"/>
    </w:pPr>
    <w:rPr>
      <w:rFonts w:asciiTheme="minorHAnsi" w:eastAsiaTheme="minorHAnsi" w:hAnsiTheme="minorHAnsi" w:cstheme="minorBidi"/>
      <w:sz w:val="22"/>
      <w:szCs w:val="22"/>
      <w:lang w:eastAsia="en-US"/>
    </w:rPr>
  </w:style>
  <w:style w:type="paragraph" w:customStyle="1" w:styleId="Default">
    <w:name w:val="Default"/>
    <w:rsid w:val="00C0507E"/>
    <w:pPr>
      <w:autoSpaceDE w:val="0"/>
      <w:autoSpaceDN w:val="0"/>
      <w:adjustRightInd w:val="0"/>
      <w:spacing w:after="0" w:line="240" w:lineRule="auto"/>
    </w:pPr>
    <w:rPr>
      <w:rFonts w:ascii="Arial" w:hAnsi="Arial" w:cs="Arial"/>
      <w:color w:val="000000"/>
      <w:sz w:val="24"/>
      <w:szCs w:val="24"/>
      <w:lang w:val="es-MX"/>
    </w:rPr>
  </w:style>
  <w:style w:type="character" w:styleId="Hipervnculovisitado">
    <w:name w:val="FollowedHyperlink"/>
    <w:basedOn w:val="Fuentedeprrafopredeter"/>
    <w:uiPriority w:val="99"/>
    <w:semiHidden/>
    <w:unhideWhenUsed/>
    <w:rsid w:val="008D0164"/>
    <w:rPr>
      <w:color w:val="954F72" w:themeColor="followedHyperlink"/>
      <w:u w:val="single"/>
    </w:rPr>
  </w:style>
  <w:style w:type="character" w:customStyle="1" w:styleId="Ttulo1Car">
    <w:name w:val="Título 1 Car"/>
    <w:basedOn w:val="Fuentedeprrafopredeter"/>
    <w:link w:val="Ttulo1"/>
    <w:uiPriority w:val="9"/>
    <w:rsid w:val="009208F7"/>
    <w:rPr>
      <w:rFonts w:asciiTheme="majorHAnsi" w:eastAsiaTheme="majorEastAsia" w:hAnsiTheme="majorHAnsi" w:cstheme="majorBidi"/>
      <w:color w:val="2E74B5" w:themeColor="accent1" w:themeShade="BF"/>
      <w:sz w:val="32"/>
      <w:szCs w:val="32"/>
      <w:lang w:val="es-MX" w:eastAsia="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9208F7"/>
    <w:rPr>
      <w:vertAlign w:val="superscript"/>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9208F7"/>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208F7"/>
    <w:rPr>
      <w:rFonts w:asciiTheme="minorHAnsi" w:eastAsiaTheme="minorHAnsi" w:hAnsiTheme="minorHAnsi" w:cstheme="minorBidi"/>
      <w:sz w:val="20"/>
      <w:szCs w:val="20"/>
      <w:lang w:val="es-ES" w:eastAsia="en-US"/>
    </w:rPr>
  </w:style>
  <w:style w:type="character" w:customStyle="1" w:styleId="TextonotapieCar1">
    <w:name w:val="Texto nota pie Car1"/>
    <w:basedOn w:val="Fuentedeprrafopredeter"/>
    <w:uiPriority w:val="99"/>
    <w:semiHidden/>
    <w:rsid w:val="009208F7"/>
    <w:rPr>
      <w:rFonts w:ascii="Times New Roman" w:eastAsia="Times New Roman" w:hAnsi="Times New Roman" w:cs="Times New Roman"/>
      <w:sz w:val="20"/>
      <w:szCs w:val="20"/>
      <w:lang w:val="es-MX" w:eastAsia="es-MX"/>
    </w:rPr>
  </w:style>
  <w:style w:type="character" w:customStyle="1" w:styleId="Ttulo2Car">
    <w:name w:val="Título 2 Car"/>
    <w:basedOn w:val="Fuentedeprrafopredeter"/>
    <w:link w:val="Ttulo2"/>
    <w:uiPriority w:val="9"/>
    <w:rsid w:val="009B7C41"/>
    <w:rPr>
      <w:rFonts w:asciiTheme="majorHAnsi" w:eastAsiaTheme="majorEastAsia" w:hAnsiTheme="majorHAnsi" w:cstheme="majorBidi"/>
      <w:color w:val="2E74B5" w:themeColor="accent1" w:themeShade="BF"/>
      <w:sz w:val="26"/>
      <w:szCs w:val="26"/>
      <w:lang w:val="es-MX"/>
    </w:rPr>
  </w:style>
  <w:style w:type="paragraph" w:styleId="TDC3">
    <w:name w:val="toc 3"/>
    <w:basedOn w:val="Normal"/>
    <w:next w:val="Normal"/>
    <w:autoRedefine/>
    <w:uiPriority w:val="39"/>
    <w:unhideWhenUsed/>
    <w:rsid w:val="00182EB7"/>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061660">
      <w:bodyDiv w:val="1"/>
      <w:marLeft w:val="0"/>
      <w:marRight w:val="0"/>
      <w:marTop w:val="0"/>
      <w:marBottom w:val="0"/>
      <w:divBdr>
        <w:top w:val="none" w:sz="0" w:space="0" w:color="auto"/>
        <w:left w:val="none" w:sz="0" w:space="0" w:color="auto"/>
        <w:bottom w:val="none" w:sz="0" w:space="0" w:color="auto"/>
        <w:right w:val="none" w:sz="0" w:space="0" w:color="auto"/>
      </w:divBdr>
    </w:div>
    <w:div w:id="587231185">
      <w:bodyDiv w:val="1"/>
      <w:marLeft w:val="0"/>
      <w:marRight w:val="0"/>
      <w:marTop w:val="0"/>
      <w:marBottom w:val="0"/>
      <w:divBdr>
        <w:top w:val="none" w:sz="0" w:space="0" w:color="auto"/>
        <w:left w:val="none" w:sz="0" w:space="0" w:color="auto"/>
        <w:bottom w:val="none" w:sz="0" w:space="0" w:color="auto"/>
        <w:right w:val="none" w:sz="0" w:space="0" w:color="auto"/>
      </w:divBdr>
    </w:div>
    <w:div w:id="676738796">
      <w:bodyDiv w:val="1"/>
      <w:marLeft w:val="0"/>
      <w:marRight w:val="0"/>
      <w:marTop w:val="0"/>
      <w:marBottom w:val="0"/>
      <w:divBdr>
        <w:top w:val="none" w:sz="0" w:space="0" w:color="auto"/>
        <w:left w:val="none" w:sz="0" w:space="0" w:color="auto"/>
        <w:bottom w:val="none" w:sz="0" w:space="0" w:color="auto"/>
        <w:right w:val="none" w:sz="0" w:space="0" w:color="auto"/>
      </w:divBdr>
    </w:div>
    <w:div w:id="756286594">
      <w:bodyDiv w:val="1"/>
      <w:marLeft w:val="0"/>
      <w:marRight w:val="0"/>
      <w:marTop w:val="0"/>
      <w:marBottom w:val="0"/>
      <w:divBdr>
        <w:top w:val="none" w:sz="0" w:space="0" w:color="auto"/>
        <w:left w:val="none" w:sz="0" w:space="0" w:color="auto"/>
        <w:bottom w:val="none" w:sz="0" w:space="0" w:color="auto"/>
        <w:right w:val="none" w:sz="0" w:space="0" w:color="auto"/>
      </w:divBdr>
    </w:div>
    <w:div w:id="785347012">
      <w:bodyDiv w:val="1"/>
      <w:marLeft w:val="0"/>
      <w:marRight w:val="0"/>
      <w:marTop w:val="0"/>
      <w:marBottom w:val="0"/>
      <w:divBdr>
        <w:top w:val="none" w:sz="0" w:space="0" w:color="auto"/>
        <w:left w:val="none" w:sz="0" w:space="0" w:color="auto"/>
        <w:bottom w:val="none" w:sz="0" w:space="0" w:color="auto"/>
        <w:right w:val="none" w:sz="0" w:space="0" w:color="auto"/>
      </w:divBdr>
    </w:div>
    <w:div w:id="908421899">
      <w:bodyDiv w:val="1"/>
      <w:marLeft w:val="0"/>
      <w:marRight w:val="0"/>
      <w:marTop w:val="0"/>
      <w:marBottom w:val="0"/>
      <w:divBdr>
        <w:top w:val="none" w:sz="0" w:space="0" w:color="auto"/>
        <w:left w:val="none" w:sz="0" w:space="0" w:color="auto"/>
        <w:bottom w:val="none" w:sz="0" w:space="0" w:color="auto"/>
        <w:right w:val="none" w:sz="0" w:space="0" w:color="auto"/>
      </w:divBdr>
    </w:div>
    <w:div w:id="1268001580">
      <w:bodyDiv w:val="1"/>
      <w:marLeft w:val="0"/>
      <w:marRight w:val="0"/>
      <w:marTop w:val="0"/>
      <w:marBottom w:val="0"/>
      <w:divBdr>
        <w:top w:val="none" w:sz="0" w:space="0" w:color="auto"/>
        <w:left w:val="none" w:sz="0" w:space="0" w:color="auto"/>
        <w:bottom w:val="none" w:sz="0" w:space="0" w:color="auto"/>
        <w:right w:val="none" w:sz="0" w:space="0" w:color="auto"/>
      </w:divBdr>
    </w:div>
    <w:div w:id="1467120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ransparenciafiscal.edomex.gob.mx/sites/transparenciafiscal.edomex.gob.mx/files/files/pdf/marco-programatico-presupuestal/FISM-FORTAMUNDF-2019.pdf" TargetMode="External"/><Relationship Id="rId18" Type="http://schemas.openxmlformats.org/officeDocument/2006/relationships/hyperlink" Target="https://www.saimex.org.mx/saimex/solicitud/downloadAttach/1182740.page" TargetMode="External"/><Relationship Id="rId26" Type="http://schemas.openxmlformats.org/officeDocument/2006/relationships/image" Target="media/image4.png"/><Relationship Id="rId21" Type="http://schemas.openxmlformats.org/officeDocument/2006/relationships/hyperlink" Target="https://www.saimex.org.mx/saimex/solicitud/downloadAttach/1182743.page"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www.saimex.org.mx/saimex/solicitud/downloadAttach/1182739.page" TargetMode="External"/><Relationship Id="rId17" Type="http://schemas.openxmlformats.org/officeDocument/2006/relationships/hyperlink" Target="http://transparenciafiscal.edomex.gob.mx/sites/transparenciafiscal.edomex.gob.mx/files/files/pdf/marco-programatico-presupuestal/lineamientos-FEFOM-2020.pdf" TargetMode="External"/><Relationship Id="rId25" Type="http://schemas.openxmlformats.org/officeDocument/2006/relationships/image" Target="media/image3.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transparenciafiscal.edomex.gob.mx/sites/transparenciafiscal.edomex.gob.mx/files/files/pdf/marco-programatico-presupuestal/FEFOM-2019.pdf" TargetMode="External"/><Relationship Id="rId20" Type="http://schemas.openxmlformats.org/officeDocument/2006/relationships/hyperlink" Target="https://www.saimex.org.mx/saimex/solicitud/downloadAttach/1182742.page"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169717.page" TargetMode="External"/><Relationship Id="rId24" Type="http://schemas.openxmlformats.org/officeDocument/2006/relationships/hyperlink" Target="http://fefom.edomex.gob.mx/asignacion_presupuestal"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fefom.edomex.gob.mx/asignacion_presupuestal" TargetMode="External"/><Relationship Id="rId23" Type="http://schemas.openxmlformats.org/officeDocument/2006/relationships/image" Target="media/image2.png"/><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hyperlink" Target="https://transparenciafiscal.edomex.gob.mx/afefm" TargetMode="External"/><Relationship Id="rId19" Type="http://schemas.openxmlformats.org/officeDocument/2006/relationships/hyperlink" Target="https://www.saimex.org.mx/saimex/solicitud/downloadAttach/1182741.page"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1169672.page" TargetMode="External"/><Relationship Id="rId14" Type="http://schemas.openxmlformats.org/officeDocument/2006/relationships/hyperlink" Target="http://transparenciafiscal.edomex.gob.mx/sites/transparenciafiscal.edomex.gob.mx/files/files/pdf/marco-programatico-presupuestal/Anexo-Metodologico-FORTAMUNDF-2020.pdf" TargetMode="External"/><Relationship Id="rId22" Type="http://schemas.openxmlformats.org/officeDocument/2006/relationships/hyperlink" Target="https://www.saimex.org.mx/saimex/solicitud/downloadAttach/1182744.page"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CF419A-A314-4574-894D-C73547DC96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8696</Words>
  <Characters>47833</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Cuenta Microsoft</cp:lastModifiedBy>
  <cp:revision>2</cp:revision>
  <dcterms:created xsi:type="dcterms:W3CDTF">2021-10-18T02:31:00Z</dcterms:created>
  <dcterms:modified xsi:type="dcterms:W3CDTF">2021-10-18T02:31:00Z</dcterms:modified>
</cp:coreProperties>
</file>