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55D" w:rsidRDefault="00E064E1">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veinticuatro (24) de noviembre de dos mil veintiun</w:t>
      </w:r>
      <w:r>
        <w:rPr>
          <w:rFonts w:ascii="Palatino Linotype" w:eastAsia="Palatino Linotype" w:hAnsi="Palatino Linotype" w:cs="Palatino Linotype"/>
        </w:rPr>
        <w:t>o.</w:t>
      </w:r>
    </w:p>
    <w:p w:rsidR="00E5255D" w:rsidRDefault="00E5255D">
      <w:pPr>
        <w:tabs>
          <w:tab w:val="left" w:pos="3465"/>
        </w:tabs>
        <w:spacing w:line="360" w:lineRule="auto"/>
        <w:jc w:val="both"/>
        <w:rPr>
          <w:rFonts w:ascii="Palatino Linotype" w:eastAsia="Palatino Linotype" w:hAnsi="Palatino Linotype" w:cs="Palatino Linotype"/>
        </w:rPr>
      </w:pPr>
    </w:p>
    <w:p w:rsidR="00E5255D" w:rsidRDefault="00E064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04818/INFOEM/IP/RR/2021, </w:t>
      </w:r>
      <w:r>
        <w:rPr>
          <w:rFonts w:ascii="Palatino Linotype" w:eastAsia="Palatino Linotype" w:hAnsi="Palatino Linotype" w:cs="Palatino Linotype"/>
        </w:rPr>
        <w:t xml:space="preserve">promovido por </w:t>
      </w:r>
      <w:r w:rsidR="000E7E62">
        <w:rPr>
          <w:rFonts w:ascii="Palatino Linotype" w:eastAsia="Palatino Linotype" w:hAnsi="Palatino Linotype" w:cs="Palatino Linotype"/>
          <w:b/>
        </w:rPr>
        <w:t>xxxxx xxxxxxx xxxxx</w:t>
      </w:r>
      <w:r>
        <w:rPr>
          <w:rFonts w:ascii="Palatino Linotype" w:eastAsia="Palatino Linotype" w:hAnsi="Palatino Linotype" w:cs="Palatino Linotype"/>
        </w:rPr>
        <w:t xml:space="preserve">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Atlacomulco, </w:t>
      </w:r>
      <w:r>
        <w:rPr>
          <w:rFonts w:ascii="Palatino Linotype" w:eastAsia="Palatino Linotype" w:hAnsi="Palatino Linotype" w:cs="Palatino Linotype"/>
        </w:rPr>
        <w:t xml:space="preserve">en lo sucesivo </w:t>
      </w:r>
      <w:r>
        <w:rPr>
          <w:rFonts w:ascii="Palatino Linotype" w:eastAsia="Palatino Linotype" w:hAnsi="Palatino Linotype" w:cs="Palatino Linotype"/>
          <w:b/>
        </w:rPr>
        <w:t>EL SUJETO OBLIGADO</w:t>
      </w:r>
      <w:r>
        <w:rPr>
          <w:rFonts w:ascii="Palatino Linotype" w:eastAsia="Palatino Linotype" w:hAnsi="Palatino Linotype" w:cs="Palatino Linotype"/>
        </w:rPr>
        <w:t>, se procede a dictar la presente Resolución, con</w:t>
      </w:r>
      <w:bookmarkStart w:id="0" w:name="_GoBack"/>
      <w:bookmarkEnd w:id="0"/>
      <w:r>
        <w:rPr>
          <w:rFonts w:ascii="Palatino Linotype" w:eastAsia="Palatino Linotype" w:hAnsi="Palatino Linotype" w:cs="Palatino Linotype"/>
        </w:rPr>
        <w:t xml:space="preserve"> base en los siguientes:</w:t>
      </w:r>
    </w:p>
    <w:p w:rsidR="00E5255D" w:rsidRDefault="00E5255D">
      <w:pPr>
        <w:spacing w:line="360" w:lineRule="auto"/>
        <w:jc w:val="both"/>
        <w:rPr>
          <w:rFonts w:ascii="Palatino Linotype" w:eastAsia="Palatino Linotype" w:hAnsi="Palatino Linotype" w:cs="Palatino Linotype"/>
          <w:b/>
        </w:rPr>
      </w:pPr>
    </w:p>
    <w:p w:rsidR="00E5255D" w:rsidRDefault="00E064E1">
      <w:pPr>
        <w:pStyle w:val="Ttulo1"/>
        <w:spacing w:before="0" w:line="360" w:lineRule="auto"/>
        <w:jc w:val="center"/>
        <w:rPr>
          <w:rFonts w:ascii="Palatino Linotype" w:eastAsia="Palatino Linotype" w:hAnsi="Palatino Linotype" w:cs="Palatino Linotype"/>
          <w:b/>
          <w:color w:val="000000"/>
          <w:sz w:val="28"/>
          <w:szCs w:val="28"/>
        </w:rPr>
      </w:pPr>
      <w:bookmarkStart w:id="1" w:name="_heading=h.gjdgxs" w:colFirst="0" w:colLast="0"/>
      <w:bookmarkEnd w:id="1"/>
      <w:r>
        <w:rPr>
          <w:rFonts w:ascii="Palatino Linotype" w:eastAsia="Palatino Linotype" w:hAnsi="Palatino Linotype" w:cs="Palatino Linotype"/>
          <w:b/>
          <w:color w:val="000000"/>
          <w:sz w:val="28"/>
          <w:szCs w:val="28"/>
        </w:rPr>
        <w:t>A N T E C E D E N T E S</w:t>
      </w:r>
    </w:p>
    <w:p w:rsidR="00E5255D" w:rsidRDefault="00E5255D"/>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día uno (01) de septiembre de dos mil veintiun</w:t>
      </w:r>
      <w:r>
        <w:rPr>
          <w:rFonts w:ascii="Palatino Linotype" w:eastAsia="Palatino Linotype" w:hAnsi="Palatino Linotype" w:cs="Palatino Linotype"/>
          <w:color w:val="000000"/>
        </w:rPr>
        <w:t>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la solicitud de información pública registrada con el número</w:t>
      </w:r>
      <w:r>
        <w:rPr>
          <w:rFonts w:ascii="Palatino Linotype" w:eastAsia="Palatino Linotype" w:hAnsi="Palatino Linotype" w:cs="Palatino Linotype"/>
          <w:b/>
          <w:color w:val="000000"/>
        </w:rPr>
        <w:t xml:space="preserve"> 00220/ATLACOM/IP/2021,</w:t>
      </w:r>
      <w:r>
        <w:rPr>
          <w:rFonts w:ascii="Palatino Linotype" w:eastAsia="Palatino Linotype" w:hAnsi="Palatino Linotype" w:cs="Palatino Linotype"/>
          <w:color w:val="000000"/>
        </w:rPr>
        <w:t xml:space="preserve"> mediante la cual se solicitó la siguiente información:</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pBdr>
          <w:top w:val="nil"/>
          <w:left w:val="nil"/>
          <w:bottom w:val="nil"/>
          <w:right w:val="nil"/>
          <w:between w:val="nil"/>
        </w:pBdr>
        <w:spacing w:line="360" w:lineRule="auto"/>
        <w:ind w:left="426" w:right="474"/>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“titulo profesional y certificación ante el IHAEM del DIRECTOR de catastro municipal, tal y como lo marca el articulo 169 frac.IV del codigo financiero.”</w:t>
      </w:r>
    </w:p>
    <w:p w:rsidR="00E5255D" w:rsidRDefault="00E5255D">
      <w:pPr>
        <w:pBdr>
          <w:top w:val="nil"/>
          <w:left w:val="nil"/>
          <w:bottom w:val="nil"/>
          <w:right w:val="nil"/>
          <w:between w:val="nil"/>
        </w:pBdr>
        <w:spacing w:line="360" w:lineRule="auto"/>
        <w:ind w:left="426" w:right="474"/>
        <w:jc w:val="both"/>
        <w:rPr>
          <w:rFonts w:ascii="Palatino Linotype" w:eastAsia="Palatino Linotype" w:hAnsi="Palatino Linotype" w:cs="Palatino Linotype"/>
          <w:i/>
          <w:color w:val="000000"/>
        </w:rPr>
      </w:pPr>
    </w:p>
    <w:p w:rsidR="00E5255D" w:rsidRDefault="00E064E1">
      <w:pPr>
        <w:numPr>
          <w:ilvl w:val="0"/>
          <w:numId w:val="4"/>
        </w:numPr>
        <w:pBdr>
          <w:top w:val="nil"/>
          <w:left w:val="nil"/>
          <w:bottom w:val="nil"/>
          <w:right w:val="nil"/>
          <w:between w:val="nil"/>
        </w:pBdr>
        <w:spacing w:line="360" w:lineRule="auto"/>
        <w:ind w:right="474"/>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Modalidad de entrega</w:t>
      </w:r>
      <w:r>
        <w:rPr>
          <w:rFonts w:ascii="Palatino Linotype" w:eastAsia="Palatino Linotype" w:hAnsi="Palatino Linotype" w:cs="Palatino Linotype"/>
          <w:color w:val="000000"/>
        </w:rPr>
        <w:t>: A través del SAIMEX</w:t>
      </w:r>
    </w:p>
    <w:p w:rsidR="00E5255D" w:rsidRDefault="00E5255D">
      <w:pPr>
        <w:pBdr>
          <w:top w:val="nil"/>
          <w:left w:val="nil"/>
          <w:bottom w:val="nil"/>
          <w:right w:val="nil"/>
          <w:between w:val="nil"/>
        </w:pBdr>
        <w:spacing w:line="360" w:lineRule="auto"/>
        <w:ind w:left="1146" w:right="474"/>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día veintitrés (23) de septiembre de dos mil veintiuno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emitió su respuesta mediante dos archivos electrónicos, a saber:</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4"/>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TITULO. Leonardo Cárdenas López.pdf, </w:t>
      </w:r>
      <w:r>
        <w:rPr>
          <w:rFonts w:ascii="Palatino Linotype" w:eastAsia="Palatino Linotype" w:hAnsi="Palatino Linotype" w:cs="Palatino Linotype"/>
          <w:color w:val="000000"/>
        </w:rPr>
        <w:t>que corresponde a un título profesional expedido por la Universidad Autónom</w:t>
      </w:r>
      <w:r>
        <w:rPr>
          <w:rFonts w:ascii="Palatino Linotype" w:eastAsia="Palatino Linotype" w:hAnsi="Palatino Linotype" w:cs="Palatino Linotype"/>
          <w:color w:val="000000"/>
        </w:rPr>
        <w:t>a del Estado de México, perteneciente al Director de Catastro Municipal.</w:t>
      </w:r>
    </w:p>
    <w:p w:rsidR="00E5255D" w:rsidRDefault="00E5255D">
      <w:pPr>
        <w:pBdr>
          <w:top w:val="nil"/>
          <w:left w:val="nil"/>
          <w:bottom w:val="nil"/>
          <w:right w:val="nil"/>
          <w:between w:val="nil"/>
        </w:pBdr>
        <w:tabs>
          <w:tab w:val="left" w:pos="0"/>
        </w:tabs>
        <w:spacing w:line="360" w:lineRule="auto"/>
        <w:ind w:left="567" w:right="49"/>
        <w:rPr>
          <w:rFonts w:ascii="Palatino Linotype" w:eastAsia="Palatino Linotype" w:hAnsi="Palatino Linotype" w:cs="Palatino Linotype"/>
          <w:b/>
          <w:color w:val="000000"/>
        </w:rPr>
      </w:pPr>
    </w:p>
    <w:p w:rsidR="00E5255D" w:rsidRDefault="00E064E1">
      <w:pPr>
        <w:numPr>
          <w:ilvl w:val="0"/>
          <w:numId w:val="4"/>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SOLICITUD 00220.pdf</w:t>
      </w:r>
      <w:r>
        <w:rPr>
          <w:rFonts w:ascii="Palatino Linotype" w:eastAsia="Palatino Linotype" w:hAnsi="Palatino Linotype" w:cs="Palatino Linotype"/>
          <w:color w:val="000000"/>
        </w:rPr>
        <w:t>, cuyo contenido corresponde a un oficio, mediante el cual se informa que el Director de Catastro Municipal, se encuentra en proceso de certificación.</w:t>
      </w:r>
    </w:p>
    <w:p w:rsidR="00E5255D" w:rsidRDefault="00E5255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bookmarkStart w:id="2" w:name="_heading=h.30j0zll" w:colFirst="0" w:colLast="0"/>
      <w:bookmarkEnd w:id="2"/>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En fecha veinte (20) de septiembre de dos mil veintiuno, el particular interpuso el recurso de revisión en contra de la respuesta, señalando como:</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E5255D" w:rsidRDefault="00E064E1">
      <w:pPr>
        <w:numPr>
          <w:ilvl w:val="0"/>
          <w:numId w:val="5"/>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bookmarkStart w:id="3" w:name="_heading=h.1fob9te" w:colFirst="0" w:colLast="0"/>
      <w:bookmarkEnd w:id="3"/>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i/>
          <w:color w:val="000000"/>
        </w:rPr>
        <w:t xml:space="preserve">“falta de informacion” </w:t>
      </w:r>
    </w:p>
    <w:p w:rsidR="00E5255D" w:rsidRDefault="00E5255D">
      <w:pPr>
        <w:pBdr>
          <w:top w:val="nil"/>
          <w:left w:val="nil"/>
          <w:bottom w:val="nil"/>
          <w:right w:val="nil"/>
          <w:between w:val="nil"/>
        </w:pBdr>
        <w:tabs>
          <w:tab w:val="left" w:pos="0"/>
        </w:tabs>
        <w:spacing w:line="360" w:lineRule="auto"/>
        <w:ind w:left="708" w:right="49"/>
        <w:jc w:val="both"/>
        <w:rPr>
          <w:rFonts w:ascii="Palatino Linotype" w:eastAsia="Palatino Linotype" w:hAnsi="Palatino Linotype" w:cs="Palatino Linotype"/>
          <w:i/>
          <w:color w:val="000000"/>
        </w:rPr>
      </w:pPr>
    </w:p>
    <w:p w:rsidR="00E5255D" w:rsidRDefault="00E064E1">
      <w:pPr>
        <w:numPr>
          <w:ilvl w:val="0"/>
          <w:numId w:val="5"/>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bookmarkStart w:id="4" w:name="_heading=h.3znysh7" w:colFirst="0" w:colLast="0"/>
      <w:bookmarkEnd w:id="4"/>
      <w:r>
        <w:rPr>
          <w:rFonts w:ascii="Palatino Linotype" w:eastAsia="Palatino Linotype" w:hAnsi="Palatino Linotype" w:cs="Palatino Linotype"/>
          <w:b/>
          <w:color w:val="000000"/>
        </w:rPr>
        <w:t xml:space="preserve">Razones o Motivos de inconformidad: </w:t>
      </w:r>
      <w:r>
        <w:rPr>
          <w:rFonts w:ascii="Palatino Linotype" w:eastAsia="Palatino Linotype" w:hAnsi="Palatino Linotype" w:cs="Palatino Linotype"/>
          <w:i/>
          <w:color w:val="000000"/>
        </w:rPr>
        <w:t>“no anexan documentacion oficial para demostrar que se encuentra en proceso de certificacion, cuando lleva mas de dos meses en el cargo”</w:t>
      </w:r>
    </w:p>
    <w:p w:rsidR="00E5255D" w:rsidRDefault="00E5255D">
      <w:pPr>
        <w:pBdr>
          <w:top w:val="nil"/>
          <w:left w:val="nil"/>
          <w:bottom w:val="nil"/>
          <w:right w:val="nil"/>
          <w:between w:val="nil"/>
        </w:pBdr>
        <w:spacing w:line="360" w:lineRule="auto"/>
        <w:ind w:left="708"/>
        <w:rPr>
          <w:rFonts w:ascii="Palatino Linotype" w:eastAsia="Palatino Linotype" w:hAnsi="Palatino Linotype" w:cs="Palatino Linotype"/>
          <w:i/>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registró el recurso de revisión bajo el número de expediente al rubro indicado, y con fundamento en lo dispuesto por el artículo 185 fracción I de la Ley de Transparencia y Acceso a la Información Pública del Estado de México y </w:t>
      </w:r>
      <w:r>
        <w:rPr>
          <w:rFonts w:ascii="Palatino Linotype" w:eastAsia="Palatino Linotype" w:hAnsi="Palatino Linotype" w:cs="Palatino Linotype"/>
          <w:color w:val="000000"/>
        </w:rPr>
        <w:lastRenderedPageBreak/>
        <w:t>Municipios, se turnó a 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Comisionada María del Rosario Mejía Ayala</w:t>
      </w:r>
      <w:r>
        <w:rPr>
          <w:rFonts w:ascii="Palatino Linotype" w:eastAsia="Palatino Linotype" w:hAnsi="Palatino Linotype" w:cs="Palatino Linotype"/>
          <w:color w:val="000000"/>
        </w:rPr>
        <w:t>, con el objeto de su análisis.</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Pr>
          <w:rFonts w:ascii="Palatino Linotype" w:eastAsia="Palatino Linotype" w:hAnsi="Palatino Linotype" w:cs="Palatino Linotype"/>
          <w:b/>
          <w:color w:val="000000"/>
        </w:rPr>
        <w:t>treinta (30) de septiembre d</w:t>
      </w:r>
      <w:r>
        <w:rPr>
          <w:rFonts w:ascii="Palatino Linotype" w:eastAsia="Palatino Linotype" w:hAnsi="Palatino Linotype" w:cs="Palatino Linotype"/>
          <w:b/>
          <w:color w:val="000000"/>
        </w:rPr>
        <w:t>e dos mil veintiuno</w:t>
      </w:r>
      <w:r>
        <w:rPr>
          <w:rFonts w:ascii="Palatino Linotype" w:eastAsia="Palatino Linotype" w:hAnsi="Palatino Linotype" w:cs="Palatino Linotype"/>
          <w:color w:val="000000"/>
        </w:rPr>
        <w:t>, puso a disposición de las partes el expediente electrónico vía SAIMEX a efecto de que en un plazo máximo de siete días manifestaran lo que a su derecho conviniera, ofrecieran pruebas y alegatos según corresponda al caso concreto, de es</w:t>
      </w:r>
      <w:r>
        <w:rPr>
          <w:rFonts w:ascii="Palatino Linotype" w:eastAsia="Palatino Linotype" w:hAnsi="Palatino Linotype" w:cs="Palatino Linotype"/>
          <w:color w:val="000000"/>
        </w:rPr>
        <w:t xml:space="preserve">ta forma para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presentara el Informe Justificado procedente.</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rindió su informe justificado el día (1) de octubre de dos mil veintiuno, el cual por no modificar la respuesta inicial, no fue puesto a disposición del particular; no obstante a efecto de que no exista opacidad en las actuaciones que integran el expedien</w:t>
      </w:r>
      <w:r>
        <w:rPr>
          <w:rFonts w:ascii="Palatino Linotype" w:eastAsia="Palatino Linotype" w:hAnsi="Palatino Linotype" w:cs="Palatino Linotype"/>
          <w:color w:val="000000"/>
        </w:rPr>
        <w:t>te electrónico en que se actúa, se inserta en el presente apartado:</w:t>
      </w:r>
    </w:p>
    <w:p w:rsidR="00E5255D" w:rsidRDefault="00E064E1">
      <w:pPr>
        <w:pBdr>
          <w:top w:val="nil"/>
          <w:left w:val="nil"/>
          <w:bottom w:val="nil"/>
          <w:right w:val="nil"/>
          <w:between w:val="nil"/>
        </w:pBdr>
        <w:ind w:left="708"/>
        <w:rPr>
          <w:rFonts w:ascii="Palatino Linotype" w:eastAsia="Palatino Linotype" w:hAnsi="Palatino Linotype" w:cs="Palatino Linotype"/>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114300</wp:posOffset>
                </wp:positionV>
                <wp:extent cx="5535551" cy="2133270"/>
                <wp:effectExtent l="0" t="0" r="0" b="0"/>
                <wp:wrapNone/>
                <wp:docPr id="26" name="Conector recto de flecha 26"/>
                <wp:cNvGraphicFramePr/>
                <a:graphic xmlns:a="http://schemas.openxmlformats.org/drawingml/2006/main">
                  <a:graphicData uri="http://schemas.microsoft.com/office/word/2010/wordprocessingShape">
                    <wps:wsp>
                      <wps:cNvCnPr/>
                      <wps:spPr>
                        <a:xfrm>
                          <a:off x="2590925" y="2726065"/>
                          <a:ext cx="5510151" cy="210787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5535551" cy="2133270"/>
                <wp:effectExtent b="0" l="0" r="0" t="0"/>
                <wp:wrapNone/>
                <wp:docPr id="26"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535551" cy="2133270"/>
                        </a:xfrm>
                        <a:prstGeom prst="rect"/>
                        <a:ln/>
                      </pic:spPr>
                    </pic:pic>
                  </a:graphicData>
                </a:graphic>
              </wp:anchor>
            </w:drawing>
          </mc:Fallback>
        </mc:AlternateContent>
      </w:r>
    </w:p>
    <w:p w:rsidR="00E5255D" w:rsidRDefault="00E064E1">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extent cx="5285762" cy="7047682"/>
            <wp:effectExtent l="0" t="0" r="0" b="0"/>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5285762" cy="7047682"/>
                    </a:xfrm>
                    <a:prstGeom prst="rect">
                      <a:avLst/>
                    </a:prstGeom>
                    <a:ln/>
                  </pic:spPr>
                </pic:pic>
              </a:graphicData>
            </a:graphic>
          </wp:inline>
        </w:drawing>
      </w:r>
    </w:p>
    <w:p w:rsidR="00E5255D" w:rsidRDefault="00E064E1">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extent cx="5206781" cy="6391801"/>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206781" cy="6391801"/>
                    </a:xfrm>
                    <a:prstGeom prst="rect">
                      <a:avLst/>
                    </a:prstGeom>
                    <a:ln/>
                  </pic:spPr>
                </pic:pic>
              </a:graphicData>
            </a:graphic>
          </wp:inline>
        </w:drawing>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5" w:name="_heading=h.2et92p0" w:colFirst="0" w:colLast="0"/>
      <w:bookmarkEnd w:id="5"/>
      <w:r>
        <w:rPr>
          <w:rFonts w:ascii="Palatino Linotype" w:eastAsia="Palatino Linotype" w:hAnsi="Palatino Linotype" w:cs="Palatino Linotype"/>
          <w:color w:val="000000"/>
        </w:rPr>
        <w:t xml:space="preserve">La Comisionada Ponente mediante acuerdo de fecha dieciséis (16) de noviembre de dos mil veintiuno, decretó el cierre de instrucción, posteriormente </w:t>
      </w:r>
      <w:r>
        <w:rPr>
          <w:rFonts w:ascii="Palatino Linotype" w:eastAsia="Palatino Linotype" w:hAnsi="Palatino Linotype" w:cs="Palatino Linotype"/>
          <w:color w:val="000000"/>
        </w:rPr>
        <w:lastRenderedPageBreak/>
        <w:t>amplió el termino para resolver mediante Acuerdo de día diecisiete (17) del mismo mes y año, por lo que no h</w:t>
      </w:r>
      <w:r>
        <w:rPr>
          <w:rFonts w:ascii="Palatino Linotype" w:eastAsia="Palatino Linotype" w:hAnsi="Palatino Linotype" w:cs="Palatino Linotype"/>
          <w:color w:val="000000"/>
        </w:rPr>
        <w:t>abiendo más que hacer constar, y ------------------------------</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pStyle w:val="Ttulo1"/>
        <w:spacing w:before="0" w:line="360" w:lineRule="auto"/>
        <w:jc w:val="center"/>
        <w:rPr>
          <w:rFonts w:ascii="Palatino Linotype" w:eastAsia="Palatino Linotype" w:hAnsi="Palatino Linotype" w:cs="Palatino Linotype"/>
          <w:b/>
          <w:color w:val="000000"/>
          <w:sz w:val="24"/>
          <w:szCs w:val="24"/>
        </w:rPr>
      </w:pPr>
      <w:bookmarkStart w:id="6" w:name="_heading=h.tyjcwt" w:colFirst="0" w:colLast="0"/>
      <w:bookmarkEnd w:id="6"/>
      <w:r>
        <w:rPr>
          <w:rFonts w:ascii="Palatino Linotype" w:eastAsia="Palatino Linotype" w:hAnsi="Palatino Linotype" w:cs="Palatino Linotype"/>
          <w:b/>
          <w:color w:val="000000"/>
          <w:sz w:val="24"/>
          <w:szCs w:val="24"/>
        </w:rPr>
        <w:t>CONSIDERANDO</w:t>
      </w:r>
    </w:p>
    <w:p w:rsidR="00E5255D" w:rsidRDefault="00E5255D">
      <w:pPr>
        <w:pStyle w:val="Ttulo2"/>
        <w:spacing w:before="0" w:line="360" w:lineRule="auto"/>
        <w:rPr>
          <w:rFonts w:ascii="Palatino Linotype" w:eastAsia="Palatino Linotype" w:hAnsi="Palatino Linotype" w:cs="Palatino Linotype"/>
          <w:b/>
          <w:color w:val="000000"/>
          <w:sz w:val="24"/>
          <w:szCs w:val="24"/>
        </w:rPr>
      </w:pPr>
      <w:bookmarkStart w:id="7" w:name="_heading=h.3dy6vkm" w:colFirst="0" w:colLast="0"/>
      <w:bookmarkEnd w:id="7"/>
    </w:p>
    <w:p w:rsidR="00E5255D" w:rsidRDefault="00E064E1">
      <w:pPr>
        <w:pStyle w:val="Ttulo2"/>
        <w:spacing w:before="0" w:line="360" w:lineRule="auto"/>
        <w:rPr>
          <w:rFonts w:ascii="Palatino Linotype" w:eastAsia="Palatino Linotype" w:hAnsi="Palatino Linotype" w:cs="Palatino Linotype"/>
          <w:b/>
          <w:color w:val="000000"/>
          <w:sz w:val="24"/>
          <w:szCs w:val="24"/>
        </w:rPr>
      </w:pPr>
      <w:bookmarkStart w:id="8" w:name="_heading=h.1t3h5sf" w:colFirst="0" w:colLast="0"/>
      <w:bookmarkEnd w:id="8"/>
      <w:r>
        <w:rPr>
          <w:rFonts w:ascii="Palatino Linotype" w:eastAsia="Palatino Linotype" w:hAnsi="Palatino Linotype" w:cs="Palatino Linotype"/>
          <w:b/>
          <w:color w:val="000000"/>
          <w:sz w:val="24"/>
          <w:szCs w:val="24"/>
        </w:rPr>
        <w:t>PRIMERO. De la competencia</w:t>
      </w:r>
    </w:p>
    <w:p w:rsidR="00E5255D" w:rsidRDefault="00E5255D">
      <w:pPr>
        <w:spacing w:line="360" w:lineRule="auto"/>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w:t>
      </w:r>
      <w:r>
        <w:rPr>
          <w:rFonts w:ascii="Palatino Linotype" w:eastAsia="Palatino Linotype" w:hAnsi="Palatino Linotype" w:cs="Palatino Linotype"/>
          <w:color w:val="000000"/>
        </w:rPr>
        <w:t>uesto en los artículos 6°, apartado A, de la Constitución Política de los Estados Unidos Mexicanos; 5°, párrafos trigésimo, trigésimo primero y trigésimo segundo, fracciones I, II, III, IV y V de la Constitución Política del Estado Libre y Soberano de Méxi</w:t>
      </w:r>
      <w:r>
        <w:rPr>
          <w:rFonts w:ascii="Palatino Linotype" w:eastAsia="Palatino Linotype" w:hAnsi="Palatino Linotype" w:cs="Palatino Linotype"/>
          <w:color w:val="000000"/>
        </w:rPr>
        <w:t>co; 1°, 8°, 9°, 10, 37 y 42, fracciones I, II y III, de la Ley General de Transparencia y Acceso a la Información Pública; 1°, 2°, fracciones II y IV; 13, 29, 36, fracciones I y II; 176, 178, 179, 181 párrafo tercero, 185, 188 y 189 de la Ley Transparencia</w:t>
      </w:r>
      <w:r>
        <w:rPr>
          <w:rFonts w:ascii="Palatino Linotype" w:eastAsia="Palatino Linotype" w:hAnsi="Palatino Linotype" w:cs="Palatino Linotype"/>
          <w:color w:val="000000"/>
        </w:rPr>
        <w:t xml:space="preserve"> y Acceso a la Información Pública del Estado de México y Municipios; 7°, 9°, fracciones I y XXIV y 11 del Reglamento Interior del Instituto de Transparencia, Acceso a la Información Pública y Protección de Datos Personales del Estado de México y Municipio</w:t>
      </w:r>
      <w:r>
        <w:rPr>
          <w:rFonts w:ascii="Palatino Linotype" w:eastAsia="Palatino Linotype" w:hAnsi="Palatino Linotype" w:cs="Palatino Linotype"/>
          <w:color w:val="000000"/>
        </w:rPr>
        <w:t>s.</w:t>
      </w:r>
    </w:p>
    <w:p w:rsidR="00E5255D" w:rsidRDefault="00E5255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9" w:name="_heading=h.4d34og8" w:colFirst="0" w:colLast="0"/>
      <w:bookmarkEnd w:id="9"/>
    </w:p>
    <w:p w:rsidR="00E5255D" w:rsidRDefault="00E5255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rsidR="00E5255D" w:rsidRDefault="00E5255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rsidR="00E5255D" w:rsidRDefault="00E5255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rsidR="00E5255D" w:rsidRDefault="00E064E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10" w:name="_heading=h.2s8eyo1" w:colFirst="0" w:colLast="0"/>
      <w:bookmarkEnd w:id="10"/>
      <w:r>
        <w:rPr>
          <w:rFonts w:ascii="Palatino Linotype" w:eastAsia="Palatino Linotype" w:hAnsi="Palatino Linotype" w:cs="Palatino Linotype"/>
          <w:b/>
          <w:color w:val="000000"/>
        </w:rPr>
        <w:lastRenderedPageBreak/>
        <w:t>SEGUNDO. De la oportunidad y procedencia.</w:t>
      </w:r>
    </w:p>
    <w:p w:rsidR="00E5255D" w:rsidRDefault="00E5255D">
      <w:pPr>
        <w:spacing w:line="360" w:lineRule="auto"/>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555555"/>
        </w:rPr>
      </w:pPr>
      <w:bookmarkStart w:id="11" w:name="_heading=h.17dp8vu" w:colFirst="0" w:colLast="0"/>
      <w:bookmarkEnd w:id="11"/>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 respuesta el día veintitrés (23) de septiembre de dos mil veintiuno, d</w:t>
      </w:r>
      <w:r>
        <w:rPr>
          <w:rFonts w:ascii="Palatino Linotype" w:eastAsia="Palatino Linotype" w:hAnsi="Palatino Linotype" w:cs="Palatino Linotype"/>
          <w:color w:val="000000"/>
        </w:rPr>
        <w:t>e tal forma que el plazo para interponer el recurso transcurrió del día veinticuatro (24) de septiembre al catorce (14) de octubre de dos mil veintiuno; en consecuencia, el ahora recurrente presentó su inconformidad el día veinticinco (25) de septiembre de</w:t>
      </w:r>
      <w:r>
        <w:rPr>
          <w:rFonts w:ascii="Palatino Linotype" w:eastAsia="Palatino Linotype" w:hAnsi="Palatino Linotype" w:cs="Palatino Linotype"/>
          <w:color w:val="000000"/>
        </w:rPr>
        <w:t xml:space="preserve"> dos mil veintiuno; es decir dentro del plazo legalmente establecido para tal efecto.</w:t>
      </w:r>
    </w:p>
    <w:p w:rsidR="00E5255D" w:rsidRDefault="00E5255D">
      <w:pPr>
        <w:pBdr>
          <w:top w:val="nil"/>
          <w:left w:val="nil"/>
          <w:bottom w:val="nil"/>
          <w:right w:val="nil"/>
          <w:between w:val="nil"/>
        </w:pBdr>
        <w:ind w:left="708"/>
        <w:rPr>
          <w:rFonts w:ascii="Palatino Linotype" w:eastAsia="Palatino Linotype" w:hAnsi="Palatino Linotype" w:cs="Palatino Linotype"/>
          <w:i/>
          <w:color w:val="000000"/>
          <w:sz w:val="22"/>
          <w:szCs w:val="22"/>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el escrito contiene las formalidades previstas por el artículo 180 último párrafo de la Ley de la materia actual, por lo que es procedente que este Instituto de Transparencia, Acceso a la Información Pública y Protección de Datos Personales </w:t>
      </w:r>
      <w:r>
        <w:rPr>
          <w:rFonts w:ascii="Palatino Linotype" w:eastAsia="Palatino Linotype" w:hAnsi="Palatino Linotype" w:cs="Palatino Linotype"/>
          <w:color w:val="000000"/>
        </w:rPr>
        <w:t>del Estado de México y Municipios, conozca y resuelva el presente recurso.</w:t>
      </w:r>
    </w:p>
    <w:p w:rsidR="00E5255D" w:rsidRDefault="00E5255D">
      <w:pPr>
        <w:pStyle w:val="Ttulo1"/>
        <w:spacing w:before="0" w:line="360" w:lineRule="auto"/>
        <w:rPr>
          <w:rFonts w:ascii="Palatino Linotype" w:eastAsia="Palatino Linotype" w:hAnsi="Palatino Linotype" w:cs="Palatino Linotype"/>
          <w:b/>
          <w:color w:val="000000"/>
          <w:sz w:val="24"/>
          <w:szCs w:val="24"/>
        </w:rPr>
      </w:pPr>
    </w:p>
    <w:p w:rsidR="00E5255D" w:rsidRDefault="00E064E1">
      <w:pPr>
        <w:pStyle w:val="Ttulo1"/>
        <w:spacing w:before="0" w:line="360" w:lineRule="auto"/>
        <w:rPr>
          <w:rFonts w:ascii="Palatino Linotype" w:eastAsia="Palatino Linotype" w:hAnsi="Palatino Linotype" w:cs="Palatino Linotype"/>
          <w:b/>
          <w:color w:val="000000"/>
          <w:sz w:val="24"/>
          <w:szCs w:val="24"/>
        </w:rPr>
      </w:pPr>
      <w:bookmarkStart w:id="12" w:name="_heading=h.3rdcrjn" w:colFirst="0" w:colLast="0"/>
      <w:bookmarkEnd w:id="12"/>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rsidR="00E5255D" w:rsidRDefault="00E5255D">
      <w:pPr>
        <w:spacing w:line="360" w:lineRule="auto"/>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la siguiente información a modo desagregado:</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1"/>
        </w:num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Título profesional y certificación ante el Instituto Hacendario del Estado de México, del Director de Catastro Municipal.</w:t>
      </w:r>
    </w:p>
    <w:p w:rsidR="00E5255D" w:rsidRDefault="00E5255D">
      <w:pPr>
        <w:pBdr>
          <w:top w:val="nil"/>
          <w:left w:val="nil"/>
          <w:bottom w:val="nil"/>
          <w:right w:val="nil"/>
          <w:between w:val="nil"/>
        </w:pBdr>
        <w:spacing w:line="360" w:lineRule="auto"/>
        <w:ind w:left="709"/>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remitió un título profesional y manifestó que se encontraba en proceso de certificación.</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con la respuesta, el solicitante interpuso recurso de revisión, señalando </w:t>
      </w:r>
      <w:r>
        <w:rPr>
          <w:rFonts w:ascii="Palatino Linotype" w:eastAsia="Palatino Linotype" w:hAnsi="Palatino Linotype" w:cs="Palatino Linotype"/>
          <w:i/>
          <w:color w:val="000000"/>
        </w:rPr>
        <w:t xml:space="preserve">grosso modo </w:t>
      </w:r>
      <w:r>
        <w:rPr>
          <w:rFonts w:ascii="Palatino Linotype" w:eastAsia="Palatino Linotype" w:hAnsi="Palatino Linotype" w:cs="Palatino Linotype"/>
          <w:color w:val="000000"/>
        </w:rPr>
        <w:t>que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 la información es incompleta.</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dichas condiciones,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el presente recurso de revisión, se circunscribe a determinar si se actualiza</w:t>
      </w:r>
      <w:r>
        <w:rPr>
          <w:rFonts w:ascii="Palatino Linotype" w:eastAsia="Palatino Linotype" w:hAnsi="Palatino Linotype" w:cs="Palatino Linotype"/>
          <w:color w:val="000000"/>
        </w:rPr>
        <w:t xml:space="preserve"> la causal de procedencia prevista en el </w:t>
      </w:r>
      <w:r>
        <w:rPr>
          <w:rFonts w:ascii="Palatino Linotype" w:eastAsia="Palatino Linotype" w:hAnsi="Palatino Linotype" w:cs="Palatino Linotype"/>
          <w:b/>
          <w:color w:val="000000"/>
        </w:rPr>
        <w:t>artículo 179</w:t>
      </w:r>
      <w:r>
        <w:rPr>
          <w:rFonts w:ascii="Palatino Linotype" w:eastAsia="Palatino Linotype" w:hAnsi="Palatino Linotype" w:cs="Palatino Linotype"/>
          <w:color w:val="000000"/>
        </w:rPr>
        <w:t xml:space="preserve">, fracción </w:t>
      </w:r>
      <w:r>
        <w:rPr>
          <w:rFonts w:ascii="Palatino Linotype" w:eastAsia="Palatino Linotype" w:hAnsi="Palatino Linotype" w:cs="Palatino Linotype"/>
          <w:b/>
          <w:color w:val="000000"/>
        </w:rPr>
        <w:t>V</w:t>
      </w:r>
      <w:r>
        <w:rPr>
          <w:rFonts w:ascii="Palatino Linotype" w:eastAsia="Palatino Linotype" w:hAnsi="Palatino Linotype" w:cs="Palatino Linotype"/>
          <w:color w:val="000000"/>
        </w:rPr>
        <w:t xml:space="preserve"> de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fracción que determina la hipótesis jurídica de la entrega de información incompleta, causal d</w:t>
      </w:r>
      <w:r>
        <w:rPr>
          <w:rFonts w:ascii="Palatino Linotype" w:eastAsia="Palatino Linotype" w:hAnsi="Palatino Linotype" w:cs="Palatino Linotype"/>
          <w:color w:val="000000"/>
        </w:rPr>
        <w:t xml:space="preserve">e la que se dolió el particular recurrente al momento de interponer su recurso de revisión, por lo que se determinará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referencia; asimismo, determinar si se vulnera el derecho de acc</w:t>
      </w:r>
      <w:r>
        <w:rPr>
          <w:rFonts w:ascii="Palatino Linotype" w:eastAsia="Palatino Linotype" w:hAnsi="Palatino Linotype" w:cs="Palatino Linotype"/>
          <w:color w:val="000000"/>
        </w:rPr>
        <w:t>eso a la información del particular por la inobservancia a los principios contenidos en el artículo 11 de la Ley de Transparencia y Acceso a la Información Pública del Estado de México y Municipios, los cuales señala entre otros, que en la generación y ent</w:t>
      </w:r>
      <w:r>
        <w:rPr>
          <w:rFonts w:ascii="Palatino Linotype" w:eastAsia="Palatino Linotype" w:hAnsi="Palatino Linotype" w:cs="Palatino Linotype"/>
          <w:color w:val="000000"/>
        </w:rPr>
        <w:t>rega de información se deberá garantizar que sea oportuna, completa e integral.</w:t>
      </w:r>
    </w:p>
    <w:p w:rsidR="00E5255D" w:rsidRDefault="00E5255D">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E5255D" w:rsidRDefault="00E064E1">
      <w:pPr>
        <w:pStyle w:val="Ttulo1"/>
        <w:spacing w:before="0" w:line="360" w:lineRule="auto"/>
        <w:rPr>
          <w:rFonts w:ascii="Palatino Linotype" w:eastAsia="Palatino Linotype" w:hAnsi="Palatino Linotype" w:cs="Palatino Linotype"/>
          <w:b/>
          <w:color w:val="000000"/>
          <w:sz w:val="24"/>
          <w:szCs w:val="24"/>
        </w:rPr>
      </w:pPr>
      <w:bookmarkStart w:id="13" w:name="_heading=h.26in1rg" w:colFirst="0" w:colLast="0"/>
      <w:bookmarkEnd w:id="13"/>
      <w:r>
        <w:rPr>
          <w:rFonts w:ascii="Palatino Linotype" w:eastAsia="Palatino Linotype" w:hAnsi="Palatino Linotype" w:cs="Palatino Linotype"/>
          <w:b/>
          <w:color w:val="000000"/>
          <w:sz w:val="24"/>
          <w:szCs w:val="24"/>
        </w:rPr>
        <w:t>CUARTO. Del estudio y resolución del asunto.</w:t>
      </w:r>
    </w:p>
    <w:p w:rsidR="00E5255D" w:rsidRDefault="00E5255D"/>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Primeramente es menester precisar que este Órgano Garante parte del hecho que el Derecho de Acceso a la Información Pública, es u</w:t>
      </w:r>
      <w:r>
        <w:rPr>
          <w:rFonts w:ascii="Palatino Linotype" w:eastAsia="Palatino Linotype" w:hAnsi="Palatino Linotype" w:cs="Palatino Linotype"/>
          <w:color w:val="000000"/>
        </w:rPr>
        <w:t xml:space="preserve">n derecho humano reconocido en el Pacto de Derechos Civiles y Políticos en su artículo 19.2; en la </w:t>
      </w:r>
      <w:r>
        <w:rPr>
          <w:rFonts w:ascii="Palatino Linotype" w:eastAsia="Palatino Linotype" w:hAnsi="Palatino Linotype" w:cs="Palatino Linotype"/>
          <w:color w:val="000000"/>
        </w:rPr>
        <w:lastRenderedPageBreak/>
        <w:t>Convención Americana sobre Derechos Humanos en su artículo 13.1; en el artículo sexto de la Constitución Política de los Estados Unidos Mexicanos y en el art</w:t>
      </w:r>
      <w:r>
        <w:rPr>
          <w:rFonts w:ascii="Palatino Linotype" w:eastAsia="Palatino Linotype" w:hAnsi="Palatino Linotype" w:cs="Palatino Linotype"/>
          <w:color w:val="000000"/>
        </w:rPr>
        <w:t xml:space="preserve">ículo quinto de la Particular del Estado de México, por lo que al respecto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ser cuidadoso del debido cumplimiento de las obligaciones constitucionales que se le imponen, en consecuencia, a todas las autoridades, en el ámbito de su co</w:t>
      </w:r>
      <w:r>
        <w:rPr>
          <w:rFonts w:ascii="Palatino Linotype" w:eastAsia="Palatino Linotype" w:hAnsi="Palatino Linotype" w:cs="Palatino Linotype"/>
          <w:color w:val="000000"/>
        </w:rPr>
        <w:t xml:space="preserve">mpetencia, según lo dispone el tercer párrafo del artículo primero de la </w:t>
      </w:r>
      <w:r>
        <w:rPr>
          <w:rFonts w:ascii="Palatino Linotype" w:eastAsia="Palatino Linotype" w:hAnsi="Palatino Linotype" w:cs="Palatino Linotype"/>
          <w:b/>
          <w:color w:val="000000"/>
        </w:rPr>
        <w:t xml:space="preserve">Constitución Política de los Estados Unidos Mexicanos </w:t>
      </w:r>
      <w:r>
        <w:rPr>
          <w:rFonts w:ascii="Palatino Linotype" w:eastAsia="Palatino Linotype" w:hAnsi="Palatino Linotype" w:cs="Palatino Linotype"/>
          <w:color w:val="000000"/>
        </w:rPr>
        <w:t xml:space="preserve">al señalar la obligación de “promover, respetar, proteger y </w:t>
      </w:r>
      <w:r>
        <w:rPr>
          <w:rFonts w:ascii="Palatino Linotype" w:eastAsia="Palatino Linotype" w:hAnsi="Palatino Linotype" w:cs="Palatino Linotype"/>
          <w:b/>
          <w:color w:val="000000"/>
        </w:rPr>
        <w:t>garantizar</w:t>
      </w:r>
      <w:r>
        <w:rPr>
          <w:rFonts w:ascii="Palatino Linotype" w:eastAsia="Palatino Linotype" w:hAnsi="Palatino Linotype" w:cs="Palatino Linotype"/>
          <w:color w:val="000000"/>
        </w:rPr>
        <w:t xml:space="preserve"> los derechos humanos”, entre los cuales se encuentra dicho derecho.</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anterior, se deduce que el derecho de acceso a la información pública es un derecho humano convencional y constitucionalmente reconocido; en consecuencia, todas las autoridades en el ámbito de sus competencias, funciones y atribuciones tienen la obl</w:t>
      </w:r>
      <w:r>
        <w:rPr>
          <w:rFonts w:ascii="Palatino Linotype" w:eastAsia="Palatino Linotype" w:hAnsi="Palatino Linotype" w:cs="Palatino Linotype"/>
          <w:color w:val="000000"/>
        </w:rPr>
        <w:t>igación de respetarlo, protegerlo y garantizarlo.</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la Ley de Transparencia y Acceso a la Información Pública del Estado de México y Municipios, cuyo objeto es establecer principios, bases generales y procedimientos para tutelar y garantizar </w:t>
      </w:r>
      <w:r>
        <w:rPr>
          <w:rFonts w:ascii="Palatino Linotype" w:eastAsia="Palatino Linotype" w:hAnsi="Palatino Linotype" w:cs="Palatino Linotype"/>
          <w:color w:val="000000"/>
        </w:rPr>
        <w:t>la transparencia y el derecho humano de acceso a la información pública en posesión de los sujetos obligados; en su artículo 176 establece que el recurso de revisión es la garantía secundaria mediante la cual se pretende reparar cualquier posible afectació</w:t>
      </w:r>
      <w:r>
        <w:rPr>
          <w:rFonts w:ascii="Palatino Linotype" w:eastAsia="Palatino Linotype" w:hAnsi="Palatino Linotype" w:cs="Palatino Linotype"/>
          <w:color w:val="000000"/>
        </w:rPr>
        <w:t xml:space="preserve">n al derecho de acceso a la información pública, siendo éste el medio a través del cual, este Órgano Garante después de realizar el análisis al procedimiento de acceso a la información, podrá determinar la </w:t>
      </w:r>
      <w:r>
        <w:rPr>
          <w:rFonts w:ascii="Palatino Linotype" w:eastAsia="Palatino Linotype" w:hAnsi="Palatino Linotype" w:cs="Palatino Linotype"/>
          <w:color w:val="000000"/>
        </w:rPr>
        <w:lastRenderedPageBreak/>
        <w:t>posible afectación y, de ser el caso, ordenar la r</w:t>
      </w:r>
      <w:r>
        <w:rPr>
          <w:rFonts w:ascii="Palatino Linotype" w:eastAsia="Palatino Linotype" w:hAnsi="Palatino Linotype" w:cs="Palatino Linotype"/>
          <w:color w:val="000000"/>
        </w:rPr>
        <w:t>eparación a la violación del derecho en cuestión.</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Acotado lo anterior, resulta necesario traer a contexto las razones o motivos de inconformidad, ya que de los mismos se advierte que la hoy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se inconforma únicamente por un punto de la solicitud</w:t>
      </w:r>
      <w:r>
        <w:rPr>
          <w:rFonts w:ascii="Palatino Linotype" w:eastAsia="Palatino Linotype" w:hAnsi="Palatino Linotype" w:cs="Palatino Linotype"/>
          <w:color w:val="000000"/>
        </w:rPr>
        <w:t xml:space="preserve">, como se observa: </w:t>
      </w:r>
      <w:r>
        <w:rPr>
          <w:rFonts w:ascii="Palatino Linotype" w:eastAsia="Palatino Linotype" w:hAnsi="Palatino Linotype" w:cs="Palatino Linotype"/>
          <w:i/>
          <w:color w:val="000000"/>
        </w:rPr>
        <w:t>“no anexan documentacion oficial para demostrar que se encuentra en proceso de certificacion, cuando lleva mas de dos meses en el cargo”</w:t>
      </w:r>
      <w:r>
        <w:rPr>
          <w:rFonts w:ascii="Palatino Linotype" w:eastAsia="Palatino Linotype" w:hAnsi="Palatino Linotype" w:cs="Palatino Linotype"/>
          <w:color w:val="000000"/>
        </w:rPr>
        <w:t>.</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desprende que </w:t>
      </w:r>
      <w:r>
        <w:rPr>
          <w:rFonts w:ascii="Palatino Linotype" w:eastAsia="Palatino Linotype" w:hAnsi="Palatino Linotype" w:cs="Palatino Linotype"/>
          <w:b/>
          <w:color w:val="000000"/>
        </w:rPr>
        <w:t>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no se inconforma por la totalidad de la información</w:t>
      </w:r>
      <w:r>
        <w:rPr>
          <w:rFonts w:ascii="Palatino Linotype" w:eastAsia="Palatino Linotype" w:hAnsi="Palatino Linotype" w:cs="Palatino Linotype"/>
          <w:color w:val="000000"/>
        </w:rPr>
        <w:t xml:space="preserve"> entregada en respuesta, sino únicamente del rubro antes señalado.</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por cuanto hace al resto de la información entregada a la que no se realizó impugnación alguna, debe entenderse como consentida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Ello es así, debido a que </w:t>
      </w:r>
      <w:r>
        <w:rPr>
          <w:rFonts w:ascii="Palatino Linotype" w:eastAsia="Palatino Linotype" w:hAnsi="Palatino Linotype" w:cs="Palatino Linotype"/>
          <w:color w:val="000000"/>
        </w:rPr>
        <w:t>cuando el solicitante no expresa razón o motivo de inconformidad en contra de todos los rubros de la respuesta que pudieran ser un agravio a su derecho, los mismos deben estimarse atendidos. Sirve de apoyo a lo anterior, por analogía, la Tesis Jurisprudenc</w:t>
      </w:r>
      <w:r>
        <w:rPr>
          <w:rFonts w:ascii="Palatino Linotype" w:eastAsia="Palatino Linotype" w:hAnsi="Palatino Linotype" w:cs="Palatino Linotype"/>
          <w:color w:val="000000"/>
        </w:rPr>
        <w:t>ial Número 3ª./J.7/91, publicada en el Semanario Judicial de la Federación y su Gaceta bajo el número de registro 174,177, que establece lo siguiente:</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spacing w:line="360" w:lineRule="auto"/>
        <w:ind w:left="426" w:right="474"/>
        <w:jc w:val="both"/>
        <w:rPr>
          <w:rFonts w:ascii="Palatino Linotype" w:eastAsia="Palatino Linotype" w:hAnsi="Palatino Linotype" w:cs="Palatino Linotype"/>
          <w:i/>
        </w:rPr>
      </w:pPr>
      <w:r>
        <w:rPr>
          <w:rFonts w:ascii="Palatino Linotype" w:eastAsia="Palatino Linotype" w:hAnsi="Palatino Linotype" w:cs="Palatino Linotype"/>
          <w:b/>
          <w:i/>
        </w:rPr>
        <w:t>REVISIÓN EN AMPARO. LOS RESOLUTIVOS NO COMBATIDOS DEBEN DECLARARSE FIRMES</w:t>
      </w:r>
      <w:r>
        <w:rPr>
          <w:rFonts w:ascii="Palatino Linotype" w:eastAsia="Palatino Linotype" w:hAnsi="Palatino Linotype" w:cs="Palatino Linotype"/>
          <w:i/>
        </w:rPr>
        <w:t xml:space="preserve">. “Cuando algún resolutivo de la sentencia impugnada afecta a la recurrente, y ésta no expresa agravio en contra de las </w:t>
      </w:r>
      <w:r>
        <w:rPr>
          <w:rFonts w:ascii="Palatino Linotype" w:eastAsia="Palatino Linotype" w:hAnsi="Palatino Linotype" w:cs="Palatino Linotype"/>
          <w:i/>
        </w:rPr>
        <w:lastRenderedPageBreak/>
        <w:t xml:space="preserve">consideraciones que le sirven de base, dicho resolutivo debe declararse firme. Esto es, en el caso referido, no obstante que la materia </w:t>
      </w:r>
      <w:r>
        <w:rPr>
          <w:rFonts w:ascii="Palatino Linotype" w:eastAsia="Palatino Linotype" w:hAnsi="Palatino Linotype" w:cs="Palatino Linotype"/>
          <w:i/>
        </w:rPr>
        <w:t xml:space="preserve">de la revisión comprende a todos los resolutivos que afectan a la recurrente, deben declararse firmes aquéllos en contra de los cuales no se formuló agravio y dicha declaración de firmeza debe reflejarse en la parte considerativa y en los resolutivos debe </w:t>
      </w:r>
      <w:r>
        <w:rPr>
          <w:rFonts w:ascii="Palatino Linotype" w:eastAsia="Palatino Linotype" w:hAnsi="Palatino Linotype" w:cs="Palatino Linotype"/>
          <w:i/>
        </w:rPr>
        <w:t>confirmarse la sentencia recurrida en la parte correspondiente.”</w:t>
      </w:r>
    </w:p>
    <w:p w:rsidR="00E5255D" w:rsidRDefault="00E5255D">
      <w:pPr>
        <w:spacing w:line="360" w:lineRule="auto"/>
        <w:ind w:left="567" w:right="567"/>
        <w:jc w:val="both"/>
        <w:rPr>
          <w:rFonts w:ascii="Palatino Linotype" w:eastAsia="Palatino Linotype" w:hAnsi="Palatino Linotype" w:cs="Palatino Linotype"/>
          <w:i/>
          <w:sz w:val="22"/>
          <w:szCs w:val="22"/>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entonces, la parte de la solicitud sobre la que no se expresó inconformidad, debe declararse consentida por el hoy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ya que no pueden producirse efectos jurídicos tendentes a</w:t>
      </w:r>
      <w:r>
        <w:rPr>
          <w:rFonts w:ascii="Palatino Linotype" w:eastAsia="Palatino Linotype" w:hAnsi="Palatino Linotype" w:cs="Palatino Linotype"/>
          <w:color w:val="000000"/>
        </w:rPr>
        <w:t xml:space="preserve"> revocar, confirmar o modificar la parte de la respuesta con relación a la parte de la solicitud que no fue motivo de disenso ya que se infiere un consentimiento del particular ante la falta de impugnación eficaz. Sirve de sustento a lo anterior, por analo</w:t>
      </w:r>
      <w:r>
        <w:rPr>
          <w:rFonts w:ascii="Palatino Linotype" w:eastAsia="Palatino Linotype" w:hAnsi="Palatino Linotype" w:cs="Palatino Linotype"/>
          <w:color w:val="000000"/>
        </w:rPr>
        <w:t>gía, la tesis jurisprudencial número VI.3o.C. J/60, publicada en el Semanario Judicial de la Federación y su Gaceta bajo el número de registro 176,608 que a la letra dice:</w:t>
      </w:r>
    </w:p>
    <w:p w:rsidR="00E5255D" w:rsidRDefault="00E5255D">
      <w:pPr>
        <w:spacing w:line="360" w:lineRule="auto"/>
        <w:ind w:left="425" w:right="476"/>
        <w:jc w:val="both"/>
        <w:rPr>
          <w:rFonts w:ascii="Palatino Linotype" w:eastAsia="Palatino Linotype" w:hAnsi="Palatino Linotype" w:cs="Palatino Linotype"/>
          <w:b/>
          <w:i/>
        </w:rPr>
      </w:pPr>
    </w:p>
    <w:p w:rsidR="00E5255D" w:rsidRDefault="00E064E1">
      <w:pPr>
        <w:spacing w:line="360" w:lineRule="auto"/>
        <w:ind w:left="425" w:right="476"/>
        <w:jc w:val="both"/>
        <w:rPr>
          <w:rFonts w:ascii="Palatino Linotype" w:eastAsia="Palatino Linotype" w:hAnsi="Palatino Linotype" w:cs="Palatino Linotype"/>
          <w:i/>
        </w:rPr>
      </w:pPr>
      <w:r>
        <w:rPr>
          <w:rFonts w:ascii="Palatino Linotype" w:eastAsia="Palatino Linotype" w:hAnsi="Palatino Linotype" w:cs="Palatino Linotype"/>
          <w:b/>
          <w:i/>
        </w:rPr>
        <w:t>ACTOS CONSENTIDOS. SON LOS QUE NO SE IMPUGNAN MEDIANTE EL RECURSO IDÓNEO</w:t>
      </w:r>
      <w:r>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w:t>
      </w:r>
      <w:r>
        <w:rPr>
          <w:rFonts w:ascii="Palatino Linotype" w:eastAsia="Palatino Linotype" w:hAnsi="Palatino Linotype" w:cs="Palatino Linotype"/>
          <w:i/>
        </w:rPr>
        <w:t>ientes a revocar, confirmar o modificar el acto reclamado en amparo, lo que significa consentimiento del mismo por falta de impugnación eficaz.”</w:t>
      </w:r>
    </w:p>
    <w:p w:rsidR="00E5255D" w:rsidRDefault="00E5255D">
      <w:pPr>
        <w:spacing w:line="360" w:lineRule="auto"/>
        <w:ind w:left="425" w:right="476"/>
        <w:jc w:val="both"/>
        <w:rPr>
          <w:rFonts w:ascii="Palatino Linotype" w:eastAsia="Palatino Linotype" w:hAnsi="Palatino Linotype" w:cs="Palatino Linotype"/>
          <w:i/>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siguiente rubro que se desprende es el referente a la certificación del servidor público de referencia ante</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Instituto Hacendario del Estado de México, del Director de Catastro Municipal.</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222222"/>
        </w:rPr>
        <w:t xml:space="preserve">En ese sentido,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manifestó que se encontraba en proceso de certificación, </w:t>
      </w:r>
      <w:r>
        <w:rPr>
          <w:rFonts w:ascii="Palatino Linotype" w:eastAsia="Palatino Linotype" w:hAnsi="Palatino Linotype" w:cs="Palatino Linotype"/>
          <w:color w:val="000000"/>
        </w:rPr>
        <w:t>de la respuesta entregada, se debe mencionar que es de explorado derecho que est</w:t>
      </w:r>
      <w:r>
        <w:rPr>
          <w:rFonts w:ascii="Palatino Linotype" w:eastAsia="Palatino Linotype" w:hAnsi="Palatino Linotype" w:cs="Palatino Linotype"/>
          <w:color w:val="000000"/>
        </w:rPr>
        <w:t xml:space="preserve">e Órgano Garante no puede dudar de la veracidad de las respuestas esgrimidas por los sujetos obligados ni de la que ponen a disposición de los solicitantes; situación que se aleja de las atribuciones de este Instituto </w:t>
      </w:r>
      <w:r>
        <w:rPr>
          <w:rFonts w:ascii="Palatino Linotype" w:eastAsia="Palatino Linotype" w:hAnsi="Palatino Linotype" w:cs="Palatino Linotype"/>
          <w:i/>
          <w:color w:val="000000"/>
        </w:rPr>
        <w:t>máxime</w:t>
      </w:r>
      <w:r>
        <w:rPr>
          <w:rFonts w:ascii="Palatino Linotype" w:eastAsia="Palatino Linotype" w:hAnsi="Palatino Linotype" w:cs="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rsidR="00E5255D" w:rsidRDefault="00E064E1">
      <w:pPr>
        <w:pBdr>
          <w:top w:val="nil"/>
          <w:left w:val="nil"/>
          <w:bottom w:val="nil"/>
          <w:right w:val="nil"/>
          <w:between w:val="nil"/>
        </w:pBdr>
        <w:spacing w:before="240" w:after="360" w:line="36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Instituto Federal de Acceso a la Información y Prot</w:t>
      </w:r>
      <w:r>
        <w:rPr>
          <w:rFonts w:ascii="Palatino Linotype" w:eastAsia="Palatino Linotype" w:hAnsi="Palatino Linotype" w:cs="Palatino Linotype"/>
          <w:i/>
          <w:color w:val="000000"/>
        </w:rPr>
        <w:t xml:space="preserve">ección de Datos </w:t>
      </w:r>
      <w:r>
        <w:rPr>
          <w:rFonts w:ascii="Palatino Linotype" w:eastAsia="Palatino Linotype" w:hAnsi="Palatino Linotype" w:cs="Palatino Linotype"/>
          <w:b/>
          <w:i/>
          <w:color w:val="000000"/>
        </w:rPr>
        <w:t>no cuenta con facultades para pronunciarse respecto de la veracidad de los documentos proporcionados por los sujetos obligados.</w:t>
      </w:r>
      <w:r>
        <w:rPr>
          <w:rFonts w:ascii="Palatino Linotype" w:eastAsia="Palatino Linotype" w:hAnsi="Palatino Linotype" w:cs="Palatino Linotype"/>
          <w:i/>
          <w:color w:val="000000"/>
        </w:rPr>
        <w:t xml:space="preserve"> El Instituto Federal de Acceso a la Información y Protección de Datos es un órgano de la Administración Pública </w:t>
      </w:r>
      <w:r>
        <w:rPr>
          <w:rFonts w:ascii="Palatino Linotype" w:eastAsia="Palatino Linotype" w:hAnsi="Palatino Linotype" w:cs="Palatino Linotype"/>
          <w:i/>
          <w:color w:val="000000"/>
        </w:rPr>
        <w:t>Federal con autonomía operativa, presupuestaria y de decisión, encargado de promover y difundir el ejercicio del derecho de acceso a la información; resolver sobre la negativa de las solicitudes de acceso a la información; y proteger los datos personales e</w:t>
      </w:r>
      <w:r>
        <w:rPr>
          <w:rFonts w:ascii="Palatino Linotype" w:eastAsia="Palatino Linotype" w:hAnsi="Palatino Linotype" w:cs="Palatino Linotype"/>
          <w:i/>
          <w:color w:val="000000"/>
        </w:rPr>
        <w:t xml:space="preserve">n poder de las dependencias y </w:t>
      </w:r>
      <w:r>
        <w:rPr>
          <w:rFonts w:ascii="Palatino Linotype" w:eastAsia="Palatino Linotype" w:hAnsi="Palatino Linotype" w:cs="Palatino Linotype"/>
          <w:i/>
          <w:color w:val="000000"/>
        </w:rPr>
        <w:lastRenderedPageBreak/>
        <w:t xml:space="preserve">entidades. Sin embargo, no está facultado para pronunciarse sobre la veracidad de la información proporcionada por las autoridades en respuesta a las solicitudes de información que les presentan los particulares, en virtud de </w:t>
      </w:r>
      <w:r>
        <w:rPr>
          <w:rFonts w:ascii="Palatino Linotype" w:eastAsia="Palatino Linotype" w:hAnsi="Palatino Linotype" w:cs="Palatino Linotype"/>
          <w:i/>
          <w:color w:val="000000"/>
        </w:rPr>
        <w:t>que en los artículos 49 y 50 de la Ley Federal de Transparencia y Acceso a la Información Pública Gubernamental no se prevé una causal que permita al Instituto Federal de Acceso a la Información y Protección de Datos conocer, vía recurso revisión, al respe</w:t>
      </w:r>
      <w:r>
        <w:rPr>
          <w:rFonts w:ascii="Palatino Linotype" w:eastAsia="Palatino Linotype" w:hAnsi="Palatino Linotype" w:cs="Palatino Linotype"/>
          <w:i/>
          <w:color w:val="000000"/>
        </w:rPr>
        <w:t>cto.</w:t>
      </w: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Asimismo,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xml:space="preserve"> en su artículo 3, establece que la información pública generada, administrada o en posesión de los sujetos obligados en ejercicio de sus atribuciones</w:t>
      </w:r>
      <w:r>
        <w:rPr>
          <w:rFonts w:ascii="Palatino Linotype" w:eastAsia="Palatino Linotype" w:hAnsi="Palatino Linotype" w:cs="Palatino Linotype"/>
          <w:color w:val="000000"/>
        </w:rPr>
        <w:t xml:space="preserve">, será accesible de manera permanente a cualquier persona, privilegiando el principio de máxima publicidad de la información, por lo que deberán apegarse en todo momento a los criterios de publicidad, veracidad, oportunidad entre otros, numeral en comento </w:t>
      </w:r>
      <w:r>
        <w:rPr>
          <w:rFonts w:ascii="Palatino Linotype" w:eastAsia="Palatino Linotype" w:hAnsi="Palatino Linotype" w:cs="Palatino Linotype"/>
          <w:color w:val="000000"/>
        </w:rPr>
        <w:t>que a la letra señala:</w:t>
      </w:r>
    </w:p>
    <w:p w:rsidR="00E5255D" w:rsidRDefault="00E5255D">
      <w:pPr>
        <w:pBdr>
          <w:top w:val="nil"/>
          <w:left w:val="nil"/>
          <w:bottom w:val="nil"/>
          <w:right w:val="nil"/>
          <w:between w:val="nil"/>
        </w:pBdr>
        <w:spacing w:line="360" w:lineRule="auto"/>
        <w:ind w:left="851" w:right="902"/>
        <w:jc w:val="both"/>
        <w:rPr>
          <w:rFonts w:ascii="Palatino Linotype" w:eastAsia="Palatino Linotype" w:hAnsi="Palatino Linotype" w:cs="Palatino Linotype"/>
          <w:i/>
          <w:color w:val="000000"/>
        </w:rPr>
      </w:pPr>
    </w:p>
    <w:p w:rsidR="00E5255D" w:rsidRDefault="00E064E1">
      <w:pPr>
        <w:pBdr>
          <w:top w:val="nil"/>
          <w:left w:val="nil"/>
          <w:bottom w:val="nil"/>
          <w:right w:val="nil"/>
          <w:between w:val="nil"/>
        </w:pBdr>
        <w:spacing w:line="360" w:lineRule="auto"/>
        <w:ind w:left="567" w:right="616"/>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i/>
          <w:color w:val="000000"/>
        </w:rPr>
        <w:t>Los Sujetos Obligados deben poner en práctica, políticas y programas de acceso a la información que se apeguen a criterios de publicidad, veracidad, oportunidad, precisión y suficiencia en beneficio de los solicitantes.</w:t>
      </w:r>
    </w:p>
    <w:p w:rsidR="00E5255D" w:rsidRDefault="00E5255D">
      <w:pPr>
        <w:pBdr>
          <w:top w:val="nil"/>
          <w:left w:val="nil"/>
          <w:bottom w:val="nil"/>
          <w:right w:val="nil"/>
          <w:between w:val="nil"/>
        </w:pBdr>
        <w:spacing w:line="360" w:lineRule="auto"/>
        <w:ind w:left="851" w:right="902"/>
        <w:jc w:val="both"/>
        <w:rPr>
          <w:rFonts w:ascii="Palatino Linotype" w:eastAsia="Palatino Linotype" w:hAnsi="Palatino Linotype" w:cs="Palatino Linotype"/>
          <w:b/>
          <w:i/>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Numerales que compelen al </w:t>
      </w:r>
      <w:r>
        <w:rPr>
          <w:rFonts w:ascii="Palatino Linotype" w:eastAsia="Palatino Linotype" w:hAnsi="Palatino Linotype" w:cs="Palatino Linotype"/>
          <w:b/>
          <w:color w:val="000000"/>
        </w:rPr>
        <w:t>SUJETO OB</w:t>
      </w:r>
      <w:r>
        <w:rPr>
          <w:rFonts w:ascii="Palatino Linotype" w:eastAsia="Palatino Linotype" w:hAnsi="Palatino Linotype" w:cs="Palatino Linotype"/>
          <w:b/>
          <w:color w:val="000000"/>
        </w:rPr>
        <w:t>LIGADO</w:t>
      </w:r>
      <w:r>
        <w:rPr>
          <w:rFonts w:ascii="Palatino Linotype" w:eastAsia="Palatino Linotype" w:hAnsi="Palatino Linotype" w:cs="Palatino Linotype"/>
          <w:color w:val="000000"/>
        </w:rPr>
        <w:t xml:space="preserve"> apegarse en todo momento a los criterios ya expuestos, imipidiendo a este Órgano Colegiado cuestionar la veracidad de la información.</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obstante lo anterior, con dicho pronunciamiento no se puede tener por atendido el derecho de acceso a la información de la hoy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toda vez que como tuviera a bien señalar la particular, el artículo 169 del Código Financiero del Estado de México</w:t>
      </w:r>
      <w:r>
        <w:rPr>
          <w:rFonts w:ascii="Palatino Linotype" w:eastAsia="Palatino Linotype" w:hAnsi="Palatino Linotype" w:cs="Palatino Linotype"/>
          <w:color w:val="000000"/>
        </w:rPr>
        <w:t xml:space="preserve"> y Municipios, contiene la fuente obligacional para que el servidor público de referencia, cuente con una certificación, la cual corresponde al procedimiento a través del cual se reconocen oficialmente los conocimientos, las habilidades y las actitudes que</w:t>
      </w:r>
      <w:r>
        <w:rPr>
          <w:rFonts w:ascii="Palatino Linotype" w:eastAsia="Palatino Linotype" w:hAnsi="Palatino Linotype" w:cs="Palatino Linotype"/>
          <w:color w:val="000000"/>
        </w:rPr>
        <w:t xml:space="preserve"> se requieren para ejercer las funciones requeridas para desempeñar su función.</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el caso de la certificación del servidor público titular de la unidad encargada del catastro municipal, deberá ser expedida por la Comisión Certificadora de Competencia Laboral de los Servidores Públicos del Estado de México (COCERTEM) del Instituto H</w:t>
      </w:r>
      <w:r>
        <w:rPr>
          <w:rFonts w:ascii="Palatino Linotype" w:eastAsia="Palatino Linotype" w:hAnsi="Palatino Linotype" w:cs="Palatino Linotype"/>
          <w:color w:val="000000"/>
        </w:rPr>
        <w:t xml:space="preserve">acendario del Estado de México (IHAEM), que es el órgano público encargado de normalizar, evaluar, capacitar y certificar la competencia laboral de los servidores públicos del Estado de México, con base en la norma NICL's, acreditando para ello centros de </w:t>
      </w:r>
      <w:r>
        <w:rPr>
          <w:rFonts w:ascii="Palatino Linotype" w:eastAsia="Palatino Linotype" w:hAnsi="Palatino Linotype" w:cs="Palatino Linotype"/>
          <w:color w:val="000000"/>
        </w:rPr>
        <w:t>evaluación y evaluadores, así como centros de capacitación y capacitadores.</w:t>
      </w:r>
    </w:p>
    <w:p w:rsidR="00E5255D" w:rsidRDefault="00E5255D">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la Comisión Certificadora de Competencia Laboral de los Servidores Públicos del Estado de México promueve, a través de diversos centros de </w:t>
      </w:r>
      <w:r>
        <w:rPr>
          <w:rFonts w:ascii="Palatino Linotype" w:eastAsia="Palatino Linotype" w:hAnsi="Palatino Linotype" w:cs="Palatino Linotype"/>
          <w:color w:val="000000"/>
        </w:rPr>
        <w:lastRenderedPageBreak/>
        <w:t>evaluación (dependencias</w:t>
      </w:r>
      <w:r>
        <w:rPr>
          <w:rFonts w:ascii="Palatino Linotype" w:eastAsia="Palatino Linotype" w:hAnsi="Palatino Linotype" w:cs="Palatino Linotype"/>
          <w:color w:val="000000"/>
        </w:rPr>
        <w:t xml:space="preserve"> gubernamentales), la capacitación, evaluación y certificación de servidores públicos municipales.</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en virtud de que la autoridad catastral municipal, tiene a su cargo la alta encomienda de administrar el sistema de información territorial, cu</w:t>
      </w:r>
      <w:r>
        <w:rPr>
          <w:rFonts w:ascii="Palatino Linotype" w:eastAsia="Palatino Linotype" w:hAnsi="Palatino Linotype" w:cs="Palatino Linotype"/>
          <w:color w:val="000000"/>
        </w:rPr>
        <w:t xml:space="preserve">yo propósito es integrar, conservar y mantener actualizado el padrón catastral municipal. </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Atento a lo anterior, es que la </w:t>
      </w:r>
      <w:r>
        <w:rPr>
          <w:rFonts w:ascii="Palatino Linotype" w:eastAsia="Palatino Linotype" w:hAnsi="Palatino Linotype" w:cs="Palatino Linotype"/>
          <w:b/>
          <w:color w:val="000000"/>
        </w:rPr>
        <w:t xml:space="preserve">Norma Institucional de Competencia Laboral </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NICL</w:t>
      </w:r>
      <w:r>
        <w:rPr>
          <w:rFonts w:ascii="Palatino Linotype" w:eastAsia="Palatino Linotype" w:hAnsi="Palatino Linotype" w:cs="Palatino Linotype"/>
          <w:color w:val="000000"/>
        </w:rPr>
        <w:t xml:space="preserve">) se describe como </w:t>
      </w:r>
      <w:r>
        <w:rPr>
          <w:rFonts w:ascii="Palatino Linotype" w:eastAsia="Palatino Linotype" w:hAnsi="Palatino Linotype" w:cs="Palatino Linotype"/>
          <w:i/>
          <w:color w:val="000000"/>
        </w:rPr>
        <w:t>el desempeño de la persona servidora pública que administra la ac</w:t>
      </w:r>
      <w:r>
        <w:rPr>
          <w:rFonts w:ascii="Palatino Linotype" w:eastAsia="Palatino Linotype" w:hAnsi="Palatino Linotype" w:cs="Palatino Linotype"/>
          <w:i/>
          <w:color w:val="000000"/>
        </w:rPr>
        <w:t>tividad catastral en el Estado de México y en los municipios, desde que planea las actividades que se deben llevar a cabo para cumplir con las disposiciones normativas; la organización de los recursos humanos y materiales para incrementar la eficiencia; la</w:t>
      </w:r>
      <w:r>
        <w:rPr>
          <w:rFonts w:ascii="Palatino Linotype" w:eastAsia="Palatino Linotype" w:hAnsi="Palatino Linotype" w:cs="Palatino Linotype"/>
          <w:i/>
          <w:color w:val="000000"/>
        </w:rPr>
        <w:t xml:space="preserve"> dirección de los recursos humanos, resolviendo los problemas cotidianos y realizando las gestiones para obtener mejores resultados; hasta supervisar los procesos para generar los productos y servicios y evaluar los resultados.</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entonces, el citado precepto jurídico del Código Financiero del Estado de México y Municipios, establece que el servidor público designado para dicho cargo, deberá contar con la certificación al momento de su designación; o bien obtenerla en un </w:t>
      </w:r>
      <w:r>
        <w:rPr>
          <w:rFonts w:ascii="Palatino Linotype" w:eastAsia="Palatino Linotype" w:hAnsi="Palatino Linotype" w:cs="Palatino Linotype"/>
          <w:b/>
          <w:color w:val="000000"/>
        </w:rPr>
        <w:t>plazo</w:t>
      </w:r>
      <w:r>
        <w:rPr>
          <w:rFonts w:ascii="Palatino Linotype" w:eastAsia="Palatino Linotype" w:hAnsi="Palatino Linotype" w:cs="Palatino Linotype"/>
          <w:b/>
          <w:color w:val="000000"/>
        </w:rPr>
        <w:t xml:space="preserve"> máximo de seis meses</w:t>
      </w:r>
      <w:r>
        <w:rPr>
          <w:rFonts w:ascii="Palatino Linotype" w:eastAsia="Palatino Linotype" w:hAnsi="Palatino Linotype" w:cs="Palatino Linotype"/>
          <w:color w:val="000000"/>
        </w:rPr>
        <w:t xml:space="preserve"> contados a partir de su designación, como se observa:</w:t>
      </w:r>
    </w:p>
    <w:p w:rsidR="00E5255D" w:rsidRDefault="00E064E1">
      <w:pPr>
        <w:pBdr>
          <w:top w:val="nil"/>
          <w:left w:val="nil"/>
          <w:bottom w:val="nil"/>
          <w:right w:val="nil"/>
          <w:between w:val="nil"/>
        </w:pBdr>
        <w:ind w:left="708"/>
        <w:rPr>
          <w:rFonts w:ascii="Palatino Linotype" w:eastAsia="Palatino Linotype" w:hAnsi="Palatino Linotype" w:cs="Palatino Linotype"/>
          <w:color w:val="000000"/>
        </w:rPr>
      </w:pPr>
      <w:r>
        <w:rPr>
          <w:noProof/>
        </w:rPr>
        <mc:AlternateContent>
          <mc:Choice Requires="wpg">
            <w:drawing>
              <wp:anchor distT="0" distB="0" distL="114300" distR="114300" simplePos="0" relativeHeight="251659264" behindDoc="0" locked="0" layoutInCell="1" hidden="0" allowOverlap="1">
                <wp:simplePos x="0" y="0"/>
                <wp:positionH relativeFrom="column">
                  <wp:posOffset>12701</wp:posOffset>
                </wp:positionH>
                <wp:positionV relativeFrom="paragraph">
                  <wp:posOffset>50800</wp:posOffset>
                </wp:positionV>
                <wp:extent cx="5600864" cy="1094179"/>
                <wp:effectExtent l="0" t="0" r="0" b="0"/>
                <wp:wrapNone/>
                <wp:docPr id="31" name="Conector recto de flecha 31"/>
                <wp:cNvGraphicFramePr/>
                <a:graphic xmlns:a="http://schemas.openxmlformats.org/drawingml/2006/main">
                  <a:graphicData uri="http://schemas.microsoft.com/office/word/2010/wordprocessingShape">
                    <wps:wsp>
                      <wps:cNvCnPr/>
                      <wps:spPr>
                        <a:xfrm>
                          <a:off x="2558268" y="3245611"/>
                          <a:ext cx="5575464" cy="1068779"/>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5600864" cy="1094179"/>
                <wp:effectExtent b="0" l="0" r="0" t="0"/>
                <wp:wrapNone/>
                <wp:docPr id="31"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5600864" cy="1094179"/>
                        </a:xfrm>
                        <a:prstGeom prst="rect"/>
                        <a:ln/>
                      </pic:spPr>
                    </pic:pic>
                  </a:graphicData>
                </a:graphic>
              </wp:anchor>
            </w:drawing>
          </mc:Fallback>
        </mc:AlternateContent>
      </w:r>
    </w:p>
    <w:p w:rsidR="00E5255D" w:rsidRDefault="00E064E1">
      <w:pPr>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5284733" cy="3465282"/>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284733" cy="3465282"/>
                    </a:xfrm>
                    <a:prstGeom prst="rect">
                      <a:avLst/>
                    </a:prstGeom>
                    <a:ln/>
                  </pic:spPr>
                </pic:pic>
              </a:graphicData>
            </a:graphic>
          </wp:inline>
        </w:drawing>
      </w:r>
    </w:p>
    <w:p w:rsidR="00E5255D" w:rsidRDefault="00E5255D">
      <w:pPr>
        <w:jc w:val="center"/>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la particular refirió que el servidor público que detenta el puesto, lleva más de dos (2) meses en el cargo; no obstante no adjuntó ningún medio probatorio que</w:t>
      </w:r>
      <w:r>
        <w:rPr>
          <w:rFonts w:ascii="Palatino Linotype" w:eastAsia="Palatino Linotype" w:hAnsi="Palatino Linotype" w:cs="Palatino Linotype"/>
          <w:color w:val="000000"/>
        </w:rPr>
        <w:t xml:space="preserve"> otorgue elementos de convicción respecto de su dicho.</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14" w:name="_heading=h.lnxbz9" w:colFirst="0" w:colLast="0"/>
      <w:bookmarkEnd w:id="14"/>
      <w:r>
        <w:rPr>
          <w:rFonts w:ascii="Palatino Linotype" w:eastAsia="Palatino Linotype" w:hAnsi="Palatino Linotype" w:cs="Palatino Linotype"/>
          <w:color w:val="000000"/>
        </w:rPr>
        <w:t>Por tal motivo, este Organismo Garante realizó una búsqueda del servidor público de referencia dentro del portal de Información Pública de Oficio (</w:t>
      </w:r>
      <w:r>
        <w:rPr>
          <w:rFonts w:ascii="Palatino Linotype" w:eastAsia="Palatino Linotype" w:hAnsi="Palatino Linotype" w:cs="Palatino Linotype"/>
          <w:b/>
          <w:color w:val="000000"/>
        </w:rPr>
        <w:t>IPOMEX</w:t>
      </w:r>
      <w:r>
        <w:rPr>
          <w:rFonts w:ascii="Palatino Linotype" w:eastAsia="Palatino Linotype" w:hAnsi="Palatino Linotype" w:cs="Palatino Linotype"/>
          <w:color w:val="000000"/>
        </w:rPr>
        <w:t xml:space="preserve">)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encontrando lo siguiente</w:t>
      </w:r>
      <w:r>
        <w:rPr>
          <w:rFonts w:ascii="Palatino Linotype" w:eastAsia="Palatino Linotype" w:hAnsi="Palatino Linotype" w:cs="Palatino Linotype"/>
          <w:color w:val="000000"/>
        </w:rPr>
        <w:t>:</w:t>
      </w:r>
    </w:p>
    <w:p w:rsidR="00E5255D" w:rsidRDefault="00E064E1">
      <w:pPr>
        <w:pBdr>
          <w:top w:val="nil"/>
          <w:left w:val="nil"/>
          <w:bottom w:val="nil"/>
          <w:right w:val="nil"/>
          <w:between w:val="nil"/>
        </w:pBdr>
        <w:ind w:left="708"/>
        <w:rPr>
          <w:rFonts w:ascii="Palatino Linotype" w:eastAsia="Palatino Linotype" w:hAnsi="Palatino Linotype" w:cs="Palatino Linotype"/>
          <w:color w:val="000000"/>
        </w:rPr>
      </w:pPr>
      <w:r>
        <w:rPr>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127000</wp:posOffset>
                </wp:positionV>
                <wp:extent cx="5701805" cy="1218870"/>
                <wp:effectExtent l="0" t="0" r="0" b="0"/>
                <wp:wrapNone/>
                <wp:docPr id="27" name="Conector recto de flecha 27"/>
                <wp:cNvGraphicFramePr/>
                <a:graphic xmlns:a="http://schemas.openxmlformats.org/drawingml/2006/main">
                  <a:graphicData uri="http://schemas.microsoft.com/office/word/2010/wordprocessingShape">
                    <wps:wsp>
                      <wps:cNvCnPr/>
                      <wps:spPr>
                        <a:xfrm>
                          <a:off x="2507798" y="3183265"/>
                          <a:ext cx="5676405" cy="119347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701805" cy="1218870"/>
                <wp:effectExtent b="0" l="0" r="0" t="0"/>
                <wp:wrapNone/>
                <wp:docPr id="27"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701805" cy="1218870"/>
                        </a:xfrm>
                        <a:prstGeom prst="rect"/>
                        <a:ln/>
                      </pic:spPr>
                    </pic:pic>
                  </a:graphicData>
                </a:graphic>
              </wp:anchor>
            </w:drawing>
          </mc:Fallback>
        </mc:AlternateContent>
      </w:r>
    </w:p>
    <w:p w:rsidR="00E5255D" w:rsidRDefault="00E064E1">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extent cx="5313807" cy="4114633"/>
            <wp:effectExtent l="0" t="0" r="0" b="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313807" cy="4114633"/>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simplePos x="0" y="0"/>
                <wp:positionH relativeFrom="column">
                  <wp:posOffset>165100</wp:posOffset>
                </wp:positionH>
                <wp:positionV relativeFrom="paragraph">
                  <wp:posOffset>177800</wp:posOffset>
                </wp:positionV>
                <wp:extent cx="3219450" cy="309995"/>
                <wp:effectExtent l="0" t="0" r="0" b="0"/>
                <wp:wrapNone/>
                <wp:docPr id="32" name="Rectángulo 32"/>
                <wp:cNvGraphicFramePr/>
                <a:graphic xmlns:a="http://schemas.openxmlformats.org/drawingml/2006/main">
                  <a:graphicData uri="http://schemas.microsoft.com/office/word/2010/wordprocessingShape">
                    <wps:wsp>
                      <wps:cNvSpPr/>
                      <wps:spPr>
                        <a:xfrm>
                          <a:off x="3745800" y="3634528"/>
                          <a:ext cx="3200400" cy="290945"/>
                        </a:xfrm>
                        <a:prstGeom prst="rect">
                          <a:avLst/>
                        </a:prstGeom>
                        <a:noFill/>
                        <a:ln w="19050" cap="flat" cmpd="sng">
                          <a:solidFill>
                            <a:srgbClr val="FF0000"/>
                          </a:solidFill>
                          <a:prstDash val="solid"/>
                          <a:round/>
                          <a:headEnd type="none" w="sm" len="sm"/>
                          <a:tailEnd type="none" w="sm" len="sm"/>
                        </a:ln>
                      </wps:spPr>
                      <wps:txbx>
                        <w:txbxContent>
                          <w:p w:rsidR="00E5255D" w:rsidRDefault="00E5255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177800</wp:posOffset>
                </wp:positionV>
                <wp:extent cx="3219450" cy="309995"/>
                <wp:effectExtent b="0" l="0" r="0" t="0"/>
                <wp:wrapNone/>
                <wp:docPr id="32"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3219450" cy="30999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88901</wp:posOffset>
                </wp:positionH>
                <wp:positionV relativeFrom="paragraph">
                  <wp:posOffset>4584700</wp:posOffset>
                </wp:positionV>
                <wp:extent cx="5583052" cy="2293587"/>
                <wp:effectExtent l="0" t="0" r="0" b="0"/>
                <wp:wrapNone/>
                <wp:docPr id="30" name="Conector recto de flecha 30"/>
                <wp:cNvGraphicFramePr/>
                <a:graphic xmlns:a="http://schemas.openxmlformats.org/drawingml/2006/main">
                  <a:graphicData uri="http://schemas.microsoft.com/office/word/2010/wordprocessingShape">
                    <wps:wsp>
                      <wps:cNvCnPr/>
                      <wps:spPr>
                        <a:xfrm>
                          <a:off x="2567174" y="2645907"/>
                          <a:ext cx="5557652" cy="2268187"/>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4584700</wp:posOffset>
                </wp:positionV>
                <wp:extent cx="5583052" cy="2293587"/>
                <wp:effectExtent b="0" l="0" r="0" t="0"/>
                <wp:wrapNone/>
                <wp:docPr id="30"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5583052" cy="2293587"/>
                        </a:xfrm>
                        <a:prstGeom prst="rect"/>
                        <a:ln/>
                      </pic:spPr>
                    </pic:pic>
                  </a:graphicData>
                </a:graphic>
              </wp:anchor>
            </w:drawing>
          </mc:Fallback>
        </mc:AlternateContent>
      </w:r>
    </w:p>
    <w:p w:rsidR="00E5255D" w:rsidRDefault="00E064E1">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extent cx="5288698" cy="4334998"/>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288698" cy="4334998"/>
                    </a:xfrm>
                    <a:prstGeom prst="rect">
                      <a:avLst/>
                    </a:prstGeom>
                    <a:ln/>
                  </pic:spPr>
                </pic:pic>
              </a:graphicData>
            </a:graphic>
          </wp:inline>
        </w:drawing>
      </w:r>
      <w:r>
        <w:rPr>
          <w:noProof/>
        </w:rPr>
        <mc:AlternateContent>
          <mc:Choice Requires="wpg">
            <w:drawing>
              <wp:anchor distT="0" distB="0" distL="114300" distR="114300" simplePos="0" relativeHeight="251663360" behindDoc="0" locked="0" layoutInCell="1" hidden="0" allowOverlap="1">
                <wp:simplePos x="0" y="0"/>
                <wp:positionH relativeFrom="column">
                  <wp:posOffset>165100</wp:posOffset>
                </wp:positionH>
                <wp:positionV relativeFrom="paragraph">
                  <wp:posOffset>457200</wp:posOffset>
                </wp:positionV>
                <wp:extent cx="3219450" cy="309995"/>
                <wp:effectExtent l="0" t="0" r="0" b="0"/>
                <wp:wrapNone/>
                <wp:docPr id="25" name="Rectángulo 25"/>
                <wp:cNvGraphicFramePr/>
                <a:graphic xmlns:a="http://schemas.openxmlformats.org/drawingml/2006/main">
                  <a:graphicData uri="http://schemas.microsoft.com/office/word/2010/wordprocessingShape">
                    <wps:wsp>
                      <wps:cNvSpPr/>
                      <wps:spPr>
                        <a:xfrm>
                          <a:off x="3745800" y="3634528"/>
                          <a:ext cx="3200400" cy="290945"/>
                        </a:xfrm>
                        <a:prstGeom prst="rect">
                          <a:avLst/>
                        </a:prstGeom>
                        <a:noFill/>
                        <a:ln w="19050" cap="flat" cmpd="sng">
                          <a:solidFill>
                            <a:srgbClr val="FF0000"/>
                          </a:solidFill>
                          <a:prstDash val="solid"/>
                          <a:round/>
                          <a:headEnd type="none" w="sm" len="sm"/>
                          <a:tailEnd type="none" w="sm" len="sm"/>
                        </a:ln>
                      </wps:spPr>
                      <wps:txbx>
                        <w:txbxContent>
                          <w:p w:rsidR="00E5255D" w:rsidRDefault="00E5255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457200</wp:posOffset>
                </wp:positionV>
                <wp:extent cx="3219450" cy="309995"/>
                <wp:effectExtent b="0" l="0" r="0" t="0"/>
                <wp:wrapNone/>
                <wp:docPr id="25"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3219450" cy="309995"/>
                        </a:xfrm>
                        <a:prstGeom prst="rect"/>
                        <a:ln/>
                      </pic:spPr>
                    </pic:pic>
                  </a:graphicData>
                </a:graphic>
              </wp:anchor>
            </w:drawing>
          </mc:Fallback>
        </mc:AlternateContent>
      </w:r>
    </w:p>
    <w:p w:rsidR="00E5255D" w:rsidRDefault="00E064E1">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noProof/>
        </w:rPr>
        <mc:AlternateContent>
          <mc:Choice Requires="wpg">
            <w:drawing>
              <wp:anchor distT="0" distB="0" distL="114300" distR="114300" simplePos="0" relativeHeight="251664384" behindDoc="0" locked="0" layoutInCell="1" hidden="0" allowOverlap="1">
                <wp:simplePos x="0" y="0"/>
                <wp:positionH relativeFrom="column">
                  <wp:posOffset>88901</wp:posOffset>
                </wp:positionH>
                <wp:positionV relativeFrom="paragraph">
                  <wp:posOffset>215900</wp:posOffset>
                </wp:positionV>
                <wp:extent cx="5381122" cy="2305462"/>
                <wp:effectExtent l="0" t="0" r="0" b="0"/>
                <wp:wrapNone/>
                <wp:docPr id="29" name="Conector recto de flecha 29"/>
                <wp:cNvGraphicFramePr/>
                <a:graphic xmlns:a="http://schemas.openxmlformats.org/drawingml/2006/main">
                  <a:graphicData uri="http://schemas.microsoft.com/office/word/2010/wordprocessingShape">
                    <wps:wsp>
                      <wps:cNvCnPr/>
                      <wps:spPr>
                        <a:xfrm>
                          <a:off x="2668139" y="2639969"/>
                          <a:ext cx="5355722" cy="2280062"/>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215900</wp:posOffset>
                </wp:positionV>
                <wp:extent cx="5381122" cy="2305462"/>
                <wp:effectExtent b="0" l="0" r="0" t="0"/>
                <wp:wrapNone/>
                <wp:docPr id="29"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5381122" cy="2305462"/>
                        </a:xfrm>
                        <a:prstGeom prst="rect"/>
                        <a:ln/>
                      </pic:spPr>
                    </pic:pic>
                  </a:graphicData>
                </a:graphic>
              </wp:anchor>
            </w:drawing>
          </mc:Fallback>
        </mc:AlternateContent>
      </w:r>
    </w:p>
    <w:p w:rsidR="00E5255D" w:rsidRDefault="00E064E1">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extent cx="5282238" cy="4358879"/>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282238" cy="4358879"/>
                    </a:xfrm>
                    <a:prstGeom prst="rect">
                      <a:avLst/>
                    </a:prstGeom>
                    <a:ln/>
                  </pic:spPr>
                </pic:pic>
              </a:graphicData>
            </a:graphic>
          </wp:inline>
        </w:drawing>
      </w:r>
      <w:r>
        <w:rPr>
          <w:noProof/>
        </w:rPr>
        <mc:AlternateContent>
          <mc:Choice Requires="wpg">
            <w:drawing>
              <wp:anchor distT="0" distB="0" distL="114300" distR="114300" simplePos="0" relativeHeight="251665408" behindDoc="0" locked="0" layoutInCell="1" hidden="0" allowOverlap="1">
                <wp:simplePos x="0" y="0"/>
                <wp:positionH relativeFrom="column">
                  <wp:posOffset>165100</wp:posOffset>
                </wp:positionH>
                <wp:positionV relativeFrom="paragraph">
                  <wp:posOffset>444500</wp:posOffset>
                </wp:positionV>
                <wp:extent cx="3219450" cy="309995"/>
                <wp:effectExtent l="0" t="0" r="0" b="0"/>
                <wp:wrapNone/>
                <wp:docPr id="28" name="Rectángulo 28"/>
                <wp:cNvGraphicFramePr/>
                <a:graphic xmlns:a="http://schemas.openxmlformats.org/drawingml/2006/main">
                  <a:graphicData uri="http://schemas.microsoft.com/office/word/2010/wordprocessingShape">
                    <wps:wsp>
                      <wps:cNvSpPr/>
                      <wps:spPr>
                        <a:xfrm>
                          <a:off x="3745800" y="3634528"/>
                          <a:ext cx="3200400" cy="290945"/>
                        </a:xfrm>
                        <a:prstGeom prst="rect">
                          <a:avLst/>
                        </a:prstGeom>
                        <a:noFill/>
                        <a:ln w="19050" cap="flat" cmpd="sng">
                          <a:solidFill>
                            <a:srgbClr val="FF0000"/>
                          </a:solidFill>
                          <a:prstDash val="solid"/>
                          <a:round/>
                          <a:headEnd type="none" w="sm" len="sm"/>
                          <a:tailEnd type="none" w="sm" len="sm"/>
                        </a:ln>
                      </wps:spPr>
                      <wps:txbx>
                        <w:txbxContent>
                          <w:p w:rsidR="00E5255D" w:rsidRDefault="00E5255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444500</wp:posOffset>
                </wp:positionV>
                <wp:extent cx="3219450" cy="309995"/>
                <wp:effectExtent b="0" l="0" r="0" t="0"/>
                <wp:wrapNone/>
                <wp:docPr id="28"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3219450" cy="309995"/>
                        </a:xfrm>
                        <a:prstGeom prst="rect"/>
                        <a:ln/>
                      </pic:spPr>
                    </pic:pic>
                  </a:graphicData>
                </a:graphic>
              </wp:anchor>
            </w:drawing>
          </mc:Fallback>
        </mc:AlternateContent>
      </w:r>
    </w:p>
    <w:p w:rsidR="00E5255D" w:rsidRDefault="00E5255D">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desprende de las capturas de referencia,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informó que el servidor público de mérito se encuentra adscrito en el cargo desde el primer trimestre de la presente anualidad; luego entonces se colige que a la fecha en que se resuelve el presente recurso de revisión, habrían transcurrido el plazo máxim</w:t>
      </w:r>
      <w:r>
        <w:rPr>
          <w:rFonts w:ascii="Palatino Linotype" w:eastAsia="Palatino Linotype" w:hAnsi="Palatino Linotype" w:cs="Palatino Linotype"/>
          <w:color w:val="000000"/>
        </w:rPr>
        <w:t>o de seis (6) meses que establece Código Financiero del Estado de México y Municipios.</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Sin embargo, el nombramiento con el que aparece no es de titular; sino como encargado de despacho, en ese sentido, también se halló el siguiente indicio:</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5255D">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E5255D" w:rsidRDefault="00E064E1">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noProof/>
          <w:color w:val="000000"/>
        </w:rPr>
        <w:drawing>
          <wp:inline distT="0" distB="0" distL="0" distR="0">
            <wp:extent cx="4800094" cy="5552603"/>
            <wp:effectExtent l="0" t="0" r="0" b="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l="42133" t="16561" r="27533" b="21053"/>
                    <a:stretch>
                      <a:fillRect/>
                    </a:stretch>
                  </pic:blipFill>
                  <pic:spPr>
                    <a:xfrm>
                      <a:off x="0" y="0"/>
                      <a:ext cx="4800094" cy="5552603"/>
                    </a:xfrm>
                    <a:prstGeom prst="rect">
                      <a:avLst/>
                    </a:prstGeom>
                    <a:ln/>
                  </pic:spPr>
                </pic:pic>
              </a:graphicData>
            </a:graphic>
          </wp:inline>
        </w:drawing>
      </w: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Como se advierte del documento de referencia, al día 22 de septiembre de 2021 el servidor público de referencia, realiza sus actos de autoridad con la calidad de encargado de despacho.</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sino tiene el carácter de titular sino de encargado de</w:t>
      </w:r>
      <w:r>
        <w:rPr>
          <w:rFonts w:ascii="Palatino Linotype" w:eastAsia="Palatino Linotype" w:hAnsi="Palatino Linotype" w:cs="Palatino Linotype"/>
          <w:color w:val="000000"/>
        </w:rPr>
        <w:t xml:space="preserve"> despacho no puede iniciar a correr el plazo de seis meses para obtener la certificación de referencia, ya que este iniciara a partir del momento del nombramiento.</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obstante, de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manifiesta de manera expresa</w:t>
      </w:r>
      <w:r>
        <w:rPr>
          <w:rFonts w:ascii="Palatino Linotype" w:eastAsia="Palatino Linotype" w:hAnsi="Palatino Linotype" w:cs="Palatino Linotype"/>
          <w:color w:val="000000"/>
        </w:rPr>
        <w:t xml:space="preserve"> que si es titular y que incluso ya está en proceso de certificación mediante oficio de fecha veintiuno (21) de septiembre del año en curso, como se observa:</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extent cx="5463903" cy="181305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463903" cy="1813050"/>
                    </a:xfrm>
                    <a:prstGeom prst="rect">
                      <a:avLst/>
                    </a:prstGeom>
                    <a:ln/>
                  </pic:spPr>
                </pic:pic>
              </a:graphicData>
            </a:graphic>
          </wp:inline>
        </w:drawing>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en una fecha anterior al indicio que se encontró y donde el servidor público encargado del catastro municipal firma con el carácter de encargado de despacho; luego entonces si bien es cierto este Órgano Garante no cuenta con facultades para dudar</w:t>
      </w:r>
      <w:r>
        <w:rPr>
          <w:rFonts w:ascii="Palatino Linotype" w:eastAsia="Palatino Linotype" w:hAnsi="Palatino Linotype" w:cs="Palatino Linotype"/>
          <w:color w:val="000000"/>
        </w:rPr>
        <w:t xml:space="preserve"> de la veracidad de las respuestas que emiten los sujetos </w:t>
      </w:r>
      <w:r>
        <w:rPr>
          <w:rFonts w:ascii="Palatino Linotype" w:eastAsia="Palatino Linotype" w:hAnsi="Palatino Linotype" w:cs="Palatino Linotype"/>
          <w:color w:val="000000"/>
        </w:rPr>
        <w:lastRenderedPageBreak/>
        <w:t xml:space="preserve">obligados, también lo es que </w:t>
      </w:r>
      <w:r>
        <w:rPr>
          <w:rFonts w:ascii="Palatino Linotype" w:eastAsia="Palatino Linotype" w:hAnsi="Palatino Linotype" w:cs="Palatino Linotype"/>
          <w:b/>
          <w:color w:val="000000"/>
        </w:rPr>
        <w:t>no se cuenta con la certeza</w:t>
      </w:r>
      <w:r>
        <w:rPr>
          <w:rFonts w:ascii="Palatino Linotype" w:eastAsia="Palatino Linotype" w:hAnsi="Palatino Linotype" w:cs="Palatino Linotype"/>
          <w:color w:val="000000"/>
        </w:rPr>
        <w:t xml:space="preserve"> de la fecha en que fue designado el servidor público como titular del área de castro municipal, menos aún si el lapso temporal de los seis me</w:t>
      </w:r>
      <w:r>
        <w:rPr>
          <w:rFonts w:ascii="Palatino Linotype" w:eastAsia="Palatino Linotype" w:hAnsi="Palatino Linotype" w:cs="Palatino Linotype"/>
          <w:color w:val="000000"/>
        </w:rPr>
        <w:t xml:space="preserve">ses para obtener la </w:t>
      </w:r>
      <w:r>
        <w:rPr>
          <w:rFonts w:ascii="Palatino Linotype" w:eastAsia="Palatino Linotype" w:hAnsi="Palatino Linotype" w:cs="Palatino Linotype"/>
          <w:b/>
          <w:color w:val="000000"/>
        </w:rPr>
        <w:t>certificación se encuentra en curso o a prelucido</w:t>
      </w:r>
      <w:r>
        <w:rPr>
          <w:rFonts w:ascii="Palatino Linotype" w:eastAsia="Palatino Linotype" w:hAnsi="Palatino Linotype" w:cs="Palatino Linotype"/>
          <w:color w:val="000000"/>
        </w:rPr>
        <w:t>.</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es que se determina dable </w:t>
      </w:r>
      <w:r>
        <w:rPr>
          <w:rFonts w:ascii="Palatino Linotype" w:eastAsia="Palatino Linotype" w:hAnsi="Palatino Linotype" w:cs="Palatino Linotype"/>
          <w:b/>
          <w:color w:val="000000"/>
        </w:rPr>
        <w:t>ordenar</w:t>
      </w:r>
      <w:r>
        <w:rPr>
          <w:rFonts w:ascii="Palatino Linotype" w:eastAsia="Palatino Linotype" w:hAnsi="Palatino Linotype" w:cs="Palatino Linotype"/>
          <w:color w:val="000000"/>
        </w:rPr>
        <w:t xml:space="preserve"> una nueva búsqueda exhaustiva y razonable de la información, y </w:t>
      </w:r>
      <w:r>
        <w:rPr>
          <w:rFonts w:ascii="Palatino Linotype" w:eastAsia="Palatino Linotype" w:hAnsi="Palatino Linotype" w:cs="Palatino Linotype"/>
          <w:b/>
          <w:color w:val="000000"/>
        </w:rPr>
        <w:t>dado el lapso temporal que ha transcurrido</w:t>
      </w:r>
      <w:r>
        <w:rPr>
          <w:rFonts w:ascii="Palatino Linotype" w:eastAsia="Palatino Linotype" w:hAnsi="Palatino Linotype" w:cs="Palatino Linotype"/>
          <w:color w:val="000000"/>
        </w:rPr>
        <w:t xml:space="preserve"> entre la respuesta emitida </w:t>
      </w:r>
      <w:r>
        <w:rPr>
          <w:rFonts w:ascii="Palatino Linotype" w:eastAsia="Palatino Linotype" w:hAnsi="Palatino Linotype" w:cs="Palatino Linotype"/>
          <w:color w:val="000000"/>
        </w:rPr>
        <w:t xml:space="preserve">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la solicitud de información -veintitrés (23) de septiembre de 2021- y la fecha en que se resuelve el presente recurso de información, eventualmente ya puede poseer el soporte documental requerido, por lo que de ser el caso deberá ser entregada (así como</w:t>
      </w:r>
      <w:r>
        <w:rPr>
          <w:rFonts w:ascii="Palatino Linotype" w:eastAsia="Palatino Linotype" w:hAnsi="Palatino Linotype" w:cs="Palatino Linotype"/>
          <w:color w:val="000000"/>
        </w:rPr>
        <w:t xml:space="preserve"> por la falta de </w:t>
      </w:r>
      <w:r>
        <w:rPr>
          <w:rFonts w:ascii="Palatino Linotype" w:eastAsia="Palatino Linotype" w:hAnsi="Palatino Linotype" w:cs="Palatino Linotype"/>
          <w:b/>
          <w:color w:val="000000"/>
        </w:rPr>
        <w:t>certeza</w:t>
      </w:r>
      <w:r>
        <w:rPr>
          <w:rFonts w:ascii="Palatino Linotype" w:eastAsia="Palatino Linotype" w:hAnsi="Palatino Linotype" w:cs="Palatino Linotype"/>
          <w:color w:val="000000"/>
        </w:rPr>
        <w:t xml:space="preserve"> de la fecha de nombramiento).</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obstante de ser el caso, que luego de la nueva búsqueda exhaustiva y razonable prevalezca la no localización de la información, se deberá  atender las formalidades que establece el fundamento jurídico plasmado en el </w:t>
      </w:r>
      <w:r>
        <w:rPr>
          <w:rFonts w:ascii="Palatino Linotype" w:eastAsia="Palatino Linotype" w:hAnsi="Palatino Linotype" w:cs="Palatino Linotype"/>
          <w:b/>
          <w:color w:val="000000"/>
        </w:rPr>
        <w:t>artículo 19</w:t>
      </w:r>
      <w:r>
        <w:rPr>
          <w:rFonts w:ascii="Palatino Linotype" w:eastAsia="Palatino Linotype" w:hAnsi="Palatino Linotype" w:cs="Palatino Linotype"/>
          <w:color w:val="000000"/>
        </w:rPr>
        <w:t xml:space="preserve"> de la Ley de Transparenci</w:t>
      </w:r>
      <w:r>
        <w:rPr>
          <w:rFonts w:ascii="Palatino Linotype" w:eastAsia="Palatino Linotype" w:hAnsi="Palatino Linotype" w:cs="Palatino Linotype"/>
          <w:color w:val="000000"/>
        </w:rPr>
        <w:t>a y Acceso a la Información Pública del Estado de México y Municipios y que es del tenor literal siguiente:</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spacing w:line="360" w:lineRule="auto"/>
        <w:ind w:left="567" w:right="425"/>
        <w:jc w:val="both"/>
        <w:rPr>
          <w:rFonts w:ascii="Palatino Linotype" w:eastAsia="Palatino Linotype" w:hAnsi="Palatino Linotype" w:cs="Palatino Linotype"/>
          <w:i/>
        </w:rPr>
      </w:pPr>
      <w:r>
        <w:rPr>
          <w:rFonts w:ascii="Palatino Linotype" w:eastAsia="Palatino Linotype" w:hAnsi="Palatino Linotype" w:cs="Palatino Linotype"/>
          <w:b/>
          <w:i/>
        </w:rPr>
        <w:t>Artículo 19.</w:t>
      </w:r>
      <w:r>
        <w:rPr>
          <w:rFonts w:ascii="Palatino Linotype" w:eastAsia="Palatino Linotype" w:hAnsi="Palatino Linotype" w:cs="Palatino Linotype"/>
          <w:i/>
        </w:rPr>
        <w:t xml:space="preserve"> Se presume que la información debe existir si se refiere a las facultades, competencias y funciones que los ordenamientos jurídicos ap</w:t>
      </w:r>
      <w:r>
        <w:rPr>
          <w:rFonts w:ascii="Palatino Linotype" w:eastAsia="Palatino Linotype" w:hAnsi="Palatino Linotype" w:cs="Palatino Linotype"/>
          <w:i/>
        </w:rPr>
        <w:t>licables otorgan a los sujetos obligados.</w:t>
      </w:r>
    </w:p>
    <w:p w:rsidR="00E5255D" w:rsidRDefault="00E064E1">
      <w:pPr>
        <w:spacing w:line="360" w:lineRule="auto"/>
        <w:ind w:left="567" w:right="425"/>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En los casos en que ciertas facultades, competencias o funciones no se hayan ejercido, se debe motivar la respuesta en función de las causas que motiven tal circunstancia.</w:t>
      </w:r>
    </w:p>
    <w:p w:rsidR="00E5255D" w:rsidRDefault="00E064E1">
      <w:pPr>
        <w:spacing w:line="360" w:lineRule="auto"/>
        <w:ind w:left="567" w:right="425"/>
        <w:jc w:val="both"/>
        <w:rPr>
          <w:rFonts w:ascii="Palatino Linotype" w:eastAsia="Palatino Linotype" w:hAnsi="Palatino Linotype" w:cs="Palatino Linotype"/>
          <w:i/>
        </w:rPr>
      </w:pPr>
      <w:r>
        <w:rPr>
          <w:rFonts w:ascii="Palatino Linotype" w:eastAsia="Palatino Linotype" w:hAnsi="Palatino Linotype" w:cs="Palatino Linotype"/>
          <w:i/>
        </w:rPr>
        <w:t xml:space="preserve">Si el sujeto obligado, en el ejercicio de </w:t>
      </w:r>
      <w:r>
        <w:rPr>
          <w:rFonts w:ascii="Palatino Linotype" w:eastAsia="Palatino Linotype" w:hAnsi="Palatino Linotype" w:cs="Palatino Linotype"/>
          <w:i/>
        </w:rPr>
        <w:t>sus atribuciones, debía generar, poseer o administrar la información, pero ésta no se encuentra, el Comité de transparencia deberá emitir un acuerdo de inexistencia, debidamente fundado y motivado, en el que detalle las razones del por qué no obra en sus a</w:t>
      </w:r>
      <w:r>
        <w:rPr>
          <w:rFonts w:ascii="Palatino Linotype" w:eastAsia="Palatino Linotype" w:hAnsi="Palatino Linotype" w:cs="Palatino Linotype"/>
          <w:i/>
        </w:rPr>
        <w:t>rchivos.</w:t>
      </w:r>
    </w:p>
    <w:p w:rsidR="00E5255D" w:rsidRDefault="00E064E1">
      <w:pPr>
        <w:spacing w:line="360" w:lineRule="auto"/>
        <w:ind w:left="567" w:right="425"/>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E5255D" w:rsidRDefault="00E5255D">
      <w:pPr>
        <w:spacing w:line="360" w:lineRule="auto"/>
        <w:ind w:left="567" w:right="425"/>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Artículo que en su segundo párrafo, alude a actos no realizados y contemplados en alguna hipótesis jurídica pero, a) cuya realización dependa de que un tercero demande la emisión de un acto de autoridad, la expedición de una li</w:t>
      </w:r>
      <w:r>
        <w:rPr>
          <w:rFonts w:ascii="Palatino Linotype" w:eastAsia="Palatino Linotype" w:hAnsi="Palatino Linotype" w:cs="Palatino Linotype"/>
          <w:color w:val="000000"/>
        </w:rPr>
        <w:t>cencia, por ejemplo; b) de un acontecimiento de realización probable, la Cuenta Pública correspondiente a un ejercicio fiscal en curso, por ejemplo; o, C) una facultad potestativa, la firma de convenio de colaboración, por ejemplo. En estos casos, el sujet</w:t>
      </w:r>
      <w:r>
        <w:rPr>
          <w:rFonts w:ascii="Palatino Linotype" w:eastAsia="Palatino Linotype" w:hAnsi="Palatino Linotype" w:cs="Palatino Linotype"/>
          <w:color w:val="000000"/>
        </w:rPr>
        <w:t>o obligado, al emitir su respuesta o cumplir con una resolución emitida por éste órgano garante, deberá manifestar, de manera precisa y clara, las razones que expliquen las causas por las que no se ha realizado el acto de autoridad y, en consecuencia, no s</w:t>
      </w:r>
      <w:r>
        <w:rPr>
          <w:rFonts w:ascii="Palatino Linotype" w:eastAsia="Palatino Linotype" w:hAnsi="Palatino Linotype" w:cs="Palatino Linotype"/>
          <w:color w:val="000000"/>
        </w:rPr>
        <w:t>e ha documentado decisión alguna.</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de ser el caso que dicha información no se encuentre en los archivos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deberá de manifestar, de manera precisa y clara, las razones que expliquen las causas por las que no se posee la información requerida.</w:t>
      </w:r>
    </w:p>
    <w:p w:rsidR="00E5255D" w:rsidRDefault="00E5255D">
      <w:pPr>
        <w:pBdr>
          <w:top w:val="nil"/>
          <w:left w:val="nil"/>
          <w:bottom w:val="nil"/>
          <w:right w:val="nil"/>
          <w:between w:val="nil"/>
        </w:pBdr>
        <w:spacing w:line="360" w:lineRule="auto"/>
        <w:jc w:val="both"/>
        <w:rPr>
          <w:rFonts w:ascii="Georgia" w:eastAsia="Georgia" w:hAnsi="Georgia" w:cs="Georgia"/>
          <w:color w:val="222222"/>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búsqueda exhaustiva presupone que el Comité deba tomar o acordar las medidas pertinentes para la debida localización</w:t>
      </w:r>
      <w:r>
        <w:rPr>
          <w:rFonts w:ascii="Palatino Linotype" w:eastAsia="Palatino Linotype" w:hAnsi="Palatino Linotype" w:cs="Palatino Linotype"/>
          <w:color w:val="000000"/>
        </w:rPr>
        <w:t xml:space="preserve"> dentro de la dependencia de la información solicitada, y en general de adoptar cualquier otra medida que considere conducente para tales efectos y velar por la certeza en el derecho de acceso a la información, y sólo agotadas las medidas necesarias de bús</w:t>
      </w:r>
      <w:r>
        <w:rPr>
          <w:rFonts w:ascii="Palatino Linotype" w:eastAsia="Palatino Linotype" w:hAnsi="Palatino Linotype" w:cs="Palatino Linotype"/>
          <w:color w:val="000000"/>
        </w:rPr>
        <w:t>queda de la información, y en caso de no encontrarla, manifestar de manera clara y precisa por que no se cuenta con la información.</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tal determinación, quedará por colmado el derecho de acceso a la información de la hoy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toda vez que el Dere</w:t>
      </w:r>
      <w:r>
        <w:rPr>
          <w:rFonts w:ascii="Palatino Linotype" w:eastAsia="Palatino Linotype" w:hAnsi="Palatino Linotype" w:cs="Palatino Linotype"/>
          <w:color w:val="000000"/>
        </w:rPr>
        <w:t xml:space="preserve">cho que tutela este Órgano Garante corresponde a la  </w:t>
      </w:r>
      <w:r>
        <w:rPr>
          <w:rFonts w:ascii="Palatino Linotype" w:eastAsia="Palatino Linotype" w:hAnsi="Palatino Linotype" w:cs="Palatino Linotype"/>
          <w:i/>
          <w:color w:val="000000"/>
        </w:rPr>
        <w:t>igualdad de oportunidades para recibir, buscar e impartir información</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i/>
          <w:color w:val="000000"/>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w:t>
      </w:r>
      <w:r>
        <w:rPr>
          <w:rFonts w:ascii="Palatino Linotype" w:eastAsia="Palatino Linotype" w:hAnsi="Palatino Linotype" w:cs="Palatino Linotype"/>
          <w:i/>
          <w:color w:val="000000"/>
        </w:rPr>
        <w:t>ejerza recursos públicos o realice actos de autoridad en el ámbito federal, estatal y municipal</w:t>
      </w:r>
      <w:r>
        <w:rPr>
          <w:rFonts w:ascii="Palatino Linotype" w:eastAsia="Palatino Linotype" w:hAnsi="Palatino Linotype" w:cs="Palatino Linotype"/>
          <w:color w:val="000000"/>
          <w:vertAlign w:val="superscript"/>
        </w:rPr>
        <w:footnoteReference w:id="2"/>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que se constituye como una herramienta fundamental para </w:t>
      </w:r>
      <w:r>
        <w:rPr>
          <w:rFonts w:ascii="Palatino Linotype" w:eastAsia="Palatino Linotype" w:hAnsi="Palatino Linotype" w:cs="Palatino Linotype"/>
          <w:i/>
          <w:color w:val="000000"/>
        </w:rPr>
        <w:t>ejercer control democrático de las gestiones estatales, de forma tal que puedan cuestionar, indagar y c</w:t>
      </w:r>
      <w:r>
        <w:rPr>
          <w:rFonts w:ascii="Palatino Linotype" w:eastAsia="Palatino Linotype" w:hAnsi="Palatino Linotype" w:cs="Palatino Linotype"/>
          <w:i/>
          <w:color w:val="000000"/>
        </w:rPr>
        <w:t>onsiderar si se está dando un adecuado cumplimiento de las funciones públicas,</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w:t>
      </w:r>
      <w:r>
        <w:rPr>
          <w:rFonts w:ascii="Palatino Linotype" w:eastAsia="Palatino Linotype" w:hAnsi="Palatino Linotype" w:cs="Palatino Linotype"/>
          <w:color w:val="000000"/>
        </w:rPr>
        <w:t xml:space="preserve"> promoviendo</w:t>
      </w:r>
      <w:r>
        <w:rPr>
          <w:rFonts w:ascii="Palatino Linotype" w:eastAsia="Palatino Linotype" w:hAnsi="Palatino Linotype" w:cs="Palatino Linotype"/>
          <w:i/>
          <w:color w:val="000000"/>
        </w:rPr>
        <w:t xml:space="preserve"> la </w:t>
      </w:r>
      <w:r>
        <w:rPr>
          <w:rFonts w:ascii="Palatino Linotype" w:eastAsia="Palatino Linotype" w:hAnsi="Palatino Linotype" w:cs="Palatino Linotype"/>
          <w:i/>
          <w:color w:val="000000"/>
        </w:rPr>
        <w:lastRenderedPageBreak/>
        <w:t>responsabilidad de los funcionarios sobre su gestión pública</w:t>
      </w:r>
      <w:r>
        <w:rPr>
          <w:rFonts w:ascii="Palatino Linotype" w:eastAsia="Palatino Linotype" w:hAnsi="Palatino Linotype" w:cs="Palatino Linotype"/>
          <w:i/>
          <w:color w:val="000000"/>
          <w:vertAlign w:val="superscript"/>
        </w:rPr>
        <w:footnoteReference w:id="4"/>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w:t>
      </w:r>
      <w:r>
        <w:rPr>
          <w:rFonts w:ascii="Palatino Linotype" w:eastAsia="Palatino Linotype" w:hAnsi="Palatino Linotype" w:cs="Palatino Linotype"/>
          <w:i/>
          <w:color w:val="000000"/>
        </w:rPr>
        <w:t>gobiernos por sus pueblos, sin lo cual la verdad languidecería y la participación en el gobierno permanecería fragmentada.</w:t>
      </w:r>
      <w:r>
        <w:rPr>
          <w:rFonts w:ascii="Palatino Linotype" w:eastAsia="Palatino Linotype" w:hAnsi="Palatino Linotype" w:cs="Palatino Linotype"/>
          <w:i/>
          <w:color w:val="000000"/>
          <w:vertAlign w:val="superscript"/>
        </w:rPr>
        <w:footnoteReference w:id="5"/>
      </w:r>
      <w:r>
        <w:rPr>
          <w:rFonts w:ascii="Palatino Linotype" w:eastAsia="Palatino Linotype" w:hAnsi="Palatino Linotype" w:cs="Palatino Linotype"/>
          <w:color w:val="000000"/>
        </w:rPr>
        <w:t xml:space="preserve"> ” </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Para entender los alcances de la información pública se considera importante citar el criterio de interpretación en el orden adm</w:t>
      </w:r>
      <w:r>
        <w:rPr>
          <w:rFonts w:ascii="Palatino Linotype" w:eastAsia="Palatino Linotype" w:hAnsi="Palatino Linotype" w:cs="Palatino Linotype"/>
          <w:color w:val="000000"/>
        </w:rPr>
        <w:t>inistrativo número 0002-11, emitido por Acuerdo del Pleno de este Instituto de Transparencia y Acceso a la Información Pública del Estado de México y Municipios, publicado en el Periódico Oficial del Gobierno del Estado Libre y Soberano de México “Gaceta d</w:t>
      </w:r>
      <w:r>
        <w:rPr>
          <w:rFonts w:ascii="Palatino Linotype" w:eastAsia="Palatino Linotype" w:hAnsi="Palatino Linotype" w:cs="Palatino Linotype"/>
          <w:color w:val="000000"/>
        </w:rPr>
        <w:t>el Gobierno” el diecinueve de octubre de dos mil once, cuyo rubro y texto dispone:</w:t>
      </w:r>
    </w:p>
    <w:p w:rsidR="00E5255D" w:rsidRDefault="00E5255D">
      <w:pPr>
        <w:pBdr>
          <w:top w:val="nil"/>
          <w:left w:val="nil"/>
          <w:bottom w:val="nil"/>
          <w:right w:val="nil"/>
          <w:between w:val="nil"/>
        </w:pBdr>
        <w:ind w:left="708"/>
        <w:rPr>
          <w:rFonts w:ascii="Palatino Linotype" w:eastAsia="Palatino Linotype" w:hAnsi="Palatino Linotype" w:cs="Palatino Linotype"/>
          <w:i/>
          <w:color w:val="000000"/>
        </w:rPr>
      </w:pPr>
    </w:p>
    <w:p w:rsidR="00E5255D" w:rsidRDefault="00E064E1">
      <w:pPr>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0002-11</w:t>
      </w:r>
    </w:p>
    <w:p w:rsidR="00E5255D" w:rsidRDefault="00E064E1">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w:t>
      </w:r>
      <w:r>
        <w:rPr>
          <w:rFonts w:ascii="Palatino Linotype" w:eastAsia="Palatino Linotype" w:hAnsi="Palatino Linotype" w:cs="Palatino Linotype"/>
          <w:i/>
          <w:sz w:val="22"/>
          <w:szCs w:val="22"/>
        </w:rPr>
        <w:t>s órganos u organismos públicos, en virtud del ejercicio de sus funciones de derecho público, sin importar su fuente, soporte o fecha de elaboración.</w:t>
      </w:r>
    </w:p>
    <w:p w:rsidR="00E5255D" w:rsidRDefault="00E064E1">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w:t>
      </w:r>
      <w:r>
        <w:rPr>
          <w:rFonts w:ascii="Palatino Linotype" w:eastAsia="Palatino Linotype" w:hAnsi="Palatino Linotype" w:cs="Palatino Linotype"/>
          <w:i/>
          <w:sz w:val="22"/>
          <w:szCs w:val="22"/>
        </w:rPr>
        <w:t>upuestos:</w:t>
      </w:r>
    </w:p>
    <w:p w:rsidR="00E5255D" w:rsidRDefault="00E064E1">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E5255D" w:rsidRDefault="00E064E1">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w:t>
      </w:r>
      <w:r>
        <w:rPr>
          <w:rFonts w:ascii="Palatino Linotype" w:eastAsia="Palatino Linotype" w:hAnsi="Palatino Linotype" w:cs="Palatino Linotype"/>
          <w:i/>
          <w:sz w:val="22"/>
          <w:szCs w:val="22"/>
        </w:rPr>
        <w:t>cio de las atribuciones conferidas, sea administrada por los Sujetos Obligados, y</w:t>
      </w:r>
    </w:p>
    <w:p w:rsidR="00E5255D" w:rsidRDefault="00E064E1">
      <w:pPr>
        <w:spacing w:line="360"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“XI. Documento: </w:t>
      </w:r>
      <w:r>
        <w:rPr>
          <w:rFonts w:ascii="Palatino Linotype" w:eastAsia="Palatino Linotype" w:hAnsi="Palatino Linotype" w:cs="Palatino Linotype"/>
          <w:i/>
        </w:rPr>
        <w:t>Los expedientes, reportes, estudios, actas, resolucio</w:t>
      </w:r>
      <w:r>
        <w:rPr>
          <w:rFonts w:ascii="Palatino Linotype" w:eastAsia="Palatino Linotype" w:hAnsi="Palatino Linotype" w:cs="Palatino Linotype"/>
          <w:i/>
        </w:rPr>
        <w:t xml:space="preserve">nes, oficios, correspondencia, acuerdos, directivas, directrices, circulares, contratos, convenios, instructivos, notas, memorandos, estadísticas o bien, </w:t>
      </w:r>
      <w:r>
        <w:rPr>
          <w:rFonts w:ascii="Palatino Linotype" w:eastAsia="Palatino Linotype" w:hAnsi="Palatino Linotype" w:cs="Palatino Linotype"/>
          <w:b/>
          <w:i/>
        </w:rPr>
        <w:t xml:space="preserve">cualquier otro registro que documente el ejercicio de las facultades, funciones y competencias de los </w:t>
      </w:r>
      <w:r>
        <w:rPr>
          <w:rFonts w:ascii="Palatino Linotype" w:eastAsia="Palatino Linotype" w:hAnsi="Palatino Linotype" w:cs="Palatino Linotype"/>
          <w:b/>
          <w:i/>
        </w:rPr>
        <w:t>sujetos obligados</w:t>
      </w:r>
      <w:r>
        <w:rPr>
          <w:rFonts w:ascii="Palatino Linotype" w:eastAsia="Palatino Linotype" w:hAnsi="Palatino Linotype" w:cs="Palatino Linotype"/>
          <w:i/>
        </w:rPr>
        <w:t>, sus servidores públicos e integrantes, sin importar su fuente o fecha de elaboración. Los documentos podrán estar en cualquier medio, sea escrito, impreso, sonoro, visual, electrónico, informático u holográfico;”</w:t>
      </w:r>
    </w:p>
    <w:p w:rsidR="00E5255D" w:rsidRDefault="00E064E1">
      <w:pPr>
        <w:spacing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E5255D" w:rsidRDefault="00E5255D">
      <w:pPr>
        <w:spacing w:line="360" w:lineRule="auto"/>
        <w:ind w:left="567" w:right="567"/>
        <w:jc w:val="both"/>
        <w:rPr>
          <w:rFonts w:ascii="Palatino Linotype" w:eastAsia="Palatino Linotype" w:hAnsi="Palatino Linotype" w:cs="Palatino Linotype"/>
          <w:i/>
          <w:sz w:val="22"/>
          <w:szCs w:val="22"/>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Es así </w:t>
      </w:r>
      <w:r>
        <w:rPr>
          <w:rFonts w:ascii="Palatino Linotype" w:eastAsia="Palatino Linotype" w:hAnsi="Palatino Linotype" w:cs="Palatino Linotype"/>
          <w:color w:val="000000"/>
        </w:rPr>
        <w:t xml:space="preserve">que, todos los actos de autoridad que realicen los Sujetos Obligados </w:t>
      </w:r>
      <w:r>
        <w:rPr>
          <w:rFonts w:ascii="Palatino Linotype" w:eastAsia="Palatino Linotype" w:hAnsi="Palatino Linotype" w:cs="Palatino Linotype"/>
          <w:b/>
          <w:color w:val="000000"/>
        </w:rPr>
        <w:t xml:space="preserve">deben estar </w:t>
      </w:r>
      <w:r>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 </w:t>
      </w:r>
      <w:r>
        <w:rPr>
          <w:rFonts w:ascii="Palatino Linotype" w:eastAsia="Palatino Linotype" w:hAnsi="Palatino Linotype" w:cs="Palatino Linotype"/>
          <w:i/>
        </w:rPr>
        <w:t>El derecho humano de acceso a la información pública es l</w:t>
      </w:r>
      <w:r>
        <w:rPr>
          <w:rFonts w:ascii="Palatino Linotype" w:eastAsia="Palatino Linotype" w:hAnsi="Palatino Linotype" w:cs="Palatino Linotype"/>
          <w:i/>
        </w:rPr>
        <w:t>a prerrogativa de las personas para buscar, difundir, investigar, recabar, recibir y solicitar información pública, sin necesidad de acreditar personalidad ni interés jurídico.</w:t>
      </w:r>
    </w:p>
    <w:p w:rsidR="00E5255D" w:rsidRDefault="00E064E1">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w:t>
      </w:r>
      <w:r>
        <w:rPr>
          <w:rFonts w:ascii="Palatino Linotype" w:eastAsia="Palatino Linotype" w:hAnsi="Palatino Linotype" w:cs="Palatino Linotype"/>
          <w:i/>
        </w:rPr>
        <w:t xml:space="preserve"> generada, obtenida, adquirida, transformada, administrada o</w:t>
      </w:r>
      <w:r>
        <w:rPr>
          <w:rFonts w:ascii="Palatino Linotype" w:eastAsia="Palatino Linotype" w:hAnsi="Palatino Linotype" w:cs="Palatino Linotype"/>
          <w:i/>
        </w:rPr>
        <w:t xml:space="preserve"> </w:t>
      </w:r>
      <w:r>
        <w:rPr>
          <w:rFonts w:ascii="Palatino Linotype" w:eastAsia="Palatino Linotype" w:hAnsi="Palatino Linotype" w:cs="Palatino Linotype"/>
          <w:b/>
          <w:i/>
        </w:rPr>
        <w:t>en posesión de los sujetos obligados es pública</w:t>
      </w:r>
      <w:r>
        <w:rPr>
          <w:rFonts w:ascii="Palatino Linotype" w:eastAsia="Palatino Linotype" w:hAnsi="Palatino Linotype" w:cs="Palatino Linotype"/>
          <w:i/>
        </w:rPr>
        <w:t xml:space="preserve"> y accesible de manera permanente a cualquier persona, en los términos y condiciones que se establezcan en los tratados internacionales de los que el Estado mexicano sea parte, en la Ley General, la presente </w:t>
      </w:r>
      <w:r>
        <w:rPr>
          <w:rFonts w:ascii="Palatino Linotype" w:eastAsia="Palatino Linotype" w:hAnsi="Palatino Linotype" w:cs="Palatino Linotype"/>
          <w:i/>
        </w:rPr>
        <w:t>Ley y demás disposiciones de la materia, privilegiando el principio de máxima publicidad de la información. Solo podrá ser clasificada excepcionalmente como reservada temporalmente por razones de interés público, en los términos de las causas legítimas y e</w:t>
      </w:r>
      <w:r>
        <w:rPr>
          <w:rFonts w:ascii="Palatino Linotype" w:eastAsia="Palatino Linotype" w:hAnsi="Palatino Linotype" w:cs="Palatino Linotype"/>
          <w:i/>
        </w:rPr>
        <w:t>strictamente necesarias previstas por esta Ley.</w:t>
      </w:r>
    </w:p>
    <w:p w:rsidR="00E5255D" w:rsidRDefault="00E064E1">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Los sujetos obligados deben poner en práctica, políticas y programas de acceso a la información que se apeguen a criterios de publicidad, veracidad, oportunidad, precisión y suficiencia en beneficio de los so</w:t>
      </w:r>
      <w:r>
        <w:rPr>
          <w:rFonts w:ascii="Palatino Linotype" w:eastAsia="Palatino Linotype" w:hAnsi="Palatino Linotype" w:cs="Palatino Linotype"/>
          <w:i/>
        </w:rPr>
        <w:t>licitantes.</w:t>
      </w:r>
    </w:p>
    <w:p w:rsidR="00E5255D" w:rsidRDefault="00E5255D">
      <w:pPr>
        <w:spacing w:line="360" w:lineRule="auto"/>
        <w:ind w:left="567" w:right="567"/>
        <w:jc w:val="both"/>
        <w:rPr>
          <w:rFonts w:ascii="Palatino Linotype" w:eastAsia="Palatino Linotype" w:hAnsi="Palatino Linotype" w:cs="Palatino Linotype"/>
          <w:i/>
        </w:rPr>
      </w:pPr>
    </w:p>
    <w:p w:rsidR="00E5255D" w:rsidRDefault="00E064E1">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Artículo 12. Quienes generen, recopilen, administren, manejen, procesen, archiven o conserven información pública serán responsables de la misma en los términos de las disposiciones jurídicas aplicables.</w:t>
      </w:r>
    </w:p>
    <w:p w:rsidR="00E5255D" w:rsidRDefault="00E064E1">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w:t>
      </w:r>
      <w:r>
        <w:rPr>
          <w:rFonts w:ascii="Palatino Linotype" w:eastAsia="Palatino Linotype" w:hAnsi="Palatino Linotype" w:cs="Palatino Linotype"/>
          <w:b/>
          <w:i/>
        </w:rPr>
        <w:t>án la información pública que se les requiera y que obre en sus archivos y en el estado en que ésta se encuentre</w:t>
      </w:r>
      <w:r>
        <w:rPr>
          <w:rFonts w:ascii="Palatino Linotype" w:eastAsia="Palatino Linotype" w:hAnsi="Palatino Linotype" w:cs="Palatino Linotype"/>
          <w:i/>
        </w:rPr>
        <w:t>. La obligación de proporcionar información no comprende el procesamiento de la misma, ni el presentarla conforme al interés del solicitante; no</w:t>
      </w:r>
      <w:r>
        <w:rPr>
          <w:rFonts w:ascii="Palatino Linotype" w:eastAsia="Palatino Linotype" w:hAnsi="Palatino Linotype" w:cs="Palatino Linotype"/>
          <w:i/>
        </w:rPr>
        <w:t xml:space="preserve"> estarán obligados a generarla, resumirla, efectuar cálculos o practicar investigaciones.</w:t>
      </w:r>
    </w:p>
    <w:p w:rsidR="00E5255D" w:rsidRDefault="00E5255D">
      <w:pPr>
        <w:spacing w:line="360" w:lineRule="auto"/>
        <w:ind w:left="567" w:right="567"/>
        <w:jc w:val="both"/>
        <w:rPr>
          <w:rFonts w:ascii="Palatino Linotype" w:eastAsia="Palatino Linotype" w:hAnsi="Palatino Linotype" w:cs="Palatino Linotype"/>
          <w:i/>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w:t>
      </w:r>
      <w:r>
        <w:rPr>
          <w:rFonts w:ascii="Palatino Linotype" w:eastAsia="Palatino Linotype" w:hAnsi="Palatino Linotype" w:cs="Palatino Linotype"/>
          <w:color w:val="000000"/>
        </w:rPr>
        <w:t>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 xml:space="preserve"> y máxima publicidad, sobre éste último se debe poner mayor énfasis, puesto que e</w:t>
      </w:r>
      <w:r>
        <w:rPr>
          <w:rFonts w:ascii="Palatino Linotype" w:eastAsia="Palatino Linotype" w:hAnsi="Palatino Linotype" w:cs="Palatino Linotype"/>
          <w:color w:val="000000"/>
        </w:rPr>
        <w:t xml:space="preserve">stablece que toda la información en posesión de los Sujetos </w:t>
      </w:r>
      <w:r>
        <w:rPr>
          <w:rFonts w:ascii="Palatino Linotype" w:eastAsia="Palatino Linotype" w:hAnsi="Palatino Linotype" w:cs="Palatino Linotype"/>
          <w:color w:val="000000"/>
        </w:rPr>
        <w:lastRenderedPageBreak/>
        <w:t>Obligados será pública, completa, oportuna y accesible, lo que permite que la ciudadanía tenga un amplio acceso sobre lo que es el actuar de las autoridades.</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Robustece lo anterior la Tesis aislada identificada con la clave I.4º.A.40 A del Cuarto Tribunal colegiado en Materia Administrativa del Primer Circuito, publicada en el Seminario Judicial de la Federación y su Gaceta en el libro XVIII, Marzo 2013, Página </w:t>
      </w:r>
      <w:r>
        <w:rPr>
          <w:rFonts w:ascii="Palatino Linotype" w:eastAsia="Palatino Linotype" w:hAnsi="Palatino Linotype" w:cs="Palatino Linotype"/>
          <w:color w:val="000000"/>
        </w:rPr>
        <w:t>1899.</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ACCESO A LA INFORMACIÓN. IMPLICACIÓN DEL PRINCIPIO DE MÁXIMA PUBLICIDAD EN EL DERECHO FUNDAMENTAL RELATIVO.</w:t>
      </w:r>
      <w:r>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w:t>
      </w:r>
      <w:r>
        <w:rPr>
          <w:rFonts w:ascii="Palatino Linotype" w:eastAsia="Palatino Linotype" w:hAnsi="Palatino Linotype" w:cs="Palatino Linotype"/>
          <w:i/>
          <w:color w:val="000000"/>
        </w:rPr>
        <w:t xml:space="preserve"> de la autoridad, que como lo ha expuesto el Pleno de la Suprema Corte de Justicia de la Nación en la tesis P./J. 54/2008, publicada en el Semanario Judicial de la Federación y su Gaceta, Novena Época, Tomo XXVII, junio de 2008, página 743, de rubro: "ACCE</w:t>
      </w:r>
      <w:r>
        <w:rPr>
          <w:rFonts w:ascii="Palatino Linotype" w:eastAsia="Palatino Linotype" w:hAnsi="Palatino Linotype" w:cs="Palatino Linotype"/>
          <w:i/>
          <w:color w:val="000000"/>
        </w:rPr>
        <w:t>SO A LA INFORMACIÓN. SU NATURALEZA COMO GARANTÍAS INDIVIDUAL Y SOCIAL.", contiene una doble dimensión: individual y social. En su primer aspecto, cumple con la función de maximizar el campo de la autonomía personal, posibilitando el ejercicio de la liberta</w:t>
      </w:r>
      <w:r>
        <w:rPr>
          <w:rFonts w:ascii="Palatino Linotype" w:eastAsia="Palatino Linotype" w:hAnsi="Palatino Linotype" w:cs="Palatino Linotype"/>
          <w:i/>
          <w:color w:val="000000"/>
        </w:rPr>
        <w:t xml:space="preserve">d de expresión en un contexto de mayor diversidad de datos, voces y opiniones, mientras que en el segundo, brinda un derecho colectivo o social que tiende a revelar el empleo instrumental de la información no sólo como factor de autorrealización personal, </w:t>
      </w:r>
      <w:r>
        <w:rPr>
          <w:rFonts w:ascii="Palatino Linotype" w:eastAsia="Palatino Linotype" w:hAnsi="Palatino Linotype" w:cs="Palatino Linotype"/>
          <w:i/>
          <w:color w:val="000000"/>
        </w:rPr>
        <w:t xml:space="preserve">sino como un </w:t>
      </w:r>
      <w:r>
        <w:rPr>
          <w:rFonts w:ascii="Palatino Linotype" w:eastAsia="Palatino Linotype" w:hAnsi="Palatino Linotype" w:cs="Palatino Linotype"/>
          <w:i/>
          <w:color w:val="000000"/>
        </w:rPr>
        <w:lastRenderedPageBreak/>
        <w:t>mecanismo de control institucional, pues se trata de un derecho fundado en una de las características principales del gobierno republicano, que es la publicidad de los actos de gobierno y la transparencia en el actuar de la administración, con</w:t>
      </w:r>
      <w:r>
        <w:rPr>
          <w:rFonts w:ascii="Palatino Linotype" w:eastAsia="Palatino Linotype" w:hAnsi="Palatino Linotype" w:cs="Palatino Linotype"/>
          <w:i/>
          <w:color w:val="000000"/>
        </w:rPr>
        <w:t xml:space="preserve">ducente y necesaria para la rendición de cuentas. Por ello, el principio de máxima publicidad incorporado en el texto constitucional, implica para cualquier autoridad, realizar un manejo de la información bajo la premisa inicial que toda ella es pública y </w:t>
      </w:r>
      <w:r>
        <w:rPr>
          <w:rFonts w:ascii="Palatino Linotype" w:eastAsia="Palatino Linotype" w:hAnsi="Palatino Linotype" w:cs="Palatino Linotype"/>
          <w:i/>
          <w:color w:val="000000"/>
        </w:rPr>
        <w:t xml:space="preserve">sólo por excepción, en los casos expresamente previstos en la legislación secundaria y justificados bajo determinadas circunstancias, se podrá clasificar como confidencial o reservada, esto es, considerarla con una calidad diversa. </w:t>
      </w:r>
    </w:p>
    <w:p w:rsidR="00E5255D" w:rsidRDefault="00E5255D">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rPr>
      </w:pPr>
    </w:p>
    <w:p w:rsidR="00E5255D" w:rsidRDefault="00E064E1">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CUARTO TRIBUNAL COLEGI</w:t>
      </w:r>
      <w:r>
        <w:rPr>
          <w:rFonts w:ascii="Palatino Linotype" w:eastAsia="Palatino Linotype" w:hAnsi="Palatino Linotype" w:cs="Palatino Linotype"/>
          <w:i/>
          <w:color w:val="000000"/>
        </w:rPr>
        <w:t xml:space="preserve">ADO EN MATERIA ADMINISTRATIVA DEL PRIMER CIRCUITO. </w:t>
      </w:r>
    </w:p>
    <w:p w:rsidR="00E5255D" w:rsidRDefault="00E064E1">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Amparo en revisión 257/2012. Ruth Corona Muñoz. 6 de diciembre de 2012. Unanimidad de votos. Ponente: Jean Claude Tron Petit. Secretaria: Mayra Susana Martínez López.</w:t>
      </w:r>
    </w:p>
    <w:p w:rsidR="00E5255D" w:rsidRDefault="00E5255D">
      <w:pPr>
        <w:spacing w:line="360" w:lineRule="auto"/>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último, debe mencionarse que </w:t>
      </w:r>
      <w:r>
        <w:rPr>
          <w:rFonts w:ascii="Palatino Linotype" w:eastAsia="Palatino Linotype" w:hAnsi="Palatino Linotype" w:cs="Palatino Linotype"/>
          <w:b/>
          <w:color w:val="000000"/>
        </w:rPr>
        <w:t>alg</w:t>
      </w:r>
      <w:r>
        <w:rPr>
          <w:rFonts w:ascii="Palatino Linotype" w:eastAsia="Palatino Linotype" w:hAnsi="Palatino Linotype" w:cs="Palatino Linotype"/>
          <w:b/>
          <w:color w:val="000000"/>
        </w:rPr>
        <w:t>unas certificaciones de competencia laboral, contienen datos personales</w:t>
      </w:r>
      <w:r>
        <w:rPr>
          <w:rFonts w:ascii="Palatino Linotype" w:eastAsia="Palatino Linotype" w:hAnsi="Palatino Linotype" w:cs="Palatino Linotype"/>
          <w:color w:val="000000"/>
        </w:rPr>
        <w:t xml:space="preserve"> como lo son de manera enunciativa mas no limitativa, la </w:t>
      </w:r>
      <w:r>
        <w:rPr>
          <w:rFonts w:ascii="Palatino Linotype" w:eastAsia="Palatino Linotype" w:hAnsi="Palatino Linotype" w:cs="Palatino Linotype"/>
          <w:b/>
          <w:color w:val="000000"/>
        </w:rPr>
        <w:t>CURP</w:t>
      </w:r>
      <w:r>
        <w:rPr>
          <w:rFonts w:ascii="Palatino Linotype" w:eastAsia="Palatino Linotype" w:hAnsi="Palatino Linotype" w:cs="Palatino Linotype"/>
          <w:color w:val="000000"/>
        </w:rPr>
        <w:t>, por lo que de ser el caso que el soporte documental que se ha tenido a bien ordenar, contenga datos personales, deberá ela</w:t>
      </w:r>
      <w:r>
        <w:rPr>
          <w:rFonts w:ascii="Palatino Linotype" w:eastAsia="Palatino Linotype" w:hAnsi="Palatino Linotype" w:cs="Palatino Linotype"/>
          <w:color w:val="000000"/>
        </w:rPr>
        <w:t xml:space="preserve">borarse la versión pública correspondiente y el acta del Comité de Transparencia mediante la cual se sustente y se ponga a disposición de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términos del Considerando siguiente.</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5255D">
      <w:pPr>
        <w:spacing w:line="360" w:lineRule="auto"/>
        <w:rPr>
          <w:rFonts w:ascii="Palatino Linotype" w:eastAsia="Palatino Linotype" w:hAnsi="Palatino Linotype" w:cs="Palatino Linotype"/>
        </w:rPr>
      </w:pPr>
    </w:p>
    <w:p w:rsidR="00E5255D" w:rsidRDefault="00E064E1">
      <w:pPr>
        <w:keepNext/>
        <w:keepLines/>
        <w:spacing w:line="360" w:lineRule="auto"/>
        <w:rPr>
          <w:rFonts w:ascii="Palatino Linotype" w:eastAsia="Palatino Linotype" w:hAnsi="Palatino Linotype" w:cs="Palatino Linotype"/>
          <w:b/>
        </w:rPr>
      </w:pPr>
      <w:bookmarkStart w:id="15" w:name="_heading=h.35nkun2" w:colFirst="0" w:colLast="0"/>
      <w:bookmarkEnd w:id="15"/>
      <w:r>
        <w:rPr>
          <w:rFonts w:ascii="Palatino Linotype" w:eastAsia="Palatino Linotype" w:hAnsi="Palatino Linotype" w:cs="Palatino Linotype"/>
          <w:b/>
        </w:rPr>
        <w:t>QUINTO. De la versión pública.</w:t>
      </w:r>
    </w:p>
    <w:p w:rsidR="00E5255D" w:rsidRDefault="00E5255D">
      <w:pPr>
        <w:spacing w:line="360" w:lineRule="auto"/>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ya se ha señalado en el considerando anterior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entregar la información requerida. Documentos en los que, de ser el caso que contengan datos personales que deban de ser clasificados como confidenciales, se protegerán mediante </w:t>
      </w:r>
      <w:r>
        <w:rPr>
          <w:rFonts w:ascii="Palatino Linotype" w:eastAsia="Palatino Linotype" w:hAnsi="Palatino Linotype" w:cs="Palatino Linotype"/>
          <w:color w:val="000000"/>
        </w:rPr>
        <w:t>una versión pública que deje a la vista los datos que ofrezcan la información requerida.</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spacing w:line="360" w:lineRule="auto"/>
        <w:jc w:val="both"/>
        <w:rPr>
          <w:rFonts w:ascii="Palatino Linotype" w:eastAsia="Palatino Linotype" w:hAnsi="Palatino Linotype" w:cs="Palatino Linotype"/>
          <w:b/>
        </w:rPr>
      </w:pPr>
      <w:bookmarkStart w:id="16" w:name="_heading=h.1ksv4uv" w:colFirst="0" w:colLast="0"/>
      <w:bookmarkEnd w:id="16"/>
      <w:r>
        <w:rPr>
          <w:rFonts w:ascii="Palatino Linotype" w:eastAsia="Palatino Linotype" w:hAnsi="Palatino Linotype" w:cs="Palatino Linotype"/>
          <w:b/>
        </w:rPr>
        <w:t>Requisitos previos.</w:t>
      </w: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artículo 122 de la Ley en materia señala que los sujetos obligados determinan que la información actualiza alguno de los supuestos de clasifica</w:t>
      </w:r>
      <w:r>
        <w:rPr>
          <w:rFonts w:ascii="Palatino Linotype" w:eastAsia="Palatino Linotype" w:hAnsi="Palatino Linotype" w:cs="Palatino Linotype"/>
          <w:color w:val="000000"/>
        </w:rPr>
        <w:t>ción y que son los titulares de las áreas los encargados de clasificar la información. En consecuencia, son los titulares de las áreas que administran la información los que aprueban su clasificación. Al hacerlo tienen que precisar de qué información se tr</w:t>
      </w:r>
      <w:r>
        <w:rPr>
          <w:rFonts w:ascii="Palatino Linotype" w:eastAsia="Palatino Linotype" w:hAnsi="Palatino Linotype" w:cs="Palatino Linotype"/>
          <w:color w:val="000000"/>
        </w:rPr>
        <w:t>ata que forme parte de algún documento señalando el supuesto de clasificación.</w:t>
      </w:r>
    </w:p>
    <w:p w:rsidR="00E5255D" w:rsidRDefault="00E525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se debe señalar el procedimiento, de los tres que establece el artículo 132 Ley en comento por el que se realiza dicha clasificación, a saber, cuando se atiende una sol</w:t>
      </w:r>
      <w:r>
        <w:rPr>
          <w:rFonts w:ascii="Palatino Linotype" w:eastAsia="Palatino Linotype" w:hAnsi="Palatino Linotype" w:cs="Palatino Linotype"/>
          <w:color w:val="000000"/>
        </w:rPr>
        <w:t>icitud de acceso a la información, porque lo determina una autoridad competente o porque se va a generar una versión pública para cumplir con sus obligaciones.</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último de estos requisitos previos consiste en que no se pueden emitir acuerdos de carácter </w:t>
      </w:r>
      <w:r>
        <w:rPr>
          <w:rFonts w:ascii="Palatino Linotype" w:eastAsia="Palatino Linotype" w:hAnsi="Palatino Linotype" w:cs="Palatino Linotype"/>
          <w:color w:val="000000"/>
        </w:rPr>
        <w:t xml:space="preserve">general ni particular, según lo dispone el artículo 134 de la Ley en materia respectivamente, esto es, no se puede hacer un acuerdo para clasificar de manera general todos los documentos de un expediente o área, sin individualizar su análisis y tampoco se </w:t>
      </w:r>
      <w:r>
        <w:rPr>
          <w:rFonts w:ascii="Palatino Linotype" w:eastAsia="Palatino Linotype" w:hAnsi="Palatino Linotype" w:cs="Palatino Linotype"/>
          <w:color w:val="000000"/>
        </w:rPr>
        <w:t>puede hacer un acuerdo por cada dato que se vaya a clasificar dentro de un documento con diez datos, por ejemplo, susceptibles de ser clasificados.</w:t>
      </w:r>
    </w:p>
    <w:p w:rsidR="00E5255D" w:rsidRDefault="00E5255D">
      <w:pPr>
        <w:spacing w:line="360" w:lineRule="auto"/>
        <w:jc w:val="both"/>
        <w:rPr>
          <w:rFonts w:ascii="Palatino Linotype" w:eastAsia="Palatino Linotype" w:hAnsi="Palatino Linotype" w:cs="Palatino Linotype"/>
        </w:rPr>
      </w:pPr>
    </w:p>
    <w:p w:rsidR="00E5255D" w:rsidRDefault="00E064E1">
      <w:pPr>
        <w:spacing w:line="360" w:lineRule="auto"/>
        <w:jc w:val="both"/>
        <w:rPr>
          <w:rFonts w:ascii="Palatino Linotype" w:eastAsia="Palatino Linotype" w:hAnsi="Palatino Linotype" w:cs="Palatino Linotype"/>
          <w:b/>
        </w:rPr>
      </w:pPr>
      <w:bookmarkStart w:id="17" w:name="_heading=h.44sinio" w:colFirst="0" w:colLast="0"/>
      <w:bookmarkEnd w:id="17"/>
      <w:r>
        <w:rPr>
          <w:rFonts w:ascii="Palatino Linotype" w:eastAsia="Palatino Linotype" w:hAnsi="Palatino Linotype" w:cs="Palatino Linotype"/>
          <w:b/>
        </w:rPr>
        <w:t>Supuesto de clasificación.</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Cuando un documento requerido contiene datos persónales susceptible de clasific</w:t>
      </w:r>
      <w:r>
        <w:rPr>
          <w:rFonts w:ascii="Palatino Linotype" w:eastAsia="Palatino Linotype" w:hAnsi="Palatino Linotype" w:cs="Palatino Linotype"/>
          <w:color w:val="000000"/>
        </w:rPr>
        <w:t>arse como confidencial, resulta procedente dicha clasificación conforme a lo señalado por los artículos 3 fracciones IX, XX, XXI y XLV; 91, 137 y 143 fracción I de la Ley de Transparencia y Acceso a la Información Pública del Estado de México y Municipios.</w:t>
      </w:r>
    </w:p>
    <w:p w:rsidR="00E5255D" w:rsidRDefault="00E5255D">
      <w:pPr>
        <w:spacing w:line="360" w:lineRule="auto"/>
        <w:jc w:val="both"/>
        <w:rPr>
          <w:rFonts w:ascii="Palatino Linotype" w:eastAsia="Palatino Linotype" w:hAnsi="Palatino Linotype" w:cs="Palatino Linotype"/>
        </w:rPr>
      </w:pP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IX. Datos personales: La información concerniente a una persona, identificada o identificable según lo dispuesto por la Ley de Protección de Datos Personales del Estado de México;</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XX. Información clasificada: Aquella considerada por la presente Ley como reservada o confidencial;</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XXI. Información confidencial: Se considera como información confidencial los secretos bancario, fiduciario, industrial, comercial, fiscal, bursátil y post</w:t>
      </w:r>
      <w:r>
        <w:rPr>
          <w:rFonts w:ascii="Palatino Linotype" w:eastAsia="Palatino Linotype" w:hAnsi="Palatino Linotype" w:cs="Palatino Linotype"/>
          <w:i/>
        </w:rPr>
        <w:t>al, cuya titularidad corresponda a particulares, sujetos de derecho internacional o a sujetos obligados cuando no involucren el ejercicio de recursos públicos;</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Artículo 91. El acceso a la información pública será restringido excepcionalmente, cuando ésta sea c</w:t>
      </w:r>
      <w:r>
        <w:rPr>
          <w:rFonts w:ascii="Palatino Linotype" w:eastAsia="Palatino Linotype" w:hAnsi="Palatino Linotype" w:cs="Palatino Linotype"/>
          <w:i/>
        </w:rPr>
        <w:t>lasificada como reservada o confidencial.</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Artículo 137. Cuando un mismo medio, impreso o electrónico, contenga información pública y reservada o confidencial, la Unidad de Transparencia para efectos de atender una solicitud de información, deberán elab</w:t>
      </w:r>
      <w:r>
        <w:rPr>
          <w:rFonts w:ascii="Palatino Linotype" w:eastAsia="Palatino Linotype" w:hAnsi="Palatino Linotype" w:cs="Palatino Linotype"/>
          <w:i/>
        </w:rPr>
        <w:t>orar una versión pública en la que se testen las partes o secciones clasificadas, indicando su contenido de manera genérica y fundando y motivando su clasificación.</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Artículo 143. Para los efectos de esta Ley se considera información confidencial, la cl</w:t>
      </w:r>
      <w:r>
        <w:rPr>
          <w:rFonts w:ascii="Palatino Linotype" w:eastAsia="Palatino Linotype" w:hAnsi="Palatino Linotype" w:cs="Palatino Linotype"/>
          <w:i/>
        </w:rPr>
        <w:t>asificada como tal, de manera permanente, por su naturaleza, cuando:</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w:t>
      </w:r>
      <w:r>
        <w:rPr>
          <w:rFonts w:ascii="Palatino Linotype" w:eastAsia="Palatino Linotype" w:hAnsi="Palatino Linotype" w:cs="Palatino Linotype"/>
          <w:i/>
        </w:rPr>
        <w:t>ujeta a temporalidad alguna y sólo podrán tener acceso a ella los titulares de la misma, sus representantes y los servidores públicos facultados para ello.</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No se considerará confidencial la información que se encuentre en los registros públicos o en fuente</w:t>
      </w:r>
      <w:r>
        <w:rPr>
          <w:rFonts w:ascii="Palatino Linotype" w:eastAsia="Palatino Linotype" w:hAnsi="Palatino Linotype" w:cs="Palatino Linotype"/>
          <w:i/>
        </w:rPr>
        <w:t>s de acceso público, ni tampoco la que sea considerada por la presente ley como información pública.</w:t>
      </w:r>
    </w:p>
    <w:p w:rsidR="00E5255D" w:rsidRDefault="00E5255D">
      <w:pPr>
        <w:spacing w:line="360" w:lineRule="auto"/>
        <w:jc w:val="both"/>
        <w:rPr>
          <w:rFonts w:ascii="Palatino Linotype" w:eastAsia="Palatino Linotype" w:hAnsi="Palatino Linotype" w:cs="Palatino Linotype"/>
          <w:i/>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Mientras que el artículo 130 de la Ley en materia señala que la aplicación de estos supuestos debe de realizarse de manera restrictiva y limitada, por lo que debe acreditarse que se cumple con esta condición y no se pueden ampliar las excepciones o supuest</w:t>
      </w:r>
      <w:r>
        <w:rPr>
          <w:rFonts w:ascii="Palatino Linotype" w:eastAsia="Palatino Linotype" w:hAnsi="Palatino Linotype" w:cs="Palatino Linotype"/>
          <w:color w:val="000000"/>
        </w:rPr>
        <w:t>os de clasificación aduciendo analogía o mayoría de razón.</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consecuencia de lo anterior, el sujeto obligado debe identificar claramente el tipo de información y hacer un juicio de subsunción o encaje</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para acreditar que el supuesto de hecho correspond</w:t>
      </w:r>
      <w:r>
        <w:rPr>
          <w:rFonts w:ascii="Palatino Linotype" w:eastAsia="Palatino Linotype" w:hAnsi="Palatino Linotype" w:cs="Palatino Linotype"/>
          <w:color w:val="000000"/>
        </w:rPr>
        <w:t>e estrictamente con la hipótesis jurídica. Esto también lo debe de realizar el servidor público habilitado y el titular del área que administra la información.</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Una vez hecho lo anterior, se remite la información al Titular de la Unidad de Transparencia, c</w:t>
      </w:r>
      <w:r>
        <w:rPr>
          <w:rFonts w:ascii="Palatino Linotype" w:eastAsia="Palatino Linotype" w:hAnsi="Palatino Linotype" w:cs="Palatino Linotype"/>
          <w:color w:val="000000"/>
        </w:rPr>
        <w:t>on el acuerdo de clasificación correspondiente, para que sea sometido al conocimiento del Comité de Transparencia.</w:t>
      </w:r>
    </w:p>
    <w:p w:rsidR="00E5255D" w:rsidRDefault="00E5255D">
      <w:pPr>
        <w:spacing w:line="360" w:lineRule="auto"/>
        <w:jc w:val="both"/>
        <w:rPr>
          <w:rFonts w:ascii="Palatino Linotype" w:eastAsia="Palatino Linotype" w:hAnsi="Palatino Linotype" w:cs="Palatino Linotype"/>
        </w:rPr>
      </w:pPr>
    </w:p>
    <w:p w:rsidR="00E5255D" w:rsidRDefault="00E064E1">
      <w:pPr>
        <w:spacing w:line="360" w:lineRule="auto"/>
        <w:jc w:val="both"/>
        <w:rPr>
          <w:rFonts w:ascii="Palatino Linotype" w:eastAsia="Palatino Linotype" w:hAnsi="Palatino Linotype" w:cs="Palatino Linotype"/>
          <w:b/>
        </w:rPr>
      </w:pPr>
      <w:bookmarkStart w:id="18" w:name="_heading=h.2jxsxqh" w:colFirst="0" w:colLast="0"/>
      <w:bookmarkEnd w:id="18"/>
      <w:r>
        <w:rPr>
          <w:rFonts w:ascii="Palatino Linotype" w:eastAsia="Palatino Linotype" w:hAnsi="Palatino Linotype" w:cs="Palatino Linotype"/>
          <w:b/>
        </w:rPr>
        <w:t>La intervención del Comité de Transparencia.</w:t>
      </w:r>
    </w:p>
    <w:p w:rsidR="00E5255D" w:rsidRDefault="00E064E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Formalidades para emitir el acuerdo de clasificación.</w:t>
      </w:r>
    </w:p>
    <w:p w:rsidR="00E5255D" w:rsidRDefault="00E5255D">
      <w:pPr>
        <w:spacing w:line="360" w:lineRule="auto"/>
        <w:jc w:val="both"/>
        <w:rPr>
          <w:rFonts w:ascii="Palatino Linotype" w:eastAsia="Palatino Linotype" w:hAnsi="Palatino Linotype" w:cs="Palatino Linotype"/>
          <w:b/>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Comité de Transparencia, según lo dis</w:t>
      </w:r>
      <w:r>
        <w:rPr>
          <w:rFonts w:ascii="Palatino Linotype" w:eastAsia="Palatino Linotype" w:hAnsi="Palatino Linotype" w:cs="Palatino Linotype"/>
          <w:color w:val="000000"/>
        </w:rPr>
        <w:t xml:space="preserve">puesto en los artículos 128 y 103 de la Ley Estatal y de la Ley General, respectivamente, y la fracción III del numeral Segundo de los Lineamientos generales en materia de clasificación y desclasificación de la información, así como para la elaboración de </w:t>
      </w:r>
      <w:r>
        <w:rPr>
          <w:rFonts w:ascii="Palatino Linotype" w:eastAsia="Palatino Linotype" w:hAnsi="Palatino Linotype" w:cs="Palatino Linotype"/>
          <w:color w:val="000000"/>
        </w:rPr>
        <w:t xml:space="preserve">versiones públicas, en adelante los Lineamientos Generales, cuenta con las facultades para confirmar, modificar o revocar la clasificación de la información que ha hecho el titular del área que administra la información. Por lo tanto, el Comité no aprueba </w:t>
      </w:r>
      <w:r>
        <w:rPr>
          <w:rFonts w:ascii="Palatino Linotype" w:eastAsia="Palatino Linotype" w:hAnsi="Palatino Linotype" w:cs="Palatino Linotype"/>
          <w:color w:val="000000"/>
        </w:rPr>
        <w:t>la clasificación, sino que revisa lo que ha hecho el titular del área y confirma, modifica o revoca la decisión a través de un acuerdo.</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Evidentemente, esta decisión implica una restricción a un derecho humano, por lo tanto, puede generar un agravio al par</w:t>
      </w:r>
      <w:r>
        <w:rPr>
          <w:rFonts w:ascii="Palatino Linotype" w:eastAsia="Palatino Linotype" w:hAnsi="Palatino Linotype" w:cs="Palatino Linotype"/>
          <w:color w:val="000000"/>
        </w:rPr>
        <w:t>ticular y, en consecuencia, es necesario que el acto reúna con los requisitos elementales, entre ellos, que la autoridad que va a emitir el acto de autoridad sea la legalmente facultada para ello, es decir, que cumpla con el principio de reserva de ley,  p</w:t>
      </w:r>
      <w:r>
        <w:rPr>
          <w:rFonts w:ascii="Palatino Linotype" w:eastAsia="Palatino Linotype" w:hAnsi="Palatino Linotype" w:cs="Palatino Linotype"/>
          <w:color w:val="000000"/>
        </w:rPr>
        <w:t xml:space="preserve">or lo que no está demás señalar que el artículo 45 de la Ley Estatal, claramente señala que el Comité de Transparencia, legalmente facultado para emitir el acuerdo de clasificación, se integra por el Titular </w:t>
      </w:r>
      <w:r>
        <w:rPr>
          <w:rFonts w:ascii="Palatino Linotype" w:eastAsia="Palatino Linotype" w:hAnsi="Palatino Linotype" w:cs="Palatino Linotype"/>
          <w:color w:val="000000"/>
        </w:rPr>
        <w:lastRenderedPageBreak/>
        <w:t>de la Unidad de Transparencia, el responsable de</w:t>
      </w:r>
      <w:r>
        <w:rPr>
          <w:rFonts w:ascii="Palatino Linotype" w:eastAsia="Palatino Linotype" w:hAnsi="Palatino Linotype" w:cs="Palatino Linotype"/>
          <w:color w:val="000000"/>
        </w:rPr>
        <w:t>l área coordinadora de archivos y el titular del órgano interno de control, integrado siempre por un número impar y que no debe de existir dependencia jerárquica entre sus integrantes. Cualquier otra composición del Comité puede generar vicios de legalidad</w:t>
      </w:r>
      <w:r>
        <w:rPr>
          <w:rFonts w:ascii="Palatino Linotype" w:eastAsia="Palatino Linotype" w:hAnsi="Palatino Linotype" w:cs="Palatino Linotype"/>
          <w:color w:val="000000"/>
        </w:rPr>
        <w:t xml:space="preserve"> de origen en el acto que restringe un derecho humano.</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w:t>
      </w:r>
      <w:r>
        <w:rPr>
          <w:rFonts w:ascii="Palatino Linotype" w:eastAsia="Palatino Linotype" w:hAnsi="Palatino Linotype" w:cs="Palatino Linotype"/>
          <w:color w:val="000000"/>
        </w:rPr>
        <w:t>ón, cuyo análisis debe integrarse en la agenda de los asuntos a tratar en las sesiones, se insiste, a partir de las decisiones adoptadas previamente por los titulares de áreas y que son sujetas a control, en primera instancia, por el Comité de Transparenci</w:t>
      </w:r>
      <w:r>
        <w:rPr>
          <w:rFonts w:ascii="Palatino Linotype" w:eastAsia="Palatino Linotype" w:hAnsi="Palatino Linotype" w:cs="Palatino Linotype"/>
          <w:color w:val="000000"/>
        </w:rPr>
        <w:t xml:space="preserve">a. </w:t>
      </w:r>
    </w:p>
    <w:p w:rsidR="00E5255D" w:rsidRDefault="00E5255D">
      <w:pPr>
        <w:spacing w:line="360" w:lineRule="auto"/>
        <w:jc w:val="both"/>
        <w:rPr>
          <w:rFonts w:ascii="Palatino Linotype" w:eastAsia="Palatino Linotype" w:hAnsi="Palatino Linotype" w:cs="Palatino Linotype"/>
        </w:rPr>
      </w:pPr>
    </w:p>
    <w:p w:rsidR="00E5255D" w:rsidRDefault="00E064E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Requisitos de fondo del acuerdo de clasificación</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se ha señalado antes, al hacer el juicio de subsunción o encaje entre el supuesto de hecho y la hipótesis jurídica, se debe acreditar la estricta correspondencia entre un elemento y otro. Ahora, e</w:t>
      </w:r>
      <w:r>
        <w:rPr>
          <w:rFonts w:ascii="Palatino Linotype" w:eastAsia="Palatino Linotype" w:hAnsi="Palatino Linotype" w:cs="Palatino Linotype"/>
          <w:color w:val="000000"/>
        </w:rPr>
        <w:t>n esta parte del procedimiento, que se desahoga en sede del Comité de Transparencia, la ley nos aporta mayores luces para cumplir con dicha acreditación. En los artículos 131 y 105 segundo párrafo de la Ley Estatal y de la Ley General respectivamente, y el</w:t>
      </w:r>
      <w:r>
        <w:rPr>
          <w:rFonts w:ascii="Palatino Linotype" w:eastAsia="Palatino Linotype" w:hAnsi="Palatino Linotype" w:cs="Palatino Linotype"/>
          <w:color w:val="000000"/>
        </w:rPr>
        <w:t xml:space="preserve"> lineamiento sexagésimo segundo de los Lineamientos Generales, al señalar que la carga de la prueba, para </w:t>
      </w:r>
      <w:r>
        <w:rPr>
          <w:rFonts w:ascii="Palatino Linotype" w:eastAsia="Palatino Linotype" w:hAnsi="Palatino Linotype" w:cs="Palatino Linotype"/>
          <w:color w:val="000000"/>
        </w:rPr>
        <w:lastRenderedPageBreak/>
        <w:t xml:space="preserve">justificar las restricciones, corresponde a los sujetos obligados, por lo que deberán fundar y motivar debidamente la clasificación. </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w:t>
      </w:r>
      <w:r>
        <w:rPr>
          <w:rFonts w:ascii="Palatino Linotype" w:eastAsia="Palatino Linotype" w:hAnsi="Palatino Linotype" w:cs="Palatino Linotype"/>
          <w:color w:val="000000"/>
        </w:rPr>
        <w:t xml:space="preserve"> se desprende que, para una correcta clasificación total o parcial, esto es determinar los datos que se suprimen en las versiones públicas, es necesario fundar y motivar, de manera correcta, la clasificación; considerando que todo acto que la autoridad pro</w:t>
      </w:r>
      <w:r>
        <w:rPr>
          <w:rFonts w:ascii="Palatino Linotype" w:eastAsia="Palatino Linotype" w:hAnsi="Palatino Linotype" w:cs="Palatino Linotype"/>
          <w:color w:val="000000"/>
        </w:rPr>
        <w:t>nuncie en el ejercicio de sus atribuciones, debe expresar los fundamentos legales que le dieron origen y las razones por las que se deben aplicar al caso concreto.</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Han sido vastos los estudios doctrinarios relativos a estos derechos fundamentales y al principio de legalidad en ellos contenidos; como ejemplo, el procesalista José Ovalle Fabela, en su obra “Garantías Constitucionales del Proceso”, refiere que “...la ga</w:t>
      </w:r>
      <w:r>
        <w:rPr>
          <w:rFonts w:ascii="Palatino Linotype" w:eastAsia="Palatino Linotype" w:hAnsi="Palatino Linotype" w:cs="Palatino Linotype"/>
          <w:color w:val="000000"/>
        </w:rPr>
        <w:t>rantía de fundamentación impone a las autoridades el deber de precisar las disposiciones jurídicas que aplican a los hechos de que se trate y que sustenten su competencia, así como de manifestar los razonamientos que demuestren la aplicabilidad de dichas d</w:t>
      </w:r>
      <w:r>
        <w:rPr>
          <w:rFonts w:ascii="Palatino Linotype" w:eastAsia="Palatino Linotype" w:hAnsi="Palatino Linotype" w:cs="Palatino Linotype"/>
          <w:color w:val="000000"/>
        </w:rPr>
        <w:t>isposiciones, todo lo cual se debe traducir en una argumentación o juicio de derecho. Pero de igual manera, la garantía de motivación exige que las autoridades expongan los razonamientos con base en los cuales llegaron a la conclusión de que esos hechos so</w:t>
      </w:r>
      <w:r>
        <w:rPr>
          <w:rFonts w:ascii="Palatino Linotype" w:eastAsia="Palatino Linotype" w:hAnsi="Palatino Linotype" w:cs="Palatino Linotype"/>
          <w:color w:val="000000"/>
        </w:rPr>
        <w:t xml:space="preserve">n ciertos, normalmente a partir </w:t>
      </w:r>
      <w:r>
        <w:rPr>
          <w:rFonts w:ascii="Palatino Linotype" w:eastAsia="Palatino Linotype" w:hAnsi="Palatino Linotype" w:cs="Palatino Linotype"/>
          <w:color w:val="000000"/>
        </w:rPr>
        <w:lastRenderedPageBreak/>
        <w:t>del análisis de las pruebas, lo cual se debe exteriorizar en una argumentación o juicio de hecho…”</w:t>
      </w:r>
      <w:r>
        <w:rPr>
          <w:rFonts w:ascii="Palatino Linotype" w:eastAsia="Palatino Linotype" w:hAnsi="Palatino Linotype" w:cs="Palatino Linotype"/>
          <w:color w:val="000000"/>
          <w:vertAlign w:val="superscript"/>
        </w:rPr>
        <w:footnoteReference w:id="8"/>
      </w:r>
    </w:p>
    <w:p w:rsidR="00E5255D" w:rsidRDefault="00E5255D">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intérprete judicial del país ha establecido una jurisprudencia respecto a qué debe entenderse por fundamen</w:t>
      </w:r>
      <w:r>
        <w:rPr>
          <w:rFonts w:ascii="Palatino Linotype" w:eastAsia="Palatino Linotype" w:hAnsi="Palatino Linotype" w:cs="Palatino Linotype"/>
          <w:color w:val="000000"/>
        </w:rPr>
        <w:t>tación y motivación, en los siguientes términos:</w:t>
      </w:r>
    </w:p>
    <w:p w:rsidR="00E5255D" w:rsidRDefault="00E5255D">
      <w:pPr>
        <w:spacing w:line="360" w:lineRule="auto"/>
        <w:jc w:val="both"/>
        <w:rPr>
          <w:rFonts w:ascii="Palatino Linotype" w:eastAsia="Palatino Linotype" w:hAnsi="Palatino Linotype" w:cs="Palatino Linotype"/>
        </w:rPr>
      </w:pPr>
    </w:p>
    <w:p w:rsidR="00E5255D" w:rsidRDefault="00E064E1">
      <w:pPr>
        <w:spacing w:line="360" w:lineRule="auto"/>
        <w:ind w:left="426" w:right="474"/>
        <w:jc w:val="both"/>
        <w:rPr>
          <w:rFonts w:ascii="Palatino Linotype" w:eastAsia="Palatino Linotype" w:hAnsi="Palatino Linotype" w:cs="Palatino Linotype"/>
          <w:i/>
        </w:rPr>
      </w:pPr>
      <w:r>
        <w:rPr>
          <w:rFonts w:ascii="Palatino Linotype" w:eastAsia="Palatino Linotype" w:hAnsi="Palatino Linotype" w:cs="Palatino Linotype"/>
          <w:b/>
          <w:i/>
        </w:rPr>
        <w:t>FUNDAMENTACIÓN Y MOTIVACIÓN.</w:t>
      </w:r>
      <w:r>
        <w:rPr>
          <w:rFonts w:ascii="Palatino Linotype" w:eastAsia="Palatino Linotype" w:hAnsi="Palatino Linotype" w:cs="Palatino Linotype"/>
          <w:i/>
        </w:rPr>
        <w:t xml:space="preserve"> La </w:t>
      </w:r>
      <w:r>
        <w:rPr>
          <w:rFonts w:ascii="Palatino Linotype" w:eastAsia="Palatino Linotype" w:hAnsi="Palatino Linotype" w:cs="Palatino Linotype"/>
          <w:i/>
          <w:u w:val="single"/>
        </w:rPr>
        <w:t>debida fundamentación y motivación legal, deben entenderse, por lo primero, la cita del precepto legal aplicable al caso, y por lo segundo, las razones, motivos o circunstanc</w:t>
      </w:r>
      <w:r>
        <w:rPr>
          <w:rFonts w:ascii="Palatino Linotype" w:eastAsia="Palatino Linotype" w:hAnsi="Palatino Linotype" w:cs="Palatino Linotype"/>
          <w:i/>
          <w:u w:val="single"/>
        </w:rPr>
        <w:t>ias especiales que llevaron a la autoridad a concluir que el caso particular encuadra en el supuesto previsto por la norma legal invocada como fundamento</w:t>
      </w:r>
      <w:r>
        <w:rPr>
          <w:rFonts w:ascii="Palatino Linotype" w:eastAsia="Palatino Linotype" w:hAnsi="Palatino Linotype" w:cs="Palatino Linotype"/>
          <w:i/>
        </w:rPr>
        <w:t>.</w:t>
      </w:r>
    </w:p>
    <w:p w:rsidR="00E5255D" w:rsidRDefault="00E064E1">
      <w:pPr>
        <w:spacing w:line="360" w:lineRule="auto"/>
        <w:ind w:left="426" w:right="474"/>
        <w:jc w:val="both"/>
        <w:rPr>
          <w:rFonts w:ascii="Palatino Linotype" w:eastAsia="Palatino Linotype" w:hAnsi="Palatino Linotype" w:cs="Palatino Linotype"/>
          <w:i/>
        </w:rPr>
      </w:pPr>
      <w:r>
        <w:rPr>
          <w:rFonts w:ascii="Palatino Linotype" w:eastAsia="Palatino Linotype" w:hAnsi="Palatino Linotype" w:cs="Palatino Linotype"/>
          <w:i/>
        </w:rPr>
        <w:t>SEGUNDO TRIBUNAL COLEGIADO DEL SEXTO CIRCUITO.</w:t>
      </w:r>
    </w:p>
    <w:p w:rsidR="00E5255D" w:rsidRDefault="00E064E1">
      <w:pPr>
        <w:spacing w:line="360" w:lineRule="auto"/>
        <w:ind w:left="426" w:right="474"/>
        <w:jc w:val="both"/>
        <w:rPr>
          <w:rFonts w:ascii="Palatino Linotype" w:eastAsia="Palatino Linotype" w:hAnsi="Palatino Linotype" w:cs="Palatino Linotype"/>
          <w:i/>
        </w:rPr>
      </w:pPr>
      <w:r>
        <w:rPr>
          <w:rFonts w:ascii="Palatino Linotype" w:eastAsia="Palatino Linotype" w:hAnsi="Palatino Linotype" w:cs="Palatino Linotype"/>
          <w:i/>
        </w:rPr>
        <w:t>Amparo directo 194/88. Bufete Industrial Construccione</w:t>
      </w:r>
      <w:r>
        <w:rPr>
          <w:rFonts w:ascii="Palatino Linotype" w:eastAsia="Palatino Linotype" w:hAnsi="Palatino Linotype" w:cs="Palatino Linotype"/>
          <w:i/>
        </w:rPr>
        <w:t>s, S.A. de C.V. 28 de junio de 1988. Unanimidad de votos. Ponente: Gustavo Calvillo Rangel. Secretario: Jorge Alberto González Álvarez.</w:t>
      </w:r>
    </w:p>
    <w:p w:rsidR="00E5255D" w:rsidRDefault="00E064E1">
      <w:pPr>
        <w:spacing w:line="360" w:lineRule="auto"/>
        <w:ind w:left="426" w:right="474"/>
        <w:jc w:val="both"/>
        <w:rPr>
          <w:rFonts w:ascii="Palatino Linotype" w:eastAsia="Palatino Linotype" w:hAnsi="Palatino Linotype" w:cs="Palatino Linotype"/>
          <w:i/>
        </w:rPr>
      </w:pPr>
      <w:r>
        <w:rPr>
          <w:rFonts w:ascii="Palatino Linotype" w:eastAsia="Palatino Linotype" w:hAnsi="Palatino Linotype" w:cs="Palatino Linotype"/>
          <w:i/>
        </w:rPr>
        <w:t>Revisión fiscal 103/88. Instituto Mexicano del Seguro Social. 18 de octubre de 1988. Unanimidad de votos. Ponente: Arnol</w:t>
      </w:r>
      <w:r>
        <w:rPr>
          <w:rFonts w:ascii="Palatino Linotype" w:eastAsia="Palatino Linotype" w:hAnsi="Palatino Linotype" w:cs="Palatino Linotype"/>
          <w:i/>
        </w:rPr>
        <w:t>do Nájera Virgen. Secretario: Alejandro Esponda Rincón.</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Amparo en revisión 333/88. Adilia Romero. 26 de octubre de 1988. Unanimidad de votos. Ponente: Arnoldo Nájera Virgen. Secretario: Enrique Crispín Campos Ramírez.</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Amparo en revisión 597/95. Emilio Maurer Bretón. 15 de noviembre de 1995. Unanimidad de votos. Ponente: Clementina Ramírez Moguel Goyzueta. Secretario: Gonzalo Carrera Molina.</w:t>
      </w:r>
    </w:p>
    <w:p w:rsidR="00E5255D" w:rsidRDefault="00E064E1">
      <w:pPr>
        <w:spacing w:line="360" w:lineRule="auto"/>
        <w:ind w:left="567" w:right="615"/>
        <w:jc w:val="both"/>
        <w:rPr>
          <w:rFonts w:ascii="Palatino Linotype" w:eastAsia="Palatino Linotype" w:hAnsi="Palatino Linotype" w:cs="Palatino Linotype"/>
          <w:i/>
        </w:rPr>
      </w:pPr>
      <w:r>
        <w:rPr>
          <w:rFonts w:ascii="Palatino Linotype" w:eastAsia="Palatino Linotype" w:hAnsi="Palatino Linotype" w:cs="Palatino Linotype"/>
          <w:i/>
        </w:rPr>
        <w:t>Amparo directo 7/96. Pedro Vicente López Miro. 21 de febrero de 1996. Unanimidad</w:t>
      </w:r>
      <w:r>
        <w:rPr>
          <w:rFonts w:ascii="Palatino Linotype" w:eastAsia="Palatino Linotype" w:hAnsi="Palatino Linotype" w:cs="Palatino Linotype"/>
          <w:i/>
        </w:rPr>
        <w:t xml:space="preserve"> de votos. Ponente: María Eugenia Estela Martínez Cardiel. Secretario: Enrique Baigts Muñoz.</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w:t>
      </w:r>
      <w:r>
        <w:rPr>
          <w:rFonts w:ascii="Palatino Linotype" w:eastAsia="Palatino Linotype" w:hAnsi="Palatino Linotype" w:cs="Palatino Linotype"/>
          <w:color w:val="000000"/>
        </w:rPr>
        <w:t>hecho a los fundamentos de derecho.</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la fundamentación y motivación implica que, en el acto de autoridad, además de contenerse los supuestos jurídicos aplicables se expliquen claramente por qué a través de la utilización de la norma se emi</w:t>
      </w:r>
      <w:r>
        <w:rPr>
          <w:rFonts w:ascii="Palatino Linotype" w:eastAsia="Palatino Linotype" w:hAnsi="Palatino Linotype" w:cs="Palatino Linotype"/>
          <w:color w:val="000000"/>
        </w:rPr>
        <w:t>tió el acto. De este modo, la persona que se sienta afectada pueda impugnar la decisión, permitiéndole una real y auténtica defensa.</w:t>
      </w:r>
    </w:p>
    <w:p w:rsidR="00E5255D" w:rsidRDefault="00E5255D">
      <w:pPr>
        <w:spacing w:line="360" w:lineRule="auto"/>
        <w:jc w:val="both"/>
        <w:rPr>
          <w:rFonts w:ascii="Palatino Linotype" w:eastAsia="Palatino Linotype" w:hAnsi="Palatino Linotype" w:cs="Palatino Linotype"/>
        </w:rPr>
      </w:pPr>
    </w:p>
    <w:p w:rsidR="00E5255D" w:rsidRDefault="00E064E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mismo sentido, el lineamiento trigésimo tercero fracción V de los Lineamientos Generales, precisa que para motivar </w:t>
      </w:r>
      <w:r>
        <w:rPr>
          <w:rFonts w:ascii="Palatino Linotype" w:eastAsia="Palatino Linotype" w:hAnsi="Palatino Linotype" w:cs="Palatino Linotype"/>
          <w:color w:val="000000"/>
        </w:rPr>
        <w:t>la clasificación se deben acreditar las circunstancias de tiempo, modo y lugar.</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064E1">
      <w:pPr>
        <w:numPr>
          <w:ilvl w:val="0"/>
          <w:numId w:val="3"/>
        </w:numPr>
        <w:pBdr>
          <w:top w:val="nil"/>
          <w:left w:val="nil"/>
          <w:bottom w:val="nil"/>
          <w:right w:val="nil"/>
          <w:between w:val="nil"/>
        </w:pBdr>
        <w:spacing w:line="360" w:lineRule="auto"/>
        <w:ind w:left="0" w:right="34" w:firstLine="0"/>
        <w:jc w:val="both"/>
        <w:rPr>
          <w:rFonts w:ascii="Palatino Linotype" w:eastAsia="Palatino Linotype" w:hAnsi="Palatino Linotype" w:cs="Palatino Linotype"/>
          <w:color w:val="000000"/>
        </w:rPr>
      </w:pPr>
      <w:bookmarkStart w:id="19" w:name="_heading=h.z337ya" w:colFirst="0" w:colLast="0"/>
      <w:bookmarkEnd w:id="19"/>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rsidR="00E5255D" w:rsidRDefault="00E5255D">
      <w:pPr>
        <w:pBdr>
          <w:top w:val="nil"/>
          <w:left w:val="nil"/>
          <w:bottom w:val="nil"/>
          <w:right w:val="nil"/>
          <w:between w:val="nil"/>
        </w:pBdr>
        <w:ind w:left="708"/>
        <w:rPr>
          <w:rFonts w:ascii="Palatino Linotype" w:eastAsia="Palatino Linotype" w:hAnsi="Palatino Linotype" w:cs="Palatino Linotype"/>
          <w:color w:val="000000"/>
        </w:rPr>
      </w:pPr>
    </w:p>
    <w:p w:rsidR="00E5255D" w:rsidRDefault="00E5255D">
      <w:pPr>
        <w:spacing w:line="360" w:lineRule="auto"/>
        <w:ind w:right="34"/>
        <w:jc w:val="both"/>
        <w:rPr>
          <w:rFonts w:ascii="Palatino Linotype" w:eastAsia="Palatino Linotype" w:hAnsi="Palatino Linotype" w:cs="Palatino Linotype"/>
          <w:color w:val="000000"/>
        </w:rPr>
      </w:pPr>
    </w:p>
    <w:p w:rsidR="00E5255D" w:rsidRDefault="00E064E1">
      <w:pPr>
        <w:pStyle w:val="Ttulo1"/>
        <w:spacing w:before="0" w:line="360" w:lineRule="auto"/>
        <w:jc w:val="center"/>
        <w:rPr>
          <w:rFonts w:ascii="Palatino Linotype" w:eastAsia="Palatino Linotype" w:hAnsi="Palatino Linotype" w:cs="Palatino Linotype"/>
          <w:b/>
          <w:color w:val="000000"/>
          <w:sz w:val="24"/>
          <w:szCs w:val="24"/>
        </w:rPr>
      </w:pPr>
      <w:bookmarkStart w:id="20" w:name="_heading=h.3j2qqm3" w:colFirst="0" w:colLast="0"/>
      <w:bookmarkEnd w:id="20"/>
      <w:r>
        <w:rPr>
          <w:rFonts w:ascii="Palatino Linotype" w:eastAsia="Palatino Linotype" w:hAnsi="Palatino Linotype" w:cs="Palatino Linotype"/>
          <w:b/>
          <w:color w:val="000000"/>
          <w:sz w:val="24"/>
          <w:szCs w:val="24"/>
        </w:rPr>
        <w:t xml:space="preserve">R E S O L U T I V O S </w:t>
      </w:r>
    </w:p>
    <w:p w:rsidR="00E5255D" w:rsidRDefault="00E5255D">
      <w:pPr>
        <w:spacing w:line="360" w:lineRule="auto"/>
      </w:pPr>
    </w:p>
    <w:p w:rsidR="00E5255D" w:rsidRDefault="00E064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y motivos de inconformidad hechos valer en el recurso de revisión </w:t>
      </w:r>
      <w:r>
        <w:rPr>
          <w:rFonts w:ascii="Palatino Linotype" w:eastAsia="Palatino Linotype" w:hAnsi="Palatino Linotype" w:cs="Palatino Linotype"/>
          <w:b/>
        </w:rPr>
        <w:t xml:space="preserve">04818/INFOEM/IP/RR/2021,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de la presente resolución.</w:t>
      </w:r>
    </w:p>
    <w:p w:rsidR="00E5255D" w:rsidRDefault="00E5255D">
      <w:pPr>
        <w:spacing w:line="360" w:lineRule="auto"/>
        <w:jc w:val="both"/>
        <w:rPr>
          <w:rFonts w:ascii="Palatino Linotype" w:eastAsia="Palatino Linotype" w:hAnsi="Palatino Linotype" w:cs="Palatino Linotype"/>
        </w:rPr>
      </w:pPr>
    </w:p>
    <w:p w:rsidR="00E5255D" w:rsidRDefault="00E064E1">
      <w:pPr>
        <w:spacing w:line="360" w:lineRule="auto"/>
        <w:jc w:val="both"/>
        <w:rPr>
          <w:rFonts w:ascii="Palatino Linotype" w:eastAsia="Palatino Linotype" w:hAnsi="Palatino Linotype" w:cs="Palatino Linotype"/>
          <w:color w:val="000000"/>
        </w:rPr>
      </w:pPr>
      <w:bookmarkStart w:id="21" w:name="_heading=h.1y810tw" w:colFirst="0" w:colLast="0"/>
      <w:bookmarkEnd w:id="21"/>
      <w:r>
        <w:rPr>
          <w:rFonts w:ascii="Palatino Linotype" w:eastAsia="Palatino Linotype" w:hAnsi="Palatino Linotype" w:cs="Palatino Linotype"/>
          <w:b/>
        </w:rPr>
        <w:t>SEGUNDO.</w:t>
      </w:r>
      <w:r>
        <w:rPr>
          <w:rFonts w:ascii="Palatino Linotype" w:eastAsia="Palatino Linotype" w:hAnsi="Palatino Linotype" w:cs="Palatino Linotype"/>
          <w:b/>
          <w:color w:val="366091"/>
          <w:sz w:val="26"/>
          <w:szCs w:val="26"/>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 xml:space="preserve">Ayuntamiento de Atlacomulco </w:t>
      </w:r>
      <w:r>
        <w:rPr>
          <w:rFonts w:ascii="Palatino Linotype" w:eastAsia="Palatino Linotype" w:hAnsi="Palatino Linotype" w:cs="Palatino Linotype"/>
        </w:rPr>
        <w:t>y 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entregar vía Sistema de Acceso a la Información Mexiquense (SAIMEX), de ser el caso en</w:t>
      </w:r>
      <w:r>
        <w:rPr>
          <w:rFonts w:ascii="Palatino Linotype" w:eastAsia="Palatino Linotype" w:hAnsi="Palatino Linotype" w:cs="Palatino Linotype"/>
          <w:b/>
        </w:rPr>
        <w:t xml:space="preserve"> versión pública</w:t>
      </w:r>
      <w:r>
        <w:rPr>
          <w:rFonts w:ascii="Palatino Linotype" w:eastAsia="Palatino Linotype" w:hAnsi="Palatino Linotype" w:cs="Palatino Linotype"/>
          <w:color w:val="000000"/>
        </w:rPr>
        <w:t xml:space="preserve"> la siguiente información:</w:t>
      </w:r>
    </w:p>
    <w:p w:rsidR="00E5255D" w:rsidRDefault="00E5255D">
      <w:pPr>
        <w:spacing w:line="360" w:lineRule="auto"/>
        <w:jc w:val="both"/>
        <w:rPr>
          <w:rFonts w:ascii="Palatino Linotype" w:eastAsia="Palatino Linotype" w:hAnsi="Palatino Linotype" w:cs="Palatino Linotype"/>
          <w:color w:val="000000"/>
        </w:rPr>
      </w:pPr>
    </w:p>
    <w:p w:rsidR="00E5255D" w:rsidRDefault="00E5255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
          <w:szCs w:val="2"/>
        </w:rPr>
      </w:pPr>
    </w:p>
    <w:p w:rsidR="00E5255D" w:rsidRDefault="00E064E1">
      <w:pPr>
        <w:numPr>
          <w:ilvl w:val="1"/>
          <w:numId w:val="2"/>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Certificación de la Comisión Certificadora de Competencia Laboral de los Servidores Públicos del Estado de México, en relación con la Norma Institucional de Competencia Laboral, denominada Administración de la Actividad Catastral en el Estado de México y M</w:t>
      </w:r>
      <w:r>
        <w:rPr>
          <w:rFonts w:ascii="Palatino Linotype" w:eastAsia="Palatino Linotype" w:hAnsi="Palatino Linotype" w:cs="Palatino Linotype"/>
          <w:b/>
          <w:color w:val="000000"/>
        </w:rPr>
        <w:t>unicipios, del actual titular de la unidad encargada del catastro municipal.</w:t>
      </w:r>
    </w:p>
    <w:p w:rsidR="00E5255D" w:rsidRDefault="00E5255D">
      <w:pPr>
        <w:spacing w:line="360" w:lineRule="auto"/>
        <w:ind w:right="474"/>
        <w:jc w:val="both"/>
        <w:rPr>
          <w:rFonts w:ascii="Palatino Linotype" w:eastAsia="Palatino Linotype" w:hAnsi="Palatino Linotype" w:cs="Palatino Linotype"/>
        </w:rPr>
      </w:pPr>
    </w:p>
    <w:p w:rsidR="00E5255D" w:rsidRDefault="00E064E1">
      <w:pPr>
        <w:tabs>
          <w:tab w:val="left" w:pos="8080"/>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Para la entrega en versión pública, deberá emitir el Acuerdo del Comité de Transparencia en términos de la Ley de Transparencia y Acceso a la Información </w:t>
      </w:r>
      <w:r>
        <w:rPr>
          <w:rFonts w:ascii="Palatino Linotype" w:eastAsia="Palatino Linotype" w:hAnsi="Palatino Linotype" w:cs="Palatino Linotype"/>
        </w:rPr>
        <w:lastRenderedPageBreak/>
        <w:t>Pública del Estado de Mé</w:t>
      </w:r>
      <w:r>
        <w:rPr>
          <w:rFonts w:ascii="Palatino Linotype" w:eastAsia="Palatino Linotype" w:hAnsi="Palatino Linotype" w:cs="Palatino Linotype"/>
        </w:rPr>
        <w:t xml:space="preserve">xico y Municipios, en el que funde y motive las razones sobre los datos que se supriman o eliminen y se ponga a disposición de </w:t>
      </w:r>
      <w:r>
        <w:rPr>
          <w:rFonts w:ascii="Palatino Linotype" w:eastAsia="Palatino Linotype" w:hAnsi="Palatino Linotype" w:cs="Palatino Linotype"/>
          <w:b/>
        </w:rPr>
        <w:t>LA RECURRENTE.</w:t>
      </w:r>
    </w:p>
    <w:p w:rsidR="00E5255D" w:rsidRDefault="00E5255D">
      <w:pPr>
        <w:tabs>
          <w:tab w:val="left" w:pos="8080"/>
        </w:tabs>
        <w:spacing w:line="360" w:lineRule="auto"/>
        <w:jc w:val="both"/>
        <w:rPr>
          <w:rFonts w:ascii="Palatino Linotype" w:eastAsia="Palatino Linotype" w:hAnsi="Palatino Linotype" w:cs="Palatino Linotype"/>
        </w:rPr>
      </w:pPr>
    </w:p>
    <w:p w:rsidR="00E5255D" w:rsidRDefault="00E064E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Para el caso que la información que se ordena en los </w:t>
      </w:r>
      <w:r>
        <w:rPr>
          <w:rFonts w:ascii="Palatino Linotype" w:eastAsia="Palatino Linotype" w:hAnsi="Palatino Linotype" w:cs="Palatino Linotype"/>
          <w:b/>
        </w:rPr>
        <w:t xml:space="preserve">Inciso a), </w:t>
      </w:r>
      <w:r>
        <w:rPr>
          <w:rFonts w:ascii="Palatino Linotype" w:eastAsia="Palatino Linotype" w:hAnsi="Palatino Linotype" w:cs="Palatino Linotype"/>
          <w:color w:val="000000"/>
        </w:rPr>
        <w:t>no haya sido generada, poseída o administrada, 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deberá manifestar de manera precisa y clara las razones que expliquen las causas por las cuales no se haya generado, poseído o administrado.</w:t>
      </w:r>
    </w:p>
    <w:p w:rsidR="00E5255D" w:rsidRDefault="00E5255D">
      <w:pPr>
        <w:spacing w:line="360" w:lineRule="auto"/>
        <w:jc w:val="both"/>
        <w:rPr>
          <w:rFonts w:ascii="Palatino Linotype" w:eastAsia="Palatino Linotype" w:hAnsi="Palatino Linotype" w:cs="Palatino Linotype"/>
          <w:color w:val="000000"/>
        </w:rPr>
      </w:pPr>
    </w:p>
    <w:p w:rsidR="00E5255D" w:rsidRDefault="00E064E1">
      <w:pPr>
        <w:spacing w:line="360" w:lineRule="auto"/>
        <w:ind w:right="49"/>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Pr>
          <w:rFonts w:ascii="Palatino Linotype" w:eastAsia="Palatino Linotype" w:hAnsi="Palatino Linotype" w:cs="Palatino Linotype"/>
          <w:color w:val="222222"/>
          <w:highlight w:val="white"/>
        </w:rPr>
        <w:t xml:space="preserve">vigente, dé cumplimiento a lo ordenado dentro del plazo de </w:t>
      </w:r>
      <w:r>
        <w:rPr>
          <w:rFonts w:ascii="Palatino Linotype" w:eastAsia="Palatino Linotype" w:hAnsi="Palatino Linotype" w:cs="Palatino Linotype"/>
          <w:b/>
          <w:color w:val="222222"/>
          <w:highlight w:val="white"/>
        </w:rPr>
        <w:t>diez días hábiles</w:t>
      </w:r>
      <w:r>
        <w:rPr>
          <w:rFonts w:ascii="Palatino Linotype" w:eastAsia="Palatino Linotype" w:hAnsi="Palatino Linotype" w:cs="Palatino Linotype"/>
          <w:color w:val="222222"/>
          <w:highlight w:val="white"/>
        </w:rPr>
        <w:t xml:space="preserve">, </w:t>
      </w:r>
      <w:r>
        <w:rPr>
          <w:rFonts w:ascii="Palatino Linotype" w:eastAsia="Palatino Linotype" w:hAnsi="Palatino Linotype" w:cs="Palatino Linotype"/>
          <w:color w:val="222222"/>
          <w:highlight w:val="white"/>
        </w:rPr>
        <w:t>debiendo rendir a este Instituto el informe de cumplimiento de la resolución en un plazo de tres días hábiles posteriores.</w:t>
      </w:r>
    </w:p>
    <w:p w:rsidR="00E5255D" w:rsidRDefault="00E5255D">
      <w:pPr>
        <w:spacing w:line="360" w:lineRule="auto"/>
        <w:ind w:right="49"/>
        <w:jc w:val="both"/>
        <w:rPr>
          <w:rFonts w:ascii="Palatino Linotype" w:eastAsia="Palatino Linotype" w:hAnsi="Palatino Linotype" w:cs="Palatino Linotype"/>
          <w:color w:val="222222"/>
          <w:highlight w:val="white"/>
        </w:rPr>
      </w:pPr>
    </w:p>
    <w:p w:rsidR="00E5255D" w:rsidRDefault="00E064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w:t>
      </w:r>
      <w:r>
        <w:rPr>
          <w:rFonts w:ascii="Palatino Linotype" w:eastAsia="Palatino Linotype" w:hAnsi="Palatino Linotype" w:cs="Palatino Linotype"/>
        </w:rPr>
        <w:t>ipios, de considerarlo procedente, el Sujeto Obligado de manera fundada y motivada, podrá solicitar una ampliación de plazo para el cumplimiento de la presente resolución.</w:t>
      </w:r>
    </w:p>
    <w:p w:rsidR="00E5255D" w:rsidRDefault="00E5255D">
      <w:pPr>
        <w:spacing w:line="360" w:lineRule="auto"/>
        <w:jc w:val="both"/>
        <w:rPr>
          <w:rFonts w:ascii="Palatino Linotype" w:eastAsia="Palatino Linotype" w:hAnsi="Palatino Linotype" w:cs="Palatino Linotype"/>
        </w:rPr>
      </w:pPr>
    </w:p>
    <w:p w:rsidR="00E5255D" w:rsidRDefault="00E064E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w:t>
      </w:r>
      <w:r>
        <w:rPr>
          <w:rFonts w:ascii="Palatino Linotype" w:eastAsia="Palatino Linotype" w:hAnsi="Palatino Linotype" w:cs="Palatino Linotype"/>
          <w:b/>
          <w:color w:val="222222"/>
        </w:rPr>
        <w:t xml:space="preserve">Notifíquese </w:t>
      </w:r>
      <w:r>
        <w:rPr>
          <w:rFonts w:ascii="Palatino Linotype" w:eastAsia="Palatino Linotype" w:hAnsi="Palatino Linotype" w:cs="Palatino Linotype"/>
          <w:color w:val="222222"/>
        </w:rPr>
        <w:t>a</w:t>
      </w:r>
      <w:r>
        <w:rPr>
          <w:rFonts w:ascii="Palatino Linotype" w:eastAsia="Palatino Linotype" w:hAnsi="Palatino Linotype" w:cs="Palatino Linotype"/>
          <w:b/>
        </w:rPr>
        <w:t xml:space="preserve"> LA RECURRENTE</w:t>
      </w:r>
      <w:r>
        <w:rPr>
          <w:rFonts w:ascii="Palatino Linotype" w:eastAsia="Palatino Linotype" w:hAnsi="Palatino Linotype" w:cs="Palatino Linotype"/>
        </w:rPr>
        <w:t xml:space="preserve"> la presente resolución.</w:t>
      </w:r>
    </w:p>
    <w:p w:rsidR="00E5255D" w:rsidRDefault="00E5255D">
      <w:pPr>
        <w:spacing w:line="360" w:lineRule="auto"/>
        <w:ind w:right="49"/>
        <w:jc w:val="both"/>
        <w:rPr>
          <w:rFonts w:ascii="Palatino Linotype" w:eastAsia="Palatino Linotype" w:hAnsi="Palatino Linotype" w:cs="Palatino Linotype"/>
        </w:rPr>
      </w:pPr>
    </w:p>
    <w:p w:rsidR="00E5255D" w:rsidRDefault="00E064E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SEXTO.</w:t>
      </w:r>
      <w:r>
        <w:rPr>
          <w:rFonts w:ascii="Palatino Linotype" w:eastAsia="Palatino Linotype" w:hAnsi="Palatino Linotype" w:cs="Palatino Linotype"/>
        </w:rPr>
        <w:t xml:space="preserve"> Se hace del con</w:t>
      </w:r>
      <w:r>
        <w:rPr>
          <w:rFonts w:ascii="Palatino Linotype" w:eastAsia="Palatino Linotype" w:hAnsi="Palatino Linotype" w:cs="Palatino Linotype"/>
        </w:rPr>
        <w:t xml:space="preserve">ocimiento de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w:t>
      </w:r>
      <w:r>
        <w:rPr>
          <w:rFonts w:ascii="Palatino Linotype" w:eastAsia="Palatino Linotype" w:hAnsi="Palatino Linotype" w:cs="Palatino Linotype"/>
        </w:rPr>
        <w:t>mpugnarla vía juicio de amparo en los términos de las leyes aplicables.</w:t>
      </w:r>
    </w:p>
    <w:p w:rsidR="00E5255D" w:rsidRDefault="00E5255D">
      <w:pPr>
        <w:spacing w:line="360" w:lineRule="auto"/>
        <w:ind w:right="49"/>
        <w:jc w:val="both"/>
        <w:rPr>
          <w:rFonts w:ascii="Palatino Linotype" w:eastAsia="Palatino Linotype" w:hAnsi="Palatino Linotype" w:cs="Palatino Linotype"/>
        </w:rPr>
      </w:pPr>
    </w:p>
    <w:p w:rsidR="00E5255D" w:rsidRDefault="00E064E1">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w:t>
      </w:r>
      <w:r>
        <w:rPr>
          <w:rFonts w:ascii="Palatino Linotype" w:eastAsia="Palatino Linotype" w:hAnsi="Palatino Linotype" w:cs="Palatino Linotype"/>
        </w:rPr>
        <w:t xml:space="preserve">CONFORMADO POR LOS COMISIONADOS JOSÉ MARTÍNEZ VILCHIS; MARÍA DEL ROSARIO MEJÍA AYALA; SHARON CRISTINA MORALES MARTÍNEZ; GUADALUPE RAMÍREZ PEÑA Y LUIS GUSTAVO PARRA NORIEGA; EN LA CUADRAGESIMA SEGUNDA SESIÓN ORDINARIA CELEBRADA EL VEINTICUATRO DE NOVIEMBRE </w:t>
      </w:r>
      <w:r>
        <w:rPr>
          <w:rFonts w:ascii="Palatino Linotype" w:eastAsia="Palatino Linotype" w:hAnsi="Palatino Linotype" w:cs="Palatino Linotype"/>
        </w:rPr>
        <w:t>DE DOS MIL VEINTIUNO, ANTE EL SECRETARIO TÉCNICO DEL PLENO, ALEXIS TAPIA RAMÍREZ.</w:t>
      </w:r>
    </w:p>
    <w:p w:rsidR="00E5255D" w:rsidRDefault="00E5255D">
      <w:pPr>
        <w:spacing w:line="360" w:lineRule="auto"/>
        <w:rPr>
          <w:rFonts w:ascii="Palatino Linotype" w:eastAsia="Palatino Linotype" w:hAnsi="Palatino Linotype" w:cs="Palatino Linotype"/>
        </w:rPr>
      </w:pPr>
    </w:p>
    <w:p w:rsidR="00E5255D" w:rsidRDefault="00E5255D">
      <w:pPr>
        <w:spacing w:line="360" w:lineRule="auto"/>
        <w:rPr>
          <w:rFonts w:ascii="Palatino Linotype" w:eastAsia="Palatino Linotype" w:hAnsi="Palatino Linotype" w:cs="Palatino Linotype"/>
        </w:rPr>
      </w:pPr>
    </w:p>
    <w:p w:rsidR="00E5255D" w:rsidRDefault="00E5255D">
      <w:pPr>
        <w:spacing w:line="360" w:lineRule="auto"/>
        <w:rPr>
          <w:rFonts w:ascii="Palatino Linotype" w:eastAsia="Palatino Linotype" w:hAnsi="Palatino Linotype" w:cs="Palatino Linotype"/>
        </w:rPr>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p w:rsidR="00E5255D" w:rsidRDefault="00E5255D">
      <w:pPr>
        <w:spacing w:line="360" w:lineRule="auto"/>
      </w:pPr>
    </w:p>
    <w:sectPr w:rsidR="00E5255D">
      <w:headerReference w:type="default" r:id="rId24"/>
      <w:footerReference w:type="default" r:id="rId25"/>
      <w:headerReference w:type="first" r:id="rId26"/>
      <w:footerReference w:type="first" r:id="rId27"/>
      <w:pgSz w:w="12240" w:h="15840"/>
      <w:pgMar w:top="2268" w:right="170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4E1" w:rsidRDefault="00E064E1">
      <w:r>
        <w:separator/>
      </w:r>
    </w:p>
  </w:endnote>
  <w:endnote w:type="continuationSeparator" w:id="0">
    <w:p w:rsidR="00E064E1" w:rsidRDefault="00E06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5D" w:rsidRDefault="00E064E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0E7E62">
      <w:rPr>
        <w:rFonts w:ascii="Arial" w:eastAsia="Arial" w:hAnsi="Arial" w:cs="Arial"/>
        <w:b/>
        <w:color w:val="000000"/>
        <w:sz w:val="20"/>
        <w:szCs w:val="20"/>
      </w:rPr>
      <w:fldChar w:fldCharType="separate"/>
    </w:r>
    <w:r w:rsidR="000E7E62">
      <w:rPr>
        <w:rFonts w:ascii="Arial" w:eastAsia="Arial" w:hAnsi="Arial" w:cs="Arial"/>
        <w:b/>
        <w:noProof/>
        <w:color w:val="000000"/>
        <w:sz w:val="20"/>
        <w:szCs w:val="20"/>
      </w:rPr>
      <w:t>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0E7E62">
      <w:rPr>
        <w:rFonts w:ascii="Arial" w:eastAsia="Arial" w:hAnsi="Arial" w:cs="Arial"/>
        <w:b/>
        <w:color w:val="000000"/>
        <w:sz w:val="20"/>
        <w:szCs w:val="20"/>
      </w:rPr>
      <w:fldChar w:fldCharType="separate"/>
    </w:r>
    <w:r w:rsidR="000E7E62">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rsidR="00E5255D" w:rsidRDefault="00E5255D">
    <w:pPr>
      <w:pBdr>
        <w:top w:val="nil"/>
        <w:left w:val="nil"/>
        <w:bottom w:val="nil"/>
        <w:right w:val="nil"/>
        <w:between w:val="nil"/>
      </w:pBdr>
      <w:tabs>
        <w:tab w:val="center" w:pos="4252"/>
        <w:tab w:val="right" w:pos="8504"/>
      </w:tabs>
      <w:rPr>
        <w:color w:val="000000"/>
      </w:rPr>
    </w:pPr>
  </w:p>
  <w:p w:rsidR="00E5255D" w:rsidRDefault="00E5255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5D" w:rsidRDefault="00E064E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0E7E62">
      <w:rPr>
        <w:rFonts w:ascii="Arial" w:eastAsia="Arial" w:hAnsi="Arial" w:cs="Arial"/>
        <w:b/>
        <w:color w:val="000000"/>
        <w:sz w:val="20"/>
        <w:szCs w:val="20"/>
      </w:rPr>
      <w:fldChar w:fldCharType="separate"/>
    </w:r>
    <w:r w:rsidR="000E7E6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0E7E62">
      <w:rPr>
        <w:rFonts w:ascii="Arial" w:eastAsia="Arial" w:hAnsi="Arial" w:cs="Arial"/>
        <w:b/>
        <w:color w:val="000000"/>
        <w:sz w:val="20"/>
        <w:szCs w:val="20"/>
      </w:rPr>
      <w:fldChar w:fldCharType="separate"/>
    </w:r>
    <w:r w:rsidR="000E7E62">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rsidR="00E5255D" w:rsidRDefault="00E5255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4E1" w:rsidRDefault="00E064E1">
      <w:r>
        <w:separator/>
      </w:r>
    </w:p>
  </w:footnote>
  <w:footnote w:type="continuationSeparator" w:id="0">
    <w:p w:rsidR="00E064E1" w:rsidRDefault="00E064E1">
      <w:r>
        <w:continuationSeparator/>
      </w:r>
    </w:p>
  </w:footnote>
  <w:footnote w:id="1">
    <w:p w:rsidR="00E5255D" w:rsidRDefault="00E064E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Convención Americana sobre Derechos Humanos. Artículo 13.</w:t>
      </w:r>
    </w:p>
  </w:footnote>
  <w:footnote w:id="2">
    <w:p w:rsidR="00E5255D" w:rsidRDefault="00E064E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Constitución Política de los Estados Unidos Mexicanos. Artículo sexto, sección A, Fracción I.</w:t>
      </w:r>
    </w:p>
  </w:footnote>
  <w:footnote w:id="3">
    <w:p w:rsidR="00E5255D" w:rsidRDefault="00E064E1">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E5255D" w:rsidRDefault="00E064E1">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w:t>
      </w:r>
      <w:r>
        <w:rPr>
          <w:rFonts w:ascii="Palatino Linotype" w:eastAsia="Palatino Linotype" w:hAnsi="Palatino Linotype" w:cs="Palatino Linotype"/>
          <w:color w:val="000000"/>
          <w:sz w:val="18"/>
          <w:szCs w:val="18"/>
        </w:rPr>
        <w:t>. 87.</w:t>
      </w:r>
    </w:p>
  </w:footnote>
  <w:footnote w:id="5">
    <w:p w:rsidR="00E5255D" w:rsidRDefault="00E064E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w:t>
      </w:r>
      <w:r>
        <w:rPr>
          <w:rFonts w:ascii="Palatino Linotype" w:eastAsia="Palatino Linotype" w:hAnsi="Palatino Linotype" w:cs="Palatino Linotype"/>
          <w:color w:val="000000"/>
          <w:sz w:val="18"/>
          <w:szCs w:val="18"/>
        </w:rPr>
        <w:t xml:space="preserv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w:t>
        </w:r>
        <w:r>
          <w:rPr>
            <w:rFonts w:ascii="Palatino Linotype" w:eastAsia="Palatino Linotype" w:hAnsi="Palatino Linotype" w:cs="Palatino Linotype"/>
            <w:color w:val="0000FF"/>
            <w:sz w:val="18"/>
            <w:szCs w:val="18"/>
            <w:u w:val="single"/>
          </w:rPr>
          <w:t>/documentos_basicos/declaraciones.asp</w:t>
        </w:r>
      </w:hyperlink>
      <w:r>
        <w:rPr>
          <w:rFonts w:ascii="Palatino Linotype" w:eastAsia="Palatino Linotype" w:hAnsi="Palatino Linotype" w:cs="Palatino Linotype"/>
          <w:color w:val="000000"/>
          <w:sz w:val="18"/>
          <w:szCs w:val="18"/>
        </w:rPr>
        <w:t>.</w:t>
      </w:r>
    </w:p>
  </w:footnote>
  <w:footnote w:id="6">
    <w:p w:rsidR="00E5255D" w:rsidRDefault="00E064E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Ley de Transparencia y Acceso a la Información Pública del Estado de México y Municipios. Artículo 9. …</w:t>
      </w:r>
    </w:p>
    <w:p w:rsidR="00E5255D" w:rsidRDefault="00E064E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II. Eficacia: Obligación del Instituto para tutelar, de manera efectiva, el derecho de acceso a la información;</w:t>
      </w:r>
    </w:p>
    <w:p w:rsidR="00E5255D" w:rsidRDefault="00E064E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 </w:t>
      </w:r>
    </w:p>
  </w:footnote>
  <w:footnote w:id="7">
    <w:p w:rsidR="00E5255D" w:rsidRDefault="00E064E1">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“De continuo hacemos un tipo de juicios que podemos llamar de encaje, y que dan lugar a enunciados del tipo ‘x es un Y’. Si sabemos o asumimos que todos los objetos o seres que reúnen las propiedades a, b y c pertenecen al conjunto de los J, cada vez</w:t>
      </w:r>
      <w:r>
        <w:rPr>
          <w:rFonts w:ascii="Cambria" w:eastAsia="Cambria" w:hAnsi="Cambria" w:cs="Cambria"/>
          <w:color w:val="000000"/>
          <w:sz w:val="20"/>
          <w:szCs w:val="20"/>
        </w:rPr>
        <w:t xml:space="preserve"> que encontramos uno que tiene esas tres propiedades decimos que es un J. Y también incorporamos excepciones, como cuando asumimos que no pertenece a la categoría de los J el ser que tiene la propiedad d, aunque tenga cualesquiera otras. Entonces, de un x </w:t>
      </w:r>
      <w:r>
        <w:rPr>
          <w:rFonts w:ascii="Cambria" w:eastAsia="Cambria" w:hAnsi="Cambria" w:cs="Cambria"/>
          <w:color w:val="000000"/>
          <w:sz w:val="20"/>
          <w:szCs w:val="20"/>
        </w:rPr>
        <w:t>que tenga las propiedades  a, b, c y d diremos que no es un J. Todo esto, en verdad, son obviedades, casi perogrulladas, pero veremos que conviene aquí explicitarlas e ir paso a paso.</w:t>
      </w:r>
    </w:p>
    <w:p w:rsidR="00E5255D" w:rsidRDefault="00E064E1">
      <w:p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“También en el campo general de lo normativo realizamos, todo el rato, j</w:t>
      </w:r>
      <w:r>
        <w:rPr>
          <w:rFonts w:ascii="Cambria" w:eastAsia="Cambria" w:hAnsi="Cambria" w:cs="Cambria"/>
          <w:color w:val="000000"/>
          <w:sz w:val="20"/>
          <w:szCs w:val="20"/>
        </w:rPr>
        <w:t>uicios de encaje, sea respecto de acciones, de estados de cosas o de sujetos. Si en el sistema normativo de referencia asumimos que el homicidio es una acción consistente en matar a otro de modo intencional o imprudente, calificaremos como homicidio la acc</w:t>
      </w:r>
      <w:r>
        <w:rPr>
          <w:rFonts w:ascii="Cambria" w:eastAsia="Cambria" w:hAnsi="Cambria" w:cs="Cambria"/>
          <w:color w:val="000000"/>
          <w:sz w:val="20"/>
          <w:szCs w:val="20"/>
        </w:rPr>
        <w:t>ión por la que A mató a B intencional o imprudentemente…</w:t>
      </w:r>
    </w:p>
    <w:p w:rsidR="00E5255D" w:rsidRDefault="00E064E1">
      <w:p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 “En la teoría jurídica más tradicional, a esos que he llamado juicios de encaje se les llama subsunciones o juicios de subsunción. Subsunciones o juicios de encaje de ese tipo, positivos o negativos</w:t>
      </w:r>
      <w:r>
        <w:rPr>
          <w:rFonts w:ascii="Cambria" w:eastAsia="Cambria" w:hAnsi="Cambria" w:cs="Cambria"/>
          <w:color w:val="000000"/>
          <w:sz w:val="20"/>
          <w:szCs w:val="20"/>
        </w:rPr>
        <w:t xml:space="preserve">, los hacemos sin parar en todo el ámbito de lo normativo, no sólo en el del derecho” GARCÍA AMADO, Juan Antonio. “¿Qué es ponderar? Sobre implicaciones y riesgos de la ponderación” en Revista Iberoamericana de Argumentación, No. 13, 2016. Pp 1-19. </w:t>
      </w:r>
    </w:p>
  </w:footnote>
  <w:footnote w:id="8">
    <w:p w:rsidR="00E5255D" w:rsidRDefault="00E064E1">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Trib</w:t>
      </w:r>
      <w:r>
        <w:rPr>
          <w:rFonts w:ascii="Cambria" w:eastAsia="Cambria" w:hAnsi="Cambria" w:cs="Cambria"/>
          <w:color w:val="000000"/>
          <w:sz w:val="20"/>
          <w:szCs w:val="20"/>
        </w:rPr>
        <w:t>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5D" w:rsidRDefault="00E5255D">
    <w:pPr>
      <w:widowControl w:val="0"/>
      <w:pBdr>
        <w:top w:val="nil"/>
        <w:left w:val="nil"/>
        <w:bottom w:val="nil"/>
        <w:right w:val="nil"/>
        <w:between w:val="nil"/>
      </w:pBdr>
      <w:spacing w:line="276" w:lineRule="auto"/>
      <w:rPr>
        <w:rFonts w:ascii="Cambria" w:eastAsia="Cambria" w:hAnsi="Cambria" w:cs="Cambria"/>
        <w:color w:val="000000"/>
      </w:rPr>
    </w:pPr>
  </w:p>
  <w:tbl>
    <w:tblPr>
      <w:tblStyle w:val="a1"/>
      <w:tblW w:w="5812" w:type="dxa"/>
      <w:tblInd w:w="2977" w:type="dxa"/>
      <w:tblLayout w:type="fixed"/>
      <w:tblLook w:val="0400" w:firstRow="0" w:lastRow="0" w:firstColumn="0" w:lastColumn="0" w:noHBand="0" w:noVBand="1"/>
    </w:tblPr>
    <w:tblGrid>
      <w:gridCol w:w="2552"/>
      <w:gridCol w:w="3260"/>
    </w:tblGrid>
    <w:tr w:rsidR="00E5255D">
      <w:tc>
        <w:tcPr>
          <w:tcW w:w="2552" w:type="dxa"/>
          <w:vAlign w:val="center"/>
        </w:tcPr>
        <w:p w:rsidR="00E5255D" w:rsidRDefault="00E064E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260" w:type="dxa"/>
          <w:vAlign w:val="center"/>
        </w:tcPr>
        <w:p w:rsidR="00E5255D" w:rsidRDefault="00E064E1">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04818/INFOEM/IP/RR/2021</w:t>
          </w:r>
        </w:p>
      </w:tc>
    </w:tr>
    <w:tr w:rsidR="00E5255D">
      <w:trPr>
        <w:trHeight w:val="228"/>
      </w:trPr>
      <w:tc>
        <w:tcPr>
          <w:tcW w:w="2552" w:type="dxa"/>
          <w:vAlign w:val="center"/>
        </w:tcPr>
        <w:p w:rsidR="00E5255D" w:rsidRDefault="00E064E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260" w:type="dxa"/>
          <w:vAlign w:val="center"/>
        </w:tcPr>
        <w:p w:rsidR="00E5255D" w:rsidRDefault="00E064E1">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Atlacomulco</w:t>
          </w:r>
        </w:p>
      </w:tc>
    </w:tr>
    <w:tr w:rsidR="00E5255D">
      <w:tc>
        <w:tcPr>
          <w:tcW w:w="2552" w:type="dxa"/>
          <w:vAlign w:val="center"/>
        </w:tcPr>
        <w:p w:rsidR="00E5255D" w:rsidRDefault="00E064E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260" w:type="dxa"/>
          <w:vAlign w:val="center"/>
        </w:tcPr>
        <w:p w:rsidR="00E5255D" w:rsidRDefault="00E064E1">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María del Rosario Mejía Ayala</w:t>
          </w:r>
        </w:p>
      </w:tc>
    </w:tr>
  </w:tbl>
  <w:p w:rsidR="00E5255D" w:rsidRDefault="00E064E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rPr>
      <w:drawing>
        <wp:anchor distT="0" distB="0" distL="0" distR="0" simplePos="0" relativeHeight="251658240" behindDoc="1" locked="0" layoutInCell="1" hidden="0" allowOverlap="1">
          <wp:simplePos x="0" y="0"/>
          <wp:positionH relativeFrom="column">
            <wp:posOffset>-1071901</wp:posOffset>
          </wp:positionH>
          <wp:positionV relativeFrom="paragraph">
            <wp:posOffset>-997298</wp:posOffset>
          </wp:positionV>
          <wp:extent cx="7809876" cy="10165823"/>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5D" w:rsidRDefault="00E064E1">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rPr>
      <w:drawing>
        <wp:anchor distT="0" distB="0" distL="0" distR="0" simplePos="0" relativeHeight="251659264" behindDoc="1" locked="0" layoutInCell="1" hidden="0" allowOverlap="1">
          <wp:simplePos x="0" y="0"/>
          <wp:positionH relativeFrom="column">
            <wp:posOffset>-1078864</wp:posOffset>
          </wp:positionH>
          <wp:positionV relativeFrom="paragraph">
            <wp:posOffset>-411479</wp:posOffset>
          </wp:positionV>
          <wp:extent cx="7813085" cy="10170000"/>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0"/>
      <w:tblW w:w="6095" w:type="dxa"/>
      <w:tblInd w:w="3119" w:type="dxa"/>
      <w:tblLayout w:type="fixed"/>
      <w:tblLook w:val="0400" w:firstRow="0" w:lastRow="0" w:firstColumn="0" w:lastColumn="0" w:noHBand="0" w:noVBand="1"/>
    </w:tblPr>
    <w:tblGrid>
      <w:gridCol w:w="2551"/>
      <w:gridCol w:w="3544"/>
    </w:tblGrid>
    <w:tr w:rsidR="00E5255D">
      <w:tc>
        <w:tcPr>
          <w:tcW w:w="2551" w:type="dxa"/>
          <w:vAlign w:val="center"/>
        </w:tcPr>
        <w:p w:rsidR="00E5255D" w:rsidRDefault="00E064E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544" w:type="dxa"/>
          <w:vAlign w:val="center"/>
        </w:tcPr>
        <w:p w:rsidR="00E5255D" w:rsidRDefault="00E064E1">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04818/INFOEM/IP/RR/2021</w:t>
          </w:r>
        </w:p>
      </w:tc>
    </w:tr>
    <w:tr w:rsidR="00E5255D">
      <w:tc>
        <w:tcPr>
          <w:tcW w:w="2551" w:type="dxa"/>
          <w:vAlign w:val="center"/>
        </w:tcPr>
        <w:p w:rsidR="00E5255D" w:rsidRDefault="00E064E1">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544" w:type="dxa"/>
          <w:vAlign w:val="center"/>
        </w:tcPr>
        <w:p w:rsidR="00E5255D" w:rsidRDefault="000E7E62">
          <w:pPr>
            <w:rPr>
              <w:rFonts w:ascii="Palatino Linotype" w:eastAsia="Palatino Linotype" w:hAnsi="Palatino Linotype" w:cs="Palatino Linotype"/>
              <w:b/>
              <w:sz w:val="21"/>
              <w:szCs w:val="21"/>
            </w:rPr>
          </w:pPr>
          <w:r w:rsidRPr="000E7E62">
            <w:rPr>
              <w:rFonts w:ascii="Palatino Linotype" w:eastAsia="Palatino Linotype" w:hAnsi="Palatino Linotype" w:cs="Palatino Linotype"/>
              <w:b/>
              <w:sz w:val="21"/>
              <w:szCs w:val="21"/>
            </w:rPr>
            <w:t>xxxxx xxxxxxx xxxxx</w:t>
          </w:r>
        </w:p>
      </w:tc>
    </w:tr>
    <w:tr w:rsidR="00E5255D">
      <w:trPr>
        <w:trHeight w:val="228"/>
      </w:trPr>
      <w:tc>
        <w:tcPr>
          <w:tcW w:w="2551" w:type="dxa"/>
          <w:vAlign w:val="center"/>
        </w:tcPr>
        <w:p w:rsidR="00E5255D" w:rsidRDefault="00E064E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544" w:type="dxa"/>
          <w:vAlign w:val="center"/>
        </w:tcPr>
        <w:p w:rsidR="00E5255D" w:rsidRDefault="00E064E1">
          <w:pPr>
            <w:ind w:left="35" w:hanging="35"/>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Atlacomulco</w:t>
          </w:r>
        </w:p>
      </w:tc>
    </w:tr>
    <w:tr w:rsidR="00E5255D">
      <w:tc>
        <w:tcPr>
          <w:tcW w:w="2551" w:type="dxa"/>
          <w:vAlign w:val="center"/>
        </w:tcPr>
        <w:p w:rsidR="00E5255D" w:rsidRDefault="00E064E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544" w:type="dxa"/>
          <w:vAlign w:val="center"/>
        </w:tcPr>
        <w:p w:rsidR="00E5255D" w:rsidRDefault="00E064E1">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María del Rosario Mejía Ayala</w:t>
          </w:r>
        </w:p>
      </w:tc>
    </w:tr>
  </w:tbl>
  <w:p w:rsidR="00E5255D" w:rsidRDefault="00E5255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A459C"/>
    <w:multiLevelType w:val="multilevel"/>
    <w:tmpl w:val="74A8EC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23E6572B"/>
    <w:multiLevelType w:val="multilevel"/>
    <w:tmpl w:val="A8AC73A2"/>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322632"/>
    <w:multiLevelType w:val="multilevel"/>
    <w:tmpl w:val="F4EE097C"/>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5C2D30"/>
    <w:multiLevelType w:val="multilevel"/>
    <w:tmpl w:val="6EDC76D8"/>
    <w:lvl w:ilvl="0">
      <w:start w:val="1"/>
      <w:numFmt w:val="decimal"/>
      <w:lvlText w:val="%1."/>
      <w:lvlJc w:val="left"/>
      <w:pPr>
        <w:ind w:left="72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AF83367"/>
    <w:multiLevelType w:val="multilevel"/>
    <w:tmpl w:val="711E1A4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55D"/>
    <w:rsid w:val="000E7E62"/>
    <w:rsid w:val="00E064E1"/>
    <w:rsid w:val="00E525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D55D57-5D4E-4DBD-BC17-CA3BBCDD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lang w:val="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6.png"/><Relationship Id="rId18" Type="http://schemas.openxmlformats.org/officeDocument/2006/relationships/image" Target="media/image4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5qGS13J5sYFoSP6j0d7aNV1yXA==">AMUW2mXffqjPPUuNDG4c+yVmNDouhZUwcyHicPod49DOJ1aAlfoLl5mUDzQMai4bsfsoO198OsRPkDad+77ikDKnHJAqEIQgBsx4KmbJVIV0xy9mX930bg4rppuXfcPQTrWBiWExyNa9ky8rTyCL5fdhIUn83frQE/ivEPDX5f04E+bVuxxCZBqg7RqpjgWdEuR/u6ccjir6bzhF8dol3qLL3BQJHqRxN89V0vghpjx3EqFk89BugV/DHug9UzK9ySnVXWvo0hcuimEyX0loVXLhM9YDszk5jTHTmJ7vdar5bm7oJRrXG7vbMeL8p82kkawq48vQBcd0oHYz5qJIhNLYzudB1FtsDfgonwo32xFcKbULwd8qUpq3sMnLXZwVZmRDLDLXx9j9LCeNhrjOY4geqt8naa1D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7291</Words>
  <Characters>40101</Characters>
  <Application>Microsoft Office Word</Application>
  <DocSecurity>0</DocSecurity>
  <Lines>334</Lines>
  <Paragraphs>94</Paragraphs>
  <ScaleCrop>false</ScaleCrop>
  <Company/>
  <LinksUpToDate>false</LinksUpToDate>
  <CharactersWithSpaces>47298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MIG</cp:lastModifiedBy>
  <cp:revision>2</cp:revision>
  <dcterms:created xsi:type="dcterms:W3CDTF">2021-08-24T02:06:00Z</dcterms:created>
  <dcterms:modified xsi:type="dcterms:W3CDTF">2021-12-03T00:19:00Z</dcterms:modified>
</cp:coreProperties>
</file>