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06B1EC6" w:rsidR="00200BFC" w:rsidRPr="00883039" w:rsidRDefault="003C5F74" w:rsidP="00883039">
      <w:pPr>
        <w:spacing w:line="360" w:lineRule="auto"/>
        <w:jc w:val="both"/>
        <w:rPr>
          <w:rFonts w:ascii="Palatino Linotype" w:hAnsi="Palatino Linotype" w:cs="Arial"/>
        </w:rPr>
      </w:pPr>
      <w:bookmarkStart w:id="0" w:name="_Hlk57136682"/>
      <w:bookmarkEnd w:id="0"/>
      <w:r w:rsidRPr="00883039">
        <w:rPr>
          <w:rFonts w:ascii="Palatino Linotype" w:hAnsi="Palatino Linotype"/>
        </w:rPr>
        <w:t xml:space="preserve">Resolución </w:t>
      </w:r>
      <w:r w:rsidR="00200BFC" w:rsidRPr="00883039">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EC1F16" w:rsidRPr="00883039">
        <w:rPr>
          <w:rFonts w:ascii="Palatino Linotype" w:hAnsi="Palatino Linotype" w:cs="Arial"/>
        </w:rPr>
        <w:t xml:space="preserve">veintidós </w:t>
      </w:r>
      <w:r w:rsidR="00543868" w:rsidRPr="00883039">
        <w:rPr>
          <w:rFonts w:ascii="Palatino Linotype" w:hAnsi="Palatino Linotype" w:cs="Arial"/>
        </w:rPr>
        <w:t xml:space="preserve">de </w:t>
      </w:r>
      <w:r w:rsidR="00B0471F" w:rsidRPr="00883039">
        <w:rPr>
          <w:rFonts w:ascii="Palatino Linotype" w:hAnsi="Palatino Linotype" w:cs="Arial"/>
        </w:rPr>
        <w:t>septiembre</w:t>
      </w:r>
      <w:r w:rsidR="00543868" w:rsidRPr="00883039">
        <w:rPr>
          <w:rFonts w:ascii="Palatino Linotype" w:hAnsi="Palatino Linotype" w:cs="Arial"/>
        </w:rPr>
        <w:t xml:space="preserve"> de dos mil veintiuno</w:t>
      </w:r>
      <w:r w:rsidR="003253C6" w:rsidRPr="00883039">
        <w:rPr>
          <w:rFonts w:ascii="Palatino Linotype" w:hAnsi="Palatino Linotype" w:cs="Arial"/>
        </w:rPr>
        <w:t>.</w:t>
      </w:r>
    </w:p>
    <w:p w14:paraId="57CA25AC" w14:textId="77777777" w:rsidR="003253C6" w:rsidRPr="00883039" w:rsidRDefault="003253C6" w:rsidP="00883039">
      <w:pPr>
        <w:spacing w:line="360" w:lineRule="auto"/>
        <w:jc w:val="both"/>
        <w:rPr>
          <w:rFonts w:ascii="Palatino Linotype" w:hAnsi="Palatino Linotype" w:cs="Arial"/>
        </w:rPr>
      </w:pPr>
    </w:p>
    <w:p w14:paraId="42C7D1A2" w14:textId="5C8524B8" w:rsidR="003253C6" w:rsidRPr="00883039" w:rsidRDefault="00200BFC" w:rsidP="00883039">
      <w:pPr>
        <w:spacing w:line="360" w:lineRule="auto"/>
        <w:jc w:val="both"/>
        <w:rPr>
          <w:rFonts w:ascii="Palatino Linotype" w:hAnsi="Palatino Linotype" w:cs="Arial"/>
          <w:lang w:val="es-ES"/>
        </w:rPr>
      </w:pPr>
      <w:r w:rsidRPr="00883039">
        <w:rPr>
          <w:rFonts w:ascii="Palatino Linotype" w:hAnsi="Palatino Linotype" w:cs="Arial"/>
          <w:b/>
          <w:sz w:val="28"/>
        </w:rPr>
        <w:t>VISTO</w:t>
      </w:r>
      <w:r w:rsidRPr="00883039">
        <w:rPr>
          <w:rFonts w:ascii="Palatino Linotype" w:hAnsi="Palatino Linotype" w:cs="Arial"/>
        </w:rPr>
        <w:t xml:space="preserve"> </w:t>
      </w:r>
      <w:r w:rsidR="00B40DD6" w:rsidRPr="00883039">
        <w:rPr>
          <w:rFonts w:ascii="Palatino Linotype" w:hAnsi="Palatino Linotype" w:cs="Arial"/>
        </w:rPr>
        <w:t xml:space="preserve">el expediente formado con motivo del recurso de revisión </w:t>
      </w:r>
      <w:r w:rsidR="00B40DD6" w:rsidRPr="00883039">
        <w:rPr>
          <w:rFonts w:ascii="Palatino Linotype" w:hAnsi="Palatino Linotype" w:cs="Arial"/>
          <w:b/>
        </w:rPr>
        <w:t>0</w:t>
      </w:r>
      <w:r w:rsidR="00402093" w:rsidRPr="00883039">
        <w:rPr>
          <w:rFonts w:ascii="Palatino Linotype" w:hAnsi="Palatino Linotype" w:cs="Arial"/>
          <w:b/>
        </w:rPr>
        <w:t>3682</w:t>
      </w:r>
      <w:r w:rsidR="00B40DD6" w:rsidRPr="00883039">
        <w:rPr>
          <w:rFonts w:ascii="Palatino Linotype" w:hAnsi="Palatino Linotype" w:cs="Arial"/>
          <w:b/>
        </w:rPr>
        <w:t>/INFOEM/IP/RR/2021</w:t>
      </w:r>
      <w:r w:rsidR="00B40DD6" w:rsidRPr="00883039">
        <w:rPr>
          <w:rFonts w:ascii="Palatino Linotype" w:hAnsi="Palatino Linotype" w:cs="Arial"/>
        </w:rPr>
        <w:t>, interpuesto</w:t>
      </w:r>
      <w:r w:rsidR="008C4B2D" w:rsidRPr="00883039">
        <w:rPr>
          <w:rFonts w:ascii="Palatino Linotype" w:hAnsi="Palatino Linotype"/>
          <w:lang w:val="es-ES"/>
        </w:rPr>
        <w:t xml:space="preserve"> por</w:t>
      </w:r>
      <w:r w:rsidR="00A17239" w:rsidRPr="00883039">
        <w:rPr>
          <w:rFonts w:ascii="Palatino Linotype" w:hAnsi="Palatino Linotype"/>
          <w:lang w:val="es-ES"/>
        </w:rPr>
        <w:t xml:space="preserve"> </w:t>
      </w:r>
      <w:r w:rsidR="00402093" w:rsidRPr="00883039">
        <w:rPr>
          <w:rFonts w:ascii="Palatino Linotype" w:hAnsi="Palatino Linotype"/>
          <w:lang w:val="es-ES"/>
        </w:rPr>
        <w:t>la</w:t>
      </w:r>
      <w:r w:rsidR="00A17239" w:rsidRPr="00883039">
        <w:rPr>
          <w:rFonts w:ascii="Palatino Linotype" w:hAnsi="Palatino Linotype"/>
          <w:lang w:val="es-ES"/>
        </w:rPr>
        <w:t xml:space="preserve"> C.</w:t>
      </w:r>
      <w:r w:rsidR="008C4B2D" w:rsidRPr="00883039">
        <w:rPr>
          <w:rFonts w:ascii="Palatino Linotype" w:hAnsi="Palatino Linotype"/>
          <w:lang w:val="es-ES"/>
        </w:rPr>
        <w:t xml:space="preserve"> </w:t>
      </w:r>
      <w:bookmarkStart w:id="1" w:name="_GoBack"/>
      <w:proofErr w:type="spellStart"/>
      <w:r w:rsidR="00CF542F" w:rsidRPr="00CF542F">
        <w:rPr>
          <w:rFonts w:ascii="Palatino Linotype" w:hAnsi="Palatino Linotype" w:cs="Arial"/>
          <w:b/>
        </w:rPr>
        <w:t>xxxxxx</w:t>
      </w:r>
      <w:proofErr w:type="spellEnd"/>
      <w:r w:rsidR="00CF542F" w:rsidRPr="00CF542F">
        <w:rPr>
          <w:rFonts w:ascii="Palatino Linotype" w:hAnsi="Palatino Linotype" w:cs="Arial"/>
          <w:b/>
        </w:rPr>
        <w:t xml:space="preserve"> </w:t>
      </w:r>
      <w:proofErr w:type="spellStart"/>
      <w:r w:rsidR="00CF542F" w:rsidRPr="00CF542F">
        <w:rPr>
          <w:rFonts w:ascii="Palatino Linotype" w:hAnsi="Palatino Linotype" w:cs="Arial"/>
          <w:b/>
        </w:rPr>
        <w:t>xxxxxx</w:t>
      </w:r>
      <w:proofErr w:type="spellEnd"/>
      <w:r w:rsidR="00CF542F" w:rsidRPr="00CF542F">
        <w:rPr>
          <w:rFonts w:ascii="Palatino Linotype" w:hAnsi="Palatino Linotype" w:cs="Arial"/>
          <w:b/>
        </w:rPr>
        <w:t xml:space="preserve"> </w:t>
      </w:r>
      <w:proofErr w:type="spellStart"/>
      <w:r w:rsidR="00CF542F" w:rsidRPr="00CF542F">
        <w:rPr>
          <w:rFonts w:ascii="Palatino Linotype" w:hAnsi="Palatino Linotype" w:cs="Arial"/>
          <w:b/>
        </w:rPr>
        <w:t>xxxx</w:t>
      </w:r>
      <w:bookmarkEnd w:id="1"/>
      <w:proofErr w:type="spellEnd"/>
      <w:r w:rsidR="008C4B2D" w:rsidRPr="00883039">
        <w:rPr>
          <w:rFonts w:ascii="Palatino Linotype" w:hAnsi="Palatino Linotype"/>
          <w:b/>
          <w:lang w:val="es-ES"/>
        </w:rPr>
        <w:t>,</w:t>
      </w:r>
      <w:r w:rsidR="008C4B2D" w:rsidRPr="00883039">
        <w:rPr>
          <w:rFonts w:ascii="Palatino Linotype" w:hAnsi="Palatino Linotype"/>
          <w:lang w:val="es-ES"/>
        </w:rPr>
        <w:t xml:space="preserve"> en lo sucesivo </w:t>
      </w:r>
      <w:r w:rsidR="00402093" w:rsidRPr="00883039">
        <w:rPr>
          <w:rFonts w:ascii="Palatino Linotype" w:hAnsi="Palatino Linotype"/>
          <w:b/>
          <w:lang w:val="es-ES"/>
        </w:rPr>
        <w:t>LA</w:t>
      </w:r>
      <w:r w:rsidR="008C4B2D" w:rsidRPr="00883039">
        <w:rPr>
          <w:rFonts w:ascii="Palatino Linotype" w:hAnsi="Palatino Linotype"/>
          <w:b/>
          <w:lang w:val="es-ES"/>
        </w:rPr>
        <w:t xml:space="preserve"> RECURRENTE</w:t>
      </w:r>
      <w:r w:rsidRPr="00883039">
        <w:rPr>
          <w:rFonts w:ascii="Palatino Linotype" w:hAnsi="Palatino Linotype" w:cs="Arial"/>
          <w:b/>
          <w:lang w:val="es-ES"/>
        </w:rPr>
        <w:t>,</w:t>
      </w:r>
      <w:r w:rsidRPr="00883039">
        <w:rPr>
          <w:rFonts w:ascii="Palatino Linotype" w:hAnsi="Palatino Linotype" w:cs="Arial"/>
          <w:lang w:val="es-ES"/>
        </w:rPr>
        <w:t xml:space="preserve"> en contra de la</w:t>
      </w:r>
      <w:r w:rsidR="005466BC" w:rsidRPr="00883039">
        <w:rPr>
          <w:rFonts w:ascii="Palatino Linotype" w:hAnsi="Palatino Linotype" w:cs="Arial"/>
          <w:lang w:val="es-ES"/>
        </w:rPr>
        <w:t xml:space="preserve"> de </w:t>
      </w:r>
      <w:r w:rsidRPr="00883039">
        <w:rPr>
          <w:rFonts w:ascii="Palatino Linotype" w:hAnsi="Palatino Linotype" w:cs="Arial"/>
          <w:lang w:val="es-ES"/>
        </w:rPr>
        <w:t>respuesta del</w:t>
      </w:r>
      <w:r w:rsidR="00D123BE" w:rsidRPr="00883039">
        <w:rPr>
          <w:rFonts w:ascii="Palatino Linotype" w:hAnsi="Palatino Linotype" w:cs="Arial"/>
          <w:lang w:val="es-ES"/>
        </w:rPr>
        <w:t xml:space="preserve"> </w:t>
      </w:r>
      <w:r w:rsidR="00402093" w:rsidRPr="00883039">
        <w:rPr>
          <w:rFonts w:ascii="Palatino Linotype" w:hAnsi="Palatino Linotype" w:cs="Arial"/>
          <w:b/>
          <w:bCs/>
        </w:rPr>
        <w:t>Ayuntamiento de Tecámac</w:t>
      </w:r>
      <w:r w:rsidRPr="00883039">
        <w:rPr>
          <w:rFonts w:ascii="Palatino Linotype" w:hAnsi="Palatino Linotype" w:cs="Arial"/>
          <w:b/>
          <w:lang w:val="es-ES"/>
        </w:rPr>
        <w:t xml:space="preserve">, </w:t>
      </w:r>
      <w:r w:rsidRPr="00883039">
        <w:rPr>
          <w:rFonts w:ascii="Palatino Linotype" w:hAnsi="Palatino Linotype" w:cs="Arial"/>
          <w:lang w:val="es-ES"/>
        </w:rPr>
        <w:t xml:space="preserve">en lo sucesivo </w:t>
      </w:r>
      <w:r w:rsidRPr="00883039">
        <w:rPr>
          <w:rFonts w:ascii="Palatino Linotype" w:hAnsi="Palatino Linotype" w:cs="Arial"/>
          <w:b/>
          <w:lang w:val="es-ES"/>
        </w:rPr>
        <w:t xml:space="preserve">EL SUJETO OBLIGADO, </w:t>
      </w:r>
      <w:r w:rsidRPr="00883039">
        <w:rPr>
          <w:rFonts w:ascii="Palatino Linotype" w:hAnsi="Palatino Linotype" w:cs="Arial"/>
          <w:lang w:val="es-ES"/>
        </w:rPr>
        <w:t xml:space="preserve">se procede a dictar la presente resolución con base en lo siguiente: </w:t>
      </w:r>
    </w:p>
    <w:p w14:paraId="7E5DAA96" w14:textId="77777777" w:rsidR="00200BFC" w:rsidRPr="00883039" w:rsidRDefault="00200BFC" w:rsidP="00883039">
      <w:pPr>
        <w:jc w:val="center"/>
        <w:rPr>
          <w:rFonts w:ascii="Palatino Linotype" w:hAnsi="Palatino Linotype" w:cs="Arial"/>
          <w:b/>
          <w:bCs/>
          <w:spacing w:val="60"/>
        </w:rPr>
      </w:pPr>
    </w:p>
    <w:p w14:paraId="0A30CA76" w14:textId="4EC2909E" w:rsidR="00770063" w:rsidRPr="00883039" w:rsidRDefault="00200BFC" w:rsidP="00883039">
      <w:pPr>
        <w:jc w:val="center"/>
        <w:rPr>
          <w:rFonts w:ascii="Palatino Linotype" w:hAnsi="Palatino Linotype" w:cs="Arial"/>
          <w:b/>
          <w:bCs/>
          <w:spacing w:val="60"/>
          <w:sz w:val="28"/>
        </w:rPr>
      </w:pPr>
      <w:r w:rsidRPr="00883039">
        <w:rPr>
          <w:rFonts w:ascii="Palatino Linotype" w:hAnsi="Palatino Linotype" w:cs="Arial"/>
          <w:b/>
          <w:bCs/>
          <w:spacing w:val="60"/>
          <w:sz w:val="28"/>
        </w:rPr>
        <w:t>RESULTANDO</w:t>
      </w:r>
    </w:p>
    <w:p w14:paraId="70D9D779" w14:textId="77777777" w:rsidR="00200BFC" w:rsidRPr="00883039" w:rsidRDefault="00200BFC" w:rsidP="00883039">
      <w:pPr>
        <w:rPr>
          <w:rFonts w:ascii="Palatino Linotype" w:hAnsi="Palatino Linotype" w:cs="Arial"/>
          <w:b/>
          <w:bCs/>
          <w:spacing w:val="60"/>
        </w:rPr>
      </w:pPr>
    </w:p>
    <w:p w14:paraId="702C2C4C" w14:textId="47A0C8CB" w:rsidR="00200BFC" w:rsidRPr="00883039" w:rsidRDefault="00200BFC" w:rsidP="00883039">
      <w:pPr>
        <w:spacing w:line="360" w:lineRule="auto"/>
        <w:jc w:val="both"/>
        <w:rPr>
          <w:rFonts w:ascii="Palatino Linotype" w:eastAsia="MS Mincho" w:hAnsi="Palatino Linotype" w:cs="Arial"/>
        </w:rPr>
      </w:pPr>
      <w:r w:rsidRPr="00883039">
        <w:rPr>
          <w:rFonts w:ascii="Palatino Linotype" w:eastAsia="MS Mincho" w:hAnsi="Palatino Linotype" w:cs="Arial"/>
          <w:b/>
          <w:sz w:val="28"/>
        </w:rPr>
        <w:t>I</w:t>
      </w:r>
      <w:r w:rsidRPr="00883039">
        <w:rPr>
          <w:rFonts w:ascii="Palatino Linotype" w:eastAsia="MS Mincho" w:hAnsi="Palatino Linotype" w:cs="Arial"/>
          <w:b/>
        </w:rPr>
        <w:t xml:space="preserve">. </w:t>
      </w:r>
      <w:r w:rsidRPr="00883039">
        <w:rPr>
          <w:rFonts w:ascii="Palatino Linotype" w:eastAsia="MS Mincho" w:hAnsi="Palatino Linotype" w:cs="Arial"/>
        </w:rPr>
        <w:t xml:space="preserve">En fecha </w:t>
      </w:r>
      <w:r w:rsidR="00402093" w:rsidRPr="00883039">
        <w:rPr>
          <w:rFonts w:ascii="Palatino Linotype" w:eastAsia="MS Mincho" w:hAnsi="Palatino Linotype" w:cs="Arial"/>
        </w:rPr>
        <w:t>cuatro</w:t>
      </w:r>
      <w:r w:rsidR="005029C7" w:rsidRPr="00883039">
        <w:rPr>
          <w:rFonts w:ascii="Palatino Linotype" w:eastAsia="MS Mincho" w:hAnsi="Palatino Linotype" w:cs="Arial"/>
        </w:rPr>
        <w:t xml:space="preserve"> de </w:t>
      </w:r>
      <w:r w:rsidR="00402093" w:rsidRPr="00883039">
        <w:rPr>
          <w:rFonts w:ascii="Palatino Linotype" w:eastAsia="MS Mincho" w:hAnsi="Palatino Linotype" w:cs="Arial"/>
        </w:rPr>
        <w:t>junio</w:t>
      </w:r>
      <w:r w:rsidRPr="00883039">
        <w:rPr>
          <w:rFonts w:ascii="Palatino Linotype" w:eastAsia="MS Mincho" w:hAnsi="Palatino Linotype" w:cs="Arial"/>
        </w:rPr>
        <w:t xml:space="preserve"> de dos mil veint</w:t>
      </w:r>
      <w:r w:rsidR="005466BC" w:rsidRPr="00883039">
        <w:rPr>
          <w:rFonts w:ascii="Palatino Linotype" w:eastAsia="MS Mincho" w:hAnsi="Palatino Linotype" w:cs="Arial"/>
        </w:rPr>
        <w:t>iuno</w:t>
      </w:r>
      <w:r w:rsidRPr="00883039">
        <w:rPr>
          <w:rFonts w:ascii="Palatino Linotype" w:eastAsia="MS Mincho" w:hAnsi="Palatino Linotype" w:cs="Arial"/>
        </w:rPr>
        <w:t xml:space="preserve">, </w:t>
      </w:r>
      <w:r w:rsidR="00402093" w:rsidRPr="00883039">
        <w:rPr>
          <w:rFonts w:ascii="Palatino Linotype" w:eastAsia="MS Mincho" w:hAnsi="Palatino Linotype" w:cs="Arial"/>
          <w:b/>
        </w:rPr>
        <w:t>LA</w:t>
      </w:r>
      <w:r w:rsidRPr="00883039">
        <w:rPr>
          <w:rFonts w:ascii="Palatino Linotype" w:eastAsia="MS Mincho" w:hAnsi="Palatino Linotype" w:cs="Arial"/>
          <w:b/>
        </w:rPr>
        <w:t xml:space="preserve"> RECURRENTE</w:t>
      </w:r>
      <w:r w:rsidR="00242FAC" w:rsidRPr="00883039">
        <w:rPr>
          <w:rFonts w:ascii="Palatino Linotype" w:eastAsia="MS Mincho" w:hAnsi="Palatino Linotype" w:cs="Arial"/>
        </w:rPr>
        <w:t xml:space="preserve"> presentó a través de</w:t>
      </w:r>
      <w:r w:rsidRPr="00883039">
        <w:rPr>
          <w:rFonts w:ascii="Palatino Linotype" w:eastAsia="MS Mincho" w:hAnsi="Palatino Linotype" w:cs="Arial"/>
        </w:rPr>
        <w:t>l Sistema de Acceso a la Información Mexiquense</w:t>
      </w:r>
      <w:r w:rsidRPr="00883039">
        <w:rPr>
          <w:rFonts w:ascii="Palatino Linotype" w:eastAsia="MS Mincho" w:hAnsi="Palatino Linotype"/>
        </w:rPr>
        <w:t xml:space="preserve">, en lo subsecuente </w:t>
      </w:r>
      <w:r w:rsidRPr="00883039">
        <w:rPr>
          <w:rFonts w:ascii="Palatino Linotype" w:eastAsia="MS Mincho" w:hAnsi="Palatino Linotype" w:cs="Arial"/>
          <w:b/>
        </w:rPr>
        <w:t>EL SAIMEX</w:t>
      </w:r>
      <w:r w:rsidRPr="00883039">
        <w:rPr>
          <w:rFonts w:ascii="Palatino Linotype" w:eastAsia="MS Mincho" w:hAnsi="Palatino Linotype" w:cs="Arial"/>
        </w:rPr>
        <w:t xml:space="preserve"> ante </w:t>
      </w:r>
      <w:r w:rsidRPr="00883039">
        <w:rPr>
          <w:rFonts w:ascii="Palatino Linotype" w:eastAsia="MS Mincho" w:hAnsi="Palatino Linotype" w:cs="Arial"/>
          <w:b/>
        </w:rPr>
        <w:t>EL SUJETO OBLIGADO</w:t>
      </w:r>
      <w:r w:rsidRPr="00883039">
        <w:rPr>
          <w:rFonts w:ascii="Palatino Linotype" w:eastAsia="MS Mincho" w:hAnsi="Palatino Linotype" w:cs="Arial"/>
        </w:rPr>
        <w:t xml:space="preserve">, la solicitud de acceso a la información pública, a la que se le asignó </w:t>
      </w:r>
      <w:r w:rsidR="00B40DD6" w:rsidRPr="00883039">
        <w:rPr>
          <w:rFonts w:ascii="Palatino Linotype" w:eastAsia="MS Mincho" w:hAnsi="Palatino Linotype" w:cs="Arial"/>
        </w:rPr>
        <w:t>el</w:t>
      </w:r>
      <w:r w:rsidRPr="00883039">
        <w:rPr>
          <w:rFonts w:ascii="Palatino Linotype" w:eastAsia="MS Mincho" w:hAnsi="Palatino Linotype" w:cs="Arial"/>
        </w:rPr>
        <w:t xml:space="preserve"> número de expediente </w:t>
      </w:r>
      <w:r w:rsidR="00402093" w:rsidRPr="00883039">
        <w:rPr>
          <w:rFonts w:ascii="Palatino Linotype" w:eastAsia="MS Mincho" w:hAnsi="Palatino Linotype" w:cs="Arial"/>
          <w:b/>
        </w:rPr>
        <w:t>00257/TECAMAC/IP/2021</w:t>
      </w:r>
      <w:r w:rsidRPr="00883039">
        <w:rPr>
          <w:rFonts w:ascii="Palatino Linotype" w:eastAsia="MS Mincho" w:hAnsi="Palatino Linotype" w:cs="Arial"/>
        </w:rPr>
        <w:t xml:space="preserve">, </w:t>
      </w:r>
      <w:r w:rsidRPr="00883039">
        <w:rPr>
          <w:rFonts w:ascii="Palatino Linotype" w:eastAsia="MS Mincho" w:hAnsi="Palatino Linotype" w:cs="Arial"/>
          <w:bCs/>
        </w:rPr>
        <w:t>por medio del cual requirió</w:t>
      </w:r>
      <w:r w:rsidRPr="00883039">
        <w:rPr>
          <w:rFonts w:ascii="Palatino Linotype" w:eastAsia="MS Mincho" w:hAnsi="Palatino Linotype" w:cs="Arial"/>
        </w:rPr>
        <w:t>:</w:t>
      </w:r>
    </w:p>
    <w:p w14:paraId="12541CD7" w14:textId="77777777" w:rsidR="00891025" w:rsidRPr="00883039" w:rsidRDefault="00891025" w:rsidP="00883039">
      <w:pPr>
        <w:jc w:val="both"/>
        <w:rPr>
          <w:rFonts w:ascii="Palatino Linotype" w:eastAsia="MS Mincho" w:hAnsi="Palatino Linotype" w:cs="Arial"/>
          <w:b/>
          <w:bCs/>
        </w:rPr>
      </w:pPr>
    </w:p>
    <w:p w14:paraId="69AC5CD0" w14:textId="2B846CF1" w:rsidR="00200BFC" w:rsidRPr="00883039" w:rsidRDefault="00891025" w:rsidP="00883039">
      <w:pPr>
        <w:tabs>
          <w:tab w:val="left" w:pos="851"/>
        </w:tabs>
        <w:ind w:left="851" w:right="901"/>
        <w:jc w:val="both"/>
        <w:rPr>
          <w:rFonts w:ascii="Palatino Linotype" w:eastAsia="MS Mincho" w:hAnsi="Palatino Linotype" w:cs="Arial"/>
          <w:i/>
        </w:rPr>
      </w:pPr>
      <w:r w:rsidRPr="00883039">
        <w:rPr>
          <w:rFonts w:ascii="Palatino Linotype" w:hAnsi="Palatino Linotype" w:cs="Arial"/>
          <w:i/>
          <w:lang w:val="es-ES"/>
        </w:rPr>
        <w:t xml:space="preserve">“Por este medio de manera </w:t>
      </w:r>
      <w:proofErr w:type="spellStart"/>
      <w:r w:rsidRPr="00883039">
        <w:rPr>
          <w:rFonts w:ascii="Palatino Linotype" w:hAnsi="Palatino Linotype" w:cs="Arial"/>
          <w:i/>
          <w:lang w:val="es-ES"/>
        </w:rPr>
        <w:t>pacifica</w:t>
      </w:r>
      <w:proofErr w:type="spellEnd"/>
      <w:r w:rsidRPr="00883039">
        <w:rPr>
          <w:rFonts w:ascii="Palatino Linotype" w:hAnsi="Palatino Linotype" w:cs="Arial"/>
          <w:i/>
          <w:lang w:val="es-ES"/>
        </w:rPr>
        <w:t xml:space="preserve"> y respetuosa, solicito copia simples del Conjunto Urbano denominado Real Granada tercera, cuarta y quinta etapa, ubicado en el Municipio de </w:t>
      </w:r>
      <w:proofErr w:type="spellStart"/>
      <w:r w:rsidRPr="00883039">
        <w:rPr>
          <w:rFonts w:ascii="Palatino Linotype" w:hAnsi="Palatino Linotype" w:cs="Arial"/>
          <w:i/>
          <w:lang w:val="es-ES"/>
        </w:rPr>
        <w:t>Tecamac</w:t>
      </w:r>
      <w:proofErr w:type="spellEnd"/>
      <w:r w:rsidRPr="00883039">
        <w:rPr>
          <w:rFonts w:ascii="Palatino Linotype" w:hAnsi="Palatino Linotype" w:cs="Arial"/>
          <w:i/>
          <w:lang w:val="es-ES"/>
        </w:rPr>
        <w:t xml:space="preserve">, Estado de Mexico - Gaceta oficial de la dirección de Desarrollo Urbano y todos sus anexos como es planos de lotificación Plano oficial, apertura </w:t>
      </w:r>
      <w:proofErr w:type="spellStart"/>
      <w:r w:rsidRPr="00883039">
        <w:rPr>
          <w:rFonts w:ascii="Palatino Linotype" w:hAnsi="Palatino Linotype" w:cs="Arial"/>
          <w:i/>
          <w:lang w:val="es-ES"/>
        </w:rPr>
        <w:t>ded</w:t>
      </w:r>
      <w:proofErr w:type="spellEnd"/>
      <w:r w:rsidRPr="00883039">
        <w:rPr>
          <w:rFonts w:ascii="Palatino Linotype" w:hAnsi="Palatino Linotype" w:cs="Arial"/>
          <w:i/>
          <w:lang w:val="es-ES"/>
        </w:rPr>
        <w:t xml:space="preserve"> </w:t>
      </w:r>
      <w:proofErr w:type="spellStart"/>
      <w:r w:rsidRPr="00883039">
        <w:rPr>
          <w:rFonts w:ascii="Palatino Linotype" w:hAnsi="Palatino Linotype" w:cs="Arial"/>
          <w:i/>
          <w:lang w:val="es-ES"/>
        </w:rPr>
        <w:t>vias</w:t>
      </w:r>
      <w:proofErr w:type="spellEnd"/>
      <w:r w:rsidRPr="00883039">
        <w:rPr>
          <w:rFonts w:ascii="Palatino Linotype" w:hAnsi="Palatino Linotype" w:cs="Arial"/>
          <w:i/>
          <w:lang w:val="es-ES"/>
        </w:rPr>
        <w:t xml:space="preserve"> </w:t>
      </w:r>
      <w:proofErr w:type="spellStart"/>
      <w:r w:rsidRPr="00883039">
        <w:rPr>
          <w:rFonts w:ascii="Palatino Linotype" w:hAnsi="Palatino Linotype" w:cs="Arial"/>
          <w:i/>
          <w:lang w:val="es-ES"/>
        </w:rPr>
        <w:t>publicas</w:t>
      </w:r>
      <w:proofErr w:type="spellEnd"/>
      <w:r w:rsidRPr="00883039">
        <w:rPr>
          <w:rFonts w:ascii="Palatino Linotype" w:hAnsi="Palatino Linotype" w:cs="Arial"/>
          <w:i/>
          <w:lang w:val="es-ES"/>
        </w:rPr>
        <w:t xml:space="preserve"> y </w:t>
      </w:r>
      <w:proofErr w:type="spellStart"/>
      <w:r w:rsidRPr="00883039">
        <w:rPr>
          <w:rFonts w:ascii="Palatino Linotype" w:hAnsi="Palatino Linotype" w:cs="Arial"/>
          <w:i/>
          <w:lang w:val="es-ES"/>
        </w:rPr>
        <w:t>division</w:t>
      </w:r>
      <w:proofErr w:type="spellEnd"/>
      <w:r w:rsidRPr="00883039">
        <w:rPr>
          <w:rFonts w:ascii="Palatino Linotype" w:hAnsi="Palatino Linotype" w:cs="Arial"/>
          <w:i/>
          <w:lang w:val="es-ES"/>
        </w:rPr>
        <w:t xml:space="preserve"> de lotes Fusión, subdivisión, apertura, ampliación o modificación de vías públicas; lotificación de predios para condominios; cambios de uso del suelo, de densidad e intensidad de su aprovechamiento o de la altura máxima permitida; y cualquier otro acto administrativo de competencia estatal o </w:t>
      </w:r>
      <w:r w:rsidRPr="00883039">
        <w:rPr>
          <w:rFonts w:ascii="Palatino Linotype" w:hAnsi="Palatino Linotype" w:cs="Arial"/>
          <w:i/>
          <w:lang w:val="es-ES"/>
        </w:rPr>
        <w:lastRenderedPageBreak/>
        <w:t xml:space="preserve">municipal que haya sido requerido para la lotificación solicitada. Secciones de vías públicas y privadas, en su caso. Cuadro de construcción de la poligonal del predio. Datos generales de la lotificación. Cuadros de cuantificación de lotes, superficies y usos del suelo por manzana. Datos de las autorizaciones implícitas, en su caso. Datos de autorización y publicación en la Gaceta del Gobierno. Nombre, firma y datos de registro del perito. Etapas o secciones del desarrollo, si las hubiera. En su caso, los créditos nombre de quienes proyectan, dibujan y revisan. Nombre y número del plano. Nombres, cargos y firmas de los funcionarios públicos que autorizan - oficio No. 224020000/3844/2014 aprobación de proyecto de lotificación - Actas de entrega-recepción tanto parcial como total en el periodo del 2016 al 2021, detallada por </w:t>
      </w:r>
      <w:proofErr w:type="spellStart"/>
      <w:r w:rsidRPr="00883039">
        <w:rPr>
          <w:rFonts w:ascii="Palatino Linotype" w:hAnsi="Palatino Linotype" w:cs="Arial"/>
          <w:i/>
          <w:lang w:val="es-ES"/>
        </w:rPr>
        <w:t>numero</w:t>
      </w:r>
      <w:proofErr w:type="spellEnd"/>
      <w:r w:rsidRPr="00883039">
        <w:rPr>
          <w:rFonts w:ascii="Palatino Linotype" w:hAnsi="Palatino Linotype" w:cs="Arial"/>
          <w:i/>
          <w:lang w:val="es-ES"/>
        </w:rPr>
        <w:t xml:space="preserve"> de expediente - Actas de supervisión correspondiente a la bitácora de supervisión de control de obras de infraestructura, </w:t>
      </w:r>
      <w:proofErr w:type="spellStart"/>
      <w:r w:rsidRPr="00883039">
        <w:rPr>
          <w:rFonts w:ascii="Palatino Linotype" w:hAnsi="Palatino Linotype" w:cs="Arial"/>
          <w:i/>
          <w:lang w:val="es-ES"/>
        </w:rPr>
        <w:t>urbanizacion</w:t>
      </w:r>
      <w:proofErr w:type="spellEnd"/>
      <w:r w:rsidRPr="00883039">
        <w:rPr>
          <w:rFonts w:ascii="Palatino Linotype" w:hAnsi="Palatino Linotype" w:cs="Arial"/>
          <w:i/>
          <w:lang w:val="es-ES"/>
        </w:rPr>
        <w:t xml:space="preserve"> y equipamiento de conjuntos urbanos. - La publicidad y/o contenido, propaganda aprobada por la Secretaria de Desarrollo Urbano para evitar propaganda engañosa conforme lo establece el articulo5.38 </w:t>
      </w:r>
      <w:proofErr w:type="spellStart"/>
      <w:r w:rsidRPr="00883039">
        <w:rPr>
          <w:rFonts w:ascii="Palatino Linotype" w:hAnsi="Palatino Linotype" w:cs="Arial"/>
          <w:i/>
          <w:lang w:val="es-ES"/>
        </w:rPr>
        <w:t>fraccion</w:t>
      </w:r>
      <w:proofErr w:type="spellEnd"/>
      <w:r w:rsidRPr="00883039">
        <w:rPr>
          <w:rFonts w:ascii="Palatino Linotype" w:hAnsi="Palatino Linotype" w:cs="Arial"/>
          <w:i/>
          <w:lang w:val="es-ES"/>
        </w:rPr>
        <w:t xml:space="preserve"> XII del </w:t>
      </w:r>
      <w:proofErr w:type="spellStart"/>
      <w:r w:rsidRPr="00883039">
        <w:rPr>
          <w:rFonts w:ascii="Palatino Linotype" w:hAnsi="Palatino Linotype" w:cs="Arial"/>
          <w:i/>
          <w:lang w:val="es-ES"/>
        </w:rPr>
        <w:t>codigo</w:t>
      </w:r>
      <w:proofErr w:type="spellEnd"/>
      <w:r w:rsidRPr="00883039">
        <w:rPr>
          <w:rFonts w:ascii="Palatino Linotype" w:hAnsi="Palatino Linotype" w:cs="Arial"/>
          <w:i/>
          <w:lang w:val="es-ES"/>
        </w:rPr>
        <w:t xml:space="preserve"> administrativo del Estado de Mexico - La </w:t>
      </w:r>
      <w:proofErr w:type="spellStart"/>
      <w:r w:rsidRPr="00883039">
        <w:rPr>
          <w:rFonts w:ascii="Palatino Linotype" w:hAnsi="Palatino Linotype" w:cs="Arial"/>
          <w:i/>
          <w:lang w:val="es-ES"/>
        </w:rPr>
        <w:t>autorizacion</w:t>
      </w:r>
      <w:proofErr w:type="spellEnd"/>
      <w:r w:rsidRPr="00883039">
        <w:rPr>
          <w:rFonts w:ascii="Palatino Linotype" w:hAnsi="Palatino Linotype" w:cs="Arial"/>
          <w:i/>
          <w:lang w:val="es-ES"/>
        </w:rPr>
        <w:t xml:space="preserve"> expresa de la Secretaria de Desarrollo Urbano por conducto de la </w:t>
      </w:r>
      <w:proofErr w:type="spellStart"/>
      <w:r w:rsidRPr="00883039">
        <w:rPr>
          <w:rFonts w:ascii="Palatino Linotype" w:hAnsi="Palatino Linotype" w:cs="Arial"/>
          <w:i/>
          <w:lang w:val="es-ES"/>
        </w:rPr>
        <w:t>Direecion</w:t>
      </w:r>
      <w:proofErr w:type="spellEnd"/>
      <w:r w:rsidRPr="00883039">
        <w:rPr>
          <w:rFonts w:ascii="Palatino Linotype" w:hAnsi="Palatino Linotype" w:cs="Arial"/>
          <w:i/>
          <w:lang w:val="es-ES"/>
        </w:rPr>
        <w:t xml:space="preserve"> General de </w:t>
      </w:r>
      <w:proofErr w:type="spellStart"/>
      <w:r w:rsidRPr="00883039">
        <w:rPr>
          <w:rFonts w:ascii="Palatino Linotype" w:hAnsi="Palatino Linotype" w:cs="Arial"/>
          <w:i/>
          <w:lang w:val="es-ES"/>
        </w:rPr>
        <w:t>Operacion</w:t>
      </w:r>
      <w:proofErr w:type="spellEnd"/>
      <w:r w:rsidRPr="00883039">
        <w:rPr>
          <w:rFonts w:ascii="Palatino Linotype" w:hAnsi="Palatino Linotype" w:cs="Arial"/>
          <w:i/>
          <w:lang w:val="es-ES"/>
        </w:rPr>
        <w:t xml:space="preserve"> Urbana para transferir o </w:t>
      </w:r>
      <w:proofErr w:type="spellStart"/>
      <w:r w:rsidRPr="00883039">
        <w:rPr>
          <w:rFonts w:ascii="Palatino Linotype" w:hAnsi="Palatino Linotype" w:cs="Arial"/>
          <w:i/>
          <w:lang w:val="es-ES"/>
        </w:rPr>
        <w:t>seder</w:t>
      </w:r>
      <w:proofErr w:type="spellEnd"/>
      <w:r w:rsidRPr="00883039">
        <w:rPr>
          <w:rFonts w:ascii="Palatino Linotype" w:hAnsi="Palatino Linotype" w:cs="Arial"/>
          <w:i/>
          <w:lang w:val="es-ES"/>
        </w:rPr>
        <w:t xml:space="preserve"> los derechos o cambio de titularidad para la </w:t>
      </w:r>
      <w:proofErr w:type="spellStart"/>
      <w:r w:rsidRPr="00883039">
        <w:rPr>
          <w:rFonts w:ascii="Palatino Linotype" w:hAnsi="Palatino Linotype" w:cs="Arial"/>
          <w:i/>
          <w:lang w:val="es-ES"/>
        </w:rPr>
        <w:t>ocupacion</w:t>
      </w:r>
      <w:proofErr w:type="spellEnd"/>
      <w:r w:rsidRPr="00883039">
        <w:rPr>
          <w:rFonts w:ascii="Palatino Linotype" w:hAnsi="Palatino Linotype" w:cs="Arial"/>
          <w:i/>
          <w:lang w:val="es-ES"/>
        </w:rPr>
        <w:t xml:space="preserve"> de los lotes.”(</w:t>
      </w:r>
      <w:proofErr w:type="gramStart"/>
      <w:r w:rsidRPr="00883039">
        <w:rPr>
          <w:rFonts w:ascii="Palatino Linotype" w:hAnsi="Palatino Linotype" w:cs="Arial"/>
          <w:i/>
          <w:lang w:val="es-ES"/>
        </w:rPr>
        <w:t>sic</w:t>
      </w:r>
      <w:proofErr w:type="gramEnd"/>
      <w:r w:rsidRPr="00883039">
        <w:rPr>
          <w:rFonts w:ascii="Palatino Linotype" w:hAnsi="Palatino Linotype" w:cs="Arial"/>
          <w:i/>
          <w:lang w:val="es-ES"/>
        </w:rPr>
        <w:t>)</w:t>
      </w:r>
    </w:p>
    <w:p w14:paraId="512EB858" w14:textId="77777777" w:rsidR="00891025" w:rsidRPr="00883039" w:rsidRDefault="00891025" w:rsidP="00883039">
      <w:pPr>
        <w:tabs>
          <w:tab w:val="left" w:pos="851"/>
        </w:tabs>
        <w:ind w:left="851" w:right="901"/>
        <w:jc w:val="both"/>
        <w:rPr>
          <w:rFonts w:ascii="Palatino Linotype" w:eastAsia="MS Mincho" w:hAnsi="Palatino Linotype" w:cs="Arial"/>
          <w:i/>
        </w:rPr>
      </w:pPr>
    </w:p>
    <w:p w14:paraId="342F7C72" w14:textId="585ED85E" w:rsidR="00200BFC" w:rsidRPr="00883039" w:rsidRDefault="00200BFC" w:rsidP="00883039">
      <w:pPr>
        <w:spacing w:line="360" w:lineRule="auto"/>
        <w:jc w:val="both"/>
        <w:rPr>
          <w:rFonts w:ascii="Palatino Linotype" w:hAnsi="Palatino Linotype" w:cs="Arial"/>
          <w:b/>
        </w:rPr>
      </w:pPr>
      <w:r w:rsidRPr="00883039">
        <w:rPr>
          <w:rFonts w:ascii="Palatino Linotype" w:hAnsi="Palatino Linotype" w:cs="Arial"/>
          <w:b/>
        </w:rPr>
        <w:t>MODALIDAD DE ENTREGA:</w:t>
      </w:r>
      <w:r w:rsidRPr="00883039">
        <w:rPr>
          <w:rFonts w:ascii="Palatino Linotype" w:hAnsi="Palatino Linotype" w:cs="Arial"/>
        </w:rPr>
        <w:t xml:space="preserve"> Vía </w:t>
      </w:r>
      <w:r w:rsidRPr="00883039">
        <w:rPr>
          <w:rFonts w:ascii="Palatino Linotype" w:hAnsi="Palatino Linotype" w:cs="Arial"/>
          <w:b/>
        </w:rPr>
        <w:t>SAIMEX</w:t>
      </w:r>
      <w:r w:rsidR="00923E33" w:rsidRPr="00883039">
        <w:rPr>
          <w:rFonts w:ascii="Palatino Linotype" w:hAnsi="Palatino Linotype" w:cs="Arial"/>
          <w:b/>
        </w:rPr>
        <w:t>.</w:t>
      </w:r>
    </w:p>
    <w:p w14:paraId="77BD7E8B" w14:textId="77777777" w:rsidR="005466BC" w:rsidRPr="00883039" w:rsidRDefault="005466BC" w:rsidP="00883039">
      <w:pPr>
        <w:spacing w:line="360" w:lineRule="auto"/>
        <w:jc w:val="both"/>
        <w:rPr>
          <w:rFonts w:ascii="Palatino Linotype" w:hAnsi="Palatino Linotype" w:cs="Arial"/>
          <w:b/>
        </w:rPr>
      </w:pPr>
    </w:p>
    <w:p w14:paraId="5D38C6F4" w14:textId="462027AF" w:rsidR="00777426" w:rsidRPr="00883039" w:rsidRDefault="00B40DD6" w:rsidP="00883039">
      <w:pPr>
        <w:tabs>
          <w:tab w:val="left" w:pos="426"/>
        </w:tabs>
        <w:spacing w:line="360" w:lineRule="auto"/>
        <w:contextualSpacing/>
        <w:jc w:val="both"/>
        <w:rPr>
          <w:rFonts w:ascii="Palatino Linotype" w:hAnsi="Palatino Linotype" w:cs="Arial"/>
          <w:noProof/>
          <w:color w:val="000000" w:themeColor="text1"/>
          <w:lang w:val="es-ES" w:eastAsia="es-MX"/>
        </w:rPr>
      </w:pPr>
      <w:r w:rsidRPr="00883039">
        <w:rPr>
          <w:rFonts w:ascii="Palatino Linotype" w:eastAsia="Calibri" w:hAnsi="Palatino Linotype" w:cs="Arial"/>
          <w:b/>
          <w:bCs/>
          <w:sz w:val="28"/>
          <w:lang w:val="es-ES" w:eastAsia="en-US"/>
        </w:rPr>
        <w:t>II</w:t>
      </w:r>
      <w:r w:rsidRPr="00883039">
        <w:rPr>
          <w:rFonts w:ascii="Palatino Linotype" w:eastAsia="Calibri" w:hAnsi="Palatino Linotype" w:cs="Arial"/>
          <w:b/>
          <w:bCs/>
          <w:lang w:val="es-ES" w:eastAsia="en-US"/>
        </w:rPr>
        <w:t>.</w:t>
      </w:r>
      <w:r w:rsidRPr="00883039">
        <w:rPr>
          <w:rFonts w:ascii="Palatino Linotype" w:eastAsia="Calibri" w:hAnsi="Palatino Linotype" w:cs="Arial"/>
          <w:lang w:val="es-ES" w:eastAsia="en-US"/>
        </w:rPr>
        <w:t xml:space="preserve"> </w:t>
      </w:r>
      <w:r w:rsidRPr="00883039">
        <w:rPr>
          <w:rFonts w:ascii="Palatino Linotype" w:hAnsi="Palatino Linotype"/>
        </w:rPr>
        <w:t xml:space="preserve">Por su parte </w:t>
      </w:r>
      <w:r w:rsidRPr="00883039">
        <w:rPr>
          <w:rFonts w:ascii="Palatino Linotype" w:hAnsi="Palatino Linotype"/>
          <w:b/>
        </w:rPr>
        <w:t>EL SUJETO OBLIGADO</w:t>
      </w:r>
      <w:r w:rsidRPr="00883039">
        <w:rPr>
          <w:rFonts w:ascii="Palatino Linotype" w:hAnsi="Palatino Linotype"/>
        </w:rPr>
        <w:t xml:space="preserve"> en fecha </w:t>
      </w:r>
      <w:r w:rsidR="00402093" w:rsidRPr="00883039">
        <w:rPr>
          <w:rFonts w:ascii="Palatino Linotype" w:hAnsi="Palatino Linotype"/>
        </w:rPr>
        <w:t>ocho</w:t>
      </w:r>
      <w:r w:rsidRPr="00883039">
        <w:rPr>
          <w:rFonts w:ascii="Palatino Linotype" w:hAnsi="Palatino Linotype"/>
        </w:rPr>
        <w:t xml:space="preserve"> de </w:t>
      </w:r>
      <w:r w:rsidR="00402093" w:rsidRPr="00883039">
        <w:rPr>
          <w:rFonts w:ascii="Palatino Linotype" w:hAnsi="Palatino Linotype"/>
        </w:rPr>
        <w:t>junio</w:t>
      </w:r>
      <w:r w:rsidRPr="00883039">
        <w:rPr>
          <w:rFonts w:ascii="Palatino Linotype" w:hAnsi="Palatino Linotype"/>
        </w:rPr>
        <w:t xml:space="preserve"> de dos mil veintiuno, </w:t>
      </w:r>
      <w:r w:rsidR="00777426" w:rsidRPr="00883039">
        <w:rPr>
          <w:rFonts w:ascii="Palatino Linotype" w:hAnsi="Palatino Linotype" w:cs="Arial"/>
          <w:color w:val="000000" w:themeColor="text1"/>
          <w:lang w:val="es-ES"/>
        </w:rPr>
        <w:t xml:space="preserve">el Titular de la Unidad de Transparencia del </w:t>
      </w:r>
      <w:r w:rsidR="00777426" w:rsidRPr="00883039">
        <w:rPr>
          <w:rFonts w:ascii="Palatino Linotype" w:hAnsi="Palatino Linotype" w:cs="Arial"/>
          <w:b/>
          <w:color w:val="000000" w:themeColor="text1"/>
          <w:lang w:val="es-ES"/>
        </w:rPr>
        <w:t>SUJETO OBLIGADO</w:t>
      </w:r>
      <w:r w:rsidR="00777426" w:rsidRPr="00883039">
        <w:rPr>
          <w:rFonts w:ascii="Palatino Linotype" w:hAnsi="Palatino Linotype" w:cs="Arial"/>
          <w:color w:val="000000" w:themeColor="text1"/>
          <w:lang w:val="es-ES"/>
        </w:rPr>
        <w:t xml:space="preserve">, </w:t>
      </w:r>
      <w:r w:rsidR="00777426" w:rsidRPr="00883039">
        <w:rPr>
          <w:rFonts w:ascii="Palatino Linotype" w:hAnsi="Palatino Linotype"/>
          <w:bCs/>
          <w:color w:val="000000" w:themeColor="text1"/>
          <w:lang w:val="es-ES"/>
        </w:rPr>
        <w:t xml:space="preserve">turnó el requerimiento de información al Servidor Público Habilitado de la Dirección General de </w:t>
      </w:r>
      <w:r w:rsidR="00777426" w:rsidRPr="00883039">
        <w:rPr>
          <w:rFonts w:ascii="Palatino Linotype" w:hAnsi="Palatino Linotype"/>
        </w:rPr>
        <w:t>Planeación, Administración y Regulación del Territorio</w:t>
      </w:r>
      <w:r w:rsidR="00777426" w:rsidRPr="00883039">
        <w:rPr>
          <w:rFonts w:ascii="Palatino Linotype" w:hAnsi="Palatino Linotype"/>
          <w:bCs/>
          <w:color w:val="000000" w:themeColor="text1"/>
          <w:lang w:val="es-ES"/>
        </w:rPr>
        <w:t xml:space="preserve">, </w:t>
      </w:r>
      <w:r w:rsidR="00777426" w:rsidRPr="00883039">
        <w:rPr>
          <w:rFonts w:ascii="Palatino Linotype" w:hAnsi="Palatino Linotype" w:cs="Arial"/>
          <w:color w:val="000000" w:themeColor="text1"/>
          <w:lang w:val="es-ES"/>
        </w:rPr>
        <w:t>a efecto de que realizara la búsqueda y localización de la información tal como se desprende a continuación:</w:t>
      </w:r>
      <w:r w:rsidR="00777426" w:rsidRPr="00883039">
        <w:rPr>
          <w:rFonts w:ascii="Palatino Linotype" w:hAnsi="Palatino Linotype" w:cs="Arial"/>
          <w:noProof/>
          <w:color w:val="000000" w:themeColor="text1"/>
          <w:lang w:val="es-ES" w:eastAsia="es-MX"/>
        </w:rPr>
        <w:t xml:space="preserve"> </w:t>
      </w:r>
    </w:p>
    <w:p w14:paraId="1149F496" w14:textId="77777777" w:rsidR="00777426" w:rsidRPr="00883039" w:rsidRDefault="00777426" w:rsidP="00883039">
      <w:pPr>
        <w:tabs>
          <w:tab w:val="left" w:pos="426"/>
        </w:tabs>
        <w:spacing w:line="360" w:lineRule="auto"/>
        <w:contextualSpacing/>
        <w:jc w:val="both"/>
        <w:rPr>
          <w:rFonts w:ascii="Palatino Linotype" w:hAnsi="Palatino Linotype"/>
        </w:rPr>
      </w:pPr>
    </w:p>
    <w:p w14:paraId="4AE4336E" w14:textId="4CF601B6" w:rsidR="00B40DD6" w:rsidRPr="00883039" w:rsidRDefault="00402093" w:rsidP="00883039">
      <w:pPr>
        <w:widowControl w:val="0"/>
        <w:autoSpaceDE w:val="0"/>
        <w:autoSpaceDN w:val="0"/>
        <w:adjustRightInd w:val="0"/>
        <w:spacing w:line="360" w:lineRule="auto"/>
        <w:jc w:val="both"/>
        <w:rPr>
          <w:rFonts w:ascii="Palatino Linotype" w:eastAsia="Calibri" w:hAnsi="Palatino Linotype" w:cs="Arial"/>
          <w:lang w:val="es-ES" w:eastAsia="en-US"/>
        </w:rPr>
      </w:pPr>
      <w:r w:rsidRPr="00883039">
        <w:rPr>
          <w:rFonts w:ascii="Palatino Linotype" w:hAnsi="Palatino Linotype"/>
          <w:noProof/>
          <w:lang w:eastAsia="es-MX"/>
        </w:rPr>
        <w:lastRenderedPageBreak/>
        <w:drawing>
          <wp:inline distT="0" distB="0" distL="0" distR="0" wp14:anchorId="153E0853" wp14:editId="724D96D8">
            <wp:extent cx="5711137" cy="2092461"/>
            <wp:effectExtent l="0" t="0" r="444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51" t="27893" r="11358" b="45242"/>
                    <a:stretch/>
                  </pic:blipFill>
                  <pic:spPr bwMode="auto">
                    <a:xfrm>
                      <a:off x="0" y="0"/>
                      <a:ext cx="5912933" cy="2166395"/>
                    </a:xfrm>
                    <a:prstGeom prst="rect">
                      <a:avLst/>
                    </a:prstGeom>
                    <a:ln>
                      <a:noFill/>
                    </a:ln>
                    <a:extLst>
                      <a:ext uri="{53640926-AAD7-44D8-BBD7-CCE9431645EC}">
                        <a14:shadowObscured xmlns:a14="http://schemas.microsoft.com/office/drawing/2010/main"/>
                      </a:ext>
                    </a:extLst>
                  </pic:spPr>
                </pic:pic>
              </a:graphicData>
            </a:graphic>
          </wp:inline>
        </w:drawing>
      </w:r>
    </w:p>
    <w:p w14:paraId="3909CB34" w14:textId="2EF44EC9" w:rsidR="00402093" w:rsidRPr="00883039" w:rsidRDefault="00402093" w:rsidP="00883039">
      <w:pPr>
        <w:spacing w:line="360" w:lineRule="auto"/>
        <w:jc w:val="both"/>
        <w:rPr>
          <w:rFonts w:ascii="Palatino Linotype" w:hAnsi="Palatino Linotype"/>
        </w:rPr>
      </w:pPr>
      <w:r w:rsidRPr="00883039">
        <w:rPr>
          <w:rFonts w:ascii="Palatino Linotype" w:hAnsi="Palatino Linotype"/>
          <w:noProof/>
          <w:lang w:eastAsia="es-MX"/>
        </w:rPr>
        <w:drawing>
          <wp:inline distT="0" distB="0" distL="0" distR="0" wp14:anchorId="5173F9A4" wp14:editId="0BC4C4D9">
            <wp:extent cx="5790185" cy="1439838"/>
            <wp:effectExtent l="0" t="0" r="127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078" t="17562" r="34805" b="52011"/>
                    <a:stretch/>
                  </pic:blipFill>
                  <pic:spPr bwMode="auto">
                    <a:xfrm>
                      <a:off x="0" y="0"/>
                      <a:ext cx="5869996" cy="1459685"/>
                    </a:xfrm>
                    <a:prstGeom prst="rect">
                      <a:avLst/>
                    </a:prstGeom>
                    <a:ln>
                      <a:noFill/>
                    </a:ln>
                    <a:extLst>
                      <a:ext uri="{53640926-AAD7-44D8-BBD7-CCE9431645EC}">
                        <a14:shadowObscured xmlns:a14="http://schemas.microsoft.com/office/drawing/2010/main"/>
                      </a:ext>
                    </a:extLst>
                  </pic:spPr>
                </pic:pic>
              </a:graphicData>
            </a:graphic>
          </wp:inline>
        </w:drawing>
      </w:r>
    </w:p>
    <w:p w14:paraId="462DC8BF" w14:textId="77777777" w:rsidR="00B40DD6" w:rsidRPr="00883039" w:rsidRDefault="00B40DD6" w:rsidP="00883039">
      <w:pPr>
        <w:spacing w:line="360" w:lineRule="auto"/>
        <w:jc w:val="both"/>
        <w:rPr>
          <w:rFonts w:ascii="Palatino Linotype" w:eastAsia="Calibri" w:hAnsi="Palatino Linotype" w:cs="Arial"/>
          <w:lang w:val="es-ES" w:eastAsia="en-US"/>
        </w:rPr>
      </w:pPr>
    </w:p>
    <w:p w14:paraId="4D906555" w14:textId="156F5034" w:rsidR="00B40DD6" w:rsidRPr="00883039" w:rsidRDefault="00B40DD6" w:rsidP="00883039">
      <w:pPr>
        <w:spacing w:line="360" w:lineRule="auto"/>
        <w:jc w:val="both"/>
        <w:rPr>
          <w:rFonts w:ascii="Palatino Linotype" w:hAnsi="Palatino Linotype"/>
          <w:color w:val="000000"/>
        </w:rPr>
      </w:pPr>
      <w:r w:rsidRPr="00883039">
        <w:rPr>
          <w:rFonts w:ascii="Palatino Linotype" w:eastAsia="Calibri" w:hAnsi="Palatino Linotype" w:cs="Arial"/>
          <w:b/>
          <w:bCs/>
          <w:sz w:val="28"/>
          <w:lang w:val="es-ES" w:eastAsia="en-US"/>
        </w:rPr>
        <w:t>II</w:t>
      </w:r>
      <w:r w:rsidR="004C2EB4" w:rsidRPr="00883039">
        <w:rPr>
          <w:rFonts w:ascii="Palatino Linotype" w:eastAsia="Calibri" w:hAnsi="Palatino Linotype" w:cs="Arial"/>
          <w:b/>
          <w:bCs/>
          <w:sz w:val="28"/>
          <w:lang w:val="es-ES" w:eastAsia="en-US"/>
        </w:rPr>
        <w:t>I</w:t>
      </w:r>
      <w:r w:rsidRPr="00883039">
        <w:rPr>
          <w:rFonts w:ascii="Palatino Linotype" w:eastAsia="Calibri" w:hAnsi="Palatino Linotype" w:cs="Arial"/>
          <w:b/>
          <w:bCs/>
          <w:lang w:val="es-ES" w:eastAsia="en-US"/>
        </w:rPr>
        <w:t>.</w:t>
      </w:r>
      <w:r w:rsidRPr="00883039">
        <w:rPr>
          <w:rFonts w:ascii="Palatino Linotype" w:eastAsia="Calibri" w:hAnsi="Palatino Linotype" w:cs="Arial"/>
          <w:lang w:val="es-ES" w:eastAsia="en-US"/>
        </w:rPr>
        <w:t xml:space="preserve"> </w:t>
      </w:r>
      <w:r w:rsidRPr="00883039">
        <w:rPr>
          <w:rFonts w:ascii="Palatino Linotype" w:hAnsi="Palatino Linotype" w:cs="Arial"/>
        </w:rPr>
        <w:t xml:space="preserve">En fecha </w:t>
      </w:r>
      <w:r w:rsidR="00DC3DF7" w:rsidRPr="00883039">
        <w:rPr>
          <w:rFonts w:ascii="Palatino Linotype" w:hAnsi="Palatino Linotype" w:cs="Arial"/>
        </w:rPr>
        <w:t>dieciocho</w:t>
      </w:r>
      <w:r w:rsidR="0096445D" w:rsidRPr="00883039">
        <w:rPr>
          <w:rFonts w:ascii="Palatino Linotype" w:hAnsi="Palatino Linotype" w:cs="Arial"/>
        </w:rPr>
        <w:t xml:space="preserve"> </w:t>
      </w:r>
      <w:r w:rsidRPr="00883039">
        <w:rPr>
          <w:rFonts w:ascii="Palatino Linotype" w:hAnsi="Palatino Linotype" w:cs="Arial"/>
        </w:rPr>
        <w:t xml:space="preserve">de </w:t>
      </w:r>
      <w:r w:rsidR="00DC3DF7" w:rsidRPr="00883039">
        <w:rPr>
          <w:rFonts w:ascii="Palatino Linotype" w:hAnsi="Palatino Linotype" w:cs="Arial"/>
        </w:rPr>
        <w:t>junio</w:t>
      </w:r>
      <w:r w:rsidRPr="00883039">
        <w:rPr>
          <w:rFonts w:ascii="Palatino Linotype" w:hAnsi="Palatino Linotype" w:cs="Arial"/>
        </w:rPr>
        <w:t xml:space="preserve"> de dos mil veintiuno, </w:t>
      </w:r>
      <w:r w:rsidRPr="00883039">
        <w:rPr>
          <w:rFonts w:ascii="Palatino Linotype" w:hAnsi="Palatino Linotype"/>
          <w:color w:val="000000"/>
        </w:rPr>
        <w:t xml:space="preserve">el </w:t>
      </w:r>
      <w:r w:rsidRPr="00883039">
        <w:rPr>
          <w:rFonts w:ascii="Palatino Linotype" w:hAnsi="Palatino Linotype"/>
          <w:b/>
          <w:color w:val="000000"/>
        </w:rPr>
        <w:t>SUJETO OBLIGADO</w:t>
      </w:r>
      <w:r w:rsidRPr="00883039">
        <w:rPr>
          <w:rFonts w:ascii="Palatino Linotype" w:hAnsi="Palatino Linotype"/>
          <w:color w:val="000000"/>
        </w:rPr>
        <w:t xml:space="preserve"> dio respuesta a la solicitud de información en los siguientes términos:</w:t>
      </w:r>
    </w:p>
    <w:p w14:paraId="378C5F05" w14:textId="77777777" w:rsidR="00B40DD6" w:rsidRPr="00883039" w:rsidRDefault="00B40DD6" w:rsidP="00883039">
      <w:pPr>
        <w:ind w:right="901"/>
        <w:rPr>
          <w:rFonts w:ascii="Palatino Linotype" w:hAnsi="Palatino Linotype" w:cs="Arial"/>
          <w:i/>
        </w:rPr>
      </w:pPr>
    </w:p>
    <w:p w14:paraId="1353E54E" w14:textId="77777777" w:rsidR="00DC3DF7" w:rsidRPr="00883039" w:rsidRDefault="00B40DD6" w:rsidP="00883039">
      <w:pPr>
        <w:ind w:left="850" w:right="901"/>
        <w:jc w:val="right"/>
        <w:rPr>
          <w:rFonts w:ascii="Palatino Linotype" w:hAnsi="Palatino Linotype" w:cs="Arial"/>
          <w:i/>
        </w:rPr>
      </w:pPr>
      <w:r w:rsidRPr="00883039">
        <w:rPr>
          <w:rFonts w:ascii="Palatino Linotype" w:hAnsi="Palatino Linotype" w:cs="Arial"/>
          <w:i/>
        </w:rPr>
        <w:t>“</w:t>
      </w:r>
      <w:r w:rsidR="00DC3DF7" w:rsidRPr="00883039">
        <w:rPr>
          <w:rFonts w:ascii="Palatino Linotype" w:hAnsi="Palatino Linotype" w:cs="Arial"/>
          <w:i/>
        </w:rPr>
        <w:t>Folio de la solicitud: 00257/TECAMAC/IP/2021</w:t>
      </w:r>
    </w:p>
    <w:p w14:paraId="149098B6" w14:textId="77777777" w:rsidR="00DC3DF7" w:rsidRPr="00883039" w:rsidRDefault="00DC3DF7" w:rsidP="00883039">
      <w:pPr>
        <w:ind w:left="850" w:right="901"/>
        <w:jc w:val="both"/>
        <w:rPr>
          <w:rFonts w:ascii="Palatino Linotype" w:hAnsi="Palatino Linotype" w:cs="Arial"/>
          <w:i/>
        </w:rPr>
      </w:pPr>
      <w:r w:rsidRPr="00883039">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3F3A83" w14:textId="77777777" w:rsidR="00DC3DF7" w:rsidRPr="00883039" w:rsidRDefault="00DC3DF7" w:rsidP="00883039">
      <w:pPr>
        <w:ind w:left="850" w:right="901"/>
        <w:jc w:val="both"/>
        <w:rPr>
          <w:rFonts w:ascii="Palatino Linotype" w:hAnsi="Palatino Linotype" w:cs="Arial"/>
          <w:i/>
        </w:rPr>
      </w:pPr>
      <w:r w:rsidRPr="00883039">
        <w:rPr>
          <w:rFonts w:ascii="Palatino Linotype" w:hAnsi="Palatino Linotype" w:cs="Arial"/>
          <w:i/>
        </w:rPr>
        <w:t>Se adjunta respuesta</w:t>
      </w:r>
    </w:p>
    <w:p w14:paraId="36B47680" w14:textId="77777777" w:rsidR="00DC3DF7" w:rsidRPr="00883039" w:rsidRDefault="00DC3DF7" w:rsidP="00883039">
      <w:pPr>
        <w:ind w:left="850" w:right="901"/>
        <w:jc w:val="both"/>
        <w:rPr>
          <w:rFonts w:ascii="Palatino Linotype" w:hAnsi="Palatino Linotype" w:cs="Arial"/>
          <w:i/>
        </w:rPr>
      </w:pPr>
      <w:r w:rsidRPr="00883039">
        <w:rPr>
          <w:rFonts w:ascii="Palatino Linotype" w:hAnsi="Palatino Linotype" w:cs="Arial"/>
          <w:i/>
        </w:rPr>
        <w:t>ATENTAMENTE</w:t>
      </w:r>
    </w:p>
    <w:p w14:paraId="0B1B87AE" w14:textId="4432EE35" w:rsidR="00B40DD6" w:rsidRPr="00883039" w:rsidRDefault="00DC3DF7" w:rsidP="00883039">
      <w:pPr>
        <w:ind w:left="850" w:right="901"/>
        <w:jc w:val="both"/>
        <w:rPr>
          <w:rFonts w:ascii="Palatino Linotype" w:hAnsi="Palatino Linotype" w:cs="Arial"/>
          <w:i/>
        </w:rPr>
      </w:pPr>
      <w:r w:rsidRPr="00883039">
        <w:rPr>
          <w:rFonts w:ascii="Palatino Linotype" w:hAnsi="Palatino Linotype" w:cs="Arial"/>
          <w:i/>
        </w:rPr>
        <w:t>C. CARLOS ALONSO HERNÁNDEZ PELÁEZ</w:t>
      </w:r>
      <w:r w:rsidR="00B40DD6" w:rsidRPr="00883039">
        <w:rPr>
          <w:rFonts w:ascii="Palatino Linotype" w:hAnsi="Palatino Linotype" w:cs="Arial"/>
          <w:i/>
        </w:rPr>
        <w:t>” (sic)</w:t>
      </w:r>
    </w:p>
    <w:p w14:paraId="3A30C241" w14:textId="77777777" w:rsidR="00B40DD6" w:rsidRPr="00883039" w:rsidRDefault="00B40DD6" w:rsidP="00883039">
      <w:pPr>
        <w:jc w:val="both"/>
        <w:rPr>
          <w:rFonts w:ascii="Palatino Linotype" w:hAnsi="Palatino Linotype" w:cs="Arial"/>
        </w:rPr>
      </w:pPr>
    </w:p>
    <w:p w14:paraId="70E93BB2" w14:textId="6A222B97" w:rsidR="00DC3DF7" w:rsidRPr="00883039" w:rsidRDefault="00777426" w:rsidP="00883039">
      <w:pPr>
        <w:spacing w:line="360" w:lineRule="auto"/>
        <w:jc w:val="both"/>
        <w:rPr>
          <w:rFonts w:ascii="Palatino Linotype" w:hAnsi="Palatino Linotype" w:cs="Arial"/>
          <w:b/>
        </w:rPr>
      </w:pPr>
      <w:r w:rsidRPr="00883039">
        <w:rPr>
          <w:rFonts w:ascii="Palatino Linotype" w:hAnsi="Palatino Linotype" w:cs="Arial"/>
        </w:rPr>
        <w:t>Cabe precisar que,</w:t>
      </w:r>
      <w:r w:rsidR="00DC3DF7" w:rsidRPr="00883039">
        <w:rPr>
          <w:rFonts w:ascii="Palatino Linotype" w:hAnsi="Palatino Linotype" w:cs="Arial"/>
        </w:rPr>
        <w:t xml:space="preserve"> </w:t>
      </w:r>
      <w:r w:rsidR="00DC3DF7" w:rsidRPr="00883039">
        <w:rPr>
          <w:rFonts w:ascii="Palatino Linotype" w:hAnsi="Palatino Linotype" w:cs="Arial"/>
          <w:b/>
        </w:rPr>
        <w:t xml:space="preserve">EL SUJETO OBLIGADO </w:t>
      </w:r>
      <w:r w:rsidR="00DC3DF7" w:rsidRPr="00883039">
        <w:rPr>
          <w:rFonts w:ascii="Palatino Linotype" w:hAnsi="Palatino Linotype" w:cs="Arial"/>
        </w:rPr>
        <w:t>no adjuntó archivo alguno a la respuesta proporcionada.</w:t>
      </w:r>
    </w:p>
    <w:p w14:paraId="3140A75E" w14:textId="77777777" w:rsidR="00DC3DF7" w:rsidRPr="00883039" w:rsidRDefault="00DC3DF7" w:rsidP="00883039">
      <w:pPr>
        <w:spacing w:line="360" w:lineRule="auto"/>
        <w:jc w:val="both"/>
        <w:rPr>
          <w:rFonts w:ascii="Palatino Linotype" w:hAnsi="Palatino Linotype" w:cs="Arial"/>
        </w:rPr>
      </w:pPr>
    </w:p>
    <w:p w14:paraId="7B98F93F" w14:textId="77777777" w:rsidR="00B40DD6" w:rsidRPr="00883039" w:rsidRDefault="00B40DD6" w:rsidP="00883039">
      <w:pPr>
        <w:spacing w:line="360" w:lineRule="auto"/>
        <w:jc w:val="both"/>
        <w:rPr>
          <w:rFonts w:ascii="Palatino Linotype" w:hAnsi="Palatino Linotype" w:cs="Arial"/>
          <w:sz w:val="2"/>
        </w:rPr>
      </w:pPr>
    </w:p>
    <w:p w14:paraId="7F22E13D" w14:textId="097510BB" w:rsidR="00B40DD6" w:rsidRPr="00883039" w:rsidRDefault="00B40DD6" w:rsidP="00883039">
      <w:pPr>
        <w:tabs>
          <w:tab w:val="left" w:pos="709"/>
        </w:tabs>
        <w:spacing w:line="360" w:lineRule="auto"/>
        <w:jc w:val="both"/>
        <w:rPr>
          <w:rFonts w:ascii="Palatino Linotype" w:hAnsi="Palatino Linotype" w:cs="Arial"/>
        </w:rPr>
      </w:pPr>
      <w:r w:rsidRPr="00883039">
        <w:rPr>
          <w:rFonts w:ascii="Palatino Linotype" w:hAnsi="Palatino Linotype" w:cs="Arial"/>
          <w:b/>
          <w:sz w:val="28"/>
          <w:szCs w:val="28"/>
        </w:rPr>
        <w:t>I</w:t>
      </w:r>
      <w:r w:rsidR="003009A4" w:rsidRPr="00883039">
        <w:rPr>
          <w:rFonts w:ascii="Palatino Linotype" w:hAnsi="Palatino Linotype" w:cs="Arial"/>
          <w:b/>
          <w:sz w:val="28"/>
          <w:szCs w:val="28"/>
        </w:rPr>
        <w:t>V</w:t>
      </w:r>
      <w:r w:rsidRPr="00883039">
        <w:rPr>
          <w:rFonts w:ascii="Palatino Linotype" w:hAnsi="Palatino Linotype" w:cs="Arial"/>
          <w:b/>
        </w:rPr>
        <w:t xml:space="preserve">. </w:t>
      </w:r>
      <w:r w:rsidRPr="00883039">
        <w:rPr>
          <w:rFonts w:ascii="Palatino Linotype" w:hAnsi="Palatino Linotype" w:cs="Arial"/>
        </w:rPr>
        <w:t>Inconforme por la respuesta del</w:t>
      </w:r>
      <w:r w:rsidRPr="00883039">
        <w:rPr>
          <w:rFonts w:ascii="Palatino Linotype" w:hAnsi="Palatino Linotype" w:cs="Arial"/>
          <w:b/>
        </w:rPr>
        <w:t xml:space="preserve"> SUJETO OBLIGADO</w:t>
      </w:r>
      <w:r w:rsidRPr="00883039">
        <w:rPr>
          <w:rFonts w:ascii="Palatino Linotype" w:hAnsi="Palatino Linotype" w:cs="Arial"/>
        </w:rPr>
        <w:t xml:space="preserve">, el </w:t>
      </w:r>
      <w:r w:rsidR="00DC3DF7" w:rsidRPr="00883039">
        <w:rPr>
          <w:rFonts w:ascii="Palatino Linotype" w:hAnsi="Palatino Linotype" w:cs="Arial"/>
        </w:rPr>
        <w:t>siete</w:t>
      </w:r>
      <w:r w:rsidRPr="00883039">
        <w:rPr>
          <w:rFonts w:ascii="Palatino Linotype" w:hAnsi="Palatino Linotype" w:cs="Arial"/>
        </w:rPr>
        <w:t xml:space="preserve"> de </w:t>
      </w:r>
      <w:r w:rsidR="00DC3DF7" w:rsidRPr="00883039">
        <w:rPr>
          <w:rFonts w:ascii="Palatino Linotype" w:hAnsi="Palatino Linotype" w:cs="Arial"/>
        </w:rPr>
        <w:t>julio</w:t>
      </w:r>
      <w:r w:rsidRPr="00883039">
        <w:rPr>
          <w:rFonts w:ascii="Palatino Linotype" w:hAnsi="Palatino Linotype" w:cs="Arial"/>
        </w:rPr>
        <w:t xml:space="preserve"> de dos mil veintiuno, </w:t>
      </w:r>
      <w:r w:rsidR="00DC3DF7" w:rsidRPr="00883039">
        <w:rPr>
          <w:rFonts w:ascii="Palatino Linotype" w:hAnsi="Palatino Linotype" w:cs="Arial"/>
          <w:b/>
        </w:rPr>
        <w:t>LA</w:t>
      </w:r>
      <w:r w:rsidRPr="00883039">
        <w:rPr>
          <w:rFonts w:ascii="Palatino Linotype" w:hAnsi="Palatino Linotype" w:cs="Arial"/>
          <w:b/>
        </w:rPr>
        <w:t xml:space="preserve"> RECURRENTE</w:t>
      </w:r>
      <w:r w:rsidRPr="00883039">
        <w:rPr>
          <w:rFonts w:ascii="Palatino Linotype" w:hAnsi="Palatino Linotype" w:cs="Arial"/>
        </w:rPr>
        <w:t xml:space="preserve"> interpuso el recurso de revisión sujeto del presente estudio, el cual fue registrado en </w:t>
      </w:r>
      <w:r w:rsidRPr="00883039">
        <w:rPr>
          <w:rFonts w:ascii="Palatino Linotype" w:hAnsi="Palatino Linotype" w:cs="Arial"/>
          <w:b/>
        </w:rPr>
        <w:t xml:space="preserve">EL SAIMEX, </w:t>
      </w:r>
      <w:r w:rsidRPr="00883039">
        <w:rPr>
          <w:rFonts w:ascii="Palatino Linotype" w:hAnsi="Palatino Linotype" w:cs="Arial"/>
        </w:rPr>
        <w:t xml:space="preserve">al que se le asignó el número de expediente </w:t>
      </w:r>
      <w:r w:rsidRPr="00883039">
        <w:rPr>
          <w:rFonts w:ascii="Palatino Linotype" w:hAnsi="Palatino Linotype" w:cs="Arial"/>
          <w:b/>
        </w:rPr>
        <w:t>0</w:t>
      </w:r>
      <w:r w:rsidR="00DC3DF7" w:rsidRPr="00883039">
        <w:rPr>
          <w:rFonts w:ascii="Palatino Linotype" w:hAnsi="Palatino Linotype" w:cs="Arial"/>
          <w:b/>
        </w:rPr>
        <w:t>3682</w:t>
      </w:r>
      <w:r w:rsidRPr="00883039">
        <w:rPr>
          <w:rFonts w:ascii="Palatino Linotype" w:hAnsi="Palatino Linotype" w:cs="Arial"/>
          <w:b/>
        </w:rPr>
        <w:t>/INFOEM/IP/RR/2021,</w:t>
      </w:r>
      <w:r w:rsidRPr="00883039">
        <w:rPr>
          <w:rFonts w:ascii="Palatino Linotype" w:hAnsi="Palatino Linotype" w:cs="Arial"/>
        </w:rPr>
        <w:t xml:space="preserve"> en el que señaló como:</w:t>
      </w:r>
    </w:p>
    <w:p w14:paraId="7827E81A" w14:textId="77777777" w:rsidR="00B40DD6" w:rsidRPr="00883039" w:rsidRDefault="00B40DD6" w:rsidP="00883039">
      <w:pPr>
        <w:tabs>
          <w:tab w:val="left" w:pos="709"/>
        </w:tabs>
        <w:spacing w:line="360" w:lineRule="auto"/>
        <w:jc w:val="both"/>
        <w:rPr>
          <w:rFonts w:ascii="Palatino Linotype" w:hAnsi="Palatino Linotype" w:cs="Arial"/>
          <w:sz w:val="18"/>
        </w:rPr>
      </w:pPr>
    </w:p>
    <w:p w14:paraId="2E0032E5" w14:textId="77777777" w:rsidR="00B40DD6" w:rsidRPr="00883039" w:rsidRDefault="00B40DD6" w:rsidP="00883039">
      <w:pPr>
        <w:tabs>
          <w:tab w:val="left" w:pos="709"/>
        </w:tabs>
        <w:spacing w:line="360" w:lineRule="auto"/>
        <w:jc w:val="both"/>
        <w:rPr>
          <w:rFonts w:ascii="Palatino Linotype" w:hAnsi="Palatino Linotype" w:cs="Arial"/>
        </w:rPr>
      </w:pPr>
      <w:r w:rsidRPr="00883039">
        <w:rPr>
          <w:rFonts w:ascii="Palatino Linotype" w:hAnsi="Palatino Linotype" w:cs="Arial"/>
        </w:rPr>
        <w:t>Acto impugnado:</w:t>
      </w:r>
    </w:p>
    <w:p w14:paraId="58AD41FF" w14:textId="77777777" w:rsidR="00B40DD6" w:rsidRPr="00883039" w:rsidRDefault="00B40DD6" w:rsidP="00883039">
      <w:pPr>
        <w:tabs>
          <w:tab w:val="left" w:pos="709"/>
        </w:tabs>
        <w:jc w:val="both"/>
        <w:rPr>
          <w:rFonts w:ascii="Palatino Linotype" w:hAnsi="Palatino Linotype" w:cs="Arial"/>
          <w:sz w:val="12"/>
        </w:rPr>
      </w:pPr>
    </w:p>
    <w:p w14:paraId="09C9C66E" w14:textId="38BB8B27" w:rsidR="00B40DD6" w:rsidRPr="00883039" w:rsidRDefault="00B40DD6" w:rsidP="00883039">
      <w:pPr>
        <w:ind w:left="850" w:right="901"/>
        <w:jc w:val="both"/>
        <w:rPr>
          <w:rFonts w:ascii="Palatino Linotype" w:hAnsi="Palatino Linotype" w:cs="Arial"/>
          <w:i/>
          <w:sz w:val="22"/>
          <w:szCs w:val="22"/>
        </w:rPr>
      </w:pPr>
      <w:r w:rsidRPr="00883039">
        <w:rPr>
          <w:rFonts w:ascii="Palatino Linotype" w:hAnsi="Palatino Linotype" w:cs="Arial"/>
          <w:i/>
          <w:sz w:val="22"/>
          <w:szCs w:val="22"/>
        </w:rPr>
        <w:t>“</w:t>
      </w:r>
      <w:r w:rsidR="00DC3DF7" w:rsidRPr="00883039">
        <w:rPr>
          <w:rFonts w:ascii="Palatino Linotype" w:hAnsi="Palatino Linotype" w:cs="Arial"/>
          <w:i/>
          <w:sz w:val="22"/>
          <w:szCs w:val="22"/>
        </w:rPr>
        <w:t xml:space="preserve">No obtuve </w:t>
      </w:r>
      <w:proofErr w:type="spellStart"/>
      <w:r w:rsidR="00DC3DF7" w:rsidRPr="00883039">
        <w:rPr>
          <w:rFonts w:ascii="Palatino Linotype" w:hAnsi="Palatino Linotype" w:cs="Arial"/>
          <w:i/>
          <w:sz w:val="22"/>
          <w:szCs w:val="22"/>
        </w:rPr>
        <w:t>rerspusta</w:t>
      </w:r>
      <w:proofErr w:type="spellEnd"/>
      <w:r w:rsidR="00DC3DF7" w:rsidRPr="00883039">
        <w:rPr>
          <w:rFonts w:ascii="Palatino Linotype" w:hAnsi="Palatino Linotype" w:cs="Arial"/>
          <w:i/>
          <w:sz w:val="22"/>
          <w:szCs w:val="22"/>
        </w:rPr>
        <w:t xml:space="preserve"> de lo solicitado. </w:t>
      </w:r>
      <w:proofErr w:type="gramStart"/>
      <w:r w:rsidR="00DC3DF7" w:rsidRPr="00883039">
        <w:rPr>
          <w:rFonts w:ascii="Palatino Linotype" w:hAnsi="Palatino Linotype" w:cs="Arial"/>
          <w:i/>
          <w:sz w:val="22"/>
          <w:szCs w:val="22"/>
        </w:rPr>
        <w:t>no</w:t>
      </w:r>
      <w:proofErr w:type="gramEnd"/>
      <w:r w:rsidR="00DC3DF7" w:rsidRPr="00883039">
        <w:rPr>
          <w:rFonts w:ascii="Palatino Linotype" w:hAnsi="Palatino Linotype" w:cs="Arial"/>
          <w:i/>
          <w:sz w:val="22"/>
          <w:szCs w:val="22"/>
        </w:rPr>
        <w:t xml:space="preserve"> </w:t>
      </w:r>
      <w:proofErr w:type="spellStart"/>
      <w:r w:rsidR="00DC3DF7" w:rsidRPr="00883039">
        <w:rPr>
          <w:rFonts w:ascii="Palatino Linotype" w:hAnsi="Palatino Linotype" w:cs="Arial"/>
          <w:i/>
          <w:sz w:val="22"/>
          <w:szCs w:val="22"/>
        </w:rPr>
        <w:t>venia</w:t>
      </w:r>
      <w:proofErr w:type="spellEnd"/>
      <w:r w:rsidR="00DC3DF7" w:rsidRPr="00883039">
        <w:rPr>
          <w:rFonts w:ascii="Palatino Linotype" w:hAnsi="Palatino Linotype" w:cs="Arial"/>
          <w:i/>
          <w:sz w:val="22"/>
          <w:szCs w:val="22"/>
        </w:rPr>
        <w:t xml:space="preserve"> archivo adjunto con la </w:t>
      </w:r>
      <w:proofErr w:type="spellStart"/>
      <w:r w:rsidR="00DC3DF7" w:rsidRPr="00883039">
        <w:rPr>
          <w:rFonts w:ascii="Palatino Linotype" w:hAnsi="Palatino Linotype" w:cs="Arial"/>
          <w:i/>
          <w:sz w:val="22"/>
          <w:szCs w:val="22"/>
        </w:rPr>
        <w:t>informacion</w:t>
      </w:r>
      <w:proofErr w:type="spellEnd"/>
      <w:r w:rsidR="00DC3DF7" w:rsidRPr="00883039">
        <w:rPr>
          <w:rFonts w:ascii="Palatino Linotype" w:hAnsi="Palatino Linotype" w:cs="Arial"/>
          <w:i/>
          <w:sz w:val="22"/>
          <w:szCs w:val="22"/>
        </w:rPr>
        <w:t xml:space="preserve">. Por este medio de manera </w:t>
      </w:r>
      <w:proofErr w:type="spellStart"/>
      <w:r w:rsidR="00DC3DF7" w:rsidRPr="00883039">
        <w:rPr>
          <w:rFonts w:ascii="Palatino Linotype" w:hAnsi="Palatino Linotype" w:cs="Arial"/>
          <w:i/>
          <w:sz w:val="22"/>
          <w:szCs w:val="22"/>
        </w:rPr>
        <w:t>pacifica</w:t>
      </w:r>
      <w:proofErr w:type="spellEnd"/>
      <w:r w:rsidR="00DC3DF7" w:rsidRPr="00883039">
        <w:rPr>
          <w:rFonts w:ascii="Palatino Linotype" w:hAnsi="Palatino Linotype" w:cs="Arial"/>
          <w:i/>
          <w:sz w:val="22"/>
          <w:szCs w:val="22"/>
        </w:rPr>
        <w:t xml:space="preserve"> y respetuosa, solicito copia simples del Conjunto Urbano denominado Real Granada tercera, cuarta y quinta etapa, ubicado en el Municipio de </w:t>
      </w:r>
      <w:proofErr w:type="spellStart"/>
      <w:r w:rsidR="00DC3DF7" w:rsidRPr="00883039">
        <w:rPr>
          <w:rFonts w:ascii="Palatino Linotype" w:hAnsi="Palatino Linotype" w:cs="Arial"/>
          <w:i/>
          <w:sz w:val="22"/>
          <w:szCs w:val="22"/>
        </w:rPr>
        <w:t>Tecamac</w:t>
      </w:r>
      <w:proofErr w:type="spellEnd"/>
      <w:r w:rsidR="00DC3DF7" w:rsidRPr="00883039">
        <w:rPr>
          <w:rFonts w:ascii="Palatino Linotype" w:hAnsi="Palatino Linotype" w:cs="Arial"/>
          <w:i/>
          <w:sz w:val="22"/>
          <w:szCs w:val="22"/>
        </w:rPr>
        <w:t xml:space="preserve">, Estado de Mexico - Gaceta oficial de la dirección de Desarrollo Urbano y todos sus anexos como es planos de lotificación Plano oficial, apertura </w:t>
      </w:r>
      <w:proofErr w:type="spellStart"/>
      <w:r w:rsidR="00DC3DF7" w:rsidRPr="00883039">
        <w:rPr>
          <w:rFonts w:ascii="Palatino Linotype" w:hAnsi="Palatino Linotype" w:cs="Arial"/>
          <w:i/>
          <w:sz w:val="22"/>
          <w:szCs w:val="22"/>
        </w:rPr>
        <w:t>ded</w:t>
      </w:r>
      <w:proofErr w:type="spellEnd"/>
      <w:r w:rsidR="00DC3DF7" w:rsidRPr="00883039">
        <w:rPr>
          <w:rFonts w:ascii="Palatino Linotype" w:hAnsi="Palatino Linotype" w:cs="Arial"/>
          <w:i/>
          <w:sz w:val="22"/>
          <w:szCs w:val="22"/>
        </w:rPr>
        <w:t xml:space="preserve"> </w:t>
      </w:r>
      <w:proofErr w:type="spellStart"/>
      <w:r w:rsidR="00DC3DF7" w:rsidRPr="00883039">
        <w:rPr>
          <w:rFonts w:ascii="Palatino Linotype" w:hAnsi="Palatino Linotype" w:cs="Arial"/>
          <w:i/>
          <w:sz w:val="22"/>
          <w:szCs w:val="22"/>
        </w:rPr>
        <w:t>vias</w:t>
      </w:r>
      <w:proofErr w:type="spellEnd"/>
      <w:r w:rsidR="00DC3DF7" w:rsidRPr="00883039">
        <w:rPr>
          <w:rFonts w:ascii="Palatino Linotype" w:hAnsi="Palatino Linotype" w:cs="Arial"/>
          <w:i/>
          <w:sz w:val="22"/>
          <w:szCs w:val="22"/>
        </w:rPr>
        <w:t xml:space="preserve"> </w:t>
      </w:r>
      <w:proofErr w:type="spellStart"/>
      <w:r w:rsidR="00DC3DF7" w:rsidRPr="00883039">
        <w:rPr>
          <w:rFonts w:ascii="Palatino Linotype" w:hAnsi="Palatino Linotype" w:cs="Arial"/>
          <w:i/>
          <w:sz w:val="22"/>
          <w:szCs w:val="22"/>
        </w:rPr>
        <w:t>publicas</w:t>
      </w:r>
      <w:proofErr w:type="spellEnd"/>
      <w:r w:rsidR="00DC3DF7" w:rsidRPr="00883039">
        <w:rPr>
          <w:rFonts w:ascii="Palatino Linotype" w:hAnsi="Palatino Linotype" w:cs="Arial"/>
          <w:i/>
          <w:sz w:val="22"/>
          <w:szCs w:val="22"/>
        </w:rPr>
        <w:t xml:space="preserve"> y </w:t>
      </w:r>
      <w:proofErr w:type="spellStart"/>
      <w:r w:rsidR="00DC3DF7" w:rsidRPr="00883039">
        <w:rPr>
          <w:rFonts w:ascii="Palatino Linotype" w:hAnsi="Palatino Linotype" w:cs="Arial"/>
          <w:i/>
          <w:sz w:val="22"/>
          <w:szCs w:val="22"/>
        </w:rPr>
        <w:t>division</w:t>
      </w:r>
      <w:proofErr w:type="spellEnd"/>
      <w:r w:rsidR="00DC3DF7" w:rsidRPr="00883039">
        <w:rPr>
          <w:rFonts w:ascii="Palatino Linotype" w:hAnsi="Palatino Linotype" w:cs="Arial"/>
          <w:i/>
          <w:sz w:val="22"/>
          <w:szCs w:val="22"/>
        </w:rPr>
        <w:t xml:space="preserve"> de lotes Fusión, subdivisión, apertura, ampliación o modificación de vías públicas; lotificación de predios para condominios; cambios de uso del suelo, de densidad e intensidad de su aprovechamiento o de la altura máxima permitida; y cualquier otro acto administrativo de competencia estatal o municipal que haya sido requerido para la lotificación solicitada. Secciones de vías públicas y privadas, en su caso. Cuadro de construcción de la poligonal del predio. Datos generales de la lotificación. Cuadros de cuantificación de lotes, superficies y usos del suelo por manzana. Datos de las autorizaciones implícitas, en su caso. Datos de autorización y publicación en la Gaceta del Gobierno. Nombre, firma y datos de registro del perito. Etapas o secciones del desarrollo, si las hubiera. En su caso, los créditos nombre de quienes proyectan, dibujan y revisan. Nombre y número del plano. Nombres, cargos y firmas de los funcionarios públicos que autorizan - oficio No. 224020000/3844/2014 aprobación de proyecto de lotificación - Actas de entrega-recepción tanto parcial como total en el periodo del 2016 al 2021, detallada por </w:t>
      </w:r>
      <w:proofErr w:type="spellStart"/>
      <w:r w:rsidR="00DC3DF7" w:rsidRPr="00883039">
        <w:rPr>
          <w:rFonts w:ascii="Palatino Linotype" w:hAnsi="Palatino Linotype" w:cs="Arial"/>
          <w:i/>
          <w:sz w:val="22"/>
          <w:szCs w:val="22"/>
        </w:rPr>
        <w:t>numero</w:t>
      </w:r>
      <w:proofErr w:type="spellEnd"/>
      <w:r w:rsidR="00DC3DF7" w:rsidRPr="00883039">
        <w:rPr>
          <w:rFonts w:ascii="Palatino Linotype" w:hAnsi="Palatino Linotype" w:cs="Arial"/>
          <w:i/>
          <w:sz w:val="22"/>
          <w:szCs w:val="22"/>
        </w:rPr>
        <w:t xml:space="preserve"> de expediente - Actas de supervisión correspondiente a la bitácora de supervisión de control de obras de infraestructura, </w:t>
      </w:r>
      <w:proofErr w:type="spellStart"/>
      <w:r w:rsidR="00DC3DF7" w:rsidRPr="00883039">
        <w:rPr>
          <w:rFonts w:ascii="Palatino Linotype" w:hAnsi="Palatino Linotype" w:cs="Arial"/>
          <w:i/>
          <w:sz w:val="22"/>
          <w:szCs w:val="22"/>
        </w:rPr>
        <w:t>urbanizacion</w:t>
      </w:r>
      <w:proofErr w:type="spellEnd"/>
      <w:r w:rsidR="00DC3DF7" w:rsidRPr="00883039">
        <w:rPr>
          <w:rFonts w:ascii="Palatino Linotype" w:hAnsi="Palatino Linotype" w:cs="Arial"/>
          <w:i/>
          <w:sz w:val="22"/>
          <w:szCs w:val="22"/>
        </w:rPr>
        <w:t xml:space="preserve"> y equipamiento de conjuntos urbanos. - La publicidad y/o contenido, propaganda aprobada por la Secretaria de Desarrollo Urbano para evitar propaganda engañosa conforme lo establece el articulo5.38 </w:t>
      </w:r>
      <w:proofErr w:type="spellStart"/>
      <w:r w:rsidR="00DC3DF7" w:rsidRPr="00883039">
        <w:rPr>
          <w:rFonts w:ascii="Palatino Linotype" w:hAnsi="Palatino Linotype" w:cs="Arial"/>
          <w:i/>
          <w:sz w:val="22"/>
          <w:szCs w:val="22"/>
        </w:rPr>
        <w:t>fraccion</w:t>
      </w:r>
      <w:proofErr w:type="spellEnd"/>
      <w:r w:rsidR="00DC3DF7" w:rsidRPr="00883039">
        <w:rPr>
          <w:rFonts w:ascii="Palatino Linotype" w:hAnsi="Palatino Linotype" w:cs="Arial"/>
          <w:i/>
          <w:sz w:val="22"/>
          <w:szCs w:val="22"/>
        </w:rPr>
        <w:t xml:space="preserve"> XII del </w:t>
      </w:r>
      <w:proofErr w:type="spellStart"/>
      <w:r w:rsidR="00DC3DF7" w:rsidRPr="00883039">
        <w:rPr>
          <w:rFonts w:ascii="Palatino Linotype" w:hAnsi="Palatino Linotype" w:cs="Arial"/>
          <w:i/>
          <w:sz w:val="22"/>
          <w:szCs w:val="22"/>
        </w:rPr>
        <w:t>codigo</w:t>
      </w:r>
      <w:proofErr w:type="spellEnd"/>
      <w:r w:rsidR="00DC3DF7" w:rsidRPr="00883039">
        <w:rPr>
          <w:rFonts w:ascii="Palatino Linotype" w:hAnsi="Palatino Linotype" w:cs="Arial"/>
          <w:i/>
          <w:sz w:val="22"/>
          <w:szCs w:val="22"/>
        </w:rPr>
        <w:t xml:space="preserve"> administrativo del Estado de Mexico - La </w:t>
      </w:r>
      <w:proofErr w:type="spellStart"/>
      <w:r w:rsidR="00DC3DF7" w:rsidRPr="00883039">
        <w:rPr>
          <w:rFonts w:ascii="Palatino Linotype" w:hAnsi="Palatino Linotype" w:cs="Arial"/>
          <w:i/>
          <w:sz w:val="22"/>
          <w:szCs w:val="22"/>
        </w:rPr>
        <w:t>autorizacion</w:t>
      </w:r>
      <w:proofErr w:type="spellEnd"/>
      <w:r w:rsidR="00DC3DF7" w:rsidRPr="00883039">
        <w:rPr>
          <w:rFonts w:ascii="Palatino Linotype" w:hAnsi="Palatino Linotype" w:cs="Arial"/>
          <w:i/>
          <w:sz w:val="22"/>
          <w:szCs w:val="22"/>
        </w:rPr>
        <w:t xml:space="preserve"> expresa de la Secretaria de Desarrollo Urbano por conducto de la </w:t>
      </w:r>
      <w:proofErr w:type="spellStart"/>
      <w:r w:rsidR="00DC3DF7" w:rsidRPr="00883039">
        <w:rPr>
          <w:rFonts w:ascii="Palatino Linotype" w:hAnsi="Palatino Linotype" w:cs="Arial"/>
          <w:i/>
          <w:sz w:val="22"/>
          <w:szCs w:val="22"/>
        </w:rPr>
        <w:t>Direecion</w:t>
      </w:r>
      <w:proofErr w:type="spellEnd"/>
      <w:r w:rsidR="00DC3DF7" w:rsidRPr="00883039">
        <w:rPr>
          <w:rFonts w:ascii="Palatino Linotype" w:hAnsi="Palatino Linotype" w:cs="Arial"/>
          <w:i/>
          <w:sz w:val="22"/>
          <w:szCs w:val="22"/>
        </w:rPr>
        <w:t xml:space="preserve"> General de </w:t>
      </w:r>
      <w:proofErr w:type="spellStart"/>
      <w:r w:rsidR="00DC3DF7" w:rsidRPr="00883039">
        <w:rPr>
          <w:rFonts w:ascii="Palatino Linotype" w:hAnsi="Palatino Linotype" w:cs="Arial"/>
          <w:i/>
          <w:sz w:val="22"/>
          <w:szCs w:val="22"/>
        </w:rPr>
        <w:t>Operacion</w:t>
      </w:r>
      <w:proofErr w:type="spellEnd"/>
      <w:r w:rsidR="00DC3DF7" w:rsidRPr="00883039">
        <w:rPr>
          <w:rFonts w:ascii="Palatino Linotype" w:hAnsi="Palatino Linotype" w:cs="Arial"/>
          <w:i/>
          <w:sz w:val="22"/>
          <w:szCs w:val="22"/>
        </w:rPr>
        <w:t xml:space="preserve"> Urbana para transferir o </w:t>
      </w:r>
      <w:proofErr w:type="spellStart"/>
      <w:r w:rsidR="00DC3DF7" w:rsidRPr="00883039">
        <w:rPr>
          <w:rFonts w:ascii="Palatino Linotype" w:hAnsi="Palatino Linotype" w:cs="Arial"/>
          <w:i/>
          <w:sz w:val="22"/>
          <w:szCs w:val="22"/>
        </w:rPr>
        <w:t>seder</w:t>
      </w:r>
      <w:proofErr w:type="spellEnd"/>
      <w:r w:rsidR="00DC3DF7" w:rsidRPr="00883039">
        <w:rPr>
          <w:rFonts w:ascii="Palatino Linotype" w:hAnsi="Palatino Linotype" w:cs="Arial"/>
          <w:i/>
          <w:sz w:val="22"/>
          <w:szCs w:val="22"/>
        </w:rPr>
        <w:t xml:space="preserve"> los derechos o cambio de titularidad para la </w:t>
      </w:r>
      <w:proofErr w:type="spellStart"/>
      <w:r w:rsidR="00DC3DF7" w:rsidRPr="00883039">
        <w:rPr>
          <w:rFonts w:ascii="Palatino Linotype" w:hAnsi="Palatino Linotype" w:cs="Arial"/>
          <w:i/>
          <w:sz w:val="22"/>
          <w:szCs w:val="22"/>
        </w:rPr>
        <w:t>ocupacion</w:t>
      </w:r>
      <w:proofErr w:type="spellEnd"/>
      <w:r w:rsidR="00DC3DF7" w:rsidRPr="00883039">
        <w:rPr>
          <w:rFonts w:ascii="Palatino Linotype" w:hAnsi="Palatino Linotype" w:cs="Arial"/>
          <w:i/>
          <w:sz w:val="22"/>
          <w:szCs w:val="22"/>
        </w:rPr>
        <w:t xml:space="preserve"> de los lotes.</w:t>
      </w:r>
      <w:r w:rsidRPr="00883039">
        <w:rPr>
          <w:rFonts w:ascii="Palatino Linotype" w:hAnsi="Palatino Linotype" w:cs="Arial"/>
          <w:i/>
          <w:sz w:val="22"/>
          <w:szCs w:val="22"/>
        </w:rPr>
        <w:t>” (</w:t>
      </w:r>
      <w:proofErr w:type="gramStart"/>
      <w:r w:rsidRPr="00883039">
        <w:rPr>
          <w:rFonts w:ascii="Palatino Linotype" w:hAnsi="Palatino Linotype" w:cs="Arial"/>
          <w:i/>
          <w:sz w:val="22"/>
          <w:szCs w:val="22"/>
        </w:rPr>
        <w:t>sic</w:t>
      </w:r>
      <w:proofErr w:type="gramEnd"/>
      <w:r w:rsidRPr="00883039">
        <w:rPr>
          <w:rFonts w:ascii="Palatino Linotype" w:hAnsi="Palatino Linotype" w:cs="Arial"/>
          <w:i/>
          <w:sz w:val="22"/>
          <w:szCs w:val="22"/>
        </w:rPr>
        <w:t>);</w:t>
      </w:r>
    </w:p>
    <w:p w14:paraId="1CCE27EE" w14:textId="77777777" w:rsidR="00B40DD6" w:rsidRPr="00883039" w:rsidRDefault="00B40DD6" w:rsidP="00883039">
      <w:pPr>
        <w:ind w:left="850" w:right="901"/>
        <w:jc w:val="both"/>
        <w:rPr>
          <w:rFonts w:ascii="Palatino Linotype" w:hAnsi="Palatino Linotype" w:cs="Arial"/>
          <w:i/>
          <w:sz w:val="14"/>
        </w:rPr>
      </w:pPr>
    </w:p>
    <w:p w14:paraId="2BDE9141" w14:textId="77777777" w:rsidR="00B40DD6" w:rsidRPr="00883039" w:rsidRDefault="00B40DD6" w:rsidP="00883039">
      <w:pPr>
        <w:spacing w:line="360" w:lineRule="auto"/>
        <w:jc w:val="both"/>
        <w:rPr>
          <w:rFonts w:ascii="Palatino Linotype" w:hAnsi="Palatino Linotype" w:cs="Arial"/>
        </w:rPr>
      </w:pPr>
      <w:r w:rsidRPr="00883039">
        <w:rPr>
          <w:rFonts w:ascii="Palatino Linotype" w:hAnsi="Palatino Linotype" w:cs="Arial"/>
        </w:rPr>
        <w:t xml:space="preserve">Así como, razones o motivos de inconformidad: </w:t>
      </w:r>
    </w:p>
    <w:p w14:paraId="14774282" w14:textId="77777777" w:rsidR="00B40DD6" w:rsidRPr="00883039" w:rsidRDefault="00B40DD6" w:rsidP="00883039">
      <w:pPr>
        <w:ind w:left="850" w:right="901"/>
        <w:jc w:val="both"/>
        <w:rPr>
          <w:rFonts w:ascii="Palatino Linotype" w:hAnsi="Palatino Linotype" w:cs="Arial"/>
          <w:i/>
          <w:sz w:val="22"/>
          <w:szCs w:val="22"/>
        </w:rPr>
      </w:pPr>
    </w:p>
    <w:p w14:paraId="3BEF248F" w14:textId="77777777" w:rsidR="00777426" w:rsidRPr="00883039" w:rsidRDefault="00B40DD6" w:rsidP="00883039">
      <w:pPr>
        <w:ind w:left="850" w:right="901"/>
        <w:jc w:val="both"/>
        <w:rPr>
          <w:rFonts w:ascii="Palatino Linotype" w:hAnsi="Palatino Linotype" w:cs="Arial"/>
          <w:i/>
          <w:sz w:val="22"/>
          <w:szCs w:val="22"/>
        </w:rPr>
      </w:pPr>
      <w:r w:rsidRPr="00883039">
        <w:rPr>
          <w:rFonts w:ascii="Palatino Linotype" w:hAnsi="Palatino Linotype" w:cs="Arial"/>
          <w:i/>
          <w:sz w:val="22"/>
          <w:szCs w:val="22"/>
        </w:rPr>
        <w:t>“</w:t>
      </w:r>
      <w:r w:rsidR="00DC3DF7" w:rsidRPr="00883039">
        <w:rPr>
          <w:rFonts w:ascii="Palatino Linotype" w:hAnsi="Palatino Linotype" w:cs="Arial"/>
          <w:i/>
          <w:sz w:val="22"/>
          <w:szCs w:val="22"/>
        </w:rPr>
        <w:t xml:space="preserve">NO venia archivo con la </w:t>
      </w:r>
      <w:proofErr w:type="spellStart"/>
      <w:r w:rsidR="00DC3DF7" w:rsidRPr="00883039">
        <w:rPr>
          <w:rFonts w:ascii="Palatino Linotype" w:hAnsi="Palatino Linotype" w:cs="Arial"/>
          <w:i/>
          <w:sz w:val="22"/>
          <w:szCs w:val="22"/>
        </w:rPr>
        <w:t>informacion</w:t>
      </w:r>
      <w:proofErr w:type="spellEnd"/>
      <w:r w:rsidR="00DC3DF7" w:rsidRPr="00883039">
        <w:rPr>
          <w:rFonts w:ascii="Palatino Linotype" w:hAnsi="Palatino Linotype" w:cs="Arial"/>
          <w:i/>
          <w:sz w:val="22"/>
          <w:szCs w:val="22"/>
        </w:rPr>
        <w:t>.</w:t>
      </w:r>
      <w:r w:rsidRPr="00883039">
        <w:rPr>
          <w:rFonts w:ascii="Palatino Linotype" w:hAnsi="Palatino Linotype" w:cs="Arial"/>
          <w:i/>
          <w:sz w:val="22"/>
          <w:szCs w:val="22"/>
        </w:rPr>
        <w:t>” (</w:t>
      </w:r>
      <w:proofErr w:type="gramStart"/>
      <w:r w:rsidRPr="00883039">
        <w:rPr>
          <w:rFonts w:ascii="Palatino Linotype" w:hAnsi="Palatino Linotype" w:cs="Arial"/>
          <w:i/>
          <w:sz w:val="22"/>
          <w:szCs w:val="22"/>
        </w:rPr>
        <w:t>sic</w:t>
      </w:r>
      <w:proofErr w:type="gramEnd"/>
      <w:r w:rsidRPr="00883039">
        <w:rPr>
          <w:rFonts w:ascii="Palatino Linotype" w:hAnsi="Palatino Linotype" w:cs="Arial"/>
          <w:i/>
          <w:sz w:val="22"/>
          <w:szCs w:val="22"/>
        </w:rPr>
        <w:t>)</w:t>
      </w:r>
    </w:p>
    <w:p w14:paraId="06381DC8" w14:textId="77777777" w:rsidR="00777426" w:rsidRPr="00883039" w:rsidRDefault="00777426" w:rsidP="00883039">
      <w:pPr>
        <w:ind w:left="850" w:right="901"/>
        <w:jc w:val="both"/>
        <w:rPr>
          <w:rFonts w:ascii="Palatino Linotype" w:hAnsi="Palatino Linotype" w:cs="Arial"/>
          <w:i/>
          <w:sz w:val="22"/>
          <w:szCs w:val="22"/>
        </w:rPr>
      </w:pPr>
    </w:p>
    <w:p w14:paraId="1342536E" w14:textId="32A73EB3" w:rsidR="00B40DD6" w:rsidRPr="00883039" w:rsidRDefault="00B40DD6" w:rsidP="00883039">
      <w:pPr>
        <w:spacing w:line="360" w:lineRule="auto"/>
        <w:jc w:val="both"/>
        <w:rPr>
          <w:rFonts w:ascii="Palatino Linotype" w:hAnsi="Palatino Linotype" w:cs="Arial"/>
        </w:rPr>
      </w:pPr>
      <w:r w:rsidRPr="00883039">
        <w:rPr>
          <w:rFonts w:ascii="Palatino Linotype" w:hAnsi="Palatino Linotype" w:cs="Arial"/>
          <w:b/>
          <w:sz w:val="28"/>
          <w:szCs w:val="28"/>
        </w:rPr>
        <w:t xml:space="preserve">V. </w:t>
      </w:r>
      <w:r w:rsidRPr="00883039">
        <w:rPr>
          <w:rFonts w:ascii="Palatino Linotype" w:hAnsi="Palatino Linotype" w:cs="Arial"/>
        </w:rPr>
        <w:t xml:space="preserve">El </w:t>
      </w:r>
      <w:r w:rsidR="00DC3DF7" w:rsidRPr="00883039">
        <w:rPr>
          <w:rFonts w:ascii="Palatino Linotype" w:hAnsi="Palatino Linotype" w:cs="Arial"/>
        </w:rPr>
        <w:t>siete</w:t>
      </w:r>
      <w:r w:rsidRPr="00883039">
        <w:rPr>
          <w:rFonts w:ascii="Palatino Linotype" w:hAnsi="Palatino Linotype" w:cs="Arial"/>
        </w:rPr>
        <w:t xml:space="preserve"> de </w:t>
      </w:r>
      <w:r w:rsidR="00DC3DF7" w:rsidRPr="00883039">
        <w:rPr>
          <w:rFonts w:ascii="Palatino Linotype" w:hAnsi="Palatino Linotype" w:cs="Arial"/>
        </w:rPr>
        <w:t>julio</w:t>
      </w:r>
      <w:r w:rsidRPr="00883039">
        <w:rPr>
          <w:rFonts w:ascii="Palatino Linotype" w:hAnsi="Palatino Linotype" w:cs="Arial"/>
        </w:rPr>
        <w:t xml:space="preserve"> de dos mil veintiuno, el recurso de que se trata se envió electrónicamente al Instituto de </w:t>
      </w:r>
      <w:r w:rsidRPr="00883039">
        <w:rPr>
          <w:rFonts w:ascii="Palatino Linotype" w:eastAsia="Arial Unicode MS" w:hAnsi="Palatino Linotype" w:cs="Arial"/>
        </w:rPr>
        <w:t>Transparencia</w:t>
      </w:r>
      <w:r w:rsidRPr="00883039">
        <w:rPr>
          <w:rFonts w:ascii="Palatino Linotype" w:hAnsi="Palatino Linotype" w:cs="Arial"/>
        </w:rPr>
        <w:t xml:space="preserve">, Acceso a la Información Pública y Protección de Datos Personales del Estado de México y Municipios y con fundamento en el artículo 185, fracción I de la </w:t>
      </w:r>
      <w:r w:rsidRPr="00883039">
        <w:rPr>
          <w:rFonts w:ascii="Palatino Linotype" w:hAnsi="Palatino Linotype"/>
        </w:rPr>
        <w:t>Ley de Transparencia y Acceso a la Información Pública del Estado de México y Municipios</w:t>
      </w:r>
      <w:r w:rsidRPr="00883039">
        <w:rPr>
          <w:rFonts w:ascii="Palatino Linotype" w:hAnsi="Palatino Linotype" w:cs="Arial"/>
        </w:rPr>
        <w:t>, se turnó, a través del</w:t>
      </w:r>
      <w:r w:rsidRPr="00883039">
        <w:rPr>
          <w:rFonts w:ascii="Palatino Linotype" w:eastAsia="Arial Unicode MS" w:hAnsi="Palatino Linotype" w:cs="Arial"/>
        </w:rPr>
        <w:t xml:space="preserve"> </w:t>
      </w:r>
      <w:r w:rsidRPr="00883039">
        <w:rPr>
          <w:rFonts w:ascii="Palatino Linotype" w:eastAsia="Arial Unicode MS" w:hAnsi="Palatino Linotype" w:cs="Arial"/>
          <w:b/>
        </w:rPr>
        <w:t>SAIMEX</w:t>
      </w:r>
      <w:r w:rsidRPr="00883039">
        <w:rPr>
          <w:rFonts w:ascii="Palatino Linotype" w:hAnsi="Palatino Linotype"/>
        </w:rPr>
        <w:t xml:space="preserve">, a la </w:t>
      </w:r>
      <w:r w:rsidR="00883039">
        <w:rPr>
          <w:rFonts w:ascii="Palatino Linotype" w:hAnsi="Palatino Linotype"/>
        </w:rPr>
        <w:t xml:space="preserve">entonces </w:t>
      </w:r>
      <w:r w:rsidRPr="00883039">
        <w:rPr>
          <w:rFonts w:ascii="Palatino Linotype" w:hAnsi="Palatino Linotype" w:cs="Arial"/>
        </w:rPr>
        <w:t xml:space="preserve">Comisionada </w:t>
      </w:r>
      <w:r w:rsidRPr="00883039">
        <w:rPr>
          <w:rFonts w:ascii="Palatino Linotype" w:hAnsi="Palatino Linotype" w:cs="Arial"/>
          <w:b/>
        </w:rPr>
        <w:t>EVA ABAID YAPUR</w:t>
      </w:r>
      <w:r w:rsidRPr="00883039">
        <w:rPr>
          <w:rFonts w:ascii="Palatino Linotype" w:hAnsi="Palatino Linotype"/>
        </w:rPr>
        <w:t>,</w:t>
      </w:r>
      <w:r w:rsidRPr="00883039">
        <w:rPr>
          <w:rFonts w:ascii="Palatino Linotype" w:hAnsi="Palatino Linotype" w:cs="Arial"/>
        </w:rPr>
        <w:t xml:space="preserve"> a efecto de decretar su admisión o </w:t>
      </w:r>
      <w:proofErr w:type="spellStart"/>
      <w:r w:rsidRPr="00883039">
        <w:rPr>
          <w:rFonts w:ascii="Palatino Linotype" w:hAnsi="Palatino Linotype" w:cs="Arial"/>
        </w:rPr>
        <w:t>desechamiento</w:t>
      </w:r>
      <w:proofErr w:type="spellEnd"/>
      <w:r w:rsidRPr="00883039">
        <w:rPr>
          <w:rFonts w:ascii="Palatino Linotype" w:hAnsi="Palatino Linotype" w:cs="Arial"/>
        </w:rPr>
        <w:t>.</w:t>
      </w:r>
    </w:p>
    <w:p w14:paraId="728770CF" w14:textId="77777777" w:rsidR="00B40DD6" w:rsidRPr="00883039" w:rsidRDefault="00B40DD6" w:rsidP="00883039">
      <w:pPr>
        <w:spacing w:line="360" w:lineRule="auto"/>
        <w:jc w:val="both"/>
        <w:rPr>
          <w:rFonts w:ascii="Palatino Linotype" w:hAnsi="Palatino Linotype" w:cs="Arial"/>
        </w:rPr>
      </w:pPr>
    </w:p>
    <w:p w14:paraId="50FFAAD6" w14:textId="673ABD3D" w:rsidR="00B40DD6" w:rsidRPr="00883039" w:rsidRDefault="00B40DD6" w:rsidP="00883039">
      <w:pPr>
        <w:tabs>
          <w:tab w:val="center" w:pos="4252"/>
          <w:tab w:val="right" w:pos="8504"/>
        </w:tabs>
        <w:spacing w:line="360" w:lineRule="auto"/>
        <w:jc w:val="both"/>
        <w:rPr>
          <w:rFonts w:ascii="Palatino Linotype" w:hAnsi="Palatino Linotype" w:cs="Arial"/>
        </w:rPr>
      </w:pPr>
      <w:r w:rsidRPr="00883039">
        <w:rPr>
          <w:rFonts w:ascii="Palatino Linotype" w:hAnsi="Palatino Linotype" w:cs="Arial"/>
          <w:b/>
          <w:sz w:val="28"/>
          <w:szCs w:val="28"/>
        </w:rPr>
        <w:t>V</w:t>
      </w:r>
      <w:r w:rsidR="003009A4" w:rsidRPr="00883039">
        <w:rPr>
          <w:rFonts w:ascii="Palatino Linotype" w:hAnsi="Palatino Linotype" w:cs="Arial"/>
          <w:b/>
          <w:sz w:val="28"/>
          <w:szCs w:val="28"/>
        </w:rPr>
        <w:t>I</w:t>
      </w:r>
      <w:r w:rsidRPr="00883039">
        <w:rPr>
          <w:rFonts w:ascii="Palatino Linotype" w:hAnsi="Palatino Linotype" w:cs="Arial"/>
          <w:b/>
        </w:rPr>
        <w:t xml:space="preserve">. </w:t>
      </w:r>
      <w:r w:rsidRPr="00883039">
        <w:rPr>
          <w:rFonts w:ascii="Palatino Linotype" w:hAnsi="Palatino Linotype" w:cs="Arial"/>
        </w:rPr>
        <w:t>De las constancias del expediente electrónico del</w:t>
      </w:r>
      <w:r w:rsidRPr="00883039">
        <w:rPr>
          <w:rFonts w:ascii="Palatino Linotype" w:hAnsi="Palatino Linotype" w:cs="Arial"/>
          <w:b/>
        </w:rPr>
        <w:t xml:space="preserve"> SAIMEX</w:t>
      </w:r>
      <w:r w:rsidRPr="00883039">
        <w:rPr>
          <w:rFonts w:ascii="Palatino Linotype" w:hAnsi="Palatino Linotype" w:cs="Arial"/>
        </w:rPr>
        <w:t xml:space="preserve">, se advierte que en fecha </w:t>
      </w:r>
      <w:r w:rsidR="00DC3DF7" w:rsidRPr="00883039">
        <w:rPr>
          <w:rFonts w:ascii="Palatino Linotype" w:hAnsi="Palatino Linotype" w:cs="Arial"/>
        </w:rPr>
        <w:t>doce</w:t>
      </w:r>
      <w:r w:rsidRPr="00883039">
        <w:rPr>
          <w:rFonts w:ascii="Palatino Linotype" w:hAnsi="Palatino Linotype" w:cs="Arial"/>
        </w:rPr>
        <w:t xml:space="preserve"> de </w:t>
      </w:r>
      <w:r w:rsidR="00DC3DF7" w:rsidRPr="00883039">
        <w:rPr>
          <w:rFonts w:ascii="Palatino Linotype" w:hAnsi="Palatino Linotype" w:cs="Arial"/>
        </w:rPr>
        <w:t>julio</w:t>
      </w:r>
      <w:r w:rsidRPr="00883039">
        <w:rPr>
          <w:rFonts w:ascii="Palatino Linotype" w:hAnsi="Palatino Linotype" w:cs="Arial"/>
        </w:rPr>
        <w:t xml:space="preserve"> de 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83039">
        <w:rPr>
          <w:rFonts w:ascii="Palatino Linotype" w:hAnsi="Palatino Linotype" w:cs="Arial"/>
          <w:b/>
        </w:rPr>
        <w:t xml:space="preserve">EL SUJETO OBLIGADO </w:t>
      </w:r>
      <w:r w:rsidRPr="00883039">
        <w:rPr>
          <w:rFonts w:ascii="Palatino Linotype" w:hAnsi="Palatino Linotype" w:cs="Arial"/>
        </w:rPr>
        <w:t>rindiera su</w:t>
      </w:r>
      <w:r w:rsidRPr="00883039">
        <w:rPr>
          <w:rFonts w:ascii="Palatino Linotype" w:hAnsi="Palatino Linotype" w:cs="Arial"/>
          <w:b/>
        </w:rPr>
        <w:t xml:space="preserve"> </w:t>
      </w:r>
      <w:r w:rsidRPr="00883039">
        <w:rPr>
          <w:rFonts w:ascii="Palatino Linotype" w:hAnsi="Palatino Linotype" w:cs="Arial"/>
        </w:rPr>
        <w:t>Informe Justificado.</w:t>
      </w:r>
    </w:p>
    <w:p w14:paraId="7B49B479" w14:textId="77777777" w:rsidR="00B40DD6" w:rsidRPr="00883039" w:rsidRDefault="00B40DD6" w:rsidP="00883039">
      <w:pPr>
        <w:spacing w:line="360" w:lineRule="auto"/>
        <w:jc w:val="both"/>
        <w:rPr>
          <w:rFonts w:ascii="Palatino Linotype" w:eastAsia="Arial Unicode MS" w:hAnsi="Palatino Linotype" w:cs="Arial"/>
          <w:b/>
        </w:rPr>
      </w:pPr>
    </w:p>
    <w:p w14:paraId="08C6162C" w14:textId="2492E521" w:rsidR="00883039" w:rsidRDefault="00B40DD6" w:rsidP="00883039">
      <w:pPr>
        <w:spacing w:line="360" w:lineRule="auto"/>
        <w:jc w:val="both"/>
        <w:rPr>
          <w:rFonts w:ascii="Palatino Linotype" w:hAnsi="Palatino Linotype" w:cs="Arial"/>
        </w:rPr>
      </w:pPr>
      <w:r w:rsidRPr="00883039">
        <w:rPr>
          <w:rFonts w:ascii="Palatino Linotype" w:eastAsia="Arial Unicode MS" w:hAnsi="Palatino Linotype" w:cs="Arial"/>
          <w:b/>
          <w:sz w:val="28"/>
          <w:szCs w:val="28"/>
        </w:rPr>
        <w:t>VI</w:t>
      </w:r>
      <w:r w:rsidR="003009A4" w:rsidRPr="00883039">
        <w:rPr>
          <w:rFonts w:ascii="Palatino Linotype" w:eastAsia="Arial Unicode MS" w:hAnsi="Palatino Linotype" w:cs="Arial"/>
          <w:b/>
          <w:sz w:val="28"/>
          <w:szCs w:val="28"/>
        </w:rPr>
        <w:t>I</w:t>
      </w:r>
      <w:r w:rsidRPr="00883039">
        <w:rPr>
          <w:rFonts w:ascii="Palatino Linotype" w:eastAsia="Arial Unicode MS" w:hAnsi="Palatino Linotype" w:cs="Arial"/>
          <w:b/>
        </w:rPr>
        <w:t xml:space="preserve">. </w:t>
      </w:r>
      <w:r w:rsidR="00883039" w:rsidRPr="00A02B88">
        <w:rPr>
          <w:rFonts w:ascii="Palatino Linotype" w:eastAsia="Arial Unicode MS" w:hAnsi="Palatino Linotype" w:cs="Arial"/>
        </w:rPr>
        <w:t xml:space="preserve">Conforme a las constancias del </w:t>
      </w:r>
      <w:r w:rsidR="00883039" w:rsidRPr="00A02B88">
        <w:rPr>
          <w:rFonts w:ascii="Palatino Linotype" w:eastAsia="Arial Unicode MS" w:hAnsi="Palatino Linotype" w:cs="Arial"/>
          <w:b/>
        </w:rPr>
        <w:t>SAIMEX</w:t>
      </w:r>
      <w:r w:rsidR="00883039" w:rsidRPr="00A02B8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6A5842" w:rsidRPr="006A5842">
        <w:rPr>
          <w:rFonts w:ascii="Palatino Linotype" w:eastAsia="Arial Unicode MS" w:hAnsi="Palatino Linotype" w:cs="Arial"/>
          <w:b/>
        </w:rPr>
        <w:t>LA</w:t>
      </w:r>
      <w:r w:rsidR="00883039" w:rsidRPr="00A02B88">
        <w:rPr>
          <w:rFonts w:ascii="Palatino Linotype" w:eastAsia="Arial Unicode MS" w:hAnsi="Palatino Linotype" w:cs="Arial"/>
        </w:rPr>
        <w:t xml:space="preserve"> </w:t>
      </w:r>
      <w:r w:rsidR="00883039" w:rsidRPr="00A02B88">
        <w:rPr>
          <w:rFonts w:ascii="Palatino Linotype" w:eastAsia="Arial Unicode MS" w:hAnsi="Palatino Linotype" w:cs="Arial"/>
          <w:b/>
        </w:rPr>
        <w:lastRenderedPageBreak/>
        <w:t>RECURRENTE</w:t>
      </w:r>
      <w:r w:rsidR="00883039" w:rsidRPr="00A02B88">
        <w:rPr>
          <w:rFonts w:ascii="Palatino Linotype" w:eastAsia="Arial Unicode MS" w:hAnsi="Palatino Linotype" w:cs="Arial"/>
        </w:rPr>
        <w:t xml:space="preserve">, éste no realizó manifestación alguna, ni presentó pruebas o alegatos, así como tampoco </w:t>
      </w:r>
      <w:r w:rsidR="00883039" w:rsidRPr="00A02B88">
        <w:rPr>
          <w:rFonts w:ascii="Palatino Linotype" w:eastAsia="Arial Unicode MS" w:hAnsi="Palatino Linotype" w:cs="Arial"/>
          <w:b/>
          <w:color w:val="000000"/>
          <w:lang w:eastAsia="es-MX"/>
        </w:rPr>
        <w:t>EL SUJETO OBLIGADO</w:t>
      </w:r>
      <w:r w:rsidR="00883039" w:rsidRPr="00A02B88">
        <w:rPr>
          <w:rFonts w:ascii="Palatino Linotype" w:eastAsia="Arial Unicode MS" w:hAnsi="Palatino Linotype" w:cs="Arial"/>
        </w:rPr>
        <w:t xml:space="preserve"> rindió su Informe Justificado, tal y como se aprecia en la siguiente imagen: </w:t>
      </w:r>
      <w:r w:rsidR="00883039" w:rsidRPr="00A02B88">
        <w:rPr>
          <w:rFonts w:ascii="Palatino Linotype" w:hAnsi="Palatino Linotype" w:cs="Arial"/>
        </w:rPr>
        <w:t xml:space="preserve"> </w:t>
      </w:r>
    </w:p>
    <w:p w14:paraId="76927BE6" w14:textId="0AFD7C7B" w:rsidR="00883039" w:rsidRPr="00A02B88" w:rsidRDefault="00883039" w:rsidP="00883039">
      <w:pPr>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14:anchorId="399D36DA" wp14:editId="38AE81EC">
            <wp:extent cx="5791835" cy="1428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1428750"/>
                    </a:xfrm>
                    <a:prstGeom prst="rect">
                      <a:avLst/>
                    </a:prstGeom>
                  </pic:spPr>
                </pic:pic>
              </a:graphicData>
            </a:graphic>
          </wp:inline>
        </w:drawing>
      </w:r>
    </w:p>
    <w:p w14:paraId="2CE92F3E" w14:textId="77777777" w:rsidR="00883039" w:rsidRDefault="00883039" w:rsidP="00883039">
      <w:pPr>
        <w:spacing w:line="360" w:lineRule="auto"/>
        <w:jc w:val="both"/>
        <w:rPr>
          <w:rFonts w:ascii="Palatino Linotype" w:eastAsia="Arial Unicode MS" w:hAnsi="Palatino Linotype" w:cs="Arial"/>
          <w:b/>
        </w:rPr>
      </w:pPr>
    </w:p>
    <w:p w14:paraId="1E61DDD8" w14:textId="620BFB0F" w:rsidR="00883039" w:rsidRPr="00A02B88" w:rsidRDefault="00883039" w:rsidP="00883039">
      <w:pPr>
        <w:spacing w:line="360" w:lineRule="auto"/>
        <w:jc w:val="both"/>
        <w:rPr>
          <w:rFonts w:ascii="Palatino Linotype" w:hAnsi="Palatino Linotype"/>
        </w:rPr>
      </w:pPr>
      <w:r w:rsidRPr="00A02B88">
        <w:rPr>
          <w:rFonts w:ascii="Palatino Linotype" w:hAnsi="Palatino Linotype"/>
          <w:b/>
          <w:color w:val="000000" w:themeColor="text1"/>
          <w:sz w:val="28"/>
          <w:szCs w:val="28"/>
        </w:rPr>
        <w:t xml:space="preserve">VIII. </w:t>
      </w:r>
      <w:r w:rsidRPr="00A02B88">
        <w:rPr>
          <w:rFonts w:ascii="Palatino Linotype" w:hAnsi="Palatino Linotype"/>
        </w:rPr>
        <w:t xml:space="preserve">En fecha </w:t>
      </w:r>
      <w:r>
        <w:rPr>
          <w:rFonts w:ascii="Palatino Linotype" w:hAnsi="Palatino Linotype"/>
        </w:rPr>
        <w:t xml:space="preserve">cinco </w:t>
      </w:r>
      <w:r w:rsidRPr="00A02B88">
        <w:rPr>
          <w:rFonts w:ascii="Palatino Linotype" w:hAnsi="Palatino Linotype"/>
        </w:rPr>
        <w:t>de agosto de dos mil veintiuno, se notificó a las partes el Acuerdo de Cierre de Instrucción.</w:t>
      </w:r>
    </w:p>
    <w:p w14:paraId="2B88795E" w14:textId="77777777" w:rsidR="00883039" w:rsidRDefault="00883039" w:rsidP="00883039">
      <w:pPr>
        <w:spacing w:line="360" w:lineRule="auto"/>
        <w:jc w:val="both"/>
        <w:rPr>
          <w:rFonts w:ascii="Palatino Linotype" w:hAnsi="Palatino Linotype"/>
        </w:rPr>
      </w:pPr>
    </w:p>
    <w:p w14:paraId="2BF56C74" w14:textId="0B920179" w:rsidR="00DA4BD7" w:rsidRDefault="00DA4BD7" w:rsidP="00DA4BD7">
      <w:pPr>
        <w:spacing w:line="360" w:lineRule="auto"/>
        <w:jc w:val="both"/>
        <w:rPr>
          <w:rFonts w:ascii="Palatino Linotype" w:hAnsi="Palatino Linotype" w:cs="Arial"/>
          <w:b/>
        </w:rPr>
      </w:pPr>
      <w:r>
        <w:rPr>
          <w:rFonts w:ascii="Palatino Linotype" w:hAnsi="Palatino Linotype"/>
          <w:b/>
          <w:color w:val="000000" w:themeColor="text1"/>
          <w:sz w:val="28"/>
          <w:szCs w:val="28"/>
        </w:rPr>
        <w:t>IX</w:t>
      </w:r>
      <w:r w:rsidRPr="00817B7A">
        <w:rPr>
          <w:rFonts w:ascii="Palatino Linotype" w:hAnsi="Palatino Linotype"/>
          <w:b/>
          <w:color w:val="000000" w:themeColor="text1"/>
          <w:sz w:val="28"/>
          <w:szCs w:val="28"/>
        </w:rPr>
        <w:t>.</w:t>
      </w:r>
      <w:r>
        <w:rPr>
          <w:rFonts w:ascii="Palatino Linotype" w:hAnsi="Palatino Linotype"/>
          <w:b/>
          <w:color w:val="000000" w:themeColor="text1"/>
          <w:sz w:val="28"/>
          <w:szCs w:val="28"/>
        </w:rPr>
        <w:t xml:space="preserve"> </w:t>
      </w:r>
      <w:r>
        <w:rPr>
          <w:rFonts w:ascii="Palatino Linotype" w:hAnsi="Palatino Linotype" w:cs="Arial"/>
        </w:rPr>
        <w:t>Posteriormente, el catorce de septiembre de dos mil veintiuno, se acordó ampliar el plazo para resolver el recurso de revisión de mérito, por un periodo de hasta quince días hábiles, de conformidad con el artículo 181, tercer párrafo de la Ley de Transparencia y Acceso a la Información Pública de</w:t>
      </w:r>
      <w:r w:rsidR="00897DDB">
        <w:rPr>
          <w:rFonts w:ascii="Palatino Linotype" w:hAnsi="Palatino Linotype" w:cs="Arial"/>
        </w:rPr>
        <w:t>l Estado de México y Municipios.</w:t>
      </w:r>
      <w:r>
        <w:rPr>
          <w:rFonts w:ascii="Palatino Linotype" w:hAnsi="Palatino Linotype" w:cs="Arial"/>
        </w:rPr>
        <w:t xml:space="preserve"> </w:t>
      </w:r>
    </w:p>
    <w:p w14:paraId="67DD32DE" w14:textId="77777777" w:rsidR="00DA4BD7" w:rsidRPr="00A02B88" w:rsidRDefault="00DA4BD7" w:rsidP="00883039">
      <w:pPr>
        <w:spacing w:line="360" w:lineRule="auto"/>
        <w:jc w:val="both"/>
        <w:rPr>
          <w:rFonts w:ascii="Palatino Linotype" w:hAnsi="Palatino Linotype"/>
        </w:rPr>
      </w:pPr>
    </w:p>
    <w:p w14:paraId="2DA4D315" w14:textId="74171C07" w:rsidR="00883039" w:rsidRPr="00A02B88" w:rsidRDefault="00DA4BD7" w:rsidP="00883039">
      <w:pPr>
        <w:spacing w:line="360" w:lineRule="auto"/>
        <w:jc w:val="both"/>
        <w:rPr>
          <w:rFonts w:ascii="Palatino Linotype" w:hAnsi="Palatino Linotype" w:cs="Arial"/>
          <w:color w:val="000000" w:themeColor="text1"/>
        </w:rPr>
      </w:pPr>
      <w:r>
        <w:rPr>
          <w:rFonts w:ascii="Palatino Linotype" w:hAnsi="Palatino Linotype"/>
          <w:b/>
          <w:color w:val="000000" w:themeColor="text1"/>
          <w:sz w:val="28"/>
          <w:szCs w:val="28"/>
        </w:rPr>
        <w:t>X</w:t>
      </w:r>
      <w:r w:rsidR="00883039" w:rsidRPr="00A02B88">
        <w:rPr>
          <w:rFonts w:ascii="Palatino Linotype" w:hAnsi="Palatino Linotype"/>
          <w:b/>
          <w:color w:val="000000" w:themeColor="text1"/>
          <w:sz w:val="28"/>
          <w:szCs w:val="28"/>
        </w:rPr>
        <w:t xml:space="preserve">. </w:t>
      </w:r>
      <w:r w:rsidR="00883039" w:rsidRPr="00A02B88">
        <w:rPr>
          <w:rFonts w:ascii="Palatino Linotype" w:hAnsi="Palatino Linotype" w:cs="Arial"/>
          <w:color w:val="000000" w:themeColor="text1"/>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00883039" w:rsidRPr="00A02B88">
        <w:rPr>
          <w:rFonts w:ascii="Palatino Linotype" w:hAnsi="Palatino Linotype" w:cs="Arial"/>
          <w:color w:val="000000" w:themeColor="text1"/>
        </w:rPr>
        <w:t>returno</w:t>
      </w:r>
      <w:proofErr w:type="spellEnd"/>
      <w:r w:rsidR="00883039" w:rsidRPr="00A02B88">
        <w:rPr>
          <w:rFonts w:ascii="Palatino Linotype" w:hAnsi="Palatino Linotype" w:cs="Arial"/>
          <w:color w:val="000000" w:themeColor="text1"/>
        </w:rPr>
        <w:t xml:space="preserve"> del recurso de revisión a la Comisionada Sharon Cristina Morales Martínez, a efecto de ser resuelto, de conformidad con lo establecido en el artículo 185 fracción </w:t>
      </w:r>
      <w:r w:rsidR="00883039" w:rsidRPr="00A02B88">
        <w:rPr>
          <w:rFonts w:ascii="Palatino Linotype" w:hAnsi="Palatino Linotype" w:cs="Arial"/>
          <w:color w:val="000000" w:themeColor="text1"/>
        </w:rPr>
        <w:lastRenderedPageBreak/>
        <w:t>VIII de la Ley de Transparencia y Acceso a la Información Pública del Estado de México y Municipios; y</w:t>
      </w:r>
    </w:p>
    <w:p w14:paraId="563084C2" w14:textId="77777777" w:rsidR="00883039" w:rsidRDefault="00883039" w:rsidP="00883039">
      <w:pPr>
        <w:jc w:val="both"/>
        <w:rPr>
          <w:rFonts w:ascii="Palatino Linotype" w:eastAsia="Arial Unicode MS" w:hAnsi="Palatino Linotype" w:cs="Arial"/>
          <w:b/>
        </w:rPr>
      </w:pPr>
    </w:p>
    <w:p w14:paraId="1996111C" w14:textId="432E563F" w:rsidR="00770063" w:rsidRPr="00883039" w:rsidRDefault="00200BFC" w:rsidP="00883039">
      <w:pPr>
        <w:jc w:val="center"/>
        <w:rPr>
          <w:rFonts w:ascii="Palatino Linotype" w:hAnsi="Palatino Linotype" w:cs="Arial"/>
          <w:b/>
          <w:bCs/>
          <w:spacing w:val="60"/>
          <w:sz w:val="28"/>
        </w:rPr>
      </w:pPr>
      <w:r w:rsidRPr="00883039">
        <w:rPr>
          <w:rFonts w:ascii="Palatino Linotype" w:hAnsi="Palatino Linotype" w:cs="Arial"/>
          <w:b/>
          <w:bCs/>
          <w:spacing w:val="60"/>
          <w:sz w:val="28"/>
        </w:rPr>
        <w:t>CONSIDERANDO</w:t>
      </w:r>
    </w:p>
    <w:p w14:paraId="0C6B727C" w14:textId="617D4FC5" w:rsidR="004F3E7D" w:rsidRPr="00883039" w:rsidRDefault="004F3E7D" w:rsidP="00883039">
      <w:pPr>
        <w:rPr>
          <w:rFonts w:ascii="Palatino Linotype" w:hAnsi="Palatino Linotype"/>
          <w:b/>
        </w:rPr>
      </w:pPr>
    </w:p>
    <w:p w14:paraId="1317F366" w14:textId="4BB0A3BD" w:rsidR="00BE7097" w:rsidRPr="00883039" w:rsidRDefault="00BE7097" w:rsidP="00883039">
      <w:pPr>
        <w:spacing w:line="360" w:lineRule="auto"/>
        <w:ind w:right="50"/>
        <w:jc w:val="both"/>
        <w:rPr>
          <w:rFonts w:ascii="Palatino Linotype" w:hAnsi="Palatino Linotype" w:cs="Arial"/>
        </w:rPr>
      </w:pPr>
      <w:r w:rsidRPr="00883039">
        <w:rPr>
          <w:rFonts w:ascii="Palatino Linotype" w:hAnsi="Palatino Linotype"/>
          <w:b/>
          <w:sz w:val="28"/>
          <w:szCs w:val="28"/>
        </w:rPr>
        <w:t>PRIMERO</w:t>
      </w:r>
      <w:r w:rsidRPr="00883039">
        <w:rPr>
          <w:rFonts w:ascii="Palatino Linotype" w:hAnsi="Palatino Linotype"/>
          <w:b/>
        </w:rPr>
        <w:t>.</w:t>
      </w:r>
      <w:r w:rsidRPr="00883039">
        <w:rPr>
          <w:rFonts w:ascii="Palatino Linotype" w:hAnsi="Palatino Linotype"/>
        </w:rPr>
        <w:t xml:space="preserve"> </w:t>
      </w:r>
      <w:r w:rsidRPr="00883039">
        <w:rPr>
          <w:rFonts w:ascii="Palatino Linotype" w:hAnsi="Palatino Linotype"/>
          <w:b/>
          <w:i/>
        </w:rPr>
        <w:t>Competencia</w:t>
      </w:r>
      <w:r w:rsidRPr="00883039">
        <w:rPr>
          <w:rFonts w:ascii="Palatino Linotype" w:hAnsi="Palatino Linotype"/>
        </w:rPr>
        <w:t>.</w:t>
      </w:r>
      <w:r w:rsidRPr="00883039">
        <w:rPr>
          <w:rFonts w:ascii="Palatino Linotype" w:hAnsi="Palatino Linotype"/>
          <w:b/>
        </w:rPr>
        <w:t xml:space="preserve"> </w:t>
      </w:r>
      <w:r w:rsidRPr="00883039">
        <w:rPr>
          <w:rFonts w:ascii="Palatino Linotype" w:hAnsi="Palatino Linotype"/>
        </w:rPr>
        <w:t xml:space="preserve">Este Instituto de </w:t>
      </w:r>
      <w:r w:rsidRPr="00883039">
        <w:rPr>
          <w:rFonts w:ascii="Palatino Linotype" w:hAnsi="Palatino Linotype" w:cs="Arial"/>
        </w:rPr>
        <w:t>Transparencia</w:t>
      </w:r>
      <w:r w:rsidRPr="00883039">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005957E2" w:rsidRPr="00883039">
        <w:rPr>
          <w:rFonts w:ascii="Palatino Linotype" w:hAnsi="Palatino Linotype"/>
        </w:rPr>
        <w:t>tr</w:t>
      </w:r>
      <w:r w:rsidRPr="00883039">
        <w:rPr>
          <w:rFonts w:ascii="Palatino Linotype" w:hAnsi="Palatino Linotype"/>
        </w:rPr>
        <w:t>igésimo, trigésimo</w:t>
      </w:r>
      <w:r w:rsidR="005957E2" w:rsidRPr="00883039">
        <w:rPr>
          <w:rFonts w:ascii="Palatino Linotype" w:hAnsi="Palatino Linotype"/>
        </w:rPr>
        <w:t xml:space="preserve"> primero</w:t>
      </w:r>
      <w:r w:rsidRPr="00883039">
        <w:rPr>
          <w:rFonts w:ascii="Palatino Linotype" w:hAnsi="Palatino Linotype"/>
        </w:rPr>
        <w:t xml:space="preserve"> y trigésimo </w:t>
      </w:r>
      <w:r w:rsidR="005957E2" w:rsidRPr="00883039">
        <w:rPr>
          <w:rFonts w:ascii="Palatino Linotype" w:hAnsi="Palatino Linotype"/>
        </w:rPr>
        <w:t>segundo</w:t>
      </w:r>
      <w:r w:rsidRPr="00883039">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8303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8E142EF" w14:textId="77777777" w:rsidR="00BE7097" w:rsidRPr="00883039" w:rsidRDefault="00BE7097" w:rsidP="00883039">
      <w:pPr>
        <w:spacing w:line="360" w:lineRule="auto"/>
        <w:ind w:right="50"/>
        <w:jc w:val="both"/>
        <w:rPr>
          <w:rFonts w:ascii="Palatino Linotype" w:hAnsi="Palatino Linotype" w:cs="Arial"/>
          <w:sz w:val="16"/>
        </w:rPr>
      </w:pPr>
    </w:p>
    <w:p w14:paraId="14D18B1E" w14:textId="77777777" w:rsidR="00BE7097" w:rsidRPr="00883039" w:rsidRDefault="00BE7097" w:rsidP="00883039">
      <w:pPr>
        <w:spacing w:line="360" w:lineRule="auto"/>
        <w:ind w:right="50"/>
        <w:jc w:val="both"/>
        <w:rPr>
          <w:rFonts w:ascii="Palatino Linotype" w:hAnsi="Palatino Linotype" w:cs="Arial"/>
        </w:rPr>
      </w:pPr>
      <w:r w:rsidRPr="00883039">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883039">
        <w:rPr>
          <w:rFonts w:ascii="Palatino Linotype" w:hAnsi="Palatino Linotype" w:cs="Arial"/>
        </w:rPr>
        <w:lastRenderedPageBreak/>
        <w:t>el poner en riesgo el diverso derecho a la salud de todos los partícipes en los procesos que conllevan.</w:t>
      </w:r>
    </w:p>
    <w:p w14:paraId="5E0EAA5E" w14:textId="77777777" w:rsidR="0095007C" w:rsidRPr="00883039" w:rsidRDefault="0095007C" w:rsidP="00883039">
      <w:pPr>
        <w:spacing w:line="360" w:lineRule="auto"/>
        <w:ind w:right="50"/>
        <w:jc w:val="both"/>
        <w:rPr>
          <w:rFonts w:ascii="Palatino Linotype" w:hAnsi="Palatino Linotype" w:cs="Arial"/>
          <w:b/>
        </w:rPr>
      </w:pPr>
    </w:p>
    <w:p w14:paraId="4DD8B4F5" w14:textId="138AC263" w:rsidR="00200BFC" w:rsidRDefault="00200BFC" w:rsidP="00883039">
      <w:pPr>
        <w:spacing w:line="360" w:lineRule="auto"/>
        <w:ind w:right="50"/>
        <w:jc w:val="both"/>
        <w:rPr>
          <w:rFonts w:ascii="Palatino Linotype" w:hAnsi="Palatino Linotype" w:cs="Arial"/>
          <w:b/>
          <w:bCs/>
        </w:rPr>
      </w:pPr>
      <w:r w:rsidRPr="00883039">
        <w:rPr>
          <w:rFonts w:ascii="Palatino Linotype" w:hAnsi="Palatino Linotype" w:cs="Arial"/>
          <w:b/>
          <w:sz w:val="28"/>
        </w:rPr>
        <w:t>SEGUNDO</w:t>
      </w:r>
      <w:r w:rsidRPr="00883039">
        <w:rPr>
          <w:rFonts w:ascii="Palatino Linotype" w:hAnsi="Palatino Linotype" w:cs="Arial"/>
          <w:b/>
        </w:rPr>
        <w:t xml:space="preserve">. </w:t>
      </w:r>
      <w:r w:rsidRPr="00883039">
        <w:rPr>
          <w:rFonts w:ascii="Palatino Linotype" w:hAnsi="Palatino Linotype" w:cs="Arial"/>
          <w:b/>
          <w:i/>
        </w:rPr>
        <w:t>Interés</w:t>
      </w:r>
      <w:r w:rsidRPr="00883039">
        <w:rPr>
          <w:rFonts w:ascii="Palatino Linotype" w:hAnsi="Palatino Linotype" w:cs="Arial"/>
          <w:b/>
        </w:rPr>
        <w:t xml:space="preserve">. </w:t>
      </w:r>
      <w:r w:rsidR="006B3195" w:rsidRPr="00883039">
        <w:rPr>
          <w:rFonts w:ascii="Palatino Linotype" w:hAnsi="Palatino Linotype" w:cs="Arial"/>
          <w:bCs/>
        </w:rPr>
        <w:t>El</w:t>
      </w:r>
      <w:r w:rsidRPr="00883039">
        <w:rPr>
          <w:rFonts w:ascii="Palatino Linotype" w:hAnsi="Palatino Linotype" w:cs="Arial"/>
          <w:bCs/>
        </w:rPr>
        <w:t xml:space="preserve"> recurso de revisión fue interpuesto por parte legítim</w:t>
      </w:r>
      <w:r w:rsidR="00CC4094" w:rsidRPr="00883039">
        <w:rPr>
          <w:rFonts w:ascii="Palatino Linotype" w:hAnsi="Palatino Linotype" w:cs="Arial"/>
          <w:bCs/>
        </w:rPr>
        <w:t>a, en atención a que se present</w:t>
      </w:r>
      <w:r w:rsidR="006B3195" w:rsidRPr="00883039">
        <w:rPr>
          <w:rFonts w:ascii="Palatino Linotype" w:hAnsi="Palatino Linotype" w:cs="Arial"/>
          <w:bCs/>
        </w:rPr>
        <w:t>ó</w:t>
      </w:r>
      <w:r w:rsidRPr="00883039">
        <w:rPr>
          <w:rFonts w:ascii="Palatino Linotype" w:hAnsi="Palatino Linotype" w:cs="Arial"/>
          <w:bCs/>
        </w:rPr>
        <w:t xml:space="preserve"> por</w:t>
      </w:r>
      <w:r w:rsidR="00073F72" w:rsidRPr="00883039">
        <w:rPr>
          <w:rFonts w:ascii="Palatino Linotype" w:hAnsi="Palatino Linotype" w:cs="Arial"/>
          <w:bCs/>
        </w:rPr>
        <w:t xml:space="preserve"> </w:t>
      </w:r>
      <w:r w:rsidR="00DC3DF7" w:rsidRPr="00883039">
        <w:rPr>
          <w:rFonts w:ascii="Palatino Linotype" w:hAnsi="Palatino Linotype" w:cs="Arial"/>
          <w:b/>
        </w:rPr>
        <w:t>LA</w:t>
      </w:r>
      <w:r w:rsidRPr="00883039">
        <w:rPr>
          <w:rFonts w:ascii="Palatino Linotype" w:hAnsi="Palatino Linotype" w:cs="Arial"/>
          <w:b/>
          <w:bCs/>
        </w:rPr>
        <w:t xml:space="preserve"> RECURRENTE,</w:t>
      </w:r>
      <w:r w:rsidRPr="00883039">
        <w:rPr>
          <w:rFonts w:ascii="Palatino Linotype" w:hAnsi="Palatino Linotype" w:cs="Arial"/>
          <w:bCs/>
        </w:rPr>
        <w:t xml:space="preserve"> quien es la misma persona que formuló </w:t>
      </w:r>
      <w:r w:rsidR="006B3195" w:rsidRPr="00883039">
        <w:rPr>
          <w:rFonts w:ascii="Palatino Linotype" w:hAnsi="Palatino Linotype" w:cs="Arial"/>
          <w:bCs/>
        </w:rPr>
        <w:t>la solicitud</w:t>
      </w:r>
      <w:r w:rsidRPr="00883039">
        <w:rPr>
          <w:rFonts w:ascii="Palatino Linotype" w:hAnsi="Palatino Linotype" w:cs="Arial"/>
          <w:bCs/>
        </w:rPr>
        <w:t xml:space="preserve"> de acceso a la información pública al </w:t>
      </w:r>
      <w:r w:rsidRPr="00883039">
        <w:rPr>
          <w:rFonts w:ascii="Palatino Linotype" w:hAnsi="Palatino Linotype" w:cs="Arial"/>
          <w:b/>
          <w:bCs/>
        </w:rPr>
        <w:t>SUJETO OBLIGADO.</w:t>
      </w:r>
    </w:p>
    <w:p w14:paraId="23AE1636" w14:textId="77777777" w:rsidR="00883039" w:rsidRPr="00883039" w:rsidRDefault="00883039" w:rsidP="00883039">
      <w:pPr>
        <w:spacing w:line="360" w:lineRule="auto"/>
        <w:ind w:right="50"/>
        <w:jc w:val="both"/>
        <w:rPr>
          <w:rFonts w:ascii="Palatino Linotype" w:hAnsi="Palatino Linotype" w:cs="Arial"/>
          <w:b/>
          <w:bCs/>
        </w:rPr>
      </w:pPr>
    </w:p>
    <w:p w14:paraId="6DEC8CD3" w14:textId="3EEE6445" w:rsidR="003009A4" w:rsidRDefault="003009A4" w:rsidP="0088303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883039">
        <w:rPr>
          <w:rFonts w:ascii="Palatino Linotype" w:hAnsi="Palatino Linotype" w:cs="Arial"/>
          <w:b/>
          <w:sz w:val="28"/>
        </w:rPr>
        <w:t>TERCERO</w:t>
      </w:r>
      <w:r w:rsidRPr="00883039">
        <w:rPr>
          <w:rFonts w:ascii="Palatino Linotype" w:hAnsi="Palatino Linotype" w:cs="Arial"/>
          <w:b/>
        </w:rPr>
        <w:t xml:space="preserve">. </w:t>
      </w:r>
      <w:r w:rsidRPr="00883039">
        <w:rPr>
          <w:rFonts w:ascii="Palatino Linotype" w:hAnsi="Palatino Linotype" w:cs="Arial"/>
          <w:b/>
          <w:i/>
          <w:lang w:val="es-ES"/>
        </w:rPr>
        <w:t>Oportunidad</w:t>
      </w:r>
      <w:r w:rsidRPr="00883039">
        <w:rPr>
          <w:rFonts w:ascii="Palatino Linotype" w:hAnsi="Palatino Linotype" w:cs="Arial"/>
        </w:rPr>
        <w:t xml:space="preserve">. El recurso de revisión fue interpuesto dentro del plazo de quince días hábiles, contados a partir del día siguiente al en que </w:t>
      </w:r>
      <w:r w:rsidR="00DC3DF7" w:rsidRPr="00883039">
        <w:rPr>
          <w:rFonts w:ascii="Palatino Linotype" w:hAnsi="Palatino Linotype" w:cs="Arial"/>
          <w:b/>
        </w:rPr>
        <w:t>LA</w:t>
      </w:r>
      <w:r w:rsidRPr="00883039">
        <w:rPr>
          <w:rFonts w:ascii="Palatino Linotype" w:hAnsi="Palatino Linotype" w:cs="Arial"/>
          <w:b/>
        </w:rPr>
        <w:t xml:space="preserve"> RECURRENTE </w:t>
      </w:r>
      <w:r w:rsidRPr="0088303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896DD3F" w14:textId="77777777" w:rsidR="00883039" w:rsidRPr="00883039" w:rsidRDefault="00883039" w:rsidP="00883039">
      <w:pPr>
        <w:pStyle w:val="Prrafodelista"/>
        <w:widowControl w:val="0"/>
        <w:tabs>
          <w:tab w:val="left" w:pos="1701"/>
        </w:tabs>
        <w:autoSpaceDE w:val="0"/>
        <w:autoSpaceDN w:val="0"/>
        <w:adjustRightInd w:val="0"/>
        <w:ind w:left="0" w:right="49"/>
        <w:jc w:val="both"/>
        <w:rPr>
          <w:rFonts w:ascii="Palatino Linotype" w:hAnsi="Palatino Linotype" w:cs="Arial"/>
        </w:rPr>
      </w:pPr>
    </w:p>
    <w:p w14:paraId="26E37310" w14:textId="77777777" w:rsidR="003009A4" w:rsidRPr="00883039" w:rsidRDefault="003009A4"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w:t>
      </w:r>
      <w:r w:rsidRPr="00883039">
        <w:rPr>
          <w:rFonts w:ascii="Palatino Linotype" w:hAnsi="Palatino Linotype" w:cs="Arial"/>
          <w:b/>
          <w:i/>
          <w:sz w:val="22"/>
        </w:rPr>
        <w:t>Artículo 178.</w:t>
      </w:r>
      <w:r w:rsidRPr="0088303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C202C0" w14:textId="77777777" w:rsidR="003009A4" w:rsidRPr="00883039" w:rsidRDefault="003009A4"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3F08D10" w14:textId="77777777" w:rsidR="003009A4" w:rsidRDefault="003009A4" w:rsidP="00883039">
      <w:pPr>
        <w:ind w:left="851" w:right="899"/>
        <w:jc w:val="both"/>
        <w:rPr>
          <w:rFonts w:ascii="Palatino Linotype" w:hAnsi="Palatino Linotype" w:cs="Arial"/>
          <w:i/>
          <w:sz w:val="22"/>
        </w:rPr>
      </w:pPr>
      <w:r w:rsidRPr="00883039">
        <w:rPr>
          <w:rFonts w:ascii="Palatino Linotype" w:hAnsi="Palatino Linotype" w:cs="Arial"/>
          <w:i/>
          <w:sz w:val="22"/>
        </w:rPr>
        <w:t xml:space="preserve">En el caso de que se interponga ante la Unidad de Transparencia, ésta deberá remitir el recurso de revisión al Instituto a más tardar al día </w:t>
      </w:r>
      <w:r w:rsidRPr="00883039">
        <w:rPr>
          <w:rFonts w:ascii="Palatino Linotype" w:hAnsi="Palatino Linotype" w:cs="Arial"/>
          <w:i/>
          <w:sz w:val="22"/>
          <w:lang w:eastAsia="es-MX"/>
        </w:rPr>
        <w:t>siguiente</w:t>
      </w:r>
      <w:r w:rsidRPr="00883039">
        <w:rPr>
          <w:rFonts w:ascii="Palatino Linotype" w:hAnsi="Palatino Linotype" w:cs="Arial"/>
          <w:i/>
          <w:sz w:val="22"/>
        </w:rPr>
        <w:t xml:space="preserve"> de haberlo recibido.”</w:t>
      </w:r>
    </w:p>
    <w:p w14:paraId="7EB2AC99" w14:textId="77777777" w:rsidR="00883039" w:rsidRPr="00883039" w:rsidRDefault="00883039" w:rsidP="00883039">
      <w:pPr>
        <w:ind w:left="720" w:right="709"/>
        <w:jc w:val="both"/>
        <w:rPr>
          <w:rFonts w:ascii="Palatino Linotype" w:hAnsi="Palatino Linotype" w:cs="Arial"/>
          <w:i/>
          <w:sz w:val="22"/>
        </w:rPr>
      </w:pPr>
    </w:p>
    <w:p w14:paraId="6E608ED4" w14:textId="17800178" w:rsidR="003009A4" w:rsidRPr="00883039" w:rsidRDefault="003009A4" w:rsidP="00883039">
      <w:pPr>
        <w:spacing w:line="360" w:lineRule="auto"/>
        <w:jc w:val="both"/>
        <w:rPr>
          <w:rFonts w:ascii="Palatino Linotype" w:hAnsi="Palatino Linotype"/>
        </w:rPr>
      </w:pPr>
      <w:r w:rsidRPr="00883039">
        <w:rPr>
          <w:rFonts w:ascii="Palatino Linotype" w:hAnsi="Palatino Linotype" w:cs="Arial"/>
        </w:rPr>
        <w:t xml:space="preserve">En efecto, atendiendo a que </w:t>
      </w:r>
      <w:r w:rsidRPr="00883039">
        <w:rPr>
          <w:rFonts w:ascii="Palatino Linotype" w:hAnsi="Palatino Linotype" w:cs="Arial"/>
          <w:b/>
        </w:rPr>
        <w:t>EL SUJETO OBLIGADO</w:t>
      </w:r>
      <w:r w:rsidRPr="00883039">
        <w:rPr>
          <w:rFonts w:ascii="Palatino Linotype" w:hAnsi="Palatino Linotype" w:cs="Arial"/>
        </w:rPr>
        <w:t xml:space="preserve"> notificó la respuesta a la solicitud de información pública el día </w:t>
      </w:r>
      <w:r w:rsidR="00DC3DF7" w:rsidRPr="00883039">
        <w:rPr>
          <w:rFonts w:ascii="Palatino Linotype" w:hAnsi="Palatino Linotype" w:cs="Arial"/>
          <w:b/>
        </w:rPr>
        <w:t xml:space="preserve">dieciocho </w:t>
      </w:r>
      <w:r w:rsidRPr="00883039">
        <w:rPr>
          <w:rFonts w:ascii="Palatino Linotype" w:hAnsi="Palatino Linotype" w:cs="Arial"/>
          <w:b/>
        </w:rPr>
        <w:t xml:space="preserve">de </w:t>
      </w:r>
      <w:r w:rsidR="00DC3DF7" w:rsidRPr="00883039">
        <w:rPr>
          <w:rFonts w:ascii="Palatino Linotype" w:hAnsi="Palatino Linotype" w:cs="Arial"/>
          <w:b/>
        </w:rPr>
        <w:t>junio</w:t>
      </w:r>
      <w:r w:rsidRPr="00883039">
        <w:rPr>
          <w:rFonts w:ascii="Palatino Linotype" w:hAnsi="Palatino Linotype" w:cs="Arial"/>
          <w:b/>
        </w:rPr>
        <w:t xml:space="preserve"> de dos mil veint</w:t>
      </w:r>
      <w:r w:rsidR="006B3195" w:rsidRPr="00883039">
        <w:rPr>
          <w:rFonts w:ascii="Palatino Linotype" w:hAnsi="Palatino Linotype" w:cs="Arial"/>
          <w:b/>
        </w:rPr>
        <w:t>iuno</w:t>
      </w:r>
      <w:r w:rsidRPr="00883039">
        <w:rPr>
          <w:rFonts w:ascii="Palatino Linotype" w:hAnsi="Palatino Linotype" w:cs="Arial"/>
        </w:rPr>
        <w:t>, el plazo de quince días hábiles que el artículo 178 de la ley de la materia otorga a</w:t>
      </w:r>
      <w:r w:rsidR="006A5842">
        <w:rPr>
          <w:rFonts w:ascii="Palatino Linotype" w:hAnsi="Palatino Linotype" w:cs="Arial"/>
        </w:rPr>
        <w:t xml:space="preserve"> </w:t>
      </w:r>
      <w:r w:rsidR="006A5842" w:rsidRPr="006A5842">
        <w:rPr>
          <w:rFonts w:ascii="Palatino Linotype" w:hAnsi="Palatino Linotype" w:cs="Arial"/>
          <w:b/>
        </w:rPr>
        <w:t>LA</w:t>
      </w:r>
      <w:r w:rsidRPr="00883039">
        <w:rPr>
          <w:rFonts w:ascii="Palatino Linotype" w:hAnsi="Palatino Linotype" w:cs="Arial"/>
          <w:b/>
        </w:rPr>
        <w:t xml:space="preserve"> </w:t>
      </w:r>
      <w:r w:rsidRPr="00883039">
        <w:rPr>
          <w:rFonts w:ascii="Palatino Linotype" w:hAnsi="Palatino Linotype" w:cs="Arial"/>
          <w:b/>
        </w:rPr>
        <w:lastRenderedPageBreak/>
        <w:t>RECURRENTE</w:t>
      </w:r>
      <w:r w:rsidRPr="00883039">
        <w:rPr>
          <w:rFonts w:ascii="Palatino Linotype" w:hAnsi="Palatino Linotype" w:cs="Arial"/>
        </w:rPr>
        <w:t xml:space="preserve"> para presentar el recurso de revisión, transcurrió del </w:t>
      </w:r>
      <w:r w:rsidR="00DC3DF7" w:rsidRPr="00883039">
        <w:rPr>
          <w:rFonts w:ascii="Palatino Linotype" w:hAnsi="Palatino Linotype" w:cs="Arial"/>
          <w:b/>
        </w:rPr>
        <w:t>veintiuno</w:t>
      </w:r>
      <w:r w:rsidRPr="00883039">
        <w:rPr>
          <w:rFonts w:ascii="Palatino Linotype" w:hAnsi="Palatino Linotype" w:cs="Arial"/>
          <w:b/>
        </w:rPr>
        <w:t xml:space="preserve"> de </w:t>
      </w:r>
      <w:r w:rsidR="00DC3DF7" w:rsidRPr="00883039">
        <w:rPr>
          <w:rFonts w:ascii="Palatino Linotype" w:hAnsi="Palatino Linotype" w:cs="Arial"/>
          <w:b/>
        </w:rPr>
        <w:t>junio</w:t>
      </w:r>
      <w:r w:rsidR="006B3195" w:rsidRPr="00883039">
        <w:rPr>
          <w:rFonts w:ascii="Palatino Linotype" w:hAnsi="Palatino Linotype" w:cs="Arial"/>
          <w:b/>
        </w:rPr>
        <w:t xml:space="preserve"> al </w:t>
      </w:r>
      <w:r w:rsidR="00DC3DF7" w:rsidRPr="00883039">
        <w:rPr>
          <w:rFonts w:ascii="Palatino Linotype" w:hAnsi="Palatino Linotype" w:cs="Arial"/>
          <w:b/>
        </w:rPr>
        <w:t>nueve</w:t>
      </w:r>
      <w:r w:rsidR="006B3195" w:rsidRPr="00883039">
        <w:rPr>
          <w:rFonts w:ascii="Palatino Linotype" w:hAnsi="Palatino Linotype" w:cs="Arial"/>
          <w:b/>
        </w:rPr>
        <w:t xml:space="preserve"> de </w:t>
      </w:r>
      <w:r w:rsidR="00DC3DF7" w:rsidRPr="00883039">
        <w:rPr>
          <w:rFonts w:ascii="Palatino Linotype" w:hAnsi="Palatino Linotype" w:cs="Arial"/>
          <w:b/>
        </w:rPr>
        <w:t>julio</w:t>
      </w:r>
      <w:r w:rsidRPr="00883039">
        <w:rPr>
          <w:rFonts w:ascii="Palatino Linotype" w:hAnsi="Palatino Linotype" w:cs="Arial"/>
          <w:b/>
        </w:rPr>
        <w:t xml:space="preserve"> </w:t>
      </w:r>
      <w:r w:rsidR="006B3195" w:rsidRPr="00883039">
        <w:rPr>
          <w:rFonts w:ascii="Palatino Linotype" w:hAnsi="Palatino Linotype" w:cs="Arial"/>
          <w:b/>
        </w:rPr>
        <w:t>de</w:t>
      </w:r>
      <w:r w:rsidRPr="00883039">
        <w:rPr>
          <w:rFonts w:ascii="Palatino Linotype" w:hAnsi="Palatino Linotype" w:cs="Arial"/>
          <w:b/>
        </w:rPr>
        <w:t xml:space="preserve"> dos mil veintiuno</w:t>
      </w:r>
      <w:r w:rsidRPr="00883039">
        <w:rPr>
          <w:rFonts w:ascii="Palatino Linotype" w:hAnsi="Palatino Linotype" w:cs="Arial"/>
        </w:rPr>
        <w:t xml:space="preserve">, </w:t>
      </w:r>
      <w:r w:rsidRPr="00883039">
        <w:rPr>
          <w:rFonts w:ascii="Palatino Linotype" w:hAnsi="Palatino Linotype" w:cs="Arial"/>
          <w:lang w:val="es-ES_tradnl"/>
        </w:rPr>
        <w:t xml:space="preserve">sin contemplar en el cómputo los días </w:t>
      </w:r>
      <w:r w:rsidR="00DC3DF7" w:rsidRPr="00883039">
        <w:rPr>
          <w:rFonts w:ascii="Palatino Linotype" w:hAnsi="Palatino Linotype" w:cs="Arial"/>
          <w:lang w:val="es-ES_tradnl"/>
        </w:rPr>
        <w:t>veintiséis</w:t>
      </w:r>
      <w:r w:rsidR="006B3195" w:rsidRPr="00883039">
        <w:rPr>
          <w:rFonts w:ascii="Palatino Linotype" w:hAnsi="Palatino Linotype" w:cs="Arial"/>
          <w:lang w:val="es-ES_tradnl"/>
        </w:rPr>
        <w:t xml:space="preserve">, </w:t>
      </w:r>
      <w:r w:rsidR="00DC3DF7" w:rsidRPr="00883039">
        <w:rPr>
          <w:rFonts w:ascii="Palatino Linotype" w:hAnsi="Palatino Linotype" w:cs="Arial"/>
          <w:lang w:val="es-ES_tradnl"/>
        </w:rPr>
        <w:t>veintisiete</w:t>
      </w:r>
      <w:r w:rsidR="006B3195" w:rsidRPr="00883039">
        <w:rPr>
          <w:rFonts w:ascii="Palatino Linotype" w:hAnsi="Palatino Linotype" w:cs="Arial"/>
          <w:lang w:val="es-ES_tradnl"/>
        </w:rPr>
        <w:t xml:space="preserve"> de </w:t>
      </w:r>
      <w:r w:rsidR="00DC3DF7" w:rsidRPr="00883039">
        <w:rPr>
          <w:rFonts w:ascii="Palatino Linotype" w:hAnsi="Palatino Linotype" w:cs="Arial"/>
          <w:lang w:val="es-ES_tradnl"/>
        </w:rPr>
        <w:t>junio</w:t>
      </w:r>
      <w:r w:rsidR="006B3195" w:rsidRPr="00883039">
        <w:rPr>
          <w:rFonts w:ascii="Palatino Linotype" w:hAnsi="Palatino Linotype" w:cs="Arial"/>
          <w:lang w:val="es-ES_tradnl"/>
        </w:rPr>
        <w:t xml:space="preserve">; </w:t>
      </w:r>
      <w:r w:rsidR="00DC3DF7" w:rsidRPr="00883039">
        <w:rPr>
          <w:rFonts w:ascii="Palatino Linotype" w:hAnsi="Palatino Linotype" w:cs="Arial"/>
          <w:lang w:val="es-ES_tradnl"/>
        </w:rPr>
        <w:t>tres</w:t>
      </w:r>
      <w:r w:rsidR="006B3195" w:rsidRPr="00883039">
        <w:rPr>
          <w:rFonts w:ascii="Palatino Linotype" w:hAnsi="Palatino Linotype" w:cs="Arial"/>
          <w:lang w:val="es-ES_tradnl"/>
        </w:rPr>
        <w:t xml:space="preserve"> y </w:t>
      </w:r>
      <w:r w:rsidR="00DC3DF7" w:rsidRPr="00883039">
        <w:rPr>
          <w:rFonts w:ascii="Palatino Linotype" w:hAnsi="Palatino Linotype" w:cs="Arial"/>
          <w:lang w:val="es-ES_tradnl"/>
        </w:rPr>
        <w:t>cuatro</w:t>
      </w:r>
      <w:r w:rsidR="006B3195" w:rsidRPr="00883039">
        <w:rPr>
          <w:rFonts w:ascii="Palatino Linotype" w:hAnsi="Palatino Linotype" w:cs="Arial"/>
          <w:lang w:val="es-ES_tradnl"/>
        </w:rPr>
        <w:t xml:space="preserve"> de </w:t>
      </w:r>
      <w:r w:rsidR="00DC3DF7" w:rsidRPr="00883039">
        <w:rPr>
          <w:rFonts w:ascii="Palatino Linotype" w:hAnsi="Palatino Linotype" w:cs="Arial"/>
          <w:lang w:val="es-ES_tradnl"/>
        </w:rPr>
        <w:t>julio</w:t>
      </w:r>
      <w:r w:rsidRPr="00883039">
        <w:rPr>
          <w:rFonts w:ascii="Palatino Linotype" w:hAnsi="Palatino Linotype" w:cs="Arial"/>
          <w:lang w:val="es-ES_tradnl"/>
        </w:rPr>
        <w:t xml:space="preserve"> de dos mil veintiuno por corresponder a sábados y domingos </w:t>
      </w:r>
      <w:r w:rsidRPr="00883039">
        <w:rPr>
          <w:rFonts w:ascii="Palatino Linotype" w:hAnsi="Palatino Linotype" w:cs="Arial"/>
        </w:rPr>
        <w:t xml:space="preserve">considerados como días inhábiles; en términos del artículo 3, fracción X de la </w:t>
      </w:r>
      <w:r w:rsidRPr="00883039">
        <w:rPr>
          <w:rFonts w:ascii="Palatino Linotype" w:hAnsi="Palatino Linotype"/>
        </w:rPr>
        <w:t>Ley de Transparencia y Acceso a la Información Pública del Estado de México y Municipios.</w:t>
      </w:r>
    </w:p>
    <w:p w14:paraId="09544A23" w14:textId="77777777" w:rsidR="003009A4" w:rsidRPr="00883039" w:rsidRDefault="003009A4" w:rsidP="00883039">
      <w:pPr>
        <w:spacing w:line="360" w:lineRule="auto"/>
        <w:jc w:val="both"/>
        <w:rPr>
          <w:rFonts w:ascii="Palatino Linotype" w:hAnsi="Palatino Linotype"/>
          <w:sz w:val="14"/>
        </w:rPr>
      </w:pPr>
    </w:p>
    <w:p w14:paraId="01ACE295" w14:textId="5D052997" w:rsidR="003009A4" w:rsidRDefault="003009A4" w:rsidP="00883039">
      <w:pPr>
        <w:spacing w:line="360" w:lineRule="auto"/>
        <w:jc w:val="both"/>
        <w:rPr>
          <w:rFonts w:ascii="Palatino Linotype" w:hAnsi="Palatino Linotype" w:cs="Arial"/>
          <w:lang w:val="es-ES"/>
        </w:rPr>
      </w:pPr>
      <w:r w:rsidRPr="00883039">
        <w:rPr>
          <w:rFonts w:ascii="Palatino Linotype" w:hAnsi="Palatino Linotype" w:cs="Arial"/>
          <w:lang w:val="es-ES"/>
        </w:rPr>
        <w:t xml:space="preserve">En ese tenor, si el recurso de revisión que nos ocupa, se interpuso en fecha </w:t>
      </w:r>
      <w:r w:rsidR="00BA7B5C" w:rsidRPr="00883039">
        <w:rPr>
          <w:rFonts w:ascii="Palatino Linotype" w:hAnsi="Palatino Linotype" w:cs="Arial"/>
          <w:b/>
          <w:u w:val="single"/>
          <w:lang w:val="es-ES"/>
        </w:rPr>
        <w:t>siete</w:t>
      </w:r>
      <w:r w:rsidRPr="00883039">
        <w:rPr>
          <w:rFonts w:ascii="Palatino Linotype" w:hAnsi="Palatino Linotype" w:cs="Arial"/>
          <w:b/>
          <w:u w:val="single"/>
          <w:lang w:val="es-ES"/>
        </w:rPr>
        <w:t xml:space="preserve"> de </w:t>
      </w:r>
      <w:r w:rsidR="00BA7B5C" w:rsidRPr="00883039">
        <w:rPr>
          <w:rFonts w:ascii="Palatino Linotype" w:hAnsi="Palatino Linotype" w:cs="Arial"/>
          <w:b/>
          <w:u w:val="single"/>
          <w:lang w:val="es-ES"/>
        </w:rPr>
        <w:t>julio</w:t>
      </w:r>
      <w:r w:rsidRPr="00883039">
        <w:rPr>
          <w:rFonts w:ascii="Palatino Linotype" w:hAnsi="Palatino Linotype" w:cs="Arial"/>
          <w:b/>
          <w:u w:val="single"/>
          <w:lang w:val="es-ES"/>
        </w:rPr>
        <w:t xml:space="preserve"> de dos mil veintiuno</w:t>
      </w:r>
      <w:r w:rsidRPr="00883039">
        <w:rPr>
          <w:rFonts w:ascii="Palatino Linotype" w:hAnsi="Palatino Linotype" w:cs="Arial"/>
          <w:b/>
          <w:lang w:val="es-ES"/>
        </w:rPr>
        <w:t xml:space="preserve">, </w:t>
      </w:r>
      <w:r w:rsidRPr="00883039">
        <w:rPr>
          <w:rFonts w:ascii="Palatino Linotype" w:hAnsi="Palatino Linotype" w:cs="Arial"/>
          <w:lang w:val="es-ES"/>
        </w:rPr>
        <w:t xml:space="preserve">éste se encuentra dentro del margen temporal previsto en el precepto legal y, por tanto, es oportuno. </w:t>
      </w:r>
    </w:p>
    <w:p w14:paraId="4AAEB955" w14:textId="77777777" w:rsidR="00883039" w:rsidRPr="00883039" w:rsidRDefault="00883039" w:rsidP="00883039">
      <w:pPr>
        <w:spacing w:line="360" w:lineRule="auto"/>
        <w:jc w:val="both"/>
        <w:rPr>
          <w:rFonts w:ascii="Palatino Linotype" w:hAnsi="Palatino Linotype" w:cs="Arial"/>
          <w:lang w:val="es-ES"/>
        </w:rPr>
      </w:pPr>
    </w:p>
    <w:p w14:paraId="78A0E0DB" w14:textId="77777777" w:rsidR="006B3195" w:rsidRPr="00883039" w:rsidRDefault="006B3195" w:rsidP="0088303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
        </w:rPr>
      </w:pPr>
    </w:p>
    <w:p w14:paraId="4AE50331" w14:textId="3856F007" w:rsidR="008E740C" w:rsidRDefault="00B475A7" w:rsidP="00883039">
      <w:pPr>
        <w:pStyle w:val="Prrafodelista"/>
        <w:widowControl w:val="0"/>
        <w:tabs>
          <w:tab w:val="left" w:pos="1701"/>
        </w:tabs>
        <w:autoSpaceDE w:val="0"/>
        <w:autoSpaceDN w:val="0"/>
        <w:adjustRightInd w:val="0"/>
        <w:spacing w:line="360" w:lineRule="auto"/>
        <w:ind w:left="0" w:right="49"/>
        <w:jc w:val="both"/>
        <w:rPr>
          <w:rFonts w:ascii="Palatino Linotype" w:hAnsi="Palatino Linotype"/>
          <w:b/>
        </w:rPr>
      </w:pPr>
      <w:r w:rsidRPr="00883039">
        <w:rPr>
          <w:rFonts w:ascii="Palatino Linotype" w:hAnsi="Palatino Linotype" w:cs="Arial"/>
          <w:b/>
          <w:sz w:val="28"/>
        </w:rPr>
        <w:t>CUARTO</w:t>
      </w:r>
      <w:r w:rsidRPr="00883039">
        <w:rPr>
          <w:rFonts w:ascii="Palatino Linotype" w:hAnsi="Palatino Linotype"/>
          <w:b/>
        </w:rPr>
        <w:t xml:space="preserve">. </w:t>
      </w:r>
      <w:proofErr w:type="spellStart"/>
      <w:r w:rsidR="008E740C" w:rsidRPr="00883039">
        <w:rPr>
          <w:rFonts w:ascii="Palatino Linotype" w:hAnsi="Palatino Linotype"/>
          <w:b/>
          <w:i/>
        </w:rPr>
        <w:t>Procedibilidad</w:t>
      </w:r>
      <w:proofErr w:type="spellEnd"/>
      <w:r w:rsidR="008E740C" w:rsidRPr="00883039">
        <w:rPr>
          <w:rFonts w:ascii="Palatino Linotype" w:hAnsi="Palatino Linotype"/>
          <w:b/>
        </w:rPr>
        <w:t xml:space="preserve">. </w:t>
      </w:r>
      <w:r w:rsidR="008E740C" w:rsidRPr="0088303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8E740C" w:rsidRPr="00883039">
        <w:rPr>
          <w:rFonts w:ascii="Palatino Linotype" w:hAnsi="Palatino Linotype"/>
        </w:rPr>
        <w:t xml:space="preserve">Ley de Transparencia y Acceso a la Información Pública del Estado de México y Municipios, en atención a que fueron presentados mediante el formato visible en </w:t>
      </w:r>
      <w:r w:rsidR="008E740C" w:rsidRPr="00883039">
        <w:rPr>
          <w:rFonts w:ascii="Palatino Linotype" w:hAnsi="Palatino Linotype"/>
          <w:b/>
        </w:rPr>
        <w:t>EL SAIMEX.</w:t>
      </w:r>
    </w:p>
    <w:p w14:paraId="2C08D6BC" w14:textId="77777777" w:rsidR="00883039" w:rsidRPr="00883039" w:rsidRDefault="00883039" w:rsidP="00883039">
      <w:pPr>
        <w:pStyle w:val="Prrafodelista"/>
        <w:widowControl w:val="0"/>
        <w:tabs>
          <w:tab w:val="left" w:pos="1701"/>
        </w:tabs>
        <w:autoSpaceDE w:val="0"/>
        <w:autoSpaceDN w:val="0"/>
        <w:adjustRightInd w:val="0"/>
        <w:spacing w:line="360" w:lineRule="auto"/>
        <w:ind w:left="0" w:right="49"/>
        <w:jc w:val="both"/>
        <w:rPr>
          <w:rFonts w:ascii="Palatino Linotype" w:hAnsi="Palatino Linotype"/>
          <w:b/>
        </w:rPr>
      </w:pPr>
    </w:p>
    <w:p w14:paraId="7732E74E" w14:textId="77777777" w:rsidR="006B3195" w:rsidRPr="00883039" w:rsidRDefault="006B3195" w:rsidP="00883039">
      <w:pPr>
        <w:spacing w:line="360" w:lineRule="auto"/>
        <w:jc w:val="both"/>
        <w:rPr>
          <w:rFonts w:ascii="Palatino Linotype" w:hAnsi="Palatino Linotype" w:cs="Arial"/>
        </w:rPr>
      </w:pPr>
      <w:r w:rsidRPr="00883039">
        <w:rPr>
          <w:rFonts w:ascii="Palatino Linotype" w:hAnsi="Palatino Linotype" w:cs="Arial"/>
          <w:b/>
          <w:sz w:val="28"/>
          <w:szCs w:val="28"/>
        </w:rPr>
        <w:t>QUINTO</w:t>
      </w:r>
      <w:r w:rsidRPr="00883039">
        <w:rPr>
          <w:rFonts w:ascii="Palatino Linotype" w:hAnsi="Palatino Linotype" w:cs="Arial"/>
          <w:b/>
        </w:rPr>
        <w:t xml:space="preserve">. </w:t>
      </w:r>
      <w:r w:rsidRPr="00883039">
        <w:rPr>
          <w:rFonts w:ascii="Palatino Linotype" w:eastAsiaTheme="minorEastAsia" w:hAnsi="Palatino Linotype" w:cs="Arial"/>
          <w:b/>
          <w:i/>
          <w:lang w:val="es-ES_tradnl"/>
        </w:rPr>
        <w:t>Estudio y resolución del asunto</w:t>
      </w:r>
      <w:r w:rsidRPr="00883039">
        <w:rPr>
          <w:rFonts w:ascii="Palatino Linotype" w:eastAsiaTheme="minorEastAsia" w:hAnsi="Palatino Linotype" w:cstheme="minorBidi"/>
          <w:b/>
          <w:lang w:val="es-ES_tradnl"/>
        </w:rPr>
        <w:t xml:space="preserve">. </w:t>
      </w:r>
      <w:r w:rsidRPr="00883039">
        <w:rPr>
          <w:rFonts w:ascii="Palatino Linotype" w:hAnsi="Palatino Linotype" w:cs="Arial"/>
        </w:rPr>
        <w:t xml:space="preserve">Una vez determinada la vía sobre la que versará el presente recurso, y previa revisión del expediente electrónico formado en </w:t>
      </w:r>
      <w:r w:rsidRPr="00883039">
        <w:rPr>
          <w:rFonts w:ascii="Palatino Linotype" w:hAnsi="Palatino Linotype" w:cs="Arial"/>
          <w:b/>
        </w:rPr>
        <w:t>EL SAIMEX</w:t>
      </w:r>
      <w:r w:rsidRPr="0088303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883039">
        <w:rPr>
          <w:rFonts w:ascii="Palatino Linotype" w:hAnsi="Palatino Linotype" w:cs="Arial"/>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6E08A4D" w14:textId="77777777" w:rsidR="006B3195" w:rsidRPr="00883039" w:rsidRDefault="006B3195" w:rsidP="00883039">
      <w:pPr>
        <w:spacing w:line="360" w:lineRule="auto"/>
        <w:jc w:val="both"/>
        <w:rPr>
          <w:rFonts w:ascii="Palatino Linotype" w:hAnsi="Palatino Linotype" w:cs="Arial"/>
          <w:sz w:val="18"/>
        </w:rPr>
      </w:pPr>
    </w:p>
    <w:p w14:paraId="1F26ACA0" w14:textId="2772DB9C" w:rsidR="006B3195" w:rsidRPr="00883039" w:rsidRDefault="006B3195" w:rsidP="00883039">
      <w:pPr>
        <w:spacing w:line="360" w:lineRule="auto"/>
        <w:jc w:val="both"/>
        <w:rPr>
          <w:rFonts w:ascii="Palatino Linotype" w:hAnsi="Palatino Linotype"/>
          <w:color w:val="000000"/>
        </w:rPr>
      </w:pPr>
      <w:r w:rsidRPr="00883039">
        <w:rPr>
          <w:rFonts w:ascii="Palatino Linotype" w:hAnsi="Palatino Linotype" w:cs="Arial"/>
          <w:szCs w:val="22"/>
        </w:rPr>
        <w:t xml:space="preserve">Primero se señala que </w:t>
      </w:r>
      <w:r w:rsidR="00BA7B5C" w:rsidRPr="00883039">
        <w:rPr>
          <w:rFonts w:ascii="Palatino Linotype" w:hAnsi="Palatino Linotype" w:cs="Arial"/>
          <w:b/>
          <w:szCs w:val="22"/>
        </w:rPr>
        <w:t>LA</w:t>
      </w:r>
      <w:r w:rsidRPr="00883039">
        <w:rPr>
          <w:rFonts w:ascii="Palatino Linotype" w:hAnsi="Palatino Linotype" w:cs="Arial"/>
          <w:szCs w:val="22"/>
        </w:rPr>
        <w:t xml:space="preserve"> </w:t>
      </w:r>
      <w:r w:rsidRPr="00883039">
        <w:rPr>
          <w:rFonts w:ascii="Palatino Linotype" w:hAnsi="Palatino Linotype" w:cs="Arial"/>
          <w:b/>
          <w:szCs w:val="22"/>
        </w:rPr>
        <w:t>RECURRENTE</w:t>
      </w:r>
      <w:r w:rsidRPr="00883039">
        <w:rPr>
          <w:rFonts w:ascii="Palatino Linotype" w:hAnsi="Palatino Linotype" w:cs="Arial"/>
          <w:szCs w:val="22"/>
        </w:rPr>
        <w:t xml:space="preserve"> requirió del </w:t>
      </w:r>
      <w:r w:rsidRPr="00883039">
        <w:rPr>
          <w:rFonts w:ascii="Palatino Linotype" w:hAnsi="Palatino Linotype" w:cs="Arial"/>
          <w:b/>
          <w:szCs w:val="22"/>
        </w:rPr>
        <w:t>SUJETO OBLIGADO</w:t>
      </w:r>
      <w:r w:rsidRPr="00883039">
        <w:rPr>
          <w:rFonts w:ascii="Palatino Linotype" w:hAnsi="Palatino Linotype" w:cs="Arial"/>
          <w:szCs w:val="22"/>
        </w:rPr>
        <w:t xml:space="preserve"> lo referente a</w:t>
      </w:r>
      <w:r w:rsidR="00BA7B5C" w:rsidRPr="00883039">
        <w:rPr>
          <w:rFonts w:ascii="Palatino Linotype" w:hAnsi="Palatino Linotype" w:cs="Arial"/>
          <w:szCs w:val="22"/>
        </w:rPr>
        <w:t xml:space="preserve"> </w:t>
      </w:r>
      <w:r w:rsidR="00BA7B5C" w:rsidRPr="00883039">
        <w:rPr>
          <w:rFonts w:ascii="Palatino Linotype" w:hAnsi="Palatino Linotype"/>
          <w:color w:val="000000"/>
        </w:rPr>
        <w:t>copias simples del Conjunto Urbano denominado Real Granada tercera, cuarta y quinta etapa, ubicado en el Municipio de Tecámac, Estado de México, de lo siguiente:</w:t>
      </w:r>
    </w:p>
    <w:p w14:paraId="31DB397B" w14:textId="77777777" w:rsidR="00777426" w:rsidRPr="00883039" w:rsidRDefault="00777426" w:rsidP="00883039">
      <w:pPr>
        <w:spacing w:line="360" w:lineRule="auto"/>
        <w:jc w:val="both"/>
        <w:rPr>
          <w:rFonts w:ascii="Palatino Linotype" w:hAnsi="Palatino Linotype" w:cs="Arial"/>
        </w:rPr>
      </w:pPr>
    </w:p>
    <w:p w14:paraId="20A0E825" w14:textId="77777777"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Gaceta oficial de la dirección de Desarrollo Urbano y todos sus anexos como es planos de lotificación Plano oficial, apertura de vías públicas y división de lotes Fusión, subdivisión, apertura, ampliación o modificación de vías públicas; </w:t>
      </w:r>
    </w:p>
    <w:p w14:paraId="2CE6DA64" w14:textId="7C78952C"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Lotificación de predios para condominios; </w:t>
      </w:r>
    </w:p>
    <w:p w14:paraId="59BE03AF" w14:textId="430ED39A"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Cambios de uso del suelo, de densidad e intensidad de su aprovechamiento o de la altura máxima permitida;</w:t>
      </w:r>
    </w:p>
    <w:p w14:paraId="40CFE566" w14:textId="4857D220"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Cualquier acto administrativo de competencia estatal o municipal que haya sido requerido para la lotificación solicitada. Secciones de vías públicas y privadas, en su caso; </w:t>
      </w:r>
    </w:p>
    <w:p w14:paraId="5C6BC21A" w14:textId="1A3A072D"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Cuadro de construcción de la poligonal del predio; </w:t>
      </w:r>
    </w:p>
    <w:p w14:paraId="4C7BAA3E" w14:textId="7FF8AB91"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Datos generales de la lotificación; </w:t>
      </w:r>
    </w:p>
    <w:p w14:paraId="6A7476D4" w14:textId="639F85D0"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Cuadros de cuantificación de lotes, superficies y usos del suelo por manzana; </w:t>
      </w:r>
    </w:p>
    <w:p w14:paraId="350987DC" w14:textId="00575AFA"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Datos de las autorizaciones implícitas, en su caso; </w:t>
      </w:r>
    </w:p>
    <w:p w14:paraId="2D349F70" w14:textId="54144E68"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Datos de autorización y publicación en la Gaceta del Gobierno; </w:t>
      </w:r>
    </w:p>
    <w:p w14:paraId="5032456B" w14:textId="4555F918"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lastRenderedPageBreak/>
        <w:t xml:space="preserve">Nombre, firma y datos de registro del perito; </w:t>
      </w:r>
    </w:p>
    <w:p w14:paraId="4D6A80FD" w14:textId="4DCD66FB"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Etapas o secciones del desarrollo, si las hubiera; </w:t>
      </w:r>
    </w:p>
    <w:p w14:paraId="6D99DAB5" w14:textId="143BA394"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En su caso, los créditos nombre de quienes proyectan, dibujan y revisan. Nombre y número del plano. Nombres, cargos y firmas de los funcionarios públicos que autorizan - oficio No. 224020000/3844/2014 aprobación de proyecto de lotificación;</w:t>
      </w:r>
    </w:p>
    <w:p w14:paraId="1DED7F34" w14:textId="1E94697F"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Actas de entrega-recepción tanto parcial como total en el periodo del 2016 al 2021, detallada por número de expediente;</w:t>
      </w:r>
    </w:p>
    <w:p w14:paraId="5AEB88FF" w14:textId="1236F9CC"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 xml:space="preserve"> Actas de supervisión correspondiente a la bitácora de supervisión de control de obras de infraestructura, urbanización y equipamiento de conjuntos urbanos;</w:t>
      </w:r>
    </w:p>
    <w:p w14:paraId="0F51B276" w14:textId="6219D482"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La publicidad y/o contenido, propaganda aprobada por la Secretaria de Desarrollo Urbano para evitar propaganda engañosa conforme lo establece el artículo 5.38 fracción XII del Código Administrativo del Estado de México;</w:t>
      </w:r>
    </w:p>
    <w:p w14:paraId="3057F6BF" w14:textId="49C8E2EE" w:rsidR="00BA7B5C" w:rsidRPr="00883039" w:rsidRDefault="00BA7B5C" w:rsidP="00883039">
      <w:pPr>
        <w:pStyle w:val="Prrafodelista"/>
        <w:numPr>
          <w:ilvl w:val="0"/>
          <w:numId w:val="9"/>
        </w:numPr>
        <w:spacing w:line="360" w:lineRule="auto"/>
        <w:jc w:val="both"/>
        <w:rPr>
          <w:rFonts w:ascii="Palatino Linotype" w:hAnsi="Palatino Linotype" w:cs="Arial"/>
        </w:rPr>
      </w:pPr>
      <w:r w:rsidRPr="00883039">
        <w:rPr>
          <w:rFonts w:ascii="Palatino Linotype" w:hAnsi="Palatino Linotype"/>
          <w:color w:val="000000"/>
        </w:rPr>
        <w:t>La autorización expresa de la Secretaria de Desarrollo Urbano por conducto de la Dirección General de Operación Urbana para transferir o ceder los derechos o cambio de titularidad para la ocupación de los lotes.</w:t>
      </w:r>
    </w:p>
    <w:p w14:paraId="74FE7D54" w14:textId="77777777" w:rsidR="006B3195" w:rsidRPr="00883039" w:rsidRDefault="006B3195" w:rsidP="00883039">
      <w:pPr>
        <w:spacing w:line="360" w:lineRule="auto"/>
        <w:jc w:val="both"/>
        <w:rPr>
          <w:rFonts w:ascii="Palatino Linotype" w:hAnsi="Palatino Linotype" w:cs="Arial"/>
          <w:szCs w:val="22"/>
        </w:rPr>
      </w:pPr>
    </w:p>
    <w:p w14:paraId="621AF887" w14:textId="13FA716C" w:rsidR="006B3195" w:rsidRDefault="006B3195" w:rsidP="00883039">
      <w:pPr>
        <w:spacing w:line="360" w:lineRule="auto"/>
        <w:jc w:val="both"/>
        <w:rPr>
          <w:rFonts w:ascii="Palatino Linotype" w:hAnsi="Palatino Linotype" w:cs="Arial"/>
          <w:szCs w:val="22"/>
        </w:rPr>
      </w:pPr>
      <w:r w:rsidRPr="00883039">
        <w:rPr>
          <w:rFonts w:ascii="Palatino Linotype" w:hAnsi="Palatino Linotype" w:cs="Arial"/>
          <w:szCs w:val="22"/>
        </w:rPr>
        <w:t xml:space="preserve">De lo anterior, es que </w:t>
      </w:r>
      <w:r w:rsidRPr="00883039">
        <w:rPr>
          <w:rFonts w:ascii="Palatino Linotype" w:hAnsi="Palatino Linotype" w:cs="Arial"/>
          <w:b/>
          <w:szCs w:val="22"/>
        </w:rPr>
        <w:t>EL SUJETO OBLIGADO</w:t>
      </w:r>
      <w:r w:rsidRPr="00883039">
        <w:rPr>
          <w:rFonts w:ascii="Palatino Linotype" w:hAnsi="Palatino Linotype" w:cs="Arial"/>
          <w:szCs w:val="22"/>
        </w:rPr>
        <w:t xml:space="preserve"> dio respuesta </w:t>
      </w:r>
      <w:r w:rsidR="00735A86" w:rsidRPr="00883039">
        <w:rPr>
          <w:rFonts w:ascii="Palatino Linotype" w:hAnsi="Palatino Linotype" w:cs="Arial"/>
          <w:szCs w:val="22"/>
        </w:rPr>
        <w:t xml:space="preserve">al particular </w:t>
      </w:r>
      <w:r w:rsidRPr="00883039">
        <w:rPr>
          <w:rFonts w:ascii="Palatino Linotype" w:hAnsi="Palatino Linotype" w:cs="Arial"/>
          <w:szCs w:val="22"/>
        </w:rPr>
        <w:t>en la que le inform</w:t>
      </w:r>
      <w:r w:rsidR="00735A86" w:rsidRPr="00883039">
        <w:rPr>
          <w:rFonts w:ascii="Palatino Linotype" w:hAnsi="Palatino Linotype" w:cs="Arial"/>
          <w:szCs w:val="22"/>
        </w:rPr>
        <w:t>ó</w:t>
      </w:r>
      <w:r w:rsidRPr="00883039">
        <w:rPr>
          <w:rFonts w:ascii="Palatino Linotype" w:hAnsi="Palatino Linotype" w:cs="Arial"/>
          <w:szCs w:val="22"/>
        </w:rPr>
        <w:t xml:space="preserve"> que se ha brindado contestación a su solicitud por medio del S</w:t>
      </w:r>
      <w:r w:rsidR="00735A86" w:rsidRPr="00883039">
        <w:rPr>
          <w:rFonts w:ascii="Palatino Linotype" w:hAnsi="Palatino Linotype" w:cs="Arial"/>
          <w:szCs w:val="22"/>
        </w:rPr>
        <w:t xml:space="preserve">ervidor </w:t>
      </w:r>
      <w:r w:rsidRPr="00883039">
        <w:rPr>
          <w:rFonts w:ascii="Palatino Linotype" w:hAnsi="Palatino Linotype" w:cs="Arial"/>
          <w:szCs w:val="22"/>
        </w:rPr>
        <w:t>P</w:t>
      </w:r>
      <w:r w:rsidR="00735A86" w:rsidRPr="00883039">
        <w:rPr>
          <w:rFonts w:ascii="Palatino Linotype" w:hAnsi="Palatino Linotype" w:cs="Arial"/>
          <w:szCs w:val="22"/>
        </w:rPr>
        <w:t xml:space="preserve">úblico </w:t>
      </w:r>
      <w:r w:rsidRPr="00883039">
        <w:rPr>
          <w:rFonts w:ascii="Palatino Linotype" w:hAnsi="Palatino Linotype" w:cs="Arial"/>
          <w:szCs w:val="22"/>
        </w:rPr>
        <w:t>H</w:t>
      </w:r>
      <w:r w:rsidR="00735A86" w:rsidRPr="00883039">
        <w:rPr>
          <w:rFonts w:ascii="Palatino Linotype" w:hAnsi="Palatino Linotype" w:cs="Arial"/>
          <w:szCs w:val="22"/>
        </w:rPr>
        <w:t>abilitado Competente; sin embargo, no adjuntó la documentación requerida.</w:t>
      </w:r>
    </w:p>
    <w:p w14:paraId="6A22B081" w14:textId="77777777" w:rsidR="00883039" w:rsidRPr="00883039" w:rsidRDefault="00883039" w:rsidP="00883039">
      <w:pPr>
        <w:spacing w:line="360" w:lineRule="auto"/>
        <w:jc w:val="both"/>
        <w:rPr>
          <w:rFonts w:ascii="Palatino Linotype" w:hAnsi="Palatino Linotype"/>
          <w:i/>
          <w:sz w:val="22"/>
          <w:szCs w:val="22"/>
          <w:lang w:eastAsia="es-MX"/>
        </w:rPr>
      </w:pPr>
    </w:p>
    <w:p w14:paraId="29B94B52" w14:textId="24E73337" w:rsidR="006B3195" w:rsidRDefault="006A5842" w:rsidP="00883039">
      <w:pPr>
        <w:widowControl w:val="0"/>
        <w:spacing w:line="360" w:lineRule="auto"/>
        <w:jc w:val="both"/>
        <w:rPr>
          <w:rFonts w:ascii="Palatino Linotype" w:eastAsia="Calibri" w:hAnsi="Palatino Linotype" w:cs="Arial"/>
        </w:rPr>
      </w:pPr>
      <w:r>
        <w:rPr>
          <w:rFonts w:ascii="Palatino Linotype" w:eastAsia="Calibri" w:hAnsi="Palatino Linotype" w:cs="Arial"/>
        </w:rPr>
        <w:t>Motivo por el cual, la</w:t>
      </w:r>
      <w:r w:rsidR="00735A86" w:rsidRPr="00883039">
        <w:rPr>
          <w:rFonts w:ascii="Palatino Linotype" w:eastAsia="Calibri" w:hAnsi="Palatino Linotype" w:cs="Arial"/>
        </w:rPr>
        <w:t xml:space="preserve"> particular se inconforma y señala como acto impugnado y como razones y motivos de inconformidad que no se entregó la información</w:t>
      </w:r>
      <w:r w:rsidR="003F2B1A" w:rsidRPr="00883039">
        <w:rPr>
          <w:rFonts w:ascii="Palatino Linotype" w:eastAsia="Calibri" w:hAnsi="Palatino Linotype" w:cs="Arial"/>
        </w:rPr>
        <w:t>; en virtud de que no se adjuntó archivo alguno</w:t>
      </w:r>
      <w:r w:rsidR="00735A86" w:rsidRPr="00883039">
        <w:rPr>
          <w:rFonts w:ascii="Palatino Linotype" w:eastAsia="Calibri" w:hAnsi="Palatino Linotype" w:cs="Arial"/>
        </w:rPr>
        <w:t>.</w:t>
      </w:r>
    </w:p>
    <w:p w14:paraId="41BC83BC" w14:textId="77777777" w:rsidR="00883039" w:rsidRDefault="00883039" w:rsidP="00883039">
      <w:pPr>
        <w:widowControl w:val="0"/>
        <w:spacing w:line="360" w:lineRule="auto"/>
        <w:jc w:val="both"/>
        <w:rPr>
          <w:rFonts w:ascii="Palatino Linotype" w:eastAsia="Calibri" w:hAnsi="Palatino Linotype" w:cs="Arial"/>
        </w:rPr>
      </w:pPr>
    </w:p>
    <w:p w14:paraId="176A6C2C" w14:textId="7D848243" w:rsidR="008F730A" w:rsidRPr="00883039" w:rsidRDefault="008F730A" w:rsidP="00883039">
      <w:pPr>
        <w:widowControl w:val="0"/>
        <w:spacing w:line="360" w:lineRule="auto"/>
        <w:jc w:val="both"/>
        <w:rPr>
          <w:rFonts w:ascii="Palatino Linotype" w:hAnsi="Palatino Linotype"/>
          <w:color w:val="000000" w:themeColor="text1"/>
          <w:lang w:val="es-ES" w:eastAsia="es-MX"/>
        </w:rPr>
      </w:pPr>
      <w:r w:rsidRPr="00883039">
        <w:rPr>
          <w:rFonts w:ascii="Palatino Linotype" w:hAnsi="Palatino Linotype"/>
          <w:color w:val="000000" w:themeColor="text1"/>
          <w:lang w:val="es-ES" w:eastAsia="es-MX"/>
        </w:rPr>
        <w:t>Primeramente y derivado que la solicitud se encuentra relacionada el Conjunto Urbano denominad</w:t>
      </w:r>
      <w:r w:rsidR="00371A1E" w:rsidRPr="00883039">
        <w:rPr>
          <w:rFonts w:ascii="Palatino Linotype" w:hAnsi="Palatino Linotype"/>
          <w:color w:val="000000" w:themeColor="text1"/>
          <w:lang w:val="es-ES" w:eastAsia="es-MX"/>
        </w:rPr>
        <w:t xml:space="preserve">o Real Granada; al respecto es importante señalar que en fecha diez de enero de dos mil diecinueve, se publicó mediante Periódico Oficial “Gaceta del Gobierno”, el </w:t>
      </w:r>
      <w:r w:rsidR="00371A1E" w:rsidRPr="00883039">
        <w:rPr>
          <w:rFonts w:ascii="Palatino Linotype" w:hAnsi="Palatino Linotype"/>
          <w:i/>
          <w:color w:val="000000" w:themeColor="text1"/>
          <w:lang w:val="es-ES" w:eastAsia="es-MX"/>
        </w:rPr>
        <w:t>Acuerdo por el que se autoriza a la empresa “Promotora de Viviendas Integrales”, S.A. de C.V., el Conjunto Urano de tipo Mixto (Habitacional de Interés Social y Popular, Comercial y de Servicios), denominado “Real Granada Tercera Etapa”, ubicado en el Municipio de Tecámac, Estado de México”</w:t>
      </w:r>
      <w:r w:rsidR="007A49FD" w:rsidRPr="00883039">
        <w:rPr>
          <w:rStyle w:val="Refdenotaalpie"/>
          <w:rFonts w:ascii="Palatino Linotype" w:hAnsi="Palatino Linotype"/>
          <w:i/>
          <w:color w:val="000000" w:themeColor="text1"/>
          <w:lang w:val="es-ES" w:eastAsia="es-MX"/>
        </w:rPr>
        <w:footnoteReference w:id="1"/>
      </w:r>
      <w:r w:rsidR="007A49FD" w:rsidRPr="00883039">
        <w:rPr>
          <w:rFonts w:ascii="Palatino Linotype" w:hAnsi="Palatino Linotype"/>
          <w:i/>
          <w:color w:val="000000" w:themeColor="text1"/>
          <w:lang w:val="es-ES" w:eastAsia="es-MX"/>
        </w:rPr>
        <w:t xml:space="preserve">, </w:t>
      </w:r>
      <w:r w:rsidR="007A49FD" w:rsidRPr="00883039">
        <w:rPr>
          <w:rFonts w:ascii="Palatino Linotype" w:hAnsi="Palatino Linotype"/>
          <w:color w:val="000000" w:themeColor="text1"/>
          <w:lang w:val="es-ES" w:eastAsia="es-MX"/>
        </w:rPr>
        <w:t xml:space="preserve">conforme a los Planos de Lotificación, el cual hace referencia que incluye autorizaciones de fusión de predios, apertura de vías públicas, subdivisión de lotes y condominios los cuales se expresan gráficamente en los Planos de Lotificación, anexos a la autorización, para mayor referencia se inserta la siguiente imagen:  </w:t>
      </w:r>
    </w:p>
    <w:p w14:paraId="565A82A0" w14:textId="087F73E7" w:rsidR="007A49FD" w:rsidRPr="00883039" w:rsidRDefault="007A49FD" w:rsidP="00883039">
      <w:pPr>
        <w:widowControl w:val="0"/>
        <w:spacing w:line="360" w:lineRule="auto"/>
        <w:jc w:val="both"/>
        <w:rPr>
          <w:rFonts w:ascii="Palatino Linotype" w:hAnsi="Palatino Linotype"/>
          <w:color w:val="000000" w:themeColor="text1"/>
          <w:lang w:val="es-ES" w:eastAsia="es-MX"/>
        </w:rPr>
      </w:pPr>
      <w:r w:rsidRPr="00883039">
        <w:rPr>
          <w:rFonts w:ascii="Palatino Linotype" w:hAnsi="Palatino Linotype"/>
          <w:noProof/>
          <w:color w:val="000000" w:themeColor="text1"/>
          <w:lang w:eastAsia="es-MX"/>
        </w:rPr>
        <w:lastRenderedPageBreak/>
        <w:drawing>
          <wp:inline distT="0" distB="0" distL="0" distR="0" wp14:anchorId="1A3AF690" wp14:editId="07A19E69">
            <wp:extent cx="5791835" cy="44723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4472305"/>
                    </a:xfrm>
                    <a:prstGeom prst="rect">
                      <a:avLst/>
                    </a:prstGeom>
                  </pic:spPr>
                </pic:pic>
              </a:graphicData>
            </a:graphic>
          </wp:inline>
        </w:drawing>
      </w:r>
    </w:p>
    <w:p w14:paraId="7816AAD8" w14:textId="77777777" w:rsidR="00883039" w:rsidRDefault="00883039" w:rsidP="00883039">
      <w:pPr>
        <w:widowControl w:val="0"/>
        <w:spacing w:line="360" w:lineRule="auto"/>
        <w:jc w:val="both"/>
        <w:rPr>
          <w:rFonts w:ascii="Palatino Linotype" w:hAnsi="Palatino Linotype"/>
          <w:color w:val="000000" w:themeColor="text1"/>
          <w:lang w:val="es-ES" w:eastAsia="es-MX"/>
        </w:rPr>
      </w:pPr>
    </w:p>
    <w:p w14:paraId="09F3F70B" w14:textId="0DDE1E78" w:rsidR="00CD2706" w:rsidRPr="00883039" w:rsidRDefault="00E96015" w:rsidP="00883039">
      <w:pPr>
        <w:widowControl w:val="0"/>
        <w:spacing w:line="360" w:lineRule="auto"/>
        <w:jc w:val="both"/>
        <w:rPr>
          <w:rFonts w:ascii="Palatino Linotype" w:hAnsi="Palatino Linotype"/>
          <w:color w:val="000000" w:themeColor="text1"/>
          <w:lang w:val="es-ES" w:eastAsia="es-MX"/>
        </w:rPr>
      </w:pPr>
      <w:r>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1D43AA6D" wp14:editId="40FF2319">
                <wp:simplePos x="0" y="0"/>
                <wp:positionH relativeFrom="column">
                  <wp:posOffset>11685</wp:posOffset>
                </wp:positionH>
                <wp:positionV relativeFrom="paragraph">
                  <wp:posOffset>2734386</wp:posOffset>
                </wp:positionV>
                <wp:extent cx="5759355" cy="3316406"/>
                <wp:effectExtent l="38100" t="19050" r="70485" b="93980"/>
                <wp:wrapNone/>
                <wp:docPr id="23" name="Conector recto 23"/>
                <wp:cNvGraphicFramePr/>
                <a:graphic xmlns:a="http://schemas.openxmlformats.org/drawingml/2006/main">
                  <a:graphicData uri="http://schemas.microsoft.com/office/word/2010/wordprocessingShape">
                    <wps:wsp>
                      <wps:cNvCnPr/>
                      <wps:spPr>
                        <a:xfrm>
                          <a:off x="0" y="0"/>
                          <a:ext cx="5759355" cy="331640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5CF59F" id="Conector recto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215.3pt" to="454.4pt,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" strokecolor="black [3200]" strokeweight="2pt">
                <v:shadow on="t" color="black" opacity="24903f" origin=",.5" offset="0,.55556mm"/>
              </v:line>
            </w:pict>
          </mc:Fallback>
        </mc:AlternateContent>
      </w:r>
      <w:r w:rsidR="00CD2706" w:rsidRPr="00883039">
        <w:rPr>
          <w:rFonts w:ascii="Palatino Linotype" w:hAnsi="Palatino Linotype"/>
          <w:color w:val="000000" w:themeColor="text1"/>
          <w:lang w:val="es-ES" w:eastAsia="es-MX"/>
        </w:rPr>
        <w:t xml:space="preserve">Posteriormente, en fecha veinticinco de marzo de dos mil veinte, se publicó mediante Periódico Oficial “Gaceta del Gobierno”, el </w:t>
      </w:r>
      <w:r w:rsidR="00CD2706" w:rsidRPr="00883039">
        <w:rPr>
          <w:rFonts w:ascii="Palatino Linotype" w:hAnsi="Palatino Linotype"/>
          <w:i/>
          <w:color w:val="000000" w:themeColor="text1"/>
          <w:lang w:val="es-ES" w:eastAsia="es-MX"/>
        </w:rPr>
        <w:t>Acuerdo por el que se autoriza a la empresa “Promotora de Viviendas Integrales”, S.A. de C.V., el Conjunto Urano de tipo Mixto (Habitacional de Interés Social y Popular, Comercial y de Servicios), denominado “Real Granada Cuarta Etapa”, en el Municipio de Tecámac, Estado de México”</w:t>
      </w:r>
      <w:r w:rsidR="00CD2706" w:rsidRPr="00883039">
        <w:rPr>
          <w:rStyle w:val="Refdenotaalpie"/>
          <w:rFonts w:ascii="Palatino Linotype" w:hAnsi="Palatino Linotype"/>
          <w:i/>
          <w:color w:val="000000" w:themeColor="text1"/>
          <w:lang w:val="es-ES" w:eastAsia="es-MX"/>
        </w:rPr>
        <w:footnoteReference w:id="2"/>
      </w:r>
      <w:r w:rsidR="00CD2706" w:rsidRPr="00883039">
        <w:rPr>
          <w:rFonts w:ascii="Palatino Linotype" w:hAnsi="Palatino Linotype"/>
          <w:i/>
          <w:color w:val="000000" w:themeColor="text1"/>
          <w:lang w:val="es-ES" w:eastAsia="es-MX"/>
        </w:rPr>
        <w:t xml:space="preserve">, </w:t>
      </w:r>
      <w:r w:rsidR="00CD2706" w:rsidRPr="00883039">
        <w:rPr>
          <w:rFonts w:ascii="Palatino Linotype" w:hAnsi="Palatino Linotype"/>
          <w:color w:val="000000" w:themeColor="text1"/>
          <w:lang w:val="es-ES" w:eastAsia="es-MX"/>
        </w:rPr>
        <w:t xml:space="preserve">conforme a los </w:t>
      </w:r>
      <w:r w:rsidR="00CD2706" w:rsidRPr="00883039">
        <w:rPr>
          <w:rFonts w:ascii="Palatino Linotype" w:hAnsi="Palatino Linotype"/>
          <w:color w:val="000000" w:themeColor="text1"/>
          <w:lang w:val="es-ES" w:eastAsia="es-MX"/>
        </w:rPr>
        <w:lastRenderedPageBreak/>
        <w:t xml:space="preserve">Planos de Lotificación, el cual hace referencia que incluye autorizaciones de fusión de predios, apertura de vías públicas, subdivisión de lotes y condominios los cuales se expresan gráficamente en los Planos de Lotificación que forman parte del acuerdo de referencia, para mayor referencia se inserta la siguiente imagen:  </w:t>
      </w:r>
    </w:p>
    <w:p w14:paraId="69521B39" w14:textId="12D11310" w:rsidR="007A49FD" w:rsidRPr="00883039" w:rsidRDefault="00CD2706" w:rsidP="00883039">
      <w:pPr>
        <w:widowControl w:val="0"/>
        <w:spacing w:line="360" w:lineRule="auto"/>
        <w:jc w:val="both"/>
        <w:rPr>
          <w:rFonts w:ascii="Palatino Linotype" w:hAnsi="Palatino Linotype"/>
          <w:color w:val="000000" w:themeColor="text1"/>
          <w:lang w:val="es-ES" w:eastAsia="es-MX"/>
        </w:rPr>
      </w:pPr>
      <w:r w:rsidRPr="00883039">
        <w:rPr>
          <w:rFonts w:ascii="Palatino Linotype" w:hAnsi="Palatino Linotype"/>
          <w:noProof/>
          <w:lang w:eastAsia="es-MX"/>
        </w:rPr>
        <w:drawing>
          <wp:inline distT="0" distB="0" distL="0" distR="0" wp14:anchorId="453FC75B" wp14:editId="589EF704">
            <wp:extent cx="5791835" cy="4381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381500"/>
                    </a:xfrm>
                    <a:prstGeom prst="rect">
                      <a:avLst/>
                    </a:prstGeom>
                  </pic:spPr>
                </pic:pic>
              </a:graphicData>
            </a:graphic>
          </wp:inline>
        </w:drawing>
      </w:r>
    </w:p>
    <w:p w14:paraId="18A521B9" w14:textId="77777777" w:rsidR="00883039" w:rsidRDefault="00883039" w:rsidP="00883039">
      <w:pPr>
        <w:widowControl w:val="0"/>
        <w:spacing w:line="360" w:lineRule="auto"/>
        <w:jc w:val="both"/>
        <w:rPr>
          <w:rFonts w:ascii="Palatino Linotype" w:hAnsi="Palatino Linotype"/>
          <w:color w:val="000000" w:themeColor="text1"/>
          <w:lang w:val="es-ES" w:eastAsia="es-MX"/>
        </w:rPr>
      </w:pPr>
    </w:p>
    <w:p w14:paraId="289439E8" w14:textId="7C26105A" w:rsidR="00CD2706" w:rsidRPr="00883039" w:rsidRDefault="00CD2706" w:rsidP="00883039">
      <w:pPr>
        <w:widowControl w:val="0"/>
        <w:spacing w:line="360" w:lineRule="auto"/>
        <w:jc w:val="both"/>
        <w:rPr>
          <w:rFonts w:ascii="Palatino Linotype" w:hAnsi="Palatino Linotype"/>
          <w:color w:val="000000" w:themeColor="text1"/>
          <w:lang w:val="es-ES" w:eastAsia="es-MX"/>
        </w:rPr>
      </w:pPr>
      <w:r w:rsidRPr="00883039">
        <w:rPr>
          <w:rFonts w:ascii="Palatino Linotype" w:hAnsi="Palatino Linotype"/>
          <w:color w:val="000000" w:themeColor="text1"/>
          <w:lang w:val="es-ES" w:eastAsia="es-MX"/>
        </w:rPr>
        <w:t xml:space="preserve">Y finalmente, en fecha diecinueve de febrero de dos mil veintiuno, se publicó mediante Periódico Oficial “Gaceta del Gobierno”, el </w:t>
      </w:r>
      <w:r w:rsidRPr="00883039">
        <w:rPr>
          <w:rFonts w:ascii="Palatino Linotype" w:hAnsi="Palatino Linotype"/>
          <w:i/>
          <w:color w:val="000000" w:themeColor="text1"/>
          <w:lang w:val="es-ES" w:eastAsia="es-MX"/>
        </w:rPr>
        <w:t xml:space="preserve">Acuerdo por el que se autoriza a la empresa “Promotora de Viviendas Integrales”, S.A. de C.V., el Conjunto Urano de tipo Mixto (Habitacional de Interés Social y Popular, Comercial y de Servicios), denominado “Real </w:t>
      </w:r>
      <w:r w:rsidRPr="00883039">
        <w:rPr>
          <w:rFonts w:ascii="Palatino Linotype" w:hAnsi="Palatino Linotype"/>
          <w:i/>
          <w:color w:val="000000" w:themeColor="text1"/>
          <w:lang w:val="es-ES" w:eastAsia="es-MX"/>
        </w:rPr>
        <w:lastRenderedPageBreak/>
        <w:t>Granada Quinta Etapa”, en el Municipio de Tecámac, Estado de México”</w:t>
      </w:r>
      <w:r w:rsidRPr="00883039">
        <w:rPr>
          <w:rStyle w:val="Refdenotaalpie"/>
          <w:rFonts w:ascii="Palatino Linotype" w:hAnsi="Palatino Linotype"/>
          <w:i/>
          <w:color w:val="000000" w:themeColor="text1"/>
          <w:lang w:val="es-ES" w:eastAsia="es-MX"/>
        </w:rPr>
        <w:footnoteReference w:id="3"/>
      </w:r>
      <w:r w:rsidRPr="00883039">
        <w:rPr>
          <w:rFonts w:ascii="Palatino Linotype" w:hAnsi="Palatino Linotype"/>
          <w:i/>
          <w:color w:val="000000" w:themeColor="text1"/>
          <w:lang w:val="es-ES" w:eastAsia="es-MX"/>
        </w:rPr>
        <w:t xml:space="preserve">, </w:t>
      </w:r>
      <w:r w:rsidRPr="00883039">
        <w:rPr>
          <w:rFonts w:ascii="Palatino Linotype" w:hAnsi="Palatino Linotype"/>
          <w:color w:val="000000" w:themeColor="text1"/>
          <w:lang w:val="es-ES" w:eastAsia="es-MX"/>
        </w:rPr>
        <w:t xml:space="preserve">conforme a los Planos de Lotificación, el cual hace referencia que incluye autorizaciones de fusión de predios, apertura de vías públicas, subdivisión de lotes y condominios los cuales se expresan gráficamente en los Planos de Lotificación que forman parte del acuerdo de referencia, para mayor referencia se inserta la siguiente imagen:  </w:t>
      </w:r>
    </w:p>
    <w:p w14:paraId="5B4E36F1" w14:textId="52C28DB5" w:rsidR="00CD2706" w:rsidRPr="00883039" w:rsidRDefault="00CD2706" w:rsidP="00883039">
      <w:pPr>
        <w:widowControl w:val="0"/>
        <w:spacing w:line="360" w:lineRule="auto"/>
        <w:jc w:val="both"/>
        <w:rPr>
          <w:rFonts w:ascii="Palatino Linotype" w:hAnsi="Palatino Linotype"/>
          <w:color w:val="000000" w:themeColor="text1"/>
          <w:lang w:val="es-ES" w:eastAsia="es-MX"/>
        </w:rPr>
      </w:pPr>
      <w:r w:rsidRPr="00883039">
        <w:rPr>
          <w:rFonts w:ascii="Palatino Linotype" w:hAnsi="Palatino Linotype"/>
          <w:noProof/>
          <w:color w:val="000000" w:themeColor="text1"/>
          <w:lang w:eastAsia="es-MX"/>
        </w:rPr>
        <w:drawing>
          <wp:inline distT="0" distB="0" distL="0" distR="0" wp14:anchorId="67101665" wp14:editId="03B219E2">
            <wp:extent cx="5791835" cy="11873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3">
                      <a:extLst>
                        <a:ext uri="{28A0092B-C50C-407E-A947-70E740481C1C}">
                          <a14:useLocalDpi xmlns:a14="http://schemas.microsoft.com/office/drawing/2010/main" val="0"/>
                        </a:ext>
                      </a:extLst>
                    </a:blip>
                    <a:stretch>
                      <a:fillRect/>
                    </a:stretch>
                  </pic:blipFill>
                  <pic:spPr>
                    <a:xfrm>
                      <a:off x="0" y="0"/>
                      <a:ext cx="5823756" cy="1193899"/>
                    </a:xfrm>
                    <a:prstGeom prst="rect">
                      <a:avLst/>
                    </a:prstGeom>
                  </pic:spPr>
                </pic:pic>
              </a:graphicData>
            </a:graphic>
          </wp:inline>
        </w:drawing>
      </w:r>
      <w:r w:rsidRPr="00883039">
        <w:rPr>
          <w:rFonts w:ascii="Palatino Linotype" w:hAnsi="Palatino Linotype"/>
          <w:noProof/>
          <w:color w:val="000000" w:themeColor="text1"/>
          <w:lang w:eastAsia="es-MX"/>
        </w:rPr>
        <w:drawing>
          <wp:inline distT="0" distB="0" distL="0" distR="0" wp14:anchorId="1D298EDC" wp14:editId="1D1E6699">
            <wp:extent cx="5790353" cy="3391468"/>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4">
                      <a:extLst>
                        <a:ext uri="{28A0092B-C50C-407E-A947-70E740481C1C}">
                          <a14:useLocalDpi xmlns:a14="http://schemas.microsoft.com/office/drawing/2010/main" val="0"/>
                        </a:ext>
                      </a:extLst>
                    </a:blip>
                    <a:stretch>
                      <a:fillRect/>
                    </a:stretch>
                  </pic:blipFill>
                  <pic:spPr>
                    <a:xfrm>
                      <a:off x="0" y="0"/>
                      <a:ext cx="5805452" cy="3400311"/>
                    </a:xfrm>
                    <a:prstGeom prst="rect">
                      <a:avLst/>
                    </a:prstGeom>
                  </pic:spPr>
                </pic:pic>
              </a:graphicData>
            </a:graphic>
          </wp:inline>
        </w:drawing>
      </w:r>
    </w:p>
    <w:p w14:paraId="65774CC9" w14:textId="77777777" w:rsidR="00CD2706" w:rsidRPr="00883039" w:rsidRDefault="00CD2706" w:rsidP="00883039">
      <w:pPr>
        <w:widowControl w:val="0"/>
        <w:spacing w:line="360" w:lineRule="auto"/>
        <w:jc w:val="both"/>
        <w:rPr>
          <w:rFonts w:ascii="Palatino Linotype" w:hAnsi="Palatino Linotype"/>
          <w:color w:val="000000" w:themeColor="text1"/>
          <w:lang w:val="es-ES" w:eastAsia="es-MX"/>
        </w:rPr>
      </w:pPr>
    </w:p>
    <w:p w14:paraId="6D00F227" w14:textId="77777777" w:rsidR="005832D9" w:rsidRDefault="005832D9" w:rsidP="005832D9">
      <w:pPr>
        <w:spacing w:line="360" w:lineRule="auto"/>
        <w:jc w:val="both"/>
        <w:rPr>
          <w:rFonts w:ascii="Palatino Linotype" w:hAnsi="Palatino Linotype" w:cs="Arial"/>
          <w:color w:val="000000" w:themeColor="text1"/>
        </w:rPr>
      </w:pPr>
      <w:r w:rsidRPr="00883039">
        <w:rPr>
          <w:rFonts w:ascii="Palatino Linotype" w:hAnsi="Palatino Linotype" w:cs="Arial"/>
          <w:color w:val="000000" w:themeColor="text1"/>
        </w:rPr>
        <w:t xml:space="preserve">De lo anterior, se puede advertir que la existencia de autorización del Conjunto Urbano referido por </w:t>
      </w:r>
      <w:r>
        <w:rPr>
          <w:rFonts w:ascii="Palatino Linotype" w:hAnsi="Palatino Linotype" w:cs="Arial"/>
          <w:color w:val="000000" w:themeColor="text1"/>
        </w:rPr>
        <w:t>la</w:t>
      </w:r>
      <w:r w:rsidRPr="00883039">
        <w:rPr>
          <w:rFonts w:ascii="Palatino Linotype" w:hAnsi="Palatino Linotype" w:cs="Arial"/>
          <w:color w:val="000000" w:themeColor="text1"/>
        </w:rPr>
        <w:t xml:space="preserve"> particular en su solicitud; los cuales cuentan con planos de lotificación   tanto la tercer, cuarta y quinta etapa del conjunto urbano referido por </w:t>
      </w:r>
      <w:r>
        <w:rPr>
          <w:rFonts w:ascii="Palatino Linotype" w:hAnsi="Palatino Linotype" w:cs="Arial"/>
          <w:color w:val="000000" w:themeColor="text1"/>
        </w:rPr>
        <w:t>la</w:t>
      </w:r>
      <w:r w:rsidRPr="00883039">
        <w:rPr>
          <w:rFonts w:ascii="Palatino Linotype" w:hAnsi="Palatino Linotype" w:cs="Arial"/>
          <w:color w:val="000000" w:themeColor="text1"/>
        </w:rPr>
        <w:t xml:space="preserve"> particular en su solicitud. </w:t>
      </w:r>
    </w:p>
    <w:p w14:paraId="5856C0F2" w14:textId="77777777" w:rsidR="005832D9" w:rsidRPr="00883039" w:rsidRDefault="005832D9" w:rsidP="005832D9">
      <w:pPr>
        <w:spacing w:line="360" w:lineRule="auto"/>
        <w:jc w:val="both"/>
        <w:rPr>
          <w:rFonts w:ascii="Palatino Linotype" w:hAnsi="Palatino Linotype" w:cs="Arial"/>
          <w:color w:val="000000" w:themeColor="text1"/>
        </w:rPr>
      </w:pPr>
    </w:p>
    <w:p w14:paraId="00A7AC50" w14:textId="0FB80A87" w:rsidR="005832D9" w:rsidRDefault="005832D9" w:rsidP="005832D9">
      <w:pPr>
        <w:spacing w:line="360" w:lineRule="auto"/>
        <w:jc w:val="both"/>
        <w:rPr>
          <w:rFonts w:ascii="Palatino Linotype" w:hAnsi="Palatino Linotype"/>
        </w:rPr>
      </w:pPr>
      <w:r>
        <w:rPr>
          <w:rFonts w:ascii="Palatino Linotype" w:hAnsi="Palatino Linotype" w:cs="Arial"/>
          <w:color w:val="000000" w:themeColor="text1"/>
        </w:rPr>
        <w:t>Asimismo, es importante destacar que del contenido de los acuerdos se establece que</w:t>
      </w:r>
      <w:r w:rsidRPr="005832D9">
        <w:rPr>
          <w:rFonts w:ascii="Palatino Linotype" w:hAnsi="Palatino Linotype"/>
        </w:rPr>
        <w:t xml:space="preserve"> para iniciar la venta de lotes, opción de venta o efectuar contratos o actos que impliquen el traslado del dominio o posesión de</w:t>
      </w:r>
      <w:r>
        <w:rPr>
          <w:rFonts w:ascii="Palatino Linotype" w:hAnsi="Palatino Linotype"/>
        </w:rPr>
        <w:t xml:space="preserve"> cualquier parte o sección del C</w:t>
      </w:r>
      <w:r w:rsidRPr="005832D9">
        <w:rPr>
          <w:rFonts w:ascii="Palatino Linotype" w:hAnsi="Palatino Linotype"/>
        </w:rPr>
        <w:t xml:space="preserve">onjunto </w:t>
      </w:r>
      <w:r>
        <w:rPr>
          <w:rFonts w:ascii="Palatino Linotype" w:hAnsi="Palatino Linotype"/>
        </w:rPr>
        <w:t>U</w:t>
      </w:r>
      <w:r w:rsidRPr="005832D9">
        <w:rPr>
          <w:rFonts w:ascii="Palatino Linotype" w:hAnsi="Palatino Linotype"/>
        </w:rPr>
        <w:t xml:space="preserve">rbano, se requerirá autorización expresa de la Dirección General de Operación Urbana, la cual </w:t>
      </w:r>
      <w:r>
        <w:rPr>
          <w:rFonts w:ascii="Palatino Linotype" w:hAnsi="Palatino Linotype"/>
        </w:rPr>
        <w:t xml:space="preserve">se otorgará, </w:t>
      </w:r>
      <w:r w:rsidRPr="005832D9">
        <w:rPr>
          <w:rFonts w:ascii="Palatino Linotype" w:hAnsi="Palatino Linotype"/>
        </w:rPr>
        <w:t>previo a acreditar la disponibilidad del servicio de agua potable</w:t>
      </w:r>
      <w:r>
        <w:rPr>
          <w:rFonts w:ascii="Palatino Linotype" w:hAnsi="Palatino Linotype"/>
        </w:rPr>
        <w:t>.</w:t>
      </w:r>
    </w:p>
    <w:p w14:paraId="1B26FAF8" w14:textId="77777777" w:rsidR="005832D9" w:rsidRDefault="005832D9" w:rsidP="00883039">
      <w:pPr>
        <w:spacing w:line="360" w:lineRule="auto"/>
        <w:jc w:val="both"/>
        <w:rPr>
          <w:rFonts w:ascii="Palatino Linotype" w:hAnsi="Palatino Linotype" w:cs="Arial"/>
          <w:color w:val="000000" w:themeColor="text1"/>
        </w:rPr>
      </w:pPr>
    </w:p>
    <w:p w14:paraId="5232BAEF" w14:textId="627AA15D" w:rsidR="005D12A5" w:rsidRPr="00883039" w:rsidRDefault="005D12A5" w:rsidP="00883039">
      <w:pPr>
        <w:spacing w:line="360" w:lineRule="auto"/>
        <w:jc w:val="both"/>
        <w:rPr>
          <w:rFonts w:ascii="Palatino Linotype" w:hAnsi="Palatino Linotype" w:cs="Arial"/>
          <w:color w:val="000000" w:themeColor="text1"/>
        </w:rPr>
      </w:pPr>
      <w:r w:rsidRPr="00883039">
        <w:rPr>
          <w:rFonts w:ascii="Palatino Linotype" w:hAnsi="Palatino Linotype" w:cs="Arial"/>
          <w:color w:val="000000" w:themeColor="text1"/>
        </w:rPr>
        <w:t xml:space="preserve">En ese orden de ideas, es </w:t>
      </w:r>
      <w:r w:rsidR="00366B3C" w:rsidRPr="00883039">
        <w:rPr>
          <w:rFonts w:ascii="Palatino Linotype" w:hAnsi="Palatino Linotype" w:cs="Arial"/>
          <w:color w:val="000000" w:themeColor="text1"/>
        </w:rPr>
        <w:t xml:space="preserve">importante traer a contexto el Código Administrativo del Estado de México, el cual establece lo siguiente: </w:t>
      </w:r>
    </w:p>
    <w:p w14:paraId="20760AA9" w14:textId="77777777" w:rsidR="00366B3C" w:rsidRPr="00883039" w:rsidRDefault="00366B3C" w:rsidP="00883039">
      <w:pPr>
        <w:jc w:val="both"/>
        <w:rPr>
          <w:rFonts w:ascii="Palatino Linotype" w:hAnsi="Palatino Linotype" w:cs="Arial"/>
          <w:color w:val="000000" w:themeColor="text1"/>
        </w:rPr>
      </w:pPr>
    </w:p>
    <w:p w14:paraId="10FE7144" w14:textId="77777777" w:rsidR="00FC56D3" w:rsidRPr="00883039" w:rsidRDefault="00FC56D3"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w:t>
      </w:r>
      <w:r w:rsidR="00366B3C" w:rsidRPr="00883039">
        <w:rPr>
          <w:rFonts w:ascii="Palatino Linotype" w:hAnsi="Palatino Linotype" w:cs="Arial"/>
          <w:b/>
          <w:i/>
          <w:sz w:val="22"/>
        </w:rPr>
        <w:t>Artículo 5.10.</w:t>
      </w:r>
      <w:r w:rsidR="00366B3C" w:rsidRPr="00883039">
        <w:rPr>
          <w:rFonts w:ascii="Palatino Linotype" w:hAnsi="Palatino Linotype" w:cs="Arial"/>
          <w:i/>
          <w:sz w:val="22"/>
        </w:rPr>
        <w:t xml:space="preserve"> Los municipios tendrán las atribuciones siguientes: </w:t>
      </w:r>
    </w:p>
    <w:p w14:paraId="56EF14B6" w14:textId="77777777" w:rsidR="00FC56D3"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w:t>
      </w:r>
      <w:r w:rsidRPr="00883039">
        <w:rPr>
          <w:rFonts w:ascii="Palatino Linotype" w:hAnsi="Palatino Linotype" w:cs="Arial"/>
          <w:i/>
          <w:sz w:val="22"/>
        </w:rPr>
        <w:t xml:space="preserve"> Formular, aprobar, ejecutar, evaluar, modificar y actualizar los planes municipales de desarrollo urbano y los parciales que de ellos deriven. </w:t>
      </w:r>
    </w:p>
    <w:p w14:paraId="3D58E961" w14:textId="77777777" w:rsidR="00FC56D3"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II.</w:t>
      </w:r>
      <w:r w:rsidRPr="00883039">
        <w:rPr>
          <w:rFonts w:ascii="Palatino Linotype" w:hAnsi="Palatino Linotype" w:cs="Arial"/>
          <w:i/>
          <w:sz w:val="22"/>
        </w:rPr>
        <w:t xml:space="preserve"> Participar en la elaboración o modificación del respectivo plan regional de desarrollo urbano o de los parciales que de éste deriven, cuando incluya parte o la totalidad de su territorio; </w:t>
      </w:r>
    </w:p>
    <w:p w14:paraId="2946C76C" w14:textId="77777777" w:rsidR="00FC56D3"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III.</w:t>
      </w:r>
      <w:r w:rsidRPr="00883039">
        <w:rPr>
          <w:rFonts w:ascii="Palatino Linotype" w:hAnsi="Palatino Linotype" w:cs="Arial"/>
          <w:i/>
          <w:sz w:val="22"/>
        </w:rPr>
        <w:t xml:space="preserve"> Aprobar los proyectos ejecutivos, las memorias de cálculo y las especificaciones técnicas de las obras de infraestructura hidráulica, sanitaria y de urbanización, que establezcan los acuerdos de autorización de conjuntos urbanos, subdivisiones y condominios, con excepción de los proyectos que sean de competencia de las autoridades estatales o federales. </w:t>
      </w:r>
    </w:p>
    <w:p w14:paraId="668BED47" w14:textId="77777777" w:rsidR="00FC56D3"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IV.</w:t>
      </w:r>
      <w:r w:rsidRPr="00883039">
        <w:rPr>
          <w:rFonts w:ascii="Palatino Linotype" w:hAnsi="Palatino Linotype" w:cs="Arial"/>
          <w:i/>
          <w:sz w:val="22"/>
        </w:rPr>
        <w:t xml:space="preserve"> Supervisar la ejecución de las obras de urbanización e infraestructura hidráulica y sanitaria que establezcan los acuerdos de autorización de conjuntos urbanos, </w:t>
      </w:r>
      <w:r w:rsidRPr="00883039">
        <w:rPr>
          <w:rFonts w:ascii="Palatino Linotype" w:hAnsi="Palatino Linotype" w:cs="Arial"/>
          <w:i/>
          <w:sz w:val="22"/>
        </w:rPr>
        <w:lastRenderedPageBreak/>
        <w:t xml:space="preserve">subdivisiones y condominios, que sean de su ámbito de competencia, verificando que éstos cumplan las condiciones para la adecuada prestación de servicios públicos. </w:t>
      </w:r>
    </w:p>
    <w:p w14:paraId="1952DA00" w14:textId="77777777" w:rsidR="00FC56D3" w:rsidRPr="00883039" w:rsidRDefault="00366B3C" w:rsidP="00883039">
      <w:pPr>
        <w:ind w:left="851" w:right="899"/>
        <w:contextualSpacing/>
        <w:jc w:val="both"/>
        <w:rPr>
          <w:rFonts w:ascii="Palatino Linotype" w:hAnsi="Palatino Linotype" w:cs="Arial"/>
          <w:b/>
          <w:i/>
          <w:sz w:val="22"/>
        </w:rPr>
      </w:pPr>
      <w:r w:rsidRPr="00883039">
        <w:rPr>
          <w:rFonts w:ascii="Palatino Linotype" w:hAnsi="Palatino Linotype" w:cs="Arial"/>
          <w:b/>
          <w:i/>
          <w:sz w:val="22"/>
        </w:rPr>
        <w:t>V.</w:t>
      </w:r>
      <w:r w:rsidRPr="00883039">
        <w:rPr>
          <w:rFonts w:ascii="Palatino Linotype" w:hAnsi="Palatino Linotype" w:cs="Arial"/>
          <w:i/>
          <w:sz w:val="22"/>
        </w:rPr>
        <w:t xml:space="preserve"> </w:t>
      </w:r>
      <w:r w:rsidRPr="00883039">
        <w:rPr>
          <w:rFonts w:ascii="Palatino Linotype" w:hAnsi="Palatino Linotype" w:cs="Arial"/>
          <w:b/>
          <w:i/>
          <w:sz w:val="22"/>
        </w:rPr>
        <w:t xml:space="preserve">Recibir, conservar y operar las áreas de donación establecidas a favor del municipio, así como, las obras de urbanización, infraestructura y equipamiento urbano de los conjuntos urbanos, subdivisiones y condominios conforme a este Libro y su reglamentación; </w:t>
      </w:r>
    </w:p>
    <w:p w14:paraId="08695BAA" w14:textId="77777777" w:rsidR="00FC56D3"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w:t>
      </w:r>
      <w:r w:rsidRPr="00883039">
        <w:rPr>
          <w:rFonts w:ascii="Palatino Linotype" w:hAnsi="Palatino Linotype" w:cs="Arial"/>
          <w:i/>
          <w:sz w:val="22"/>
        </w:rPr>
        <w:t xml:space="preserve"> Expedir cédulas informativas de zonificación, licencias de uso de suelo y licencias de construcción; </w:t>
      </w:r>
    </w:p>
    <w:p w14:paraId="5DBA3999" w14:textId="77777777" w:rsidR="00910949"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VII.</w:t>
      </w:r>
      <w:r w:rsidRPr="00883039">
        <w:rPr>
          <w:rFonts w:ascii="Palatino Linotype" w:hAnsi="Palatino Linotype" w:cs="Arial"/>
          <w:i/>
          <w:sz w:val="22"/>
        </w:rPr>
        <w:t xml:space="preserve"> Autorizar cambios de uso del suelo, del coeficiente de ocupación, del coeficiente de utilización, densidad y altura de edificaciones; </w:t>
      </w:r>
    </w:p>
    <w:p w14:paraId="644206C1" w14:textId="77777777" w:rsidR="00910949"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VIII.</w:t>
      </w:r>
      <w:r w:rsidRPr="00883039">
        <w:rPr>
          <w:rFonts w:ascii="Palatino Linotype" w:hAnsi="Palatino Linotype" w:cs="Arial"/>
          <w:i/>
          <w:sz w:val="22"/>
        </w:rPr>
        <w:t xml:space="preserve"> Autorizar, controlar y vigilar la utilización y aprovechamiento del suelo con fines urbanos, en sus circunscripciones territoriales. </w:t>
      </w:r>
    </w:p>
    <w:p w14:paraId="1E987587" w14:textId="77777777" w:rsidR="00910949"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IX.</w:t>
      </w:r>
      <w:r w:rsidRPr="00883039">
        <w:rPr>
          <w:rFonts w:ascii="Palatino Linotype" w:hAnsi="Palatino Linotype" w:cs="Arial"/>
          <w:i/>
          <w:sz w:val="22"/>
        </w:rPr>
        <w:t xml:space="preserve"> Difundir los planes de desarrollo urbano, así como los trámites para obtener las autorizaciones y licencias de su competencia; </w:t>
      </w:r>
    </w:p>
    <w:p w14:paraId="3BAD8E64" w14:textId="77777777" w:rsidR="00910949"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w:t>
      </w:r>
      <w:r w:rsidRPr="00883039">
        <w:rPr>
          <w:rFonts w:ascii="Palatino Linotype" w:hAnsi="Palatino Linotype" w:cs="Arial"/>
          <w:i/>
          <w:sz w:val="22"/>
        </w:rPr>
        <w:t xml:space="preserve"> Participar en los órganos de coordinación estatal, regional y metropolitana, en materia de ordenamiento territorial de los asentamientos humanos, desarrollo urbano de los centros de población y vivienda; </w:t>
      </w:r>
    </w:p>
    <w:p w14:paraId="6B83A9FE" w14:textId="0C3C5C5C" w:rsidR="00366B3C" w:rsidRPr="00883039" w:rsidRDefault="00366B3C"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XI.</w:t>
      </w:r>
      <w:r w:rsidRPr="00883039">
        <w:rPr>
          <w:rFonts w:ascii="Palatino Linotype" w:hAnsi="Palatino Linotype" w:cs="Arial"/>
          <w:i/>
          <w:sz w:val="22"/>
        </w:rPr>
        <w:t xml:space="preserve"> Participar en la creación y administración de reservas territoriales para el desarrollo urbano y la vivienda, así como generar los instrumentos que permitan la disponibilidad de tierra para personas en situación de pobreza o vulnerabilidad</w:t>
      </w:r>
    </w:p>
    <w:p w14:paraId="75CFC09D"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XII.</w:t>
      </w:r>
      <w:r w:rsidRPr="00883039">
        <w:rPr>
          <w:rFonts w:ascii="Palatino Linotype" w:hAnsi="Palatino Linotype" w:cs="Arial"/>
          <w:i/>
          <w:sz w:val="22"/>
        </w:rPr>
        <w:t xml:space="preserve"> Ejercer indistintamente con el Estado, el derecho de preferencia para adquirir en igualdad de condiciones, predios comprendidos en las áreas urbanizables señaladas en los planes o programas de desarrollo urbano aplicables, cuando éstos vayan a ser objeto de enajenación a título oneroso. En el caso de que el Estado y el Municipio pretendan ejercer el derecho de preferencia, prevalecerá el del Estado; </w:t>
      </w:r>
    </w:p>
    <w:p w14:paraId="01A7DEEA"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XIII.</w:t>
      </w:r>
      <w:r w:rsidRPr="00883039">
        <w:rPr>
          <w:rFonts w:ascii="Palatino Linotype" w:hAnsi="Palatino Linotype" w:cs="Arial"/>
          <w:i/>
          <w:sz w:val="22"/>
        </w:rPr>
        <w:t xml:space="preserve"> Crear órganos técnicos de participación social, consulta, coordinación, evaluación y seguimiento municipales o vecinales con carácter honorífico, en materia de desarrollo urbano así como institutos municipales de planeación. </w:t>
      </w:r>
    </w:p>
    <w:p w14:paraId="70CC02A4"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 xml:space="preserve">XIV. </w:t>
      </w:r>
      <w:r w:rsidRPr="00883039">
        <w:rPr>
          <w:rFonts w:ascii="Palatino Linotype" w:hAnsi="Palatino Linotype" w:cs="Arial"/>
          <w:i/>
          <w:sz w:val="22"/>
        </w:rPr>
        <w:t xml:space="preserve">Celebrar convenios, acuerdos y contratos en las materias de este Libro. </w:t>
      </w:r>
    </w:p>
    <w:p w14:paraId="32EB25BD"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XV.</w:t>
      </w:r>
      <w:r w:rsidRPr="00883039">
        <w:rPr>
          <w:rFonts w:ascii="Palatino Linotype" w:hAnsi="Palatino Linotype" w:cs="Arial"/>
          <w:i/>
          <w:sz w:val="22"/>
        </w:rPr>
        <w:t xml:space="preserve"> Emitir dictámenes, factibilidades y opiniones técnicas del ámbito de su competencia; tratándose de aquellos que emita en relación con los trámites competencia de la Secretaría, utilizarán preferentemente previo convenio que se celebre, la plataforma tecnológica que al efecto se establezca; </w:t>
      </w:r>
    </w:p>
    <w:p w14:paraId="45182E79"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XVI.</w:t>
      </w:r>
      <w:r w:rsidRPr="00883039">
        <w:rPr>
          <w:rFonts w:ascii="Palatino Linotype" w:hAnsi="Palatino Linotype" w:cs="Arial"/>
          <w:i/>
          <w:sz w:val="22"/>
        </w:rPr>
        <w:t xml:space="preserve"> Establecer medidas y ejecutar acciones para evitar asentamientos humanos irregulares; </w:t>
      </w:r>
    </w:p>
    <w:p w14:paraId="7CE28DC9"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XVII.</w:t>
      </w:r>
      <w:r w:rsidRPr="00883039">
        <w:rPr>
          <w:rFonts w:ascii="Palatino Linotype" w:hAnsi="Palatino Linotype" w:cs="Arial"/>
          <w:i/>
          <w:sz w:val="22"/>
        </w:rPr>
        <w:t xml:space="preserve"> Intervenir en la regularización de la tenencia de la tierra; </w:t>
      </w:r>
    </w:p>
    <w:p w14:paraId="643F09D9"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XVIII.</w:t>
      </w:r>
      <w:r w:rsidRPr="00883039">
        <w:rPr>
          <w:rFonts w:ascii="Palatino Linotype" w:hAnsi="Palatino Linotype" w:cs="Arial"/>
          <w:i/>
          <w:sz w:val="22"/>
        </w:rPr>
        <w:t xml:space="preserve"> Expedir los reglamentos y disposiciones administrativas de su competencia, de conformidad con lo dispuesto por este Libro y su reglamentación; </w:t>
      </w:r>
    </w:p>
    <w:p w14:paraId="2ECC973B"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lastRenderedPageBreak/>
        <w:t>XIX.</w:t>
      </w:r>
      <w:r w:rsidRPr="00883039">
        <w:rPr>
          <w:rFonts w:ascii="Palatino Linotype" w:hAnsi="Palatino Linotype" w:cs="Arial"/>
          <w:i/>
          <w:sz w:val="22"/>
        </w:rPr>
        <w:t xml:space="preserve"> Vigilar, conforme a su competencia, el cumplimiento de este Libro y sus disposiciones reglamentarias, de los planes de desarrollo urbano, de las disposiciones administrativas y reglamentarias que emita en la materia y de las autorizaciones y licencias que otorgue; </w:t>
      </w:r>
    </w:p>
    <w:p w14:paraId="1E05C379"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XX.</w:t>
      </w:r>
      <w:r w:rsidRPr="00883039">
        <w:rPr>
          <w:rFonts w:ascii="Palatino Linotype" w:hAnsi="Palatino Linotype" w:cs="Arial"/>
          <w:i/>
          <w:sz w:val="22"/>
        </w:rPr>
        <w:t xml:space="preserve"> Determinar infracciones de los particulares a las disposiciones de este Libro y de su reglamentación e imponer las medidas de seguridad y sanciones que establece el presente Libro, así como dar vista a las autoridades competentes para la aplicación de las sanciones penales conducentes. </w:t>
      </w:r>
    </w:p>
    <w:p w14:paraId="5D2C04CD"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XXI.</w:t>
      </w:r>
      <w:r w:rsidRPr="00883039">
        <w:rPr>
          <w:rFonts w:ascii="Palatino Linotype" w:hAnsi="Palatino Linotype" w:cs="Arial"/>
          <w:i/>
          <w:sz w:val="22"/>
        </w:rPr>
        <w:t xml:space="preserve"> Solicitar a la Secretaría los dictámenes de congruencia de los planes de desarrollo urbano de su competencia, así como su correspondiente inscripción en el Instituto de la Función Registral del Estado de México. </w:t>
      </w:r>
    </w:p>
    <w:p w14:paraId="1408D03D"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XXII.</w:t>
      </w:r>
      <w:r w:rsidRPr="00883039">
        <w:rPr>
          <w:rFonts w:ascii="Palatino Linotype" w:hAnsi="Palatino Linotype" w:cs="Arial"/>
          <w:i/>
          <w:sz w:val="22"/>
        </w:rPr>
        <w:t xml:space="preserve"> Informar anualmente a la ciudadanía sobre la aplicación y ejecución de los planes o programas de desarrollo urbano. </w:t>
      </w:r>
    </w:p>
    <w:p w14:paraId="73C1FE34"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XXIII.</w:t>
      </w:r>
      <w:r w:rsidRPr="00883039">
        <w:rPr>
          <w:rFonts w:ascii="Palatino Linotype" w:hAnsi="Palatino Linotype" w:cs="Arial"/>
          <w:i/>
          <w:sz w:val="22"/>
        </w:rPr>
        <w:t xml:space="preserve"> Promover y ejecutar acciones para prevenir y mitigar el riesgo de los asentamientos humanos y aumentar la </w:t>
      </w:r>
      <w:proofErr w:type="spellStart"/>
      <w:r w:rsidRPr="00883039">
        <w:rPr>
          <w:rFonts w:ascii="Palatino Linotype" w:hAnsi="Palatino Linotype" w:cs="Arial"/>
          <w:i/>
          <w:sz w:val="22"/>
        </w:rPr>
        <w:t>resiliencia</w:t>
      </w:r>
      <w:proofErr w:type="spellEnd"/>
      <w:r w:rsidRPr="00883039">
        <w:rPr>
          <w:rFonts w:ascii="Palatino Linotype" w:hAnsi="Palatino Linotype" w:cs="Arial"/>
          <w:i/>
          <w:sz w:val="22"/>
        </w:rPr>
        <w:t xml:space="preserve"> de los mismos ante fenómenos naturales y </w:t>
      </w:r>
      <w:proofErr w:type="spellStart"/>
      <w:r w:rsidRPr="00883039">
        <w:rPr>
          <w:rFonts w:ascii="Palatino Linotype" w:hAnsi="Palatino Linotype" w:cs="Arial"/>
          <w:i/>
          <w:sz w:val="22"/>
        </w:rPr>
        <w:t>antropogénicos</w:t>
      </w:r>
      <w:proofErr w:type="spellEnd"/>
      <w:r w:rsidRPr="00883039">
        <w:rPr>
          <w:rFonts w:ascii="Palatino Linotype" w:hAnsi="Palatino Linotype" w:cs="Arial"/>
          <w:i/>
          <w:sz w:val="22"/>
        </w:rPr>
        <w:t xml:space="preserve">. </w:t>
      </w:r>
    </w:p>
    <w:p w14:paraId="26430FB5" w14:textId="77777777"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 xml:space="preserve">XXIV. </w:t>
      </w:r>
      <w:r w:rsidRPr="00883039">
        <w:rPr>
          <w:rFonts w:ascii="Palatino Linotype" w:hAnsi="Palatino Linotype" w:cs="Arial"/>
          <w:i/>
          <w:sz w:val="22"/>
        </w:rPr>
        <w:t xml:space="preserve">Atender y cumplir los lineamientos y normas relativas a polígonos de protección y salvaguarda en zonas de riesgo, así como de zonas restringidas o identificadas como áreas no urbanizables. </w:t>
      </w:r>
    </w:p>
    <w:p w14:paraId="416157CB" w14:textId="75BE621A" w:rsidR="00366B3C"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XXV.</w:t>
      </w:r>
      <w:r w:rsidRPr="00883039">
        <w:rPr>
          <w:rFonts w:ascii="Palatino Linotype" w:hAnsi="Palatino Linotype" w:cs="Arial"/>
          <w:i/>
          <w:sz w:val="22"/>
        </w:rPr>
        <w:t xml:space="preserve"> Promover con la participación del Estado, polígonos de actuación; polígonos sujetos a densificación y polígonos para el desarrollo o aprovechamiento prioritario o estratégico de inmuebles, que permitan llevar a cabo acciones específicas para el crecimiento, consolidación, mejoramiento y conservación de los centros de población.</w:t>
      </w:r>
    </w:p>
    <w:p w14:paraId="23C66700" w14:textId="28C19A71"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XXVI.</w:t>
      </w:r>
      <w:r w:rsidRPr="00883039">
        <w:rPr>
          <w:rFonts w:ascii="Palatino Linotype" w:hAnsi="Palatino Linotype" w:cs="Arial"/>
          <w:i/>
          <w:sz w:val="22"/>
        </w:rPr>
        <w:t xml:space="preserve"> Las demás que le confieran este Libro, y otras disposiciones jurídicas.” </w:t>
      </w:r>
    </w:p>
    <w:p w14:paraId="33644541" w14:textId="345C1A66" w:rsidR="00910949" w:rsidRPr="00883039" w:rsidRDefault="00910949"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(Énfasis añadido)</w:t>
      </w:r>
    </w:p>
    <w:p w14:paraId="1A5415B1" w14:textId="77777777" w:rsidR="0030518F" w:rsidRPr="00883039" w:rsidRDefault="0030518F" w:rsidP="00883039">
      <w:pPr>
        <w:ind w:right="709"/>
        <w:contextualSpacing/>
        <w:jc w:val="both"/>
        <w:rPr>
          <w:rFonts w:ascii="Palatino Linotype" w:hAnsi="Palatino Linotype" w:cs="Arial"/>
          <w:i/>
          <w:sz w:val="22"/>
        </w:rPr>
      </w:pPr>
    </w:p>
    <w:p w14:paraId="505CDC41" w14:textId="4A284A0E" w:rsidR="00521869" w:rsidRPr="00883039" w:rsidRDefault="00521869" w:rsidP="00883039">
      <w:pPr>
        <w:spacing w:line="360" w:lineRule="auto"/>
        <w:jc w:val="both"/>
        <w:rPr>
          <w:rFonts w:ascii="Palatino Linotype" w:hAnsi="Palatino Linotype" w:cs="Arial"/>
          <w:color w:val="000000" w:themeColor="text1"/>
        </w:rPr>
      </w:pPr>
      <w:r w:rsidRPr="00883039">
        <w:rPr>
          <w:rFonts w:ascii="Palatino Linotype" w:hAnsi="Palatino Linotype" w:cs="Arial"/>
          <w:color w:val="000000" w:themeColor="text1"/>
        </w:rPr>
        <w:t xml:space="preserve">Es así que, de la normatividad en cita, se advierte que los Municipios tienen entre otras atribuciones la de recibir, conservar y operar las áreas de donación establecidas a favor del municipio, así como, las obras de urbanización, infraestructura y equipamiento urbano de los conjuntos urbanos, subdivisiones y condominios conforme a este Libro Quinto del Ordenamiento Territorial de los Asentamientos Humanos y del Desarrollo Urbano de los Centros de Población, los cuales deben observar los principios generales de política pública (derecho a la ciudad, equidad e inclusión, derecho a la propiedad urbana, coherencia y racionalidad, participación democrática y transparencia, </w:t>
      </w:r>
      <w:r w:rsidRPr="00883039">
        <w:rPr>
          <w:rFonts w:ascii="Palatino Linotype" w:hAnsi="Palatino Linotype" w:cs="Arial"/>
          <w:color w:val="000000" w:themeColor="text1"/>
        </w:rPr>
        <w:lastRenderedPageBreak/>
        <w:t xml:space="preserve">productividad y eficiencia, protección y progresividad del espacio público, </w:t>
      </w:r>
      <w:proofErr w:type="spellStart"/>
      <w:r w:rsidRPr="00883039">
        <w:rPr>
          <w:rFonts w:ascii="Palatino Linotype" w:hAnsi="Palatino Linotype" w:cs="Arial"/>
          <w:color w:val="000000" w:themeColor="text1"/>
        </w:rPr>
        <w:t>resiliencia</w:t>
      </w:r>
      <w:proofErr w:type="spellEnd"/>
      <w:r w:rsidRPr="00883039">
        <w:rPr>
          <w:rFonts w:ascii="Palatino Linotype" w:hAnsi="Palatino Linotype" w:cs="Arial"/>
          <w:color w:val="000000" w:themeColor="text1"/>
        </w:rPr>
        <w:t>, seguridad urbana y riesgos, sustentabilidad ambiental y accesibilidad universal y movilidad</w:t>
      </w:r>
      <w:r w:rsidR="00F12B6F" w:rsidRPr="00883039">
        <w:rPr>
          <w:rFonts w:ascii="Palatino Linotype" w:hAnsi="Palatino Linotype" w:cs="Arial"/>
          <w:color w:val="000000" w:themeColor="text1"/>
        </w:rPr>
        <w:t>)</w:t>
      </w:r>
      <w:r w:rsidRPr="00883039">
        <w:rPr>
          <w:rFonts w:ascii="Palatino Linotype" w:hAnsi="Palatino Linotype" w:cs="Arial"/>
          <w:color w:val="000000" w:themeColor="text1"/>
        </w:rPr>
        <w:t xml:space="preserve">, previstos en la Ley General de Asentamientos Humanos, Ordenamiento Territorial y Desarrollo Urbano. </w:t>
      </w:r>
    </w:p>
    <w:p w14:paraId="7E43C996" w14:textId="77777777" w:rsidR="00521869" w:rsidRPr="00883039" w:rsidRDefault="00521869" w:rsidP="00883039">
      <w:pPr>
        <w:spacing w:line="360" w:lineRule="auto"/>
        <w:jc w:val="both"/>
        <w:rPr>
          <w:rFonts w:ascii="Palatino Linotype" w:hAnsi="Palatino Linotype" w:cs="Arial"/>
          <w:color w:val="000000" w:themeColor="text1"/>
        </w:rPr>
      </w:pPr>
    </w:p>
    <w:p w14:paraId="586987AB" w14:textId="77777777" w:rsidR="00F12B6F" w:rsidRPr="00883039" w:rsidRDefault="00F12B6F" w:rsidP="00883039">
      <w:pPr>
        <w:spacing w:line="360" w:lineRule="auto"/>
        <w:jc w:val="both"/>
        <w:rPr>
          <w:rFonts w:ascii="Palatino Linotype" w:hAnsi="Palatino Linotype" w:cs="Arial"/>
          <w:color w:val="000000" w:themeColor="text1"/>
        </w:rPr>
      </w:pPr>
      <w:r w:rsidRPr="00883039">
        <w:rPr>
          <w:rFonts w:ascii="Palatino Linotype" w:hAnsi="Palatino Linotype" w:cs="Arial"/>
          <w:color w:val="000000" w:themeColor="text1"/>
        </w:rPr>
        <w:t xml:space="preserve">Ahora bien, el artículo 61 del Reglamento del Libro Quinto del Código Administrativo del Estado de México, dispone: </w:t>
      </w:r>
    </w:p>
    <w:p w14:paraId="63867DEA" w14:textId="77777777" w:rsidR="00F12B6F" w:rsidRPr="00883039" w:rsidRDefault="00F12B6F" w:rsidP="00883039">
      <w:pPr>
        <w:ind w:left="851" w:right="899"/>
        <w:contextualSpacing/>
        <w:jc w:val="both"/>
        <w:rPr>
          <w:rFonts w:ascii="Palatino Linotype" w:hAnsi="Palatino Linotype" w:cs="Arial"/>
          <w:i/>
          <w:sz w:val="22"/>
        </w:rPr>
      </w:pPr>
    </w:p>
    <w:p w14:paraId="39996F32" w14:textId="77777777" w:rsidR="00F12B6F" w:rsidRPr="00883039" w:rsidRDefault="00F12B6F" w:rsidP="00883039">
      <w:pPr>
        <w:ind w:left="851" w:right="899"/>
        <w:contextualSpacing/>
        <w:jc w:val="both"/>
        <w:rPr>
          <w:rFonts w:ascii="Palatino Linotype" w:hAnsi="Palatino Linotype" w:cs="Arial"/>
          <w:b/>
          <w:i/>
          <w:sz w:val="22"/>
        </w:rPr>
      </w:pPr>
      <w:r w:rsidRPr="00883039">
        <w:rPr>
          <w:rFonts w:ascii="Palatino Linotype" w:hAnsi="Palatino Linotype" w:cs="Arial"/>
          <w:b/>
          <w:i/>
          <w:sz w:val="22"/>
        </w:rPr>
        <w:t xml:space="preserve">“DE LAS OBRAS DE URBANIZACIÓN Y DE LAS OBRAS DE INFRAESTRUCTURA PRIMARIA </w:t>
      </w:r>
    </w:p>
    <w:p w14:paraId="4E4BAE4D"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Artículo 61.</w:t>
      </w:r>
      <w:r w:rsidRPr="00883039">
        <w:rPr>
          <w:rFonts w:ascii="Palatino Linotype" w:hAnsi="Palatino Linotype" w:cs="Arial"/>
          <w:i/>
          <w:sz w:val="22"/>
        </w:rPr>
        <w:t xml:space="preserve"> Las obras de urbanización de los conjuntos urbanos comprenderán por lo menos, lo siguiente: </w:t>
      </w:r>
    </w:p>
    <w:p w14:paraId="486A9158"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w:t>
      </w:r>
      <w:r w:rsidRPr="00883039">
        <w:rPr>
          <w:rFonts w:ascii="Palatino Linotype" w:hAnsi="Palatino Linotype" w:cs="Arial"/>
          <w:i/>
          <w:sz w:val="22"/>
        </w:rPr>
        <w:t xml:space="preserve"> Red de distribución de agua potable y los sistemas que se emplearán para el ahorro, reutilización y tratamiento del agua; </w:t>
      </w:r>
    </w:p>
    <w:p w14:paraId="3B56C0D9"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II.</w:t>
      </w:r>
      <w:r w:rsidRPr="00883039">
        <w:rPr>
          <w:rFonts w:ascii="Palatino Linotype" w:hAnsi="Palatino Linotype" w:cs="Arial"/>
          <w:i/>
          <w:sz w:val="22"/>
        </w:rPr>
        <w:t xml:space="preserve"> Red separada de drenaje pluvial y sanitario y los sistemas para su manejo y tratamiento, que incluya un sistema de captación y aprovechamiento de agua pluvial, así como para la filtración del agua pluvial al subsuelo, que sean aprobados por la autoridad competente respectiva; </w:t>
      </w:r>
    </w:p>
    <w:p w14:paraId="0A31238C"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III.</w:t>
      </w:r>
      <w:r w:rsidRPr="00883039">
        <w:rPr>
          <w:rFonts w:ascii="Palatino Linotype" w:hAnsi="Palatino Linotype" w:cs="Arial"/>
          <w:i/>
          <w:sz w:val="22"/>
        </w:rPr>
        <w:t xml:space="preserve"> Red de distribución de energía eléctrica; </w:t>
      </w:r>
    </w:p>
    <w:p w14:paraId="1A2D55C1"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IV.</w:t>
      </w:r>
      <w:r w:rsidRPr="00883039">
        <w:rPr>
          <w:rFonts w:ascii="Palatino Linotype" w:hAnsi="Palatino Linotype" w:cs="Arial"/>
          <w:i/>
          <w:sz w:val="22"/>
        </w:rPr>
        <w:t xml:space="preserve"> Red de alumbrado público, debiéndose utilizar sistemas y elementos ahorradores de energía eléctrica; </w:t>
      </w:r>
    </w:p>
    <w:p w14:paraId="583F80D0"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w:t>
      </w:r>
      <w:r w:rsidRPr="00883039">
        <w:rPr>
          <w:rFonts w:ascii="Palatino Linotype" w:hAnsi="Palatino Linotype" w:cs="Arial"/>
          <w:i/>
          <w:sz w:val="22"/>
        </w:rPr>
        <w:t xml:space="preserve"> Guarniciones y banquetas, con adoquines, concreto hidráulico permeable o de algún material que permitan la filtración pluvial, conforme a las evaluaciones técnicas de impacto que sustentan la Evaluación de Impacto Estatal; </w:t>
      </w:r>
    </w:p>
    <w:p w14:paraId="173D9224"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w:t>
      </w:r>
      <w:r w:rsidRPr="00883039">
        <w:rPr>
          <w:rFonts w:ascii="Palatino Linotype" w:hAnsi="Palatino Linotype" w:cs="Arial"/>
          <w:i/>
          <w:sz w:val="22"/>
        </w:rPr>
        <w:t xml:space="preserve"> Pavimento en arroyo de calles; para el caso de estacionamientos y andadores con material que permitan la filtración pluvial, conforme a las evaluaciones técnicas de impacto que sustentan la Evaluación de Impacto Estatal; </w:t>
      </w:r>
    </w:p>
    <w:p w14:paraId="301C3C1B"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VII.</w:t>
      </w:r>
      <w:r w:rsidRPr="00883039">
        <w:rPr>
          <w:rFonts w:ascii="Palatino Linotype" w:hAnsi="Palatino Linotype" w:cs="Arial"/>
          <w:i/>
          <w:sz w:val="22"/>
        </w:rPr>
        <w:t xml:space="preserve"> Jardinería y forestación de acuerdo con las evaluaciones técnicas de impacto correspondientes que sustentan la Evaluación de Impacto Estatal; </w:t>
      </w:r>
    </w:p>
    <w:p w14:paraId="463AA728"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VIII.</w:t>
      </w:r>
      <w:r w:rsidRPr="00883039">
        <w:rPr>
          <w:rFonts w:ascii="Palatino Linotype" w:hAnsi="Palatino Linotype" w:cs="Arial"/>
          <w:i/>
          <w:sz w:val="22"/>
        </w:rPr>
        <w:t xml:space="preserve"> Sistema de nomenclatura para las vías públicas, andadores y plazas, debidamente aprobado por el Municipio, y </w:t>
      </w:r>
    </w:p>
    <w:p w14:paraId="532B9115"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IX.</w:t>
      </w:r>
      <w:r w:rsidRPr="00883039">
        <w:rPr>
          <w:rFonts w:ascii="Palatino Linotype" w:hAnsi="Palatino Linotype" w:cs="Arial"/>
          <w:i/>
          <w:sz w:val="22"/>
        </w:rPr>
        <w:t xml:space="preserve"> Señalamiento vial vertical y horizontal. </w:t>
      </w:r>
    </w:p>
    <w:p w14:paraId="4969AD84"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lastRenderedPageBreak/>
        <w:t xml:space="preserve">Las obras de urbanización de los conjuntos urbanos comprenderán las instalaciones y obras de Infraestructura Primaria para su operación al interior de los conjuntos urbanos. </w:t>
      </w:r>
    </w:p>
    <w:p w14:paraId="76328774"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Las obras de Infraestructura Primaria, que se requieren para incorporar el conjunto urbano al área urbana y sus servicios, estarán sujetas a lo establecido en la factibilidad de servicios y demás dictámenes; tales como:</w:t>
      </w:r>
    </w:p>
    <w:p w14:paraId="0B835991"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1.</w:t>
      </w:r>
      <w:r w:rsidRPr="00883039">
        <w:rPr>
          <w:rFonts w:ascii="Palatino Linotype" w:hAnsi="Palatino Linotype" w:cs="Arial"/>
          <w:i/>
          <w:sz w:val="22"/>
        </w:rPr>
        <w:t xml:space="preserve"> Pozo profundo de agua potable; </w:t>
      </w:r>
    </w:p>
    <w:p w14:paraId="490FBCDB"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2.</w:t>
      </w:r>
      <w:r w:rsidRPr="00883039">
        <w:rPr>
          <w:rFonts w:ascii="Palatino Linotype" w:hAnsi="Palatino Linotype" w:cs="Arial"/>
          <w:i/>
          <w:sz w:val="22"/>
        </w:rPr>
        <w:t xml:space="preserve"> Cisterna de almacenamiento; </w:t>
      </w:r>
    </w:p>
    <w:p w14:paraId="7BCD0BB3"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3.</w:t>
      </w:r>
      <w:r w:rsidRPr="00883039">
        <w:rPr>
          <w:rFonts w:ascii="Palatino Linotype" w:hAnsi="Palatino Linotype" w:cs="Arial"/>
          <w:i/>
          <w:sz w:val="22"/>
        </w:rPr>
        <w:t xml:space="preserve"> Tanque elevado; </w:t>
      </w:r>
    </w:p>
    <w:p w14:paraId="0446D2AF"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 xml:space="preserve">4. </w:t>
      </w:r>
      <w:r w:rsidRPr="00883039">
        <w:rPr>
          <w:rFonts w:ascii="Palatino Linotype" w:hAnsi="Palatino Linotype" w:cs="Arial"/>
          <w:i/>
          <w:sz w:val="22"/>
        </w:rPr>
        <w:t xml:space="preserve">Línea de conducción de suministro de agua potable; </w:t>
      </w:r>
    </w:p>
    <w:p w14:paraId="2C0D3268"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5.</w:t>
      </w:r>
      <w:r w:rsidRPr="00883039">
        <w:rPr>
          <w:rFonts w:ascii="Palatino Linotype" w:hAnsi="Palatino Linotype" w:cs="Arial"/>
          <w:i/>
          <w:sz w:val="22"/>
        </w:rPr>
        <w:t xml:space="preserve"> Planta de tratamiento; </w:t>
      </w:r>
    </w:p>
    <w:p w14:paraId="1153876A"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6.</w:t>
      </w:r>
      <w:r w:rsidRPr="00883039">
        <w:rPr>
          <w:rFonts w:ascii="Palatino Linotype" w:hAnsi="Palatino Linotype" w:cs="Arial"/>
          <w:i/>
          <w:sz w:val="22"/>
        </w:rPr>
        <w:t xml:space="preserve"> Cárcamo de bombeo; </w:t>
      </w:r>
    </w:p>
    <w:p w14:paraId="4C7EB9DC"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7.</w:t>
      </w:r>
      <w:r w:rsidRPr="00883039">
        <w:rPr>
          <w:rFonts w:ascii="Palatino Linotype" w:hAnsi="Palatino Linotype" w:cs="Arial"/>
          <w:i/>
          <w:sz w:val="22"/>
        </w:rPr>
        <w:t xml:space="preserve"> Línea de conducción de aguas residuales; </w:t>
      </w:r>
    </w:p>
    <w:p w14:paraId="34AD0A49"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8.</w:t>
      </w:r>
      <w:r w:rsidRPr="00883039">
        <w:rPr>
          <w:rFonts w:ascii="Palatino Linotype" w:hAnsi="Palatino Linotype" w:cs="Arial"/>
          <w:i/>
          <w:sz w:val="22"/>
        </w:rPr>
        <w:t xml:space="preserve"> Punto de descarga; </w:t>
      </w:r>
    </w:p>
    <w:p w14:paraId="6D70526E"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9.</w:t>
      </w:r>
      <w:r w:rsidRPr="00883039">
        <w:rPr>
          <w:rFonts w:ascii="Palatino Linotype" w:hAnsi="Palatino Linotype" w:cs="Arial"/>
          <w:i/>
          <w:sz w:val="22"/>
        </w:rPr>
        <w:t xml:space="preserve"> Tanque tormenta, y</w:t>
      </w:r>
    </w:p>
    <w:p w14:paraId="091743D8"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10.</w:t>
      </w:r>
      <w:r w:rsidRPr="00883039">
        <w:rPr>
          <w:rFonts w:ascii="Palatino Linotype" w:hAnsi="Palatino Linotype" w:cs="Arial"/>
          <w:i/>
          <w:sz w:val="22"/>
        </w:rPr>
        <w:t xml:space="preserve"> Pozo de absorción. </w:t>
      </w:r>
    </w:p>
    <w:p w14:paraId="5C926EF0"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Así como las obras complementarias necesarias para el adecuado funcionamiento de los servicios públicos y que para tal efecto se indiquen en el acuerdo correspondiente. </w:t>
      </w:r>
    </w:p>
    <w:p w14:paraId="78B6D33D"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En estos casos, el Titular de la autorización del conjunto urbano deberá donar al municipio las superficies de terreno en que se ubiquen dichas instalaciones, las cuales serán independientes al área de donación del equipamiento</w:t>
      </w:r>
      <w:r w:rsidRPr="00883039">
        <w:rPr>
          <w:rFonts w:ascii="Palatino Linotype" w:hAnsi="Palatino Linotype" w:cs="Arial"/>
          <w:i/>
          <w:sz w:val="22"/>
        </w:rPr>
        <w:t xml:space="preserve">. </w:t>
      </w:r>
    </w:p>
    <w:p w14:paraId="18D2B423"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De igual forma, las establecidas en las evaluaciones técnicas de impacto que sustentan la Evaluación de Impacto Estatal y dictámenes emitidos por las dependencias correspondientes. </w:t>
      </w:r>
    </w:p>
    <w:p w14:paraId="6655689F"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En su caso, planta o sistema de tratamiento de aguas residuales en las redes de alcantarillado pluvial y sanitario, para su posterior descarga, o bien, cuando esté prevista la construcción de </w:t>
      </w:r>
      <w:proofErr w:type="spellStart"/>
      <w:r w:rsidRPr="00883039">
        <w:rPr>
          <w:rFonts w:ascii="Palatino Linotype" w:hAnsi="Palatino Linotype" w:cs="Arial"/>
          <w:i/>
          <w:sz w:val="22"/>
        </w:rPr>
        <w:t>macroplantas</w:t>
      </w:r>
      <w:proofErr w:type="spellEnd"/>
      <w:r w:rsidRPr="00883039">
        <w:rPr>
          <w:rFonts w:ascii="Palatino Linotype" w:hAnsi="Palatino Linotype" w:cs="Arial"/>
          <w:i/>
          <w:sz w:val="22"/>
        </w:rPr>
        <w:t xml:space="preserve"> o sistemas de tratamiento regional, hacer la aportación económica equivalente a la Comisión del Agua del Estado de México o al respectivo organismo operador municipal, según corresponda. </w:t>
      </w:r>
    </w:p>
    <w:p w14:paraId="759B87A8"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Las obras a que se refiere este artículo deberán observar lo dispuesto en las normas oficiales mexicanas aplicables. </w:t>
      </w:r>
    </w:p>
    <w:p w14:paraId="6AB02773"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El riego de parques, jardines y en general de áreas verdes, se deberá realizar preferentemente con agua tratada </w:t>
      </w:r>
    </w:p>
    <w:p w14:paraId="02E64484"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Cuando derivado de los estudios geofísicos se determine que existen las condiciones para ello, se procurará la filtración al subsuelo de los afluentes provenientes de precipitaciones pluviales, con la construcción de pozos de absorción.” </w:t>
      </w:r>
    </w:p>
    <w:p w14:paraId="56DF3858" w14:textId="77777777" w:rsidR="00F12B6F" w:rsidRPr="00883039" w:rsidRDefault="00F12B6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(Énfasis añadido</w:t>
      </w:r>
    </w:p>
    <w:p w14:paraId="4C81713F" w14:textId="77777777" w:rsidR="00F12B6F" w:rsidRPr="00883039" w:rsidRDefault="00F12B6F" w:rsidP="00883039">
      <w:pPr>
        <w:ind w:right="899"/>
        <w:contextualSpacing/>
        <w:jc w:val="both"/>
        <w:rPr>
          <w:rFonts w:ascii="Palatino Linotype" w:hAnsi="Palatino Linotype" w:cs="Arial"/>
          <w:i/>
          <w:sz w:val="22"/>
        </w:rPr>
      </w:pPr>
    </w:p>
    <w:p w14:paraId="1CE2503C" w14:textId="77777777" w:rsidR="00F12B6F" w:rsidRPr="005832D9" w:rsidRDefault="00F12B6F" w:rsidP="00883039">
      <w:pPr>
        <w:spacing w:line="360" w:lineRule="auto"/>
        <w:jc w:val="both"/>
        <w:rPr>
          <w:rFonts w:ascii="Palatino Linotype" w:hAnsi="Palatino Linotype" w:cs="Arial"/>
        </w:rPr>
      </w:pPr>
      <w:r w:rsidRPr="005832D9">
        <w:rPr>
          <w:rFonts w:ascii="Palatino Linotype" w:hAnsi="Palatino Linotype" w:cs="Arial"/>
        </w:rPr>
        <w:lastRenderedPageBreak/>
        <w:t xml:space="preserve">De lo anterior, se puede advertir que </w:t>
      </w:r>
      <w:r w:rsidRPr="005832D9">
        <w:rPr>
          <w:rFonts w:ascii="Palatino Linotype" w:hAnsi="Palatino Linotype" w:cs="Arial"/>
          <w:b/>
        </w:rPr>
        <w:t xml:space="preserve">EL SUJETO OBLIGADO </w:t>
      </w:r>
      <w:r w:rsidRPr="005832D9">
        <w:rPr>
          <w:rFonts w:ascii="Palatino Linotype" w:hAnsi="Palatino Linotype" w:cs="Arial"/>
        </w:rPr>
        <w:t xml:space="preserve">debe hacer entrega de áreas </w:t>
      </w:r>
      <w:r w:rsidRPr="005832D9">
        <w:rPr>
          <w:rFonts w:ascii="Palatino Linotype" w:hAnsi="Palatino Linotype" w:cs="Arial"/>
          <w:color w:val="000000" w:themeColor="text1"/>
        </w:rPr>
        <w:t>donar</w:t>
      </w:r>
      <w:r w:rsidRPr="005832D9">
        <w:rPr>
          <w:rFonts w:ascii="Palatino Linotype" w:hAnsi="Palatino Linotype" w:cs="Arial"/>
        </w:rPr>
        <w:t xml:space="preserve"> al municipio las superficies de terreno en que se ubiquen dichas instalaciones, las cuales serán independientes al área de donación del equipamiento. </w:t>
      </w:r>
    </w:p>
    <w:p w14:paraId="6BF2B6DC" w14:textId="77777777" w:rsidR="00883039" w:rsidRDefault="00883039" w:rsidP="00883039">
      <w:pPr>
        <w:spacing w:line="360" w:lineRule="auto"/>
        <w:jc w:val="both"/>
        <w:rPr>
          <w:rFonts w:ascii="Palatino Linotype" w:hAnsi="Palatino Linotype" w:cs="Arial"/>
          <w:sz w:val="22"/>
        </w:rPr>
      </w:pPr>
    </w:p>
    <w:p w14:paraId="7B118954" w14:textId="39A66D39" w:rsidR="00CC0A90" w:rsidRDefault="00CC0A90" w:rsidP="00883039">
      <w:pPr>
        <w:widowControl w:val="0"/>
        <w:spacing w:line="360" w:lineRule="auto"/>
        <w:jc w:val="both"/>
        <w:rPr>
          <w:rFonts w:ascii="Palatino Linotype" w:eastAsia="Calibri" w:hAnsi="Palatino Linotype" w:cs="Arial"/>
        </w:rPr>
      </w:pPr>
      <w:r w:rsidRPr="00883039">
        <w:rPr>
          <w:rFonts w:ascii="Palatino Linotype" w:eastAsia="Calibri" w:hAnsi="Palatino Linotype" w:cs="Arial"/>
        </w:rPr>
        <w:t>Ahora bien, la Ley Orgánica Municipal del Estado de México, dispone lo siguiente:</w:t>
      </w:r>
    </w:p>
    <w:p w14:paraId="595E02A4" w14:textId="77777777" w:rsidR="00883039" w:rsidRPr="00883039" w:rsidRDefault="00883039" w:rsidP="00883039">
      <w:pPr>
        <w:widowControl w:val="0"/>
        <w:jc w:val="both"/>
        <w:rPr>
          <w:rFonts w:ascii="Palatino Linotype" w:eastAsia="Calibri" w:hAnsi="Palatino Linotype" w:cs="Arial"/>
        </w:rPr>
      </w:pPr>
    </w:p>
    <w:p w14:paraId="6ACE5DD0" w14:textId="67719F65" w:rsidR="00CC0A90" w:rsidRPr="00883039" w:rsidRDefault="00883039" w:rsidP="00883039">
      <w:pPr>
        <w:widowControl w:val="0"/>
        <w:ind w:left="851" w:right="899"/>
        <w:jc w:val="both"/>
        <w:rPr>
          <w:rFonts w:ascii="Palatino Linotype" w:hAnsi="Palatino Linotype"/>
          <w:i/>
          <w:sz w:val="22"/>
          <w:szCs w:val="22"/>
        </w:rPr>
      </w:pPr>
      <w:r>
        <w:rPr>
          <w:rFonts w:ascii="Palatino Linotype" w:hAnsi="Palatino Linotype"/>
          <w:b/>
          <w:i/>
          <w:sz w:val="22"/>
          <w:szCs w:val="22"/>
        </w:rPr>
        <w:t>“</w:t>
      </w:r>
      <w:r w:rsidR="00CC0A90" w:rsidRPr="00883039">
        <w:rPr>
          <w:rFonts w:ascii="Palatino Linotype" w:hAnsi="Palatino Linotype"/>
          <w:b/>
          <w:i/>
          <w:sz w:val="22"/>
          <w:szCs w:val="22"/>
        </w:rPr>
        <w:t xml:space="preserve">Artículo 96. </w:t>
      </w:r>
      <w:proofErr w:type="spellStart"/>
      <w:r w:rsidR="00CC0A90" w:rsidRPr="00883039">
        <w:rPr>
          <w:rFonts w:ascii="Palatino Linotype" w:hAnsi="Palatino Linotype"/>
          <w:b/>
          <w:i/>
          <w:sz w:val="22"/>
          <w:szCs w:val="22"/>
        </w:rPr>
        <w:t>Sexies</w:t>
      </w:r>
      <w:proofErr w:type="spellEnd"/>
      <w:r w:rsidR="00CC0A90" w:rsidRPr="00883039">
        <w:rPr>
          <w:rFonts w:ascii="Palatino Linotype" w:hAnsi="Palatino Linotype"/>
          <w:i/>
          <w:sz w:val="22"/>
          <w:szCs w:val="22"/>
        </w:rPr>
        <w:t>. El Director de Desarrollo Urbano o el Titular de la Unidad Administrativa equivalente, tiene las atribuciones siguientes:</w:t>
      </w:r>
    </w:p>
    <w:p w14:paraId="09F1EFF9" w14:textId="77777777" w:rsidR="00CC0A90" w:rsidRPr="00883039"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t xml:space="preserve">I. Ejecutar la política en materia de reordenamiento urbano; </w:t>
      </w:r>
    </w:p>
    <w:p w14:paraId="218FDD3B" w14:textId="77777777" w:rsidR="00CC0A90" w:rsidRPr="00883039"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t xml:space="preserve">II. Formular y conducir las políticas municipales de asentamientos humanos, urbanismo y vivienda; </w:t>
      </w:r>
    </w:p>
    <w:p w14:paraId="2726D5A2" w14:textId="77777777" w:rsidR="00CC0A90" w:rsidRPr="00883039"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t xml:space="preserve">III. Aplicar y vigilar el cumplimiento de las disposiciones legales en materia de ordenamiento territorial de los asentamientos humanos, del desarrollo urbano y vivienda; </w:t>
      </w:r>
    </w:p>
    <w:p w14:paraId="17DE8058" w14:textId="77777777" w:rsidR="00CC0A90" w:rsidRPr="00883039"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t xml:space="preserve">IV. Proponer el plan municipal de desarrollo urbano, así como sus modificaciones, y los parciales que de ellos deriven; </w:t>
      </w:r>
    </w:p>
    <w:p w14:paraId="4DEE774D" w14:textId="77777777" w:rsidR="00CC0A90" w:rsidRPr="00883039"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t xml:space="preserve">V. Participar en la elaboración o modificación del respectivo plan regional de desarrollo urbano o de los parciales que de éste deriven, cuando incluya parte o la totalidad de su territorio; </w:t>
      </w:r>
    </w:p>
    <w:p w14:paraId="50639BD0" w14:textId="77777777" w:rsidR="00CC0A90" w:rsidRPr="00883039" w:rsidRDefault="00CC0A90" w:rsidP="00883039">
      <w:pPr>
        <w:widowControl w:val="0"/>
        <w:ind w:left="851" w:right="899"/>
        <w:jc w:val="both"/>
        <w:rPr>
          <w:rFonts w:ascii="Palatino Linotype" w:hAnsi="Palatino Linotype"/>
          <w:i/>
          <w:sz w:val="22"/>
          <w:szCs w:val="22"/>
          <w:u w:val="single"/>
        </w:rPr>
      </w:pPr>
      <w:r w:rsidRPr="00883039">
        <w:rPr>
          <w:rFonts w:ascii="Palatino Linotype" w:hAnsi="Palatino Linotype"/>
          <w:i/>
          <w:sz w:val="22"/>
          <w:szCs w:val="22"/>
        </w:rPr>
        <w:t>VI</w:t>
      </w:r>
      <w:r w:rsidRPr="00883039">
        <w:rPr>
          <w:rFonts w:ascii="Palatino Linotype" w:hAnsi="Palatino Linotype"/>
          <w:i/>
          <w:sz w:val="22"/>
          <w:szCs w:val="22"/>
          <w:u w:val="single"/>
        </w:rPr>
        <w:t xml:space="preserve">. Analizar las cédulas informativas de zonificación, licencias de uso de suelo y licencias de construcción; </w:t>
      </w:r>
    </w:p>
    <w:p w14:paraId="185D6869" w14:textId="77777777" w:rsidR="00CC0A90" w:rsidRPr="00883039"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t xml:space="preserve">VII. Vigilar la utilización y aprovechamiento del suelo con fines urbanos, en su circunscripción territorial; </w:t>
      </w:r>
    </w:p>
    <w:p w14:paraId="527B428F" w14:textId="77777777" w:rsidR="00CC0A90" w:rsidRPr="00883039"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t xml:space="preserve">VIII. Proponer al Presidente Municipal, convenios, contratos y acuerdos, y </w:t>
      </w:r>
    </w:p>
    <w:p w14:paraId="5DB54D8D" w14:textId="77777777" w:rsidR="00CC0A90" w:rsidRPr="00883039"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t xml:space="preserve">IX. Las demás que le sean conferidas por el Presidente Municipal o por el Ayuntamiento y las establecidas en las disposiciones jurídicas aplicables. </w:t>
      </w:r>
    </w:p>
    <w:p w14:paraId="0F6CFFC1" w14:textId="22B7F80A" w:rsidR="00CC0A90" w:rsidRDefault="00CC0A90" w:rsidP="00883039">
      <w:pPr>
        <w:widowControl w:val="0"/>
        <w:ind w:left="851" w:right="899"/>
        <w:jc w:val="both"/>
        <w:rPr>
          <w:rFonts w:ascii="Palatino Linotype" w:hAnsi="Palatino Linotype"/>
          <w:i/>
          <w:sz w:val="22"/>
          <w:szCs w:val="22"/>
        </w:rPr>
      </w:pPr>
      <w:r w:rsidRPr="00883039">
        <w:rPr>
          <w:rFonts w:ascii="Palatino Linotype" w:hAnsi="Palatino Linotype"/>
          <w:b/>
          <w:i/>
          <w:sz w:val="22"/>
          <w:szCs w:val="22"/>
        </w:rPr>
        <w:t xml:space="preserve">Artículo 96 </w:t>
      </w:r>
      <w:proofErr w:type="spellStart"/>
      <w:r w:rsidRPr="00883039">
        <w:rPr>
          <w:rFonts w:ascii="Palatino Linotype" w:hAnsi="Palatino Linotype"/>
          <w:b/>
          <w:i/>
          <w:sz w:val="22"/>
          <w:szCs w:val="22"/>
        </w:rPr>
        <w:t>Septies</w:t>
      </w:r>
      <w:proofErr w:type="spellEnd"/>
      <w:r w:rsidRPr="00883039">
        <w:rPr>
          <w:rFonts w:ascii="Palatino Linotype" w:hAnsi="Palatino Linotype"/>
          <w:i/>
          <w:sz w:val="22"/>
          <w:szCs w:val="22"/>
        </w:rPr>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00883039">
        <w:rPr>
          <w:rFonts w:ascii="Palatino Linotype" w:hAnsi="Palatino Linotype"/>
          <w:i/>
          <w:sz w:val="22"/>
          <w:szCs w:val="22"/>
        </w:rPr>
        <w:t xml:space="preserve">” </w:t>
      </w:r>
    </w:p>
    <w:p w14:paraId="26A4FE2E" w14:textId="29F024D7" w:rsidR="00883039" w:rsidRPr="00883039" w:rsidRDefault="00883039" w:rsidP="00883039">
      <w:pPr>
        <w:widowControl w:val="0"/>
        <w:ind w:left="851" w:right="899"/>
        <w:jc w:val="both"/>
        <w:rPr>
          <w:rFonts w:ascii="Palatino Linotype" w:hAnsi="Palatino Linotype"/>
          <w:i/>
          <w:sz w:val="22"/>
          <w:szCs w:val="22"/>
        </w:rPr>
      </w:pPr>
      <w:r w:rsidRPr="00883039">
        <w:rPr>
          <w:rFonts w:ascii="Palatino Linotype" w:hAnsi="Palatino Linotype"/>
          <w:i/>
          <w:sz w:val="22"/>
          <w:szCs w:val="22"/>
        </w:rPr>
        <w:lastRenderedPageBreak/>
        <w:t>(Énfasis añadido)</w:t>
      </w:r>
    </w:p>
    <w:p w14:paraId="40B8F5E7" w14:textId="77777777" w:rsidR="00CC0A90" w:rsidRPr="00883039" w:rsidRDefault="00CC0A90" w:rsidP="00883039">
      <w:pPr>
        <w:ind w:right="709"/>
        <w:contextualSpacing/>
        <w:jc w:val="both"/>
        <w:rPr>
          <w:rFonts w:ascii="Palatino Linotype" w:hAnsi="Palatino Linotype" w:cs="Arial"/>
          <w:sz w:val="22"/>
        </w:rPr>
      </w:pPr>
    </w:p>
    <w:p w14:paraId="26D0F5D4" w14:textId="3A318A45" w:rsidR="0030518F" w:rsidRPr="00883039" w:rsidRDefault="0030518F" w:rsidP="00883039">
      <w:pPr>
        <w:spacing w:line="360" w:lineRule="auto"/>
        <w:ind w:right="709"/>
        <w:contextualSpacing/>
        <w:jc w:val="both"/>
        <w:rPr>
          <w:rFonts w:ascii="Palatino Linotype" w:hAnsi="Palatino Linotype" w:cs="Arial"/>
          <w:sz w:val="22"/>
        </w:rPr>
      </w:pPr>
      <w:r w:rsidRPr="00883039">
        <w:rPr>
          <w:rFonts w:ascii="Palatino Linotype" w:hAnsi="Palatino Linotype" w:cs="Arial"/>
          <w:sz w:val="22"/>
        </w:rPr>
        <w:t>Por su parte, el Bando Municipal de Tecámac 2021</w:t>
      </w:r>
      <w:r w:rsidRPr="00883039">
        <w:rPr>
          <w:rStyle w:val="Refdenotaalpie"/>
          <w:rFonts w:ascii="Palatino Linotype" w:hAnsi="Palatino Linotype" w:cs="Arial"/>
          <w:sz w:val="22"/>
        </w:rPr>
        <w:footnoteReference w:id="4"/>
      </w:r>
      <w:r w:rsidRPr="00883039">
        <w:rPr>
          <w:rFonts w:ascii="Palatino Linotype" w:hAnsi="Palatino Linotype" w:cs="Arial"/>
          <w:sz w:val="22"/>
        </w:rPr>
        <w:t xml:space="preserve">, dispone lo siguiente: </w:t>
      </w:r>
    </w:p>
    <w:p w14:paraId="2DDE09FA" w14:textId="77777777" w:rsidR="0030518F" w:rsidRPr="00883039" w:rsidRDefault="0030518F" w:rsidP="00883039">
      <w:pPr>
        <w:ind w:right="709"/>
        <w:contextualSpacing/>
        <w:jc w:val="both"/>
        <w:rPr>
          <w:rFonts w:ascii="Palatino Linotype" w:hAnsi="Palatino Linotype" w:cs="Arial"/>
          <w:sz w:val="22"/>
        </w:rPr>
      </w:pPr>
    </w:p>
    <w:p w14:paraId="22F03AC2"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“Artículo 39.</w:t>
      </w:r>
      <w:r w:rsidRPr="00883039">
        <w:rPr>
          <w:rFonts w:ascii="Palatino Linotype" w:hAnsi="Palatino Linotype" w:cs="Arial"/>
          <w:i/>
          <w:sz w:val="22"/>
        </w:rPr>
        <w:t xml:space="preserve"> Para el cumplimiento de sus funciones la Presidencia Municipal se auxiliará de los demás integrantes del Ayuntamiento, las Comisiones Edilicias y tendrá bajo su mando las siguientes dependencias de la administración pública municipal centralizada: </w:t>
      </w:r>
    </w:p>
    <w:p w14:paraId="3CC934C7"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w:t>
      </w:r>
      <w:r w:rsidRPr="00883039">
        <w:rPr>
          <w:rFonts w:ascii="Palatino Linotype" w:hAnsi="Palatino Linotype" w:cs="Arial"/>
          <w:i/>
          <w:sz w:val="22"/>
        </w:rPr>
        <w:t xml:space="preserve"> Presidencia Municipal; </w:t>
      </w:r>
    </w:p>
    <w:p w14:paraId="5FE2C0BF"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I.1</w:t>
      </w:r>
      <w:r w:rsidRPr="00883039">
        <w:rPr>
          <w:rFonts w:ascii="Palatino Linotype" w:hAnsi="Palatino Linotype" w:cs="Arial"/>
          <w:i/>
          <w:sz w:val="22"/>
        </w:rPr>
        <w:t xml:space="preserve"> Secretaría Técnica de la Presidencia Municipal </w:t>
      </w:r>
    </w:p>
    <w:p w14:paraId="153251B9"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II.</w:t>
      </w:r>
      <w:r w:rsidRPr="00883039">
        <w:rPr>
          <w:rFonts w:ascii="Palatino Linotype" w:hAnsi="Palatino Linotype" w:cs="Arial"/>
          <w:i/>
          <w:sz w:val="22"/>
        </w:rPr>
        <w:t xml:space="preserve"> Secretaría del Ayuntamiento; </w:t>
      </w:r>
    </w:p>
    <w:p w14:paraId="3482C559"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III.</w:t>
      </w:r>
      <w:r w:rsidRPr="00883039">
        <w:rPr>
          <w:rFonts w:ascii="Palatino Linotype" w:hAnsi="Palatino Linotype" w:cs="Arial"/>
          <w:i/>
          <w:sz w:val="22"/>
        </w:rPr>
        <w:t xml:space="preserve"> Tesorería Municipal; </w:t>
      </w:r>
    </w:p>
    <w:p w14:paraId="15C95E32"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IV.</w:t>
      </w:r>
      <w:r w:rsidRPr="00883039">
        <w:rPr>
          <w:rFonts w:ascii="Palatino Linotype" w:hAnsi="Palatino Linotype" w:cs="Arial"/>
          <w:i/>
          <w:sz w:val="22"/>
        </w:rPr>
        <w:t xml:space="preserve"> Contraloría Municipal; </w:t>
      </w:r>
    </w:p>
    <w:p w14:paraId="5B5B5C8E"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w:t>
      </w:r>
      <w:r w:rsidRPr="00883039">
        <w:rPr>
          <w:rFonts w:ascii="Palatino Linotype" w:hAnsi="Palatino Linotype" w:cs="Arial"/>
          <w:i/>
          <w:sz w:val="22"/>
        </w:rPr>
        <w:t xml:space="preserve"> Dirección General Jurídica y Consultiva; </w:t>
      </w:r>
    </w:p>
    <w:p w14:paraId="5B0489C4"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w:t>
      </w:r>
      <w:r w:rsidRPr="00883039">
        <w:rPr>
          <w:rFonts w:ascii="Palatino Linotype" w:hAnsi="Palatino Linotype" w:cs="Arial"/>
          <w:i/>
          <w:sz w:val="22"/>
        </w:rPr>
        <w:t xml:space="preserve"> Dirección General de Obras Públicas; </w:t>
      </w:r>
    </w:p>
    <w:p w14:paraId="4644AA03"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VII.</w:t>
      </w:r>
      <w:r w:rsidRPr="00883039">
        <w:rPr>
          <w:rFonts w:ascii="Palatino Linotype" w:hAnsi="Palatino Linotype" w:cs="Arial"/>
          <w:i/>
          <w:sz w:val="22"/>
        </w:rPr>
        <w:t xml:space="preserve"> Dirección General de Educación y Cultura; </w:t>
      </w:r>
    </w:p>
    <w:p w14:paraId="19C468A3"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VIII.</w:t>
      </w:r>
      <w:r w:rsidRPr="00883039">
        <w:rPr>
          <w:rFonts w:ascii="Palatino Linotype" w:hAnsi="Palatino Linotype" w:cs="Arial"/>
          <w:i/>
          <w:sz w:val="22"/>
        </w:rPr>
        <w:t xml:space="preserve"> Dirección General de Desarrollo Económico; </w:t>
      </w:r>
    </w:p>
    <w:p w14:paraId="5249F2F7"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IX.</w:t>
      </w:r>
      <w:r w:rsidRPr="00883039">
        <w:rPr>
          <w:rFonts w:ascii="Palatino Linotype" w:hAnsi="Palatino Linotype" w:cs="Arial"/>
          <w:i/>
          <w:sz w:val="22"/>
        </w:rPr>
        <w:t xml:space="preserve"> Comisaría General de Seguridad y Tránsito Municipal; </w:t>
      </w:r>
    </w:p>
    <w:p w14:paraId="2842159F"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X.</w:t>
      </w:r>
      <w:r w:rsidRPr="00883039">
        <w:rPr>
          <w:rFonts w:ascii="Palatino Linotype" w:hAnsi="Palatino Linotype" w:cs="Arial"/>
          <w:i/>
          <w:sz w:val="22"/>
        </w:rPr>
        <w:t xml:space="preserve"> Dirección General de Ecología y Administración del Medio Ambiente; y </w:t>
      </w:r>
    </w:p>
    <w:p w14:paraId="199259BA" w14:textId="0A44429E" w:rsidR="0030518F" w:rsidRPr="00883039" w:rsidRDefault="0030518F" w:rsidP="00883039">
      <w:pPr>
        <w:ind w:left="851" w:right="899"/>
        <w:contextualSpacing/>
        <w:jc w:val="both"/>
        <w:rPr>
          <w:rFonts w:ascii="Palatino Linotype" w:hAnsi="Palatino Linotype" w:cs="Arial"/>
          <w:b/>
          <w:i/>
          <w:sz w:val="22"/>
        </w:rPr>
      </w:pPr>
      <w:r w:rsidRPr="00883039">
        <w:rPr>
          <w:rFonts w:ascii="Palatino Linotype" w:hAnsi="Palatino Linotype" w:cs="Arial"/>
          <w:b/>
          <w:i/>
          <w:sz w:val="22"/>
        </w:rPr>
        <w:t>XI.</w:t>
      </w:r>
      <w:r w:rsidRPr="00883039">
        <w:rPr>
          <w:rFonts w:ascii="Palatino Linotype" w:hAnsi="Palatino Linotype" w:cs="Arial"/>
          <w:i/>
          <w:sz w:val="22"/>
        </w:rPr>
        <w:t xml:space="preserve"> </w:t>
      </w:r>
      <w:r w:rsidRPr="00883039">
        <w:rPr>
          <w:rFonts w:ascii="Palatino Linotype" w:hAnsi="Palatino Linotype" w:cs="Arial"/>
          <w:b/>
          <w:i/>
          <w:sz w:val="22"/>
        </w:rPr>
        <w:t>Dirección General de Planeación, Administración y Regulación del Territorio.</w:t>
      </w:r>
    </w:p>
    <w:p w14:paraId="77BC504E" w14:textId="6974B541" w:rsidR="0030518F" w:rsidRPr="00883039" w:rsidRDefault="0030518F" w:rsidP="00883039">
      <w:pPr>
        <w:ind w:left="851" w:right="899"/>
        <w:contextualSpacing/>
        <w:jc w:val="both"/>
        <w:rPr>
          <w:rFonts w:ascii="Palatino Linotype" w:hAnsi="Palatino Linotype" w:cs="Arial"/>
          <w:b/>
          <w:i/>
          <w:sz w:val="22"/>
        </w:rPr>
      </w:pPr>
      <w:r w:rsidRPr="00883039">
        <w:rPr>
          <w:rFonts w:ascii="Palatino Linotype" w:hAnsi="Palatino Linotype" w:cs="Arial"/>
          <w:b/>
          <w:i/>
          <w:sz w:val="22"/>
        </w:rPr>
        <w:t>…</w:t>
      </w:r>
    </w:p>
    <w:p w14:paraId="365121E9"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 xml:space="preserve">Artículo 51. </w:t>
      </w:r>
      <w:r w:rsidRPr="00883039">
        <w:rPr>
          <w:rFonts w:ascii="Palatino Linotype" w:hAnsi="Palatino Linotype" w:cs="Arial"/>
          <w:i/>
          <w:sz w:val="22"/>
        </w:rPr>
        <w:t xml:space="preserve">La Dirección General de Planeación, Administración y Regulación del Territorio, tiene bajo su responsabilidad las funciones y atribuciones municipales en materia de desarrollo urbano, planeación, regulación y regularización de la tenencia de la tierra urbana. </w:t>
      </w:r>
    </w:p>
    <w:p w14:paraId="3D5A6A70" w14:textId="618EB831"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Su titular será denominado "Directora o Director General de Planeación, Administración y Regulación del Territorio" y tendrá a su cargo las siguientes áreas administrativas:</w:t>
      </w:r>
    </w:p>
    <w:p w14:paraId="76BFC4D9"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I.</w:t>
      </w:r>
      <w:r w:rsidRPr="00883039">
        <w:rPr>
          <w:rFonts w:ascii="Palatino Linotype" w:hAnsi="Palatino Linotype" w:cs="Arial"/>
          <w:i/>
          <w:sz w:val="22"/>
        </w:rPr>
        <w:t xml:space="preserve"> Dirección de Desarrollo Urbano. </w:t>
      </w:r>
    </w:p>
    <w:p w14:paraId="486F41E2"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a. Subdirección de Anuncios Publicitarios. </w:t>
      </w:r>
    </w:p>
    <w:p w14:paraId="695D2DBB"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b. Subdirección de Régimen </w:t>
      </w:r>
      <w:proofErr w:type="spellStart"/>
      <w:r w:rsidRPr="00883039">
        <w:rPr>
          <w:rFonts w:ascii="Palatino Linotype" w:hAnsi="Palatino Linotype" w:cs="Arial"/>
          <w:i/>
          <w:sz w:val="22"/>
        </w:rPr>
        <w:t>Condominal</w:t>
      </w:r>
      <w:proofErr w:type="spellEnd"/>
      <w:r w:rsidRPr="00883039">
        <w:rPr>
          <w:rFonts w:ascii="Palatino Linotype" w:hAnsi="Palatino Linotype" w:cs="Arial"/>
          <w:i/>
          <w:sz w:val="22"/>
        </w:rPr>
        <w:t xml:space="preserve"> y Regulación de Tenencia de la Tierra Urbana. </w:t>
      </w:r>
    </w:p>
    <w:p w14:paraId="274FD29D"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c. Departamento de Normatividad. </w:t>
      </w:r>
    </w:p>
    <w:p w14:paraId="53955080"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b/>
          <w:i/>
          <w:sz w:val="22"/>
        </w:rPr>
        <w:t xml:space="preserve">II. </w:t>
      </w:r>
      <w:r w:rsidRPr="00883039">
        <w:rPr>
          <w:rFonts w:ascii="Palatino Linotype" w:hAnsi="Palatino Linotype" w:cs="Arial"/>
          <w:i/>
          <w:sz w:val="22"/>
        </w:rPr>
        <w:t xml:space="preserve">Dirección de Catastro. </w:t>
      </w:r>
    </w:p>
    <w:p w14:paraId="43B14DD9"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a. Departamento de Cartografía y Topografía; </w:t>
      </w:r>
    </w:p>
    <w:p w14:paraId="32A1D5D1" w14:textId="77777777" w:rsidR="0030518F" w:rsidRPr="00883039" w:rsidRDefault="0030518F"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lastRenderedPageBreak/>
        <w:t xml:space="preserve">b. Departamento de Gestión Catastral. </w:t>
      </w:r>
    </w:p>
    <w:p w14:paraId="2DA15B9F" w14:textId="77777777" w:rsidR="0030518F" w:rsidRPr="00883039" w:rsidRDefault="0030518F" w:rsidP="00883039">
      <w:pPr>
        <w:ind w:left="851" w:right="899"/>
        <w:contextualSpacing/>
        <w:jc w:val="both"/>
        <w:rPr>
          <w:rFonts w:ascii="Palatino Linotype" w:hAnsi="Palatino Linotype" w:cs="Arial"/>
          <w:b/>
          <w:i/>
          <w:sz w:val="22"/>
        </w:rPr>
      </w:pPr>
      <w:r w:rsidRPr="00883039">
        <w:rPr>
          <w:rFonts w:ascii="Palatino Linotype" w:hAnsi="Palatino Linotype" w:cs="Arial"/>
          <w:b/>
          <w:i/>
          <w:sz w:val="22"/>
        </w:rPr>
        <w:t xml:space="preserve">III. Unidad de planeación e información geodésica municipal. </w:t>
      </w:r>
    </w:p>
    <w:p w14:paraId="3B3D13C1" w14:textId="63F583B3" w:rsidR="0030518F" w:rsidRPr="00883039" w:rsidRDefault="0030518F" w:rsidP="00883039">
      <w:pPr>
        <w:ind w:left="851" w:right="899"/>
        <w:contextualSpacing/>
        <w:jc w:val="both"/>
        <w:rPr>
          <w:rFonts w:ascii="Palatino Linotype" w:hAnsi="Palatino Linotype" w:cs="Arial"/>
          <w:b/>
          <w:i/>
          <w:sz w:val="22"/>
        </w:rPr>
      </w:pPr>
      <w:r w:rsidRPr="00883039">
        <w:rPr>
          <w:rFonts w:ascii="Palatino Linotype" w:hAnsi="Palatino Linotype" w:cs="Arial"/>
          <w:b/>
          <w:i/>
          <w:sz w:val="22"/>
        </w:rPr>
        <w:t>a. Departamento de Conjuntos Urbanos.</w:t>
      </w:r>
      <w:r w:rsidR="00BF1C74" w:rsidRPr="00883039">
        <w:rPr>
          <w:rFonts w:ascii="Palatino Linotype" w:hAnsi="Palatino Linotype" w:cs="Arial"/>
          <w:b/>
          <w:i/>
          <w:sz w:val="22"/>
        </w:rPr>
        <w:t xml:space="preserve">” </w:t>
      </w:r>
    </w:p>
    <w:p w14:paraId="3E1FC5D6" w14:textId="19BE3DD1" w:rsidR="00BF1C74" w:rsidRPr="00883039" w:rsidRDefault="00BF1C74" w:rsidP="00883039">
      <w:pPr>
        <w:ind w:left="851" w:right="899"/>
        <w:contextualSpacing/>
        <w:jc w:val="both"/>
        <w:rPr>
          <w:rFonts w:ascii="Palatino Linotype" w:hAnsi="Palatino Linotype" w:cs="Arial"/>
          <w:i/>
          <w:sz w:val="22"/>
        </w:rPr>
      </w:pPr>
      <w:r w:rsidRPr="00883039">
        <w:rPr>
          <w:rFonts w:ascii="Palatino Linotype" w:hAnsi="Palatino Linotype" w:cs="Arial"/>
          <w:i/>
          <w:sz w:val="22"/>
        </w:rPr>
        <w:t xml:space="preserve">(Énfasis añadido) </w:t>
      </w:r>
    </w:p>
    <w:p w14:paraId="32564794" w14:textId="77777777" w:rsidR="00BF1C74" w:rsidRPr="00883039" w:rsidRDefault="00BF1C74" w:rsidP="00883039">
      <w:pPr>
        <w:ind w:right="899"/>
        <w:contextualSpacing/>
        <w:jc w:val="both"/>
        <w:rPr>
          <w:rFonts w:ascii="Palatino Linotype" w:hAnsi="Palatino Linotype" w:cs="Arial"/>
          <w:i/>
          <w:sz w:val="22"/>
        </w:rPr>
      </w:pPr>
    </w:p>
    <w:p w14:paraId="6F28088A" w14:textId="568C9783" w:rsidR="00F12B6F" w:rsidRDefault="00F12B6F" w:rsidP="00883039">
      <w:pPr>
        <w:spacing w:line="360" w:lineRule="auto"/>
        <w:jc w:val="both"/>
        <w:rPr>
          <w:rFonts w:ascii="Palatino Linotype" w:hAnsi="Palatino Linotype"/>
        </w:rPr>
      </w:pPr>
      <w:r w:rsidRPr="00883039">
        <w:rPr>
          <w:rFonts w:ascii="Palatino Linotype" w:hAnsi="Palatino Linotype" w:cs="Arial"/>
        </w:rPr>
        <w:t xml:space="preserve">Es así que, </w:t>
      </w:r>
      <w:r w:rsidRPr="00883039">
        <w:rPr>
          <w:rFonts w:ascii="Palatino Linotype" w:hAnsi="Palatino Linotype" w:cs="Arial"/>
          <w:b/>
        </w:rPr>
        <w:t>EL SUJETO OBLIGADO</w:t>
      </w:r>
      <w:r w:rsidRPr="00883039">
        <w:rPr>
          <w:rFonts w:ascii="Palatino Linotype" w:hAnsi="Palatino Linotype"/>
          <w:b/>
        </w:rPr>
        <w:t xml:space="preserve"> </w:t>
      </w:r>
      <w:r w:rsidRPr="00883039">
        <w:rPr>
          <w:rFonts w:ascii="Palatino Linotype" w:hAnsi="Palatino Linotype"/>
        </w:rPr>
        <w:t xml:space="preserve">para el cumplimiento de sus funciones, se auxilia de entre otras áreas de la Dirección General de Planeación, Administración y Regulación del Territorio, misma que cuenta con una Unidad de Planeación e Información geodésica municipal, el cual tiene un Departamento de Conjuntos Urbanos, área que debe conocer respecto de lo solicitado por </w:t>
      </w:r>
      <w:r w:rsidR="006A5842">
        <w:rPr>
          <w:rFonts w:ascii="Palatino Linotype" w:hAnsi="Palatino Linotype"/>
        </w:rPr>
        <w:t>la</w:t>
      </w:r>
      <w:r w:rsidRPr="00883039">
        <w:rPr>
          <w:rFonts w:ascii="Palatino Linotype" w:hAnsi="Palatino Linotype"/>
        </w:rPr>
        <w:t xml:space="preserve"> particular. </w:t>
      </w:r>
    </w:p>
    <w:p w14:paraId="62F50FF2" w14:textId="5F12CBF9" w:rsidR="00F12B6F" w:rsidRPr="00883039" w:rsidRDefault="00F12B6F" w:rsidP="00883039">
      <w:pPr>
        <w:spacing w:line="360" w:lineRule="auto"/>
        <w:ind w:right="899"/>
        <w:contextualSpacing/>
        <w:jc w:val="both"/>
        <w:rPr>
          <w:rFonts w:ascii="Palatino Linotype" w:hAnsi="Palatino Linotype"/>
        </w:rPr>
      </w:pPr>
    </w:p>
    <w:p w14:paraId="066CB419" w14:textId="00D7189B" w:rsidR="00FA2274" w:rsidRDefault="0012034C" w:rsidP="00883039">
      <w:pPr>
        <w:widowControl w:val="0"/>
        <w:spacing w:line="360" w:lineRule="auto"/>
        <w:jc w:val="both"/>
        <w:rPr>
          <w:rFonts w:ascii="Palatino Linotype" w:eastAsia="Calibri" w:hAnsi="Palatino Linotype" w:cs="Arial"/>
        </w:rPr>
      </w:pPr>
      <w:r w:rsidRPr="00883039">
        <w:rPr>
          <w:rFonts w:ascii="Palatino Linotype" w:eastAsia="Calibri" w:hAnsi="Palatino Linotype" w:cs="Arial"/>
        </w:rPr>
        <w:t xml:space="preserve">De la normativa transcrita, tenemos que </w:t>
      </w:r>
      <w:r w:rsidRPr="00883039">
        <w:rPr>
          <w:rFonts w:ascii="Palatino Linotype" w:eastAsia="Calibri" w:hAnsi="Palatino Linotype" w:cs="Arial"/>
          <w:b/>
        </w:rPr>
        <w:t>EL SUJETO OBLIGADO</w:t>
      </w:r>
      <w:r w:rsidRPr="00883039">
        <w:rPr>
          <w:rFonts w:ascii="Palatino Linotype" w:eastAsia="Calibri" w:hAnsi="Palatino Linotype" w:cs="Arial"/>
        </w:rPr>
        <w:t xml:space="preserve"> es competente para conocer la información requerida en la solicitud de acceso a la información pública, por lo que debe ordenarse la entrega de la misma.</w:t>
      </w:r>
    </w:p>
    <w:p w14:paraId="3FAEBFEB" w14:textId="77777777" w:rsidR="00E96015" w:rsidRDefault="00E96015" w:rsidP="00883039">
      <w:pPr>
        <w:widowControl w:val="0"/>
        <w:spacing w:line="360" w:lineRule="auto"/>
        <w:jc w:val="both"/>
        <w:rPr>
          <w:rFonts w:ascii="Palatino Linotype" w:eastAsia="Calibri" w:hAnsi="Palatino Linotype" w:cs="Arial"/>
        </w:rPr>
      </w:pPr>
    </w:p>
    <w:p w14:paraId="1D75FD28" w14:textId="1CFF3CDA" w:rsidR="00B01685" w:rsidRPr="00CA6BCA" w:rsidRDefault="00B01685" w:rsidP="00B01685">
      <w:pPr>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lang w:eastAsia="es-MX"/>
        </w:rPr>
        <w:t xml:space="preserve">En tal sentido, debemos mencionar que </w:t>
      </w:r>
      <w:r w:rsidRPr="00CA6BCA">
        <w:rPr>
          <w:rFonts w:ascii="Palatino Linotype" w:eastAsia="Calibri" w:hAnsi="Palatino Linotype"/>
          <w:lang w:eastAsia="en-US"/>
        </w:rPr>
        <w:t xml:space="preserve">para tener por satisfecho </w:t>
      </w:r>
      <w:r w:rsidRPr="00CA6BCA">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527DA2B9" w14:textId="77777777" w:rsidR="00B01685" w:rsidRPr="00CA6BCA" w:rsidRDefault="00B01685" w:rsidP="00B01685">
      <w:pPr>
        <w:spacing w:line="360" w:lineRule="auto"/>
        <w:jc w:val="both"/>
        <w:rPr>
          <w:rFonts w:ascii="Palatino Linotype" w:eastAsia="Calibri" w:hAnsi="Palatino Linotype"/>
          <w:lang w:eastAsia="en-US"/>
        </w:rPr>
      </w:pPr>
    </w:p>
    <w:p w14:paraId="38D88014" w14:textId="77777777" w:rsidR="00B01685" w:rsidRPr="00CA6BCA" w:rsidRDefault="00B01685" w:rsidP="00B01685">
      <w:pPr>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CA6BCA">
        <w:rPr>
          <w:rFonts w:ascii="Palatino Linotype" w:eastAsia="Calibri" w:hAnsi="Palatino Linotype" w:cs="Arial"/>
          <w:bCs/>
          <w:color w:val="000000"/>
          <w:lang w:eastAsia="en-US"/>
        </w:rPr>
        <w:t>de la Ley de Transparencia y Acceso a la Información Pública del Estado de México y Municipios</w:t>
      </w:r>
      <w:r w:rsidRPr="00CA6BCA">
        <w:rPr>
          <w:rFonts w:ascii="Palatino Linotype" w:eastAsia="Calibri" w:hAnsi="Palatino Linotype" w:cs="Arial"/>
          <w:color w:val="000000"/>
          <w:lang w:eastAsia="en-US"/>
        </w:rPr>
        <w:t>:</w:t>
      </w:r>
    </w:p>
    <w:p w14:paraId="64B6562E" w14:textId="77777777" w:rsidR="00B01685" w:rsidRPr="00CA6BCA" w:rsidRDefault="00B01685" w:rsidP="00B01685">
      <w:pPr>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ab/>
      </w:r>
    </w:p>
    <w:p w14:paraId="42151786"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
          <w:bCs/>
          <w:i/>
          <w:color w:val="000000"/>
          <w:sz w:val="22"/>
          <w:szCs w:val="22"/>
          <w:lang w:eastAsia="en-US"/>
        </w:rPr>
        <w:lastRenderedPageBreak/>
        <w:t xml:space="preserve">“Artículo 3. </w:t>
      </w:r>
      <w:r w:rsidRPr="00CA6BCA">
        <w:rPr>
          <w:rFonts w:ascii="Palatino Linotype" w:eastAsia="Calibri" w:hAnsi="Palatino Linotype" w:cs="Arial"/>
          <w:bCs/>
          <w:i/>
          <w:color w:val="000000"/>
          <w:sz w:val="22"/>
          <w:szCs w:val="22"/>
          <w:u w:val="single"/>
          <w:lang w:eastAsia="en-US"/>
        </w:rPr>
        <w:t>Para los efectos de la presente Ley se entenderá por</w:t>
      </w:r>
      <w:r w:rsidRPr="00CA6BCA">
        <w:rPr>
          <w:rFonts w:ascii="Palatino Linotype" w:eastAsia="Calibri" w:hAnsi="Palatino Linotype" w:cs="Arial"/>
          <w:bCs/>
          <w:i/>
          <w:color w:val="000000"/>
          <w:sz w:val="22"/>
          <w:szCs w:val="22"/>
          <w:lang w:eastAsia="en-US"/>
        </w:rPr>
        <w:t>:</w:t>
      </w:r>
    </w:p>
    <w:p w14:paraId="3E345056" w14:textId="77777777" w:rsidR="00B01685" w:rsidRPr="00CA6BCA" w:rsidRDefault="00B01685" w:rsidP="00B01685">
      <w:pPr>
        <w:ind w:left="851" w:right="850"/>
        <w:jc w:val="both"/>
        <w:rPr>
          <w:rFonts w:ascii="Palatino Linotype" w:eastAsia="Calibri" w:hAnsi="Palatino Linotype" w:cs="Arial"/>
          <w:i/>
          <w:sz w:val="22"/>
          <w:szCs w:val="22"/>
          <w:lang w:eastAsia="en-US"/>
        </w:rPr>
      </w:pPr>
      <w:r w:rsidRPr="00CA6BCA">
        <w:rPr>
          <w:rFonts w:ascii="Palatino Linotype" w:eastAsia="Calibri" w:hAnsi="Palatino Linotype" w:cs="Arial"/>
          <w:i/>
          <w:sz w:val="22"/>
          <w:szCs w:val="22"/>
          <w:lang w:eastAsia="en-US"/>
        </w:rPr>
        <w:t>…</w:t>
      </w:r>
    </w:p>
    <w:p w14:paraId="77FAD937"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
          <w:bCs/>
          <w:i/>
          <w:color w:val="000000"/>
          <w:sz w:val="22"/>
          <w:szCs w:val="22"/>
          <w:lang w:eastAsia="en-US"/>
        </w:rPr>
        <w:t xml:space="preserve">XI. </w:t>
      </w:r>
      <w:r w:rsidRPr="00CA6BCA">
        <w:rPr>
          <w:rFonts w:ascii="Palatino Linotype" w:eastAsia="Calibri" w:hAnsi="Palatino Linotype" w:cs="Arial"/>
          <w:b/>
          <w:bCs/>
          <w:i/>
          <w:color w:val="000000"/>
          <w:sz w:val="22"/>
          <w:szCs w:val="22"/>
          <w:u w:val="single"/>
          <w:lang w:eastAsia="en-US"/>
        </w:rPr>
        <w:t>Documento</w:t>
      </w:r>
      <w:r w:rsidRPr="00CA6BCA">
        <w:rPr>
          <w:rFonts w:ascii="Palatino Linotype" w:eastAsia="Calibri" w:hAnsi="Palatino Linotype" w:cs="Arial"/>
          <w:b/>
          <w:bCs/>
          <w:i/>
          <w:color w:val="000000"/>
          <w:sz w:val="22"/>
          <w:szCs w:val="22"/>
          <w:lang w:eastAsia="en-US"/>
        </w:rPr>
        <w:t xml:space="preserve">: </w:t>
      </w:r>
      <w:r w:rsidRPr="00CA6BCA">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D6C1B59" w14:textId="77777777" w:rsidR="00B01685" w:rsidRPr="00CA6BCA" w:rsidRDefault="00B01685" w:rsidP="00B01685">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XII. Documento electrónico:</w:t>
      </w:r>
      <w:r w:rsidRPr="00CA6BCA">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76215A6"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lang w:eastAsia="en-US"/>
        </w:rPr>
        <w:t>…</w:t>
      </w:r>
    </w:p>
    <w:p w14:paraId="38E565EF" w14:textId="77777777" w:rsidR="00B01685" w:rsidRPr="00CA6BCA" w:rsidRDefault="00B01685" w:rsidP="00B01685">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 xml:space="preserve">Artículo 4. </w:t>
      </w:r>
      <w:r w:rsidRPr="00CA6BCA">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CA6BCA">
        <w:rPr>
          <w:rFonts w:ascii="Palatino Linotype" w:eastAsia="Calibri" w:hAnsi="Palatino Linotype" w:cs="Arial"/>
          <w:bCs/>
          <w:i/>
          <w:color w:val="000000"/>
          <w:sz w:val="22"/>
          <w:szCs w:val="22"/>
          <w:lang w:eastAsia="en-US"/>
        </w:rPr>
        <w:t>, sin necesidad de acreditar personalidad ni interés jurídico.</w:t>
      </w:r>
    </w:p>
    <w:p w14:paraId="5384597D"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A6BCA">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1769FE2F"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58490885"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
          <w:bCs/>
          <w:i/>
          <w:color w:val="000000"/>
          <w:sz w:val="22"/>
          <w:szCs w:val="22"/>
          <w:lang w:eastAsia="en-US"/>
        </w:rPr>
        <w:t xml:space="preserve">Artículo 12. </w:t>
      </w:r>
      <w:r w:rsidRPr="00CA6BCA">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04D8C00B"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CA6BCA">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A4C24CA"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lang w:eastAsia="en-US"/>
        </w:rPr>
        <w:t>…</w:t>
      </w:r>
    </w:p>
    <w:p w14:paraId="262C151A"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
          <w:bCs/>
          <w:i/>
          <w:color w:val="000000"/>
          <w:sz w:val="22"/>
          <w:szCs w:val="22"/>
          <w:lang w:eastAsia="en-US"/>
        </w:rPr>
        <w:lastRenderedPageBreak/>
        <w:t xml:space="preserve">Artículo 24. </w:t>
      </w:r>
      <w:r w:rsidRPr="00CA6BCA">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0432575F"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Cs/>
          <w:i/>
          <w:color w:val="000000"/>
          <w:sz w:val="22"/>
          <w:szCs w:val="22"/>
          <w:lang w:eastAsia="en-US"/>
        </w:rPr>
        <w:t>..</w:t>
      </w:r>
      <w:r w:rsidRPr="00CA6BCA">
        <w:rPr>
          <w:rFonts w:ascii="Palatino Linotype" w:eastAsia="Calibri" w:hAnsi="Palatino Linotype" w:cs="Arial"/>
          <w:i/>
          <w:color w:val="000000"/>
          <w:sz w:val="22"/>
          <w:szCs w:val="22"/>
          <w:lang w:eastAsia="en-US"/>
        </w:rPr>
        <w:t>.</w:t>
      </w:r>
    </w:p>
    <w:p w14:paraId="1A4E9195" w14:textId="77777777" w:rsidR="00B01685" w:rsidRPr="00CA6BCA" w:rsidRDefault="00B01685" w:rsidP="00B01685">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IX.</w:t>
      </w:r>
      <w:r w:rsidRPr="00CA6BCA">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5333D233" w14:textId="77777777" w:rsidR="00B01685" w:rsidRPr="00CA6BCA" w:rsidRDefault="00B01685" w:rsidP="00B01685">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w:t>
      </w:r>
    </w:p>
    <w:p w14:paraId="0613DCE7" w14:textId="77777777" w:rsidR="00B01685" w:rsidRPr="00CA6BCA" w:rsidRDefault="00B01685" w:rsidP="00B01685">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XI.</w:t>
      </w:r>
      <w:r w:rsidRPr="00CA6BCA">
        <w:rPr>
          <w:rFonts w:ascii="Palatino Linotype" w:eastAsia="Calibri" w:hAnsi="Palatino Linotype" w:cs="Arial"/>
          <w:bCs/>
          <w:i/>
          <w:color w:val="000000"/>
          <w:sz w:val="22"/>
          <w:szCs w:val="22"/>
          <w:lang w:eastAsia="en-US"/>
        </w:rPr>
        <w:t xml:space="preserve"> </w:t>
      </w:r>
      <w:r w:rsidRPr="00CA6BCA">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430E2C63"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Cs/>
          <w:i/>
          <w:color w:val="000000"/>
          <w:sz w:val="22"/>
          <w:szCs w:val="22"/>
          <w:lang w:eastAsia="en-US"/>
        </w:rPr>
        <w:t>…</w:t>
      </w:r>
    </w:p>
    <w:p w14:paraId="11C99AB9" w14:textId="77777777" w:rsidR="00B01685" w:rsidRPr="00CA6BCA" w:rsidRDefault="00B01685" w:rsidP="00B01685">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7E416CFE" w14:textId="77777777" w:rsidR="00B01685" w:rsidRPr="00CA6BCA" w:rsidRDefault="00B01685" w:rsidP="00B01685">
      <w:pPr>
        <w:ind w:left="851" w:right="851"/>
        <w:jc w:val="both"/>
        <w:rPr>
          <w:rFonts w:ascii="Palatino Linotype" w:eastAsia="Calibri" w:hAnsi="Palatino Linotype" w:cs="Arial"/>
          <w:i/>
          <w:color w:val="000000"/>
          <w:sz w:val="22"/>
          <w:szCs w:val="22"/>
          <w:u w:val="single"/>
          <w:lang w:eastAsia="en-US"/>
        </w:rPr>
      </w:pPr>
      <w:r w:rsidRPr="00CA6BCA">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2EFF388C" w14:textId="77777777" w:rsidR="00B01685" w:rsidRPr="00CA6BCA" w:rsidRDefault="00B01685" w:rsidP="00B01685">
      <w:pPr>
        <w:ind w:left="851" w:right="851"/>
        <w:jc w:val="both"/>
        <w:rPr>
          <w:rFonts w:ascii="Palatino Linotype" w:eastAsia="Calibri" w:hAnsi="Palatino Linotype" w:cs="Arial"/>
          <w:i/>
          <w:color w:val="000000"/>
          <w:sz w:val="22"/>
          <w:szCs w:val="22"/>
          <w:lang w:eastAsia="en-US"/>
        </w:rPr>
      </w:pPr>
    </w:p>
    <w:p w14:paraId="10291879" w14:textId="77777777" w:rsidR="00B01685" w:rsidRPr="00CA6BCA" w:rsidRDefault="00B01685" w:rsidP="00B01685">
      <w:pPr>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139C839F" w14:textId="77777777" w:rsidR="00B01685" w:rsidRPr="00CA6BCA" w:rsidRDefault="00B01685" w:rsidP="00B01685">
      <w:pPr>
        <w:spacing w:line="360" w:lineRule="auto"/>
        <w:jc w:val="both"/>
        <w:rPr>
          <w:rFonts w:ascii="Palatino Linotype" w:eastAsia="Calibri" w:hAnsi="Palatino Linotype" w:cs="Arial"/>
          <w:color w:val="000000"/>
          <w:lang w:eastAsia="en-US"/>
        </w:rPr>
      </w:pPr>
    </w:p>
    <w:p w14:paraId="76721DEF" w14:textId="77777777" w:rsidR="00B01685" w:rsidRPr="00CA6BCA" w:rsidRDefault="00B01685" w:rsidP="00B01685">
      <w:pPr>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2F35C5A" w14:textId="77777777" w:rsidR="00B01685" w:rsidRPr="00CA6BCA" w:rsidRDefault="00B01685" w:rsidP="00B01685">
      <w:pPr>
        <w:spacing w:line="360" w:lineRule="auto"/>
        <w:rPr>
          <w:rFonts w:ascii="Palatino Linotype" w:eastAsia="Calibri" w:hAnsi="Palatino Linotype"/>
          <w:sz w:val="22"/>
          <w:szCs w:val="22"/>
          <w:lang w:eastAsia="en-US"/>
        </w:rPr>
      </w:pPr>
    </w:p>
    <w:p w14:paraId="1D2AAC5C" w14:textId="77777777" w:rsidR="00B01685" w:rsidRPr="00CA6BCA" w:rsidRDefault="00B01685" w:rsidP="00B01685">
      <w:pPr>
        <w:tabs>
          <w:tab w:val="left" w:pos="709"/>
        </w:tabs>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lang w:eastAsia="en-US"/>
        </w:rPr>
        <w:t>En estricto sentido</w:t>
      </w:r>
      <w:r w:rsidRPr="00CA6BCA">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CA6BCA">
        <w:rPr>
          <w:rFonts w:ascii="Palatino Linotype" w:eastAsia="Calibri" w:hAnsi="Palatino Linotype" w:cs="Arial"/>
          <w:b/>
          <w:color w:val="000000"/>
          <w:lang w:eastAsia="en-US"/>
        </w:rPr>
        <w:t xml:space="preserve"> </w:t>
      </w:r>
      <w:r w:rsidRPr="00CA6BCA">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CA6BCA">
        <w:rPr>
          <w:rFonts w:ascii="Palatino Linotype" w:eastAsia="Calibri" w:hAnsi="Palatino Linotype" w:cs="Arial"/>
          <w:i/>
          <w:color w:val="000000"/>
          <w:lang w:eastAsia="en-US"/>
        </w:rPr>
        <w:t>ad hoc</w:t>
      </w:r>
      <w:r w:rsidRPr="00CA6BCA">
        <w:rPr>
          <w:rFonts w:ascii="Palatino Linotype" w:eastAsia="Calibri" w:hAnsi="Palatino Linotype" w:cs="Arial"/>
          <w:color w:val="000000"/>
          <w:lang w:eastAsia="en-US"/>
        </w:rPr>
        <w:t xml:space="preserve">, para satisfacer el derecho de acceso a </w:t>
      </w:r>
      <w:r w:rsidRPr="00CA6BCA">
        <w:rPr>
          <w:rFonts w:ascii="Palatino Linotype" w:eastAsia="Calibri" w:hAnsi="Palatino Linotype" w:cs="Arial"/>
          <w:color w:val="000000"/>
          <w:lang w:eastAsia="en-US"/>
        </w:rPr>
        <w:lastRenderedPageBreak/>
        <w:t>la información pública, como lo establece el artículo 12 de la Ley de Transparencia y Acceso a la Información Pública del Estado de México y Municipios.</w:t>
      </w:r>
    </w:p>
    <w:p w14:paraId="0922F9BA" w14:textId="77777777" w:rsidR="00B01685" w:rsidRPr="00CA6BCA" w:rsidRDefault="00B01685" w:rsidP="00B01685">
      <w:pPr>
        <w:spacing w:line="360" w:lineRule="auto"/>
        <w:ind w:left="567" w:right="51"/>
        <w:jc w:val="both"/>
        <w:rPr>
          <w:rFonts w:ascii="Palatino Linotype" w:hAnsi="Palatino Linotype" w:cs="Arial"/>
          <w:color w:val="000000"/>
          <w:lang w:val="es-ES"/>
        </w:rPr>
      </w:pPr>
    </w:p>
    <w:p w14:paraId="1DD2FFCE" w14:textId="77777777" w:rsidR="00B01685" w:rsidRPr="00CA6BCA" w:rsidRDefault="00B01685" w:rsidP="00B01685">
      <w:pPr>
        <w:spacing w:line="360" w:lineRule="auto"/>
        <w:ind w:right="51"/>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 xml:space="preserve">Como apoyo a lo anterior, es aplicable el Criterio 03-17, emitido por </w:t>
      </w:r>
      <w:r w:rsidRPr="00CA6BCA">
        <w:rPr>
          <w:rFonts w:ascii="Palatino Linotype" w:eastAsia="Arial Unicode MS" w:hAnsi="Palatino Linotype" w:cs="Arial"/>
          <w:color w:val="000000"/>
          <w:lang w:eastAsia="en-US"/>
        </w:rPr>
        <w:t>el Instituto Nacional de Transparencia, Acceso a la Información y Protección de Datos Personales,</w:t>
      </w:r>
      <w:r w:rsidRPr="00CA6BCA">
        <w:rPr>
          <w:rFonts w:ascii="Palatino Linotype" w:eastAsia="Calibri" w:hAnsi="Palatino Linotype"/>
          <w:bCs/>
          <w:color w:val="000000"/>
          <w:lang w:eastAsia="en-US"/>
        </w:rPr>
        <w:t xml:space="preserve"> que dice:</w:t>
      </w:r>
      <w:r w:rsidRPr="00CA6BCA">
        <w:rPr>
          <w:rFonts w:ascii="Palatino Linotype" w:eastAsia="Calibri" w:hAnsi="Palatino Linotype"/>
          <w:b/>
          <w:bCs/>
          <w:color w:val="000000"/>
          <w:lang w:eastAsia="en-US"/>
        </w:rPr>
        <w:t xml:space="preserve"> </w:t>
      </w:r>
    </w:p>
    <w:p w14:paraId="42AC5442" w14:textId="77777777" w:rsidR="00B01685" w:rsidRPr="00CA6BCA" w:rsidRDefault="00B01685" w:rsidP="00B01685">
      <w:pPr>
        <w:ind w:left="928" w:right="850"/>
        <w:jc w:val="both"/>
        <w:rPr>
          <w:rFonts w:ascii="Palatino Linotype" w:hAnsi="Palatino Linotype" w:cs="Arial"/>
          <w:i/>
          <w:color w:val="000000"/>
          <w:sz w:val="22"/>
          <w:szCs w:val="22"/>
          <w:lang w:val="es-ES"/>
        </w:rPr>
      </w:pPr>
    </w:p>
    <w:p w14:paraId="68293A52" w14:textId="77777777" w:rsidR="00B01685" w:rsidRPr="00CA6BCA" w:rsidRDefault="00B01685" w:rsidP="00B01685">
      <w:pPr>
        <w:ind w:left="928" w:right="901"/>
        <w:jc w:val="both"/>
        <w:rPr>
          <w:rFonts w:ascii="Palatino Linotype" w:hAnsi="Palatino Linotype" w:cs="Arial"/>
          <w:i/>
          <w:color w:val="000000"/>
          <w:sz w:val="22"/>
          <w:szCs w:val="22"/>
          <w:lang w:val="es-ES"/>
        </w:rPr>
      </w:pPr>
      <w:r w:rsidRPr="00CA6BCA">
        <w:rPr>
          <w:rFonts w:ascii="Palatino Linotype" w:hAnsi="Palatino Linotype" w:cs="Arial"/>
          <w:i/>
          <w:color w:val="000000"/>
          <w:sz w:val="22"/>
          <w:szCs w:val="22"/>
          <w:lang w:val="es-ES"/>
        </w:rPr>
        <w:t>“</w:t>
      </w:r>
      <w:r w:rsidRPr="00CA6BCA">
        <w:rPr>
          <w:rFonts w:ascii="Palatino Linotype" w:hAnsi="Palatino Linotype" w:cs="Arial"/>
          <w:b/>
          <w:i/>
          <w:color w:val="000000"/>
          <w:sz w:val="22"/>
          <w:szCs w:val="22"/>
          <w:lang w:val="es-ES"/>
        </w:rPr>
        <w:t>No existe obligación de elaborar documentos ad hoc para atender las solicitudes de acceso a la información.</w:t>
      </w:r>
      <w:r w:rsidRPr="00CA6BCA">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0AF4D89" w14:textId="77777777" w:rsidR="00B01685" w:rsidRPr="00CA6BCA" w:rsidRDefault="00B01685" w:rsidP="00B01685">
      <w:pPr>
        <w:ind w:left="928" w:right="901"/>
        <w:jc w:val="both"/>
        <w:rPr>
          <w:rFonts w:ascii="Palatino Linotype" w:hAnsi="Palatino Linotype" w:cs="Arial"/>
          <w:i/>
          <w:color w:val="000000"/>
          <w:sz w:val="22"/>
          <w:szCs w:val="22"/>
          <w:lang w:val="es-ES"/>
        </w:rPr>
      </w:pPr>
    </w:p>
    <w:p w14:paraId="303E29E8" w14:textId="77777777" w:rsidR="00B01685" w:rsidRPr="00CA6BCA" w:rsidRDefault="00B01685" w:rsidP="00B01685">
      <w:pPr>
        <w:ind w:left="928" w:right="901"/>
        <w:jc w:val="both"/>
        <w:rPr>
          <w:rFonts w:ascii="Palatino Linotype" w:hAnsi="Palatino Linotype" w:cs="Arial"/>
          <w:i/>
          <w:color w:val="000000"/>
          <w:sz w:val="22"/>
          <w:szCs w:val="22"/>
          <w:lang w:val="es-ES"/>
        </w:rPr>
      </w:pPr>
      <w:r w:rsidRPr="00CA6BCA">
        <w:rPr>
          <w:rFonts w:ascii="Palatino Linotype" w:hAnsi="Palatino Linotype" w:cs="Arial"/>
          <w:i/>
          <w:color w:val="000000"/>
          <w:sz w:val="22"/>
          <w:szCs w:val="22"/>
          <w:lang w:val="es-ES"/>
        </w:rPr>
        <w:t xml:space="preserve">Resoluciones: </w:t>
      </w:r>
    </w:p>
    <w:p w14:paraId="5BDA7867" w14:textId="77777777" w:rsidR="00B01685" w:rsidRPr="00CA6BCA" w:rsidRDefault="00B01685" w:rsidP="00B01685">
      <w:pPr>
        <w:ind w:left="928" w:right="901"/>
        <w:jc w:val="both"/>
        <w:rPr>
          <w:rFonts w:ascii="Palatino Linotype" w:hAnsi="Palatino Linotype" w:cs="Arial"/>
          <w:i/>
          <w:color w:val="000000"/>
          <w:sz w:val="22"/>
          <w:szCs w:val="22"/>
          <w:lang w:val="es-ES"/>
        </w:rPr>
      </w:pPr>
      <w:r w:rsidRPr="00CA6BCA">
        <w:rPr>
          <w:rFonts w:ascii="Palatino Linotype" w:hAnsi="Palatino Linotype" w:cs="Arial"/>
          <w:i/>
          <w:color w:val="000000"/>
          <w:sz w:val="22"/>
          <w:szCs w:val="22"/>
          <w:lang w:val="es-ES"/>
        </w:rPr>
        <w:t>RRA 0050/16. Instituto Nacional para la Evaluación de la Educación. 13 julio de 2016. Por unanimidad. Comisionado Ponente: Francisco Javier Acuña Llamas.</w:t>
      </w:r>
    </w:p>
    <w:p w14:paraId="674A006D" w14:textId="77777777" w:rsidR="00B01685" w:rsidRPr="00CA6BCA" w:rsidRDefault="00B01685" w:rsidP="00B01685">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2A266178" w14:textId="77777777" w:rsidR="00B01685" w:rsidRPr="00883039" w:rsidRDefault="00B01685" w:rsidP="00883039">
      <w:pPr>
        <w:widowControl w:val="0"/>
        <w:spacing w:line="360" w:lineRule="auto"/>
        <w:jc w:val="both"/>
        <w:rPr>
          <w:rFonts w:ascii="Palatino Linotype" w:eastAsia="Calibri" w:hAnsi="Palatino Linotype" w:cs="Arial"/>
        </w:rPr>
      </w:pPr>
    </w:p>
    <w:p w14:paraId="1C64699D" w14:textId="6A955DCA" w:rsidR="00FA2274" w:rsidRPr="00883039" w:rsidRDefault="00B01685" w:rsidP="00883039">
      <w:pPr>
        <w:autoSpaceDE w:val="0"/>
        <w:autoSpaceDN w:val="0"/>
        <w:adjustRightInd w:val="0"/>
        <w:spacing w:line="360" w:lineRule="auto"/>
        <w:jc w:val="both"/>
        <w:rPr>
          <w:rFonts w:ascii="Palatino Linotype" w:hAnsi="Palatino Linotype" w:cs="Arial"/>
          <w:szCs w:val="22"/>
        </w:rPr>
      </w:pPr>
      <w:r>
        <w:rPr>
          <w:rFonts w:ascii="Palatino Linotype" w:hAnsi="Palatino Linotype" w:cs="Arial"/>
          <w:szCs w:val="22"/>
        </w:rPr>
        <w:t xml:space="preserve">Es así que, </w:t>
      </w:r>
      <w:r w:rsidR="00FA2274" w:rsidRPr="00883039">
        <w:rPr>
          <w:rFonts w:ascii="Palatino Linotype" w:hAnsi="Palatino Linotype" w:cs="Arial"/>
          <w:b/>
          <w:szCs w:val="22"/>
        </w:rPr>
        <w:t>EL SUJETO OBLIGADO</w:t>
      </w:r>
      <w:r w:rsidR="00FA2274" w:rsidRPr="00883039">
        <w:rPr>
          <w:rFonts w:ascii="Palatino Linotype" w:hAnsi="Palatino Linotype" w:cs="Arial"/>
          <w:szCs w:val="22"/>
        </w:rPr>
        <w:t xml:space="preserve"> sólo proporcionará la información pública que se les requiera y que obre en sus archivos y en el estado en que ésta se encuentre.</w:t>
      </w:r>
    </w:p>
    <w:p w14:paraId="53347457" w14:textId="77777777" w:rsidR="00FA2274" w:rsidRPr="00883039" w:rsidRDefault="00FA2274" w:rsidP="00883039">
      <w:pPr>
        <w:autoSpaceDE w:val="0"/>
        <w:autoSpaceDN w:val="0"/>
        <w:adjustRightInd w:val="0"/>
        <w:spacing w:line="360" w:lineRule="auto"/>
        <w:jc w:val="both"/>
        <w:rPr>
          <w:rFonts w:ascii="Palatino Linotype" w:hAnsi="Palatino Linotype" w:cs="Arial"/>
          <w:szCs w:val="22"/>
        </w:rPr>
      </w:pPr>
    </w:p>
    <w:p w14:paraId="6B9BFC36" w14:textId="29F3E47B" w:rsidR="0050545B" w:rsidRPr="00883039" w:rsidRDefault="0050545B" w:rsidP="00883039">
      <w:pPr>
        <w:autoSpaceDE w:val="0"/>
        <w:autoSpaceDN w:val="0"/>
        <w:adjustRightInd w:val="0"/>
        <w:spacing w:line="360" w:lineRule="auto"/>
        <w:jc w:val="both"/>
        <w:rPr>
          <w:rFonts w:ascii="Palatino Linotype" w:hAnsi="Palatino Linotype" w:cs="Arial"/>
          <w:szCs w:val="22"/>
        </w:rPr>
      </w:pPr>
      <w:r w:rsidRPr="00883039">
        <w:rPr>
          <w:rFonts w:ascii="Palatino Linotype" w:hAnsi="Palatino Linotype" w:cs="Arial"/>
          <w:szCs w:val="22"/>
        </w:rPr>
        <w:t xml:space="preserve">En consecuencia, este Órgano Garante determina ordenar de ser procedente en </w:t>
      </w:r>
      <w:r w:rsidRPr="00883039">
        <w:rPr>
          <w:rFonts w:ascii="Palatino Linotype" w:hAnsi="Palatino Linotype" w:cs="Arial"/>
          <w:b/>
          <w:szCs w:val="22"/>
        </w:rPr>
        <w:t>versión pública</w:t>
      </w:r>
      <w:r w:rsidR="0098231D" w:rsidRPr="00883039">
        <w:rPr>
          <w:rFonts w:ascii="Palatino Linotype" w:hAnsi="Palatino Linotype" w:cs="Arial"/>
          <w:b/>
          <w:szCs w:val="22"/>
        </w:rPr>
        <w:t xml:space="preserve">, </w:t>
      </w:r>
      <w:r w:rsidR="0098231D" w:rsidRPr="00883039">
        <w:rPr>
          <w:rFonts w:ascii="Palatino Linotype" w:hAnsi="Palatino Linotype" w:cs="Arial"/>
          <w:szCs w:val="22"/>
        </w:rPr>
        <w:t xml:space="preserve">del Conjunto Urbano denominado “Real Granada Tercera Etapa” “Real Granada Cuarta Etapa” y “Real Granada Quinta Etapa” </w:t>
      </w:r>
      <w:r w:rsidRPr="00883039">
        <w:rPr>
          <w:rFonts w:ascii="Palatino Linotype" w:hAnsi="Palatino Linotype" w:cs="Arial"/>
          <w:b/>
          <w:szCs w:val="22"/>
        </w:rPr>
        <w:t xml:space="preserve"> </w:t>
      </w:r>
      <w:r w:rsidRPr="00883039">
        <w:rPr>
          <w:rFonts w:ascii="Palatino Linotype" w:hAnsi="Palatino Linotype" w:cs="Arial"/>
          <w:szCs w:val="22"/>
        </w:rPr>
        <w:t xml:space="preserve">lo siguiente: </w:t>
      </w:r>
    </w:p>
    <w:p w14:paraId="4ED45DF8" w14:textId="77777777" w:rsidR="0050545B" w:rsidRPr="00883039" w:rsidRDefault="0050545B" w:rsidP="00883039">
      <w:pPr>
        <w:autoSpaceDE w:val="0"/>
        <w:autoSpaceDN w:val="0"/>
        <w:adjustRightInd w:val="0"/>
        <w:spacing w:line="360" w:lineRule="auto"/>
        <w:jc w:val="both"/>
        <w:rPr>
          <w:rFonts w:ascii="Palatino Linotype" w:hAnsi="Palatino Linotype" w:cs="Arial"/>
          <w:szCs w:val="22"/>
        </w:rPr>
      </w:pPr>
    </w:p>
    <w:p w14:paraId="112E7F6E" w14:textId="79461A6E" w:rsidR="0050545B" w:rsidRPr="00883039" w:rsidRDefault="004203A3"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Gaceta oficial de la D</w:t>
      </w:r>
      <w:r w:rsidR="0050545B" w:rsidRPr="00883039">
        <w:rPr>
          <w:rFonts w:ascii="Palatino Linotype" w:hAnsi="Palatino Linotype"/>
          <w:color w:val="000000"/>
        </w:rPr>
        <w:t xml:space="preserve">irección de Desarrollo Urbano y </w:t>
      </w:r>
      <w:r w:rsidR="0098231D" w:rsidRPr="00883039">
        <w:rPr>
          <w:rFonts w:ascii="Palatino Linotype" w:hAnsi="Palatino Linotype"/>
          <w:color w:val="000000"/>
        </w:rPr>
        <w:t xml:space="preserve">Obra, con </w:t>
      </w:r>
      <w:r w:rsidR="0050545B" w:rsidRPr="00883039">
        <w:rPr>
          <w:rFonts w:ascii="Palatino Linotype" w:hAnsi="Palatino Linotype"/>
          <w:color w:val="000000"/>
        </w:rPr>
        <w:t xml:space="preserve">todos sus anexos como es planos de lotificación Plano oficial, apertura de vías públicas y división de lotes Fusión, subdivisión, apertura, ampliación o modificación de vías públicas </w:t>
      </w:r>
    </w:p>
    <w:p w14:paraId="3FDB4660" w14:textId="4444049E"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Lotificaci</w:t>
      </w:r>
      <w:r w:rsidR="0098231D" w:rsidRPr="00883039">
        <w:rPr>
          <w:rFonts w:ascii="Palatino Linotype" w:hAnsi="Palatino Linotype"/>
          <w:color w:val="000000"/>
        </w:rPr>
        <w:t>ón de predios para condominios</w:t>
      </w:r>
    </w:p>
    <w:p w14:paraId="5A27992E" w14:textId="1170D6CA"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Cambios de uso del suelo, de densidad e intensidad de su aprovechamiento o de la altura máxima permitida</w:t>
      </w:r>
    </w:p>
    <w:p w14:paraId="3C2C5E6A" w14:textId="06DF7A11"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Cualquier acto administrativo de competencia estatal o municipal que haya sido requerido para la lotificación solicitada. Seccio</w:t>
      </w:r>
      <w:r w:rsidR="004203A3" w:rsidRPr="00883039">
        <w:rPr>
          <w:rFonts w:ascii="Palatino Linotype" w:hAnsi="Palatino Linotype"/>
          <w:color w:val="000000"/>
        </w:rPr>
        <w:t>nes de vías públicas y privadas</w:t>
      </w:r>
      <w:r w:rsidRPr="00883039">
        <w:rPr>
          <w:rFonts w:ascii="Palatino Linotype" w:hAnsi="Palatino Linotype"/>
          <w:color w:val="000000"/>
        </w:rPr>
        <w:t xml:space="preserve"> </w:t>
      </w:r>
    </w:p>
    <w:p w14:paraId="0D2EE725" w14:textId="1C4A7D11"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Cuadro de construc</w:t>
      </w:r>
      <w:r w:rsidR="004203A3" w:rsidRPr="00883039">
        <w:rPr>
          <w:rFonts w:ascii="Palatino Linotype" w:hAnsi="Palatino Linotype"/>
          <w:color w:val="000000"/>
        </w:rPr>
        <w:t>ción de la poligonal del predio</w:t>
      </w:r>
      <w:r w:rsidRPr="00883039">
        <w:rPr>
          <w:rFonts w:ascii="Palatino Linotype" w:hAnsi="Palatino Linotype"/>
          <w:color w:val="000000"/>
        </w:rPr>
        <w:t xml:space="preserve"> </w:t>
      </w:r>
    </w:p>
    <w:p w14:paraId="5B6639BA" w14:textId="70ACACFF"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 xml:space="preserve">Datos generales de la lotificación </w:t>
      </w:r>
    </w:p>
    <w:p w14:paraId="7BC172C0" w14:textId="2B7598D7"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 xml:space="preserve">Cuadros de cuantificación de lotes, superficies y usos del suelo por manzana </w:t>
      </w:r>
    </w:p>
    <w:p w14:paraId="475C3C51" w14:textId="597540A7"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 xml:space="preserve">Datos de las autorizaciones implícitas </w:t>
      </w:r>
    </w:p>
    <w:p w14:paraId="0B0B976A" w14:textId="364D580B"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Nombre, firma y datos de re</w:t>
      </w:r>
      <w:r w:rsidR="004203A3" w:rsidRPr="00883039">
        <w:rPr>
          <w:rFonts w:ascii="Palatino Linotype" w:hAnsi="Palatino Linotype"/>
          <w:color w:val="000000"/>
        </w:rPr>
        <w:t>gistro del perito</w:t>
      </w:r>
    </w:p>
    <w:p w14:paraId="56BC7CD2" w14:textId="0B2DD085"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Etapas o secciones</w:t>
      </w:r>
      <w:r w:rsidR="004203A3" w:rsidRPr="00883039">
        <w:rPr>
          <w:rFonts w:ascii="Palatino Linotype" w:hAnsi="Palatino Linotype"/>
          <w:color w:val="000000"/>
        </w:rPr>
        <w:t xml:space="preserve"> del desarrollo</w:t>
      </w:r>
      <w:r w:rsidRPr="00883039">
        <w:rPr>
          <w:rFonts w:ascii="Palatino Linotype" w:hAnsi="Palatino Linotype"/>
          <w:color w:val="000000"/>
        </w:rPr>
        <w:t xml:space="preserve"> </w:t>
      </w:r>
    </w:p>
    <w:p w14:paraId="795C512A" w14:textId="39971A1C" w:rsidR="004203A3" w:rsidRPr="00883039" w:rsidRDefault="004203A3" w:rsidP="00883039">
      <w:pPr>
        <w:pStyle w:val="Prrafodelista"/>
        <w:numPr>
          <w:ilvl w:val="0"/>
          <w:numId w:val="10"/>
        </w:numPr>
        <w:spacing w:line="360" w:lineRule="auto"/>
        <w:jc w:val="both"/>
        <w:rPr>
          <w:rFonts w:ascii="Palatino Linotype" w:hAnsi="Palatino Linotype"/>
          <w:color w:val="000000"/>
        </w:rPr>
      </w:pPr>
      <w:r w:rsidRPr="00883039">
        <w:rPr>
          <w:rFonts w:ascii="Palatino Linotype" w:hAnsi="Palatino Linotype"/>
          <w:color w:val="000000"/>
        </w:rPr>
        <w:t xml:space="preserve">Nombre de los servidores públicos que proyectan, dibujan y revisan, incluyendo los funcionarios públicos que autorizaron el oficio No. 224020000/3844/2014 relacionado con la aprobación del proyecto de lotificación; así como el nombre y número del plano. </w:t>
      </w:r>
    </w:p>
    <w:p w14:paraId="56ACA975" w14:textId="77777777"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Actas de entrega-recepción tanto parcial como total en el periodo del 2016 al 2021, detallada por número de expediente;</w:t>
      </w:r>
    </w:p>
    <w:p w14:paraId="38EDD08F" w14:textId="74D18952"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 xml:space="preserve"> Actas de supervisión correspondiente a la bitácora de supervisión de control de obras de infraestructura, urbanización y equipamiento de conjuntos urbanos</w:t>
      </w:r>
    </w:p>
    <w:p w14:paraId="1666DCBD" w14:textId="77777777"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lastRenderedPageBreak/>
        <w:t>La publicidad y/o contenido, propaganda aprobada por la Secretaria de Desarrollo Urbano para evitar propaganda engañosa conforme lo establece el artículo 5.38 fracción XII del Código Administrativo del Estado de México;</w:t>
      </w:r>
    </w:p>
    <w:p w14:paraId="032EE986" w14:textId="77777777" w:rsidR="0050545B" w:rsidRPr="00883039" w:rsidRDefault="0050545B" w:rsidP="00883039">
      <w:pPr>
        <w:pStyle w:val="Prrafodelista"/>
        <w:numPr>
          <w:ilvl w:val="0"/>
          <w:numId w:val="10"/>
        </w:numPr>
        <w:spacing w:line="360" w:lineRule="auto"/>
        <w:jc w:val="both"/>
        <w:rPr>
          <w:rFonts w:ascii="Palatino Linotype" w:hAnsi="Palatino Linotype" w:cs="Arial"/>
        </w:rPr>
      </w:pPr>
      <w:r w:rsidRPr="00883039">
        <w:rPr>
          <w:rFonts w:ascii="Palatino Linotype" w:hAnsi="Palatino Linotype"/>
          <w:color w:val="000000"/>
        </w:rPr>
        <w:t>La autorización expresa de la Secretaria de Desarrollo Urbano por conducto de la Dirección General de Operación Urbana para transferir o ceder los derechos o cambio de titularidad para la ocupación de los lotes.</w:t>
      </w:r>
    </w:p>
    <w:p w14:paraId="258E173C" w14:textId="77777777" w:rsidR="004203A3" w:rsidRPr="00883039" w:rsidRDefault="004203A3" w:rsidP="00883039">
      <w:pPr>
        <w:autoSpaceDE w:val="0"/>
        <w:autoSpaceDN w:val="0"/>
        <w:adjustRightInd w:val="0"/>
        <w:spacing w:line="360" w:lineRule="auto"/>
        <w:jc w:val="both"/>
        <w:rPr>
          <w:rFonts w:ascii="Palatino Linotype" w:hAnsi="Palatino Linotype" w:cs="Arial"/>
          <w:szCs w:val="22"/>
        </w:rPr>
      </w:pPr>
    </w:p>
    <w:p w14:paraId="78928872" w14:textId="4CD21CC0" w:rsidR="0050545B" w:rsidRPr="00883039" w:rsidRDefault="0050545B" w:rsidP="00883039">
      <w:pPr>
        <w:autoSpaceDE w:val="0"/>
        <w:autoSpaceDN w:val="0"/>
        <w:adjustRightInd w:val="0"/>
        <w:spacing w:line="360" w:lineRule="auto"/>
        <w:jc w:val="both"/>
        <w:rPr>
          <w:rFonts w:ascii="Palatino Linotype" w:hAnsi="Palatino Linotype" w:cs="Arial"/>
          <w:szCs w:val="22"/>
        </w:rPr>
      </w:pPr>
      <w:r w:rsidRPr="00883039">
        <w:rPr>
          <w:rFonts w:ascii="Palatino Linotype" w:hAnsi="Palatino Linotype" w:cs="Arial"/>
          <w:szCs w:val="22"/>
        </w:rPr>
        <w:t xml:space="preserve">Siendo </w:t>
      </w:r>
      <w:r w:rsidR="00CC0A90" w:rsidRPr="00883039">
        <w:rPr>
          <w:rFonts w:ascii="Palatino Linotype" w:hAnsi="Palatino Linotype" w:cs="Arial"/>
          <w:szCs w:val="22"/>
        </w:rPr>
        <w:t>importante destacar que respecto a lo solicitado en el inciso d) relacionado con actos administrativos de competencia estatal,</w:t>
      </w:r>
      <w:r w:rsidR="004203A3" w:rsidRPr="00883039">
        <w:rPr>
          <w:rFonts w:ascii="Palatino Linotype" w:hAnsi="Palatino Linotype" w:cs="Arial"/>
          <w:szCs w:val="22"/>
        </w:rPr>
        <w:t xml:space="preserve"> </w:t>
      </w:r>
      <w:r w:rsidR="00B01685" w:rsidRPr="00B01685">
        <w:rPr>
          <w:rFonts w:ascii="Palatino Linotype" w:hAnsi="Palatino Linotype" w:cs="Arial"/>
          <w:szCs w:val="22"/>
        </w:rPr>
        <w:t>h), k), n) y, o) no obre en sus archivos</w:t>
      </w:r>
      <w:r w:rsidR="00B01685" w:rsidRPr="00883039">
        <w:rPr>
          <w:rFonts w:ascii="Palatino Linotype" w:hAnsi="Palatino Linotype" w:cs="Arial"/>
          <w:szCs w:val="22"/>
        </w:rPr>
        <w:t xml:space="preserve"> </w:t>
      </w:r>
      <w:r w:rsidR="004203A3" w:rsidRPr="00883039">
        <w:rPr>
          <w:rFonts w:ascii="Palatino Linotype" w:hAnsi="Palatino Linotype" w:cs="Arial"/>
          <w:szCs w:val="22"/>
        </w:rPr>
        <w:t xml:space="preserve">no obre en sus archivos, </w:t>
      </w:r>
      <w:r w:rsidR="00CC0A90" w:rsidRPr="00883039">
        <w:rPr>
          <w:rFonts w:ascii="Palatino Linotype" w:hAnsi="Palatino Linotype" w:cs="Arial"/>
          <w:szCs w:val="22"/>
        </w:rPr>
        <w:t>deberá hacerlo del conocimiento de</w:t>
      </w:r>
      <w:r w:rsidR="006A5842">
        <w:rPr>
          <w:rFonts w:ascii="Palatino Linotype" w:hAnsi="Palatino Linotype" w:cs="Arial"/>
          <w:szCs w:val="22"/>
        </w:rPr>
        <w:t xml:space="preserve"> </w:t>
      </w:r>
      <w:r w:rsidR="00CC0A90" w:rsidRPr="00883039">
        <w:rPr>
          <w:rFonts w:ascii="Palatino Linotype" w:hAnsi="Palatino Linotype" w:cs="Arial"/>
          <w:szCs w:val="22"/>
        </w:rPr>
        <w:t>l</w:t>
      </w:r>
      <w:r w:rsidR="006A5842">
        <w:rPr>
          <w:rFonts w:ascii="Palatino Linotype" w:hAnsi="Palatino Linotype" w:cs="Arial"/>
          <w:szCs w:val="22"/>
        </w:rPr>
        <w:t>a</w:t>
      </w:r>
      <w:r w:rsidR="00CC0A90" w:rsidRPr="00883039">
        <w:rPr>
          <w:rFonts w:ascii="Palatino Linotype" w:hAnsi="Palatino Linotype" w:cs="Arial"/>
          <w:szCs w:val="22"/>
        </w:rPr>
        <w:t xml:space="preserve"> particular, </w:t>
      </w:r>
      <w:r w:rsidRPr="00883039">
        <w:rPr>
          <w:rFonts w:ascii="Palatino Linotype" w:hAnsi="Palatino Linotype" w:cs="Arial"/>
          <w:szCs w:val="22"/>
        </w:rPr>
        <w:t>de manera fundada y motivada en términos del artículo 19 de la Ley de Transparencia y Acceso a la Información Pública del Estado de México y Municipios.</w:t>
      </w:r>
    </w:p>
    <w:p w14:paraId="2889870F" w14:textId="77777777" w:rsidR="0050545B" w:rsidRPr="00883039" w:rsidRDefault="0050545B" w:rsidP="00883039">
      <w:pPr>
        <w:autoSpaceDE w:val="0"/>
        <w:autoSpaceDN w:val="0"/>
        <w:adjustRightInd w:val="0"/>
        <w:spacing w:line="360" w:lineRule="auto"/>
        <w:jc w:val="both"/>
        <w:rPr>
          <w:rFonts w:ascii="Palatino Linotype" w:hAnsi="Palatino Linotype" w:cs="Arial"/>
          <w:szCs w:val="22"/>
        </w:rPr>
      </w:pPr>
    </w:p>
    <w:p w14:paraId="77EC2595" w14:textId="77777777" w:rsidR="00AF1142" w:rsidRPr="00883039" w:rsidRDefault="00AF1142" w:rsidP="00883039">
      <w:pPr>
        <w:spacing w:line="360" w:lineRule="auto"/>
        <w:jc w:val="both"/>
        <w:rPr>
          <w:rFonts w:ascii="Palatino Linotype" w:hAnsi="Palatino Linotype" w:cs="Arial"/>
          <w:bCs/>
        </w:rPr>
      </w:pPr>
      <w:r w:rsidRPr="00883039">
        <w:rPr>
          <w:rFonts w:ascii="Palatino Linotype" w:hAnsi="Palatino Linotype"/>
        </w:rPr>
        <w:t xml:space="preserve">Por lo anterior, no </w:t>
      </w:r>
      <w:r w:rsidRPr="0088303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883039">
        <w:rPr>
          <w:rFonts w:ascii="Palatino Linotype" w:hAnsi="Palatino Linotype" w:cs="Arial"/>
          <w:b/>
        </w:rPr>
        <w:t>versión pública</w:t>
      </w:r>
      <w:r w:rsidRPr="00883039">
        <w:rPr>
          <w:rFonts w:ascii="Palatino Linotype" w:hAnsi="Palatino Linotype" w:cs="Arial"/>
        </w:rPr>
        <w:t>; pues, el</w:t>
      </w:r>
      <w:r w:rsidRPr="0088303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96AC7BB" w14:textId="77777777" w:rsidR="00AF1142" w:rsidRPr="00883039" w:rsidRDefault="00AF1142" w:rsidP="00883039">
      <w:pPr>
        <w:spacing w:line="360" w:lineRule="auto"/>
        <w:jc w:val="both"/>
        <w:rPr>
          <w:rFonts w:ascii="Palatino Linotype" w:eastAsia="Calibri" w:hAnsi="Palatino Linotype" w:cs="Arial"/>
          <w:bCs/>
          <w:lang w:eastAsia="en-US"/>
        </w:rPr>
      </w:pPr>
    </w:p>
    <w:p w14:paraId="507D1B7D" w14:textId="77777777" w:rsidR="00AF1142" w:rsidRPr="00883039" w:rsidRDefault="00AF1142" w:rsidP="00883039">
      <w:pPr>
        <w:spacing w:line="360" w:lineRule="auto"/>
        <w:jc w:val="both"/>
        <w:rPr>
          <w:rFonts w:ascii="Palatino Linotype" w:hAnsi="Palatino Linotype" w:cs="Arial"/>
          <w:bCs/>
        </w:rPr>
      </w:pPr>
      <w:r w:rsidRPr="0088303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A9459FB" w14:textId="77777777" w:rsidR="00AF1142" w:rsidRPr="00883039" w:rsidRDefault="00AF1142" w:rsidP="00E96015">
      <w:pPr>
        <w:autoSpaceDE w:val="0"/>
        <w:autoSpaceDN w:val="0"/>
        <w:adjustRightInd w:val="0"/>
        <w:ind w:right="899"/>
        <w:jc w:val="both"/>
        <w:rPr>
          <w:rFonts w:ascii="Palatino Linotype" w:hAnsi="Palatino Linotype" w:cs="Arial"/>
        </w:rPr>
      </w:pPr>
    </w:p>
    <w:p w14:paraId="584CEEA3" w14:textId="77777777" w:rsidR="00AF1142" w:rsidRPr="00883039" w:rsidRDefault="00AF1142" w:rsidP="00E96015">
      <w:pPr>
        <w:ind w:left="851" w:right="901"/>
        <w:jc w:val="both"/>
        <w:rPr>
          <w:rFonts w:ascii="Palatino Linotype" w:hAnsi="Palatino Linotype"/>
          <w:i/>
          <w:sz w:val="22"/>
          <w:szCs w:val="22"/>
        </w:rPr>
      </w:pPr>
      <w:r w:rsidRPr="00883039">
        <w:rPr>
          <w:rFonts w:ascii="Palatino Linotype" w:hAnsi="Palatino Linotype" w:cs="Arial"/>
          <w:b/>
          <w:bCs/>
          <w:i/>
          <w:noProof/>
          <w:sz w:val="22"/>
          <w:szCs w:val="22"/>
        </w:rPr>
        <w:t>“</w:t>
      </w:r>
      <w:r w:rsidRPr="00883039">
        <w:rPr>
          <w:rFonts w:ascii="Palatino Linotype" w:hAnsi="Palatino Linotype" w:cs="Arial"/>
          <w:b/>
          <w:bCs/>
          <w:i/>
          <w:sz w:val="22"/>
          <w:szCs w:val="22"/>
        </w:rPr>
        <w:t xml:space="preserve">Artículo 3. </w:t>
      </w:r>
      <w:r w:rsidRPr="00883039">
        <w:rPr>
          <w:rFonts w:ascii="Palatino Linotype" w:hAnsi="Palatino Linotype"/>
          <w:i/>
          <w:sz w:val="22"/>
          <w:szCs w:val="22"/>
        </w:rPr>
        <w:t xml:space="preserve">Para los efectos de la presente Ley se entenderá por: </w:t>
      </w:r>
    </w:p>
    <w:p w14:paraId="1A6BD81B" w14:textId="77777777" w:rsidR="00AF1142" w:rsidRPr="00883039" w:rsidRDefault="00AF1142" w:rsidP="00E96015">
      <w:pPr>
        <w:ind w:left="851" w:right="899"/>
        <w:jc w:val="both"/>
        <w:rPr>
          <w:rFonts w:ascii="Palatino Linotype" w:hAnsi="Palatino Linotype" w:cs="Arial"/>
          <w:i/>
          <w:sz w:val="22"/>
          <w:szCs w:val="22"/>
        </w:rPr>
      </w:pPr>
      <w:r w:rsidRPr="00883039">
        <w:rPr>
          <w:rFonts w:ascii="Palatino Linotype" w:hAnsi="Palatino Linotype" w:cs="Arial"/>
          <w:b/>
          <w:i/>
          <w:sz w:val="22"/>
          <w:szCs w:val="22"/>
        </w:rPr>
        <w:t>IX.</w:t>
      </w:r>
      <w:r w:rsidRPr="00883039">
        <w:rPr>
          <w:rFonts w:ascii="Palatino Linotype" w:hAnsi="Palatino Linotype" w:cs="Arial"/>
          <w:i/>
          <w:sz w:val="22"/>
          <w:szCs w:val="22"/>
        </w:rPr>
        <w:t xml:space="preserve"> </w:t>
      </w:r>
      <w:r w:rsidRPr="00883039">
        <w:rPr>
          <w:rFonts w:ascii="Palatino Linotype" w:hAnsi="Palatino Linotype" w:cs="Arial"/>
          <w:b/>
          <w:i/>
          <w:sz w:val="22"/>
          <w:szCs w:val="22"/>
        </w:rPr>
        <w:t xml:space="preserve">Datos personales: </w:t>
      </w:r>
      <w:r w:rsidRPr="00883039">
        <w:rPr>
          <w:rFonts w:ascii="Palatino Linotype" w:hAnsi="Palatino Linotype" w:cs="Arial"/>
          <w:i/>
          <w:sz w:val="22"/>
          <w:szCs w:val="22"/>
        </w:rPr>
        <w:t xml:space="preserve">La información concerniente a una persona, identificada o identificable según lo dispuesto por la Ley de </w:t>
      </w:r>
      <w:r w:rsidRPr="00883039">
        <w:rPr>
          <w:rFonts w:ascii="Palatino Linotype" w:hAnsi="Palatino Linotype"/>
          <w:i/>
          <w:sz w:val="22"/>
          <w:szCs w:val="22"/>
        </w:rPr>
        <w:t>Protección</w:t>
      </w:r>
      <w:r w:rsidRPr="00883039">
        <w:rPr>
          <w:rFonts w:ascii="Palatino Linotype" w:hAnsi="Palatino Linotype" w:cs="Arial"/>
          <w:i/>
          <w:sz w:val="22"/>
          <w:szCs w:val="22"/>
        </w:rPr>
        <w:t xml:space="preserve"> de Datos Personales del Estado de México; </w:t>
      </w:r>
    </w:p>
    <w:p w14:paraId="364E4512" w14:textId="77777777" w:rsidR="00AF1142" w:rsidRPr="00883039" w:rsidRDefault="00AF1142" w:rsidP="00E96015">
      <w:pPr>
        <w:ind w:left="851" w:right="899"/>
        <w:jc w:val="both"/>
        <w:rPr>
          <w:rFonts w:ascii="Palatino Linotype" w:hAnsi="Palatino Linotype" w:cs="Arial"/>
          <w:i/>
          <w:sz w:val="22"/>
          <w:szCs w:val="22"/>
        </w:rPr>
      </w:pPr>
      <w:r w:rsidRPr="00883039">
        <w:rPr>
          <w:rFonts w:ascii="Palatino Linotype" w:hAnsi="Palatino Linotype" w:cs="Arial"/>
          <w:b/>
          <w:i/>
          <w:sz w:val="22"/>
          <w:szCs w:val="22"/>
        </w:rPr>
        <w:t>XX.</w:t>
      </w:r>
      <w:r w:rsidRPr="00883039">
        <w:rPr>
          <w:rFonts w:ascii="Palatino Linotype" w:hAnsi="Palatino Linotype" w:cs="Arial"/>
          <w:i/>
          <w:sz w:val="22"/>
          <w:szCs w:val="22"/>
        </w:rPr>
        <w:t xml:space="preserve"> </w:t>
      </w:r>
      <w:r w:rsidRPr="00883039">
        <w:rPr>
          <w:rFonts w:ascii="Palatino Linotype" w:hAnsi="Palatino Linotype" w:cs="Arial"/>
          <w:b/>
          <w:i/>
          <w:sz w:val="22"/>
          <w:szCs w:val="22"/>
        </w:rPr>
        <w:t>Información clasificada:</w:t>
      </w:r>
      <w:r w:rsidRPr="00883039">
        <w:rPr>
          <w:rFonts w:ascii="Palatino Linotype" w:hAnsi="Palatino Linotype" w:cs="Arial"/>
          <w:i/>
          <w:sz w:val="22"/>
          <w:szCs w:val="22"/>
        </w:rPr>
        <w:t xml:space="preserve"> Aquella considerada por la presente Ley como reservada o confidencial; </w:t>
      </w:r>
    </w:p>
    <w:p w14:paraId="73BCA565" w14:textId="77777777" w:rsidR="00AF1142" w:rsidRPr="00883039" w:rsidRDefault="00AF1142" w:rsidP="00E96015">
      <w:pPr>
        <w:ind w:left="851" w:right="899"/>
        <w:jc w:val="both"/>
        <w:rPr>
          <w:rFonts w:ascii="Palatino Linotype" w:hAnsi="Palatino Linotype" w:cs="Arial"/>
          <w:i/>
          <w:sz w:val="22"/>
          <w:szCs w:val="22"/>
        </w:rPr>
      </w:pPr>
      <w:r w:rsidRPr="00883039">
        <w:rPr>
          <w:rFonts w:ascii="Palatino Linotype" w:hAnsi="Palatino Linotype" w:cs="Arial"/>
          <w:b/>
          <w:i/>
          <w:sz w:val="22"/>
          <w:szCs w:val="22"/>
        </w:rPr>
        <w:t>XXI.</w:t>
      </w:r>
      <w:r w:rsidRPr="00883039">
        <w:rPr>
          <w:rFonts w:ascii="Palatino Linotype" w:hAnsi="Palatino Linotype" w:cs="Arial"/>
          <w:i/>
          <w:sz w:val="22"/>
          <w:szCs w:val="22"/>
        </w:rPr>
        <w:t xml:space="preserve"> </w:t>
      </w:r>
      <w:r w:rsidRPr="00883039">
        <w:rPr>
          <w:rFonts w:ascii="Palatino Linotype" w:hAnsi="Palatino Linotype" w:cs="Arial"/>
          <w:b/>
          <w:i/>
          <w:sz w:val="22"/>
          <w:szCs w:val="22"/>
        </w:rPr>
        <w:t>Información confidencial</w:t>
      </w:r>
      <w:r w:rsidRPr="0088303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721F613" w14:textId="77777777" w:rsidR="00AF1142" w:rsidRPr="00883039" w:rsidRDefault="00AF1142" w:rsidP="00E96015">
      <w:pPr>
        <w:ind w:left="851" w:right="899"/>
        <w:jc w:val="both"/>
        <w:rPr>
          <w:rFonts w:ascii="Palatino Linotype" w:hAnsi="Palatino Linotype" w:cs="Arial"/>
          <w:i/>
          <w:sz w:val="22"/>
          <w:szCs w:val="22"/>
        </w:rPr>
      </w:pPr>
      <w:r w:rsidRPr="00883039">
        <w:rPr>
          <w:rFonts w:ascii="Palatino Linotype" w:hAnsi="Palatino Linotype" w:cs="Arial"/>
          <w:b/>
          <w:i/>
          <w:sz w:val="22"/>
          <w:szCs w:val="22"/>
        </w:rPr>
        <w:t>XLV. Versión pública:</w:t>
      </w:r>
      <w:r w:rsidRPr="00883039">
        <w:rPr>
          <w:rFonts w:ascii="Palatino Linotype" w:hAnsi="Palatino Linotype" w:cs="Arial"/>
          <w:i/>
          <w:sz w:val="22"/>
          <w:szCs w:val="22"/>
        </w:rPr>
        <w:t xml:space="preserve"> Documento en el que se elimine, suprime o borra la información clasificada como reservada o confidencial para permitir su acceso. </w:t>
      </w:r>
    </w:p>
    <w:p w14:paraId="5CE9FD69" w14:textId="77777777" w:rsidR="00AF1142" w:rsidRPr="00883039" w:rsidRDefault="00AF1142" w:rsidP="00E96015">
      <w:pPr>
        <w:ind w:left="851" w:right="899"/>
        <w:jc w:val="both"/>
        <w:rPr>
          <w:rFonts w:ascii="Palatino Linotype" w:hAnsi="Palatino Linotype" w:cs="Arial"/>
          <w:i/>
          <w:sz w:val="22"/>
          <w:szCs w:val="22"/>
        </w:rPr>
      </w:pPr>
      <w:r w:rsidRPr="00883039">
        <w:rPr>
          <w:rFonts w:ascii="Palatino Linotype" w:hAnsi="Palatino Linotype" w:cs="Arial"/>
          <w:b/>
          <w:i/>
          <w:sz w:val="22"/>
          <w:szCs w:val="22"/>
        </w:rPr>
        <w:t>Artículo 51.</w:t>
      </w:r>
      <w:r w:rsidRPr="0088303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83039">
        <w:rPr>
          <w:rFonts w:ascii="Palatino Linotype" w:hAnsi="Palatino Linotype" w:cs="Arial"/>
          <w:b/>
          <w:i/>
          <w:sz w:val="22"/>
          <w:szCs w:val="22"/>
        </w:rPr>
        <w:t xml:space="preserve">y tendrá la responsabilidad de verificar en cada caso que la misma no sea confidencial o reservada. </w:t>
      </w:r>
      <w:r w:rsidRPr="0088303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7AB7C10" w14:textId="77777777" w:rsidR="00AF1142" w:rsidRPr="00883039" w:rsidRDefault="00AF1142" w:rsidP="00E96015">
      <w:pPr>
        <w:ind w:left="851" w:right="899"/>
        <w:jc w:val="both"/>
        <w:rPr>
          <w:rFonts w:ascii="Palatino Linotype" w:hAnsi="Palatino Linotype" w:cs="Arial"/>
          <w:i/>
          <w:sz w:val="22"/>
          <w:szCs w:val="22"/>
        </w:rPr>
      </w:pPr>
      <w:r w:rsidRPr="00883039">
        <w:rPr>
          <w:rFonts w:ascii="Palatino Linotype" w:hAnsi="Palatino Linotype" w:cs="Arial"/>
          <w:b/>
          <w:i/>
          <w:sz w:val="22"/>
          <w:szCs w:val="22"/>
        </w:rPr>
        <w:t>Artículo 52.</w:t>
      </w:r>
      <w:r w:rsidRPr="00883039">
        <w:rPr>
          <w:rFonts w:ascii="Palatino Linotype" w:hAnsi="Palatino Linotype" w:cs="Arial"/>
          <w:i/>
          <w:sz w:val="22"/>
          <w:szCs w:val="22"/>
        </w:rPr>
        <w:t xml:space="preserve"> Las solicitudes de acceso a la información y las respuestas que se les dé, incluyendo, en su caso, </w:t>
      </w:r>
      <w:r w:rsidRPr="0088303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83039">
        <w:rPr>
          <w:rFonts w:ascii="Palatino Linotype" w:hAnsi="Palatino Linotype" w:cs="Arial"/>
          <w:i/>
          <w:sz w:val="22"/>
          <w:szCs w:val="22"/>
        </w:rPr>
        <w:t>, siempre y cuando la resolución de referencia se someta a un proceso de disociación, es decir, no haga identificable al titular de tales datos personales.</w:t>
      </w:r>
      <w:r w:rsidRPr="00883039">
        <w:rPr>
          <w:rFonts w:ascii="Palatino Linotype" w:hAnsi="Palatino Linotype" w:cs="Arial"/>
          <w:bCs/>
          <w:i/>
          <w:noProof/>
          <w:sz w:val="22"/>
          <w:szCs w:val="22"/>
        </w:rPr>
        <w:t>”</w:t>
      </w:r>
    </w:p>
    <w:p w14:paraId="28C34044" w14:textId="77777777" w:rsidR="00AF1142" w:rsidRPr="00883039" w:rsidRDefault="00AF1142" w:rsidP="00E96015">
      <w:pPr>
        <w:ind w:right="899" w:firstLine="708"/>
        <w:jc w:val="both"/>
        <w:rPr>
          <w:rFonts w:ascii="Palatino Linotype" w:hAnsi="Palatino Linotype" w:cs="Arial"/>
          <w:sz w:val="22"/>
          <w:szCs w:val="22"/>
        </w:rPr>
      </w:pPr>
      <w:r w:rsidRPr="00883039">
        <w:rPr>
          <w:rFonts w:ascii="Palatino Linotype" w:hAnsi="Palatino Linotype" w:cs="Arial"/>
          <w:sz w:val="22"/>
          <w:szCs w:val="22"/>
        </w:rPr>
        <w:t>(Énfasis añadido)</w:t>
      </w:r>
    </w:p>
    <w:p w14:paraId="65852AFF" w14:textId="77777777" w:rsidR="00AF1142" w:rsidRPr="00883039" w:rsidRDefault="00AF1142" w:rsidP="00E96015">
      <w:pPr>
        <w:ind w:right="899" w:firstLine="708"/>
        <w:jc w:val="both"/>
        <w:rPr>
          <w:rFonts w:ascii="Palatino Linotype" w:hAnsi="Palatino Linotype" w:cs="Arial"/>
        </w:rPr>
      </w:pPr>
    </w:p>
    <w:p w14:paraId="40CF5E9D" w14:textId="77777777" w:rsidR="00AF1142" w:rsidRPr="00883039" w:rsidRDefault="00AF1142" w:rsidP="00883039">
      <w:pPr>
        <w:spacing w:line="360" w:lineRule="auto"/>
        <w:jc w:val="both"/>
        <w:rPr>
          <w:rFonts w:ascii="Palatino Linotype" w:hAnsi="Palatino Linotype" w:cs="Arial"/>
        </w:rPr>
      </w:pPr>
      <w:r w:rsidRPr="0088303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883039">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E6D8F0A" w14:textId="77777777" w:rsidR="00AF1142" w:rsidRPr="00883039" w:rsidRDefault="00AF1142" w:rsidP="00E96015">
      <w:pPr>
        <w:jc w:val="both"/>
        <w:rPr>
          <w:rFonts w:ascii="Palatino Linotype" w:hAnsi="Palatino Linotype" w:cs="Arial"/>
        </w:rPr>
      </w:pPr>
    </w:p>
    <w:p w14:paraId="7C1562F2" w14:textId="77777777" w:rsidR="00AF1142" w:rsidRPr="00883039" w:rsidRDefault="00AF1142" w:rsidP="00E96015">
      <w:pPr>
        <w:ind w:left="851" w:right="902"/>
        <w:jc w:val="both"/>
        <w:rPr>
          <w:rFonts w:ascii="Palatino Linotype" w:eastAsia="Arial Unicode MS" w:hAnsi="Palatino Linotype" w:cs="Arial"/>
          <w:i/>
          <w:sz w:val="22"/>
          <w:szCs w:val="22"/>
        </w:rPr>
      </w:pPr>
      <w:r w:rsidRPr="00883039">
        <w:rPr>
          <w:rFonts w:ascii="Palatino Linotype" w:eastAsia="Arial Unicode MS" w:hAnsi="Palatino Linotype" w:cs="Arial"/>
          <w:b/>
          <w:i/>
          <w:sz w:val="22"/>
          <w:szCs w:val="22"/>
        </w:rPr>
        <w:t>“Artículo 22.</w:t>
      </w:r>
      <w:r w:rsidRPr="0088303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B81E8E8" w14:textId="77777777" w:rsidR="00AF1142" w:rsidRPr="00883039" w:rsidRDefault="00AF1142" w:rsidP="00E96015">
      <w:pPr>
        <w:ind w:left="851" w:right="902"/>
        <w:jc w:val="both"/>
        <w:rPr>
          <w:rFonts w:ascii="Palatino Linotype" w:eastAsia="Arial Unicode MS" w:hAnsi="Palatino Linotype" w:cs="Arial"/>
          <w:i/>
          <w:sz w:val="22"/>
          <w:szCs w:val="22"/>
        </w:rPr>
      </w:pPr>
      <w:r w:rsidRPr="00883039">
        <w:rPr>
          <w:rFonts w:ascii="Palatino Linotype" w:eastAsia="Arial Unicode MS" w:hAnsi="Palatino Linotype" w:cs="Arial"/>
          <w:b/>
          <w:i/>
          <w:sz w:val="22"/>
          <w:szCs w:val="22"/>
        </w:rPr>
        <w:t>Artículo 38.</w:t>
      </w:r>
      <w:r w:rsidRPr="0088303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83039">
        <w:rPr>
          <w:rFonts w:ascii="Palatino Linotype" w:eastAsia="Arial Unicode MS" w:hAnsi="Palatino Linotype" w:cs="Arial"/>
          <w:b/>
          <w:i/>
          <w:sz w:val="22"/>
          <w:szCs w:val="22"/>
        </w:rPr>
        <w:t>”</w:t>
      </w:r>
      <w:r w:rsidRPr="00883039">
        <w:rPr>
          <w:rFonts w:ascii="Palatino Linotype" w:eastAsia="Arial Unicode MS" w:hAnsi="Palatino Linotype" w:cs="Arial"/>
          <w:i/>
          <w:sz w:val="22"/>
          <w:szCs w:val="22"/>
        </w:rPr>
        <w:t xml:space="preserve"> </w:t>
      </w:r>
    </w:p>
    <w:p w14:paraId="21D0E406" w14:textId="77777777" w:rsidR="00AF1142" w:rsidRPr="00883039" w:rsidRDefault="00AF1142" w:rsidP="00E96015">
      <w:pPr>
        <w:ind w:left="851" w:right="850"/>
        <w:jc w:val="both"/>
        <w:rPr>
          <w:rFonts w:ascii="Palatino Linotype" w:eastAsia="Arial Unicode MS" w:hAnsi="Palatino Linotype" w:cs="Arial"/>
          <w:i/>
          <w:sz w:val="22"/>
          <w:szCs w:val="22"/>
        </w:rPr>
      </w:pPr>
    </w:p>
    <w:p w14:paraId="65C8888D" w14:textId="77777777" w:rsidR="00AF1142" w:rsidRPr="00883039" w:rsidRDefault="00AF1142" w:rsidP="00883039">
      <w:pPr>
        <w:spacing w:line="360" w:lineRule="auto"/>
        <w:jc w:val="both"/>
        <w:rPr>
          <w:rFonts w:ascii="Palatino Linotype" w:hAnsi="Palatino Linotype" w:cs="Arial"/>
        </w:rPr>
      </w:pPr>
      <w:r w:rsidRPr="0088303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92B8946" w14:textId="77777777" w:rsidR="00AF1142" w:rsidRPr="00883039" w:rsidRDefault="00AF1142" w:rsidP="00883039">
      <w:pPr>
        <w:spacing w:line="360" w:lineRule="auto"/>
        <w:jc w:val="both"/>
        <w:rPr>
          <w:rFonts w:ascii="Palatino Linotype" w:hAnsi="Palatino Linotype" w:cs="Arial"/>
        </w:rPr>
      </w:pPr>
    </w:p>
    <w:p w14:paraId="763E2C86" w14:textId="77777777" w:rsidR="00AF1142" w:rsidRPr="00883039" w:rsidRDefault="00AF1142" w:rsidP="00883039">
      <w:pPr>
        <w:spacing w:line="360" w:lineRule="auto"/>
        <w:jc w:val="both"/>
        <w:rPr>
          <w:rFonts w:ascii="Palatino Linotype" w:hAnsi="Palatino Linotype" w:cs="Arial"/>
        </w:rPr>
      </w:pPr>
      <w:r w:rsidRPr="0088303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83039">
        <w:rPr>
          <w:rFonts w:ascii="Palatino Linotype" w:eastAsia="Arial Unicode MS" w:hAnsi="Palatino Linotype" w:cs="Arial"/>
        </w:rPr>
        <w:t xml:space="preserve"> que debe ser protegida por </w:t>
      </w:r>
      <w:r w:rsidRPr="00883039">
        <w:rPr>
          <w:rFonts w:ascii="Palatino Linotype" w:eastAsia="Arial Unicode MS" w:hAnsi="Palatino Linotype" w:cs="Arial"/>
          <w:b/>
        </w:rPr>
        <w:t xml:space="preserve">EL </w:t>
      </w:r>
      <w:r w:rsidRPr="00883039">
        <w:rPr>
          <w:rFonts w:ascii="Palatino Linotype" w:eastAsia="Arial Unicode MS" w:hAnsi="Palatino Linotype" w:cs="Arial"/>
          <w:b/>
        </w:rPr>
        <w:lastRenderedPageBreak/>
        <w:t>SUJETO OBLIGADO,</w:t>
      </w:r>
      <w:r w:rsidRPr="00883039">
        <w:rPr>
          <w:rFonts w:ascii="Palatino Linotype" w:eastAsia="Arial Unicode MS" w:hAnsi="Palatino Linotype" w:cs="Arial"/>
        </w:rPr>
        <w:t xml:space="preserve"> por lo </w:t>
      </w:r>
      <w:r w:rsidRPr="00883039">
        <w:rPr>
          <w:rFonts w:ascii="Palatino Linotype" w:hAnsi="Palatino Linotype" w:cs="Arial"/>
        </w:rPr>
        <w:t>que, todo dato personal susceptible de clasificación debe ser protegido.</w:t>
      </w:r>
    </w:p>
    <w:p w14:paraId="4A3F18AD" w14:textId="77777777" w:rsidR="00AF1142" w:rsidRPr="00883039" w:rsidRDefault="00AF1142" w:rsidP="00883039">
      <w:pPr>
        <w:spacing w:line="360" w:lineRule="auto"/>
        <w:jc w:val="both"/>
        <w:rPr>
          <w:rFonts w:ascii="Palatino Linotype" w:hAnsi="Palatino Linotype" w:cs="Arial"/>
        </w:rPr>
      </w:pPr>
    </w:p>
    <w:p w14:paraId="71A27265" w14:textId="77777777" w:rsidR="00AF1142" w:rsidRPr="00883039" w:rsidRDefault="00AF1142" w:rsidP="00883039">
      <w:pPr>
        <w:spacing w:line="360" w:lineRule="auto"/>
        <w:jc w:val="both"/>
        <w:rPr>
          <w:rFonts w:ascii="Palatino Linotype" w:hAnsi="Palatino Linotype" w:cs="Arial"/>
        </w:rPr>
      </w:pPr>
      <w:r w:rsidRPr="0088303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00B8CD3" w14:textId="77777777" w:rsidR="00AF1142" w:rsidRPr="00883039" w:rsidRDefault="00AF1142" w:rsidP="00883039">
      <w:pPr>
        <w:spacing w:line="360" w:lineRule="auto"/>
        <w:jc w:val="both"/>
        <w:rPr>
          <w:rFonts w:ascii="Palatino Linotype" w:hAnsi="Palatino Linotype" w:cs="Arial"/>
        </w:rPr>
      </w:pPr>
    </w:p>
    <w:p w14:paraId="56261F24" w14:textId="77777777" w:rsidR="00AF1142" w:rsidRPr="00883039" w:rsidRDefault="00AF1142" w:rsidP="00883039">
      <w:pPr>
        <w:spacing w:line="360" w:lineRule="auto"/>
        <w:jc w:val="both"/>
        <w:rPr>
          <w:rFonts w:ascii="Palatino Linotype" w:hAnsi="Palatino Linotype" w:cs="Arial"/>
        </w:rPr>
      </w:pPr>
      <w:r w:rsidRPr="0088303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F859388" w14:textId="77777777" w:rsidR="00AF1142" w:rsidRPr="00883039" w:rsidRDefault="00AF1142" w:rsidP="00E96015">
      <w:pPr>
        <w:jc w:val="both"/>
        <w:rPr>
          <w:rFonts w:ascii="Palatino Linotype" w:hAnsi="Palatino Linotype" w:cs="Arial"/>
        </w:rPr>
      </w:pPr>
    </w:p>
    <w:p w14:paraId="1279754B"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 xml:space="preserve">“Artículo 49. </w:t>
      </w:r>
      <w:r w:rsidRPr="00883039">
        <w:rPr>
          <w:rFonts w:ascii="Palatino Linotype" w:hAnsi="Palatino Linotype" w:cs="Arial"/>
          <w:i/>
          <w:sz w:val="22"/>
          <w:szCs w:val="22"/>
        </w:rPr>
        <w:t>Los Comités de Transparencia tendrán las siguientes atribuciones:</w:t>
      </w:r>
    </w:p>
    <w:p w14:paraId="58956A27"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VIII.</w:t>
      </w:r>
      <w:r w:rsidRPr="00883039">
        <w:rPr>
          <w:rFonts w:ascii="Palatino Linotype" w:hAnsi="Palatino Linotype" w:cs="Arial"/>
          <w:i/>
          <w:sz w:val="22"/>
          <w:szCs w:val="22"/>
        </w:rPr>
        <w:t xml:space="preserve"> Aprobar, modificar o revocar la clasificación de la información;</w:t>
      </w:r>
    </w:p>
    <w:p w14:paraId="771644F0"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Artículo 132.</w:t>
      </w:r>
      <w:r w:rsidRPr="00883039">
        <w:rPr>
          <w:rFonts w:ascii="Palatino Linotype" w:hAnsi="Palatino Linotype" w:cs="Arial"/>
          <w:i/>
          <w:sz w:val="22"/>
          <w:szCs w:val="22"/>
        </w:rPr>
        <w:t xml:space="preserve"> La clasificación de la información se llevará a cabo en el momento en que:</w:t>
      </w:r>
    </w:p>
    <w:p w14:paraId="2C5FA52C"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I.</w:t>
      </w:r>
      <w:r w:rsidRPr="00883039">
        <w:rPr>
          <w:rFonts w:ascii="Palatino Linotype" w:hAnsi="Palatino Linotype" w:cs="Arial"/>
          <w:i/>
          <w:sz w:val="22"/>
          <w:szCs w:val="22"/>
        </w:rPr>
        <w:t xml:space="preserve"> Se reciba una solicitud de acceso a la información;</w:t>
      </w:r>
    </w:p>
    <w:p w14:paraId="6C5057BB"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II.</w:t>
      </w:r>
      <w:r w:rsidRPr="00883039">
        <w:rPr>
          <w:rFonts w:ascii="Palatino Linotype" w:hAnsi="Palatino Linotype" w:cs="Arial"/>
          <w:i/>
          <w:sz w:val="22"/>
          <w:szCs w:val="22"/>
        </w:rPr>
        <w:t xml:space="preserve"> Se determine mediante resolución de autoridad competente; o</w:t>
      </w:r>
    </w:p>
    <w:p w14:paraId="61429D76" w14:textId="77777777" w:rsidR="00AF1142" w:rsidRPr="00883039" w:rsidRDefault="00AF1142" w:rsidP="00E96015">
      <w:pPr>
        <w:ind w:left="851" w:right="902"/>
        <w:jc w:val="both"/>
        <w:rPr>
          <w:rFonts w:ascii="Palatino Linotype" w:hAnsi="Palatino Linotype" w:cs="Arial"/>
          <w:b/>
          <w:i/>
          <w:sz w:val="22"/>
          <w:szCs w:val="22"/>
        </w:rPr>
      </w:pPr>
      <w:r w:rsidRPr="00883039">
        <w:rPr>
          <w:rFonts w:ascii="Palatino Linotype" w:hAnsi="Palatino Linotype" w:cs="Arial"/>
          <w:i/>
          <w:sz w:val="22"/>
          <w:szCs w:val="22"/>
        </w:rPr>
        <w:t>III. Se generen versiones públicas para dar cumplimiento a las obligaciones de transparencia previstas en esta Ley.</w:t>
      </w:r>
      <w:r w:rsidRPr="00883039">
        <w:rPr>
          <w:rFonts w:ascii="Palatino Linotype" w:hAnsi="Palatino Linotype" w:cs="Arial"/>
          <w:b/>
          <w:i/>
          <w:sz w:val="22"/>
          <w:szCs w:val="22"/>
        </w:rPr>
        <w:t>”</w:t>
      </w:r>
    </w:p>
    <w:p w14:paraId="539FB3DF"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“Segundo.-</w:t>
      </w:r>
      <w:r w:rsidRPr="00883039">
        <w:rPr>
          <w:rFonts w:ascii="Palatino Linotype" w:hAnsi="Palatino Linotype" w:cs="Arial"/>
          <w:i/>
          <w:sz w:val="22"/>
          <w:szCs w:val="22"/>
        </w:rPr>
        <w:t xml:space="preserve"> Para efectos de los presentes Lineamientos Generales, se entenderá por:</w:t>
      </w:r>
    </w:p>
    <w:p w14:paraId="30C46374"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lastRenderedPageBreak/>
        <w:t>XVIII.</w:t>
      </w:r>
      <w:r w:rsidRPr="00883039">
        <w:rPr>
          <w:rFonts w:ascii="Palatino Linotype" w:hAnsi="Palatino Linotype" w:cs="Arial"/>
          <w:i/>
          <w:sz w:val="22"/>
          <w:szCs w:val="22"/>
        </w:rPr>
        <w:t xml:space="preserve">  </w:t>
      </w:r>
      <w:r w:rsidRPr="00883039">
        <w:rPr>
          <w:rFonts w:ascii="Palatino Linotype" w:hAnsi="Palatino Linotype" w:cs="Arial"/>
          <w:b/>
          <w:i/>
          <w:sz w:val="22"/>
          <w:szCs w:val="22"/>
        </w:rPr>
        <w:t>Versión pública:</w:t>
      </w:r>
      <w:r w:rsidRPr="0088303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9283320"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Cuarto.</w:t>
      </w:r>
      <w:r w:rsidRPr="0088303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63E589A"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0D9B6BA"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Quinto.</w:t>
      </w:r>
      <w:r w:rsidRPr="0088303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B43F2E8"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Sexto.</w:t>
      </w:r>
      <w:r w:rsidRPr="0088303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8CA9981"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F6FC100"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Séptimo.</w:t>
      </w:r>
      <w:r w:rsidRPr="00883039">
        <w:rPr>
          <w:rFonts w:ascii="Palatino Linotype" w:hAnsi="Palatino Linotype" w:cs="Arial"/>
          <w:i/>
          <w:sz w:val="22"/>
          <w:szCs w:val="22"/>
        </w:rPr>
        <w:t xml:space="preserve"> La clasificación de la información se llevará a cabo en el momento en que:</w:t>
      </w:r>
    </w:p>
    <w:p w14:paraId="7D4C26B7"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I.</w:t>
      </w:r>
      <w:r w:rsidRPr="00883039">
        <w:rPr>
          <w:rFonts w:ascii="Palatino Linotype" w:hAnsi="Palatino Linotype" w:cs="Arial"/>
          <w:i/>
          <w:sz w:val="22"/>
          <w:szCs w:val="22"/>
        </w:rPr>
        <w:t xml:space="preserve">        Se reciba una solicitud de acceso a la información;</w:t>
      </w:r>
    </w:p>
    <w:p w14:paraId="6D763549"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II.</w:t>
      </w:r>
      <w:r w:rsidRPr="00883039">
        <w:rPr>
          <w:rFonts w:ascii="Palatino Linotype" w:hAnsi="Palatino Linotype" w:cs="Arial"/>
          <w:i/>
          <w:sz w:val="22"/>
          <w:szCs w:val="22"/>
        </w:rPr>
        <w:t xml:space="preserve">       Se determine mediante resolución de autoridad competente, o</w:t>
      </w:r>
    </w:p>
    <w:p w14:paraId="6AE726A1"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III.</w:t>
      </w:r>
      <w:r w:rsidRPr="0088303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0C1EB18"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A64D441"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Octavo.</w:t>
      </w:r>
      <w:r w:rsidRPr="0088303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2FA7F7"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744B8D36"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117552B2"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CF236BA"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32A6306"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Noveno.</w:t>
      </w:r>
      <w:r w:rsidRPr="0088303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C25B4C6"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b/>
          <w:i/>
          <w:sz w:val="22"/>
          <w:szCs w:val="22"/>
        </w:rPr>
        <w:t>Décimo.</w:t>
      </w:r>
      <w:r w:rsidRPr="0088303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D94D05E" w14:textId="77777777" w:rsidR="00AF1142" w:rsidRPr="00883039" w:rsidRDefault="00AF1142" w:rsidP="00E96015">
      <w:pPr>
        <w:ind w:left="851" w:right="902"/>
        <w:jc w:val="both"/>
        <w:rPr>
          <w:rFonts w:ascii="Palatino Linotype" w:hAnsi="Palatino Linotype" w:cs="Arial"/>
          <w:i/>
          <w:sz w:val="22"/>
          <w:szCs w:val="22"/>
        </w:rPr>
      </w:pPr>
      <w:r w:rsidRPr="0088303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10A8815" w14:textId="77777777" w:rsidR="00AF1142" w:rsidRPr="00883039" w:rsidRDefault="00AF1142" w:rsidP="00E96015">
      <w:pPr>
        <w:ind w:left="851" w:right="899"/>
        <w:jc w:val="both"/>
        <w:rPr>
          <w:rFonts w:ascii="Palatino Linotype" w:hAnsi="Palatino Linotype" w:cs="Arial"/>
          <w:b/>
          <w:i/>
          <w:sz w:val="22"/>
          <w:szCs w:val="22"/>
        </w:rPr>
      </w:pPr>
      <w:r w:rsidRPr="00883039">
        <w:rPr>
          <w:rFonts w:ascii="Palatino Linotype" w:hAnsi="Palatino Linotype" w:cs="Arial"/>
          <w:b/>
          <w:i/>
          <w:sz w:val="22"/>
          <w:szCs w:val="22"/>
        </w:rPr>
        <w:t>Décimo primero.</w:t>
      </w:r>
      <w:r w:rsidRPr="0088303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83039">
        <w:rPr>
          <w:rFonts w:ascii="Palatino Linotype" w:hAnsi="Palatino Linotype" w:cs="Arial"/>
          <w:b/>
          <w:i/>
          <w:sz w:val="22"/>
          <w:szCs w:val="22"/>
        </w:rPr>
        <w:t>”</w:t>
      </w:r>
    </w:p>
    <w:p w14:paraId="0C1350B1" w14:textId="77777777" w:rsidR="00AF1142" w:rsidRPr="00883039" w:rsidRDefault="00AF1142" w:rsidP="00E96015">
      <w:pPr>
        <w:ind w:left="851" w:right="899"/>
        <w:jc w:val="both"/>
        <w:rPr>
          <w:rFonts w:ascii="Palatino Linotype" w:hAnsi="Palatino Linotype" w:cs="Arial"/>
          <w:b/>
          <w:bCs/>
          <w:i/>
          <w:noProof/>
        </w:rPr>
      </w:pPr>
    </w:p>
    <w:p w14:paraId="5C0B5F95" w14:textId="77777777" w:rsidR="00AF1142" w:rsidRPr="00883039" w:rsidRDefault="00AF1142" w:rsidP="00883039">
      <w:pPr>
        <w:spacing w:line="360" w:lineRule="auto"/>
        <w:jc w:val="both"/>
        <w:rPr>
          <w:rFonts w:ascii="Palatino Linotype" w:hAnsi="Palatino Linotype" w:cs="Arial"/>
        </w:rPr>
      </w:pPr>
      <w:r w:rsidRPr="0088303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B5EAED5" w14:textId="77777777" w:rsidR="00AF1142" w:rsidRPr="00883039" w:rsidRDefault="00AF1142" w:rsidP="00883039">
      <w:pPr>
        <w:spacing w:line="360" w:lineRule="auto"/>
        <w:ind w:right="-93"/>
        <w:jc w:val="both"/>
        <w:rPr>
          <w:rFonts w:ascii="Palatino Linotype" w:hAnsi="Palatino Linotype" w:cs="Arial"/>
          <w:lang w:eastAsia="es-MX"/>
        </w:rPr>
      </w:pPr>
    </w:p>
    <w:p w14:paraId="3A65FF7D" w14:textId="77777777" w:rsidR="00AF1142" w:rsidRPr="00883039" w:rsidRDefault="00AF1142" w:rsidP="00883039">
      <w:pPr>
        <w:autoSpaceDE w:val="0"/>
        <w:autoSpaceDN w:val="0"/>
        <w:adjustRightInd w:val="0"/>
        <w:spacing w:line="360" w:lineRule="auto"/>
        <w:ind w:right="-91"/>
        <w:jc w:val="both"/>
        <w:rPr>
          <w:rFonts w:ascii="Palatino Linotype" w:hAnsi="Palatino Linotype" w:cs="Arial"/>
          <w:lang w:eastAsia="es-CO"/>
        </w:rPr>
      </w:pPr>
      <w:r w:rsidRPr="00883039">
        <w:rPr>
          <w:rFonts w:ascii="Palatino Linotype" w:hAnsi="Palatino Linotype" w:cs="Arial"/>
        </w:rPr>
        <w:lastRenderedPageBreak/>
        <w:t xml:space="preserve">Consecuentemente, se destaca que la versión pública que elabore </w:t>
      </w:r>
      <w:r w:rsidRPr="00883039">
        <w:rPr>
          <w:rFonts w:ascii="Palatino Linotype" w:hAnsi="Palatino Linotype" w:cs="Arial"/>
          <w:b/>
        </w:rPr>
        <w:t>EL SUJETO OBLIGADO</w:t>
      </w:r>
      <w:r w:rsidRPr="00883039">
        <w:rPr>
          <w:rFonts w:ascii="Palatino Linotype" w:hAnsi="Palatino Linotype" w:cs="Arial"/>
        </w:rPr>
        <w:t xml:space="preserve"> debe cumplir con las formalidades exigidas en la Ley, por lo que para tal efecto emitirá el </w:t>
      </w:r>
      <w:r w:rsidRPr="00883039">
        <w:rPr>
          <w:rFonts w:ascii="Palatino Linotype" w:hAnsi="Palatino Linotype" w:cs="Arial"/>
          <w:b/>
        </w:rPr>
        <w:t>Acuerdo del Comité de Transparencia</w:t>
      </w:r>
      <w:r w:rsidRPr="0088303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8303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B0F630" w14:textId="77777777" w:rsidR="00AF1142" w:rsidRDefault="00AF1142" w:rsidP="00883039">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2960474B" w14:textId="2B2A4E0A" w:rsidR="00717771" w:rsidRDefault="00717771" w:rsidP="00717771">
      <w:pPr>
        <w:pStyle w:val="Sinespaciado"/>
        <w:spacing w:line="360" w:lineRule="auto"/>
        <w:jc w:val="both"/>
        <w:rPr>
          <w:rFonts w:ascii="Palatino Linotype" w:hAnsi="Palatino Linotype"/>
        </w:rPr>
      </w:pPr>
      <w:r w:rsidRPr="00717771">
        <w:rPr>
          <w:rFonts w:ascii="Palatino Linotype" w:hAnsi="Palatino Linotype" w:cs="Arial"/>
        </w:rPr>
        <w:t>Finalmente, n</w:t>
      </w:r>
      <w:r w:rsidRPr="00717771">
        <w:rPr>
          <w:rFonts w:ascii="Palatino Linotype" w:hAnsi="Palatino Linotype" w:cs="Arial"/>
          <w:lang w:eastAsia="es-MX"/>
        </w:rPr>
        <w:t xml:space="preserve">o se omite comentar que si bien en el contenido de la solicitud la particular solicita copias simples, también es que al ordenarse la información vía </w:t>
      </w:r>
      <w:r w:rsidRPr="00717771">
        <w:rPr>
          <w:rFonts w:ascii="Palatino Linotype" w:hAnsi="Palatino Linotype" w:cs="Arial"/>
          <w:b/>
          <w:lang w:eastAsia="es-MX"/>
        </w:rPr>
        <w:t>SAIMEX</w:t>
      </w:r>
      <w:r w:rsidRPr="00717771">
        <w:rPr>
          <w:rFonts w:ascii="Palatino Linotype" w:hAnsi="Palatino Linotype" w:cs="Arial"/>
          <w:lang w:eastAsia="es-MX"/>
        </w:rPr>
        <w:t xml:space="preserve">, la cual se </w:t>
      </w:r>
      <w:r w:rsidRPr="00717771">
        <w:rPr>
          <w:rFonts w:ascii="Palatino Linotype" w:hAnsi="Palatino Linotype"/>
        </w:rPr>
        <w:t xml:space="preserve">homologa; ello en razón, de que la impresión del archivo digital que se remita en cumplimiento de la resolución comparte la misma naturaleza de una copia simple, adicionalmente, la entrega de información vía </w:t>
      </w:r>
      <w:r w:rsidRPr="00717771">
        <w:rPr>
          <w:rFonts w:ascii="Palatino Linotype" w:hAnsi="Palatino Linotype"/>
          <w:b/>
        </w:rPr>
        <w:t>SAIMEX</w:t>
      </w:r>
      <w:r w:rsidRPr="00717771">
        <w:rPr>
          <w:rFonts w:ascii="Palatino Linotype" w:hAnsi="Palatino Linotype"/>
        </w:rPr>
        <w:t xml:space="preserve"> otorga el beneficio de disponer inmediata y gratuitamente de la información solicitada.</w:t>
      </w:r>
    </w:p>
    <w:p w14:paraId="564ED578" w14:textId="77777777" w:rsidR="00717771" w:rsidRPr="00883039" w:rsidRDefault="00717771" w:rsidP="00883039">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01A08F95" w14:textId="5FFFC9F4" w:rsidR="00AF1142" w:rsidRPr="00883039" w:rsidRDefault="00AF1142" w:rsidP="00883039">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883039">
        <w:rPr>
          <w:rFonts w:ascii="Palatino Linotype" w:hAnsi="Palatino Linotype" w:cs="Arial"/>
          <w:color w:val="000000" w:themeColor="text1"/>
        </w:rPr>
        <w:t xml:space="preserve">En razón de lo anteriormente expuesto, este Instituto estima que las razones o motivos de inconformidad hechos valer por </w:t>
      </w:r>
      <w:r w:rsidR="006A5842">
        <w:rPr>
          <w:rFonts w:ascii="Palatino Linotype" w:hAnsi="Palatino Linotype" w:cs="Arial"/>
          <w:b/>
          <w:color w:val="000000" w:themeColor="text1"/>
        </w:rPr>
        <w:t>LA</w:t>
      </w:r>
      <w:r w:rsidRPr="00883039">
        <w:rPr>
          <w:rFonts w:ascii="Palatino Linotype" w:hAnsi="Palatino Linotype" w:cs="Arial"/>
          <w:b/>
          <w:color w:val="000000" w:themeColor="text1"/>
        </w:rPr>
        <w:t xml:space="preserve"> RECURRENTE</w:t>
      </w:r>
      <w:r w:rsidRPr="00883039">
        <w:rPr>
          <w:rFonts w:ascii="Palatino Linotype" w:hAnsi="Palatino Linotype" w:cs="Arial"/>
          <w:color w:val="000000" w:themeColor="text1"/>
        </w:rPr>
        <w:t xml:space="preserve"> devienen </w:t>
      </w:r>
      <w:r w:rsidRPr="00883039">
        <w:rPr>
          <w:rFonts w:ascii="Palatino Linotype" w:hAnsi="Palatino Linotype" w:cs="Arial"/>
          <w:b/>
          <w:color w:val="000000" w:themeColor="text1"/>
        </w:rPr>
        <w:t>fundadas</w:t>
      </w:r>
      <w:r w:rsidRPr="00883039">
        <w:rPr>
          <w:rFonts w:ascii="Palatino Linotype" w:hAnsi="Palatino Linotype" w:cs="Arial"/>
          <w:color w:val="000000" w:themeColor="text1"/>
        </w:rPr>
        <w:t xml:space="preserve"> y suficientes para </w:t>
      </w:r>
      <w:r w:rsidRPr="00883039">
        <w:rPr>
          <w:rFonts w:ascii="Palatino Linotype" w:hAnsi="Palatino Linotype" w:cs="Arial"/>
          <w:b/>
          <w:color w:val="000000" w:themeColor="text1"/>
        </w:rPr>
        <w:t>REVOCAR</w:t>
      </w:r>
      <w:r w:rsidRPr="00883039">
        <w:rPr>
          <w:rFonts w:ascii="Palatino Linotype" w:hAnsi="Palatino Linotype" w:cs="Arial"/>
          <w:color w:val="000000" w:themeColor="text1"/>
        </w:rPr>
        <w:t xml:space="preserve"> la respuesta del </w:t>
      </w:r>
      <w:r w:rsidRPr="00883039">
        <w:rPr>
          <w:rFonts w:ascii="Palatino Linotype" w:hAnsi="Palatino Linotype" w:cs="Arial"/>
          <w:b/>
          <w:color w:val="000000" w:themeColor="text1"/>
        </w:rPr>
        <w:t>SUJETO OBLIGADO</w:t>
      </w:r>
      <w:r w:rsidRPr="00883039">
        <w:rPr>
          <w:rFonts w:ascii="Palatino Linotype" w:hAnsi="Palatino Linotype" w:cs="Arial"/>
          <w:color w:val="000000" w:themeColor="text1"/>
        </w:rPr>
        <w:t xml:space="preserve"> y ordenarle haga </w:t>
      </w:r>
      <w:r w:rsidRPr="00883039">
        <w:rPr>
          <w:rFonts w:ascii="Palatino Linotype" w:hAnsi="Palatino Linotype" w:cs="Arial"/>
          <w:color w:val="000000" w:themeColor="text1"/>
        </w:rPr>
        <w:lastRenderedPageBreak/>
        <w:t>entrega de la información descrita en el presente Considerando.</w:t>
      </w:r>
    </w:p>
    <w:p w14:paraId="76073DA4" w14:textId="77777777" w:rsidR="00AF1142" w:rsidRPr="00883039" w:rsidRDefault="00AF1142" w:rsidP="00883039">
      <w:pPr>
        <w:spacing w:line="360" w:lineRule="auto"/>
        <w:jc w:val="both"/>
        <w:rPr>
          <w:rFonts w:ascii="Palatino Linotype" w:hAnsi="Palatino Linotype"/>
        </w:rPr>
      </w:pPr>
    </w:p>
    <w:p w14:paraId="7ABE5597" w14:textId="77777777" w:rsidR="00FA2274" w:rsidRPr="00883039" w:rsidRDefault="00FA2274" w:rsidP="00883039">
      <w:pPr>
        <w:spacing w:line="360" w:lineRule="auto"/>
        <w:jc w:val="both"/>
        <w:rPr>
          <w:rFonts w:ascii="Palatino Linotype" w:hAnsi="Palatino Linotype"/>
          <w:b/>
          <w:bCs/>
          <w:spacing w:val="40"/>
          <w:sz w:val="28"/>
        </w:rPr>
      </w:pPr>
      <w:r w:rsidRPr="00883039">
        <w:rPr>
          <w:rFonts w:ascii="Palatino Linotype" w:eastAsia="Calibri" w:hAnsi="Palatino Linotype" w:cs="Arial"/>
        </w:rPr>
        <w:t>Así, con fundamento en lo prescrito en los artículos 5, párrafos tr</w:t>
      </w:r>
      <w:r w:rsidRPr="00883039">
        <w:rPr>
          <w:rFonts w:ascii="Palatino Linotype" w:hAnsi="Palatino Linotype"/>
        </w:rPr>
        <w:t>igésimo</w:t>
      </w:r>
      <w:r w:rsidRPr="00883039">
        <w:rPr>
          <w:rFonts w:ascii="Palatino Linotype" w:hAnsi="Palatino Linotype" w:cs="Arial"/>
        </w:rPr>
        <w:t>,</w:t>
      </w:r>
      <w:r w:rsidRPr="00883039">
        <w:rPr>
          <w:rFonts w:ascii="Palatino Linotype" w:hAnsi="Palatino Linotype"/>
        </w:rPr>
        <w:t xml:space="preserve"> trigésimo primero y trigésimo segundo, fracciones IV y V </w:t>
      </w:r>
      <w:r w:rsidRPr="00883039">
        <w:rPr>
          <w:rFonts w:ascii="Palatino Linotype" w:eastAsia="Calibri" w:hAnsi="Palatino Linotype" w:cs="Arial"/>
        </w:rPr>
        <w:t xml:space="preserve">de la Constitución Política del Estado Libre y Soberano de México; </w:t>
      </w:r>
      <w:r w:rsidRPr="00883039">
        <w:rPr>
          <w:rFonts w:ascii="Palatino Linotype" w:hAnsi="Palatino Linotype" w:cs="Arial"/>
        </w:rPr>
        <w:t>2, fracción II, 9, 29, 36, fracciones I y II, 176, 178, 179, 181, 185, fracción I, 186 y 188</w:t>
      </w:r>
      <w:r w:rsidRPr="00883039">
        <w:rPr>
          <w:rFonts w:ascii="Palatino Linotype" w:eastAsia="Calibri" w:hAnsi="Palatino Linotype" w:cs="Arial"/>
        </w:rPr>
        <w:t xml:space="preserve"> de la Ley de Transparencia y Acceso a la Información Pública del Estado de México y Municipios, este Pleno:</w:t>
      </w:r>
    </w:p>
    <w:p w14:paraId="72E6879A" w14:textId="77777777" w:rsidR="00FA2274" w:rsidRPr="00883039" w:rsidRDefault="00FA2274" w:rsidP="00E96015">
      <w:pPr>
        <w:rPr>
          <w:rFonts w:ascii="Palatino Linotype" w:hAnsi="Palatino Linotype" w:cs="Arial"/>
          <w:b/>
          <w:spacing w:val="44"/>
        </w:rPr>
      </w:pPr>
    </w:p>
    <w:p w14:paraId="10ED01A1" w14:textId="77777777" w:rsidR="00FA2274" w:rsidRPr="00883039" w:rsidRDefault="00FA2274" w:rsidP="00E96015">
      <w:pPr>
        <w:jc w:val="center"/>
        <w:rPr>
          <w:rFonts w:ascii="Palatino Linotype" w:hAnsi="Palatino Linotype" w:cs="Arial"/>
          <w:b/>
          <w:spacing w:val="44"/>
          <w:sz w:val="28"/>
        </w:rPr>
      </w:pPr>
      <w:r w:rsidRPr="00883039">
        <w:rPr>
          <w:rFonts w:ascii="Palatino Linotype" w:hAnsi="Palatino Linotype" w:cs="Arial"/>
          <w:b/>
          <w:spacing w:val="44"/>
          <w:sz w:val="28"/>
        </w:rPr>
        <w:t>RESUELVE</w:t>
      </w:r>
    </w:p>
    <w:p w14:paraId="6F643981" w14:textId="77777777" w:rsidR="00FA2274" w:rsidRPr="00883039" w:rsidRDefault="00FA2274" w:rsidP="00E96015">
      <w:pPr>
        <w:jc w:val="center"/>
        <w:rPr>
          <w:rFonts w:ascii="Palatino Linotype" w:hAnsi="Palatino Linotype" w:cs="Arial"/>
          <w:b/>
          <w:spacing w:val="44"/>
          <w:sz w:val="28"/>
        </w:rPr>
      </w:pPr>
    </w:p>
    <w:p w14:paraId="72FEF6A8" w14:textId="0A4D30E3" w:rsidR="00FA2274" w:rsidRPr="00883039" w:rsidRDefault="00FA2274" w:rsidP="00883039">
      <w:pPr>
        <w:spacing w:line="360" w:lineRule="auto"/>
        <w:jc w:val="both"/>
        <w:rPr>
          <w:rFonts w:ascii="Palatino Linotype" w:eastAsiaTheme="minorEastAsia" w:hAnsi="Palatino Linotype" w:cs="Arial"/>
        </w:rPr>
      </w:pPr>
      <w:r w:rsidRPr="00883039">
        <w:rPr>
          <w:rFonts w:ascii="Palatino Linotype" w:eastAsiaTheme="minorEastAsia" w:hAnsi="Palatino Linotype" w:cs="Arial"/>
          <w:b/>
          <w:bCs/>
          <w:color w:val="222222"/>
          <w:sz w:val="28"/>
          <w:szCs w:val="18"/>
          <w:lang w:val="es-ES_tradnl" w:eastAsia="es-MX"/>
        </w:rPr>
        <w:t>PRIMERO</w:t>
      </w:r>
      <w:r w:rsidRPr="00883039">
        <w:rPr>
          <w:rFonts w:ascii="Palatino Linotype" w:eastAsiaTheme="minorEastAsia" w:hAnsi="Palatino Linotype" w:cs="Arial"/>
          <w:sz w:val="20"/>
          <w:szCs w:val="20"/>
          <w:lang w:val="es-ES_tradnl"/>
        </w:rPr>
        <w:t xml:space="preserve">. </w:t>
      </w:r>
      <w:r w:rsidRPr="00883039">
        <w:rPr>
          <w:rFonts w:ascii="Palatino Linotype" w:eastAsiaTheme="minorEastAsia" w:hAnsi="Palatino Linotype" w:cs="Arial"/>
          <w:lang w:val="es-ES_tradnl"/>
        </w:rPr>
        <w:t xml:space="preserve">Resultan </w:t>
      </w:r>
      <w:r w:rsidRPr="00883039">
        <w:rPr>
          <w:rFonts w:ascii="Palatino Linotype" w:eastAsiaTheme="minorEastAsia" w:hAnsi="Palatino Linotype" w:cs="Arial"/>
          <w:b/>
          <w:lang w:val="es-ES_tradnl"/>
        </w:rPr>
        <w:t>fundadas</w:t>
      </w:r>
      <w:r w:rsidRPr="00883039">
        <w:rPr>
          <w:rFonts w:ascii="Palatino Linotype" w:eastAsiaTheme="minorEastAsia" w:hAnsi="Palatino Linotype" w:cs="Arial"/>
          <w:lang w:val="es-ES_tradnl"/>
        </w:rPr>
        <w:t xml:space="preserve"> las razones o motivos de inconformidad planteadas por </w:t>
      </w:r>
      <w:r w:rsidR="00DE35A2" w:rsidRPr="00883039">
        <w:rPr>
          <w:rFonts w:ascii="Palatino Linotype" w:eastAsiaTheme="minorEastAsia" w:hAnsi="Palatino Linotype" w:cs="Arial"/>
          <w:b/>
          <w:lang w:val="es-ES_tradnl"/>
        </w:rPr>
        <w:t>LA</w:t>
      </w:r>
      <w:r w:rsidRPr="00883039">
        <w:rPr>
          <w:rFonts w:ascii="Palatino Linotype" w:eastAsiaTheme="minorEastAsia" w:hAnsi="Palatino Linotype" w:cs="Arial"/>
          <w:b/>
          <w:lang w:val="es-ES_tradnl"/>
        </w:rPr>
        <w:t xml:space="preserve"> RECURRENTE</w:t>
      </w:r>
      <w:r w:rsidRPr="00883039">
        <w:rPr>
          <w:rFonts w:ascii="Palatino Linotype" w:eastAsiaTheme="minorEastAsia" w:hAnsi="Palatino Linotype" w:cs="Arial"/>
          <w:lang w:val="es-ES_tradnl"/>
        </w:rPr>
        <w:t xml:space="preserve"> </w:t>
      </w:r>
      <w:r w:rsidRPr="00883039">
        <w:rPr>
          <w:rFonts w:ascii="Palatino Linotype" w:eastAsiaTheme="minorEastAsia" w:hAnsi="Palatino Linotype" w:cs="Arial"/>
        </w:rPr>
        <w:t xml:space="preserve">en términos del </w:t>
      </w:r>
      <w:r w:rsidRPr="00883039">
        <w:rPr>
          <w:rFonts w:ascii="Palatino Linotype" w:eastAsiaTheme="minorEastAsia" w:hAnsi="Palatino Linotype" w:cs="Arial"/>
          <w:lang w:val="es-ES_tradnl"/>
        </w:rPr>
        <w:t>Considerando</w:t>
      </w:r>
      <w:r w:rsidRPr="00883039">
        <w:rPr>
          <w:rFonts w:ascii="Palatino Linotype" w:eastAsiaTheme="minorEastAsia" w:hAnsi="Palatino Linotype" w:cs="Arial"/>
        </w:rPr>
        <w:t xml:space="preserve"> </w:t>
      </w:r>
      <w:r w:rsidRPr="00883039">
        <w:rPr>
          <w:rFonts w:ascii="Palatino Linotype" w:eastAsiaTheme="minorEastAsia" w:hAnsi="Palatino Linotype" w:cs="Arial"/>
          <w:b/>
        </w:rPr>
        <w:t xml:space="preserve">QUINTO </w:t>
      </w:r>
      <w:r w:rsidRPr="00883039">
        <w:rPr>
          <w:rFonts w:ascii="Palatino Linotype" w:eastAsiaTheme="minorEastAsia" w:hAnsi="Palatino Linotype" w:cs="Arial"/>
        </w:rPr>
        <w:t>de esta Resolución.</w:t>
      </w:r>
    </w:p>
    <w:p w14:paraId="3A498158" w14:textId="77777777" w:rsidR="00FA2274" w:rsidRPr="00883039" w:rsidRDefault="00FA2274" w:rsidP="00883039">
      <w:pPr>
        <w:spacing w:line="360" w:lineRule="auto"/>
        <w:jc w:val="both"/>
        <w:rPr>
          <w:rFonts w:ascii="Palatino Linotype" w:eastAsiaTheme="minorEastAsia" w:hAnsi="Palatino Linotype" w:cs="Arial"/>
          <w:szCs w:val="20"/>
          <w:lang w:val="es-ES_tradnl"/>
        </w:rPr>
      </w:pPr>
    </w:p>
    <w:p w14:paraId="254982EF" w14:textId="7772F713" w:rsidR="00AF1142" w:rsidRPr="00883039" w:rsidRDefault="00FA2274" w:rsidP="00883039">
      <w:pPr>
        <w:autoSpaceDE w:val="0"/>
        <w:autoSpaceDN w:val="0"/>
        <w:adjustRightInd w:val="0"/>
        <w:spacing w:line="360" w:lineRule="auto"/>
        <w:jc w:val="both"/>
        <w:rPr>
          <w:rFonts w:ascii="Palatino Linotype" w:hAnsi="Palatino Linotype" w:cs="Arial"/>
          <w:szCs w:val="22"/>
        </w:rPr>
      </w:pPr>
      <w:r w:rsidRPr="00883039">
        <w:rPr>
          <w:rFonts w:ascii="Palatino Linotype" w:eastAsiaTheme="minorEastAsia" w:hAnsi="Palatino Linotype" w:cs="Arial"/>
          <w:b/>
          <w:bCs/>
          <w:color w:val="222222"/>
          <w:sz w:val="28"/>
          <w:szCs w:val="18"/>
          <w:lang w:val="es-ES_tradnl" w:eastAsia="es-MX"/>
        </w:rPr>
        <w:t>SEGUNDO</w:t>
      </w:r>
      <w:r w:rsidRPr="00883039">
        <w:rPr>
          <w:rFonts w:ascii="Palatino Linotype" w:eastAsia="Calibri" w:hAnsi="Palatino Linotype" w:cs="Arial"/>
          <w:b/>
          <w:bCs/>
          <w:sz w:val="20"/>
          <w:szCs w:val="20"/>
          <w:lang w:val="es-ES_tradnl"/>
        </w:rPr>
        <w:t xml:space="preserve">. </w:t>
      </w:r>
      <w:r w:rsidRPr="00883039">
        <w:rPr>
          <w:rFonts w:ascii="Palatino Linotype" w:eastAsia="Calibri" w:hAnsi="Palatino Linotype" w:cs="Arial"/>
        </w:rPr>
        <w:t xml:space="preserve">Se </w:t>
      </w:r>
      <w:r w:rsidRPr="00883039">
        <w:rPr>
          <w:rFonts w:ascii="Palatino Linotype" w:eastAsia="Calibri" w:hAnsi="Palatino Linotype" w:cs="Arial"/>
          <w:b/>
        </w:rPr>
        <w:t xml:space="preserve">REVOCA </w:t>
      </w:r>
      <w:r w:rsidRPr="00883039">
        <w:rPr>
          <w:rFonts w:ascii="Palatino Linotype" w:eastAsia="Calibri" w:hAnsi="Palatino Linotype" w:cs="Arial"/>
        </w:rPr>
        <w:t xml:space="preserve">la respuesta proporcionada por </w:t>
      </w:r>
      <w:r w:rsidRPr="00883039">
        <w:rPr>
          <w:rFonts w:ascii="Palatino Linotype" w:eastAsia="Calibri" w:hAnsi="Palatino Linotype" w:cs="Arial"/>
          <w:b/>
        </w:rPr>
        <w:t xml:space="preserve">EL SUJETO OBLIGADO </w:t>
      </w:r>
      <w:r w:rsidRPr="00883039">
        <w:rPr>
          <w:rFonts w:ascii="Palatino Linotype" w:eastAsia="Calibri" w:hAnsi="Palatino Linotype" w:cs="Arial"/>
        </w:rPr>
        <w:t xml:space="preserve">y se </w:t>
      </w:r>
      <w:r w:rsidRPr="00883039">
        <w:rPr>
          <w:rFonts w:ascii="Palatino Linotype" w:eastAsia="Calibri" w:hAnsi="Palatino Linotype" w:cs="Arial"/>
          <w:b/>
        </w:rPr>
        <w:t>ORDENA</w:t>
      </w:r>
      <w:r w:rsidRPr="00883039">
        <w:rPr>
          <w:rFonts w:ascii="Palatino Linotype" w:eastAsia="Calibri" w:hAnsi="Palatino Linotype" w:cs="Arial"/>
          <w:b/>
          <w:lang w:val="es-ES_tradnl"/>
        </w:rPr>
        <w:t xml:space="preserve"> </w:t>
      </w:r>
      <w:r w:rsidRPr="00883039">
        <w:rPr>
          <w:rFonts w:ascii="Palatino Linotype" w:eastAsia="Calibri" w:hAnsi="Palatino Linotype" w:cs="Arial"/>
          <w:lang w:val="es-ES_tradnl"/>
        </w:rPr>
        <w:t xml:space="preserve">atienda la solicitud de información </w:t>
      </w:r>
      <w:r w:rsidR="00DE35A2" w:rsidRPr="00883039">
        <w:rPr>
          <w:rFonts w:ascii="Palatino Linotype" w:eastAsia="MS Mincho" w:hAnsi="Palatino Linotype" w:cs="Arial"/>
          <w:b/>
          <w:bCs/>
        </w:rPr>
        <w:t>00257/TECAMAC/IP/2021</w:t>
      </w:r>
      <w:r w:rsidRPr="00883039">
        <w:rPr>
          <w:rFonts w:ascii="Palatino Linotype" w:eastAsiaTheme="minorEastAsia" w:hAnsi="Palatino Linotype" w:cs="Arial"/>
          <w:lang w:val="es-ES_tradnl"/>
        </w:rPr>
        <w:t xml:space="preserve">, en términos del Considerando </w:t>
      </w:r>
      <w:r w:rsidRPr="00883039">
        <w:rPr>
          <w:rFonts w:ascii="Palatino Linotype" w:eastAsiaTheme="minorEastAsia" w:hAnsi="Palatino Linotype" w:cs="Arial"/>
          <w:b/>
          <w:lang w:val="es-ES_tradnl"/>
        </w:rPr>
        <w:t>QUINTO</w:t>
      </w:r>
      <w:r w:rsidRPr="00883039">
        <w:rPr>
          <w:rFonts w:ascii="Palatino Linotype" w:eastAsiaTheme="minorEastAsia" w:hAnsi="Palatino Linotype" w:cs="Arial"/>
          <w:lang w:val="es-ES_tradnl"/>
        </w:rPr>
        <w:t xml:space="preserve"> y, haga entrega a</w:t>
      </w:r>
      <w:r w:rsidR="009D1106" w:rsidRPr="00883039">
        <w:rPr>
          <w:rFonts w:ascii="Palatino Linotype" w:eastAsiaTheme="minorEastAsia" w:hAnsi="Palatino Linotype" w:cs="Arial"/>
          <w:lang w:val="es-ES_tradnl"/>
        </w:rPr>
        <w:t xml:space="preserve"> </w:t>
      </w:r>
      <w:r w:rsidR="009D1106" w:rsidRPr="00883039">
        <w:rPr>
          <w:rFonts w:ascii="Palatino Linotype" w:eastAsiaTheme="minorEastAsia" w:hAnsi="Palatino Linotype" w:cs="Arial"/>
          <w:b/>
          <w:lang w:val="es-ES_tradnl"/>
        </w:rPr>
        <w:t>LA</w:t>
      </w:r>
      <w:r w:rsidRPr="00883039">
        <w:rPr>
          <w:rFonts w:ascii="Palatino Linotype" w:eastAsiaTheme="minorEastAsia" w:hAnsi="Palatino Linotype" w:cs="Arial"/>
          <w:lang w:val="es-ES_tradnl"/>
        </w:rPr>
        <w:t xml:space="preserve"> </w:t>
      </w:r>
      <w:r w:rsidRPr="00883039">
        <w:rPr>
          <w:rFonts w:ascii="Palatino Linotype" w:eastAsiaTheme="minorEastAsia" w:hAnsi="Palatino Linotype" w:cs="Arial"/>
          <w:b/>
          <w:lang w:val="es-ES_tradnl"/>
        </w:rPr>
        <w:t>RECURRENTE</w:t>
      </w:r>
      <w:r w:rsidRPr="00883039">
        <w:rPr>
          <w:rFonts w:ascii="Palatino Linotype" w:eastAsiaTheme="minorEastAsia" w:hAnsi="Palatino Linotype" w:cs="Arial"/>
          <w:lang w:val="es-ES_tradnl"/>
        </w:rPr>
        <w:t xml:space="preserve">, vía </w:t>
      </w:r>
      <w:r w:rsidRPr="00883039">
        <w:rPr>
          <w:rFonts w:ascii="Palatino Linotype" w:eastAsiaTheme="minorEastAsia" w:hAnsi="Palatino Linotype" w:cs="Arial"/>
          <w:b/>
          <w:lang w:val="es-ES_tradnl"/>
        </w:rPr>
        <w:t>SAIMEX</w:t>
      </w:r>
      <w:r w:rsidRPr="00883039">
        <w:rPr>
          <w:rFonts w:ascii="Palatino Linotype" w:hAnsi="Palatino Linotype" w:cs="Arial"/>
          <w:lang w:val="es-ES"/>
        </w:rPr>
        <w:t xml:space="preserve">, de ser procedente en </w:t>
      </w:r>
      <w:r w:rsidRPr="00883039">
        <w:rPr>
          <w:rFonts w:ascii="Palatino Linotype" w:hAnsi="Palatino Linotype" w:cs="Arial"/>
          <w:b/>
          <w:lang w:val="es-ES"/>
        </w:rPr>
        <w:t>versión pública</w:t>
      </w:r>
      <w:r w:rsidRPr="00883039">
        <w:rPr>
          <w:rFonts w:ascii="Palatino Linotype" w:hAnsi="Palatino Linotype" w:cs="Arial"/>
          <w:lang w:val="es-ES"/>
        </w:rPr>
        <w:t xml:space="preserve"> </w:t>
      </w:r>
      <w:r w:rsidR="00AF1142" w:rsidRPr="00883039">
        <w:rPr>
          <w:rFonts w:ascii="Palatino Linotype" w:hAnsi="Palatino Linotype" w:cs="Arial"/>
          <w:szCs w:val="22"/>
        </w:rPr>
        <w:t xml:space="preserve">del Conjunto Urbano denominado “Real Granada Tercera Etapa” “Real Granada Cuarta Etapa” y “Real Granada Quinta Etapa” </w:t>
      </w:r>
      <w:r w:rsidR="00AF1142" w:rsidRPr="00883039">
        <w:rPr>
          <w:rFonts w:ascii="Palatino Linotype" w:hAnsi="Palatino Linotype" w:cs="Arial"/>
          <w:b/>
          <w:szCs w:val="22"/>
        </w:rPr>
        <w:t xml:space="preserve"> </w:t>
      </w:r>
      <w:r w:rsidR="00AF1142" w:rsidRPr="00883039">
        <w:rPr>
          <w:rFonts w:ascii="Palatino Linotype" w:hAnsi="Palatino Linotype" w:cs="Arial"/>
          <w:szCs w:val="22"/>
        </w:rPr>
        <w:t xml:space="preserve">lo siguiente: </w:t>
      </w:r>
    </w:p>
    <w:p w14:paraId="1030DDD9" w14:textId="77777777" w:rsidR="00AF1142" w:rsidRPr="00883039" w:rsidRDefault="00AF1142" w:rsidP="00E96015">
      <w:pPr>
        <w:autoSpaceDE w:val="0"/>
        <w:autoSpaceDN w:val="0"/>
        <w:adjustRightInd w:val="0"/>
        <w:spacing w:line="276" w:lineRule="auto"/>
        <w:jc w:val="both"/>
        <w:rPr>
          <w:rFonts w:ascii="Palatino Linotype" w:hAnsi="Palatino Linotype" w:cs="Arial"/>
          <w:sz w:val="22"/>
          <w:szCs w:val="22"/>
        </w:rPr>
      </w:pPr>
    </w:p>
    <w:p w14:paraId="3DBB8B33" w14:textId="3F651839" w:rsidR="00AF1142" w:rsidRPr="00883039" w:rsidRDefault="00AF1142" w:rsidP="00E96015">
      <w:pPr>
        <w:spacing w:line="276" w:lineRule="auto"/>
        <w:ind w:left="993" w:right="902" w:hanging="14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“a) Gaceta oficial de la Dirección de Desarrollo Urbano y Obra, con todos sus anexos como es planos de lotificación Plano oficial, apertura de vías públicas y división de lotes Fusión, subdivisión, apertura, ampliación o modificación de vías públicas </w:t>
      </w:r>
    </w:p>
    <w:p w14:paraId="5ED7F44C" w14:textId="52B019F3"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b) </w:t>
      </w:r>
      <w:r w:rsidR="00AF1142" w:rsidRPr="00883039">
        <w:rPr>
          <w:rFonts w:ascii="Palatino Linotype" w:hAnsi="Palatino Linotype" w:cs="Arial"/>
          <w:i/>
          <w:iCs/>
          <w:sz w:val="22"/>
          <w:szCs w:val="22"/>
          <w:lang w:val="es-ES_tradnl"/>
        </w:rPr>
        <w:t>Lotificación de predios para condominios</w:t>
      </w:r>
    </w:p>
    <w:p w14:paraId="1DC40079" w14:textId="4EBA42BB"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c) </w:t>
      </w:r>
      <w:r w:rsidR="00AF1142" w:rsidRPr="00883039">
        <w:rPr>
          <w:rFonts w:ascii="Palatino Linotype" w:hAnsi="Palatino Linotype" w:cs="Arial"/>
          <w:i/>
          <w:iCs/>
          <w:sz w:val="22"/>
          <w:szCs w:val="22"/>
          <w:lang w:val="es-ES_tradnl"/>
        </w:rPr>
        <w:t>Cambios de uso del suelo, de densidad e intensidad de su aprovechamiento o de la altura máxima permitida</w:t>
      </w:r>
    </w:p>
    <w:p w14:paraId="0352D4EA" w14:textId="5A9EE2C3"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lastRenderedPageBreak/>
        <w:t xml:space="preserve">d) </w:t>
      </w:r>
      <w:r w:rsidR="00AF1142" w:rsidRPr="00883039">
        <w:rPr>
          <w:rFonts w:ascii="Palatino Linotype" w:hAnsi="Palatino Linotype" w:cs="Arial"/>
          <w:i/>
          <w:iCs/>
          <w:sz w:val="22"/>
          <w:szCs w:val="22"/>
          <w:lang w:val="es-ES_tradnl"/>
        </w:rPr>
        <w:t xml:space="preserve">Cualquier acto administrativo de competencia estatal o municipal que haya sido requerido para la lotificación solicitada. Secciones de vías públicas y privadas </w:t>
      </w:r>
    </w:p>
    <w:p w14:paraId="1BBEB5E7" w14:textId="24DC5616"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e) </w:t>
      </w:r>
      <w:r w:rsidR="00AF1142" w:rsidRPr="00883039">
        <w:rPr>
          <w:rFonts w:ascii="Palatino Linotype" w:hAnsi="Palatino Linotype" w:cs="Arial"/>
          <w:i/>
          <w:iCs/>
          <w:sz w:val="22"/>
          <w:szCs w:val="22"/>
          <w:lang w:val="es-ES_tradnl"/>
        </w:rPr>
        <w:t xml:space="preserve">Cuadro de construcción de la poligonal del predio </w:t>
      </w:r>
    </w:p>
    <w:p w14:paraId="7E552ECA" w14:textId="33DF3F1E"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f) </w:t>
      </w:r>
      <w:r w:rsidR="00AF1142" w:rsidRPr="00883039">
        <w:rPr>
          <w:rFonts w:ascii="Palatino Linotype" w:hAnsi="Palatino Linotype" w:cs="Arial"/>
          <w:i/>
          <w:iCs/>
          <w:sz w:val="22"/>
          <w:szCs w:val="22"/>
          <w:lang w:val="es-ES_tradnl"/>
        </w:rPr>
        <w:t xml:space="preserve">Datos generales de la lotificación </w:t>
      </w:r>
    </w:p>
    <w:p w14:paraId="24F1045B" w14:textId="54061367"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g) </w:t>
      </w:r>
      <w:r w:rsidR="00AF1142" w:rsidRPr="00883039">
        <w:rPr>
          <w:rFonts w:ascii="Palatino Linotype" w:hAnsi="Palatino Linotype" w:cs="Arial"/>
          <w:i/>
          <w:iCs/>
          <w:sz w:val="22"/>
          <w:szCs w:val="22"/>
          <w:lang w:val="es-ES_tradnl"/>
        </w:rPr>
        <w:t xml:space="preserve">Cuadros de cuantificación de lotes, superficies y usos del suelo por manzana </w:t>
      </w:r>
    </w:p>
    <w:p w14:paraId="4D40CC08" w14:textId="68016C71"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h) </w:t>
      </w:r>
      <w:r w:rsidR="00AF1142" w:rsidRPr="00883039">
        <w:rPr>
          <w:rFonts w:ascii="Palatino Linotype" w:hAnsi="Palatino Linotype" w:cs="Arial"/>
          <w:i/>
          <w:iCs/>
          <w:sz w:val="22"/>
          <w:szCs w:val="22"/>
          <w:lang w:val="es-ES_tradnl"/>
        </w:rPr>
        <w:t xml:space="preserve">Datos de las autorizaciones implícitas </w:t>
      </w:r>
    </w:p>
    <w:p w14:paraId="49E038DB" w14:textId="19AA2ABB"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i) </w:t>
      </w:r>
      <w:r w:rsidR="00AF1142" w:rsidRPr="00883039">
        <w:rPr>
          <w:rFonts w:ascii="Palatino Linotype" w:hAnsi="Palatino Linotype" w:cs="Arial"/>
          <w:i/>
          <w:iCs/>
          <w:sz w:val="22"/>
          <w:szCs w:val="22"/>
          <w:lang w:val="es-ES_tradnl"/>
        </w:rPr>
        <w:t>Nombre, firma y datos de registro del perito</w:t>
      </w:r>
    </w:p>
    <w:p w14:paraId="39F1FD41" w14:textId="63C7AA73"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j) </w:t>
      </w:r>
      <w:r w:rsidR="00AF1142" w:rsidRPr="00883039">
        <w:rPr>
          <w:rFonts w:ascii="Palatino Linotype" w:hAnsi="Palatino Linotype" w:cs="Arial"/>
          <w:i/>
          <w:iCs/>
          <w:sz w:val="22"/>
          <w:szCs w:val="22"/>
          <w:lang w:val="es-ES_tradnl"/>
        </w:rPr>
        <w:t xml:space="preserve">Etapas o secciones del desarrollo </w:t>
      </w:r>
    </w:p>
    <w:p w14:paraId="138D7C56" w14:textId="57C9D096"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k) </w:t>
      </w:r>
      <w:r w:rsidR="00AF1142" w:rsidRPr="00883039">
        <w:rPr>
          <w:rFonts w:ascii="Palatino Linotype" w:hAnsi="Palatino Linotype" w:cs="Arial"/>
          <w:i/>
          <w:iCs/>
          <w:sz w:val="22"/>
          <w:szCs w:val="22"/>
          <w:lang w:val="es-ES_tradnl"/>
        </w:rPr>
        <w:t xml:space="preserve">Nombre de los servidores públicos que proyectan, dibujan y revisan, incluyendo los funcionarios públicos que autorizaron el oficio No. 224020000/3844/2014 relacionado con la aprobación del proyecto de lotificación; así como el nombre y número del plano. </w:t>
      </w:r>
    </w:p>
    <w:p w14:paraId="35E79AED" w14:textId="0DB8C45E"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l) </w:t>
      </w:r>
      <w:r w:rsidR="00AF1142" w:rsidRPr="00883039">
        <w:rPr>
          <w:rFonts w:ascii="Palatino Linotype" w:hAnsi="Palatino Linotype" w:cs="Arial"/>
          <w:i/>
          <w:iCs/>
          <w:sz w:val="22"/>
          <w:szCs w:val="22"/>
          <w:lang w:val="es-ES_tradnl"/>
        </w:rPr>
        <w:t>Actas de entrega-recepción tanto parcial como total en el periodo del 2016 al 2021, detallada por número de expediente;</w:t>
      </w:r>
    </w:p>
    <w:p w14:paraId="112F4BF8" w14:textId="7EA0790D"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m) </w:t>
      </w:r>
      <w:r w:rsidR="00AF1142" w:rsidRPr="00883039">
        <w:rPr>
          <w:rFonts w:ascii="Palatino Linotype" w:hAnsi="Palatino Linotype" w:cs="Arial"/>
          <w:i/>
          <w:iCs/>
          <w:sz w:val="22"/>
          <w:szCs w:val="22"/>
          <w:lang w:val="es-ES_tradnl"/>
        </w:rPr>
        <w:t>Actas de supervisión correspondiente a la bitácora de supervisión de control de obras de infraestructura, urbanización y equipamiento de conjuntos urbanos</w:t>
      </w:r>
    </w:p>
    <w:p w14:paraId="5E8222B6" w14:textId="6D50D591"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n) </w:t>
      </w:r>
      <w:r w:rsidR="00AF1142" w:rsidRPr="00883039">
        <w:rPr>
          <w:rFonts w:ascii="Palatino Linotype" w:hAnsi="Palatino Linotype" w:cs="Arial"/>
          <w:i/>
          <w:iCs/>
          <w:sz w:val="22"/>
          <w:szCs w:val="22"/>
          <w:lang w:val="es-ES_tradnl"/>
        </w:rPr>
        <w:t>La publicidad y/o contenido, propaganda aprobada por la Secretaria de Desarrollo Urbano para evitar propaganda engañosa conforme lo establece el artículo 5.38 fracción XII del Código Administrativo del Estado de México;</w:t>
      </w:r>
    </w:p>
    <w:p w14:paraId="417A941B" w14:textId="3BDCB5BB" w:rsidR="00AF1142"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hAnsi="Palatino Linotype" w:cs="Arial"/>
          <w:i/>
          <w:iCs/>
          <w:sz w:val="22"/>
          <w:szCs w:val="22"/>
          <w:lang w:val="es-ES_tradnl"/>
        </w:rPr>
        <w:t xml:space="preserve">o) </w:t>
      </w:r>
      <w:r w:rsidR="00AF1142" w:rsidRPr="00883039">
        <w:rPr>
          <w:rFonts w:ascii="Palatino Linotype" w:hAnsi="Palatino Linotype" w:cs="Arial"/>
          <w:i/>
          <w:iCs/>
          <w:sz w:val="22"/>
          <w:szCs w:val="22"/>
          <w:lang w:val="es-ES_tradnl"/>
        </w:rPr>
        <w:t>La autorización expresa de la Secretaria de Desarrollo Urbano por conducto de la Dirección General de Operación Urbana para transferir o ceder los derechos o cambio de titularidad para la ocupación de los lotes.</w:t>
      </w:r>
    </w:p>
    <w:p w14:paraId="1D349BE8" w14:textId="77777777" w:rsidR="00EC1F16" w:rsidRPr="00883039" w:rsidRDefault="00EC1F16" w:rsidP="00E96015">
      <w:pPr>
        <w:spacing w:line="276" w:lineRule="auto"/>
        <w:ind w:left="993" w:right="902"/>
        <w:jc w:val="both"/>
        <w:rPr>
          <w:rFonts w:ascii="Palatino Linotype" w:hAnsi="Palatino Linotype" w:cs="Arial"/>
          <w:i/>
          <w:iCs/>
          <w:sz w:val="22"/>
          <w:szCs w:val="22"/>
          <w:lang w:val="es-ES_tradnl"/>
        </w:rPr>
      </w:pPr>
    </w:p>
    <w:p w14:paraId="7AA0B249" w14:textId="787660BD" w:rsidR="00EC1F16" w:rsidRPr="00883039" w:rsidRDefault="00EC1F16" w:rsidP="00E96015">
      <w:pPr>
        <w:spacing w:line="276" w:lineRule="auto"/>
        <w:ind w:left="993" w:right="902"/>
        <w:jc w:val="both"/>
        <w:rPr>
          <w:rFonts w:ascii="Palatino Linotype" w:hAnsi="Palatino Linotype" w:cs="Arial"/>
          <w:i/>
          <w:iCs/>
          <w:sz w:val="22"/>
          <w:szCs w:val="22"/>
          <w:lang w:val="es-ES_tradnl"/>
        </w:rPr>
      </w:pPr>
      <w:r w:rsidRPr="00883039">
        <w:rPr>
          <w:rFonts w:ascii="Palatino Linotype" w:eastAsia="Palatino Linotype" w:hAnsi="Palatino Linotype" w:cs="Palatino Linotype"/>
          <w:i/>
          <w:sz w:val="22"/>
          <w:szCs w:val="22"/>
        </w:rPr>
        <w:t xml:space="preserve">Debiendo notificar a </w:t>
      </w:r>
      <w:r w:rsidRPr="00883039">
        <w:rPr>
          <w:rFonts w:ascii="Palatino Linotype" w:eastAsia="Palatino Linotype" w:hAnsi="Palatino Linotype" w:cs="Palatino Linotype"/>
          <w:b/>
          <w:i/>
          <w:sz w:val="22"/>
          <w:szCs w:val="22"/>
        </w:rPr>
        <w:t>LA</w:t>
      </w:r>
      <w:r w:rsidRPr="00883039">
        <w:rPr>
          <w:rFonts w:ascii="Palatino Linotype" w:eastAsia="Palatino Linotype" w:hAnsi="Palatino Linotype" w:cs="Palatino Linotype"/>
          <w:i/>
          <w:sz w:val="22"/>
          <w:szCs w:val="22"/>
        </w:rPr>
        <w:t xml:space="preserve"> </w:t>
      </w:r>
      <w:r w:rsidRPr="00883039">
        <w:rPr>
          <w:rFonts w:ascii="Palatino Linotype" w:eastAsia="Palatino Linotype" w:hAnsi="Palatino Linotype" w:cs="Palatino Linotype"/>
          <w:b/>
          <w:i/>
          <w:sz w:val="22"/>
          <w:szCs w:val="22"/>
        </w:rPr>
        <w:t>RECURRENTE</w:t>
      </w:r>
      <w:r w:rsidRPr="00883039">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p>
    <w:p w14:paraId="1690B08B" w14:textId="77777777" w:rsidR="00AF1142" w:rsidRPr="00883039" w:rsidRDefault="00AF1142" w:rsidP="00E96015">
      <w:pPr>
        <w:autoSpaceDE w:val="0"/>
        <w:autoSpaceDN w:val="0"/>
        <w:adjustRightInd w:val="0"/>
        <w:spacing w:line="276" w:lineRule="auto"/>
        <w:jc w:val="both"/>
        <w:rPr>
          <w:rFonts w:ascii="Palatino Linotype" w:hAnsi="Palatino Linotype" w:cs="Arial"/>
          <w:sz w:val="22"/>
          <w:szCs w:val="22"/>
        </w:rPr>
      </w:pPr>
    </w:p>
    <w:p w14:paraId="47D18B14" w14:textId="19268BB0" w:rsidR="00AF1142" w:rsidRPr="00883039" w:rsidRDefault="00EC1F16" w:rsidP="00E96015">
      <w:pPr>
        <w:spacing w:line="276" w:lineRule="auto"/>
        <w:ind w:left="993" w:right="902"/>
        <w:jc w:val="both"/>
        <w:rPr>
          <w:rFonts w:ascii="Palatino Linotype" w:eastAsia="Palatino Linotype" w:hAnsi="Palatino Linotype" w:cs="Palatino Linotype"/>
          <w:i/>
          <w:sz w:val="22"/>
          <w:szCs w:val="22"/>
        </w:rPr>
      </w:pPr>
      <w:r w:rsidRPr="00883039">
        <w:rPr>
          <w:rFonts w:ascii="Palatino Linotype" w:eastAsia="Palatino Linotype" w:hAnsi="Palatino Linotype" w:cs="Palatino Linotype"/>
          <w:i/>
          <w:sz w:val="22"/>
          <w:szCs w:val="22"/>
        </w:rPr>
        <w:t xml:space="preserve">Para el caso de que la información ordenada en el </w:t>
      </w:r>
      <w:r w:rsidR="00AF1142" w:rsidRPr="00883039">
        <w:rPr>
          <w:rFonts w:ascii="Palatino Linotype" w:eastAsia="Palatino Linotype" w:hAnsi="Palatino Linotype" w:cs="Palatino Linotype"/>
          <w:i/>
          <w:sz w:val="22"/>
          <w:szCs w:val="22"/>
        </w:rPr>
        <w:t xml:space="preserve">inciso d) relacionado con actos administrativos de competencia estatal, h), k), </w:t>
      </w:r>
      <w:r w:rsidRPr="00883039">
        <w:rPr>
          <w:rFonts w:ascii="Palatino Linotype" w:eastAsia="Palatino Linotype" w:hAnsi="Palatino Linotype" w:cs="Palatino Linotype"/>
          <w:i/>
          <w:sz w:val="22"/>
          <w:szCs w:val="22"/>
        </w:rPr>
        <w:t xml:space="preserve">n) </w:t>
      </w:r>
      <w:r w:rsidR="00AF1142" w:rsidRPr="00883039">
        <w:rPr>
          <w:rFonts w:ascii="Palatino Linotype" w:eastAsia="Palatino Linotype" w:hAnsi="Palatino Linotype" w:cs="Palatino Linotype"/>
          <w:i/>
          <w:sz w:val="22"/>
          <w:szCs w:val="22"/>
        </w:rPr>
        <w:t>y, o) no obre en sus archivos, deberá hacerlo del conocimiento de</w:t>
      </w:r>
      <w:r w:rsidR="006A5842">
        <w:rPr>
          <w:rFonts w:ascii="Palatino Linotype" w:eastAsia="Palatino Linotype" w:hAnsi="Palatino Linotype" w:cs="Palatino Linotype"/>
          <w:i/>
          <w:sz w:val="22"/>
          <w:szCs w:val="22"/>
        </w:rPr>
        <w:t xml:space="preserve"> </w:t>
      </w:r>
      <w:r w:rsidR="00AF1142" w:rsidRPr="00883039">
        <w:rPr>
          <w:rFonts w:ascii="Palatino Linotype" w:eastAsia="Palatino Linotype" w:hAnsi="Palatino Linotype" w:cs="Palatino Linotype"/>
          <w:i/>
          <w:sz w:val="22"/>
          <w:szCs w:val="22"/>
        </w:rPr>
        <w:t>l</w:t>
      </w:r>
      <w:r w:rsidR="006A5842">
        <w:rPr>
          <w:rFonts w:ascii="Palatino Linotype" w:eastAsia="Palatino Linotype" w:hAnsi="Palatino Linotype" w:cs="Palatino Linotype"/>
          <w:i/>
          <w:sz w:val="22"/>
          <w:szCs w:val="22"/>
        </w:rPr>
        <w:t>a</w:t>
      </w:r>
      <w:r w:rsidR="00AF1142" w:rsidRPr="00883039">
        <w:rPr>
          <w:rFonts w:ascii="Palatino Linotype" w:eastAsia="Palatino Linotype" w:hAnsi="Palatino Linotype" w:cs="Palatino Linotype"/>
          <w:i/>
          <w:sz w:val="22"/>
          <w:szCs w:val="22"/>
        </w:rPr>
        <w:t xml:space="preserve"> particular, de manera fundada y motivada en términos del artículo 19 de la Ley de Transparencia y Acceso a la Información Pública del Estado de México y Municipios.</w:t>
      </w:r>
      <w:r w:rsidRPr="00883039">
        <w:rPr>
          <w:rFonts w:ascii="Palatino Linotype" w:eastAsia="Palatino Linotype" w:hAnsi="Palatino Linotype" w:cs="Palatino Linotype"/>
          <w:i/>
          <w:sz w:val="22"/>
          <w:szCs w:val="22"/>
        </w:rPr>
        <w:t>”</w:t>
      </w:r>
    </w:p>
    <w:p w14:paraId="4CD15C26" w14:textId="77777777" w:rsidR="00AF1142" w:rsidRPr="00883039" w:rsidRDefault="00AF1142" w:rsidP="00E96015">
      <w:pPr>
        <w:autoSpaceDE w:val="0"/>
        <w:autoSpaceDN w:val="0"/>
        <w:adjustRightInd w:val="0"/>
        <w:spacing w:line="276" w:lineRule="auto"/>
        <w:jc w:val="both"/>
        <w:rPr>
          <w:rFonts w:ascii="Palatino Linotype" w:hAnsi="Palatino Linotype" w:cs="Arial"/>
          <w:szCs w:val="22"/>
        </w:rPr>
      </w:pPr>
    </w:p>
    <w:p w14:paraId="54EFB3A2" w14:textId="62935B4D" w:rsidR="00FA2274" w:rsidRPr="00C0720F" w:rsidRDefault="00FA2274" w:rsidP="00883039">
      <w:pPr>
        <w:spacing w:line="360" w:lineRule="auto"/>
        <w:jc w:val="both"/>
        <w:rPr>
          <w:rFonts w:ascii="Palatino Linotype" w:eastAsiaTheme="minorEastAsia" w:hAnsi="Palatino Linotype" w:cstheme="minorBidi"/>
          <w:color w:val="222222"/>
          <w:shd w:val="clear" w:color="auto" w:fill="FFFFFF"/>
          <w:lang w:val="es-ES_tradnl"/>
        </w:rPr>
      </w:pPr>
      <w:r w:rsidRPr="00C0720F">
        <w:rPr>
          <w:rFonts w:ascii="Palatino Linotype" w:eastAsiaTheme="minorEastAsia" w:hAnsi="Palatino Linotype" w:cstheme="minorBidi"/>
          <w:b/>
          <w:color w:val="222222"/>
          <w:sz w:val="28"/>
          <w:shd w:val="clear" w:color="auto" w:fill="FFFFFF"/>
          <w:lang w:val="es-ES_tradnl"/>
        </w:rPr>
        <w:lastRenderedPageBreak/>
        <w:t>TERCERO</w:t>
      </w:r>
      <w:r w:rsidRPr="00C0720F">
        <w:rPr>
          <w:rFonts w:ascii="Palatino Linotype" w:eastAsiaTheme="minorEastAsia" w:hAnsi="Palatino Linotype" w:cstheme="minorBidi"/>
          <w:b/>
          <w:color w:val="222222"/>
          <w:sz w:val="28"/>
          <w:szCs w:val="28"/>
          <w:shd w:val="clear" w:color="auto" w:fill="FFFFFF"/>
          <w:lang w:val="es-ES_tradnl"/>
        </w:rPr>
        <w:t>.</w:t>
      </w:r>
      <w:r w:rsidRPr="00C0720F">
        <w:rPr>
          <w:rFonts w:ascii="Palatino Linotype" w:eastAsiaTheme="minorEastAsia" w:hAnsi="Palatino Linotype" w:cstheme="minorBidi"/>
          <w:b/>
          <w:color w:val="222222"/>
          <w:sz w:val="20"/>
          <w:szCs w:val="20"/>
          <w:shd w:val="clear" w:color="auto" w:fill="FFFFFF"/>
          <w:lang w:val="es-ES_tradnl"/>
        </w:rPr>
        <w:t> </w:t>
      </w:r>
      <w:r w:rsidRPr="00C0720F">
        <w:rPr>
          <w:rFonts w:ascii="Palatino Linotype" w:eastAsiaTheme="minorEastAsia" w:hAnsi="Palatino Linotype" w:cstheme="minorBidi"/>
          <w:b/>
          <w:color w:val="222222"/>
          <w:lang w:val="es-ES_tradnl" w:eastAsia="es-ES_tradnl"/>
        </w:rPr>
        <w:t>Notifíquese</w:t>
      </w:r>
      <w:r w:rsidRPr="00C0720F">
        <w:rPr>
          <w:rFonts w:ascii="Palatino Linotype" w:eastAsiaTheme="minorEastAsia" w:hAnsi="Palatino Linotype" w:cstheme="minorBidi"/>
          <w:color w:val="222222"/>
          <w:lang w:val="es-ES_tradnl" w:eastAsia="es-ES_tradnl"/>
        </w:rPr>
        <w:t xml:space="preserve"> </w:t>
      </w:r>
      <w:r w:rsidRPr="00C0720F">
        <w:rPr>
          <w:rFonts w:ascii="Palatino Linotype" w:eastAsiaTheme="minorEastAsia" w:hAnsi="Palatino Linotype" w:cstheme="minorBidi"/>
          <w:color w:val="222222"/>
          <w:shd w:val="clear" w:color="auto" w:fill="FFFFFF"/>
          <w:lang w:val="es-ES_tradnl"/>
        </w:rPr>
        <w:t>a</w:t>
      </w:r>
      <w:r w:rsidR="0096445D" w:rsidRPr="00C0720F">
        <w:rPr>
          <w:rFonts w:ascii="Palatino Linotype" w:eastAsiaTheme="minorEastAsia" w:hAnsi="Palatino Linotype" w:cstheme="minorBidi"/>
          <w:color w:val="222222"/>
          <w:shd w:val="clear" w:color="auto" w:fill="FFFFFF"/>
          <w:lang w:val="es-ES_tradnl"/>
        </w:rPr>
        <w:t>l</w:t>
      </w:r>
      <w:r w:rsidRPr="00C0720F">
        <w:rPr>
          <w:rFonts w:ascii="Palatino Linotype" w:eastAsiaTheme="minorEastAsia" w:hAnsi="Palatino Linotype" w:cstheme="minorBidi"/>
          <w:color w:val="222222"/>
          <w:shd w:val="clear" w:color="auto" w:fill="FFFFFF"/>
          <w:lang w:val="es-ES_tradnl"/>
        </w:rPr>
        <w:t xml:space="preserve"> Titular de la Unidad de Transparencia del</w:t>
      </w:r>
      <w:r w:rsidRPr="00C0720F">
        <w:rPr>
          <w:rFonts w:ascii="Palatino Linotype" w:eastAsiaTheme="minorEastAsia" w:hAnsi="Palatino Linotype" w:cstheme="minorBidi"/>
          <w:b/>
          <w:color w:val="222222"/>
          <w:shd w:val="clear" w:color="auto" w:fill="FFFFFF"/>
          <w:lang w:val="es-ES_tradnl"/>
        </w:rPr>
        <w:t> SUJETO OBLIGADO</w:t>
      </w:r>
      <w:r w:rsidRPr="00C0720F">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C0720F">
        <w:rPr>
          <w:rFonts w:ascii="Palatino Linotype" w:eastAsiaTheme="minorEastAsia" w:hAnsi="Palatino Linotype" w:cs="Arial"/>
          <w:lang w:val="es-ES_tradnl"/>
        </w:rPr>
        <w:t>Transparencia</w:t>
      </w:r>
      <w:r w:rsidRPr="00C0720F">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C0720F">
        <w:rPr>
          <w:rFonts w:ascii="Palatino Linotype" w:eastAsiaTheme="minorEastAsia" w:hAnsi="Palatino Linotype" w:cs="Arial"/>
          <w:lang w:val="es-ES_tradnl"/>
        </w:rPr>
        <w:t>cumplimiento</w:t>
      </w:r>
      <w:r w:rsidRPr="00C0720F">
        <w:rPr>
          <w:rFonts w:ascii="Palatino Linotype" w:eastAsiaTheme="minorEastAsia" w:hAnsi="Palatino Linotype" w:cstheme="minorBidi"/>
          <w:color w:val="222222"/>
          <w:shd w:val="clear" w:color="auto" w:fill="FFFFFF"/>
          <w:lang w:val="es-ES_tradnl"/>
        </w:rPr>
        <w:t xml:space="preserve"> a lo ordenado dentro del plazo de </w:t>
      </w:r>
      <w:r w:rsidR="0096445D" w:rsidRPr="00C0720F">
        <w:rPr>
          <w:rFonts w:ascii="Palatino Linotype" w:eastAsiaTheme="minorEastAsia" w:hAnsi="Palatino Linotype" w:cstheme="minorBidi"/>
          <w:color w:val="222222"/>
          <w:shd w:val="clear" w:color="auto" w:fill="FFFFFF"/>
          <w:lang w:val="es-ES_tradnl"/>
        </w:rPr>
        <w:t xml:space="preserve">diez </w:t>
      </w:r>
      <w:r w:rsidRPr="00C0720F">
        <w:rPr>
          <w:rFonts w:ascii="Palatino Linotype" w:eastAsiaTheme="minorEastAsia" w:hAnsi="Palatino Linotype" w:cstheme="minorBidi"/>
          <w:color w:val="222222"/>
          <w:shd w:val="clear" w:color="auto" w:fill="FFFFFF"/>
          <w:lang w:val="es-ES_tradnl"/>
        </w:rPr>
        <w:t xml:space="preserve">días hábiles, debiendo </w:t>
      </w:r>
      <w:r w:rsidRPr="00C0720F">
        <w:rPr>
          <w:rFonts w:ascii="Palatino Linotype" w:eastAsiaTheme="minorEastAsia" w:hAnsi="Palatino Linotype" w:cs="Arial"/>
          <w:lang w:val="es-ES_tradnl"/>
        </w:rPr>
        <w:t>informar</w:t>
      </w:r>
      <w:r w:rsidRPr="00C0720F">
        <w:rPr>
          <w:rFonts w:ascii="Palatino Linotype" w:eastAsiaTheme="minorEastAsia" w:hAnsi="Palatino Linotype" w:cstheme="minorBidi"/>
          <w:color w:val="222222"/>
          <w:shd w:val="clear" w:color="auto" w:fill="FFFFFF"/>
          <w:lang w:val="es-ES_tradnl"/>
        </w:rPr>
        <w:t xml:space="preserve"> a este Instituto en un plazo </w:t>
      </w:r>
      <w:r w:rsidRPr="00C0720F">
        <w:rPr>
          <w:rFonts w:ascii="Palatino Linotype" w:eastAsiaTheme="minorEastAsia" w:hAnsi="Palatino Linotype" w:cstheme="minorBidi"/>
          <w:color w:val="222222"/>
          <w:lang w:val="es-ES_tradnl" w:eastAsia="es-ES_tradnl"/>
        </w:rPr>
        <w:t>de</w:t>
      </w:r>
      <w:r w:rsidRPr="00C0720F">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0ACB24C6" w14:textId="77777777" w:rsidR="00FA2274" w:rsidRPr="00C0720F" w:rsidRDefault="00FA2274" w:rsidP="00883039">
      <w:pPr>
        <w:spacing w:line="360" w:lineRule="auto"/>
        <w:jc w:val="both"/>
        <w:rPr>
          <w:rFonts w:ascii="Palatino Linotype" w:eastAsiaTheme="minorEastAsia" w:hAnsi="Palatino Linotype" w:cstheme="minorBidi"/>
          <w:color w:val="222222"/>
          <w:shd w:val="clear" w:color="auto" w:fill="FFFFFF"/>
          <w:lang w:val="es-ES_tradnl"/>
        </w:rPr>
      </w:pPr>
    </w:p>
    <w:p w14:paraId="456A1226" w14:textId="02BD5431" w:rsidR="00FA2274" w:rsidRPr="00C0720F" w:rsidRDefault="00FA2274" w:rsidP="00883039">
      <w:pPr>
        <w:spacing w:line="360" w:lineRule="auto"/>
        <w:jc w:val="both"/>
        <w:rPr>
          <w:rFonts w:ascii="Palatino Linotype" w:eastAsia="Calibri" w:hAnsi="Palatino Linotype" w:cs="Arial"/>
          <w:lang w:val="es-ES_tradnl"/>
        </w:rPr>
      </w:pPr>
      <w:r w:rsidRPr="00C0720F">
        <w:rPr>
          <w:rFonts w:ascii="Palatino Linotype" w:eastAsia="Calibri" w:hAnsi="Palatino Linotype" w:cs="Arial"/>
          <w:b/>
          <w:sz w:val="28"/>
          <w:lang w:val="es-ES_tradnl"/>
        </w:rPr>
        <w:t>CUARTO</w:t>
      </w:r>
      <w:r w:rsidRPr="00C0720F">
        <w:rPr>
          <w:rFonts w:ascii="Palatino Linotype" w:eastAsia="Calibri" w:hAnsi="Palatino Linotype" w:cs="Arial"/>
          <w:b/>
          <w:sz w:val="28"/>
          <w:szCs w:val="28"/>
          <w:lang w:val="es-ES_tradnl"/>
        </w:rPr>
        <w:t xml:space="preserve">. </w:t>
      </w:r>
      <w:bookmarkStart w:id="2" w:name="_Hlk57757546"/>
      <w:r w:rsidRPr="00C0720F">
        <w:rPr>
          <w:rFonts w:ascii="Palatino Linotype" w:eastAsiaTheme="minorEastAsia" w:hAnsi="Palatino Linotype" w:cstheme="minorBidi"/>
          <w:b/>
          <w:color w:val="222222"/>
          <w:lang w:val="es-ES_tradnl" w:eastAsia="es-ES_tradnl"/>
        </w:rPr>
        <w:t>Notifíquese</w:t>
      </w:r>
      <w:r w:rsidRPr="00C0720F">
        <w:rPr>
          <w:rFonts w:ascii="Palatino Linotype" w:eastAsiaTheme="minorEastAsia" w:hAnsi="Palatino Linotype" w:cstheme="minorBidi"/>
          <w:color w:val="222222"/>
          <w:lang w:val="es-ES_tradnl" w:eastAsia="es-ES_tradnl"/>
        </w:rPr>
        <w:t xml:space="preserve"> a</w:t>
      </w:r>
      <w:r w:rsidR="006A5842" w:rsidRPr="00C0720F">
        <w:rPr>
          <w:rFonts w:ascii="Palatino Linotype" w:eastAsiaTheme="minorEastAsia" w:hAnsi="Palatino Linotype" w:cstheme="minorBidi"/>
          <w:color w:val="222222"/>
          <w:lang w:val="es-ES_tradnl" w:eastAsia="es-ES_tradnl"/>
        </w:rPr>
        <w:t xml:space="preserve"> </w:t>
      </w:r>
      <w:r w:rsidR="006A5842" w:rsidRPr="00C0720F">
        <w:rPr>
          <w:rFonts w:ascii="Palatino Linotype" w:eastAsiaTheme="minorEastAsia" w:hAnsi="Palatino Linotype" w:cstheme="minorBidi"/>
          <w:b/>
          <w:color w:val="222222"/>
          <w:lang w:val="es-ES_tradnl" w:eastAsia="es-ES_tradnl"/>
        </w:rPr>
        <w:t>LA</w:t>
      </w:r>
      <w:r w:rsidRPr="00C0720F">
        <w:rPr>
          <w:rFonts w:ascii="Palatino Linotype" w:eastAsiaTheme="minorEastAsia" w:hAnsi="Palatino Linotype" w:cstheme="minorBidi"/>
          <w:color w:val="222222"/>
          <w:lang w:val="es-ES_tradnl" w:eastAsia="es-ES_tradnl"/>
        </w:rPr>
        <w:t xml:space="preserve"> </w:t>
      </w:r>
      <w:r w:rsidRPr="00C0720F">
        <w:rPr>
          <w:rFonts w:ascii="Palatino Linotype" w:eastAsiaTheme="minorEastAsia" w:hAnsi="Palatino Linotype" w:cstheme="minorBidi"/>
          <w:b/>
          <w:color w:val="222222"/>
          <w:lang w:val="es-ES_tradnl" w:eastAsia="es-ES_tradnl"/>
        </w:rPr>
        <w:t>RECURRENTE</w:t>
      </w:r>
      <w:r w:rsidRPr="00C0720F">
        <w:rPr>
          <w:rFonts w:ascii="Palatino Linotype" w:eastAsiaTheme="minorEastAsia" w:hAnsi="Palatino Linotype" w:cstheme="minorBidi"/>
          <w:color w:val="222222"/>
          <w:lang w:val="es-ES_tradnl" w:eastAsia="es-ES_tradnl"/>
        </w:rPr>
        <w:t xml:space="preserve"> la </w:t>
      </w:r>
      <w:r w:rsidRPr="00C0720F">
        <w:rPr>
          <w:rFonts w:ascii="Palatino Linotype" w:eastAsiaTheme="minorEastAsia" w:hAnsi="Palatino Linotype" w:cs="Arial"/>
          <w:lang w:val="es-ES_tradnl"/>
        </w:rPr>
        <w:t>presente</w:t>
      </w:r>
      <w:r w:rsidRPr="00C0720F">
        <w:rPr>
          <w:rFonts w:ascii="Palatino Linotype" w:eastAsiaTheme="minorEastAsia" w:hAnsi="Palatino Linotype" w:cstheme="minorBidi"/>
          <w:color w:val="222222"/>
          <w:lang w:val="es-ES_tradnl" w:eastAsia="es-ES_tradnl"/>
        </w:rPr>
        <w:t xml:space="preserve"> resolución.</w:t>
      </w:r>
    </w:p>
    <w:bookmarkEnd w:id="2"/>
    <w:p w14:paraId="11471DD0" w14:textId="77777777" w:rsidR="00FA2274" w:rsidRPr="00C0720F" w:rsidRDefault="00FA2274" w:rsidP="00883039">
      <w:pPr>
        <w:spacing w:line="360" w:lineRule="auto"/>
        <w:ind w:right="49"/>
        <w:jc w:val="both"/>
        <w:rPr>
          <w:rFonts w:ascii="Palatino Linotype" w:eastAsiaTheme="minorEastAsia" w:hAnsi="Palatino Linotype" w:cs="Arial"/>
          <w:b/>
          <w:bCs/>
          <w:color w:val="222222"/>
          <w:szCs w:val="20"/>
          <w:lang w:val="es-ES_tradnl" w:eastAsia="es-MX"/>
        </w:rPr>
      </w:pPr>
    </w:p>
    <w:p w14:paraId="704F7E84" w14:textId="0541E1BF" w:rsidR="00FA2274" w:rsidRPr="00C0720F" w:rsidRDefault="00EC1F16" w:rsidP="00883039">
      <w:pPr>
        <w:spacing w:line="360" w:lineRule="auto"/>
        <w:jc w:val="both"/>
        <w:rPr>
          <w:rFonts w:ascii="Palatino Linotype" w:eastAsiaTheme="minorEastAsia" w:hAnsi="Palatino Linotype" w:cstheme="minorBidi"/>
          <w:color w:val="222222"/>
          <w:lang w:val="es-ES_tradnl" w:eastAsia="es-ES_tradnl"/>
        </w:rPr>
      </w:pPr>
      <w:r w:rsidRPr="00C0720F">
        <w:rPr>
          <w:rFonts w:ascii="Palatino Linotype" w:eastAsiaTheme="minorEastAsia" w:hAnsi="Palatino Linotype" w:cstheme="minorBidi"/>
          <w:b/>
          <w:color w:val="222222"/>
          <w:sz w:val="28"/>
          <w:shd w:val="clear" w:color="auto" w:fill="FFFFFF"/>
          <w:lang w:val="es-ES_tradnl"/>
        </w:rPr>
        <w:t>QUINTO</w:t>
      </w:r>
      <w:r w:rsidR="00FA2274" w:rsidRPr="00C0720F">
        <w:rPr>
          <w:rFonts w:ascii="Palatino Linotype" w:eastAsiaTheme="minorEastAsia" w:hAnsi="Palatino Linotype" w:cs="Arial"/>
          <w:b/>
          <w:bCs/>
          <w:color w:val="222222"/>
          <w:sz w:val="28"/>
          <w:szCs w:val="20"/>
          <w:lang w:val="es-ES_tradnl" w:eastAsia="es-MX"/>
        </w:rPr>
        <w:t>.</w:t>
      </w:r>
      <w:r w:rsidR="00FA2274" w:rsidRPr="00C0720F">
        <w:rPr>
          <w:rFonts w:ascii="Palatino Linotype" w:eastAsiaTheme="minorEastAsia" w:hAnsi="Palatino Linotype" w:cstheme="minorBidi"/>
          <w:color w:val="222222"/>
          <w:sz w:val="20"/>
          <w:szCs w:val="17"/>
          <w:lang w:val="es-ES_tradnl" w:eastAsia="es-ES_tradnl"/>
        </w:rPr>
        <w:t xml:space="preserve"> </w:t>
      </w:r>
      <w:r w:rsidR="00FA2274" w:rsidRPr="00C0720F">
        <w:rPr>
          <w:rFonts w:ascii="Palatino Linotype" w:eastAsiaTheme="minorEastAsia" w:hAnsi="Palatino Linotype" w:cstheme="minorBidi"/>
          <w:b/>
          <w:color w:val="222222"/>
          <w:lang w:val="es-ES_tradnl" w:eastAsia="es-ES_tradnl"/>
        </w:rPr>
        <w:t>Hágase del conocimiento</w:t>
      </w:r>
      <w:r w:rsidR="00FA2274" w:rsidRPr="00C0720F">
        <w:rPr>
          <w:rFonts w:ascii="Palatino Linotype" w:eastAsiaTheme="minorEastAsia" w:hAnsi="Palatino Linotype" w:cstheme="minorBidi"/>
          <w:color w:val="222222"/>
          <w:lang w:val="es-ES_tradnl" w:eastAsia="es-ES_tradnl"/>
        </w:rPr>
        <w:t xml:space="preserve"> a</w:t>
      </w:r>
      <w:r w:rsidR="006A5842" w:rsidRPr="00C0720F">
        <w:rPr>
          <w:rFonts w:ascii="Palatino Linotype" w:eastAsiaTheme="minorEastAsia" w:hAnsi="Palatino Linotype" w:cstheme="minorBidi"/>
          <w:color w:val="222222"/>
          <w:lang w:val="es-ES_tradnl" w:eastAsia="es-ES_tradnl"/>
        </w:rPr>
        <w:t xml:space="preserve"> </w:t>
      </w:r>
      <w:r w:rsidR="006A5842" w:rsidRPr="00C0720F">
        <w:rPr>
          <w:rFonts w:ascii="Palatino Linotype" w:eastAsiaTheme="minorEastAsia" w:hAnsi="Palatino Linotype" w:cstheme="minorBidi"/>
          <w:b/>
          <w:color w:val="222222"/>
          <w:lang w:val="es-ES_tradnl" w:eastAsia="es-ES_tradnl"/>
        </w:rPr>
        <w:t>LA</w:t>
      </w:r>
      <w:r w:rsidR="00FA2274" w:rsidRPr="00C0720F">
        <w:rPr>
          <w:rFonts w:ascii="Palatino Linotype" w:eastAsiaTheme="minorEastAsia" w:hAnsi="Palatino Linotype" w:cstheme="minorBidi"/>
          <w:color w:val="222222"/>
          <w:lang w:val="es-ES_tradnl" w:eastAsia="es-ES_tradnl"/>
        </w:rPr>
        <w:t xml:space="preserve"> </w:t>
      </w:r>
      <w:r w:rsidR="00FA2274" w:rsidRPr="00C0720F">
        <w:rPr>
          <w:rFonts w:ascii="Palatino Linotype" w:eastAsiaTheme="minorEastAsia" w:hAnsi="Palatino Linotype" w:cstheme="minorBidi"/>
          <w:b/>
          <w:color w:val="222222"/>
          <w:lang w:val="es-ES_tradnl" w:eastAsia="es-ES_tradnl"/>
        </w:rPr>
        <w:t>RECURRENTE</w:t>
      </w:r>
      <w:r w:rsidR="00FA2274" w:rsidRPr="00C0720F">
        <w:rPr>
          <w:rFonts w:ascii="Palatino Linotype" w:eastAsiaTheme="minorEastAsia" w:hAnsi="Palatino Linotype" w:cstheme="minorBidi"/>
          <w:color w:val="222222"/>
          <w:lang w:val="es-ES_tradnl" w:eastAsia="es-ES_tradnl"/>
        </w:rPr>
        <w:t xml:space="preserve"> que de conformidad con lo establecido en el </w:t>
      </w:r>
      <w:r w:rsidR="00FA2274" w:rsidRPr="00C0720F">
        <w:rPr>
          <w:rFonts w:ascii="Palatino Linotype" w:eastAsiaTheme="minorEastAsia" w:hAnsi="Palatino Linotype" w:cs="Arial"/>
          <w:lang w:val="es-ES_tradnl"/>
        </w:rPr>
        <w:t>artículo</w:t>
      </w:r>
      <w:r w:rsidR="00FA2274" w:rsidRPr="00C0720F">
        <w:rPr>
          <w:rFonts w:ascii="Palatino Linotype" w:eastAsiaTheme="minorEastAsia" w:hAnsi="Palatino Linotype" w:cstheme="minorBidi"/>
          <w:color w:val="222222"/>
          <w:lang w:val="es-ES_tradnl" w:eastAsia="es-ES_tradnl"/>
        </w:rPr>
        <w:t xml:space="preserve"> 196 de la </w:t>
      </w:r>
      <w:r w:rsidR="00FA2274" w:rsidRPr="00C0720F">
        <w:rPr>
          <w:rFonts w:ascii="Palatino Linotype" w:eastAsiaTheme="minorEastAsia" w:hAnsi="Palatino Linotype" w:cs="Arial"/>
          <w:lang w:val="es-ES_tradnl"/>
        </w:rPr>
        <w:t>Ley</w:t>
      </w:r>
      <w:r w:rsidR="00FA2274" w:rsidRPr="00C0720F">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34B57282" w14:textId="77777777" w:rsidR="00FA2274" w:rsidRPr="00C0720F" w:rsidRDefault="00FA2274" w:rsidP="00883039">
      <w:pPr>
        <w:autoSpaceDE w:val="0"/>
        <w:autoSpaceDN w:val="0"/>
        <w:adjustRightInd w:val="0"/>
        <w:spacing w:line="360" w:lineRule="auto"/>
        <w:ind w:right="49"/>
        <w:jc w:val="both"/>
        <w:rPr>
          <w:rFonts w:ascii="Palatino Linotype" w:hAnsi="Palatino Linotype"/>
        </w:rPr>
      </w:pPr>
    </w:p>
    <w:p w14:paraId="2FF6B613" w14:textId="567C5CA0" w:rsidR="00FA2274" w:rsidRPr="00C0720F" w:rsidRDefault="00FA2274" w:rsidP="00883039">
      <w:pPr>
        <w:spacing w:line="360" w:lineRule="auto"/>
        <w:jc w:val="both"/>
        <w:rPr>
          <w:rFonts w:ascii="Palatino Linotype" w:eastAsiaTheme="minorEastAsia" w:hAnsi="Palatino Linotype" w:cstheme="minorBidi"/>
          <w:color w:val="222222"/>
          <w:lang w:val="es-ES_tradnl" w:eastAsia="es-ES_tradnl"/>
        </w:rPr>
      </w:pPr>
      <w:r w:rsidRPr="00C0720F">
        <w:rPr>
          <w:rFonts w:ascii="Palatino Linotype" w:eastAsiaTheme="minorEastAsia" w:hAnsi="Palatino Linotype" w:cstheme="minorBidi"/>
          <w:b/>
          <w:bCs/>
          <w:color w:val="222222"/>
          <w:sz w:val="28"/>
          <w:szCs w:val="28"/>
          <w:lang w:val="es-ES_tradnl" w:eastAsia="es-ES_tradnl"/>
        </w:rPr>
        <w:t>S</w:t>
      </w:r>
      <w:r w:rsidR="00EC1F16" w:rsidRPr="00C0720F">
        <w:rPr>
          <w:rFonts w:ascii="Palatino Linotype" w:eastAsiaTheme="minorEastAsia" w:hAnsi="Palatino Linotype" w:cstheme="minorBidi"/>
          <w:b/>
          <w:bCs/>
          <w:color w:val="222222"/>
          <w:sz w:val="28"/>
          <w:szCs w:val="28"/>
          <w:lang w:val="es-ES_tradnl" w:eastAsia="es-ES_tradnl"/>
        </w:rPr>
        <w:t>EXTO</w:t>
      </w:r>
      <w:r w:rsidRPr="00C0720F">
        <w:rPr>
          <w:rFonts w:ascii="Palatino Linotype" w:eastAsiaTheme="minorEastAsia" w:hAnsi="Palatino Linotype" w:cstheme="minorBidi"/>
          <w:b/>
          <w:bCs/>
          <w:color w:val="222222"/>
          <w:sz w:val="28"/>
          <w:szCs w:val="28"/>
          <w:lang w:val="es-ES_tradnl" w:eastAsia="es-ES_tradnl"/>
        </w:rPr>
        <w:t xml:space="preserve">. </w:t>
      </w:r>
      <w:r w:rsidRPr="00C0720F">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C0720F">
        <w:rPr>
          <w:rFonts w:ascii="Palatino Linotype" w:eastAsiaTheme="minorEastAsia" w:hAnsi="Palatino Linotype" w:cstheme="minorBidi"/>
          <w:b/>
          <w:bCs/>
          <w:color w:val="222222"/>
          <w:lang w:val="es-ES_tradnl" w:eastAsia="es-ES_tradnl"/>
        </w:rPr>
        <w:t>EL SUJETO OBLIGADO</w:t>
      </w:r>
      <w:r w:rsidRPr="00C0720F">
        <w:rPr>
          <w:rFonts w:ascii="Palatino Linotype" w:eastAsiaTheme="minorEastAsia" w:hAnsi="Palatino Linotype" w:cstheme="minorBidi"/>
          <w:color w:val="222222"/>
          <w:lang w:val="es-ES_tradnl" w:eastAsia="es-ES_tradnl"/>
        </w:rPr>
        <w:t xml:space="preserve"> </w:t>
      </w:r>
      <w:r w:rsidR="009E2E8D" w:rsidRPr="00C0720F">
        <w:rPr>
          <w:rFonts w:ascii="Palatino Linotype" w:eastAsiaTheme="minorEastAsia" w:hAnsi="Palatino Linotype" w:cstheme="minorBidi"/>
          <w:color w:val="222222"/>
          <w:lang w:val="es-ES_tradnl" w:eastAsia="es-ES_tradnl"/>
        </w:rPr>
        <w:t xml:space="preserve">                                                                                                                                       </w:t>
      </w:r>
      <w:r w:rsidRPr="00C0720F">
        <w:rPr>
          <w:rFonts w:ascii="Palatino Linotype" w:eastAsiaTheme="minorEastAsia" w:hAnsi="Palatino Linotype" w:cstheme="minorBidi"/>
          <w:color w:val="222222"/>
          <w:lang w:val="es-ES_tradnl" w:eastAsia="es-ES_tradnl"/>
        </w:rPr>
        <w:t>de manera fundada y motivada, podrá solicitar una ampliación de plazo para el cumplimiento de la presente resolución.</w:t>
      </w:r>
    </w:p>
    <w:p w14:paraId="4A2279A1" w14:textId="77777777" w:rsidR="00354269" w:rsidRPr="00C0720F" w:rsidRDefault="00354269" w:rsidP="00883039">
      <w:pPr>
        <w:spacing w:line="360" w:lineRule="auto"/>
        <w:jc w:val="both"/>
        <w:rPr>
          <w:rFonts w:ascii="Palatino Linotype" w:eastAsiaTheme="minorEastAsia" w:hAnsi="Palatino Linotype" w:cstheme="minorBidi"/>
          <w:color w:val="222222"/>
          <w:lang w:val="es-ES_tradnl" w:eastAsia="es-ES_tradnl"/>
        </w:rPr>
      </w:pPr>
    </w:p>
    <w:p w14:paraId="5BD491E1" w14:textId="1CEF8487" w:rsidR="00C06C10" w:rsidRPr="00883039" w:rsidRDefault="00B0471F" w:rsidP="00883039">
      <w:pPr>
        <w:spacing w:line="360" w:lineRule="auto"/>
        <w:jc w:val="both"/>
        <w:rPr>
          <w:rFonts w:ascii="Palatino Linotype" w:hAnsi="Palatino Linotype" w:cs="Arial"/>
        </w:rPr>
      </w:pPr>
      <w:r w:rsidRPr="00C0720F">
        <w:rPr>
          <w:rFonts w:ascii="Palatino Linotype" w:hAnsi="Palatino Linotype" w:cs="Arial"/>
        </w:rPr>
        <w:t xml:space="preserve">ASÍ LO RESUELVEN, POR </w:t>
      </w:r>
      <w:r w:rsidR="007E06E0">
        <w:rPr>
          <w:rFonts w:ascii="Palatino Linotype" w:hAnsi="Palatino Linotype" w:cs="Arial"/>
        </w:rPr>
        <w:t>UNANIMIDAD</w:t>
      </w:r>
      <w:r w:rsidRPr="00C0720F">
        <w:rPr>
          <w:rFonts w:ascii="Palatino Linotype" w:hAnsi="Palatino Linotype" w:cs="Arial"/>
        </w:rPr>
        <w:t xml:space="preserve"> DE VOTOS EL PLENO DEL INSTITUTO DE TRANSPARENCIA, ACCESO A LA INFORMACIÓN PÚBLICA Y PROTECCIÓN DE DATOS PERSONALES DEL ESTADO DE MÉXICO Y MUNICIPIOS, </w:t>
      </w:r>
      <w:r w:rsidRPr="00C0720F">
        <w:rPr>
          <w:rFonts w:ascii="Palatino Linotype" w:hAnsi="Palatino Linotype" w:cs="Arial"/>
        </w:rPr>
        <w:lastRenderedPageBreak/>
        <w:t xml:space="preserve">CONFORMADO POR LOS COMISIONADOS JOSÉ MARTÍNEZ VILCHIS; MARÍA DEL ROSARIO MEJÍA AYALA; SHARON CRISTINA MORALES MARTÍNEZ; LUIS GUSTAVO PARRA NORIEGA Y GUADALUPE RAMÍREZ PEÑA; EN LA TRIGÉSIMA </w:t>
      </w:r>
      <w:r w:rsidR="00E96015" w:rsidRPr="00C0720F">
        <w:rPr>
          <w:rFonts w:ascii="Palatino Linotype" w:hAnsi="Palatino Linotype" w:cs="Arial"/>
        </w:rPr>
        <w:t>TERCERA SESIÓN</w:t>
      </w:r>
      <w:r w:rsidRPr="00C0720F">
        <w:rPr>
          <w:rFonts w:ascii="Palatino Linotype" w:hAnsi="Palatino Linotype" w:cs="Arial"/>
        </w:rPr>
        <w:t xml:space="preserve"> ORDINARIA CELEBRADA EL </w:t>
      </w:r>
      <w:r w:rsidR="00E96015" w:rsidRPr="00C0720F">
        <w:rPr>
          <w:rFonts w:ascii="Palatino Linotype" w:hAnsi="Palatino Linotype" w:cs="Arial"/>
        </w:rPr>
        <w:t xml:space="preserve">VEINTIDÓS </w:t>
      </w:r>
      <w:r w:rsidRPr="00C0720F">
        <w:rPr>
          <w:rFonts w:ascii="Palatino Linotype" w:hAnsi="Palatino Linotype" w:cs="Arial"/>
        </w:rPr>
        <w:t>DE SEPTIEMBRE DE DOS MIL VEINTIUNO, ANTE EL SECRETARIO TÉCNICO DEL PLENO, ALEXIS</w:t>
      </w:r>
      <w:r w:rsidRPr="00883039">
        <w:rPr>
          <w:rFonts w:ascii="Palatino Linotype" w:hAnsi="Palatino Linotype" w:cs="Arial"/>
        </w:rPr>
        <w:t xml:space="preserve"> TAPIA RAMÍREZ.</w:t>
      </w:r>
    </w:p>
    <w:p w14:paraId="7206300E" w14:textId="77777777" w:rsidR="00E96015" w:rsidRPr="00E96015" w:rsidRDefault="00E96015" w:rsidP="00E96015">
      <w:pPr>
        <w:spacing w:line="360" w:lineRule="auto"/>
        <w:jc w:val="both"/>
        <w:rPr>
          <w:rFonts w:ascii="Palatino Linotype" w:hAnsi="Palatino Linotype" w:cs="Arial"/>
          <w:sz w:val="20"/>
        </w:rPr>
      </w:pPr>
      <w:r w:rsidRPr="00E96015">
        <w:rPr>
          <w:rFonts w:ascii="Palatino Linotype" w:hAnsi="Palatino Linotype" w:cs="Arial"/>
          <w:sz w:val="20"/>
        </w:rPr>
        <w:t>SCMM/BLA/DEMF/RPG</w:t>
      </w:r>
    </w:p>
    <w:p w14:paraId="42EA354C" w14:textId="77777777" w:rsidR="00EF722D" w:rsidRPr="00883039" w:rsidRDefault="00EF722D" w:rsidP="00883039">
      <w:pPr>
        <w:spacing w:line="360" w:lineRule="auto"/>
        <w:jc w:val="both"/>
        <w:rPr>
          <w:rFonts w:ascii="Palatino Linotype" w:hAnsi="Palatino Linotype" w:cs="Arial"/>
          <w:sz w:val="16"/>
          <w:szCs w:val="16"/>
        </w:rPr>
      </w:pPr>
    </w:p>
    <w:p w14:paraId="2E0B76CF" w14:textId="77777777" w:rsidR="00EF722D" w:rsidRPr="00883039" w:rsidRDefault="00EF722D" w:rsidP="00883039">
      <w:pPr>
        <w:spacing w:line="360" w:lineRule="auto"/>
        <w:jc w:val="both"/>
        <w:rPr>
          <w:rFonts w:ascii="Palatino Linotype" w:hAnsi="Palatino Linotype"/>
          <w:sz w:val="16"/>
          <w:szCs w:val="16"/>
        </w:rPr>
      </w:pPr>
    </w:p>
    <w:p w14:paraId="634C3EFE" w14:textId="77777777" w:rsidR="00FA2274" w:rsidRPr="00883039" w:rsidRDefault="00FA2274" w:rsidP="00883039">
      <w:pPr>
        <w:spacing w:line="360" w:lineRule="auto"/>
        <w:jc w:val="both"/>
        <w:rPr>
          <w:rFonts w:ascii="Palatino Linotype" w:hAnsi="Palatino Linotype"/>
          <w:sz w:val="16"/>
          <w:szCs w:val="16"/>
        </w:rPr>
      </w:pPr>
    </w:p>
    <w:p w14:paraId="7F198610" w14:textId="77777777" w:rsidR="00FA2274" w:rsidRPr="00883039" w:rsidRDefault="00FA2274" w:rsidP="00883039">
      <w:pPr>
        <w:spacing w:line="360" w:lineRule="auto"/>
        <w:jc w:val="both"/>
        <w:rPr>
          <w:rFonts w:ascii="Palatino Linotype" w:hAnsi="Palatino Linotype"/>
          <w:sz w:val="16"/>
          <w:szCs w:val="16"/>
        </w:rPr>
      </w:pPr>
    </w:p>
    <w:p w14:paraId="11391451" w14:textId="77777777" w:rsidR="00FA2274" w:rsidRPr="00883039" w:rsidRDefault="00FA2274" w:rsidP="00883039">
      <w:pPr>
        <w:spacing w:line="360" w:lineRule="auto"/>
        <w:jc w:val="both"/>
        <w:rPr>
          <w:rFonts w:ascii="Palatino Linotype" w:hAnsi="Palatino Linotype"/>
          <w:sz w:val="16"/>
          <w:szCs w:val="16"/>
        </w:rPr>
      </w:pPr>
    </w:p>
    <w:p w14:paraId="55CD2EAE" w14:textId="77777777" w:rsidR="00FA2274" w:rsidRPr="00883039" w:rsidRDefault="00FA2274" w:rsidP="00883039">
      <w:pPr>
        <w:spacing w:line="360" w:lineRule="auto"/>
        <w:jc w:val="both"/>
        <w:rPr>
          <w:rFonts w:ascii="Palatino Linotype" w:hAnsi="Palatino Linotype"/>
          <w:sz w:val="16"/>
          <w:szCs w:val="16"/>
        </w:rPr>
      </w:pPr>
    </w:p>
    <w:p w14:paraId="3B84BF73" w14:textId="77777777" w:rsidR="00FA2274" w:rsidRPr="00883039" w:rsidRDefault="00FA2274" w:rsidP="00883039">
      <w:pPr>
        <w:spacing w:line="360" w:lineRule="auto"/>
        <w:jc w:val="both"/>
        <w:rPr>
          <w:rFonts w:ascii="Palatino Linotype" w:hAnsi="Palatino Linotype"/>
          <w:sz w:val="16"/>
          <w:szCs w:val="16"/>
        </w:rPr>
      </w:pPr>
    </w:p>
    <w:p w14:paraId="6EB16A61" w14:textId="77777777" w:rsidR="00FA2274" w:rsidRPr="00883039" w:rsidRDefault="00FA2274" w:rsidP="00883039">
      <w:pPr>
        <w:spacing w:line="360" w:lineRule="auto"/>
        <w:jc w:val="both"/>
        <w:rPr>
          <w:rFonts w:ascii="Palatino Linotype" w:hAnsi="Palatino Linotype"/>
          <w:sz w:val="16"/>
          <w:szCs w:val="16"/>
        </w:rPr>
      </w:pPr>
    </w:p>
    <w:p w14:paraId="274AEFA5" w14:textId="77777777" w:rsidR="00FA2274" w:rsidRPr="00883039" w:rsidRDefault="00FA2274" w:rsidP="00883039">
      <w:pPr>
        <w:spacing w:line="360" w:lineRule="auto"/>
        <w:jc w:val="both"/>
        <w:rPr>
          <w:rFonts w:ascii="Palatino Linotype" w:hAnsi="Palatino Linotype"/>
          <w:sz w:val="16"/>
          <w:szCs w:val="16"/>
        </w:rPr>
      </w:pPr>
    </w:p>
    <w:p w14:paraId="646FB975" w14:textId="77777777" w:rsidR="00EF722D" w:rsidRPr="00883039" w:rsidRDefault="00EF722D" w:rsidP="00883039">
      <w:pPr>
        <w:spacing w:line="360" w:lineRule="auto"/>
        <w:jc w:val="both"/>
        <w:rPr>
          <w:rFonts w:ascii="Palatino Linotype" w:hAnsi="Palatino Linotype"/>
          <w:sz w:val="16"/>
          <w:szCs w:val="16"/>
        </w:rPr>
      </w:pPr>
    </w:p>
    <w:p w14:paraId="2D2AAB46" w14:textId="77777777" w:rsidR="00EF722D" w:rsidRPr="00883039" w:rsidRDefault="00EF722D" w:rsidP="00883039">
      <w:pPr>
        <w:spacing w:line="360" w:lineRule="auto"/>
        <w:jc w:val="both"/>
        <w:rPr>
          <w:rFonts w:ascii="Palatino Linotype" w:hAnsi="Palatino Linotype"/>
          <w:sz w:val="16"/>
          <w:szCs w:val="16"/>
        </w:rPr>
      </w:pPr>
    </w:p>
    <w:p w14:paraId="58F97A3D" w14:textId="77777777" w:rsidR="00EF722D" w:rsidRDefault="00EF722D" w:rsidP="00883039">
      <w:pPr>
        <w:spacing w:line="360" w:lineRule="auto"/>
        <w:jc w:val="both"/>
        <w:rPr>
          <w:rFonts w:ascii="Palatino Linotype" w:hAnsi="Palatino Linotype"/>
          <w:sz w:val="16"/>
          <w:szCs w:val="16"/>
        </w:rPr>
      </w:pPr>
    </w:p>
    <w:p w14:paraId="2BBBF148" w14:textId="77777777" w:rsidR="007E06E0" w:rsidRDefault="007E06E0" w:rsidP="00883039">
      <w:pPr>
        <w:spacing w:line="360" w:lineRule="auto"/>
        <w:jc w:val="both"/>
        <w:rPr>
          <w:rFonts w:ascii="Palatino Linotype" w:hAnsi="Palatino Linotype"/>
          <w:sz w:val="16"/>
          <w:szCs w:val="16"/>
        </w:rPr>
      </w:pPr>
    </w:p>
    <w:p w14:paraId="64242082" w14:textId="77777777" w:rsidR="007E06E0" w:rsidRDefault="007E06E0" w:rsidP="00883039">
      <w:pPr>
        <w:spacing w:line="360" w:lineRule="auto"/>
        <w:jc w:val="both"/>
        <w:rPr>
          <w:rFonts w:ascii="Palatino Linotype" w:hAnsi="Palatino Linotype"/>
          <w:sz w:val="16"/>
          <w:szCs w:val="16"/>
        </w:rPr>
      </w:pPr>
    </w:p>
    <w:p w14:paraId="590014C2" w14:textId="77777777" w:rsidR="007E06E0" w:rsidRDefault="007E06E0" w:rsidP="00883039">
      <w:pPr>
        <w:spacing w:line="360" w:lineRule="auto"/>
        <w:jc w:val="both"/>
        <w:rPr>
          <w:rFonts w:ascii="Palatino Linotype" w:hAnsi="Palatino Linotype"/>
          <w:sz w:val="16"/>
          <w:szCs w:val="16"/>
        </w:rPr>
      </w:pPr>
    </w:p>
    <w:p w14:paraId="73294824" w14:textId="77777777" w:rsidR="007E06E0" w:rsidRDefault="007E06E0" w:rsidP="00883039">
      <w:pPr>
        <w:spacing w:line="360" w:lineRule="auto"/>
        <w:jc w:val="both"/>
        <w:rPr>
          <w:rFonts w:ascii="Palatino Linotype" w:hAnsi="Palatino Linotype"/>
          <w:sz w:val="16"/>
          <w:szCs w:val="16"/>
        </w:rPr>
      </w:pPr>
    </w:p>
    <w:p w14:paraId="46D03651" w14:textId="77777777" w:rsidR="003656AB" w:rsidRDefault="003656AB" w:rsidP="00883039">
      <w:pPr>
        <w:spacing w:line="360" w:lineRule="auto"/>
        <w:jc w:val="both"/>
        <w:rPr>
          <w:rFonts w:ascii="Palatino Linotype" w:hAnsi="Palatino Linotype"/>
          <w:sz w:val="16"/>
          <w:szCs w:val="16"/>
        </w:rPr>
      </w:pPr>
    </w:p>
    <w:p w14:paraId="3CC08E9A" w14:textId="77777777" w:rsidR="003656AB" w:rsidRDefault="003656AB" w:rsidP="00883039">
      <w:pPr>
        <w:spacing w:line="360" w:lineRule="auto"/>
        <w:jc w:val="both"/>
        <w:rPr>
          <w:rFonts w:ascii="Palatino Linotype" w:hAnsi="Palatino Linotype"/>
          <w:sz w:val="16"/>
          <w:szCs w:val="16"/>
        </w:rPr>
      </w:pPr>
    </w:p>
    <w:p w14:paraId="422B873B" w14:textId="77777777" w:rsidR="003656AB" w:rsidRDefault="003656AB" w:rsidP="00883039">
      <w:pPr>
        <w:spacing w:line="360" w:lineRule="auto"/>
        <w:jc w:val="both"/>
        <w:rPr>
          <w:rFonts w:ascii="Palatino Linotype" w:hAnsi="Palatino Linotype"/>
          <w:sz w:val="16"/>
          <w:szCs w:val="16"/>
        </w:rPr>
      </w:pPr>
    </w:p>
    <w:p w14:paraId="1AEFC1BF" w14:textId="77777777" w:rsidR="003656AB" w:rsidRDefault="003656AB" w:rsidP="00883039">
      <w:pPr>
        <w:spacing w:line="360" w:lineRule="auto"/>
        <w:jc w:val="both"/>
        <w:rPr>
          <w:rFonts w:ascii="Palatino Linotype" w:hAnsi="Palatino Linotype"/>
          <w:sz w:val="16"/>
          <w:szCs w:val="16"/>
        </w:rPr>
      </w:pPr>
    </w:p>
    <w:p w14:paraId="7AE871A8" w14:textId="77777777" w:rsidR="003656AB" w:rsidRDefault="003656AB" w:rsidP="00883039">
      <w:pPr>
        <w:spacing w:line="360" w:lineRule="auto"/>
        <w:jc w:val="both"/>
        <w:rPr>
          <w:rFonts w:ascii="Palatino Linotype" w:hAnsi="Palatino Linotype"/>
          <w:sz w:val="16"/>
          <w:szCs w:val="16"/>
        </w:rPr>
      </w:pPr>
    </w:p>
    <w:p w14:paraId="425D3FDA" w14:textId="77777777" w:rsidR="003656AB" w:rsidRDefault="003656AB" w:rsidP="00883039">
      <w:pPr>
        <w:spacing w:line="360" w:lineRule="auto"/>
        <w:jc w:val="both"/>
        <w:rPr>
          <w:rFonts w:ascii="Palatino Linotype" w:hAnsi="Palatino Linotype"/>
          <w:sz w:val="16"/>
          <w:szCs w:val="16"/>
        </w:rPr>
      </w:pPr>
    </w:p>
    <w:p w14:paraId="0E6777EC" w14:textId="77777777" w:rsidR="003656AB" w:rsidRDefault="003656AB" w:rsidP="00883039">
      <w:pPr>
        <w:spacing w:line="360" w:lineRule="auto"/>
        <w:jc w:val="both"/>
        <w:rPr>
          <w:rFonts w:ascii="Palatino Linotype" w:hAnsi="Palatino Linotype"/>
          <w:sz w:val="16"/>
          <w:szCs w:val="16"/>
        </w:rPr>
      </w:pPr>
    </w:p>
    <w:p w14:paraId="32705787" w14:textId="77777777" w:rsidR="003656AB" w:rsidRDefault="003656AB" w:rsidP="00883039">
      <w:pPr>
        <w:spacing w:line="360" w:lineRule="auto"/>
        <w:jc w:val="both"/>
        <w:rPr>
          <w:rFonts w:ascii="Palatino Linotype" w:hAnsi="Palatino Linotype"/>
          <w:sz w:val="16"/>
          <w:szCs w:val="16"/>
        </w:rPr>
      </w:pPr>
    </w:p>
    <w:p w14:paraId="1ADA91C3" w14:textId="77777777" w:rsidR="003656AB" w:rsidRDefault="003656AB" w:rsidP="00883039">
      <w:pPr>
        <w:spacing w:line="360" w:lineRule="auto"/>
        <w:jc w:val="both"/>
        <w:rPr>
          <w:rFonts w:ascii="Palatino Linotype" w:hAnsi="Palatino Linotype"/>
          <w:sz w:val="16"/>
          <w:szCs w:val="16"/>
        </w:rPr>
      </w:pPr>
    </w:p>
    <w:p w14:paraId="4E16B6C3" w14:textId="77777777" w:rsidR="003656AB" w:rsidRDefault="003656AB" w:rsidP="00883039">
      <w:pPr>
        <w:spacing w:line="360" w:lineRule="auto"/>
        <w:jc w:val="both"/>
        <w:rPr>
          <w:rFonts w:ascii="Palatino Linotype" w:hAnsi="Palatino Linotype"/>
          <w:sz w:val="16"/>
          <w:szCs w:val="16"/>
        </w:rPr>
      </w:pPr>
    </w:p>
    <w:p w14:paraId="586E3745" w14:textId="77777777" w:rsidR="003656AB" w:rsidRDefault="003656AB" w:rsidP="00883039">
      <w:pPr>
        <w:spacing w:line="360" w:lineRule="auto"/>
        <w:jc w:val="both"/>
        <w:rPr>
          <w:rFonts w:ascii="Palatino Linotype" w:hAnsi="Palatino Linotype"/>
          <w:sz w:val="16"/>
          <w:szCs w:val="16"/>
        </w:rPr>
      </w:pPr>
    </w:p>
    <w:p w14:paraId="174B4981" w14:textId="77777777" w:rsidR="003656AB" w:rsidRDefault="003656AB" w:rsidP="00883039">
      <w:pPr>
        <w:spacing w:line="360" w:lineRule="auto"/>
        <w:jc w:val="both"/>
        <w:rPr>
          <w:rFonts w:ascii="Palatino Linotype" w:hAnsi="Palatino Linotype"/>
          <w:sz w:val="16"/>
          <w:szCs w:val="16"/>
        </w:rPr>
      </w:pPr>
    </w:p>
    <w:p w14:paraId="3E4FA1DF" w14:textId="77777777" w:rsidR="003656AB" w:rsidRDefault="003656AB" w:rsidP="00883039">
      <w:pPr>
        <w:spacing w:line="360" w:lineRule="auto"/>
        <w:jc w:val="both"/>
        <w:rPr>
          <w:rFonts w:ascii="Palatino Linotype" w:hAnsi="Palatino Linotype"/>
          <w:sz w:val="16"/>
          <w:szCs w:val="16"/>
        </w:rPr>
      </w:pPr>
    </w:p>
    <w:p w14:paraId="1001B0D8" w14:textId="77777777" w:rsidR="003656AB" w:rsidRDefault="003656AB" w:rsidP="00883039">
      <w:pPr>
        <w:spacing w:line="360" w:lineRule="auto"/>
        <w:jc w:val="both"/>
        <w:rPr>
          <w:rFonts w:ascii="Palatino Linotype" w:hAnsi="Palatino Linotype"/>
          <w:sz w:val="16"/>
          <w:szCs w:val="16"/>
        </w:rPr>
      </w:pPr>
    </w:p>
    <w:p w14:paraId="2BEA173A" w14:textId="77777777" w:rsidR="003656AB" w:rsidRDefault="003656AB" w:rsidP="00883039">
      <w:pPr>
        <w:spacing w:line="360" w:lineRule="auto"/>
        <w:jc w:val="both"/>
        <w:rPr>
          <w:rFonts w:ascii="Palatino Linotype" w:hAnsi="Palatino Linotype"/>
          <w:sz w:val="16"/>
          <w:szCs w:val="16"/>
        </w:rPr>
      </w:pPr>
    </w:p>
    <w:p w14:paraId="4E89CDDB" w14:textId="77777777" w:rsidR="003656AB" w:rsidRDefault="003656AB" w:rsidP="00883039">
      <w:pPr>
        <w:spacing w:line="360" w:lineRule="auto"/>
        <w:jc w:val="both"/>
        <w:rPr>
          <w:rFonts w:ascii="Palatino Linotype" w:hAnsi="Palatino Linotype"/>
          <w:sz w:val="16"/>
          <w:szCs w:val="16"/>
        </w:rPr>
      </w:pPr>
    </w:p>
    <w:p w14:paraId="17AB36D5" w14:textId="77777777" w:rsidR="003656AB" w:rsidRDefault="003656AB" w:rsidP="00883039">
      <w:pPr>
        <w:spacing w:line="360" w:lineRule="auto"/>
        <w:jc w:val="both"/>
        <w:rPr>
          <w:rFonts w:ascii="Palatino Linotype" w:hAnsi="Palatino Linotype"/>
          <w:sz w:val="16"/>
          <w:szCs w:val="16"/>
        </w:rPr>
      </w:pPr>
    </w:p>
    <w:p w14:paraId="1E634EEA" w14:textId="77777777" w:rsidR="003656AB" w:rsidRDefault="003656AB" w:rsidP="00883039">
      <w:pPr>
        <w:spacing w:line="360" w:lineRule="auto"/>
        <w:jc w:val="both"/>
        <w:rPr>
          <w:rFonts w:ascii="Palatino Linotype" w:hAnsi="Palatino Linotype"/>
          <w:sz w:val="16"/>
          <w:szCs w:val="16"/>
        </w:rPr>
      </w:pPr>
    </w:p>
    <w:p w14:paraId="62D73010" w14:textId="77777777" w:rsidR="003656AB" w:rsidRDefault="003656AB" w:rsidP="00883039">
      <w:pPr>
        <w:spacing w:line="360" w:lineRule="auto"/>
        <w:jc w:val="both"/>
        <w:rPr>
          <w:rFonts w:ascii="Palatino Linotype" w:hAnsi="Palatino Linotype"/>
          <w:sz w:val="16"/>
          <w:szCs w:val="16"/>
        </w:rPr>
      </w:pPr>
    </w:p>
    <w:p w14:paraId="745BB378" w14:textId="77777777" w:rsidR="003656AB" w:rsidRDefault="003656AB" w:rsidP="00883039">
      <w:pPr>
        <w:spacing w:line="360" w:lineRule="auto"/>
        <w:jc w:val="both"/>
        <w:rPr>
          <w:rFonts w:ascii="Palatino Linotype" w:hAnsi="Palatino Linotype"/>
          <w:sz w:val="16"/>
          <w:szCs w:val="16"/>
        </w:rPr>
      </w:pPr>
    </w:p>
    <w:p w14:paraId="7D0104BE" w14:textId="77777777" w:rsidR="003656AB" w:rsidRDefault="003656AB" w:rsidP="00883039">
      <w:pPr>
        <w:spacing w:line="360" w:lineRule="auto"/>
        <w:jc w:val="both"/>
        <w:rPr>
          <w:rFonts w:ascii="Palatino Linotype" w:hAnsi="Palatino Linotype"/>
          <w:sz w:val="16"/>
          <w:szCs w:val="16"/>
        </w:rPr>
      </w:pPr>
    </w:p>
    <w:p w14:paraId="2B1FDA7F" w14:textId="77777777" w:rsidR="003656AB" w:rsidRDefault="003656AB" w:rsidP="00883039">
      <w:pPr>
        <w:spacing w:line="360" w:lineRule="auto"/>
        <w:jc w:val="both"/>
        <w:rPr>
          <w:rFonts w:ascii="Palatino Linotype" w:hAnsi="Palatino Linotype"/>
          <w:sz w:val="16"/>
          <w:szCs w:val="16"/>
        </w:rPr>
      </w:pPr>
    </w:p>
    <w:p w14:paraId="000DFC27" w14:textId="77777777" w:rsidR="003656AB" w:rsidRDefault="003656AB" w:rsidP="00883039">
      <w:pPr>
        <w:spacing w:line="360" w:lineRule="auto"/>
        <w:jc w:val="both"/>
        <w:rPr>
          <w:rFonts w:ascii="Palatino Linotype" w:hAnsi="Palatino Linotype"/>
          <w:sz w:val="16"/>
          <w:szCs w:val="16"/>
        </w:rPr>
      </w:pPr>
    </w:p>
    <w:p w14:paraId="338F189E" w14:textId="77777777" w:rsidR="003656AB" w:rsidRDefault="003656AB" w:rsidP="00883039">
      <w:pPr>
        <w:spacing w:line="360" w:lineRule="auto"/>
        <w:jc w:val="both"/>
        <w:rPr>
          <w:rFonts w:ascii="Palatino Linotype" w:hAnsi="Palatino Linotype"/>
          <w:sz w:val="16"/>
          <w:szCs w:val="16"/>
        </w:rPr>
      </w:pPr>
    </w:p>
    <w:p w14:paraId="11C17BFA" w14:textId="77777777" w:rsidR="007E06E0" w:rsidRDefault="007E06E0" w:rsidP="00883039">
      <w:pPr>
        <w:spacing w:line="360" w:lineRule="auto"/>
        <w:jc w:val="both"/>
        <w:rPr>
          <w:rFonts w:ascii="Palatino Linotype" w:hAnsi="Palatino Linotype"/>
          <w:sz w:val="16"/>
          <w:szCs w:val="16"/>
        </w:rPr>
      </w:pPr>
    </w:p>
    <w:p w14:paraId="46BDD2B4" w14:textId="77777777" w:rsidR="007E06E0" w:rsidRDefault="007E06E0" w:rsidP="00883039">
      <w:pPr>
        <w:spacing w:line="360" w:lineRule="auto"/>
        <w:jc w:val="both"/>
        <w:rPr>
          <w:rFonts w:ascii="Palatino Linotype" w:hAnsi="Palatino Linotype"/>
          <w:sz w:val="16"/>
          <w:szCs w:val="16"/>
        </w:rPr>
      </w:pPr>
    </w:p>
    <w:p w14:paraId="7B4915A9" w14:textId="77777777" w:rsidR="007E06E0" w:rsidRPr="00883039" w:rsidRDefault="007E06E0" w:rsidP="00883039">
      <w:pPr>
        <w:spacing w:line="360" w:lineRule="auto"/>
        <w:jc w:val="both"/>
        <w:rPr>
          <w:rFonts w:ascii="Palatino Linotype" w:hAnsi="Palatino Linotype"/>
          <w:sz w:val="16"/>
          <w:szCs w:val="16"/>
        </w:rPr>
      </w:pPr>
    </w:p>
    <w:sectPr w:rsidR="007E06E0" w:rsidRPr="00883039"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F8A00" w16cex:dateUtc="2021-08-12T16:52:00Z"/>
  <w16cex:commentExtensible w16cex:durableId="24BF8B10" w16cex:dateUtc="2021-08-12T16:57:00Z"/>
  <w16cex:commentExtensible w16cex:durableId="24BF8B34" w16cex:dateUtc="2021-08-12T16:57:00Z"/>
  <w16cex:commentExtensible w16cex:durableId="24BF8B3E" w16cex:dateUtc="2021-08-12T16:57:00Z"/>
  <w16cex:commentExtensible w16cex:durableId="24BF8B5D" w16cex:dateUtc="2021-08-12T16:58:00Z"/>
  <w16cex:commentExtensible w16cex:durableId="24BF8BF6" w16cex:dateUtc="2021-08-12T17:00:00Z"/>
  <w16cex:commentExtensible w16cex:durableId="24BF8C0E" w16cex:dateUtc="2021-08-12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E5C436" w16cid:durableId="24BF8A00"/>
  <w16cid:commentId w16cid:paraId="0DED5393" w16cid:durableId="24BF8B10"/>
  <w16cid:commentId w16cid:paraId="0B05254D" w16cid:durableId="24BF8B34"/>
  <w16cid:commentId w16cid:paraId="1A472521" w16cid:durableId="24BF8B3E"/>
  <w16cid:commentId w16cid:paraId="6DB2C0A3" w16cid:durableId="24BF8B5D"/>
  <w16cid:commentId w16cid:paraId="384E4355" w16cid:durableId="24BF8BF6"/>
  <w16cid:commentId w16cid:paraId="7B6C10F0" w16cid:durableId="24BF8C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AF8D6" w14:textId="77777777" w:rsidR="00440E71" w:rsidRDefault="00440E71" w:rsidP="00C80F8C">
      <w:r>
        <w:separator/>
      </w:r>
    </w:p>
  </w:endnote>
  <w:endnote w:type="continuationSeparator" w:id="0">
    <w:p w14:paraId="58885ED5" w14:textId="77777777" w:rsidR="00440E71" w:rsidRDefault="00440E7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CD2706" w:rsidRPr="0010196A" w:rsidRDefault="00CD270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F542F">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F542F">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CD2706" w:rsidRPr="0010196A" w:rsidRDefault="00CD270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F542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F542F">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26D55" w14:textId="77777777" w:rsidR="00440E71" w:rsidRDefault="00440E71" w:rsidP="00C80F8C">
      <w:r>
        <w:separator/>
      </w:r>
    </w:p>
  </w:footnote>
  <w:footnote w:type="continuationSeparator" w:id="0">
    <w:p w14:paraId="4FBD99C5" w14:textId="77777777" w:rsidR="00440E71" w:rsidRDefault="00440E71" w:rsidP="00C80F8C">
      <w:r>
        <w:continuationSeparator/>
      </w:r>
    </w:p>
  </w:footnote>
  <w:footnote w:id="1">
    <w:p w14:paraId="57C49BA4" w14:textId="77777777" w:rsidR="00CD2706" w:rsidRPr="007A49FD" w:rsidRDefault="00CD2706" w:rsidP="007A49FD">
      <w:pPr>
        <w:widowControl w:val="0"/>
        <w:spacing w:beforeAutospacing="1" w:afterAutospacing="1" w:line="360" w:lineRule="auto"/>
        <w:jc w:val="both"/>
        <w:rPr>
          <w:rFonts w:ascii="Palatino Linotype" w:eastAsia="Calibri" w:hAnsi="Palatino Linotype" w:cs="Arial"/>
          <w:sz w:val="18"/>
        </w:rPr>
      </w:pPr>
      <w:r>
        <w:rPr>
          <w:rStyle w:val="Refdenotaalpie"/>
        </w:rPr>
        <w:footnoteRef/>
      </w:r>
      <w:r>
        <w:t xml:space="preserve"> </w:t>
      </w:r>
      <w:hyperlink r:id="rId1" w:history="1">
        <w:r w:rsidRPr="007A49FD">
          <w:rPr>
            <w:rStyle w:val="Hipervnculo"/>
            <w:rFonts w:ascii="Palatino Linotype" w:eastAsia="Calibri" w:hAnsi="Palatino Linotype" w:cs="Arial"/>
            <w:sz w:val="18"/>
          </w:rPr>
          <w:t>https://legislacion.edomex.gob.mx/sites/legislacion.edomex.gob.mx/files/files/pdf/gct/2019/ene101.pdf</w:t>
        </w:r>
      </w:hyperlink>
    </w:p>
    <w:p w14:paraId="6E04225A" w14:textId="2D8972FF" w:rsidR="00CD2706" w:rsidRDefault="00CD2706">
      <w:pPr>
        <w:pStyle w:val="Textonotapie"/>
      </w:pPr>
    </w:p>
  </w:footnote>
  <w:footnote w:id="2">
    <w:p w14:paraId="6F591358" w14:textId="11ADD56C" w:rsidR="00CD2706" w:rsidRPr="00CD2706" w:rsidRDefault="00CD2706" w:rsidP="00CD2706">
      <w:pPr>
        <w:widowControl w:val="0"/>
        <w:spacing w:beforeAutospacing="1" w:afterAutospacing="1" w:line="360" w:lineRule="auto"/>
        <w:jc w:val="both"/>
        <w:rPr>
          <w:rStyle w:val="Hipervnculo"/>
          <w:rFonts w:eastAsia="Calibri"/>
        </w:rPr>
      </w:pPr>
      <w:r>
        <w:rPr>
          <w:rStyle w:val="Refdenotaalpie"/>
        </w:rPr>
        <w:footnoteRef/>
      </w:r>
      <w:r>
        <w:t xml:space="preserve"> </w:t>
      </w:r>
      <w:hyperlink r:id="rId2" w:history="1">
        <w:r w:rsidRPr="00CD2706">
          <w:rPr>
            <w:rStyle w:val="Hipervnculo"/>
            <w:rFonts w:ascii="Palatino Linotype" w:eastAsia="Calibri" w:hAnsi="Palatino Linotype" w:cs="Arial"/>
            <w:sz w:val="18"/>
          </w:rPr>
          <w:t>https://legislacion.edomex.gob.mx/sites/legislacion.edomex.gob.mx/files/files/pdf/gct/2020/mar251.pdf</w:t>
        </w:r>
      </w:hyperlink>
    </w:p>
    <w:p w14:paraId="47481992" w14:textId="77777777" w:rsidR="00CD2706" w:rsidRDefault="00CD2706" w:rsidP="00CD2706">
      <w:pPr>
        <w:pStyle w:val="Textonotapie"/>
      </w:pPr>
    </w:p>
  </w:footnote>
  <w:footnote w:id="3">
    <w:p w14:paraId="597E3FB6" w14:textId="77777777" w:rsidR="00CD2706" w:rsidRPr="00CD2706" w:rsidRDefault="00CD2706" w:rsidP="00CD2706">
      <w:pPr>
        <w:widowControl w:val="0"/>
        <w:spacing w:beforeAutospacing="1" w:afterAutospacing="1" w:line="360" w:lineRule="auto"/>
        <w:jc w:val="both"/>
        <w:rPr>
          <w:rStyle w:val="Hipervnculo"/>
          <w:rFonts w:eastAsia="Calibri"/>
        </w:rPr>
      </w:pPr>
      <w:r>
        <w:rPr>
          <w:rStyle w:val="Refdenotaalpie"/>
        </w:rPr>
        <w:footnoteRef/>
      </w:r>
      <w:r>
        <w:t xml:space="preserve"> </w:t>
      </w:r>
      <w:hyperlink r:id="rId3" w:history="1">
        <w:r w:rsidRPr="00CD2706">
          <w:rPr>
            <w:rStyle w:val="Hipervnculo"/>
            <w:rFonts w:ascii="Palatino Linotype" w:eastAsia="Calibri" w:hAnsi="Palatino Linotype" w:cs="Arial"/>
            <w:sz w:val="18"/>
          </w:rPr>
          <w:t>https://legislacion.edomex.gob.mx/sites/legislacion.edomex.gob.mx/files/files/pdf/gct/2020/mar251.pdf</w:t>
        </w:r>
      </w:hyperlink>
    </w:p>
    <w:p w14:paraId="5B5F1F6D" w14:textId="77777777" w:rsidR="00CD2706" w:rsidRDefault="00CD2706" w:rsidP="00CD2706">
      <w:pPr>
        <w:pStyle w:val="Textonotapie"/>
      </w:pPr>
    </w:p>
  </w:footnote>
  <w:footnote w:id="4">
    <w:p w14:paraId="5C4F5B1E" w14:textId="327362B6" w:rsidR="0030518F" w:rsidRDefault="0030518F">
      <w:pPr>
        <w:pStyle w:val="Textonotapie"/>
      </w:pPr>
      <w:r>
        <w:rPr>
          <w:rStyle w:val="Refdenotaalpie"/>
        </w:rPr>
        <w:footnoteRef/>
      </w:r>
      <w:r>
        <w:t xml:space="preserve"> </w:t>
      </w:r>
      <w:r w:rsidRPr="0030518F">
        <w:rPr>
          <w:rFonts w:ascii="Palatino Linotype" w:hAnsi="Palatino Linotype"/>
          <w:sz w:val="18"/>
        </w:rPr>
        <w:t>https://legislacion.edomex.gob.mx/sites/legislacion.edomex.gob.mx/files/files/pdf/bdo/bdo2021/bdo083.pdf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D2706" w:rsidRDefault="00CF542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D2706" w:rsidRPr="0010196A" w:rsidRDefault="00CF542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544"/>
      <w:gridCol w:w="2551"/>
      <w:gridCol w:w="3119"/>
    </w:tblGrid>
    <w:tr w:rsidR="00CD2706" w:rsidRPr="008F2CCC" w14:paraId="1F097D8A" w14:textId="77777777" w:rsidTr="00A93DD2">
      <w:tc>
        <w:tcPr>
          <w:tcW w:w="3544" w:type="dxa"/>
          <w:vMerge w:val="restart"/>
        </w:tcPr>
        <w:p w14:paraId="1F780A0C" w14:textId="1EFF25F4" w:rsidR="00CD2706" w:rsidRPr="008F2CCC" w:rsidRDefault="00CD270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D2706" w:rsidRPr="00664658" w:rsidRDefault="00CD2706" w:rsidP="00A93DD2">
          <w:pPr>
            <w:ind w:left="-108"/>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14:paraId="65AFA994" w14:textId="042E523F" w:rsidR="00CD2706" w:rsidRPr="00664658" w:rsidRDefault="00CD2706" w:rsidP="00402093">
          <w:pPr>
            <w:jc w:val="both"/>
            <w:rPr>
              <w:rFonts w:ascii="Palatino Linotype" w:hAnsi="Palatino Linotype"/>
              <w:b/>
              <w:sz w:val="22"/>
              <w:szCs w:val="22"/>
              <w:lang w:val="es-ES_tradnl"/>
            </w:rPr>
          </w:pPr>
          <w:r w:rsidRPr="005466BC">
            <w:rPr>
              <w:rFonts w:ascii="Palatino Linotype" w:hAnsi="Palatino Linotype"/>
              <w:b/>
              <w:bCs/>
              <w:sz w:val="22"/>
              <w:szCs w:val="22"/>
            </w:rPr>
            <w:t>0</w:t>
          </w:r>
          <w:r>
            <w:rPr>
              <w:rFonts w:ascii="Palatino Linotype" w:hAnsi="Palatino Linotype"/>
              <w:b/>
              <w:bCs/>
              <w:sz w:val="22"/>
              <w:szCs w:val="22"/>
            </w:rPr>
            <w:t>3682</w:t>
          </w:r>
          <w:r w:rsidRPr="005466BC">
            <w:rPr>
              <w:rFonts w:ascii="Palatino Linotype" w:hAnsi="Palatino Linotype"/>
              <w:b/>
              <w:bCs/>
              <w:sz w:val="22"/>
              <w:szCs w:val="22"/>
            </w:rPr>
            <w:t>/INFOEM/IP/RR/2021</w:t>
          </w:r>
          <w:r>
            <w:rPr>
              <w:rFonts w:ascii="Palatino Linotype" w:hAnsi="Palatino Linotype"/>
              <w:b/>
              <w:bCs/>
              <w:sz w:val="22"/>
              <w:szCs w:val="22"/>
            </w:rPr>
            <w:t xml:space="preserve"> </w:t>
          </w:r>
        </w:p>
      </w:tc>
    </w:tr>
    <w:tr w:rsidR="00CD2706" w:rsidRPr="008F2CCC" w14:paraId="049677A3" w14:textId="77777777" w:rsidTr="00A93DD2">
      <w:tc>
        <w:tcPr>
          <w:tcW w:w="3544" w:type="dxa"/>
          <w:vMerge/>
        </w:tcPr>
        <w:p w14:paraId="4A21EAC1" w14:textId="5C1F145E" w:rsidR="00CD2706" w:rsidRPr="008F2CCC" w:rsidRDefault="00CD2706" w:rsidP="00200BFC">
          <w:pPr>
            <w:rPr>
              <w:rFonts w:ascii="Palatino Linotype" w:hAnsi="Palatino Linotype"/>
              <w:b/>
              <w:sz w:val="22"/>
              <w:szCs w:val="22"/>
              <w:lang w:val="es-ES_tradnl"/>
            </w:rPr>
          </w:pPr>
        </w:p>
      </w:tc>
      <w:tc>
        <w:tcPr>
          <w:tcW w:w="2551" w:type="dxa"/>
          <w:shd w:val="clear" w:color="auto" w:fill="auto"/>
        </w:tcPr>
        <w:p w14:paraId="1237BCDE" w14:textId="77777777" w:rsidR="00CD2706" w:rsidRPr="00664658" w:rsidRDefault="00CD2706"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14:paraId="7F554073" w14:textId="63F6BBA0" w:rsidR="00CD2706" w:rsidRPr="00D41D47" w:rsidRDefault="00CD2706" w:rsidP="00A93DD2">
          <w:pPr>
            <w:tabs>
              <w:tab w:val="left" w:pos="2585"/>
            </w:tabs>
            <w:jc w:val="both"/>
            <w:rPr>
              <w:rFonts w:ascii="Palatino Linotype" w:hAnsi="Palatino Linotype"/>
              <w:b/>
              <w:sz w:val="22"/>
              <w:szCs w:val="22"/>
              <w:lang w:val="es-ES_tradnl"/>
            </w:rPr>
          </w:pPr>
          <w:r w:rsidRPr="00402093">
            <w:rPr>
              <w:rFonts w:ascii="Palatino Linotype" w:hAnsi="Palatino Linotype"/>
              <w:b/>
              <w:bCs/>
              <w:sz w:val="22"/>
              <w:szCs w:val="22"/>
            </w:rPr>
            <w:t>Ayuntamiento de Tecámac</w:t>
          </w:r>
        </w:p>
      </w:tc>
    </w:tr>
    <w:tr w:rsidR="00CD2706" w:rsidRPr="008F2CCC" w14:paraId="72CD087D" w14:textId="77777777" w:rsidTr="00A93DD2">
      <w:trPr>
        <w:trHeight w:val="228"/>
      </w:trPr>
      <w:tc>
        <w:tcPr>
          <w:tcW w:w="3544" w:type="dxa"/>
          <w:vMerge/>
        </w:tcPr>
        <w:p w14:paraId="1B78656F" w14:textId="01E6F6F6" w:rsidR="00CD2706" w:rsidRPr="008F2CCC" w:rsidRDefault="00CD2706" w:rsidP="00200BFC">
          <w:pPr>
            <w:rPr>
              <w:rFonts w:ascii="Palatino Linotype" w:hAnsi="Palatino Linotype"/>
              <w:b/>
              <w:sz w:val="22"/>
              <w:szCs w:val="22"/>
              <w:lang w:val="es-ES_tradnl"/>
            </w:rPr>
          </w:pPr>
        </w:p>
      </w:tc>
      <w:tc>
        <w:tcPr>
          <w:tcW w:w="2551" w:type="dxa"/>
          <w:shd w:val="clear" w:color="auto" w:fill="auto"/>
        </w:tcPr>
        <w:p w14:paraId="74D81628" w14:textId="77777777" w:rsidR="00CD2706" w:rsidRPr="00664658" w:rsidRDefault="00CD2706"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14:paraId="20D6FDA3" w14:textId="4887A8B6" w:rsidR="00CD2706" w:rsidRPr="00664658" w:rsidRDefault="00CD2706" w:rsidP="00200BFC">
          <w:pPr>
            <w:jc w:val="both"/>
            <w:rPr>
              <w:rFonts w:ascii="Palatino Linotype" w:hAnsi="Palatino Linotype"/>
              <w:b/>
              <w:sz w:val="22"/>
              <w:szCs w:val="22"/>
              <w:lang w:val="es-ES_tradnl"/>
            </w:rPr>
          </w:pPr>
          <w:r w:rsidRPr="004B5B98">
            <w:rPr>
              <w:rFonts w:ascii="Palatino Linotype" w:hAnsi="Palatino Linotype"/>
              <w:b/>
              <w:sz w:val="22"/>
              <w:szCs w:val="22"/>
              <w:lang w:val="es-ES_tradnl"/>
            </w:rPr>
            <w:t>Sharon Cristina Morales Martínez</w:t>
          </w:r>
        </w:p>
      </w:tc>
    </w:tr>
  </w:tbl>
  <w:p w14:paraId="3ECB9F0B" w14:textId="77777777" w:rsidR="00CD2706" w:rsidRPr="0010196A" w:rsidRDefault="00CD270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5475492" w:rsidR="00CD2706" w:rsidRPr="0010196A" w:rsidRDefault="00CD2706">
    <w:pPr>
      <w:rPr>
        <w:rFonts w:ascii="Palatino Linotype" w:hAnsi="Palatino Linotype"/>
        <w:sz w:val="28"/>
        <w:szCs w:val="28"/>
      </w:rPr>
    </w:pPr>
  </w:p>
  <w:tbl>
    <w:tblPr>
      <w:tblW w:w="10774" w:type="dxa"/>
      <w:tblInd w:w="-1276" w:type="dxa"/>
      <w:tblLayout w:type="fixed"/>
      <w:tblLook w:val="04A0" w:firstRow="1" w:lastRow="0" w:firstColumn="1" w:lastColumn="0" w:noHBand="0" w:noVBand="1"/>
    </w:tblPr>
    <w:tblGrid>
      <w:gridCol w:w="5104"/>
      <w:gridCol w:w="2552"/>
      <w:gridCol w:w="3118"/>
    </w:tblGrid>
    <w:tr w:rsidR="00CD2706" w:rsidRPr="008F2CCC" w14:paraId="6ABABA57" w14:textId="77777777" w:rsidTr="00402093">
      <w:tc>
        <w:tcPr>
          <w:tcW w:w="5104" w:type="dxa"/>
          <w:vMerge w:val="restart"/>
          <w:shd w:val="clear" w:color="auto" w:fill="auto"/>
        </w:tcPr>
        <w:p w14:paraId="6AA376CC" w14:textId="1C840C27" w:rsidR="00CD2706" w:rsidRPr="008F2CCC" w:rsidRDefault="00CF542F"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61.8pt;margin-top:13.7pt;width:540pt;height:10in;z-index:-251658240;mso-position-horizontal-relative:margin;mso-position-vertical-relative:margin" o:allowincell="f">
                <v:imagedata r:id="rId1" o:title="RESOLUCIÓN"/>
                <w10:wrap anchorx="margin" anchory="margin"/>
              </v:shape>
            </w:pict>
          </w:r>
          <w:r w:rsidR="00CD2706">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D2706" w:rsidRPr="008F2CCC" w:rsidRDefault="00CD270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F0F5848" w14:textId="735083E1" w:rsidR="00CD2706" w:rsidRPr="008F2CCC" w:rsidRDefault="00CD2706" w:rsidP="00B40DD6">
          <w:pPr>
            <w:jc w:val="both"/>
            <w:rPr>
              <w:rFonts w:ascii="Palatino Linotype" w:hAnsi="Palatino Linotype"/>
              <w:b/>
              <w:sz w:val="22"/>
              <w:szCs w:val="22"/>
              <w:lang w:val="es-ES_tradnl"/>
            </w:rPr>
          </w:pPr>
          <w:r w:rsidRPr="00402093">
            <w:rPr>
              <w:rFonts w:ascii="Palatino Linotype" w:hAnsi="Palatino Linotype"/>
              <w:b/>
              <w:bCs/>
              <w:sz w:val="22"/>
              <w:szCs w:val="22"/>
            </w:rPr>
            <w:t>03682/INFOEM/IP/RR/2021</w:t>
          </w:r>
        </w:p>
      </w:tc>
    </w:tr>
    <w:tr w:rsidR="00CD2706" w:rsidRPr="008F2CCC" w14:paraId="3B45FB53" w14:textId="77777777" w:rsidTr="00402093">
      <w:tc>
        <w:tcPr>
          <w:tcW w:w="5104" w:type="dxa"/>
          <w:vMerge/>
          <w:shd w:val="clear" w:color="auto" w:fill="auto"/>
        </w:tcPr>
        <w:p w14:paraId="188B82EF" w14:textId="7BAFD52B" w:rsidR="00CD2706" w:rsidRPr="008F2CCC" w:rsidRDefault="00CD2706" w:rsidP="00200BFC">
          <w:pPr>
            <w:rPr>
              <w:rFonts w:ascii="Palatino Linotype" w:hAnsi="Palatino Linotype"/>
              <w:b/>
              <w:sz w:val="22"/>
              <w:szCs w:val="22"/>
              <w:lang w:val="es-ES_tradnl"/>
            </w:rPr>
          </w:pPr>
        </w:p>
      </w:tc>
      <w:tc>
        <w:tcPr>
          <w:tcW w:w="2552" w:type="dxa"/>
          <w:shd w:val="clear" w:color="auto" w:fill="auto"/>
        </w:tcPr>
        <w:p w14:paraId="3B2AD0CF" w14:textId="77777777" w:rsidR="00CD2706" w:rsidRPr="008F2CCC" w:rsidRDefault="00CD2706"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749961B3" w14:textId="442FEE66" w:rsidR="00CD2706" w:rsidRPr="008F2CCC" w:rsidRDefault="00CF542F" w:rsidP="00CF542F">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CD2706" w:rsidRPr="00B40DD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CD270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CD2706" w:rsidRPr="008F2CCC" w14:paraId="28A493EB" w14:textId="77777777" w:rsidTr="00402093">
      <w:trPr>
        <w:trHeight w:val="228"/>
      </w:trPr>
      <w:tc>
        <w:tcPr>
          <w:tcW w:w="5104" w:type="dxa"/>
          <w:vMerge/>
          <w:shd w:val="clear" w:color="auto" w:fill="auto"/>
        </w:tcPr>
        <w:p w14:paraId="06C77D31" w14:textId="77777777" w:rsidR="00CD2706" w:rsidRPr="008F2CCC" w:rsidRDefault="00CD2706" w:rsidP="00200BFC">
          <w:pPr>
            <w:rPr>
              <w:rFonts w:ascii="Palatino Linotype" w:hAnsi="Palatino Linotype"/>
              <w:b/>
              <w:sz w:val="22"/>
              <w:szCs w:val="22"/>
              <w:lang w:val="es-ES_tradnl"/>
            </w:rPr>
          </w:pPr>
        </w:p>
      </w:tc>
      <w:tc>
        <w:tcPr>
          <w:tcW w:w="2552" w:type="dxa"/>
          <w:shd w:val="clear" w:color="auto" w:fill="auto"/>
        </w:tcPr>
        <w:p w14:paraId="2E1A72B4" w14:textId="77777777" w:rsidR="00CD2706" w:rsidRPr="008F2CCC" w:rsidRDefault="00CD2706"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47AF3C2E" w14:textId="18FC6CB0" w:rsidR="00CD2706" w:rsidRPr="00DC41C8" w:rsidRDefault="00CD2706" w:rsidP="00200BFC">
          <w:pPr>
            <w:jc w:val="both"/>
            <w:rPr>
              <w:rFonts w:ascii="Palatino Linotype" w:hAnsi="Palatino Linotype"/>
              <w:b/>
              <w:sz w:val="22"/>
              <w:szCs w:val="22"/>
            </w:rPr>
          </w:pPr>
          <w:r w:rsidRPr="00402093">
            <w:rPr>
              <w:rFonts w:ascii="Palatino Linotype" w:hAnsi="Palatino Linotype"/>
              <w:b/>
              <w:bCs/>
              <w:sz w:val="22"/>
              <w:szCs w:val="22"/>
            </w:rPr>
            <w:t>Ayuntamiento de Tecámac</w:t>
          </w:r>
        </w:p>
      </w:tc>
    </w:tr>
    <w:tr w:rsidR="00CD2706" w:rsidRPr="008F2CCC" w14:paraId="0F114FF0" w14:textId="77777777" w:rsidTr="00402093">
      <w:tc>
        <w:tcPr>
          <w:tcW w:w="5104" w:type="dxa"/>
          <w:vMerge/>
          <w:shd w:val="clear" w:color="auto" w:fill="auto"/>
        </w:tcPr>
        <w:p w14:paraId="4CCB64BA" w14:textId="77777777" w:rsidR="00CD2706" w:rsidRPr="008F2CCC" w:rsidRDefault="00CD2706" w:rsidP="00200BFC">
          <w:pPr>
            <w:rPr>
              <w:rFonts w:ascii="Palatino Linotype" w:hAnsi="Palatino Linotype"/>
              <w:b/>
              <w:sz w:val="22"/>
              <w:szCs w:val="22"/>
              <w:lang w:val="es-ES_tradnl"/>
            </w:rPr>
          </w:pPr>
        </w:p>
      </w:tc>
      <w:tc>
        <w:tcPr>
          <w:tcW w:w="2552" w:type="dxa"/>
          <w:shd w:val="clear" w:color="auto" w:fill="auto"/>
        </w:tcPr>
        <w:p w14:paraId="31E422EA" w14:textId="77777777" w:rsidR="00CD2706" w:rsidRPr="008F2CCC" w:rsidRDefault="00CD2706"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81C41B4" w14:textId="250C1F70" w:rsidR="00CD2706" w:rsidRPr="008F2CCC" w:rsidRDefault="00CD2706" w:rsidP="00200BFC">
          <w:pPr>
            <w:jc w:val="both"/>
            <w:rPr>
              <w:rFonts w:ascii="Palatino Linotype" w:hAnsi="Palatino Linotype"/>
              <w:b/>
              <w:sz w:val="22"/>
              <w:szCs w:val="22"/>
              <w:lang w:val="es-ES_tradnl"/>
            </w:rPr>
          </w:pPr>
          <w:r w:rsidRPr="004B5B98">
            <w:rPr>
              <w:rFonts w:ascii="Palatino Linotype" w:hAnsi="Palatino Linotype"/>
              <w:b/>
              <w:sz w:val="22"/>
              <w:szCs w:val="22"/>
              <w:lang w:val="es-ES_tradnl"/>
            </w:rPr>
            <w:t>Sharon Cristina Morales Martínez</w:t>
          </w:r>
        </w:p>
      </w:tc>
    </w:tr>
  </w:tbl>
  <w:p w14:paraId="263470D9" w14:textId="4A958413" w:rsidR="00CD2706" w:rsidRPr="0010196A" w:rsidRDefault="00CD270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C83A3D"/>
    <w:multiLevelType w:val="hybridMultilevel"/>
    <w:tmpl w:val="1752003A"/>
    <w:lvl w:ilvl="0" w:tplc="0060DD30">
      <w:start w:val="1"/>
      <w:numFmt w:val="lowerLetter"/>
      <w:lvlText w:val="%1)"/>
      <w:lvlJc w:val="left"/>
      <w:pPr>
        <w:ind w:left="720" w:hanging="360"/>
      </w:pPr>
      <w:rPr>
        <w:rFonts w:ascii="Palatino Linotype" w:hAnsi="Palatino Linotype" w:cs="Times New Roman"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C04BEF"/>
    <w:multiLevelType w:val="hybridMultilevel"/>
    <w:tmpl w:val="1752003A"/>
    <w:lvl w:ilvl="0" w:tplc="0060DD30">
      <w:start w:val="1"/>
      <w:numFmt w:val="lowerLetter"/>
      <w:lvlText w:val="%1)"/>
      <w:lvlJc w:val="left"/>
      <w:pPr>
        <w:ind w:left="720" w:hanging="360"/>
      </w:pPr>
      <w:rPr>
        <w:rFonts w:ascii="Palatino Linotype" w:hAnsi="Palatino Linotype" w:cs="Times New Roman"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02F43F1"/>
    <w:multiLevelType w:val="hybridMultilevel"/>
    <w:tmpl w:val="1752003A"/>
    <w:lvl w:ilvl="0" w:tplc="0060DD30">
      <w:start w:val="1"/>
      <w:numFmt w:val="lowerLetter"/>
      <w:lvlText w:val="%1)"/>
      <w:lvlJc w:val="left"/>
      <w:pPr>
        <w:ind w:left="720" w:hanging="360"/>
      </w:pPr>
      <w:rPr>
        <w:rFonts w:ascii="Palatino Linotype" w:hAnsi="Palatino Linotype" w:cs="Times New Roman"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0"/>
  </w:num>
  <w:num w:numId="5">
    <w:abstractNumId w:val="5"/>
  </w:num>
  <w:num w:numId="6">
    <w:abstractNumId w:val="10"/>
  </w:num>
  <w:num w:numId="7">
    <w:abstractNumId w:val="7"/>
  </w:num>
  <w:num w:numId="8">
    <w:abstractNumId w:val="1"/>
  </w:num>
  <w:num w:numId="9">
    <w:abstractNumId w:val="9"/>
  </w:num>
  <w:num w:numId="10">
    <w:abstractNumId w:val="8"/>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C74"/>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27E86"/>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2F51"/>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234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0DB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58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37"/>
    <w:rsid w:val="000F3899"/>
    <w:rsid w:val="000F3904"/>
    <w:rsid w:val="000F437E"/>
    <w:rsid w:val="000F447E"/>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527"/>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34C"/>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96D"/>
    <w:rsid w:val="00131065"/>
    <w:rsid w:val="00131466"/>
    <w:rsid w:val="00131979"/>
    <w:rsid w:val="00131ABC"/>
    <w:rsid w:val="00132178"/>
    <w:rsid w:val="001322D3"/>
    <w:rsid w:val="001323DC"/>
    <w:rsid w:val="001332E3"/>
    <w:rsid w:val="00133607"/>
    <w:rsid w:val="00133D6C"/>
    <w:rsid w:val="001340A9"/>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1B"/>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2F98"/>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7A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0C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682"/>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1D1E"/>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7A8"/>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7DC"/>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4E85"/>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0BB6"/>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0DA"/>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40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3C0"/>
    <w:rsid w:val="002D3CB6"/>
    <w:rsid w:val="002D4B80"/>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92D"/>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9A4"/>
    <w:rsid w:val="00300D2C"/>
    <w:rsid w:val="003010C6"/>
    <w:rsid w:val="003014D5"/>
    <w:rsid w:val="003014F9"/>
    <w:rsid w:val="0030219F"/>
    <w:rsid w:val="00303671"/>
    <w:rsid w:val="00303AF8"/>
    <w:rsid w:val="00304085"/>
    <w:rsid w:val="0030426C"/>
    <w:rsid w:val="003044B2"/>
    <w:rsid w:val="00304BA5"/>
    <w:rsid w:val="0030518F"/>
    <w:rsid w:val="003052CB"/>
    <w:rsid w:val="003056B1"/>
    <w:rsid w:val="00305CBC"/>
    <w:rsid w:val="00305F6C"/>
    <w:rsid w:val="00306604"/>
    <w:rsid w:val="00306BCD"/>
    <w:rsid w:val="00307A1B"/>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4952"/>
    <w:rsid w:val="00334B6A"/>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649"/>
    <w:rsid w:val="00351CDC"/>
    <w:rsid w:val="00351F0F"/>
    <w:rsid w:val="003524B2"/>
    <w:rsid w:val="003526CF"/>
    <w:rsid w:val="00352D8A"/>
    <w:rsid w:val="00353134"/>
    <w:rsid w:val="00353139"/>
    <w:rsid w:val="00353174"/>
    <w:rsid w:val="00354269"/>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6AB"/>
    <w:rsid w:val="00365921"/>
    <w:rsid w:val="00365DB3"/>
    <w:rsid w:val="00366317"/>
    <w:rsid w:val="003663F5"/>
    <w:rsid w:val="00366B3C"/>
    <w:rsid w:val="00366DDB"/>
    <w:rsid w:val="00367536"/>
    <w:rsid w:val="003675BE"/>
    <w:rsid w:val="0036781E"/>
    <w:rsid w:val="00367C29"/>
    <w:rsid w:val="00367DBB"/>
    <w:rsid w:val="00367DDA"/>
    <w:rsid w:val="00370084"/>
    <w:rsid w:val="0037042F"/>
    <w:rsid w:val="00370582"/>
    <w:rsid w:val="00370A22"/>
    <w:rsid w:val="00370D78"/>
    <w:rsid w:val="00371423"/>
    <w:rsid w:val="00371A1E"/>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5F4"/>
    <w:rsid w:val="0039481C"/>
    <w:rsid w:val="00394A80"/>
    <w:rsid w:val="00394C6A"/>
    <w:rsid w:val="00395514"/>
    <w:rsid w:val="00395B29"/>
    <w:rsid w:val="00396D14"/>
    <w:rsid w:val="00396E36"/>
    <w:rsid w:val="00397407"/>
    <w:rsid w:val="003A0084"/>
    <w:rsid w:val="003A0091"/>
    <w:rsid w:val="003A021D"/>
    <w:rsid w:val="003A04C3"/>
    <w:rsid w:val="003A097E"/>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46F"/>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1A"/>
    <w:rsid w:val="003F2B44"/>
    <w:rsid w:val="003F38D6"/>
    <w:rsid w:val="003F4BAB"/>
    <w:rsid w:val="003F4DDF"/>
    <w:rsid w:val="003F4F0B"/>
    <w:rsid w:val="003F614E"/>
    <w:rsid w:val="003F623D"/>
    <w:rsid w:val="003F6CF0"/>
    <w:rsid w:val="00400224"/>
    <w:rsid w:val="00400574"/>
    <w:rsid w:val="004005B5"/>
    <w:rsid w:val="0040209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DED"/>
    <w:rsid w:val="00410E81"/>
    <w:rsid w:val="00410F42"/>
    <w:rsid w:val="0041135E"/>
    <w:rsid w:val="0041180C"/>
    <w:rsid w:val="004125C6"/>
    <w:rsid w:val="00412944"/>
    <w:rsid w:val="00412BC2"/>
    <w:rsid w:val="00412D1A"/>
    <w:rsid w:val="00412FC7"/>
    <w:rsid w:val="004130E0"/>
    <w:rsid w:val="00413DA0"/>
    <w:rsid w:val="00414A19"/>
    <w:rsid w:val="00414F8D"/>
    <w:rsid w:val="0041542A"/>
    <w:rsid w:val="004156EC"/>
    <w:rsid w:val="0041623F"/>
    <w:rsid w:val="00416281"/>
    <w:rsid w:val="00417988"/>
    <w:rsid w:val="00417DEC"/>
    <w:rsid w:val="004203A3"/>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0E71"/>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219"/>
    <w:rsid w:val="00445D59"/>
    <w:rsid w:val="004460D0"/>
    <w:rsid w:val="004463D6"/>
    <w:rsid w:val="00447744"/>
    <w:rsid w:val="00447789"/>
    <w:rsid w:val="004479AC"/>
    <w:rsid w:val="00447C55"/>
    <w:rsid w:val="00447C70"/>
    <w:rsid w:val="00450388"/>
    <w:rsid w:val="00451252"/>
    <w:rsid w:val="00451491"/>
    <w:rsid w:val="00451515"/>
    <w:rsid w:val="004517D5"/>
    <w:rsid w:val="00452910"/>
    <w:rsid w:val="00453185"/>
    <w:rsid w:val="004536A9"/>
    <w:rsid w:val="0045431A"/>
    <w:rsid w:val="004545B7"/>
    <w:rsid w:val="0045460F"/>
    <w:rsid w:val="00454B3A"/>
    <w:rsid w:val="00455095"/>
    <w:rsid w:val="00455213"/>
    <w:rsid w:val="00455350"/>
    <w:rsid w:val="00456B3B"/>
    <w:rsid w:val="00456EDA"/>
    <w:rsid w:val="0045706B"/>
    <w:rsid w:val="00457A14"/>
    <w:rsid w:val="00457EEE"/>
    <w:rsid w:val="00460083"/>
    <w:rsid w:val="00460A6E"/>
    <w:rsid w:val="00461A60"/>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823"/>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B98"/>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EB4"/>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2E3C"/>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45B"/>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95"/>
    <w:rsid w:val="005154C2"/>
    <w:rsid w:val="00515565"/>
    <w:rsid w:val="00515DE3"/>
    <w:rsid w:val="00515E79"/>
    <w:rsid w:val="00516405"/>
    <w:rsid w:val="00517F8D"/>
    <w:rsid w:val="00520CA8"/>
    <w:rsid w:val="00521291"/>
    <w:rsid w:val="005215F0"/>
    <w:rsid w:val="00521869"/>
    <w:rsid w:val="00521CC2"/>
    <w:rsid w:val="0052232E"/>
    <w:rsid w:val="00522397"/>
    <w:rsid w:val="005227CE"/>
    <w:rsid w:val="00522A1D"/>
    <w:rsid w:val="00523636"/>
    <w:rsid w:val="0052391C"/>
    <w:rsid w:val="005251DD"/>
    <w:rsid w:val="00525242"/>
    <w:rsid w:val="0052578D"/>
    <w:rsid w:val="00525D52"/>
    <w:rsid w:val="00525ED0"/>
    <w:rsid w:val="00526CD3"/>
    <w:rsid w:val="005271AC"/>
    <w:rsid w:val="0052736F"/>
    <w:rsid w:val="0052776C"/>
    <w:rsid w:val="00527D00"/>
    <w:rsid w:val="00530750"/>
    <w:rsid w:val="005313A1"/>
    <w:rsid w:val="005314EA"/>
    <w:rsid w:val="005319F2"/>
    <w:rsid w:val="00531D6E"/>
    <w:rsid w:val="0053206A"/>
    <w:rsid w:val="00532191"/>
    <w:rsid w:val="005321B3"/>
    <w:rsid w:val="00532293"/>
    <w:rsid w:val="00532734"/>
    <w:rsid w:val="0053312C"/>
    <w:rsid w:val="00533289"/>
    <w:rsid w:val="00533CDE"/>
    <w:rsid w:val="00534597"/>
    <w:rsid w:val="0053469A"/>
    <w:rsid w:val="00534847"/>
    <w:rsid w:val="005349EA"/>
    <w:rsid w:val="005351F7"/>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6BC"/>
    <w:rsid w:val="00546C2E"/>
    <w:rsid w:val="0054716E"/>
    <w:rsid w:val="0054754C"/>
    <w:rsid w:val="00547BC3"/>
    <w:rsid w:val="00547D0B"/>
    <w:rsid w:val="00550E43"/>
    <w:rsid w:val="00551EAA"/>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611"/>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2D9"/>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7E2"/>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2A5"/>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A14"/>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23"/>
    <w:rsid w:val="00637B99"/>
    <w:rsid w:val="00637D80"/>
    <w:rsid w:val="00640222"/>
    <w:rsid w:val="006404C5"/>
    <w:rsid w:val="00640727"/>
    <w:rsid w:val="00640AF2"/>
    <w:rsid w:val="0064155A"/>
    <w:rsid w:val="00641BB8"/>
    <w:rsid w:val="006433AB"/>
    <w:rsid w:val="00643765"/>
    <w:rsid w:val="00643EDE"/>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842"/>
    <w:rsid w:val="006A5B63"/>
    <w:rsid w:val="006A5DD0"/>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195"/>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19B"/>
    <w:rsid w:val="006C3E4C"/>
    <w:rsid w:val="006C4797"/>
    <w:rsid w:val="006C5127"/>
    <w:rsid w:val="006C53E6"/>
    <w:rsid w:val="006C56AC"/>
    <w:rsid w:val="006C5C5E"/>
    <w:rsid w:val="006C69FF"/>
    <w:rsid w:val="006C6A74"/>
    <w:rsid w:val="006C6E05"/>
    <w:rsid w:val="006C7581"/>
    <w:rsid w:val="006C767D"/>
    <w:rsid w:val="006C7808"/>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AB5"/>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1489"/>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6EB4"/>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5A1D"/>
    <w:rsid w:val="00716124"/>
    <w:rsid w:val="007161A6"/>
    <w:rsid w:val="00716989"/>
    <w:rsid w:val="00716F76"/>
    <w:rsid w:val="0071714C"/>
    <w:rsid w:val="00717401"/>
    <w:rsid w:val="0071777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A86"/>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0C"/>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23F"/>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063"/>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426"/>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9FD"/>
    <w:rsid w:val="007A4A82"/>
    <w:rsid w:val="007A4FB6"/>
    <w:rsid w:val="007A50C4"/>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6E7D"/>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6E0"/>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4AF"/>
    <w:rsid w:val="007F28C5"/>
    <w:rsid w:val="007F2E0E"/>
    <w:rsid w:val="007F3971"/>
    <w:rsid w:val="007F414D"/>
    <w:rsid w:val="007F41D1"/>
    <w:rsid w:val="007F49DE"/>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CFC"/>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955"/>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039"/>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025"/>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DDB"/>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620"/>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34F"/>
    <w:rsid w:val="008C2DDE"/>
    <w:rsid w:val="008C35C0"/>
    <w:rsid w:val="008C3786"/>
    <w:rsid w:val="008C3913"/>
    <w:rsid w:val="008C3ECF"/>
    <w:rsid w:val="008C3FBC"/>
    <w:rsid w:val="008C3FD5"/>
    <w:rsid w:val="008C3FDA"/>
    <w:rsid w:val="008C41C7"/>
    <w:rsid w:val="008C45F4"/>
    <w:rsid w:val="008C473A"/>
    <w:rsid w:val="008C4836"/>
    <w:rsid w:val="008C48E7"/>
    <w:rsid w:val="008C4B2D"/>
    <w:rsid w:val="008C57D6"/>
    <w:rsid w:val="008C5DDA"/>
    <w:rsid w:val="008C5E44"/>
    <w:rsid w:val="008C5ECF"/>
    <w:rsid w:val="008C6296"/>
    <w:rsid w:val="008C737C"/>
    <w:rsid w:val="008C7D57"/>
    <w:rsid w:val="008D112A"/>
    <w:rsid w:val="008D12C0"/>
    <w:rsid w:val="008D1494"/>
    <w:rsid w:val="008D1526"/>
    <w:rsid w:val="008D15E0"/>
    <w:rsid w:val="008D185A"/>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5C84"/>
    <w:rsid w:val="008E628A"/>
    <w:rsid w:val="008E65F0"/>
    <w:rsid w:val="008E7111"/>
    <w:rsid w:val="008E740C"/>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1E9"/>
    <w:rsid w:val="008F424E"/>
    <w:rsid w:val="008F437C"/>
    <w:rsid w:val="008F4D68"/>
    <w:rsid w:val="008F4E04"/>
    <w:rsid w:val="008F4F10"/>
    <w:rsid w:val="008F4F7D"/>
    <w:rsid w:val="008F5255"/>
    <w:rsid w:val="008F5667"/>
    <w:rsid w:val="008F5901"/>
    <w:rsid w:val="008F5EEB"/>
    <w:rsid w:val="008F6A7E"/>
    <w:rsid w:val="008F6BA9"/>
    <w:rsid w:val="008F6D10"/>
    <w:rsid w:val="008F6E71"/>
    <w:rsid w:val="008F730A"/>
    <w:rsid w:val="008F73C7"/>
    <w:rsid w:val="008F7C32"/>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949"/>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263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45D"/>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1D"/>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8C"/>
    <w:rsid w:val="009A0EE3"/>
    <w:rsid w:val="009A19AF"/>
    <w:rsid w:val="009A1C6B"/>
    <w:rsid w:val="009A274E"/>
    <w:rsid w:val="009A30EF"/>
    <w:rsid w:val="009A3CAE"/>
    <w:rsid w:val="009A415B"/>
    <w:rsid w:val="009A46B3"/>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4A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06"/>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2E8D"/>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9C0"/>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17239"/>
    <w:rsid w:val="00A17C6A"/>
    <w:rsid w:val="00A2014B"/>
    <w:rsid w:val="00A20EF5"/>
    <w:rsid w:val="00A21103"/>
    <w:rsid w:val="00A2148F"/>
    <w:rsid w:val="00A21640"/>
    <w:rsid w:val="00A2167C"/>
    <w:rsid w:val="00A21711"/>
    <w:rsid w:val="00A21B39"/>
    <w:rsid w:val="00A21C1C"/>
    <w:rsid w:val="00A21CFC"/>
    <w:rsid w:val="00A22123"/>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1E1A"/>
    <w:rsid w:val="00A525E0"/>
    <w:rsid w:val="00A52823"/>
    <w:rsid w:val="00A52DF0"/>
    <w:rsid w:val="00A532F0"/>
    <w:rsid w:val="00A535FE"/>
    <w:rsid w:val="00A53691"/>
    <w:rsid w:val="00A54110"/>
    <w:rsid w:val="00A550CD"/>
    <w:rsid w:val="00A55945"/>
    <w:rsid w:val="00A55D26"/>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BE4"/>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3DD2"/>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A9F"/>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996"/>
    <w:rsid w:val="00AE3DC4"/>
    <w:rsid w:val="00AE4585"/>
    <w:rsid w:val="00AE45DB"/>
    <w:rsid w:val="00AE4B07"/>
    <w:rsid w:val="00AE67F7"/>
    <w:rsid w:val="00AE6C84"/>
    <w:rsid w:val="00AE6EA9"/>
    <w:rsid w:val="00AE6F5F"/>
    <w:rsid w:val="00AE7F1F"/>
    <w:rsid w:val="00AE7F31"/>
    <w:rsid w:val="00AF0034"/>
    <w:rsid w:val="00AF0113"/>
    <w:rsid w:val="00AF1142"/>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5"/>
    <w:rsid w:val="00B0168D"/>
    <w:rsid w:val="00B018E7"/>
    <w:rsid w:val="00B020BE"/>
    <w:rsid w:val="00B020EB"/>
    <w:rsid w:val="00B0244B"/>
    <w:rsid w:val="00B02D12"/>
    <w:rsid w:val="00B031BD"/>
    <w:rsid w:val="00B03E19"/>
    <w:rsid w:val="00B040E3"/>
    <w:rsid w:val="00B04104"/>
    <w:rsid w:val="00B045AD"/>
    <w:rsid w:val="00B0471F"/>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6EA3"/>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3788B"/>
    <w:rsid w:val="00B403B0"/>
    <w:rsid w:val="00B40B8E"/>
    <w:rsid w:val="00B40B99"/>
    <w:rsid w:val="00B40DD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66"/>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2F4E"/>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3672"/>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A75"/>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A7B5C"/>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097"/>
    <w:rsid w:val="00BE7A84"/>
    <w:rsid w:val="00BE7C2A"/>
    <w:rsid w:val="00BE7D70"/>
    <w:rsid w:val="00BE7E7B"/>
    <w:rsid w:val="00BF04BB"/>
    <w:rsid w:val="00BF08F5"/>
    <w:rsid w:val="00BF0939"/>
    <w:rsid w:val="00BF0AE0"/>
    <w:rsid w:val="00BF0D62"/>
    <w:rsid w:val="00BF11BC"/>
    <w:rsid w:val="00BF198B"/>
    <w:rsid w:val="00BF1C7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52E"/>
    <w:rsid w:val="00C00901"/>
    <w:rsid w:val="00C00D51"/>
    <w:rsid w:val="00C0161D"/>
    <w:rsid w:val="00C02182"/>
    <w:rsid w:val="00C02547"/>
    <w:rsid w:val="00C0319E"/>
    <w:rsid w:val="00C03F7A"/>
    <w:rsid w:val="00C0486E"/>
    <w:rsid w:val="00C04CCB"/>
    <w:rsid w:val="00C052B7"/>
    <w:rsid w:val="00C057BF"/>
    <w:rsid w:val="00C0585D"/>
    <w:rsid w:val="00C05C01"/>
    <w:rsid w:val="00C06C10"/>
    <w:rsid w:val="00C06F89"/>
    <w:rsid w:val="00C07011"/>
    <w:rsid w:val="00C0720F"/>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7A8"/>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77C04"/>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C8"/>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4F8C"/>
    <w:rsid w:val="00CB51FB"/>
    <w:rsid w:val="00CB5833"/>
    <w:rsid w:val="00CB6118"/>
    <w:rsid w:val="00CB6497"/>
    <w:rsid w:val="00CB6556"/>
    <w:rsid w:val="00CB6F0A"/>
    <w:rsid w:val="00CB70A1"/>
    <w:rsid w:val="00CB74B8"/>
    <w:rsid w:val="00CB75B4"/>
    <w:rsid w:val="00CB77B0"/>
    <w:rsid w:val="00CB7A9F"/>
    <w:rsid w:val="00CB7BD0"/>
    <w:rsid w:val="00CC099B"/>
    <w:rsid w:val="00CC0A90"/>
    <w:rsid w:val="00CC0C98"/>
    <w:rsid w:val="00CC1351"/>
    <w:rsid w:val="00CC2167"/>
    <w:rsid w:val="00CC2ADC"/>
    <w:rsid w:val="00CC3126"/>
    <w:rsid w:val="00CC369E"/>
    <w:rsid w:val="00CC3E12"/>
    <w:rsid w:val="00CC4094"/>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706"/>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37F"/>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2F"/>
    <w:rsid w:val="00CF5A72"/>
    <w:rsid w:val="00CF5B6A"/>
    <w:rsid w:val="00CF6421"/>
    <w:rsid w:val="00CF7515"/>
    <w:rsid w:val="00D00664"/>
    <w:rsid w:val="00D00A64"/>
    <w:rsid w:val="00D00B6E"/>
    <w:rsid w:val="00D00F6F"/>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276"/>
    <w:rsid w:val="00D22638"/>
    <w:rsid w:val="00D22B05"/>
    <w:rsid w:val="00D23C5B"/>
    <w:rsid w:val="00D2486D"/>
    <w:rsid w:val="00D24B37"/>
    <w:rsid w:val="00D253F8"/>
    <w:rsid w:val="00D255A8"/>
    <w:rsid w:val="00D25733"/>
    <w:rsid w:val="00D25D8E"/>
    <w:rsid w:val="00D26144"/>
    <w:rsid w:val="00D26BC0"/>
    <w:rsid w:val="00D278B8"/>
    <w:rsid w:val="00D27B5D"/>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568"/>
    <w:rsid w:val="00D4064B"/>
    <w:rsid w:val="00D41106"/>
    <w:rsid w:val="00D41507"/>
    <w:rsid w:val="00D41CFB"/>
    <w:rsid w:val="00D41D47"/>
    <w:rsid w:val="00D422A1"/>
    <w:rsid w:val="00D43343"/>
    <w:rsid w:val="00D4351E"/>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77A"/>
    <w:rsid w:val="00D66DEF"/>
    <w:rsid w:val="00D67464"/>
    <w:rsid w:val="00D67770"/>
    <w:rsid w:val="00D67B93"/>
    <w:rsid w:val="00D708EB"/>
    <w:rsid w:val="00D71480"/>
    <w:rsid w:val="00D7177B"/>
    <w:rsid w:val="00D7223A"/>
    <w:rsid w:val="00D72581"/>
    <w:rsid w:val="00D72689"/>
    <w:rsid w:val="00D7271E"/>
    <w:rsid w:val="00D72A1B"/>
    <w:rsid w:val="00D72A7D"/>
    <w:rsid w:val="00D72E97"/>
    <w:rsid w:val="00D730A4"/>
    <w:rsid w:val="00D7388B"/>
    <w:rsid w:val="00D738C5"/>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AC0"/>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BD7"/>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3DF7"/>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335"/>
    <w:rsid w:val="00DE143F"/>
    <w:rsid w:val="00DE1D5C"/>
    <w:rsid w:val="00DE3177"/>
    <w:rsid w:val="00DE35A2"/>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09C"/>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6B0"/>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BE5"/>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AF1"/>
    <w:rsid w:val="00E76B3A"/>
    <w:rsid w:val="00E76BC6"/>
    <w:rsid w:val="00E80488"/>
    <w:rsid w:val="00E808C7"/>
    <w:rsid w:val="00E80B7F"/>
    <w:rsid w:val="00E81572"/>
    <w:rsid w:val="00E816E0"/>
    <w:rsid w:val="00E81912"/>
    <w:rsid w:val="00E81BAB"/>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015"/>
    <w:rsid w:val="00E96568"/>
    <w:rsid w:val="00E96AC5"/>
    <w:rsid w:val="00E96BE8"/>
    <w:rsid w:val="00E96CDD"/>
    <w:rsid w:val="00E96EA4"/>
    <w:rsid w:val="00EA0839"/>
    <w:rsid w:val="00EA0ECA"/>
    <w:rsid w:val="00EA0F34"/>
    <w:rsid w:val="00EA1079"/>
    <w:rsid w:val="00EA131F"/>
    <w:rsid w:val="00EA1414"/>
    <w:rsid w:val="00EA18D7"/>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764"/>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1F16"/>
    <w:rsid w:val="00EC26E1"/>
    <w:rsid w:val="00EC298C"/>
    <w:rsid w:val="00EC2C26"/>
    <w:rsid w:val="00EC3861"/>
    <w:rsid w:val="00EC509C"/>
    <w:rsid w:val="00EC5301"/>
    <w:rsid w:val="00EC5CA8"/>
    <w:rsid w:val="00EC64B5"/>
    <w:rsid w:val="00EC685F"/>
    <w:rsid w:val="00EC715C"/>
    <w:rsid w:val="00EC761D"/>
    <w:rsid w:val="00ED0A62"/>
    <w:rsid w:val="00ED0CA9"/>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2"/>
    <w:rsid w:val="00EF7198"/>
    <w:rsid w:val="00EF722D"/>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54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2B6F"/>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6A10"/>
    <w:rsid w:val="00F3712D"/>
    <w:rsid w:val="00F37384"/>
    <w:rsid w:val="00F40701"/>
    <w:rsid w:val="00F407CB"/>
    <w:rsid w:val="00F408A1"/>
    <w:rsid w:val="00F408E3"/>
    <w:rsid w:val="00F40912"/>
    <w:rsid w:val="00F413DE"/>
    <w:rsid w:val="00F41917"/>
    <w:rsid w:val="00F42ED4"/>
    <w:rsid w:val="00F43AFE"/>
    <w:rsid w:val="00F4485A"/>
    <w:rsid w:val="00F44AF6"/>
    <w:rsid w:val="00F44E39"/>
    <w:rsid w:val="00F452B7"/>
    <w:rsid w:val="00F45528"/>
    <w:rsid w:val="00F456AB"/>
    <w:rsid w:val="00F45780"/>
    <w:rsid w:val="00F4703B"/>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963"/>
    <w:rsid w:val="00F55EBC"/>
    <w:rsid w:val="00F56093"/>
    <w:rsid w:val="00F564CE"/>
    <w:rsid w:val="00F567DB"/>
    <w:rsid w:val="00F571FB"/>
    <w:rsid w:val="00F575C7"/>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74"/>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6D3"/>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54"/>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0D54"/>
    <w:rsid w:val="00FF1A93"/>
    <w:rsid w:val="00FF200F"/>
    <w:rsid w:val="00FF2316"/>
    <w:rsid w:val="00FF25D7"/>
    <w:rsid w:val="00FF3111"/>
    <w:rsid w:val="00FF40E7"/>
    <w:rsid w:val="00FF49EA"/>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90F5103B-188B-4384-98FD-573E7DDE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14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F4703B"/>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F4703B"/>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F4703B"/>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39"/>
    <w:rsid w:val="00C06C10"/>
    <w:pPr>
      <w:suppressAutoHyphens/>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8E740C"/>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F3837"/>
  </w:style>
  <w:style w:type="numbering" w:customStyle="1" w:styleId="Sinlista11">
    <w:name w:val="Sin lista11"/>
    <w:next w:val="Sinlista"/>
    <w:uiPriority w:val="99"/>
    <w:semiHidden/>
    <w:unhideWhenUsed/>
    <w:rsid w:val="000F3837"/>
  </w:style>
  <w:style w:type="table" w:customStyle="1" w:styleId="Tablaconcuadrcula11">
    <w:name w:val="Tabla con cuadrícula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0F383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F3837"/>
    <w:rPr>
      <w:rFonts w:ascii="Times New Roman" w:eastAsia="Times New Roman" w:hAnsi="Times New Roman" w:cs="Times New Roman"/>
      <w:sz w:val="16"/>
      <w:szCs w:val="16"/>
      <w:lang w:val="es-MX"/>
    </w:rPr>
  </w:style>
  <w:style w:type="numbering" w:customStyle="1" w:styleId="Sinlista2">
    <w:name w:val="Sin lista2"/>
    <w:next w:val="Sinlista"/>
    <w:uiPriority w:val="99"/>
    <w:semiHidden/>
    <w:unhideWhenUsed/>
    <w:rsid w:val="000F3837"/>
  </w:style>
  <w:style w:type="numbering" w:customStyle="1" w:styleId="Sinlista3">
    <w:name w:val="Sin lista3"/>
    <w:next w:val="Sinlista"/>
    <w:uiPriority w:val="99"/>
    <w:semiHidden/>
    <w:unhideWhenUsed/>
    <w:rsid w:val="000F3837"/>
  </w:style>
  <w:style w:type="numbering" w:customStyle="1" w:styleId="Sinlista4">
    <w:name w:val="Sin lista4"/>
    <w:next w:val="Sinlista"/>
    <w:uiPriority w:val="99"/>
    <w:semiHidden/>
    <w:unhideWhenUsed/>
    <w:rsid w:val="000F3837"/>
  </w:style>
  <w:style w:type="table" w:customStyle="1" w:styleId="Tablaconcuadrcula4">
    <w:name w:val="Tabla con cuadrícula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0F3837"/>
  </w:style>
  <w:style w:type="numbering" w:customStyle="1" w:styleId="Sinlista5">
    <w:name w:val="Sin lista5"/>
    <w:next w:val="Sinlista"/>
    <w:uiPriority w:val="99"/>
    <w:semiHidden/>
    <w:unhideWhenUsed/>
    <w:rsid w:val="000F3837"/>
  </w:style>
  <w:style w:type="table" w:customStyle="1" w:styleId="Tablaconcuadrcula5">
    <w:name w:val="Tabla con cuadrícula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0F3837"/>
  </w:style>
  <w:style w:type="table" w:customStyle="1" w:styleId="Tablaconcuadrcula21">
    <w:name w:val="Tabla con cuadrícula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0F3837"/>
  </w:style>
  <w:style w:type="table" w:customStyle="1" w:styleId="Tablaconcuadrcula111">
    <w:name w:val="Tabla con cuadrícula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0F3837"/>
  </w:style>
  <w:style w:type="numbering" w:customStyle="1" w:styleId="Sinlista31">
    <w:name w:val="Sin lista31"/>
    <w:next w:val="Sinlista"/>
    <w:uiPriority w:val="99"/>
    <w:semiHidden/>
    <w:unhideWhenUsed/>
    <w:rsid w:val="000F3837"/>
  </w:style>
  <w:style w:type="table" w:customStyle="1" w:styleId="Tablaconcuadrcula31">
    <w:name w:val="Tabla con cuadrícula3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0F3837"/>
  </w:style>
  <w:style w:type="table" w:customStyle="1" w:styleId="Tablaconcuadrcula41">
    <w:name w:val="Tabla con cuadrícula4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0F3837"/>
  </w:style>
  <w:style w:type="numbering" w:customStyle="1" w:styleId="Estiloimportado11">
    <w:name w:val="Estilo importado 11"/>
    <w:rsid w:val="000F3837"/>
  </w:style>
  <w:style w:type="numbering" w:customStyle="1" w:styleId="Sinlista1111">
    <w:name w:val="Sin lista1111"/>
    <w:next w:val="Sinlista"/>
    <w:uiPriority w:val="99"/>
    <w:semiHidden/>
    <w:unhideWhenUsed/>
    <w:rsid w:val="000F3837"/>
  </w:style>
  <w:style w:type="numbering" w:customStyle="1" w:styleId="Sinlista6">
    <w:name w:val="Sin lista6"/>
    <w:next w:val="Sinlista"/>
    <w:uiPriority w:val="99"/>
    <w:semiHidden/>
    <w:unhideWhenUsed/>
    <w:rsid w:val="000F3837"/>
  </w:style>
  <w:style w:type="table" w:customStyle="1" w:styleId="Tablaconcuadrcula6">
    <w:name w:val="Tabla con cuadrícula6"/>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0F3837"/>
  </w:style>
  <w:style w:type="numbering" w:customStyle="1" w:styleId="Sinlista13">
    <w:name w:val="Sin lista13"/>
    <w:next w:val="Sinlista"/>
    <w:uiPriority w:val="99"/>
    <w:semiHidden/>
    <w:unhideWhenUsed/>
    <w:rsid w:val="000F3837"/>
  </w:style>
  <w:style w:type="table" w:customStyle="1" w:styleId="Tablaconcuadrcula13">
    <w:name w:val="Tabla con cuadrícula13"/>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0F3837"/>
  </w:style>
  <w:style w:type="table" w:customStyle="1" w:styleId="Tablaconcuadrcula22">
    <w:name w:val="Tabla con cuadrícula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0F3837"/>
  </w:style>
  <w:style w:type="table" w:customStyle="1" w:styleId="Tablaconcuadrcula32">
    <w:name w:val="Tabla con cuadrícula3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0F3837"/>
  </w:style>
  <w:style w:type="table" w:customStyle="1" w:styleId="Tablaconcuadrcula42">
    <w:name w:val="Tabla con cuadrícula4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0F3837"/>
  </w:style>
  <w:style w:type="table" w:customStyle="1" w:styleId="Tablaconcuadrcula51">
    <w:name w:val="Tabla con cuadrícula5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0F3837"/>
  </w:style>
  <w:style w:type="table" w:customStyle="1" w:styleId="Tablaconcuadrcula61">
    <w:name w:val="Tabla con cuadrícula6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0F3837"/>
    <w:pPr>
      <w:numPr>
        <w:numId w:val="3"/>
      </w:numPr>
    </w:pPr>
  </w:style>
  <w:style w:type="numbering" w:customStyle="1" w:styleId="Estiloimportado12">
    <w:name w:val="Estilo importado 12"/>
    <w:rsid w:val="000F3837"/>
    <w:pPr>
      <w:numPr>
        <w:numId w:val="4"/>
      </w:numPr>
    </w:pPr>
  </w:style>
  <w:style w:type="table" w:customStyle="1" w:styleId="Tablaconcuadrcula121">
    <w:name w:val="Tabla con cuadrícula121"/>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0F3837"/>
  </w:style>
  <w:style w:type="table" w:customStyle="1" w:styleId="Tablaconcuadrcula211">
    <w:name w:val="Tabla con cuadrícula2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0F3837"/>
  </w:style>
  <w:style w:type="table" w:customStyle="1" w:styleId="Tablaconcuadrcula1111">
    <w:name w:val="Tabla con cuadrícula1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0F3837"/>
  </w:style>
  <w:style w:type="numbering" w:customStyle="1" w:styleId="Sinlista311">
    <w:name w:val="Sin lista311"/>
    <w:next w:val="Sinlista"/>
    <w:uiPriority w:val="99"/>
    <w:semiHidden/>
    <w:unhideWhenUsed/>
    <w:rsid w:val="000F3837"/>
  </w:style>
  <w:style w:type="table" w:customStyle="1" w:styleId="Tablaconcuadrcula311">
    <w:name w:val="Tabla con cuadrícula3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0F3837"/>
  </w:style>
  <w:style w:type="table" w:customStyle="1" w:styleId="Tablaconcuadrcula411">
    <w:name w:val="Tabla con cuadrícula4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0F3837"/>
  </w:style>
  <w:style w:type="numbering" w:customStyle="1" w:styleId="Sinlista121">
    <w:name w:val="Sin lista121"/>
    <w:next w:val="Sinlista"/>
    <w:uiPriority w:val="99"/>
    <w:semiHidden/>
    <w:unhideWhenUsed/>
    <w:rsid w:val="000F3837"/>
  </w:style>
  <w:style w:type="numbering" w:customStyle="1" w:styleId="Sinlista11111">
    <w:name w:val="Sin lista11111"/>
    <w:next w:val="Sinlista"/>
    <w:uiPriority w:val="99"/>
    <w:semiHidden/>
    <w:unhideWhenUsed/>
    <w:rsid w:val="000F3837"/>
  </w:style>
  <w:style w:type="numbering" w:customStyle="1" w:styleId="Sinlista2111">
    <w:name w:val="Sin lista2111"/>
    <w:next w:val="Sinlista"/>
    <w:uiPriority w:val="99"/>
    <w:semiHidden/>
    <w:unhideWhenUsed/>
    <w:rsid w:val="000F3837"/>
  </w:style>
  <w:style w:type="numbering" w:customStyle="1" w:styleId="Sinlista3111">
    <w:name w:val="Sin lista3111"/>
    <w:next w:val="Sinlista"/>
    <w:uiPriority w:val="99"/>
    <w:semiHidden/>
    <w:unhideWhenUsed/>
    <w:rsid w:val="000F3837"/>
  </w:style>
  <w:style w:type="numbering" w:customStyle="1" w:styleId="Sinlista4111">
    <w:name w:val="Sin lista4111"/>
    <w:next w:val="Sinlista"/>
    <w:uiPriority w:val="99"/>
    <w:semiHidden/>
    <w:unhideWhenUsed/>
    <w:rsid w:val="000F3837"/>
  </w:style>
  <w:style w:type="numbering" w:customStyle="1" w:styleId="Sinlista71">
    <w:name w:val="Sin lista71"/>
    <w:next w:val="Sinlista"/>
    <w:uiPriority w:val="99"/>
    <w:semiHidden/>
    <w:unhideWhenUsed/>
    <w:rsid w:val="000F3837"/>
  </w:style>
  <w:style w:type="table" w:customStyle="1" w:styleId="Tablaconcuadrcula8">
    <w:name w:val="Tabla con cuadrícula8"/>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0F3837"/>
  </w:style>
  <w:style w:type="numbering" w:customStyle="1" w:styleId="Estiloimportado111">
    <w:name w:val="Estilo importado 111"/>
    <w:rsid w:val="000F3837"/>
  </w:style>
  <w:style w:type="numbering" w:customStyle="1" w:styleId="Sinlista131">
    <w:name w:val="Sin lista131"/>
    <w:next w:val="Sinlista"/>
    <w:uiPriority w:val="99"/>
    <w:semiHidden/>
    <w:unhideWhenUsed/>
    <w:rsid w:val="000F3837"/>
  </w:style>
  <w:style w:type="numbering" w:customStyle="1" w:styleId="Sinlista1121">
    <w:name w:val="Sin lista1121"/>
    <w:next w:val="Sinlista"/>
    <w:uiPriority w:val="99"/>
    <w:semiHidden/>
    <w:unhideWhenUsed/>
    <w:rsid w:val="000F3837"/>
  </w:style>
  <w:style w:type="table" w:customStyle="1" w:styleId="Tablaconcuadrcula1121">
    <w:name w:val="Tabla con cuadrícula11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0F3837"/>
  </w:style>
  <w:style w:type="numbering" w:customStyle="1" w:styleId="Sinlista321">
    <w:name w:val="Sin lista321"/>
    <w:next w:val="Sinlista"/>
    <w:uiPriority w:val="99"/>
    <w:semiHidden/>
    <w:unhideWhenUsed/>
    <w:rsid w:val="000F3837"/>
  </w:style>
  <w:style w:type="numbering" w:customStyle="1" w:styleId="Sinlista421">
    <w:name w:val="Sin lista421"/>
    <w:next w:val="Sinlista"/>
    <w:uiPriority w:val="99"/>
    <w:semiHidden/>
    <w:unhideWhenUsed/>
    <w:rsid w:val="000F3837"/>
  </w:style>
  <w:style w:type="numbering" w:customStyle="1" w:styleId="Estiloimportado23">
    <w:name w:val="Estilo importado 23"/>
    <w:rsid w:val="000F3837"/>
  </w:style>
  <w:style w:type="numbering" w:customStyle="1" w:styleId="Estiloimportado13">
    <w:name w:val="Estilo importado 13"/>
    <w:rsid w:val="000F3837"/>
  </w:style>
  <w:style w:type="numbering" w:customStyle="1" w:styleId="Estiloimportado212">
    <w:name w:val="Estilo importado 212"/>
    <w:rsid w:val="000F3837"/>
    <w:pPr>
      <w:numPr>
        <w:numId w:val="5"/>
      </w:numPr>
    </w:pPr>
  </w:style>
  <w:style w:type="numbering" w:customStyle="1" w:styleId="Estiloimportado112">
    <w:name w:val="Estilo importado 112"/>
    <w:rsid w:val="000F3837"/>
    <w:pPr>
      <w:numPr>
        <w:numId w:val="6"/>
      </w:numPr>
    </w:pPr>
  </w:style>
  <w:style w:type="table" w:customStyle="1" w:styleId="Tablaconcuadrcula1122">
    <w:name w:val="Tabla con cuadrícula11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0F3837"/>
  </w:style>
  <w:style w:type="table" w:customStyle="1" w:styleId="Tablaconcuadrcula9">
    <w:name w:val="Tabla con cuadrícula9"/>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0F3837"/>
  </w:style>
  <w:style w:type="table" w:customStyle="1" w:styleId="Tablaconcuadrcula14">
    <w:name w:val="Tabla con cuadrícula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0F3837"/>
  </w:style>
  <w:style w:type="table" w:customStyle="1" w:styleId="Tablaconcuadrcula23">
    <w:name w:val="Tabla con cuadrícula2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0F3837"/>
  </w:style>
  <w:style w:type="table" w:customStyle="1" w:styleId="Tablaconcuadrcula33">
    <w:name w:val="Tabla con cuadrícula3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0F3837"/>
  </w:style>
  <w:style w:type="table" w:customStyle="1" w:styleId="Tablaconcuadrcula43">
    <w:name w:val="Tabla con cuadrícula4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0F3837"/>
  </w:style>
  <w:style w:type="table" w:customStyle="1" w:styleId="Tablaconcuadrcula52">
    <w:name w:val="Tabla con cuadrícula5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0F3837"/>
  </w:style>
  <w:style w:type="table" w:customStyle="1" w:styleId="Tablaconcuadrcula62">
    <w:name w:val="Tabla con cuadrícula6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0F3837"/>
    <w:pPr>
      <w:numPr>
        <w:numId w:val="7"/>
      </w:numPr>
    </w:pPr>
  </w:style>
  <w:style w:type="numbering" w:customStyle="1" w:styleId="Estiloimportado14">
    <w:name w:val="Estilo importado 14"/>
    <w:rsid w:val="000F3837"/>
    <w:pPr>
      <w:numPr>
        <w:numId w:val="8"/>
      </w:numPr>
    </w:pPr>
  </w:style>
  <w:style w:type="table" w:customStyle="1" w:styleId="Tablaconcuadrcula122">
    <w:name w:val="Tabla con cuadrícula122"/>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0F3837"/>
  </w:style>
  <w:style w:type="table" w:customStyle="1" w:styleId="Tablaconcuadrcula212">
    <w:name w:val="Tabla con cuadrícula2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0F3837"/>
  </w:style>
  <w:style w:type="table" w:customStyle="1" w:styleId="Tablaconcuadrcula1112">
    <w:name w:val="Tabla con cuadrícula11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0F3837"/>
  </w:style>
  <w:style w:type="numbering" w:customStyle="1" w:styleId="Sinlista312">
    <w:name w:val="Sin lista312"/>
    <w:next w:val="Sinlista"/>
    <w:uiPriority w:val="99"/>
    <w:semiHidden/>
    <w:unhideWhenUsed/>
    <w:rsid w:val="000F3837"/>
  </w:style>
  <w:style w:type="table" w:customStyle="1" w:styleId="Tablaconcuadrcula312">
    <w:name w:val="Tabla con cuadrícula3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0F3837"/>
  </w:style>
  <w:style w:type="table" w:customStyle="1" w:styleId="Tablaconcuadrcula412">
    <w:name w:val="Tabla con cuadrícula4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0F3837"/>
  </w:style>
  <w:style w:type="table" w:customStyle="1" w:styleId="Tablaconcuadrcula511">
    <w:name w:val="Tabla con cuadrícula5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0F3837"/>
  </w:style>
  <w:style w:type="numbering" w:customStyle="1" w:styleId="Sinlista11112">
    <w:name w:val="Sin lista11112"/>
    <w:next w:val="Sinlista"/>
    <w:uiPriority w:val="99"/>
    <w:semiHidden/>
    <w:unhideWhenUsed/>
    <w:rsid w:val="000F3837"/>
  </w:style>
  <w:style w:type="numbering" w:customStyle="1" w:styleId="Sinlista2112">
    <w:name w:val="Sin lista2112"/>
    <w:next w:val="Sinlista"/>
    <w:uiPriority w:val="99"/>
    <w:semiHidden/>
    <w:unhideWhenUsed/>
    <w:rsid w:val="000F3837"/>
  </w:style>
  <w:style w:type="numbering" w:customStyle="1" w:styleId="Sinlista3112">
    <w:name w:val="Sin lista3112"/>
    <w:next w:val="Sinlista"/>
    <w:uiPriority w:val="99"/>
    <w:semiHidden/>
    <w:unhideWhenUsed/>
    <w:rsid w:val="000F3837"/>
  </w:style>
  <w:style w:type="numbering" w:customStyle="1" w:styleId="Sinlista4112">
    <w:name w:val="Sin lista4112"/>
    <w:next w:val="Sinlista"/>
    <w:uiPriority w:val="99"/>
    <w:semiHidden/>
    <w:unhideWhenUsed/>
    <w:rsid w:val="000F3837"/>
  </w:style>
  <w:style w:type="numbering" w:customStyle="1" w:styleId="Sinlista72">
    <w:name w:val="Sin lista72"/>
    <w:next w:val="Sinlista"/>
    <w:uiPriority w:val="99"/>
    <w:semiHidden/>
    <w:unhideWhenUsed/>
    <w:rsid w:val="000F3837"/>
  </w:style>
  <w:style w:type="table" w:customStyle="1" w:styleId="Tablaconcuadrcula81">
    <w:name w:val="Tabla con cuadrícula8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0F3837"/>
  </w:style>
  <w:style w:type="numbering" w:customStyle="1" w:styleId="Estiloimportado113">
    <w:name w:val="Estilo importado 113"/>
    <w:rsid w:val="000F3837"/>
  </w:style>
  <w:style w:type="table" w:customStyle="1" w:styleId="Tablaconcuadrcula131">
    <w:name w:val="Tabla con cuadrícula131"/>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0F3837"/>
  </w:style>
  <w:style w:type="table" w:customStyle="1" w:styleId="Tablaconcuadrcula221">
    <w:name w:val="Tabla con cuadrícula2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0F3837"/>
  </w:style>
  <w:style w:type="table" w:customStyle="1" w:styleId="Tablaconcuadrcula1123">
    <w:name w:val="Tabla con cuadrícula112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0F3837"/>
  </w:style>
  <w:style w:type="numbering" w:customStyle="1" w:styleId="Sinlista322">
    <w:name w:val="Sin lista322"/>
    <w:next w:val="Sinlista"/>
    <w:uiPriority w:val="99"/>
    <w:semiHidden/>
    <w:unhideWhenUsed/>
    <w:rsid w:val="000F3837"/>
  </w:style>
  <w:style w:type="table" w:customStyle="1" w:styleId="Tablaconcuadrcula321">
    <w:name w:val="Tabla con cuadrícula3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0F3837"/>
  </w:style>
  <w:style w:type="table" w:customStyle="1" w:styleId="Tablaconcuadrcula421">
    <w:name w:val="Tabla con cuadrícula4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F3837"/>
  </w:style>
  <w:style w:type="table" w:customStyle="1" w:styleId="Tablaconcuadrcula10">
    <w:name w:val="Tabla con cuadrícula10"/>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0F3837"/>
  </w:style>
  <w:style w:type="table" w:customStyle="1" w:styleId="Tablaconcuadrcula24">
    <w:name w:val="Tabla con cuadrícula2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0F3837"/>
  </w:style>
  <w:style w:type="table" w:customStyle="1" w:styleId="Tablaconcuadrcula116">
    <w:name w:val="Tabla con cuadrícula116"/>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0F3837"/>
  </w:style>
  <w:style w:type="numbering" w:customStyle="1" w:styleId="Sinlista34">
    <w:name w:val="Sin lista34"/>
    <w:next w:val="Sinlista"/>
    <w:uiPriority w:val="99"/>
    <w:semiHidden/>
    <w:unhideWhenUsed/>
    <w:rsid w:val="000F3837"/>
  </w:style>
  <w:style w:type="table" w:customStyle="1" w:styleId="Tablaconcuadrcula34">
    <w:name w:val="Tabla con cuadrícula3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0F3837"/>
  </w:style>
  <w:style w:type="table" w:customStyle="1" w:styleId="Tablaconcuadrcula44">
    <w:name w:val="Tabla con cuadrícula4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0F3837"/>
  </w:style>
  <w:style w:type="table" w:customStyle="1" w:styleId="Tablaconcuadrcula53">
    <w:name w:val="Tabla con cuadrícula5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0F3837"/>
  </w:style>
  <w:style w:type="table" w:customStyle="1" w:styleId="Tablaconcuadrcula213">
    <w:name w:val="Tabla con cuadrícula21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0F3837"/>
  </w:style>
  <w:style w:type="table" w:customStyle="1" w:styleId="Tablaconcuadrcula1113">
    <w:name w:val="Tabla con cuadrícula111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0F3837"/>
  </w:style>
  <w:style w:type="numbering" w:customStyle="1" w:styleId="Sinlista313">
    <w:name w:val="Sin lista313"/>
    <w:next w:val="Sinlista"/>
    <w:uiPriority w:val="99"/>
    <w:semiHidden/>
    <w:unhideWhenUsed/>
    <w:rsid w:val="000F3837"/>
  </w:style>
  <w:style w:type="table" w:customStyle="1" w:styleId="Tablaconcuadrcula313">
    <w:name w:val="Tabla con cuadrícula31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0F3837"/>
  </w:style>
  <w:style w:type="table" w:customStyle="1" w:styleId="Tablaconcuadrcula413">
    <w:name w:val="Tabla con cuadrícula41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0F3837"/>
  </w:style>
  <w:style w:type="numbering" w:customStyle="1" w:styleId="Estiloimportado114">
    <w:name w:val="Estilo importado 114"/>
    <w:rsid w:val="000F3837"/>
  </w:style>
  <w:style w:type="numbering" w:customStyle="1" w:styleId="Sinlista11113">
    <w:name w:val="Sin lista11113"/>
    <w:next w:val="Sinlista"/>
    <w:uiPriority w:val="99"/>
    <w:semiHidden/>
    <w:unhideWhenUsed/>
    <w:rsid w:val="000F3837"/>
  </w:style>
  <w:style w:type="numbering" w:customStyle="1" w:styleId="Sinlista63">
    <w:name w:val="Sin lista63"/>
    <w:next w:val="Sinlista"/>
    <w:uiPriority w:val="99"/>
    <w:semiHidden/>
    <w:unhideWhenUsed/>
    <w:rsid w:val="000F3837"/>
  </w:style>
  <w:style w:type="table" w:customStyle="1" w:styleId="Tablaconcuadrcula63">
    <w:name w:val="Tabla con cuadrícula6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0F3837"/>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0F3837"/>
  </w:style>
  <w:style w:type="table" w:customStyle="1" w:styleId="Tablaconcuadrcula16">
    <w:name w:val="Tabla con cuadrícula16"/>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0F3837"/>
  </w:style>
  <w:style w:type="numbering" w:customStyle="1" w:styleId="Estiloimportado15">
    <w:name w:val="Estilo importado 15"/>
    <w:rsid w:val="000F3837"/>
  </w:style>
  <w:style w:type="table" w:customStyle="1" w:styleId="Tablaconcuadrcula1114">
    <w:name w:val="Tabla con cuadrícula11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0F3837"/>
  </w:style>
  <w:style w:type="table" w:customStyle="1" w:styleId="Tablaconcuadrcula17">
    <w:name w:val="Tabla con cuadrícula17"/>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0F3837"/>
  </w:style>
  <w:style w:type="numbering" w:customStyle="1" w:styleId="Sinlista25">
    <w:name w:val="Sin lista25"/>
    <w:next w:val="Sinlista"/>
    <w:uiPriority w:val="99"/>
    <w:semiHidden/>
    <w:unhideWhenUsed/>
    <w:rsid w:val="000F3837"/>
  </w:style>
  <w:style w:type="numbering" w:customStyle="1" w:styleId="Sinlista35">
    <w:name w:val="Sin lista35"/>
    <w:next w:val="Sinlista"/>
    <w:uiPriority w:val="99"/>
    <w:semiHidden/>
    <w:unhideWhenUsed/>
    <w:rsid w:val="000F3837"/>
  </w:style>
  <w:style w:type="table" w:customStyle="1" w:styleId="Tablaconcuadrcula35">
    <w:name w:val="Tabla con cuadrícula3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0F3837"/>
  </w:style>
  <w:style w:type="table" w:customStyle="1" w:styleId="Tablaconcuadrcula45">
    <w:name w:val="Tabla con cuadrícula4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0F3837"/>
  </w:style>
  <w:style w:type="table" w:customStyle="1" w:styleId="Tablaconcuadrcula54">
    <w:name w:val="Tabla con cuadrícula5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0F3837"/>
  </w:style>
  <w:style w:type="table" w:customStyle="1" w:styleId="Tablaconcuadrcula214">
    <w:name w:val="Tabla con cuadrícula2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0F3837"/>
  </w:style>
  <w:style w:type="numbering" w:customStyle="1" w:styleId="Sinlista214">
    <w:name w:val="Sin lista214"/>
    <w:next w:val="Sinlista"/>
    <w:uiPriority w:val="99"/>
    <w:semiHidden/>
    <w:unhideWhenUsed/>
    <w:rsid w:val="000F3837"/>
  </w:style>
  <w:style w:type="numbering" w:customStyle="1" w:styleId="Sinlista314">
    <w:name w:val="Sin lista314"/>
    <w:next w:val="Sinlista"/>
    <w:uiPriority w:val="99"/>
    <w:semiHidden/>
    <w:unhideWhenUsed/>
    <w:rsid w:val="000F3837"/>
  </w:style>
  <w:style w:type="table" w:customStyle="1" w:styleId="Tablaconcuadrcula314">
    <w:name w:val="Tabla con cuadrícula3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0F3837"/>
  </w:style>
  <w:style w:type="table" w:customStyle="1" w:styleId="Tablaconcuadrcula414">
    <w:name w:val="Tabla con cuadrícula4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0F3837"/>
  </w:style>
  <w:style w:type="numbering" w:customStyle="1" w:styleId="Estiloimportado115">
    <w:name w:val="Estilo importado 115"/>
    <w:rsid w:val="000F3837"/>
  </w:style>
  <w:style w:type="numbering" w:customStyle="1" w:styleId="Sinlista64">
    <w:name w:val="Sin lista64"/>
    <w:next w:val="Sinlista"/>
    <w:uiPriority w:val="99"/>
    <w:semiHidden/>
    <w:unhideWhenUsed/>
    <w:rsid w:val="000F3837"/>
  </w:style>
  <w:style w:type="table" w:customStyle="1" w:styleId="Tablaconcuadrcula64">
    <w:name w:val="Tabla con cuadrícula6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0F3837"/>
  </w:style>
  <w:style w:type="table" w:customStyle="1" w:styleId="Tablaconcuadrcula72">
    <w:name w:val="Tabla con cuadrícula7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0F3837"/>
  </w:style>
  <w:style w:type="numbering" w:customStyle="1" w:styleId="Estiloimportado121">
    <w:name w:val="Estilo importado 121"/>
    <w:rsid w:val="000F3837"/>
  </w:style>
  <w:style w:type="table" w:customStyle="1" w:styleId="Tablaconcuadrcula11121">
    <w:name w:val="Tabla con cuadrícula111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0F3837"/>
  </w:style>
  <w:style w:type="table" w:customStyle="1" w:styleId="Tablaconcuadrcula132">
    <w:name w:val="Tabla con cuadrícula13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0F3837"/>
  </w:style>
  <w:style w:type="numbering" w:customStyle="1" w:styleId="Sinlista223">
    <w:name w:val="Sin lista223"/>
    <w:next w:val="Sinlista"/>
    <w:uiPriority w:val="99"/>
    <w:semiHidden/>
    <w:unhideWhenUsed/>
    <w:rsid w:val="000F3837"/>
  </w:style>
  <w:style w:type="numbering" w:customStyle="1" w:styleId="Sinlista323">
    <w:name w:val="Sin lista323"/>
    <w:next w:val="Sinlista"/>
    <w:uiPriority w:val="99"/>
    <w:semiHidden/>
    <w:unhideWhenUsed/>
    <w:rsid w:val="000F3837"/>
  </w:style>
  <w:style w:type="table" w:customStyle="1" w:styleId="Tablaconcuadrcula322">
    <w:name w:val="Tabla con cuadrícula3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0F3837"/>
  </w:style>
  <w:style w:type="table" w:customStyle="1" w:styleId="Tablaconcuadrcula422">
    <w:name w:val="Tabla con cuadrícula4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0F3837"/>
  </w:style>
  <w:style w:type="table" w:customStyle="1" w:styleId="Tablaconcuadrcula512">
    <w:name w:val="Tabla con cuadrícula5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0F3837"/>
  </w:style>
  <w:style w:type="table" w:customStyle="1" w:styleId="Tablaconcuadrcula2111">
    <w:name w:val="Tabla con cuadrícula2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0F3837"/>
  </w:style>
  <w:style w:type="numbering" w:customStyle="1" w:styleId="Sinlista2113">
    <w:name w:val="Sin lista2113"/>
    <w:next w:val="Sinlista"/>
    <w:uiPriority w:val="99"/>
    <w:semiHidden/>
    <w:unhideWhenUsed/>
    <w:rsid w:val="000F3837"/>
  </w:style>
  <w:style w:type="numbering" w:customStyle="1" w:styleId="Sinlista3113">
    <w:name w:val="Sin lista3113"/>
    <w:next w:val="Sinlista"/>
    <w:uiPriority w:val="99"/>
    <w:semiHidden/>
    <w:unhideWhenUsed/>
    <w:rsid w:val="000F3837"/>
  </w:style>
  <w:style w:type="table" w:customStyle="1" w:styleId="Tablaconcuadrcula3111">
    <w:name w:val="Tabla con cuadrícula3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0F3837"/>
  </w:style>
  <w:style w:type="table" w:customStyle="1" w:styleId="Tablaconcuadrcula4111">
    <w:name w:val="Tabla con cuadrícula4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0F3837"/>
  </w:style>
  <w:style w:type="numbering" w:customStyle="1" w:styleId="Estiloimportado1111">
    <w:name w:val="Estilo importado 1111"/>
    <w:rsid w:val="000F3837"/>
  </w:style>
  <w:style w:type="numbering" w:customStyle="1" w:styleId="Sinlista611">
    <w:name w:val="Sin lista611"/>
    <w:next w:val="Sinlista"/>
    <w:uiPriority w:val="99"/>
    <w:semiHidden/>
    <w:unhideWhenUsed/>
    <w:rsid w:val="000F3837"/>
  </w:style>
  <w:style w:type="table" w:customStyle="1" w:styleId="Tablaconcuadrcula611">
    <w:name w:val="Tabla con cuadrícula6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0F3837"/>
  </w:style>
  <w:style w:type="numbering" w:customStyle="1" w:styleId="Estiloimportado131">
    <w:name w:val="Estilo importado 131"/>
    <w:rsid w:val="000F3837"/>
  </w:style>
  <w:style w:type="table" w:customStyle="1" w:styleId="Tablaconcuadrcula11221">
    <w:name w:val="Tabla con cuadrícula11221"/>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0F3837"/>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0F3837"/>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rsid w:val="000F3837"/>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0F3837"/>
    <w:rPr>
      <w:rFonts w:ascii="Segoe UI" w:eastAsia="Times New Roman" w:hAnsi="Segoe UI" w:cs="Segoe UI"/>
      <w:sz w:val="18"/>
      <w:szCs w:val="18"/>
      <w:lang w:val="es-ES" w:eastAsia="es-ES"/>
    </w:rPr>
  </w:style>
  <w:style w:type="character" w:customStyle="1" w:styleId="u">
    <w:name w:val="u"/>
    <w:basedOn w:val="Fuentedeprrafopredeter"/>
    <w:rsid w:val="000F3837"/>
  </w:style>
  <w:style w:type="character" w:customStyle="1" w:styleId="Ttulo7Car">
    <w:name w:val="Título 7 Car"/>
    <w:basedOn w:val="Fuentedeprrafopredeter"/>
    <w:link w:val="Ttulo7"/>
    <w:uiPriority w:val="9"/>
    <w:semiHidden/>
    <w:rsid w:val="00F4703B"/>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F4703B"/>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F4703B"/>
    <w:rPr>
      <w:rFonts w:asciiTheme="majorHAnsi" w:eastAsiaTheme="majorEastAsia" w:hAnsiTheme="majorHAnsi" w:cstheme="majorBidi"/>
      <w:b/>
      <w:bCs/>
      <w:i/>
      <w:iCs/>
      <w:color w:val="1F497D" w:themeColor="text2"/>
      <w:sz w:val="20"/>
      <w:szCs w:val="20"/>
    </w:rPr>
  </w:style>
  <w:style w:type="character" w:customStyle="1" w:styleId="TextonotapieCar1">
    <w:name w:val="Texto nota pie Car1"/>
    <w:uiPriority w:val="99"/>
    <w:rsid w:val="00F4703B"/>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F4703B"/>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F4703B"/>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F4703B"/>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F4703B"/>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F4703B"/>
    <w:rPr>
      <w:rFonts w:asciiTheme="majorHAnsi" w:eastAsiaTheme="majorEastAsia" w:hAnsiTheme="majorHAnsi" w:cstheme="majorBidi"/>
    </w:rPr>
  </w:style>
  <w:style w:type="paragraph" w:styleId="Cita">
    <w:name w:val="Quote"/>
    <w:basedOn w:val="Normal"/>
    <w:next w:val="Normal"/>
    <w:link w:val="CitaCar"/>
    <w:uiPriority w:val="29"/>
    <w:qFormat/>
    <w:rsid w:val="00F4703B"/>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F4703B"/>
    <w:rPr>
      <w:i/>
      <w:iCs/>
      <w:color w:val="404040" w:themeColor="text1" w:themeTint="BF"/>
      <w:sz w:val="20"/>
      <w:szCs w:val="20"/>
    </w:rPr>
  </w:style>
  <w:style w:type="paragraph" w:styleId="Citadestacada">
    <w:name w:val="Intense Quote"/>
    <w:basedOn w:val="Normal"/>
    <w:next w:val="Normal"/>
    <w:link w:val="CitadestacadaCar"/>
    <w:uiPriority w:val="30"/>
    <w:qFormat/>
    <w:rsid w:val="00F4703B"/>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F4703B"/>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F4703B"/>
    <w:rPr>
      <w:i/>
      <w:iCs/>
      <w:color w:val="404040" w:themeColor="text1" w:themeTint="BF"/>
    </w:rPr>
  </w:style>
  <w:style w:type="character" w:styleId="nfasisintenso">
    <w:name w:val="Intense Emphasis"/>
    <w:basedOn w:val="Fuentedeprrafopredeter"/>
    <w:uiPriority w:val="21"/>
    <w:qFormat/>
    <w:rsid w:val="00F4703B"/>
    <w:rPr>
      <w:b/>
      <w:bCs/>
      <w:i/>
      <w:iCs/>
    </w:rPr>
  </w:style>
  <w:style w:type="character" w:styleId="Referenciasutil">
    <w:name w:val="Subtle Reference"/>
    <w:basedOn w:val="Fuentedeprrafopredeter"/>
    <w:uiPriority w:val="31"/>
    <w:qFormat/>
    <w:rsid w:val="00F4703B"/>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F4703B"/>
    <w:rPr>
      <w:b/>
      <w:bCs/>
      <w:smallCaps/>
      <w:spacing w:val="5"/>
      <w:u w:val="single"/>
    </w:rPr>
  </w:style>
  <w:style w:type="character" w:styleId="Ttulodellibro">
    <w:name w:val="Book Title"/>
    <w:basedOn w:val="Fuentedeprrafopredeter"/>
    <w:uiPriority w:val="33"/>
    <w:qFormat/>
    <w:rsid w:val="00F4703B"/>
    <w:rPr>
      <w:b/>
      <w:bCs/>
      <w:smallCaps/>
    </w:rPr>
  </w:style>
  <w:style w:type="paragraph" w:styleId="TtulodeTDC">
    <w:name w:val="TOC Heading"/>
    <w:basedOn w:val="Ttulo1"/>
    <w:next w:val="Normal"/>
    <w:uiPriority w:val="39"/>
    <w:semiHidden/>
    <w:unhideWhenUsed/>
    <w:qFormat/>
    <w:rsid w:val="00F4703B"/>
    <w:pPr>
      <w:spacing w:before="320"/>
      <w:outlineLvl w:val="9"/>
    </w:pPr>
    <w:rPr>
      <w:lang w:val="es-ES_tradnl"/>
    </w:rPr>
  </w:style>
  <w:style w:type="character" w:customStyle="1" w:styleId="ctr">
    <w:name w:val="ctr"/>
    <w:basedOn w:val="Fuentedeprrafopredeter"/>
    <w:rsid w:val="00F47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745641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20/mar251.pdf" TargetMode="External"/><Relationship Id="rId2" Type="http://schemas.openxmlformats.org/officeDocument/2006/relationships/hyperlink" Target="https://legislacion.edomex.gob.mx/sites/legislacion.edomex.gob.mx/files/files/pdf/gct/2020/mar251.pdf" TargetMode="External"/><Relationship Id="rId1" Type="http://schemas.openxmlformats.org/officeDocument/2006/relationships/hyperlink" Target="https://legislacion.edomex.gob.mx/sites/legislacion.edomex.gob.mx/files/files/pdf/gct/2019/ene1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DDC99-919F-4EAB-BA28-9BFD7D5A0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9773</Words>
  <Characters>53756</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8</cp:revision>
  <cp:lastPrinted>2021-09-22T17:55:00Z</cp:lastPrinted>
  <dcterms:created xsi:type="dcterms:W3CDTF">2021-09-17T19:33:00Z</dcterms:created>
  <dcterms:modified xsi:type="dcterms:W3CDTF">2021-10-04T04:20:00Z</dcterms:modified>
</cp:coreProperties>
</file>