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D00188" w:rsidRDefault="001B26AA" w:rsidP="006229F8">
      <w:pPr>
        <w:tabs>
          <w:tab w:val="left" w:pos="567"/>
        </w:tabs>
        <w:spacing w:line="360" w:lineRule="auto"/>
        <w:jc w:val="center"/>
        <w:rPr>
          <w:rFonts w:ascii="Palatino Linotype" w:eastAsia="Times New Roman" w:hAnsi="Palatino Linotype" w:cs="Times New Roman"/>
          <w:b/>
        </w:rPr>
      </w:pPr>
      <w:r w:rsidRPr="00D00188">
        <w:rPr>
          <w:rFonts w:ascii="Palatino Linotype" w:eastAsia="Times New Roman" w:hAnsi="Palatino Linotype" w:cs="Times New Roman"/>
          <w:b/>
        </w:rPr>
        <w:t>LÍNEAS ARGUMENTATIVAS</w:t>
      </w:r>
    </w:p>
    <w:p w14:paraId="09C9D25E" w14:textId="77777777" w:rsidR="00C24965" w:rsidRPr="00D00188"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4A4D2118" w14:textId="77777777" w:rsidR="00A45D86" w:rsidRPr="00D00188" w:rsidRDefault="00A45D86" w:rsidP="00A45D86">
      <w:pPr>
        <w:tabs>
          <w:tab w:val="left" w:pos="567"/>
        </w:tabs>
        <w:spacing w:line="360" w:lineRule="auto"/>
        <w:jc w:val="both"/>
        <w:rPr>
          <w:rFonts w:ascii="Palatino Linotype" w:hAnsi="Palatino Linotype"/>
          <w:lang w:eastAsia="es-MX"/>
        </w:rPr>
      </w:pPr>
      <w:r w:rsidRPr="00D00188">
        <w:rPr>
          <w:rFonts w:ascii="Palatino Linotype" w:hAnsi="Palatino Linotype"/>
          <w:b/>
        </w:rPr>
        <w:t xml:space="preserve">RESPUESTAS IMPRECISAS O INCOMPLETAS, DEBER DE REPARACIÓN. </w:t>
      </w:r>
      <w:r w:rsidRPr="00D00188">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BFB66B8" w14:textId="77777777" w:rsidR="00A45D86" w:rsidRPr="00D00188" w:rsidRDefault="00A45D86" w:rsidP="00A45D86">
      <w:pPr>
        <w:tabs>
          <w:tab w:val="left" w:pos="2835"/>
        </w:tabs>
        <w:spacing w:line="360" w:lineRule="auto"/>
        <w:jc w:val="both"/>
        <w:rPr>
          <w:rFonts w:ascii="Palatino Linotype" w:hAnsi="Palatino Linotype"/>
          <w:b/>
        </w:rPr>
      </w:pPr>
    </w:p>
    <w:p w14:paraId="46A061E2" w14:textId="77777777" w:rsidR="00A45D86" w:rsidRPr="00D00188" w:rsidRDefault="00A45D86" w:rsidP="00A45D86">
      <w:pPr>
        <w:spacing w:line="360" w:lineRule="auto"/>
        <w:jc w:val="both"/>
        <w:rPr>
          <w:rFonts w:ascii="Palatino Linotype" w:hAnsi="Palatino Linotype"/>
          <w:color w:val="000000" w:themeColor="text1"/>
        </w:rPr>
      </w:pPr>
      <w:r w:rsidRPr="00D00188">
        <w:rPr>
          <w:rFonts w:ascii="Palatino Linotype" w:hAnsi="Palatino Linotype"/>
          <w:b/>
          <w:color w:val="000000" w:themeColor="text1"/>
        </w:rPr>
        <w:t xml:space="preserve">INFORMACIÓN CONFIDENCIAL, CLASIFICACIÓN DE LA. </w:t>
      </w:r>
      <w:r w:rsidRPr="00D00188">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1D7E80E" w14:textId="77777777" w:rsidR="00A45D86" w:rsidRPr="00D00188" w:rsidRDefault="00A45D86" w:rsidP="00A45D86">
      <w:pPr>
        <w:tabs>
          <w:tab w:val="left" w:pos="567"/>
        </w:tabs>
        <w:spacing w:line="360" w:lineRule="auto"/>
        <w:jc w:val="both"/>
        <w:rPr>
          <w:rFonts w:ascii="Palatino Linotype" w:hAnsi="Palatino Linotype"/>
          <w:b/>
          <w:color w:val="000000" w:themeColor="text1"/>
        </w:rPr>
      </w:pPr>
    </w:p>
    <w:p w14:paraId="30BD1B42" w14:textId="5E1E696E" w:rsidR="004C3391" w:rsidRPr="00D00188" w:rsidRDefault="00A45D86" w:rsidP="00DE1522">
      <w:pPr>
        <w:tabs>
          <w:tab w:val="left" w:pos="567"/>
        </w:tabs>
        <w:spacing w:line="360" w:lineRule="auto"/>
        <w:jc w:val="both"/>
        <w:rPr>
          <w:rFonts w:ascii="Palatino Linotype" w:eastAsia="Times New Roman" w:hAnsi="Palatino Linotype" w:cs="Times New Roman"/>
          <w:b/>
          <w:color w:val="000000" w:themeColor="text1"/>
        </w:rPr>
      </w:pPr>
      <w:r w:rsidRPr="00D00188">
        <w:rPr>
          <w:rFonts w:ascii="Palatino Linotype" w:eastAsia="MS Mincho" w:hAnsi="Palatino Linotype" w:cs="Arial"/>
          <w:b/>
          <w:color w:val="000000" w:themeColor="text1"/>
        </w:rPr>
        <w:t xml:space="preserve">VERSIÓN PÚBLICA. </w:t>
      </w:r>
      <w:r w:rsidRPr="00D00188">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77777777" w:rsidR="004C3391" w:rsidRPr="00D00188" w:rsidRDefault="004C3391" w:rsidP="006229F8">
      <w:pPr>
        <w:spacing w:line="360" w:lineRule="auto"/>
        <w:rPr>
          <w:rFonts w:ascii="Palatino Linotype" w:hAnsi="Palatino Linotype"/>
          <w:b/>
        </w:rPr>
      </w:pPr>
      <w:r w:rsidRPr="00D00188">
        <w:rPr>
          <w:rFonts w:ascii="Palatino Linotype" w:hAnsi="Palatino Linotype"/>
          <w:b/>
        </w:rPr>
        <w:br w:type="page"/>
      </w:r>
    </w:p>
    <w:p w14:paraId="3BADE580" w14:textId="194A343F" w:rsidR="00836D70" w:rsidRPr="00D00188" w:rsidRDefault="007F5ACD" w:rsidP="00836D70">
      <w:pPr>
        <w:tabs>
          <w:tab w:val="left" w:pos="0"/>
          <w:tab w:val="center" w:pos="4419"/>
          <w:tab w:val="right" w:pos="8838"/>
        </w:tabs>
        <w:spacing w:line="360" w:lineRule="auto"/>
        <w:jc w:val="center"/>
        <w:rPr>
          <w:rFonts w:ascii="Palatino Linotype" w:eastAsia="MS Mincho" w:hAnsi="Palatino Linotype" w:cs="Times New Roman"/>
          <w:b/>
        </w:rPr>
      </w:pPr>
      <w:r w:rsidRPr="00D00188">
        <w:rPr>
          <w:rFonts w:ascii="Palatino Linotype" w:eastAsia="MS Mincho" w:hAnsi="Palatino Linotype" w:cs="Times New Roman"/>
          <w:b/>
        </w:rPr>
        <w:lastRenderedPageBreak/>
        <w:t>RESU</w:t>
      </w:r>
      <w:r w:rsidR="007F0D05" w:rsidRPr="00D00188">
        <w:rPr>
          <w:rFonts w:ascii="Palatino Linotype" w:eastAsia="MS Mincho" w:hAnsi="Palatino Linotype" w:cs="Times New Roman"/>
          <w:b/>
        </w:rPr>
        <w:t>MEN</w:t>
      </w:r>
    </w:p>
    <w:p w14:paraId="0117445B" w14:textId="77777777" w:rsidR="000F4205" w:rsidRPr="00D00188" w:rsidRDefault="000F4205" w:rsidP="000F4205">
      <w:pPr>
        <w:tabs>
          <w:tab w:val="left" w:pos="0"/>
          <w:tab w:val="center" w:pos="4419"/>
          <w:tab w:val="right" w:pos="8838"/>
        </w:tabs>
        <w:spacing w:line="360" w:lineRule="auto"/>
        <w:jc w:val="both"/>
        <w:rPr>
          <w:rFonts w:ascii="Palatino Linotype" w:eastAsia="MS Mincho" w:hAnsi="Palatino Linotype" w:cs="Times New Roman"/>
        </w:rPr>
      </w:pPr>
      <w:r w:rsidRPr="00D00188">
        <w:rPr>
          <w:rFonts w:ascii="Palatino Linotype" w:eastAsia="MS Mincho" w:hAnsi="Palatino Linotype" w:cs="Times New Roman"/>
          <w:b/>
        </w:rPr>
        <w:t xml:space="preserve">Tema: </w:t>
      </w:r>
      <w:r w:rsidRPr="00D00188">
        <w:rPr>
          <w:rFonts w:ascii="Palatino Linotype" w:eastAsia="MS Mincho" w:hAnsi="Palatino Linotype" w:cs="Times New Roman"/>
        </w:rPr>
        <w:t>Legalidad de la respuesta otorgada por el Poder Legislativo del Estado de México a la luz de los artículos 4 y 7 de la Ley de Transparencia y Acceso a la Información  Pública del Estado de México y Municipios.</w:t>
      </w:r>
    </w:p>
    <w:p w14:paraId="74A606A3" w14:textId="77777777" w:rsidR="000F4205" w:rsidRPr="00D00188" w:rsidRDefault="000F4205" w:rsidP="000F4205">
      <w:pPr>
        <w:tabs>
          <w:tab w:val="left" w:pos="0"/>
          <w:tab w:val="center" w:pos="4419"/>
          <w:tab w:val="right" w:pos="8838"/>
        </w:tabs>
        <w:spacing w:line="360" w:lineRule="auto"/>
        <w:rPr>
          <w:rFonts w:ascii="Palatino Linotype" w:eastAsia="MS Mincho" w:hAnsi="Palatino Linotype" w:cs="Times New Roman"/>
        </w:rPr>
      </w:pPr>
    </w:p>
    <w:p w14:paraId="2059822B" w14:textId="77777777" w:rsidR="000F4205" w:rsidRPr="00D00188" w:rsidRDefault="000F4205" w:rsidP="000F4205">
      <w:pPr>
        <w:tabs>
          <w:tab w:val="left" w:pos="0"/>
          <w:tab w:val="center" w:pos="4419"/>
          <w:tab w:val="right" w:pos="8838"/>
        </w:tabs>
        <w:spacing w:line="360" w:lineRule="auto"/>
        <w:jc w:val="both"/>
        <w:rPr>
          <w:rFonts w:ascii="Palatino Linotype" w:eastAsia="MS Mincho" w:hAnsi="Palatino Linotype" w:cs="Times New Roman"/>
        </w:rPr>
      </w:pPr>
      <w:r w:rsidRPr="00D00188">
        <w:rPr>
          <w:rFonts w:ascii="Palatino Linotype" w:eastAsia="MS Mincho" w:hAnsi="Palatino Linotype" w:cs="Times New Roman"/>
          <w:b/>
        </w:rPr>
        <w:t xml:space="preserve">El caso: </w:t>
      </w:r>
      <w:r w:rsidRPr="00D00188">
        <w:rPr>
          <w:rFonts w:ascii="Palatino Linotype" w:eastAsia="MS Mincho" w:hAnsi="Palatino Linotype" w:cs="Times New Roman"/>
        </w:rPr>
        <w:t>Solicitud de acceso a información referente a la competencia de jueces, número de solicitudes, otorgamiento</w:t>
      </w:r>
      <w:r w:rsidRPr="00D00188">
        <w:rPr>
          <w:rFonts w:ascii="Palatino Linotype" w:hAnsi="Palatino Linotype"/>
          <w:color w:val="000000"/>
        </w:rPr>
        <w:t xml:space="preserve"> de amnistía y clasificación de delitos, </w:t>
      </w:r>
      <w:r w:rsidRPr="00D00188">
        <w:rPr>
          <w:rFonts w:ascii="Palatino Linotype" w:eastAsia="MS Mincho" w:hAnsi="Palatino Linotype" w:cs="Times New Roman"/>
        </w:rPr>
        <w:t>de conformidad con la recién creada Ley de Amnistía del Estado de México</w:t>
      </w:r>
      <w:r w:rsidRPr="00D00188">
        <w:rPr>
          <w:rFonts w:ascii="Palatino Linotype" w:hAnsi="Palatino Linotype"/>
          <w:color w:val="000000"/>
        </w:rPr>
        <w:t xml:space="preserve">; asimismo requirió los lineamientos, manuales, circulares, formatos y normatividad, generados por </w:t>
      </w:r>
      <w:r w:rsidRPr="00D00188">
        <w:rPr>
          <w:rFonts w:ascii="Palatino Linotype" w:eastAsia="MS Mincho" w:hAnsi="Palatino Linotype" w:cs="Times New Roman"/>
        </w:rPr>
        <w:t>la Comisión Especial de Amnistía,</w:t>
      </w:r>
      <w:r w:rsidRPr="00D00188">
        <w:rPr>
          <w:rFonts w:ascii="Palatino Linotype" w:hAnsi="Palatino Linotype"/>
          <w:color w:val="000000"/>
        </w:rPr>
        <w:t xml:space="preserve"> para dar seguimiento y cumplimiento a dicha Ley.</w:t>
      </w:r>
    </w:p>
    <w:p w14:paraId="24E380AB" w14:textId="77777777" w:rsidR="000F4205" w:rsidRPr="00D00188" w:rsidRDefault="000F4205" w:rsidP="000F4205">
      <w:pPr>
        <w:tabs>
          <w:tab w:val="left" w:pos="0"/>
          <w:tab w:val="center" w:pos="4419"/>
          <w:tab w:val="right" w:pos="8838"/>
        </w:tabs>
        <w:spacing w:line="360" w:lineRule="auto"/>
        <w:jc w:val="both"/>
        <w:rPr>
          <w:rFonts w:ascii="Palatino Linotype" w:eastAsia="MS Mincho" w:hAnsi="Palatino Linotype" w:cs="Times New Roman"/>
        </w:rPr>
      </w:pPr>
    </w:p>
    <w:p w14:paraId="46CBD9D1" w14:textId="77777777" w:rsidR="000F4205" w:rsidRPr="00D00188" w:rsidRDefault="000F4205" w:rsidP="000F4205">
      <w:pPr>
        <w:spacing w:line="360" w:lineRule="auto"/>
        <w:jc w:val="both"/>
        <w:rPr>
          <w:rFonts w:ascii="Palatino Linotype" w:hAnsi="Palatino Linotype"/>
        </w:rPr>
      </w:pPr>
      <w:r w:rsidRPr="00D00188">
        <w:rPr>
          <w:rFonts w:ascii="Palatino Linotype" w:hAnsi="Palatino Linotype"/>
        </w:rPr>
        <w:t>En calidad de respuesta, el Sujeto Obligado argumentó no ser competente y declinó competencia hacia el Poder Judicial del Estado de México.</w:t>
      </w:r>
    </w:p>
    <w:p w14:paraId="156FFB86" w14:textId="77777777" w:rsidR="000F4205" w:rsidRPr="00D00188" w:rsidRDefault="000F4205" w:rsidP="000F4205">
      <w:pPr>
        <w:spacing w:line="360" w:lineRule="auto"/>
        <w:jc w:val="both"/>
        <w:rPr>
          <w:rFonts w:ascii="Palatino Linotype" w:hAnsi="Palatino Linotype"/>
        </w:rPr>
      </w:pPr>
    </w:p>
    <w:p w14:paraId="31266920" w14:textId="77777777" w:rsidR="00A45D86" w:rsidRPr="00D00188" w:rsidRDefault="000F4205" w:rsidP="00A45D86">
      <w:pPr>
        <w:spacing w:line="360" w:lineRule="auto"/>
        <w:jc w:val="both"/>
        <w:rPr>
          <w:rFonts w:ascii="Palatino Linotype" w:hAnsi="Palatino Linotype"/>
        </w:rPr>
      </w:pPr>
      <w:r w:rsidRPr="00D00188">
        <w:rPr>
          <w:rFonts w:ascii="Palatino Linotype" w:hAnsi="Palatino Linotype"/>
        </w:rPr>
        <w:t xml:space="preserve">Cabe señalar que, a través de su informe justificado, modificó su respuesta inicial, toda vez que entregó la Gaceta Parlamentaria del Poder Legislativo del 9 de marzo de 2021, en cuyo contenido se aprecia el Proyecto de Acuerdo por el que se integra una Comisión Especial, para dar cumplimiento a la Ley de Amnistía del Estado de México, así como el Acuerdo por el que se crea e integra la Comisión Especial en materia de Amnistía; </w:t>
      </w:r>
      <w:r w:rsidR="00A45D86" w:rsidRPr="00D00188">
        <w:rPr>
          <w:rFonts w:ascii="Palatino Linotype" w:hAnsi="Palatino Linotype"/>
        </w:rPr>
        <w:t xml:space="preserve">sin embargo no entregaron los </w:t>
      </w:r>
      <w:r w:rsidR="00A45D86" w:rsidRPr="00D00188">
        <w:rPr>
          <w:rFonts w:ascii="Palatino Linotype" w:hAnsi="Palatino Linotype"/>
          <w:color w:val="000000"/>
        </w:rPr>
        <w:t>lineamientos, manuales, circulares y formatos</w:t>
      </w:r>
      <w:r w:rsidR="00A45D86" w:rsidRPr="00D00188">
        <w:rPr>
          <w:rFonts w:ascii="Palatino Linotype" w:hAnsi="Palatino Linotype"/>
        </w:rPr>
        <w:t xml:space="preserve"> generados para dar seguimiento y cumplimiento a dicha Ley y tampoco un documento en donde se adviertan los parámetros de implementación de la Comisión de Amnistía durante la contingencia por COVID-19.</w:t>
      </w:r>
    </w:p>
    <w:p w14:paraId="1A50E66C" w14:textId="0B149F0D" w:rsidR="000F4205" w:rsidRPr="00D00188" w:rsidRDefault="000F4205" w:rsidP="000F4205">
      <w:pPr>
        <w:spacing w:line="360" w:lineRule="auto"/>
        <w:jc w:val="both"/>
        <w:rPr>
          <w:rFonts w:ascii="Palatino Linotype" w:hAnsi="Palatino Linotype"/>
          <w:sz w:val="23"/>
          <w:szCs w:val="23"/>
        </w:rPr>
      </w:pPr>
    </w:p>
    <w:p w14:paraId="2CA4713C" w14:textId="77777777" w:rsidR="000F4205" w:rsidRPr="00D00188" w:rsidRDefault="000F4205" w:rsidP="000F4205">
      <w:pPr>
        <w:tabs>
          <w:tab w:val="left" w:pos="0"/>
          <w:tab w:val="center" w:pos="4419"/>
          <w:tab w:val="right" w:pos="8838"/>
        </w:tabs>
        <w:spacing w:line="360" w:lineRule="auto"/>
        <w:jc w:val="both"/>
        <w:rPr>
          <w:rFonts w:ascii="Palatino Linotype" w:eastAsia="MS Mincho" w:hAnsi="Palatino Linotype" w:cs="Times New Roman"/>
        </w:rPr>
      </w:pPr>
      <w:r w:rsidRPr="00D00188">
        <w:rPr>
          <w:rFonts w:ascii="Palatino Linotype" w:hAnsi="Palatino Linotype"/>
          <w:b/>
          <w:sz w:val="23"/>
          <w:szCs w:val="23"/>
        </w:rPr>
        <w:t>Propuesta:</w:t>
      </w:r>
      <w:r w:rsidRPr="00D00188">
        <w:rPr>
          <w:rFonts w:ascii="Palatino Linotype" w:hAnsi="Palatino Linotype"/>
          <w:sz w:val="23"/>
          <w:szCs w:val="23"/>
        </w:rPr>
        <w:t xml:space="preserve"> Al tenor de lo anterior resulta procedente analizar si la gaceta que se adjunta satisface por completo el requerimiento planteado y si es procedente la pretensión de declinar competencia hacia otro Sujeto Obligado</w:t>
      </w:r>
      <w:r w:rsidRPr="00D00188">
        <w:rPr>
          <w:rFonts w:ascii="Palatino Linotype" w:eastAsia="MS Mincho" w:hAnsi="Palatino Linotype" w:cs="Times New Roman"/>
        </w:rPr>
        <w:t xml:space="preserve">. </w:t>
      </w:r>
    </w:p>
    <w:p w14:paraId="3B98E6E2" w14:textId="77777777" w:rsidR="000F4205" w:rsidRPr="00D00188" w:rsidRDefault="000F4205" w:rsidP="000F4205">
      <w:pPr>
        <w:tabs>
          <w:tab w:val="left" w:pos="0"/>
          <w:tab w:val="center" w:pos="4419"/>
          <w:tab w:val="right" w:pos="8838"/>
        </w:tabs>
        <w:spacing w:line="360" w:lineRule="auto"/>
        <w:jc w:val="both"/>
        <w:rPr>
          <w:rFonts w:ascii="Palatino Linotype" w:eastAsia="MS Mincho" w:hAnsi="Palatino Linotype" w:cs="Times New Roman"/>
        </w:rPr>
      </w:pPr>
    </w:p>
    <w:p w14:paraId="73DE4F01" w14:textId="77777777" w:rsidR="000F4205" w:rsidRPr="00D00188" w:rsidRDefault="000F4205" w:rsidP="000F4205">
      <w:pPr>
        <w:tabs>
          <w:tab w:val="left" w:pos="0"/>
          <w:tab w:val="center" w:pos="4419"/>
          <w:tab w:val="right" w:pos="8838"/>
        </w:tabs>
        <w:spacing w:line="360" w:lineRule="auto"/>
        <w:jc w:val="both"/>
        <w:rPr>
          <w:rFonts w:ascii="Palatino Linotype" w:hAnsi="Palatino Linotype"/>
        </w:rPr>
      </w:pPr>
      <w:r w:rsidRPr="00D00188">
        <w:rPr>
          <w:rFonts w:ascii="Palatino Linotype" w:eastAsia="MS Mincho" w:hAnsi="Palatino Linotype" w:cs="Times New Roman"/>
        </w:rPr>
        <w:t>Así, se advierte que, de conformidad con la Ley Transparencia, se considera que los Sujetos Obligados tienen el deber de entregar la información que generen, posean o administren en el estado en que se encuentre</w:t>
      </w:r>
      <w:r w:rsidRPr="00D00188">
        <w:rPr>
          <w:rFonts w:ascii="Palatino Linotype" w:hAnsi="Palatino Linotype"/>
        </w:rPr>
        <w:t>.</w:t>
      </w:r>
    </w:p>
    <w:p w14:paraId="37347648" w14:textId="46089F95" w:rsidR="000F4205" w:rsidRPr="00D00188" w:rsidRDefault="000F4205">
      <w:pPr>
        <w:rPr>
          <w:rFonts w:ascii="Palatino Linotype" w:hAnsi="Palatino Linotype"/>
        </w:rPr>
      </w:pPr>
      <w:r w:rsidRPr="00D00188">
        <w:rPr>
          <w:rFonts w:ascii="Palatino Linotype" w:hAnsi="Palatino Linotype"/>
        </w:rPr>
        <w:br w:type="page"/>
      </w:r>
    </w:p>
    <w:p w14:paraId="53DEF670" w14:textId="77777777" w:rsidR="000F4205" w:rsidRPr="00D00188" w:rsidRDefault="000F4205" w:rsidP="000F4205">
      <w:pPr>
        <w:tabs>
          <w:tab w:val="left" w:pos="0"/>
          <w:tab w:val="center" w:pos="4419"/>
          <w:tab w:val="right" w:pos="8838"/>
        </w:tabs>
        <w:spacing w:line="360" w:lineRule="auto"/>
        <w:jc w:val="both"/>
        <w:rPr>
          <w:rFonts w:ascii="Palatino Linotype" w:hAnsi="Palatino Linotype"/>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D00188" w:rsidRDefault="004C3391" w:rsidP="006229F8">
          <w:pPr>
            <w:pStyle w:val="TtuloTDC"/>
            <w:spacing w:line="360" w:lineRule="auto"/>
            <w:jc w:val="center"/>
            <w:rPr>
              <w:szCs w:val="24"/>
              <w:lang w:val="es-ES"/>
            </w:rPr>
          </w:pPr>
          <w:r w:rsidRPr="00D00188">
            <w:rPr>
              <w:szCs w:val="24"/>
              <w:lang w:val="es-ES"/>
            </w:rPr>
            <w:t>ÍNDICE</w:t>
          </w:r>
        </w:p>
        <w:p w14:paraId="0EB6896C" w14:textId="77777777" w:rsidR="004C3391" w:rsidRPr="00D00188" w:rsidRDefault="004C3391" w:rsidP="006229F8">
          <w:pPr>
            <w:spacing w:line="360" w:lineRule="auto"/>
            <w:rPr>
              <w:rFonts w:ascii="Palatino Linotype" w:hAnsi="Palatino Linotype"/>
              <w:b/>
              <w:lang w:val="es-ES" w:eastAsia="es-MX"/>
            </w:rPr>
          </w:pPr>
        </w:p>
        <w:p w14:paraId="0646122D" w14:textId="77777777" w:rsidR="00EE582A" w:rsidRPr="00D00188" w:rsidRDefault="004C3391">
          <w:pPr>
            <w:pStyle w:val="TDC1"/>
            <w:rPr>
              <w:noProof/>
              <w:sz w:val="22"/>
              <w:szCs w:val="22"/>
              <w:lang w:val="es-ES"/>
            </w:rPr>
          </w:pPr>
          <w:r w:rsidRPr="00D00188">
            <w:rPr>
              <w:rFonts w:ascii="Palatino Linotype" w:hAnsi="Palatino Linotype"/>
              <w:b/>
            </w:rPr>
            <w:fldChar w:fldCharType="begin"/>
          </w:r>
          <w:r w:rsidRPr="00D00188">
            <w:rPr>
              <w:rFonts w:ascii="Palatino Linotype" w:hAnsi="Palatino Linotype"/>
              <w:b/>
            </w:rPr>
            <w:instrText xml:space="preserve"> TOC \o "1-3" \h \z \u </w:instrText>
          </w:r>
          <w:r w:rsidRPr="00D00188">
            <w:rPr>
              <w:rFonts w:ascii="Palatino Linotype" w:hAnsi="Palatino Linotype"/>
              <w:b/>
            </w:rPr>
            <w:fldChar w:fldCharType="separate"/>
          </w:r>
          <w:hyperlink w:anchor="_Toc71832780" w:history="1">
            <w:r w:rsidR="00EE582A" w:rsidRPr="00D00188">
              <w:rPr>
                <w:rStyle w:val="Hipervnculo"/>
                <w:noProof/>
              </w:rPr>
              <w:t>ANTECEDENTES</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_Toc71832780 \h </w:instrText>
            </w:r>
            <w:r w:rsidR="00EE582A" w:rsidRPr="00D00188">
              <w:rPr>
                <w:noProof/>
                <w:webHidden/>
              </w:rPr>
            </w:r>
            <w:r w:rsidR="00EE582A" w:rsidRPr="00D00188">
              <w:rPr>
                <w:noProof/>
                <w:webHidden/>
              </w:rPr>
              <w:fldChar w:fldCharType="separate"/>
            </w:r>
            <w:r w:rsidR="00EE582A" w:rsidRPr="00D00188">
              <w:rPr>
                <w:noProof/>
                <w:webHidden/>
              </w:rPr>
              <w:t>5</w:t>
            </w:r>
            <w:r w:rsidR="00EE582A" w:rsidRPr="00D00188">
              <w:rPr>
                <w:noProof/>
                <w:webHidden/>
              </w:rPr>
              <w:fldChar w:fldCharType="end"/>
            </w:r>
          </w:hyperlink>
        </w:p>
        <w:p w14:paraId="4934081D" w14:textId="77777777" w:rsidR="00EE582A" w:rsidRPr="00D00188" w:rsidRDefault="00F952BC">
          <w:pPr>
            <w:pStyle w:val="TDC2"/>
            <w:rPr>
              <w:noProof/>
              <w:sz w:val="22"/>
              <w:szCs w:val="22"/>
              <w:lang w:val="es-ES"/>
            </w:rPr>
          </w:pPr>
          <w:hyperlink w:anchor="_Toc71832781" w:history="1">
            <w:r w:rsidR="00EE582A" w:rsidRPr="00D00188">
              <w:rPr>
                <w:rStyle w:val="Hipervnculo"/>
                <w:noProof/>
                <w:lang w:val="es-ES"/>
              </w:rPr>
              <w:t>a) Acto impugnado:</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_Toc71832781 \h </w:instrText>
            </w:r>
            <w:r w:rsidR="00EE582A" w:rsidRPr="00D00188">
              <w:rPr>
                <w:noProof/>
                <w:webHidden/>
              </w:rPr>
            </w:r>
            <w:r w:rsidR="00EE582A" w:rsidRPr="00D00188">
              <w:rPr>
                <w:noProof/>
                <w:webHidden/>
              </w:rPr>
              <w:fldChar w:fldCharType="separate"/>
            </w:r>
            <w:r w:rsidR="00EE582A" w:rsidRPr="00D00188">
              <w:rPr>
                <w:noProof/>
                <w:webHidden/>
              </w:rPr>
              <w:t>7</w:t>
            </w:r>
            <w:r w:rsidR="00EE582A" w:rsidRPr="00D00188">
              <w:rPr>
                <w:noProof/>
                <w:webHidden/>
              </w:rPr>
              <w:fldChar w:fldCharType="end"/>
            </w:r>
          </w:hyperlink>
        </w:p>
        <w:p w14:paraId="6C280A1D" w14:textId="77777777" w:rsidR="00EE582A" w:rsidRPr="00D00188" w:rsidRDefault="00F952BC">
          <w:pPr>
            <w:pStyle w:val="TDC2"/>
            <w:rPr>
              <w:noProof/>
              <w:sz w:val="22"/>
              <w:szCs w:val="22"/>
              <w:lang w:val="es-ES"/>
            </w:rPr>
          </w:pPr>
          <w:hyperlink w:anchor="_Toc71832782" w:history="1">
            <w:r w:rsidR="00EE582A" w:rsidRPr="00D00188">
              <w:rPr>
                <w:rStyle w:val="Hipervnculo"/>
                <w:noProof/>
                <w:lang w:val="es-ES"/>
              </w:rPr>
              <w:t>b) Razones o Motivos de inconformidad:</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_Toc71832782 \h </w:instrText>
            </w:r>
            <w:r w:rsidR="00EE582A" w:rsidRPr="00D00188">
              <w:rPr>
                <w:noProof/>
                <w:webHidden/>
              </w:rPr>
            </w:r>
            <w:r w:rsidR="00EE582A" w:rsidRPr="00D00188">
              <w:rPr>
                <w:noProof/>
                <w:webHidden/>
              </w:rPr>
              <w:fldChar w:fldCharType="separate"/>
            </w:r>
            <w:r w:rsidR="00EE582A" w:rsidRPr="00D00188">
              <w:rPr>
                <w:noProof/>
                <w:webHidden/>
              </w:rPr>
              <w:t>7</w:t>
            </w:r>
            <w:r w:rsidR="00EE582A" w:rsidRPr="00D00188">
              <w:rPr>
                <w:noProof/>
                <w:webHidden/>
              </w:rPr>
              <w:fldChar w:fldCharType="end"/>
            </w:r>
          </w:hyperlink>
        </w:p>
        <w:p w14:paraId="5718E29C" w14:textId="77777777" w:rsidR="00EE582A" w:rsidRPr="00D00188" w:rsidRDefault="00F952BC">
          <w:pPr>
            <w:pStyle w:val="TDC1"/>
            <w:rPr>
              <w:noProof/>
              <w:sz w:val="22"/>
              <w:szCs w:val="22"/>
              <w:lang w:val="es-ES"/>
            </w:rPr>
          </w:pPr>
          <w:hyperlink w:anchor="_Toc71832783" w:history="1">
            <w:r w:rsidR="00EE582A" w:rsidRPr="00D00188">
              <w:rPr>
                <w:rStyle w:val="Hipervnculo"/>
                <w:noProof/>
              </w:rPr>
              <w:t>CONSIDERANDOS</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_Toc71832783 \h </w:instrText>
            </w:r>
            <w:r w:rsidR="00EE582A" w:rsidRPr="00D00188">
              <w:rPr>
                <w:noProof/>
                <w:webHidden/>
              </w:rPr>
            </w:r>
            <w:r w:rsidR="00EE582A" w:rsidRPr="00D00188">
              <w:rPr>
                <w:noProof/>
                <w:webHidden/>
              </w:rPr>
              <w:fldChar w:fldCharType="separate"/>
            </w:r>
            <w:r w:rsidR="00EE582A" w:rsidRPr="00D00188">
              <w:rPr>
                <w:noProof/>
                <w:webHidden/>
              </w:rPr>
              <w:t>9</w:t>
            </w:r>
            <w:r w:rsidR="00EE582A" w:rsidRPr="00D00188">
              <w:rPr>
                <w:noProof/>
                <w:webHidden/>
              </w:rPr>
              <w:fldChar w:fldCharType="end"/>
            </w:r>
          </w:hyperlink>
        </w:p>
        <w:p w14:paraId="70BA600C" w14:textId="77777777" w:rsidR="00EE582A" w:rsidRPr="00D00188" w:rsidRDefault="00F952BC">
          <w:pPr>
            <w:pStyle w:val="TDC1"/>
            <w:rPr>
              <w:noProof/>
              <w:sz w:val="22"/>
              <w:szCs w:val="22"/>
              <w:lang w:val="es-ES"/>
            </w:rPr>
          </w:pPr>
          <w:hyperlink w:anchor="_Toc71832784" w:history="1">
            <w:r w:rsidR="00EE582A" w:rsidRPr="00D00188">
              <w:rPr>
                <w:rStyle w:val="Hipervnculo"/>
                <w:noProof/>
              </w:rPr>
              <w:t>PRIMERO. De la competencia</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_Toc71832784 \h </w:instrText>
            </w:r>
            <w:r w:rsidR="00EE582A" w:rsidRPr="00D00188">
              <w:rPr>
                <w:noProof/>
                <w:webHidden/>
              </w:rPr>
            </w:r>
            <w:r w:rsidR="00EE582A" w:rsidRPr="00D00188">
              <w:rPr>
                <w:noProof/>
                <w:webHidden/>
              </w:rPr>
              <w:fldChar w:fldCharType="separate"/>
            </w:r>
            <w:r w:rsidR="00EE582A" w:rsidRPr="00D00188">
              <w:rPr>
                <w:noProof/>
                <w:webHidden/>
              </w:rPr>
              <w:t>9</w:t>
            </w:r>
            <w:r w:rsidR="00EE582A" w:rsidRPr="00D00188">
              <w:rPr>
                <w:noProof/>
                <w:webHidden/>
              </w:rPr>
              <w:fldChar w:fldCharType="end"/>
            </w:r>
          </w:hyperlink>
        </w:p>
        <w:p w14:paraId="3903A359" w14:textId="77777777" w:rsidR="00EE582A" w:rsidRPr="00D00188" w:rsidRDefault="00F952BC">
          <w:pPr>
            <w:pStyle w:val="TDC1"/>
            <w:rPr>
              <w:noProof/>
              <w:sz w:val="22"/>
              <w:szCs w:val="22"/>
              <w:lang w:val="es-ES"/>
            </w:rPr>
          </w:pPr>
          <w:hyperlink w:anchor="_Toc71832785" w:history="1">
            <w:r w:rsidR="00EE582A" w:rsidRPr="00D00188">
              <w:rPr>
                <w:rStyle w:val="Hipervnculo"/>
                <w:noProof/>
              </w:rPr>
              <w:t>SEGUNDO. De la oportunidad y procedencia.</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_Toc71832785 \h </w:instrText>
            </w:r>
            <w:r w:rsidR="00EE582A" w:rsidRPr="00D00188">
              <w:rPr>
                <w:noProof/>
                <w:webHidden/>
              </w:rPr>
            </w:r>
            <w:r w:rsidR="00EE582A" w:rsidRPr="00D00188">
              <w:rPr>
                <w:noProof/>
                <w:webHidden/>
              </w:rPr>
              <w:fldChar w:fldCharType="separate"/>
            </w:r>
            <w:r w:rsidR="00EE582A" w:rsidRPr="00D00188">
              <w:rPr>
                <w:noProof/>
                <w:webHidden/>
              </w:rPr>
              <w:t>9</w:t>
            </w:r>
            <w:r w:rsidR="00EE582A" w:rsidRPr="00D00188">
              <w:rPr>
                <w:noProof/>
                <w:webHidden/>
              </w:rPr>
              <w:fldChar w:fldCharType="end"/>
            </w:r>
          </w:hyperlink>
        </w:p>
        <w:p w14:paraId="5B9E51E4" w14:textId="77777777" w:rsidR="00EE582A" w:rsidRPr="00D00188" w:rsidRDefault="00F952BC">
          <w:pPr>
            <w:pStyle w:val="TDC2"/>
            <w:rPr>
              <w:noProof/>
              <w:sz w:val="22"/>
              <w:szCs w:val="22"/>
              <w:lang w:val="es-ES"/>
            </w:rPr>
          </w:pPr>
          <w:hyperlink w:anchor="_Toc71832786" w:history="1">
            <w:r w:rsidR="00EE582A" w:rsidRPr="00D00188">
              <w:rPr>
                <w:rStyle w:val="Hipervnculo"/>
                <w:noProof/>
              </w:rPr>
              <w:t>TERCERO. Cuestiones de previo y especial pronunciamiento.</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_Toc71832786 \h </w:instrText>
            </w:r>
            <w:r w:rsidR="00EE582A" w:rsidRPr="00D00188">
              <w:rPr>
                <w:noProof/>
                <w:webHidden/>
              </w:rPr>
            </w:r>
            <w:r w:rsidR="00EE582A" w:rsidRPr="00D00188">
              <w:rPr>
                <w:noProof/>
                <w:webHidden/>
              </w:rPr>
              <w:fldChar w:fldCharType="separate"/>
            </w:r>
            <w:r w:rsidR="00EE582A" w:rsidRPr="00D00188">
              <w:rPr>
                <w:noProof/>
                <w:webHidden/>
              </w:rPr>
              <w:t>12</w:t>
            </w:r>
            <w:r w:rsidR="00EE582A" w:rsidRPr="00D00188">
              <w:rPr>
                <w:noProof/>
                <w:webHidden/>
              </w:rPr>
              <w:fldChar w:fldCharType="end"/>
            </w:r>
          </w:hyperlink>
        </w:p>
        <w:p w14:paraId="63B87962" w14:textId="77777777" w:rsidR="00EE582A" w:rsidRPr="00D00188" w:rsidRDefault="00F952BC">
          <w:pPr>
            <w:pStyle w:val="TDC2"/>
            <w:rPr>
              <w:noProof/>
              <w:sz w:val="22"/>
              <w:szCs w:val="22"/>
              <w:lang w:val="es-ES"/>
            </w:rPr>
          </w:pPr>
          <w:hyperlink w:anchor="_Toc71832787" w:history="1">
            <w:r w:rsidR="00EE582A" w:rsidRPr="00D00188">
              <w:rPr>
                <w:rStyle w:val="Hipervnculo"/>
                <w:noProof/>
              </w:rPr>
              <w:t>CUARTO. Del planteamiento de la litis.</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_Toc71832787 \h </w:instrText>
            </w:r>
            <w:r w:rsidR="00EE582A" w:rsidRPr="00D00188">
              <w:rPr>
                <w:noProof/>
                <w:webHidden/>
              </w:rPr>
            </w:r>
            <w:r w:rsidR="00EE582A" w:rsidRPr="00D00188">
              <w:rPr>
                <w:noProof/>
                <w:webHidden/>
              </w:rPr>
              <w:fldChar w:fldCharType="separate"/>
            </w:r>
            <w:r w:rsidR="00EE582A" w:rsidRPr="00D00188">
              <w:rPr>
                <w:noProof/>
                <w:webHidden/>
              </w:rPr>
              <w:t>17</w:t>
            </w:r>
            <w:r w:rsidR="00EE582A" w:rsidRPr="00D00188">
              <w:rPr>
                <w:noProof/>
                <w:webHidden/>
              </w:rPr>
              <w:fldChar w:fldCharType="end"/>
            </w:r>
          </w:hyperlink>
        </w:p>
        <w:p w14:paraId="37159179" w14:textId="77777777" w:rsidR="00EE582A" w:rsidRPr="00D00188" w:rsidRDefault="00F952BC">
          <w:pPr>
            <w:pStyle w:val="TDC2"/>
            <w:rPr>
              <w:noProof/>
              <w:sz w:val="22"/>
              <w:szCs w:val="22"/>
              <w:lang w:val="es-ES"/>
            </w:rPr>
          </w:pPr>
          <w:hyperlink w:anchor="_Toc71832788" w:history="1">
            <w:r w:rsidR="00EE582A" w:rsidRPr="00D00188">
              <w:rPr>
                <w:rStyle w:val="Hipervnculo"/>
                <w:noProof/>
              </w:rPr>
              <w:t>QUINTO. Del estudio y resolución del asunto.</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_Toc71832788 \h </w:instrText>
            </w:r>
            <w:r w:rsidR="00EE582A" w:rsidRPr="00D00188">
              <w:rPr>
                <w:noProof/>
                <w:webHidden/>
              </w:rPr>
            </w:r>
            <w:r w:rsidR="00EE582A" w:rsidRPr="00D00188">
              <w:rPr>
                <w:noProof/>
                <w:webHidden/>
              </w:rPr>
              <w:fldChar w:fldCharType="separate"/>
            </w:r>
            <w:r w:rsidR="00EE582A" w:rsidRPr="00D00188">
              <w:rPr>
                <w:noProof/>
                <w:webHidden/>
              </w:rPr>
              <w:t>19</w:t>
            </w:r>
            <w:r w:rsidR="00EE582A" w:rsidRPr="00D00188">
              <w:rPr>
                <w:noProof/>
                <w:webHidden/>
              </w:rPr>
              <w:fldChar w:fldCharType="end"/>
            </w:r>
          </w:hyperlink>
        </w:p>
        <w:p w14:paraId="517AA5E0" w14:textId="77777777" w:rsidR="00EE582A" w:rsidRPr="00D00188" w:rsidRDefault="00F952BC">
          <w:pPr>
            <w:pStyle w:val="TDC2"/>
            <w:tabs>
              <w:tab w:val="left" w:pos="660"/>
            </w:tabs>
            <w:rPr>
              <w:noProof/>
              <w:sz w:val="22"/>
              <w:szCs w:val="22"/>
              <w:lang w:val="es-ES"/>
            </w:rPr>
          </w:pPr>
          <w:hyperlink w:anchor="_Toc71832789" w:history="1">
            <w:r w:rsidR="00EE582A" w:rsidRPr="00D00188">
              <w:rPr>
                <w:rStyle w:val="Hipervnculo"/>
                <w:noProof/>
              </w:rPr>
              <w:t>I.</w:t>
            </w:r>
            <w:r w:rsidR="00EE582A" w:rsidRPr="00D00188">
              <w:rPr>
                <w:noProof/>
                <w:sz w:val="22"/>
                <w:szCs w:val="22"/>
                <w:lang w:val="es-ES"/>
              </w:rPr>
              <w:tab/>
            </w:r>
            <w:r w:rsidR="00EE582A" w:rsidRPr="00D00188">
              <w:rPr>
                <w:rStyle w:val="Hipervnculo"/>
                <w:noProof/>
              </w:rPr>
              <w:t>De la respuesta emitida por el SUJETO OBLIGADO.</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_Toc71832789 \h </w:instrText>
            </w:r>
            <w:r w:rsidR="00EE582A" w:rsidRPr="00D00188">
              <w:rPr>
                <w:noProof/>
                <w:webHidden/>
              </w:rPr>
            </w:r>
            <w:r w:rsidR="00EE582A" w:rsidRPr="00D00188">
              <w:rPr>
                <w:noProof/>
                <w:webHidden/>
              </w:rPr>
              <w:fldChar w:fldCharType="separate"/>
            </w:r>
            <w:r w:rsidR="00EE582A" w:rsidRPr="00D00188">
              <w:rPr>
                <w:noProof/>
                <w:webHidden/>
              </w:rPr>
              <w:t>19</w:t>
            </w:r>
            <w:r w:rsidR="00EE582A" w:rsidRPr="00D00188">
              <w:rPr>
                <w:noProof/>
                <w:webHidden/>
              </w:rPr>
              <w:fldChar w:fldCharType="end"/>
            </w:r>
          </w:hyperlink>
        </w:p>
        <w:p w14:paraId="693A50D3" w14:textId="77777777" w:rsidR="00EE582A" w:rsidRPr="00D00188" w:rsidRDefault="00F952BC">
          <w:pPr>
            <w:pStyle w:val="TDC2"/>
            <w:rPr>
              <w:noProof/>
              <w:sz w:val="22"/>
              <w:szCs w:val="22"/>
              <w:lang w:val="es-ES"/>
            </w:rPr>
          </w:pPr>
          <w:hyperlink w:anchor="_Toc71832790" w:history="1">
            <w:r w:rsidR="00EE582A" w:rsidRPr="00D00188">
              <w:rPr>
                <w:rStyle w:val="Hipervnculo"/>
                <w:noProof/>
              </w:rPr>
              <w:t>II. De la fuente de atribuciones del Poder Judicial.</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_Toc71832790 \h </w:instrText>
            </w:r>
            <w:r w:rsidR="00EE582A" w:rsidRPr="00D00188">
              <w:rPr>
                <w:noProof/>
                <w:webHidden/>
              </w:rPr>
            </w:r>
            <w:r w:rsidR="00EE582A" w:rsidRPr="00D00188">
              <w:rPr>
                <w:noProof/>
                <w:webHidden/>
              </w:rPr>
              <w:fldChar w:fldCharType="separate"/>
            </w:r>
            <w:r w:rsidR="00EE582A" w:rsidRPr="00D00188">
              <w:rPr>
                <w:noProof/>
                <w:webHidden/>
              </w:rPr>
              <w:t>24</w:t>
            </w:r>
            <w:r w:rsidR="00EE582A" w:rsidRPr="00D00188">
              <w:rPr>
                <w:noProof/>
                <w:webHidden/>
              </w:rPr>
              <w:fldChar w:fldCharType="end"/>
            </w:r>
          </w:hyperlink>
        </w:p>
        <w:p w14:paraId="7D3B8F4E" w14:textId="77777777" w:rsidR="00EE582A" w:rsidRPr="00D00188" w:rsidRDefault="00F952BC">
          <w:pPr>
            <w:pStyle w:val="TDC2"/>
            <w:rPr>
              <w:noProof/>
              <w:sz w:val="22"/>
              <w:szCs w:val="22"/>
              <w:lang w:val="es-ES"/>
            </w:rPr>
          </w:pPr>
          <w:hyperlink w:anchor="_Toc71832791" w:history="1">
            <w:r w:rsidR="00EE582A" w:rsidRPr="00D00188">
              <w:rPr>
                <w:rStyle w:val="Hipervnculo"/>
                <w:noProof/>
              </w:rPr>
              <w:t>III. De la declinación de competencia hacia el Poder Judicial.</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_Toc71832791 \h </w:instrText>
            </w:r>
            <w:r w:rsidR="00EE582A" w:rsidRPr="00D00188">
              <w:rPr>
                <w:noProof/>
                <w:webHidden/>
              </w:rPr>
            </w:r>
            <w:r w:rsidR="00EE582A" w:rsidRPr="00D00188">
              <w:rPr>
                <w:noProof/>
                <w:webHidden/>
              </w:rPr>
              <w:fldChar w:fldCharType="separate"/>
            </w:r>
            <w:r w:rsidR="00EE582A" w:rsidRPr="00D00188">
              <w:rPr>
                <w:noProof/>
                <w:webHidden/>
              </w:rPr>
              <w:t>28</w:t>
            </w:r>
            <w:r w:rsidR="00EE582A" w:rsidRPr="00D00188">
              <w:rPr>
                <w:noProof/>
                <w:webHidden/>
              </w:rPr>
              <w:fldChar w:fldCharType="end"/>
            </w:r>
          </w:hyperlink>
        </w:p>
        <w:p w14:paraId="70F5AFAD" w14:textId="77777777" w:rsidR="00EE582A" w:rsidRPr="00D00188" w:rsidRDefault="00F952BC">
          <w:pPr>
            <w:pStyle w:val="TDC2"/>
            <w:rPr>
              <w:noProof/>
              <w:sz w:val="22"/>
              <w:szCs w:val="22"/>
              <w:lang w:val="es-ES"/>
            </w:rPr>
          </w:pPr>
          <w:hyperlink w:anchor="_Toc71832792" w:history="1">
            <w:r w:rsidR="00EE582A" w:rsidRPr="00D00188">
              <w:rPr>
                <w:rStyle w:val="Hipervnculo"/>
                <w:noProof/>
              </w:rPr>
              <w:t>IV. De la fuente de atribuciones del Poder Legislativo.</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_Toc71832792 \h </w:instrText>
            </w:r>
            <w:r w:rsidR="00EE582A" w:rsidRPr="00D00188">
              <w:rPr>
                <w:noProof/>
                <w:webHidden/>
              </w:rPr>
            </w:r>
            <w:r w:rsidR="00EE582A" w:rsidRPr="00D00188">
              <w:rPr>
                <w:noProof/>
                <w:webHidden/>
              </w:rPr>
              <w:fldChar w:fldCharType="separate"/>
            </w:r>
            <w:r w:rsidR="00EE582A" w:rsidRPr="00D00188">
              <w:rPr>
                <w:noProof/>
                <w:webHidden/>
              </w:rPr>
              <w:t>31</w:t>
            </w:r>
            <w:r w:rsidR="00EE582A" w:rsidRPr="00D00188">
              <w:rPr>
                <w:noProof/>
                <w:webHidden/>
              </w:rPr>
              <w:fldChar w:fldCharType="end"/>
            </w:r>
          </w:hyperlink>
        </w:p>
        <w:p w14:paraId="1C6161EE" w14:textId="77777777" w:rsidR="00EE582A" w:rsidRPr="00D00188" w:rsidRDefault="00F952BC">
          <w:pPr>
            <w:pStyle w:val="TDC2"/>
            <w:rPr>
              <w:noProof/>
              <w:sz w:val="22"/>
              <w:szCs w:val="22"/>
              <w:lang w:val="es-ES"/>
            </w:rPr>
          </w:pPr>
          <w:hyperlink w:anchor="_Toc71832793" w:history="1">
            <w:r w:rsidR="00EE582A" w:rsidRPr="00D00188">
              <w:rPr>
                <w:rStyle w:val="Hipervnculo"/>
                <w:noProof/>
              </w:rPr>
              <w:t>V. Del Derecho de Acceso a la Información Pública y el deber de documentar.</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_Toc71832793 \h </w:instrText>
            </w:r>
            <w:r w:rsidR="00EE582A" w:rsidRPr="00D00188">
              <w:rPr>
                <w:noProof/>
                <w:webHidden/>
              </w:rPr>
            </w:r>
            <w:r w:rsidR="00EE582A" w:rsidRPr="00D00188">
              <w:rPr>
                <w:noProof/>
                <w:webHidden/>
              </w:rPr>
              <w:fldChar w:fldCharType="separate"/>
            </w:r>
            <w:r w:rsidR="00EE582A" w:rsidRPr="00D00188">
              <w:rPr>
                <w:noProof/>
                <w:webHidden/>
              </w:rPr>
              <w:t>33</w:t>
            </w:r>
            <w:r w:rsidR="00EE582A" w:rsidRPr="00D00188">
              <w:rPr>
                <w:noProof/>
                <w:webHidden/>
              </w:rPr>
              <w:fldChar w:fldCharType="end"/>
            </w:r>
          </w:hyperlink>
        </w:p>
        <w:p w14:paraId="5EF6B875" w14:textId="77777777" w:rsidR="00EE582A" w:rsidRPr="00D00188" w:rsidRDefault="00F952BC">
          <w:pPr>
            <w:pStyle w:val="TDC2"/>
            <w:rPr>
              <w:noProof/>
              <w:sz w:val="22"/>
              <w:szCs w:val="22"/>
              <w:lang w:val="es-ES"/>
            </w:rPr>
          </w:pPr>
          <w:hyperlink w:anchor="_Toc71832794" w:history="1">
            <w:r w:rsidR="00EE582A" w:rsidRPr="00D00188">
              <w:rPr>
                <w:rStyle w:val="Hipervnculo"/>
                <w:noProof/>
              </w:rPr>
              <w:t>SEXTO. De la versión pública.</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_Toc71832794 \h </w:instrText>
            </w:r>
            <w:r w:rsidR="00EE582A" w:rsidRPr="00D00188">
              <w:rPr>
                <w:noProof/>
                <w:webHidden/>
              </w:rPr>
            </w:r>
            <w:r w:rsidR="00EE582A" w:rsidRPr="00D00188">
              <w:rPr>
                <w:noProof/>
                <w:webHidden/>
              </w:rPr>
              <w:fldChar w:fldCharType="separate"/>
            </w:r>
            <w:r w:rsidR="00EE582A" w:rsidRPr="00D00188">
              <w:rPr>
                <w:noProof/>
                <w:webHidden/>
              </w:rPr>
              <w:t>35</w:t>
            </w:r>
            <w:r w:rsidR="00EE582A" w:rsidRPr="00D00188">
              <w:rPr>
                <w:noProof/>
                <w:webHidden/>
              </w:rPr>
              <w:fldChar w:fldCharType="end"/>
            </w:r>
          </w:hyperlink>
        </w:p>
        <w:p w14:paraId="3A0F47E8" w14:textId="77777777" w:rsidR="00EE582A" w:rsidRPr="00D00188" w:rsidRDefault="00F952BC">
          <w:pPr>
            <w:pStyle w:val="TDC2"/>
            <w:tabs>
              <w:tab w:val="left" w:pos="880"/>
            </w:tabs>
            <w:rPr>
              <w:noProof/>
              <w:sz w:val="22"/>
              <w:szCs w:val="22"/>
              <w:lang w:val="es-ES"/>
            </w:rPr>
          </w:pPr>
          <w:hyperlink w:anchor="_Toc71832795" w:history="1">
            <w:r w:rsidR="00EE582A" w:rsidRPr="00D00188">
              <w:rPr>
                <w:rStyle w:val="Hipervnculo"/>
                <w:noProof/>
              </w:rPr>
              <w:t>A.</w:t>
            </w:r>
            <w:r w:rsidR="00EE582A" w:rsidRPr="00D00188">
              <w:rPr>
                <w:noProof/>
                <w:sz w:val="22"/>
                <w:szCs w:val="22"/>
                <w:lang w:val="es-ES"/>
              </w:rPr>
              <w:tab/>
            </w:r>
            <w:r w:rsidR="00EE582A" w:rsidRPr="00D00188">
              <w:rPr>
                <w:rStyle w:val="Hipervnculo"/>
                <w:noProof/>
              </w:rPr>
              <w:t>Requisitos de fondo del acuerdo de clasificación.</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_Toc71832795 \h </w:instrText>
            </w:r>
            <w:r w:rsidR="00EE582A" w:rsidRPr="00D00188">
              <w:rPr>
                <w:noProof/>
                <w:webHidden/>
              </w:rPr>
            </w:r>
            <w:r w:rsidR="00EE582A" w:rsidRPr="00D00188">
              <w:rPr>
                <w:noProof/>
                <w:webHidden/>
              </w:rPr>
              <w:fldChar w:fldCharType="separate"/>
            </w:r>
            <w:r w:rsidR="00EE582A" w:rsidRPr="00D00188">
              <w:rPr>
                <w:noProof/>
                <w:webHidden/>
              </w:rPr>
              <w:t>38</w:t>
            </w:r>
            <w:r w:rsidR="00EE582A" w:rsidRPr="00D00188">
              <w:rPr>
                <w:noProof/>
                <w:webHidden/>
              </w:rPr>
              <w:fldChar w:fldCharType="end"/>
            </w:r>
          </w:hyperlink>
        </w:p>
        <w:p w14:paraId="77465C3B" w14:textId="77777777" w:rsidR="00EE582A" w:rsidRPr="00D00188" w:rsidRDefault="00F952BC">
          <w:pPr>
            <w:pStyle w:val="TDC2"/>
            <w:rPr>
              <w:noProof/>
              <w:sz w:val="22"/>
              <w:szCs w:val="22"/>
              <w:lang w:val="es-ES"/>
            </w:rPr>
          </w:pPr>
          <w:hyperlink w:anchor="_Toc71832796" w:history="1">
            <w:r w:rsidR="00EE582A" w:rsidRPr="00D00188">
              <w:rPr>
                <w:rStyle w:val="Hipervnculo"/>
                <w:noProof/>
                <w:lang w:val="es-ES"/>
              </w:rPr>
              <w:t>R E S O L U T I V O S</w:t>
            </w:r>
            <w:r w:rsidR="00EE582A" w:rsidRPr="00D00188">
              <w:rPr>
                <w:noProof/>
                <w:webHidden/>
              </w:rPr>
              <w:tab/>
            </w:r>
            <w:r w:rsidR="00EE582A" w:rsidRPr="00D00188">
              <w:rPr>
                <w:noProof/>
                <w:webHidden/>
              </w:rPr>
              <w:fldChar w:fldCharType="begin"/>
            </w:r>
            <w:r w:rsidR="00EE582A" w:rsidRPr="00D00188">
              <w:rPr>
                <w:noProof/>
                <w:webHidden/>
              </w:rPr>
              <w:instrText xml:space="preserve"> PAGEREF _Toc71832796 \h </w:instrText>
            </w:r>
            <w:r w:rsidR="00EE582A" w:rsidRPr="00D00188">
              <w:rPr>
                <w:noProof/>
                <w:webHidden/>
              </w:rPr>
            </w:r>
            <w:r w:rsidR="00EE582A" w:rsidRPr="00D00188">
              <w:rPr>
                <w:noProof/>
                <w:webHidden/>
              </w:rPr>
              <w:fldChar w:fldCharType="separate"/>
            </w:r>
            <w:r w:rsidR="00EE582A" w:rsidRPr="00D00188">
              <w:rPr>
                <w:noProof/>
                <w:webHidden/>
              </w:rPr>
              <w:t>42</w:t>
            </w:r>
            <w:r w:rsidR="00EE582A" w:rsidRPr="00D00188">
              <w:rPr>
                <w:noProof/>
                <w:webHidden/>
              </w:rPr>
              <w:fldChar w:fldCharType="end"/>
            </w:r>
          </w:hyperlink>
        </w:p>
        <w:p w14:paraId="238F4D65" w14:textId="010FFD9F" w:rsidR="004C3391" w:rsidRPr="00D00188" w:rsidRDefault="004C3391" w:rsidP="006229F8">
          <w:pPr>
            <w:spacing w:line="360" w:lineRule="auto"/>
            <w:rPr>
              <w:rFonts w:ascii="Palatino Linotype" w:hAnsi="Palatino Linotype"/>
              <w:b/>
              <w:bCs/>
              <w:lang w:val="es-ES"/>
            </w:rPr>
          </w:pPr>
          <w:r w:rsidRPr="00D00188">
            <w:rPr>
              <w:rFonts w:ascii="Palatino Linotype" w:hAnsi="Palatino Linotype"/>
              <w:b/>
              <w:bCs/>
              <w:lang w:val="es-ES"/>
            </w:rPr>
            <w:fldChar w:fldCharType="end"/>
          </w:r>
          <w:r w:rsidR="007F0D05" w:rsidRPr="00D00188">
            <w:rPr>
              <w:rFonts w:ascii="Palatino Linotype" w:hAnsi="Palatino Linotype"/>
              <w:b/>
              <w:bCs/>
              <w:lang w:val="es-ES"/>
            </w:rPr>
            <w:br w:type="page"/>
          </w:r>
        </w:p>
      </w:sdtContent>
    </w:sdt>
    <w:p w14:paraId="4B98D024" w14:textId="24E6111E" w:rsidR="004C3391" w:rsidRPr="00D00188" w:rsidRDefault="004C3391" w:rsidP="006229F8">
      <w:pPr>
        <w:tabs>
          <w:tab w:val="left" w:pos="567"/>
        </w:tabs>
        <w:spacing w:before="240" w:after="240" w:line="360" w:lineRule="auto"/>
        <w:jc w:val="both"/>
        <w:rPr>
          <w:rFonts w:ascii="Palatino Linotype" w:hAnsi="Palatino Linotype"/>
          <w:lang w:val="es-MX"/>
        </w:rPr>
      </w:pPr>
      <w:r w:rsidRPr="00D00188">
        <w:rPr>
          <w:rFonts w:ascii="Palatino Linotype" w:hAnsi="Palatino Linotype"/>
        </w:rPr>
        <w:lastRenderedPageBreak/>
        <w:t>R</w:t>
      </w:r>
      <w:proofErr w:type="spellStart"/>
      <w:r w:rsidRPr="00D00188">
        <w:rPr>
          <w:rFonts w:ascii="Palatino Linotype" w:hAnsi="Palatino Linotype"/>
          <w:lang w:val="es-MX"/>
        </w:rPr>
        <w:t>esolución</w:t>
      </w:r>
      <w:proofErr w:type="spellEnd"/>
      <w:r w:rsidRPr="00D00188">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D00188">
        <w:rPr>
          <w:rFonts w:ascii="Palatino Linotype" w:hAnsi="Palatino Linotype"/>
          <w:lang w:val="es-MX"/>
        </w:rPr>
        <w:t>diecinueve</w:t>
      </w:r>
      <w:r w:rsidRPr="00D00188">
        <w:rPr>
          <w:rFonts w:ascii="Palatino Linotype" w:hAnsi="Palatino Linotype"/>
          <w:lang w:val="es-MX"/>
        </w:rPr>
        <w:t xml:space="preserve"> (</w:t>
      </w:r>
      <w:r w:rsidR="00D00188">
        <w:rPr>
          <w:rFonts w:ascii="Palatino Linotype" w:hAnsi="Palatino Linotype"/>
          <w:lang w:val="es-MX"/>
        </w:rPr>
        <w:t>19</w:t>
      </w:r>
      <w:r w:rsidRPr="00D00188">
        <w:rPr>
          <w:rFonts w:ascii="Palatino Linotype" w:hAnsi="Palatino Linotype"/>
          <w:lang w:val="es-MX"/>
        </w:rPr>
        <w:t xml:space="preserve">) de </w:t>
      </w:r>
      <w:r w:rsidR="00D00188">
        <w:rPr>
          <w:rFonts w:ascii="Palatino Linotype" w:hAnsi="Palatino Linotype"/>
          <w:lang w:val="es-MX"/>
        </w:rPr>
        <w:t>mayo</w:t>
      </w:r>
      <w:r w:rsidRPr="00D00188">
        <w:rPr>
          <w:rFonts w:ascii="Palatino Linotype" w:hAnsi="Palatino Linotype"/>
          <w:lang w:val="es-MX"/>
        </w:rPr>
        <w:t xml:space="preserve"> de dos mil veint</w:t>
      </w:r>
      <w:r w:rsidR="00C112AD" w:rsidRPr="00D00188">
        <w:rPr>
          <w:rFonts w:ascii="Palatino Linotype" w:hAnsi="Palatino Linotype"/>
          <w:lang w:val="es-MX"/>
        </w:rPr>
        <w:t>iuno</w:t>
      </w:r>
      <w:r w:rsidRPr="00D00188">
        <w:rPr>
          <w:rFonts w:ascii="Palatino Linotype" w:hAnsi="Palatino Linotype"/>
          <w:lang w:val="es-MX"/>
        </w:rPr>
        <w:t>.</w:t>
      </w:r>
    </w:p>
    <w:p w14:paraId="4075D49D" w14:textId="21D813D7" w:rsidR="004C3391" w:rsidRPr="00D00188" w:rsidRDefault="004C3391" w:rsidP="006229F8">
      <w:pPr>
        <w:pStyle w:val="Encabezado"/>
        <w:spacing w:line="360" w:lineRule="auto"/>
        <w:jc w:val="both"/>
        <w:rPr>
          <w:rFonts w:ascii="Palatino Linotype" w:hAnsi="Palatino Linotype"/>
          <w:b/>
          <w:bCs/>
          <w:color w:val="000000"/>
        </w:rPr>
      </w:pPr>
      <w:r w:rsidRPr="00D00188">
        <w:rPr>
          <w:rFonts w:ascii="Palatino Linotype" w:eastAsia="Times New Roman" w:hAnsi="Palatino Linotype" w:cs="Times New Roman"/>
          <w:b/>
        </w:rPr>
        <w:t>VISTO</w:t>
      </w:r>
      <w:r w:rsidRPr="00D00188">
        <w:rPr>
          <w:rFonts w:ascii="Palatino Linotype" w:eastAsia="Times New Roman" w:hAnsi="Palatino Linotype" w:cs="Times New Roman"/>
        </w:rPr>
        <w:t xml:space="preserve"> el expediente electrónico formado con motivo del recurso de revisión número </w:t>
      </w:r>
      <w:r w:rsidR="008B3CE1" w:rsidRPr="00D00188">
        <w:rPr>
          <w:rFonts w:ascii="Palatino Linotype" w:hAnsi="Palatino Linotype" w:cs="Arial"/>
          <w:b/>
          <w:bCs/>
          <w:lang w:eastAsia="es-MX"/>
        </w:rPr>
        <w:t>00733/INFOEM/IP/RR/2021</w:t>
      </w:r>
      <w:r w:rsidRPr="00D00188">
        <w:rPr>
          <w:rFonts w:ascii="Palatino Linotype" w:eastAsia="Times New Roman" w:hAnsi="Palatino Linotype" w:cs="Arial"/>
          <w:bCs/>
        </w:rPr>
        <w:t xml:space="preserve">, </w:t>
      </w:r>
      <w:r w:rsidRPr="00D00188">
        <w:rPr>
          <w:rFonts w:ascii="Palatino Linotype" w:eastAsia="Times New Roman" w:hAnsi="Palatino Linotype" w:cs="Times New Roman"/>
        </w:rPr>
        <w:t>promovido por</w:t>
      </w:r>
      <w:r w:rsidRPr="00D00188">
        <w:rPr>
          <w:rFonts w:ascii="Palatino Linotype" w:eastAsia="Times New Roman" w:hAnsi="Palatino Linotype" w:cs="Times New Roman"/>
          <w:b/>
        </w:rPr>
        <w:t xml:space="preserve"> </w:t>
      </w:r>
      <w:r w:rsidR="00F952BC" w:rsidRPr="00F952BC">
        <w:rPr>
          <w:rFonts w:ascii="Palatino Linotype" w:eastAsia="Times New Roman" w:hAnsi="Palatino Linotype" w:cs="Times New Roman"/>
          <w:b/>
          <w:highlight w:val="black"/>
        </w:rPr>
        <w:t>-----------------------------------------------------</w:t>
      </w:r>
      <w:r w:rsidR="003E701F" w:rsidRPr="00D00188">
        <w:rPr>
          <w:rFonts w:ascii="Palatino Linotype" w:eastAsia="Times New Roman" w:hAnsi="Palatino Linotype" w:cs="Times New Roman"/>
          <w:b/>
        </w:rPr>
        <w:t xml:space="preserve"> </w:t>
      </w:r>
      <w:r w:rsidRPr="00D00188">
        <w:rPr>
          <w:rFonts w:ascii="Palatino Linotype" w:eastAsia="Times New Roman" w:hAnsi="Palatino Linotype" w:cs="Arial"/>
        </w:rPr>
        <w:t xml:space="preserve">en su calidad de </w:t>
      </w:r>
      <w:r w:rsidRPr="00D00188">
        <w:rPr>
          <w:rFonts w:ascii="Palatino Linotype" w:eastAsia="Times New Roman" w:hAnsi="Palatino Linotype" w:cs="Arial"/>
          <w:b/>
        </w:rPr>
        <w:t>RECURRENTE</w:t>
      </w:r>
      <w:r w:rsidR="00E15D91" w:rsidRPr="00D00188">
        <w:rPr>
          <w:rFonts w:ascii="Palatino Linotype" w:eastAsia="Times New Roman" w:hAnsi="Palatino Linotype" w:cs="Arial"/>
        </w:rPr>
        <w:t>, en contra de la respuesta de</w:t>
      </w:r>
      <w:r w:rsidR="007F5ACD" w:rsidRPr="00D00188">
        <w:rPr>
          <w:rFonts w:ascii="Palatino Linotype" w:eastAsia="Times New Roman" w:hAnsi="Palatino Linotype" w:cs="Arial"/>
        </w:rPr>
        <w:t xml:space="preserve">l </w:t>
      </w:r>
      <w:r w:rsidR="007F5ACD" w:rsidRPr="00D00188">
        <w:rPr>
          <w:rFonts w:ascii="Palatino Linotype" w:eastAsia="Times New Roman" w:hAnsi="Palatino Linotype" w:cs="Arial"/>
          <w:b/>
        </w:rPr>
        <w:t xml:space="preserve">Poder </w:t>
      </w:r>
      <w:r w:rsidR="003E701F" w:rsidRPr="00D00188">
        <w:rPr>
          <w:rFonts w:ascii="Palatino Linotype" w:eastAsia="Times New Roman" w:hAnsi="Palatino Linotype" w:cs="Arial"/>
          <w:b/>
        </w:rPr>
        <w:t>Legislativo</w:t>
      </w:r>
      <w:r w:rsidR="007F5ACD" w:rsidRPr="00D00188">
        <w:rPr>
          <w:rFonts w:ascii="Palatino Linotype" w:eastAsia="Times New Roman" w:hAnsi="Palatino Linotype" w:cs="Arial"/>
          <w:b/>
        </w:rPr>
        <w:t xml:space="preserve"> del Estado de México</w:t>
      </w:r>
      <w:r w:rsidRPr="00D00188">
        <w:rPr>
          <w:rFonts w:ascii="Palatino Linotype" w:eastAsia="Calibri" w:hAnsi="Palatino Linotype" w:cs="Arial"/>
          <w:lang w:val="es-ES"/>
        </w:rPr>
        <w:t xml:space="preserve">, </w:t>
      </w:r>
      <w:r w:rsidRPr="00D00188">
        <w:rPr>
          <w:rFonts w:ascii="Palatino Linotype" w:eastAsia="Times New Roman" w:hAnsi="Palatino Linotype" w:cs="Times New Roman"/>
        </w:rPr>
        <w:t>en lo sucesivo el</w:t>
      </w:r>
      <w:r w:rsidRPr="00D00188">
        <w:rPr>
          <w:rFonts w:ascii="Palatino Linotype" w:eastAsia="Times New Roman" w:hAnsi="Palatino Linotype" w:cs="Times New Roman"/>
          <w:b/>
        </w:rPr>
        <w:t xml:space="preserve"> SUJETO OBLIGADO, </w:t>
      </w:r>
      <w:r w:rsidRPr="00D00188">
        <w:rPr>
          <w:rFonts w:ascii="Palatino Linotype" w:eastAsia="Times New Roman" w:hAnsi="Palatino Linotype" w:cs="Times New Roman"/>
        </w:rPr>
        <w:t>se procede a dictar la presente resolución, con base en los siguientes:</w:t>
      </w:r>
    </w:p>
    <w:p w14:paraId="036A5538" w14:textId="77777777" w:rsidR="004C3391" w:rsidRPr="00D00188" w:rsidRDefault="004C3391" w:rsidP="006229F8">
      <w:pPr>
        <w:pStyle w:val="Ttulo1"/>
        <w:tabs>
          <w:tab w:val="left" w:pos="567"/>
        </w:tabs>
        <w:spacing w:line="360" w:lineRule="auto"/>
        <w:jc w:val="center"/>
        <w:rPr>
          <w:b w:val="0"/>
          <w:color w:val="auto"/>
        </w:rPr>
      </w:pPr>
      <w:bookmarkStart w:id="4" w:name="_Toc71832780"/>
      <w:r w:rsidRPr="00D00188">
        <w:rPr>
          <w:color w:val="auto"/>
        </w:rPr>
        <w:t>ANTECEDENTES</w:t>
      </w:r>
      <w:bookmarkEnd w:id="4"/>
    </w:p>
    <w:p w14:paraId="2153F214" w14:textId="77777777" w:rsidR="004C3391" w:rsidRPr="00D00188" w:rsidRDefault="004C3391" w:rsidP="006229F8">
      <w:pPr>
        <w:tabs>
          <w:tab w:val="left" w:pos="567"/>
        </w:tabs>
        <w:spacing w:line="360" w:lineRule="auto"/>
        <w:rPr>
          <w:rFonts w:ascii="Palatino Linotype" w:hAnsi="Palatino Linotype"/>
          <w:lang w:val="es-MX" w:eastAsia="en-US"/>
        </w:rPr>
      </w:pPr>
    </w:p>
    <w:p w14:paraId="2C7AAD9A" w14:textId="7C4291E2" w:rsidR="004C3391" w:rsidRPr="00D00188"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00188">
        <w:rPr>
          <w:rFonts w:ascii="Palatino Linotype" w:eastAsia="Calibri" w:hAnsi="Palatino Linotype" w:cs="Arial"/>
          <w:color w:val="000000" w:themeColor="text1"/>
          <w:lang w:val="es-ES"/>
        </w:rPr>
        <w:t xml:space="preserve">El día </w:t>
      </w:r>
      <w:r w:rsidR="00B81694" w:rsidRPr="00D00188">
        <w:rPr>
          <w:rFonts w:ascii="Palatino Linotype" w:eastAsia="Calibri" w:hAnsi="Palatino Linotype" w:cs="Arial"/>
          <w:color w:val="000000" w:themeColor="text1"/>
          <w:lang w:val="es-ES"/>
        </w:rPr>
        <w:t>cuatro</w:t>
      </w:r>
      <w:r w:rsidRPr="00D00188">
        <w:rPr>
          <w:rFonts w:ascii="Palatino Linotype" w:eastAsia="Calibri" w:hAnsi="Palatino Linotype" w:cs="Arial"/>
          <w:color w:val="000000" w:themeColor="text1"/>
          <w:lang w:val="es-ES"/>
        </w:rPr>
        <w:t xml:space="preserve"> (</w:t>
      </w:r>
      <w:r w:rsidR="0006365C" w:rsidRPr="00D00188">
        <w:rPr>
          <w:rFonts w:ascii="Palatino Linotype" w:eastAsia="Calibri" w:hAnsi="Palatino Linotype" w:cs="Arial"/>
          <w:color w:val="000000" w:themeColor="text1"/>
          <w:lang w:val="es-ES"/>
        </w:rPr>
        <w:t>0</w:t>
      </w:r>
      <w:r w:rsidR="00B81694" w:rsidRPr="00D00188">
        <w:rPr>
          <w:rFonts w:ascii="Palatino Linotype" w:eastAsia="Calibri" w:hAnsi="Palatino Linotype" w:cs="Arial"/>
          <w:color w:val="000000" w:themeColor="text1"/>
          <w:lang w:val="es-ES"/>
        </w:rPr>
        <w:t>4</w:t>
      </w:r>
      <w:r w:rsidRPr="00D00188">
        <w:rPr>
          <w:rFonts w:ascii="Palatino Linotype" w:eastAsia="Calibri" w:hAnsi="Palatino Linotype" w:cs="Arial"/>
          <w:color w:val="000000" w:themeColor="text1"/>
          <w:lang w:val="es-ES"/>
        </w:rPr>
        <w:t xml:space="preserve">) de </w:t>
      </w:r>
      <w:r w:rsidR="0006365C" w:rsidRPr="00D00188">
        <w:rPr>
          <w:rFonts w:ascii="Palatino Linotype" w:eastAsia="Calibri" w:hAnsi="Palatino Linotype" w:cs="Arial"/>
          <w:color w:val="000000" w:themeColor="text1"/>
          <w:lang w:val="es-ES"/>
        </w:rPr>
        <w:t>febrero</w:t>
      </w:r>
      <w:r w:rsidRPr="00D00188">
        <w:rPr>
          <w:rFonts w:ascii="Palatino Linotype" w:eastAsia="Calibri" w:hAnsi="Palatino Linotype" w:cs="Arial"/>
          <w:color w:val="000000" w:themeColor="text1"/>
          <w:lang w:val="es-ES"/>
        </w:rPr>
        <w:t xml:space="preserve"> de dos mil veint</w:t>
      </w:r>
      <w:r w:rsidR="0006365C" w:rsidRPr="00D00188">
        <w:rPr>
          <w:rFonts w:ascii="Palatino Linotype" w:eastAsia="Calibri" w:hAnsi="Palatino Linotype" w:cs="Arial"/>
          <w:color w:val="000000" w:themeColor="text1"/>
          <w:lang w:val="es-ES"/>
        </w:rPr>
        <w:t>iuno</w:t>
      </w:r>
      <w:r w:rsidRPr="00D00188">
        <w:rPr>
          <w:rFonts w:ascii="Palatino Linotype" w:eastAsia="Calibri" w:hAnsi="Palatino Linotype" w:cs="Arial"/>
          <w:color w:val="000000" w:themeColor="text1"/>
          <w:lang w:val="es-ES"/>
        </w:rPr>
        <w:t>,</w:t>
      </w:r>
      <w:r w:rsidRPr="00D00188">
        <w:rPr>
          <w:rFonts w:ascii="Palatino Linotype" w:eastAsia="Calibri" w:hAnsi="Palatino Linotype" w:cs="Times New Roman"/>
          <w:color w:val="000000" w:themeColor="text1"/>
          <w:lang w:val="es-ES"/>
        </w:rPr>
        <w:t xml:space="preserve"> </w:t>
      </w:r>
      <w:r w:rsidRPr="00D00188">
        <w:rPr>
          <w:rFonts w:ascii="Palatino Linotype" w:eastAsia="Calibri" w:hAnsi="Palatino Linotype" w:cs="Arial"/>
          <w:lang w:val="es-ES"/>
        </w:rPr>
        <w:t>se</w:t>
      </w:r>
      <w:r w:rsidRPr="00D00188">
        <w:rPr>
          <w:rFonts w:ascii="Palatino Linotype" w:eastAsia="Calibri" w:hAnsi="Palatino Linotype" w:cs="Arial"/>
          <w:b/>
          <w:lang w:val="es-ES"/>
        </w:rPr>
        <w:t xml:space="preserve"> </w:t>
      </w:r>
      <w:r w:rsidRPr="00D00188">
        <w:rPr>
          <w:rFonts w:ascii="Palatino Linotype" w:hAnsi="Palatino Linotype"/>
          <w:color w:val="000000" w:themeColor="text1"/>
        </w:rPr>
        <w:t>presentó</w:t>
      </w:r>
      <w:r w:rsidRPr="00D00188">
        <w:rPr>
          <w:rFonts w:ascii="Palatino Linotype" w:hAnsi="Palatino Linotype"/>
          <w:b/>
          <w:color w:val="000000" w:themeColor="text1"/>
        </w:rPr>
        <w:t xml:space="preserve"> </w:t>
      </w:r>
      <w:r w:rsidRPr="00D00188">
        <w:rPr>
          <w:rFonts w:ascii="Palatino Linotype" w:eastAsia="Calibri" w:hAnsi="Palatino Linotype" w:cs="Arial"/>
          <w:color w:val="000000" w:themeColor="text1"/>
        </w:rPr>
        <w:t xml:space="preserve">vía </w:t>
      </w:r>
      <w:r w:rsidRPr="00D00188">
        <w:rPr>
          <w:rFonts w:ascii="Palatino Linotype" w:eastAsia="Calibri" w:hAnsi="Palatino Linotype" w:cs="Arial"/>
          <w:color w:val="000000" w:themeColor="text1"/>
          <w:lang w:val="es-ES"/>
        </w:rPr>
        <w:t xml:space="preserve">Sistema de Acceso a la Información Mexiquense </w:t>
      </w:r>
      <w:r w:rsidRPr="00D00188">
        <w:rPr>
          <w:rFonts w:ascii="Palatino Linotype" w:eastAsia="Calibri" w:hAnsi="Palatino Linotype" w:cs="Arial"/>
          <w:b/>
          <w:color w:val="000000" w:themeColor="text1"/>
          <w:lang w:val="es-ES"/>
        </w:rPr>
        <w:t>(SAIMEX)</w:t>
      </w:r>
      <w:r w:rsidRPr="00D00188">
        <w:rPr>
          <w:rFonts w:ascii="Palatino Linotype" w:eastAsia="Calibri" w:hAnsi="Palatino Linotype" w:cs="Arial"/>
          <w:color w:val="000000" w:themeColor="text1"/>
          <w:lang w:val="es-ES"/>
        </w:rPr>
        <w:t>, la solicitud de información pública registrada con el número</w:t>
      </w:r>
      <w:r w:rsidRPr="00D00188">
        <w:rPr>
          <w:rFonts w:ascii="Palatino Linotype" w:eastAsia="Calibri" w:hAnsi="Palatino Linotype" w:cs="Arial"/>
          <w:b/>
          <w:color w:val="000000" w:themeColor="text1"/>
          <w:lang w:val="es-ES"/>
        </w:rPr>
        <w:t xml:space="preserve"> </w:t>
      </w:r>
      <w:r w:rsidR="003E701F" w:rsidRPr="00D00188">
        <w:rPr>
          <w:rFonts w:ascii="Palatino Linotype" w:eastAsia="Calibri" w:hAnsi="Palatino Linotype" w:cs="Arial"/>
          <w:b/>
          <w:color w:val="000000" w:themeColor="text1"/>
          <w:lang w:val="es-ES"/>
        </w:rPr>
        <w:t>00046/PLEGISLA/IP/2021</w:t>
      </w:r>
      <w:r w:rsidRPr="00D00188">
        <w:rPr>
          <w:rFonts w:ascii="Palatino Linotype" w:hAnsi="Palatino Linotype"/>
          <w:b/>
          <w:bCs/>
          <w:color w:val="000000" w:themeColor="text1"/>
        </w:rPr>
        <w:t>,</w:t>
      </w:r>
      <w:r w:rsidRPr="00D00188">
        <w:rPr>
          <w:rFonts w:ascii="Palatino Linotype" w:eastAsia="Calibri" w:hAnsi="Palatino Linotype" w:cs="Arial"/>
          <w:color w:val="000000" w:themeColor="text1"/>
          <w:lang w:val="es-ES"/>
        </w:rPr>
        <w:t xml:space="preserve"> mediante la cual se requirió:</w:t>
      </w:r>
    </w:p>
    <w:p w14:paraId="20E37A4C" w14:textId="77777777" w:rsidR="003E701F" w:rsidRPr="00D00188" w:rsidRDefault="003E701F" w:rsidP="003E701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606D6C5F" w:rsidR="004C3391" w:rsidRPr="00D00188" w:rsidRDefault="004C3391" w:rsidP="006229F8">
      <w:pPr>
        <w:spacing w:line="360" w:lineRule="auto"/>
        <w:ind w:left="567" w:right="567"/>
        <w:jc w:val="both"/>
        <w:rPr>
          <w:rFonts w:ascii="Palatino Linotype" w:eastAsia="Times New Roman" w:hAnsi="Palatino Linotype" w:cs="Times New Roman"/>
          <w:i/>
          <w:sz w:val="22"/>
          <w:szCs w:val="22"/>
          <w:lang w:val="es-MX" w:eastAsia="es-MX"/>
        </w:rPr>
      </w:pPr>
      <w:r w:rsidRPr="00D00188">
        <w:rPr>
          <w:rFonts w:ascii="Palatino Linotype" w:hAnsi="Palatino Linotype"/>
          <w:i/>
          <w:color w:val="000000"/>
          <w:sz w:val="22"/>
          <w:szCs w:val="22"/>
        </w:rPr>
        <w:t>“</w:t>
      </w:r>
      <w:r w:rsidR="003E701F" w:rsidRPr="00D00188">
        <w:rPr>
          <w:rFonts w:ascii="Palatino Linotype" w:hAnsi="Palatino Linotype"/>
          <w:i/>
          <w:color w:val="000000"/>
          <w:sz w:val="22"/>
          <w:szCs w:val="22"/>
        </w:rPr>
        <w:t xml:space="preserve">De conformidad con el decreto número 229 del 5 de enero de 2021 publicado en la Gaceta Oficial por el cual se expide la Ley de Amnistía del Estado de México, solicito se me informe lo siguiente: 1.¿Quiénes son los jueces competentes para conocer sobre la amnistía? 2.Se me de acceso a los lineamientos, manuales, circulares, formatos y normatividad para dar seguimiento, cumplimiento a la Ley de Amnistía tanto por el Poder Judicial del Estado como por la Comisión especial a la que se refiere el artículo 16 de la Ley. 3.Cuántas solicitudes han sido del conocimiento de la Comisión especial a la que se refiere el artículo 16 de la ley y se me proporcione </w:t>
      </w:r>
      <w:proofErr w:type="spellStart"/>
      <w:r w:rsidR="003E701F" w:rsidRPr="00D00188">
        <w:rPr>
          <w:rFonts w:ascii="Palatino Linotype" w:hAnsi="Palatino Linotype"/>
          <w:i/>
          <w:color w:val="000000"/>
          <w:sz w:val="22"/>
          <w:szCs w:val="22"/>
        </w:rPr>
        <w:t>a.Número</w:t>
      </w:r>
      <w:proofErr w:type="spellEnd"/>
      <w:r w:rsidR="003E701F" w:rsidRPr="00D00188">
        <w:rPr>
          <w:rFonts w:ascii="Palatino Linotype" w:hAnsi="Palatino Linotype"/>
          <w:i/>
          <w:color w:val="000000"/>
          <w:sz w:val="22"/>
          <w:szCs w:val="22"/>
        </w:rPr>
        <w:t xml:space="preserve"> de solicitudes presentadas desglosadas por delito; </w:t>
      </w:r>
      <w:proofErr w:type="spellStart"/>
      <w:r w:rsidR="003E701F" w:rsidRPr="00D00188">
        <w:rPr>
          <w:rFonts w:ascii="Palatino Linotype" w:hAnsi="Palatino Linotype"/>
          <w:i/>
          <w:color w:val="000000"/>
          <w:sz w:val="22"/>
          <w:szCs w:val="22"/>
        </w:rPr>
        <w:t>b.Número</w:t>
      </w:r>
      <w:proofErr w:type="spellEnd"/>
      <w:r w:rsidR="003E701F" w:rsidRPr="00D00188">
        <w:rPr>
          <w:rFonts w:ascii="Palatino Linotype" w:hAnsi="Palatino Linotype"/>
          <w:i/>
          <w:color w:val="000000"/>
          <w:sz w:val="22"/>
          <w:szCs w:val="22"/>
        </w:rPr>
        <w:t xml:space="preserve"> de solicitudes en las que los jueces </w:t>
      </w:r>
      <w:r w:rsidR="003E701F" w:rsidRPr="00D00188">
        <w:rPr>
          <w:rFonts w:ascii="Palatino Linotype" w:hAnsi="Palatino Linotype"/>
          <w:i/>
          <w:color w:val="000000"/>
          <w:sz w:val="22"/>
          <w:szCs w:val="22"/>
        </w:rPr>
        <w:lastRenderedPageBreak/>
        <w:t xml:space="preserve">competentes han determinado la procedencia o improcedencia de la amnistía. </w:t>
      </w:r>
      <w:proofErr w:type="spellStart"/>
      <w:r w:rsidR="003E701F" w:rsidRPr="00D00188">
        <w:rPr>
          <w:rFonts w:ascii="Palatino Linotype" w:hAnsi="Palatino Linotype"/>
          <w:i/>
          <w:color w:val="000000"/>
          <w:sz w:val="22"/>
          <w:szCs w:val="22"/>
        </w:rPr>
        <w:t>c.Número</w:t>
      </w:r>
      <w:proofErr w:type="spellEnd"/>
      <w:r w:rsidR="003E701F" w:rsidRPr="00D00188">
        <w:rPr>
          <w:rFonts w:ascii="Palatino Linotype" w:hAnsi="Palatino Linotype"/>
          <w:i/>
          <w:color w:val="000000"/>
          <w:sz w:val="22"/>
          <w:szCs w:val="22"/>
        </w:rPr>
        <w:t xml:space="preserve"> de casos que se encuentran en calificación por parte de la autoridad judicial federal; </w:t>
      </w:r>
      <w:proofErr w:type="spellStart"/>
      <w:r w:rsidR="003E701F" w:rsidRPr="00D00188">
        <w:rPr>
          <w:rFonts w:ascii="Palatino Linotype" w:hAnsi="Palatino Linotype"/>
          <w:i/>
          <w:color w:val="000000"/>
          <w:sz w:val="22"/>
          <w:szCs w:val="22"/>
        </w:rPr>
        <w:t>d.Número</w:t>
      </w:r>
      <w:proofErr w:type="spellEnd"/>
      <w:r w:rsidR="003E701F" w:rsidRPr="00D00188">
        <w:rPr>
          <w:rFonts w:ascii="Palatino Linotype" w:hAnsi="Palatino Linotype"/>
          <w:i/>
          <w:color w:val="000000"/>
          <w:sz w:val="22"/>
          <w:szCs w:val="22"/>
        </w:rPr>
        <w:t xml:space="preserve"> de personas a las que la autoridad jurisdiccional otorgó el beneficio de la amnistía. 4.Se me proporcione información desglosada por tipo de delito sobre los asuntos de los que han conocido los Jueces competentes sobre </w:t>
      </w:r>
      <w:proofErr w:type="spellStart"/>
      <w:proofErr w:type="gramStart"/>
      <w:r w:rsidR="003E701F" w:rsidRPr="00D00188">
        <w:rPr>
          <w:rFonts w:ascii="Palatino Linotype" w:hAnsi="Palatino Linotype"/>
          <w:i/>
          <w:color w:val="000000"/>
          <w:sz w:val="22"/>
          <w:szCs w:val="22"/>
        </w:rPr>
        <w:t>a.Número</w:t>
      </w:r>
      <w:proofErr w:type="spellEnd"/>
      <w:proofErr w:type="gramEnd"/>
      <w:r w:rsidR="003E701F" w:rsidRPr="00D00188">
        <w:rPr>
          <w:rFonts w:ascii="Palatino Linotype" w:hAnsi="Palatino Linotype"/>
          <w:i/>
          <w:color w:val="000000"/>
          <w:sz w:val="22"/>
          <w:szCs w:val="22"/>
        </w:rPr>
        <w:t xml:space="preserve"> de solicitudes presentadas desglosadas por delito; </w:t>
      </w:r>
      <w:proofErr w:type="spellStart"/>
      <w:r w:rsidR="003E701F" w:rsidRPr="00D00188">
        <w:rPr>
          <w:rFonts w:ascii="Palatino Linotype" w:hAnsi="Palatino Linotype"/>
          <w:i/>
          <w:color w:val="000000"/>
          <w:sz w:val="22"/>
          <w:szCs w:val="22"/>
        </w:rPr>
        <w:t>b.Número</w:t>
      </w:r>
      <w:proofErr w:type="spellEnd"/>
      <w:r w:rsidR="003E701F" w:rsidRPr="00D00188">
        <w:rPr>
          <w:rFonts w:ascii="Palatino Linotype" w:hAnsi="Palatino Linotype"/>
          <w:i/>
          <w:color w:val="000000"/>
          <w:sz w:val="22"/>
          <w:szCs w:val="22"/>
        </w:rPr>
        <w:t xml:space="preserve"> de solicitudes en las que los jueces competentes han determinado la procedencia o improcedencia de la amnistía. </w:t>
      </w:r>
      <w:proofErr w:type="spellStart"/>
      <w:r w:rsidR="003E701F" w:rsidRPr="00D00188">
        <w:rPr>
          <w:rFonts w:ascii="Palatino Linotype" w:hAnsi="Palatino Linotype"/>
          <w:i/>
          <w:color w:val="000000"/>
          <w:sz w:val="22"/>
          <w:szCs w:val="22"/>
        </w:rPr>
        <w:t>c.Número</w:t>
      </w:r>
      <w:proofErr w:type="spellEnd"/>
      <w:r w:rsidR="003E701F" w:rsidRPr="00D00188">
        <w:rPr>
          <w:rFonts w:ascii="Palatino Linotype" w:hAnsi="Palatino Linotype"/>
          <w:i/>
          <w:color w:val="000000"/>
          <w:sz w:val="22"/>
          <w:szCs w:val="22"/>
        </w:rPr>
        <w:t xml:space="preserve"> de casos que se encuentran en calificación por parte de la autoridad judicial federal; </w:t>
      </w:r>
      <w:proofErr w:type="spellStart"/>
      <w:r w:rsidR="003E701F" w:rsidRPr="00D00188">
        <w:rPr>
          <w:rFonts w:ascii="Palatino Linotype" w:hAnsi="Palatino Linotype"/>
          <w:i/>
          <w:color w:val="000000"/>
          <w:sz w:val="22"/>
          <w:szCs w:val="22"/>
        </w:rPr>
        <w:t>d.Número</w:t>
      </w:r>
      <w:proofErr w:type="spellEnd"/>
      <w:r w:rsidR="003E701F" w:rsidRPr="00D00188">
        <w:rPr>
          <w:rFonts w:ascii="Palatino Linotype" w:hAnsi="Palatino Linotype"/>
          <w:i/>
          <w:color w:val="000000"/>
          <w:sz w:val="22"/>
          <w:szCs w:val="22"/>
        </w:rPr>
        <w:t xml:space="preserve"> de personas a las que la autoridad jurisdiccional otorgó el beneficio de la amnistía. 5.Se me indique ¿cuáles son los parámetros de implementación de la Comisión de Amnistía durante la contingencia por COVID-19? ¿Cuáles son los mecanismos de solicitud a distancia? 6.Número de recursos interpuestos por la procedencia o improcedencia del otorgamiento de amnistía por tipo de delito y género.</w:t>
      </w:r>
      <w:r w:rsidRPr="00D00188">
        <w:rPr>
          <w:rFonts w:ascii="Palatino Linotype" w:hAnsi="Palatino Linotype"/>
          <w:i/>
          <w:color w:val="000000"/>
          <w:sz w:val="22"/>
          <w:szCs w:val="22"/>
        </w:rPr>
        <w:t>” (Sic)</w:t>
      </w:r>
    </w:p>
    <w:p w14:paraId="2DB7F9B4" w14:textId="77777777" w:rsidR="004C3391" w:rsidRPr="00D00188"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 xml:space="preserve">Se hace constar que </w:t>
      </w:r>
      <w:r w:rsidRPr="00D00188">
        <w:rPr>
          <w:rFonts w:ascii="Palatino Linotype" w:eastAsia="Times New Roman" w:hAnsi="Palatino Linotype" w:cs="Arial"/>
          <w:color w:val="000000" w:themeColor="text1"/>
          <w:lang w:val="es-ES"/>
        </w:rPr>
        <w:t>se señaló como modalidad de entrega de la información</w:t>
      </w:r>
      <w:r w:rsidRPr="00D00188">
        <w:rPr>
          <w:rFonts w:ascii="Palatino Linotype" w:eastAsia="Times New Roman" w:hAnsi="Palatino Linotype" w:cs="Arial"/>
          <w:b/>
          <w:color w:val="000000" w:themeColor="text1"/>
          <w:lang w:val="es-ES"/>
        </w:rPr>
        <w:t>:</w:t>
      </w:r>
      <w:r w:rsidRPr="00D00188">
        <w:rPr>
          <w:rFonts w:ascii="Palatino Linotype" w:eastAsia="Times New Roman" w:hAnsi="Palatino Linotype" w:cs="Arial"/>
          <w:color w:val="000000" w:themeColor="text1"/>
          <w:lang w:val="es-ES"/>
        </w:rPr>
        <w:t xml:space="preserve"> a través </w:t>
      </w:r>
      <w:r w:rsidRPr="00D00188">
        <w:rPr>
          <w:rFonts w:ascii="Palatino Linotype" w:hAnsi="Palatino Linotype"/>
          <w:color w:val="000000" w:themeColor="text1"/>
        </w:rPr>
        <w:t xml:space="preserve">del </w:t>
      </w:r>
      <w:r w:rsidRPr="00D00188">
        <w:rPr>
          <w:rFonts w:ascii="Palatino Linotype" w:eastAsia="Calibri" w:hAnsi="Palatino Linotype" w:cs="Arial"/>
          <w:color w:val="000000" w:themeColor="text1"/>
          <w:lang w:val="es-ES"/>
        </w:rPr>
        <w:t xml:space="preserve">Sistema de Acceso a la Información Mexiquense </w:t>
      </w:r>
      <w:r w:rsidRPr="00D00188">
        <w:rPr>
          <w:rFonts w:ascii="Palatino Linotype" w:eastAsia="Calibri" w:hAnsi="Palatino Linotype" w:cs="Arial"/>
          <w:b/>
          <w:color w:val="000000" w:themeColor="text1"/>
          <w:lang w:val="es-ES"/>
        </w:rPr>
        <w:t>(SAIMEX).</w:t>
      </w:r>
    </w:p>
    <w:p w14:paraId="3D3E151E" w14:textId="77777777" w:rsidR="003E701F" w:rsidRPr="00D00188"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311329A" w14:textId="5669AAA0" w:rsidR="003E701F" w:rsidRPr="00D00188" w:rsidRDefault="004C3391" w:rsidP="00153C5D">
      <w:pPr>
        <w:pStyle w:val="Prrafodelista"/>
        <w:numPr>
          <w:ilvl w:val="0"/>
          <w:numId w:val="1"/>
        </w:numPr>
        <w:tabs>
          <w:tab w:val="left" w:pos="567"/>
        </w:tabs>
        <w:spacing w:before="100" w:beforeAutospacing="1" w:after="100" w:afterAutospacing="1" w:line="360" w:lineRule="auto"/>
        <w:ind w:left="0" w:firstLine="0"/>
        <w:jc w:val="both"/>
        <w:rPr>
          <w:rStyle w:val="Hipervnculo"/>
          <w:rFonts w:ascii="Palatino Linotype" w:hAnsi="Palatino Linotype" w:cs="Arial"/>
          <w:color w:val="000000" w:themeColor="text1"/>
          <w:u w:val="none"/>
        </w:rPr>
      </w:pPr>
      <w:r w:rsidRPr="00D00188">
        <w:rPr>
          <w:rFonts w:ascii="Palatino Linotype" w:eastAsia="Calibri" w:hAnsi="Palatino Linotype" w:cs="Arial"/>
          <w:lang w:val="es-AR"/>
        </w:rPr>
        <w:t xml:space="preserve">El día </w:t>
      </w:r>
      <w:r w:rsidR="003E701F" w:rsidRPr="00D00188">
        <w:rPr>
          <w:rFonts w:ascii="Palatino Linotype" w:eastAsia="Calibri" w:hAnsi="Palatino Linotype" w:cs="Arial"/>
          <w:lang w:val="es-AR"/>
        </w:rPr>
        <w:t>ocho</w:t>
      </w:r>
      <w:r w:rsidRPr="00D00188">
        <w:rPr>
          <w:rFonts w:ascii="Palatino Linotype" w:eastAsia="Calibri" w:hAnsi="Palatino Linotype" w:cs="Arial"/>
          <w:lang w:val="es-AR"/>
        </w:rPr>
        <w:t xml:space="preserve"> (</w:t>
      </w:r>
      <w:r w:rsidR="003E701F" w:rsidRPr="00D00188">
        <w:rPr>
          <w:rFonts w:ascii="Palatino Linotype" w:eastAsia="Calibri" w:hAnsi="Palatino Linotype" w:cs="Arial"/>
          <w:lang w:val="es-AR"/>
        </w:rPr>
        <w:t>08</w:t>
      </w:r>
      <w:r w:rsidRPr="00D00188">
        <w:rPr>
          <w:rFonts w:ascii="Palatino Linotype" w:hAnsi="Palatino Linotype"/>
          <w:i/>
        </w:rPr>
        <w:t xml:space="preserve">) </w:t>
      </w:r>
      <w:r w:rsidR="000A07C2" w:rsidRPr="00D00188">
        <w:rPr>
          <w:rFonts w:ascii="Palatino Linotype" w:eastAsia="Calibri" w:hAnsi="Palatino Linotype" w:cs="Arial"/>
          <w:color w:val="000000" w:themeColor="text1"/>
          <w:lang w:val="es-ES"/>
        </w:rPr>
        <w:t xml:space="preserve">de </w:t>
      </w:r>
      <w:r w:rsidR="0006365C" w:rsidRPr="00D00188">
        <w:rPr>
          <w:rFonts w:ascii="Palatino Linotype" w:eastAsia="Calibri" w:hAnsi="Palatino Linotype" w:cs="Arial"/>
          <w:color w:val="000000" w:themeColor="text1"/>
          <w:lang w:val="es-ES"/>
        </w:rPr>
        <w:t>febrero</w:t>
      </w:r>
      <w:r w:rsidR="000A07C2" w:rsidRPr="00D00188">
        <w:rPr>
          <w:rFonts w:ascii="Palatino Linotype" w:eastAsia="Calibri" w:hAnsi="Palatino Linotype" w:cs="Arial"/>
          <w:color w:val="000000" w:themeColor="text1"/>
          <w:lang w:val="es-ES"/>
        </w:rPr>
        <w:t xml:space="preserve"> de dos mil veint</w:t>
      </w:r>
      <w:r w:rsidR="0006365C" w:rsidRPr="00D00188">
        <w:rPr>
          <w:rFonts w:ascii="Palatino Linotype" w:eastAsia="Calibri" w:hAnsi="Palatino Linotype" w:cs="Arial"/>
          <w:color w:val="000000" w:themeColor="text1"/>
          <w:lang w:val="es-ES"/>
        </w:rPr>
        <w:t>iuno</w:t>
      </w:r>
      <w:r w:rsidRPr="00D00188">
        <w:rPr>
          <w:rFonts w:ascii="Palatino Linotype" w:eastAsia="Times New Roman" w:hAnsi="Palatino Linotype" w:cs="Arial"/>
          <w:lang w:val="es-ES"/>
        </w:rPr>
        <w:t xml:space="preserve">, el </w:t>
      </w:r>
      <w:r w:rsidRPr="00D00188">
        <w:rPr>
          <w:rFonts w:ascii="Palatino Linotype" w:eastAsia="Times New Roman" w:hAnsi="Palatino Linotype" w:cs="Arial"/>
          <w:b/>
          <w:lang w:val="es-ES"/>
        </w:rPr>
        <w:t xml:space="preserve">SUJETO OBLIGADO </w:t>
      </w:r>
      <w:r w:rsidRPr="00D00188">
        <w:rPr>
          <w:rFonts w:ascii="Palatino Linotype" w:eastAsia="Times New Roman" w:hAnsi="Palatino Linotype" w:cs="Arial"/>
          <w:color w:val="000000" w:themeColor="text1"/>
          <w:lang w:val="es-ES"/>
        </w:rPr>
        <w:t xml:space="preserve">respondió a la solicitud de información </w:t>
      </w:r>
      <w:r w:rsidR="00B81694" w:rsidRPr="00D00188">
        <w:rPr>
          <w:rFonts w:ascii="Palatino Linotype" w:eastAsia="Times New Roman" w:hAnsi="Palatino Linotype" w:cs="Arial"/>
          <w:color w:val="000000" w:themeColor="text1"/>
          <w:lang w:val="es-ES"/>
        </w:rPr>
        <w:t xml:space="preserve">a través del archivo electrónico </w:t>
      </w:r>
      <w:r w:rsidR="00B81694" w:rsidRPr="00D00188">
        <w:rPr>
          <w:rFonts w:ascii="Palatino Linotype" w:hAnsi="Palatino Linotype" w:cs="Arial"/>
          <w:color w:val="002060"/>
        </w:rPr>
        <w:t>“</w:t>
      </w:r>
      <w:hyperlink r:id="rId8" w:tgtFrame="_blank" w:history="1">
        <w:r w:rsidR="003E701F" w:rsidRPr="00D00188">
          <w:rPr>
            <w:rStyle w:val="Hipervnculo"/>
            <w:rFonts w:ascii="Palatino Linotype" w:hAnsi="Palatino Linotype" w:cs="Arial"/>
            <w:b/>
            <w:bCs/>
            <w:i/>
            <w:color w:val="000000" w:themeColor="text1"/>
            <w:u w:val="none"/>
          </w:rPr>
          <w:t>43 RESPUESTA OSO.pdf</w:t>
        </w:r>
      </w:hyperlink>
      <w:r w:rsidR="003E701F" w:rsidRPr="00D00188">
        <w:rPr>
          <w:rStyle w:val="Hipervnculo"/>
          <w:rFonts w:ascii="Palatino Linotype" w:hAnsi="Palatino Linotype" w:cs="Arial"/>
          <w:b/>
          <w:bCs/>
          <w:i/>
          <w:color w:val="000000" w:themeColor="text1"/>
          <w:u w:val="none"/>
        </w:rPr>
        <w:t xml:space="preserve">” </w:t>
      </w:r>
      <w:r w:rsidR="00153C5D" w:rsidRPr="00D00188">
        <w:rPr>
          <w:rStyle w:val="Hipervnculo"/>
          <w:rFonts w:ascii="Palatino Linotype" w:hAnsi="Palatino Linotype" w:cs="Arial"/>
          <w:bCs/>
          <w:color w:val="000000" w:themeColor="text1"/>
          <w:u w:val="none"/>
        </w:rPr>
        <w:t>con el oficio UIPL/00117 /2021, de fecha 05 de febrero de 2021, firmado por el Titular de la Unidad de Transparencia, constante en dos hojas, a través del cual se sugiere dirigir la solicitud al Poder Judicial del Estado de México y se señalan las atribuciones conferidas por la Ley de Amnistía a dicha autoridad.</w:t>
      </w:r>
    </w:p>
    <w:p w14:paraId="2EC3A39A" w14:textId="77777777" w:rsidR="00153C5D" w:rsidRPr="00D00188" w:rsidRDefault="00153C5D" w:rsidP="00153C5D">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64D8F97A" w:rsidR="004C3391" w:rsidRPr="00D00188"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D00188">
        <w:rPr>
          <w:rFonts w:ascii="Palatino Linotype" w:eastAsia="Times New Roman" w:hAnsi="Palatino Linotype" w:cs="Arial"/>
          <w:lang w:val="es-ES"/>
        </w:rPr>
        <w:lastRenderedPageBreak/>
        <w:t xml:space="preserve">El día </w:t>
      </w:r>
      <w:r w:rsidR="00153C5D" w:rsidRPr="00D00188">
        <w:rPr>
          <w:rFonts w:ascii="Palatino Linotype" w:eastAsia="Calibri" w:hAnsi="Palatino Linotype" w:cs="Arial"/>
          <w:lang w:val="es-AR"/>
        </w:rPr>
        <w:t>veinticuatro</w:t>
      </w:r>
      <w:r w:rsidR="007B42D3" w:rsidRPr="00D00188">
        <w:rPr>
          <w:rFonts w:ascii="Palatino Linotype" w:eastAsia="Calibri" w:hAnsi="Palatino Linotype" w:cs="Arial"/>
          <w:lang w:val="es-AR"/>
        </w:rPr>
        <w:t xml:space="preserve"> </w:t>
      </w:r>
      <w:r w:rsidR="0059422B" w:rsidRPr="00D00188">
        <w:rPr>
          <w:rFonts w:ascii="Palatino Linotype" w:eastAsia="Calibri" w:hAnsi="Palatino Linotype" w:cs="Arial"/>
          <w:lang w:val="es-AR"/>
        </w:rPr>
        <w:t>(</w:t>
      </w:r>
      <w:r w:rsidR="00153C5D" w:rsidRPr="00D00188">
        <w:rPr>
          <w:rFonts w:ascii="Palatino Linotype" w:eastAsia="Calibri" w:hAnsi="Palatino Linotype" w:cs="Arial"/>
          <w:lang w:val="es-AR"/>
        </w:rPr>
        <w:t>24</w:t>
      </w:r>
      <w:r w:rsidR="0059422B" w:rsidRPr="00D00188">
        <w:rPr>
          <w:rFonts w:ascii="Palatino Linotype" w:hAnsi="Palatino Linotype"/>
          <w:i/>
        </w:rPr>
        <w:t xml:space="preserve">) </w:t>
      </w:r>
      <w:r w:rsidR="0059422B" w:rsidRPr="00D00188">
        <w:rPr>
          <w:rFonts w:ascii="Palatino Linotype" w:hAnsi="Palatino Linotype"/>
        </w:rPr>
        <w:t xml:space="preserve">de </w:t>
      </w:r>
      <w:r w:rsidR="00796DB8" w:rsidRPr="00D00188">
        <w:rPr>
          <w:rFonts w:ascii="Palatino Linotype" w:hAnsi="Palatino Linotype"/>
        </w:rPr>
        <w:t>febrero</w:t>
      </w:r>
      <w:r w:rsidR="0059422B" w:rsidRPr="00D00188">
        <w:rPr>
          <w:rFonts w:ascii="Palatino Linotype" w:hAnsi="Palatino Linotype"/>
        </w:rPr>
        <w:t xml:space="preserve"> de dos mil veint</w:t>
      </w:r>
      <w:r w:rsidR="007B42D3" w:rsidRPr="00D00188">
        <w:rPr>
          <w:rFonts w:ascii="Palatino Linotype" w:hAnsi="Palatino Linotype"/>
        </w:rPr>
        <w:t>iuno</w:t>
      </w:r>
      <w:r w:rsidRPr="00D00188">
        <w:rPr>
          <w:rFonts w:ascii="Palatino Linotype" w:eastAsia="Times New Roman" w:hAnsi="Palatino Linotype" w:cs="Arial"/>
          <w:lang w:val="es-ES"/>
        </w:rPr>
        <w:t xml:space="preserve">, </w:t>
      </w:r>
      <w:r w:rsidRPr="00D00188">
        <w:rPr>
          <w:rFonts w:ascii="Palatino Linotype" w:hAnsi="Palatino Linotype"/>
          <w:color w:val="000000"/>
        </w:rPr>
        <w:t xml:space="preserve">se </w:t>
      </w:r>
      <w:r w:rsidRPr="00D00188">
        <w:rPr>
          <w:rFonts w:ascii="Palatino Linotype" w:eastAsia="Times New Roman" w:hAnsi="Palatino Linotype" w:cs="Arial"/>
          <w:lang w:val="es-ES"/>
        </w:rPr>
        <w:t xml:space="preserve">interpuso el recurso de revisión, en contra de la respuesta emitida por el </w:t>
      </w:r>
      <w:r w:rsidRPr="00D00188">
        <w:rPr>
          <w:rFonts w:ascii="Palatino Linotype" w:eastAsia="Times New Roman" w:hAnsi="Palatino Linotype" w:cs="Arial"/>
          <w:b/>
          <w:lang w:val="es-ES"/>
        </w:rPr>
        <w:t>SUJETO OBLIGADO</w:t>
      </w:r>
      <w:r w:rsidRPr="00D00188">
        <w:rPr>
          <w:rFonts w:ascii="Palatino Linotype" w:eastAsia="Times New Roman" w:hAnsi="Palatino Linotype" w:cs="Arial"/>
          <w:lang w:val="es-ES"/>
        </w:rPr>
        <w:t>, señalando como:</w:t>
      </w:r>
    </w:p>
    <w:p w14:paraId="6D09E069" w14:textId="77777777" w:rsidR="0071031D" w:rsidRPr="00D00188"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D00188" w:rsidRDefault="004C3391" w:rsidP="006229F8">
      <w:pPr>
        <w:tabs>
          <w:tab w:val="left" w:pos="5454"/>
        </w:tabs>
        <w:spacing w:line="360" w:lineRule="auto"/>
        <w:ind w:left="567" w:right="567"/>
        <w:jc w:val="both"/>
        <w:rPr>
          <w:rStyle w:val="Ttulo2Car"/>
          <w:color w:val="auto"/>
          <w:sz w:val="22"/>
          <w:szCs w:val="22"/>
          <w:lang w:val="es-ES"/>
        </w:rPr>
      </w:pPr>
      <w:bookmarkStart w:id="5" w:name="_Toc71832781"/>
      <w:r w:rsidRPr="00D00188">
        <w:rPr>
          <w:rStyle w:val="Ttulo2Car"/>
          <w:color w:val="auto"/>
          <w:sz w:val="22"/>
          <w:szCs w:val="22"/>
          <w:lang w:val="es-ES"/>
        </w:rPr>
        <w:t>a) Acto impugnado:</w:t>
      </w:r>
      <w:bookmarkEnd w:id="5"/>
      <w:r w:rsidRPr="00D00188">
        <w:rPr>
          <w:rStyle w:val="Ttulo2Car"/>
          <w:color w:val="auto"/>
          <w:sz w:val="22"/>
          <w:szCs w:val="22"/>
          <w:lang w:val="es-ES"/>
        </w:rPr>
        <w:t xml:space="preserve"> </w:t>
      </w:r>
    </w:p>
    <w:p w14:paraId="2E603E67" w14:textId="5739BF97" w:rsidR="004C3391" w:rsidRPr="00D00188" w:rsidRDefault="004C3391" w:rsidP="006229F8">
      <w:pPr>
        <w:tabs>
          <w:tab w:val="left" w:pos="5454"/>
        </w:tabs>
        <w:spacing w:line="360" w:lineRule="auto"/>
        <w:ind w:left="567" w:right="567"/>
        <w:jc w:val="both"/>
        <w:rPr>
          <w:rFonts w:ascii="Palatino Linotype" w:hAnsi="Palatino Linotype"/>
          <w:i/>
          <w:color w:val="000000"/>
          <w:sz w:val="22"/>
          <w:szCs w:val="22"/>
        </w:rPr>
      </w:pPr>
      <w:r w:rsidRPr="00D00188">
        <w:rPr>
          <w:rFonts w:ascii="Palatino Linotype" w:hAnsi="Palatino Linotype"/>
          <w:i/>
          <w:sz w:val="22"/>
          <w:szCs w:val="22"/>
        </w:rPr>
        <w:t>“</w:t>
      </w:r>
      <w:r w:rsidR="004C2964" w:rsidRPr="00D00188">
        <w:rPr>
          <w:rFonts w:ascii="Palatino Linotype" w:hAnsi="Palatino Linotype"/>
          <w:i/>
          <w:color w:val="000000"/>
          <w:sz w:val="22"/>
          <w:szCs w:val="22"/>
        </w:rPr>
        <w:t>Se adjunta documento.</w:t>
      </w:r>
      <w:r w:rsidRPr="00D00188">
        <w:rPr>
          <w:rFonts w:ascii="Palatino Linotype" w:eastAsia="Times New Roman" w:hAnsi="Palatino Linotype" w:cs="Times New Roman"/>
          <w:i/>
          <w:sz w:val="22"/>
          <w:szCs w:val="22"/>
          <w:lang w:val="es-MX" w:eastAsia="es-MX"/>
        </w:rPr>
        <w:t>"</w:t>
      </w:r>
      <w:r w:rsidRPr="00D00188">
        <w:rPr>
          <w:rFonts w:ascii="Palatino Linotype" w:eastAsia="Calibri" w:hAnsi="Palatino Linotype" w:cs="Arial"/>
          <w:i/>
          <w:sz w:val="22"/>
          <w:szCs w:val="22"/>
          <w:lang w:val="es-ES"/>
        </w:rPr>
        <w:t xml:space="preserve"> (Sic)</w:t>
      </w:r>
    </w:p>
    <w:p w14:paraId="3D46B3AF" w14:textId="77777777" w:rsidR="004C3391" w:rsidRPr="00D00188"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D00188" w:rsidRDefault="004C3391" w:rsidP="006229F8">
      <w:pPr>
        <w:spacing w:line="360" w:lineRule="auto"/>
        <w:ind w:left="567" w:right="567"/>
        <w:jc w:val="both"/>
        <w:rPr>
          <w:rFonts w:ascii="Palatino Linotype" w:hAnsi="Palatino Linotype"/>
          <w:i/>
          <w:sz w:val="22"/>
          <w:szCs w:val="22"/>
        </w:rPr>
      </w:pPr>
      <w:bookmarkStart w:id="6" w:name="_Toc71832782"/>
      <w:r w:rsidRPr="00D00188">
        <w:rPr>
          <w:rStyle w:val="Ttulo2Car"/>
          <w:color w:val="auto"/>
          <w:sz w:val="22"/>
          <w:szCs w:val="22"/>
          <w:lang w:val="es-ES"/>
        </w:rPr>
        <w:t>b) Razones o Motivos de inconformidad:</w:t>
      </w:r>
      <w:bookmarkEnd w:id="6"/>
      <w:r w:rsidRPr="00D00188">
        <w:rPr>
          <w:rFonts w:ascii="Palatino Linotype" w:hAnsi="Palatino Linotype"/>
          <w:i/>
          <w:sz w:val="22"/>
          <w:szCs w:val="22"/>
        </w:rPr>
        <w:t xml:space="preserve"> </w:t>
      </w:r>
    </w:p>
    <w:p w14:paraId="2076C9EF" w14:textId="72F3B545" w:rsidR="004C3391" w:rsidRPr="00D00188"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D00188">
        <w:rPr>
          <w:rFonts w:ascii="Palatino Linotype" w:hAnsi="Palatino Linotype"/>
          <w:i/>
          <w:sz w:val="22"/>
          <w:szCs w:val="22"/>
        </w:rPr>
        <w:t>“</w:t>
      </w:r>
      <w:r w:rsidR="00153C5D" w:rsidRPr="00D00188">
        <w:rPr>
          <w:rFonts w:ascii="Palatino Linotype" w:hAnsi="Palatino Linotype"/>
          <w:i/>
          <w:color w:val="000000"/>
          <w:sz w:val="22"/>
          <w:szCs w:val="22"/>
        </w:rPr>
        <w:t>Se adjunta documento.</w:t>
      </w:r>
      <w:r w:rsidRPr="00D00188">
        <w:rPr>
          <w:rFonts w:ascii="Palatino Linotype" w:hAnsi="Palatino Linotype"/>
          <w:i/>
          <w:color w:val="000000"/>
          <w:sz w:val="22"/>
          <w:szCs w:val="22"/>
        </w:rPr>
        <w:t>” (Sic)</w:t>
      </w:r>
    </w:p>
    <w:p w14:paraId="2758ED65" w14:textId="77777777" w:rsidR="007B42D3" w:rsidRPr="00D00188"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D00188"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D00188">
        <w:rPr>
          <w:rFonts w:ascii="Palatino Linotype" w:eastAsia="Times New Roman" w:hAnsi="Palatino Linotype" w:cs="Arial"/>
          <w:lang w:val="es-ES"/>
        </w:rPr>
        <w:t xml:space="preserve">Se registró el recurso de revisión bajo el número de expediente </w:t>
      </w:r>
      <w:r w:rsidRPr="00D00188">
        <w:rPr>
          <w:rFonts w:ascii="Palatino Linotype" w:hAnsi="Palatino Linotype" w:cs="Arial"/>
          <w:bCs/>
        </w:rPr>
        <w:t xml:space="preserve">al rubro indicado, así mismo con fundamento en lo dispuesto por el </w:t>
      </w:r>
      <w:r w:rsidRPr="00D00188">
        <w:rPr>
          <w:rFonts w:ascii="Palatino Linotype" w:eastAsia="Calibri" w:hAnsi="Palatino Linotype" w:cs="Arial"/>
          <w:lang w:val="es-ES"/>
        </w:rPr>
        <w:t xml:space="preserve">artículo 185 fracción I de la </w:t>
      </w:r>
      <w:r w:rsidRPr="00D00188">
        <w:rPr>
          <w:rFonts w:ascii="Palatino Linotype" w:eastAsia="Calibri" w:hAnsi="Palatino Linotype" w:cs="Arial"/>
          <w:b/>
          <w:lang w:val="es-ES"/>
        </w:rPr>
        <w:t xml:space="preserve">Ley de Transparencia y Acceso a la Información Pública del Estado de México y Municipios </w:t>
      </w:r>
      <w:r w:rsidRPr="00D00188">
        <w:rPr>
          <w:rFonts w:ascii="Palatino Linotype" w:eastAsia="Times New Roman" w:hAnsi="Palatino Linotype" w:cs="Arial"/>
          <w:lang w:val="es-ES"/>
        </w:rPr>
        <w:t xml:space="preserve">se turnó al </w:t>
      </w:r>
      <w:r w:rsidRPr="00D00188">
        <w:rPr>
          <w:rFonts w:ascii="Palatino Linotype" w:eastAsia="Times New Roman" w:hAnsi="Palatino Linotype" w:cs="Arial"/>
          <w:b/>
          <w:lang w:val="es-ES"/>
        </w:rPr>
        <w:t xml:space="preserve">Comisionado José Guadalupe Luna Hernández, </w:t>
      </w:r>
      <w:r w:rsidRPr="00D00188">
        <w:rPr>
          <w:rFonts w:ascii="Palatino Linotype" w:eastAsia="Times New Roman" w:hAnsi="Palatino Linotype" w:cs="Arial"/>
          <w:lang w:val="es-ES"/>
        </w:rPr>
        <w:t xml:space="preserve">con el objeto de </w:t>
      </w:r>
      <w:r w:rsidRPr="00D00188">
        <w:rPr>
          <w:rFonts w:ascii="Palatino Linotype" w:eastAsia="Times New Roman" w:hAnsi="Palatino Linotype" w:cs="Arial"/>
          <w:lang w:val="es-MX"/>
        </w:rPr>
        <w:t>su análisis.</w:t>
      </w:r>
    </w:p>
    <w:p w14:paraId="25FA1F8A" w14:textId="77777777" w:rsidR="004C3391" w:rsidRPr="00D00188"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15A6BE61" w:rsidR="004C3391" w:rsidRPr="00D00188"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D0018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53C5D" w:rsidRPr="00D00188">
        <w:rPr>
          <w:rFonts w:ascii="Palatino Linotype" w:eastAsia="Calibri" w:hAnsi="Palatino Linotype" w:cs="Arial"/>
          <w:lang w:val="es-ES"/>
        </w:rPr>
        <w:t>veintiséis</w:t>
      </w:r>
      <w:r w:rsidR="00B52096" w:rsidRPr="00D00188">
        <w:rPr>
          <w:rFonts w:ascii="Palatino Linotype" w:eastAsia="Calibri" w:hAnsi="Palatino Linotype" w:cs="Arial"/>
          <w:lang w:val="es-ES"/>
        </w:rPr>
        <w:t xml:space="preserve"> </w:t>
      </w:r>
      <w:r w:rsidRPr="00D00188">
        <w:rPr>
          <w:rFonts w:ascii="Palatino Linotype" w:eastAsia="Calibri" w:hAnsi="Palatino Linotype" w:cs="Arial"/>
          <w:lang w:val="es-ES"/>
        </w:rPr>
        <w:t>(</w:t>
      </w:r>
      <w:r w:rsidR="00153C5D" w:rsidRPr="00D00188">
        <w:rPr>
          <w:rFonts w:ascii="Palatino Linotype" w:eastAsia="Calibri" w:hAnsi="Palatino Linotype" w:cs="Arial"/>
          <w:lang w:val="es-ES"/>
        </w:rPr>
        <w:t>26</w:t>
      </w:r>
      <w:r w:rsidRPr="00D00188">
        <w:rPr>
          <w:rFonts w:ascii="Palatino Linotype" w:eastAsia="Calibri" w:hAnsi="Palatino Linotype" w:cs="Arial"/>
          <w:lang w:val="es-ES"/>
        </w:rPr>
        <w:t xml:space="preserve">) </w:t>
      </w:r>
      <w:r w:rsidRPr="00D00188">
        <w:rPr>
          <w:rFonts w:ascii="Palatino Linotype" w:eastAsia="Times New Roman" w:hAnsi="Palatino Linotype" w:cs="Arial"/>
          <w:lang w:val="es-ES"/>
        </w:rPr>
        <w:t xml:space="preserve">de </w:t>
      </w:r>
      <w:r w:rsidR="00796DB8" w:rsidRPr="00D00188">
        <w:rPr>
          <w:rFonts w:ascii="Palatino Linotype" w:eastAsia="Times New Roman" w:hAnsi="Palatino Linotype" w:cs="Arial"/>
          <w:lang w:val="es-ES"/>
        </w:rPr>
        <w:t>febrero</w:t>
      </w:r>
      <w:r w:rsidRPr="00D00188">
        <w:rPr>
          <w:rFonts w:ascii="Palatino Linotype" w:eastAsia="Times New Roman" w:hAnsi="Palatino Linotype" w:cs="Arial"/>
          <w:lang w:val="es-ES"/>
        </w:rPr>
        <w:t xml:space="preserve"> de dos mil veint</w:t>
      </w:r>
      <w:r w:rsidR="008036DE" w:rsidRPr="00D00188">
        <w:rPr>
          <w:rFonts w:ascii="Palatino Linotype" w:eastAsia="Times New Roman" w:hAnsi="Palatino Linotype" w:cs="Arial"/>
          <w:lang w:val="es-ES"/>
        </w:rPr>
        <w:t>iuno</w:t>
      </w:r>
      <w:r w:rsidRPr="00D00188">
        <w:rPr>
          <w:rFonts w:ascii="Palatino Linotype" w:eastAsia="Calibri" w:hAnsi="Palatino Linotype" w:cs="Arial"/>
          <w:lang w:val="es-ES"/>
        </w:rPr>
        <w:t xml:space="preserve">, puso a disposición de las partes el expediente electrónico </w:t>
      </w:r>
      <w:r w:rsidRPr="00D00188">
        <w:rPr>
          <w:rFonts w:ascii="Palatino Linotype" w:eastAsia="Calibri" w:hAnsi="Palatino Linotype" w:cs="Arial"/>
        </w:rPr>
        <w:t xml:space="preserve">vía </w:t>
      </w:r>
      <w:r w:rsidRPr="00D00188">
        <w:rPr>
          <w:rFonts w:ascii="Palatino Linotype" w:eastAsia="Calibri" w:hAnsi="Palatino Linotype" w:cs="Arial"/>
          <w:lang w:val="es-ES"/>
        </w:rPr>
        <w:t xml:space="preserve">Sistema de Acceso a la Información Mexiquense </w:t>
      </w:r>
      <w:r w:rsidRPr="00D00188">
        <w:rPr>
          <w:rFonts w:ascii="Palatino Linotype" w:eastAsia="Calibri" w:hAnsi="Palatino Linotype" w:cs="Arial"/>
          <w:b/>
          <w:lang w:val="es-ES"/>
        </w:rPr>
        <w:t xml:space="preserve">(SAIMEX) </w:t>
      </w:r>
      <w:r w:rsidRPr="00D00188">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5D8C9DE6" w14:textId="77777777" w:rsidR="00342FDB" w:rsidRPr="00D00188" w:rsidRDefault="00342FDB" w:rsidP="006229F8">
      <w:pPr>
        <w:pStyle w:val="Prrafodelista"/>
        <w:tabs>
          <w:tab w:val="left" w:pos="426"/>
          <w:tab w:val="left" w:pos="567"/>
        </w:tabs>
        <w:spacing w:line="360" w:lineRule="auto"/>
        <w:ind w:left="0"/>
        <w:jc w:val="both"/>
        <w:rPr>
          <w:rFonts w:ascii="Palatino Linotype" w:hAnsi="Palatino Linotype"/>
          <w:b/>
          <w:i/>
          <w:color w:val="000000" w:themeColor="text1"/>
        </w:rPr>
      </w:pPr>
    </w:p>
    <w:p w14:paraId="1A1BE0B2" w14:textId="075FCB89" w:rsidR="00342FDB" w:rsidRPr="00D00188" w:rsidRDefault="00CF76CF" w:rsidP="00340333">
      <w:pPr>
        <w:pStyle w:val="Prrafodelista"/>
        <w:numPr>
          <w:ilvl w:val="0"/>
          <w:numId w:val="1"/>
        </w:numPr>
        <w:tabs>
          <w:tab w:val="left" w:pos="426"/>
          <w:tab w:val="left" w:pos="567"/>
        </w:tabs>
        <w:spacing w:line="360" w:lineRule="auto"/>
        <w:ind w:left="0" w:firstLine="0"/>
        <w:jc w:val="both"/>
        <w:rPr>
          <w:rFonts w:ascii="Palatino Linotype" w:hAnsi="Palatino Linotype"/>
          <w:i/>
          <w:color w:val="000000" w:themeColor="text1"/>
        </w:rPr>
      </w:pPr>
      <w:r w:rsidRPr="00D00188">
        <w:rPr>
          <w:rFonts w:ascii="Palatino Linotype" w:eastAsia="Calibri" w:hAnsi="Palatino Linotype" w:cs="Arial"/>
          <w:lang w:val="es-ES"/>
        </w:rPr>
        <w:lastRenderedPageBreak/>
        <w:t>Los días diez</w:t>
      </w:r>
      <w:r w:rsidR="004C3391" w:rsidRPr="00D00188">
        <w:rPr>
          <w:rFonts w:ascii="Palatino Linotype" w:eastAsia="Calibri" w:hAnsi="Palatino Linotype" w:cs="Arial"/>
          <w:lang w:val="es-ES"/>
        </w:rPr>
        <w:t xml:space="preserve"> (</w:t>
      </w:r>
      <w:r w:rsidRPr="00D00188">
        <w:rPr>
          <w:rFonts w:ascii="Palatino Linotype" w:eastAsia="Calibri" w:hAnsi="Palatino Linotype" w:cs="Arial"/>
          <w:lang w:val="es-ES"/>
        </w:rPr>
        <w:t>10</w:t>
      </w:r>
      <w:r w:rsidR="004C3391" w:rsidRPr="00D00188">
        <w:rPr>
          <w:rFonts w:ascii="Palatino Linotype" w:eastAsia="Calibri" w:hAnsi="Palatino Linotype" w:cs="Arial"/>
          <w:lang w:val="es-ES"/>
        </w:rPr>
        <w:t xml:space="preserve">) </w:t>
      </w:r>
      <w:r w:rsidRPr="00D00188">
        <w:rPr>
          <w:rFonts w:ascii="Palatino Linotype" w:eastAsia="Calibri" w:hAnsi="Palatino Linotype" w:cs="Arial"/>
          <w:lang w:val="es-ES"/>
        </w:rPr>
        <w:t xml:space="preserve"> y veintitrés (23) </w:t>
      </w:r>
      <w:r w:rsidR="004C3391" w:rsidRPr="00D00188">
        <w:rPr>
          <w:rFonts w:ascii="Palatino Linotype" w:eastAsia="Times New Roman" w:hAnsi="Palatino Linotype" w:cs="Arial"/>
          <w:lang w:val="es-ES"/>
        </w:rPr>
        <w:t xml:space="preserve">de </w:t>
      </w:r>
      <w:r w:rsidRPr="00D00188">
        <w:rPr>
          <w:rFonts w:ascii="Palatino Linotype" w:eastAsia="Times New Roman" w:hAnsi="Palatino Linotype" w:cs="Arial"/>
          <w:lang w:val="es-ES"/>
        </w:rPr>
        <w:t>marzo</w:t>
      </w:r>
      <w:r w:rsidR="004C3391" w:rsidRPr="00D00188">
        <w:rPr>
          <w:rFonts w:ascii="Palatino Linotype" w:eastAsia="Times New Roman" w:hAnsi="Palatino Linotype" w:cs="Arial"/>
          <w:lang w:val="es-ES"/>
        </w:rPr>
        <w:t xml:space="preserve"> de dos mil veint</w:t>
      </w:r>
      <w:r w:rsidR="008036DE" w:rsidRPr="00D00188">
        <w:rPr>
          <w:rFonts w:ascii="Palatino Linotype" w:eastAsia="Times New Roman" w:hAnsi="Palatino Linotype" w:cs="Arial"/>
          <w:lang w:val="es-ES"/>
        </w:rPr>
        <w:t>iuno</w:t>
      </w:r>
      <w:r w:rsidR="004C3391" w:rsidRPr="00D00188">
        <w:rPr>
          <w:rFonts w:ascii="Palatino Linotype" w:eastAsia="Calibri" w:hAnsi="Palatino Linotype" w:cs="Arial"/>
          <w:lang w:val="es-ES"/>
        </w:rPr>
        <w:t xml:space="preserve">, el </w:t>
      </w:r>
      <w:r w:rsidR="004C3391" w:rsidRPr="00D00188">
        <w:rPr>
          <w:rFonts w:ascii="Palatino Linotype" w:eastAsia="Calibri" w:hAnsi="Palatino Linotype" w:cs="Arial"/>
          <w:b/>
          <w:lang w:val="es-ES"/>
        </w:rPr>
        <w:t xml:space="preserve">SUJETO OBLIGADO </w:t>
      </w:r>
      <w:r w:rsidR="00733130" w:rsidRPr="00D00188">
        <w:rPr>
          <w:rFonts w:ascii="Palatino Linotype" w:eastAsia="Calibri" w:hAnsi="Palatino Linotype" w:cs="Arial"/>
          <w:lang w:val="es-ES"/>
        </w:rPr>
        <w:t>realizó sus manifestaciones</w:t>
      </w:r>
      <w:r w:rsidR="004C3391" w:rsidRPr="00D00188">
        <w:rPr>
          <w:rFonts w:ascii="Palatino Linotype" w:eastAsia="Calibri" w:hAnsi="Palatino Linotype" w:cs="Arial"/>
          <w:lang w:val="es-ES"/>
        </w:rPr>
        <w:t xml:space="preserve"> mediante </w:t>
      </w:r>
      <w:r w:rsidRPr="00D00188">
        <w:rPr>
          <w:rFonts w:ascii="Palatino Linotype" w:eastAsia="Calibri" w:hAnsi="Palatino Linotype" w:cs="Arial"/>
          <w:lang w:val="es-ES"/>
        </w:rPr>
        <w:t>los</w:t>
      </w:r>
      <w:r w:rsidR="00180276" w:rsidRPr="00D00188">
        <w:rPr>
          <w:rFonts w:ascii="Palatino Linotype" w:eastAsia="Calibri" w:hAnsi="Palatino Linotype" w:cs="Arial"/>
          <w:lang w:val="es-ES"/>
        </w:rPr>
        <w:t xml:space="preserve"> archivo</w:t>
      </w:r>
      <w:r w:rsidRPr="00D00188">
        <w:rPr>
          <w:rFonts w:ascii="Palatino Linotype" w:eastAsia="Calibri" w:hAnsi="Palatino Linotype" w:cs="Arial"/>
          <w:lang w:val="es-ES"/>
        </w:rPr>
        <w:t>s</w:t>
      </w:r>
      <w:r w:rsidR="00180276" w:rsidRPr="00D00188">
        <w:rPr>
          <w:rFonts w:ascii="Palatino Linotype" w:eastAsia="Calibri" w:hAnsi="Palatino Linotype" w:cs="Arial"/>
          <w:lang w:val="es-ES"/>
        </w:rPr>
        <w:t xml:space="preserve"> electrónico</w:t>
      </w:r>
      <w:r w:rsidRPr="00D00188">
        <w:rPr>
          <w:rFonts w:ascii="Palatino Linotype" w:eastAsia="Calibri" w:hAnsi="Palatino Linotype" w:cs="Arial"/>
          <w:lang w:val="es-ES"/>
        </w:rPr>
        <w:t>s</w:t>
      </w:r>
      <w:r w:rsidR="004C3391" w:rsidRPr="00D00188">
        <w:rPr>
          <w:rFonts w:ascii="Palatino Linotype" w:eastAsia="Calibri" w:hAnsi="Palatino Linotype" w:cs="Arial"/>
          <w:lang w:val="es-ES"/>
        </w:rPr>
        <w:t xml:space="preserve"> “</w:t>
      </w:r>
      <w:hyperlink r:id="rId9" w:history="1">
        <w:r w:rsidRPr="00D00188">
          <w:rPr>
            <w:rFonts w:ascii="Palatino Linotype" w:eastAsia="Calibri" w:hAnsi="Palatino Linotype"/>
            <w:b/>
            <w:i/>
            <w:lang w:val="es-ES"/>
          </w:rPr>
          <w:t>INFORME JUSTIFICADO 773-2021.pdf</w:t>
        </w:r>
      </w:hyperlink>
      <w:r w:rsidR="00342FDB" w:rsidRPr="00D00188">
        <w:rPr>
          <w:rFonts w:eastAsia="Calibri"/>
          <w:lang w:val="es-ES"/>
        </w:rPr>
        <w:t xml:space="preserve">” </w:t>
      </w:r>
      <w:r w:rsidRPr="00D00188">
        <w:rPr>
          <w:rFonts w:ascii="Palatino Linotype" w:eastAsia="Calibri" w:hAnsi="Palatino Linotype"/>
          <w:lang w:val="es-ES"/>
        </w:rPr>
        <w:t xml:space="preserve">con el oficio UIPL/0326/2021, de fecha </w:t>
      </w:r>
      <w:r w:rsidR="006C387D" w:rsidRPr="00D00188">
        <w:rPr>
          <w:rFonts w:ascii="Palatino Linotype" w:eastAsia="Calibri" w:hAnsi="Palatino Linotype"/>
          <w:lang w:val="es-ES"/>
        </w:rPr>
        <w:t xml:space="preserve">10 de marzo de 2021, a través del cual se rindió el informe justificado, </w:t>
      </w:r>
      <w:r w:rsidRPr="00D00188">
        <w:rPr>
          <w:rFonts w:eastAsia="Calibri"/>
          <w:lang w:val="es-ES"/>
        </w:rPr>
        <w:t xml:space="preserve"> “</w:t>
      </w:r>
      <w:hyperlink r:id="rId10" w:history="1">
        <w:r w:rsidRPr="00D00188">
          <w:rPr>
            <w:rFonts w:ascii="Palatino Linotype" w:eastAsia="Calibri" w:hAnsi="Palatino Linotype"/>
            <w:b/>
            <w:i/>
            <w:lang w:val="es-ES"/>
          </w:rPr>
          <w:t>RR. 00733 Informe justificado (alcance).</w:t>
        </w:r>
        <w:proofErr w:type="spellStart"/>
        <w:r w:rsidRPr="00D00188">
          <w:rPr>
            <w:rFonts w:ascii="Palatino Linotype" w:eastAsia="Calibri" w:hAnsi="Palatino Linotype"/>
            <w:b/>
            <w:i/>
            <w:lang w:val="es-ES"/>
          </w:rPr>
          <w:t>pdf</w:t>
        </w:r>
        <w:proofErr w:type="spellEnd"/>
      </w:hyperlink>
      <w:r w:rsidRPr="00D00188">
        <w:rPr>
          <w:rFonts w:eastAsia="Calibri"/>
          <w:b/>
          <w:lang w:val="es-ES"/>
        </w:rPr>
        <w:t>”</w:t>
      </w:r>
      <w:r w:rsidR="006C387D" w:rsidRPr="00D00188">
        <w:rPr>
          <w:rFonts w:eastAsia="Calibri"/>
          <w:b/>
          <w:lang w:val="es-ES"/>
        </w:rPr>
        <w:t xml:space="preserve"> </w:t>
      </w:r>
      <w:r w:rsidR="006C387D" w:rsidRPr="00D00188">
        <w:rPr>
          <w:rFonts w:ascii="Palatino Linotype" w:eastAsia="Calibri" w:hAnsi="Palatino Linotype"/>
          <w:lang w:val="es-ES"/>
        </w:rPr>
        <w:t xml:space="preserve">constante en el oficio UIPL/0412/2021, </w:t>
      </w:r>
      <w:r w:rsidR="00DA01C4" w:rsidRPr="00D00188">
        <w:rPr>
          <w:rFonts w:ascii="Palatino Linotype" w:eastAsia="Calibri" w:hAnsi="Palatino Linotype"/>
          <w:lang w:val="es-ES"/>
        </w:rPr>
        <w:t xml:space="preserve">que </w:t>
      </w:r>
      <w:r w:rsidR="006C387D" w:rsidRPr="00D00188">
        <w:rPr>
          <w:rFonts w:ascii="Palatino Linotype" w:eastAsia="Calibri" w:hAnsi="Palatino Linotype"/>
          <w:lang w:val="es-ES"/>
        </w:rPr>
        <w:t>remite un alcance al</w:t>
      </w:r>
      <w:r w:rsidR="00DA01C4" w:rsidRPr="00D00188">
        <w:rPr>
          <w:rFonts w:ascii="Palatino Linotype" w:eastAsia="Calibri" w:hAnsi="Palatino Linotype"/>
          <w:lang w:val="es-ES"/>
        </w:rPr>
        <w:t xml:space="preserve"> informe justificado, a través del cual se</w:t>
      </w:r>
      <w:r w:rsidRPr="00D00188">
        <w:rPr>
          <w:rFonts w:ascii="Palatino Linotype" w:eastAsia="Calibri" w:hAnsi="Palatino Linotype"/>
          <w:lang w:val="es-ES"/>
        </w:rPr>
        <w:t xml:space="preserve"> </w:t>
      </w:r>
      <w:r w:rsidR="00340333" w:rsidRPr="00D00188">
        <w:rPr>
          <w:rFonts w:ascii="Palatino Linotype" w:eastAsia="Calibri" w:hAnsi="Palatino Linotype"/>
          <w:lang w:val="es-ES"/>
        </w:rPr>
        <w:t>informa que en fecha 04 de marzo del presente año, durante el Segundo Periodo Ordinario de Sesiones del tercer año legislativo, de la LX Legislatura del Estado de México, fue aprobada la integración de la Comisión Especial en materia de Amnistía</w:t>
      </w:r>
      <w:r w:rsidR="00340333" w:rsidRPr="00D00188">
        <w:rPr>
          <w:rFonts w:eastAsia="Calibri"/>
          <w:lang w:val="es-ES"/>
        </w:rPr>
        <w:t xml:space="preserve">; </w:t>
      </w:r>
      <w:r w:rsidRPr="00D00188">
        <w:rPr>
          <w:rFonts w:eastAsia="Calibri"/>
          <w:lang w:val="es-ES"/>
        </w:rPr>
        <w:t>y “</w:t>
      </w:r>
      <w:hyperlink r:id="rId11" w:history="1">
        <w:r w:rsidRPr="00D00188">
          <w:rPr>
            <w:rFonts w:ascii="Palatino Linotype" w:eastAsia="Calibri" w:hAnsi="Palatino Linotype"/>
            <w:b/>
            <w:i/>
            <w:lang w:val="es-ES"/>
          </w:rPr>
          <w:t>GP-141-(09-MAR-21).</w:t>
        </w:r>
        <w:proofErr w:type="spellStart"/>
        <w:r w:rsidRPr="00D00188">
          <w:rPr>
            <w:rFonts w:ascii="Palatino Linotype" w:eastAsia="Calibri" w:hAnsi="Palatino Linotype"/>
            <w:b/>
            <w:i/>
            <w:lang w:val="es-ES"/>
          </w:rPr>
          <w:t>pdf</w:t>
        </w:r>
        <w:proofErr w:type="spellEnd"/>
      </w:hyperlink>
      <w:r w:rsidRPr="00D00188">
        <w:rPr>
          <w:rFonts w:eastAsia="Calibri"/>
          <w:lang w:val="es-ES"/>
        </w:rPr>
        <w:t>”</w:t>
      </w:r>
      <w:r w:rsidRPr="00D00188">
        <w:rPr>
          <w:rStyle w:val="Hipervnculo"/>
          <w:rFonts w:ascii="Palatino Linotype" w:hAnsi="Palatino Linotype" w:cs="Arial"/>
          <w:b/>
          <w:bCs/>
          <w:i/>
          <w:color w:val="000000" w:themeColor="text1"/>
          <w:u w:val="none"/>
        </w:rPr>
        <w:t xml:space="preserve"> </w:t>
      </w:r>
      <w:r w:rsidR="00180276" w:rsidRPr="00D00188">
        <w:rPr>
          <w:rStyle w:val="Hipervnculo"/>
          <w:rFonts w:ascii="Palatino Linotype" w:hAnsi="Palatino Linotype"/>
          <w:bCs/>
          <w:color w:val="000000" w:themeColor="text1"/>
          <w:u w:val="none"/>
        </w:rPr>
        <w:t xml:space="preserve">constante en </w:t>
      </w:r>
      <w:r w:rsidR="00342FDB" w:rsidRPr="00D00188">
        <w:rPr>
          <w:rStyle w:val="Hipervnculo"/>
          <w:rFonts w:ascii="Palatino Linotype" w:hAnsi="Palatino Linotype"/>
          <w:bCs/>
          <w:color w:val="000000" w:themeColor="text1"/>
          <w:u w:val="none"/>
        </w:rPr>
        <w:t>cinco</w:t>
      </w:r>
      <w:r w:rsidR="00180276" w:rsidRPr="00D00188">
        <w:rPr>
          <w:rStyle w:val="Hipervnculo"/>
          <w:rFonts w:ascii="Palatino Linotype" w:hAnsi="Palatino Linotype"/>
          <w:bCs/>
          <w:color w:val="000000" w:themeColor="text1"/>
          <w:u w:val="none"/>
        </w:rPr>
        <w:t xml:space="preserve"> hojas </w:t>
      </w:r>
      <w:r w:rsidR="00340333" w:rsidRPr="00D00188">
        <w:rPr>
          <w:rFonts w:ascii="Palatino Linotype" w:hAnsi="Palatino Linotype"/>
        </w:rPr>
        <w:t>con la Gaceta parlamentaria de fecha 09 de marzo de 2021</w:t>
      </w:r>
      <w:r w:rsidR="00342FDB" w:rsidRPr="00D00188">
        <w:rPr>
          <w:rFonts w:ascii="Palatino Linotype" w:hAnsi="Palatino Linotype" w:cs="Arial Narrow"/>
          <w:lang w:val="es-MX"/>
        </w:rPr>
        <w:t>.</w:t>
      </w:r>
    </w:p>
    <w:p w14:paraId="310BD0CC" w14:textId="77777777" w:rsidR="00C77915" w:rsidRPr="00D00188" w:rsidRDefault="00C77915" w:rsidP="006229F8">
      <w:pPr>
        <w:spacing w:line="360" w:lineRule="auto"/>
        <w:ind w:right="567"/>
        <w:jc w:val="both"/>
        <w:rPr>
          <w:rFonts w:ascii="Palatino Linotype" w:eastAsia="Times New Roman" w:hAnsi="Palatino Linotype" w:cs="Times New Roman"/>
          <w:sz w:val="22"/>
          <w:szCs w:val="22"/>
          <w:lang w:val="es-MX" w:eastAsia="es-MX"/>
        </w:rPr>
      </w:pPr>
    </w:p>
    <w:p w14:paraId="4C653311" w14:textId="6F5BA74F" w:rsidR="0072422F" w:rsidRPr="00D00188" w:rsidRDefault="0072422F" w:rsidP="006229F8">
      <w:pPr>
        <w:pStyle w:val="Prrafodelista"/>
        <w:numPr>
          <w:ilvl w:val="0"/>
          <w:numId w:val="1"/>
        </w:numPr>
        <w:tabs>
          <w:tab w:val="left" w:pos="426"/>
        </w:tabs>
        <w:spacing w:line="360" w:lineRule="auto"/>
        <w:ind w:left="0" w:firstLine="0"/>
        <w:jc w:val="both"/>
        <w:rPr>
          <w:rFonts w:ascii="Palatino Linotype" w:hAnsi="Palatino Linotype"/>
        </w:rPr>
      </w:pPr>
      <w:r w:rsidRPr="00D00188">
        <w:rPr>
          <w:rFonts w:ascii="Palatino Linotype" w:hAnsi="Palatino Linotype"/>
        </w:rPr>
        <w:t xml:space="preserve">El día </w:t>
      </w:r>
      <w:r w:rsidR="00340333" w:rsidRPr="00D00188">
        <w:rPr>
          <w:rFonts w:ascii="Palatino Linotype" w:hAnsi="Palatino Linotype"/>
        </w:rPr>
        <w:t>veintiséis</w:t>
      </w:r>
      <w:r w:rsidRPr="00D00188">
        <w:rPr>
          <w:rFonts w:ascii="Palatino Linotype" w:hAnsi="Palatino Linotype"/>
        </w:rPr>
        <w:t xml:space="preserve"> (</w:t>
      </w:r>
      <w:r w:rsidR="00340333" w:rsidRPr="00D00188">
        <w:rPr>
          <w:rFonts w:ascii="Palatino Linotype" w:hAnsi="Palatino Linotype"/>
        </w:rPr>
        <w:t>26</w:t>
      </w:r>
      <w:r w:rsidRPr="00D00188">
        <w:rPr>
          <w:rFonts w:ascii="Palatino Linotype" w:hAnsi="Palatino Linotype"/>
        </w:rPr>
        <w:t xml:space="preserve">) de </w:t>
      </w:r>
      <w:r w:rsidR="00C77915" w:rsidRPr="00D00188">
        <w:rPr>
          <w:rFonts w:ascii="Palatino Linotype" w:hAnsi="Palatino Linotype"/>
        </w:rPr>
        <w:t>marzo</w:t>
      </w:r>
      <w:r w:rsidRPr="00D00188">
        <w:rPr>
          <w:rFonts w:ascii="Palatino Linotype" w:hAnsi="Palatino Linotype"/>
        </w:rPr>
        <w:t xml:space="preserve"> de dos mil veint</w:t>
      </w:r>
      <w:r w:rsidR="00C77915" w:rsidRPr="00D00188">
        <w:rPr>
          <w:rFonts w:ascii="Palatino Linotype" w:hAnsi="Palatino Linotype"/>
        </w:rPr>
        <w:t>iuno</w:t>
      </w:r>
      <w:r w:rsidRPr="00D00188">
        <w:rPr>
          <w:rFonts w:ascii="Palatino Linotype" w:hAnsi="Palatino Linotype"/>
        </w:rPr>
        <w:t xml:space="preserve">, éste Instituto puso a disposición del particular los archivos enviados </w:t>
      </w:r>
      <w:r w:rsidR="004D7957" w:rsidRPr="00D00188">
        <w:rPr>
          <w:rFonts w:ascii="Palatino Linotype" w:hAnsi="Palatino Linotype"/>
        </w:rPr>
        <w:t xml:space="preserve">por el SUJETO OBLIGADO, </w:t>
      </w:r>
      <w:r w:rsidRPr="00D00188">
        <w:rPr>
          <w:rFonts w:ascii="Palatino Linotype" w:hAnsi="Palatino Linotype"/>
        </w:rPr>
        <w:t>para que manifestara lo que a su derecho asistiera y conviniera</w:t>
      </w:r>
      <w:r w:rsidR="0049148D" w:rsidRPr="00D00188">
        <w:rPr>
          <w:rFonts w:ascii="Palatino Linotype" w:hAnsi="Palatino Linotype"/>
        </w:rPr>
        <w:t>, sin embargo no hubo pronunciamiento alguno al respecto</w:t>
      </w:r>
      <w:r w:rsidRPr="00D00188">
        <w:rPr>
          <w:rFonts w:ascii="Palatino Linotype" w:hAnsi="Palatino Linotype"/>
        </w:rPr>
        <w:t>.</w:t>
      </w:r>
    </w:p>
    <w:p w14:paraId="7E220FD7" w14:textId="77777777" w:rsidR="00C77915" w:rsidRPr="00D00188" w:rsidRDefault="00C77915" w:rsidP="006229F8">
      <w:pPr>
        <w:pStyle w:val="Prrafodelista"/>
        <w:spacing w:line="360" w:lineRule="auto"/>
        <w:ind w:left="0"/>
        <w:rPr>
          <w:rFonts w:ascii="Palatino Linotype" w:hAnsi="Palatino Linotype"/>
        </w:rPr>
      </w:pPr>
    </w:p>
    <w:p w14:paraId="33BFE2F7" w14:textId="787A5079" w:rsidR="0049148D" w:rsidRPr="00D00188" w:rsidRDefault="0049148D" w:rsidP="006229F8">
      <w:pPr>
        <w:pStyle w:val="Prrafodelista"/>
        <w:numPr>
          <w:ilvl w:val="0"/>
          <w:numId w:val="1"/>
        </w:numPr>
        <w:tabs>
          <w:tab w:val="left" w:pos="426"/>
        </w:tabs>
        <w:spacing w:line="360" w:lineRule="auto"/>
        <w:ind w:left="0" w:firstLine="0"/>
        <w:jc w:val="both"/>
        <w:rPr>
          <w:rFonts w:ascii="Palatino Linotype" w:hAnsi="Palatino Linotype"/>
        </w:rPr>
      </w:pPr>
      <w:r w:rsidRPr="00D00188">
        <w:rPr>
          <w:rFonts w:ascii="Palatino Linotype" w:hAnsi="Palatino Linotype"/>
        </w:rPr>
        <w:t xml:space="preserve">El día </w:t>
      </w:r>
      <w:r w:rsidR="00340333" w:rsidRPr="00D00188">
        <w:rPr>
          <w:rFonts w:ascii="Palatino Linotype" w:hAnsi="Palatino Linotype"/>
        </w:rPr>
        <w:t>veintiséis</w:t>
      </w:r>
      <w:r w:rsidRPr="00D00188">
        <w:rPr>
          <w:rFonts w:ascii="Palatino Linotype" w:hAnsi="Palatino Linotype"/>
        </w:rPr>
        <w:t xml:space="preserve"> (</w:t>
      </w:r>
      <w:r w:rsidR="00340333" w:rsidRPr="00D00188">
        <w:rPr>
          <w:rFonts w:ascii="Palatino Linotype" w:hAnsi="Palatino Linotype"/>
        </w:rPr>
        <w:t>26</w:t>
      </w:r>
      <w:r w:rsidRPr="00D00188">
        <w:rPr>
          <w:rFonts w:ascii="Palatino Linotype" w:hAnsi="Palatino Linotype"/>
        </w:rPr>
        <w:t xml:space="preserve">) de marzo </w:t>
      </w:r>
      <w:r w:rsidRPr="00D00188">
        <w:rPr>
          <w:rFonts w:ascii="Palatino Linotype" w:eastAsia="Calibri" w:hAnsi="Palatino Linotype" w:cs="Arial"/>
          <w:lang w:val="es-ES"/>
        </w:rPr>
        <w:t xml:space="preserve">de dos mil </w:t>
      </w:r>
      <w:r w:rsidRPr="00D00188">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076E2460" w14:textId="77777777" w:rsidR="00340333" w:rsidRPr="00D00188" w:rsidRDefault="00340333" w:rsidP="00340333">
      <w:pPr>
        <w:pStyle w:val="Prrafodelista"/>
        <w:tabs>
          <w:tab w:val="left" w:pos="426"/>
        </w:tabs>
        <w:spacing w:line="360" w:lineRule="auto"/>
        <w:ind w:left="0"/>
        <w:jc w:val="both"/>
        <w:rPr>
          <w:rFonts w:ascii="Palatino Linotype" w:hAnsi="Palatino Linotype"/>
        </w:rPr>
      </w:pPr>
    </w:p>
    <w:p w14:paraId="31893125" w14:textId="029B1726" w:rsidR="004C3391" w:rsidRPr="00D00188"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D00188">
        <w:rPr>
          <w:rFonts w:ascii="Palatino Linotype" w:hAnsi="Palatino Linotype"/>
        </w:rPr>
        <w:t>El Comisionado Ponente decretó el cierre de instrucción</w:t>
      </w:r>
      <w:r w:rsidRPr="00D00188">
        <w:rPr>
          <w:rFonts w:ascii="Palatino Linotype" w:hAnsi="Palatino Linotype" w:cs="Arial"/>
        </w:rPr>
        <w:t xml:space="preserve"> </w:t>
      </w:r>
      <w:r w:rsidRPr="00D00188">
        <w:rPr>
          <w:rFonts w:ascii="Palatino Linotype" w:hAnsi="Palatino Linotype"/>
        </w:rPr>
        <w:t xml:space="preserve">mediante acuerdo de fecha veinte (20) de abril </w:t>
      </w:r>
      <w:r w:rsidRPr="00D00188">
        <w:rPr>
          <w:rFonts w:ascii="Palatino Linotype" w:eastAsia="Calibri" w:hAnsi="Palatino Linotype" w:cs="Arial"/>
          <w:lang w:val="es-ES"/>
        </w:rPr>
        <w:t xml:space="preserve">de dos mil </w:t>
      </w:r>
      <w:r w:rsidRPr="00D00188">
        <w:rPr>
          <w:rFonts w:ascii="Palatino Linotype" w:hAnsi="Palatino Linotype"/>
        </w:rPr>
        <w:t xml:space="preserve">veintiuno, </w:t>
      </w:r>
      <w:r w:rsidRPr="00D00188">
        <w:rPr>
          <w:rFonts w:ascii="Palatino Linotype" w:hAnsi="Palatino Linotype" w:cs="Arial"/>
        </w:rPr>
        <w:t>por lo que ordenó turnar el expediente a resolución.</w:t>
      </w:r>
    </w:p>
    <w:p w14:paraId="772F217E" w14:textId="70BEE4CC" w:rsidR="004C3391" w:rsidRPr="00D00188" w:rsidRDefault="004C3391" w:rsidP="006229F8">
      <w:pPr>
        <w:pStyle w:val="Ttulo1"/>
        <w:tabs>
          <w:tab w:val="left" w:pos="567"/>
        </w:tabs>
        <w:spacing w:line="360" w:lineRule="auto"/>
        <w:jc w:val="center"/>
        <w:rPr>
          <w:b w:val="0"/>
          <w:szCs w:val="24"/>
        </w:rPr>
      </w:pPr>
      <w:bookmarkStart w:id="7" w:name="_Toc71832783"/>
      <w:r w:rsidRPr="00D00188">
        <w:rPr>
          <w:szCs w:val="24"/>
        </w:rPr>
        <w:lastRenderedPageBreak/>
        <w:t>CONSIDERANDO</w:t>
      </w:r>
      <w:r w:rsidR="00143EF7" w:rsidRPr="00D00188">
        <w:rPr>
          <w:szCs w:val="24"/>
        </w:rPr>
        <w:t>S</w:t>
      </w:r>
      <w:bookmarkEnd w:id="7"/>
    </w:p>
    <w:p w14:paraId="6624E2CC" w14:textId="77777777" w:rsidR="004C3391" w:rsidRPr="00D00188" w:rsidRDefault="004C3391" w:rsidP="006229F8">
      <w:pPr>
        <w:pStyle w:val="Ttulo1"/>
        <w:tabs>
          <w:tab w:val="left" w:pos="567"/>
        </w:tabs>
        <w:spacing w:line="360" w:lineRule="auto"/>
        <w:rPr>
          <w:b w:val="0"/>
          <w:bCs/>
          <w:spacing w:val="60"/>
        </w:rPr>
      </w:pPr>
      <w:bookmarkStart w:id="8" w:name="_Toc71832784"/>
      <w:r w:rsidRPr="00D00188">
        <w:t>PRIMERO. De la competencia</w:t>
      </w:r>
      <w:bookmarkEnd w:id="8"/>
    </w:p>
    <w:p w14:paraId="301D880C" w14:textId="77777777" w:rsidR="004C3391" w:rsidRPr="00D00188"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D00188"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D001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00188">
        <w:rPr>
          <w:rFonts w:ascii="Palatino Linotype" w:eastAsia="Calibri" w:hAnsi="Palatino Linotype" w:cs="Times New Roman"/>
          <w:b/>
          <w:lang w:val="es-ES"/>
        </w:rPr>
        <w:t>Constitución Política de los Estados Unidos Mexicanos</w:t>
      </w:r>
      <w:r w:rsidRPr="00D00188">
        <w:rPr>
          <w:rFonts w:ascii="Palatino Linotype" w:eastAsia="Calibri" w:hAnsi="Palatino Linotype" w:cs="Times New Roman"/>
          <w:lang w:val="es-ES"/>
        </w:rPr>
        <w:t xml:space="preserve">; 5, párrafos </w:t>
      </w:r>
      <w:r w:rsidRPr="00D00188">
        <w:rPr>
          <w:rFonts w:ascii="Palatino Linotype" w:eastAsia="Calibri" w:hAnsi="Palatino Linotype" w:cs="Times New Roman"/>
          <w:color w:val="000000" w:themeColor="text1"/>
          <w:lang w:val="es-ES"/>
        </w:rPr>
        <w:t xml:space="preserve">vigésimo segundo, vigésimo tercero y vigésimo cuarto </w:t>
      </w:r>
      <w:r w:rsidRPr="00D00188">
        <w:rPr>
          <w:rFonts w:ascii="Palatino Linotype" w:eastAsia="Calibri" w:hAnsi="Palatino Linotype" w:cs="Times New Roman"/>
          <w:lang w:val="es-ES"/>
        </w:rPr>
        <w:t xml:space="preserve">fracciones IV y V de la </w:t>
      </w:r>
      <w:r w:rsidRPr="00D00188">
        <w:rPr>
          <w:rFonts w:ascii="Palatino Linotype" w:eastAsia="Calibri" w:hAnsi="Palatino Linotype" w:cs="Times New Roman"/>
          <w:b/>
          <w:lang w:val="es-ES"/>
        </w:rPr>
        <w:t>Constitución Política del Estado Libre y Soberano de México</w:t>
      </w:r>
      <w:r w:rsidRPr="00D00188">
        <w:rPr>
          <w:rFonts w:ascii="Palatino Linotype" w:eastAsia="Calibri" w:hAnsi="Palatino Linotype" w:cs="Times New Roman"/>
          <w:lang w:val="es-ES"/>
        </w:rPr>
        <w:t xml:space="preserve">; artículos 1, 2 fracción II, 13, 29, 36 fracciones I y II, 176, 178, 179, 181 párrafo tercero y 185 </w:t>
      </w:r>
      <w:r w:rsidRPr="00D00188">
        <w:rPr>
          <w:rFonts w:ascii="Palatino Linotype" w:eastAsia="Calibri" w:hAnsi="Palatino Linotype" w:cs="Arial"/>
          <w:lang w:val="es-ES"/>
        </w:rPr>
        <w:t xml:space="preserve">de la </w:t>
      </w:r>
      <w:r w:rsidRPr="00D00188">
        <w:rPr>
          <w:rFonts w:ascii="Palatino Linotype" w:eastAsia="Calibri" w:hAnsi="Palatino Linotype" w:cs="Arial"/>
          <w:b/>
          <w:lang w:val="es-ES"/>
        </w:rPr>
        <w:t>Ley de Transparencia y Acceso a la Información Pública del Estado de México y Municipios</w:t>
      </w:r>
      <w:r w:rsidRPr="00D00188">
        <w:rPr>
          <w:rFonts w:ascii="Palatino Linotype" w:eastAsia="Calibri" w:hAnsi="Palatino Linotype" w:cs="Arial"/>
          <w:lang w:val="es-ES"/>
        </w:rPr>
        <w:t xml:space="preserve">; y 10, 7, 9 fracciones I y XXIV, y 11 del </w:t>
      </w:r>
      <w:r w:rsidRPr="00D0018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00188">
        <w:rPr>
          <w:rFonts w:ascii="Palatino Linotype" w:hAnsi="Palatino Linotype"/>
        </w:rPr>
        <w:t>.</w:t>
      </w:r>
    </w:p>
    <w:p w14:paraId="27F5C37B" w14:textId="77777777" w:rsidR="002A1203" w:rsidRPr="00D00188"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D00188" w:rsidRDefault="004C3391" w:rsidP="006229F8">
      <w:pPr>
        <w:pStyle w:val="Ttulo1"/>
        <w:tabs>
          <w:tab w:val="left" w:pos="567"/>
        </w:tabs>
        <w:spacing w:before="0" w:line="360" w:lineRule="auto"/>
      </w:pPr>
      <w:bookmarkStart w:id="9" w:name="_Toc71832785"/>
      <w:r w:rsidRPr="00D00188">
        <w:t>SEGUNDO. De la oportunidad y procedencia.</w:t>
      </w:r>
      <w:bookmarkEnd w:id="9"/>
    </w:p>
    <w:p w14:paraId="02CDDD4B" w14:textId="77777777" w:rsidR="004C3391" w:rsidRPr="00D00188"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520DD945" w14:textId="43030041" w:rsidR="00C21053" w:rsidRPr="00D00188" w:rsidRDefault="004C3391" w:rsidP="006229F8">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D00188">
        <w:rPr>
          <w:rFonts w:ascii="Palatino Linotype" w:eastAsia="Calibri" w:hAnsi="Palatino Linotype" w:cs="Arial"/>
        </w:rPr>
        <w:t>El medio de impugnación fue presentado a través del Sistema de Acceso a la Información Mexiquense (SAIMEX)</w:t>
      </w:r>
      <w:r w:rsidRPr="00D00188">
        <w:rPr>
          <w:rFonts w:ascii="Palatino Linotype" w:eastAsia="Calibri" w:hAnsi="Palatino Linotype" w:cs="Arial"/>
          <w:b/>
        </w:rPr>
        <w:t>,</w:t>
      </w:r>
      <w:r w:rsidRPr="00D0018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00188">
        <w:rPr>
          <w:rFonts w:ascii="Palatino Linotype" w:eastAsia="Calibri" w:hAnsi="Palatino Linotype" w:cs="Arial"/>
          <w:b/>
        </w:rPr>
        <w:t>SUJETO OBLIGADO</w:t>
      </w:r>
      <w:r w:rsidRPr="00D00188">
        <w:rPr>
          <w:rFonts w:ascii="Palatino Linotype" w:eastAsia="Calibri" w:hAnsi="Palatino Linotype" w:cs="Arial"/>
        </w:rPr>
        <w:t xml:space="preserve"> entregó respuesta el día </w:t>
      </w:r>
      <w:r w:rsidR="00340333" w:rsidRPr="00D00188">
        <w:rPr>
          <w:rFonts w:ascii="Palatino Linotype" w:eastAsia="Calibri" w:hAnsi="Palatino Linotype" w:cs="Arial"/>
          <w:lang w:val="es-AR"/>
        </w:rPr>
        <w:t xml:space="preserve">ocho </w:t>
      </w:r>
      <w:r w:rsidRPr="00D00188">
        <w:rPr>
          <w:rFonts w:ascii="Palatino Linotype" w:eastAsia="Calibri" w:hAnsi="Palatino Linotype" w:cs="Arial"/>
          <w:lang w:val="es-AR"/>
        </w:rPr>
        <w:t>(</w:t>
      </w:r>
      <w:r w:rsidR="00342FDB" w:rsidRPr="00D00188">
        <w:rPr>
          <w:rFonts w:ascii="Palatino Linotype" w:eastAsia="Calibri" w:hAnsi="Palatino Linotype" w:cs="Arial"/>
          <w:lang w:val="es-AR"/>
        </w:rPr>
        <w:t>0</w:t>
      </w:r>
      <w:r w:rsidR="00340333" w:rsidRPr="00D00188">
        <w:rPr>
          <w:rFonts w:ascii="Palatino Linotype" w:eastAsia="Calibri" w:hAnsi="Palatino Linotype" w:cs="Arial"/>
          <w:lang w:val="es-AR"/>
        </w:rPr>
        <w:t>8</w:t>
      </w:r>
      <w:r w:rsidRPr="00D00188">
        <w:rPr>
          <w:rFonts w:ascii="Palatino Linotype" w:hAnsi="Palatino Linotype"/>
          <w:i/>
        </w:rPr>
        <w:t xml:space="preserve">) </w:t>
      </w:r>
      <w:r w:rsidRPr="00D00188">
        <w:rPr>
          <w:rFonts w:ascii="Palatino Linotype" w:hAnsi="Palatino Linotype"/>
        </w:rPr>
        <w:t xml:space="preserve">de </w:t>
      </w:r>
      <w:r w:rsidR="00342FDB" w:rsidRPr="00D00188">
        <w:rPr>
          <w:rFonts w:ascii="Palatino Linotype" w:hAnsi="Palatino Linotype"/>
        </w:rPr>
        <w:t>febrero</w:t>
      </w:r>
      <w:r w:rsidRPr="00D00188">
        <w:rPr>
          <w:rFonts w:ascii="Palatino Linotype" w:hAnsi="Palatino Linotype"/>
        </w:rPr>
        <w:t xml:space="preserve"> de dos mil veinte</w:t>
      </w:r>
      <w:r w:rsidRPr="00D00188">
        <w:rPr>
          <w:rFonts w:ascii="Palatino Linotype" w:eastAsia="Calibri" w:hAnsi="Palatino Linotype" w:cs="Arial"/>
        </w:rPr>
        <w:t xml:space="preserve">, </w:t>
      </w:r>
      <w:r w:rsidRPr="00D00188">
        <w:rPr>
          <w:rFonts w:ascii="Palatino Linotype" w:hAnsi="Palatino Linotype" w:cs="Arial"/>
        </w:rPr>
        <w:t xml:space="preserve">de tal forma que el plazo para interponer el recurso de revisión transcurrió del día </w:t>
      </w:r>
      <w:r w:rsidR="00BF7C97" w:rsidRPr="00D00188">
        <w:rPr>
          <w:rFonts w:ascii="Palatino Linotype" w:hAnsi="Palatino Linotype" w:cs="Arial"/>
        </w:rPr>
        <w:t>nueve</w:t>
      </w:r>
      <w:r w:rsidR="000A59A1" w:rsidRPr="00D00188">
        <w:rPr>
          <w:rFonts w:ascii="Palatino Linotype" w:hAnsi="Palatino Linotype" w:cs="Arial"/>
        </w:rPr>
        <w:t xml:space="preserve"> </w:t>
      </w:r>
      <w:r w:rsidRPr="00D00188">
        <w:rPr>
          <w:rFonts w:ascii="Palatino Linotype" w:eastAsia="Calibri" w:hAnsi="Palatino Linotype" w:cs="Arial"/>
          <w:lang w:val="es-AR"/>
        </w:rPr>
        <w:t>(</w:t>
      </w:r>
      <w:r w:rsidR="00A013E8" w:rsidRPr="00D00188">
        <w:rPr>
          <w:rFonts w:ascii="Palatino Linotype" w:eastAsia="Calibri" w:hAnsi="Palatino Linotype" w:cs="Arial"/>
          <w:lang w:val="es-AR"/>
        </w:rPr>
        <w:t>09</w:t>
      </w:r>
      <w:r w:rsidRPr="00D00188">
        <w:rPr>
          <w:rFonts w:ascii="Palatino Linotype" w:hAnsi="Palatino Linotype"/>
          <w:i/>
        </w:rPr>
        <w:t xml:space="preserve">) </w:t>
      </w:r>
      <w:r w:rsidRPr="00D00188">
        <w:rPr>
          <w:rFonts w:ascii="Palatino Linotype" w:hAnsi="Palatino Linotype"/>
        </w:rPr>
        <w:t xml:space="preserve">de </w:t>
      </w:r>
      <w:r w:rsidR="00301B76" w:rsidRPr="00D00188">
        <w:rPr>
          <w:rFonts w:ascii="Palatino Linotype" w:hAnsi="Palatino Linotype"/>
        </w:rPr>
        <w:t>febrero</w:t>
      </w:r>
      <w:r w:rsidRPr="00D00188">
        <w:rPr>
          <w:rFonts w:ascii="Palatino Linotype" w:hAnsi="Palatino Linotype"/>
          <w:i/>
        </w:rPr>
        <w:t xml:space="preserve"> </w:t>
      </w:r>
      <w:r w:rsidRPr="00D00188">
        <w:rPr>
          <w:rFonts w:ascii="Palatino Linotype" w:hAnsi="Palatino Linotype" w:cs="Arial"/>
        </w:rPr>
        <w:t xml:space="preserve">al </w:t>
      </w:r>
      <w:r w:rsidR="00A013E8" w:rsidRPr="00D00188">
        <w:rPr>
          <w:rFonts w:ascii="Palatino Linotype" w:hAnsi="Palatino Linotype" w:cs="Arial"/>
        </w:rPr>
        <w:t>uno</w:t>
      </w:r>
      <w:r w:rsidR="005150C5" w:rsidRPr="00D00188">
        <w:rPr>
          <w:rFonts w:ascii="Palatino Linotype" w:hAnsi="Palatino Linotype" w:cs="Arial"/>
        </w:rPr>
        <w:t xml:space="preserve"> </w:t>
      </w:r>
      <w:r w:rsidR="000A59A1" w:rsidRPr="00D00188">
        <w:rPr>
          <w:rFonts w:ascii="Palatino Linotype" w:hAnsi="Palatino Linotype" w:cs="Arial"/>
        </w:rPr>
        <w:t>(</w:t>
      </w:r>
      <w:r w:rsidR="00301B76" w:rsidRPr="00D00188">
        <w:rPr>
          <w:rFonts w:ascii="Palatino Linotype" w:hAnsi="Palatino Linotype" w:cs="Arial"/>
        </w:rPr>
        <w:t>0</w:t>
      </w:r>
      <w:r w:rsidR="00A013E8" w:rsidRPr="00D00188">
        <w:rPr>
          <w:rFonts w:ascii="Palatino Linotype" w:hAnsi="Palatino Linotype" w:cs="Arial"/>
        </w:rPr>
        <w:t>1</w:t>
      </w:r>
      <w:r w:rsidR="00C21053" w:rsidRPr="00D00188">
        <w:rPr>
          <w:rFonts w:ascii="Palatino Linotype" w:hAnsi="Palatino Linotype" w:cs="Arial"/>
        </w:rPr>
        <w:t xml:space="preserve">) de </w:t>
      </w:r>
      <w:r w:rsidR="00301B76" w:rsidRPr="00D00188">
        <w:rPr>
          <w:rFonts w:ascii="Palatino Linotype" w:hAnsi="Palatino Linotype" w:cs="Arial"/>
        </w:rPr>
        <w:t>marzo</w:t>
      </w:r>
      <w:r w:rsidRPr="00D00188">
        <w:rPr>
          <w:rFonts w:ascii="Palatino Linotype" w:hAnsi="Palatino Linotype"/>
        </w:rPr>
        <w:t xml:space="preserve"> </w:t>
      </w:r>
      <w:r w:rsidRPr="00D00188">
        <w:rPr>
          <w:rFonts w:ascii="Palatino Linotype" w:hAnsi="Palatino Linotype" w:cs="Arial"/>
        </w:rPr>
        <w:t xml:space="preserve">de dos </w:t>
      </w:r>
      <w:r w:rsidRPr="00D00188">
        <w:rPr>
          <w:rFonts w:ascii="Palatino Linotype" w:hAnsi="Palatino Linotype" w:cs="Arial"/>
        </w:rPr>
        <w:lastRenderedPageBreak/>
        <w:t>mil veint</w:t>
      </w:r>
      <w:r w:rsidR="004E0BEF" w:rsidRPr="00D00188">
        <w:rPr>
          <w:rFonts w:ascii="Palatino Linotype" w:hAnsi="Palatino Linotype" w:cs="Arial"/>
        </w:rPr>
        <w:t>iuno</w:t>
      </w:r>
      <w:r w:rsidRPr="00D00188">
        <w:rPr>
          <w:rFonts w:ascii="Palatino Linotype" w:hAnsi="Palatino Linotype" w:cs="Arial"/>
        </w:rPr>
        <w:t>;</w:t>
      </w:r>
      <w:r w:rsidR="004E0BEF" w:rsidRPr="00D00188">
        <w:rPr>
          <w:rFonts w:ascii="Palatino Linotype" w:eastAsia="Calibri" w:hAnsi="Palatino Linotype" w:cs="Arial"/>
        </w:rPr>
        <w:t xml:space="preserve"> </w:t>
      </w:r>
      <w:r w:rsidRPr="00D00188">
        <w:rPr>
          <w:rFonts w:ascii="Palatino Linotype" w:hAnsi="Palatino Linotype" w:cs="Arial"/>
        </w:rPr>
        <w:t xml:space="preserve">por lo que si presentó su inconformidad el día </w:t>
      </w:r>
      <w:r w:rsidR="00A013E8" w:rsidRPr="00D00188">
        <w:rPr>
          <w:rFonts w:ascii="Palatino Linotype" w:hAnsi="Palatino Linotype" w:cs="Arial"/>
        </w:rPr>
        <w:t>veinticuatro</w:t>
      </w:r>
      <w:r w:rsidR="00301B76" w:rsidRPr="00D00188">
        <w:rPr>
          <w:rFonts w:ascii="Palatino Linotype" w:hAnsi="Palatino Linotype" w:cs="Arial"/>
        </w:rPr>
        <w:t xml:space="preserve"> </w:t>
      </w:r>
      <w:r w:rsidR="00301B76" w:rsidRPr="00D00188">
        <w:rPr>
          <w:rFonts w:ascii="Palatino Linotype" w:eastAsia="Calibri" w:hAnsi="Palatino Linotype" w:cs="Arial"/>
          <w:lang w:val="es-AR"/>
        </w:rPr>
        <w:t>(</w:t>
      </w:r>
      <w:r w:rsidR="00A013E8" w:rsidRPr="00D00188">
        <w:rPr>
          <w:rFonts w:ascii="Palatino Linotype" w:eastAsia="Calibri" w:hAnsi="Palatino Linotype" w:cs="Arial"/>
          <w:lang w:val="es-AR"/>
        </w:rPr>
        <w:t>24</w:t>
      </w:r>
      <w:r w:rsidR="00301B76" w:rsidRPr="00D00188">
        <w:rPr>
          <w:rFonts w:ascii="Palatino Linotype" w:hAnsi="Palatino Linotype"/>
          <w:i/>
        </w:rPr>
        <w:t xml:space="preserve">) </w:t>
      </w:r>
      <w:r w:rsidR="00301B76" w:rsidRPr="00D00188">
        <w:rPr>
          <w:rFonts w:ascii="Palatino Linotype" w:hAnsi="Palatino Linotype"/>
        </w:rPr>
        <w:t xml:space="preserve">de febrero </w:t>
      </w:r>
      <w:r w:rsidR="00C21053" w:rsidRPr="00D00188">
        <w:rPr>
          <w:rFonts w:ascii="Palatino Linotype" w:hAnsi="Palatino Linotype"/>
        </w:rPr>
        <w:t>de dos mil veint</w:t>
      </w:r>
      <w:r w:rsidR="00301B76" w:rsidRPr="00D00188">
        <w:rPr>
          <w:rFonts w:ascii="Palatino Linotype" w:hAnsi="Palatino Linotype"/>
        </w:rPr>
        <w:t>iuno</w:t>
      </w:r>
      <w:r w:rsidRPr="00D00188">
        <w:rPr>
          <w:rFonts w:ascii="Palatino Linotype" w:hAnsi="Palatino Linotype" w:cs="Arial"/>
        </w:rPr>
        <w:t>,</w:t>
      </w:r>
      <w:r w:rsidRPr="00D00188">
        <w:rPr>
          <w:rFonts w:ascii="Palatino Linotype" w:hAnsi="Palatino Linotype" w:cs="Arial"/>
          <w:color w:val="000000" w:themeColor="text1"/>
        </w:rPr>
        <w:t xml:space="preserve"> </w:t>
      </w:r>
      <w:r w:rsidR="003F0FDB" w:rsidRPr="00D00188">
        <w:rPr>
          <w:rFonts w:ascii="Palatino Linotype" w:hAnsi="Palatino Linotype" w:cs="Arial"/>
          <w:color w:val="000000" w:themeColor="text1"/>
        </w:rPr>
        <w:t xml:space="preserve">éste se encuentra dentro de los márgenes temporales previstos en el artículo 178 de la </w:t>
      </w:r>
      <w:r w:rsidR="003F0FDB" w:rsidRPr="00D00188">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D00188" w:rsidRDefault="003F0FDB"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77777777" w:rsidR="00C21053" w:rsidRPr="00D00188"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D0018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D0018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D00188" w:rsidRDefault="00C21053" w:rsidP="006229F8">
      <w:pPr>
        <w:pStyle w:val="Prrafodelista"/>
        <w:spacing w:line="360" w:lineRule="auto"/>
        <w:rPr>
          <w:rFonts w:ascii="Palatino Linotype" w:eastAsia="Times New Roman" w:hAnsi="Palatino Linotype" w:cs="Times New Roman"/>
          <w:lang w:val="es-MX" w:eastAsia="es-MX"/>
        </w:rPr>
      </w:pPr>
    </w:p>
    <w:p w14:paraId="7B615A02" w14:textId="77777777" w:rsidR="00C21053" w:rsidRPr="00D00188"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D00188">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D00188">
        <w:rPr>
          <w:rFonts w:ascii="Palatino Linotype" w:hAnsi="Palatino Linotype" w:cs="Arial"/>
          <w:lang w:val="es-ES"/>
        </w:rPr>
        <w:lastRenderedPageBreak/>
        <w:t>autónomos especializados e imparciales que establece la Constitución Federal y local.</w:t>
      </w:r>
    </w:p>
    <w:p w14:paraId="39671EF9" w14:textId="77777777" w:rsidR="00C21053" w:rsidRPr="00D00188" w:rsidRDefault="00C21053" w:rsidP="006229F8">
      <w:pPr>
        <w:pStyle w:val="Prrafodelista"/>
        <w:spacing w:line="360" w:lineRule="auto"/>
        <w:rPr>
          <w:rFonts w:ascii="Palatino Linotype" w:eastAsia="Times New Roman" w:hAnsi="Palatino Linotype" w:cs="Times New Roman"/>
          <w:lang w:val="es-MX" w:eastAsia="es-MX"/>
        </w:rPr>
      </w:pPr>
    </w:p>
    <w:p w14:paraId="4CECA51B" w14:textId="77777777" w:rsidR="00C21053" w:rsidRPr="00D00188"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D0018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D00188" w:rsidRDefault="00C21053" w:rsidP="006229F8">
      <w:pPr>
        <w:pStyle w:val="Prrafodelista"/>
        <w:spacing w:line="360" w:lineRule="auto"/>
        <w:rPr>
          <w:rFonts w:ascii="Palatino Linotype" w:eastAsia="Times New Roman" w:hAnsi="Palatino Linotype" w:cs="Times New Roman"/>
          <w:lang w:val="es-MX" w:eastAsia="es-MX"/>
        </w:rPr>
      </w:pPr>
    </w:p>
    <w:p w14:paraId="2B88F196" w14:textId="77777777" w:rsidR="00C21053" w:rsidRPr="00D00188"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D0018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D00188" w:rsidRDefault="00C21053" w:rsidP="006229F8">
      <w:pPr>
        <w:pStyle w:val="Prrafodelista"/>
        <w:spacing w:line="360" w:lineRule="auto"/>
        <w:rPr>
          <w:rFonts w:ascii="Palatino Linotype" w:eastAsia="Times New Roman" w:hAnsi="Palatino Linotype" w:cs="Times New Roman"/>
          <w:lang w:val="es-MX" w:eastAsia="es-MX"/>
        </w:rPr>
      </w:pPr>
    </w:p>
    <w:p w14:paraId="4B60BC7E" w14:textId="77777777" w:rsidR="00C21053" w:rsidRPr="00D00188"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D00188">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D00188">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D00188" w:rsidRDefault="004C3391"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D00188" w:rsidRDefault="004C3391" w:rsidP="006229F8">
      <w:pPr>
        <w:pStyle w:val="Ttulo2"/>
        <w:spacing w:before="0" w:line="360" w:lineRule="auto"/>
        <w:rPr>
          <w:szCs w:val="24"/>
        </w:rPr>
      </w:pPr>
      <w:r w:rsidRPr="00D00188">
        <w:rPr>
          <w:szCs w:val="24"/>
        </w:rPr>
        <w:t xml:space="preserve"> </w:t>
      </w:r>
      <w:bookmarkStart w:id="10" w:name="_Toc71832786"/>
      <w:bookmarkStart w:id="11" w:name="_Toc473812226"/>
      <w:bookmarkStart w:id="12" w:name="_Toc482887019"/>
      <w:bookmarkStart w:id="13" w:name="_Toc7109268"/>
      <w:r w:rsidR="00C759DB" w:rsidRPr="00D00188">
        <w:rPr>
          <w:szCs w:val="24"/>
        </w:rPr>
        <w:t>TERCERO. Cuestiones de previo y especial pronunciamiento.</w:t>
      </w:r>
      <w:bookmarkEnd w:id="10"/>
    </w:p>
    <w:p w14:paraId="5DFCD882" w14:textId="77777777" w:rsidR="00C759DB" w:rsidRPr="00D00188" w:rsidRDefault="00C759DB" w:rsidP="006229F8">
      <w:pPr>
        <w:spacing w:line="360" w:lineRule="auto"/>
        <w:rPr>
          <w:rFonts w:ascii="Palatino Linotype" w:hAnsi="Palatino Linotype"/>
          <w:lang w:val="es-MX" w:eastAsia="en-US"/>
        </w:rPr>
      </w:pPr>
    </w:p>
    <w:p w14:paraId="6686BDB7"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Desde que inició, a finales de 2019, la crisis generada por el virus </w:t>
      </w:r>
      <w:r w:rsidRPr="00D00188">
        <w:rPr>
          <w:rFonts w:ascii="Palatino Linotype" w:hAnsi="Palatino Linotype"/>
          <w:b/>
          <w:lang w:val="es-ES"/>
        </w:rPr>
        <w:t>SARS-Cov-2 -  COVID-19</w:t>
      </w:r>
      <w:r w:rsidRPr="00D0018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D00188" w:rsidRDefault="00C759DB" w:rsidP="006229F8">
      <w:pPr>
        <w:pStyle w:val="Prrafodelista"/>
        <w:spacing w:line="360" w:lineRule="auto"/>
        <w:ind w:left="0"/>
        <w:jc w:val="both"/>
        <w:rPr>
          <w:rFonts w:ascii="Palatino Linotype" w:hAnsi="Palatino Linotype"/>
          <w:lang w:val="es-ES"/>
        </w:rPr>
      </w:pPr>
    </w:p>
    <w:p w14:paraId="70C51F33"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D00188" w:rsidRDefault="00C759DB" w:rsidP="006229F8">
      <w:pPr>
        <w:pStyle w:val="Prrafodelista"/>
        <w:spacing w:line="360" w:lineRule="auto"/>
        <w:rPr>
          <w:rFonts w:ascii="Palatino Linotype" w:hAnsi="Palatino Linotype"/>
          <w:lang w:val="es-ES"/>
        </w:rPr>
      </w:pPr>
    </w:p>
    <w:p w14:paraId="31B4F034"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D00188">
        <w:rPr>
          <w:rFonts w:ascii="Palatino Linotype" w:hAnsi="Palatino Linotype"/>
          <w:lang w:val="es-ES"/>
        </w:rPr>
        <w:lastRenderedPageBreak/>
        <w:t>atender estos procedimientos, mientras el país y el estado enfrentaban las condiciones de semáforo rojo sanitario.</w:t>
      </w:r>
    </w:p>
    <w:p w14:paraId="056FD40F" w14:textId="77777777" w:rsidR="00C759DB" w:rsidRPr="00D00188" w:rsidRDefault="00C759DB" w:rsidP="006229F8">
      <w:pPr>
        <w:pStyle w:val="Prrafodelista"/>
        <w:spacing w:line="360" w:lineRule="auto"/>
        <w:rPr>
          <w:rFonts w:ascii="Palatino Linotype" w:hAnsi="Palatino Linotype"/>
          <w:lang w:val="es-ES"/>
        </w:rPr>
      </w:pPr>
    </w:p>
    <w:p w14:paraId="2E26FCC5"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D00188" w:rsidRDefault="00C759DB" w:rsidP="006229F8">
      <w:pPr>
        <w:pStyle w:val="Prrafodelista"/>
        <w:spacing w:line="360" w:lineRule="auto"/>
        <w:rPr>
          <w:rFonts w:ascii="Palatino Linotype" w:hAnsi="Palatino Linotype"/>
          <w:lang w:val="es-ES"/>
        </w:rPr>
      </w:pPr>
    </w:p>
    <w:p w14:paraId="4C00A96D"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D00188">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5070A60B" w14:textId="77777777" w:rsidR="00C759DB" w:rsidRPr="00D00188" w:rsidRDefault="00C759DB" w:rsidP="006229F8">
      <w:pPr>
        <w:pStyle w:val="Prrafodelista"/>
        <w:spacing w:line="360" w:lineRule="auto"/>
        <w:rPr>
          <w:rFonts w:ascii="Palatino Linotype" w:hAnsi="Palatino Linotype"/>
          <w:lang w:val="es-ES"/>
        </w:rPr>
      </w:pPr>
    </w:p>
    <w:p w14:paraId="0C9EDFF9"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El </w:t>
      </w:r>
      <w:proofErr w:type="spellStart"/>
      <w:r w:rsidRPr="00D00188">
        <w:rPr>
          <w:rFonts w:ascii="Palatino Linotype" w:hAnsi="Palatino Linotype"/>
          <w:lang w:val="es-ES"/>
        </w:rPr>
        <w:t>Infoem</w:t>
      </w:r>
      <w:proofErr w:type="spellEnd"/>
      <w:r w:rsidRPr="00D00188">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D00188" w:rsidRDefault="00C759DB" w:rsidP="006229F8">
      <w:pPr>
        <w:pStyle w:val="Prrafodelista"/>
        <w:spacing w:line="360" w:lineRule="auto"/>
        <w:rPr>
          <w:rFonts w:ascii="Palatino Linotype" w:hAnsi="Palatino Linotype"/>
          <w:lang w:val="es-ES"/>
        </w:rPr>
      </w:pPr>
    </w:p>
    <w:p w14:paraId="7BB5416F"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D00188">
        <w:rPr>
          <w:rFonts w:ascii="Palatino Linotype" w:hAnsi="Palatino Linotype"/>
          <w:lang w:val="es-ES"/>
        </w:rPr>
        <w:lastRenderedPageBreak/>
        <w:t>procedimientos sea compatible con la modalidad de trabajo a distancia o trabajo en casa.</w:t>
      </w:r>
    </w:p>
    <w:p w14:paraId="739C41D9" w14:textId="77777777" w:rsidR="00C759DB" w:rsidRPr="00D00188" w:rsidRDefault="00C759DB" w:rsidP="006229F8">
      <w:pPr>
        <w:pStyle w:val="Prrafodelista"/>
        <w:spacing w:line="360" w:lineRule="auto"/>
        <w:rPr>
          <w:rFonts w:ascii="Palatino Linotype" w:hAnsi="Palatino Linotype"/>
          <w:lang w:val="es-ES"/>
        </w:rPr>
      </w:pPr>
    </w:p>
    <w:p w14:paraId="4C970BDB"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D00188" w:rsidRDefault="00C759DB" w:rsidP="006229F8">
      <w:pPr>
        <w:pStyle w:val="Prrafodelista"/>
        <w:spacing w:line="360" w:lineRule="auto"/>
        <w:rPr>
          <w:rFonts w:ascii="Palatino Linotype" w:hAnsi="Palatino Linotype"/>
          <w:lang w:val="es-ES"/>
        </w:rPr>
      </w:pPr>
    </w:p>
    <w:p w14:paraId="1CEE5B2D"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D00188" w:rsidRDefault="00C759DB" w:rsidP="006229F8">
      <w:pPr>
        <w:pStyle w:val="Prrafodelista"/>
        <w:spacing w:line="360" w:lineRule="auto"/>
        <w:rPr>
          <w:rFonts w:ascii="Palatino Linotype" w:hAnsi="Palatino Linotype"/>
          <w:lang w:val="es-ES"/>
        </w:rPr>
      </w:pPr>
    </w:p>
    <w:p w14:paraId="6D5C0206"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D00188" w:rsidRDefault="00C759DB" w:rsidP="006229F8">
      <w:pPr>
        <w:pStyle w:val="Prrafodelista"/>
        <w:spacing w:line="360" w:lineRule="auto"/>
        <w:ind w:left="0"/>
        <w:rPr>
          <w:rFonts w:ascii="Palatino Linotype" w:hAnsi="Palatino Linotype"/>
          <w:lang w:val="es-ES"/>
        </w:rPr>
      </w:pPr>
    </w:p>
    <w:p w14:paraId="4551C063" w14:textId="77777777" w:rsidR="00C759DB" w:rsidRPr="00D00188" w:rsidRDefault="00C759DB" w:rsidP="006229F8">
      <w:pPr>
        <w:pStyle w:val="Prrafodelista"/>
        <w:numPr>
          <w:ilvl w:val="0"/>
          <w:numId w:val="1"/>
        </w:numPr>
        <w:spacing w:line="360" w:lineRule="auto"/>
        <w:ind w:left="0" w:firstLine="0"/>
        <w:jc w:val="both"/>
        <w:rPr>
          <w:rFonts w:ascii="Palatino Linotype" w:hAnsi="Palatino Linotype"/>
          <w:lang w:val="es-ES"/>
        </w:rPr>
      </w:pPr>
      <w:r w:rsidRPr="00D00188">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D00188">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D00188" w:rsidRDefault="00C759DB" w:rsidP="006229F8">
      <w:pPr>
        <w:spacing w:line="360" w:lineRule="auto"/>
        <w:rPr>
          <w:rFonts w:ascii="Palatino Linotype" w:hAnsi="Palatino Linotype"/>
          <w:lang w:val="es-MX" w:eastAsia="en-US"/>
        </w:rPr>
      </w:pPr>
    </w:p>
    <w:p w14:paraId="67249DB6" w14:textId="77777777" w:rsidR="00C759DB" w:rsidRPr="00D00188" w:rsidRDefault="00C759DB" w:rsidP="006229F8">
      <w:pPr>
        <w:pStyle w:val="Ttulo2"/>
        <w:spacing w:before="0" w:line="360" w:lineRule="auto"/>
        <w:rPr>
          <w:b w:val="0"/>
          <w:szCs w:val="24"/>
        </w:rPr>
      </w:pPr>
      <w:bookmarkStart w:id="14" w:name="_Toc71832787"/>
      <w:r w:rsidRPr="00D00188">
        <w:rPr>
          <w:szCs w:val="24"/>
        </w:rPr>
        <w:t>CUARTO. Del planteamiento de la litis.</w:t>
      </w:r>
      <w:bookmarkEnd w:id="11"/>
      <w:bookmarkEnd w:id="12"/>
      <w:bookmarkEnd w:id="13"/>
      <w:bookmarkEnd w:id="14"/>
    </w:p>
    <w:p w14:paraId="02C33CF7" w14:textId="77777777" w:rsidR="00C759DB" w:rsidRPr="00D00188" w:rsidRDefault="00C759DB" w:rsidP="006229F8">
      <w:pPr>
        <w:pStyle w:val="Prrafodelista"/>
        <w:spacing w:line="360" w:lineRule="auto"/>
        <w:ind w:left="0"/>
        <w:jc w:val="both"/>
        <w:rPr>
          <w:rFonts w:ascii="Palatino Linotype" w:hAnsi="Palatino Linotype"/>
          <w:b/>
          <w:color w:val="000000" w:themeColor="text1"/>
        </w:rPr>
      </w:pPr>
    </w:p>
    <w:p w14:paraId="0825E6B9" w14:textId="14B94DC7" w:rsidR="00B87EAD" w:rsidRPr="00D00188" w:rsidRDefault="00C759DB" w:rsidP="00B87EAD">
      <w:pPr>
        <w:pStyle w:val="Prrafodelista"/>
        <w:numPr>
          <w:ilvl w:val="0"/>
          <w:numId w:val="1"/>
        </w:numPr>
        <w:tabs>
          <w:tab w:val="left" w:pos="0"/>
          <w:tab w:val="right" w:pos="284"/>
        </w:tabs>
        <w:spacing w:line="360" w:lineRule="auto"/>
        <w:ind w:left="0" w:firstLine="0"/>
        <w:jc w:val="both"/>
        <w:rPr>
          <w:rFonts w:ascii="Palatino Linotype" w:eastAsia="MS Mincho" w:hAnsi="Palatino Linotype" w:cs="Times New Roman"/>
        </w:rPr>
      </w:pPr>
      <w:r w:rsidRPr="00D00188">
        <w:rPr>
          <w:rFonts w:ascii="Palatino Linotype" w:hAnsi="Palatino Linotype"/>
          <w:color w:val="000000" w:themeColor="text1"/>
          <w:sz w:val="22"/>
          <w:szCs w:val="22"/>
        </w:rPr>
        <w:t xml:space="preserve">Ante la solicitud </w:t>
      </w:r>
      <w:r w:rsidR="003E701F" w:rsidRPr="00D00188">
        <w:rPr>
          <w:rFonts w:ascii="Palatino Linotype" w:eastAsia="Calibri" w:hAnsi="Palatino Linotype" w:cs="Arial"/>
          <w:b/>
          <w:color w:val="000000" w:themeColor="text1"/>
          <w:sz w:val="22"/>
          <w:szCs w:val="22"/>
          <w:lang w:val="es-ES"/>
        </w:rPr>
        <w:t>00046/PLEGISLA/IP/2021</w:t>
      </w:r>
      <w:r w:rsidRPr="00D00188">
        <w:rPr>
          <w:rFonts w:ascii="Palatino Linotype" w:eastAsia="Calibri" w:hAnsi="Palatino Linotype" w:cs="Arial"/>
          <w:b/>
          <w:color w:val="000000" w:themeColor="text1"/>
          <w:sz w:val="22"/>
          <w:szCs w:val="22"/>
          <w:lang w:val="es-ES"/>
        </w:rPr>
        <w:t xml:space="preserve"> </w:t>
      </w:r>
      <w:r w:rsidRPr="00D00188">
        <w:rPr>
          <w:rFonts w:ascii="Palatino Linotype" w:hAnsi="Palatino Linotype"/>
          <w:color w:val="000000" w:themeColor="text1"/>
          <w:sz w:val="22"/>
          <w:szCs w:val="22"/>
        </w:rPr>
        <w:t>en donde se requiere conocer</w:t>
      </w:r>
      <w:r w:rsidR="00BC32F3" w:rsidRPr="00D00188">
        <w:rPr>
          <w:rFonts w:ascii="Palatino Linotype" w:hAnsi="Palatino Linotype"/>
          <w:color w:val="000000" w:themeColor="text1"/>
          <w:sz w:val="22"/>
          <w:szCs w:val="22"/>
        </w:rPr>
        <w:t xml:space="preserve"> información correspondiente a</w:t>
      </w:r>
      <w:r w:rsidR="00B87EAD" w:rsidRPr="00D00188">
        <w:rPr>
          <w:rFonts w:ascii="Palatino Linotype" w:hAnsi="Palatino Linotype"/>
          <w:color w:val="000000" w:themeColor="text1"/>
          <w:sz w:val="22"/>
          <w:szCs w:val="22"/>
        </w:rPr>
        <w:t xml:space="preserve"> </w:t>
      </w:r>
      <w:r w:rsidR="00B87EAD" w:rsidRPr="00D00188">
        <w:rPr>
          <w:rFonts w:ascii="Palatino Linotype" w:eastAsia="MS Mincho" w:hAnsi="Palatino Linotype" w:cs="Times New Roman"/>
        </w:rPr>
        <w:t>la competencia de jueces, número de solicitudes, otorgamiento</w:t>
      </w:r>
      <w:r w:rsidR="00B87EAD" w:rsidRPr="00D00188">
        <w:rPr>
          <w:rFonts w:ascii="Palatino Linotype" w:hAnsi="Palatino Linotype"/>
          <w:color w:val="000000"/>
        </w:rPr>
        <w:t xml:space="preserve"> de amnistía y clasificación de delitos </w:t>
      </w:r>
      <w:r w:rsidR="00B87EAD" w:rsidRPr="00D00188">
        <w:rPr>
          <w:rFonts w:ascii="Palatino Linotype" w:eastAsia="MS Mincho" w:hAnsi="Palatino Linotype" w:cs="Times New Roman"/>
        </w:rPr>
        <w:t>de conformidad con la Ley de Amnistía del Estado de México</w:t>
      </w:r>
      <w:r w:rsidR="00B87EAD" w:rsidRPr="00D00188">
        <w:rPr>
          <w:rFonts w:ascii="Palatino Linotype" w:hAnsi="Palatino Linotype"/>
          <w:color w:val="000000"/>
        </w:rPr>
        <w:t xml:space="preserve">; así como los lineamientos, manuales, circulares, formatos y normatividad, generados por </w:t>
      </w:r>
      <w:r w:rsidR="00B87EAD" w:rsidRPr="00D00188">
        <w:rPr>
          <w:rFonts w:ascii="Palatino Linotype" w:eastAsia="MS Mincho" w:hAnsi="Palatino Linotype" w:cs="Times New Roman"/>
        </w:rPr>
        <w:t>la Comisión Especial de Amnistía</w:t>
      </w:r>
      <w:r w:rsidR="00B87EAD" w:rsidRPr="00D00188">
        <w:rPr>
          <w:rFonts w:ascii="Palatino Linotype" w:hAnsi="Palatino Linotype"/>
          <w:color w:val="000000"/>
        </w:rPr>
        <w:t xml:space="preserve"> para dar seguimiento y cumplimiento a dicha Ley, el </w:t>
      </w:r>
      <w:r w:rsidR="00B87EAD" w:rsidRPr="00D00188">
        <w:rPr>
          <w:rFonts w:ascii="Palatino Linotype" w:hAnsi="Palatino Linotype"/>
        </w:rPr>
        <w:t>SUJETO OBLIGADO declinó su competencia hacia el Poder Judicial del Estado de México.</w:t>
      </w:r>
    </w:p>
    <w:p w14:paraId="4779BDC5" w14:textId="77777777" w:rsidR="00732B6C" w:rsidRPr="00D00188" w:rsidRDefault="00732B6C" w:rsidP="00732B6C">
      <w:pPr>
        <w:pStyle w:val="Prrafodelista"/>
        <w:tabs>
          <w:tab w:val="left" w:pos="0"/>
          <w:tab w:val="right" w:pos="284"/>
        </w:tabs>
        <w:spacing w:line="360" w:lineRule="auto"/>
        <w:ind w:left="0"/>
        <w:jc w:val="both"/>
        <w:rPr>
          <w:rFonts w:ascii="Palatino Linotype" w:eastAsia="MS Mincho" w:hAnsi="Palatino Linotype" w:cs="Times New Roman"/>
        </w:rPr>
      </w:pPr>
    </w:p>
    <w:p w14:paraId="143BAEDC" w14:textId="026F1F8A" w:rsidR="00732B6C" w:rsidRPr="00D00188" w:rsidRDefault="00732B6C" w:rsidP="00B87EAD">
      <w:pPr>
        <w:pStyle w:val="Prrafodelista"/>
        <w:numPr>
          <w:ilvl w:val="0"/>
          <w:numId w:val="1"/>
        </w:numPr>
        <w:tabs>
          <w:tab w:val="left" w:pos="0"/>
          <w:tab w:val="right" w:pos="284"/>
        </w:tabs>
        <w:spacing w:line="360" w:lineRule="auto"/>
        <w:ind w:left="0" w:firstLine="0"/>
        <w:jc w:val="both"/>
        <w:rPr>
          <w:rFonts w:ascii="Palatino Linotype" w:eastAsia="MS Mincho" w:hAnsi="Palatino Linotype" w:cs="Times New Roman"/>
        </w:rPr>
      </w:pPr>
      <w:r w:rsidRPr="00D00188">
        <w:rPr>
          <w:rFonts w:ascii="Palatino Linotype" w:eastAsia="MS Mincho" w:hAnsi="Palatino Linotype" w:cs="Times New Roman"/>
        </w:rPr>
        <w:t>Derivado de la respuesta, el particular se inconformó señalando en sus motivos de inconformidad que “se adjunta documento”, sin embargo en la plataforma del Sistema de Acceso a la Información Mexiquense (SAIMEX) no se aprecia que exista documento alguno.</w:t>
      </w:r>
    </w:p>
    <w:p w14:paraId="0E2B617D" w14:textId="77777777" w:rsidR="00B87EAD" w:rsidRPr="00D00188" w:rsidRDefault="00B87EAD" w:rsidP="00B87EAD">
      <w:pPr>
        <w:pStyle w:val="Prrafodelista"/>
        <w:tabs>
          <w:tab w:val="left" w:pos="0"/>
          <w:tab w:val="right" w:pos="284"/>
        </w:tabs>
        <w:spacing w:line="360" w:lineRule="auto"/>
        <w:ind w:left="0"/>
        <w:jc w:val="both"/>
        <w:rPr>
          <w:rFonts w:ascii="Palatino Linotype" w:eastAsia="MS Mincho" w:hAnsi="Palatino Linotype" w:cs="Times New Roman"/>
        </w:rPr>
      </w:pPr>
    </w:p>
    <w:p w14:paraId="7608BF3D" w14:textId="4EDB844A" w:rsidR="00B87EAD" w:rsidRPr="00D00188" w:rsidRDefault="00B87EAD" w:rsidP="00B87EAD">
      <w:pPr>
        <w:pStyle w:val="Prrafodelista"/>
        <w:numPr>
          <w:ilvl w:val="0"/>
          <w:numId w:val="1"/>
        </w:numPr>
        <w:tabs>
          <w:tab w:val="left" w:pos="0"/>
          <w:tab w:val="right" w:pos="284"/>
        </w:tabs>
        <w:spacing w:line="360" w:lineRule="auto"/>
        <w:ind w:left="0" w:firstLine="0"/>
        <w:jc w:val="both"/>
        <w:rPr>
          <w:rFonts w:ascii="Palatino Linotype" w:eastAsia="MS Mincho" w:hAnsi="Palatino Linotype" w:cs="Times New Roman"/>
        </w:rPr>
      </w:pPr>
      <w:r w:rsidRPr="00D00188">
        <w:rPr>
          <w:rFonts w:ascii="Palatino Linotype" w:eastAsia="Calibri" w:hAnsi="Palatino Linotype" w:cs="Arial"/>
          <w:color w:val="000000" w:themeColor="text1"/>
        </w:rPr>
        <w:t xml:space="preserve">Cabe señalar </w:t>
      </w:r>
      <w:r w:rsidR="00732B6C" w:rsidRPr="00D00188">
        <w:rPr>
          <w:rFonts w:ascii="Palatino Linotype" w:hAnsi="Palatino Linotype" w:cs="Arial"/>
          <w:color w:val="000000" w:themeColor="text1"/>
        </w:rPr>
        <w:t xml:space="preserve">que </w:t>
      </w:r>
      <w:r w:rsidRPr="00D00188">
        <w:rPr>
          <w:rFonts w:ascii="Palatino Linotype" w:eastAsia="Times New Roman" w:hAnsi="Palatino Linotype" w:cs="Arial"/>
          <w:color w:val="000000" w:themeColor="text1"/>
          <w:lang w:val="es-ES"/>
        </w:rPr>
        <w:t>e</w:t>
      </w:r>
      <w:r w:rsidRPr="00D00188">
        <w:rPr>
          <w:rFonts w:ascii="Palatino Linotype" w:eastAsia="Calibri" w:hAnsi="Palatino Linotype" w:cs="Arial"/>
          <w:color w:val="000000" w:themeColor="text1"/>
          <w:lang w:val="es-ES"/>
        </w:rPr>
        <w:t xml:space="preserve">l </w:t>
      </w:r>
      <w:r w:rsidRPr="00D00188">
        <w:rPr>
          <w:rFonts w:ascii="Palatino Linotype" w:hAnsi="Palatino Linotype" w:cs="Arial"/>
          <w:b/>
          <w:color w:val="000000" w:themeColor="text1"/>
        </w:rPr>
        <w:t>SUJETO OBLIGADO</w:t>
      </w:r>
      <w:r w:rsidRPr="00D00188">
        <w:rPr>
          <w:rFonts w:ascii="Palatino Linotype" w:hAnsi="Palatino Linotype" w:cs="Arial"/>
          <w:color w:val="000000" w:themeColor="text1"/>
        </w:rPr>
        <w:t xml:space="preserve"> rindió su Informe Justificado </w:t>
      </w:r>
      <w:r w:rsidRPr="00D00188">
        <w:rPr>
          <w:rFonts w:ascii="Palatino Linotype" w:hAnsi="Palatino Linotype"/>
          <w:color w:val="000000" w:themeColor="text1"/>
        </w:rPr>
        <w:t xml:space="preserve">para manifestar lo que a su derecho asistiera y conviniera, a través del cual </w:t>
      </w:r>
      <w:r w:rsidRPr="00D00188">
        <w:rPr>
          <w:rFonts w:ascii="Palatino Linotype" w:hAnsi="Palatino Linotype"/>
        </w:rPr>
        <w:t xml:space="preserve">modificó su respuesta inicial, toda vez que entregó la Gaceta Parlamentaria del Poder </w:t>
      </w:r>
      <w:r w:rsidRPr="00D00188">
        <w:rPr>
          <w:rFonts w:ascii="Palatino Linotype" w:hAnsi="Palatino Linotype"/>
        </w:rPr>
        <w:lastRenderedPageBreak/>
        <w:t xml:space="preserve">Legislativo del 9 de marzo de 2021 en cuyo contenido se aprecia el Proyecto de Acuerdo por el que se integra una Comisión Especial para dar cumplimiento a la Ley de Amnistía del Estado de México, así como el Acuerdo por el que se crea e integra la Comisión Especial en materia de Amnistía; sin embargo no entregaron los </w:t>
      </w:r>
      <w:r w:rsidRPr="00D00188">
        <w:rPr>
          <w:rFonts w:ascii="Palatino Linotype" w:hAnsi="Palatino Linotype"/>
          <w:color w:val="000000"/>
        </w:rPr>
        <w:t>lineamientos, manuales, circulares y formatos</w:t>
      </w:r>
      <w:r w:rsidRPr="00D00188">
        <w:rPr>
          <w:rFonts w:ascii="Palatino Linotype" w:hAnsi="Palatino Linotype"/>
        </w:rPr>
        <w:t xml:space="preserve"> generados para dar seguimiento y cumplimiento a dicha Ley y tampoco</w:t>
      </w:r>
      <w:r w:rsidR="005E4ECD" w:rsidRPr="00D00188">
        <w:rPr>
          <w:rFonts w:ascii="Palatino Linotype" w:hAnsi="Palatino Linotype"/>
        </w:rPr>
        <w:t xml:space="preserve"> </w:t>
      </w:r>
      <w:r w:rsidRPr="00D00188">
        <w:rPr>
          <w:rFonts w:ascii="Palatino Linotype" w:hAnsi="Palatino Linotype"/>
        </w:rPr>
        <w:t>.</w:t>
      </w:r>
    </w:p>
    <w:p w14:paraId="35278371" w14:textId="5C506B92" w:rsidR="00C759DB" w:rsidRPr="00D00188" w:rsidRDefault="00C759DB" w:rsidP="00732B6C">
      <w:pPr>
        <w:pStyle w:val="Prrafodelista"/>
        <w:tabs>
          <w:tab w:val="left" w:pos="0"/>
          <w:tab w:val="left" w:pos="142"/>
          <w:tab w:val="right" w:pos="284"/>
        </w:tabs>
        <w:spacing w:line="360" w:lineRule="auto"/>
        <w:ind w:left="0"/>
        <w:jc w:val="both"/>
        <w:rPr>
          <w:rFonts w:ascii="Palatino Linotype" w:hAnsi="Palatino Linotype"/>
        </w:rPr>
      </w:pPr>
    </w:p>
    <w:p w14:paraId="558FF5CA" w14:textId="54C327C9" w:rsidR="009E6562" w:rsidRPr="00D00188"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D00188">
        <w:rPr>
          <w:rFonts w:ascii="Palatino Linotype" w:eastAsia="Times New Roman" w:hAnsi="Palatino Linotype" w:cs="Arial"/>
          <w:color w:val="000000" w:themeColor="text1"/>
        </w:rPr>
        <w:t xml:space="preserve">En dichas condiciones, la </w:t>
      </w:r>
      <w:r w:rsidRPr="00D00188">
        <w:rPr>
          <w:rFonts w:ascii="Palatino Linotype" w:eastAsia="Times New Roman" w:hAnsi="Palatino Linotype" w:cs="Arial"/>
          <w:i/>
          <w:color w:val="000000" w:themeColor="text1"/>
        </w:rPr>
        <w:t>litis</w:t>
      </w:r>
      <w:r w:rsidRPr="00D00188">
        <w:rPr>
          <w:rFonts w:ascii="Palatino Linotype" w:eastAsia="Times New Roman" w:hAnsi="Palatino Linotype" w:cs="Arial"/>
          <w:color w:val="000000" w:themeColor="text1"/>
        </w:rPr>
        <w:t xml:space="preserve"> a resolver en este recurso se circunscribe a determinar si </w:t>
      </w:r>
      <w:r w:rsidR="002A12C7" w:rsidRPr="00D00188">
        <w:rPr>
          <w:rFonts w:ascii="Palatino Linotype" w:eastAsia="Times New Roman" w:hAnsi="Palatino Linotype" w:cs="Arial"/>
          <w:color w:val="000000" w:themeColor="text1"/>
        </w:rPr>
        <w:t xml:space="preserve">el Poder </w:t>
      </w:r>
      <w:r w:rsidR="003E701F" w:rsidRPr="00D00188">
        <w:rPr>
          <w:rFonts w:ascii="Palatino Linotype" w:eastAsia="Times New Roman" w:hAnsi="Palatino Linotype" w:cs="Arial"/>
          <w:color w:val="000000" w:themeColor="text1"/>
        </w:rPr>
        <w:t>Legislativo</w:t>
      </w:r>
      <w:r w:rsidR="002A12C7" w:rsidRPr="00D00188">
        <w:rPr>
          <w:rFonts w:ascii="Palatino Linotype" w:eastAsia="Times New Roman" w:hAnsi="Palatino Linotype" w:cs="Arial"/>
          <w:color w:val="000000" w:themeColor="text1"/>
        </w:rPr>
        <w:t xml:space="preserve"> del Estado de México</w:t>
      </w:r>
      <w:r w:rsidR="00BC32F3" w:rsidRPr="00D00188">
        <w:rPr>
          <w:rFonts w:ascii="Palatino Linotype" w:eastAsia="Times New Roman" w:hAnsi="Palatino Linotype" w:cs="Arial"/>
          <w:color w:val="000000" w:themeColor="text1"/>
        </w:rPr>
        <w:t xml:space="preserve"> </w:t>
      </w:r>
      <w:r w:rsidRPr="00D00188">
        <w:rPr>
          <w:rFonts w:ascii="Palatino Linotype" w:eastAsia="Times New Roman" w:hAnsi="Palatino Linotype" w:cs="Arial"/>
          <w:color w:val="000000" w:themeColor="text1"/>
        </w:rPr>
        <w:t xml:space="preserve">posee, genera o administra </w:t>
      </w:r>
      <w:r w:rsidR="00732B6C" w:rsidRPr="00D00188">
        <w:rPr>
          <w:rFonts w:ascii="Palatino Linotype" w:eastAsia="Times New Roman" w:hAnsi="Palatino Linotype" w:cs="Arial"/>
          <w:color w:val="000000" w:themeColor="text1"/>
        </w:rPr>
        <w:t>la información requerida</w:t>
      </w:r>
      <w:r w:rsidRPr="00D00188">
        <w:rPr>
          <w:rFonts w:ascii="Palatino Linotype" w:eastAsia="Times New Roman" w:hAnsi="Palatino Linotype" w:cs="Arial"/>
          <w:color w:val="000000" w:themeColor="text1"/>
        </w:rPr>
        <w:t xml:space="preserve"> en el ejercicio de sus funciones</w:t>
      </w:r>
      <w:r w:rsidR="00BC32F3" w:rsidRPr="00D00188">
        <w:rPr>
          <w:rFonts w:ascii="Palatino Linotype" w:eastAsia="Times New Roman" w:hAnsi="Palatino Linotype" w:cs="Arial"/>
          <w:color w:val="000000" w:themeColor="text1"/>
        </w:rPr>
        <w:t>,</w:t>
      </w:r>
      <w:r w:rsidRPr="00D00188">
        <w:rPr>
          <w:rFonts w:ascii="Palatino Linotype" w:eastAsia="Times New Roman" w:hAnsi="Palatino Linotype" w:cs="Arial"/>
          <w:color w:val="000000" w:themeColor="text1"/>
        </w:rPr>
        <w:t xml:space="preserve"> </w:t>
      </w:r>
      <w:r w:rsidR="00732B6C" w:rsidRPr="00D00188">
        <w:rPr>
          <w:rFonts w:ascii="Palatino Linotype" w:eastAsia="Times New Roman" w:hAnsi="Palatino Linotype" w:cs="Arial"/>
          <w:color w:val="000000" w:themeColor="text1"/>
        </w:rPr>
        <w:t>si se declinó competencia hacia la autoridad correspondiente</w:t>
      </w:r>
      <w:r w:rsidR="00BC32F3" w:rsidRPr="00D00188">
        <w:rPr>
          <w:rFonts w:ascii="Palatino Linotype" w:eastAsia="Times New Roman" w:hAnsi="Palatino Linotype" w:cs="Arial"/>
          <w:color w:val="000000" w:themeColor="text1"/>
        </w:rPr>
        <w:t>,</w:t>
      </w:r>
      <w:r w:rsidR="00732B6C" w:rsidRPr="00D00188">
        <w:rPr>
          <w:rFonts w:ascii="Palatino Linotype" w:eastAsia="Times New Roman" w:hAnsi="Palatino Linotype" w:cs="Arial"/>
          <w:color w:val="000000" w:themeColor="text1"/>
        </w:rPr>
        <w:t xml:space="preserve"> si la información entregada en el informe justificado </w:t>
      </w:r>
      <w:r w:rsidR="008E5DD9" w:rsidRPr="00D00188">
        <w:rPr>
          <w:rFonts w:ascii="Palatino Linotype" w:eastAsia="Times New Roman" w:hAnsi="Palatino Linotype" w:cs="Arial"/>
          <w:color w:val="000000" w:themeColor="text1"/>
        </w:rPr>
        <w:t>satisface la pretensión del particular</w:t>
      </w:r>
      <w:r w:rsidR="00BC32F3" w:rsidRPr="00D00188">
        <w:rPr>
          <w:rFonts w:ascii="Palatino Linotype" w:eastAsia="Times New Roman" w:hAnsi="Palatino Linotype" w:cs="Arial"/>
          <w:color w:val="000000" w:themeColor="text1"/>
        </w:rPr>
        <w:t xml:space="preserve"> y </w:t>
      </w:r>
      <w:r w:rsidR="009E6562" w:rsidRPr="00D00188">
        <w:rPr>
          <w:rFonts w:ascii="Palatino Linotype" w:eastAsia="Times New Roman" w:hAnsi="Palatino Linotype" w:cs="Arial"/>
          <w:color w:val="000000" w:themeColor="text1"/>
        </w:rPr>
        <w:t xml:space="preserve">si se actualizan las causales de procedencia establecidas en el artículo 179 </w:t>
      </w:r>
      <w:r w:rsidR="009E6562" w:rsidRPr="00D00188">
        <w:rPr>
          <w:rFonts w:ascii="Palatino Linotype" w:hAnsi="Palatino Linotype" w:cs="Arial"/>
          <w:color w:val="000000" w:themeColor="text1"/>
          <w:szCs w:val="23"/>
        </w:rPr>
        <w:t>fracci</w:t>
      </w:r>
      <w:r w:rsidR="00732B6C" w:rsidRPr="00D00188">
        <w:rPr>
          <w:rFonts w:ascii="Palatino Linotype" w:hAnsi="Palatino Linotype" w:cs="Arial"/>
          <w:color w:val="000000" w:themeColor="text1"/>
          <w:szCs w:val="23"/>
        </w:rPr>
        <w:t>ones</w:t>
      </w:r>
      <w:r w:rsidR="009E6562" w:rsidRPr="00D00188">
        <w:rPr>
          <w:rFonts w:ascii="Palatino Linotype" w:hAnsi="Palatino Linotype" w:cs="Arial"/>
          <w:color w:val="000000" w:themeColor="text1"/>
          <w:szCs w:val="23"/>
        </w:rPr>
        <w:t xml:space="preserve"> I</w:t>
      </w:r>
      <w:r w:rsidR="00732B6C" w:rsidRPr="00D00188">
        <w:rPr>
          <w:rFonts w:ascii="Palatino Linotype" w:hAnsi="Palatino Linotype" w:cs="Arial"/>
          <w:color w:val="000000" w:themeColor="text1"/>
          <w:szCs w:val="23"/>
        </w:rPr>
        <w:t>V y V</w:t>
      </w:r>
      <w:r w:rsidR="009E6562" w:rsidRPr="00D00188">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D00188"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00188">
        <w:rPr>
          <w:rFonts w:ascii="Palatino Linotype" w:hAnsi="Palatino Linotype"/>
          <w:i/>
          <w:color w:val="000000" w:themeColor="text1"/>
          <w:sz w:val="22"/>
        </w:rPr>
        <w:t>“</w:t>
      </w:r>
      <w:r w:rsidRPr="00D00188">
        <w:rPr>
          <w:rFonts w:ascii="Palatino Linotype" w:hAnsi="Palatino Linotype"/>
          <w:b/>
          <w:i/>
          <w:color w:val="000000" w:themeColor="text1"/>
          <w:sz w:val="22"/>
        </w:rPr>
        <w:t>Artículo 179.</w:t>
      </w:r>
      <w:r w:rsidRPr="00D0018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D00188"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00188">
        <w:rPr>
          <w:rFonts w:ascii="Palatino Linotype" w:hAnsi="Palatino Linotype"/>
          <w:i/>
          <w:color w:val="000000" w:themeColor="text1"/>
          <w:sz w:val="22"/>
        </w:rPr>
        <w:t>(…)</w:t>
      </w:r>
    </w:p>
    <w:p w14:paraId="5B5B9B78" w14:textId="77777777" w:rsidR="00954C39" w:rsidRPr="00D00188"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00188">
        <w:rPr>
          <w:rFonts w:ascii="Palatino Linotype" w:hAnsi="Palatino Linotype"/>
          <w:i/>
          <w:color w:val="000000" w:themeColor="text1"/>
          <w:sz w:val="22"/>
        </w:rPr>
        <w:t xml:space="preserve">IV. La declaración de incompetencia por el sujeto obligado; </w:t>
      </w:r>
    </w:p>
    <w:p w14:paraId="1525B185" w14:textId="64683FDB" w:rsidR="008E5DD9" w:rsidRPr="00D00188"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00188">
        <w:rPr>
          <w:rFonts w:ascii="Palatino Linotype" w:hAnsi="Palatino Linotype"/>
          <w:i/>
          <w:color w:val="000000" w:themeColor="text1"/>
          <w:sz w:val="22"/>
        </w:rPr>
        <w:t>V. La entrega de información incompleta;</w:t>
      </w:r>
    </w:p>
    <w:p w14:paraId="5F7732BF" w14:textId="5DDA2762" w:rsidR="009E6562" w:rsidRPr="00D00188"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D00188">
        <w:rPr>
          <w:rFonts w:ascii="Palatino Linotype" w:hAnsi="Palatino Linotype"/>
          <w:i/>
          <w:color w:val="000000" w:themeColor="text1"/>
          <w:sz w:val="22"/>
        </w:rPr>
        <w:t>(…)”</w:t>
      </w:r>
    </w:p>
    <w:p w14:paraId="7AE2A2EC" w14:textId="77777777" w:rsidR="009E6562" w:rsidRPr="00D00188"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D00188"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D00188">
        <w:rPr>
          <w:rFonts w:ascii="Palatino Linotype" w:hAnsi="Palatino Linotype" w:cs="Arial"/>
        </w:rPr>
        <w:lastRenderedPageBreak/>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D00188">
        <w:rPr>
          <w:rFonts w:ascii="Palatino Linotype" w:eastAsia="Calibri" w:hAnsi="Palatino Linotype" w:cs="Arial"/>
          <w:b/>
          <w:lang w:val="es-ES"/>
        </w:rPr>
        <w:t>Ley de Transparencia y Acceso a la Información Pública del Estado de México y Municipios</w:t>
      </w:r>
      <w:r w:rsidRPr="00D00188">
        <w:rPr>
          <w:rFonts w:ascii="Palatino Linotype" w:eastAsia="Times New Roman" w:hAnsi="Palatino Linotype" w:cs="Arial"/>
          <w:b/>
          <w:lang w:val="es-ES" w:eastAsia="es-MX"/>
        </w:rPr>
        <w:t>.</w:t>
      </w:r>
    </w:p>
    <w:p w14:paraId="064AD58C" w14:textId="7EB7EC57" w:rsidR="00C759DB" w:rsidRPr="00D00188"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D00188"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1832788"/>
      <w:r w:rsidRPr="00D00188">
        <w:t>QUINTO.</w:t>
      </w:r>
      <w:bookmarkEnd w:id="15"/>
      <w:bookmarkEnd w:id="16"/>
      <w:bookmarkEnd w:id="17"/>
      <w:bookmarkEnd w:id="18"/>
      <w:r w:rsidRPr="00D00188">
        <w:t xml:space="preserve"> Del estudio y resolución del asunto.</w:t>
      </w:r>
      <w:bookmarkEnd w:id="19"/>
      <w:bookmarkEnd w:id="20"/>
      <w:bookmarkEnd w:id="21"/>
    </w:p>
    <w:p w14:paraId="59D6C88C" w14:textId="77777777" w:rsidR="00315B19" w:rsidRPr="00D00188" w:rsidRDefault="00315B19" w:rsidP="00315B19">
      <w:pPr>
        <w:rPr>
          <w:lang w:val="es-MX" w:eastAsia="en-US"/>
        </w:rPr>
      </w:pPr>
    </w:p>
    <w:p w14:paraId="1FD894E7" w14:textId="77777777" w:rsidR="00315B19" w:rsidRPr="00D00188" w:rsidRDefault="00315B19" w:rsidP="00315B19">
      <w:pPr>
        <w:pStyle w:val="Ttulo2"/>
        <w:numPr>
          <w:ilvl w:val="2"/>
          <w:numId w:val="1"/>
        </w:numPr>
        <w:ind w:left="567" w:hanging="567"/>
      </w:pPr>
      <w:bookmarkStart w:id="22" w:name="_Toc69482832"/>
      <w:bookmarkStart w:id="23" w:name="_Toc71832789"/>
      <w:r w:rsidRPr="00D00188">
        <w:t>De la respuesta emitida por el SUJETO OBLIGADO.</w:t>
      </w:r>
      <w:bookmarkEnd w:id="22"/>
      <w:bookmarkEnd w:id="23"/>
    </w:p>
    <w:p w14:paraId="52D526ED" w14:textId="77777777" w:rsidR="00315B19" w:rsidRPr="00D00188"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D00188"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D00188">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D00188">
        <w:rPr>
          <w:rFonts w:ascii="Palatino Linotype" w:eastAsia="Calibri" w:hAnsi="Palatino Linotype" w:cs="Arial"/>
          <w:b/>
          <w:lang w:val="es-ES"/>
        </w:rPr>
        <w:t>Ley de Transparencia y Acceso a la Información Pública del Estado de México y Municipios</w:t>
      </w:r>
      <w:r w:rsidRPr="00D00188">
        <w:rPr>
          <w:rFonts w:ascii="Palatino Linotype" w:eastAsia="Times New Roman" w:hAnsi="Palatino Linotype" w:cs="Arial"/>
          <w:b/>
          <w:lang w:val="es-ES" w:eastAsia="es-MX"/>
        </w:rPr>
        <w:t>.</w:t>
      </w:r>
    </w:p>
    <w:p w14:paraId="3038E237" w14:textId="77777777" w:rsidR="00A42A6E" w:rsidRPr="00D00188" w:rsidRDefault="00A42A6E" w:rsidP="00A42A6E">
      <w:pPr>
        <w:pStyle w:val="Prrafodelista"/>
        <w:tabs>
          <w:tab w:val="left" w:pos="66"/>
        </w:tabs>
        <w:spacing w:line="360" w:lineRule="auto"/>
        <w:ind w:left="0"/>
        <w:jc w:val="both"/>
        <w:rPr>
          <w:rFonts w:ascii="Palatino Linotype" w:eastAsia="MS Mincho" w:hAnsi="Palatino Linotype" w:cs="Arial"/>
          <w:b/>
          <w:i/>
        </w:rPr>
      </w:pPr>
    </w:p>
    <w:p w14:paraId="6DA8D309" w14:textId="77777777" w:rsidR="00A42A6E" w:rsidRPr="00D00188" w:rsidRDefault="00A42A6E" w:rsidP="00A42A6E">
      <w:pPr>
        <w:pStyle w:val="Prrafodelista"/>
        <w:numPr>
          <w:ilvl w:val="0"/>
          <w:numId w:val="1"/>
        </w:numPr>
        <w:tabs>
          <w:tab w:val="left" w:pos="426"/>
        </w:tabs>
        <w:spacing w:before="240" w:line="360" w:lineRule="auto"/>
        <w:ind w:left="0" w:right="51" w:firstLine="0"/>
        <w:jc w:val="both"/>
        <w:rPr>
          <w:rFonts w:ascii="Palatino Linotype" w:hAnsi="Palatino Linotype"/>
          <w:color w:val="000000" w:themeColor="text1"/>
        </w:rPr>
      </w:pPr>
      <w:r w:rsidRPr="00D00188">
        <w:rPr>
          <w:rFonts w:ascii="Palatino Linotype" w:hAnsi="Palatino Linotype" w:cs="Arial"/>
        </w:rPr>
        <w:t>Previo al estudio del presente asunto, es necesario señalar que si bien es cierto que</w:t>
      </w:r>
      <w:r w:rsidRPr="00D00188">
        <w:rPr>
          <w:rFonts w:ascii="Palatino Linotype" w:eastAsiaTheme="majorEastAsia" w:hAnsi="Palatino Linotype" w:cstheme="majorBidi"/>
          <w:color w:val="000000" w:themeColor="text1"/>
          <w:lang w:val="es-MX" w:eastAsia="en-US"/>
        </w:rPr>
        <w:t xml:space="preserve"> en </w:t>
      </w:r>
      <w:r w:rsidRPr="00D00188">
        <w:rPr>
          <w:rFonts w:ascii="Palatino Linotype" w:eastAsia="Times New Roman" w:hAnsi="Palatino Linotype" w:cs="Arial"/>
          <w:color w:val="000000" w:themeColor="text1"/>
          <w:lang w:val="es-ES"/>
        </w:rPr>
        <w:t>los motivos de inconformidad el particular señala que “</w:t>
      </w:r>
      <w:r w:rsidRPr="00D00188">
        <w:rPr>
          <w:rFonts w:ascii="Palatino Linotype" w:eastAsia="Times New Roman" w:hAnsi="Palatino Linotype" w:cs="Arial"/>
          <w:i/>
          <w:color w:val="000000" w:themeColor="text1"/>
          <w:lang w:val="es-ES"/>
        </w:rPr>
        <w:t>se adjunta documento</w:t>
      </w:r>
      <w:r w:rsidRPr="00D00188">
        <w:rPr>
          <w:rFonts w:ascii="Palatino Linotype" w:eastAsia="Times New Roman" w:hAnsi="Palatino Linotype" w:cs="Arial"/>
          <w:color w:val="000000" w:themeColor="text1"/>
          <w:lang w:val="es-ES"/>
        </w:rPr>
        <w:t>” y en la plataforma del Sistema de Acceso a la Información Mexiquense no se anexó documento alguno</w:t>
      </w:r>
      <w:r w:rsidRPr="00D00188">
        <w:rPr>
          <w:rFonts w:ascii="Palatino Linotype" w:eastAsiaTheme="majorEastAsia" w:hAnsi="Palatino Linotype" w:cstheme="majorBidi"/>
          <w:color w:val="000000" w:themeColor="text1"/>
          <w:lang w:val="es-MX" w:eastAsia="en-US"/>
        </w:rPr>
        <w:t xml:space="preserve">, también lo es que </w:t>
      </w:r>
      <w:r w:rsidRPr="00D00188">
        <w:rPr>
          <w:rFonts w:ascii="Palatino Linotype" w:hAnsi="Palatino Linotype"/>
          <w:lang w:eastAsia="es-MX"/>
        </w:rPr>
        <w:t xml:space="preserve">resulta procedente suplir la deficiencia de la </w:t>
      </w:r>
      <w:r w:rsidRPr="00D00188">
        <w:rPr>
          <w:rFonts w:ascii="Palatino Linotype" w:hAnsi="Palatino Linotype"/>
          <w:lang w:eastAsia="es-MX"/>
        </w:rPr>
        <w:lastRenderedPageBreak/>
        <w:t xml:space="preserve">queja y asumir que se centra en la información que no le fue entregada, en términos de la </w:t>
      </w:r>
      <w:r w:rsidRPr="00D00188">
        <w:rPr>
          <w:rFonts w:ascii="Palatino Linotype" w:hAnsi="Palatino Linotype"/>
          <w:b/>
          <w:lang w:eastAsia="es-MX"/>
        </w:rPr>
        <w:t>Ley de Transparencia y Acceso a la Información Pública del Estado de México y Municipios</w:t>
      </w:r>
      <w:r w:rsidRPr="00D00188">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00B50306" w14:textId="77777777" w:rsidR="00A42A6E" w:rsidRPr="00D00188" w:rsidRDefault="00A42A6E" w:rsidP="00A42A6E">
      <w:pPr>
        <w:pStyle w:val="Prrafodelista"/>
        <w:shd w:val="clear" w:color="auto" w:fill="FFFFFF"/>
        <w:spacing w:line="360" w:lineRule="auto"/>
        <w:ind w:left="0"/>
        <w:jc w:val="both"/>
        <w:rPr>
          <w:rFonts w:ascii="Palatino Linotype" w:hAnsi="Palatino Linotype"/>
          <w:color w:val="000000" w:themeColor="text1"/>
        </w:rPr>
      </w:pPr>
    </w:p>
    <w:p w14:paraId="3B41AF4F" w14:textId="77777777" w:rsidR="00A42A6E" w:rsidRPr="00D00188" w:rsidRDefault="00A42A6E" w:rsidP="00A42A6E">
      <w:pPr>
        <w:shd w:val="clear" w:color="auto" w:fill="FFFFFF"/>
        <w:spacing w:after="240" w:line="360" w:lineRule="auto"/>
        <w:ind w:left="567" w:right="567"/>
        <w:jc w:val="both"/>
        <w:rPr>
          <w:rFonts w:ascii="Palatino Linotype" w:hAnsi="Palatino Linotype"/>
          <w:lang w:val="es-MX" w:eastAsia="es-MX"/>
        </w:rPr>
      </w:pPr>
      <w:r w:rsidRPr="00D00188">
        <w:rPr>
          <w:rFonts w:ascii="Palatino Linotype" w:hAnsi="Palatino Linotype"/>
          <w:b/>
          <w:bCs/>
          <w:i/>
          <w:iCs/>
          <w:sz w:val="22"/>
          <w:szCs w:val="22"/>
          <w:lang w:eastAsia="es-MX"/>
        </w:rPr>
        <w:t>Artículo 13</w:t>
      </w:r>
      <w:r w:rsidRPr="00D00188">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61EF3108" w14:textId="09B0AAC9" w:rsidR="00A42A6E" w:rsidRPr="00D00188" w:rsidRDefault="00A42A6E" w:rsidP="00A42A6E">
      <w:pPr>
        <w:pStyle w:val="Prrafodelista"/>
        <w:numPr>
          <w:ilvl w:val="0"/>
          <w:numId w:val="1"/>
        </w:numPr>
        <w:spacing w:before="240" w:line="360" w:lineRule="auto"/>
        <w:ind w:left="0" w:firstLine="0"/>
        <w:jc w:val="both"/>
        <w:rPr>
          <w:rFonts w:ascii="Palatino Linotype" w:eastAsia="MS Mincho" w:hAnsi="Palatino Linotype" w:cs="Arial"/>
          <w:color w:val="000000" w:themeColor="text1"/>
        </w:rPr>
      </w:pPr>
      <w:r w:rsidRPr="00D00188">
        <w:rPr>
          <w:rFonts w:ascii="Palatino Linotype" w:hAnsi="Palatino Linotype" w:cs="Arial"/>
        </w:rPr>
        <w:t xml:space="preserve">Por lo tanto, como resultado de observar la solicitud de información, así como de las razones o motivos de inconformidad expuestas, el </w:t>
      </w:r>
      <w:r w:rsidRPr="00D00188">
        <w:rPr>
          <w:rFonts w:ascii="Palatino Linotype" w:hAnsi="Palatino Linotype"/>
        </w:rPr>
        <w:t xml:space="preserve">Pleno de este Instituto como garante del derecho de acceso a la información pública en términos de lo dispuesto por los artículos 13 y 181, penúltimo párrafo de la </w:t>
      </w:r>
      <w:r w:rsidRPr="00D00188">
        <w:rPr>
          <w:rFonts w:ascii="Palatino Linotype" w:hAnsi="Palatino Linotype"/>
          <w:b/>
        </w:rPr>
        <w:t>Ley de Transparencia y Acceso a la Información Pública del Estado de México y Municipios</w:t>
      </w:r>
      <w:r w:rsidRPr="00D00188">
        <w:rPr>
          <w:rFonts w:ascii="Palatino Linotype" w:hAnsi="Palatino Linotype"/>
        </w:rPr>
        <w:t xml:space="preserve">, aplica la suplencia de la queja en favor del hoy recurrente, a fin de considerar que los motivos de inconformidad </w:t>
      </w:r>
      <w:r w:rsidRPr="00D00188">
        <w:rPr>
          <w:rFonts w:ascii="Palatino Linotype" w:hAnsi="Palatino Linotype"/>
          <w:lang w:eastAsia="es-MX"/>
        </w:rPr>
        <w:t>se centran en la información faltante en la respuesta otorgada por el SUJETO OBLIGADO.</w:t>
      </w:r>
    </w:p>
    <w:p w14:paraId="6BA5B496" w14:textId="77777777" w:rsidR="00315B19" w:rsidRPr="00D00188" w:rsidRDefault="00315B19" w:rsidP="00A42A6E">
      <w:pPr>
        <w:pStyle w:val="Prrafodelista"/>
        <w:spacing w:line="360" w:lineRule="auto"/>
        <w:ind w:left="0"/>
        <w:jc w:val="both"/>
        <w:rPr>
          <w:rFonts w:ascii="Palatino Linotype" w:hAnsi="Palatino Linotype"/>
        </w:rPr>
      </w:pPr>
    </w:p>
    <w:p w14:paraId="1D6D7085" w14:textId="77777777" w:rsidR="000F4CEC" w:rsidRPr="00D00188" w:rsidRDefault="000F4CEC" w:rsidP="000F4CEC">
      <w:pPr>
        <w:pStyle w:val="Prrafodelista"/>
        <w:numPr>
          <w:ilvl w:val="0"/>
          <w:numId w:val="1"/>
        </w:numPr>
        <w:spacing w:line="360" w:lineRule="auto"/>
        <w:ind w:left="0" w:firstLine="0"/>
        <w:jc w:val="both"/>
        <w:rPr>
          <w:rFonts w:ascii="Palatino Linotype" w:hAnsi="Palatino Linotype"/>
        </w:rPr>
      </w:pPr>
      <w:r w:rsidRPr="00D00188">
        <w:rPr>
          <w:rFonts w:ascii="Palatino Linotype" w:hAnsi="Palatino Linotype" w:cs="Arial"/>
        </w:rPr>
        <w:t>Atendiendo a lo antes expuesto, por cuestiones de técnica jurídica,</w:t>
      </w:r>
      <w:r w:rsidRPr="00D00188">
        <w:rPr>
          <w:rFonts w:ascii="Palatino Linotype" w:hAnsi="Palatino Linotype"/>
        </w:rPr>
        <w:t xml:space="preserve"> este Pleno con el propósito de </w:t>
      </w:r>
      <w:r w:rsidRPr="00D00188">
        <w:rPr>
          <w:rFonts w:ascii="Palatino Linotype" w:hAnsi="Palatino Linotype" w:cs="Arial"/>
        </w:rPr>
        <w:t xml:space="preserve">determinar si </w:t>
      </w:r>
      <w:r w:rsidRPr="00D00188">
        <w:rPr>
          <w:rFonts w:ascii="Palatino Linotype" w:hAnsi="Palatino Linotype"/>
        </w:rPr>
        <w:t xml:space="preserve">la respuesta o informe justificado enviados </w:t>
      </w:r>
      <w:r w:rsidRPr="00D00188">
        <w:rPr>
          <w:rFonts w:ascii="Palatino Linotype" w:eastAsia="Arial Unicode MS" w:hAnsi="Palatino Linotype" w:cs="Arial"/>
        </w:rPr>
        <w:t xml:space="preserve">por </w:t>
      </w:r>
      <w:r w:rsidRPr="00D00188">
        <w:rPr>
          <w:rFonts w:ascii="Palatino Linotype" w:hAnsi="Palatino Linotype"/>
        </w:rPr>
        <w:t xml:space="preserve">el </w:t>
      </w:r>
      <w:r w:rsidRPr="00D00188">
        <w:rPr>
          <w:rFonts w:ascii="Palatino Linotype" w:hAnsi="Palatino Linotype"/>
          <w:b/>
        </w:rPr>
        <w:t>SUJETO OBLIGADO</w:t>
      </w:r>
      <w:r w:rsidRPr="00D00188">
        <w:rPr>
          <w:rFonts w:ascii="Palatino Linotype" w:hAnsi="Palatino Linotype"/>
        </w:rPr>
        <w:t xml:space="preserve"> atendió puntualmente a todos y cada uno de los </w:t>
      </w:r>
      <w:r w:rsidRPr="00D00188">
        <w:rPr>
          <w:rFonts w:ascii="Palatino Linotype" w:hAnsi="Palatino Linotype"/>
        </w:rPr>
        <w:lastRenderedPageBreak/>
        <w:t xml:space="preserve">requerimientos formulados por el recurrente, </w:t>
      </w:r>
      <w:r w:rsidRPr="00D00188">
        <w:rPr>
          <w:rFonts w:ascii="Palatino Linotype" w:hAnsi="Palatino Linotype"/>
          <w:color w:val="000000" w:themeColor="text1"/>
        </w:rPr>
        <w:t>consideró pertinente elaborar un cuadro de análisis</w:t>
      </w:r>
      <w:r w:rsidRPr="00D00188">
        <w:rPr>
          <w:rStyle w:val="Refdenotaalpie"/>
          <w:rFonts w:ascii="Palatino Linotype" w:hAnsi="Palatino Linotype"/>
          <w:color w:val="000000" w:themeColor="text1"/>
        </w:rPr>
        <w:footnoteReference w:id="1"/>
      </w:r>
      <w:r w:rsidRPr="00D00188">
        <w:rPr>
          <w:rFonts w:ascii="Palatino Linotype" w:hAnsi="Palatino Linotype"/>
          <w:color w:val="000000" w:themeColor="text1"/>
        </w:rPr>
        <w:t xml:space="preserve"> mismo que se inserta a continuación:</w:t>
      </w:r>
    </w:p>
    <w:p w14:paraId="1DFF5F1B" w14:textId="77777777" w:rsidR="00A42A6E" w:rsidRPr="00D00188" w:rsidRDefault="00A42A6E" w:rsidP="00315B19">
      <w:pPr>
        <w:pStyle w:val="Prrafodelista"/>
        <w:spacing w:line="360" w:lineRule="auto"/>
        <w:ind w:left="0"/>
        <w:jc w:val="both"/>
        <w:rPr>
          <w:rFonts w:ascii="Palatino Linotype" w:hAnsi="Palatino Linotype"/>
        </w:rPr>
      </w:pPr>
    </w:p>
    <w:tbl>
      <w:tblPr>
        <w:tblStyle w:val="Tablaconcuadrcula"/>
        <w:tblW w:w="8505" w:type="dxa"/>
        <w:jc w:val="center"/>
        <w:tblLayout w:type="fixed"/>
        <w:tblLook w:val="04A0" w:firstRow="1" w:lastRow="0" w:firstColumn="1" w:lastColumn="0" w:noHBand="0" w:noVBand="1"/>
      </w:tblPr>
      <w:tblGrid>
        <w:gridCol w:w="2831"/>
        <w:gridCol w:w="2130"/>
        <w:gridCol w:w="2410"/>
        <w:gridCol w:w="1134"/>
      </w:tblGrid>
      <w:tr w:rsidR="003C33D1" w:rsidRPr="00D00188" w14:paraId="4D632C60" w14:textId="5CE7A034" w:rsidTr="00382DC5">
        <w:trPr>
          <w:trHeight w:val="559"/>
          <w:jc w:val="center"/>
        </w:trPr>
        <w:tc>
          <w:tcPr>
            <w:tcW w:w="2831" w:type="dxa"/>
            <w:tcBorders>
              <w:top w:val="single" w:sz="4" w:space="0" w:color="auto"/>
              <w:left w:val="single" w:sz="4" w:space="0" w:color="auto"/>
              <w:bottom w:val="single" w:sz="4" w:space="0" w:color="auto"/>
              <w:right w:val="single" w:sz="4" w:space="0" w:color="auto"/>
            </w:tcBorders>
            <w:shd w:val="clear" w:color="auto" w:fill="D0FDFE"/>
            <w:hideMark/>
          </w:tcPr>
          <w:p w14:paraId="657BD75B" w14:textId="77777777" w:rsidR="003C33D1" w:rsidRPr="00D00188" w:rsidRDefault="003C33D1" w:rsidP="00361FB7">
            <w:pPr>
              <w:tabs>
                <w:tab w:val="left" w:pos="7655"/>
              </w:tabs>
              <w:spacing w:line="276" w:lineRule="auto"/>
              <w:ind w:left="-108" w:right="-200"/>
              <w:jc w:val="center"/>
              <w:rPr>
                <w:rFonts w:ascii="Palatino Linotype" w:hAnsi="Palatino Linotype"/>
                <w:b/>
                <w:color w:val="000000" w:themeColor="text1"/>
                <w:sz w:val="18"/>
                <w:szCs w:val="18"/>
              </w:rPr>
            </w:pPr>
            <w:r w:rsidRPr="00D00188">
              <w:rPr>
                <w:rFonts w:ascii="Palatino Linotype" w:hAnsi="Palatino Linotype"/>
                <w:b/>
                <w:color w:val="000000" w:themeColor="text1"/>
                <w:sz w:val="18"/>
                <w:szCs w:val="18"/>
              </w:rPr>
              <w:t>Requerimientos y cuestionamientos:</w:t>
            </w:r>
          </w:p>
        </w:tc>
        <w:tc>
          <w:tcPr>
            <w:tcW w:w="2130" w:type="dxa"/>
            <w:tcBorders>
              <w:top w:val="single" w:sz="4" w:space="0" w:color="auto"/>
              <w:left w:val="single" w:sz="4" w:space="0" w:color="auto"/>
              <w:bottom w:val="single" w:sz="4" w:space="0" w:color="auto"/>
              <w:right w:val="single" w:sz="4" w:space="0" w:color="auto"/>
            </w:tcBorders>
            <w:shd w:val="clear" w:color="auto" w:fill="D0FDFE"/>
            <w:hideMark/>
          </w:tcPr>
          <w:p w14:paraId="5B01A708" w14:textId="77777777" w:rsidR="003C33D1" w:rsidRPr="00D00188" w:rsidRDefault="003C33D1" w:rsidP="00784184">
            <w:pPr>
              <w:tabs>
                <w:tab w:val="left" w:pos="7655"/>
              </w:tabs>
              <w:spacing w:line="276" w:lineRule="auto"/>
              <w:jc w:val="center"/>
              <w:rPr>
                <w:rFonts w:ascii="Palatino Linotype" w:hAnsi="Palatino Linotype"/>
                <w:b/>
                <w:color w:val="000000" w:themeColor="text1"/>
                <w:sz w:val="18"/>
                <w:szCs w:val="18"/>
              </w:rPr>
            </w:pPr>
            <w:r w:rsidRPr="00D00188">
              <w:rPr>
                <w:rFonts w:ascii="Palatino Linotype" w:hAnsi="Palatino Linotype"/>
                <w:b/>
                <w:color w:val="000000" w:themeColor="text1"/>
                <w:sz w:val="18"/>
                <w:szCs w:val="18"/>
              </w:rPr>
              <w:t>Respuesta del SUJETO OBLIGADO:</w:t>
            </w:r>
          </w:p>
        </w:tc>
        <w:tc>
          <w:tcPr>
            <w:tcW w:w="2410" w:type="dxa"/>
            <w:tcBorders>
              <w:top w:val="single" w:sz="4" w:space="0" w:color="auto"/>
              <w:left w:val="single" w:sz="4" w:space="0" w:color="auto"/>
              <w:bottom w:val="single" w:sz="4" w:space="0" w:color="auto"/>
              <w:right w:val="single" w:sz="4" w:space="0" w:color="auto"/>
            </w:tcBorders>
            <w:shd w:val="clear" w:color="auto" w:fill="D0FDFE"/>
            <w:hideMark/>
          </w:tcPr>
          <w:p w14:paraId="6971CA1A" w14:textId="3A724585" w:rsidR="003C33D1" w:rsidRPr="00D00188" w:rsidRDefault="003C33D1" w:rsidP="00784184">
            <w:pPr>
              <w:tabs>
                <w:tab w:val="left" w:pos="7655"/>
              </w:tabs>
              <w:spacing w:line="276" w:lineRule="auto"/>
              <w:jc w:val="center"/>
              <w:rPr>
                <w:rFonts w:ascii="Palatino Linotype" w:hAnsi="Palatino Linotype"/>
                <w:b/>
                <w:color w:val="000000" w:themeColor="text1"/>
                <w:sz w:val="18"/>
                <w:szCs w:val="18"/>
              </w:rPr>
            </w:pPr>
            <w:r w:rsidRPr="00D00188">
              <w:rPr>
                <w:rFonts w:ascii="Palatino Linotype" w:hAnsi="Palatino Linotype"/>
                <w:b/>
                <w:color w:val="000000" w:themeColor="text1"/>
                <w:sz w:val="18"/>
                <w:szCs w:val="18"/>
              </w:rPr>
              <w:t>Informe justificado</w:t>
            </w:r>
          </w:p>
        </w:tc>
        <w:tc>
          <w:tcPr>
            <w:tcW w:w="1134" w:type="dxa"/>
            <w:tcBorders>
              <w:top w:val="single" w:sz="4" w:space="0" w:color="auto"/>
              <w:left w:val="single" w:sz="4" w:space="0" w:color="auto"/>
              <w:bottom w:val="single" w:sz="4" w:space="0" w:color="auto"/>
              <w:right w:val="single" w:sz="4" w:space="0" w:color="auto"/>
            </w:tcBorders>
            <w:shd w:val="clear" w:color="auto" w:fill="D0FDFE"/>
          </w:tcPr>
          <w:p w14:paraId="3CF9D4EA" w14:textId="100BD56F" w:rsidR="003C33D1" w:rsidRPr="00D00188" w:rsidRDefault="006E5B84" w:rsidP="006E5B84">
            <w:pPr>
              <w:tabs>
                <w:tab w:val="left" w:pos="7655"/>
              </w:tabs>
              <w:spacing w:line="276" w:lineRule="auto"/>
              <w:jc w:val="center"/>
              <w:rPr>
                <w:rFonts w:ascii="Palatino Linotype" w:hAnsi="Palatino Linotype"/>
                <w:b/>
                <w:color w:val="000000" w:themeColor="text1"/>
                <w:sz w:val="18"/>
                <w:szCs w:val="18"/>
              </w:rPr>
            </w:pPr>
            <w:r w:rsidRPr="00D00188">
              <w:rPr>
                <w:rFonts w:ascii="Palatino Linotype" w:hAnsi="Palatino Linotype"/>
                <w:b/>
                <w:color w:val="000000" w:themeColor="text1"/>
                <w:sz w:val="18"/>
                <w:szCs w:val="18"/>
              </w:rPr>
              <w:t>Atendió</w:t>
            </w:r>
          </w:p>
        </w:tc>
      </w:tr>
      <w:tr w:rsidR="003C33D1" w:rsidRPr="00D00188" w14:paraId="2B463CC7" w14:textId="5769EFAC" w:rsidTr="00382DC5">
        <w:trPr>
          <w:trHeight w:val="766"/>
          <w:jc w:val="center"/>
        </w:trPr>
        <w:tc>
          <w:tcPr>
            <w:tcW w:w="283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0AA2C0C" w14:textId="7FA01F99" w:rsidR="003C33D1" w:rsidRPr="00D00188" w:rsidRDefault="00817FEA"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1)</w:t>
            </w:r>
            <w:r w:rsidRPr="00D00188">
              <w:rPr>
                <w:rFonts w:ascii="Palatino Linotype" w:hAnsi="Palatino Linotype"/>
                <w:sz w:val="18"/>
                <w:szCs w:val="18"/>
                <w:lang w:val="es-ES"/>
              </w:rPr>
              <w:t xml:space="preserve"> </w:t>
            </w:r>
            <w:r w:rsidR="003C33D1" w:rsidRPr="00D00188">
              <w:rPr>
                <w:rFonts w:ascii="Palatino Linotype" w:hAnsi="Palatino Linotype"/>
                <w:sz w:val="18"/>
                <w:szCs w:val="18"/>
                <w:lang w:val="es-ES"/>
              </w:rPr>
              <w:t xml:space="preserve">¿Quiénes son los jueces competentes para conocer sobre la amnistía? </w:t>
            </w:r>
          </w:p>
        </w:tc>
        <w:tc>
          <w:tcPr>
            <w:tcW w:w="21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16CCC7D" w14:textId="5182A9B1" w:rsidR="003C33D1" w:rsidRPr="00D00188" w:rsidRDefault="00361FB7" w:rsidP="003C33D1">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color w:val="000000"/>
                <w:sz w:val="18"/>
                <w:szCs w:val="18"/>
              </w:rPr>
              <w:t>“</w:t>
            </w:r>
            <w:r w:rsidR="003C33D1"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r w:rsidR="003C33D1" w:rsidRPr="00D00188">
              <w:rPr>
                <w:rFonts w:ascii="Palatino Linotype" w:hAnsi="Palatino Linotype"/>
                <w:color w:val="000000"/>
                <w:sz w:val="18"/>
                <w:szCs w:val="18"/>
              </w:rPr>
              <w:t>.</w:t>
            </w:r>
          </w:p>
          <w:p w14:paraId="4C65354E" w14:textId="466BE1A0" w:rsidR="00361FB7" w:rsidRPr="00D00188" w:rsidRDefault="00361FB7" w:rsidP="003C33D1">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color w:val="000000"/>
                <w:sz w:val="18"/>
                <w:szCs w:val="18"/>
              </w:rPr>
              <w:t xml:space="preserve">Así mismo el SUJETO OBLIGADO </w:t>
            </w:r>
            <w:r w:rsidR="006E5B84" w:rsidRPr="00D00188">
              <w:rPr>
                <w:rFonts w:ascii="Palatino Linotype" w:hAnsi="Palatino Linotype"/>
                <w:color w:val="000000"/>
                <w:sz w:val="18"/>
                <w:szCs w:val="18"/>
              </w:rPr>
              <w:t>citó el siguiente artículo</w:t>
            </w:r>
            <w:r w:rsidRPr="00D00188">
              <w:rPr>
                <w:rFonts w:ascii="Palatino Linotype" w:hAnsi="Palatino Linotype"/>
                <w:color w:val="000000"/>
                <w:sz w:val="18"/>
                <w:szCs w:val="18"/>
              </w:rPr>
              <w:t>:</w:t>
            </w:r>
          </w:p>
          <w:p w14:paraId="4B68CC02" w14:textId="53F4E755" w:rsidR="00361FB7" w:rsidRPr="00D00188" w:rsidRDefault="00361FB7" w:rsidP="003C33D1">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i/>
                <w:color w:val="000000"/>
                <w:sz w:val="18"/>
                <w:szCs w:val="18"/>
              </w:rPr>
              <w:t>Artículo 5. El Consejo de la Judicatura del Poder Judicial Poder Judicial del Estado estará facultado para emitir acuerdos generales a efecto de normar el procedimiento, fijando plazos para sustanciar las solicitudes de amnistía ajustándose a los que se encuentran previstos en esta Ley, para su debido cumplimiento</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E67481D" w14:textId="12031851" w:rsidR="003C33D1" w:rsidRPr="00D00188" w:rsidRDefault="003E1C04" w:rsidP="00361FB7">
            <w:pPr>
              <w:tabs>
                <w:tab w:val="left" w:pos="7655"/>
              </w:tabs>
              <w:spacing w:line="276" w:lineRule="auto"/>
              <w:ind w:right="33"/>
              <w:jc w:val="both"/>
              <w:rPr>
                <w:rFonts w:ascii="Palatino Linotype" w:hAnsi="Palatino Linotype"/>
                <w:color w:val="000000"/>
                <w:sz w:val="18"/>
                <w:szCs w:val="18"/>
              </w:rPr>
            </w:pPr>
            <w:r w:rsidRPr="00D00188">
              <w:rPr>
                <w:rFonts w:ascii="Palatino Linotype" w:hAnsi="Palatino Linotype"/>
                <w:color w:val="000000"/>
                <w:sz w:val="18"/>
                <w:szCs w:val="18"/>
              </w:rPr>
              <w:t>No hubo pronunciamiento</w:t>
            </w: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61C6B16" w14:textId="7E0905AF" w:rsidR="003C33D1" w:rsidRPr="00D00188" w:rsidRDefault="00382DC5" w:rsidP="00784184">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D00188">
              <w:rPr>
                <w:rFonts w:ascii="Palatino Linotype" w:eastAsia="Times New Roman" w:hAnsi="Palatino Linotype" w:cs="Times New Roman"/>
                <w:sz w:val="18"/>
                <w:szCs w:val="18"/>
                <w:lang w:val="es-MX" w:eastAsia="es-MX"/>
              </w:rPr>
              <w:t>Sí</w:t>
            </w:r>
          </w:p>
        </w:tc>
      </w:tr>
      <w:tr w:rsidR="003C33D1" w:rsidRPr="00D00188" w14:paraId="71D3EDC7" w14:textId="5B44D70C" w:rsidTr="00817FEA">
        <w:trPr>
          <w:trHeight w:val="624"/>
          <w:jc w:val="center"/>
        </w:trPr>
        <w:tc>
          <w:tcPr>
            <w:tcW w:w="28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1CB3182" w14:textId="564639E4" w:rsidR="003C33D1" w:rsidRPr="00D00188" w:rsidRDefault="00817FEA"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 xml:space="preserve">2) </w:t>
            </w:r>
            <w:r w:rsidR="003C33D1" w:rsidRPr="00D00188">
              <w:rPr>
                <w:rFonts w:ascii="Palatino Linotype" w:hAnsi="Palatino Linotype"/>
                <w:sz w:val="18"/>
                <w:szCs w:val="18"/>
                <w:lang w:val="es-ES"/>
              </w:rPr>
              <w:t xml:space="preserve">Los lineamientos, manuales, circulares, formatos y normatividad para dar seguimiento, cumplimiento a la </w:t>
            </w:r>
            <w:r w:rsidR="003C33D1" w:rsidRPr="00D00188">
              <w:rPr>
                <w:rFonts w:ascii="Palatino Linotype" w:hAnsi="Palatino Linotype"/>
                <w:sz w:val="18"/>
                <w:szCs w:val="18"/>
                <w:lang w:val="es-ES"/>
              </w:rPr>
              <w:lastRenderedPageBreak/>
              <w:t xml:space="preserve">Ley de Amnistía tanto por el Poder Judicial del Estado como por la Comisión especial a la que se refiere el artículo 16 de la Ley. </w:t>
            </w:r>
          </w:p>
        </w:tc>
        <w:tc>
          <w:tcPr>
            <w:tcW w:w="213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B374941" w14:textId="2CF5B693" w:rsidR="003C33D1" w:rsidRPr="00D00188" w:rsidRDefault="006E5B84" w:rsidP="00784184">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color w:val="000000"/>
                <w:sz w:val="18"/>
                <w:szCs w:val="18"/>
              </w:rPr>
              <w:lastRenderedPageBreak/>
              <w:t>No hubo pronunciamiento alguno al respecto</w:t>
            </w:r>
          </w:p>
        </w:tc>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302145C" w14:textId="6A8294F9" w:rsidR="003C33D1" w:rsidRPr="00D00188" w:rsidRDefault="003E1C04" w:rsidP="003E1C04">
            <w:pPr>
              <w:tabs>
                <w:tab w:val="left" w:pos="7655"/>
              </w:tabs>
              <w:spacing w:line="276" w:lineRule="auto"/>
              <w:jc w:val="both"/>
              <w:rPr>
                <w:rFonts w:ascii="Palatino Linotype" w:hAnsi="Palatino Linotype"/>
                <w:color w:val="000000"/>
                <w:sz w:val="18"/>
                <w:szCs w:val="18"/>
              </w:rPr>
            </w:pPr>
            <w:r w:rsidRPr="00D00188">
              <w:rPr>
                <w:rFonts w:ascii="Palatino Linotype" w:hAnsi="Palatino Linotype"/>
                <w:color w:val="000000"/>
                <w:sz w:val="18"/>
                <w:szCs w:val="18"/>
              </w:rPr>
              <w:t xml:space="preserve">Entregó la Gaceta Parlamentaria del Poder Legislativo del 9 de marzo </w:t>
            </w:r>
            <w:r w:rsidRPr="00D00188">
              <w:rPr>
                <w:rFonts w:ascii="Palatino Linotype" w:hAnsi="Palatino Linotype"/>
                <w:color w:val="000000"/>
                <w:sz w:val="18"/>
                <w:szCs w:val="18"/>
              </w:rPr>
              <w:lastRenderedPageBreak/>
              <w:t>de 2021 en cuyo contenido se aprecia el Proyecto de Acuerdo por el que se integra una Comisión Especial para dar cumplimiento a la Ley de Amnistía del Estado de México, así como el Acuerdo por el que se crea e integra la Comisión Especial en materia de Amnistía</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AFAE011" w14:textId="77734BC5" w:rsidR="003C33D1" w:rsidRPr="00D00188" w:rsidRDefault="003E1C04" w:rsidP="003E1C04">
            <w:pPr>
              <w:tabs>
                <w:tab w:val="left" w:pos="7655"/>
              </w:tabs>
              <w:spacing w:line="276" w:lineRule="auto"/>
              <w:jc w:val="both"/>
              <w:rPr>
                <w:rFonts w:ascii="Palatino Linotype" w:hAnsi="Palatino Linotype"/>
                <w:b/>
                <w:color w:val="000000"/>
                <w:sz w:val="18"/>
                <w:szCs w:val="18"/>
              </w:rPr>
            </w:pPr>
            <w:r w:rsidRPr="00D00188">
              <w:rPr>
                <w:rFonts w:ascii="Palatino Linotype" w:hAnsi="Palatino Linotype"/>
                <w:b/>
                <w:color w:val="000000"/>
                <w:sz w:val="18"/>
                <w:szCs w:val="18"/>
              </w:rPr>
              <w:lastRenderedPageBreak/>
              <w:t>Parcial</w:t>
            </w:r>
          </w:p>
        </w:tc>
      </w:tr>
      <w:tr w:rsidR="003C33D1" w:rsidRPr="00D00188" w14:paraId="04F46853" w14:textId="0572DDEC" w:rsidTr="00382DC5">
        <w:trPr>
          <w:trHeight w:val="562"/>
          <w:jc w:val="center"/>
        </w:trPr>
        <w:tc>
          <w:tcPr>
            <w:tcW w:w="283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09679A1" w14:textId="11D6E920" w:rsidR="003C33D1" w:rsidRPr="00D00188" w:rsidRDefault="00817FEA"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3)</w:t>
            </w:r>
            <w:r w:rsidR="003C33D1" w:rsidRPr="00D00188">
              <w:rPr>
                <w:rFonts w:ascii="Palatino Linotype" w:hAnsi="Palatino Linotype"/>
                <w:sz w:val="18"/>
                <w:szCs w:val="18"/>
                <w:lang w:val="es-ES"/>
              </w:rPr>
              <w:t xml:space="preserve"> ¿Cuántas solicitudes han sido del conocimiento de la Comisión especial a la que se refiere el artículo 16 de la ley? </w:t>
            </w:r>
          </w:p>
        </w:tc>
        <w:tc>
          <w:tcPr>
            <w:tcW w:w="213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7C4FF6F" w14:textId="6241FA0D" w:rsidR="003C33D1" w:rsidRPr="00D00188" w:rsidRDefault="00382DC5" w:rsidP="00382DC5">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color w:val="000000"/>
                <w:sz w:val="18"/>
                <w:szCs w:val="18"/>
              </w:rPr>
              <w:t>“</w:t>
            </w:r>
            <w:r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B883F63" w14:textId="749A22A2" w:rsidR="003C33D1" w:rsidRPr="00D00188" w:rsidRDefault="00382DC5" w:rsidP="00784184">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2B85006" w14:textId="582FA300" w:rsidR="003C33D1" w:rsidRPr="00D00188" w:rsidRDefault="00382DC5" w:rsidP="00784184">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D00188">
              <w:rPr>
                <w:rFonts w:ascii="Palatino Linotype" w:eastAsia="Times New Roman" w:hAnsi="Palatino Linotype" w:cs="Times New Roman"/>
                <w:sz w:val="18"/>
                <w:szCs w:val="18"/>
                <w:lang w:val="es-MX" w:eastAsia="es-MX"/>
              </w:rPr>
              <w:t>No</w:t>
            </w:r>
          </w:p>
        </w:tc>
      </w:tr>
      <w:tr w:rsidR="003C33D1" w:rsidRPr="00D00188" w14:paraId="423752B0" w14:textId="13E2ACE1" w:rsidTr="00382DC5">
        <w:trPr>
          <w:trHeight w:val="562"/>
          <w:jc w:val="center"/>
        </w:trPr>
        <w:tc>
          <w:tcPr>
            <w:tcW w:w="283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5A3D0D1" w14:textId="04A4C3B1" w:rsidR="003C33D1" w:rsidRPr="00D00188" w:rsidRDefault="00817FEA" w:rsidP="00A42A6E">
            <w:pPr>
              <w:pStyle w:val="Prrafodelista"/>
              <w:tabs>
                <w:tab w:val="left" w:pos="29"/>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4)</w:t>
            </w:r>
            <w:r w:rsidRPr="00D00188">
              <w:rPr>
                <w:rFonts w:ascii="Palatino Linotype" w:hAnsi="Palatino Linotype"/>
                <w:sz w:val="18"/>
                <w:szCs w:val="18"/>
                <w:lang w:val="es-ES"/>
              </w:rPr>
              <w:t xml:space="preserve"> </w:t>
            </w:r>
            <w:r w:rsidR="003C33D1" w:rsidRPr="00D00188">
              <w:rPr>
                <w:rFonts w:ascii="Palatino Linotype" w:hAnsi="Palatino Linotype"/>
                <w:sz w:val="18"/>
                <w:szCs w:val="18"/>
                <w:lang w:val="es-ES"/>
              </w:rPr>
              <w:t xml:space="preserve">Número de solicitudes presentadas desglosadas por delito; </w:t>
            </w:r>
          </w:p>
        </w:tc>
        <w:tc>
          <w:tcPr>
            <w:tcW w:w="213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88ECCC6" w14:textId="2657F19D" w:rsidR="003C33D1" w:rsidRPr="00D00188" w:rsidRDefault="00382DC5" w:rsidP="00382DC5">
            <w:pPr>
              <w:pStyle w:val="Prrafodelista"/>
              <w:tabs>
                <w:tab w:val="left" w:pos="567"/>
              </w:tabs>
              <w:spacing w:line="276" w:lineRule="auto"/>
              <w:ind w:left="0"/>
              <w:jc w:val="both"/>
              <w:rPr>
                <w:rFonts w:ascii="Palatino Linotype" w:hAnsi="Palatino Linotype"/>
                <w:color w:val="000000"/>
                <w:sz w:val="18"/>
                <w:szCs w:val="18"/>
              </w:rPr>
            </w:pPr>
            <w:r w:rsidRPr="00D00188">
              <w:rPr>
                <w:rFonts w:ascii="Palatino Linotype" w:hAnsi="Palatino Linotype"/>
                <w:color w:val="000000"/>
                <w:sz w:val="18"/>
                <w:szCs w:val="18"/>
              </w:rPr>
              <w:t>“</w:t>
            </w:r>
            <w:r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52A2AC" w14:textId="7D1EEC30" w:rsidR="003C33D1" w:rsidRPr="00D00188" w:rsidRDefault="00382DC5" w:rsidP="00784184">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A0EFE24" w14:textId="3909D2C3" w:rsidR="00382DC5" w:rsidRPr="00D00188" w:rsidRDefault="00555B63" w:rsidP="00784184">
            <w:pPr>
              <w:tabs>
                <w:tab w:val="left" w:pos="7655"/>
              </w:tabs>
              <w:spacing w:line="276" w:lineRule="auto"/>
              <w:ind w:right="-516"/>
              <w:jc w:val="both"/>
              <w:rPr>
                <w:rFonts w:ascii="Palatino Linotype" w:eastAsia="Times New Roman" w:hAnsi="Palatino Linotype" w:cs="Times New Roman"/>
                <w:sz w:val="18"/>
                <w:szCs w:val="18"/>
                <w:lang w:val="es-MX" w:eastAsia="es-MX"/>
              </w:rPr>
            </w:pPr>
            <w:r w:rsidRPr="00D00188">
              <w:rPr>
                <w:rFonts w:ascii="Palatino Linotype" w:eastAsia="Times New Roman" w:hAnsi="Palatino Linotype" w:cs="Times New Roman"/>
                <w:sz w:val="18"/>
                <w:szCs w:val="18"/>
                <w:lang w:val="es-MX" w:eastAsia="es-MX"/>
              </w:rPr>
              <w:t>Sí</w:t>
            </w:r>
          </w:p>
        </w:tc>
      </w:tr>
      <w:tr w:rsidR="003C33D1" w:rsidRPr="00D00188" w14:paraId="759408A7" w14:textId="2C389315" w:rsidTr="00817FEA">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24D6DA"/>
            <w:vAlign w:val="center"/>
          </w:tcPr>
          <w:p w14:paraId="2F52E3D6" w14:textId="5E8818D5" w:rsidR="003C33D1" w:rsidRPr="00D00188" w:rsidRDefault="00A42A6E"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5)</w:t>
            </w:r>
            <w:r w:rsidRPr="00D00188">
              <w:rPr>
                <w:rFonts w:ascii="Palatino Linotype" w:hAnsi="Palatino Linotype"/>
                <w:sz w:val="18"/>
                <w:szCs w:val="18"/>
                <w:lang w:val="es-ES"/>
              </w:rPr>
              <w:t xml:space="preserve"> </w:t>
            </w:r>
            <w:r w:rsidR="003C33D1" w:rsidRPr="00D00188">
              <w:rPr>
                <w:rFonts w:ascii="Palatino Linotype" w:hAnsi="Palatino Linotype"/>
                <w:sz w:val="18"/>
                <w:szCs w:val="18"/>
                <w:lang w:val="es-ES"/>
              </w:rPr>
              <w:t xml:space="preserve">Número de solicitudes en las que los jueces competentes han determinado la procedencia o improcedencia de la amnistía. </w:t>
            </w:r>
          </w:p>
        </w:tc>
        <w:tc>
          <w:tcPr>
            <w:tcW w:w="2130" w:type="dxa"/>
            <w:tcBorders>
              <w:top w:val="single" w:sz="4" w:space="0" w:color="auto"/>
              <w:left w:val="single" w:sz="4" w:space="0" w:color="auto"/>
              <w:bottom w:val="single" w:sz="4" w:space="0" w:color="auto"/>
              <w:right w:val="single" w:sz="4" w:space="0" w:color="auto"/>
            </w:tcBorders>
            <w:shd w:val="clear" w:color="auto" w:fill="24D6DA"/>
            <w:vAlign w:val="center"/>
          </w:tcPr>
          <w:p w14:paraId="19FB5E9D" w14:textId="569DE05D" w:rsidR="003C33D1" w:rsidRPr="00D00188" w:rsidRDefault="00555B63" w:rsidP="00784184">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t>“</w:t>
            </w:r>
            <w:r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24D6DA"/>
            <w:vAlign w:val="center"/>
          </w:tcPr>
          <w:p w14:paraId="5B6966A7" w14:textId="289CB50F" w:rsidR="003C33D1" w:rsidRPr="00D00188" w:rsidRDefault="00555B63"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24D6DA"/>
            <w:vAlign w:val="center"/>
          </w:tcPr>
          <w:p w14:paraId="116F449A" w14:textId="47EA749F" w:rsidR="003C33D1" w:rsidRPr="00D00188" w:rsidRDefault="00555B63"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Sí</w:t>
            </w:r>
          </w:p>
        </w:tc>
      </w:tr>
      <w:tr w:rsidR="003C33D1" w:rsidRPr="00D00188" w14:paraId="40587EE5" w14:textId="74A795B8" w:rsidTr="00817FEA">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24D6DA"/>
            <w:vAlign w:val="center"/>
          </w:tcPr>
          <w:p w14:paraId="0B598744" w14:textId="262D81F1" w:rsidR="003C33D1" w:rsidRPr="00D00188" w:rsidRDefault="00A42A6E"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6)</w:t>
            </w:r>
            <w:r w:rsidRPr="00D00188">
              <w:rPr>
                <w:rFonts w:ascii="Palatino Linotype" w:hAnsi="Palatino Linotype"/>
                <w:sz w:val="18"/>
                <w:szCs w:val="18"/>
                <w:lang w:val="es-ES"/>
              </w:rPr>
              <w:t xml:space="preserve"> </w:t>
            </w:r>
            <w:r w:rsidR="003C33D1" w:rsidRPr="00D00188">
              <w:rPr>
                <w:rFonts w:ascii="Palatino Linotype" w:hAnsi="Palatino Linotype"/>
                <w:sz w:val="18"/>
                <w:szCs w:val="18"/>
                <w:lang w:val="es-ES"/>
              </w:rPr>
              <w:t xml:space="preserve">Número de casos que se encuentran en calificación por </w:t>
            </w:r>
            <w:r w:rsidR="003C33D1" w:rsidRPr="00D00188">
              <w:rPr>
                <w:rFonts w:ascii="Palatino Linotype" w:hAnsi="Palatino Linotype"/>
                <w:sz w:val="18"/>
                <w:szCs w:val="18"/>
                <w:lang w:val="es-ES"/>
              </w:rPr>
              <w:lastRenderedPageBreak/>
              <w:t xml:space="preserve">parte de la autoridad judicial federal; </w:t>
            </w:r>
          </w:p>
        </w:tc>
        <w:tc>
          <w:tcPr>
            <w:tcW w:w="2130" w:type="dxa"/>
            <w:tcBorders>
              <w:top w:val="single" w:sz="4" w:space="0" w:color="auto"/>
              <w:left w:val="single" w:sz="4" w:space="0" w:color="auto"/>
              <w:bottom w:val="single" w:sz="4" w:space="0" w:color="auto"/>
              <w:right w:val="single" w:sz="4" w:space="0" w:color="auto"/>
            </w:tcBorders>
            <w:shd w:val="clear" w:color="auto" w:fill="24D6DA"/>
            <w:vAlign w:val="center"/>
          </w:tcPr>
          <w:p w14:paraId="04A6E657" w14:textId="1CFA8E6F" w:rsidR="003C33D1" w:rsidRPr="00D00188" w:rsidRDefault="00555B63" w:rsidP="00784184">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lastRenderedPageBreak/>
              <w:t>“</w:t>
            </w:r>
            <w:r w:rsidRPr="00D00188">
              <w:rPr>
                <w:rFonts w:ascii="Palatino Linotype" w:hAnsi="Palatino Linotype"/>
                <w:i/>
                <w:color w:val="000000"/>
                <w:sz w:val="18"/>
                <w:szCs w:val="18"/>
              </w:rPr>
              <w:t xml:space="preserve">El Poder Judicial del Estado de México, es la </w:t>
            </w:r>
            <w:r w:rsidRPr="00D00188">
              <w:rPr>
                <w:rFonts w:ascii="Palatino Linotype" w:hAnsi="Palatino Linotype"/>
                <w:i/>
                <w:color w:val="000000"/>
                <w:sz w:val="18"/>
                <w:szCs w:val="18"/>
              </w:rPr>
              <w:lastRenderedPageBreak/>
              <w:t>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24D6DA"/>
            <w:vAlign w:val="center"/>
          </w:tcPr>
          <w:p w14:paraId="11DF58A5" w14:textId="3B669889" w:rsidR="003C33D1" w:rsidRPr="00D00188" w:rsidRDefault="00817FEA"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lastRenderedPageBreak/>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24D6DA"/>
            <w:vAlign w:val="center"/>
          </w:tcPr>
          <w:p w14:paraId="5C27A283" w14:textId="7652FABF" w:rsidR="003C33D1" w:rsidRPr="00D00188" w:rsidRDefault="00817FEA"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Sí</w:t>
            </w:r>
          </w:p>
        </w:tc>
      </w:tr>
      <w:tr w:rsidR="003C33D1" w:rsidRPr="00D00188" w14:paraId="353336EF" w14:textId="7792605E" w:rsidTr="00382DC5">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F3ABE5"/>
            <w:vAlign w:val="center"/>
          </w:tcPr>
          <w:p w14:paraId="5DE6D052" w14:textId="3ADEB6DE" w:rsidR="003C33D1" w:rsidRPr="00D00188" w:rsidRDefault="00A42A6E"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7)</w:t>
            </w:r>
            <w:r w:rsidRPr="00D00188">
              <w:rPr>
                <w:rFonts w:ascii="Palatino Linotype" w:hAnsi="Palatino Linotype"/>
                <w:sz w:val="18"/>
                <w:szCs w:val="18"/>
                <w:lang w:val="es-ES"/>
              </w:rPr>
              <w:t xml:space="preserve"> </w:t>
            </w:r>
            <w:r w:rsidR="003C33D1" w:rsidRPr="00D00188">
              <w:rPr>
                <w:rFonts w:ascii="Palatino Linotype" w:hAnsi="Palatino Linotype"/>
                <w:sz w:val="18"/>
                <w:szCs w:val="18"/>
                <w:lang w:val="es-ES"/>
              </w:rPr>
              <w:t xml:space="preserve">Número de personas a las que la autoridad jurisdiccional otorgó el beneficio de la amnistía. </w:t>
            </w:r>
          </w:p>
        </w:tc>
        <w:tc>
          <w:tcPr>
            <w:tcW w:w="2130" w:type="dxa"/>
            <w:tcBorders>
              <w:top w:val="single" w:sz="4" w:space="0" w:color="auto"/>
              <w:left w:val="single" w:sz="4" w:space="0" w:color="auto"/>
              <w:bottom w:val="single" w:sz="4" w:space="0" w:color="auto"/>
              <w:right w:val="single" w:sz="4" w:space="0" w:color="auto"/>
            </w:tcBorders>
            <w:shd w:val="clear" w:color="auto" w:fill="F3ABE5"/>
            <w:vAlign w:val="center"/>
          </w:tcPr>
          <w:p w14:paraId="7AD2B13A" w14:textId="68B03A35" w:rsidR="003C33D1" w:rsidRPr="00D00188" w:rsidRDefault="00817FEA" w:rsidP="00784184">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t>“</w:t>
            </w:r>
            <w:r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F3ABE5"/>
            <w:vAlign w:val="center"/>
          </w:tcPr>
          <w:p w14:paraId="7FE5FD4C" w14:textId="1993763C" w:rsidR="003C33D1" w:rsidRPr="00D00188" w:rsidRDefault="00817FEA"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F3ABE5"/>
            <w:vAlign w:val="center"/>
          </w:tcPr>
          <w:p w14:paraId="4587DBC0" w14:textId="6E03434A" w:rsidR="003C33D1" w:rsidRPr="00D00188" w:rsidRDefault="00817FEA" w:rsidP="00784184">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Sí</w:t>
            </w:r>
          </w:p>
        </w:tc>
      </w:tr>
      <w:tr w:rsidR="00817FEA" w:rsidRPr="00D00188" w14:paraId="11872332" w14:textId="08063A48" w:rsidTr="00382DC5">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F3ABE5"/>
            <w:vAlign w:val="center"/>
          </w:tcPr>
          <w:p w14:paraId="7DEC112E" w14:textId="3D6E11AA" w:rsidR="00817FEA" w:rsidRPr="00D00188" w:rsidRDefault="00A42A6E" w:rsidP="00817FEA">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8)</w:t>
            </w:r>
            <w:r w:rsidRPr="00D00188">
              <w:rPr>
                <w:rFonts w:ascii="Palatino Linotype" w:hAnsi="Palatino Linotype"/>
                <w:sz w:val="18"/>
                <w:szCs w:val="18"/>
                <w:lang w:val="es-ES"/>
              </w:rPr>
              <w:t xml:space="preserve"> </w:t>
            </w:r>
            <w:r w:rsidR="00817FEA" w:rsidRPr="00D00188">
              <w:rPr>
                <w:rFonts w:ascii="Palatino Linotype" w:hAnsi="Palatino Linotype"/>
                <w:sz w:val="18"/>
                <w:szCs w:val="18"/>
                <w:lang w:val="es-ES"/>
              </w:rPr>
              <w:t xml:space="preserve"> Se me proporcione información desglosada por tipo de delito sobre los asuntos de los que han conocido los Jueces competentes sobre </w:t>
            </w:r>
          </w:p>
          <w:p w14:paraId="645C12A9" w14:textId="77777777" w:rsidR="00817FEA" w:rsidRPr="00D00188" w:rsidRDefault="00817FEA" w:rsidP="00817FEA">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sz w:val="18"/>
                <w:szCs w:val="18"/>
                <w:lang w:val="es-ES"/>
              </w:rPr>
              <w:t xml:space="preserve">a. Número de solicitudes presentadas desglosadas por delito; </w:t>
            </w:r>
          </w:p>
          <w:p w14:paraId="3B44CE76" w14:textId="77777777" w:rsidR="00817FEA" w:rsidRPr="00D00188" w:rsidRDefault="00817FEA" w:rsidP="00817FEA">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sz w:val="18"/>
                <w:szCs w:val="18"/>
                <w:lang w:val="es-ES"/>
              </w:rPr>
              <w:t xml:space="preserve">b. Número de solicitudes en las que los jueces competentes han determinado la procedencia o improcedencia de la amnistía. </w:t>
            </w:r>
          </w:p>
          <w:p w14:paraId="59B16260" w14:textId="77777777" w:rsidR="00817FEA" w:rsidRPr="00D00188" w:rsidRDefault="00817FEA" w:rsidP="00817FEA">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sz w:val="18"/>
                <w:szCs w:val="18"/>
                <w:lang w:val="es-ES"/>
              </w:rPr>
              <w:t xml:space="preserve">c. Número de casos que se encuentran en calificación por parte de la autoridad judicial federal; </w:t>
            </w:r>
          </w:p>
          <w:p w14:paraId="419F5841" w14:textId="780199E5" w:rsidR="00817FEA" w:rsidRPr="00D00188" w:rsidRDefault="00817FEA" w:rsidP="00817FEA">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sz w:val="18"/>
                <w:szCs w:val="18"/>
                <w:lang w:val="es-ES"/>
              </w:rPr>
              <w:t xml:space="preserve">d. Número de personas a las que la autoridad jurisdiccional otorgó el beneficio de la amnistía. </w:t>
            </w:r>
          </w:p>
        </w:tc>
        <w:tc>
          <w:tcPr>
            <w:tcW w:w="2130" w:type="dxa"/>
            <w:tcBorders>
              <w:top w:val="single" w:sz="4" w:space="0" w:color="auto"/>
              <w:left w:val="single" w:sz="4" w:space="0" w:color="auto"/>
              <w:bottom w:val="single" w:sz="4" w:space="0" w:color="auto"/>
              <w:right w:val="single" w:sz="4" w:space="0" w:color="auto"/>
            </w:tcBorders>
            <w:shd w:val="clear" w:color="auto" w:fill="F3ABE5"/>
            <w:vAlign w:val="center"/>
          </w:tcPr>
          <w:p w14:paraId="19099E5E" w14:textId="22062C6F" w:rsidR="00817FEA" w:rsidRPr="00D00188" w:rsidRDefault="00817FEA" w:rsidP="00817FEA">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t>“</w:t>
            </w:r>
            <w:r w:rsidRPr="00D00188">
              <w:rPr>
                <w:rFonts w:ascii="Palatino Linotype" w:hAnsi="Palatino Linotype"/>
                <w:i/>
                <w:color w:val="000000"/>
                <w:sz w:val="18"/>
                <w:szCs w:val="18"/>
              </w:rPr>
              <w:t>El Poder Judicial del Estado de México, es la dependencia encargada de 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F3ABE5"/>
            <w:vAlign w:val="center"/>
          </w:tcPr>
          <w:p w14:paraId="210D2D14" w14:textId="61E36F3F" w:rsidR="00817FEA" w:rsidRPr="00D00188" w:rsidRDefault="00817FEA" w:rsidP="00817FEA">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F3ABE5"/>
            <w:vAlign w:val="center"/>
          </w:tcPr>
          <w:p w14:paraId="71F6945A" w14:textId="6D2FA451" w:rsidR="00817FEA" w:rsidRPr="00D00188" w:rsidRDefault="00817FEA" w:rsidP="00817FEA">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Sí</w:t>
            </w:r>
          </w:p>
        </w:tc>
      </w:tr>
      <w:tr w:rsidR="003C33D1" w:rsidRPr="00D00188" w14:paraId="5793D566" w14:textId="1BA62361" w:rsidTr="00382DC5">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4B93699" w14:textId="122B4929" w:rsidR="003C33D1" w:rsidRPr="00D00188" w:rsidRDefault="00A42A6E"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b/>
                <w:sz w:val="18"/>
                <w:szCs w:val="18"/>
                <w:lang w:val="es-ES"/>
              </w:rPr>
              <w:t>9)</w:t>
            </w:r>
            <w:r w:rsidR="003C33D1" w:rsidRPr="00D00188">
              <w:rPr>
                <w:rFonts w:ascii="Palatino Linotype" w:hAnsi="Palatino Linotype"/>
                <w:sz w:val="18"/>
                <w:szCs w:val="18"/>
                <w:lang w:val="es-ES"/>
              </w:rPr>
              <w:t xml:space="preserve"> ¿cuáles son los parámetros de implementación de la Comisión de Amnistía durante la contingencia por COVID-19?</w:t>
            </w:r>
          </w:p>
          <w:p w14:paraId="64E1598C" w14:textId="599CD7FC" w:rsidR="003C33D1" w:rsidRPr="00D00188" w:rsidRDefault="003C33D1" w:rsidP="00361FB7">
            <w:pPr>
              <w:pStyle w:val="Prrafodelista"/>
              <w:tabs>
                <w:tab w:val="left" w:pos="510"/>
              </w:tabs>
              <w:ind w:left="-108" w:right="29"/>
              <w:jc w:val="both"/>
              <w:rPr>
                <w:rFonts w:ascii="Palatino Linotype" w:hAnsi="Palatino Linotype"/>
                <w:sz w:val="18"/>
                <w:szCs w:val="18"/>
                <w:lang w:val="es-ES"/>
              </w:rPr>
            </w:pPr>
            <w:r w:rsidRPr="00D00188">
              <w:rPr>
                <w:rFonts w:ascii="Palatino Linotype" w:hAnsi="Palatino Linotype"/>
                <w:sz w:val="18"/>
                <w:szCs w:val="18"/>
                <w:lang w:val="es-ES"/>
              </w:rPr>
              <w:t xml:space="preserve">¿Cuáles son los mecanismos de solicitud a distancia? </w:t>
            </w:r>
          </w:p>
        </w:tc>
        <w:tc>
          <w:tcPr>
            <w:tcW w:w="213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4354520" w14:textId="6FA41C70" w:rsidR="003C33D1" w:rsidRPr="00D00188" w:rsidRDefault="00817FEA" w:rsidP="00D4682C">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t>No hubo pronunciamiento alguno al respecto</w:t>
            </w:r>
          </w:p>
        </w:tc>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AA99A5D" w14:textId="05E3F1D2" w:rsidR="003C33D1" w:rsidRPr="00D00188" w:rsidRDefault="00817FEA" w:rsidP="00D4682C">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FA7FC41" w14:textId="14C0C5F5" w:rsidR="003C33D1" w:rsidRPr="00D00188" w:rsidRDefault="00817FEA" w:rsidP="00D4682C">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No</w:t>
            </w:r>
          </w:p>
        </w:tc>
      </w:tr>
      <w:tr w:rsidR="00817FEA" w:rsidRPr="00D00188" w14:paraId="340449D6" w14:textId="7A853668" w:rsidTr="00817FEA">
        <w:trPr>
          <w:trHeight w:val="58"/>
          <w:jc w:val="center"/>
        </w:trPr>
        <w:tc>
          <w:tcPr>
            <w:tcW w:w="2831" w:type="dxa"/>
            <w:tcBorders>
              <w:top w:val="single" w:sz="4" w:space="0" w:color="auto"/>
              <w:left w:val="single" w:sz="4" w:space="0" w:color="auto"/>
              <w:bottom w:val="single" w:sz="4" w:space="0" w:color="auto"/>
              <w:right w:val="single" w:sz="4" w:space="0" w:color="auto"/>
            </w:tcBorders>
            <w:shd w:val="clear" w:color="auto" w:fill="F6A8EB"/>
            <w:vAlign w:val="center"/>
          </w:tcPr>
          <w:p w14:paraId="4237885E" w14:textId="21A251E9" w:rsidR="00817FEA" w:rsidRPr="00D00188" w:rsidRDefault="00A42A6E" w:rsidP="00817FEA">
            <w:pPr>
              <w:tabs>
                <w:tab w:val="left" w:pos="510"/>
              </w:tabs>
              <w:ind w:left="-108" w:right="29"/>
              <w:jc w:val="both"/>
              <w:rPr>
                <w:rFonts w:ascii="Palatino Linotype" w:hAnsi="Palatino Linotype"/>
                <w:color w:val="000000"/>
                <w:sz w:val="20"/>
                <w:szCs w:val="20"/>
                <w:lang w:val="es-ES"/>
              </w:rPr>
            </w:pPr>
            <w:r w:rsidRPr="00D00188">
              <w:rPr>
                <w:rFonts w:ascii="Palatino Linotype" w:hAnsi="Palatino Linotype"/>
                <w:b/>
                <w:sz w:val="18"/>
                <w:szCs w:val="18"/>
                <w:lang w:val="es-ES"/>
              </w:rPr>
              <w:t>10)</w:t>
            </w:r>
            <w:r w:rsidRPr="00D00188">
              <w:rPr>
                <w:rFonts w:ascii="Palatino Linotype" w:hAnsi="Palatino Linotype"/>
                <w:sz w:val="18"/>
                <w:szCs w:val="18"/>
                <w:lang w:val="es-ES"/>
              </w:rPr>
              <w:t xml:space="preserve"> </w:t>
            </w:r>
            <w:r w:rsidR="00817FEA" w:rsidRPr="00D00188">
              <w:rPr>
                <w:rFonts w:ascii="Palatino Linotype" w:hAnsi="Palatino Linotype"/>
                <w:sz w:val="18"/>
                <w:szCs w:val="18"/>
                <w:lang w:val="es-ES"/>
              </w:rPr>
              <w:t xml:space="preserve">Número de recursos interpuestos por la procedencia o improcedencia del otorgamiento </w:t>
            </w:r>
            <w:r w:rsidR="00817FEA" w:rsidRPr="00D00188">
              <w:rPr>
                <w:rFonts w:ascii="Palatino Linotype" w:hAnsi="Palatino Linotype"/>
                <w:sz w:val="18"/>
                <w:szCs w:val="18"/>
                <w:lang w:val="es-ES"/>
              </w:rPr>
              <w:lastRenderedPageBreak/>
              <w:t>de amnistía por tipo de delito y género.</w:t>
            </w:r>
          </w:p>
        </w:tc>
        <w:tc>
          <w:tcPr>
            <w:tcW w:w="2130" w:type="dxa"/>
            <w:tcBorders>
              <w:top w:val="single" w:sz="4" w:space="0" w:color="auto"/>
              <w:left w:val="single" w:sz="4" w:space="0" w:color="auto"/>
              <w:bottom w:val="single" w:sz="4" w:space="0" w:color="auto"/>
              <w:right w:val="single" w:sz="4" w:space="0" w:color="auto"/>
            </w:tcBorders>
            <w:shd w:val="clear" w:color="auto" w:fill="F6A8EB"/>
            <w:vAlign w:val="center"/>
          </w:tcPr>
          <w:p w14:paraId="67774494" w14:textId="43C79EE6" w:rsidR="00817FEA" w:rsidRPr="00D00188" w:rsidRDefault="00817FEA" w:rsidP="00817FEA">
            <w:pPr>
              <w:tabs>
                <w:tab w:val="left" w:pos="8647"/>
              </w:tabs>
              <w:spacing w:line="276" w:lineRule="auto"/>
              <w:ind w:right="34"/>
              <w:jc w:val="both"/>
              <w:rPr>
                <w:rFonts w:ascii="Palatino Linotype" w:hAnsi="Palatino Linotype" w:cs="Arial"/>
                <w:bCs/>
                <w:i/>
                <w:color w:val="000000" w:themeColor="text1"/>
                <w:sz w:val="18"/>
                <w:szCs w:val="18"/>
              </w:rPr>
            </w:pPr>
            <w:r w:rsidRPr="00D00188">
              <w:rPr>
                <w:rFonts w:ascii="Palatino Linotype" w:hAnsi="Palatino Linotype"/>
                <w:color w:val="000000"/>
                <w:sz w:val="18"/>
                <w:szCs w:val="18"/>
              </w:rPr>
              <w:lastRenderedPageBreak/>
              <w:t>“</w:t>
            </w:r>
            <w:r w:rsidRPr="00D00188">
              <w:rPr>
                <w:rFonts w:ascii="Palatino Linotype" w:hAnsi="Palatino Linotype"/>
                <w:i/>
                <w:color w:val="000000"/>
                <w:sz w:val="18"/>
                <w:szCs w:val="18"/>
              </w:rPr>
              <w:t xml:space="preserve">El Poder Judicial del Estado de México, es la dependencia encargada de </w:t>
            </w:r>
            <w:r w:rsidRPr="00D00188">
              <w:rPr>
                <w:rFonts w:ascii="Palatino Linotype" w:hAnsi="Palatino Linotype"/>
                <w:i/>
                <w:color w:val="000000"/>
                <w:sz w:val="18"/>
                <w:szCs w:val="18"/>
              </w:rPr>
              <w:lastRenderedPageBreak/>
              <w:t>la emisión de acuerdos generales a efecto de normar el procedimiento, para la sustanciación de las solicitudes de amnistía</w:t>
            </w:r>
            <w:r w:rsidRPr="00D00188">
              <w:rPr>
                <w:rFonts w:ascii="Palatino Linotype" w:hAnsi="Palatino Linotype"/>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F6A8EB"/>
            <w:vAlign w:val="center"/>
          </w:tcPr>
          <w:p w14:paraId="658ED813" w14:textId="5C27C6AD" w:rsidR="00817FEA" w:rsidRPr="00D00188" w:rsidRDefault="00817FEA" w:rsidP="00817FEA">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lastRenderedPageBreak/>
              <w:t>No hubo pronunciamiento alguno al respecto</w:t>
            </w:r>
          </w:p>
        </w:tc>
        <w:tc>
          <w:tcPr>
            <w:tcW w:w="1134" w:type="dxa"/>
            <w:tcBorders>
              <w:top w:val="single" w:sz="4" w:space="0" w:color="auto"/>
              <w:left w:val="single" w:sz="4" w:space="0" w:color="auto"/>
              <w:bottom w:val="single" w:sz="4" w:space="0" w:color="auto"/>
              <w:right w:val="single" w:sz="4" w:space="0" w:color="auto"/>
            </w:tcBorders>
            <w:shd w:val="clear" w:color="auto" w:fill="F6A8EB"/>
            <w:vAlign w:val="center"/>
          </w:tcPr>
          <w:p w14:paraId="63852A17" w14:textId="7CFDD4FA" w:rsidR="00817FEA" w:rsidRPr="00D00188" w:rsidRDefault="00817FEA" w:rsidP="00817FEA">
            <w:pPr>
              <w:tabs>
                <w:tab w:val="left" w:pos="7655"/>
              </w:tabs>
              <w:spacing w:line="276" w:lineRule="auto"/>
              <w:ind w:right="34"/>
              <w:jc w:val="both"/>
              <w:rPr>
                <w:rFonts w:ascii="Palatino Linotype" w:hAnsi="Palatino Linotype"/>
                <w:color w:val="000000"/>
                <w:sz w:val="18"/>
                <w:szCs w:val="18"/>
              </w:rPr>
            </w:pPr>
            <w:r w:rsidRPr="00D00188">
              <w:rPr>
                <w:rFonts w:ascii="Palatino Linotype" w:hAnsi="Palatino Linotype"/>
                <w:color w:val="000000"/>
                <w:sz w:val="18"/>
                <w:szCs w:val="18"/>
              </w:rPr>
              <w:t>Sí</w:t>
            </w:r>
          </w:p>
        </w:tc>
      </w:tr>
    </w:tbl>
    <w:p w14:paraId="4158A2D1" w14:textId="77777777" w:rsidR="00F76DCC" w:rsidRPr="00D00188" w:rsidRDefault="00F76DCC" w:rsidP="00F76DCC">
      <w:pPr>
        <w:pStyle w:val="Prrafodelista"/>
        <w:tabs>
          <w:tab w:val="left" w:pos="66"/>
        </w:tabs>
        <w:spacing w:line="360" w:lineRule="auto"/>
        <w:ind w:left="0"/>
        <w:jc w:val="both"/>
        <w:rPr>
          <w:rFonts w:ascii="Palatino Linotype" w:eastAsia="MS Mincho" w:hAnsi="Palatino Linotype" w:cs="Arial"/>
        </w:rPr>
      </w:pPr>
    </w:p>
    <w:p w14:paraId="310D26DD" w14:textId="0D71E871" w:rsidR="00315B19" w:rsidRPr="00D00188" w:rsidRDefault="00315B19" w:rsidP="00817FEA">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D00188">
        <w:rPr>
          <w:rFonts w:ascii="Palatino Linotype" w:eastAsia="MS Mincho" w:hAnsi="Palatino Linotype" w:cs="Arial"/>
        </w:rPr>
        <w:t xml:space="preserve">Tal como se pudo observar en ésta tabla, el SUJETO OBLIGADO </w:t>
      </w:r>
      <w:r w:rsidR="00817FEA" w:rsidRPr="00D00188">
        <w:rPr>
          <w:rFonts w:ascii="Palatino Linotype" w:eastAsia="MS Mincho" w:hAnsi="Palatino Linotype" w:cs="Arial"/>
        </w:rPr>
        <w:t>atendió a los cuestionamientos planteados declinando su competencia hacia otro SUJETO OBLIGADO</w:t>
      </w:r>
      <w:r w:rsidRPr="00D00188">
        <w:rPr>
          <w:rFonts w:ascii="Palatino Linotype" w:eastAsia="MS Mincho" w:hAnsi="Palatino Linotype" w:cs="Arial"/>
        </w:rPr>
        <w:t>, sin embargo al no fundar y motivar su respuesta</w:t>
      </w:r>
      <w:r w:rsidR="00A42A6E" w:rsidRPr="00D00188">
        <w:rPr>
          <w:rFonts w:ascii="Palatino Linotype" w:eastAsia="MS Mincho" w:hAnsi="Palatino Linotype" w:cs="Arial"/>
        </w:rPr>
        <w:t xml:space="preserve"> debidamente</w:t>
      </w:r>
      <w:r w:rsidRPr="00D00188">
        <w:rPr>
          <w:rFonts w:ascii="Palatino Linotype" w:eastAsia="MS Mincho" w:hAnsi="Palatino Linotype" w:cs="Arial"/>
        </w:rPr>
        <w:t xml:space="preserve">, el </w:t>
      </w:r>
      <w:r w:rsidRPr="00D00188">
        <w:rPr>
          <w:rFonts w:ascii="Palatino Linotype" w:eastAsia="MS Mincho" w:hAnsi="Palatino Linotype" w:cs="Arial"/>
          <w:b/>
        </w:rPr>
        <w:t>SUJETO OBLIGADO</w:t>
      </w:r>
      <w:r w:rsidRPr="00D00188">
        <w:rPr>
          <w:rFonts w:ascii="Palatino Linotype" w:eastAsia="MS Mincho" w:hAnsi="Palatino Linotype" w:cs="Arial"/>
        </w:rPr>
        <w:t xml:space="preserve"> no otorgó certeza alguna respecto a si en el ejercicio de sus facultades, competencias o funciones tiene el deber d</w:t>
      </w:r>
      <w:r w:rsidR="00C8639C" w:rsidRPr="00D00188">
        <w:rPr>
          <w:rFonts w:ascii="Palatino Linotype" w:eastAsia="MS Mincho" w:hAnsi="Palatino Linotype" w:cs="Arial"/>
        </w:rPr>
        <w:t>e poseer, generar o administrar por lo menos de forma parcial la información o no</w:t>
      </w:r>
      <w:r w:rsidRPr="00D00188">
        <w:rPr>
          <w:rFonts w:ascii="Palatino Linotype" w:eastAsia="MS Mincho" w:hAnsi="Palatino Linotype" w:cs="Arial"/>
        </w:rPr>
        <w:t>, tema que será abordado en el siguiente apartado.</w:t>
      </w:r>
    </w:p>
    <w:p w14:paraId="0C3D7BC8" w14:textId="77777777" w:rsidR="00315B19" w:rsidRPr="00D00188" w:rsidRDefault="00315B19" w:rsidP="00315B19">
      <w:pPr>
        <w:pStyle w:val="Prrafodelista"/>
        <w:spacing w:line="360" w:lineRule="auto"/>
        <w:ind w:left="0"/>
        <w:jc w:val="both"/>
        <w:rPr>
          <w:rFonts w:ascii="Palatino Linotype" w:hAnsi="Palatino Linotype"/>
        </w:rPr>
      </w:pPr>
    </w:p>
    <w:p w14:paraId="6B134F8D" w14:textId="1EB022DF" w:rsidR="00A23D23" w:rsidRPr="00D00188" w:rsidRDefault="00315B19" w:rsidP="00160667">
      <w:pPr>
        <w:pStyle w:val="Ttulo2"/>
        <w:jc w:val="both"/>
      </w:pPr>
      <w:bookmarkStart w:id="24" w:name="_Toc71832790"/>
      <w:bookmarkStart w:id="25" w:name="_Toc69482833"/>
      <w:r w:rsidRPr="00D00188">
        <w:t>I</w:t>
      </w:r>
      <w:r w:rsidR="00A23D23" w:rsidRPr="00D00188">
        <w:t xml:space="preserve">I. De </w:t>
      </w:r>
      <w:r w:rsidR="00160667" w:rsidRPr="00D00188">
        <w:t>la fuente de atribuciones del Poder Judicial</w:t>
      </w:r>
      <w:r w:rsidR="005F5C85" w:rsidRPr="00D00188">
        <w:t>.</w:t>
      </w:r>
      <w:bookmarkEnd w:id="24"/>
    </w:p>
    <w:p w14:paraId="3F251D1A" w14:textId="77777777" w:rsidR="00160667" w:rsidRPr="00D00188" w:rsidRDefault="00160667" w:rsidP="00160667">
      <w:pPr>
        <w:rPr>
          <w:lang w:val="es-MX" w:eastAsia="en-US"/>
        </w:rPr>
      </w:pPr>
    </w:p>
    <w:p w14:paraId="57760F8B" w14:textId="5D06EDA6" w:rsidR="00A23D23" w:rsidRPr="00D00188" w:rsidRDefault="00A23D23" w:rsidP="00A23D23">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D00188">
        <w:rPr>
          <w:rFonts w:ascii="Palatino Linotype" w:hAnsi="Palatino Linotype" w:cs="Arial"/>
          <w:color w:val="000000" w:themeColor="text1"/>
        </w:rPr>
        <w:t>En atención a que el SUJ</w:t>
      </w:r>
      <w:r w:rsidR="00C8639C" w:rsidRPr="00D00188">
        <w:rPr>
          <w:rFonts w:ascii="Palatino Linotype" w:hAnsi="Palatino Linotype" w:cs="Arial"/>
          <w:color w:val="000000" w:themeColor="text1"/>
        </w:rPr>
        <w:t>ETO OBLIGADO en su respuesta señaló “</w:t>
      </w:r>
      <w:r w:rsidR="00C8639C" w:rsidRPr="00D00188">
        <w:rPr>
          <w:rFonts w:ascii="Palatino Linotype" w:hAnsi="Palatino Linotype"/>
          <w:i/>
          <w:color w:val="000000"/>
        </w:rPr>
        <w:t>El Poder Judicial del Estado de México, es la dependencia encargada de la emisión de acuerdos generales a efecto de normar el procedimiento, para la sustanciación de las solicitudes de amnistía</w:t>
      </w:r>
      <w:r w:rsidR="00C8639C" w:rsidRPr="00D00188">
        <w:rPr>
          <w:rFonts w:ascii="Palatino Linotype" w:hAnsi="Palatino Linotype" w:cs="Arial"/>
          <w:color w:val="000000" w:themeColor="text1"/>
        </w:rPr>
        <w:t xml:space="preserve">” </w:t>
      </w:r>
      <w:r w:rsidRPr="00D00188">
        <w:rPr>
          <w:rFonts w:ascii="Palatino Linotype" w:hAnsi="Palatino Linotype" w:cs="Arial"/>
          <w:color w:val="000000" w:themeColor="text1"/>
        </w:rPr>
        <w:t>se consideró pertinente analizar si el Sujeto Obligado hacia el cual se declinó competencia, de acuerdo a sus atribuciones pudiera generar, poseer o administrar la información solicitada y en consecuencia, si es procedente la declinación de competencia realizada.</w:t>
      </w:r>
    </w:p>
    <w:p w14:paraId="574DA716" w14:textId="77777777" w:rsidR="00C8639C" w:rsidRPr="00D00188" w:rsidRDefault="00C8639C" w:rsidP="00784184">
      <w:pPr>
        <w:pStyle w:val="Prrafodelista"/>
        <w:spacing w:line="360" w:lineRule="auto"/>
        <w:ind w:left="0"/>
        <w:jc w:val="both"/>
        <w:rPr>
          <w:rFonts w:ascii="Palatino Linotype" w:hAnsi="Palatino Linotype"/>
          <w:lang w:val="es-MX" w:eastAsia="en-US"/>
        </w:rPr>
      </w:pPr>
    </w:p>
    <w:p w14:paraId="5EDFCFC7" w14:textId="24C0A797" w:rsidR="00A23D23" w:rsidRPr="00D00188" w:rsidRDefault="00784184" w:rsidP="00784184">
      <w:pPr>
        <w:pStyle w:val="Prrafodelista"/>
        <w:numPr>
          <w:ilvl w:val="0"/>
          <w:numId w:val="1"/>
        </w:numPr>
        <w:spacing w:line="360" w:lineRule="auto"/>
        <w:ind w:left="0" w:firstLine="0"/>
        <w:jc w:val="both"/>
        <w:rPr>
          <w:rFonts w:ascii="Palatino Linotype" w:hAnsi="Palatino Linotype"/>
          <w:lang w:val="es-MX" w:eastAsia="en-US"/>
        </w:rPr>
      </w:pPr>
      <w:r w:rsidRPr="00D00188">
        <w:rPr>
          <w:rFonts w:ascii="Palatino Linotype" w:hAnsi="Palatino Linotype"/>
          <w:lang w:val="es-MX" w:eastAsia="en-US"/>
        </w:rPr>
        <w:t xml:space="preserve">De conformidad con el artículo 485 fracción VI del </w:t>
      </w:r>
      <w:r w:rsidRPr="00D00188">
        <w:rPr>
          <w:rFonts w:ascii="Palatino Linotype" w:hAnsi="Palatino Linotype"/>
          <w:b/>
          <w:lang w:val="es-MX" w:eastAsia="en-US"/>
        </w:rPr>
        <w:t>Código Nacional de Procedimientos Penales</w:t>
      </w:r>
      <w:r w:rsidRPr="00D00188">
        <w:rPr>
          <w:rFonts w:ascii="Palatino Linotype" w:hAnsi="Palatino Linotype"/>
          <w:lang w:val="es-MX" w:eastAsia="en-US"/>
        </w:rPr>
        <w:t xml:space="preserve"> dentro de </w:t>
      </w:r>
      <w:r w:rsidRPr="00D00188">
        <w:rPr>
          <w:rFonts w:ascii="Palatino Linotype" w:hAnsi="Palatino Linotype"/>
        </w:rPr>
        <w:t xml:space="preserve">las causas de extinción de la acción penal, la </w:t>
      </w:r>
      <w:r w:rsidRPr="00D00188">
        <w:rPr>
          <w:rFonts w:ascii="Palatino Linotype" w:hAnsi="Palatino Linotype"/>
        </w:rPr>
        <w:lastRenderedPageBreak/>
        <w:t xml:space="preserve">pretensión punitiva y la potestad para ejecutar las penas y medidas de seguridad se encuentra la </w:t>
      </w:r>
      <w:r w:rsidRPr="00D00188">
        <w:rPr>
          <w:rFonts w:ascii="Palatino Linotype" w:hAnsi="Palatino Linotype"/>
          <w:b/>
          <w:u w:val="single"/>
        </w:rPr>
        <w:t>Amnistía</w:t>
      </w:r>
      <w:r w:rsidRPr="00D00188">
        <w:rPr>
          <w:rFonts w:ascii="Palatino Linotype" w:hAnsi="Palatino Linotype"/>
        </w:rPr>
        <w:t>.</w:t>
      </w:r>
    </w:p>
    <w:p w14:paraId="1F27F804" w14:textId="77777777" w:rsidR="00784184" w:rsidRPr="00D00188" w:rsidRDefault="00784184" w:rsidP="00784184">
      <w:pPr>
        <w:pStyle w:val="Prrafodelista"/>
        <w:spacing w:line="360" w:lineRule="auto"/>
        <w:ind w:left="0"/>
        <w:jc w:val="both"/>
        <w:rPr>
          <w:rFonts w:ascii="Palatino Linotype" w:hAnsi="Palatino Linotype"/>
          <w:lang w:val="es-MX" w:eastAsia="en-US"/>
        </w:rPr>
      </w:pPr>
    </w:p>
    <w:p w14:paraId="1FAF6D6F" w14:textId="41C79AB8" w:rsidR="00805233" w:rsidRPr="00D00188" w:rsidRDefault="00784184" w:rsidP="00805233">
      <w:pPr>
        <w:pStyle w:val="Prrafodelista"/>
        <w:numPr>
          <w:ilvl w:val="0"/>
          <w:numId w:val="1"/>
        </w:numPr>
        <w:spacing w:line="360" w:lineRule="auto"/>
        <w:ind w:left="0" w:firstLine="0"/>
        <w:jc w:val="both"/>
        <w:rPr>
          <w:rFonts w:ascii="Palatino Linotype" w:hAnsi="Palatino Linotype"/>
          <w:lang w:val="es-MX" w:eastAsia="en-US"/>
        </w:rPr>
      </w:pPr>
      <w:r w:rsidRPr="00D00188">
        <w:rPr>
          <w:rFonts w:ascii="Palatino Linotype" w:hAnsi="Palatino Linotype"/>
          <w:lang w:val="es-MX" w:eastAsia="en-US"/>
        </w:rPr>
        <w:t>As</w:t>
      </w:r>
      <w:r w:rsidR="00805233" w:rsidRPr="00D00188">
        <w:rPr>
          <w:rFonts w:ascii="Palatino Linotype" w:hAnsi="Palatino Linotype"/>
          <w:lang w:val="es-MX" w:eastAsia="en-US"/>
        </w:rPr>
        <w:t xml:space="preserve">imismo el </w:t>
      </w:r>
      <w:r w:rsidR="00805233" w:rsidRPr="00D00188">
        <w:rPr>
          <w:rFonts w:ascii="Palatino Linotype" w:hAnsi="Palatino Linotype"/>
          <w:b/>
          <w:lang w:val="es-MX" w:eastAsia="en-US"/>
        </w:rPr>
        <w:t>Código Penal del Estado de México</w:t>
      </w:r>
      <w:r w:rsidR="00805233" w:rsidRPr="00D00188">
        <w:rPr>
          <w:rFonts w:ascii="Palatino Linotype" w:hAnsi="Palatino Linotype"/>
          <w:lang w:val="es-MX" w:eastAsia="en-US"/>
        </w:rPr>
        <w:t xml:space="preserve"> en su </w:t>
      </w:r>
      <w:r w:rsidR="00805233" w:rsidRPr="00D00188">
        <w:rPr>
          <w:rFonts w:ascii="Palatino Linotype" w:hAnsi="Palatino Linotype"/>
        </w:rPr>
        <w:t xml:space="preserve">artículo 89 dispone que la amnistía </w:t>
      </w:r>
      <w:r w:rsidR="00805233" w:rsidRPr="00D00188">
        <w:rPr>
          <w:rFonts w:ascii="Palatino Linotype" w:hAnsi="Palatino Linotype"/>
          <w:lang w:val="es-MX" w:eastAsia="en-US"/>
        </w:rPr>
        <w:t xml:space="preserve">establece que la Amnistía </w:t>
      </w:r>
      <w:r w:rsidR="00805233" w:rsidRPr="00D00188">
        <w:rPr>
          <w:rFonts w:ascii="Palatino Linotype" w:hAnsi="Palatino Linotype"/>
        </w:rPr>
        <w:t>extingue la pretensión punitiva y todas las consecuencias jurídicas del delito, como si éste no se hubiere cometido, sin perjuicio de la reparación del daño.</w:t>
      </w:r>
    </w:p>
    <w:p w14:paraId="218763C8" w14:textId="77777777" w:rsidR="00805233" w:rsidRPr="00D00188" w:rsidRDefault="00805233" w:rsidP="00805233">
      <w:pPr>
        <w:pStyle w:val="Prrafodelista"/>
        <w:spacing w:line="360" w:lineRule="auto"/>
        <w:ind w:left="0"/>
        <w:jc w:val="both"/>
        <w:rPr>
          <w:rFonts w:ascii="Palatino Linotype" w:hAnsi="Palatino Linotype"/>
          <w:lang w:val="es-MX" w:eastAsia="en-US"/>
        </w:rPr>
      </w:pPr>
    </w:p>
    <w:p w14:paraId="1FA84328" w14:textId="77777777" w:rsidR="00805233" w:rsidRPr="00D00188" w:rsidRDefault="00805233" w:rsidP="00805233">
      <w:pPr>
        <w:pStyle w:val="Prrafodelista"/>
        <w:numPr>
          <w:ilvl w:val="0"/>
          <w:numId w:val="1"/>
        </w:numPr>
        <w:spacing w:line="360" w:lineRule="auto"/>
        <w:ind w:left="0" w:firstLine="0"/>
        <w:jc w:val="both"/>
        <w:rPr>
          <w:rFonts w:ascii="Palatino Linotype" w:hAnsi="Palatino Linotype"/>
          <w:lang w:val="es-MX" w:eastAsia="en-US"/>
        </w:rPr>
      </w:pPr>
      <w:r w:rsidRPr="00D00188">
        <w:rPr>
          <w:rFonts w:ascii="Palatino Linotype" w:hAnsi="Palatino Linotype"/>
        </w:rPr>
        <w:t xml:space="preserve">En ese sentido, </w:t>
      </w:r>
      <w:r w:rsidRPr="00D00188">
        <w:rPr>
          <w:rFonts w:ascii="Palatino Linotype" w:hAnsi="Palatino Linotype" w:cs="Arial"/>
        </w:rPr>
        <w:t xml:space="preserve">de acuerdo al artículo 13 de </w:t>
      </w:r>
      <w:r w:rsidRPr="00D00188">
        <w:rPr>
          <w:rFonts w:ascii="Palatino Linotype" w:hAnsi="Palatino Linotype" w:cs="Arial"/>
          <w:b/>
        </w:rPr>
        <w:t>Ley de Amnistía del Estado de México</w:t>
      </w:r>
      <w:r w:rsidRPr="00D00188">
        <w:rPr>
          <w:rFonts w:ascii="Palatino Linotype" w:hAnsi="Palatino Linotype" w:cs="Arial"/>
        </w:rPr>
        <w:t>, la amnistía es la figura jurídica que extingue las acciones penales y las sanciones impuestas respecto de algunos delitos, dejando en su caso subsistente la responsabilidad civil y a salvo los derechos de quienes puedan exigirla, así como los derechos de las víctimas y ofendidos de conformidad con la legislación aplicable. Las personas que obtengan su libertad con base en dicha ley, no podrán ejercer acción civil, penal, administrativa o de otra índole en contra del Estado o de quien en su caso fue sujeto pasivo del delito por el que estuvo privado de la libertad.</w:t>
      </w:r>
    </w:p>
    <w:p w14:paraId="3F4A5BAE" w14:textId="77777777" w:rsidR="00153BCB" w:rsidRPr="00D00188" w:rsidRDefault="00153BCB" w:rsidP="00153BCB">
      <w:pPr>
        <w:pStyle w:val="Prrafodelista"/>
        <w:spacing w:line="360" w:lineRule="auto"/>
        <w:ind w:left="0"/>
        <w:jc w:val="both"/>
        <w:rPr>
          <w:rFonts w:ascii="Palatino Linotype" w:hAnsi="Palatino Linotype"/>
          <w:lang w:val="es-MX" w:eastAsia="en-US"/>
        </w:rPr>
      </w:pPr>
    </w:p>
    <w:p w14:paraId="22B0F2BC" w14:textId="11FD1FDE" w:rsidR="00153BCB" w:rsidRPr="00D00188" w:rsidRDefault="00153BCB" w:rsidP="00153BCB">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Bajo ese tenor, el artículo 5 de la </w:t>
      </w:r>
      <w:r w:rsidRPr="00D00188">
        <w:rPr>
          <w:rFonts w:ascii="Palatino Linotype" w:hAnsi="Palatino Linotype" w:cs="Arial"/>
          <w:b/>
        </w:rPr>
        <w:t>Ley de Amnistía del Estado de México</w:t>
      </w:r>
      <w:r w:rsidRPr="00D00188">
        <w:rPr>
          <w:rFonts w:ascii="Palatino Linotype" w:hAnsi="Palatino Linotype" w:cs="Arial"/>
        </w:rPr>
        <w:t xml:space="preserve">, dispone que el </w:t>
      </w:r>
      <w:r w:rsidRPr="00D00188">
        <w:rPr>
          <w:rFonts w:ascii="Palatino Linotype" w:hAnsi="Palatino Linotype" w:cs="Arial"/>
          <w:b/>
          <w:u w:val="single"/>
        </w:rPr>
        <w:t>Consejo de la Judicatura del Poder Judicial</w:t>
      </w:r>
      <w:r w:rsidRPr="00D00188">
        <w:rPr>
          <w:rFonts w:ascii="Palatino Linotype" w:hAnsi="Palatino Linotype" w:cs="Arial"/>
        </w:rPr>
        <w:t xml:space="preserve"> del Estado estará facultado para emitir acuerdos generales a efecto de normar el procedimiento, fijando plazos para sustanciar las solicitudes de amnistía ajustándose a los que se encuentran previstos en la Ley, para su debido cumplimiento.</w:t>
      </w:r>
    </w:p>
    <w:p w14:paraId="70B2C2AD" w14:textId="77777777" w:rsidR="00153BCB" w:rsidRPr="00D00188" w:rsidRDefault="00153BCB" w:rsidP="00153BCB">
      <w:pPr>
        <w:pStyle w:val="Prrafodelista"/>
        <w:spacing w:line="360" w:lineRule="auto"/>
        <w:ind w:left="0"/>
        <w:jc w:val="both"/>
        <w:rPr>
          <w:rFonts w:ascii="Palatino Linotype" w:hAnsi="Palatino Linotype" w:cs="Arial"/>
        </w:rPr>
      </w:pPr>
    </w:p>
    <w:p w14:paraId="7CCE4F15" w14:textId="772D5672" w:rsidR="00153BCB" w:rsidRPr="00D00188" w:rsidRDefault="00153BCB" w:rsidP="00153BCB">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lastRenderedPageBreak/>
        <w:t>Asimismo la Ley de Amnistía citada, en su artículo 6 dispone que la persona interesada o su defensa, podrá solicitar ante el Juez Competente, la aplicación de la amnistía respecto de los delitos establecidos en la propia Ley (</w:t>
      </w:r>
      <w:r w:rsidR="008E182F" w:rsidRPr="00D00188">
        <w:rPr>
          <w:rFonts w:ascii="Palatino Linotype" w:hAnsi="Palatino Linotype" w:cs="Arial"/>
        </w:rPr>
        <w:t>cabe aclarar</w:t>
      </w:r>
      <w:r w:rsidRPr="00D00188">
        <w:rPr>
          <w:rFonts w:ascii="Palatino Linotype" w:hAnsi="Palatino Linotype" w:cs="Arial"/>
        </w:rPr>
        <w:t xml:space="preserve"> que los supuestos para conceder la amnistía se especifican en el artículo 4 de la citada Ley).</w:t>
      </w:r>
    </w:p>
    <w:p w14:paraId="702A8849" w14:textId="77777777" w:rsidR="00153BCB" w:rsidRPr="00D00188" w:rsidRDefault="00153BCB" w:rsidP="00153BCB">
      <w:pPr>
        <w:pStyle w:val="Prrafodelista"/>
        <w:spacing w:line="360" w:lineRule="auto"/>
        <w:ind w:left="0"/>
        <w:jc w:val="both"/>
        <w:rPr>
          <w:rFonts w:ascii="Palatino Linotype" w:hAnsi="Palatino Linotype" w:cs="Arial"/>
        </w:rPr>
      </w:pPr>
    </w:p>
    <w:p w14:paraId="14E59468" w14:textId="30E60F45" w:rsidR="00153BCB" w:rsidRPr="00D00188" w:rsidRDefault="00153BCB" w:rsidP="00153BCB">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Cabe </w:t>
      </w:r>
      <w:r w:rsidR="008E182F" w:rsidRPr="00D00188">
        <w:rPr>
          <w:rFonts w:ascii="Palatino Linotype" w:hAnsi="Palatino Linotype" w:cs="Arial"/>
        </w:rPr>
        <w:t>señalar</w:t>
      </w:r>
      <w:r w:rsidRPr="00D00188">
        <w:rPr>
          <w:rFonts w:ascii="Palatino Linotype" w:hAnsi="Palatino Linotype" w:cs="Arial"/>
        </w:rPr>
        <w:t xml:space="preserve"> que la propia Ley en su artículo 8 también contempla la manera en que habrá de presentarse la solicitud de amnistía, sin embargo señala nuevamente que ésta deberá ser presentada por escrito o por medios electrónicos habilitados para tal efecto, ante el </w:t>
      </w:r>
      <w:r w:rsidRPr="00D00188">
        <w:rPr>
          <w:rFonts w:ascii="Palatino Linotype" w:hAnsi="Palatino Linotype" w:cs="Arial"/>
          <w:b/>
          <w:u w:val="single"/>
        </w:rPr>
        <w:t>Juez Competente</w:t>
      </w:r>
      <w:r w:rsidRPr="00D00188">
        <w:rPr>
          <w:rFonts w:ascii="Palatino Linotype" w:hAnsi="Palatino Linotype" w:cs="Arial"/>
        </w:rPr>
        <w:t>, debiendo acreditar la calidad con la que acude a solicitar amnistía.</w:t>
      </w:r>
    </w:p>
    <w:p w14:paraId="460D564D" w14:textId="77777777" w:rsidR="000D3443" w:rsidRPr="00D00188" w:rsidRDefault="000D3443" w:rsidP="000D3443">
      <w:pPr>
        <w:pStyle w:val="Prrafodelista"/>
        <w:spacing w:line="360" w:lineRule="auto"/>
        <w:ind w:left="0"/>
        <w:jc w:val="both"/>
        <w:rPr>
          <w:rFonts w:ascii="Palatino Linotype" w:hAnsi="Palatino Linotype" w:cs="Arial"/>
        </w:rPr>
      </w:pPr>
    </w:p>
    <w:p w14:paraId="453630BE" w14:textId="7AFE8B26" w:rsidR="000D3443" w:rsidRPr="00D00188" w:rsidRDefault="000D3443" w:rsidP="000D3443">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Una vez admitida la solicitud, dentro del plazo de treinta días hábiles, el Juez Competente, deberá determinar la procedencia o improcedencia de la amnistía, pudiendo prorrogarse dicho plazo hasta por treinta días más, atendiendo las circunstancias del caso, y en la determinación que otorgue la amnistía, </w:t>
      </w:r>
      <w:r w:rsidRPr="00D00188">
        <w:rPr>
          <w:rFonts w:ascii="Palatino Linotype" w:hAnsi="Palatino Linotype" w:cs="Arial"/>
          <w:b/>
          <w:u w:val="single"/>
        </w:rPr>
        <w:t>la autoridad judicial</w:t>
      </w:r>
      <w:r w:rsidRPr="00D00188">
        <w:rPr>
          <w:rFonts w:ascii="Palatino Linotype" w:hAnsi="Palatino Linotype" w:cs="Arial"/>
        </w:rPr>
        <w:t xml:space="preserve"> ordenará a las autoridades </w:t>
      </w:r>
      <w:r w:rsidRPr="00D00188">
        <w:rPr>
          <w:rFonts w:ascii="Palatino Linotype" w:hAnsi="Palatino Linotype" w:cs="Arial"/>
          <w:b/>
          <w:u w:val="single"/>
        </w:rPr>
        <w:t>competentes</w:t>
      </w:r>
      <w:r w:rsidRPr="00D00188">
        <w:rPr>
          <w:rFonts w:ascii="Palatino Linotype" w:hAnsi="Palatino Linotype" w:cs="Arial"/>
        </w:rPr>
        <w:t xml:space="preserve"> que decreten la libertad o el desistimiento del ejercicio de la acción penal, según corresponda, de conformidad con los artículos 9 y 10 de la Ley de Amnistía Local.</w:t>
      </w:r>
    </w:p>
    <w:p w14:paraId="295F39B9" w14:textId="77777777" w:rsidR="000D3443" w:rsidRPr="00D00188" w:rsidRDefault="000D3443" w:rsidP="000D3443">
      <w:pPr>
        <w:pStyle w:val="Prrafodelista"/>
        <w:spacing w:line="360" w:lineRule="auto"/>
        <w:ind w:left="0"/>
        <w:jc w:val="both"/>
        <w:rPr>
          <w:rFonts w:ascii="Palatino Linotype" w:hAnsi="Palatino Linotype"/>
          <w:lang w:val="es-MX" w:eastAsia="en-US"/>
        </w:rPr>
      </w:pPr>
    </w:p>
    <w:p w14:paraId="3C3302C3" w14:textId="4AC0EF07" w:rsidR="00805233" w:rsidRPr="00D00188" w:rsidRDefault="00153BCB" w:rsidP="00784184">
      <w:pPr>
        <w:pStyle w:val="Prrafodelista"/>
        <w:numPr>
          <w:ilvl w:val="0"/>
          <w:numId w:val="1"/>
        </w:numPr>
        <w:spacing w:line="360" w:lineRule="auto"/>
        <w:ind w:left="0" w:firstLine="0"/>
        <w:jc w:val="both"/>
        <w:rPr>
          <w:rFonts w:ascii="Palatino Linotype" w:hAnsi="Palatino Linotype"/>
          <w:lang w:val="es-MX" w:eastAsia="en-US"/>
        </w:rPr>
      </w:pPr>
      <w:r w:rsidRPr="00D00188">
        <w:rPr>
          <w:rFonts w:ascii="Palatino Linotype" w:hAnsi="Palatino Linotype"/>
          <w:lang w:val="es-MX" w:eastAsia="en-US"/>
        </w:rPr>
        <w:t>No se soslaya</w:t>
      </w:r>
      <w:r w:rsidR="008908CA" w:rsidRPr="00D00188">
        <w:rPr>
          <w:rFonts w:ascii="Palatino Linotype" w:hAnsi="Palatino Linotype"/>
          <w:lang w:val="es-MX" w:eastAsia="en-US"/>
        </w:rPr>
        <w:t xml:space="preserve"> que las reglas de </w:t>
      </w:r>
      <w:r w:rsidRPr="00D00188">
        <w:rPr>
          <w:rFonts w:ascii="Palatino Linotype" w:hAnsi="Palatino Linotype"/>
          <w:b/>
          <w:u w:val="single"/>
          <w:lang w:val="es-MX" w:eastAsia="en-US"/>
        </w:rPr>
        <w:t>competencia</w:t>
      </w:r>
      <w:r w:rsidRPr="00D00188">
        <w:rPr>
          <w:rFonts w:ascii="Palatino Linotype" w:hAnsi="Palatino Linotype"/>
          <w:lang w:val="es-MX" w:eastAsia="en-US"/>
        </w:rPr>
        <w:t xml:space="preserve"> </w:t>
      </w:r>
      <w:r w:rsidR="008908CA" w:rsidRPr="00D00188">
        <w:rPr>
          <w:rFonts w:ascii="Palatino Linotype" w:hAnsi="Palatino Linotype"/>
          <w:lang w:val="es-MX" w:eastAsia="en-US"/>
        </w:rPr>
        <w:t>son</w:t>
      </w:r>
      <w:r w:rsidRPr="00D00188">
        <w:rPr>
          <w:rFonts w:ascii="Palatino Linotype" w:hAnsi="Palatino Linotype"/>
          <w:lang w:val="es-MX" w:eastAsia="en-US"/>
        </w:rPr>
        <w:t xml:space="preserve"> determinada</w:t>
      </w:r>
      <w:r w:rsidR="008908CA" w:rsidRPr="00D00188">
        <w:rPr>
          <w:rFonts w:ascii="Palatino Linotype" w:hAnsi="Palatino Linotype"/>
          <w:lang w:val="es-MX" w:eastAsia="en-US"/>
        </w:rPr>
        <w:t>s</w:t>
      </w:r>
      <w:r w:rsidRPr="00D00188">
        <w:rPr>
          <w:rFonts w:ascii="Palatino Linotype" w:hAnsi="Palatino Linotype"/>
          <w:lang w:val="es-MX" w:eastAsia="en-US"/>
        </w:rPr>
        <w:t xml:space="preserve"> </w:t>
      </w:r>
      <w:r w:rsidR="008E182F" w:rsidRPr="00D00188">
        <w:rPr>
          <w:rFonts w:ascii="Palatino Linotype" w:hAnsi="Palatino Linotype"/>
          <w:lang w:val="es-MX" w:eastAsia="en-US"/>
        </w:rPr>
        <w:t xml:space="preserve">de acuerdo a cada hecho punible </w:t>
      </w:r>
      <w:r w:rsidRPr="00D00188">
        <w:rPr>
          <w:rFonts w:ascii="Palatino Linotype" w:hAnsi="Palatino Linotype"/>
          <w:lang w:val="es-MX" w:eastAsia="en-US"/>
        </w:rPr>
        <w:t xml:space="preserve">en el </w:t>
      </w:r>
      <w:r w:rsidR="008908CA" w:rsidRPr="00D00188">
        <w:rPr>
          <w:rFonts w:ascii="Palatino Linotype" w:hAnsi="Palatino Linotype"/>
          <w:lang w:val="es-MX" w:eastAsia="en-US"/>
        </w:rPr>
        <w:t xml:space="preserve">artículo 20 del </w:t>
      </w:r>
      <w:r w:rsidRPr="00D00188">
        <w:rPr>
          <w:rFonts w:ascii="Palatino Linotype" w:hAnsi="Palatino Linotype"/>
          <w:b/>
          <w:lang w:val="es-MX" w:eastAsia="en-US"/>
        </w:rPr>
        <w:t>C</w:t>
      </w:r>
      <w:r w:rsidR="008908CA" w:rsidRPr="00D00188">
        <w:rPr>
          <w:rFonts w:ascii="Palatino Linotype" w:hAnsi="Palatino Linotype"/>
          <w:b/>
          <w:lang w:val="es-MX" w:eastAsia="en-US"/>
        </w:rPr>
        <w:t>ódigo Nac</w:t>
      </w:r>
      <w:r w:rsidR="008E182F" w:rsidRPr="00D00188">
        <w:rPr>
          <w:rFonts w:ascii="Palatino Linotype" w:hAnsi="Palatino Linotype"/>
          <w:b/>
          <w:lang w:val="es-MX" w:eastAsia="en-US"/>
        </w:rPr>
        <w:t>ional de Procedimientos Penales</w:t>
      </w:r>
      <w:r w:rsidR="008E182F" w:rsidRPr="00D00188">
        <w:rPr>
          <w:rFonts w:ascii="Palatino Linotype" w:hAnsi="Palatino Linotype"/>
          <w:lang w:val="es-MX" w:eastAsia="en-US"/>
        </w:rPr>
        <w:t>.</w:t>
      </w:r>
    </w:p>
    <w:p w14:paraId="00692E92" w14:textId="77777777" w:rsidR="000D3443" w:rsidRPr="00D00188" w:rsidRDefault="000D3443" w:rsidP="000D3443">
      <w:pPr>
        <w:pStyle w:val="Prrafodelista"/>
        <w:spacing w:line="360" w:lineRule="auto"/>
        <w:ind w:left="0"/>
        <w:jc w:val="both"/>
        <w:rPr>
          <w:rFonts w:ascii="Palatino Linotype" w:hAnsi="Palatino Linotype"/>
          <w:lang w:val="es-MX" w:eastAsia="en-US"/>
        </w:rPr>
      </w:pPr>
    </w:p>
    <w:p w14:paraId="796C932C" w14:textId="77777777" w:rsidR="000D3443" w:rsidRPr="00D00188" w:rsidRDefault="000D3443" w:rsidP="000D344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hAnsi="Palatino Linotype"/>
        </w:rPr>
      </w:pPr>
      <w:r w:rsidRPr="00D00188">
        <w:rPr>
          <w:rFonts w:ascii="Palatino Linotype" w:hAnsi="Palatino Linotype"/>
          <w:color w:val="000000"/>
        </w:rPr>
        <w:lastRenderedPageBreak/>
        <w:t xml:space="preserve">En esa tesitura el artículo 88 de la Constitución Política del Estado Libre y Soberano de México dispone que el Poder Judicial se deposita en un Órgano Colegiado </w:t>
      </w:r>
      <w:r w:rsidRPr="00D00188">
        <w:rPr>
          <w:rFonts w:ascii="Palatino Linotype" w:hAnsi="Palatino Linotype"/>
        </w:rPr>
        <w:t>denominado Tribunal Superior de Justicia, el cual funcionará en Pleno, Sala Constitucional, Salas Colegiadas y Unitarias Regionales</w:t>
      </w:r>
      <w:r w:rsidRPr="00D00188">
        <w:rPr>
          <w:rFonts w:ascii="Palatino Linotype" w:hAnsi="Palatino Linotype"/>
          <w:i/>
        </w:rPr>
        <w:t xml:space="preserve"> </w:t>
      </w:r>
      <w:r w:rsidRPr="00D00188">
        <w:rPr>
          <w:rFonts w:ascii="Palatino Linotype" w:hAnsi="Palatino Linotype"/>
        </w:rPr>
        <w:t>y en tribunales y juzgados de primera instancia, juzgados de cuantía menor y tribunales laborales, organizados de acuerdo a su competencia establecida en las leyes secundarias.</w:t>
      </w:r>
    </w:p>
    <w:p w14:paraId="5556ECAE" w14:textId="77777777" w:rsidR="000D3443" w:rsidRPr="00D00188" w:rsidRDefault="000D3443" w:rsidP="000D3443">
      <w:pPr>
        <w:pStyle w:val="NormalWeb"/>
        <w:shd w:val="clear" w:color="auto" w:fill="FFFFFF"/>
        <w:autoSpaceDE w:val="0"/>
        <w:autoSpaceDN w:val="0"/>
        <w:adjustRightInd w:val="0"/>
        <w:spacing w:before="0" w:beforeAutospacing="0" w:after="0" w:afterAutospacing="0" w:line="360" w:lineRule="auto"/>
        <w:ind w:right="567"/>
        <w:jc w:val="both"/>
        <w:rPr>
          <w:rFonts w:ascii="Palatino Linotype" w:hAnsi="Palatino Linotype"/>
          <w:sz w:val="22"/>
          <w:szCs w:val="22"/>
        </w:rPr>
      </w:pPr>
    </w:p>
    <w:p w14:paraId="02C2A60F" w14:textId="77777777" w:rsidR="000D3443" w:rsidRPr="00D00188" w:rsidRDefault="000D3443" w:rsidP="000D344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hAnsi="Palatino Linotype"/>
        </w:rPr>
      </w:pPr>
      <w:r w:rsidRPr="00D00188">
        <w:rPr>
          <w:rFonts w:ascii="Palatino Linotype" w:hAnsi="Palatino Linotype"/>
        </w:rPr>
        <w:t xml:space="preserve">Correlativo a ello el artículo 65 de la </w:t>
      </w:r>
      <w:r w:rsidRPr="00D00188">
        <w:rPr>
          <w:rFonts w:ascii="Palatino Linotype" w:hAnsi="Palatino Linotype"/>
          <w:b/>
        </w:rPr>
        <w:t>Ley Orgánica del Poder Judicial del Estado de México</w:t>
      </w:r>
      <w:r w:rsidRPr="00D00188">
        <w:rPr>
          <w:rFonts w:ascii="Palatino Linotype" w:hAnsi="Palatino Linotype"/>
        </w:rPr>
        <w:t>, señala que en cada distrito o región judicial podrán crearse el número de tribunales o juzgados de primera instancia, que el consejo de la judicatura determine, los que tendrán competencia para conocer de los asuntos laborales, civiles, mercantiles, penales, de lo familiar, de justicia para adolescentes, y demás materias en que ejerzan su jurisdicción.</w:t>
      </w:r>
    </w:p>
    <w:p w14:paraId="61168350" w14:textId="77777777" w:rsidR="004D041D" w:rsidRPr="00D00188" w:rsidRDefault="004D041D" w:rsidP="004D041D">
      <w:pPr>
        <w:pStyle w:val="NormalWeb"/>
        <w:shd w:val="clear" w:color="auto" w:fill="FFFFFF"/>
        <w:autoSpaceDE w:val="0"/>
        <w:autoSpaceDN w:val="0"/>
        <w:adjustRightInd w:val="0"/>
        <w:spacing w:before="0" w:beforeAutospacing="0" w:after="0" w:afterAutospacing="0" w:line="360" w:lineRule="auto"/>
        <w:jc w:val="both"/>
        <w:rPr>
          <w:rFonts w:ascii="Palatino Linotype" w:hAnsi="Palatino Linotype"/>
        </w:rPr>
      </w:pPr>
    </w:p>
    <w:p w14:paraId="357B952C" w14:textId="5474660E" w:rsidR="004D041D" w:rsidRPr="00D00188" w:rsidRDefault="004D041D" w:rsidP="004D041D">
      <w:pPr>
        <w:pStyle w:val="Prrafodelista"/>
        <w:numPr>
          <w:ilvl w:val="0"/>
          <w:numId w:val="1"/>
        </w:numPr>
        <w:spacing w:line="360" w:lineRule="auto"/>
        <w:ind w:left="0" w:firstLine="0"/>
        <w:jc w:val="both"/>
        <w:rPr>
          <w:rFonts w:ascii="Palatino Linotype" w:hAnsi="Palatino Linotype"/>
          <w:lang w:val="es-MX" w:eastAsia="en-US"/>
        </w:rPr>
      </w:pPr>
      <w:r w:rsidRPr="00D00188">
        <w:rPr>
          <w:rFonts w:ascii="Palatino Linotype" w:hAnsi="Palatino Linotype"/>
        </w:rPr>
        <w:t xml:space="preserve">Finalmente, no se omite mencionar que la presentación de solicitud podría ser ante el juez competente a distancia, toda vez que el </w:t>
      </w:r>
      <w:r w:rsidRPr="00D00188">
        <w:rPr>
          <w:rFonts w:ascii="Palatino Linotype" w:hAnsi="Palatino Linotype"/>
          <w:b/>
        </w:rPr>
        <w:t>Código Nacional de Procedimientos Penales</w:t>
      </w:r>
      <w:r w:rsidRPr="00D00188">
        <w:rPr>
          <w:rFonts w:ascii="Palatino Linotype" w:hAnsi="Palatino Linotype"/>
        </w:rPr>
        <w:t xml:space="preserve"> en su artículo 51 contempla que </w:t>
      </w:r>
      <w:r w:rsidRPr="00D00188">
        <w:rPr>
          <w:rFonts w:ascii="Palatino Linotype" w:hAnsi="Palatino Linotype"/>
          <w:b/>
          <w:u w:val="single"/>
        </w:rPr>
        <w:t>durante todo el proceso penal</w:t>
      </w:r>
      <w:r w:rsidRPr="00D00188">
        <w:rPr>
          <w:rFonts w:ascii="Palatino Linotype" w:hAnsi="Palatino Linotype"/>
        </w:rPr>
        <w:t>, se podrán utilizar los medios electrónicos en todas las actuaciones para facilitar su operación, y que la videoconferencia en tiempo real u otras formas de comunicación que se produzcan con nuevas tecnologías podrán ser utilizadas para la recepción y transmisión de medios de prueba y la realización de actos procesales, siempre y cuando se garantice previamente la identidad de los sujetos que intervengan en dicho acto.</w:t>
      </w:r>
    </w:p>
    <w:p w14:paraId="2B423374" w14:textId="77777777" w:rsidR="00750DA2" w:rsidRPr="00D00188" w:rsidRDefault="00750DA2" w:rsidP="004D041D">
      <w:pPr>
        <w:pStyle w:val="NormalWeb"/>
        <w:shd w:val="clear" w:color="auto" w:fill="FFFFFF"/>
        <w:autoSpaceDE w:val="0"/>
        <w:autoSpaceDN w:val="0"/>
        <w:adjustRightInd w:val="0"/>
        <w:spacing w:before="0" w:beforeAutospacing="0" w:after="0" w:afterAutospacing="0" w:line="360" w:lineRule="auto"/>
        <w:jc w:val="both"/>
        <w:rPr>
          <w:rFonts w:ascii="Palatino Linotype" w:hAnsi="Palatino Linotype"/>
        </w:rPr>
      </w:pPr>
    </w:p>
    <w:p w14:paraId="709F2EB4" w14:textId="47EC6F3E" w:rsidR="000D3443" w:rsidRPr="00D00188" w:rsidRDefault="00750DA2" w:rsidP="00750DA2">
      <w:pPr>
        <w:pStyle w:val="Prrafodelista"/>
        <w:numPr>
          <w:ilvl w:val="0"/>
          <w:numId w:val="1"/>
        </w:numPr>
        <w:spacing w:line="360" w:lineRule="auto"/>
        <w:ind w:left="0" w:firstLine="0"/>
        <w:jc w:val="both"/>
        <w:rPr>
          <w:rFonts w:ascii="Palatino Linotype" w:hAnsi="Palatino Linotype"/>
          <w:b/>
          <w:u w:val="single"/>
          <w:lang w:val="es-MX" w:eastAsia="en-US"/>
        </w:rPr>
      </w:pPr>
      <w:r w:rsidRPr="00D00188">
        <w:rPr>
          <w:rFonts w:ascii="Palatino Linotype" w:hAnsi="Palatino Linotype"/>
          <w:lang w:val="es-MX" w:eastAsia="en-US"/>
        </w:rPr>
        <w:lastRenderedPageBreak/>
        <w:t xml:space="preserve">Atendiendo a lo expuesto se advirtió que el Poder Judicial del Estado de México </w:t>
      </w:r>
      <w:r w:rsidR="000D3443" w:rsidRPr="00D00188">
        <w:rPr>
          <w:rFonts w:ascii="Palatino Linotype" w:hAnsi="Palatino Linotype"/>
          <w:color w:val="000000"/>
        </w:rPr>
        <w:t xml:space="preserve">se deposita en un Órgano Colegiado </w:t>
      </w:r>
      <w:r w:rsidR="000D3443" w:rsidRPr="00D00188">
        <w:rPr>
          <w:rFonts w:ascii="Palatino Linotype" w:hAnsi="Palatino Linotype"/>
        </w:rPr>
        <w:t>denominado Tribunal Superior de Justicia, el cual funcionará en Pleno, Sala Constitucional, Salas Colegiadas y Unitarias Regionales</w:t>
      </w:r>
      <w:r w:rsidR="000D3443" w:rsidRPr="00D00188">
        <w:rPr>
          <w:rFonts w:ascii="Palatino Linotype" w:hAnsi="Palatino Linotype"/>
          <w:i/>
        </w:rPr>
        <w:t xml:space="preserve"> </w:t>
      </w:r>
      <w:r w:rsidR="000D3443" w:rsidRPr="00D00188">
        <w:rPr>
          <w:rFonts w:ascii="Palatino Linotype" w:hAnsi="Palatino Linotype"/>
        </w:rPr>
        <w:t xml:space="preserve">y en tribunales y juzgados de primera instancia, juzgados de cuantía menor y tribunales laborales, organizados de acuerdo a su competencia y que </w:t>
      </w:r>
      <w:r w:rsidR="00621DC6" w:rsidRPr="00D00188">
        <w:rPr>
          <w:rFonts w:ascii="Palatino Linotype" w:hAnsi="Palatino Linotype"/>
        </w:rPr>
        <w:t>los mismos podrán conocer de los asuntos laborales, civiles, mercantiles, penales, de lo familiar, de justicia para adolescentes, y demás materias en que ejerzan su jurisdicción, y que el Poder Judicial</w:t>
      </w:r>
      <w:r w:rsidR="000D3443" w:rsidRPr="00D00188">
        <w:rPr>
          <w:rFonts w:ascii="Palatino Linotype" w:hAnsi="Palatino Linotype"/>
        </w:rPr>
        <w:t xml:space="preserve"> </w:t>
      </w:r>
      <w:r w:rsidR="00621DC6" w:rsidRPr="00D00188">
        <w:rPr>
          <w:rFonts w:ascii="Palatino Linotype" w:hAnsi="Palatino Linotype"/>
        </w:rPr>
        <w:t xml:space="preserve">también </w:t>
      </w:r>
      <w:r w:rsidRPr="00D00188">
        <w:rPr>
          <w:rFonts w:ascii="Palatino Linotype" w:hAnsi="Palatino Linotype"/>
          <w:lang w:val="es-MX" w:eastAsia="en-US"/>
        </w:rPr>
        <w:t xml:space="preserve">tiene competencia para </w:t>
      </w:r>
      <w:r w:rsidRPr="00D00188">
        <w:rPr>
          <w:rFonts w:ascii="Palatino Linotype" w:hAnsi="Palatino Linotype" w:cs="Arial"/>
        </w:rPr>
        <w:t xml:space="preserve">emitir acuerdos generales a efecto de normar el procedimiento, fijando plazos para sustanciar las solicitudes de amnistía y </w:t>
      </w:r>
      <w:r w:rsidR="000D3443" w:rsidRPr="00D00188">
        <w:rPr>
          <w:rFonts w:ascii="Palatino Linotype" w:hAnsi="Palatino Linotype" w:cs="Arial"/>
          <w:b/>
          <w:u w:val="single"/>
        </w:rPr>
        <w:t>determinar si se otorga la amnistía o no.</w:t>
      </w:r>
    </w:p>
    <w:p w14:paraId="630282CE" w14:textId="77777777" w:rsidR="00160667" w:rsidRPr="00D00188" w:rsidRDefault="00160667" w:rsidP="00160667">
      <w:pPr>
        <w:pStyle w:val="Prrafodelista"/>
        <w:spacing w:line="360" w:lineRule="auto"/>
        <w:ind w:left="0"/>
        <w:jc w:val="both"/>
        <w:rPr>
          <w:rFonts w:ascii="Palatino Linotype" w:hAnsi="Palatino Linotype"/>
          <w:b/>
          <w:u w:val="single"/>
          <w:lang w:val="es-MX" w:eastAsia="en-US"/>
        </w:rPr>
      </w:pPr>
    </w:p>
    <w:p w14:paraId="307ED765" w14:textId="731EF912" w:rsidR="00A6437E" w:rsidRPr="00D00188" w:rsidRDefault="00A6437E" w:rsidP="00A6437E">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Atendiendo a lo anterior, es muy importante resaltar, que la </w:t>
      </w:r>
      <w:r w:rsidRPr="00D00188">
        <w:rPr>
          <w:rFonts w:ascii="Palatino Linotype" w:hAnsi="Palatino Linotype" w:cs="Arial"/>
          <w:b/>
        </w:rPr>
        <w:t>Ley de Amnistía</w:t>
      </w:r>
      <w:r w:rsidRPr="00D00188">
        <w:rPr>
          <w:rFonts w:ascii="Palatino Linotype" w:hAnsi="Palatino Linotype" w:cs="Arial"/>
        </w:rPr>
        <w:t xml:space="preserve"> también mandata en su artículo 20 que el Poder Judicial deberá incluir en su informe anual de actividades, las solicitudes de amnistía recibidas, resueltas y pendientes de resolver.</w:t>
      </w:r>
    </w:p>
    <w:p w14:paraId="182135D0" w14:textId="77777777" w:rsidR="00621DC6" w:rsidRPr="00D00188" w:rsidRDefault="00621DC6" w:rsidP="004D041D">
      <w:pPr>
        <w:pStyle w:val="Prrafodelista"/>
        <w:spacing w:line="360" w:lineRule="auto"/>
        <w:ind w:left="0"/>
        <w:jc w:val="both"/>
        <w:rPr>
          <w:rFonts w:ascii="Palatino Linotype" w:hAnsi="Palatino Linotype" w:cs="Arial"/>
        </w:rPr>
      </w:pPr>
    </w:p>
    <w:p w14:paraId="3559C891" w14:textId="76760036" w:rsidR="005F5C85" w:rsidRPr="00D00188" w:rsidRDefault="005F5C85" w:rsidP="005F5C85">
      <w:pPr>
        <w:pStyle w:val="Ttulo2"/>
        <w:jc w:val="both"/>
      </w:pPr>
      <w:bookmarkStart w:id="26" w:name="_Toc71832791"/>
      <w:r w:rsidRPr="00D00188">
        <w:t>III. De la declinación de competencia hacia el Poder Judicial.</w:t>
      </w:r>
      <w:bookmarkEnd w:id="26"/>
    </w:p>
    <w:p w14:paraId="52D2A7A3" w14:textId="77777777" w:rsidR="005F5C85" w:rsidRPr="00D00188" w:rsidRDefault="005F5C85" w:rsidP="005F5C85">
      <w:pPr>
        <w:rPr>
          <w:lang w:val="es-MX" w:eastAsia="en-US"/>
        </w:rPr>
      </w:pPr>
    </w:p>
    <w:p w14:paraId="0AF2A816" w14:textId="77777777" w:rsidR="00621DC6" w:rsidRPr="00D00188" w:rsidRDefault="00621DC6" w:rsidP="00621DC6">
      <w:pPr>
        <w:pStyle w:val="Prrafodelista"/>
        <w:numPr>
          <w:ilvl w:val="0"/>
          <w:numId w:val="1"/>
        </w:numPr>
        <w:spacing w:before="240" w:after="240" w:line="360" w:lineRule="auto"/>
        <w:ind w:left="0" w:firstLine="0"/>
        <w:jc w:val="both"/>
        <w:rPr>
          <w:rFonts w:ascii="Palatino Linotype" w:hAnsi="Palatino Linotype" w:cs="Arial"/>
          <w:b/>
          <w:i/>
        </w:rPr>
      </w:pPr>
      <w:r w:rsidRPr="00D00188">
        <w:rPr>
          <w:rFonts w:ascii="Palatino Linotype" w:hAnsi="Palatino Linotype" w:cs="Arial"/>
          <w:color w:val="000000" w:themeColor="text1"/>
        </w:rPr>
        <w:t xml:space="preserve">En ese sentido se advierte que el </w:t>
      </w:r>
      <w:r w:rsidRPr="00D00188">
        <w:rPr>
          <w:rFonts w:ascii="Palatino Linotype" w:hAnsi="Palatino Linotype" w:cs="Arial"/>
          <w:b/>
          <w:color w:val="000000" w:themeColor="text1"/>
        </w:rPr>
        <w:t>SUJETO OBLIGADO</w:t>
      </w:r>
      <w:r w:rsidRPr="00D00188">
        <w:rPr>
          <w:rFonts w:ascii="Palatino Linotype" w:hAnsi="Palatino Linotype" w:cs="Arial"/>
          <w:color w:val="000000" w:themeColor="text1"/>
        </w:rPr>
        <w:t xml:space="preserve"> respondió conforme a derecho, toda vez que</w:t>
      </w:r>
      <w:r w:rsidRPr="00D00188">
        <w:rPr>
          <w:rFonts w:ascii="Palatino Linotype" w:hAnsi="Palatino Linotype" w:cs="Arial"/>
          <w:b/>
          <w:color w:val="000000" w:themeColor="text1"/>
        </w:rPr>
        <w:t xml:space="preserve"> </w:t>
      </w:r>
      <w:r w:rsidRPr="00D00188">
        <w:rPr>
          <w:rFonts w:ascii="Palatino Linotype" w:hAnsi="Palatino Linotype"/>
          <w:color w:val="000000" w:themeColor="text1"/>
        </w:rPr>
        <w:t>le asiste la facultad de orientar al particular</w:t>
      </w:r>
      <w:r w:rsidRPr="00D00188">
        <w:rPr>
          <w:rFonts w:ascii="Palatino Linotype" w:hAnsi="Palatino Linotype"/>
          <w:b/>
          <w:color w:val="000000" w:themeColor="text1"/>
        </w:rPr>
        <w:t xml:space="preserve"> </w:t>
      </w:r>
      <w:r w:rsidRPr="00D00188">
        <w:rPr>
          <w:rFonts w:ascii="Palatino Linotype" w:hAnsi="Palatino Linotype"/>
          <w:color w:val="000000" w:themeColor="text1"/>
        </w:rPr>
        <w:t>para presentar la solicitud de información pública ante autoridad competente e</w:t>
      </w:r>
      <w:r w:rsidRPr="00D00188">
        <w:rPr>
          <w:rFonts w:ascii="Palatino Linotype" w:hAnsi="Palatino Linotype" w:cs="Arial"/>
          <w:color w:val="000000" w:themeColor="text1"/>
        </w:rPr>
        <w:t xml:space="preserve">n estricta aplicación al artículo 167 de la </w:t>
      </w:r>
      <w:r w:rsidRPr="00D00188">
        <w:rPr>
          <w:rFonts w:ascii="Palatino Linotype" w:eastAsia="Times New Roman" w:hAnsi="Palatino Linotype" w:cs="Arial"/>
          <w:b/>
          <w:color w:val="000000" w:themeColor="text1"/>
        </w:rPr>
        <w:t>Ley de Transparencia y Acceso a la Información Pública del Estado de México y Municipios.</w:t>
      </w:r>
    </w:p>
    <w:p w14:paraId="1A26FCAE" w14:textId="77777777" w:rsidR="00621DC6" w:rsidRPr="00D00188" w:rsidRDefault="00621DC6" w:rsidP="00621DC6">
      <w:pPr>
        <w:spacing w:before="240" w:after="240" w:line="360" w:lineRule="auto"/>
        <w:ind w:left="567" w:right="616"/>
        <w:jc w:val="both"/>
        <w:rPr>
          <w:rFonts w:ascii="Palatino Linotype" w:hAnsi="Palatino Linotype"/>
          <w:i/>
          <w:sz w:val="22"/>
          <w:szCs w:val="22"/>
        </w:rPr>
      </w:pPr>
      <w:r w:rsidRPr="00D00188">
        <w:rPr>
          <w:rFonts w:ascii="Palatino Linotype" w:hAnsi="Palatino Linotype"/>
          <w:i/>
          <w:sz w:val="22"/>
          <w:szCs w:val="22"/>
        </w:rPr>
        <w:lastRenderedPageBreak/>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D00188">
        <w:rPr>
          <w:rFonts w:ascii="Palatino Linotype" w:hAnsi="Palatino Linotype"/>
          <w:b/>
          <w:i/>
          <w:sz w:val="22"/>
          <w:szCs w:val="22"/>
          <w:u w:val="single"/>
        </w:rPr>
        <w:t>dentro de los tres días hábiles posteriores a la recepción de la solicitud y, en su caso orientar al solicitante, el o los sujetos obligados competentes</w:t>
      </w:r>
      <w:r w:rsidRPr="00D00188">
        <w:rPr>
          <w:rFonts w:ascii="Palatino Linotype" w:hAnsi="Palatino Linotype"/>
          <w:i/>
          <w:sz w:val="22"/>
          <w:szCs w:val="22"/>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64B86AE3" w14:textId="77777777" w:rsidR="00621DC6" w:rsidRPr="00D00188" w:rsidRDefault="00621DC6" w:rsidP="00621DC6">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D00188">
        <w:rPr>
          <w:rFonts w:ascii="Palatino Linotype" w:hAnsi="Palatino Linotype"/>
          <w:color w:val="000000" w:themeColor="text1"/>
        </w:rPr>
        <w:t xml:space="preserve">Así </w:t>
      </w:r>
      <w:r w:rsidRPr="00D00188">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D00188">
        <w:rPr>
          <w:rFonts w:ascii="Palatino Linotype" w:eastAsia="Arial Unicode MS" w:hAnsi="Palatino Linotype" w:cs="Arial"/>
          <w:b/>
          <w:color w:val="000000" w:themeColor="text1"/>
        </w:rPr>
        <w:t>SUJETO OBLIGADO</w:t>
      </w:r>
      <w:r w:rsidRPr="00D00188">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D00188">
        <w:rPr>
          <w:rFonts w:ascii="Palatino Linotype" w:eastAsia="Arial Unicode MS" w:hAnsi="Palatino Linotype" w:cs="Arial"/>
          <w:b/>
          <w:color w:val="000000" w:themeColor="text1"/>
          <w:u w:val="single"/>
        </w:rPr>
        <w:t>SUJETO OBLIGADO</w:t>
      </w:r>
      <w:r w:rsidRPr="00D00188">
        <w:rPr>
          <w:rFonts w:ascii="Palatino Linotype" w:eastAsia="Arial Unicode MS" w:hAnsi="Palatino Linotype" w:cs="Arial"/>
          <w:color w:val="000000" w:themeColor="text1"/>
          <w:u w:val="single"/>
        </w:rPr>
        <w:t xml:space="preserve"> </w:t>
      </w:r>
      <w:r w:rsidRPr="00D00188">
        <w:rPr>
          <w:rFonts w:ascii="Palatino Linotype" w:eastAsia="Arial Unicode MS" w:hAnsi="Palatino Linotype" w:cs="Arial"/>
          <w:color w:val="000000" w:themeColor="text1"/>
        </w:rPr>
        <w:t xml:space="preserve">de informar o hacer del conocimiento del particular, la dependencia pública ante quien debe presentar su solicitud, por ser la que genera, posee o administra la información pública que pretende obtener. De tal forma que el plazo, para orientarlo a efecto de que dirija su solicitud ante el </w:t>
      </w:r>
      <w:r w:rsidRPr="00D00188">
        <w:rPr>
          <w:rFonts w:ascii="Palatino Linotype" w:eastAsia="Arial Unicode MS" w:hAnsi="Palatino Linotype" w:cs="Arial"/>
          <w:b/>
          <w:color w:val="000000" w:themeColor="text1"/>
        </w:rPr>
        <w:t>SUJETO OBLIGADO</w:t>
      </w:r>
      <w:r w:rsidRPr="00D00188">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11E971D7" w14:textId="77777777" w:rsidR="00621DC6" w:rsidRPr="00D00188" w:rsidRDefault="00621DC6" w:rsidP="00621DC6">
      <w:pPr>
        <w:pStyle w:val="Prrafodelista"/>
        <w:spacing w:before="240" w:after="240" w:line="360" w:lineRule="auto"/>
        <w:ind w:left="0" w:right="49"/>
        <w:jc w:val="both"/>
        <w:rPr>
          <w:rFonts w:ascii="Palatino Linotype" w:eastAsia="Times New Roman" w:hAnsi="Palatino Linotype" w:cs="Arial"/>
          <w:b/>
          <w:lang w:val="es-ES"/>
        </w:rPr>
      </w:pPr>
    </w:p>
    <w:p w14:paraId="43C103BF" w14:textId="2889B4F8" w:rsidR="00621DC6" w:rsidRPr="00D00188" w:rsidRDefault="00621DC6" w:rsidP="00621DC6">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D00188">
        <w:rPr>
          <w:rFonts w:ascii="Palatino Linotype" w:hAnsi="Palatino Linotype" w:cs="Arial"/>
          <w:lang w:val="es-CO"/>
        </w:rPr>
        <w:t xml:space="preserve">Es oportuno también señalar que la declinación de competencia se realizó </w:t>
      </w:r>
      <w:r w:rsidRPr="00D00188">
        <w:rPr>
          <w:rFonts w:ascii="Palatino Linotype" w:hAnsi="Palatino Linotype" w:cs="Arial"/>
          <w:b/>
          <w:u w:val="single"/>
          <w:lang w:val="es-CO"/>
        </w:rPr>
        <w:t>en tiempo</w:t>
      </w:r>
      <w:r w:rsidRPr="00D00188">
        <w:rPr>
          <w:rFonts w:ascii="Palatino Linotype" w:hAnsi="Palatino Linotype" w:cs="Arial"/>
          <w:lang w:val="es-CO"/>
        </w:rPr>
        <w:t xml:space="preserve">, toda vez que se aprecia que se presentó la solicitud el día </w:t>
      </w:r>
      <w:r w:rsidR="00010FAC" w:rsidRPr="00D00188">
        <w:rPr>
          <w:rFonts w:ascii="Palatino Linotype" w:hAnsi="Palatino Linotype" w:cs="Arial"/>
          <w:lang w:val="es-CO"/>
        </w:rPr>
        <w:t>cuatro</w:t>
      </w:r>
      <w:r w:rsidRPr="00D00188">
        <w:rPr>
          <w:rFonts w:ascii="Palatino Linotype" w:hAnsi="Palatino Linotype" w:cs="Arial"/>
          <w:lang w:val="es-CO"/>
        </w:rPr>
        <w:t xml:space="preserve"> (</w:t>
      </w:r>
      <w:r w:rsidR="00010FAC" w:rsidRPr="00D00188">
        <w:rPr>
          <w:rFonts w:ascii="Palatino Linotype" w:hAnsi="Palatino Linotype" w:cs="Arial"/>
          <w:lang w:val="es-CO"/>
        </w:rPr>
        <w:t>0</w:t>
      </w:r>
      <w:r w:rsidRPr="00D00188">
        <w:rPr>
          <w:rFonts w:ascii="Palatino Linotype" w:hAnsi="Palatino Linotype" w:cs="Arial"/>
          <w:lang w:val="es-CO"/>
        </w:rPr>
        <w:t xml:space="preserve">4) de </w:t>
      </w:r>
      <w:r w:rsidR="00010FAC" w:rsidRPr="00D00188">
        <w:rPr>
          <w:rFonts w:ascii="Palatino Linotype" w:hAnsi="Palatino Linotype" w:cs="Arial"/>
          <w:lang w:val="es-CO"/>
        </w:rPr>
        <w:lastRenderedPageBreak/>
        <w:t>febrero</w:t>
      </w:r>
      <w:r w:rsidRPr="00D00188">
        <w:rPr>
          <w:rFonts w:ascii="Palatino Linotype" w:hAnsi="Palatino Linotype" w:cs="Arial"/>
          <w:lang w:val="es-CO"/>
        </w:rPr>
        <w:t>, en consecuencia el plazo para tal efecto venció el día nueve (</w:t>
      </w:r>
      <w:r w:rsidR="00010FAC" w:rsidRPr="00D00188">
        <w:rPr>
          <w:rFonts w:ascii="Palatino Linotype" w:hAnsi="Palatino Linotype" w:cs="Arial"/>
          <w:lang w:val="es-CO"/>
        </w:rPr>
        <w:t>0</w:t>
      </w:r>
      <w:r w:rsidRPr="00D00188">
        <w:rPr>
          <w:rFonts w:ascii="Palatino Linotype" w:hAnsi="Palatino Linotype" w:cs="Arial"/>
          <w:lang w:val="es-CO"/>
        </w:rPr>
        <w:t xml:space="preserve">9) de </w:t>
      </w:r>
      <w:r w:rsidR="00010FAC" w:rsidRPr="00D00188">
        <w:rPr>
          <w:rFonts w:ascii="Palatino Linotype" w:hAnsi="Palatino Linotype" w:cs="Arial"/>
          <w:lang w:val="es-CO"/>
        </w:rPr>
        <w:t>febrero</w:t>
      </w:r>
      <w:r w:rsidRPr="00D00188">
        <w:rPr>
          <w:rFonts w:ascii="Palatino Linotype" w:hAnsi="Palatino Linotype" w:cs="Arial"/>
          <w:lang w:val="es-CO"/>
        </w:rPr>
        <w:t xml:space="preserve"> y la fecha en que se dio respuesta fue el día </w:t>
      </w:r>
      <w:r w:rsidR="00010FAC" w:rsidRPr="00D00188">
        <w:rPr>
          <w:rFonts w:ascii="Palatino Linotype" w:hAnsi="Palatino Linotype" w:cs="Arial"/>
          <w:lang w:val="es-CO"/>
        </w:rPr>
        <w:t>ocho</w:t>
      </w:r>
      <w:r w:rsidRPr="00D00188">
        <w:rPr>
          <w:rFonts w:ascii="Palatino Linotype" w:hAnsi="Palatino Linotype" w:cs="Arial"/>
          <w:lang w:val="es-CO"/>
        </w:rPr>
        <w:t xml:space="preserve"> (</w:t>
      </w:r>
      <w:r w:rsidR="00010FAC" w:rsidRPr="00D00188">
        <w:rPr>
          <w:rFonts w:ascii="Palatino Linotype" w:hAnsi="Palatino Linotype" w:cs="Arial"/>
          <w:lang w:val="es-CO"/>
        </w:rPr>
        <w:t>08</w:t>
      </w:r>
      <w:r w:rsidRPr="00D00188">
        <w:rPr>
          <w:rFonts w:ascii="Palatino Linotype" w:hAnsi="Palatino Linotype" w:cs="Arial"/>
          <w:lang w:val="es-CO"/>
        </w:rPr>
        <w:t xml:space="preserve">) de </w:t>
      </w:r>
      <w:r w:rsidR="00010FAC" w:rsidRPr="00D00188">
        <w:rPr>
          <w:rFonts w:ascii="Palatino Linotype" w:hAnsi="Palatino Linotype" w:cs="Arial"/>
          <w:lang w:val="es-CO"/>
        </w:rPr>
        <w:t>febrero</w:t>
      </w:r>
      <w:r w:rsidRPr="00D00188">
        <w:rPr>
          <w:rFonts w:ascii="Palatino Linotype" w:hAnsi="Palatino Linotype" w:cs="Arial"/>
          <w:lang w:val="es-CO"/>
        </w:rPr>
        <w:t xml:space="preserve"> de 202</w:t>
      </w:r>
      <w:r w:rsidR="00010FAC" w:rsidRPr="00D00188">
        <w:rPr>
          <w:rFonts w:ascii="Palatino Linotype" w:hAnsi="Palatino Linotype" w:cs="Arial"/>
          <w:lang w:val="es-CO"/>
        </w:rPr>
        <w:t>1</w:t>
      </w:r>
      <w:r w:rsidRPr="00D00188">
        <w:rPr>
          <w:rFonts w:ascii="Palatino Linotype" w:hAnsi="Palatino Linotype" w:cs="Arial"/>
          <w:lang w:val="es-CO"/>
        </w:rPr>
        <w:t xml:space="preserve"> por lo que</w:t>
      </w:r>
      <w:r w:rsidRPr="00D00188">
        <w:rPr>
          <w:rFonts w:ascii="Palatino Linotype" w:hAnsi="Palatino Linotype" w:cs="Arial"/>
        </w:rPr>
        <w:t xml:space="preserve"> la respuesta remitida cumple con la establecido en el artículo 167 de la </w:t>
      </w:r>
      <w:r w:rsidRPr="00D00188">
        <w:rPr>
          <w:rFonts w:ascii="Palatino Linotype" w:hAnsi="Palatino Linotype" w:cs="Arial"/>
          <w:b/>
        </w:rPr>
        <w:t>Ley de Transparencia y Acceso a la Información Pública</w:t>
      </w:r>
      <w:r w:rsidRPr="00D00188">
        <w:rPr>
          <w:rFonts w:ascii="Palatino Linotype" w:hAnsi="Palatino Linotype" w:cs="Arial"/>
        </w:rPr>
        <w:t>.</w:t>
      </w:r>
    </w:p>
    <w:p w14:paraId="5EB98A88" w14:textId="77777777" w:rsidR="00621DC6" w:rsidRPr="00D00188" w:rsidRDefault="00621DC6" w:rsidP="00621DC6">
      <w:pPr>
        <w:pStyle w:val="Prrafodelista"/>
        <w:rPr>
          <w:rFonts w:ascii="Palatino Linotype" w:hAnsi="Palatino Linotype" w:cs="Arial"/>
        </w:rPr>
      </w:pPr>
    </w:p>
    <w:p w14:paraId="0F045C93" w14:textId="2664ED38" w:rsidR="00621DC6" w:rsidRPr="00D00188" w:rsidRDefault="00621DC6" w:rsidP="00621DC6">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D00188">
        <w:rPr>
          <w:rFonts w:ascii="Palatino Linotype" w:hAnsi="Palatino Linotype" w:cs="Arial"/>
        </w:rPr>
        <w:t xml:space="preserve">Por otra parte si bien es cierto que el artículo 167 de la </w:t>
      </w:r>
      <w:r w:rsidRPr="00D00188">
        <w:rPr>
          <w:rFonts w:ascii="Palatino Linotype" w:hAnsi="Palatino Linotype" w:cs="Arial"/>
          <w:b/>
        </w:rPr>
        <w:t>Ley de Transparencia y Acceso a la Información Pública</w:t>
      </w:r>
      <w:r w:rsidRPr="00D00188">
        <w:rPr>
          <w:rFonts w:ascii="Palatino Linotype" w:hAnsi="Palatino Linotype" w:cs="Arial"/>
        </w:rPr>
        <w:t xml:space="preserve"> indica que cuando el Sujeto Obligado sea incompetente para dar contestación a la solicitud de información deberá notificar al particular y orientarlo con el Sujeto Obligado competente, también lo es que en próximas ocasiones dicha incompetencia </w:t>
      </w:r>
      <w:r w:rsidR="00010FAC" w:rsidRPr="00D00188">
        <w:rPr>
          <w:rFonts w:ascii="Palatino Linotype" w:hAnsi="Palatino Linotype" w:cs="Arial"/>
        </w:rPr>
        <w:t xml:space="preserve">(aunque fuere parcial) </w:t>
      </w:r>
      <w:r w:rsidRPr="00D00188">
        <w:rPr>
          <w:rFonts w:ascii="Palatino Linotype" w:hAnsi="Palatino Linotype" w:cs="Arial"/>
          <w:b/>
          <w:u w:val="single"/>
        </w:rPr>
        <w:t>tiene que ser aprobada por el Comité de Transparencia</w:t>
      </w:r>
      <w:r w:rsidRPr="00D00188">
        <w:rPr>
          <w:rFonts w:ascii="Palatino Linotype" w:hAnsi="Palatino Linotype" w:cs="Arial"/>
        </w:rPr>
        <w:t xml:space="preserve"> del </w:t>
      </w:r>
      <w:r w:rsidRPr="00D00188">
        <w:rPr>
          <w:rFonts w:ascii="Palatino Linotype" w:hAnsi="Palatino Linotype" w:cs="Arial"/>
          <w:b/>
        </w:rPr>
        <w:t>SUJETO OBLIGADO</w:t>
      </w:r>
      <w:r w:rsidRPr="00D00188">
        <w:rPr>
          <w:rFonts w:ascii="Palatino Linotype" w:hAnsi="Palatino Linotype" w:cs="Arial"/>
        </w:rPr>
        <w:t xml:space="preserve"> en términos del artículo 49 fracción II de la Ley de Transparencia y Acceso a la Información Pública del Estado de México y Municipios, que literalmente  señala:</w:t>
      </w:r>
    </w:p>
    <w:p w14:paraId="35602CB9" w14:textId="77777777" w:rsidR="00621DC6" w:rsidRPr="00D00188" w:rsidRDefault="00621DC6" w:rsidP="00621DC6">
      <w:pPr>
        <w:autoSpaceDE w:val="0"/>
        <w:autoSpaceDN w:val="0"/>
        <w:adjustRightInd w:val="0"/>
        <w:spacing w:before="120" w:after="120" w:line="360" w:lineRule="auto"/>
        <w:ind w:left="851" w:right="902"/>
        <w:rPr>
          <w:rFonts w:ascii="Palatino Linotype" w:hAnsi="Palatino Linotype" w:cs="Arial"/>
          <w:i/>
          <w:sz w:val="22"/>
          <w:szCs w:val="22"/>
          <w:lang w:val="es-MX"/>
        </w:rPr>
      </w:pPr>
      <w:r w:rsidRPr="00D00188">
        <w:rPr>
          <w:rFonts w:ascii="Palatino Linotype" w:hAnsi="Palatino Linotype" w:cs="Arial"/>
          <w:b/>
          <w:bCs/>
          <w:i/>
          <w:sz w:val="22"/>
          <w:szCs w:val="22"/>
          <w:lang w:val="es-MX"/>
        </w:rPr>
        <w:t xml:space="preserve">“Artículo 49. </w:t>
      </w:r>
      <w:r w:rsidRPr="00D00188">
        <w:rPr>
          <w:rFonts w:ascii="Palatino Linotype" w:hAnsi="Palatino Linotype" w:cs="Arial"/>
          <w:i/>
          <w:sz w:val="22"/>
          <w:szCs w:val="22"/>
          <w:lang w:val="es-MX"/>
        </w:rPr>
        <w:t>Los Comités de Transparencia tendrán las siguientes atribuciones:</w:t>
      </w:r>
    </w:p>
    <w:p w14:paraId="4EE8D1E4" w14:textId="2EA000AE" w:rsidR="00160667" w:rsidRPr="00D00188" w:rsidRDefault="00160667" w:rsidP="00621DC6">
      <w:pPr>
        <w:autoSpaceDE w:val="0"/>
        <w:autoSpaceDN w:val="0"/>
        <w:adjustRightInd w:val="0"/>
        <w:spacing w:before="120" w:after="120" w:line="360" w:lineRule="auto"/>
        <w:ind w:left="851" w:right="902"/>
        <w:rPr>
          <w:rFonts w:ascii="Palatino Linotype" w:hAnsi="Palatino Linotype" w:cs="Arial"/>
          <w:i/>
          <w:sz w:val="22"/>
          <w:szCs w:val="22"/>
          <w:lang w:val="es-MX"/>
        </w:rPr>
      </w:pPr>
      <w:r w:rsidRPr="00D00188">
        <w:rPr>
          <w:rFonts w:ascii="Palatino Linotype" w:hAnsi="Palatino Linotype" w:cs="Arial"/>
          <w:i/>
          <w:sz w:val="22"/>
          <w:szCs w:val="22"/>
          <w:lang w:val="es-MX"/>
        </w:rPr>
        <w:t>…</w:t>
      </w:r>
    </w:p>
    <w:p w14:paraId="45A08D53" w14:textId="77777777" w:rsidR="00621DC6" w:rsidRPr="00D00188" w:rsidRDefault="00621DC6" w:rsidP="00621DC6">
      <w:pPr>
        <w:autoSpaceDE w:val="0"/>
        <w:autoSpaceDN w:val="0"/>
        <w:adjustRightInd w:val="0"/>
        <w:spacing w:before="120" w:after="120" w:line="360" w:lineRule="auto"/>
        <w:ind w:left="851" w:right="902"/>
        <w:jc w:val="both"/>
        <w:rPr>
          <w:rFonts w:ascii="Palatino Linotype" w:hAnsi="Palatino Linotype" w:cs="Arial"/>
          <w:b/>
          <w:i/>
          <w:sz w:val="22"/>
          <w:szCs w:val="22"/>
        </w:rPr>
      </w:pPr>
      <w:r w:rsidRPr="00D00188">
        <w:rPr>
          <w:rFonts w:ascii="Palatino Linotype" w:hAnsi="Palatino Linotype" w:cs="Arial"/>
          <w:b/>
          <w:bCs/>
          <w:i/>
          <w:sz w:val="22"/>
          <w:szCs w:val="22"/>
          <w:lang w:val="es-MX"/>
        </w:rPr>
        <w:t xml:space="preserve">II. </w:t>
      </w:r>
      <w:r w:rsidRPr="00D00188">
        <w:rPr>
          <w:rFonts w:ascii="Palatino Linotype" w:hAnsi="Palatino Linotype" w:cs="Arial"/>
          <w:b/>
          <w:i/>
          <w:sz w:val="22"/>
          <w:szCs w:val="22"/>
          <w:u w:val="single"/>
          <w:lang w:val="es-MX"/>
        </w:rPr>
        <w:t>Confirmar, modificar o revocar las determinaciones que en materia de</w:t>
      </w:r>
      <w:r w:rsidRPr="00D00188">
        <w:rPr>
          <w:rFonts w:ascii="Palatino Linotype" w:hAnsi="Palatino Linotype" w:cs="Arial"/>
          <w:i/>
          <w:sz w:val="22"/>
          <w:szCs w:val="22"/>
          <w:lang w:val="es-MX"/>
        </w:rPr>
        <w:t xml:space="preserve"> ampliación del plazo de respuesta, clasificación de la información y declaración de inexistencia o de </w:t>
      </w:r>
      <w:r w:rsidRPr="00D00188">
        <w:rPr>
          <w:rFonts w:ascii="Palatino Linotype" w:hAnsi="Palatino Linotype" w:cs="Arial"/>
          <w:b/>
          <w:i/>
          <w:sz w:val="22"/>
          <w:szCs w:val="22"/>
          <w:u w:val="single"/>
          <w:lang w:val="es-MX"/>
        </w:rPr>
        <w:t>incompetencia realicen los titulares de las áreas de los sujetos obligados;</w:t>
      </w:r>
      <w:r w:rsidRPr="00D00188">
        <w:rPr>
          <w:rFonts w:ascii="Palatino Linotype" w:hAnsi="Palatino Linotype" w:cs="Arial"/>
          <w:b/>
          <w:i/>
          <w:sz w:val="22"/>
          <w:szCs w:val="22"/>
        </w:rPr>
        <w:t>”</w:t>
      </w:r>
    </w:p>
    <w:p w14:paraId="4CBD5DC6" w14:textId="3FA242C8" w:rsidR="00160667" w:rsidRPr="00D00188" w:rsidRDefault="00160667" w:rsidP="00621DC6">
      <w:pPr>
        <w:autoSpaceDE w:val="0"/>
        <w:autoSpaceDN w:val="0"/>
        <w:adjustRightInd w:val="0"/>
        <w:spacing w:before="120" w:after="120" w:line="360" w:lineRule="auto"/>
        <w:ind w:left="851" w:right="902"/>
        <w:jc w:val="both"/>
        <w:rPr>
          <w:rFonts w:ascii="Palatino Linotype" w:hAnsi="Palatino Linotype" w:cs="Arial"/>
          <w:b/>
          <w:i/>
          <w:sz w:val="22"/>
          <w:szCs w:val="22"/>
        </w:rPr>
      </w:pPr>
      <w:r w:rsidRPr="00D00188">
        <w:rPr>
          <w:rFonts w:ascii="Palatino Linotype" w:hAnsi="Palatino Linotype" w:cs="Arial"/>
          <w:b/>
          <w:i/>
          <w:sz w:val="22"/>
          <w:szCs w:val="22"/>
        </w:rPr>
        <w:t>…</w:t>
      </w:r>
    </w:p>
    <w:p w14:paraId="27BED7F0" w14:textId="2C98430A" w:rsidR="000D3443" w:rsidRPr="00D00188" w:rsidRDefault="00621DC6" w:rsidP="00160667">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D00188">
        <w:rPr>
          <w:rFonts w:ascii="Palatino Linotype" w:hAnsi="Palatino Linotype" w:cs="Arial"/>
        </w:rPr>
        <w:t xml:space="preserve">En efecto, si bien el </w:t>
      </w:r>
      <w:r w:rsidRPr="00D00188">
        <w:rPr>
          <w:rFonts w:ascii="Palatino Linotype" w:hAnsi="Palatino Linotype" w:cs="Arial"/>
          <w:b/>
        </w:rPr>
        <w:t>SUJETO OBLIGADO</w:t>
      </w:r>
      <w:r w:rsidRPr="00D00188">
        <w:rPr>
          <w:rFonts w:ascii="Palatino Linotype" w:hAnsi="Palatino Linotype" w:cs="Arial"/>
        </w:rPr>
        <w:t xml:space="preserve"> tiene competencia parcial para administrar, generar o poseer la información solicitada por el particular</w:t>
      </w:r>
      <w:r w:rsidRPr="00D00188">
        <w:rPr>
          <w:rFonts w:ascii="Palatino Linotype" w:hAnsi="Palatino Linotype" w:cs="Arial"/>
          <w:b/>
        </w:rPr>
        <w:t xml:space="preserve"> </w:t>
      </w:r>
      <w:r w:rsidRPr="00D00188">
        <w:rPr>
          <w:rFonts w:ascii="Palatino Linotype" w:hAnsi="Palatino Linotype" w:cs="Arial"/>
        </w:rPr>
        <w:t xml:space="preserve">en el presente </w:t>
      </w:r>
      <w:r w:rsidRPr="00D00188">
        <w:rPr>
          <w:rFonts w:ascii="Palatino Linotype" w:hAnsi="Palatino Linotype" w:cs="Arial"/>
        </w:rPr>
        <w:lastRenderedPageBreak/>
        <w:t>asunto, en virtud de ser atribución de un diverso Sujeto Oblig</w:t>
      </w:r>
      <w:r w:rsidR="00010FAC" w:rsidRPr="00D00188">
        <w:rPr>
          <w:rFonts w:ascii="Palatino Linotype" w:hAnsi="Palatino Linotype" w:cs="Arial"/>
        </w:rPr>
        <w:t>ado, también lo es que, dicha in</w:t>
      </w:r>
      <w:r w:rsidRPr="00D00188">
        <w:rPr>
          <w:rFonts w:ascii="Palatino Linotype" w:hAnsi="Palatino Linotype" w:cs="Arial"/>
        </w:rPr>
        <w:t xml:space="preserve">competencia </w:t>
      </w:r>
      <w:r w:rsidR="00010FAC" w:rsidRPr="00D00188">
        <w:rPr>
          <w:rFonts w:ascii="Palatino Linotype" w:hAnsi="Palatino Linotype" w:cs="Arial"/>
        </w:rPr>
        <w:t xml:space="preserve">parcial </w:t>
      </w:r>
      <w:r w:rsidRPr="00D00188">
        <w:rPr>
          <w:rFonts w:ascii="Palatino Linotype" w:hAnsi="Palatino Linotype" w:cs="Arial"/>
        </w:rPr>
        <w:t xml:space="preserve">debió haber sido confirmada, modificada o revocada por el Comité de Transparencia del </w:t>
      </w:r>
      <w:r w:rsidRPr="00D00188">
        <w:rPr>
          <w:rFonts w:ascii="Palatino Linotype" w:hAnsi="Palatino Linotype" w:cs="Arial"/>
          <w:b/>
        </w:rPr>
        <w:t>SUJETO OBLIGADO</w:t>
      </w:r>
      <w:r w:rsidRPr="00D00188">
        <w:rPr>
          <w:rFonts w:ascii="Palatino Linotype" w:hAnsi="Palatino Linotype" w:cs="Arial"/>
        </w:rPr>
        <w:t xml:space="preserve"> en términos del precepto legal referido.</w:t>
      </w:r>
    </w:p>
    <w:p w14:paraId="27F31C51" w14:textId="77777777" w:rsidR="005F5C85" w:rsidRPr="00D00188" w:rsidRDefault="005F5C85" w:rsidP="005F5C85">
      <w:pPr>
        <w:pStyle w:val="paragraph"/>
        <w:spacing w:before="240" w:beforeAutospacing="0" w:after="240" w:afterAutospacing="0" w:line="360" w:lineRule="auto"/>
        <w:ind w:right="-150"/>
        <w:jc w:val="both"/>
        <w:textAlignment w:val="baseline"/>
        <w:rPr>
          <w:rFonts w:ascii="Palatino Linotype" w:hAnsi="Palatino Linotype" w:cs="Arial"/>
        </w:rPr>
      </w:pPr>
    </w:p>
    <w:p w14:paraId="69D3CD49" w14:textId="45698D16" w:rsidR="00621DC6" w:rsidRPr="00D00188" w:rsidRDefault="00621DC6" w:rsidP="00621DC6">
      <w:pPr>
        <w:pStyle w:val="Ttulo2"/>
      </w:pPr>
      <w:bookmarkStart w:id="27" w:name="_Toc71832792"/>
      <w:r w:rsidRPr="00D00188">
        <w:t>I</w:t>
      </w:r>
      <w:r w:rsidR="005F5C85" w:rsidRPr="00D00188">
        <w:t>V</w:t>
      </w:r>
      <w:r w:rsidRPr="00D00188">
        <w:t>. De la fuente de atribuciones del Poder Legislativo.</w:t>
      </w:r>
      <w:bookmarkEnd w:id="27"/>
    </w:p>
    <w:p w14:paraId="7D7750D8" w14:textId="77777777" w:rsidR="00621DC6" w:rsidRPr="00D00188" w:rsidRDefault="00621DC6" w:rsidP="00010FAC">
      <w:pPr>
        <w:pStyle w:val="Prrafodelista"/>
        <w:spacing w:line="360" w:lineRule="auto"/>
        <w:ind w:left="0"/>
        <w:jc w:val="both"/>
        <w:rPr>
          <w:rFonts w:ascii="Palatino Linotype" w:hAnsi="Palatino Linotype"/>
          <w:lang w:val="es-MX" w:eastAsia="en-US"/>
        </w:rPr>
      </w:pPr>
    </w:p>
    <w:p w14:paraId="2DF187BA" w14:textId="7602F4B2" w:rsidR="00010FAC" w:rsidRPr="00D00188" w:rsidRDefault="00010FAC" w:rsidP="00010FAC">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De lo observado hasta aquí se advierte que el Poder Judicial es la autoridad competente ante la cual se debe presentar la solicitud de amnistía, sin embargo existe una competencia parcial toda vez que el artículo 16 de la </w:t>
      </w:r>
      <w:r w:rsidRPr="00D00188">
        <w:rPr>
          <w:rFonts w:ascii="Palatino Linotype" w:hAnsi="Palatino Linotype" w:cs="Arial"/>
          <w:b/>
        </w:rPr>
        <w:t>Ley de Amnistía del Estado de México</w:t>
      </w:r>
      <w:r w:rsidRPr="00D00188">
        <w:rPr>
          <w:rFonts w:ascii="Palatino Linotype" w:hAnsi="Palatino Linotype" w:cs="Arial"/>
        </w:rPr>
        <w:t xml:space="preserve"> obliga a la </w:t>
      </w:r>
      <w:r w:rsidRPr="00D00188">
        <w:rPr>
          <w:rFonts w:ascii="Palatino Linotype" w:hAnsi="Palatino Linotype" w:cs="Arial"/>
          <w:b/>
          <w:u w:val="single"/>
        </w:rPr>
        <w:t>LX Legislatura</w:t>
      </w:r>
      <w:r w:rsidRPr="00D00188">
        <w:rPr>
          <w:rFonts w:ascii="Palatino Linotype" w:hAnsi="Palatino Linotype" w:cs="Arial"/>
        </w:rPr>
        <w:t xml:space="preserve"> del Estado de México para integrar una Comisión Especial, con el fin de dar seguimiento a lo ordenado en la Ley de Amnistía, </w:t>
      </w:r>
      <w:r w:rsidRPr="00D00188">
        <w:rPr>
          <w:rFonts w:ascii="Palatino Linotype" w:hAnsi="Palatino Linotype" w:cs="Arial"/>
          <w:i/>
        </w:rPr>
        <w:t>así como para conocer de aquellos casos que</w:t>
      </w:r>
      <w:r w:rsidRPr="00D00188">
        <w:rPr>
          <w:rFonts w:ascii="Palatino Linotype" w:hAnsi="Palatino Linotype" w:cs="Arial"/>
          <w:b/>
          <w:i/>
          <w:u w:val="single"/>
        </w:rPr>
        <w:t xml:space="preserve"> por su relevancia </w:t>
      </w:r>
      <w:r w:rsidRPr="00D00188">
        <w:rPr>
          <w:rFonts w:ascii="Palatino Linotype" w:hAnsi="Palatino Linotype" w:cs="Arial"/>
          <w:i/>
        </w:rPr>
        <w:t>son puestos a su consideración</w:t>
      </w:r>
      <w:r w:rsidRPr="00D00188">
        <w:rPr>
          <w:rFonts w:ascii="Palatino Linotype" w:hAnsi="Palatino Linotype" w:cs="Arial"/>
        </w:rPr>
        <w:t xml:space="preserve"> por encuadrar en supuestos de violación de derechos o fallas en la aplicación de alguno de los principios penales del sistema acusatorio, o la plena presunción de fabricación de delitos.</w:t>
      </w:r>
    </w:p>
    <w:p w14:paraId="25F0A953" w14:textId="77777777" w:rsidR="00010FAC" w:rsidRPr="00D00188" w:rsidRDefault="00010FAC" w:rsidP="00010FAC">
      <w:pPr>
        <w:pStyle w:val="Prrafodelista"/>
        <w:spacing w:line="360" w:lineRule="auto"/>
        <w:ind w:left="0"/>
        <w:jc w:val="both"/>
        <w:rPr>
          <w:rFonts w:ascii="Palatino Linotype" w:hAnsi="Palatino Linotype" w:cs="Arial"/>
        </w:rPr>
      </w:pPr>
    </w:p>
    <w:p w14:paraId="1C9CA092" w14:textId="52A06935" w:rsidR="00010FAC" w:rsidRPr="00D00188" w:rsidRDefault="00010FAC" w:rsidP="00010FAC">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 xml:space="preserve">La Comisión al conocer de la solicitud a que se refiere el párrafo anterior, solicitará la opinión consultiva de la Comisión de Derechos Humanos del Estado de México, de la Fiscalía General de Justicia del Estado de México, del Poder Judicial del Estado de México y del Ejecutivo estatal a través de la Secretaría de Justicia y Derechos Humanos, así como de Organizaciones de la Sociedad Civil debidamente registradas, cuyo objeto sea la protección y defensa de derechos humanos, quienes </w:t>
      </w:r>
      <w:r w:rsidRPr="00D00188">
        <w:rPr>
          <w:rFonts w:ascii="Palatino Linotype" w:hAnsi="Palatino Linotype" w:cs="Arial"/>
        </w:rPr>
        <w:lastRenderedPageBreak/>
        <w:t>deberán emitir la opinión en un plazo razonable, de conformidad con el artículo 17 de la Propia Ley de Amnistía.</w:t>
      </w:r>
    </w:p>
    <w:p w14:paraId="3462F010" w14:textId="77777777" w:rsidR="00010FAC" w:rsidRPr="00D00188" w:rsidRDefault="00010FAC" w:rsidP="00010FAC">
      <w:pPr>
        <w:pStyle w:val="Prrafodelista"/>
        <w:spacing w:line="360" w:lineRule="auto"/>
        <w:ind w:left="0"/>
        <w:jc w:val="both"/>
        <w:rPr>
          <w:rFonts w:ascii="Palatino Linotype" w:hAnsi="Palatino Linotype" w:cs="Arial"/>
        </w:rPr>
      </w:pPr>
    </w:p>
    <w:p w14:paraId="5868DC2C" w14:textId="5C12C25E" w:rsidR="00A6437E" w:rsidRPr="00D00188" w:rsidRDefault="00A6437E" w:rsidP="00A6437E">
      <w:pPr>
        <w:pStyle w:val="Prrafodelista"/>
        <w:numPr>
          <w:ilvl w:val="0"/>
          <w:numId w:val="1"/>
        </w:numPr>
        <w:tabs>
          <w:tab w:val="left" w:pos="0"/>
          <w:tab w:val="right" w:pos="284"/>
        </w:tabs>
        <w:spacing w:line="360" w:lineRule="auto"/>
        <w:ind w:left="0" w:firstLine="0"/>
        <w:jc w:val="both"/>
        <w:rPr>
          <w:rFonts w:ascii="Palatino Linotype" w:eastAsia="MS Mincho" w:hAnsi="Palatino Linotype" w:cs="Times New Roman"/>
        </w:rPr>
      </w:pPr>
      <w:r w:rsidRPr="00D00188">
        <w:rPr>
          <w:rFonts w:ascii="Palatino Linotype" w:hAnsi="Palatino Linotype" w:cs="Arial"/>
        </w:rPr>
        <w:t xml:space="preserve">En razón de ello el SUJETO OBLIGADO entregó </w:t>
      </w:r>
      <w:r w:rsidRPr="00D00188">
        <w:rPr>
          <w:rFonts w:ascii="Palatino Linotype" w:hAnsi="Palatino Linotype"/>
        </w:rPr>
        <w:t xml:space="preserve">la Gaceta Parlamentaria del Poder Legislativo del 9 de marzo de 2021 en cuyo contenido se aprecia el Proyecto de Acuerdo por el que se integra una Comisión Especial para dar cumplimiento a la Ley de Amnistía del Estado de México, así como el Acuerdo por el que se crea e integra la Comisión Especial en materia de Amnistía; sin embargo no entregaron los </w:t>
      </w:r>
      <w:r w:rsidRPr="00D00188">
        <w:rPr>
          <w:rFonts w:ascii="Palatino Linotype" w:hAnsi="Palatino Linotype"/>
          <w:color w:val="000000"/>
        </w:rPr>
        <w:t>lineamientos, manuales, circulares y formatos</w:t>
      </w:r>
      <w:r w:rsidRPr="00D00188">
        <w:rPr>
          <w:rFonts w:ascii="Palatino Linotype" w:hAnsi="Palatino Linotype"/>
        </w:rPr>
        <w:t xml:space="preserve"> generados para dar seguimiento y cum</w:t>
      </w:r>
      <w:r w:rsidR="00355259" w:rsidRPr="00D00188">
        <w:rPr>
          <w:rFonts w:ascii="Palatino Linotype" w:hAnsi="Palatino Linotype"/>
        </w:rPr>
        <w:t>plimiento a dicha Ley y tampoco –</w:t>
      </w:r>
      <w:r w:rsidR="00355259" w:rsidRPr="00D00188">
        <w:rPr>
          <w:rFonts w:ascii="Palatino Linotype" w:hAnsi="Palatino Linotype"/>
          <w:b/>
          <w:u w:val="single"/>
        </w:rPr>
        <w:t>si fuera el caso</w:t>
      </w:r>
      <w:r w:rsidR="00355259" w:rsidRPr="00D00188">
        <w:rPr>
          <w:rFonts w:ascii="Palatino Linotype" w:hAnsi="Palatino Linotype"/>
        </w:rPr>
        <w:t>- un documento en donde se adviertan los parámetros de implementación de la Comisión de Amnistía durante la contingencia por COVID-19</w:t>
      </w:r>
      <w:r w:rsidRPr="00D00188">
        <w:rPr>
          <w:rFonts w:ascii="Palatino Linotype" w:hAnsi="Palatino Linotype"/>
        </w:rPr>
        <w:t>.</w:t>
      </w:r>
    </w:p>
    <w:p w14:paraId="3FC8C0D7" w14:textId="69878247" w:rsidR="00010FAC" w:rsidRPr="00D00188" w:rsidRDefault="00010FAC" w:rsidP="00160667">
      <w:pPr>
        <w:pStyle w:val="Prrafodelista"/>
        <w:spacing w:line="360" w:lineRule="auto"/>
        <w:ind w:left="0"/>
        <w:jc w:val="both"/>
        <w:rPr>
          <w:rFonts w:ascii="Palatino Linotype" w:hAnsi="Palatino Linotype" w:cs="Arial"/>
        </w:rPr>
      </w:pPr>
    </w:p>
    <w:p w14:paraId="2ACDEC9E" w14:textId="5A035014" w:rsidR="00784184" w:rsidRPr="00D00188" w:rsidRDefault="00010FAC" w:rsidP="00355259">
      <w:pPr>
        <w:pStyle w:val="Prrafodelista"/>
        <w:numPr>
          <w:ilvl w:val="0"/>
          <w:numId w:val="1"/>
        </w:numPr>
        <w:spacing w:line="360" w:lineRule="auto"/>
        <w:ind w:left="0" w:firstLine="0"/>
        <w:jc w:val="both"/>
        <w:rPr>
          <w:rFonts w:ascii="Palatino Linotype" w:hAnsi="Palatino Linotype" w:cs="Arial"/>
        </w:rPr>
      </w:pPr>
      <w:r w:rsidRPr="00D00188">
        <w:rPr>
          <w:rFonts w:ascii="Palatino Linotype" w:hAnsi="Palatino Linotype" w:cs="Arial"/>
        </w:rPr>
        <w:t>En ese contexto diversas autoridades se encuentran facultadas para emitir opiniones consultivas pero</w:t>
      </w:r>
      <w:r w:rsidR="00355259" w:rsidRPr="00D00188">
        <w:rPr>
          <w:rFonts w:ascii="Palatino Linotype" w:hAnsi="Palatino Linotype" w:cs="Arial"/>
        </w:rPr>
        <w:t>,</w:t>
      </w:r>
      <w:r w:rsidRPr="00D00188">
        <w:rPr>
          <w:rFonts w:ascii="Palatino Linotype" w:hAnsi="Palatino Linotype" w:cs="Arial"/>
        </w:rPr>
        <w:t xml:space="preserve"> la Legislatura del Estado en específico</w:t>
      </w:r>
      <w:r w:rsidR="00355259" w:rsidRPr="00D00188">
        <w:rPr>
          <w:rFonts w:ascii="Palatino Linotype" w:hAnsi="Palatino Linotype" w:cs="Arial"/>
        </w:rPr>
        <w:t>,</w:t>
      </w:r>
      <w:r w:rsidRPr="00D00188">
        <w:rPr>
          <w:rFonts w:ascii="Palatino Linotype" w:hAnsi="Palatino Linotype" w:cs="Arial"/>
        </w:rPr>
        <w:t xml:space="preserve"> deberá integrar una Comisión Especial</w:t>
      </w:r>
      <w:r w:rsidR="00355259" w:rsidRPr="00D00188">
        <w:rPr>
          <w:rFonts w:ascii="Palatino Linotype" w:hAnsi="Palatino Linotype" w:cs="Arial"/>
        </w:rPr>
        <w:t xml:space="preserve"> para dar cumplimiento a la Ley de Amnistía</w:t>
      </w:r>
      <w:r w:rsidRPr="00D00188">
        <w:rPr>
          <w:rFonts w:ascii="Palatino Linotype" w:hAnsi="Palatino Linotype" w:cs="Arial"/>
        </w:rPr>
        <w:t xml:space="preserve"> y dar seguimiento </w:t>
      </w:r>
      <w:r w:rsidR="00355259" w:rsidRPr="00D00188">
        <w:rPr>
          <w:rFonts w:ascii="Palatino Linotype" w:hAnsi="Palatino Linotype" w:cs="Arial"/>
        </w:rPr>
        <w:t xml:space="preserve">en </w:t>
      </w:r>
      <w:r w:rsidRPr="00D00188">
        <w:rPr>
          <w:rFonts w:ascii="Palatino Linotype" w:hAnsi="Palatino Linotype" w:cs="Arial"/>
        </w:rPr>
        <w:t>aquellos casos que por su relevancia son puestos a su consideración</w:t>
      </w:r>
      <w:r w:rsidR="00355259" w:rsidRPr="00D00188">
        <w:rPr>
          <w:rFonts w:ascii="Palatino Linotype" w:hAnsi="Palatino Linotype" w:cs="Arial"/>
        </w:rPr>
        <w:t xml:space="preserve">, por lo que cuenta con atribuciones suficientes para generar información previa y durante la integración de la Comisión, como lo son verbigracia </w:t>
      </w:r>
      <w:r w:rsidR="00355259" w:rsidRPr="00D00188">
        <w:rPr>
          <w:rFonts w:ascii="Palatino Linotype" w:hAnsi="Palatino Linotype"/>
        </w:rPr>
        <w:t xml:space="preserve">los </w:t>
      </w:r>
      <w:r w:rsidR="00355259" w:rsidRPr="00D00188">
        <w:rPr>
          <w:rFonts w:ascii="Palatino Linotype" w:hAnsi="Palatino Linotype"/>
          <w:color w:val="000000"/>
        </w:rPr>
        <w:t>lineamientos, manuales, circulares y formatos</w:t>
      </w:r>
      <w:r w:rsidR="00355259" w:rsidRPr="00D00188">
        <w:rPr>
          <w:rFonts w:ascii="Palatino Linotype" w:hAnsi="Palatino Linotype" w:cs="Arial"/>
        </w:rPr>
        <w:t xml:space="preserve"> requeridos y además </w:t>
      </w:r>
      <w:r w:rsidR="00355259" w:rsidRPr="00D00188">
        <w:rPr>
          <w:rFonts w:ascii="Palatino Linotype" w:hAnsi="Palatino Linotype"/>
        </w:rPr>
        <w:t xml:space="preserve">los parámetros de implementación de la Comisión de Amnistía durante la contingencia por COVID-19, </w:t>
      </w:r>
      <w:r w:rsidR="00355259" w:rsidRPr="00D00188">
        <w:rPr>
          <w:rFonts w:ascii="Palatino Linotype" w:hAnsi="Palatino Linotype" w:cs="Arial"/>
        </w:rPr>
        <w:t>en caso de haberse generado a la fecha de la notificación de la presente resolución.</w:t>
      </w:r>
    </w:p>
    <w:p w14:paraId="4B32F35D" w14:textId="77777777" w:rsidR="00A23D23" w:rsidRPr="00D00188" w:rsidRDefault="00A23D23" w:rsidP="00A23D23">
      <w:pPr>
        <w:rPr>
          <w:lang w:val="es-MX" w:eastAsia="en-US"/>
        </w:rPr>
      </w:pPr>
    </w:p>
    <w:p w14:paraId="2DC268FF" w14:textId="4BD9E29C" w:rsidR="00315B19" w:rsidRPr="00D00188" w:rsidRDefault="000F4205" w:rsidP="00315B19">
      <w:pPr>
        <w:pStyle w:val="Ttulo2"/>
      </w:pPr>
      <w:bookmarkStart w:id="28" w:name="_Toc71832793"/>
      <w:r w:rsidRPr="00D00188">
        <w:lastRenderedPageBreak/>
        <w:t>V</w:t>
      </w:r>
      <w:r w:rsidR="00315B19" w:rsidRPr="00D00188">
        <w:t>. Del Derecho de Acceso a la Información Pública y el deber de documentar.</w:t>
      </w:r>
      <w:bookmarkEnd w:id="25"/>
      <w:bookmarkEnd w:id="28"/>
    </w:p>
    <w:p w14:paraId="1642C11A" w14:textId="77777777" w:rsidR="00315B19" w:rsidRPr="00D00188" w:rsidRDefault="00315B19" w:rsidP="00315B19">
      <w:pPr>
        <w:pStyle w:val="Prrafodelista"/>
        <w:tabs>
          <w:tab w:val="left" w:pos="66"/>
        </w:tabs>
        <w:spacing w:line="360" w:lineRule="auto"/>
        <w:ind w:left="0"/>
        <w:jc w:val="both"/>
        <w:rPr>
          <w:rFonts w:ascii="Palatino Linotype" w:eastAsia="MS Mincho" w:hAnsi="Palatino Linotype" w:cs="Arial"/>
        </w:rPr>
      </w:pPr>
    </w:p>
    <w:p w14:paraId="19F6BA58" w14:textId="1D64FF34" w:rsidR="00315B19" w:rsidRPr="00D00188" w:rsidRDefault="00355259" w:rsidP="00315B19">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D00188">
        <w:rPr>
          <w:rFonts w:ascii="Palatino Linotype" w:eastAsia="MS Mincho" w:hAnsi="Palatino Linotype" w:cs="Arial"/>
        </w:rPr>
        <w:t xml:space="preserve">Cabe resaltar que </w:t>
      </w:r>
      <w:r w:rsidR="00200AE7" w:rsidRPr="00D00188">
        <w:rPr>
          <w:rFonts w:ascii="Palatino Linotype" w:eastAsia="MS Mincho" w:hAnsi="Palatino Linotype" w:cs="Arial"/>
        </w:rPr>
        <w:t>el particular planteo la pregunta “</w:t>
      </w:r>
      <w:r w:rsidR="00200AE7" w:rsidRPr="00D00188">
        <w:rPr>
          <w:rFonts w:ascii="Palatino Linotype" w:hAnsi="Palatino Linotype"/>
          <w:i/>
          <w:color w:val="000000"/>
          <w:sz w:val="22"/>
          <w:szCs w:val="22"/>
        </w:rPr>
        <w:t>¿cuáles son los parámetros de implementación de la Comisión de Amnistía durante la contingencia por COVID-19?</w:t>
      </w:r>
      <w:r w:rsidR="00200AE7" w:rsidRPr="00D00188">
        <w:rPr>
          <w:rFonts w:ascii="Palatino Linotype" w:eastAsia="MS Mincho" w:hAnsi="Palatino Linotype" w:cs="Arial"/>
        </w:rPr>
        <w:t xml:space="preserve">”, en ese sentido </w:t>
      </w:r>
      <w:r w:rsidR="00315B19" w:rsidRPr="00D00188">
        <w:rPr>
          <w:rFonts w:ascii="Palatino Linotype" w:eastAsia="MS Mincho" w:hAnsi="Palatino Linotype" w:cs="Arial"/>
        </w:rPr>
        <w:t>cuando el requerimiento se planteó a través de interrogantes pero éstas se pueden colmar con documentos que el SUJETO OBLIGADO tiene el deber de generar en el ejercicio de sus atribuciones, competencias o funciones</w:t>
      </w:r>
      <w:r w:rsidRPr="00D00188">
        <w:rPr>
          <w:rFonts w:ascii="Palatino Linotype" w:eastAsia="MS Mincho" w:hAnsi="Palatino Linotype" w:cs="Arial"/>
        </w:rPr>
        <w:t>, éstos son susceptibles de entregarse</w:t>
      </w:r>
      <w:r w:rsidR="00315B19" w:rsidRPr="00D00188">
        <w:rPr>
          <w:rFonts w:ascii="Palatino Linotype" w:eastAsia="MS Mincho" w:hAnsi="Palatino Linotype" w:cs="Arial"/>
        </w:rPr>
        <w:t>.</w:t>
      </w:r>
    </w:p>
    <w:p w14:paraId="295788C7" w14:textId="77777777" w:rsidR="00315B19" w:rsidRPr="00D00188" w:rsidRDefault="00315B19" w:rsidP="00315B19">
      <w:pPr>
        <w:pStyle w:val="Prrafodelista"/>
        <w:tabs>
          <w:tab w:val="left" w:pos="66"/>
        </w:tabs>
        <w:spacing w:line="360" w:lineRule="auto"/>
        <w:ind w:left="0"/>
        <w:jc w:val="both"/>
        <w:rPr>
          <w:rFonts w:ascii="Palatino Linotype" w:eastAsia="MS Mincho" w:hAnsi="Palatino Linotype" w:cs="Arial"/>
        </w:rPr>
      </w:pPr>
    </w:p>
    <w:p w14:paraId="1E2706B9" w14:textId="77777777" w:rsidR="00315B19" w:rsidRPr="00D00188" w:rsidRDefault="00315B19" w:rsidP="00315B19">
      <w:pPr>
        <w:pStyle w:val="Prrafodelista"/>
        <w:numPr>
          <w:ilvl w:val="0"/>
          <w:numId w:val="1"/>
        </w:numPr>
        <w:tabs>
          <w:tab w:val="left" w:pos="66"/>
        </w:tabs>
        <w:spacing w:line="360" w:lineRule="auto"/>
        <w:ind w:left="0" w:firstLine="0"/>
        <w:jc w:val="both"/>
        <w:rPr>
          <w:rFonts w:ascii="Palatino Linotype" w:hAnsi="Palatino Linotype" w:cs="Arial"/>
          <w:i/>
          <w:sz w:val="22"/>
          <w:szCs w:val="22"/>
        </w:rPr>
      </w:pPr>
      <w:r w:rsidRPr="00D00188">
        <w:rPr>
          <w:rFonts w:ascii="Palatino Linotype" w:hAnsi="Palatino Linotype"/>
          <w:color w:val="000000"/>
        </w:rPr>
        <w:t xml:space="preserve">En atención a lo anterior, primeramente </w:t>
      </w:r>
      <w:r w:rsidRPr="00D00188">
        <w:rPr>
          <w:rFonts w:ascii="Palatino Linotype" w:hAnsi="Palatino Linotype" w:cs="Arial"/>
        </w:rPr>
        <w:t>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5A39A52C" w14:textId="77777777" w:rsidR="00315B19" w:rsidRPr="00D00188" w:rsidRDefault="00315B19" w:rsidP="00315B19">
      <w:pPr>
        <w:pStyle w:val="Prrafodelista"/>
        <w:tabs>
          <w:tab w:val="left" w:pos="66"/>
        </w:tabs>
        <w:spacing w:line="360" w:lineRule="auto"/>
        <w:ind w:left="0"/>
        <w:jc w:val="both"/>
        <w:rPr>
          <w:rFonts w:ascii="Palatino Linotype" w:hAnsi="Palatino Linotype" w:cs="Arial"/>
          <w:sz w:val="22"/>
          <w:szCs w:val="22"/>
        </w:rPr>
      </w:pPr>
    </w:p>
    <w:p w14:paraId="70826B23" w14:textId="77777777" w:rsidR="00315B19" w:rsidRPr="00D00188" w:rsidRDefault="00315B19" w:rsidP="00315B19">
      <w:pPr>
        <w:pStyle w:val="Prrafodelista"/>
        <w:numPr>
          <w:ilvl w:val="0"/>
          <w:numId w:val="1"/>
        </w:numPr>
        <w:tabs>
          <w:tab w:val="left" w:pos="66"/>
        </w:tabs>
        <w:spacing w:line="360" w:lineRule="auto"/>
        <w:ind w:left="0" w:firstLine="0"/>
        <w:jc w:val="both"/>
        <w:rPr>
          <w:rFonts w:ascii="Palatino Linotype" w:eastAsia="Times New Roman" w:hAnsi="Palatino Linotype" w:cs="Times New Roman"/>
          <w:lang w:val="es-MX" w:eastAsia="es-MX"/>
        </w:rPr>
      </w:pPr>
      <w:r w:rsidRPr="00D00188">
        <w:rPr>
          <w:rFonts w:ascii="Palatino Linotype" w:eastAsia="Times New Roman" w:hAnsi="Palatino Linotype" w:cs="Times New Roman"/>
          <w:lang w:val="es-MX" w:eastAsia="es-MX"/>
        </w:rPr>
        <w:lastRenderedPageBreak/>
        <w:t xml:space="preserve">Atendiendo a ello </w:t>
      </w:r>
      <w:r w:rsidRPr="00D00188">
        <w:rPr>
          <w:rFonts w:ascii="Palatino Linotype" w:eastAsia="MS Mincho" w:hAnsi="Palatino Linotype" w:cs="Arial"/>
        </w:rPr>
        <w:t>sistemáticamente hemos señalado, y así lo entienden tanto otros Órganos Garantes</w:t>
      </w:r>
      <w:r w:rsidRPr="00D00188">
        <w:rPr>
          <w:rStyle w:val="Refdenotaalpie"/>
          <w:rFonts w:ascii="Palatino Linotype" w:eastAsia="MS Mincho" w:hAnsi="Palatino Linotype" w:cs="Arial"/>
        </w:rPr>
        <w:footnoteReference w:id="2"/>
      </w:r>
      <w:r w:rsidRPr="00D00188">
        <w:rPr>
          <w:rFonts w:ascii="Palatino Linotype" w:eastAsia="MS Mincho" w:hAnsi="Palatino Linotype" w:cs="Arial"/>
        </w:rPr>
        <w:t>Como Órganos Internacionales Especializados,</w:t>
      </w:r>
      <w:r w:rsidRPr="00D00188">
        <w:rPr>
          <w:rStyle w:val="Refdenotaalpie"/>
          <w:rFonts w:ascii="Palatino Linotype" w:eastAsia="MS Mincho" w:hAnsi="Palatino Linotype" w:cs="Arial"/>
        </w:rPr>
        <w:footnoteReference w:id="3"/>
      </w:r>
      <w:r w:rsidRPr="00D00188">
        <w:rPr>
          <w:rFonts w:ascii="Palatino Linotype" w:eastAsia="MS Mincho" w:hAnsi="Palatino Linotype" w:cs="Arial"/>
        </w:rPr>
        <w:t xml:space="preserve"> que el derecho de acceso a la información pública consiste en el </w:t>
      </w:r>
      <w:r w:rsidRPr="00D00188">
        <w:rPr>
          <w:rFonts w:ascii="Palatino Linotype" w:eastAsia="MS Mincho" w:hAnsi="Palatino Linotype" w:cs="Arial"/>
          <w:b/>
          <w:u w:val="single"/>
        </w:rPr>
        <w:t>acceso a documentos</w:t>
      </w:r>
      <w:r w:rsidRPr="00D00188">
        <w:rPr>
          <w:rFonts w:ascii="Palatino Linotype" w:eastAsia="MS Mincho" w:hAnsi="Palatino Linotype" w:cs="Arial"/>
        </w:rPr>
        <w:t xml:space="preserve"> generados, poseídos o administrados por la autoridad </w:t>
      </w:r>
      <w:r w:rsidRPr="00D00188">
        <w:rPr>
          <w:rFonts w:ascii="Palatino Linotype" w:eastAsia="MS Mincho" w:hAnsi="Palatino Linotype" w:cs="Arial"/>
          <w:b/>
          <w:u w:val="single"/>
        </w:rPr>
        <w:t>con antelación a que fuera presentada la solicitud de acceso a la información pública</w:t>
      </w:r>
      <w:r w:rsidRPr="00D00188">
        <w:rPr>
          <w:rFonts w:ascii="Palatino Linotype" w:eastAsia="MS Mincho" w:hAnsi="Palatino Linotype" w:cs="Arial"/>
        </w:rPr>
        <w:t>.</w:t>
      </w:r>
    </w:p>
    <w:p w14:paraId="56551BF8" w14:textId="77777777" w:rsidR="00315B19" w:rsidRPr="00D00188" w:rsidRDefault="00315B19" w:rsidP="00315B19">
      <w:pPr>
        <w:pStyle w:val="Prrafodelista"/>
        <w:tabs>
          <w:tab w:val="left" w:pos="66"/>
        </w:tabs>
        <w:spacing w:before="240" w:after="360" w:line="360" w:lineRule="auto"/>
        <w:ind w:left="0"/>
        <w:jc w:val="both"/>
        <w:rPr>
          <w:rFonts w:ascii="Palatino Linotype" w:eastAsia="Times New Roman" w:hAnsi="Palatino Linotype" w:cs="Times New Roman"/>
          <w:lang w:val="es-MX" w:eastAsia="es-MX"/>
        </w:rPr>
      </w:pPr>
    </w:p>
    <w:p w14:paraId="1A1ED57C" w14:textId="77777777" w:rsidR="00315B19" w:rsidRPr="00D00188" w:rsidRDefault="00315B19" w:rsidP="00315B19">
      <w:pPr>
        <w:pStyle w:val="Prrafodelista"/>
        <w:numPr>
          <w:ilvl w:val="0"/>
          <w:numId w:val="1"/>
        </w:numPr>
        <w:tabs>
          <w:tab w:val="left" w:pos="66"/>
        </w:tabs>
        <w:spacing w:before="240" w:after="360" w:line="360" w:lineRule="auto"/>
        <w:ind w:left="0" w:firstLine="0"/>
        <w:jc w:val="both"/>
        <w:rPr>
          <w:rFonts w:ascii="Palatino Linotype" w:eastAsia="Times New Roman" w:hAnsi="Palatino Linotype" w:cs="Times New Roman"/>
          <w:lang w:val="es-MX" w:eastAsia="es-MX"/>
        </w:rPr>
      </w:pPr>
      <w:r w:rsidRPr="00D00188">
        <w:rPr>
          <w:rFonts w:ascii="Palatino Linotype" w:eastAsia="MS Mincho" w:hAnsi="Palatino Linotype" w:cs="Arial"/>
          <w:color w:val="000000" w:themeColor="text1"/>
        </w:rPr>
        <w:t xml:space="preserve">Además en repetidas ocasiones también hemos dejado en claro que </w:t>
      </w:r>
      <w:r w:rsidRPr="00D00188">
        <w:rPr>
          <w:rFonts w:ascii="Palatino Linotype" w:hAnsi="Palatino Linotype" w:cs="Arial"/>
          <w:bCs/>
          <w:iCs/>
          <w:color w:val="000000" w:themeColor="text1"/>
        </w:rPr>
        <w:t xml:space="preserve">cuando en una solicitud de información no se identifique un documento en específico, </w:t>
      </w:r>
      <w:r w:rsidRPr="00D00188">
        <w:rPr>
          <w:rFonts w:ascii="Palatino Linotype" w:hAnsi="Palatino Linotype" w:cs="Arial"/>
          <w:b/>
          <w:bCs/>
          <w:iCs/>
          <w:color w:val="000000" w:themeColor="text1"/>
          <w:u w:val="single"/>
        </w:rPr>
        <w:t>si ésta tiene una expresión documental</w:t>
      </w:r>
      <w:r w:rsidRPr="00D00188">
        <w:rPr>
          <w:rFonts w:ascii="Palatino Linotype" w:hAnsi="Palatino Linotype" w:cs="Arial"/>
          <w:bCs/>
          <w:iCs/>
          <w:color w:val="000000" w:themeColor="text1"/>
        </w:rPr>
        <w:t>, el sujeto obligado deberá entregar al particular el documento mediante el cual se pueda colmar aquella.</w:t>
      </w:r>
    </w:p>
    <w:p w14:paraId="2BF0A81A" w14:textId="77777777" w:rsidR="00315B19" w:rsidRPr="00D00188" w:rsidRDefault="00315B19" w:rsidP="00315B19">
      <w:pPr>
        <w:pStyle w:val="Prrafodelista"/>
        <w:tabs>
          <w:tab w:val="left" w:pos="66"/>
        </w:tabs>
        <w:spacing w:before="240" w:after="360" w:line="360" w:lineRule="auto"/>
        <w:ind w:left="0"/>
        <w:jc w:val="both"/>
        <w:rPr>
          <w:rFonts w:ascii="Palatino Linotype" w:eastAsia="Times New Roman" w:hAnsi="Palatino Linotype" w:cs="Times New Roman"/>
          <w:lang w:val="es-MX" w:eastAsia="es-MX"/>
        </w:rPr>
      </w:pPr>
    </w:p>
    <w:p w14:paraId="4A6DADCF" w14:textId="77777777" w:rsidR="00315B19" w:rsidRPr="00D00188" w:rsidRDefault="00315B19" w:rsidP="00315B19">
      <w:pPr>
        <w:pStyle w:val="Prrafodelista"/>
        <w:numPr>
          <w:ilvl w:val="0"/>
          <w:numId w:val="1"/>
        </w:numPr>
        <w:tabs>
          <w:tab w:val="left" w:pos="66"/>
        </w:tabs>
        <w:spacing w:before="240" w:after="360" w:line="360" w:lineRule="auto"/>
        <w:ind w:left="0" w:firstLine="0"/>
        <w:jc w:val="both"/>
        <w:rPr>
          <w:rFonts w:ascii="Palatino Linotype" w:eastAsia="MS Mincho" w:hAnsi="Palatino Linotype" w:cs="Arial"/>
        </w:rPr>
      </w:pPr>
      <w:r w:rsidRPr="00D00188">
        <w:rPr>
          <w:rFonts w:ascii="Palatino Linotype" w:eastAsia="MS Mincho" w:hAnsi="Palatino Linotype" w:cs="Arial"/>
        </w:rPr>
        <w:lastRenderedPageBreak/>
        <w:t xml:space="preserve">En ese sentido el </w:t>
      </w:r>
      <w:r w:rsidRPr="00D00188">
        <w:rPr>
          <w:rFonts w:ascii="Palatino Linotype" w:eastAsia="MS Mincho" w:hAnsi="Palatino Linotype"/>
          <w:lang w:val="es-MX"/>
        </w:rPr>
        <w:t>Criterio</w:t>
      </w:r>
      <w:r w:rsidRPr="00D00188">
        <w:rPr>
          <w:rFonts w:ascii="Palatino Linotype" w:eastAsia="MS Mincho" w:hAnsi="Palatino Linotype" w:cs="Arial"/>
        </w:rPr>
        <w:t xml:space="preserve"> orientador 16/17 emitido por el Instituto Nacional de Transparencia, Acceso a la Información y Protección de Datos Personales a la literalidad prevé:</w:t>
      </w:r>
    </w:p>
    <w:p w14:paraId="6CB1B929" w14:textId="77777777" w:rsidR="00315B19" w:rsidRPr="00D00188" w:rsidRDefault="00315B19" w:rsidP="00315B19">
      <w:pPr>
        <w:tabs>
          <w:tab w:val="left" w:pos="66"/>
        </w:tabs>
        <w:spacing w:line="360" w:lineRule="auto"/>
        <w:ind w:right="49"/>
        <w:contextualSpacing/>
        <w:jc w:val="both"/>
        <w:rPr>
          <w:rFonts w:ascii="Palatino Linotype" w:eastAsia="MS Mincho" w:hAnsi="Palatino Linotype" w:cs="Arial"/>
        </w:rPr>
      </w:pPr>
    </w:p>
    <w:p w14:paraId="7919475D" w14:textId="77777777" w:rsidR="00315B19" w:rsidRPr="00D00188" w:rsidRDefault="00315B19" w:rsidP="00315B19">
      <w:pPr>
        <w:tabs>
          <w:tab w:val="left" w:pos="66"/>
        </w:tabs>
        <w:spacing w:line="276" w:lineRule="auto"/>
        <w:ind w:left="567" w:right="616"/>
        <w:jc w:val="both"/>
        <w:rPr>
          <w:rFonts w:ascii="Palatino Linotype" w:eastAsia="MS Mincho" w:hAnsi="Palatino Linotype" w:cs="Arial"/>
          <w:i/>
          <w:sz w:val="22"/>
          <w:szCs w:val="22"/>
        </w:rPr>
      </w:pPr>
      <w:r w:rsidRPr="00D00188">
        <w:rPr>
          <w:rFonts w:ascii="Palatino Linotype" w:eastAsia="MS Mincho" w:hAnsi="Palatino Linotype" w:cs="Arial"/>
          <w:b/>
          <w:i/>
          <w:sz w:val="22"/>
          <w:szCs w:val="22"/>
        </w:rPr>
        <w:t>“Expresión documental</w:t>
      </w:r>
      <w:r w:rsidRPr="00D00188">
        <w:rPr>
          <w:rFonts w:ascii="Palatino Linotype" w:eastAsia="MS Mincho"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9D3A329" w14:textId="77777777" w:rsidR="00315B19" w:rsidRPr="00D00188" w:rsidRDefault="00315B19" w:rsidP="00315B19">
      <w:pPr>
        <w:tabs>
          <w:tab w:val="left" w:pos="66"/>
        </w:tabs>
        <w:spacing w:before="240" w:after="240" w:line="276" w:lineRule="auto"/>
        <w:ind w:left="567" w:right="567"/>
        <w:jc w:val="both"/>
        <w:rPr>
          <w:rFonts w:ascii="Palatino Linotype" w:eastAsia="MS Mincho" w:hAnsi="Palatino Linotype" w:cs="Arial"/>
          <w:i/>
          <w:sz w:val="22"/>
          <w:szCs w:val="22"/>
        </w:rPr>
      </w:pPr>
      <w:r w:rsidRPr="00D00188">
        <w:rPr>
          <w:rFonts w:ascii="Palatino Linotype" w:eastAsia="MS Mincho" w:hAnsi="Palatino Linotype" w:cs="Arial"/>
          <w:i/>
          <w:sz w:val="22"/>
          <w:szCs w:val="22"/>
        </w:rPr>
        <w:t>Resoluciones:</w:t>
      </w:r>
    </w:p>
    <w:p w14:paraId="272736C9" w14:textId="77777777" w:rsidR="00315B19" w:rsidRPr="00D00188" w:rsidRDefault="00315B19" w:rsidP="00315B19">
      <w:pPr>
        <w:tabs>
          <w:tab w:val="left" w:pos="66"/>
        </w:tabs>
        <w:spacing w:before="240" w:after="240" w:line="276" w:lineRule="auto"/>
        <w:ind w:left="567" w:right="567"/>
        <w:jc w:val="both"/>
        <w:rPr>
          <w:rFonts w:ascii="Palatino Linotype" w:eastAsia="MS Mincho" w:hAnsi="Palatino Linotype" w:cs="Arial"/>
          <w:i/>
          <w:sz w:val="22"/>
          <w:szCs w:val="22"/>
        </w:rPr>
      </w:pPr>
      <w:r w:rsidRPr="00D00188">
        <w:rPr>
          <w:rFonts w:ascii="Palatino Linotype" w:eastAsia="MS Mincho" w:hAnsi="Palatino Linotype" w:cs="Arial"/>
          <w:i/>
          <w:sz w:val="22"/>
          <w:szCs w:val="22"/>
        </w:rPr>
        <w:t>•</w:t>
      </w:r>
      <w:r w:rsidRPr="00D00188">
        <w:rPr>
          <w:rFonts w:ascii="Palatino Linotype" w:eastAsia="MS Mincho" w:hAnsi="Palatino Linotype" w:cs="Arial"/>
          <w:i/>
          <w:sz w:val="22"/>
          <w:szCs w:val="22"/>
        </w:rPr>
        <w:tab/>
        <w:t xml:space="preserve">RRA 0774/16. Secretaría de Salud. 31 de agosto de 2016. Por unanimidad. Comisionada Ponente María Patricia </w:t>
      </w:r>
      <w:proofErr w:type="spellStart"/>
      <w:r w:rsidRPr="00D00188">
        <w:rPr>
          <w:rFonts w:ascii="Palatino Linotype" w:eastAsia="MS Mincho" w:hAnsi="Palatino Linotype" w:cs="Arial"/>
          <w:i/>
          <w:sz w:val="22"/>
          <w:szCs w:val="22"/>
        </w:rPr>
        <w:t>Kurczyn</w:t>
      </w:r>
      <w:proofErr w:type="spellEnd"/>
      <w:r w:rsidRPr="00D00188">
        <w:rPr>
          <w:rFonts w:ascii="Palatino Linotype" w:eastAsia="MS Mincho" w:hAnsi="Palatino Linotype" w:cs="Arial"/>
          <w:i/>
          <w:sz w:val="22"/>
          <w:szCs w:val="22"/>
        </w:rPr>
        <w:t xml:space="preserve"> Villalobos.</w:t>
      </w:r>
    </w:p>
    <w:p w14:paraId="266D7D29" w14:textId="77777777" w:rsidR="00315B19" w:rsidRPr="00D00188" w:rsidRDefault="00315B19" w:rsidP="00315B19">
      <w:pPr>
        <w:tabs>
          <w:tab w:val="left" w:pos="66"/>
        </w:tabs>
        <w:spacing w:before="240" w:after="240" w:line="276" w:lineRule="auto"/>
        <w:ind w:left="567" w:right="567"/>
        <w:jc w:val="both"/>
        <w:rPr>
          <w:rFonts w:ascii="Palatino Linotype" w:eastAsia="MS Mincho" w:hAnsi="Palatino Linotype" w:cs="Arial"/>
          <w:i/>
          <w:sz w:val="22"/>
          <w:szCs w:val="22"/>
        </w:rPr>
      </w:pPr>
      <w:r w:rsidRPr="00D00188">
        <w:rPr>
          <w:rFonts w:ascii="Palatino Linotype" w:eastAsia="MS Mincho" w:hAnsi="Palatino Linotype" w:cs="Arial"/>
          <w:i/>
          <w:sz w:val="22"/>
          <w:szCs w:val="22"/>
        </w:rPr>
        <w:t>•</w:t>
      </w:r>
      <w:r w:rsidRPr="00D00188">
        <w:rPr>
          <w:rFonts w:ascii="Palatino Linotype" w:eastAsia="MS Mincho" w:hAnsi="Palatino Linotype" w:cs="Arial"/>
          <w:i/>
          <w:sz w:val="22"/>
          <w:szCs w:val="22"/>
        </w:rPr>
        <w:tab/>
        <w:t xml:space="preserve">RRA 0143/17. Universidad Autónoma Agraria Antonio Narro. 22 de febrero de 2017. Por unanimidad. Comisionado Ponente Oscar Mauricio Guerra Ford. </w:t>
      </w:r>
    </w:p>
    <w:p w14:paraId="516753F4" w14:textId="77777777" w:rsidR="00315B19" w:rsidRPr="00D00188" w:rsidRDefault="00315B19" w:rsidP="00315B19">
      <w:pPr>
        <w:tabs>
          <w:tab w:val="left" w:pos="66"/>
        </w:tabs>
        <w:spacing w:before="240" w:after="240" w:line="276" w:lineRule="auto"/>
        <w:ind w:left="567" w:right="567"/>
        <w:jc w:val="both"/>
        <w:rPr>
          <w:rFonts w:ascii="Palatino Linotype" w:eastAsia="MS Mincho" w:hAnsi="Palatino Linotype" w:cs="Arial"/>
          <w:i/>
          <w:sz w:val="22"/>
          <w:szCs w:val="22"/>
        </w:rPr>
      </w:pPr>
      <w:r w:rsidRPr="00D00188">
        <w:rPr>
          <w:rFonts w:ascii="Palatino Linotype" w:eastAsia="MS Mincho" w:hAnsi="Palatino Linotype" w:cs="Arial"/>
          <w:i/>
          <w:sz w:val="22"/>
          <w:szCs w:val="22"/>
        </w:rPr>
        <w:t>•</w:t>
      </w:r>
      <w:r w:rsidRPr="00D00188">
        <w:rPr>
          <w:rFonts w:ascii="Palatino Linotype" w:eastAsia="MS Mincho" w:hAnsi="Palatino Linotype" w:cs="Arial"/>
          <w:i/>
          <w:sz w:val="22"/>
          <w:szCs w:val="22"/>
        </w:rPr>
        <w:tab/>
        <w:t>RRA 0540/17. Secretaría de Economía. 08 de marzo del 2017. Por unanimidad. Comisionado Ponente Francisco Javier Acuña Llamas”</w:t>
      </w:r>
    </w:p>
    <w:p w14:paraId="5AE3099C" w14:textId="77777777" w:rsidR="000F4205" w:rsidRPr="00D00188" w:rsidRDefault="000F4205" w:rsidP="00315B19">
      <w:pPr>
        <w:tabs>
          <w:tab w:val="left" w:pos="66"/>
        </w:tabs>
        <w:spacing w:before="240" w:after="240" w:line="276" w:lineRule="auto"/>
        <w:ind w:left="567" w:right="567"/>
        <w:jc w:val="both"/>
        <w:rPr>
          <w:rFonts w:ascii="Palatino Linotype" w:eastAsia="MS Mincho" w:hAnsi="Palatino Linotype" w:cs="Arial"/>
          <w:i/>
          <w:sz w:val="22"/>
          <w:szCs w:val="22"/>
        </w:rPr>
      </w:pPr>
    </w:p>
    <w:p w14:paraId="4B9CFB76" w14:textId="77777777" w:rsidR="000F4205" w:rsidRPr="00D00188" w:rsidRDefault="000F4205" w:rsidP="000F4205">
      <w:pPr>
        <w:pStyle w:val="Ttulo2"/>
      </w:pPr>
      <w:bookmarkStart w:id="29" w:name="_Toc69482836"/>
      <w:bookmarkStart w:id="30" w:name="_Toc71832794"/>
      <w:r w:rsidRPr="00D00188">
        <w:t>SEXTO. De la versión pública.</w:t>
      </w:r>
      <w:bookmarkEnd w:id="29"/>
      <w:bookmarkEnd w:id="30"/>
    </w:p>
    <w:p w14:paraId="6067AF16" w14:textId="77777777" w:rsidR="000F4205" w:rsidRPr="00D00188" w:rsidRDefault="000F4205" w:rsidP="000F4205">
      <w:pPr>
        <w:spacing w:line="360" w:lineRule="auto"/>
        <w:ind w:right="49"/>
        <w:jc w:val="both"/>
        <w:rPr>
          <w:rFonts w:ascii="Palatino Linotype" w:hAnsi="Palatino Linotype"/>
        </w:rPr>
      </w:pPr>
    </w:p>
    <w:p w14:paraId="04B4DB4D" w14:textId="77777777" w:rsidR="000F4205" w:rsidRPr="00D00188" w:rsidRDefault="000F4205" w:rsidP="000F420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D00188">
        <w:rPr>
          <w:rFonts w:ascii="Palatino Linotype" w:hAnsi="Palatino Linotype" w:cs="Arial"/>
          <w:color w:val="000000" w:themeColor="text1"/>
        </w:rPr>
        <w:t xml:space="preserve">Debe destacarse que, debido a la naturaleza de </w:t>
      </w:r>
      <w:r w:rsidRPr="00D00188">
        <w:rPr>
          <w:rFonts w:ascii="Palatino Linotype" w:hAnsi="Palatino Linotype"/>
          <w:color w:val="000000" w:themeColor="text1"/>
        </w:rPr>
        <w:t xml:space="preserve">la información que se ordena entregar, </w:t>
      </w:r>
      <w:r w:rsidRPr="00D00188">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w:t>
      </w:r>
      <w:r w:rsidRPr="00D00188">
        <w:rPr>
          <w:rFonts w:ascii="Palatino Linotype" w:hAnsi="Palatino Linotype" w:cs="Arial"/>
          <w:color w:val="000000" w:themeColor="text1"/>
        </w:rPr>
        <w:lastRenderedPageBreak/>
        <w:t xml:space="preserve">de los datos personales aun tratándose de servidores públicos, por lo tanto </w:t>
      </w:r>
      <w:r w:rsidRPr="00D00188">
        <w:rPr>
          <w:rFonts w:ascii="Palatino Linotype" w:eastAsia="Times New Roman" w:hAnsi="Palatino Linotype" w:cs="Times New Roman"/>
          <w:color w:val="000000" w:themeColor="text1"/>
          <w:lang w:val="es-ES"/>
        </w:rPr>
        <w:t>la información solicitada se deberá entregar en versión pública.</w:t>
      </w:r>
    </w:p>
    <w:p w14:paraId="294DD990" w14:textId="77777777" w:rsidR="000F4205" w:rsidRPr="00D00188" w:rsidRDefault="000F4205" w:rsidP="000F4205">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AA032D2" w14:textId="77777777" w:rsidR="000F4205" w:rsidRPr="00D00188" w:rsidRDefault="000F4205" w:rsidP="000F4205">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D00188">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00188">
        <w:rPr>
          <w:rFonts w:ascii="Palatino Linotype" w:eastAsia="Times New Roman" w:hAnsi="Palatino Linotype" w:cs="Arial"/>
          <w:b/>
          <w:color w:val="000000" w:themeColor="text1"/>
        </w:rPr>
        <w:t xml:space="preserve">SUJETOS OBLIGADOS </w:t>
      </w:r>
      <w:r w:rsidRPr="00D00188">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ECA5D08" w14:textId="77777777" w:rsidR="000F4205" w:rsidRPr="00D00188" w:rsidRDefault="000F4205" w:rsidP="000F4205">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145FE555" w14:textId="77777777" w:rsidR="000F4205" w:rsidRPr="00D00188" w:rsidRDefault="000F4205" w:rsidP="000F4205">
      <w:pPr>
        <w:pStyle w:val="Prrafodelista"/>
        <w:numPr>
          <w:ilvl w:val="0"/>
          <w:numId w:val="1"/>
        </w:numPr>
        <w:spacing w:after="160"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DEDB729" w14:textId="77777777" w:rsidR="000F4205" w:rsidRPr="00D00188" w:rsidRDefault="000F4205" w:rsidP="000F420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00188">
        <w:rPr>
          <w:rFonts w:ascii="Palatino Linotype" w:hAnsi="Palatino Linotype" w:cs="Bookman Old Style"/>
          <w:bCs/>
          <w:color w:val="000000" w:themeColor="text1"/>
        </w:rPr>
        <w:t xml:space="preserve">I. </w:t>
      </w:r>
      <w:r w:rsidRPr="00D00188">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63986C18" w14:textId="77777777" w:rsidR="000F4205" w:rsidRPr="00D00188" w:rsidRDefault="000F4205" w:rsidP="000F420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00188">
        <w:rPr>
          <w:rFonts w:ascii="Palatino Linotype" w:hAnsi="Palatino Linotype" w:cs="Bookman Old Style"/>
          <w:bCs/>
          <w:color w:val="000000" w:themeColor="text1"/>
        </w:rPr>
        <w:t xml:space="preserve">II. </w:t>
      </w:r>
      <w:r w:rsidRPr="00D00188">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977CA81" w14:textId="77777777" w:rsidR="000F4205" w:rsidRPr="00D00188" w:rsidRDefault="000F4205" w:rsidP="000F420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00188">
        <w:rPr>
          <w:rFonts w:ascii="Palatino Linotype" w:hAnsi="Palatino Linotype" w:cs="Bookman Old Style"/>
          <w:bCs/>
          <w:color w:val="000000" w:themeColor="text1"/>
        </w:rPr>
        <w:t xml:space="preserve">III. </w:t>
      </w:r>
      <w:r w:rsidRPr="00D00188">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3A0A562" w14:textId="77777777" w:rsidR="000F4205" w:rsidRPr="00D00188" w:rsidRDefault="000F4205" w:rsidP="000F420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00188">
        <w:rPr>
          <w:rFonts w:ascii="Palatino Linotype" w:hAnsi="Palatino Linotype" w:cs="Bookman Old Style"/>
          <w:color w:val="000000" w:themeColor="text1"/>
        </w:rPr>
        <w:t xml:space="preserve">La información confidencial no estará sujeta a temporalidad alguna y </w:t>
      </w:r>
      <w:r w:rsidRPr="00D00188">
        <w:rPr>
          <w:rFonts w:ascii="Palatino Linotype" w:hAnsi="Palatino Linotype" w:cs="Bookman Old Style"/>
          <w:color w:val="000000" w:themeColor="text1"/>
        </w:rPr>
        <w:lastRenderedPageBreak/>
        <w:t xml:space="preserve">sólo podrán tener acceso a ella los titulares de la misma, sus representantes y los servidores públicos facultados para ello. </w:t>
      </w:r>
    </w:p>
    <w:p w14:paraId="34F5775F" w14:textId="77777777" w:rsidR="000F4205" w:rsidRPr="00D00188" w:rsidRDefault="000F4205" w:rsidP="000F420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00188">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7F13806" w14:textId="77777777" w:rsidR="000F4205" w:rsidRPr="00D00188" w:rsidRDefault="000F4205" w:rsidP="000F4205">
      <w:pPr>
        <w:pStyle w:val="Prrafodelista"/>
        <w:spacing w:line="360" w:lineRule="auto"/>
        <w:ind w:left="0"/>
        <w:jc w:val="both"/>
        <w:rPr>
          <w:rFonts w:ascii="Palatino Linotype" w:hAnsi="Palatino Linotype" w:cs="Arial"/>
          <w:color w:val="000000" w:themeColor="text1"/>
        </w:rPr>
      </w:pPr>
    </w:p>
    <w:p w14:paraId="0BFF2715" w14:textId="77777777" w:rsidR="000F4205" w:rsidRPr="00D00188" w:rsidRDefault="000F4205" w:rsidP="000F4205">
      <w:pPr>
        <w:pStyle w:val="Prrafodelista"/>
        <w:numPr>
          <w:ilvl w:val="0"/>
          <w:numId w:val="1"/>
        </w:numPr>
        <w:spacing w:after="160"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8B0F7E" w14:textId="77777777" w:rsidR="000F4205" w:rsidRPr="00D00188" w:rsidRDefault="000F4205" w:rsidP="000F4205">
      <w:pPr>
        <w:pStyle w:val="Prrafodelista"/>
        <w:spacing w:after="160" w:line="360" w:lineRule="auto"/>
        <w:ind w:left="0"/>
        <w:jc w:val="both"/>
        <w:rPr>
          <w:rFonts w:ascii="Palatino Linotype" w:hAnsi="Palatino Linotype" w:cs="Arial"/>
          <w:color w:val="000000" w:themeColor="text1"/>
        </w:rPr>
      </w:pPr>
    </w:p>
    <w:p w14:paraId="2FDE3DD3" w14:textId="77777777" w:rsidR="000F4205" w:rsidRPr="00D00188" w:rsidRDefault="000F4205" w:rsidP="000F4205">
      <w:pPr>
        <w:pStyle w:val="Prrafodelista"/>
        <w:numPr>
          <w:ilvl w:val="0"/>
          <w:numId w:val="1"/>
        </w:numPr>
        <w:spacing w:after="160"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 xml:space="preserve">Como consecuencia de lo anterior, el </w:t>
      </w:r>
      <w:r w:rsidRPr="00D00188">
        <w:rPr>
          <w:rFonts w:ascii="Palatino Linotype" w:hAnsi="Palatino Linotype" w:cs="Arial"/>
          <w:b/>
          <w:color w:val="000000" w:themeColor="text1"/>
        </w:rPr>
        <w:t>SUJETO OBLIGADO</w:t>
      </w:r>
      <w:r w:rsidRPr="00D00188">
        <w:rPr>
          <w:rFonts w:ascii="Palatino Linotype" w:hAnsi="Palatino Linotype" w:cs="Arial"/>
          <w:color w:val="000000" w:themeColor="text1"/>
        </w:rPr>
        <w:t xml:space="preserve"> debe identificar claramente el tipo de información y hacer un juicio de subsunción o encaje</w:t>
      </w:r>
      <w:r w:rsidRPr="00D00188">
        <w:rPr>
          <w:rStyle w:val="Refdenotaalpie"/>
          <w:rFonts w:ascii="Palatino Linotype" w:hAnsi="Palatino Linotype" w:cs="Arial"/>
          <w:color w:val="000000" w:themeColor="text1"/>
        </w:rPr>
        <w:footnoteReference w:id="4"/>
      </w:r>
      <w:r w:rsidRPr="00D00188">
        <w:rPr>
          <w:rFonts w:ascii="Palatino Linotype" w:hAnsi="Palatino Linotype" w:cs="Arial"/>
          <w:color w:val="000000" w:themeColor="text1"/>
        </w:rPr>
        <w:t xml:space="preserve"> para </w:t>
      </w:r>
      <w:r w:rsidRPr="00D00188">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7BF69473" w14:textId="77777777" w:rsidR="000F4205" w:rsidRPr="00D00188" w:rsidRDefault="000F4205" w:rsidP="000F4205">
      <w:pPr>
        <w:pStyle w:val="Prrafodelista"/>
        <w:spacing w:line="360" w:lineRule="auto"/>
        <w:ind w:left="0"/>
        <w:jc w:val="both"/>
        <w:rPr>
          <w:rFonts w:ascii="Palatino Linotype" w:hAnsi="Palatino Linotype" w:cs="Arial"/>
          <w:color w:val="000000" w:themeColor="text1"/>
        </w:rPr>
      </w:pPr>
    </w:p>
    <w:p w14:paraId="3DAA06F3"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ED965D4" w14:textId="77777777" w:rsidR="000F4205" w:rsidRPr="00D00188" w:rsidRDefault="000F4205" w:rsidP="000F4205">
      <w:pPr>
        <w:pStyle w:val="Prrafodelista"/>
        <w:spacing w:line="360" w:lineRule="auto"/>
        <w:ind w:left="0"/>
        <w:jc w:val="both"/>
        <w:rPr>
          <w:rFonts w:ascii="Palatino Linotype" w:eastAsia="Times New Roman" w:hAnsi="Palatino Linotype"/>
          <w:color w:val="000000" w:themeColor="text1"/>
          <w:lang w:eastAsia="es-ES_tradnl"/>
        </w:rPr>
      </w:pPr>
    </w:p>
    <w:p w14:paraId="35244FC8" w14:textId="77777777" w:rsidR="000F4205" w:rsidRPr="00D00188" w:rsidRDefault="000F4205" w:rsidP="000F4205">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1" w:name="_Toc485733666"/>
      <w:bookmarkStart w:id="32" w:name="_Toc487139037"/>
      <w:bookmarkStart w:id="33" w:name="_Toc490060412"/>
      <w:bookmarkStart w:id="34" w:name="_Toc492468081"/>
      <w:bookmarkStart w:id="35" w:name="_Toc2878596"/>
      <w:bookmarkStart w:id="36" w:name="_Toc10711864"/>
      <w:bookmarkStart w:id="37" w:name="_Toc18609014"/>
      <w:bookmarkStart w:id="38" w:name="_Toc22130361"/>
      <w:bookmarkStart w:id="39" w:name="_Toc33809647"/>
      <w:bookmarkStart w:id="40" w:name="_Toc57350658"/>
      <w:bookmarkStart w:id="41" w:name="_Toc66973629"/>
      <w:bookmarkStart w:id="42" w:name="_Toc69482837"/>
      <w:bookmarkStart w:id="43" w:name="_Toc71832795"/>
      <w:r w:rsidRPr="00D00188">
        <w:rPr>
          <w:szCs w:val="24"/>
        </w:rPr>
        <w:t>Requisitos de fondo del acuerdo de clasificación.</w:t>
      </w:r>
      <w:bookmarkEnd w:id="31"/>
      <w:bookmarkEnd w:id="32"/>
      <w:bookmarkEnd w:id="33"/>
      <w:bookmarkEnd w:id="34"/>
      <w:bookmarkEnd w:id="35"/>
      <w:bookmarkEnd w:id="36"/>
      <w:bookmarkEnd w:id="37"/>
      <w:bookmarkEnd w:id="38"/>
      <w:bookmarkEnd w:id="39"/>
      <w:bookmarkEnd w:id="40"/>
      <w:bookmarkEnd w:id="41"/>
      <w:bookmarkEnd w:id="42"/>
      <w:bookmarkEnd w:id="43"/>
    </w:p>
    <w:p w14:paraId="4D15765C" w14:textId="77777777" w:rsidR="000F4205" w:rsidRPr="00D00188" w:rsidRDefault="000F4205" w:rsidP="000F4205">
      <w:pPr>
        <w:pStyle w:val="Prrafodelista"/>
        <w:spacing w:line="360" w:lineRule="auto"/>
        <w:ind w:left="0"/>
        <w:jc w:val="both"/>
        <w:rPr>
          <w:rFonts w:ascii="Palatino Linotype" w:hAnsi="Palatino Linotype" w:cs="Arial"/>
          <w:color w:val="000000" w:themeColor="text1"/>
        </w:rPr>
      </w:pPr>
    </w:p>
    <w:p w14:paraId="4B6A84EF"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s="Arial"/>
          <w:color w:val="000000" w:themeColor="text1"/>
        </w:rPr>
      </w:pPr>
      <w:r w:rsidRPr="00D00188">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07A92AD" w14:textId="77777777" w:rsidR="000F4205" w:rsidRPr="00D00188" w:rsidRDefault="000F4205" w:rsidP="000F4205">
      <w:pPr>
        <w:pStyle w:val="Prrafodelista"/>
        <w:spacing w:after="160" w:line="360" w:lineRule="auto"/>
        <w:ind w:left="0"/>
        <w:jc w:val="both"/>
        <w:rPr>
          <w:rFonts w:ascii="Palatino Linotype" w:hAnsi="Palatino Linotype" w:cs="Arial"/>
          <w:color w:val="000000" w:themeColor="text1"/>
        </w:rPr>
      </w:pPr>
    </w:p>
    <w:p w14:paraId="0959C620" w14:textId="77777777" w:rsidR="000F4205" w:rsidRPr="00D00188" w:rsidRDefault="000F4205" w:rsidP="000F4205">
      <w:pPr>
        <w:pStyle w:val="Prrafodelista"/>
        <w:numPr>
          <w:ilvl w:val="0"/>
          <w:numId w:val="1"/>
        </w:numPr>
        <w:spacing w:after="160" w:line="360" w:lineRule="auto"/>
        <w:ind w:left="0" w:firstLine="0"/>
        <w:jc w:val="both"/>
        <w:rPr>
          <w:rFonts w:ascii="Palatino Linotype" w:hAnsi="Palatino Linotype" w:cs="Arial"/>
          <w:color w:val="000000" w:themeColor="text1"/>
        </w:rPr>
      </w:pPr>
      <w:r w:rsidRPr="00D00188">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D00188">
        <w:rPr>
          <w:rFonts w:ascii="Palatino Linotype" w:hAnsi="Palatino Linotype"/>
          <w:color w:val="000000" w:themeColor="text1"/>
        </w:rPr>
        <w:lastRenderedPageBreak/>
        <w:t>expresar los fundamentos legales que le dieron origen y las razones por las que se deben aplicar al caso concreto.</w:t>
      </w:r>
    </w:p>
    <w:p w14:paraId="541273D8" w14:textId="77777777" w:rsidR="000F4205" w:rsidRPr="00D00188" w:rsidRDefault="000F4205" w:rsidP="000F420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F3047A" w14:textId="77777777" w:rsidR="000F4205" w:rsidRPr="00D00188" w:rsidRDefault="000F4205" w:rsidP="000F4205">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00188">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FFFA273" w14:textId="77777777" w:rsidR="000F4205" w:rsidRPr="00D00188" w:rsidRDefault="000F4205" w:rsidP="000F4205">
      <w:pPr>
        <w:pStyle w:val="Prrafodelista"/>
        <w:rPr>
          <w:rFonts w:ascii="Palatino Linotype" w:eastAsia="Calibri" w:hAnsi="Palatino Linotype" w:cs="Arial"/>
          <w:color w:val="000000" w:themeColor="text1"/>
          <w:lang w:val="es-ES" w:eastAsia="es-MX"/>
        </w:rPr>
      </w:pPr>
    </w:p>
    <w:p w14:paraId="2D07DF5C"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2108E23" w14:textId="77777777" w:rsidR="000F4205" w:rsidRPr="00D00188" w:rsidRDefault="000F4205" w:rsidP="000F4205">
      <w:pPr>
        <w:spacing w:line="360" w:lineRule="auto"/>
        <w:jc w:val="both"/>
        <w:rPr>
          <w:rFonts w:ascii="Palatino Linotype" w:hAnsi="Palatino Linotype"/>
          <w:color w:val="000000" w:themeColor="text1"/>
        </w:rPr>
      </w:pPr>
    </w:p>
    <w:p w14:paraId="702993A7"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Calibri" w:hAnsi="Palatino Linotype" w:cs="Arial"/>
          <w:color w:val="000000" w:themeColor="text1"/>
          <w:lang w:val="es-ES" w:eastAsia="es-MX"/>
        </w:rPr>
        <w:t xml:space="preserve">Es de señalar, que por lo que hace a las versiones públicas, el </w:t>
      </w:r>
      <w:r w:rsidRPr="00D00188">
        <w:rPr>
          <w:rFonts w:ascii="Palatino Linotype" w:eastAsia="Calibri" w:hAnsi="Palatino Linotype" w:cs="Arial"/>
          <w:b/>
          <w:color w:val="000000" w:themeColor="text1"/>
          <w:lang w:val="es-ES" w:eastAsia="es-MX"/>
        </w:rPr>
        <w:t>SUJETO OBLIGADO</w:t>
      </w:r>
      <w:r w:rsidRPr="00D00188">
        <w:rPr>
          <w:rFonts w:ascii="Palatino Linotype" w:eastAsia="Calibri" w:hAnsi="Palatino Linotype" w:cs="Arial"/>
          <w:color w:val="000000" w:themeColor="text1"/>
          <w:lang w:val="es-ES" w:eastAsia="es-MX"/>
        </w:rPr>
        <w:t xml:space="preserve"> debe cumplir con las formalidades exigidas en la Ley, por lo que </w:t>
      </w:r>
      <w:r w:rsidRPr="00D00188">
        <w:rPr>
          <w:rFonts w:ascii="Palatino Linotype" w:eastAsia="Times New Roman" w:hAnsi="Palatino Linotype" w:cs="Arial"/>
          <w:color w:val="000000" w:themeColor="text1"/>
          <w:lang w:eastAsia="es-MX"/>
        </w:rPr>
        <w:t xml:space="preserve">para tal efecto emitirá el </w:t>
      </w:r>
      <w:r w:rsidRPr="00D00188">
        <w:rPr>
          <w:rFonts w:ascii="Palatino Linotype" w:eastAsia="Calibri" w:hAnsi="Palatino Linotype" w:cs="Arial"/>
          <w:color w:val="000000" w:themeColor="text1"/>
          <w:lang w:val="es-ES" w:eastAsia="es-MX"/>
        </w:rPr>
        <w:t>Acuerdo del Comité de Transparencia en términos de los artículos 49 fracción</w:t>
      </w:r>
      <w:r w:rsidRPr="00D00188">
        <w:rPr>
          <w:rFonts w:ascii="Palatino Linotype" w:eastAsia="Calibri" w:hAnsi="Palatino Linotype" w:cs="Arial"/>
          <w:bCs/>
          <w:color w:val="000000" w:themeColor="text1"/>
        </w:rPr>
        <w:t xml:space="preserve"> VIII,</w:t>
      </w:r>
      <w:r w:rsidRPr="00D00188">
        <w:rPr>
          <w:rFonts w:ascii="Palatino Linotype" w:eastAsia="Calibri" w:hAnsi="Palatino Linotype" w:cs="Arial"/>
          <w:color w:val="000000" w:themeColor="text1"/>
          <w:lang w:val="es-ES" w:eastAsia="es-MX"/>
        </w:rPr>
        <w:t xml:space="preserve"> 122</w:t>
      </w:r>
      <w:r w:rsidRPr="00D00188">
        <w:rPr>
          <w:rFonts w:ascii="Palatino Linotype" w:hAnsi="Palatino Linotype" w:cs="Times New Roman"/>
          <w:color w:val="000000" w:themeColor="text1"/>
          <w:vertAlign w:val="superscript"/>
          <w:lang w:val="es-ES" w:eastAsia="es-MX"/>
        </w:rPr>
        <w:footnoteReference w:id="5"/>
      </w:r>
      <w:r w:rsidRPr="00D00188">
        <w:rPr>
          <w:rFonts w:ascii="Palatino Linotype" w:eastAsia="Calibri" w:hAnsi="Palatino Linotype" w:cs="Arial"/>
          <w:color w:val="000000" w:themeColor="text1"/>
          <w:lang w:val="es-ES" w:eastAsia="es-MX"/>
        </w:rPr>
        <w:t>, 135</w:t>
      </w:r>
      <w:r w:rsidRPr="00D00188">
        <w:rPr>
          <w:rFonts w:ascii="Palatino Linotype" w:hAnsi="Palatino Linotype" w:cs="Times New Roman"/>
          <w:color w:val="000000" w:themeColor="text1"/>
          <w:vertAlign w:val="superscript"/>
          <w:lang w:val="es-ES" w:eastAsia="es-MX"/>
        </w:rPr>
        <w:footnoteReference w:id="6"/>
      </w:r>
      <w:r w:rsidRPr="00D00188">
        <w:rPr>
          <w:rFonts w:ascii="Palatino Linotype" w:eastAsia="Calibri" w:hAnsi="Palatino Linotype" w:cs="Arial"/>
          <w:color w:val="000000" w:themeColor="text1"/>
          <w:lang w:val="es-ES" w:eastAsia="es-MX"/>
        </w:rPr>
        <w:t xml:space="preserve"> y 149 de la Ley de Transparencia y Acceso a la </w:t>
      </w:r>
      <w:r w:rsidRPr="00D00188">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14:paraId="06125DB1" w14:textId="77777777" w:rsidR="000F4205" w:rsidRPr="00D00188" w:rsidRDefault="000F4205" w:rsidP="000F4205">
      <w:pPr>
        <w:pStyle w:val="Prrafodelista"/>
        <w:spacing w:line="360" w:lineRule="auto"/>
        <w:ind w:left="0"/>
        <w:jc w:val="both"/>
        <w:rPr>
          <w:rFonts w:ascii="Palatino Linotype" w:hAnsi="Palatino Linotype"/>
          <w:color w:val="000000" w:themeColor="text1"/>
        </w:rPr>
      </w:pPr>
    </w:p>
    <w:p w14:paraId="09A0F1B2"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00188">
        <w:rPr>
          <w:rFonts w:ascii="Palatino Linotype" w:eastAsia="Calibri" w:hAnsi="Palatino Linotype" w:cs="Arial"/>
          <w:b/>
          <w:color w:val="000000" w:themeColor="text1"/>
          <w:lang w:val="es-ES" w:eastAsia="es-CO"/>
        </w:rPr>
        <w:t>SUJETO OBLIGADO</w:t>
      </w:r>
      <w:r w:rsidRPr="00D00188">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64FB73" w14:textId="77777777" w:rsidR="000F4205" w:rsidRPr="00D00188" w:rsidRDefault="000F4205" w:rsidP="000F4205">
      <w:pPr>
        <w:pStyle w:val="Prrafodelista"/>
        <w:spacing w:line="360" w:lineRule="auto"/>
        <w:ind w:left="0"/>
        <w:jc w:val="both"/>
        <w:rPr>
          <w:rFonts w:ascii="Palatino Linotype" w:hAnsi="Palatino Linotype"/>
          <w:color w:val="000000" w:themeColor="text1"/>
        </w:rPr>
      </w:pPr>
    </w:p>
    <w:p w14:paraId="030F570E"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Times New Roman" w:hAnsi="Palatino Linotype" w:cs="Arial"/>
          <w:color w:val="000000" w:themeColor="text1"/>
          <w:lang w:eastAsia="es-MX"/>
        </w:rPr>
        <w:t xml:space="preserve">Siendo así que, </w:t>
      </w:r>
      <w:r w:rsidRPr="00D00188">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00188">
        <w:rPr>
          <w:rFonts w:ascii="Palatino Linotype" w:hAnsi="Palatino Linotype"/>
          <w:b/>
          <w:color w:val="000000" w:themeColor="text1"/>
        </w:rPr>
        <w:t>SUJETO OBLIGADO</w:t>
      </w:r>
      <w:r w:rsidRPr="00D00188">
        <w:rPr>
          <w:rFonts w:ascii="Palatino Linotype" w:hAnsi="Palatino Linotype"/>
          <w:color w:val="000000" w:themeColor="text1"/>
        </w:rPr>
        <w:t xml:space="preserve">. Dicho acuerdo deberá de contener los </w:t>
      </w:r>
      <w:r w:rsidRPr="00D00188">
        <w:rPr>
          <w:rFonts w:ascii="Palatino Linotype" w:hAnsi="Palatino Linotype"/>
          <w:b/>
          <w:color w:val="000000" w:themeColor="text1"/>
        </w:rPr>
        <w:t>razonamientos lógicos</w:t>
      </w:r>
      <w:r w:rsidRPr="00D00188">
        <w:rPr>
          <w:rFonts w:ascii="Palatino Linotype" w:hAnsi="Palatino Linotype"/>
          <w:color w:val="000000" w:themeColor="text1"/>
        </w:rPr>
        <w:t xml:space="preserve"> mediante los cuales se </w:t>
      </w:r>
      <w:r w:rsidRPr="00D00188">
        <w:rPr>
          <w:rFonts w:ascii="Palatino Linotype" w:hAnsi="Palatino Linotype"/>
          <w:b/>
          <w:color w:val="000000" w:themeColor="text1"/>
        </w:rPr>
        <w:t xml:space="preserve">demuestre </w:t>
      </w:r>
      <w:r w:rsidRPr="00D00188">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E8B5354" w14:textId="77777777" w:rsidR="000F4205" w:rsidRPr="00D00188" w:rsidRDefault="000F4205" w:rsidP="000F4205">
      <w:pPr>
        <w:pStyle w:val="Prrafodelista"/>
        <w:spacing w:line="360" w:lineRule="auto"/>
        <w:ind w:left="0"/>
        <w:jc w:val="both"/>
        <w:rPr>
          <w:rFonts w:ascii="Palatino Linotype" w:hAnsi="Palatino Linotype"/>
          <w:color w:val="000000" w:themeColor="text1"/>
        </w:rPr>
      </w:pPr>
    </w:p>
    <w:p w14:paraId="4208B3E8"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2EA9589" w14:textId="77777777" w:rsidR="000F4205" w:rsidRPr="00D00188" w:rsidRDefault="000F4205" w:rsidP="000F4205">
      <w:pPr>
        <w:pStyle w:val="Prrafodelista"/>
        <w:spacing w:line="360" w:lineRule="auto"/>
        <w:ind w:left="0"/>
        <w:jc w:val="both"/>
        <w:rPr>
          <w:rFonts w:ascii="Palatino Linotype" w:hAnsi="Palatino Linotype"/>
          <w:color w:val="000000" w:themeColor="text1"/>
        </w:rPr>
      </w:pPr>
    </w:p>
    <w:p w14:paraId="5C7782D5"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FE30BF4" w14:textId="77777777" w:rsidR="000F4205" w:rsidRPr="00D00188" w:rsidRDefault="000F4205" w:rsidP="000F4205">
      <w:pPr>
        <w:pStyle w:val="Prrafodelista"/>
        <w:spacing w:line="360" w:lineRule="auto"/>
        <w:ind w:left="0"/>
        <w:jc w:val="both"/>
        <w:rPr>
          <w:rFonts w:ascii="Palatino Linotype" w:hAnsi="Palatino Linotype"/>
          <w:color w:val="000000" w:themeColor="text1"/>
        </w:rPr>
      </w:pPr>
    </w:p>
    <w:p w14:paraId="744E8307" w14:textId="77777777" w:rsidR="000F4205" w:rsidRPr="00D00188" w:rsidRDefault="000F4205" w:rsidP="000F4205">
      <w:pPr>
        <w:pStyle w:val="Prrafodelista"/>
        <w:numPr>
          <w:ilvl w:val="0"/>
          <w:numId w:val="1"/>
        </w:numPr>
        <w:spacing w:line="360" w:lineRule="auto"/>
        <w:ind w:left="0" w:firstLine="0"/>
        <w:jc w:val="both"/>
        <w:rPr>
          <w:rFonts w:ascii="Palatino Linotype" w:hAnsi="Palatino Linotype"/>
          <w:color w:val="000000" w:themeColor="text1"/>
        </w:rPr>
      </w:pPr>
      <w:r w:rsidRPr="00D00188">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03059942" w14:textId="77777777" w:rsidR="000F4205" w:rsidRPr="00D00188" w:rsidRDefault="000F4205" w:rsidP="000F42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D53A3E" w14:textId="77777777" w:rsidR="000F4205" w:rsidRPr="00D00188" w:rsidRDefault="000F4205" w:rsidP="000F4205">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D00188">
        <w:rPr>
          <w:rFonts w:ascii="Palatino Linotype" w:eastAsia="Calibri" w:hAnsi="Palatino Linotype" w:cs="Arial"/>
          <w:color w:val="000000" w:themeColor="text1"/>
          <w:lang w:val="es-ES"/>
        </w:rPr>
        <w:t xml:space="preserve">Por lo anteriormente expuesto y fundado, este </w:t>
      </w:r>
      <w:r w:rsidRPr="00D00188">
        <w:rPr>
          <w:rFonts w:ascii="Palatino Linotype" w:eastAsia="Calibri" w:hAnsi="Palatino Linotype" w:cs="Arial"/>
          <w:b/>
          <w:color w:val="000000" w:themeColor="text1"/>
          <w:lang w:val="es-ES"/>
        </w:rPr>
        <w:t>ÓRGANO GARANTE</w:t>
      </w:r>
      <w:r w:rsidRPr="00D00188">
        <w:rPr>
          <w:rFonts w:ascii="Palatino Linotype" w:eastAsia="Calibri" w:hAnsi="Palatino Linotype" w:cs="Arial"/>
          <w:color w:val="000000" w:themeColor="text1"/>
          <w:lang w:val="es-ES"/>
        </w:rPr>
        <w:t xml:space="preserve"> emite los siguientes:</w:t>
      </w:r>
    </w:p>
    <w:p w14:paraId="45C7BC10" w14:textId="77777777" w:rsidR="000F4CEC" w:rsidRPr="00D00188" w:rsidRDefault="000F4CEC" w:rsidP="000F4CEC">
      <w:pPr>
        <w:pStyle w:val="Prrafodelista"/>
        <w:tabs>
          <w:tab w:val="left" w:pos="567"/>
          <w:tab w:val="left" w:pos="709"/>
        </w:tabs>
        <w:spacing w:line="360" w:lineRule="auto"/>
        <w:ind w:left="0"/>
        <w:jc w:val="both"/>
        <w:rPr>
          <w:rFonts w:ascii="Palatino Linotype" w:eastAsia="Calibri" w:hAnsi="Palatino Linotype" w:cs="Arial"/>
          <w:color w:val="000000" w:themeColor="text1"/>
          <w:lang w:val="es-ES"/>
        </w:rPr>
      </w:pPr>
    </w:p>
    <w:p w14:paraId="13DE20A7" w14:textId="4B977591" w:rsidR="000F4CEC" w:rsidRPr="00D00188" w:rsidRDefault="000F4CEC">
      <w:pPr>
        <w:rPr>
          <w:rFonts w:ascii="Palatino Linotype" w:eastAsia="Calibri" w:hAnsi="Palatino Linotype" w:cs="Arial"/>
          <w:color w:val="000000" w:themeColor="text1"/>
          <w:lang w:val="es-ES"/>
        </w:rPr>
      </w:pPr>
      <w:r w:rsidRPr="00D00188">
        <w:rPr>
          <w:rFonts w:ascii="Palatino Linotype" w:eastAsia="Calibri" w:hAnsi="Palatino Linotype" w:cs="Arial"/>
          <w:color w:val="000000" w:themeColor="text1"/>
          <w:lang w:val="es-ES"/>
        </w:rPr>
        <w:br w:type="page"/>
      </w:r>
    </w:p>
    <w:p w14:paraId="77281804" w14:textId="77777777" w:rsidR="000F4205" w:rsidRPr="00D00188" w:rsidRDefault="000F4205" w:rsidP="000F4205">
      <w:pPr>
        <w:pStyle w:val="Ttulo2"/>
        <w:jc w:val="center"/>
        <w:rPr>
          <w:b w:val="0"/>
          <w:szCs w:val="24"/>
          <w:lang w:val="es-ES"/>
        </w:rPr>
      </w:pPr>
      <w:bookmarkStart w:id="44" w:name="_Toc69482839"/>
      <w:bookmarkStart w:id="45" w:name="_Toc71832796"/>
      <w:r w:rsidRPr="00D00188">
        <w:rPr>
          <w:szCs w:val="24"/>
          <w:lang w:val="es-ES"/>
        </w:rPr>
        <w:lastRenderedPageBreak/>
        <w:t>R E S O L U T I V O S</w:t>
      </w:r>
      <w:bookmarkEnd w:id="44"/>
      <w:bookmarkEnd w:id="45"/>
    </w:p>
    <w:p w14:paraId="582E4AD4" w14:textId="77777777" w:rsidR="000F4205" w:rsidRPr="00D00188" w:rsidRDefault="000F4205" w:rsidP="000F42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F97B9D" w14:textId="5E4FD89A" w:rsidR="000F4205" w:rsidRPr="00D00188" w:rsidRDefault="000F4205" w:rsidP="000F4205">
      <w:pPr>
        <w:spacing w:line="360" w:lineRule="auto"/>
        <w:jc w:val="both"/>
        <w:rPr>
          <w:rFonts w:ascii="Palatino Linotype" w:eastAsia="Times New Roman" w:hAnsi="Palatino Linotype" w:cs="Times New Roman"/>
        </w:rPr>
      </w:pPr>
      <w:r w:rsidRPr="00D00188">
        <w:rPr>
          <w:rFonts w:ascii="Palatino Linotype" w:eastAsia="Times New Roman" w:hAnsi="Palatino Linotype" w:cs="Arial"/>
          <w:b/>
        </w:rPr>
        <w:t xml:space="preserve">PRIMERO. </w:t>
      </w:r>
      <w:r w:rsidRPr="00D00188">
        <w:rPr>
          <w:rFonts w:ascii="Palatino Linotype" w:eastAsia="Times New Roman" w:hAnsi="Palatino Linotype" w:cs="Arial"/>
        </w:rPr>
        <w:t>Resultan parcialmente fundadas las</w:t>
      </w:r>
      <w:r w:rsidRPr="00D00188">
        <w:rPr>
          <w:rFonts w:ascii="Palatino Linotype" w:eastAsia="Times New Roman" w:hAnsi="Palatino Linotype" w:cs="Arial"/>
          <w:b/>
        </w:rPr>
        <w:t xml:space="preserve"> </w:t>
      </w:r>
      <w:r w:rsidRPr="00D00188">
        <w:rPr>
          <w:rFonts w:ascii="Palatino Linotype" w:eastAsia="Times New Roman" w:hAnsi="Palatino Linotype" w:cs="Arial"/>
          <w:lang w:val="es-ES"/>
        </w:rPr>
        <w:t xml:space="preserve">razones o motivos de inconformidad hechos valer </w:t>
      </w:r>
      <w:r w:rsidRPr="00D00188">
        <w:rPr>
          <w:rFonts w:ascii="Palatino Linotype" w:eastAsia="Calibri" w:hAnsi="Palatino Linotype" w:cs="Arial"/>
          <w:lang w:val="es-ES"/>
        </w:rPr>
        <w:t xml:space="preserve">en el recurso de revisión </w:t>
      </w:r>
      <w:r w:rsidR="00A45D86" w:rsidRPr="00D00188">
        <w:rPr>
          <w:rFonts w:ascii="Palatino Linotype" w:hAnsi="Palatino Linotype" w:cs="Arial"/>
          <w:b/>
          <w:bCs/>
        </w:rPr>
        <w:t xml:space="preserve">00733/INFOEM/IP/RR/2021 </w:t>
      </w:r>
      <w:r w:rsidRPr="00D00188">
        <w:rPr>
          <w:rFonts w:ascii="Palatino Linotype" w:hAnsi="Palatino Linotype" w:cs="Arial"/>
          <w:bCs/>
          <w:lang w:eastAsia="es-MX"/>
        </w:rPr>
        <w:t xml:space="preserve">en términos de los </w:t>
      </w:r>
      <w:r w:rsidRPr="00D00188">
        <w:rPr>
          <w:rFonts w:ascii="Palatino Linotype" w:hAnsi="Palatino Linotype" w:cs="Arial"/>
          <w:b/>
          <w:bCs/>
          <w:lang w:eastAsia="es-MX"/>
        </w:rPr>
        <w:t xml:space="preserve">Considerandos </w:t>
      </w:r>
      <w:r w:rsidR="00047109" w:rsidRPr="00D00188">
        <w:rPr>
          <w:rFonts w:ascii="Palatino Linotype" w:hAnsi="Palatino Linotype" w:cs="Arial"/>
          <w:b/>
          <w:bCs/>
          <w:lang w:eastAsia="es-MX"/>
        </w:rPr>
        <w:t xml:space="preserve">QUINTO </w:t>
      </w:r>
      <w:r w:rsidR="00047109" w:rsidRPr="00D00188">
        <w:rPr>
          <w:rFonts w:ascii="Palatino Linotype" w:hAnsi="Palatino Linotype" w:cs="Arial"/>
          <w:bCs/>
          <w:lang w:eastAsia="es-MX"/>
        </w:rPr>
        <w:t>y</w:t>
      </w:r>
      <w:r w:rsidR="00047109" w:rsidRPr="00D00188">
        <w:rPr>
          <w:rFonts w:ascii="Palatino Linotype" w:hAnsi="Palatino Linotype" w:cs="Arial"/>
          <w:b/>
          <w:bCs/>
          <w:lang w:eastAsia="es-MX"/>
        </w:rPr>
        <w:t xml:space="preserve"> </w:t>
      </w:r>
      <w:r w:rsidRPr="00D00188">
        <w:rPr>
          <w:rFonts w:ascii="Palatino Linotype" w:hAnsi="Palatino Linotype" w:cs="Arial"/>
          <w:b/>
          <w:bCs/>
          <w:lang w:eastAsia="es-MX"/>
        </w:rPr>
        <w:t>SEXTO</w:t>
      </w:r>
      <w:r w:rsidRPr="00D00188">
        <w:rPr>
          <w:rFonts w:ascii="Palatino Linotype" w:hAnsi="Palatino Linotype" w:cs="Arial"/>
          <w:bCs/>
          <w:lang w:eastAsia="es-MX"/>
        </w:rPr>
        <w:t xml:space="preserve"> de la presente resolución.</w:t>
      </w:r>
    </w:p>
    <w:p w14:paraId="45427400" w14:textId="60C49E0F" w:rsidR="00A45D86" w:rsidRPr="00D00188" w:rsidRDefault="000F4205" w:rsidP="000F4205">
      <w:pPr>
        <w:spacing w:before="240" w:after="240" w:line="360" w:lineRule="auto"/>
        <w:jc w:val="both"/>
        <w:rPr>
          <w:rFonts w:ascii="Palatino Linotype" w:hAnsi="Palatino Linotype" w:cs="Arial"/>
          <w:bCs/>
          <w:color w:val="000000" w:themeColor="text1"/>
        </w:rPr>
      </w:pPr>
      <w:r w:rsidRPr="00D00188">
        <w:rPr>
          <w:rFonts w:ascii="Palatino Linotype" w:hAnsi="Palatino Linotype"/>
          <w:b/>
        </w:rPr>
        <w:t>SEGUNDO.</w:t>
      </w:r>
      <w:r w:rsidRPr="00D00188">
        <w:rPr>
          <w:rStyle w:val="Ttulo2Car"/>
          <w:szCs w:val="24"/>
        </w:rPr>
        <w:t xml:space="preserve"> </w:t>
      </w:r>
      <w:r w:rsidRPr="00D00188">
        <w:rPr>
          <w:rFonts w:ascii="Palatino Linotype" w:eastAsia="Calibri" w:hAnsi="Palatino Linotype" w:cs="Arial"/>
          <w:lang w:val="es-ES"/>
        </w:rPr>
        <w:t>Se</w:t>
      </w:r>
      <w:r w:rsidRPr="00D00188">
        <w:rPr>
          <w:rFonts w:ascii="Palatino Linotype" w:eastAsia="Calibri" w:hAnsi="Palatino Linotype" w:cs="Arial"/>
          <w:b/>
          <w:lang w:val="es-ES"/>
        </w:rPr>
        <w:t xml:space="preserve"> MODIFICA </w:t>
      </w:r>
      <w:r w:rsidRPr="00D00188">
        <w:rPr>
          <w:rFonts w:ascii="Palatino Linotype" w:eastAsia="Calibri" w:hAnsi="Palatino Linotype" w:cs="Arial"/>
          <w:lang w:val="es-ES"/>
        </w:rPr>
        <w:t xml:space="preserve">la respuesta emitida por el </w:t>
      </w:r>
      <w:r w:rsidR="00A45D86" w:rsidRPr="00D00188">
        <w:rPr>
          <w:rFonts w:ascii="Palatino Linotype" w:eastAsia="Calibri" w:hAnsi="Palatino Linotype" w:cs="Arial"/>
          <w:b/>
          <w:lang w:val="es-ES"/>
        </w:rPr>
        <w:t xml:space="preserve">Poder Legislativo del Estado de México </w:t>
      </w:r>
      <w:r w:rsidRPr="00D00188">
        <w:rPr>
          <w:rFonts w:ascii="Palatino Linotype" w:eastAsia="Calibri" w:hAnsi="Palatino Linotype" w:cs="Arial"/>
          <w:lang w:val="es-ES"/>
        </w:rPr>
        <w:t>y se</w:t>
      </w:r>
      <w:r w:rsidRPr="00D00188">
        <w:rPr>
          <w:rFonts w:ascii="Palatino Linotype" w:eastAsia="Calibri" w:hAnsi="Palatino Linotype" w:cs="Arial"/>
          <w:b/>
          <w:lang w:val="es-ES"/>
        </w:rPr>
        <w:t xml:space="preserve"> ORDENA </w:t>
      </w:r>
      <w:r w:rsidRPr="00D00188">
        <w:rPr>
          <w:rFonts w:ascii="Palatino Linotype" w:eastAsia="Times New Roman" w:hAnsi="Palatino Linotype" w:cs="Arial"/>
          <w:color w:val="000000" w:themeColor="text1"/>
          <w:lang w:val="es-ES"/>
        </w:rPr>
        <w:t>entregar vía Sistema de Acceso a la Información Mexiquense (SAIMEX)</w:t>
      </w:r>
      <w:r w:rsidRPr="00D00188">
        <w:rPr>
          <w:rFonts w:ascii="Palatino Linotype" w:eastAsia="Times New Roman" w:hAnsi="Palatino Linotype" w:cs="Arial"/>
          <w:b/>
          <w:color w:val="000000" w:themeColor="text1"/>
          <w:lang w:val="es-ES"/>
        </w:rPr>
        <w:t>,</w:t>
      </w:r>
      <w:r w:rsidRPr="00D00188">
        <w:rPr>
          <w:rFonts w:ascii="Palatino Linotype" w:eastAsia="Times New Roman" w:hAnsi="Palatino Linotype" w:cs="Arial"/>
          <w:color w:val="000000" w:themeColor="text1"/>
          <w:lang w:val="es-ES"/>
        </w:rPr>
        <w:t xml:space="preserve"> en su caso en versión pública, la siguiente </w:t>
      </w:r>
      <w:r w:rsidRPr="00D00188">
        <w:rPr>
          <w:rFonts w:ascii="Palatino Linotype" w:hAnsi="Palatino Linotype" w:cs="Arial"/>
          <w:bCs/>
          <w:color w:val="000000" w:themeColor="text1"/>
        </w:rPr>
        <w:t>información:</w:t>
      </w:r>
    </w:p>
    <w:p w14:paraId="2300737B" w14:textId="455DA786" w:rsidR="000F4205" w:rsidRPr="00D00188" w:rsidRDefault="00A45D86" w:rsidP="000F4CEC">
      <w:pPr>
        <w:pStyle w:val="Prrafodelista"/>
        <w:numPr>
          <w:ilvl w:val="1"/>
          <w:numId w:val="25"/>
        </w:numPr>
        <w:spacing w:before="240" w:after="240" w:line="360" w:lineRule="auto"/>
        <w:ind w:left="567" w:right="567" w:firstLine="0"/>
        <w:jc w:val="both"/>
        <w:rPr>
          <w:rFonts w:ascii="Palatino Linotype" w:hAnsi="Palatino Linotype" w:cs="Arial"/>
          <w:b/>
          <w:bCs/>
          <w:color w:val="000000" w:themeColor="text1"/>
        </w:rPr>
      </w:pPr>
      <w:r w:rsidRPr="00D00188">
        <w:rPr>
          <w:rFonts w:ascii="Palatino Linotype" w:hAnsi="Palatino Linotype"/>
          <w:b/>
          <w:color w:val="000000"/>
        </w:rPr>
        <w:t>Los lineamientos, manuales, circulares y formatos</w:t>
      </w:r>
      <w:r w:rsidRPr="00D00188">
        <w:rPr>
          <w:rFonts w:ascii="Palatino Linotype" w:hAnsi="Palatino Linotype"/>
          <w:b/>
        </w:rPr>
        <w:t xml:space="preserve"> generados para dar seguimiento y cumplimiento a la Ley de Amnistía del Estado de México.</w:t>
      </w:r>
    </w:p>
    <w:p w14:paraId="635B00AF" w14:textId="7A7C9181" w:rsidR="000F4205" w:rsidRPr="00D00188" w:rsidRDefault="00A45D86" w:rsidP="000F4CEC">
      <w:pPr>
        <w:pStyle w:val="Prrafodelista"/>
        <w:numPr>
          <w:ilvl w:val="1"/>
          <w:numId w:val="25"/>
        </w:numPr>
        <w:spacing w:before="240" w:after="240" w:line="360" w:lineRule="auto"/>
        <w:ind w:left="567" w:right="567" w:firstLine="0"/>
        <w:jc w:val="both"/>
        <w:rPr>
          <w:rFonts w:ascii="Palatino Linotype" w:hAnsi="Palatino Linotype"/>
          <w:b/>
        </w:rPr>
      </w:pPr>
      <w:r w:rsidRPr="00D00188">
        <w:rPr>
          <w:rFonts w:ascii="Palatino Linotype" w:hAnsi="Palatino Linotype"/>
          <w:b/>
        </w:rPr>
        <w:t>En su caso, el o los documento(s) en donde consten los parámetros de implementación de la Comisión de Amnistía durante la contingencia por el coronavirus SARS-Cov-2 (</w:t>
      </w:r>
      <w:proofErr w:type="spellStart"/>
      <w:r w:rsidRPr="00D00188">
        <w:rPr>
          <w:rFonts w:ascii="Palatino Linotype" w:hAnsi="Palatino Linotype"/>
          <w:b/>
        </w:rPr>
        <w:t>Covid</w:t>
      </w:r>
      <w:proofErr w:type="spellEnd"/>
      <w:r w:rsidRPr="00D00188">
        <w:rPr>
          <w:rFonts w:ascii="Palatino Linotype" w:hAnsi="Palatino Linotype"/>
          <w:b/>
        </w:rPr>
        <w:t xml:space="preserve"> 19).</w:t>
      </w:r>
    </w:p>
    <w:p w14:paraId="353632F6" w14:textId="77777777" w:rsidR="000F4205" w:rsidRPr="00D00188" w:rsidRDefault="000F4205" w:rsidP="0093340D">
      <w:pPr>
        <w:spacing w:line="360" w:lineRule="auto"/>
        <w:jc w:val="both"/>
        <w:rPr>
          <w:rFonts w:ascii="Palatino Linotype" w:hAnsi="Palatino Linotype"/>
          <w:szCs w:val="22"/>
        </w:rPr>
      </w:pPr>
      <w:r w:rsidRPr="00D0018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00188">
        <w:rPr>
          <w:rFonts w:ascii="Palatino Linotype" w:eastAsia="Times New Roman" w:hAnsi="Palatino Linotype" w:cs="Times New Roman"/>
        </w:rPr>
        <w:t>l recurrente</w:t>
      </w:r>
      <w:r w:rsidRPr="00D00188">
        <w:rPr>
          <w:rFonts w:ascii="Palatino Linotype" w:hAnsi="Palatino Linotype"/>
          <w:szCs w:val="22"/>
        </w:rPr>
        <w:t>.</w:t>
      </w:r>
    </w:p>
    <w:p w14:paraId="0E6AEBEF" w14:textId="77777777" w:rsidR="00776CA1" w:rsidRPr="00D00188" w:rsidRDefault="00776CA1" w:rsidP="000F4CEC">
      <w:pPr>
        <w:spacing w:line="360" w:lineRule="auto"/>
        <w:ind w:left="567" w:right="567"/>
        <w:jc w:val="both"/>
        <w:rPr>
          <w:rFonts w:ascii="Palatino Linotype" w:hAnsi="Palatino Linotype"/>
          <w:szCs w:val="22"/>
        </w:rPr>
      </w:pPr>
    </w:p>
    <w:p w14:paraId="297394D7" w14:textId="07653E05" w:rsidR="000F4CEC" w:rsidRPr="00D00188" w:rsidRDefault="000F4CEC" w:rsidP="0093340D">
      <w:pPr>
        <w:spacing w:line="360" w:lineRule="auto"/>
        <w:jc w:val="both"/>
        <w:rPr>
          <w:rFonts w:ascii="Palatino Linotype" w:hAnsi="Palatino Linotype"/>
        </w:rPr>
      </w:pPr>
      <w:r w:rsidRPr="00D00188">
        <w:rPr>
          <w:rFonts w:ascii="Palatino Linotype" w:hAnsi="Palatino Linotype"/>
        </w:rPr>
        <w:lastRenderedPageBreak/>
        <w:t>Para el caso de que la información señalada en el inciso b), no haya sido generada, poseída o administrada, el</w:t>
      </w:r>
      <w:r w:rsidRPr="00D00188">
        <w:t xml:space="preserve"> </w:t>
      </w:r>
      <w:r w:rsidRPr="00D00188">
        <w:rPr>
          <w:rFonts w:ascii="Palatino Linotype" w:hAnsi="Palatino Linotype"/>
        </w:rPr>
        <w:t>SUJETO OBLIGADO</w:t>
      </w:r>
      <w:r w:rsidRPr="00D00188">
        <w:t xml:space="preserve"> </w:t>
      </w:r>
      <w:r w:rsidRPr="00D00188">
        <w:rPr>
          <w:rFonts w:ascii="Palatino Linotype" w:hAnsi="Palatino Linotype"/>
        </w:rPr>
        <w:t>deberá explicar las causas por las que no se cuente con la información requerida.</w:t>
      </w:r>
    </w:p>
    <w:p w14:paraId="493CEA8E" w14:textId="77777777" w:rsidR="00776CA1" w:rsidRPr="00D00188" w:rsidRDefault="00776CA1" w:rsidP="000F4205">
      <w:pPr>
        <w:spacing w:line="360" w:lineRule="auto"/>
        <w:ind w:right="567"/>
        <w:jc w:val="both"/>
        <w:rPr>
          <w:rFonts w:ascii="Palatino Linotype" w:hAnsi="Palatino Linotype"/>
          <w:szCs w:val="22"/>
        </w:rPr>
      </w:pPr>
    </w:p>
    <w:p w14:paraId="71813111" w14:textId="77777777" w:rsidR="000F4205" w:rsidRPr="00D00188" w:rsidRDefault="000F4205" w:rsidP="000F4205">
      <w:pPr>
        <w:tabs>
          <w:tab w:val="left" w:pos="8080"/>
        </w:tabs>
        <w:spacing w:line="360" w:lineRule="auto"/>
        <w:ind w:right="49"/>
        <w:contextualSpacing/>
        <w:jc w:val="both"/>
        <w:rPr>
          <w:rFonts w:ascii="Palatino Linotype" w:eastAsia="Palatino Linotype" w:hAnsi="Palatino Linotype" w:cs="Palatino Linotype"/>
          <w:b/>
        </w:rPr>
      </w:pPr>
      <w:r w:rsidRPr="00D00188">
        <w:rPr>
          <w:rFonts w:ascii="Palatino Linotype" w:eastAsia="Palatino Linotype" w:hAnsi="Palatino Linotype" w:cs="Palatino Linotype"/>
          <w:b/>
        </w:rPr>
        <w:t xml:space="preserve">TERCERO. Notifíquese </w:t>
      </w:r>
      <w:r w:rsidRPr="00D00188">
        <w:rPr>
          <w:rFonts w:ascii="Palatino Linotype" w:eastAsia="Palatino Linotype" w:hAnsi="Palatino Linotype" w:cs="Palatino Linotype"/>
        </w:rPr>
        <w:t xml:space="preserve">al Titular de la Unidad de Transparencia del </w:t>
      </w:r>
      <w:r w:rsidRPr="00D00188">
        <w:rPr>
          <w:rFonts w:ascii="Palatino Linotype" w:eastAsia="Palatino Linotype" w:hAnsi="Palatino Linotype" w:cs="Palatino Linotype"/>
          <w:b/>
        </w:rPr>
        <w:t>SUJETO OBLIGADO</w:t>
      </w:r>
      <w:r w:rsidRPr="00D0018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0018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4445230" w14:textId="77777777" w:rsidR="000F4205" w:rsidRPr="00D00188" w:rsidRDefault="000F4205" w:rsidP="000F4205">
      <w:pPr>
        <w:tabs>
          <w:tab w:val="left" w:pos="8080"/>
        </w:tabs>
        <w:spacing w:line="360" w:lineRule="auto"/>
        <w:ind w:right="49"/>
        <w:contextualSpacing/>
        <w:jc w:val="both"/>
        <w:rPr>
          <w:rFonts w:ascii="Palatino Linotype" w:eastAsia="Palatino Linotype" w:hAnsi="Palatino Linotype" w:cs="Palatino Linotype"/>
          <w:b/>
        </w:rPr>
      </w:pPr>
    </w:p>
    <w:p w14:paraId="4C11BC66" w14:textId="77777777" w:rsidR="000F4205" w:rsidRPr="00D00188" w:rsidRDefault="000F4205" w:rsidP="000F4205">
      <w:pPr>
        <w:shd w:val="clear" w:color="auto" w:fill="FFFFFF"/>
        <w:spacing w:line="360" w:lineRule="auto"/>
        <w:jc w:val="both"/>
        <w:rPr>
          <w:rFonts w:ascii="Palatino Linotype" w:hAnsi="Palatino Linotype"/>
        </w:rPr>
      </w:pPr>
      <w:r w:rsidRPr="00D00188">
        <w:rPr>
          <w:rFonts w:ascii="Palatino Linotype" w:eastAsia="Times New Roman" w:hAnsi="Palatino Linotype" w:cs="Arial"/>
          <w:b/>
        </w:rPr>
        <w:t xml:space="preserve">CUARTO. </w:t>
      </w:r>
      <w:r w:rsidRPr="00D00188">
        <w:rPr>
          <w:rFonts w:ascii="Palatino Linotype" w:eastAsia="Times New Roman" w:hAnsi="Palatino Linotype" w:cs="Times New Roman"/>
          <w:b/>
          <w:bCs/>
          <w:color w:val="222222"/>
          <w:lang w:val="es-ES"/>
        </w:rPr>
        <w:t>Notifíquese</w:t>
      </w:r>
      <w:r w:rsidRPr="00D00188">
        <w:rPr>
          <w:rFonts w:ascii="Palatino Linotype" w:eastAsia="Times New Roman" w:hAnsi="Palatino Linotype" w:cs="Times New Roman"/>
          <w:bCs/>
          <w:color w:val="222222"/>
          <w:lang w:val="es-ES"/>
        </w:rPr>
        <w:t xml:space="preserve"> a</w:t>
      </w:r>
      <w:r w:rsidRPr="00D00188">
        <w:rPr>
          <w:rFonts w:ascii="Palatino Linotype" w:hAnsi="Palatino Linotype"/>
          <w:b/>
        </w:rPr>
        <w:t xml:space="preserve"> </w:t>
      </w:r>
      <w:r w:rsidRPr="00D00188">
        <w:rPr>
          <w:rFonts w:ascii="Palatino Linotype" w:hAnsi="Palatino Linotype"/>
        </w:rPr>
        <w:t>la parte recurrente</w:t>
      </w:r>
      <w:r w:rsidRPr="00D00188">
        <w:rPr>
          <w:rFonts w:ascii="Palatino Linotype" w:hAnsi="Palatino Linotype"/>
          <w:b/>
        </w:rPr>
        <w:t xml:space="preserve"> </w:t>
      </w:r>
      <w:r w:rsidRPr="00D00188">
        <w:rPr>
          <w:rFonts w:ascii="Palatino Linotype" w:hAnsi="Palatino Linotype"/>
        </w:rPr>
        <w:t xml:space="preserve">la presente resolución. </w:t>
      </w:r>
    </w:p>
    <w:p w14:paraId="5F758166" w14:textId="77777777" w:rsidR="000F4205" w:rsidRPr="00D00188" w:rsidRDefault="000F4205" w:rsidP="000F4205">
      <w:pPr>
        <w:shd w:val="clear" w:color="auto" w:fill="FFFFFF"/>
        <w:spacing w:line="360" w:lineRule="auto"/>
        <w:jc w:val="both"/>
        <w:rPr>
          <w:rFonts w:ascii="Palatino Linotype" w:hAnsi="Palatino Linotype"/>
        </w:rPr>
      </w:pPr>
    </w:p>
    <w:p w14:paraId="39F218EC" w14:textId="77777777" w:rsidR="000F4205" w:rsidRPr="00D00188" w:rsidRDefault="000F4205" w:rsidP="000F4205">
      <w:pPr>
        <w:spacing w:line="360" w:lineRule="auto"/>
        <w:jc w:val="both"/>
        <w:rPr>
          <w:rFonts w:ascii="Palatino Linotype" w:eastAsia="MS Mincho" w:hAnsi="Palatino Linotype" w:cs="Times New Roman"/>
          <w:lang w:val="es-ES"/>
        </w:rPr>
      </w:pPr>
      <w:r w:rsidRPr="00D00188">
        <w:rPr>
          <w:rFonts w:ascii="Palatino Linotype" w:eastAsia="MS Mincho" w:hAnsi="Palatino Linotype" w:cs="Times New Roman"/>
          <w:b/>
          <w:lang w:val="es-MX"/>
        </w:rPr>
        <w:t>QUINTO.</w:t>
      </w:r>
      <w:r w:rsidRPr="00D00188">
        <w:rPr>
          <w:rFonts w:ascii="Palatino Linotype" w:eastAsia="MS Mincho" w:hAnsi="Palatino Linotype" w:cs="Times New Roman"/>
          <w:lang w:val="es-MX"/>
        </w:rPr>
        <w:t xml:space="preserve"> </w:t>
      </w:r>
      <w:r w:rsidRPr="00D00188">
        <w:rPr>
          <w:rFonts w:ascii="Palatino Linotype" w:eastAsia="MS Mincho" w:hAnsi="Palatino Linotype" w:cs="Times New Roman"/>
          <w:lang w:val="es-ES"/>
        </w:rPr>
        <w:t xml:space="preserve">Se hace del conocimiento de </w:t>
      </w:r>
      <w:r w:rsidRPr="00D00188">
        <w:rPr>
          <w:rFonts w:ascii="Palatino Linotype" w:hAnsi="Palatino Linotype"/>
        </w:rPr>
        <w:t>la parte recurrente</w:t>
      </w:r>
      <w:r w:rsidRPr="00D00188">
        <w:rPr>
          <w:rFonts w:ascii="Palatino Linotype" w:hAnsi="Palatino Linotype"/>
          <w:b/>
        </w:rPr>
        <w:t xml:space="preserve"> </w:t>
      </w:r>
      <w:r w:rsidRPr="00D00188">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00188">
        <w:rPr>
          <w:rFonts w:ascii="Palatino Linotype" w:eastAsia="MS Mincho" w:hAnsi="Palatino Linotype" w:cs="Times New Roman"/>
          <w:bCs/>
          <w:lang w:val="es-ES"/>
        </w:rPr>
        <w:t>vía juicio de amparo</w:t>
      </w:r>
      <w:r w:rsidRPr="00D00188">
        <w:rPr>
          <w:rFonts w:ascii="Palatino Linotype" w:eastAsia="MS Mincho" w:hAnsi="Palatino Linotype" w:cs="Times New Roman"/>
          <w:lang w:val="es-ES"/>
        </w:rPr>
        <w:t xml:space="preserve"> en los términos de las leyes aplicables.</w:t>
      </w:r>
    </w:p>
    <w:p w14:paraId="17B2DAAC" w14:textId="77777777" w:rsidR="000F4205" w:rsidRPr="00D00188" w:rsidRDefault="000F4205" w:rsidP="000F4205">
      <w:pPr>
        <w:spacing w:line="360" w:lineRule="auto"/>
        <w:jc w:val="both"/>
        <w:rPr>
          <w:rFonts w:ascii="Palatino Linotype" w:eastAsia="MS Mincho" w:hAnsi="Palatino Linotype" w:cs="Times New Roman"/>
          <w:lang w:val="es-ES"/>
        </w:rPr>
      </w:pPr>
    </w:p>
    <w:p w14:paraId="437BB028" w14:textId="77777777" w:rsidR="000F4205" w:rsidRPr="00D00188" w:rsidRDefault="000F4205" w:rsidP="000F4205">
      <w:pPr>
        <w:spacing w:line="360" w:lineRule="auto"/>
        <w:jc w:val="both"/>
        <w:rPr>
          <w:rFonts w:ascii="Palatino Linotype" w:hAnsi="Palatino Linotype"/>
          <w:color w:val="000000"/>
          <w:shd w:val="clear" w:color="auto" w:fill="FFFFFF"/>
        </w:rPr>
      </w:pPr>
      <w:r w:rsidRPr="00D00188">
        <w:rPr>
          <w:rFonts w:ascii="Palatino Linotype" w:eastAsia="MS Mincho" w:hAnsi="Palatino Linotype" w:cs="Times New Roman"/>
          <w:b/>
          <w:lang w:val="es-ES"/>
        </w:rPr>
        <w:t>SEXTO.</w:t>
      </w:r>
      <w:r w:rsidRPr="00D00188">
        <w:rPr>
          <w:rFonts w:ascii="Palatino Linotype" w:eastAsia="MS Mincho" w:hAnsi="Palatino Linotype" w:cs="Times New Roman"/>
          <w:lang w:val="es-ES"/>
        </w:rPr>
        <w:t xml:space="preserve"> </w:t>
      </w:r>
      <w:r w:rsidRPr="00D00188">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D00188">
        <w:rPr>
          <w:rFonts w:ascii="Palatino Linotype" w:hAnsi="Palatino Linotype"/>
          <w:b/>
          <w:bCs/>
          <w:color w:val="000000"/>
          <w:shd w:val="clear" w:color="auto" w:fill="FFFFFF"/>
        </w:rPr>
        <w:t>SUJETO OBLIGADO</w:t>
      </w:r>
      <w:r w:rsidRPr="00D0018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7B21C6CB" w14:textId="77777777" w:rsidR="000F4205" w:rsidRPr="00D00188" w:rsidRDefault="000F4205" w:rsidP="000F4205">
      <w:pPr>
        <w:spacing w:line="360" w:lineRule="auto"/>
        <w:ind w:right="48"/>
        <w:jc w:val="both"/>
        <w:rPr>
          <w:rFonts w:ascii="Palatino Linotype" w:hAnsi="Palatino Linotype"/>
          <w:b/>
          <w:color w:val="000000"/>
          <w:shd w:val="clear" w:color="auto" w:fill="FFFFFF"/>
        </w:rPr>
      </w:pPr>
    </w:p>
    <w:p w14:paraId="59D458E6" w14:textId="77777777" w:rsidR="000F4205" w:rsidRPr="00D00188" w:rsidRDefault="000F4205" w:rsidP="000F4205">
      <w:pPr>
        <w:spacing w:line="360" w:lineRule="auto"/>
        <w:ind w:right="48"/>
        <w:jc w:val="both"/>
        <w:rPr>
          <w:rFonts w:ascii="Palatino Linotype" w:eastAsia="Calibri" w:hAnsi="Palatino Linotype" w:cs="Arial"/>
          <w:bCs/>
        </w:rPr>
      </w:pPr>
      <w:r w:rsidRPr="00D00188">
        <w:rPr>
          <w:rFonts w:ascii="Palatino Linotype" w:hAnsi="Palatino Linotype"/>
          <w:b/>
          <w:color w:val="000000"/>
          <w:shd w:val="clear" w:color="auto" w:fill="FFFFFF"/>
        </w:rPr>
        <w:t xml:space="preserve">SÉPTIMO. </w:t>
      </w:r>
      <w:r w:rsidRPr="00D0018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D00188"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4E995575" w:rsidR="004C3391" w:rsidRDefault="004C3391" w:rsidP="006229F8">
      <w:pPr>
        <w:spacing w:line="360" w:lineRule="auto"/>
        <w:jc w:val="both"/>
        <w:rPr>
          <w:rFonts w:ascii="Palatino Linotype" w:hAnsi="Palatino Linotype" w:cs="Arial"/>
        </w:rPr>
      </w:pPr>
      <w:r w:rsidRPr="00D00188">
        <w:rPr>
          <w:rFonts w:ascii="Palatino Linotype" w:hAnsi="Palatino Linotype" w:cs="Arial"/>
        </w:rPr>
        <w:t>ASÍ LO RESUELVE, POR UNANIMIDAD DE VOTOS, EL PLENO DEL</w:t>
      </w:r>
      <w:r w:rsidRPr="00D00188">
        <w:rPr>
          <w:rFonts w:ascii="Palatino Linotype" w:eastAsia="Arial Unicode MS" w:hAnsi="Palatino Linotype" w:cs="Arial"/>
        </w:rPr>
        <w:t xml:space="preserve"> INSTITUTO DE TRANSPARENCIA, ACCESO A LA INFORMACIÓN PÚBLICA Y PROTECCIÓN DE DATOS PERSONALES DEL ESTADO DE MÉXICO Y MUNICIPIOS</w:t>
      </w:r>
      <w:r w:rsidRPr="00D00188">
        <w:rPr>
          <w:rFonts w:ascii="Palatino Linotype" w:hAnsi="Palatino Linotype" w:cs="Arial"/>
        </w:rPr>
        <w:t xml:space="preserve">, CONFORMADO POR LOS COMISIONADOS ZULEMA MARTÍNEZ SÁNCHEZ, EVA ABAID YAPUR, JOSÉ GUADALUPE LUNA HERNÁNDEZ, JAVIER MARTÍNEZ CRUZ Y LUIS GUSTAVO PARRA NORIEGA, EN LA </w:t>
      </w:r>
      <w:r w:rsidR="00D00188">
        <w:rPr>
          <w:rFonts w:ascii="Palatino Linotype" w:hAnsi="Palatino Linotype" w:cs="Arial"/>
        </w:rPr>
        <w:t>DÉCIMA SÉPTIMA</w:t>
      </w:r>
      <w:r w:rsidRPr="00D00188">
        <w:rPr>
          <w:rFonts w:ascii="Palatino Linotype" w:hAnsi="Palatino Linotype" w:cs="Arial"/>
        </w:rPr>
        <w:t xml:space="preserve"> SESIÓN ORDINARIA CELEBRADA EL </w:t>
      </w:r>
      <w:r w:rsidR="00D00188">
        <w:rPr>
          <w:rFonts w:ascii="Palatino Linotype" w:eastAsia="Times New Roman" w:hAnsi="Palatino Linotype" w:cs="Arial"/>
          <w:color w:val="000000"/>
          <w:lang w:eastAsia="es-MX"/>
        </w:rPr>
        <w:t>DIECINUEVE (19)</w:t>
      </w:r>
      <w:r w:rsidRPr="00D00188">
        <w:rPr>
          <w:rFonts w:ascii="Palatino Linotype" w:eastAsia="Times New Roman" w:hAnsi="Palatino Linotype" w:cs="Arial"/>
          <w:color w:val="000000"/>
          <w:lang w:eastAsia="es-MX"/>
        </w:rPr>
        <w:t xml:space="preserve"> DE </w:t>
      </w:r>
      <w:r w:rsidR="00143EF7" w:rsidRPr="00D00188">
        <w:rPr>
          <w:rFonts w:ascii="Palatino Linotype" w:eastAsia="Times New Roman" w:hAnsi="Palatino Linotype" w:cs="Arial"/>
          <w:color w:val="000000"/>
          <w:lang w:eastAsia="es-MX"/>
        </w:rPr>
        <w:t>MA</w:t>
      </w:r>
      <w:r w:rsidR="00A45D86" w:rsidRPr="00D00188">
        <w:rPr>
          <w:rFonts w:ascii="Palatino Linotype" w:eastAsia="Times New Roman" w:hAnsi="Palatino Linotype" w:cs="Arial"/>
          <w:color w:val="000000"/>
          <w:lang w:eastAsia="es-MX"/>
        </w:rPr>
        <w:t>Y</w:t>
      </w:r>
      <w:r w:rsidR="00143EF7" w:rsidRPr="00D00188">
        <w:rPr>
          <w:rFonts w:ascii="Palatino Linotype" w:eastAsia="Times New Roman" w:hAnsi="Palatino Linotype" w:cs="Arial"/>
          <w:color w:val="000000"/>
          <w:lang w:eastAsia="es-MX"/>
        </w:rPr>
        <w:t>O</w:t>
      </w:r>
      <w:r w:rsidRPr="00D00188">
        <w:rPr>
          <w:rFonts w:ascii="Palatino Linotype" w:eastAsia="Times New Roman" w:hAnsi="Palatino Linotype" w:cs="Arial"/>
          <w:color w:val="000000"/>
          <w:lang w:eastAsia="es-MX"/>
        </w:rPr>
        <w:t xml:space="preserve"> DE</w:t>
      </w:r>
      <w:r w:rsidRPr="00D00188">
        <w:rPr>
          <w:rFonts w:ascii="Palatino Linotype" w:hAnsi="Palatino Linotype" w:cs="Arial"/>
        </w:rPr>
        <w:t xml:space="preserve"> DOS MIL </w:t>
      </w:r>
      <w:r w:rsidR="00C24965" w:rsidRPr="00D00188">
        <w:rPr>
          <w:rFonts w:ascii="Palatino Linotype" w:hAnsi="Palatino Linotype" w:cs="Arial"/>
        </w:rPr>
        <w:t>VEINT</w:t>
      </w:r>
      <w:r w:rsidR="00143EF7" w:rsidRPr="00D00188">
        <w:rPr>
          <w:rFonts w:ascii="Palatino Linotype" w:hAnsi="Palatino Linotype" w:cs="Arial"/>
        </w:rPr>
        <w:t>IUNO</w:t>
      </w:r>
      <w:r w:rsidRPr="00D00188">
        <w:rPr>
          <w:rFonts w:ascii="Palatino Linotype" w:hAnsi="Palatino Linotype" w:cs="Arial"/>
        </w:rPr>
        <w:t>, ANTE EL SECRETARIO TÉCNICO DEL PLENO, ALEXIS TAPIA RAMÍREZ.</w:t>
      </w:r>
    </w:p>
    <w:p w14:paraId="6B705938" w14:textId="03D24C40" w:rsidR="00D00188" w:rsidRDefault="00D00188" w:rsidP="006229F8">
      <w:pPr>
        <w:spacing w:line="360" w:lineRule="auto"/>
        <w:jc w:val="both"/>
        <w:rPr>
          <w:rFonts w:ascii="Palatino Linotype" w:hAnsi="Palatino Linotype"/>
        </w:rPr>
      </w:pPr>
    </w:p>
    <w:p w14:paraId="35C3DD36" w14:textId="77777777" w:rsidR="00D00188" w:rsidRDefault="00D00188">
      <w:pPr>
        <w:rPr>
          <w:rFonts w:ascii="Palatino Linotype" w:hAnsi="Palatino Linotype"/>
        </w:rPr>
      </w:pPr>
      <w:r>
        <w:rPr>
          <w:rFonts w:ascii="Palatino Linotype" w:hAnsi="Palatino Linotype"/>
        </w:rPr>
        <w:br w:type="page"/>
      </w:r>
    </w:p>
    <w:bookmarkEnd w:id="0"/>
    <w:bookmarkEnd w:id="1"/>
    <w:bookmarkEnd w:id="2"/>
    <w:bookmarkEnd w:id="3"/>
    <w:p w14:paraId="052F54BB" w14:textId="77777777" w:rsidR="00D00188" w:rsidRPr="00D00188" w:rsidRDefault="00D00188" w:rsidP="006229F8">
      <w:pPr>
        <w:spacing w:line="360" w:lineRule="auto"/>
        <w:jc w:val="both"/>
        <w:rPr>
          <w:rFonts w:ascii="Palatino Linotype" w:hAnsi="Palatino Linotype"/>
        </w:rPr>
      </w:pPr>
    </w:p>
    <w:sectPr w:rsidR="00D00188" w:rsidRPr="00D00188"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1892" w14:textId="77777777" w:rsidR="002B6D79" w:rsidRDefault="002B6D79" w:rsidP="00587366">
      <w:r>
        <w:separator/>
      </w:r>
    </w:p>
    <w:p w14:paraId="22665F19" w14:textId="77777777" w:rsidR="002B6D79" w:rsidRDefault="002B6D79"/>
  </w:endnote>
  <w:endnote w:type="continuationSeparator" w:id="0">
    <w:p w14:paraId="5D56A966" w14:textId="77777777" w:rsidR="002B6D79" w:rsidRDefault="002B6D79" w:rsidP="00587366">
      <w:r>
        <w:continuationSeparator/>
      </w:r>
    </w:p>
    <w:p w14:paraId="60AD8C76" w14:textId="77777777" w:rsidR="002B6D79" w:rsidRDefault="002B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0F4205" w:rsidRDefault="000F420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0188">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0188">
              <w:rPr>
                <w:rFonts w:ascii="Palatino Linotype" w:hAnsi="Palatino Linotype"/>
                <w:b/>
                <w:bCs/>
                <w:noProof/>
                <w:sz w:val="22"/>
                <w:szCs w:val="20"/>
              </w:rPr>
              <w:t>45</w:t>
            </w:r>
            <w:r w:rsidRPr="00883450">
              <w:rPr>
                <w:rFonts w:ascii="Palatino Linotype" w:hAnsi="Palatino Linotype"/>
                <w:b/>
                <w:bCs/>
                <w:sz w:val="22"/>
                <w:szCs w:val="20"/>
              </w:rPr>
              <w:fldChar w:fldCharType="end"/>
            </w:r>
          </w:p>
          <w:p w14:paraId="187818B4" w14:textId="42E0FFCB" w:rsidR="000F4205" w:rsidRDefault="00F952BC" w:rsidP="00985DA6">
            <w:pPr>
              <w:pStyle w:val="Piedepgina"/>
              <w:rPr>
                <w:rFonts w:ascii="Palatino Linotype" w:hAnsi="Palatino Linotype"/>
                <w:sz w:val="28"/>
              </w:rPr>
            </w:pPr>
          </w:p>
        </w:sdtContent>
      </w:sdt>
    </w:sdtContent>
  </w:sdt>
  <w:p w14:paraId="1AED78E8" w14:textId="77777777" w:rsidR="000F4205" w:rsidRDefault="000F42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0F4205" w:rsidRPr="00883450" w:rsidRDefault="000F42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00188" w:rsidRPr="00D0018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00188" w:rsidRPr="00D00188">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0F4205" w:rsidRPr="00883450" w:rsidRDefault="000F4205">
    <w:pPr>
      <w:pStyle w:val="Piedepgina"/>
      <w:rPr>
        <w:rFonts w:ascii="Palatino Linotype" w:hAnsi="Palatino Linotype"/>
        <w:sz w:val="22"/>
        <w:szCs w:val="22"/>
      </w:rPr>
    </w:pPr>
  </w:p>
  <w:p w14:paraId="2E09EA83" w14:textId="77777777" w:rsidR="000F4205" w:rsidRDefault="000F42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F7EB" w14:textId="77777777" w:rsidR="002B6D79" w:rsidRDefault="002B6D79" w:rsidP="00587366">
      <w:r>
        <w:separator/>
      </w:r>
    </w:p>
    <w:p w14:paraId="52D2B2BC" w14:textId="77777777" w:rsidR="002B6D79" w:rsidRDefault="002B6D79"/>
  </w:footnote>
  <w:footnote w:type="continuationSeparator" w:id="0">
    <w:p w14:paraId="72E01E72" w14:textId="77777777" w:rsidR="002B6D79" w:rsidRDefault="002B6D79" w:rsidP="00587366">
      <w:r>
        <w:continuationSeparator/>
      </w:r>
    </w:p>
    <w:p w14:paraId="1AFCE3CB" w14:textId="77777777" w:rsidR="002B6D79" w:rsidRDefault="002B6D79"/>
  </w:footnote>
  <w:footnote w:id="1">
    <w:p w14:paraId="0A825A1D" w14:textId="77777777" w:rsidR="000F4CEC" w:rsidRPr="00C102FA" w:rsidRDefault="000F4CEC" w:rsidP="000F4CEC">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1428A709" w14:textId="77777777" w:rsidR="000F4205" w:rsidRDefault="000F4205" w:rsidP="00315B19">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69CBDF7" w14:textId="77777777" w:rsidR="000F4205" w:rsidRDefault="000F4205" w:rsidP="00315B19">
      <w:pPr>
        <w:jc w:val="both"/>
        <w:rPr>
          <w:rFonts w:asciiTheme="majorHAnsi" w:hAnsiTheme="majorHAnsi"/>
          <w:i/>
          <w:sz w:val="20"/>
          <w:szCs w:val="20"/>
        </w:rPr>
      </w:pPr>
      <w:r>
        <w:rPr>
          <w:rFonts w:asciiTheme="majorHAnsi" w:hAnsiTheme="majorHAnsi"/>
          <w:i/>
          <w:sz w:val="20"/>
          <w:szCs w:val="20"/>
        </w:rPr>
        <w:t xml:space="preserve">Expedientes: 0438/08 Pemex Exploración y Producción – Alonso Lujambio Irazábal 1751/09 Laboratorios de Biológicos y Reactivos de México S.A. de C.V. – María </w:t>
      </w:r>
      <w:r>
        <w:rPr>
          <w:rFonts w:asciiTheme="majorHAnsi" w:hAnsiTheme="majorHAnsi"/>
          <w:i/>
          <w:sz w:val="20"/>
          <w:szCs w:val="20"/>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76309853" w14:textId="77777777" w:rsidR="000F4205" w:rsidRDefault="000F4205" w:rsidP="00315B19">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4">
    <w:p w14:paraId="426352D6" w14:textId="77777777" w:rsidR="000F4205" w:rsidRPr="009020DD" w:rsidRDefault="000F4205" w:rsidP="000F4205">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76DA911" w14:textId="77777777" w:rsidR="000F4205" w:rsidRPr="009020DD" w:rsidRDefault="000F4205" w:rsidP="000F4205">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4FBDC66" w14:textId="77777777" w:rsidR="000F4205" w:rsidRPr="009020DD" w:rsidRDefault="000F4205" w:rsidP="000F4205">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5">
    <w:p w14:paraId="0D430C33" w14:textId="77777777" w:rsidR="000F4205" w:rsidRDefault="000F4205" w:rsidP="000F4205">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6037BD84" w14:textId="77777777" w:rsidR="000F4205" w:rsidRDefault="000F4205" w:rsidP="000F4205">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56E6B9C" w14:textId="77777777" w:rsidR="000F4205" w:rsidRDefault="000F4205" w:rsidP="000F4205">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82326C7" w14:textId="77777777" w:rsidR="000F4205" w:rsidRDefault="000F4205" w:rsidP="000F4205">
      <w:pPr>
        <w:autoSpaceDE w:val="0"/>
        <w:autoSpaceDN w:val="0"/>
        <w:adjustRightInd w:val="0"/>
        <w:jc w:val="both"/>
      </w:pPr>
    </w:p>
  </w:footnote>
  <w:footnote w:id="6">
    <w:p w14:paraId="4793515F" w14:textId="77777777" w:rsidR="000F4205" w:rsidRDefault="000F4205" w:rsidP="000F4205">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9A2E" w14:textId="2E54D3D9" w:rsidR="00D00188" w:rsidRDefault="00F952BC">
    <w:pPr>
      <w:pStyle w:val="Encabezado"/>
    </w:pPr>
    <w:r>
      <w:rPr>
        <w:noProof/>
        <w:lang w:val="es-MX" w:eastAsia="es-MX"/>
      </w:rPr>
      <w:pict w14:anchorId="07500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844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2407A862" w:rsidR="000F4205" w:rsidRDefault="00F952BC">
    <w:pPr>
      <w:pStyle w:val="Encabezado"/>
    </w:pPr>
    <w:r>
      <w:rPr>
        <w:noProof/>
        <w:lang w:val="es-MX" w:eastAsia="es-MX"/>
      </w:rPr>
      <w:pict w14:anchorId="54D37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844923" o:spid="_x0000_s2051" type="#_x0000_t75" style="position:absolute;margin-left:-84.3pt;margin-top:-12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F4205" w:rsidRPr="00E84957" w14:paraId="07F2896E" w14:textId="77777777" w:rsidTr="003116A6">
      <w:trPr>
        <w:trHeight w:val="138"/>
        <w:jc w:val="right"/>
      </w:trPr>
      <w:tc>
        <w:tcPr>
          <w:tcW w:w="2552" w:type="dxa"/>
          <w:vAlign w:val="center"/>
        </w:tcPr>
        <w:p w14:paraId="4A5B1974" w14:textId="77777777" w:rsidR="000F4205" w:rsidRPr="00E84957" w:rsidRDefault="000F420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94E674E" w:rsidR="000F4205" w:rsidRPr="002D0ECC" w:rsidRDefault="000F4205" w:rsidP="00E904F0">
          <w:pPr>
            <w:pStyle w:val="Encabezado"/>
            <w:jc w:val="right"/>
            <w:rPr>
              <w:rFonts w:ascii="Palatino Linotype" w:hAnsi="Palatino Linotype"/>
              <w:b/>
              <w:sz w:val="20"/>
              <w:szCs w:val="20"/>
            </w:rPr>
          </w:pPr>
          <w:r>
            <w:rPr>
              <w:rFonts w:ascii="Palatino Linotype" w:hAnsi="Palatino Linotype" w:cs="Arial"/>
              <w:b/>
              <w:bCs/>
              <w:sz w:val="20"/>
              <w:szCs w:val="20"/>
              <w:lang w:eastAsia="es-MX"/>
            </w:rPr>
            <w:t>00733/INFOEM/IP/RR/2021</w:t>
          </w:r>
        </w:p>
      </w:tc>
    </w:tr>
    <w:tr w:rsidR="000F4205" w:rsidRPr="00E84957" w14:paraId="095EB01B" w14:textId="77777777" w:rsidTr="003116A6">
      <w:trPr>
        <w:trHeight w:val="321"/>
        <w:jc w:val="right"/>
      </w:trPr>
      <w:tc>
        <w:tcPr>
          <w:tcW w:w="2552" w:type="dxa"/>
          <w:vAlign w:val="center"/>
        </w:tcPr>
        <w:p w14:paraId="6E000A51" w14:textId="4DA3E277" w:rsidR="000F4205" w:rsidRPr="00E84957" w:rsidRDefault="000F420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1AFD4D3" w:rsidR="000F4205" w:rsidRPr="0020365B" w:rsidRDefault="000F4205" w:rsidP="008B3CE1">
          <w:pPr>
            <w:pStyle w:val="Encabezado"/>
            <w:jc w:val="right"/>
            <w:rPr>
              <w:rFonts w:ascii="Palatino Linotype" w:hAnsi="Palatino Linotype"/>
              <w:b/>
              <w:sz w:val="20"/>
              <w:szCs w:val="20"/>
            </w:rPr>
          </w:pPr>
          <w:r>
            <w:rPr>
              <w:rFonts w:ascii="Palatino Linotype" w:hAnsi="Palatino Linotype"/>
              <w:b/>
              <w:sz w:val="20"/>
              <w:szCs w:val="20"/>
            </w:rPr>
            <w:t xml:space="preserve">Poder Legislativo del Estado de México </w:t>
          </w:r>
        </w:p>
      </w:tc>
    </w:tr>
    <w:tr w:rsidR="000F4205" w:rsidRPr="00E84957" w14:paraId="14F3CE0D" w14:textId="77777777" w:rsidTr="003116A6">
      <w:trPr>
        <w:trHeight w:val="321"/>
        <w:jc w:val="right"/>
      </w:trPr>
      <w:tc>
        <w:tcPr>
          <w:tcW w:w="2552" w:type="dxa"/>
          <w:vAlign w:val="center"/>
        </w:tcPr>
        <w:p w14:paraId="12248485" w14:textId="081B3348" w:rsidR="000F4205" w:rsidRPr="00E84957" w:rsidRDefault="000F420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F4205" w:rsidRPr="002D0ECC" w:rsidRDefault="000F420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F4205" w:rsidRDefault="000F4205" w:rsidP="00587366">
    <w:pPr>
      <w:pStyle w:val="Encabezado"/>
    </w:pPr>
  </w:p>
  <w:p w14:paraId="01FCACBC" w14:textId="77777777" w:rsidR="000F4205" w:rsidRDefault="000F42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30F50F0D" w:rsidR="000F4205" w:rsidRDefault="00F952BC" w:rsidP="000B5D79">
    <w:pPr>
      <w:pStyle w:val="Encabezado"/>
      <w:tabs>
        <w:tab w:val="clear" w:pos="4252"/>
        <w:tab w:val="clear" w:pos="8504"/>
        <w:tab w:val="left" w:pos="3103"/>
      </w:tabs>
    </w:pPr>
    <w:r>
      <w:rPr>
        <w:noProof/>
        <w:lang w:val="es-MX" w:eastAsia="es-MX"/>
      </w:rPr>
      <w:pict w14:anchorId="444F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844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F4205">
      <w:tab/>
    </w:r>
    <w:r w:rsidR="000F420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F4205" w:rsidRPr="00182113" w14:paraId="665387B4" w14:textId="77777777" w:rsidTr="000B5D79">
      <w:trPr>
        <w:trHeight w:val="138"/>
      </w:trPr>
      <w:tc>
        <w:tcPr>
          <w:tcW w:w="2532" w:type="dxa"/>
          <w:vAlign w:val="center"/>
        </w:tcPr>
        <w:p w14:paraId="01509DD6" w14:textId="77777777" w:rsidR="000F4205" w:rsidRPr="00182113" w:rsidRDefault="000F420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F4205" w:rsidRPr="00182113" w:rsidRDefault="000F4205" w:rsidP="000B5D79">
          <w:pPr>
            <w:pStyle w:val="Encabezado"/>
            <w:jc w:val="center"/>
            <w:rPr>
              <w:rFonts w:ascii="Palatino Linotype" w:hAnsi="Palatino Linotype"/>
              <w:b/>
              <w:sz w:val="22"/>
              <w:szCs w:val="22"/>
            </w:rPr>
          </w:pPr>
        </w:p>
      </w:tc>
      <w:tc>
        <w:tcPr>
          <w:tcW w:w="3261" w:type="dxa"/>
          <w:vAlign w:val="center"/>
        </w:tcPr>
        <w:p w14:paraId="4FAE21CD" w14:textId="1901F09A" w:rsidR="000F4205" w:rsidRPr="00182113" w:rsidRDefault="000F4205" w:rsidP="00E904F0">
          <w:pPr>
            <w:pStyle w:val="Encabezado"/>
            <w:rPr>
              <w:rFonts w:ascii="Palatino Linotype" w:hAnsi="Palatino Linotype"/>
              <w:b/>
              <w:sz w:val="22"/>
              <w:szCs w:val="22"/>
            </w:rPr>
          </w:pPr>
          <w:r>
            <w:rPr>
              <w:rFonts w:ascii="Palatino Linotype" w:hAnsi="Palatino Linotype" w:cs="Arial"/>
              <w:b/>
              <w:bCs/>
              <w:sz w:val="20"/>
              <w:szCs w:val="20"/>
              <w:lang w:eastAsia="es-MX"/>
            </w:rPr>
            <w:t>00733/INFOEM/IP/RR/2021</w:t>
          </w:r>
        </w:p>
      </w:tc>
    </w:tr>
    <w:tr w:rsidR="000F4205" w:rsidRPr="00182113" w14:paraId="78C9F2F4" w14:textId="77777777" w:rsidTr="000B5D79">
      <w:trPr>
        <w:trHeight w:val="227"/>
      </w:trPr>
      <w:tc>
        <w:tcPr>
          <w:tcW w:w="2532" w:type="dxa"/>
          <w:vAlign w:val="center"/>
        </w:tcPr>
        <w:p w14:paraId="2D89FED3" w14:textId="77777777" w:rsidR="000F4205" w:rsidRPr="00182113" w:rsidRDefault="000F420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F4205" w:rsidRPr="00182113" w:rsidRDefault="000F4205" w:rsidP="000B5D79">
          <w:pPr>
            <w:pStyle w:val="Encabezado"/>
            <w:jc w:val="center"/>
            <w:rPr>
              <w:rFonts w:ascii="Palatino Linotype" w:hAnsi="Palatino Linotype"/>
              <w:b/>
              <w:sz w:val="22"/>
              <w:szCs w:val="22"/>
            </w:rPr>
          </w:pPr>
        </w:p>
      </w:tc>
      <w:tc>
        <w:tcPr>
          <w:tcW w:w="3261" w:type="dxa"/>
          <w:vAlign w:val="center"/>
        </w:tcPr>
        <w:p w14:paraId="36D086A3" w14:textId="5C517C32" w:rsidR="000F4205" w:rsidRPr="00F801DD" w:rsidRDefault="00F952BC" w:rsidP="000B5D79">
          <w:pPr>
            <w:pStyle w:val="Encabezado"/>
            <w:rPr>
              <w:rFonts w:ascii="Palatino Linotype" w:hAnsi="Palatino Linotype"/>
              <w:b/>
              <w:sz w:val="20"/>
              <w:szCs w:val="20"/>
            </w:rPr>
          </w:pPr>
          <w:r w:rsidRPr="00F952BC">
            <w:rPr>
              <w:rFonts w:ascii="Palatino Linotype" w:hAnsi="Palatino Linotype"/>
              <w:b/>
              <w:sz w:val="20"/>
              <w:szCs w:val="20"/>
              <w:highlight w:val="black"/>
            </w:rPr>
            <w:t>------------------------------------------------------------------------------------------</w:t>
          </w:r>
        </w:p>
      </w:tc>
    </w:tr>
    <w:tr w:rsidR="000F4205" w:rsidRPr="00182113" w14:paraId="1A862673" w14:textId="77777777" w:rsidTr="000B5D79">
      <w:trPr>
        <w:trHeight w:val="232"/>
      </w:trPr>
      <w:tc>
        <w:tcPr>
          <w:tcW w:w="2532" w:type="dxa"/>
          <w:vAlign w:val="center"/>
        </w:tcPr>
        <w:p w14:paraId="767A6F60" w14:textId="77777777" w:rsidR="000F4205" w:rsidRPr="00182113" w:rsidRDefault="000F420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F4205" w:rsidRPr="00182113" w:rsidRDefault="000F4205" w:rsidP="000B5D79">
          <w:pPr>
            <w:pStyle w:val="Encabezado"/>
            <w:jc w:val="center"/>
            <w:rPr>
              <w:rFonts w:ascii="Palatino Linotype" w:hAnsi="Palatino Linotype"/>
              <w:b/>
              <w:sz w:val="22"/>
              <w:szCs w:val="22"/>
            </w:rPr>
          </w:pPr>
        </w:p>
      </w:tc>
      <w:tc>
        <w:tcPr>
          <w:tcW w:w="3261" w:type="dxa"/>
          <w:vAlign w:val="center"/>
        </w:tcPr>
        <w:p w14:paraId="6D20B1A2" w14:textId="2B81920B" w:rsidR="000F4205" w:rsidRDefault="000F4205" w:rsidP="0020365B">
          <w:pPr>
            <w:pStyle w:val="Encabezado"/>
            <w:rPr>
              <w:rFonts w:ascii="Palatino Linotype" w:hAnsi="Palatino Linotype"/>
              <w:b/>
              <w:sz w:val="20"/>
              <w:szCs w:val="20"/>
            </w:rPr>
          </w:pPr>
          <w:r>
            <w:rPr>
              <w:rFonts w:ascii="Palatino Linotype" w:hAnsi="Palatino Linotype"/>
              <w:b/>
              <w:sz w:val="20"/>
              <w:szCs w:val="20"/>
            </w:rPr>
            <w:t xml:space="preserve">Poder Legislativo del </w:t>
          </w:r>
        </w:p>
        <w:p w14:paraId="3FC8EF03" w14:textId="1A4B837F" w:rsidR="000F4205" w:rsidRPr="00114C6B" w:rsidRDefault="000F4205" w:rsidP="0020365B">
          <w:pPr>
            <w:pStyle w:val="Encabezado"/>
            <w:rPr>
              <w:rFonts w:ascii="Palatino Linotype" w:hAnsi="Palatino Linotype"/>
              <w:b/>
              <w:sz w:val="20"/>
              <w:szCs w:val="20"/>
            </w:rPr>
          </w:pPr>
          <w:r>
            <w:rPr>
              <w:rFonts w:ascii="Palatino Linotype" w:hAnsi="Palatino Linotype"/>
              <w:b/>
              <w:sz w:val="20"/>
              <w:szCs w:val="20"/>
            </w:rPr>
            <w:t xml:space="preserve">Estado de México </w:t>
          </w:r>
        </w:p>
      </w:tc>
    </w:tr>
    <w:tr w:rsidR="000F4205" w:rsidRPr="00182113" w14:paraId="4416531B" w14:textId="77777777" w:rsidTr="000B5D79">
      <w:trPr>
        <w:trHeight w:val="320"/>
      </w:trPr>
      <w:tc>
        <w:tcPr>
          <w:tcW w:w="2532" w:type="dxa"/>
          <w:vAlign w:val="center"/>
        </w:tcPr>
        <w:p w14:paraId="277DD3E2" w14:textId="4C90BB0A" w:rsidR="000F4205" w:rsidRPr="00182113" w:rsidRDefault="000F420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F4205" w:rsidRPr="00182113" w:rsidRDefault="000F4205" w:rsidP="000B5D79">
          <w:pPr>
            <w:pStyle w:val="Encabezado"/>
            <w:jc w:val="center"/>
            <w:rPr>
              <w:rFonts w:ascii="Palatino Linotype" w:hAnsi="Palatino Linotype"/>
              <w:b/>
              <w:sz w:val="22"/>
              <w:szCs w:val="22"/>
            </w:rPr>
          </w:pPr>
        </w:p>
      </w:tc>
      <w:tc>
        <w:tcPr>
          <w:tcW w:w="3261" w:type="dxa"/>
          <w:vAlign w:val="center"/>
        </w:tcPr>
        <w:p w14:paraId="3BD70CE4" w14:textId="61A13249" w:rsidR="000F4205" w:rsidRPr="00182113" w:rsidRDefault="000F420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F4205" w:rsidRDefault="000F4205">
    <w:pPr>
      <w:pStyle w:val="Encabezado"/>
    </w:pPr>
  </w:p>
  <w:p w14:paraId="2C496126" w14:textId="77777777" w:rsidR="000F4205" w:rsidRDefault="000F42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7"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2"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5"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C444100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32"/>
  </w:num>
  <w:num w:numId="3">
    <w:abstractNumId w:val="34"/>
  </w:num>
  <w:num w:numId="4">
    <w:abstractNumId w:val="27"/>
  </w:num>
  <w:num w:numId="5">
    <w:abstractNumId w:val="37"/>
  </w:num>
  <w:num w:numId="6">
    <w:abstractNumId w:val="29"/>
  </w:num>
  <w:num w:numId="7">
    <w:abstractNumId w:val="18"/>
  </w:num>
  <w:num w:numId="8">
    <w:abstractNumId w:val="4"/>
  </w:num>
  <w:num w:numId="9">
    <w:abstractNumId w:val="15"/>
  </w:num>
  <w:num w:numId="10">
    <w:abstractNumId w:val="8"/>
  </w:num>
  <w:num w:numId="11">
    <w:abstractNumId w:val="9"/>
  </w:num>
  <w:num w:numId="12">
    <w:abstractNumId w:val="1"/>
  </w:num>
  <w:num w:numId="13">
    <w:abstractNumId w:val="33"/>
  </w:num>
  <w:num w:numId="14">
    <w:abstractNumId w:val="31"/>
  </w:num>
  <w:num w:numId="15">
    <w:abstractNumId w:val="17"/>
  </w:num>
  <w:num w:numId="16">
    <w:abstractNumId w:val="28"/>
  </w:num>
  <w:num w:numId="17">
    <w:abstractNumId w:val="22"/>
  </w:num>
  <w:num w:numId="18">
    <w:abstractNumId w:val="12"/>
  </w:num>
  <w:num w:numId="19">
    <w:abstractNumId w:val="13"/>
  </w:num>
  <w:num w:numId="20">
    <w:abstractNumId w:val="38"/>
  </w:num>
  <w:num w:numId="21">
    <w:abstractNumId w:val="19"/>
  </w:num>
  <w:num w:numId="22">
    <w:abstractNumId w:val="30"/>
  </w:num>
  <w:num w:numId="23">
    <w:abstractNumId w:val="7"/>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23"/>
  </w:num>
  <w:num w:numId="28">
    <w:abstractNumId w:val="0"/>
  </w:num>
  <w:num w:numId="29">
    <w:abstractNumId w:val="25"/>
  </w:num>
  <w:num w:numId="30">
    <w:abstractNumId w:val="16"/>
  </w:num>
  <w:num w:numId="31">
    <w:abstractNumId w:val="36"/>
  </w:num>
  <w:num w:numId="32">
    <w:abstractNumId w:val="14"/>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4"/>
  </w:num>
  <w:num w:numId="36">
    <w:abstractNumId w:val="11"/>
  </w:num>
  <w:num w:numId="37">
    <w:abstractNumId w:val="6"/>
  </w:num>
  <w:num w:numId="38">
    <w:abstractNumId w:val="26"/>
  </w:num>
  <w:num w:numId="39">
    <w:abstractNumId w:val="10"/>
  </w:num>
  <w:num w:numId="40">
    <w:abstractNumId w:val="2"/>
  </w:num>
  <w:num w:numId="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0FAC"/>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47109"/>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5E9"/>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0E0D"/>
    <w:rsid w:val="000D151D"/>
    <w:rsid w:val="000D17AB"/>
    <w:rsid w:val="000D1FBF"/>
    <w:rsid w:val="000D3443"/>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205"/>
    <w:rsid w:val="000F483B"/>
    <w:rsid w:val="000F4CEC"/>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BCB"/>
    <w:rsid w:val="00153C5D"/>
    <w:rsid w:val="0015466E"/>
    <w:rsid w:val="00154A05"/>
    <w:rsid w:val="00154BCB"/>
    <w:rsid w:val="00155733"/>
    <w:rsid w:val="001565C9"/>
    <w:rsid w:val="00157464"/>
    <w:rsid w:val="0015798B"/>
    <w:rsid w:val="00157C5A"/>
    <w:rsid w:val="00160667"/>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1B66"/>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0AE7"/>
    <w:rsid w:val="00201050"/>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3A54"/>
    <w:rsid w:val="0028429B"/>
    <w:rsid w:val="00286BCA"/>
    <w:rsid w:val="0028727E"/>
    <w:rsid w:val="0029059C"/>
    <w:rsid w:val="00292972"/>
    <w:rsid w:val="00292CBE"/>
    <w:rsid w:val="00293DE8"/>
    <w:rsid w:val="00295595"/>
    <w:rsid w:val="00295CAC"/>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6D79"/>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9FA"/>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5259"/>
    <w:rsid w:val="00356B99"/>
    <w:rsid w:val="003577BB"/>
    <w:rsid w:val="0036054B"/>
    <w:rsid w:val="0036073F"/>
    <w:rsid w:val="00360A7E"/>
    <w:rsid w:val="00361EC5"/>
    <w:rsid w:val="00361FB7"/>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2DC5"/>
    <w:rsid w:val="003830A0"/>
    <w:rsid w:val="0038315E"/>
    <w:rsid w:val="00383318"/>
    <w:rsid w:val="0038394F"/>
    <w:rsid w:val="00383C5E"/>
    <w:rsid w:val="003848C2"/>
    <w:rsid w:val="003851DF"/>
    <w:rsid w:val="00386563"/>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3D1"/>
    <w:rsid w:val="003C3F45"/>
    <w:rsid w:val="003C5C22"/>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04"/>
    <w:rsid w:val="003E1C5B"/>
    <w:rsid w:val="003E1DF9"/>
    <w:rsid w:val="003E2043"/>
    <w:rsid w:val="003E2194"/>
    <w:rsid w:val="003E2871"/>
    <w:rsid w:val="003E3BCD"/>
    <w:rsid w:val="003E3DB3"/>
    <w:rsid w:val="003E3EB6"/>
    <w:rsid w:val="003E466F"/>
    <w:rsid w:val="003E4742"/>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7CE"/>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964"/>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041D"/>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B63"/>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4ECD"/>
    <w:rsid w:val="005E6F79"/>
    <w:rsid w:val="005E74E2"/>
    <w:rsid w:val="005E7DF7"/>
    <w:rsid w:val="005F0812"/>
    <w:rsid w:val="005F0B21"/>
    <w:rsid w:val="005F1310"/>
    <w:rsid w:val="005F1FAD"/>
    <w:rsid w:val="005F34C9"/>
    <w:rsid w:val="005F35E6"/>
    <w:rsid w:val="005F37F3"/>
    <w:rsid w:val="005F403D"/>
    <w:rsid w:val="005F4118"/>
    <w:rsid w:val="005F4746"/>
    <w:rsid w:val="005F5C85"/>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1DC6"/>
    <w:rsid w:val="006228BC"/>
    <w:rsid w:val="006229F8"/>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2C98"/>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5B84"/>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0DA2"/>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76CA1"/>
    <w:rsid w:val="00780329"/>
    <w:rsid w:val="007805E0"/>
    <w:rsid w:val="0078099A"/>
    <w:rsid w:val="00780DDE"/>
    <w:rsid w:val="0078136D"/>
    <w:rsid w:val="00783320"/>
    <w:rsid w:val="007839E7"/>
    <w:rsid w:val="00784184"/>
    <w:rsid w:val="00784F9C"/>
    <w:rsid w:val="00785E0C"/>
    <w:rsid w:val="0078619D"/>
    <w:rsid w:val="00786828"/>
    <w:rsid w:val="00786841"/>
    <w:rsid w:val="00787364"/>
    <w:rsid w:val="00790520"/>
    <w:rsid w:val="007906DD"/>
    <w:rsid w:val="00790804"/>
    <w:rsid w:val="007908A0"/>
    <w:rsid w:val="007914E4"/>
    <w:rsid w:val="007918F9"/>
    <w:rsid w:val="00791962"/>
    <w:rsid w:val="007919A9"/>
    <w:rsid w:val="0079378F"/>
    <w:rsid w:val="007940E8"/>
    <w:rsid w:val="00795745"/>
    <w:rsid w:val="00795D47"/>
    <w:rsid w:val="0079672F"/>
    <w:rsid w:val="00796DB8"/>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FB3"/>
    <w:rsid w:val="007F254E"/>
    <w:rsid w:val="007F283E"/>
    <w:rsid w:val="007F3166"/>
    <w:rsid w:val="007F3B89"/>
    <w:rsid w:val="007F42D7"/>
    <w:rsid w:val="007F4490"/>
    <w:rsid w:val="007F4937"/>
    <w:rsid w:val="007F4BCC"/>
    <w:rsid w:val="007F5ACD"/>
    <w:rsid w:val="007F5F5B"/>
    <w:rsid w:val="007F6CB3"/>
    <w:rsid w:val="007F7690"/>
    <w:rsid w:val="00800647"/>
    <w:rsid w:val="008006A4"/>
    <w:rsid w:val="00801802"/>
    <w:rsid w:val="00803459"/>
    <w:rsid w:val="008036DE"/>
    <w:rsid w:val="00803AE2"/>
    <w:rsid w:val="0080446B"/>
    <w:rsid w:val="0080467D"/>
    <w:rsid w:val="00804680"/>
    <w:rsid w:val="00805233"/>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17FEA"/>
    <w:rsid w:val="008200A3"/>
    <w:rsid w:val="0082054B"/>
    <w:rsid w:val="0082247A"/>
    <w:rsid w:val="00822B7C"/>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6D70"/>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A55"/>
    <w:rsid w:val="00867D0D"/>
    <w:rsid w:val="00870B20"/>
    <w:rsid w:val="00870C2F"/>
    <w:rsid w:val="00870D08"/>
    <w:rsid w:val="0087111F"/>
    <w:rsid w:val="00872A7B"/>
    <w:rsid w:val="00873348"/>
    <w:rsid w:val="00873432"/>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08CA"/>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82F"/>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40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07FF"/>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3D2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A6E"/>
    <w:rsid w:val="00A42BC6"/>
    <w:rsid w:val="00A42C3A"/>
    <w:rsid w:val="00A4327F"/>
    <w:rsid w:val="00A43392"/>
    <w:rsid w:val="00A442C4"/>
    <w:rsid w:val="00A443C1"/>
    <w:rsid w:val="00A45CFF"/>
    <w:rsid w:val="00A45D86"/>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37E"/>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6AE8"/>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99A"/>
    <w:rsid w:val="00C83A91"/>
    <w:rsid w:val="00C83EB8"/>
    <w:rsid w:val="00C84A05"/>
    <w:rsid w:val="00C851D9"/>
    <w:rsid w:val="00C8639C"/>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188"/>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5E16"/>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2C"/>
    <w:rsid w:val="00D468C3"/>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3B6"/>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82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1FF"/>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DCC"/>
    <w:rsid w:val="00F76F4F"/>
    <w:rsid w:val="00F773A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2BC"/>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15D"/>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5846223">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221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93600.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093599.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08335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6CA6-2AC5-4591-AFF4-CA7055A6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9471</Words>
  <Characters>52091</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2021-05-14T16:48:00Z</dcterms:created>
  <dcterms:modified xsi:type="dcterms:W3CDTF">2021-06-23T01:29:00Z</dcterms:modified>
</cp:coreProperties>
</file>