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before="240" w:line="36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Índice</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36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ANTECEDENTES</w:t>
              <w:tab/>
              <w:t xml:space="preserve">2</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36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CONSIDERANDO</w:t>
              <w:tab/>
              <w:t xml:space="preserve">7</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36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PRIMERO. De la competencia</w:t>
            </w:r>
          </w:hyperlink>
          <w:hyperlink w:anchor="_heading=h.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36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SEGUNDO. De la oportunidad y procedencia.</w:t>
            </w:r>
          </w:hyperlink>
          <w:hyperlink w:anchor="_heading=h.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36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TERCERO. Planteamiento de la Litis.</w:t>
              <w:tab/>
              <w:t xml:space="preserve">8</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36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CUARTO. Estudio y resolución del asunto</w:t>
            </w:r>
          </w:hyperlink>
          <w:hyperlink w:anchor="_heading=h.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36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 la fuente obligacional.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36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B.</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 la respuesta del Sujeto Obligado.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36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Del derecho de acceso a la información.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36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QUINTO. De la Versión Pública.</w:t>
              <w:tab/>
              <w:t xml:space="preserve">27</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 w:val="left" w:pos="660"/>
            </w:tabs>
            <w:spacing w:after="100" w:before="0" w:line="36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Nociones generales.</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36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SEXTO. De la Decisión.</w:t>
              <w:tab/>
              <w:t xml:space="preserve">31</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36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O L U T I V O S</w:t>
              <w:tab/>
              <w:t xml:space="preserve">32</w:t>
            </w:r>
          </w:hyperlink>
          <w:r w:rsidDel="00000000" w:rsidR="00000000" w:rsidRPr="00000000">
            <w:rPr>
              <w:rtl w:val="0"/>
            </w:rPr>
          </w:r>
        </w:p>
        <w:p w:rsidR="00000000" w:rsidDel="00000000" w:rsidP="00000000" w:rsidRDefault="00000000" w:rsidRPr="00000000" w14:paraId="00000011">
          <w:pPr>
            <w:spacing w:line="48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fecha ocho (8) de septiembre de dos mil veintiuno.</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VISTO el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expediente electrónico formado con motivo del recurso de revisión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03718/INFOEM/IP/RR/2021,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promovido por </w:t>
      </w:r>
      <w:r w:rsidDel="00000000" w:rsidR="00000000" w:rsidRPr="00000000">
        <w:rPr>
          <w:rFonts w:ascii="Palatino Linotype" w:cs="Palatino Linotype" w:eastAsia="Palatino Linotype" w:hAnsi="Palatino Linotype"/>
          <w:sz w:val="22"/>
          <w:szCs w:val="22"/>
          <w:rtl w:val="0"/>
        </w:rPr>
        <w:t xml:space="preserve">XXXXXXXXXXXXXXXXXXX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su calidad 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contra de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Ayuntamiento de Metepec</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lo sucesivo el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procede a dictar la presente resolución, con base en los siguientes: </w:t>
      </w:r>
      <w:r w:rsidDel="00000000" w:rsidR="00000000" w:rsidRPr="00000000">
        <w:rPr>
          <w:rtl w:val="0"/>
        </w:rPr>
      </w:r>
    </w:p>
    <w:p w:rsidR="00000000" w:rsidDel="00000000" w:rsidP="00000000" w:rsidRDefault="00000000" w:rsidRPr="00000000" w14:paraId="00000016">
      <w:pPr>
        <w:pStyle w:val="Heading1"/>
        <w:jc w:val="center"/>
        <w:rPr>
          <w:rFonts w:ascii="Palatino Linotype" w:cs="Palatino Linotype" w:eastAsia="Palatino Linotype" w:hAnsi="Palatino Linotype"/>
          <w:b w:val="1"/>
          <w:color w:val="000000"/>
          <w:sz w:val="24"/>
          <w:szCs w:val="24"/>
        </w:rPr>
      </w:pPr>
      <w:bookmarkStart w:colFirst="0" w:colLast="0" w:name="_heading=h.gjdgxs" w:id="0"/>
      <w:bookmarkEnd w:id="0"/>
      <w:r w:rsidDel="00000000" w:rsidR="00000000" w:rsidRPr="00000000">
        <w:rPr>
          <w:rFonts w:ascii="Palatino Linotype" w:cs="Palatino Linotype" w:eastAsia="Palatino Linotype" w:hAnsi="Palatino Linotype"/>
          <w:b w:val="1"/>
          <w:color w:val="000000"/>
          <w:sz w:val="24"/>
          <w:szCs w:val="24"/>
          <w:rtl w:val="0"/>
        </w:rPr>
        <w:t xml:space="preserve">ANTECEDENTES</w:t>
      </w:r>
    </w:p>
    <w:p w:rsidR="00000000" w:rsidDel="00000000" w:rsidP="00000000" w:rsidRDefault="00000000" w:rsidRPr="00000000" w14:paraId="00000017">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día dieciocho (18) de junio de dos mil veintiuno,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ante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vía Sistema de Acceso a la Información Mexiquense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presentó la solicitud de información pública registrada con el número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00341/METEPEC/IP/2021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mediante la cual solicitó lo siguiente: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ind w:left="567" w:right="567"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“Solicito, hacerme entrega de una copia fiel (en versión digital) de los oficios que con su respectiva numeración CONSECUTIVA, forman parte del archivo, minutario o control de oficios que fueron GENERADOS por las REGIDURIAS SEGUNDA, CUARTA Y SEXTA del Ayuntamiento de Metepec durante el mes de abril de 2021,” (Sic)</w:t>
      </w:r>
    </w:p>
    <w:p w:rsidR="00000000" w:rsidDel="00000000" w:rsidP="00000000" w:rsidRDefault="00000000" w:rsidRPr="00000000" w14:paraId="0000001B">
      <w:pPr>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1C">
      <w:pPr>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Señaló como modalidad de entrega de la información a través del SAIMEX</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once (11) de julio de dos mil veintiuno, el Sujeto Obligado dio respuesta a la solicitud en los siguientes términos:</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“Metepec, México a 11 de Julio de 2021</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Nombre del solicitante: </w:t>
      </w:r>
      <w:r w:rsidDel="00000000" w:rsidR="00000000" w:rsidRPr="00000000">
        <w:rPr>
          <w:rFonts w:ascii="Palatino Linotype" w:cs="Palatino Linotype" w:eastAsia="Palatino Linotype" w:hAnsi="Palatino Linotype"/>
          <w:sz w:val="22"/>
          <w:szCs w:val="22"/>
          <w:rtl w:val="0"/>
        </w:rPr>
        <w:t xml:space="preserve">XXXXXXXXXXXXXXXXXXX</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Folio de la solicitud: 00341/METEPEC/IP/2021</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ATENTAMENTE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Alberto Daniel García Curiel” (sic)</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676-00341-a Reg.pdf: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Oficio REG04/057/21 suscrito por el Cuarto Regidor y dirigido para el Jefe de la Unidad de Transparencia, mediante el cual refiere que remite de manera digital en disco magnético la carpeta “abril 21” donde obra la información solicitada.</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647-00341-6 Reg.pdf: Oficio REG06/064/2021 suscrito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el Sexto Regidor y dirigido para el Jefe de la Unidad de Transparencia mediante el cual refiere que adjuntó un Cd con la información requerida.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648-00341-2 Reg.pdf: Oficio REG02/056/2021 suscrito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el Segundo Regidor y dirigido para el Jefe de la Unidad de Transparencia mediante el cual refiere que remite la información solicitada.</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doce (12) de julio de dos mil veintiuno,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interpuso el recurso de revisión, en contra de la respuesta y, señaló como:</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Acto impugnado:</w:t>
      </w:r>
      <w:r w:rsidDel="00000000" w:rsidR="00000000" w:rsidRPr="00000000">
        <w:rPr>
          <w:rFonts w:ascii="Palatino Linotype" w:cs="Palatino Linotype" w:eastAsia="Palatino Linotype" w:hAnsi="Palatino Linotype"/>
          <w:b w:val="1"/>
          <w:i w:val="1"/>
          <w:smallCaps w:val="0"/>
          <w:strike w:val="0"/>
          <w:color w:val="2f549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FALTA DE RESPUESTA QUE NO ADJUNTÓ EL SUJETO OBLIGADO Y DEBIERA CORRESPONDER A LA SOLICITUD NÚMERO 00341/METEPEC/IP/2021,</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(Sic); y</w:t>
      </w:r>
      <w:r w:rsidDel="00000000" w:rsidR="00000000" w:rsidRPr="00000000">
        <w:rPr>
          <w:rtl w:val="0"/>
        </w:rPr>
      </w:r>
    </w:p>
    <w:p w:rsidR="00000000" w:rsidDel="00000000" w:rsidP="00000000" w:rsidRDefault="00000000" w:rsidRPr="00000000" w14:paraId="00000031">
      <w:pPr>
        <w:spacing w:line="360" w:lineRule="auto"/>
        <w:ind w:left="56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Razones o Motivos de inconformidad:</w:t>
      </w:r>
      <w:r w:rsidDel="00000000" w:rsidR="00000000" w:rsidRPr="00000000">
        <w:rPr>
          <w:rFonts w:ascii="Palatino Linotype" w:cs="Palatino Linotype" w:eastAsia="Palatino Linotype" w:hAnsi="Palatino Linotype"/>
          <w:b w:val="1"/>
          <w:color w:val="2f5496"/>
          <w:sz w:val="24"/>
          <w:szCs w:val="24"/>
          <w:rtl w:val="0"/>
        </w:rPr>
        <w:t xml:space="preserve"> </w:t>
      </w:r>
      <w:r w:rsidDel="00000000" w:rsidR="00000000" w:rsidRPr="00000000">
        <w:rPr>
          <w:rFonts w:ascii="Palatino Linotype" w:cs="Palatino Linotype" w:eastAsia="Palatino Linotype" w:hAnsi="Palatino Linotype"/>
          <w:i w:val="1"/>
          <w:sz w:val="22"/>
          <w:szCs w:val="22"/>
          <w:rtl w:val="0"/>
        </w:rPr>
        <w:t xml:space="preserve">“EL SUJETO OBLIGADO NO ADJUNTÓ LA (S) RESPUESTA (S) CORRESPONDIENTE (S) A LA SOLICITUD DE INFORMACIÓN REFERIDA, Y ES DE MENCIONAR QUE DE FORMA REITERATIVA ESTE MISMO SUJETO NO ADJUNTA LAS RESPUESTAS QUE DICE TENER EN SU POSESIÓN, Y ES POR ELLO QUE PIDO SE LE SANCIONE YA A ESTE SUJETO PRINCIPALMENTE A ALBERTO DANIEL GARCÍA CURIEL QUE ES EL JEFE DE LA UNIDAD DE TRANSPARENCIA DE METEPEC, PUES SU NEGLIGENCIA Y DESATENCIÓN A LAS SOLICITUDES ES CONSTANTE Y PROPICIA PÉRDIDA DE TIEMPO PARA MI COMO SOLICITANTE DE LA INFORMACIÓN PUBLICA. PIDO ENERGICAMENTE SE LE SANCIONE CON LA PENA MAS ALTA QUE CORRESPONDA PUES ESTO YA ES UNA BURLA.</w:t>
      </w:r>
      <w:r w:rsidDel="00000000" w:rsidR="00000000" w:rsidRPr="00000000">
        <w:rPr>
          <w:rFonts w:ascii="Palatino Linotype" w:cs="Palatino Linotype" w:eastAsia="Palatino Linotype" w:hAnsi="Palatino Linotype"/>
          <w:i w:val="1"/>
          <w:sz w:val="24"/>
          <w:szCs w:val="24"/>
          <w:rtl w:val="0"/>
        </w:rPr>
        <w:t xml:space="preserve">” (Sic)</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2">
      <w:pPr>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registró el recurso de revisión bajo el número de expediente al rubro indicado, asimismo con fundamento en lo dispuesto por el artículo 185 fracción I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turnó al entonces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Comisionado Javier Martínez Cruz,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el objeto de su análisis.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Comisionado Ponente con fundamento en lo dispuesto por el artículo 185 fracción II de la ley de la materia, a través del acuerdo de admisión de fecha quince (15) de julio de dos mil veintiuno, puso a disposición de las partes el expediente electrónico vía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efecto de que en un plazo máximo de siete días manifestaran lo que a derecho convinieran, ofrecieran pruebas y alegatos según corresponda al caso concreto, de esta forma para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presentara el informe justificado procedente.</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las constancias que obran en el expediente electrónico del SAIMEX, se aprecia que, tanto el recurrente como el Sujeto Obligado fueron omisos en presentar manifestación alguna. Se inserta imagen de referencia:</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drawing>
          <wp:inline distB="0" distT="0" distL="0" distR="0">
            <wp:extent cx="5726495" cy="1517365"/>
            <wp:effectExtent b="0" l="0" r="0" t="0"/>
            <wp:docPr id="2" name="image4.png"/>
            <a:graphic>
              <a:graphicData uri="http://schemas.openxmlformats.org/drawingml/2006/picture">
                <pic:pic>
                  <pic:nvPicPr>
                    <pic:cNvPr id="0" name="image4.png"/>
                    <pic:cNvPicPr preferRelativeResize="0"/>
                  </pic:nvPicPr>
                  <pic:blipFill>
                    <a:blip r:embed="rId11"/>
                    <a:srcRect b="23306" l="13146" r="12798" t="41807"/>
                    <a:stretch>
                      <a:fillRect/>
                    </a:stretch>
                  </pic:blipFill>
                  <pic:spPr>
                    <a:xfrm>
                      <a:off x="0" y="0"/>
                      <a:ext cx="5726495" cy="151736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2"/>
          <w:szCs w:val="22"/>
          <w:u w:val="none"/>
          <w:shd w:fill="auto" w:val="clear"/>
          <w:vertAlign w:val="baseline"/>
          <w:rtl w:val="0"/>
        </w:rPr>
        <w:t xml:space="preserve">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567" w:right="567" w:firstLine="0"/>
        <w:jc w:val="both"/>
        <w:rPr>
          <w:rFonts w:ascii="Palatino Linotype" w:cs="Palatino Linotype" w:eastAsia="Palatino Linotype" w:hAnsi="Palatino Linotype"/>
          <w:b w:val="0"/>
          <w:i w:val="1"/>
          <w:smallCaps w:val="0"/>
          <w:strike w:val="0"/>
          <w:color w:val="222222"/>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222222"/>
          <w:sz w:val="22"/>
          <w:szCs w:val="22"/>
          <w:u w:val="none"/>
          <w:shd w:fill="auto" w:val="clear"/>
          <w:vertAlign w:val="baseline"/>
          <w:rtl w:val="0"/>
        </w:rPr>
        <w:t xml:space="preserve">QUEJA, RECURSO DE. LA OMISION DE RENDIR EL INFORME RESPECTIVO NO IMPIDE QUE SE RESUELV</w:t>
      </w:r>
      <w:r w:rsidDel="00000000" w:rsidR="00000000" w:rsidRPr="00000000">
        <w:rPr>
          <w:rFonts w:ascii="Palatino Linotype" w:cs="Palatino Linotype" w:eastAsia="Palatino Linotype" w:hAnsi="Palatino Linotype"/>
          <w:b w:val="0"/>
          <w:i w:val="1"/>
          <w:smallCaps w:val="0"/>
          <w:strike w:val="0"/>
          <w:color w:val="222222"/>
          <w:sz w:val="22"/>
          <w:szCs w:val="22"/>
          <w:u w:val="none"/>
          <w:shd w:fill="auto" w:val="clear"/>
          <w:vertAlign w:val="baseline"/>
          <w:rtl w:val="0"/>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Del="00000000" w:rsidR="00000000" w:rsidRPr="00000000">
        <w:rPr>
          <w:rFonts w:ascii="Palatino Linotype" w:cs="Palatino Linotype" w:eastAsia="Palatino Linotype" w:hAnsi="Palatino Linotype"/>
          <w:b w:val="0"/>
          <w:i w:val="1"/>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567" w:firstLine="0"/>
        <w:jc w:val="both"/>
        <w:rPr>
          <w:rFonts w:ascii="Palatino Linotype" w:cs="Palatino Linotype" w:eastAsia="Palatino Linotype" w:hAnsi="Palatino Linotype"/>
          <w:b w:val="0"/>
          <w:i w:val="0"/>
          <w:smallCaps w:val="0"/>
          <w:strike w:val="0"/>
          <w:color w:val="222222"/>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2"/>
          <w:szCs w:val="22"/>
          <w:u w:val="none"/>
          <w:shd w:fill="auto" w:val="clear"/>
          <w:vertAlign w:val="baseline"/>
          <w:rtl w:val="0"/>
        </w:rPr>
        <w:t xml:space="preserve">Por lo cual se reitera, que la falta de informe justificado no impide que este Órgano Garante conozca y resuelva el recurso de revisión, solo propicia que el </w:t>
      </w:r>
      <w:r w:rsidDel="00000000" w:rsidR="00000000" w:rsidRPr="00000000">
        <w:rPr>
          <w:rFonts w:ascii="Palatino Linotype" w:cs="Palatino Linotype" w:eastAsia="Palatino Linotype" w:hAnsi="Palatino Linotype"/>
          <w:b w:val="1"/>
          <w:i w:val="0"/>
          <w:smallCaps w:val="0"/>
          <w:strike w:val="0"/>
          <w:color w:val="222222"/>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222222"/>
          <w:sz w:val="22"/>
          <w:szCs w:val="22"/>
          <w:u w:val="none"/>
          <w:shd w:fill="auto" w:val="clear"/>
          <w:vertAlign w:val="baseline"/>
          <w:rtl w:val="0"/>
        </w:rPr>
        <w:t xml:space="preserve"> pierda la oportunidad de justificar su falta de respuesta y manifestar lo que a su derecho convenga.</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veintiséis (26) de agosto, el Comisionado Ponente decretó el cierre de instrucción.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veintitrés (23) de agosto del dos mil veintiuno, en la segunda sesión extraordinaria del Pleno del Instituto de Transparencia, Acceso a la Información Pública y Protección de Datos Personales del Estado de México y Municipios acordó el returno del recurso de revisión a la Comisionada María del Rosario Mejía Ayala para su resolución. - - - - - - - - - - - - - - - - - - - - - - - - - - - - - - - - - - - - - - - - - - - - - - - - - - </w:t>
      </w:r>
      <w:r w:rsidDel="00000000" w:rsidR="00000000" w:rsidRPr="00000000">
        <w:rPr>
          <w:rtl w:val="0"/>
        </w:rPr>
      </w:r>
    </w:p>
    <w:p w:rsidR="00000000" w:rsidDel="00000000" w:rsidP="00000000" w:rsidRDefault="00000000" w:rsidRPr="00000000" w14:paraId="00000044">
      <w:pPr>
        <w:pStyle w:val="Heading1"/>
        <w:jc w:val="center"/>
        <w:rPr>
          <w:rFonts w:ascii="Palatino Linotype" w:cs="Palatino Linotype" w:eastAsia="Palatino Linotype" w:hAnsi="Palatino Linotype"/>
          <w:b w:val="1"/>
          <w:sz w:val="24"/>
          <w:szCs w:val="24"/>
        </w:rPr>
      </w:pPr>
      <w:bookmarkStart w:colFirst="0" w:colLast="0" w:name="_heading=h.1fob9te" w:id="2"/>
      <w:bookmarkEnd w:id="2"/>
      <w:r w:rsidDel="00000000" w:rsidR="00000000" w:rsidRPr="00000000">
        <w:rPr>
          <w:rFonts w:ascii="Palatino Linotype" w:cs="Palatino Linotype" w:eastAsia="Palatino Linotype" w:hAnsi="Palatino Linotype"/>
          <w:b w:val="1"/>
          <w:color w:val="000000"/>
          <w:sz w:val="24"/>
          <w:szCs w:val="24"/>
          <w:rtl w:val="0"/>
        </w:rPr>
        <w:t xml:space="preserve">CONSIDERANDO</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45">
      <w:pPr>
        <w:pStyle w:val="Heading2"/>
        <w:rPr>
          <w:rFonts w:ascii="Palatino Linotype" w:cs="Palatino Linotype" w:eastAsia="Palatino Linotype" w:hAnsi="Palatino Linotype"/>
          <w:b w:val="1"/>
          <w:color w:val="000000"/>
          <w:sz w:val="24"/>
          <w:szCs w:val="24"/>
        </w:rPr>
      </w:pPr>
      <w:bookmarkStart w:colFirst="0" w:colLast="0" w:name="_heading=h.3znysh7" w:id="3"/>
      <w:bookmarkEnd w:id="3"/>
      <w:r w:rsidDel="00000000" w:rsidR="00000000" w:rsidRPr="00000000">
        <w:rPr>
          <w:rFonts w:ascii="Palatino Linotype" w:cs="Palatino Linotype" w:eastAsia="Palatino Linotype" w:hAnsi="Palatino Linotype"/>
          <w:b w:val="1"/>
          <w:color w:val="000000"/>
          <w:sz w:val="24"/>
          <w:szCs w:val="24"/>
          <w:rtl w:val="0"/>
        </w:rPr>
        <w:t xml:space="preserve">PRIMERO. De la competencia</w:t>
      </w:r>
    </w:p>
    <w:p w:rsidR="00000000" w:rsidDel="00000000" w:rsidP="00000000" w:rsidRDefault="00000000" w:rsidRPr="00000000" w14:paraId="000000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Constitución Política de los Estados Unidos Mexicanos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5, vigésimo noveno, trigésimo y trigésimo primero, fracciones I, II, III, IV y V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Constitución Política del Estado Libre y Soberano de México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artículos 1, 2 fracción II, 13, 29, 36 fracciones I y II, 176, 178, 179, 181 párrafo tercero y 185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10, 7, 9 fracciones I y XXIV, y 11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Reglamento Interior del Instituto de Transparencia, Acceso a la Información Pública y Protección de Datos Personales del Estado de México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000000" w:rsidDel="00000000" w:rsidP="00000000" w:rsidRDefault="00000000" w:rsidRPr="00000000" w14:paraId="00000049">
      <w:pPr>
        <w:pStyle w:val="Heading2"/>
        <w:rPr>
          <w:rFonts w:ascii="Palatino Linotype" w:cs="Palatino Linotype" w:eastAsia="Palatino Linotype" w:hAnsi="Palatino Linotype"/>
          <w:b w:val="1"/>
          <w:color w:val="000000"/>
          <w:sz w:val="24"/>
          <w:szCs w:val="24"/>
        </w:rPr>
      </w:pPr>
      <w:bookmarkStart w:colFirst="0" w:colLast="0" w:name="_heading=h.2et92p0" w:id="4"/>
      <w:bookmarkEnd w:id="4"/>
      <w:r w:rsidDel="00000000" w:rsidR="00000000" w:rsidRPr="00000000">
        <w:rPr>
          <w:rFonts w:ascii="Palatino Linotype" w:cs="Palatino Linotype" w:eastAsia="Palatino Linotype" w:hAnsi="Palatino Linotype"/>
          <w:b w:val="1"/>
          <w:color w:val="000000"/>
          <w:sz w:val="24"/>
          <w:szCs w:val="24"/>
          <w:rtl w:val="0"/>
        </w:rPr>
        <w:t xml:space="preserve">SEGUNDO. De la oportunidad y procedencia.</w:t>
      </w:r>
    </w:p>
    <w:p w:rsidR="00000000" w:rsidDel="00000000" w:rsidP="00000000" w:rsidRDefault="00000000" w:rsidRPr="00000000" w14:paraId="0000004A">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4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medio de impugnación fue presentado a través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formato previamente aprobado para tal efecto y dentro del plazo legal de quince días hábiles otorgados; siendo así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entregó respuesta a la solicitud el día once (11) de julio de dos mil veintiuno, de tal forma que el plazo para interponer el recurso de revisión transcurrió del doce (12) de julio al trece (13) de agosto de dos mil veintiuno; en consecuencia, presentó su inconformidad el día doce (12) de julio de dos mil veintiuno, por lo que se encuentra dentro de los márgenes temporales previstos en el artículo 178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vigente.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00000" w:rsidDel="00000000" w:rsidP="00000000" w:rsidRDefault="00000000" w:rsidRPr="00000000" w14:paraId="0000004E">
      <w:pPr>
        <w:pStyle w:val="Heading1"/>
        <w:spacing w:before="0" w:line="360" w:lineRule="auto"/>
        <w:rPr>
          <w:rFonts w:ascii="Palatino Linotype" w:cs="Palatino Linotype" w:eastAsia="Palatino Linotype" w:hAnsi="Palatino Linotype"/>
          <w:b w:val="1"/>
          <w:color w:val="000000"/>
          <w:sz w:val="24"/>
          <w:szCs w:val="24"/>
        </w:rPr>
      </w:pPr>
      <w:bookmarkStart w:colFirst="0" w:colLast="0" w:name="_heading=h.tyjcwt" w:id="5"/>
      <w:bookmarkEnd w:id="5"/>
      <w:r w:rsidDel="00000000" w:rsidR="00000000" w:rsidRPr="00000000">
        <w:rPr>
          <w:rFonts w:ascii="Palatino Linotype" w:cs="Palatino Linotype" w:eastAsia="Palatino Linotype" w:hAnsi="Palatino Linotype"/>
          <w:b w:val="1"/>
          <w:color w:val="000000"/>
          <w:sz w:val="24"/>
          <w:szCs w:val="24"/>
          <w:rtl w:val="0"/>
        </w:rPr>
        <w:t xml:space="preserve">TERCERO. Planteamiento de la Litis.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recurrente solicitó:</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09"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Copia de todos los oficios con su respectiva numeración consecutiva que forman parte del archivo minutario o control de oficios generados por la Segunda, Cuarta y Sexta Regiduría del Ayuntamiento de Metepec durante el mes de abril de 2021.</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Sujeto Obligado entregó tres oficios de las respectivas regidurías en las cuales manifestaron entregar la información solicitada.</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Recurrente no adjuntó los documentos correspondientes.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el presente asunto se procederá a verificar si existió una afectación al derecho del recurrente, por lo que será necesario analizar si se actualiza la causal de procedencia establecida en la fracción I y VII relativa a declaración de incompetencia, del artículo 179 de la Ley de Transparencia y Acceso a la Información Pública del Estado de México y Municipios.</w:t>
      </w:r>
    </w:p>
    <w:p w:rsidR="00000000" w:rsidDel="00000000" w:rsidP="00000000" w:rsidRDefault="00000000" w:rsidRPr="00000000" w14:paraId="00000059">
      <w:pPr>
        <w:pStyle w:val="Heading2"/>
        <w:rPr>
          <w:rFonts w:ascii="Palatino Linotype" w:cs="Palatino Linotype" w:eastAsia="Palatino Linotype" w:hAnsi="Palatino Linotype"/>
          <w:b w:val="1"/>
          <w:color w:val="000000"/>
          <w:sz w:val="24"/>
          <w:szCs w:val="24"/>
        </w:rPr>
      </w:pPr>
      <w:bookmarkStart w:colFirst="0" w:colLast="0" w:name="_heading=h.1t3h5sf" w:id="7"/>
      <w:bookmarkEnd w:id="7"/>
      <w:r w:rsidDel="00000000" w:rsidR="00000000" w:rsidRPr="00000000">
        <w:rPr>
          <w:rFonts w:ascii="Palatino Linotype" w:cs="Palatino Linotype" w:eastAsia="Palatino Linotype" w:hAnsi="Palatino Linotype"/>
          <w:b w:val="1"/>
          <w:color w:val="000000"/>
          <w:sz w:val="24"/>
          <w:szCs w:val="24"/>
          <w:rtl w:val="0"/>
        </w:rPr>
        <w:t xml:space="preserve">CUARTO. Estudio y resolución del asunto</w:t>
      </w:r>
    </w:p>
    <w:p w:rsidR="00000000" w:rsidDel="00000000" w:rsidP="00000000" w:rsidRDefault="00000000" w:rsidRPr="00000000" w14:paraId="0000005A">
      <w:pPr>
        <w:spacing w:line="360" w:lineRule="auto"/>
        <w:rPr>
          <w:rFonts w:ascii="Palatino Linotype" w:cs="Palatino Linotype" w:eastAsia="Palatino Linotype" w:hAnsi="Palatino Linotype"/>
          <w:sz w:val="24"/>
          <w:szCs w:val="24"/>
        </w:rPr>
      </w:pPr>
      <w:bookmarkStart w:colFirst="0" w:colLast="0" w:name="_heading=h.4d34og8" w:id="8"/>
      <w:bookmarkEnd w:id="8"/>
      <w:r w:rsidDel="00000000" w:rsidR="00000000" w:rsidRPr="00000000">
        <w:rPr>
          <w:rtl w:val="0"/>
        </w:rPr>
      </w:r>
    </w:p>
    <w:p w:rsidR="00000000" w:rsidDel="00000000" w:rsidP="00000000" w:rsidRDefault="00000000" w:rsidRPr="00000000" w14:paraId="0000005B">
      <w:pPr>
        <w:pStyle w:val="Heading2"/>
        <w:numPr>
          <w:ilvl w:val="0"/>
          <w:numId w:val="1"/>
        </w:numPr>
        <w:spacing w:line="360" w:lineRule="auto"/>
        <w:ind w:left="720" w:hanging="360"/>
        <w:rPr>
          <w:rFonts w:ascii="Palatino Linotype" w:cs="Palatino Linotype" w:eastAsia="Palatino Linotype" w:hAnsi="Palatino Linotype"/>
          <w:b w:val="1"/>
          <w:color w:val="000000"/>
          <w:sz w:val="24"/>
          <w:szCs w:val="24"/>
        </w:rPr>
      </w:pPr>
      <w:bookmarkStart w:colFirst="0" w:colLast="0" w:name="_heading=h.2s8eyo1" w:id="9"/>
      <w:bookmarkEnd w:id="9"/>
      <w:r w:rsidDel="00000000" w:rsidR="00000000" w:rsidRPr="00000000">
        <w:rPr>
          <w:rFonts w:ascii="Palatino Linotype" w:cs="Palatino Linotype" w:eastAsia="Palatino Linotype" w:hAnsi="Palatino Linotype"/>
          <w:b w:val="1"/>
          <w:color w:val="000000"/>
          <w:sz w:val="24"/>
          <w:szCs w:val="24"/>
          <w:rtl w:val="0"/>
        </w:rPr>
        <w:t xml:space="preserve">De la fuente obligacional.</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Para determinar la fuente obligacional del Sujeto Obligado de generar, poseer y/o administrar, es necesario analizar el requerimiento planteado en la solicitud de acceso a la información, siendo que requirió información relativa a oficios generados por la Segunda, Cuarta y Sexta Regiduría Municipal en el mes de abril de dos mil veintiuno.</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la Segunda, Cuarta y Sexta Regiduría además de aceptar generar, administrar y poseer la información, manifestaron haberla entregado al Titular de la Unidad de Transparencia.</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2"/>
        <w:numPr>
          <w:ilvl w:val="0"/>
          <w:numId w:val="1"/>
        </w:numPr>
        <w:ind w:left="720" w:hanging="360"/>
        <w:rPr>
          <w:rFonts w:ascii="Palatino Linotype" w:cs="Palatino Linotype" w:eastAsia="Palatino Linotype" w:hAnsi="Palatino Linotype"/>
          <w:b w:val="1"/>
          <w:color w:val="000000"/>
          <w:sz w:val="24"/>
          <w:szCs w:val="24"/>
        </w:rPr>
      </w:pPr>
      <w:bookmarkStart w:colFirst="0" w:colLast="0" w:name="_heading=h.17dp8vu" w:id="10"/>
      <w:bookmarkEnd w:id="10"/>
      <w:r w:rsidDel="00000000" w:rsidR="00000000" w:rsidRPr="00000000">
        <w:rPr>
          <w:rFonts w:ascii="Palatino Linotype" w:cs="Palatino Linotype" w:eastAsia="Palatino Linotype" w:hAnsi="Palatino Linotype"/>
          <w:b w:val="1"/>
          <w:color w:val="000000"/>
          <w:sz w:val="24"/>
          <w:szCs w:val="24"/>
          <w:rtl w:val="0"/>
        </w:rPr>
        <w:t xml:space="preserve">De la respuesta del Sujeto Obligado.</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Debemos recordar que el Sujeto Obligado en ningún momento negó contar con la información, así como tampoco se negó a su entrega; sino por el contrario, asumió que si genera, administra y posee los documentos solicitados y manifestó que realizó la entrega; sin embargo, de la respuesta que emitió el Sujeto Obligado, se aprecia que sólo se entregaron las respuestas de los servidores públicos habilitados, sin que mediara el soporte documental requerido por el particular.</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 Ley de Transparencia y Acceso a la Información Pública del Estado de México y Municipios, en el artículo 179 fracciones I y VII establece lo siguiente: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La negativa a la información solicitada;</w:t>
      </w:r>
    </w:p>
    <w:p w:rsidR="00000000" w:rsidDel="00000000" w:rsidP="00000000" w:rsidRDefault="00000000" w:rsidRPr="00000000" w14:paraId="00000069">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851" w:right="567"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falta de respuesta a una solicitud de información;</w:t>
      </w:r>
      <w:r w:rsidDel="00000000" w:rsidR="00000000" w:rsidRPr="00000000">
        <w:rPr>
          <w:rtl w:val="0"/>
        </w:rPr>
      </w:r>
    </w:p>
    <w:p w:rsidR="00000000" w:rsidDel="00000000" w:rsidP="00000000" w:rsidRDefault="00000000" w:rsidRPr="00000000" w14:paraId="0000006B">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precepto legal antes citado, establece como supuesto de procedencia del recurso de revisión, la negativa a la información solicitada, así como la falta de respuesta a una solicitud por parte del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mismo ordenamiento legal, ahora en su artículo 150, expone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Para atender las solicitudes de información, los Sujetos Obligados contarán con un área denominada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Unidad de Transparencia</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superscript"/>
        </w:rPr>
        <w:footnoteReference w:customMarkFollows="0" w:id="0"/>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la cual será presidida por un Titular, quien fungirá como enlace entre éstos y los solicitantes. Dicha Unidad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será la encargada de tramitar internamente la solicitud de información</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y tendrá la responsabilidad de verificar en cada caso que la misma no sea confidencial o reservada. Asimismo, contará con las facultades internas necesarias para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gestionar la atención a las solicitudes de información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los términos de la Ley General y la Ley de Transparencia y Acceso a la Información Pública del Estado de México y Municipios</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superscript"/>
        </w:rPr>
        <w:footnoteReference w:customMarkFollows="0" w:id="1"/>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conformidad con lo dispuesto por el artículo 53 de la Ley de Transparencia y Acceso a la Información Pública del Estado de México y Municipios, las Unidades de Transparencia tendrán, entre sus atribuciones, las siguientes:</w:t>
      </w:r>
    </w:p>
    <w:p w:rsidR="00000000" w:rsidDel="00000000" w:rsidP="00000000" w:rsidRDefault="00000000" w:rsidRPr="00000000" w14:paraId="000000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Recibir, tramitar y dar respuesta a las solicitudes de acceso a la información;</w:t>
      </w:r>
    </w:p>
    <w:p w:rsidR="00000000" w:rsidDel="00000000" w:rsidP="00000000" w:rsidRDefault="00000000" w:rsidRPr="00000000" w14:paraId="000000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Realizar, con efectividad, los trámites internos necesarios para la atención de las solicitudes de acceso a la información; </w:t>
      </w:r>
    </w:p>
    <w:p w:rsidR="00000000" w:rsidDel="00000000" w:rsidP="00000000" w:rsidRDefault="00000000" w:rsidRPr="00000000" w14:paraId="000000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Entregar, en su caso, a los particulares la información solicitada; y </w:t>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Hacer del conocimiento de la instancia competente la probable responsabilidad por el incumplimiento de las obligaciones previstas en la presente Ley.</w:t>
      </w:r>
    </w:p>
    <w:p w:rsidR="00000000" w:rsidDel="00000000" w:rsidP="00000000" w:rsidRDefault="00000000" w:rsidRPr="00000000" w14:paraId="0000007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Otros sujetos del proceso de atención a las solicitudes de información son los servidores públicos habilitados, quienes serán designados por el titular del Sujeto Obligado a propuesta del responsable de la Unidad de Transparencia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superscript"/>
        </w:rPr>
        <w:footnoteReference w:customMarkFollows="0" w:id="2"/>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y tendrán, entre sus atribuciones, las siguientes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superscript"/>
        </w:rPr>
        <w:footnoteReference w:customMarkFollows="0" w:id="3"/>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Localizar la información que le solicite la Unidad de Transparencia; y</w:t>
      </w:r>
    </w:p>
    <w:p w:rsidR="00000000" w:rsidDel="00000000" w:rsidP="00000000" w:rsidRDefault="00000000" w:rsidRPr="00000000" w14:paraId="000000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Proporcionar la información que obre en los archivos y que le sea solicitada por la Unidad de Transparencia.</w:t>
      </w:r>
    </w:p>
    <w:p w:rsidR="00000000" w:rsidDel="00000000" w:rsidP="00000000" w:rsidRDefault="00000000" w:rsidRPr="00000000" w14:paraId="0000007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tal manera que cada una de las áreas administrativas del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las actuaciones que realizó el Titular de la Unidad de Transparencia en el presente asunto en particular, se aprecia que turnó las solicitudes a la Segunda, Cuarta y Sexta Regiduría para que dieran atención a los requerimientos, mismas que en tiempo y forma lo hicieron, manifestando la entrega de la información; sin embargo, tal y como fuera manifestado por el propio Recurrente en sus motivos o razones de inconformidad, la información requerida no fue proporcionada.</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ese sentido, se puede apreciar la existencia de una respuesta formal a la solicitud en la cual se habla de un efecto positivo ante los requerimientos planteados en la solicitud; sin embargo, carece de soporte documental de los oficios requeridos. Pese a manifestar la entrega de la información, de ninguna manera atiende los requerimientos del particular y, por el contrario, violenta su derecho al dejar al Recurrente en total estado de incertidumbre.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consecuencia, esta Ponencia Resolutora advierte que el presente asunto se trata de una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negativa material</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la cual resulta ser un acto positivo (la respuesta del ayuntamiento) con efecto negativos (la negativa a la entrega de la información) al pretender satisfacer la solicitud mediante un acuse de respuesta que no contiene ningún soporte documental con información de interés para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pStyle w:val="Heading2"/>
        <w:numPr>
          <w:ilvl w:val="0"/>
          <w:numId w:val="1"/>
        </w:numPr>
        <w:ind w:left="720" w:hanging="360"/>
        <w:rPr>
          <w:rFonts w:ascii="Palatino Linotype" w:cs="Palatino Linotype" w:eastAsia="Palatino Linotype" w:hAnsi="Palatino Linotype"/>
          <w:b w:val="1"/>
          <w:color w:val="000000"/>
          <w:sz w:val="24"/>
          <w:szCs w:val="24"/>
        </w:rPr>
      </w:pPr>
      <w:bookmarkStart w:colFirst="0" w:colLast="0" w:name="_heading=h.3rdcrjn" w:id="11"/>
      <w:bookmarkEnd w:id="11"/>
      <w:r w:rsidDel="00000000" w:rsidR="00000000" w:rsidRPr="00000000">
        <w:rPr>
          <w:rFonts w:ascii="Palatino Linotype" w:cs="Palatino Linotype" w:eastAsia="Palatino Linotype" w:hAnsi="Palatino Linotype"/>
          <w:b w:val="1"/>
          <w:color w:val="000000"/>
          <w:sz w:val="24"/>
          <w:szCs w:val="24"/>
          <w:rtl w:val="0"/>
        </w:rPr>
        <w:t xml:space="preserve">Del derecho de acceso a la información.</w:t>
      </w:r>
    </w:p>
    <w:p w:rsidR="00000000" w:rsidDel="00000000" w:rsidP="00000000" w:rsidRDefault="00000000" w:rsidRPr="00000000" w14:paraId="00000086">
      <w:pP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7">
      <w:pPr>
        <w:numPr>
          <w:ilvl w:val="0"/>
          <w:numId w:val="7"/>
        </w:numPr>
        <w:tabs>
          <w:tab w:val="left" w:pos="284"/>
        </w:tabs>
        <w:spacing w:after="0" w:before="0" w:line="36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Es menester precisar que este </w:t>
      </w:r>
      <w:r w:rsidDel="00000000" w:rsidR="00000000" w:rsidRPr="00000000">
        <w:rPr>
          <w:rFonts w:ascii="Palatino Linotype" w:cs="Palatino Linotype" w:eastAsia="Palatino Linotype" w:hAnsi="Palatino Linotype"/>
          <w:color w:val="000000"/>
          <w:sz w:val="24"/>
          <w:szCs w:val="24"/>
          <w:rtl w:val="0"/>
        </w:rPr>
        <w:t xml:space="preserve">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debe ser cuidadoso del debido cumplimiento de las obligaciones constitucionales que se le imponen, en consecuencia, a todas las autoridades, en el ámbito de su competencia, según lo dispone el tercer párrafo del artículo primero de la </w:t>
      </w:r>
      <w:r w:rsidDel="00000000" w:rsidR="00000000" w:rsidRPr="00000000">
        <w:rPr>
          <w:rFonts w:ascii="Palatino Linotype" w:cs="Palatino Linotype" w:eastAsia="Palatino Linotype" w:hAnsi="Palatino Linotype"/>
          <w:b w:val="1"/>
          <w:color w:val="000000"/>
          <w:sz w:val="24"/>
          <w:szCs w:val="24"/>
          <w:rtl w:val="0"/>
        </w:rPr>
        <w:t xml:space="preserve">Constitución Política de los Estados Unidos Mexicanos </w:t>
      </w:r>
      <w:r w:rsidDel="00000000" w:rsidR="00000000" w:rsidRPr="00000000">
        <w:rPr>
          <w:rFonts w:ascii="Palatino Linotype" w:cs="Palatino Linotype" w:eastAsia="Palatino Linotype" w:hAnsi="Palatino Linotype"/>
          <w:color w:val="000000"/>
          <w:sz w:val="24"/>
          <w:szCs w:val="24"/>
          <w:rtl w:val="0"/>
        </w:rPr>
        <w:t xml:space="preserve">al señalar la obligación de “promover, </w:t>
      </w:r>
      <w:r w:rsidDel="00000000" w:rsidR="00000000" w:rsidRPr="00000000">
        <w:rPr>
          <w:rFonts w:ascii="Palatino Linotype" w:cs="Palatino Linotype" w:eastAsia="Palatino Linotype" w:hAnsi="Palatino Linotype"/>
          <w:b w:val="1"/>
          <w:color w:val="000000"/>
          <w:sz w:val="24"/>
          <w:szCs w:val="24"/>
          <w:rtl w:val="0"/>
        </w:rPr>
        <w:t xml:space="preserve">respetar</w:t>
      </w:r>
      <w:r w:rsidDel="00000000" w:rsidR="00000000" w:rsidRPr="00000000">
        <w:rPr>
          <w:rFonts w:ascii="Palatino Linotype" w:cs="Palatino Linotype" w:eastAsia="Palatino Linotype" w:hAnsi="Palatino Linotype"/>
          <w:color w:val="000000"/>
          <w:sz w:val="24"/>
          <w:szCs w:val="24"/>
          <w:rtl w:val="0"/>
        </w:rPr>
        <w:t xml:space="preserve">, proteger y </w:t>
      </w:r>
      <w:r w:rsidDel="00000000" w:rsidR="00000000" w:rsidRPr="00000000">
        <w:rPr>
          <w:rFonts w:ascii="Palatino Linotype" w:cs="Palatino Linotype" w:eastAsia="Palatino Linotype" w:hAnsi="Palatino Linotype"/>
          <w:b w:val="1"/>
          <w:color w:val="000000"/>
          <w:sz w:val="24"/>
          <w:szCs w:val="24"/>
          <w:rtl w:val="0"/>
        </w:rPr>
        <w:t xml:space="preserve">garantizar</w:t>
      </w:r>
      <w:r w:rsidDel="00000000" w:rsidR="00000000" w:rsidRPr="00000000">
        <w:rPr>
          <w:rFonts w:ascii="Palatino Linotype" w:cs="Palatino Linotype" w:eastAsia="Palatino Linotype" w:hAnsi="Palatino Linotype"/>
          <w:color w:val="000000"/>
          <w:sz w:val="24"/>
          <w:szCs w:val="24"/>
          <w:rtl w:val="0"/>
        </w:rPr>
        <w:t xml:space="preserve"> los derechos humanos”, entre los cuales se encuentra dicho derecho. </w:t>
      </w:r>
    </w:p>
    <w:p w:rsidR="00000000" w:rsidDel="00000000" w:rsidP="00000000" w:rsidRDefault="00000000" w:rsidRPr="00000000" w14:paraId="00000088">
      <w:pPr>
        <w:tabs>
          <w:tab w:val="left" w:pos="284"/>
        </w:tabs>
        <w:spacing w:after="0" w:before="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89">
      <w:pPr>
        <w:numPr>
          <w:ilvl w:val="0"/>
          <w:numId w:val="7"/>
        </w:numPr>
        <w:tabs>
          <w:tab w:val="left" w:pos="284"/>
        </w:tabs>
        <w:spacing w:after="0" w:before="0" w:line="36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Definiendo el Derecho de Acceso a la Información Pública como: </w:t>
      </w:r>
      <w:r w:rsidDel="00000000" w:rsidR="00000000" w:rsidRPr="00000000">
        <w:rPr>
          <w:rFonts w:ascii="Palatino Linotype" w:cs="Palatino Linotype" w:eastAsia="Palatino Linotype" w:hAnsi="Palatino Linotype"/>
          <w:i w:val="1"/>
          <w:color w:val="000000"/>
          <w:sz w:val="24"/>
          <w:szCs w:val="24"/>
          <w:rtl w:val="0"/>
        </w:rPr>
        <w:t xml:space="preserve">La igualdad de oportunidades para recibir, buscar e impartir información</w:t>
      </w:r>
      <w:r w:rsidDel="00000000" w:rsidR="00000000" w:rsidRPr="00000000">
        <w:rPr>
          <w:rFonts w:ascii="Palatino Linotype" w:cs="Palatino Linotype" w:eastAsia="Palatino Linotype" w:hAnsi="Palatino Linotype"/>
          <w:i w:val="1"/>
          <w:color w:val="000000"/>
          <w:sz w:val="24"/>
          <w:szCs w:val="24"/>
          <w:vertAlign w:val="superscript"/>
        </w:rPr>
        <w:footnoteReference w:customMarkFollows="0" w:id="4"/>
      </w:r>
      <w:r w:rsidDel="00000000" w:rsidR="00000000" w:rsidRPr="00000000">
        <w:rPr>
          <w:rFonts w:ascii="Palatino Linotype" w:cs="Palatino Linotype" w:eastAsia="Palatino Linotype" w:hAnsi="Palatino Linotype"/>
          <w:i w:val="1"/>
          <w:color w:val="000000"/>
          <w:sz w:val="24"/>
          <w:szCs w:val="24"/>
          <w:rtl w:val="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Del="00000000" w:rsidR="00000000" w:rsidRPr="00000000">
        <w:rPr>
          <w:rFonts w:ascii="Palatino Linotype" w:cs="Palatino Linotype" w:eastAsia="Palatino Linotype" w:hAnsi="Palatino Linotype"/>
          <w:i w:val="1"/>
          <w:color w:val="000000"/>
          <w:sz w:val="24"/>
          <w:szCs w:val="24"/>
          <w:vertAlign w:val="superscript"/>
        </w:rPr>
        <w:footnoteReference w:customMarkFollows="0" w:id="5"/>
      </w:r>
      <w:r w:rsidDel="00000000" w:rsidR="00000000" w:rsidRPr="00000000">
        <w:rPr>
          <w:rFonts w:ascii="Palatino Linotype" w:cs="Palatino Linotype" w:eastAsia="Palatino Linotype" w:hAnsi="Palatino Linotype"/>
          <w:color w:val="000000"/>
          <w:sz w:val="24"/>
          <w:szCs w:val="24"/>
          <w:rtl w:val="0"/>
        </w:rPr>
        <w:t xml:space="preserve">que se constituye como una herramienta fundamental para ejercer</w:t>
      </w:r>
      <w:r w:rsidDel="00000000" w:rsidR="00000000" w:rsidRPr="00000000">
        <w:rPr>
          <w:rFonts w:ascii="Palatino Linotype" w:cs="Palatino Linotype" w:eastAsia="Palatino Linotype" w:hAnsi="Palatino Linotype"/>
          <w:i w:val="1"/>
          <w:color w:val="000000"/>
          <w:sz w:val="24"/>
          <w:szCs w:val="24"/>
          <w:rtl w:val="0"/>
        </w:rPr>
        <w:t xml:space="preserve"> el control democrático de las gestiones estatales, de forma tal que puedan cuestionar, indagar y considerar si se está dando un adecuado cumplimiento a las funciones públicas,</w:t>
      </w:r>
      <w:r w:rsidDel="00000000" w:rsidR="00000000" w:rsidRPr="00000000">
        <w:rPr>
          <w:rFonts w:ascii="Palatino Linotype" w:cs="Palatino Linotype" w:eastAsia="Palatino Linotype" w:hAnsi="Palatino Linotype"/>
          <w:i w:val="1"/>
          <w:color w:val="000000"/>
          <w:sz w:val="24"/>
          <w:szCs w:val="24"/>
          <w:vertAlign w:val="superscript"/>
        </w:rPr>
        <w:footnoteReference w:customMarkFollows="0" w:id="6"/>
      </w:r>
      <w:r w:rsidDel="00000000" w:rsidR="00000000" w:rsidRPr="00000000">
        <w:rPr>
          <w:rFonts w:ascii="Palatino Linotype" w:cs="Palatino Linotype" w:eastAsia="Palatino Linotype" w:hAnsi="Palatino Linotype"/>
          <w:color w:val="000000"/>
          <w:sz w:val="24"/>
          <w:szCs w:val="24"/>
          <w:rtl w:val="0"/>
        </w:rPr>
        <w:t xml:space="preserve">fomentando</w:t>
      </w:r>
      <w:r w:rsidDel="00000000" w:rsidR="00000000" w:rsidRPr="00000000">
        <w:rPr>
          <w:rFonts w:ascii="Palatino Linotype" w:cs="Palatino Linotype" w:eastAsia="Palatino Linotype" w:hAnsi="Palatino Linotype"/>
          <w:i w:val="1"/>
          <w:color w:val="000000"/>
          <w:sz w:val="24"/>
          <w:szCs w:val="24"/>
          <w:rtl w:val="0"/>
        </w:rPr>
        <w:t xml:space="preserve"> la transparencia de las actividades estatales y </w:t>
      </w:r>
      <w:r w:rsidDel="00000000" w:rsidR="00000000" w:rsidRPr="00000000">
        <w:rPr>
          <w:rFonts w:ascii="Palatino Linotype" w:cs="Palatino Linotype" w:eastAsia="Palatino Linotype" w:hAnsi="Palatino Linotype"/>
          <w:color w:val="000000"/>
          <w:sz w:val="24"/>
          <w:szCs w:val="24"/>
          <w:rtl w:val="0"/>
        </w:rPr>
        <w:t xml:space="preserve">promoviendo</w:t>
      </w:r>
      <w:r w:rsidDel="00000000" w:rsidR="00000000" w:rsidRPr="00000000">
        <w:rPr>
          <w:rFonts w:ascii="Palatino Linotype" w:cs="Palatino Linotype" w:eastAsia="Palatino Linotype" w:hAnsi="Palatino Linotype"/>
          <w:i w:val="1"/>
          <w:color w:val="000000"/>
          <w:sz w:val="24"/>
          <w:szCs w:val="24"/>
          <w:rtl w:val="0"/>
        </w:rPr>
        <w:t xml:space="preserve"> la responsabilidad de los funcionarios sobre su gestión pública,</w:t>
      </w:r>
      <w:r w:rsidDel="00000000" w:rsidR="00000000" w:rsidRPr="00000000">
        <w:rPr>
          <w:rFonts w:ascii="Palatino Linotype" w:cs="Palatino Linotype" w:eastAsia="Palatino Linotype" w:hAnsi="Palatino Linotype"/>
          <w:i w:val="1"/>
          <w:color w:val="000000"/>
          <w:sz w:val="24"/>
          <w:szCs w:val="24"/>
          <w:vertAlign w:val="superscript"/>
        </w:rPr>
        <w:footnoteReference w:customMarkFollows="0" w:id="7"/>
      </w:r>
      <w:r w:rsidDel="00000000" w:rsidR="00000000" w:rsidRPr="00000000">
        <w:rPr>
          <w:rFonts w:ascii="Palatino Linotype" w:cs="Palatino Linotype" w:eastAsia="Palatino Linotype" w:hAnsi="Palatino Linotype"/>
          <w:color w:val="000000"/>
          <w:sz w:val="24"/>
          <w:szCs w:val="24"/>
          <w:rtl w:val="0"/>
        </w:rPr>
        <w:t xml:space="preserve">que permite</w:t>
      </w:r>
      <w:r w:rsidDel="00000000" w:rsidR="00000000" w:rsidRPr="00000000">
        <w:rPr>
          <w:rFonts w:ascii="Palatino Linotype" w:cs="Palatino Linotype" w:eastAsia="Palatino Linotype" w:hAnsi="Palatino Linotype"/>
          <w:i w:val="1"/>
          <w:color w:val="000000"/>
          <w:sz w:val="24"/>
          <w:szCs w:val="24"/>
          <w:rtl w:val="0"/>
        </w:rPr>
        <w:t xml:space="preserve"> saber qué están haciendo los gobiernos por sus pueblos, sin lo cual la verdad languidecería y la participación en el gobierno permanecería fragmentada.</w:t>
      </w:r>
      <w:r w:rsidDel="00000000" w:rsidR="00000000" w:rsidRPr="00000000">
        <w:rPr>
          <w:rtl w:val="0"/>
        </w:rPr>
      </w:r>
    </w:p>
    <w:p w:rsidR="00000000" w:rsidDel="00000000" w:rsidP="00000000" w:rsidRDefault="00000000" w:rsidRPr="00000000" w14:paraId="0000008A">
      <w:pPr>
        <w:tabs>
          <w:tab w:val="left" w:pos="284"/>
        </w:tabs>
        <w:spacing w:after="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B">
      <w:pPr>
        <w:numPr>
          <w:ilvl w:val="0"/>
          <w:numId w:val="7"/>
        </w:numPr>
        <w:tabs>
          <w:tab w:val="left" w:pos="284"/>
        </w:tabs>
        <w:spacing w:after="0" w:before="0" w:line="360" w:lineRule="auto"/>
        <w:ind w:left="0"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sz w:val="24"/>
          <w:szCs w:val="24"/>
          <w:rtl w:val="0"/>
        </w:rPr>
        <w:t xml:space="preserve">Se deduce que el derecho de acceso a la información pública es un derecho humano constitucionalmente reconocido, en consecuencia todas las autoridades en el ámbito de sus competencias, funciones y atribuciones tienen la obligación de respetarlo, protegerlo y garantizarlo.</w:t>
      </w:r>
      <w:r w:rsidDel="00000000" w:rsidR="00000000" w:rsidRPr="00000000">
        <w:rPr>
          <w:rtl w:val="0"/>
        </w:rPr>
      </w:r>
    </w:p>
    <w:p w:rsidR="00000000" w:rsidDel="00000000" w:rsidP="00000000" w:rsidRDefault="00000000" w:rsidRPr="00000000" w14:paraId="0000008C">
      <w:pPr>
        <w:tabs>
          <w:tab w:val="left" w:pos="284"/>
        </w:tabs>
        <w:spacing w:after="0" w:before="0" w:line="360" w:lineRule="auto"/>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 </w:t>
      </w:r>
    </w:p>
    <w:p w:rsidR="00000000" w:rsidDel="00000000" w:rsidP="00000000" w:rsidRDefault="00000000" w:rsidRPr="00000000" w14:paraId="0000008D">
      <w:pPr>
        <w:numPr>
          <w:ilvl w:val="0"/>
          <w:numId w:val="7"/>
        </w:numPr>
        <w:tabs>
          <w:tab w:val="left" w:pos="284"/>
        </w:tabs>
        <w:spacing w:after="0" w:before="0" w:line="36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derivado de lo señalado con anterioridad la actuación </w:t>
      </w:r>
      <w:r w:rsidDel="00000000" w:rsidR="00000000" w:rsidRPr="00000000">
        <w:rPr>
          <w:rFonts w:ascii="Palatino Linotype" w:cs="Palatino Linotype" w:eastAsia="Palatino Linotype" w:hAnsi="Palatino Linotype"/>
          <w:b w:val="1"/>
          <w:sz w:val="24"/>
          <w:szCs w:val="24"/>
          <w:rtl w:val="0"/>
        </w:rPr>
        <w:t xml:space="preserve">Ayuntamiento de Metepec,</w:t>
      </w:r>
      <w:r w:rsidDel="00000000" w:rsidR="00000000" w:rsidRPr="00000000">
        <w:rPr>
          <w:rFonts w:ascii="Palatino Linotype" w:cs="Palatino Linotype" w:eastAsia="Palatino Linotype" w:hAnsi="Palatino Linotype"/>
          <w:sz w:val="24"/>
          <w:szCs w:val="24"/>
          <w:rtl w:val="0"/>
        </w:rPr>
        <w:t xml:space="preserve"> constituye una afectación al derecho humano de acceso a la información pública del particular, toda vez que incumple al no entregar la información solicitada ni en respuesta ni en informe justificado, dos momentos procesales que antes del cierre de instrucción del asunto a resolver, puede ser entregada la información para reparar el derecho afectado. </w:t>
      </w:r>
    </w:p>
    <w:p w:rsidR="00000000" w:rsidDel="00000000" w:rsidP="00000000" w:rsidRDefault="00000000" w:rsidRPr="00000000" w14:paraId="0000008E">
      <w:pPr>
        <w:tabs>
          <w:tab w:val="left" w:pos="284"/>
        </w:tabs>
        <w:spacing w:after="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F">
      <w:pPr>
        <w:numPr>
          <w:ilvl w:val="0"/>
          <w:numId w:val="7"/>
        </w:numPr>
        <w:tabs>
          <w:tab w:val="left" w:pos="284"/>
        </w:tabs>
        <w:spacing w:after="0" w:before="0" w:line="36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Ante tal afectación, el artículo primero Constitucional de forma clara y precisa dispone que como consecuencia de la obligación que tienen las autoridades de promover, respetar, proteger y garantizar el derecho humano; el Estado deberá </w:t>
      </w:r>
      <w:r w:rsidDel="00000000" w:rsidR="00000000" w:rsidRPr="00000000">
        <w:rPr>
          <w:rFonts w:ascii="Palatino Linotype" w:cs="Palatino Linotype" w:eastAsia="Palatino Linotype" w:hAnsi="Palatino Linotype"/>
          <w:sz w:val="24"/>
          <w:szCs w:val="24"/>
          <w:u w:val="single"/>
          <w:rtl w:val="0"/>
        </w:rPr>
        <w:t xml:space="preserve">prevenir, investigar, sancionar y reparar las violaciones a los derechos humanos</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90">
      <w:pPr>
        <w:tabs>
          <w:tab w:val="left" w:pos="284"/>
        </w:tabs>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1">
      <w:pPr>
        <w:numPr>
          <w:ilvl w:val="0"/>
          <w:numId w:val="7"/>
        </w:numPr>
        <w:tabs>
          <w:tab w:val="left" w:pos="284"/>
        </w:tabs>
        <w:spacing w:after="0" w:before="0" w:line="36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Del="00000000" w:rsidR="00000000" w:rsidRPr="00000000">
        <w:rPr>
          <w:rFonts w:ascii="Palatino Linotype" w:cs="Palatino Linotype" w:eastAsia="Palatino Linotype" w:hAnsi="Palatino Linotype"/>
          <w:i w:val="1"/>
          <w:sz w:val="24"/>
          <w:szCs w:val="24"/>
          <w:rtl w:val="0"/>
        </w:rPr>
        <w:t xml:space="preserve">por los principios de simplicidad, rapidez gratuidad del procedimiento, auxilio y orientación a los particulares</w:t>
      </w:r>
      <w:r w:rsidDel="00000000" w:rsidR="00000000" w:rsidRPr="00000000">
        <w:rPr>
          <w:rFonts w:ascii="Palatino Linotype" w:cs="Palatino Linotype" w:eastAsia="Palatino Linotype" w:hAnsi="Palatino Linotype"/>
          <w:sz w:val="24"/>
          <w:szCs w:val="24"/>
          <w:rtl w:val="0"/>
        </w:rPr>
        <w:t xml:space="preserve">, contemplando el derecho de las personas con discapacidad y hablantes de lengua indígena. </w:t>
      </w:r>
    </w:p>
    <w:p w:rsidR="00000000" w:rsidDel="00000000" w:rsidP="00000000" w:rsidRDefault="00000000" w:rsidRPr="00000000" w14:paraId="00000092">
      <w:pPr>
        <w:tabs>
          <w:tab w:val="left" w:pos="284"/>
        </w:tabs>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3">
      <w:pPr>
        <w:numPr>
          <w:ilvl w:val="0"/>
          <w:numId w:val="7"/>
        </w:numPr>
        <w:tabs>
          <w:tab w:val="left" w:pos="284"/>
        </w:tabs>
        <w:spacing w:after="0" w:before="0" w:line="36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que la </w:t>
      </w:r>
      <w:r w:rsidDel="00000000" w:rsidR="00000000" w:rsidRPr="00000000">
        <w:rPr>
          <w:rFonts w:ascii="Palatino Linotype" w:cs="Palatino Linotype" w:eastAsia="Palatino Linotype" w:hAnsi="Palatino Linotype"/>
          <w:b w:val="1"/>
          <w:sz w:val="24"/>
          <w:szCs w:val="24"/>
          <w:rtl w:val="0"/>
        </w:rPr>
        <w:t xml:space="preserve">Ley de Transparencia y Acceso a la Información Pública del Estado de México y Municipios, </w:t>
      </w:r>
      <w:r w:rsidDel="00000000" w:rsidR="00000000" w:rsidRPr="00000000">
        <w:rPr>
          <w:rFonts w:ascii="Palatino Linotype" w:cs="Palatino Linotype" w:eastAsia="Palatino Linotype" w:hAnsi="Palatino Linotype"/>
          <w:sz w:val="24"/>
          <w:szCs w:val="24"/>
          <w:rtl w:val="0"/>
        </w:rPr>
        <w:t xml:space="preserve">cuyo objeto es establecer principios, bases generales y procedimientos para tutelar y garantizar la transparencia y el derecho humano de acceso a la información pública en posesión de los sujetos obligados; en su artículo 176</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establece que </w:t>
      </w:r>
      <w:r w:rsidDel="00000000" w:rsidR="00000000" w:rsidRPr="00000000">
        <w:rPr>
          <w:rFonts w:ascii="Palatino Linotype" w:cs="Palatino Linotype" w:eastAsia="Palatino Linotype" w:hAnsi="Palatino Linotype"/>
          <w:b w:val="1"/>
          <w:i w:val="1"/>
          <w:sz w:val="24"/>
          <w:szCs w:val="24"/>
          <w:u w:val="single"/>
          <w:rtl w:val="0"/>
        </w:rPr>
        <w:t xml:space="preserve">el recurso de revisión es la garantía secundaria</w:t>
      </w:r>
      <w:r w:rsidDel="00000000" w:rsidR="00000000" w:rsidRPr="00000000">
        <w:rPr>
          <w:rFonts w:ascii="Palatino Linotype" w:cs="Palatino Linotype" w:eastAsia="Palatino Linotype" w:hAnsi="Palatino Linotype"/>
          <w:b w:val="1"/>
          <w:i w:val="1"/>
          <w:sz w:val="24"/>
          <w:szCs w:val="24"/>
          <w:rtl w:val="0"/>
        </w:rPr>
        <w:t xml:space="preserve"> mediante la cual se pretende reparar cualquier posible afectación al derecho de acceso a la información pública</w:t>
      </w:r>
      <w:r w:rsidDel="00000000" w:rsidR="00000000" w:rsidRPr="00000000">
        <w:rPr>
          <w:rFonts w:ascii="Palatino Linotype" w:cs="Palatino Linotype" w:eastAsia="Palatino Linotype" w:hAnsi="Palatino Linotype"/>
          <w:b w:val="1"/>
          <w:sz w:val="24"/>
          <w:szCs w:val="24"/>
          <w:rtl w:val="0"/>
        </w:rPr>
        <w:t xml:space="preserve">, s</w:t>
      </w:r>
      <w:r w:rsidDel="00000000" w:rsidR="00000000" w:rsidRPr="00000000">
        <w:rPr>
          <w:rFonts w:ascii="Palatino Linotype" w:cs="Palatino Linotype" w:eastAsia="Palatino Linotype" w:hAnsi="Palatino Linotype"/>
          <w:sz w:val="24"/>
          <w:szCs w:val="24"/>
          <w:rtl w:val="0"/>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000000" w:rsidDel="00000000" w:rsidP="00000000" w:rsidRDefault="00000000" w:rsidRPr="00000000" w14:paraId="00000094">
      <w:pPr>
        <w:tabs>
          <w:tab w:val="left" w:pos="284"/>
        </w:tabs>
        <w:spacing w:after="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5">
      <w:pPr>
        <w:numPr>
          <w:ilvl w:val="0"/>
          <w:numId w:val="7"/>
        </w:numPr>
        <w:tabs>
          <w:tab w:val="left" w:pos="284"/>
        </w:tabs>
        <w:spacing w:after="240" w:before="0" w:line="36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Establecido lo anterior, resulta evidente que las razones o motivos de inconformidad hechos valer en el recurso de revisión resultan </w:t>
      </w:r>
      <w:r w:rsidDel="00000000" w:rsidR="00000000" w:rsidRPr="00000000">
        <w:rPr>
          <w:rFonts w:ascii="Palatino Linotype" w:cs="Palatino Linotype" w:eastAsia="Palatino Linotype" w:hAnsi="Palatino Linotype"/>
          <w:b w:val="1"/>
          <w:sz w:val="24"/>
          <w:szCs w:val="24"/>
          <w:rtl w:val="0"/>
        </w:rPr>
        <w:t xml:space="preserve">fundadas y procedentes</w:t>
      </w:r>
      <w:r w:rsidDel="00000000" w:rsidR="00000000" w:rsidRPr="00000000">
        <w:rPr>
          <w:rFonts w:ascii="Palatino Linotype" w:cs="Palatino Linotype" w:eastAsia="Palatino Linotype" w:hAnsi="Palatino Linotype"/>
          <w:sz w:val="24"/>
          <w:szCs w:val="24"/>
          <w:rtl w:val="0"/>
        </w:rPr>
        <w:t xml:space="preserve">, debido a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fue omiso proporcionar los documentos requeridos. </w:t>
      </w:r>
    </w:p>
    <w:p w:rsidR="00000000" w:rsidDel="00000000" w:rsidP="00000000" w:rsidRDefault="00000000" w:rsidRPr="00000000" w14:paraId="000000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spacing w:line="360"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99">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TEMÁTICA DE LOS ARTÍCULOS 2, FRACCIÓN V, XV, Y XVI, 3, 4,11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9A">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9B">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9C">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9D">
      <w:pPr>
        <w:spacing w:line="360" w:lineRule="auto"/>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 encuentre en posesión de los Sujetos Obligados.”</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240" w:before="0" w:line="360" w:lineRule="auto"/>
        <w:ind w:left="0" w:right="49" w:firstLine="0"/>
        <w:jc w:val="both"/>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derecho de acceso a la información encuentra su materia elemental en los documentos, y la Ley de Transparencia local  nos brinda el siguiente concepto, para darnos un mejor panorama:</w:t>
      </w:r>
      <w:r w:rsidDel="00000000" w:rsidR="00000000" w:rsidRPr="00000000">
        <w:rPr>
          <w:rtl w:val="0"/>
        </w:rPr>
      </w:r>
    </w:p>
    <w:p w:rsidR="00000000" w:rsidDel="00000000" w:rsidP="00000000" w:rsidRDefault="00000000" w:rsidRPr="00000000" w14:paraId="000000A0">
      <w:pPr>
        <w:spacing w:line="360" w:lineRule="auto"/>
        <w:ind w:left="567" w:right="567" w:firstLine="0"/>
        <w:jc w:val="both"/>
        <w:rPr>
          <w:rFonts w:ascii="Palatino Linotype" w:cs="Palatino Linotype" w:eastAsia="Palatino Linotype" w:hAnsi="Palatino Linotype"/>
          <w:i w:val="1"/>
          <w:sz w:val="28"/>
          <w:szCs w:val="28"/>
        </w:rPr>
      </w:pPr>
      <w:r w:rsidDel="00000000" w:rsidR="00000000" w:rsidRPr="00000000">
        <w:rPr>
          <w:rFonts w:ascii="Palatino Linotype" w:cs="Palatino Linotype" w:eastAsia="Palatino Linotype" w:hAnsi="Palatino Linotype"/>
          <w:b w:val="1"/>
          <w:i w:val="1"/>
          <w:sz w:val="22"/>
          <w:szCs w:val="22"/>
          <w:rtl w:val="0"/>
        </w:rPr>
        <w:t xml:space="preserve">XI. Documento: </w:t>
      </w:r>
      <w:r w:rsidDel="00000000" w:rsidR="00000000" w:rsidRPr="00000000">
        <w:rPr>
          <w:rFonts w:ascii="Palatino Linotype" w:cs="Palatino Linotype" w:eastAsia="Palatino Linotype" w:hAnsi="Palatino Linotype"/>
          <w:i w:val="1"/>
          <w:sz w:val="22"/>
          <w:szCs w:val="22"/>
          <w:rtl w:val="0"/>
        </w:rPr>
        <w:t xml:space="preserve">Los expedientes, reportes, estudios, actas, resoluciones, </w:t>
      </w:r>
      <w:r w:rsidDel="00000000" w:rsidR="00000000" w:rsidRPr="00000000">
        <w:rPr>
          <w:rFonts w:ascii="Palatino Linotype" w:cs="Palatino Linotype" w:eastAsia="Palatino Linotype" w:hAnsi="Palatino Linotype"/>
          <w:b w:val="1"/>
          <w:i w:val="1"/>
          <w:sz w:val="22"/>
          <w:szCs w:val="22"/>
          <w:rtl w:val="0"/>
        </w:rPr>
        <w:t xml:space="preserve">oficios,</w:t>
      </w:r>
      <w:r w:rsidDel="00000000" w:rsidR="00000000" w:rsidRPr="00000000">
        <w:rPr>
          <w:rFonts w:ascii="Palatino Linotype" w:cs="Palatino Linotype" w:eastAsia="Palatino Linotype" w:hAnsi="Palatino Linotype"/>
          <w:i w:val="1"/>
          <w:sz w:val="22"/>
          <w:szCs w:val="22"/>
          <w:rtl w:val="0"/>
        </w:rPr>
        <w:t xml:space="preserve">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i w:val="1"/>
          <w:sz w:val="22"/>
          <w:szCs w:val="22"/>
          <w:rtl w:val="0"/>
        </w:rPr>
        <w:t xml:space="preserve">cualquier otro registro</w:t>
      </w:r>
      <w:r w:rsidDel="00000000" w:rsidR="00000000" w:rsidRPr="00000000">
        <w:rPr>
          <w:rFonts w:ascii="Palatino Linotype" w:cs="Palatino Linotype" w:eastAsia="Palatino Linotype" w:hAnsi="Palatino Linotype"/>
          <w:i w:val="1"/>
          <w:sz w:val="22"/>
          <w:szCs w:val="22"/>
          <w:rtl w:val="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los Sujetos Obligados deberán documentar todo acto que se derive del ejercicio de sus facultades, competencias o funciones,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considerando desde su origen la eventual publicidad y reutilización de la información que generen, posean o administren.</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Además, debemos tomar en cuenta los artículos 4 y 12, de la Ley de Transparencia y Acceso a la Información Pública del Estado de México y Municipios, los cuales establecen lo siguiente: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 </w:t>
      </w:r>
      <w:r w:rsidDel="00000000" w:rsidR="00000000" w:rsidRPr="00000000">
        <w:rPr>
          <w:rFonts w:ascii="Palatino Linotype" w:cs="Palatino Linotype" w:eastAsia="Palatino Linotype" w:hAnsi="Palatino Linotype"/>
          <w:i w:val="1"/>
          <w:sz w:val="22"/>
          <w:szCs w:val="22"/>
          <w:rtl w:val="0"/>
        </w:rPr>
        <w:t xml:space="preserve">El derecho humano de acceso a la información pública es la prerrogativa de las personas para buscar, difundir, investigar, recabar, recibir y solicitar información pública, sin necesidad de acreditar personalidad ni interés jurídico.</w:t>
      </w:r>
    </w:p>
    <w:p w:rsidR="00000000" w:rsidDel="00000000" w:rsidP="00000000" w:rsidRDefault="00000000" w:rsidRPr="00000000" w14:paraId="000000AA">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B">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0AC">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D">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AE">
      <w:pPr>
        <w:spacing w:line="360" w:lineRule="auto"/>
        <w:ind w:left="567" w:right="567" w:firstLine="0"/>
        <w:jc w:val="both"/>
        <w:rPr>
          <w:rFonts w:ascii="Palatino Linotype" w:cs="Palatino Linotype" w:eastAsia="Palatino Linotype" w:hAnsi="Palatino Linotype"/>
          <w:i w:val="1"/>
          <w:color w:val="000000"/>
          <w:sz w:val="28"/>
          <w:szCs w:val="28"/>
        </w:rPr>
      </w:pPr>
      <w:r w:rsidDel="00000000" w:rsidR="00000000" w:rsidRPr="00000000">
        <w:rPr>
          <w:rtl w:val="0"/>
        </w:rPr>
      </w:r>
    </w:p>
    <w:p w:rsidR="00000000" w:rsidDel="00000000" w:rsidP="00000000" w:rsidRDefault="00000000" w:rsidRPr="00000000" w14:paraId="000000AF">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 </w:t>
      </w:r>
      <w:r w:rsidDel="00000000" w:rsidR="00000000" w:rsidRPr="00000000">
        <w:rPr>
          <w:rFonts w:ascii="Palatino Linotype" w:cs="Palatino Linotype" w:eastAsia="Palatino Linotype" w:hAnsi="Palatino Linotype"/>
          <w:i w:val="1"/>
          <w:sz w:val="22"/>
          <w:szCs w:val="22"/>
          <w:rtl w:val="0"/>
        </w:rPr>
        <w:t xml:space="preserve">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B0">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1">
      <w:pPr>
        <w:spacing w:line="360"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B2">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superscript"/>
        </w:rPr>
        <w:footnoteReference w:customMarkFollows="0" w:id="8"/>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Robustece lo anterior la Tesis aislada identificada con la clave I.4º.A.40 A del Cuarto Tribunal colegiado en Materia Administrativa del Primer Circuito, publicada en el Seminario Judicial de la Federación y su Gaceta en el libro XVIII, Marzo 2013, Página 1899.</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ACCESO A LA INFORMACIÓN. IMPLICACIÓN DEL PRINCIPIO DE MÁXIMA PUBLICIDAD EN EL DERECHO FUNDAMENTAL RELATIVO.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CUARTO TRIBUNAL COLEGIADO EN MATERIA ADMINISTRATIVA DEL PRIMER CIRCUITO.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Amparo en revisión 257/2012. Ruth Corona Muñoz. 6 de diciembre de 2012. Unanimidad de votos. Ponente: Jean Claude Tron Petit. Secretaria: Mayra Susana Martínez López.</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Como se ha señalado, los Sujetos Obligados deberán proporcionar toda la información que se encuentre en su posesión bajo los estándares más altos de transparencia y máxima publicidad. </w:t>
      </w:r>
    </w:p>
    <w:p w:rsidR="00000000" w:rsidDel="00000000" w:rsidP="00000000" w:rsidRDefault="00000000" w:rsidRPr="00000000" w14:paraId="000000BE">
      <w:pPr>
        <w:tabs>
          <w:tab w:val="left" w:pos="851"/>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0"/>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Es pertinente enfatizar lo que respecto al derecho de acceso a la información pública, refiere el artículo 6° de la Constitución Política de los Estados Unidos Mexicanos, que en su parte conducente señala:</w:t>
      </w:r>
    </w:p>
    <w:p w:rsidR="00000000" w:rsidDel="00000000" w:rsidP="00000000" w:rsidRDefault="00000000" w:rsidRPr="00000000" w14:paraId="000000C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1">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Fonts w:ascii="Palatino Linotype" w:cs="Palatino Linotype" w:eastAsia="Palatino Linotype" w:hAnsi="Palatino Linotype"/>
          <w:i w:val="1"/>
          <w:sz w:val="22"/>
          <w:szCs w:val="22"/>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Del="00000000" w:rsidR="00000000" w:rsidRPr="00000000">
        <w:rPr>
          <w:rFonts w:ascii="Palatino Linotype" w:cs="Palatino Linotype" w:eastAsia="Palatino Linotype" w:hAnsi="Palatino Linotype"/>
          <w:b w:val="1"/>
          <w:i w:val="1"/>
          <w:sz w:val="22"/>
          <w:szCs w:val="22"/>
          <w:rtl w:val="0"/>
        </w:rPr>
        <w:t xml:space="preserve">El derecho a la información será garantizado por el Estado.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2">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3">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Toda persona tiene derecho al libre acceso a información plural y oportuna, así como a buscar, recibir y difundir información e ideas de toda índole por cualquier medio de expresión.</w:t>
      </w:r>
    </w:p>
    <w:p w:rsidR="00000000" w:rsidDel="00000000" w:rsidP="00000000" w:rsidRDefault="00000000" w:rsidRPr="00000000" w14:paraId="000000C4">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5">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lo dispuesto en el presente artículo se observará lo siguiente:</w:t>
      </w:r>
    </w:p>
    <w:p w:rsidR="00000000" w:rsidDel="00000000" w:rsidP="00000000" w:rsidRDefault="00000000" w:rsidRPr="00000000" w14:paraId="000000C6">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7">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Para el ejercicio del derecho de acceso a la información, la Federación, los Estados y el Distrito Federal, en el ámbito de sus respectivas competencias, se regirán por los siguientes principios y bases:</w:t>
      </w:r>
    </w:p>
    <w:p w:rsidR="00000000" w:rsidDel="00000000" w:rsidP="00000000" w:rsidRDefault="00000000" w:rsidRPr="00000000" w14:paraId="000000C8">
      <w:pPr>
        <w:spacing w:line="360"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C9">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Toda la información en posesión de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cualquier autoridad</w:t>
      </w:r>
      <w:r w:rsidDel="00000000" w:rsidR="00000000" w:rsidRPr="00000000">
        <w:rPr>
          <w:rFonts w:ascii="Palatino Linotype" w:cs="Palatino Linotype" w:eastAsia="Palatino Linotype" w:hAnsi="Palatino Linotype"/>
          <w:i w:val="1"/>
          <w:sz w:val="22"/>
          <w:szCs w:val="22"/>
          <w:rtl w:val="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w:t>
      </w:r>
      <w:r w:rsidDel="00000000" w:rsidR="00000000" w:rsidRPr="00000000">
        <w:rPr>
          <w:rFonts w:ascii="Palatino Linotype" w:cs="Palatino Linotype" w:eastAsia="Palatino Linotype" w:hAnsi="Palatino Linotype"/>
          <w:i w:val="1"/>
          <w:sz w:val="22"/>
          <w:szCs w:val="22"/>
          <w:rtl w:val="0"/>
        </w:rPr>
        <w:t xml:space="preserve"> y sólo podrá ser reservada temporalmente por razones de interés público y seguridad nacional, en los términos que fijen las leyes. En la interpretación de este derecho deberá prevalecer el principio de máxima publicidad. </w:t>
      </w:r>
      <w:r w:rsidDel="00000000" w:rsidR="00000000" w:rsidRPr="00000000">
        <w:rPr>
          <w:rFonts w:ascii="Palatino Linotype" w:cs="Palatino Linotype" w:eastAsia="Palatino Linotype" w:hAnsi="Palatino Linotype"/>
          <w:b w:val="1"/>
          <w:i w:val="1"/>
          <w:sz w:val="22"/>
          <w:szCs w:val="22"/>
          <w:rtl w:val="0"/>
        </w:rPr>
        <w:t xml:space="preserve">Los sujetos obligados deberán documentar todo acto que derive del ejercicio de sus facultades, competencias o funciones</w:t>
      </w:r>
      <w:r w:rsidDel="00000000" w:rsidR="00000000" w:rsidRPr="00000000">
        <w:rPr>
          <w:rFonts w:ascii="Palatino Linotype" w:cs="Palatino Linotype" w:eastAsia="Palatino Linotype" w:hAnsi="Palatino Linotype"/>
          <w:i w:val="1"/>
          <w:sz w:val="22"/>
          <w:szCs w:val="22"/>
          <w:rtl w:val="0"/>
        </w:rPr>
        <w:t xml:space="preserve">, la ley determinará los supuestos específicos bajo los cuales procederá la declaración de inexistencia de la información.</w:t>
      </w:r>
    </w:p>
    <w:p w:rsidR="00000000" w:rsidDel="00000000" w:rsidP="00000000" w:rsidRDefault="00000000" w:rsidRPr="00000000" w14:paraId="000000CA">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B">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CC">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D">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CE">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F">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D0">
      <w:pPr>
        <w:spacing w:line="360"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D1">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Los sujetos obligados deberán preservar sus documentos en archivos administrativos actualizados y publicarán, a través de los medios electrónicos disponibles</w:t>
      </w:r>
      <w:r w:rsidDel="00000000" w:rsidR="00000000" w:rsidRPr="00000000">
        <w:rPr>
          <w:rFonts w:ascii="Palatino Linotype" w:cs="Palatino Linotype" w:eastAsia="Palatino Linotype" w:hAnsi="Palatino Linotype"/>
          <w:i w:val="1"/>
          <w:sz w:val="22"/>
          <w:szCs w:val="22"/>
          <w:rtl w:val="0"/>
        </w:rPr>
        <w:t xml:space="preserve">,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D2">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3">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D4">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5">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La inobservancia a las disposiciones en materia de acceso a la información pública será sancionada en los términos que dispongan las leyes.</w:t>
      </w:r>
    </w:p>
    <w:p w:rsidR="00000000" w:rsidDel="00000000" w:rsidP="00000000" w:rsidRDefault="00000000" w:rsidRPr="00000000" w14:paraId="000000D6">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7">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00000" w:rsidDel="00000000" w:rsidP="00000000" w:rsidRDefault="00000000" w:rsidRPr="00000000" w14:paraId="000000D8">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9">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ley establecerá aquella información que se considere reservada o confidencial.”</w:t>
      </w:r>
    </w:p>
    <w:p w:rsidR="00000000" w:rsidDel="00000000" w:rsidP="00000000" w:rsidRDefault="00000000" w:rsidRPr="00000000" w14:paraId="000000DA">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B">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DC">
      <w:pPr>
        <w:spacing w:line="360" w:lineRule="auto"/>
        <w:ind w:left="709" w:right="75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su parte, la Constitución Política del Estado Libre y Soberano de México, en su artículo 5°, dispone en su parte conducente, lo siguiente:</w:t>
      </w:r>
    </w:p>
    <w:p w:rsidR="00000000" w:rsidDel="00000000" w:rsidP="00000000" w:rsidRDefault="00000000" w:rsidRPr="00000000" w14:paraId="000000DE">
      <w:pPr>
        <w:spacing w:line="360" w:lineRule="auto"/>
        <w:ind w:left="709" w:right="75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spacing w:line="360"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 … </w:t>
      </w:r>
    </w:p>
    <w:p w:rsidR="00000000" w:rsidDel="00000000" w:rsidP="00000000" w:rsidRDefault="00000000" w:rsidRPr="00000000" w14:paraId="000000E0">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derecho a la información será garantizado por el Estado</w:t>
      </w:r>
      <w:r w:rsidDel="00000000" w:rsidR="00000000" w:rsidRPr="00000000">
        <w:rPr>
          <w:rFonts w:ascii="Palatino Linotype" w:cs="Palatino Linotype" w:eastAsia="Palatino Linotype" w:hAnsi="Palatino Linotype"/>
          <w:i w:val="1"/>
          <w:sz w:val="22"/>
          <w:szCs w:val="22"/>
          <w:rtl w:val="0"/>
        </w:rPr>
        <w:t xml:space="preserve">. La ley establecerá las previsiones que permitan asegurar la protección, el respeto y la difusión de este derecho. </w:t>
      </w:r>
    </w:p>
    <w:p w:rsidR="00000000" w:rsidDel="00000000" w:rsidP="00000000" w:rsidRDefault="00000000" w:rsidRPr="00000000" w14:paraId="000000E1">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00000" w:rsidDel="00000000" w:rsidP="00000000" w:rsidRDefault="00000000" w:rsidRPr="00000000" w14:paraId="000000E2">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3">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Este derecho se regirá por los principios y bases siguientes:</w:t>
      </w:r>
    </w:p>
    <w:p w:rsidR="00000000" w:rsidDel="00000000" w:rsidP="00000000" w:rsidRDefault="00000000" w:rsidRPr="00000000" w14:paraId="000000E4">
      <w:pPr>
        <w:spacing w:line="360"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E5">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Toda la información en posesión </w:t>
      </w:r>
      <w:r w:rsidDel="00000000" w:rsidR="00000000" w:rsidRPr="00000000">
        <w:rPr>
          <w:rFonts w:ascii="Palatino Linotype" w:cs="Palatino Linotype" w:eastAsia="Palatino Linotype" w:hAnsi="Palatino Linotype"/>
          <w:i w:val="1"/>
          <w:sz w:val="22"/>
          <w:szCs w:val="22"/>
          <w:rtl w:val="0"/>
        </w:rPr>
        <w:t xml:space="preserve">de cualquier autoridad, entidad, órgano y organismos de los Poderes Ejecutivo, Legislativo y Judicial, órganos autónomos, partidos políticos, fideicomisos y fondos públicos estatales y municipales, así como </w:t>
      </w:r>
      <w:r w:rsidDel="00000000" w:rsidR="00000000" w:rsidRPr="00000000">
        <w:rPr>
          <w:rFonts w:ascii="Palatino Linotype" w:cs="Palatino Linotype" w:eastAsia="Palatino Linotype" w:hAnsi="Palatino Linotype"/>
          <w:b w:val="1"/>
          <w:i w:val="1"/>
          <w:sz w:val="22"/>
          <w:szCs w:val="22"/>
          <w:rtl w:val="0"/>
        </w:rPr>
        <w:t xml:space="preserve">del gobierno y de la administración pública municipal y sus organismos descentralizados</w:t>
      </w:r>
      <w:r w:rsidDel="00000000" w:rsidR="00000000" w:rsidRPr="00000000">
        <w:rPr>
          <w:rFonts w:ascii="Palatino Linotype" w:cs="Palatino Linotype" w:eastAsia="Palatino Linotype" w:hAnsi="Palatino Linotype"/>
          <w:i w:val="1"/>
          <w:sz w:val="22"/>
          <w:szCs w:val="22"/>
          <w:rtl w:val="0"/>
        </w:rPr>
        <w:t xml:space="preserve">, asimismo de cualquier persona física, jurídica colectiva o sindicato que reciba y ejerza recursos públicos o realice actos de autoridad en el ámbito estatal y municipal, </w:t>
      </w:r>
      <w:r w:rsidDel="00000000" w:rsidR="00000000" w:rsidRPr="00000000">
        <w:rPr>
          <w:rFonts w:ascii="Palatino Linotype" w:cs="Palatino Linotype" w:eastAsia="Palatino Linotype" w:hAnsi="Palatino Linotype"/>
          <w:b w:val="1"/>
          <w:i w:val="1"/>
          <w:sz w:val="22"/>
          <w:szCs w:val="22"/>
          <w:rtl w:val="0"/>
        </w:rPr>
        <w:t xml:space="preserve">es pública</w:t>
      </w:r>
      <w:r w:rsidDel="00000000" w:rsidR="00000000" w:rsidRPr="00000000">
        <w:rPr>
          <w:rFonts w:ascii="Palatino Linotype" w:cs="Palatino Linotype" w:eastAsia="Palatino Linotype" w:hAnsi="Palatino Linotype"/>
          <w:i w:val="1"/>
          <w:sz w:val="22"/>
          <w:szCs w:val="22"/>
          <w:rtl w:val="0"/>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E6">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7">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información referente a la intimidad de la vida privada y la imagen de las personas será protegida a través de un marco jurídico rígido de tratamiento y manejo de datos personales, con las excepciones que establezca la ley reglamentaria.</w:t>
      </w:r>
    </w:p>
    <w:p w:rsidR="00000000" w:rsidDel="00000000" w:rsidP="00000000" w:rsidRDefault="00000000" w:rsidRPr="00000000" w14:paraId="000000E8">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9">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EA">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B">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Se establecerán mecanismos de acceso a la información y procedimientos de revisión expeditos que se sustanciarán ante el organismo autónomo especializado e imparcial que establece esta Constitución.</w:t>
      </w:r>
    </w:p>
    <w:p w:rsidR="00000000" w:rsidDel="00000000" w:rsidP="00000000" w:rsidRDefault="00000000" w:rsidRPr="00000000" w14:paraId="000000EC">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D">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00000" w:rsidDel="00000000" w:rsidP="00000000" w:rsidRDefault="00000000" w:rsidRPr="00000000" w14:paraId="000000EE">
      <w:pPr>
        <w:spacing w:line="360"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EF">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Los sujetos obligados deberán preservar sus documentos en archivos administrativos actualizados y publicarán, a través de los medios electrónicos disponibles, la información completa y actualizada sobre el ejercicio de los recursos públicos</w:t>
      </w:r>
      <w:r w:rsidDel="00000000" w:rsidR="00000000" w:rsidRPr="00000000">
        <w:rPr>
          <w:rFonts w:ascii="Palatino Linotype" w:cs="Palatino Linotype" w:eastAsia="Palatino Linotype" w:hAnsi="Palatino Linotype"/>
          <w:i w:val="1"/>
          <w:sz w:val="22"/>
          <w:szCs w:val="22"/>
          <w:rtl w:val="0"/>
        </w:rPr>
        <w:t xml:space="preserve"> y los indicadores que permitan rendir cuenta del cumplimiento de sus objetivos y los resultados obtenidos.</w:t>
      </w:r>
    </w:p>
    <w:p w:rsidR="00000000" w:rsidDel="00000000" w:rsidP="00000000" w:rsidRDefault="00000000" w:rsidRPr="00000000" w14:paraId="000000F0">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1">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La ley reglamentaria, determinará la manera en que los sujetos obligados deberán hacer pública la información relativa a los recursos públicos que entreguen a personas físicas o jurídicas colectivas.”</w:t>
      </w:r>
    </w:p>
    <w:p w:rsidR="00000000" w:rsidDel="00000000" w:rsidP="00000000" w:rsidRDefault="00000000" w:rsidRPr="00000000" w14:paraId="000000F2">
      <w:pPr>
        <w:spacing w:line="360" w:lineRule="auto"/>
        <w:ind w:left="567" w:righ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spacing w:line="360" w:lineRule="auto"/>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F4">
      <w:pPr>
        <w:spacing w:line="360" w:lineRule="auto"/>
        <w:ind w:left="567" w:righ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Adicional, tenemos que la Ley de Transparencia y Acceso a la Información Pública del Estado de México y Municipios, prevé en su artículo 23 fracción IV, lo siguiente:</w:t>
      </w:r>
    </w:p>
    <w:p w:rsidR="00000000" w:rsidDel="00000000" w:rsidP="00000000" w:rsidRDefault="00000000" w:rsidRPr="00000000" w14:paraId="000000F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7">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23. Son sujetos obligados a transparentar y permitir el acceso a su información y proteger los datos personales que obren en su poder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8">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9">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A">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Los ayuntamientos y las dependencias, organismos, órganos y entidades de la administración municipal;</w:t>
      </w:r>
    </w:p>
    <w:p w:rsidR="00000000" w:rsidDel="00000000" w:rsidP="00000000" w:rsidRDefault="00000000" w:rsidRPr="00000000" w14:paraId="000000FB">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C">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FE">
      <w:pPr>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FF">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servidores públicos deberán transparentar sus acciones así como garantizar y respetar el derecho de acceso a la información pública.”</w:t>
      </w:r>
      <w:r w:rsidDel="00000000" w:rsidR="00000000" w:rsidRPr="00000000">
        <w:rPr>
          <w:rtl w:val="0"/>
        </w:rPr>
      </w:r>
    </w:p>
    <w:p w:rsidR="00000000" w:rsidDel="00000000" w:rsidP="00000000" w:rsidRDefault="00000000" w:rsidRPr="00000000" w14:paraId="00000100">
      <w:pPr>
        <w:ind w:left="567" w:righ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10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anterior, es de referir que,</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el Ayuntamiento de Metepec</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al ser un Sujeto Obligado comprendido por la Legislación Local en materia de Transparencia, se encuentra obligado a hacer pública toda aquella información que genere, administre o posea.</w:t>
      </w:r>
    </w:p>
    <w:p w:rsidR="00000000" w:rsidDel="00000000" w:rsidP="00000000" w:rsidRDefault="00000000" w:rsidRPr="00000000" w14:paraId="000001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Derivado de lo anterior, es que se determina que los motivos o razones de inconformidad hechos valer por el Recurrente se encuentran fundados. En consecuencia, al no haber entregado en respuesta los documentos solicitados, aún y cuando los servidores públicos habilitados manifestaron que lo entregaron al Titular de la Unidad de Transparencia del Sujeto Obligado, lo conducente es REVOCAR la respuesta y ORDENAR la entrega de los documentos donde consten los oficios generados por la Segunda, Cuarta y Sexta regiduría en el mes de abril de dos mil veintiuno.</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Ahora bien, de ser el caso de que la información que se ha ordenado entregar contenga datos personales susceptibles de clasificarse como confidenciales, el Sujeto Obligado estará a lo dispuesto por el considerando QUINTO de la presente resolución.</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último y no menos importante, no se debe de perder de vista que el Recurrente mediante sus motivos o razones de inconformidad señaló</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Y ES POR ELLO QUE PIDO SE LE SANCIONE YA A ESTE SUJETO PRINCIPALMENTE A ALBERTO DANIEL GARCÍA CURIEL QUE ES EL JEFE DE LA UNIDAD DE TRANSPARENCIA DE METEPEC, PUES SU NEGLIGENCIA Y DESATENCIÓN A LAS SOLICITUDES ES CONSTANTE Y PROPICIA PÉRDIDA DE TIEMPO PARA MI COMO SOLICITANTE DE LA INFORMACIÓN PUBLICA. PIDO ENERGICAMENTE SE LE SANCIONE CON LA PENA MAS ALTA QUE CORRESPONDA PUES ESTO YA ES UNA BURLA”</w:t>
      </w:r>
      <w:r w:rsidDel="00000000" w:rsidR="00000000" w:rsidRPr="00000000">
        <w:rPr>
          <w:rtl w:val="0"/>
        </w:rPr>
      </w:r>
    </w:p>
    <w:p w:rsidR="00000000" w:rsidDel="00000000" w:rsidP="00000000" w:rsidRDefault="00000000" w:rsidRPr="00000000" w14:paraId="0000010B">
      <w:pPr>
        <w:numPr>
          <w:ilvl w:val="0"/>
          <w:numId w:val="7"/>
        </w:numPr>
        <w:tabs>
          <w:tab w:val="left" w:pos="567"/>
        </w:tabs>
        <w:spacing w:after="0" w:before="240" w:line="36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Tal y como se aprecia, el Recurrente solicitó que se sancione al Titular de la Unidad de Transparencia del Sujeto Obligado; sin embargo, es necesario resaltar que el recurso de revisión previsto en la Ley de la materia no es el medio para investigar y en su caso, sancionar a servidores públicos </w:t>
      </w:r>
      <w:r w:rsidDel="00000000" w:rsidR="00000000" w:rsidRPr="00000000">
        <w:rPr>
          <w:rFonts w:ascii="Palatino Linotype" w:cs="Palatino Linotype" w:eastAsia="Palatino Linotype" w:hAnsi="Palatino Linotype"/>
          <w:b w:val="1"/>
          <w:sz w:val="24"/>
          <w:szCs w:val="24"/>
          <w:u w:val="single"/>
          <w:rtl w:val="0"/>
        </w:rPr>
        <w:t xml:space="preserve">por la omisión de la entrega de información pública</w:t>
      </w:r>
      <w:r w:rsidDel="00000000" w:rsidR="00000000" w:rsidRPr="00000000">
        <w:rPr>
          <w:rFonts w:ascii="Palatino Linotype" w:cs="Palatino Linotype" w:eastAsia="Palatino Linotype" w:hAnsi="Palatino Linotype"/>
          <w:sz w:val="24"/>
          <w:szCs w:val="24"/>
          <w:rtl w:val="0"/>
        </w:rPr>
        <w:t xml:space="preserve"> o en la atención a solicitudes de información.</w:t>
      </w:r>
    </w:p>
    <w:p w:rsidR="00000000" w:rsidDel="00000000" w:rsidP="00000000" w:rsidRDefault="00000000" w:rsidRPr="00000000" w14:paraId="0000010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D">
      <w:pPr>
        <w:pStyle w:val="Heading1"/>
        <w:rPr>
          <w:rFonts w:ascii="Palatino Linotype" w:cs="Palatino Linotype" w:eastAsia="Palatino Linotype" w:hAnsi="Palatino Linotype"/>
          <w:b w:val="1"/>
          <w:color w:val="000000"/>
          <w:sz w:val="24"/>
          <w:szCs w:val="24"/>
        </w:rPr>
      </w:pPr>
      <w:bookmarkStart w:colFirst="0" w:colLast="0" w:name="_heading=h.26in1rg" w:id="12"/>
      <w:bookmarkEnd w:id="12"/>
      <w:r w:rsidDel="00000000" w:rsidR="00000000" w:rsidRPr="00000000">
        <w:rPr>
          <w:rFonts w:ascii="Palatino Linotype" w:cs="Palatino Linotype" w:eastAsia="Palatino Linotype" w:hAnsi="Palatino Linotype"/>
          <w:b w:val="1"/>
          <w:color w:val="000000"/>
          <w:sz w:val="24"/>
          <w:szCs w:val="24"/>
          <w:rtl w:val="0"/>
        </w:rPr>
        <w:t xml:space="preserve">QUINTO. De la Versión Pública.</w:t>
      </w:r>
    </w:p>
    <w:p w:rsidR="00000000" w:rsidDel="00000000" w:rsidP="00000000" w:rsidRDefault="00000000" w:rsidRPr="00000000" w14:paraId="0000010E">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F">
      <w:pPr>
        <w:pStyle w:val="Heading1"/>
        <w:numPr>
          <w:ilvl w:val="0"/>
          <w:numId w:val="4"/>
        </w:numPr>
        <w:spacing w:before="0" w:line="360" w:lineRule="auto"/>
        <w:ind w:left="1080" w:hanging="720"/>
        <w:rPr>
          <w:rFonts w:ascii="Palatino Linotype" w:cs="Palatino Linotype" w:eastAsia="Palatino Linotype" w:hAnsi="Palatino Linotype"/>
          <w:b w:val="1"/>
          <w:color w:val="000000"/>
          <w:sz w:val="24"/>
          <w:szCs w:val="24"/>
        </w:rPr>
      </w:pPr>
      <w:bookmarkStart w:colFirst="0" w:colLast="0" w:name="_heading=h.lnxbz9" w:id="13"/>
      <w:bookmarkEnd w:id="13"/>
      <w:r w:rsidDel="00000000" w:rsidR="00000000" w:rsidRPr="00000000">
        <w:rPr>
          <w:rFonts w:ascii="Palatino Linotype" w:cs="Palatino Linotype" w:eastAsia="Palatino Linotype" w:hAnsi="Palatino Linotype"/>
          <w:b w:val="1"/>
          <w:color w:val="000000"/>
          <w:sz w:val="24"/>
          <w:szCs w:val="24"/>
          <w:rtl w:val="0"/>
        </w:rPr>
        <w:t xml:space="preserve">Nociones generales.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Debe destacarse que, debido a la naturaleza de la información solicitada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eventualmente pudiera obrar datos personales susceptibles de protegerse,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deberá de hacer la adecuada versión pública, protegiendo los datos que no son susceptibles de ser proporcionados.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13">
      <w:pPr>
        <w:numPr>
          <w:ilvl w:val="0"/>
          <w:numId w:val="7"/>
        </w:numPr>
        <w:spacing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No pasa desapercibido para este Órgano Garante que los </w:t>
      </w:r>
      <w:r w:rsidDel="00000000" w:rsidR="00000000" w:rsidRPr="00000000">
        <w:rPr>
          <w:rFonts w:ascii="Palatino Linotype" w:cs="Palatino Linotype" w:eastAsia="Palatino Linotype" w:hAnsi="Palatino Linotype"/>
          <w:b w:val="1"/>
          <w:color w:val="000000"/>
          <w:sz w:val="24"/>
          <w:szCs w:val="24"/>
          <w:rtl w:val="0"/>
        </w:rPr>
        <w:t xml:space="preserve">Sujetos Obligados </w:t>
      </w:r>
      <w:r w:rsidDel="00000000" w:rsidR="00000000" w:rsidRPr="00000000">
        <w:rPr>
          <w:rFonts w:ascii="Palatino Linotype" w:cs="Palatino Linotype" w:eastAsia="Palatino Linotype" w:hAnsi="Palatino Linotype"/>
          <w:color w:val="000000"/>
          <w:sz w:val="24"/>
          <w:szCs w:val="24"/>
          <w:rtl w:val="0"/>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00000" w:rsidDel="00000000" w:rsidP="00000000" w:rsidRDefault="00000000" w:rsidRPr="00000000" w14:paraId="00000114">
      <w:pPr>
        <w:spacing w:line="360" w:lineRule="auto"/>
        <w:ind w:right="49"/>
        <w:jc w:val="both"/>
        <w:rPr>
          <w:rFonts w:ascii="Palatino Linotype" w:cs="Palatino Linotype" w:eastAsia="Palatino Linotype" w:hAnsi="Palatino Linotype"/>
          <w:color w:val="000000"/>
        </w:rPr>
      </w:pPr>
      <w:r w:rsidDel="00000000" w:rsidR="00000000" w:rsidRPr="00000000">
        <w:rPr>
          <w:rtl w:val="0"/>
        </w:rPr>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838"/>
        <w:gridCol w:w="6990"/>
        <w:tblGridChange w:id="0">
          <w:tblGrid>
            <w:gridCol w:w="1838"/>
            <w:gridCol w:w="6990"/>
          </w:tblGrid>
        </w:tblGridChange>
      </w:tblGrid>
      <w:tr>
        <w:trPr>
          <w:cantSplit w:val="0"/>
          <w:tblHeader w:val="0"/>
        </w:trPr>
        <w:tc>
          <w:tcPr/>
          <w:p w:rsidR="00000000" w:rsidDel="00000000" w:rsidP="00000000" w:rsidRDefault="00000000" w:rsidRPr="00000000" w14:paraId="00000115">
            <w:pPr>
              <w:spacing w:line="36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Requisitos previos.</w:t>
            </w:r>
          </w:p>
        </w:tc>
        <w:tc>
          <w:tcPr/>
          <w:p w:rsidR="00000000" w:rsidDel="00000000" w:rsidP="00000000" w:rsidRDefault="00000000" w:rsidRPr="00000000" w14:paraId="00000116">
            <w:pPr>
              <w:spacing w:line="360" w:lineRule="auto"/>
              <w:ind w:right="49"/>
              <w:jc w:val="both"/>
              <w:rPr>
                <w:rFonts w:ascii="Palatino Linotype" w:cs="Palatino Linotype" w:eastAsia="Palatino Linotype" w:hAnsi="Palatino Linotype"/>
                <w:b w:val="0"/>
                <w:color w:val="000000"/>
                <w:sz w:val="20"/>
                <w:szCs w:val="20"/>
              </w:rPr>
            </w:pPr>
            <w:r w:rsidDel="00000000" w:rsidR="00000000" w:rsidRPr="00000000">
              <w:rPr>
                <w:rFonts w:ascii="Palatino Linotype" w:cs="Palatino Linotype" w:eastAsia="Palatino Linotype" w:hAnsi="Palatino Linotype"/>
                <w:b w:val="0"/>
                <w:color w:val="000000"/>
                <w:sz w:val="20"/>
                <w:szCs w:val="20"/>
                <w:rtl w:val="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000000" w:rsidDel="00000000" w:rsidP="00000000" w:rsidRDefault="00000000" w:rsidRPr="00000000" w14:paraId="00000117">
            <w:pPr>
              <w:spacing w:line="360" w:lineRule="auto"/>
              <w:ind w:right="49"/>
              <w:jc w:val="both"/>
              <w:rPr>
                <w:rFonts w:ascii="Palatino Linotype" w:cs="Palatino Linotype" w:eastAsia="Palatino Linotype" w:hAnsi="Palatino Linotype"/>
                <w:b w:val="0"/>
                <w:color w:val="000000"/>
                <w:sz w:val="20"/>
                <w:szCs w:val="20"/>
              </w:rPr>
            </w:pPr>
            <w:r w:rsidDel="00000000" w:rsidR="00000000" w:rsidRPr="00000000">
              <w:rPr>
                <w:rFonts w:ascii="Palatino Linotype" w:cs="Palatino Linotype" w:eastAsia="Palatino Linotype" w:hAnsi="Palatino Linotype"/>
                <w:b w:val="0"/>
                <w:color w:val="000000"/>
                <w:sz w:val="20"/>
                <w:szCs w:val="20"/>
                <w:rtl w:val="0"/>
              </w:rPr>
              <w:t xml:space="preserve">Al hacerlo tienen que precisar de qué información se trata, señalando el supuesto de clasificación (confidencialidad o reserva).</w:t>
            </w:r>
          </w:p>
          <w:p w:rsidR="00000000" w:rsidDel="00000000" w:rsidP="00000000" w:rsidRDefault="00000000" w:rsidRPr="00000000" w14:paraId="00000118">
            <w:pPr>
              <w:spacing w:line="360" w:lineRule="auto"/>
              <w:ind w:right="49"/>
              <w:jc w:val="both"/>
              <w:rPr>
                <w:rFonts w:ascii="Palatino Linotype" w:cs="Palatino Linotype" w:eastAsia="Palatino Linotype" w:hAnsi="Palatino Linotype"/>
                <w:b w:val="0"/>
                <w:color w:val="000000"/>
                <w:sz w:val="20"/>
                <w:szCs w:val="20"/>
              </w:rPr>
            </w:pPr>
            <w:r w:rsidDel="00000000" w:rsidR="00000000" w:rsidRPr="00000000">
              <w:rPr>
                <w:rFonts w:ascii="Palatino Linotype" w:cs="Palatino Linotype" w:eastAsia="Palatino Linotype" w:hAnsi="Palatino Linotype"/>
                <w:b w:val="0"/>
                <w:color w:val="000000"/>
                <w:sz w:val="20"/>
                <w:szCs w:val="20"/>
                <w:rtl w:val="0"/>
              </w:rPr>
              <w:t xml:space="preserve">Además, se debe señalar el procedimiento, de los tres que establecen los artículos 132 y 106 de la Ley Estatal y General, respectivamente.</w:t>
            </w:r>
          </w:p>
          <w:p w:rsidR="00000000" w:rsidDel="00000000" w:rsidP="00000000" w:rsidRDefault="00000000" w:rsidRPr="00000000" w14:paraId="00000119">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0"/>
                <w:color w:val="000000"/>
                <w:sz w:val="20"/>
                <w:szCs w:val="20"/>
                <w:rtl w:val="0"/>
              </w:rPr>
              <w:t xml:space="preserve">El último de estos requisitos previos consiste en que no se pueden emitir acuerdos de carácter general ni particular, esto es, </w:t>
            </w:r>
            <w:r w:rsidDel="00000000" w:rsidR="00000000" w:rsidRPr="00000000">
              <w:rPr>
                <w:rFonts w:ascii="Palatino Linotype" w:cs="Palatino Linotype" w:eastAsia="Palatino Linotype" w:hAnsi="Palatino Linotype"/>
                <w:b w:val="0"/>
                <w:color w:val="000000"/>
                <w:sz w:val="20"/>
                <w:szCs w:val="20"/>
                <w:u w:val="single"/>
                <w:rtl w:val="0"/>
              </w:rPr>
              <w:t xml:space="preserve">no se puede hacer un acuerdo para clasificar de manera general todos los documentos de un expediente o área, sin</w:t>
            </w:r>
            <w:r w:rsidDel="00000000" w:rsidR="00000000" w:rsidRPr="00000000">
              <w:rPr>
                <w:rFonts w:ascii="Palatino Linotype" w:cs="Palatino Linotype" w:eastAsia="Palatino Linotype" w:hAnsi="Palatino Linotype"/>
                <w:b w:val="0"/>
                <w:color w:val="000000"/>
                <w:sz w:val="20"/>
                <w:szCs w:val="20"/>
                <w:rtl w:val="0"/>
              </w:rPr>
              <w:t xml:space="preserve"> individualizar su análisis y tampoco se puede hacer un acuerdo por cada dato que se vaya a clasificar dentro de un documento con diez datos, por ejemplo, susceptibles de ser clasificados.</w:t>
            </w:r>
            <w:r w:rsidDel="00000000" w:rsidR="00000000" w:rsidRPr="00000000">
              <w:rPr>
                <w:rtl w:val="0"/>
              </w:rPr>
            </w:r>
          </w:p>
        </w:tc>
      </w:tr>
      <w:tr>
        <w:trPr>
          <w:cantSplit w:val="0"/>
          <w:tblHeader w:val="0"/>
        </w:trPr>
        <w:tc>
          <w:tcPr/>
          <w:p w:rsidR="00000000" w:rsidDel="00000000" w:rsidP="00000000" w:rsidRDefault="00000000" w:rsidRPr="00000000" w14:paraId="0000011A">
            <w:pPr>
              <w:spacing w:line="36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Supuestos de clasificación.</w:t>
            </w:r>
          </w:p>
        </w:tc>
        <w:tc>
          <w:tcPr/>
          <w:p w:rsidR="00000000" w:rsidDel="00000000" w:rsidP="00000000" w:rsidRDefault="00000000" w:rsidRPr="00000000" w14:paraId="0000011B">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Las disposiciones constitucionales y legales en la materia establecen los dos supuestos generales para clasificar la información: por reserva y por confidencialidad.</w:t>
            </w:r>
          </w:p>
          <w:p w:rsidR="00000000" w:rsidDel="00000000" w:rsidP="00000000" w:rsidRDefault="00000000" w:rsidRPr="00000000" w14:paraId="0000011C">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00000" w:rsidDel="00000000" w:rsidP="00000000" w:rsidRDefault="00000000" w:rsidRPr="00000000" w14:paraId="0000011D">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El </w:t>
            </w:r>
            <w:r w:rsidDel="00000000" w:rsidR="00000000" w:rsidRPr="00000000">
              <w:rPr>
                <w:rFonts w:ascii="Palatino Linotype" w:cs="Palatino Linotype" w:eastAsia="Palatino Linotype" w:hAnsi="Palatino Linotype"/>
                <w:b w:val="1"/>
                <w:color w:val="000000"/>
                <w:sz w:val="20"/>
                <w:szCs w:val="20"/>
                <w:rtl w:val="0"/>
              </w:rPr>
              <w:t xml:space="preserve">Sujeto Obligado</w:t>
            </w:r>
            <w:r w:rsidDel="00000000" w:rsidR="00000000" w:rsidRPr="00000000">
              <w:rPr>
                <w:rFonts w:ascii="Palatino Linotype" w:cs="Palatino Linotype" w:eastAsia="Palatino Linotype" w:hAnsi="Palatino Linotype"/>
                <w:color w:val="000000"/>
                <w:sz w:val="20"/>
                <w:szCs w:val="20"/>
                <w:rtl w:val="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r w:rsidDel="00000000" w:rsidR="00000000" w:rsidRPr="00000000">
              <w:rPr>
                <w:rtl w:val="0"/>
              </w:rPr>
            </w:r>
          </w:p>
        </w:tc>
      </w:tr>
      <w:tr>
        <w:trPr>
          <w:cantSplit w:val="0"/>
          <w:tblHeader w:val="0"/>
        </w:trPr>
        <w:tc>
          <w:tcPr/>
          <w:p w:rsidR="00000000" w:rsidDel="00000000" w:rsidP="00000000" w:rsidRDefault="00000000" w:rsidRPr="00000000" w14:paraId="0000011E">
            <w:pPr>
              <w:spacing w:line="36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Formalidades para emitir el acuerdo de clasificación.</w:t>
            </w:r>
          </w:p>
        </w:tc>
        <w:tc>
          <w:tcPr/>
          <w:p w:rsidR="00000000" w:rsidDel="00000000" w:rsidP="00000000" w:rsidRDefault="00000000" w:rsidRPr="00000000" w14:paraId="0000011F">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El Comité de Transparencia, según lo dispuesto en los artículos cuenta con las facultades para aprobar, modificar o revocar la clasificación de la información que haya propuesto. </w:t>
            </w:r>
          </w:p>
          <w:p w:rsidR="00000000" w:rsidDel="00000000" w:rsidP="00000000" w:rsidRDefault="00000000" w:rsidRPr="00000000" w14:paraId="00000120">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Es necesario que </w:t>
            </w:r>
            <w:r w:rsidDel="00000000" w:rsidR="00000000" w:rsidRPr="00000000">
              <w:rPr>
                <w:rFonts w:ascii="Palatino Linotype" w:cs="Palatino Linotype" w:eastAsia="Palatino Linotype" w:hAnsi="Palatino Linotype"/>
                <w:b w:val="1"/>
                <w:color w:val="000000"/>
                <w:sz w:val="20"/>
                <w:szCs w:val="20"/>
                <w:u w:val="single"/>
                <w:rtl w:val="0"/>
              </w:rPr>
              <w:t xml:space="preserve">el acto reúna con los requisitos elementales</w:t>
            </w:r>
            <w:r w:rsidDel="00000000" w:rsidR="00000000" w:rsidRPr="00000000">
              <w:rPr>
                <w:rFonts w:ascii="Palatino Linotype" w:cs="Palatino Linotype" w:eastAsia="Palatino Linotype" w:hAnsi="Palatino Linotype"/>
                <w:color w:val="000000"/>
                <w:sz w:val="20"/>
                <w:szCs w:val="20"/>
                <w:rtl w:val="0"/>
              </w:rPr>
              <w:t xml:space="preserve">, entre ellos, que la autoridad que va a emitir el acto de autoridad sea la legalmente facultada para ello.</w:t>
            </w:r>
          </w:p>
          <w:p w:rsidR="00000000" w:rsidDel="00000000" w:rsidP="00000000" w:rsidRDefault="00000000" w:rsidRPr="00000000" w14:paraId="00000121">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r w:rsidDel="00000000" w:rsidR="00000000" w:rsidRPr="00000000">
              <w:rPr>
                <w:rtl w:val="0"/>
              </w:rPr>
            </w:r>
          </w:p>
        </w:tc>
      </w:tr>
      <w:tr>
        <w:trPr>
          <w:cantSplit w:val="0"/>
          <w:tblHeader w:val="0"/>
        </w:trPr>
        <w:tc>
          <w:tcPr/>
          <w:p w:rsidR="00000000" w:rsidDel="00000000" w:rsidP="00000000" w:rsidRDefault="00000000" w:rsidRPr="00000000" w14:paraId="00000122">
            <w:pPr>
              <w:spacing w:line="360" w:lineRule="auto"/>
              <w:rPr>
                <w:rFonts w:ascii="Palatino Linotype" w:cs="Palatino Linotype" w:eastAsia="Palatino Linotype" w:hAnsi="Palatino Linotype"/>
                <w:b w:val="0"/>
                <w:sz w:val="20"/>
                <w:szCs w:val="20"/>
              </w:rPr>
            </w:pPr>
            <w:r w:rsidDel="00000000" w:rsidR="00000000" w:rsidRPr="00000000">
              <w:rPr>
                <w:rtl w:val="0"/>
              </w:rPr>
            </w:r>
          </w:p>
          <w:p w:rsidR="00000000" w:rsidDel="00000000" w:rsidP="00000000" w:rsidRDefault="00000000" w:rsidRPr="00000000" w14:paraId="00000123">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d) Requisitos de fondo del acuerdo de clasificación. </w:t>
            </w:r>
            <w:r w:rsidDel="00000000" w:rsidR="00000000" w:rsidRPr="00000000">
              <w:rPr>
                <w:rtl w:val="0"/>
              </w:rPr>
            </w:r>
          </w:p>
        </w:tc>
        <w:tc>
          <w:tcPr/>
          <w:p w:rsidR="00000000" w:rsidDel="00000000" w:rsidP="00000000" w:rsidRDefault="00000000" w:rsidRPr="00000000" w14:paraId="00000124">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Del="00000000" w:rsidR="00000000" w:rsidRPr="00000000">
              <w:rPr>
                <w:rFonts w:ascii="Palatino Linotype" w:cs="Palatino Linotype" w:eastAsia="Palatino Linotype" w:hAnsi="Palatino Linotype"/>
                <w:b w:val="1"/>
                <w:color w:val="000000"/>
                <w:sz w:val="20"/>
                <w:szCs w:val="20"/>
                <w:rtl w:val="0"/>
              </w:rPr>
              <w:t xml:space="preserve">Sujetos Obligados</w:t>
            </w:r>
            <w:r w:rsidDel="00000000" w:rsidR="00000000" w:rsidRPr="00000000">
              <w:rPr>
                <w:rFonts w:ascii="Palatino Linotype" w:cs="Palatino Linotype" w:eastAsia="Palatino Linotype" w:hAnsi="Palatino Linotype"/>
                <w:color w:val="000000"/>
                <w:sz w:val="20"/>
                <w:szCs w:val="20"/>
                <w:rtl w:val="0"/>
              </w:rPr>
              <w:t xml:space="preserve">, por lo que deberán fundar y motivar debidamente la clasificación. </w:t>
            </w:r>
          </w:p>
          <w:p w:rsidR="00000000" w:rsidDel="00000000" w:rsidP="00000000" w:rsidRDefault="00000000" w:rsidRPr="00000000" w14:paraId="00000125">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De lo anterior, se desprende que para una correcta </w:t>
            </w:r>
            <w:r w:rsidDel="00000000" w:rsidR="00000000" w:rsidRPr="00000000">
              <w:rPr>
                <w:rFonts w:ascii="Palatino Linotype" w:cs="Palatino Linotype" w:eastAsia="Palatino Linotype" w:hAnsi="Palatino Linotype"/>
                <w:b w:val="1"/>
                <w:color w:val="000000"/>
                <w:sz w:val="20"/>
                <w:szCs w:val="20"/>
                <w:rtl w:val="0"/>
              </w:rPr>
              <w:t xml:space="preserve">clasificación total o parcial</w:t>
            </w:r>
            <w:r w:rsidDel="00000000" w:rsidR="00000000" w:rsidRPr="00000000">
              <w:rPr>
                <w:rFonts w:ascii="Palatino Linotype" w:cs="Palatino Linotype" w:eastAsia="Palatino Linotype" w:hAnsi="Palatino Linotype"/>
                <w:color w:val="000000"/>
                <w:sz w:val="20"/>
                <w:szCs w:val="20"/>
                <w:rtl w:val="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00000" w:rsidDel="00000000" w:rsidP="00000000" w:rsidRDefault="00000000" w:rsidRPr="00000000" w14:paraId="00000126">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00000" w:rsidDel="00000000" w:rsidP="00000000" w:rsidRDefault="00000000" w:rsidRPr="00000000" w14:paraId="00000127">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En ese mismo sentido, el numeral trigésimo tercero fracción V de los Lineamientos Generales, precisa que para motivar la clasificación se deben acreditar las circunstancias de tiempo, modo y lugar.</w:t>
            </w:r>
          </w:p>
          <w:p w:rsidR="00000000" w:rsidDel="00000000" w:rsidP="00000000" w:rsidRDefault="00000000" w:rsidRPr="00000000" w14:paraId="00000128">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Ahora bien, </w:t>
            </w:r>
            <w:r w:rsidDel="00000000" w:rsidR="00000000" w:rsidRPr="00000000">
              <w:rPr>
                <w:rFonts w:ascii="Palatino Linotype" w:cs="Palatino Linotype" w:eastAsia="Palatino Linotype" w:hAnsi="Palatino Linotype"/>
                <w:b w:val="1"/>
                <w:color w:val="000000"/>
                <w:sz w:val="20"/>
                <w:szCs w:val="20"/>
                <w:u w:val="single"/>
                <w:rtl w:val="0"/>
              </w:rPr>
              <w:t xml:space="preserve">para cada caso además de fundar y motivar</w:t>
            </w:r>
            <w:r w:rsidDel="00000000" w:rsidR="00000000" w:rsidRPr="00000000">
              <w:rPr>
                <w:rFonts w:ascii="Palatino Linotype" w:cs="Palatino Linotype" w:eastAsia="Palatino Linotype" w:hAnsi="Palatino Linotype"/>
                <w:color w:val="000000"/>
                <w:sz w:val="20"/>
                <w:szCs w:val="20"/>
                <w:rtl w:val="0"/>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trPr>
          <w:cantSplit w:val="0"/>
          <w:tblHeader w:val="0"/>
        </w:trPr>
        <w:tc>
          <w:tcPr/>
          <w:p w:rsidR="00000000" w:rsidDel="00000000" w:rsidP="00000000" w:rsidRDefault="00000000" w:rsidRPr="00000000" w14:paraId="00000129">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0"/>
                <w:sz w:val="20"/>
                <w:szCs w:val="20"/>
                <w:rtl w:val="0"/>
              </w:rPr>
              <w:t xml:space="preserve">e</w:t>
            </w:r>
            <w:r w:rsidDel="00000000" w:rsidR="00000000" w:rsidRPr="00000000">
              <w:rPr>
                <w:rFonts w:ascii="Palatino Linotype" w:cs="Palatino Linotype" w:eastAsia="Palatino Linotype" w:hAnsi="Palatino Linotype"/>
                <w:sz w:val="20"/>
                <w:szCs w:val="20"/>
                <w:rtl w:val="0"/>
              </w:rPr>
              <w:t xml:space="preserve">) Condiciones especiales de la clasificación de la información como confidencial. </w:t>
            </w:r>
          </w:p>
        </w:tc>
        <w:tc>
          <w:tcPr/>
          <w:p w:rsidR="00000000" w:rsidDel="00000000" w:rsidP="00000000" w:rsidRDefault="00000000" w:rsidRPr="00000000" w14:paraId="0000012A">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Los artículos 148 y 120 de la Ley Estatal y de la Ley General, respectivamente, establecen que aun tratándose de datos personales, se podrán proporcionar, incluso sin solicitar el consentimiento de su titular. </w:t>
            </w:r>
          </w:p>
          <w:p w:rsidR="00000000" w:rsidDel="00000000" w:rsidP="00000000" w:rsidRDefault="00000000" w:rsidRPr="00000000" w14:paraId="0000012B">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00000" w:rsidDel="00000000" w:rsidP="00000000" w:rsidRDefault="00000000" w:rsidRPr="00000000" w14:paraId="0000012C">
            <w:pPr>
              <w:spacing w:line="36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r w:rsidDel="00000000" w:rsidR="00000000" w:rsidRPr="00000000">
              <w:rPr>
                <w:rtl w:val="0"/>
              </w:rPr>
            </w:r>
          </w:p>
        </w:tc>
      </w:tr>
    </w:tbl>
    <w:p w:rsidR="00000000" w:rsidDel="00000000" w:rsidP="00000000" w:rsidRDefault="00000000" w:rsidRPr="00000000" w14:paraId="0000012D">
      <w:pPr>
        <w:spacing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20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000000" w:rsidDel="00000000" w:rsidP="00000000" w:rsidRDefault="00000000" w:rsidRPr="00000000" w14:paraId="0000012F">
      <w:pPr>
        <w:pStyle w:val="Heading1"/>
        <w:rPr>
          <w:rFonts w:ascii="Palatino Linotype" w:cs="Palatino Linotype" w:eastAsia="Palatino Linotype" w:hAnsi="Palatino Linotype"/>
          <w:b w:val="1"/>
          <w:color w:val="000000"/>
          <w:sz w:val="24"/>
          <w:szCs w:val="24"/>
        </w:rPr>
      </w:pPr>
      <w:bookmarkStart w:colFirst="0" w:colLast="0" w:name="_heading=h.35nkun2" w:id="14"/>
      <w:bookmarkEnd w:id="14"/>
      <w:r w:rsidDel="00000000" w:rsidR="00000000" w:rsidRPr="00000000">
        <w:rPr>
          <w:rFonts w:ascii="Palatino Linotype" w:cs="Palatino Linotype" w:eastAsia="Palatino Linotype" w:hAnsi="Palatino Linotype"/>
          <w:b w:val="1"/>
          <w:color w:val="000000"/>
          <w:sz w:val="24"/>
          <w:szCs w:val="24"/>
          <w:rtl w:val="0"/>
        </w:rPr>
        <w:t xml:space="preserve">SEXTO. De la Decisión.</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derecho del recurrente no se encuentra satisfecho con la respuesta que emitió el Sujeto Obligado, toda vez que, aún y cuando asumió contar con los documentos requeridos y haber manifestado que fueron entregados, no se anexó el soporte documental correspondiente, en consecuencia, la información no fue proporcionada al Recurrente.</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 respuesta que emitió el Sujeto Obligado se apreció una afectación al derecho accionado, por lo que es necesario ORDENAR al Sujeto Obligado entregar los documentos en donde consten los oficios generados en el mes de abril por la Segunda, Tercera  Cuarta Regiduría en el mes de abril, a efecto de reparar la afectación causada al Recurrente.</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anterior, es necesario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REVOCAR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respuesta del Sujeto Obligado y 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ORDENA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entregar los documentos solicitados.</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anteriormente expuesto y fundado, este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ÓRGANO GARANTE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emite los siguientes:</w:t>
      </w:r>
    </w:p>
    <w:p w:rsidR="00000000" w:rsidDel="00000000" w:rsidP="00000000" w:rsidRDefault="00000000" w:rsidRPr="00000000" w14:paraId="00000138">
      <w:pPr>
        <w:keepNext w:val="1"/>
        <w:keepLines w:val="1"/>
        <w:spacing w:line="360" w:lineRule="auto"/>
        <w:jc w:val="center"/>
        <w:rPr>
          <w:rFonts w:ascii="Palatino Linotype" w:cs="Palatino Linotype" w:eastAsia="Palatino Linotype" w:hAnsi="Palatino Linotype"/>
          <w:b w:val="1"/>
          <w:sz w:val="24"/>
          <w:szCs w:val="24"/>
        </w:rPr>
      </w:pPr>
      <w:bookmarkStart w:colFirst="0" w:colLast="0" w:name="_heading=h.44sinio" w:id="16"/>
      <w:bookmarkEnd w:id="16"/>
      <w:r w:rsidDel="00000000" w:rsidR="00000000" w:rsidRPr="00000000">
        <w:rPr>
          <w:rFonts w:ascii="Palatino Linotype" w:cs="Palatino Linotype" w:eastAsia="Palatino Linotype" w:hAnsi="Palatino Linotype"/>
          <w:b w:val="1"/>
          <w:sz w:val="24"/>
          <w:szCs w:val="24"/>
          <w:rtl w:val="0"/>
        </w:rPr>
        <w:t xml:space="preserve">R E S O L U T I V O S</w:t>
      </w:r>
    </w:p>
    <w:p w:rsidR="00000000" w:rsidDel="00000000" w:rsidP="00000000" w:rsidRDefault="00000000" w:rsidRPr="00000000" w14:paraId="00000139">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3A">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Resultan parcialmente fundadas las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razones o motivos de inconformidad hechos valer en el recurso de revisión </w:t>
      </w:r>
      <w:r w:rsidDel="00000000" w:rsidR="00000000" w:rsidRPr="00000000">
        <w:rPr>
          <w:rFonts w:ascii="Palatino Linotype" w:cs="Palatino Linotype" w:eastAsia="Palatino Linotype" w:hAnsi="Palatino Linotype"/>
          <w:b w:val="1"/>
          <w:sz w:val="24"/>
          <w:szCs w:val="24"/>
          <w:rtl w:val="0"/>
        </w:rPr>
        <w:t xml:space="preserve">03718/INFOEM/IP/RR/2021, </w:t>
      </w:r>
      <w:r w:rsidDel="00000000" w:rsidR="00000000" w:rsidRPr="00000000">
        <w:rPr>
          <w:rFonts w:ascii="Palatino Linotype" w:cs="Palatino Linotype" w:eastAsia="Palatino Linotype" w:hAnsi="Palatino Linotype"/>
          <w:sz w:val="24"/>
          <w:szCs w:val="24"/>
          <w:rtl w:val="0"/>
        </w:rPr>
        <w:t xml:space="preserve">en términos de los considerandos </w:t>
      </w: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y </w:t>
      </w:r>
      <w:r w:rsidDel="00000000" w:rsidR="00000000" w:rsidRPr="00000000">
        <w:rPr>
          <w:rFonts w:ascii="Palatino Linotype" w:cs="Palatino Linotype" w:eastAsia="Palatino Linotype" w:hAnsi="Palatino Linotype"/>
          <w:b w:val="1"/>
          <w:sz w:val="24"/>
          <w:szCs w:val="24"/>
          <w:rtl w:val="0"/>
        </w:rPr>
        <w:t xml:space="preserve">QUINTO </w:t>
      </w:r>
      <w:r w:rsidDel="00000000" w:rsidR="00000000" w:rsidRPr="00000000">
        <w:rPr>
          <w:rFonts w:ascii="Palatino Linotype" w:cs="Palatino Linotype" w:eastAsia="Palatino Linotype" w:hAnsi="Palatino Linotype"/>
          <w:sz w:val="24"/>
          <w:szCs w:val="24"/>
          <w:rtl w:val="0"/>
        </w:rPr>
        <w:t xml:space="preserve">de la presente resolución.</w:t>
      </w:r>
    </w:p>
    <w:p w:rsidR="00000000" w:rsidDel="00000000" w:rsidP="00000000" w:rsidRDefault="00000000" w:rsidRPr="00000000" w14:paraId="0000013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w:t>
      </w:r>
      <w:r w:rsidDel="00000000" w:rsidR="00000000" w:rsidRPr="00000000">
        <w:rPr>
          <w:rFonts w:ascii="Palatino Linotype" w:cs="Palatino Linotype" w:eastAsia="Palatino Linotype" w:hAnsi="Palatino Linotype"/>
          <w:b w:val="1"/>
          <w:color w:val="2f549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Se </w:t>
      </w:r>
      <w:r w:rsidDel="00000000" w:rsidR="00000000" w:rsidRPr="00000000">
        <w:rPr>
          <w:rFonts w:ascii="Palatino Linotype" w:cs="Palatino Linotype" w:eastAsia="Palatino Linotype" w:hAnsi="Palatino Linotype"/>
          <w:b w:val="1"/>
          <w:sz w:val="24"/>
          <w:szCs w:val="24"/>
          <w:rtl w:val="0"/>
        </w:rPr>
        <w:t xml:space="preserve">REVOCA</w:t>
      </w:r>
      <w:r w:rsidDel="00000000" w:rsidR="00000000" w:rsidRPr="00000000">
        <w:rPr>
          <w:rFonts w:ascii="Palatino Linotype" w:cs="Palatino Linotype" w:eastAsia="Palatino Linotype" w:hAnsi="Palatino Linotype"/>
          <w:sz w:val="24"/>
          <w:szCs w:val="24"/>
          <w:rtl w:val="0"/>
        </w:rPr>
        <w:t xml:space="preserve"> la respuesta emitida por el </w:t>
      </w:r>
      <w:r w:rsidDel="00000000" w:rsidR="00000000" w:rsidRPr="00000000">
        <w:rPr>
          <w:rFonts w:ascii="Palatino Linotype" w:cs="Palatino Linotype" w:eastAsia="Palatino Linotype" w:hAnsi="Palatino Linotype"/>
          <w:b w:val="1"/>
          <w:sz w:val="24"/>
          <w:szCs w:val="24"/>
          <w:rtl w:val="0"/>
        </w:rPr>
        <w:t xml:space="preserve">Ayuntamiento de Metepec</w:t>
      </w:r>
      <w:r w:rsidDel="00000000" w:rsidR="00000000" w:rsidRPr="00000000">
        <w:rPr>
          <w:rFonts w:ascii="Palatino Linotype" w:cs="Palatino Linotype" w:eastAsia="Palatino Linotype" w:hAnsi="Palatino Linotype"/>
          <w:sz w:val="24"/>
          <w:szCs w:val="24"/>
          <w:rtl w:val="0"/>
        </w:rPr>
        <w:t xml:space="preserve"> y 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entregar, vía Sistema de Acceso a la Información Mexiquense</w:t>
      </w:r>
      <w:r w:rsidDel="00000000" w:rsidR="00000000" w:rsidRPr="00000000">
        <w:rPr>
          <w:rFonts w:ascii="Palatino Linotype" w:cs="Palatino Linotype" w:eastAsia="Palatino Linotype" w:hAnsi="Palatino Linotype"/>
          <w:b w:val="1"/>
          <w:sz w:val="24"/>
          <w:szCs w:val="24"/>
          <w:rtl w:val="0"/>
        </w:rPr>
        <w:t xml:space="preserve"> (SAIMEX)</w:t>
      </w:r>
      <w:r w:rsidDel="00000000" w:rsidR="00000000" w:rsidRPr="00000000">
        <w:rPr>
          <w:rFonts w:ascii="Palatino Linotype" w:cs="Palatino Linotype" w:eastAsia="Palatino Linotype" w:hAnsi="Palatino Linotype"/>
          <w:sz w:val="24"/>
          <w:szCs w:val="24"/>
          <w:rtl w:val="0"/>
        </w:rPr>
        <w:t xml:space="preserve">, de ser el caso en versión pública, los documentos en donde conste lo siguiente:</w:t>
      </w:r>
    </w:p>
    <w:p w:rsidR="00000000" w:rsidDel="00000000" w:rsidP="00000000" w:rsidRDefault="00000000" w:rsidRPr="00000000" w14:paraId="000001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080" w:right="49" w:hanging="72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Oficios generados por la Segunda, Cuarta y Sexta Regiduría Municipal en el mes de abril de dos mil veintiuno.</w:t>
      </w:r>
      <w:r w:rsidDel="00000000" w:rsidR="00000000" w:rsidRPr="00000000">
        <w:rPr>
          <w:rtl w:val="0"/>
        </w:rPr>
      </w:r>
    </w:p>
    <w:p w:rsidR="00000000" w:rsidDel="00000000" w:rsidP="00000000" w:rsidRDefault="00000000" w:rsidRPr="00000000" w14:paraId="0000013D">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000000" w:rsidDel="00000000" w:rsidP="00000000" w:rsidRDefault="00000000" w:rsidRPr="00000000" w14:paraId="0000013E">
      <w:pPr>
        <w:ind w:left="567" w:right="425"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3F">
      <w:pPr>
        <w:tabs>
          <w:tab w:val="left" w:pos="8080"/>
        </w:tabs>
        <w:spacing w:line="360" w:lineRule="auto"/>
        <w:ind w:right="49"/>
        <w:jc w:val="both"/>
        <w:rPr>
          <w:rFonts w:ascii="Palatino Linotype" w:cs="Palatino Linotype" w:eastAsia="Palatino Linotype" w:hAnsi="Palatino Linotype"/>
          <w:color w:val="222222"/>
          <w:sz w:val="24"/>
          <w:szCs w:val="24"/>
          <w:highlight w:val="white"/>
        </w:rPr>
      </w:pPr>
      <w:r w:rsidDel="00000000" w:rsidR="00000000" w:rsidRPr="00000000">
        <w:rPr>
          <w:rFonts w:ascii="Palatino Linotype" w:cs="Palatino Linotype" w:eastAsia="Palatino Linotype" w:hAnsi="Palatino Linotype"/>
          <w:b w:val="1"/>
          <w:sz w:val="24"/>
          <w:szCs w:val="24"/>
          <w:rtl w:val="0"/>
        </w:rPr>
        <w:t xml:space="preserve">TERCERO. Notifíquese </w:t>
      </w:r>
      <w:r w:rsidDel="00000000" w:rsidR="00000000" w:rsidRPr="00000000">
        <w:rPr>
          <w:rFonts w:ascii="Palatino Linotype" w:cs="Palatino Linotype" w:eastAsia="Palatino Linotype" w:hAnsi="Palatino Linotype"/>
          <w:sz w:val="24"/>
          <w:szCs w:val="24"/>
          <w:rtl w:val="0"/>
        </w:rPr>
        <w:t xml:space="preserve">al Titular de la Unidad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que conforme a los artículos 186 último párrafo, 189 párrafo segundo y 199 de la Ley de Transparencia y Acceso a la Información Pública del Estado de México y Municipios, </w:t>
      </w:r>
      <w:r w:rsidDel="00000000" w:rsidR="00000000" w:rsidRPr="00000000">
        <w:rPr>
          <w:rFonts w:ascii="Palatino Linotype" w:cs="Palatino Linotype" w:eastAsia="Palatino Linotype" w:hAnsi="Palatino Linotype"/>
          <w:color w:val="222222"/>
          <w:sz w:val="24"/>
          <w:szCs w:val="24"/>
          <w:highlight w:val="white"/>
          <w:rtl w:val="0"/>
        </w:rPr>
        <w:t xml:space="preserve">vigente, dé cumplimiento a lo ordenado dentro del plazo de diez días hábiles, debiendo rendir a este Instituto el informe de cumplimiento de la resolución en un plazo de tres días hábiles posteriores.</w:t>
      </w:r>
    </w:p>
    <w:p w:rsidR="00000000" w:rsidDel="00000000" w:rsidP="00000000" w:rsidRDefault="00000000" w:rsidRPr="00000000" w14:paraId="00000140">
      <w:pPr>
        <w:tabs>
          <w:tab w:val="left" w:pos="8080"/>
        </w:tabs>
        <w:spacing w:line="360" w:lineRule="auto"/>
        <w:ind w:right="49"/>
        <w:jc w:val="both"/>
        <w:rPr>
          <w:rFonts w:ascii="Palatino Linotype" w:cs="Palatino Linotype" w:eastAsia="Palatino Linotype" w:hAnsi="Palatino Linotype"/>
          <w:color w:val="222222"/>
          <w:sz w:val="24"/>
          <w:szCs w:val="24"/>
          <w:highlight w:val="white"/>
        </w:rPr>
      </w:pPr>
      <w:r w:rsidDel="00000000" w:rsidR="00000000" w:rsidRPr="00000000">
        <w:rPr>
          <w:rtl w:val="0"/>
        </w:rPr>
      </w:r>
    </w:p>
    <w:p w:rsidR="00000000" w:rsidDel="00000000" w:rsidP="00000000" w:rsidRDefault="00000000" w:rsidRPr="00000000" w14:paraId="00000141">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42">
      <w:pPr>
        <w:tabs>
          <w:tab w:val="left" w:pos="8080"/>
        </w:tabs>
        <w:spacing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43">
      <w:pPr>
        <w:shd w:fill="ffffff" w:val="clea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w:t>
      </w:r>
      <w:r w:rsidDel="00000000" w:rsidR="00000000" w:rsidRPr="00000000">
        <w:rPr>
          <w:rFonts w:ascii="Palatino Linotype" w:cs="Palatino Linotype" w:eastAsia="Palatino Linotype" w:hAnsi="Palatino Linotype"/>
          <w:b w:val="1"/>
          <w:color w:val="222222"/>
          <w:sz w:val="24"/>
          <w:szCs w:val="24"/>
          <w:rtl w:val="0"/>
        </w:rPr>
        <w:t xml:space="preserve">Notifíquese </w:t>
      </w:r>
      <w:r w:rsidDel="00000000" w:rsidR="00000000" w:rsidRPr="00000000">
        <w:rPr>
          <w:rFonts w:ascii="Palatino Linotype" w:cs="Palatino Linotype" w:eastAsia="Palatino Linotype" w:hAnsi="Palatino Linotype"/>
          <w:color w:val="222222"/>
          <w:sz w:val="24"/>
          <w:szCs w:val="24"/>
          <w:rtl w:val="0"/>
        </w:rPr>
        <w:t xml:space="preserve">a </w:t>
      </w:r>
      <w:r w:rsidDel="00000000" w:rsidR="00000000" w:rsidRPr="00000000">
        <w:rPr>
          <w:rFonts w:ascii="Palatino Linotype" w:cs="Palatino Linotype" w:eastAsia="Palatino Linotype" w:hAnsi="Palatino Linotype"/>
          <w:sz w:val="22"/>
          <w:szCs w:val="22"/>
          <w:rtl w:val="0"/>
        </w:rPr>
        <w:t xml:space="preserve">XXXXXXXXXXXXXXXXXXX</w:t>
      </w:r>
      <w:r w:rsidDel="00000000" w:rsidR="00000000" w:rsidRPr="00000000">
        <w:rPr>
          <w:rFonts w:ascii="Palatino Linotype" w:cs="Palatino Linotype" w:eastAsia="Palatino Linotype" w:hAnsi="Palatino Linotype"/>
          <w:sz w:val="24"/>
          <w:szCs w:val="24"/>
          <w:rtl w:val="0"/>
        </w:rPr>
        <w:t xml:space="preserve"> la presente resolución.</w:t>
      </w:r>
    </w:p>
    <w:p w:rsidR="00000000" w:rsidDel="00000000" w:rsidP="00000000" w:rsidRDefault="00000000" w:rsidRPr="00000000" w14:paraId="00000144">
      <w:pPr>
        <w:shd w:fill="ffffff" w:val="clea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5">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SEXTO.</w:t>
      </w:r>
      <w:r w:rsidDel="00000000" w:rsidR="00000000" w:rsidRPr="00000000">
        <w:rPr>
          <w:rFonts w:ascii="Palatino Linotype" w:cs="Palatino Linotype" w:eastAsia="Palatino Linotype" w:hAnsi="Palatino Linotype"/>
          <w:sz w:val="24"/>
          <w:szCs w:val="24"/>
          <w:rtl w:val="0"/>
        </w:rPr>
        <w:t xml:space="preserve"> Se hace del conocimiento de </w:t>
      </w:r>
      <w:r w:rsidDel="00000000" w:rsidR="00000000" w:rsidRPr="00000000">
        <w:rPr>
          <w:rFonts w:ascii="Palatino Linotype" w:cs="Palatino Linotype" w:eastAsia="Palatino Linotype" w:hAnsi="Palatino Linotype"/>
          <w:sz w:val="22"/>
          <w:szCs w:val="22"/>
          <w:rtl w:val="0"/>
        </w:rPr>
        <w:t xml:space="preserve">XXXXXXXXXXXXXXXXXXXX</w:t>
      </w:r>
      <w:r w:rsidDel="00000000" w:rsidR="00000000" w:rsidRPr="00000000">
        <w:rPr>
          <w:rFonts w:ascii="Palatino Linotype" w:cs="Palatino Linotype" w:eastAsia="Palatino Linotype" w:hAnsi="Palatino Linotype"/>
          <w:sz w:val="24"/>
          <w:szCs w:val="24"/>
          <w:rtl w:val="0"/>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000000" w:rsidDel="00000000" w:rsidP="00000000" w:rsidRDefault="00000000" w:rsidRPr="00000000" w14:paraId="00000146">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7">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000000"/>
          <w:sz w:val="24"/>
          <w:szCs w:val="24"/>
          <w:highlight w:val="white"/>
          <w:rtl w:val="0"/>
        </w:rPr>
        <w:t xml:space="preserve">SÉPTIMO.</w:t>
      </w:r>
      <w:r w:rsidDel="00000000" w:rsidR="00000000" w:rsidRPr="00000000">
        <w:rPr>
          <w:rFonts w:ascii="Palatino Linotype" w:cs="Palatino Linotype" w:eastAsia="Palatino Linotype" w:hAnsi="Palatino Linotype"/>
          <w:color w:val="000000"/>
          <w:sz w:val="24"/>
          <w:szCs w:val="24"/>
          <w:highlight w:val="white"/>
          <w:rtl w:val="0"/>
        </w:rPr>
        <w:t xml:space="preserve"> Con fundamento en el artículo 198 de la Ley de Transparencia y Acceso a la Información Pública del Estado de México y Municipios, se apercibe al </w:t>
      </w:r>
      <w:r w:rsidDel="00000000" w:rsidR="00000000" w:rsidRPr="00000000">
        <w:rPr>
          <w:rFonts w:ascii="Palatino Linotype" w:cs="Palatino Linotype" w:eastAsia="Palatino Linotype" w:hAnsi="Palatino Linotype"/>
          <w:b w:val="1"/>
          <w:color w:val="000000"/>
          <w:sz w:val="24"/>
          <w:szCs w:val="24"/>
          <w:highlight w:val="white"/>
          <w:rtl w:val="0"/>
        </w:rPr>
        <w:t xml:space="preserve">SUJETO OBLIGADO</w:t>
      </w:r>
      <w:r w:rsidDel="00000000" w:rsidR="00000000" w:rsidRPr="00000000">
        <w:rPr>
          <w:rFonts w:ascii="Palatino Linotype" w:cs="Palatino Linotype" w:eastAsia="Palatino Linotype" w:hAnsi="Palatino Linotype"/>
          <w:color w:val="000000"/>
          <w:sz w:val="24"/>
          <w:szCs w:val="24"/>
          <w:highlight w:val="white"/>
          <w:rtl w:val="0"/>
        </w:rPr>
        <w:t xml:space="preserve"> de que, en caso de incumplimiento total o parcial de la presente resolución, se actuará de conformidad con lo dispuesto en los artículos 213, 214, 215, 216 y 217 de la ley en cita. </w:t>
      </w:r>
      <w:r w:rsidDel="00000000" w:rsidR="00000000" w:rsidRPr="00000000">
        <w:rPr>
          <w:rtl w:val="0"/>
        </w:rPr>
      </w:r>
    </w:p>
    <w:p w:rsidR="00000000" w:rsidDel="00000000" w:rsidP="00000000" w:rsidRDefault="00000000" w:rsidRPr="00000000" w14:paraId="00000148">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9">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OCHO DE SEPTIEMBRE DE DOS MIL VEINTIUNO, ANTE EL SECRETARIO TÉCNICO DEL PLENO ALEXIS TAPIA RAMÍREZ </w:t>
      </w:r>
    </w:p>
    <w:p w:rsidR="00000000" w:rsidDel="00000000" w:rsidP="00000000" w:rsidRDefault="00000000" w:rsidRPr="00000000" w14:paraId="0000014A">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B">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C">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D">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E">
      <w:pPr>
        <w:spacing w:line="360" w:lineRule="auto"/>
        <w:ind w:right="-93"/>
        <w:jc w:val="both"/>
        <w:rPr>
          <w:rFonts w:ascii="Palatino Linotype" w:cs="Palatino Linotype" w:eastAsia="Palatino Linotype" w:hAnsi="Palatino Linotype"/>
          <w:sz w:val="24"/>
          <w:szCs w:val="24"/>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pgSz w:h="15840" w:w="12240" w:orient="portrait"/>
      <w:pgMar w:bottom="1418" w:top="80" w:left="1588" w:right="1608" w:header="709" w:footer="73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font w:name="Century Gothic">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Artículo 50, Ley de Transparencia y Acceso a la Información Pública del Estado de México y Municipios.</w:t>
      </w:r>
    </w:p>
  </w:footnote>
  <w:footnote w:id="1">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Artículo 51, Ídem.</w:t>
      </w:r>
    </w:p>
  </w:footnote>
  <w:footnote w:id="2">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Artículo 58, Ley de Transparencia y Acceso a la Información Pública del Estado de México y Municipios.</w:t>
      </w:r>
    </w:p>
  </w:footnote>
  <w:footnote w:id="3">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Artículo 59, Ídem.</w:t>
      </w:r>
    </w:p>
  </w:footnote>
  <w:footnote w:id="4">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Convención Americana sobre Derechos Humanos. Artículo 13.</w:t>
      </w:r>
    </w:p>
  </w:footnote>
  <w:footnote w:id="5">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Constitución Política de los Estados Unidos Mexicanos. Artículo sexto, sección A, fracción I.</w:t>
      </w:r>
    </w:p>
  </w:footnote>
  <w:footnote w:id="6">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Corte Interamericana de Derechos Humanos. Caso Claude Reyes y otros vs. Chile. Sentencia de 19 de septiembre de 2006. Serie C. No. 151. Párr. 86.</w:t>
      </w:r>
    </w:p>
  </w:footnote>
  <w:footnote w:id="7">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Ibídem. Parr. 87.</w:t>
      </w:r>
    </w:p>
  </w:footnote>
  <w:footnote w:id="8">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Ley de Transparencia y Acceso a la Información Pública del Estado de México y Municipios. Artículo 9.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II. Eficacia: Obligación del Instituto para tutelar, de manera efectiva, el derecho de acceso a la información;</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356.0" w:type="dxa"/>
      <w:jc w:val="left"/>
      <w:tblInd w:w="0.0" w:type="dxa"/>
      <w:tblLayout w:type="fixed"/>
      <w:tblLook w:val="0400"/>
    </w:tblPr>
    <w:tblGrid>
      <w:gridCol w:w="1843"/>
      <w:gridCol w:w="7513"/>
      <w:tblGridChange w:id="0">
        <w:tblGrid>
          <w:gridCol w:w="1843"/>
          <w:gridCol w:w="7513"/>
        </w:tblGrid>
      </w:tblGridChange>
    </w:tblGrid>
    <w:tr>
      <w:trPr>
        <w:cantSplit w:val="0"/>
        <w:trHeight w:val="1435" w:hRule="atLeast"/>
        <w:tblHeader w:val="0"/>
      </w:trPr>
      <w:tc>
        <w:tcPr>
          <w:shd w:fill="auto" w:val="clear"/>
        </w:tcPr>
        <w:p w:rsidR="00000000" w:rsidDel="00000000" w:rsidP="00000000" w:rsidRDefault="00000000" w:rsidRPr="00000000" w14:paraId="0000015B">
          <w:pPr>
            <w:tabs>
              <w:tab w:val="right" w:pos="4273"/>
            </w:tabs>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 </w:t>
          </w:r>
        </w:p>
      </w:tc>
      <w:tc>
        <w:tcPr>
          <w:shd w:fill="auto" w:val="clear"/>
        </w:tcPr>
        <w:p w:rsidR="00000000" w:rsidDel="00000000" w:rsidP="00000000" w:rsidRDefault="00000000" w:rsidRPr="00000000" w14:paraId="0000015C">
          <w:pPr>
            <w:rPr/>
          </w:pPr>
          <w:r w:rsidDel="00000000" w:rsidR="00000000" w:rsidRPr="00000000">
            <w:rPr>
              <w:rtl w:val="0"/>
            </w:rPr>
          </w:r>
        </w:p>
        <w:tbl>
          <w:tblPr>
            <w:tblStyle w:val="Table3"/>
            <w:tblW w:w="7095.0" w:type="dxa"/>
            <w:jc w:val="left"/>
            <w:tblInd w:w="159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1"/>
            <w:gridCol w:w="4544"/>
            <w:tblGridChange w:id="0">
              <w:tblGrid>
                <w:gridCol w:w="2551"/>
                <w:gridCol w:w="4544"/>
              </w:tblGrid>
            </w:tblGridChange>
          </w:tblGrid>
          <w:tr>
            <w:trPr>
              <w:cantSplit w:val="0"/>
              <w:trHeight w:val="338" w:hRule="atLeast"/>
              <w:tblHeader w:val="0"/>
            </w:trPr>
            <w:tc>
              <w:tcPr/>
              <w:p w:rsidR="00000000" w:rsidDel="00000000" w:rsidP="00000000" w:rsidRDefault="00000000" w:rsidRPr="00000000" w14:paraId="0000015D">
                <w:pPr>
                  <w:tabs>
                    <w:tab w:val="right" w:pos="8838"/>
                  </w:tabs>
                  <w:ind w:right="-105"/>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5E">
                <w:pPr>
                  <w:tabs>
                    <w:tab w:val="right" w:pos="8838"/>
                  </w:tabs>
                  <w:ind w:right="-10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p w:rsidR="00000000" w:rsidDel="00000000" w:rsidP="00000000" w:rsidRDefault="00000000" w:rsidRPr="00000000" w14:paraId="0000015F">
                <w:pPr>
                  <w:tabs>
                    <w:tab w:val="right" w:pos="8838"/>
                  </w:tabs>
                  <w:ind w:right="-105" w:hanging="10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0">
                <w:pPr>
                  <w:tabs>
                    <w:tab w:val="right" w:pos="8838"/>
                  </w:tabs>
                  <w:ind w:right="-105" w:hanging="10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03718/INFOEM/IP/RR/2021 </w:t>
                </w:r>
              </w:p>
            </w:tc>
          </w:tr>
          <w:tr>
            <w:trPr>
              <w:cantSplit w:val="0"/>
              <w:trHeight w:val="283" w:hRule="atLeast"/>
              <w:tblHeader w:val="0"/>
            </w:trPr>
            <w:tc>
              <w:tcPr/>
              <w:p w:rsidR="00000000" w:rsidDel="00000000" w:rsidP="00000000" w:rsidRDefault="00000000" w:rsidRPr="00000000" w14:paraId="00000161">
                <w:pPr>
                  <w:tabs>
                    <w:tab w:val="right" w:pos="8838"/>
                  </w:tabs>
                  <w:ind w:right="-105"/>
                  <w:rPr>
                    <w:rFonts w:ascii="Palatino Linotype" w:cs="Palatino Linotype" w:eastAsia="Palatino Linotype" w:hAnsi="Palatino Linotype"/>
                    <w:b w:val="1"/>
                    <w:sz w:val="22"/>
                    <w:szCs w:val="22"/>
                  </w:rPr>
                </w:pPr>
                <w:bookmarkStart w:colFirst="0" w:colLast="0" w:name="_heading=h.2jxsxqh" w:id="17"/>
                <w:bookmarkEnd w:id="17"/>
                <w:r w:rsidDel="00000000" w:rsidR="00000000" w:rsidRPr="00000000">
                  <w:rPr>
                    <w:rFonts w:ascii="Palatino Linotype" w:cs="Palatino Linotype" w:eastAsia="Palatino Linotype" w:hAnsi="Palatino Linotype"/>
                    <w:b w:val="1"/>
                    <w:sz w:val="22"/>
                    <w:szCs w:val="22"/>
                    <w:rtl w:val="0"/>
                  </w:rPr>
                  <w:t xml:space="preserve">Sujeto Obligado:</w:t>
                </w:r>
              </w:p>
            </w:tc>
            <w:tc>
              <w:tcPr/>
              <w:p w:rsidR="00000000" w:rsidDel="00000000" w:rsidP="00000000" w:rsidRDefault="00000000" w:rsidRPr="00000000" w14:paraId="00000162">
                <w:pPr>
                  <w:tabs>
                    <w:tab w:val="left" w:pos="2834"/>
                    <w:tab w:val="right" w:pos="8838"/>
                  </w:tabs>
                  <w:ind w:left="-113" w:right="-10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Ayuntamiento de Metepec</w:t>
                </w:r>
              </w:p>
            </w:tc>
          </w:tr>
          <w:tr>
            <w:trPr>
              <w:cantSplit w:val="0"/>
              <w:trHeight w:val="283" w:hRule="atLeast"/>
              <w:tblHeader w:val="0"/>
            </w:trPr>
            <w:tc>
              <w:tcPr/>
              <w:p w:rsidR="00000000" w:rsidDel="00000000" w:rsidP="00000000" w:rsidRDefault="00000000" w:rsidRPr="00000000" w14:paraId="00000163">
                <w:pPr>
                  <w:tabs>
                    <w:tab w:val="right" w:pos="8838"/>
                  </w:tabs>
                  <w:ind w:right="-10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Comisionado Ponente:</w:t>
                </w:r>
              </w:p>
            </w:tc>
            <w:tc>
              <w:tcPr/>
              <w:p w:rsidR="00000000" w:rsidDel="00000000" w:rsidP="00000000" w:rsidRDefault="00000000" w:rsidRPr="00000000" w14:paraId="00000164">
                <w:pPr>
                  <w:tabs>
                    <w:tab w:val="right" w:pos="8838"/>
                  </w:tabs>
                  <w:ind w:left="-113" w:right="-10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María del Rosario Mejía Ayala</w:t>
                </w:r>
                <w:r w:rsidDel="00000000" w:rsidR="00000000" w:rsidRPr="00000000">
                  <w:rPr>
                    <w:rtl w:val="0"/>
                  </w:rPr>
                </w:r>
              </w:p>
            </w:tc>
          </w:tr>
        </w:tbl>
        <w:p w:rsidR="00000000" w:rsidDel="00000000" w:rsidP="00000000" w:rsidRDefault="00000000" w:rsidRPr="00000000" w14:paraId="00000165">
          <w:pPr>
            <w:tabs>
              <w:tab w:val="right" w:pos="8838"/>
            </w:tabs>
            <w:ind w:left="-28" w:firstLine="0"/>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Pr>
      <w:pict>
        <v:shape id="WordPictureWatermark527053611" style="position:absolute;margin-left:-104.3pt;margin-top:-133.1pt;width:663.5pt;height:12in;z-index:-251656192;mso-position-horizontal-relative:margin;mso-position-vertical-relative:margin;mso-position-horizontal:absolute;mso-position-vertical:absolute;" o:spid="_x0000_s2051" o:allowincell="f" type="#_x0000_t75">
          <v:imagedata r:id="rId1" o:title="marcaaguaINFOEM"/>
          <w10:wrap/>
        </v:shape>
      </w:pict>
    </w: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WordPictureWatermark527053610" style="position:absolute;width:663.5pt;height:12in;z-index:-251657216;mso-position-horizontal:center;mso-position-horizontal-relative:margin;mso-position-vertical:center;mso-position-vertical-relative:margin" o:spid="_x0000_s2050" o:allowincell="f" type="#_x0000_t75">
          <v:imagedata r:id="rId2" o:title="marcaaguaINFOEM"/>
          <w10:wrap/>
        </v:shape>
      </w:pict>
    </w: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9498.0" w:type="dxa"/>
      <w:jc w:val="left"/>
      <w:tblInd w:w="0.0" w:type="dxa"/>
      <w:tblLayout w:type="fixed"/>
      <w:tblLook w:val="0400"/>
    </w:tblPr>
    <w:tblGrid>
      <w:gridCol w:w="1560"/>
      <w:gridCol w:w="7938"/>
      <w:tblGridChange w:id="0">
        <w:tblGrid>
          <w:gridCol w:w="1560"/>
          <w:gridCol w:w="7938"/>
        </w:tblGrid>
      </w:tblGridChange>
    </w:tblGrid>
    <w:tr>
      <w:trPr>
        <w:cantSplit w:val="0"/>
        <w:trHeight w:val="1435" w:hRule="atLeast"/>
        <w:tblHeader w:val="0"/>
      </w:trPr>
      <w:tc>
        <w:tcPr>
          <w:shd w:fill="auto" w:val="clear"/>
        </w:tcPr>
        <w:p w:rsidR="00000000" w:rsidDel="00000000" w:rsidP="00000000" w:rsidRDefault="00000000" w:rsidRPr="00000000" w14:paraId="0000016B">
          <w:pPr>
            <w:tabs>
              <w:tab w:val="right" w:pos="4273"/>
            </w:tabs>
            <w:rPr>
              <w:rFonts w:ascii="Garamond" w:cs="Garamond" w:eastAsia="Garamond" w:hAnsi="Garamond"/>
              <w:sz w:val="22"/>
              <w:szCs w:val="22"/>
            </w:rPr>
          </w:pPr>
          <w:r w:rsidDel="00000000" w:rsidR="00000000" w:rsidRPr="00000000">
            <w:rPr>
              <w:rtl w:val="0"/>
            </w:rPr>
          </w:r>
        </w:p>
      </w:tc>
      <w:tc>
        <w:tcPr>
          <w:shd w:fill="auto" w:val="clea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2"/>
              <w:szCs w:val="22"/>
            </w:rPr>
          </w:pPr>
          <w:r w:rsidDel="00000000" w:rsidR="00000000" w:rsidRPr="00000000">
            <w:rPr>
              <w:rtl w:val="0"/>
            </w:rPr>
          </w:r>
        </w:p>
        <w:tbl>
          <w:tblPr>
            <w:tblStyle w:val="Table5"/>
            <w:tblW w:w="10492.0" w:type="dxa"/>
            <w:jc w:val="left"/>
            <w:tblInd w:w="18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44"/>
            <w:gridCol w:w="4646"/>
            <w:gridCol w:w="3402"/>
            <w:tblGridChange w:id="0">
              <w:tblGrid>
                <w:gridCol w:w="2444"/>
                <w:gridCol w:w="4646"/>
                <w:gridCol w:w="3402"/>
              </w:tblGrid>
            </w:tblGridChange>
          </w:tblGrid>
          <w:tr>
            <w:trPr>
              <w:cantSplit w:val="0"/>
              <w:trHeight w:val="144" w:hRule="atLeast"/>
              <w:tblHeader w:val="0"/>
            </w:trPr>
            <w:tc>
              <w:tcPr/>
              <w:p w:rsidR="00000000" w:rsidDel="00000000" w:rsidP="00000000" w:rsidRDefault="00000000" w:rsidRPr="00000000" w14:paraId="0000016D">
                <w:pPr>
                  <w:tabs>
                    <w:tab w:val="right" w:pos="8838"/>
                  </w:tabs>
                  <w:ind w:left="-74" w:right="-105" w:firstLine="0"/>
                  <w:rPr>
                    <w:rFonts w:ascii="Palatino Linotype" w:cs="Palatino Linotype" w:eastAsia="Palatino Linotype" w:hAnsi="Palatino Linotype"/>
                    <w:b w:val="1"/>
                    <w:sz w:val="22"/>
                    <w:szCs w:val="22"/>
                  </w:rPr>
                </w:pPr>
                <w:bookmarkStart w:colFirst="0" w:colLast="0" w:name="_heading=h.z337ya" w:id="18"/>
                <w:bookmarkEnd w:id="18"/>
                <w:r w:rsidDel="00000000" w:rsidR="00000000" w:rsidRPr="00000000">
                  <w:rPr>
                    <w:rFonts w:ascii="Palatino Linotype" w:cs="Palatino Linotype" w:eastAsia="Palatino Linotype" w:hAnsi="Palatino Linotype"/>
                    <w:b w:val="1"/>
                    <w:sz w:val="22"/>
                    <w:szCs w:val="22"/>
                    <w:rtl w:val="0"/>
                  </w:rPr>
                  <w:t xml:space="preserve">Recurso de Revisión:</w:t>
                </w:r>
              </w:p>
            </w:tc>
            <w:tc>
              <w:tcPr/>
              <w:p w:rsidR="00000000" w:rsidDel="00000000" w:rsidP="00000000" w:rsidRDefault="00000000" w:rsidRPr="00000000" w14:paraId="0000016E">
                <w:pPr>
                  <w:tabs>
                    <w:tab w:val="right" w:pos="8838"/>
                  </w:tabs>
                  <w:ind w:left="-3" w:right="-10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03718/INFOEM/IP/RR/2021</w:t>
                </w:r>
              </w:p>
            </w:tc>
            <w:tc>
              <w:tcPr/>
              <w:p w:rsidR="00000000" w:rsidDel="00000000" w:rsidP="00000000" w:rsidRDefault="00000000" w:rsidRPr="00000000" w14:paraId="0000016F">
                <w:pPr>
                  <w:tabs>
                    <w:tab w:val="right" w:pos="8838"/>
                  </w:tabs>
                  <w:ind w:left="-74" w:right="-105" w:firstLine="0"/>
                  <w:jc w:val="both"/>
                  <w:rPr>
                    <w:rFonts w:ascii="Palatino Linotype" w:cs="Palatino Linotype" w:eastAsia="Palatino Linotype" w:hAnsi="Palatino Linotype"/>
                    <w:sz w:val="22"/>
                    <w:szCs w:val="22"/>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170">
                <w:pPr>
                  <w:tabs>
                    <w:tab w:val="right" w:pos="8838"/>
                  </w:tabs>
                  <w:ind w:left="-74" w:right="-105" w:firstLine="0"/>
                  <w:rPr>
                    <w:rFonts w:ascii="Palatino Linotype" w:cs="Palatino Linotype" w:eastAsia="Palatino Linotype" w:hAnsi="Palatino Linotype"/>
                    <w:b w:val="1"/>
                    <w:sz w:val="22"/>
                    <w:szCs w:val="22"/>
                  </w:rPr>
                </w:pPr>
                <w:bookmarkStart w:colFirst="0" w:colLast="0" w:name="_heading=h.3j2qqm3" w:id="19"/>
                <w:bookmarkEnd w:id="19"/>
                <w:r w:rsidDel="00000000" w:rsidR="00000000" w:rsidRPr="00000000">
                  <w:rPr>
                    <w:rFonts w:ascii="Palatino Linotype" w:cs="Palatino Linotype" w:eastAsia="Palatino Linotype" w:hAnsi="Palatino Linotype"/>
                    <w:b w:val="1"/>
                    <w:sz w:val="22"/>
                    <w:szCs w:val="22"/>
                    <w:rtl w:val="0"/>
                  </w:rPr>
                  <w:t xml:space="preserve">Recurrente:</w:t>
                </w:r>
              </w:p>
            </w:tc>
            <w:tc>
              <w:tcPr/>
              <w:p w:rsidR="00000000" w:rsidDel="00000000" w:rsidP="00000000" w:rsidRDefault="00000000" w:rsidRPr="00000000" w14:paraId="00000171">
                <w:pPr>
                  <w:tabs>
                    <w:tab w:val="left" w:pos="3122"/>
                    <w:tab w:val="right" w:pos="8838"/>
                  </w:tabs>
                  <w:ind w:right="1457"/>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2"/>
                    <w:szCs w:val="22"/>
                    <w:rtl w:val="0"/>
                  </w:rPr>
                  <w:t xml:space="preserve">XXXXXXXXXXXXXXXXXXX</w:t>
                </w:r>
                <w:r w:rsidDel="00000000" w:rsidR="00000000" w:rsidRPr="00000000">
                  <w:rPr>
                    <w:rtl w:val="0"/>
                  </w:rPr>
                </w:r>
              </w:p>
            </w:tc>
            <w:tc>
              <w:tcPr/>
              <w:p w:rsidR="00000000" w:rsidDel="00000000" w:rsidP="00000000" w:rsidRDefault="00000000" w:rsidRPr="00000000" w14:paraId="00000172">
                <w:pPr>
                  <w:tabs>
                    <w:tab w:val="left" w:pos="3122"/>
                    <w:tab w:val="right" w:pos="8838"/>
                  </w:tabs>
                  <w:ind w:right="-105"/>
                  <w:jc w:val="both"/>
                  <w:rPr>
                    <w:rFonts w:ascii="Palatino Linotype" w:cs="Palatino Linotype" w:eastAsia="Palatino Linotype" w:hAnsi="Palatino Linotype"/>
                    <w:sz w:val="22"/>
                    <w:szCs w:val="22"/>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73">
                <w:pPr>
                  <w:tabs>
                    <w:tab w:val="right" w:pos="8838"/>
                  </w:tabs>
                  <w:ind w:left="-74" w:right="-105" w:firstLine="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p w:rsidR="00000000" w:rsidDel="00000000" w:rsidP="00000000" w:rsidRDefault="00000000" w:rsidRPr="00000000" w14:paraId="00000174">
                <w:pPr>
                  <w:tabs>
                    <w:tab w:val="left" w:pos="2834"/>
                    <w:tab w:val="right" w:pos="8838"/>
                  </w:tabs>
                  <w:ind w:left="-3" w:right="131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Ayuntamiento de Metepec</w:t>
                </w:r>
                <w:r w:rsidDel="00000000" w:rsidR="00000000" w:rsidRPr="00000000">
                  <w:rPr>
                    <w:rtl w:val="0"/>
                  </w:rPr>
                </w:r>
              </w:p>
            </w:tc>
            <w:tc>
              <w:tcPr/>
              <w:p w:rsidR="00000000" w:rsidDel="00000000" w:rsidP="00000000" w:rsidRDefault="00000000" w:rsidRPr="00000000" w14:paraId="00000175">
                <w:pPr>
                  <w:tabs>
                    <w:tab w:val="left" w:pos="2834"/>
                    <w:tab w:val="right" w:pos="8838"/>
                  </w:tabs>
                  <w:ind w:left="-74" w:right="-105" w:firstLine="0"/>
                  <w:jc w:val="both"/>
                  <w:rPr>
                    <w:rFonts w:ascii="Palatino Linotype" w:cs="Palatino Linotype" w:eastAsia="Palatino Linotype" w:hAnsi="Palatino Linotype"/>
                    <w:sz w:val="22"/>
                    <w:szCs w:val="22"/>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76">
                <w:pPr>
                  <w:tabs>
                    <w:tab w:val="right" w:pos="8838"/>
                  </w:tabs>
                  <w:ind w:left="-74" w:right="-105" w:firstLine="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Comisionado Ponente:</w:t>
                </w:r>
              </w:p>
            </w:tc>
            <w:tc>
              <w:tcPr/>
              <w:p w:rsidR="00000000" w:rsidDel="00000000" w:rsidP="00000000" w:rsidRDefault="00000000" w:rsidRPr="00000000" w14:paraId="00000177">
                <w:pPr>
                  <w:tabs>
                    <w:tab w:val="right" w:pos="8838"/>
                  </w:tabs>
                  <w:ind w:left="-3" w:right="-10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María del Rosario Mejía Ayala</w:t>
                </w:r>
              </w:p>
            </w:tc>
            <w:tc>
              <w:tcPr/>
              <w:p w:rsidR="00000000" w:rsidDel="00000000" w:rsidP="00000000" w:rsidRDefault="00000000" w:rsidRPr="00000000" w14:paraId="00000178">
                <w:pPr>
                  <w:tabs>
                    <w:tab w:val="right" w:pos="8838"/>
                  </w:tabs>
                  <w:ind w:left="-74" w:right="-105" w:firstLine="0"/>
                  <w:jc w:val="both"/>
                  <w:rPr>
                    <w:rFonts w:ascii="Palatino Linotype" w:cs="Palatino Linotype" w:eastAsia="Palatino Linotype" w:hAnsi="Palatino Linotype"/>
                    <w:sz w:val="22"/>
                    <w:szCs w:val="22"/>
                  </w:rPr>
                </w:pPr>
                <w:r w:rsidDel="00000000" w:rsidR="00000000" w:rsidRPr="00000000">
                  <w:rPr>
                    <w:rtl w:val="0"/>
                  </w:rPr>
                </w:r>
              </w:p>
            </w:tc>
          </w:tr>
        </w:tbl>
        <w:p w:rsidR="00000000" w:rsidDel="00000000" w:rsidP="00000000" w:rsidRDefault="00000000" w:rsidRPr="00000000" w14:paraId="00000179">
          <w:pPr>
            <w:tabs>
              <w:tab w:val="right" w:pos="8838"/>
            </w:tabs>
            <w:ind w:left="-28" w:firstLine="0"/>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 w:val="center" w:pos="452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Pr>
      <w:pict>
        <v:shape id="WordPictureWatermark527053609" style="position:absolute;margin-left:-105.8pt;margin-top:-134.3pt;width:663.5pt;height:12in;z-index:-251658240;mso-position-horizontal-relative:margin;mso-position-vertical-relative:margin;mso-position-horizontal:absolute;mso-position-vertical:absolute;" o:spid="_x0000_s2049" o:allowincell="f" type="#_x0000_t75">
          <v:imagedata r:id="rId3" o:title="marcaaguaINFOEM"/>
          <w10:wrap/>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4330" w:hanging="360"/>
      </w:pPr>
      <w:rPr>
        <w:rFonts w:ascii="Palatino Linotype" w:cs="Palatino Linotype" w:eastAsia="Palatino Linotype" w:hAnsi="Palatino Linotype"/>
        <w:b w:val="1"/>
        <w:i w:val="0"/>
        <w:color w:val="000000"/>
        <w:sz w:val="24"/>
        <w:szCs w:val="24"/>
      </w:rPr>
    </w:lvl>
    <w:lvl w:ilvl="1">
      <w:start w:val="1"/>
      <w:numFmt w:val="upperRoman"/>
      <w:lvlText w:val="%2."/>
      <w:lvlJc w:val="left"/>
      <w:pPr>
        <w:ind w:left="1800" w:hanging="720"/>
      </w:pPr>
      <w:rPr>
        <w:rFonts w:ascii="Palatino Linotype" w:cs="Palatino Linotype" w:eastAsia="Palatino Linotype" w:hAnsi="Palatino Linotype"/>
        <w:b w:val="1"/>
        <w:color w:val="000000"/>
      </w:rPr>
    </w:lvl>
    <w:lvl w:ilvl="2">
      <w:start w:val="4"/>
      <w:numFmt w:val="lowerRoman"/>
      <w:lvlText w:val="%3."/>
      <w:lvlJc w:val="right"/>
      <w:pPr>
        <w:ind w:left="2160" w:hanging="180"/>
      </w:pPr>
      <w:rPr/>
    </w:lvl>
    <w:lvl w:ilvl="3">
      <w:start w:val="1"/>
      <w:numFmt w:val="lowerLetter"/>
      <w:lvlText w:val="%4)"/>
      <w:lvlJc w:val="left"/>
      <w:pPr>
        <w:ind w:left="2880" w:hanging="360"/>
      </w:pPr>
      <w:rPr/>
    </w:lvl>
    <w:lvl w:ilvl="4">
      <w:start w:val="104"/>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pPr>
      <w:spacing w:after="0" w:line="240" w:lineRule="auto"/>
    </w:pPr>
    <w:rPr>
      <w:rFonts w:eastAsia="Times New Roman"/>
      <w:lang w:eastAsia="es-ES"/>
    </w:rPr>
  </w:style>
  <w:style w:type="paragraph" w:styleId="Ttulo1">
    <w:name w:val="heading 1"/>
    <w:basedOn w:val="Normal"/>
    <w:next w:val="Normal"/>
    <w:link w:val="Ttulo1Car"/>
    <w:uiPriority w:val="9"/>
    <w:qFormat w:val="1"/>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8E6432"/>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ar"/>
    <w:uiPriority w:val="9"/>
    <w:unhideWhenUsed w:val="1"/>
    <w:qFormat w:val="1"/>
    <w:rsid w:val="008E6432"/>
    <w:pPr>
      <w:keepNext w:val="1"/>
      <w:keepLines w:val="1"/>
      <w:spacing w:before="40"/>
      <w:outlineLvl w:val="2"/>
    </w:pPr>
    <w:rPr>
      <w:rFonts w:asciiTheme="majorHAnsi" w:cstheme="majorBidi" w:eastAsiaTheme="majorEastAsia" w:hAnsiTheme="majorHAnsi"/>
      <w:color w:val="1f3763" w:themeColor="accent1" w:themeShade="00007F"/>
      <w:sz w:val="24"/>
      <w:szCs w:val="24"/>
      <w:lang w:val="es-ES_tradnl"/>
    </w:rPr>
  </w:style>
  <w:style w:type="paragraph" w:styleId="Ttulo4">
    <w:name w:val="heading 4"/>
    <w:basedOn w:val="Normal"/>
    <w:next w:val="Normal"/>
    <w:link w:val="Ttulo4Car"/>
    <w:uiPriority w:val="9"/>
    <w:unhideWhenUsed w:val="1"/>
    <w:qFormat w:val="1"/>
    <w:rsid w:val="008E6432"/>
    <w:pPr>
      <w:keepNext w:val="1"/>
      <w:keepLines w:val="1"/>
      <w:spacing w:before="40"/>
      <w:outlineLvl w:val="3"/>
    </w:pPr>
    <w:rPr>
      <w:rFonts w:asciiTheme="majorHAnsi" w:cstheme="majorBidi" w:eastAsiaTheme="majorEastAsia" w:hAnsiTheme="majorHAnsi"/>
      <w:i w:val="1"/>
      <w:iCs w:val="1"/>
      <w:color w:val="2f5496" w:themeColor="accent1" w:themeShade="0000BF"/>
      <w:sz w:val="24"/>
      <w:szCs w:val="24"/>
      <w:lang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val="1"/>
    <w:unhideWhenUsed w:val="1"/>
    <w:qFormat w:val="1"/>
    <w:rPr>
      <w:b w:val="1"/>
      <w:bCs w:val="1"/>
    </w:rPr>
  </w:style>
  <w:style w:type="paragraph" w:styleId="Textocomentario">
    <w:name w:val="annotation text"/>
    <w:basedOn w:val="Normal"/>
    <w:link w:val="TextocomentarioCar"/>
    <w:uiPriority w:val="99"/>
    <w:semiHidden w:val="1"/>
    <w:unhideWhenUsed w:val="1"/>
  </w:style>
  <w:style w:type="paragraph" w:styleId="Textodeglobo">
    <w:name w:val="Balloon Text"/>
    <w:basedOn w:val="Normal"/>
    <w:link w:val="TextodegloboCar"/>
    <w:uiPriority w:val="99"/>
    <w:semiHidden w:val="1"/>
    <w:unhideWhenUsed w:val="1"/>
    <w:qFormat w:val="1"/>
    <w:rPr>
      <w:rFonts w:ascii="Segoe UI" w:cs="Segoe UI" w:hAnsi="Segoe UI"/>
      <w:sz w:val="18"/>
      <w:szCs w:val="18"/>
    </w:rPr>
  </w:style>
  <w:style w:type="paragraph" w:styleId="Lista3">
    <w:name w:val="List 3"/>
    <w:basedOn w:val="Normal"/>
    <w:uiPriority w:val="99"/>
    <w:unhideWhenUsed w:val="1"/>
    <w:qFormat w:val="1"/>
    <w:pPr>
      <w:ind w:left="849" w:hanging="283"/>
      <w:contextualSpacing w:val="1"/>
    </w:pPr>
  </w:style>
  <w:style w:type="paragraph" w:styleId="Encabezado">
    <w:name w:val="header"/>
    <w:basedOn w:val="Normal"/>
    <w:link w:val="EncabezadoCar"/>
    <w:uiPriority w:val="99"/>
    <w:unhideWhenUsed w:val="1"/>
    <w:qFormat w:val="1"/>
    <w:pPr>
      <w:tabs>
        <w:tab w:val="center" w:pos="4419"/>
        <w:tab w:val="right" w:pos="8838"/>
      </w:tabs>
    </w:pPr>
  </w:style>
  <w:style w:type="paragraph" w:styleId="HTMLconformatoprevio">
    <w:name w:val="HTML Preformatted"/>
    <w:basedOn w:val="Normal"/>
    <w:link w:val="HTMLconformatoprevioCar"/>
    <w:uiPriority w:val="99"/>
    <w:semiHidden w:val="1"/>
    <w:unhideWhenUsed w:val="1"/>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lang w:eastAsia="es-MX"/>
    </w:rPr>
  </w:style>
  <w:style w:type="paragraph" w:styleId="Sangradetextonormal">
    <w:name w:val="Body Text Indent"/>
    <w:basedOn w:val="Normal"/>
    <w:link w:val="SangradetextonormalCar"/>
    <w:uiPriority w:val="99"/>
    <w:unhideWhenUsed w:val="1"/>
    <w:qFormat w:val="1"/>
    <w:pPr>
      <w:spacing w:after="120"/>
      <w:ind w:left="283"/>
    </w:pPr>
  </w:style>
  <w:style w:type="paragraph" w:styleId="Lista2">
    <w:name w:val="List 2"/>
    <w:basedOn w:val="Normal"/>
    <w:uiPriority w:val="99"/>
    <w:unhideWhenUsed w:val="1"/>
    <w:qFormat w:val="1"/>
    <w:pPr>
      <w:ind w:left="566" w:hanging="283"/>
      <w:contextualSpacing w:val="1"/>
    </w:pPr>
  </w:style>
  <w:style w:type="paragraph" w:styleId="Lista">
    <w:name w:val="List"/>
    <w:basedOn w:val="Normal"/>
    <w:uiPriority w:val="99"/>
    <w:unhideWhenUsed w:val="1"/>
    <w:qFormat w:val="1"/>
    <w:pPr>
      <w:ind w:left="283" w:hanging="283"/>
      <w:contextualSpacing w:val="1"/>
    </w:pPr>
  </w:style>
  <w:style w:type="paragraph" w:styleId="Lista4">
    <w:name w:val="List 4"/>
    <w:basedOn w:val="Normal"/>
    <w:uiPriority w:val="99"/>
    <w:unhideWhenUsed w:val="1"/>
    <w:qFormat w:val="1"/>
    <w:pPr>
      <w:ind w:left="1132" w:hanging="283"/>
      <w:contextualSpacing w:val="1"/>
    </w:pPr>
  </w:style>
  <w:style w:type="paragraph" w:styleId="Listaconvietas2">
    <w:name w:val="List Bullet 2"/>
    <w:basedOn w:val="Normal"/>
    <w:uiPriority w:val="99"/>
    <w:unhideWhenUsed w:val="1"/>
    <w:qFormat w:val="1"/>
    <w:pPr>
      <w:numPr>
        <w:numId w:val="1"/>
      </w:numPr>
      <w:contextualSpacing w:val="1"/>
    </w:pPr>
  </w:style>
  <w:style w:type="paragraph" w:styleId="Piedepgina">
    <w:name w:val="footer"/>
    <w:basedOn w:val="Normal"/>
    <w:link w:val="PiedepginaCar"/>
    <w:uiPriority w:val="99"/>
    <w:unhideWhenUsed w:val="1"/>
    <w:qFormat w:val="1"/>
    <w:pPr>
      <w:tabs>
        <w:tab w:val="center" w:pos="4419"/>
        <w:tab w:val="right" w:pos="8838"/>
      </w:tabs>
    </w:pPr>
  </w:style>
  <w:style w:type="paragraph" w:styleId="Saludo">
    <w:name w:val="Salutation"/>
    <w:basedOn w:val="Normal"/>
    <w:next w:val="Normal"/>
    <w:link w:val="SaludoCar"/>
    <w:uiPriority w:val="99"/>
    <w:unhideWhenUsed w:val="1"/>
    <w:qFormat w:val="1"/>
  </w:style>
  <w:style w:type="paragraph" w:styleId="Textoindependiente">
    <w:name w:val="Body Text"/>
    <w:basedOn w:val="Normal"/>
    <w:link w:val="TextoindependienteCar"/>
    <w:uiPriority w:val="99"/>
    <w:unhideWhenUsed w:val="1"/>
    <w:qFormat w:val="1"/>
    <w:pPr>
      <w:spacing w:after="120"/>
    </w:pPr>
  </w:style>
  <w:style w:type="paragraph" w:styleId="Textoindependienteprimerasangra2">
    <w:name w:val="Body Text First Indent 2"/>
    <w:basedOn w:val="Sangradetextonormal"/>
    <w:link w:val="Textoindependienteprimerasangra2Car"/>
    <w:uiPriority w:val="99"/>
    <w:unhideWhenUsed w:val="1"/>
    <w:qFormat w:val="1"/>
    <w:pPr>
      <w:spacing w:after="0"/>
      <w:ind w:left="360" w:firstLine="360"/>
    </w:pPr>
  </w:style>
  <w:style w:type="paragraph" w:styleId="Puesto">
    <w:name w:val="Title"/>
    <w:basedOn w:val="Normal"/>
    <w:next w:val="Normal"/>
    <w:link w:val="PuestoCar"/>
    <w:uiPriority w:val="10"/>
    <w:qFormat w:val="1"/>
    <w:pPr>
      <w:contextualSpacing w:val="1"/>
    </w:pPr>
    <w:rPr>
      <w:rFonts w:asciiTheme="majorHAnsi" w:cstheme="majorBidi" w:eastAsiaTheme="majorEastAsia" w:hAnsiTheme="majorHAnsi"/>
      <w:spacing w:val="-10"/>
      <w:kern w:val="28"/>
      <w:sz w:val="56"/>
      <w:szCs w:val="56"/>
    </w:rPr>
  </w:style>
  <w:style w:type="character" w:styleId="Refdecomentario">
    <w:name w:val="annotation reference"/>
    <w:basedOn w:val="Fuentedeprrafopredeter"/>
    <w:uiPriority w:val="99"/>
    <w:semiHidden w:val="1"/>
    <w:unhideWhenUsed w:val="1"/>
    <w:qFormat w:val="1"/>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val="1"/>
    <w:qFormat w:val="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qFormat w:val="1"/>
    <w:rPr>
      <w:color w:val="0563c1" w:themeColor="hyperlink"/>
      <w:u w:val="single"/>
    </w:rPr>
  </w:style>
  <w:style w:type="character" w:styleId="Hipervnculovisitado">
    <w:name w:val="FollowedHyperlink"/>
    <w:basedOn w:val="Fuentedeprrafopredeter"/>
    <w:uiPriority w:val="99"/>
    <w:semiHidden w:val="1"/>
    <w:unhideWhenUsed w:val="1"/>
    <w:qFormat w:val="1"/>
    <w:rPr>
      <w:color w:val="954f72" w:themeColor="followedHyperlink"/>
      <w:u w:val="single"/>
    </w:rPr>
  </w:style>
  <w:style w:type="character" w:styleId="Textoennegrita">
    <w:name w:val="Strong"/>
    <w:qFormat w:val="1"/>
    <w:rPr>
      <w:b w:val="1"/>
      <w:bCs w:val="1"/>
    </w:rPr>
  </w:style>
  <w:style w:type="table" w:styleId="Tablaconcuadrcula">
    <w:name w:val="Table Grid"/>
    <w:basedOn w:val="Tablanormal"/>
    <w:uiPriority w:val="39"/>
    <w:qFormat w:val="1"/>
    <w:pPr>
      <w:spacing w:after="0" w:line="240" w:lineRule="auto"/>
    </w:pPr>
    <w:rPr>
      <w:lang w:val="es-E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tulo1Car" w:customStyle="1">
    <w:name w:val="Título 1 Car"/>
    <w:basedOn w:val="Fuentedeprrafopredeter"/>
    <w:link w:val="Ttulo1"/>
    <w:uiPriority w:val="9"/>
    <w:rPr>
      <w:rFonts w:asciiTheme="majorHAnsi" w:cstheme="majorBidi" w:eastAsiaTheme="majorEastAsia" w:hAnsiTheme="majorHAnsi"/>
      <w:color w:val="2f5496" w:themeColor="accent1" w:themeShade="0000BF"/>
      <w:sz w:val="32"/>
      <w:szCs w:val="32"/>
      <w:lang w:eastAsia="es-ES" w:val="es-ES"/>
    </w:rPr>
  </w:style>
  <w:style w:type="character" w:styleId="EncabezadoCar" w:customStyle="1">
    <w:name w:val="Encabezado Car"/>
    <w:basedOn w:val="Fuentedeprrafopredeter"/>
    <w:link w:val="Encabezado"/>
    <w:uiPriority w:val="99"/>
    <w:qFormat w:val="1"/>
    <w:rPr>
      <w:rFonts w:ascii="Times New Roman" w:cs="Times New Roman" w:eastAsia="Times New Roman" w:hAnsi="Times New Roman"/>
      <w:sz w:val="20"/>
      <w:szCs w:val="20"/>
      <w:lang w:eastAsia="es-ES" w:val="es-ES"/>
    </w:rPr>
  </w:style>
  <w:style w:type="character" w:styleId="PiedepginaCar" w:customStyle="1">
    <w:name w:val="Pie de página Car"/>
    <w:basedOn w:val="Fuentedeprrafopredeter"/>
    <w:link w:val="Piedepgina"/>
    <w:uiPriority w:val="99"/>
    <w:qFormat w:val="1"/>
    <w:rPr>
      <w:rFonts w:ascii="Times New Roman" w:cs="Times New Roman" w:eastAsia="Times New Roman" w:hAnsi="Times New Roman"/>
      <w:sz w:val="20"/>
      <w:szCs w:val="20"/>
      <w:lang w:eastAsia="es-ES"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pPr>
      <w:ind w:left="720"/>
      <w:contextualSpacing w:val="1"/>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rPr>
      <w:rFonts w:ascii="Century Gothic" w:cs="Times New Roman" w:eastAsia="Times New Roman" w:hAnsi="Century Gothic"/>
      <w:szCs w:val="24"/>
      <w:lang w:eastAsia="es-E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cs="Times New Roman" w:eastAsia="Calibri" w:hAnsi="Calibri"/>
      <w:sz w:val="20"/>
      <w:szCs w:val="20"/>
    </w:rPr>
  </w:style>
  <w:style w:type="character" w:styleId="TextodegloboCar" w:customStyle="1">
    <w:name w:val="Texto de globo Car"/>
    <w:basedOn w:val="Fuentedeprrafopredeter"/>
    <w:link w:val="Textodeglobo"/>
    <w:uiPriority w:val="99"/>
    <w:semiHidden w:val="1"/>
    <w:qFormat w:val="1"/>
    <w:rPr>
      <w:rFonts w:ascii="Segoe UI" w:cs="Segoe UI" w:eastAsia="Times New Roman" w:hAnsi="Segoe UI"/>
      <w:sz w:val="18"/>
      <w:szCs w:val="18"/>
      <w:lang w:eastAsia="es-ES" w:val="es-ES"/>
    </w:rPr>
  </w:style>
  <w:style w:type="character" w:styleId="TextocomentarioCar" w:customStyle="1">
    <w:name w:val="Texto comentario Car"/>
    <w:basedOn w:val="Fuentedeprrafopredeter"/>
    <w:link w:val="Textocomentario"/>
    <w:uiPriority w:val="99"/>
    <w:semiHidden w:val="1"/>
    <w:qFormat w:val="1"/>
    <w:rPr>
      <w:rFonts w:ascii="Times New Roman" w:cs="Times New Roman" w:eastAsia="Times New Roman" w:hAnsi="Times New Roman"/>
      <w:sz w:val="20"/>
      <w:szCs w:val="20"/>
      <w:lang w:eastAsia="es-ES" w:val="es-ES"/>
    </w:rPr>
  </w:style>
  <w:style w:type="character" w:styleId="AsuntodelcomentarioCar" w:customStyle="1">
    <w:name w:val="Asunto del comentario Car"/>
    <w:basedOn w:val="TextocomentarioCar"/>
    <w:link w:val="Asuntodelcomentario"/>
    <w:uiPriority w:val="99"/>
    <w:semiHidden w:val="1"/>
    <w:qFormat w:val="1"/>
    <w:rPr>
      <w:rFonts w:ascii="Times New Roman" w:cs="Times New Roman" w:eastAsia="Times New Roman" w:hAnsi="Times New Roman"/>
      <w:b w:val="1"/>
      <w:bCs w:val="1"/>
      <w:sz w:val="20"/>
      <w:szCs w:val="20"/>
      <w:lang w:eastAsia="es-ES" w:val="es-ES"/>
    </w:rPr>
  </w:style>
  <w:style w:type="character" w:styleId="Mencionar1" w:customStyle="1">
    <w:name w:val="Mencionar1"/>
    <w:basedOn w:val="Fuentedeprrafopredeter"/>
    <w:uiPriority w:val="99"/>
    <w:semiHidden w:val="1"/>
    <w:unhideWhenUsed w:val="1"/>
    <w:qFormat w:val="1"/>
    <w:rPr>
      <w:color w:val="2b579a"/>
      <w:shd w:color="auto" w:fill="e6e6e6" w:val="clear"/>
    </w:rPr>
  </w:style>
  <w:style w:type="character" w:styleId="Mencionar2" w:customStyle="1">
    <w:name w:val="Mencionar2"/>
    <w:basedOn w:val="Fuentedeprrafopredeter"/>
    <w:uiPriority w:val="99"/>
    <w:semiHidden w:val="1"/>
    <w:unhideWhenUsed w:val="1"/>
    <w:qFormat w:val="1"/>
    <w:rPr>
      <w:color w:val="2b579a"/>
      <w:shd w:color="auto" w:fill="e6e6e6" w:val="clear"/>
    </w:rPr>
  </w:style>
  <w:style w:type="character" w:styleId="maestrofonttexto" w:customStyle="1">
    <w:name w:val="maestro_fonttexto"/>
    <w:basedOn w:val="Fuentedeprrafopredeter"/>
    <w:qFormat w:val="1"/>
  </w:style>
  <w:style w:type="character" w:styleId="HTMLconformatoprevioCar" w:customStyle="1">
    <w:name w:val="HTML con formato previo Car"/>
    <w:basedOn w:val="Fuentedeprrafopredeter"/>
    <w:link w:val="HTMLconformatoprevio"/>
    <w:uiPriority w:val="99"/>
    <w:semiHidden w:val="1"/>
    <w:qFormat w:val="1"/>
    <w:rPr>
      <w:rFonts w:ascii="Courier New" w:cs="Courier New" w:eastAsia="Times New Roman" w:hAnsi="Courier New"/>
      <w:sz w:val="20"/>
      <w:szCs w:val="20"/>
      <w:lang w:eastAsia="es-MX"/>
    </w:rPr>
  </w:style>
  <w:style w:type="paragraph" w:styleId="Default" w:customStyle="1">
    <w:name w:val="Default"/>
    <w:qFormat w:val="1"/>
    <w:pPr>
      <w:autoSpaceDE w:val="0"/>
      <w:autoSpaceDN w:val="0"/>
      <w:adjustRightInd w:val="0"/>
      <w:spacing w:after="0" w:line="240" w:lineRule="auto"/>
    </w:pPr>
    <w:rPr>
      <w:rFonts w:ascii="Arial" w:cs="Arial" w:hAnsi="Arial" w:eastAsiaTheme="minorHAnsi"/>
      <w:color w:val="000000"/>
      <w:sz w:val="24"/>
      <w:szCs w:val="24"/>
      <w:lang w:eastAsia="en-US"/>
    </w:rPr>
  </w:style>
  <w:style w:type="character" w:styleId="CharacterStyle1" w:customStyle="1">
    <w:name w:val="Character Style 1"/>
    <w:uiPriority w:val="99"/>
    <w:qFormat w:val="1"/>
    <w:rPr>
      <w:sz w:val="20"/>
      <w:szCs w:val="20"/>
    </w:rPr>
  </w:style>
  <w:style w:type="paragraph" w:styleId="Estilo1" w:customStyle="1">
    <w:name w:val="Estilo1"/>
    <w:basedOn w:val="Textoindependiente"/>
    <w:qFormat w:val="1"/>
  </w:style>
  <w:style w:type="character" w:styleId="TextoindependienteCar" w:customStyle="1">
    <w:name w:val="Texto independiente Car"/>
    <w:basedOn w:val="Fuentedeprrafopredeter"/>
    <w:link w:val="Textoindependiente"/>
    <w:uiPriority w:val="99"/>
    <w:qFormat w:val="1"/>
    <w:rPr>
      <w:rFonts w:ascii="Times New Roman" w:cs="Times New Roman" w:eastAsia="Times New Roman" w:hAnsi="Times New Roman"/>
      <w:sz w:val="20"/>
      <w:szCs w:val="20"/>
      <w:lang w:eastAsia="es-ES" w:val="es-ES"/>
    </w:rPr>
  </w:style>
  <w:style w:type="paragraph" w:styleId="Sinespaciado">
    <w:name w:val="No Spacing"/>
    <w:aliases w:val="Francesa,INAI"/>
    <w:link w:val="SinespaciadoCar"/>
    <w:uiPriority w:val="1"/>
    <w:qFormat w:val="1"/>
    <w:pPr>
      <w:spacing w:after="0" w:line="240" w:lineRule="auto"/>
      <w:ind w:left="567" w:right="567"/>
      <w:jc w:val="both"/>
    </w:pPr>
    <w:rPr>
      <w:rFonts w:ascii="Arial" w:eastAsia="Batang" w:hAnsi="Arial"/>
      <w:szCs w:val="24"/>
      <w:lang w:eastAsia="es-ES"/>
    </w:rPr>
  </w:style>
  <w:style w:type="character" w:styleId="SinespaciadoCar" w:customStyle="1">
    <w:name w:val="Sin espaciado Car"/>
    <w:aliases w:val="Francesa Car,INAI Car"/>
    <w:basedOn w:val="Fuentedeprrafopredeter"/>
    <w:link w:val="Sinespaciado"/>
    <w:uiPriority w:val="1"/>
    <w:qFormat w:val="1"/>
    <w:rPr>
      <w:rFonts w:ascii="Arial" w:cs="Times New Roman" w:eastAsia="Batang" w:hAnsi="Arial"/>
      <w:sz w:val="20"/>
      <w:szCs w:val="24"/>
      <w:lang w:eastAsia="es-ES"/>
    </w:rPr>
  </w:style>
  <w:style w:type="character" w:styleId="SaludoCar" w:customStyle="1">
    <w:name w:val="Saludo Car"/>
    <w:basedOn w:val="Fuentedeprrafopredeter"/>
    <w:link w:val="Saludo"/>
    <w:uiPriority w:val="99"/>
    <w:qFormat w:val="1"/>
    <w:rPr>
      <w:rFonts w:ascii="Times New Roman" w:cs="Times New Roman" w:eastAsia="Times New Roman" w:hAnsi="Times New Roman"/>
      <w:sz w:val="20"/>
      <w:szCs w:val="20"/>
      <w:lang w:eastAsia="es-ES" w:val="es-ES"/>
    </w:rPr>
  </w:style>
  <w:style w:type="character" w:styleId="PuestoCar" w:customStyle="1">
    <w:name w:val="Puesto Car"/>
    <w:basedOn w:val="Fuentedeprrafopredeter"/>
    <w:link w:val="Puesto"/>
    <w:uiPriority w:val="10"/>
    <w:qFormat w:val="1"/>
    <w:rPr>
      <w:rFonts w:asciiTheme="majorHAnsi" w:cstheme="majorBidi" w:eastAsiaTheme="majorEastAsia" w:hAnsiTheme="majorHAnsi"/>
      <w:spacing w:val="-10"/>
      <w:kern w:val="28"/>
      <w:sz w:val="56"/>
      <w:szCs w:val="56"/>
      <w:lang w:eastAsia="es-ES" w:val="es-ES"/>
    </w:rPr>
  </w:style>
  <w:style w:type="character" w:styleId="SangradetextonormalCar" w:customStyle="1">
    <w:name w:val="Sangría de texto normal Car"/>
    <w:basedOn w:val="Fuentedeprrafopredeter"/>
    <w:link w:val="Sangradetextonormal"/>
    <w:uiPriority w:val="99"/>
    <w:qFormat w:val="1"/>
    <w:rPr>
      <w:rFonts w:ascii="Times New Roman" w:cs="Times New Roman" w:eastAsia="Times New Roman" w:hAnsi="Times New Roman"/>
      <w:sz w:val="20"/>
      <w:szCs w:val="20"/>
      <w:lang w:eastAsia="es-ES" w:val="es-ES"/>
    </w:rPr>
  </w:style>
  <w:style w:type="character" w:styleId="Textoindependienteprimerasangra2Car" w:customStyle="1">
    <w:name w:val="Texto independiente primera sangría 2 Car"/>
    <w:basedOn w:val="SangradetextonormalCar"/>
    <w:link w:val="Textoindependienteprimerasangra2"/>
    <w:uiPriority w:val="99"/>
    <w:qFormat w:val="1"/>
    <w:rPr>
      <w:rFonts w:ascii="Times New Roman" w:cs="Times New Roman" w:eastAsia="Times New Roman" w:hAnsi="Times New Roman"/>
      <w:sz w:val="20"/>
      <w:szCs w:val="20"/>
      <w:lang w:eastAsia="es-ES" w:val="es-ES"/>
    </w:rPr>
  </w:style>
  <w:style w:type="character" w:styleId="Mencionar3" w:customStyle="1">
    <w:name w:val="Mencionar3"/>
    <w:basedOn w:val="Fuentedeprrafopredeter"/>
    <w:uiPriority w:val="99"/>
    <w:semiHidden w:val="1"/>
    <w:unhideWhenUsed w:val="1"/>
    <w:qFormat w:val="1"/>
    <w:rPr>
      <w:color w:val="2b579a"/>
      <w:shd w:color="auto" w:fill="e6e6e6" w:val="clear"/>
    </w:rPr>
  </w:style>
  <w:style w:type="character" w:styleId="Mencionar4" w:customStyle="1">
    <w:name w:val="Mencionar4"/>
    <w:basedOn w:val="Fuentedeprrafopredeter"/>
    <w:uiPriority w:val="99"/>
    <w:semiHidden w:val="1"/>
    <w:unhideWhenUsed w:val="1"/>
    <w:qFormat w:val="1"/>
    <w:rPr>
      <w:color w:val="2b579a"/>
      <w:shd w:color="auto" w:fill="e6e6e6" w:val="clear"/>
    </w:rPr>
  </w:style>
  <w:style w:type="character" w:styleId="maestrofonttexto1" w:customStyle="1">
    <w:name w:val="maestro_fonttexto1"/>
    <w:basedOn w:val="Fuentedeprrafopredeter"/>
    <w:qFormat w:val="1"/>
    <w:rPr>
      <w:rFonts w:ascii="Arial" w:cs="Arial" w:hAnsi="Arial" w:hint="default"/>
      <w:sz w:val="15"/>
      <w:szCs w:val="15"/>
    </w:rPr>
  </w:style>
  <w:style w:type="character" w:styleId="apple-converted-space" w:customStyle="1">
    <w:name w:val="apple-converted-space"/>
    <w:basedOn w:val="Fuentedeprrafopredeter"/>
    <w:qFormat w:val="1"/>
  </w:style>
  <w:style w:type="table" w:styleId="Tablaconcuadrcula1" w:customStyle="1">
    <w:name w:val="Tabla con cuadrícula1"/>
    <w:basedOn w:val="Tablanormal"/>
    <w:uiPriority w:val="59"/>
    <w:qFormat w:val="1"/>
    <w:pPr>
      <w:spacing w:after="0" w:line="240" w:lineRule="auto"/>
    </w:pPr>
    <w:rPr>
      <w:lang w:val="es-E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tulo2Car" w:customStyle="1">
    <w:name w:val="Título 2 Car"/>
    <w:basedOn w:val="Fuentedeprrafopredeter"/>
    <w:link w:val="Ttulo2"/>
    <w:uiPriority w:val="9"/>
    <w:rsid w:val="008E6432"/>
    <w:rPr>
      <w:rFonts w:asciiTheme="majorHAnsi" w:cstheme="majorBidi" w:eastAsiaTheme="majorEastAsia" w:hAnsiTheme="majorHAnsi"/>
      <w:color w:val="2f5496" w:themeColor="accent1" w:themeShade="0000BF"/>
      <w:sz w:val="26"/>
      <w:szCs w:val="26"/>
      <w:lang w:eastAsia="es-ES"/>
    </w:rPr>
  </w:style>
  <w:style w:type="character" w:styleId="Ttulo3Car" w:customStyle="1">
    <w:name w:val="Título 3 Car"/>
    <w:basedOn w:val="Fuentedeprrafopredeter"/>
    <w:link w:val="Ttulo3"/>
    <w:uiPriority w:val="9"/>
    <w:rsid w:val="008E6432"/>
    <w:rPr>
      <w:rFonts w:asciiTheme="majorHAnsi" w:cstheme="majorBidi" w:eastAsiaTheme="majorEastAsia" w:hAnsiTheme="majorHAnsi"/>
      <w:color w:val="1f3763" w:themeColor="accent1" w:themeShade="00007F"/>
      <w:sz w:val="24"/>
      <w:szCs w:val="24"/>
      <w:lang w:eastAsia="es-ES" w:val="es-ES_tradnl"/>
    </w:rPr>
  </w:style>
  <w:style w:type="character" w:styleId="Ttulo4Car" w:customStyle="1">
    <w:name w:val="Título 4 Car"/>
    <w:basedOn w:val="Fuentedeprrafopredeter"/>
    <w:link w:val="Ttulo4"/>
    <w:uiPriority w:val="9"/>
    <w:rsid w:val="008E6432"/>
    <w:rPr>
      <w:rFonts w:asciiTheme="majorHAnsi" w:cstheme="majorBidi" w:eastAsiaTheme="majorEastAsia" w:hAnsiTheme="majorHAnsi"/>
      <w:i w:val="1"/>
      <w:iCs w:val="1"/>
      <w:color w:val="2f5496" w:themeColor="accent1" w:themeShade="0000BF"/>
      <w:sz w:val="24"/>
      <w:szCs w:val="24"/>
      <w:lang w:eastAsia="es-ES" w:val="es-ES_tradnl"/>
    </w:rPr>
  </w:style>
  <w:style w:type="paragraph" w:styleId="TDC1">
    <w:name w:val="toc 1"/>
    <w:basedOn w:val="Normal"/>
    <w:next w:val="Normal"/>
    <w:autoRedefine w:val="1"/>
    <w:uiPriority w:val="39"/>
    <w:unhideWhenUsed w:val="1"/>
    <w:rsid w:val="008E6432"/>
    <w:pPr>
      <w:tabs>
        <w:tab w:val="right" w:leader="dot" w:pos="8779"/>
      </w:tabs>
      <w:spacing w:after="100"/>
      <w:ind w:left="142"/>
    </w:pPr>
    <w:rPr>
      <w:rFonts w:ascii="Palatino Linotype" w:hAnsi="Palatino Linotype" w:cstheme="minorBidi" w:eastAsiaTheme="minorEastAsia"/>
      <w:b w:val="1"/>
      <w:bCs w:val="1"/>
      <w:noProof w:val="1"/>
      <w:sz w:val="24"/>
      <w:szCs w:val="24"/>
      <w:lang w:val="es-ES_tradnl"/>
    </w:rPr>
  </w:style>
  <w:style w:type="paragraph" w:styleId="TDC2">
    <w:name w:val="toc 2"/>
    <w:basedOn w:val="Normal"/>
    <w:next w:val="Normal"/>
    <w:autoRedefine w:val="1"/>
    <w:uiPriority w:val="39"/>
    <w:unhideWhenUsed w:val="1"/>
    <w:rsid w:val="008E6432"/>
    <w:pPr>
      <w:tabs>
        <w:tab w:val="left" w:pos="567"/>
        <w:tab w:val="right" w:leader="dot" w:pos="8779"/>
      </w:tabs>
      <w:spacing w:after="100"/>
      <w:ind w:left="142"/>
    </w:pPr>
    <w:rPr>
      <w:rFonts w:asciiTheme="minorHAnsi" w:cstheme="minorBidi" w:eastAsiaTheme="minorEastAsia" w:hAnsiTheme="minorHAnsi"/>
      <w:sz w:val="24"/>
      <w:szCs w:val="24"/>
      <w:lang w:val="es-ES_tradnl"/>
    </w:rPr>
  </w:style>
  <w:style w:type="paragraph" w:styleId="TtulodeTDC">
    <w:name w:val="TOC Heading"/>
    <w:basedOn w:val="Ttulo1"/>
    <w:next w:val="Normal"/>
    <w:uiPriority w:val="39"/>
    <w:unhideWhenUsed w:val="1"/>
    <w:qFormat w:val="1"/>
    <w:rsid w:val="008E6432"/>
    <w:pPr>
      <w:spacing w:line="259" w:lineRule="auto"/>
      <w:outlineLvl w:val="9"/>
    </w:pPr>
    <w:rPr>
      <w:rFonts w:ascii="Palatino Linotype" w:hAnsi="Palatino Linotype"/>
      <w:b w:val="1"/>
      <w:color w:val="auto"/>
      <w:sz w:val="24"/>
      <w:lang w:eastAsia="es-MX"/>
    </w:rPr>
  </w:style>
  <w:style w:type="paragraph" w:styleId="Textoindependiente2">
    <w:name w:val="Body Text 2"/>
    <w:basedOn w:val="Normal"/>
    <w:link w:val="Textoindependiente2Car"/>
    <w:uiPriority w:val="99"/>
    <w:semiHidden w:val="1"/>
    <w:unhideWhenUsed w:val="1"/>
    <w:rsid w:val="008E6432"/>
    <w:pPr>
      <w:spacing w:after="120" w:line="480" w:lineRule="auto"/>
    </w:pPr>
    <w:rPr>
      <w:rFonts w:asciiTheme="minorHAnsi" w:cstheme="minorBidi" w:eastAsiaTheme="minorEastAsia" w:hAnsiTheme="minorHAnsi"/>
      <w:sz w:val="24"/>
      <w:szCs w:val="24"/>
      <w:lang w:val="es-ES_tradnl"/>
    </w:rPr>
  </w:style>
  <w:style w:type="character" w:styleId="Textoindependiente2Car" w:customStyle="1">
    <w:name w:val="Texto independiente 2 Car"/>
    <w:basedOn w:val="Fuentedeprrafopredeter"/>
    <w:link w:val="Textoindependiente2"/>
    <w:uiPriority w:val="99"/>
    <w:semiHidden w:val="1"/>
    <w:rsid w:val="008E6432"/>
    <w:rPr>
      <w:rFonts w:asciiTheme="minorHAnsi" w:cstheme="minorBidi" w:eastAsiaTheme="minorEastAsia" w:hAnsiTheme="minorHAnsi"/>
      <w:sz w:val="24"/>
      <w:szCs w:val="24"/>
      <w:lang w:eastAsia="es-ES" w:val="es-ES_tradnl"/>
    </w:rPr>
  </w:style>
  <w:style w:type="paragraph" w:styleId="Textonotapie1" w:customStyle="1">
    <w:name w:val="Texto nota pie1"/>
    <w:basedOn w:val="Normal"/>
    <w:next w:val="Textonotapie"/>
    <w:unhideWhenUsed w:val="1"/>
    <w:rsid w:val="008E6432"/>
    <w:rPr>
      <w:rFonts w:eastAsia="Cambria" w:asciiTheme="minorHAnsi" w:cstheme="minorBidi" w:hAnsiTheme="minorHAnsi"/>
      <w:lang w:eastAsia="en-US"/>
    </w:rPr>
  </w:style>
  <w:style w:type="paragraph" w:styleId="TDC3">
    <w:name w:val="toc 3"/>
    <w:basedOn w:val="Normal"/>
    <w:next w:val="Normal"/>
    <w:autoRedefine w:val="1"/>
    <w:uiPriority w:val="39"/>
    <w:unhideWhenUsed w:val="1"/>
    <w:rsid w:val="008E6432"/>
    <w:pPr>
      <w:tabs>
        <w:tab w:val="left" w:pos="567"/>
        <w:tab w:val="right" w:leader="dot" w:pos="8779"/>
      </w:tabs>
      <w:spacing w:after="100"/>
      <w:ind w:left="142"/>
    </w:pPr>
    <w:rPr>
      <w:rFonts w:asciiTheme="minorHAnsi" w:cstheme="minorBidi" w:eastAsiaTheme="minorEastAsia" w:hAnsiTheme="minorHAnsi"/>
      <w:sz w:val="24"/>
      <w:szCs w:val="24"/>
      <w:lang w:val="es-ES_tradnl"/>
    </w:rPr>
  </w:style>
  <w:style w:type="paragraph" w:styleId="m1609377113336227858gmail-msonormal" w:customStyle="1">
    <w:name w:val="m_1609377113336227858gmail-msonormal"/>
    <w:basedOn w:val="Normal"/>
    <w:rsid w:val="008E6432"/>
    <w:pPr>
      <w:spacing w:after="100" w:afterAutospacing="1" w:before="100" w:beforeAutospacing="1"/>
    </w:pPr>
    <w:rPr>
      <w:sz w:val="24"/>
      <w:szCs w:val="24"/>
      <w:lang w:val="es-ES"/>
    </w:rPr>
  </w:style>
  <w:style w:type="paragraph" w:styleId="m3527742037047551335gmail-msolistparagraph" w:customStyle="1">
    <w:name w:val="m_3527742037047551335gmail-msolistparagraph"/>
    <w:basedOn w:val="Normal"/>
    <w:rsid w:val="008E6432"/>
    <w:pPr>
      <w:spacing w:after="100" w:afterAutospacing="1" w:before="100" w:beforeAutospacing="1"/>
    </w:pPr>
    <w:rPr>
      <w:sz w:val="24"/>
      <w:szCs w:val="24"/>
      <w:lang w:eastAsia="es-MX"/>
    </w:rPr>
  </w:style>
  <w:style w:type="paragraph" w:styleId="m-698976158124685028gmail-msolistparagraph" w:customStyle="1">
    <w:name w:val="m_-698976158124685028gmail-msolistparagraph"/>
    <w:basedOn w:val="Normal"/>
    <w:rsid w:val="008E6432"/>
    <w:pPr>
      <w:spacing w:after="100" w:afterAutospacing="1" w:before="100" w:beforeAutospacing="1"/>
    </w:pPr>
    <w:rPr>
      <w:sz w:val="24"/>
      <w:szCs w:val="24"/>
      <w:lang w:eastAsia="es-MX"/>
    </w:rPr>
  </w:style>
  <w:style w:type="paragraph" w:styleId="m-698976158124685028gmail-default" w:customStyle="1">
    <w:name w:val="m_-698976158124685028gmail-default"/>
    <w:basedOn w:val="Normal"/>
    <w:rsid w:val="008E6432"/>
    <w:pPr>
      <w:spacing w:after="100" w:afterAutospacing="1" w:before="100" w:beforeAutospacing="1"/>
    </w:pPr>
    <w:rPr>
      <w:sz w:val="24"/>
      <w:szCs w:val="24"/>
      <w:lang w:eastAsia="es-MX"/>
    </w:rPr>
  </w:style>
  <w:style w:type="paragraph" w:styleId="m-698976158124685028gmail-m483811427706604298gmail-msolistparagraph" w:customStyle="1">
    <w:name w:val="m_-698976158124685028gmail-m483811427706604298gmail-msolistparagraph"/>
    <w:basedOn w:val="Normal"/>
    <w:rsid w:val="008E6432"/>
    <w:pPr>
      <w:spacing w:after="100" w:afterAutospacing="1" w:before="100" w:beforeAutospacing="1"/>
    </w:pPr>
    <w:rPr>
      <w:sz w:val="24"/>
      <w:szCs w:val="24"/>
      <w:lang w:eastAsia="es-MX"/>
    </w:rPr>
  </w:style>
  <w:style w:type="paragraph" w:styleId="m-698976158124685028gmail-msonormal" w:customStyle="1">
    <w:name w:val="m_-698976158124685028gmail-msonormal"/>
    <w:basedOn w:val="Normal"/>
    <w:rsid w:val="008E6432"/>
    <w:pPr>
      <w:spacing w:after="100" w:afterAutospacing="1" w:before="100" w:beforeAutospacing="1"/>
    </w:pPr>
    <w:rPr>
      <w:sz w:val="24"/>
      <w:szCs w:val="24"/>
      <w:lang w:eastAsia="es-MX"/>
    </w:rPr>
  </w:style>
  <w:style w:type="character" w:styleId="m-698976158124685028gmail-apple-converted-space" w:customStyle="1">
    <w:name w:val="m_-698976158124685028gmail-apple-converted-space"/>
    <w:basedOn w:val="Fuentedeprrafopredeter"/>
    <w:rsid w:val="008E6432"/>
  </w:style>
  <w:style w:type="character" w:styleId="apple-style-span" w:customStyle="1">
    <w:name w:val="apple-style-span"/>
    <w:rsid w:val="008E6432"/>
  </w:style>
  <w:style w:type="table" w:styleId="Tablaconcuadrcula2" w:customStyle="1">
    <w:name w:val="Tabla con cuadrícula2"/>
    <w:basedOn w:val="Tablanormal"/>
    <w:next w:val="Tablaconcuadrcula"/>
    <w:uiPriority w:val="39"/>
    <w:rsid w:val="008E6432"/>
    <w:pPr>
      <w:spacing w:after="0" w:line="240" w:lineRule="auto"/>
    </w:pPr>
    <w:rPr>
      <w:rFonts w:asciiTheme="minorHAnsi" w:cstheme="minorBidi" w:eastAsiaTheme="minorEastAsia" w:hAnsiTheme="minorHAnsi"/>
      <w:sz w:val="24"/>
      <w:szCs w:val="24"/>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anormal11" w:customStyle="1">
    <w:name w:val="Tabla normal 11"/>
    <w:basedOn w:val="Tablanormal"/>
    <w:next w:val="Tablanormal1"/>
    <w:uiPriority w:val="41"/>
    <w:rsid w:val="008E6432"/>
    <w:pPr>
      <w:spacing w:after="0" w:line="240" w:lineRule="auto"/>
    </w:pPr>
    <w:rPr>
      <w:rFonts w:asciiTheme="minorHAnsi" w:cstheme="minorBidi" w:eastAsiaTheme="minorHAnsi" w:hAnsiTheme="minorHAnsi"/>
      <w:sz w:val="22"/>
      <w:szCs w:val="22"/>
      <w:lang w:eastAsia="en-US"/>
    </w:rPr>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lanormal1">
    <w:name w:val="Plain Table 1"/>
    <w:basedOn w:val="Tablanormal"/>
    <w:uiPriority w:val="41"/>
    <w:rsid w:val="008E6432"/>
    <w:pPr>
      <w:spacing w:after="0" w:line="240" w:lineRule="auto"/>
    </w:pPr>
    <w:rPr>
      <w:rFonts w:asciiTheme="minorHAnsi" w:cstheme="minorBidi" w:eastAsiaTheme="minorHAnsi" w:hAnsiTheme="minorHAnsi"/>
      <w:sz w:val="22"/>
      <w:szCs w:val="22"/>
      <w:lang w:eastAsia="en-US"/>
    </w:rPr>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rmalWeb">
    <w:name w:val="Normal (Web)"/>
    <w:basedOn w:val="Normal"/>
    <w:uiPriority w:val="99"/>
    <w:semiHidden w:val="1"/>
    <w:unhideWhenUsed w:val="1"/>
    <w:rsid w:val="008E6432"/>
    <w:pPr>
      <w:spacing w:after="100" w:afterAutospacing="1" w:before="100" w:before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cstheme="minorBidi" w:eastAsiaTheme="minorEastAsia" w:hAnsiTheme="minorHAnsi"/>
      <w:color w:val="000000" w:themeColor="text1"/>
      <w:sz w:val="24"/>
      <w:szCs w:val="24"/>
      <w:lang w:eastAsia="es-ES" w:val="es-ES_tradnl"/>
    </w:rPr>
    <w:tblPr>
      <w:tblStyleRowBandSize w:val="1"/>
      <w:tblStyleColBandSize w:val="1"/>
      <w:tblInd w:w="0.0" w:type="dxa"/>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CellMar>
        <w:top w:w="0.0" w:type="dxa"/>
        <w:left w:w="108.0" w:type="dxa"/>
        <w:bottom w:w="0.0" w:type="dxa"/>
        <w:right w:w="108.0" w:type="dxa"/>
      </w:tblCellMar>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ADB1" w:customStyle="1">
    <w:name w:val="ADB1"/>
    <w:basedOn w:val="Normal"/>
    <w:next w:val="Textonotapie"/>
    <w:uiPriority w:val="99"/>
    <w:unhideWhenUsed w:val="1"/>
    <w:qFormat w:val="1"/>
    <w:rsid w:val="008E6432"/>
    <w:rPr>
      <w:rFonts w:eastAsia="Cambria" w:asciiTheme="minorHAnsi" w:cstheme="minorBidi" w:hAnsiTheme="minorHAnsi"/>
      <w:lang w:eastAsia="en-US"/>
    </w:rPr>
  </w:style>
  <w:style w:type="character" w:styleId="Mencinsinresolver1" w:customStyle="1">
    <w:name w:val="Mención sin resolver1"/>
    <w:basedOn w:val="Fuentedeprrafopredeter"/>
    <w:uiPriority w:val="99"/>
    <w:semiHidden w:val="1"/>
    <w:unhideWhenUsed w:val="1"/>
    <w:rsid w:val="008E6432"/>
    <w:rPr>
      <w:color w:val="605e5c"/>
      <w:shd w:color="auto" w:fill="e1dfdd" w:val="clear"/>
    </w:rPr>
  </w:style>
  <w:style w:type="table" w:styleId="Tablaconcuadrcula11" w:customStyle="1">
    <w:name w:val="Tabla con cuadrícula11"/>
    <w:basedOn w:val="Tablanormal"/>
    <w:next w:val="Tablaconcuadrcula"/>
    <w:uiPriority w:val="59"/>
    <w:rsid w:val="008E6432"/>
    <w:pPr>
      <w:spacing w:after="0" w:line="240" w:lineRule="auto"/>
    </w:pPr>
    <w:rPr>
      <w:rFonts w:eastAsia="Times New Roman" w:asciiTheme="minorHAnsi" w:cstheme="minorBidi" w:hAnsiTheme="minorHAnsi"/>
      <w:sz w:val="24"/>
      <w:szCs w:val="24"/>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 w:customStyle="1">
    <w:name w:val="Texto"/>
    <w:basedOn w:val="Normal"/>
    <w:link w:val="TextoCar"/>
    <w:rsid w:val="008E6432"/>
    <w:pPr>
      <w:spacing w:after="101" w:line="216" w:lineRule="exact"/>
      <w:ind w:firstLine="288"/>
      <w:jc w:val="both"/>
    </w:pPr>
    <w:rPr>
      <w:rFonts w:ascii="Arial" w:cs="Arial" w:hAnsi="Arial"/>
      <w:sz w:val="18"/>
      <w:lang w:val="es-ES"/>
    </w:rPr>
  </w:style>
  <w:style w:type="character" w:styleId="TextoCar" w:customStyle="1">
    <w:name w:val="Texto Car"/>
    <w:link w:val="Texto"/>
    <w:locked w:val="1"/>
    <w:rsid w:val="008E6432"/>
    <w:rPr>
      <w:rFonts w:ascii="Arial" w:cs="Arial" w:eastAsia="Times New Roman" w:hAnsi="Arial"/>
      <w:sz w:val="18"/>
      <w:lang w:eastAsia="es-ES" w:val="es-ES"/>
    </w:rPr>
  </w:style>
  <w:style w:type="paragraph" w:styleId="m5907675151158779931gmail-msolistparagraph" w:customStyle="1">
    <w:name w:val="m_5907675151158779931gmail-msolistparagraph"/>
    <w:basedOn w:val="Normal"/>
    <w:rsid w:val="00427B9F"/>
    <w:pPr>
      <w:spacing w:after="100" w:afterAutospacing="1" w:before="100" w:beforeAutospacing="1"/>
    </w:pPr>
    <w:rPr>
      <w:sz w:val="24"/>
      <w:szCs w:val="24"/>
      <w:lang w:eastAsia="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000000"/>
      <w:sz w:val="24"/>
      <w:szCs w:val="24"/>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sz w:val="24"/>
      <w:szCs w:val="24"/>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000000"/>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customXml" Target="../customXML/item1.xml"/><Relationship Id="rId13" Type="http://schemas.openxmlformats.org/officeDocument/2006/relationships/header" Target="header3.xml"/><Relationship Id="rId12" Type="http://schemas.openxmlformats.org/officeDocument/2006/relationships/header" Target="header1.xml"/><Relationship Id="rId4" Type="http://schemas.openxmlformats.org/officeDocument/2006/relationships/theme" Target="theme/theme1.xml"/><Relationship Id="rId9" Type="http://schemas.openxmlformats.org/officeDocument/2006/relationships/styles" Target="styles.xm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footnotes" Target="footnotes.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4" Type="http://schemas.openxmlformats.org/officeDocument/2006/relationships/font" Target="fonts/Garamond-regular.ttf"/><Relationship Id="rId11" Type="http://schemas.openxmlformats.org/officeDocument/2006/relationships/font" Target="fonts/PalatinoLinotype-boldItalic.ttf"/><Relationship Id="rId10" Type="http://schemas.openxmlformats.org/officeDocument/2006/relationships/font" Target="fonts/PalatinoLinotype-italic.ttf"/><Relationship Id="rId13" Type="http://schemas.openxmlformats.org/officeDocument/2006/relationships/font" Target="fonts/CenturyGothic-bold.ttf"/><Relationship Id="rId12" Type="http://schemas.openxmlformats.org/officeDocument/2006/relationships/font" Target="fonts/CenturyGothic-regular.ttf"/><Relationship Id="rId9" Type="http://schemas.openxmlformats.org/officeDocument/2006/relationships/font" Target="fonts/PalatinoLinotype-bold.ttf"/><Relationship Id="rId15" Type="http://schemas.openxmlformats.org/officeDocument/2006/relationships/font" Target="fonts/CenturyGothic-boldItalic.ttf"/><Relationship Id="rId14" Type="http://schemas.openxmlformats.org/officeDocument/2006/relationships/font" Target="fonts/CenturyGothic-italic.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PalatinoLinotype-regular.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DG2bH1DwykguY6kR4eqaKrhVvg==">AMUW2mWY2Mtj2eOQKWM8kNORHuKTLisMJCtlfRY8rH5mlmfWm/nZ2G/U+W9r+RMBss5kG4oVSghxPi96DLF524YWRNHKb5V7M591Pj+TBD4xjuC0XjiQE6zVyFzD36JCYTSTnvE5UvnP1hhxerwr/XY/nfH/MdRiTuwqlJ1j6MV7DuTR22EuYY3hX9DHj4G8uvgQ7UoX0f30XhTEFyqqoMCzmvUaJV2vijWqNzvXn3ag+W16IqngKk2b2rxZFyCoftkZ/TTwEymdts/Y8m3cSrZmDB8lIoJlUjhmCKLC9oBTGZHIJsEG6Rjd13H0EyPNPSri9A7j/DvPgYvD8m+6hcaGEGSiY5McXFhD+JcpzF6BfhZiDqpQvU57UQe/cvhBgNsU/n/1hR93dQr7esNUKrnajcAuXrNI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2021-09-08T23:18:00Z</dcterms:created>
  <dc:creator>José Fernado Lobato Rodríguez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