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EF10845" w:rsidR="00662C69" w:rsidRDefault="009B11D6" w:rsidP="00B31E90">
      <w:pPr>
        <w:tabs>
          <w:tab w:val="left" w:pos="3465"/>
        </w:tabs>
        <w:spacing w:line="360" w:lineRule="auto"/>
        <w:jc w:val="both"/>
        <w:rPr>
          <w:rFonts w:ascii="Palatino Linotype" w:hAnsi="Palatino Linotype"/>
          <w:color w:val="000000" w:themeColor="text1"/>
        </w:rPr>
      </w:pPr>
      <w:bookmarkStart w:id="0" w:name="_GoBack"/>
      <w:bookmarkEnd w:id="0"/>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794F7E">
        <w:rPr>
          <w:rFonts w:ascii="Palatino Linotype" w:hAnsi="Palatino Linotype"/>
          <w:color w:val="000000" w:themeColor="text1"/>
        </w:rPr>
        <w:t>ocho (08) de diciembre</w:t>
      </w:r>
      <w:r w:rsidR="002D1AA7">
        <w:rPr>
          <w:rFonts w:ascii="Palatino Linotype" w:hAnsi="Palatino Linotype"/>
          <w:color w:val="000000" w:themeColor="text1"/>
        </w:rPr>
        <w:t xml:space="preserve"> de dos mil veintiuno</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5DBEAE9C"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el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794F7E">
        <w:rPr>
          <w:rFonts w:ascii="Palatino Linotype" w:hAnsi="Palatino Linotype"/>
          <w:b/>
          <w:bCs/>
          <w:color w:val="000000" w:themeColor="text1"/>
        </w:rPr>
        <w:t>04938</w:t>
      </w:r>
      <w:r w:rsidR="00CE1B8A">
        <w:rPr>
          <w:rFonts w:ascii="Palatino Linotype" w:hAnsi="Palatino Linotype"/>
          <w:b/>
          <w:bCs/>
          <w:color w:val="000000" w:themeColor="text1"/>
        </w:rPr>
        <w:t>/INFOEM/IP/RR/2021</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 por</w:t>
      </w:r>
      <w:r w:rsidR="0078249C">
        <w:rPr>
          <w:rFonts w:ascii="Palatino Linotype" w:eastAsia="Times New Roman" w:hAnsi="Palatino Linotype" w:cs="Times New Roman"/>
          <w:color w:val="000000" w:themeColor="text1"/>
        </w:rPr>
        <w:t xml:space="preserve"> </w:t>
      </w:r>
      <w:r w:rsidR="00794F7E">
        <w:rPr>
          <w:rFonts w:ascii="Palatino Linotype" w:eastAsia="Times New Roman" w:hAnsi="Palatino Linotype" w:cs="Times New Roman"/>
          <w:iCs/>
          <w:color w:val="000000" w:themeColor="text1"/>
        </w:rPr>
        <w:t>un usuario del Sistema de Acceso a la Información Mexiquense (SAIMEX) quien no señaló ningún, seudónimo o carácter para ser identificado</w:t>
      </w:r>
      <w:r w:rsidR="00E647FF">
        <w:rPr>
          <w:rFonts w:ascii="Palatino Linotype" w:eastAsia="Times New Roman" w:hAnsi="Palatino Linotype" w:cs="Times New Roman"/>
          <w:color w:val="000000" w:themeColor="text1"/>
        </w:rPr>
        <w:t>,</w:t>
      </w:r>
      <w:r w:rsidR="00794F7E">
        <w:rPr>
          <w:rFonts w:ascii="Palatino Linotype" w:eastAsia="Times New Roman" w:hAnsi="Palatino Linotype" w:cs="Times New Roman"/>
          <w:color w:val="000000" w:themeColor="text1"/>
        </w:rPr>
        <w:t xml:space="preserve"> por lo que</w:t>
      </w:r>
      <w:r w:rsidR="0078249C">
        <w:rPr>
          <w:rFonts w:ascii="Palatino Linotype" w:eastAsia="Times New Roman" w:hAnsi="Palatino Linotype" w:cs="Times New Roman"/>
          <w:color w:val="000000" w:themeColor="text1"/>
        </w:rPr>
        <w:t xml:space="preserve"> en </w:t>
      </w:r>
      <w:r w:rsidR="00E647FF">
        <w:rPr>
          <w:rFonts w:ascii="Palatino Linotype" w:eastAsia="Times New Roman" w:hAnsi="Palatino Linotype" w:cs="Times New Roman"/>
          <w:color w:val="000000" w:themeColor="text1"/>
        </w:rPr>
        <w:t>lo</w:t>
      </w:r>
      <w:r w:rsidR="0078249C">
        <w:rPr>
          <w:rFonts w:ascii="Palatino Linotype" w:eastAsia="Times New Roman" w:hAnsi="Palatino Linotype" w:cs="Times New Roman"/>
          <w:color w:val="000000" w:themeColor="text1"/>
        </w:rPr>
        <w:t xml:space="preserve"> </w:t>
      </w:r>
      <w:r w:rsidR="00E647FF">
        <w:rPr>
          <w:rFonts w:ascii="Palatino Linotype" w:eastAsia="Times New Roman" w:hAnsi="Palatino Linotype" w:cs="Times New Roman"/>
          <w:color w:val="000000" w:themeColor="text1"/>
        </w:rPr>
        <w:t>sucesivo</w:t>
      </w:r>
      <w:r w:rsidR="00794F7E">
        <w:rPr>
          <w:rFonts w:ascii="Palatino Linotype" w:eastAsia="Times New Roman" w:hAnsi="Palatino Linotype" w:cs="Times New Roman"/>
          <w:color w:val="000000" w:themeColor="text1"/>
        </w:rPr>
        <w:t xml:space="preserve"> será reconocido como</w:t>
      </w:r>
      <w:r w:rsidR="00E647FF">
        <w:rPr>
          <w:rFonts w:ascii="Palatino Linotype" w:eastAsia="Times New Roman" w:hAnsi="Palatino Linotype" w:cs="Times New Roman"/>
          <w:color w:val="000000" w:themeColor="text1"/>
        </w:rPr>
        <w:t xml:space="preserve"> el</w:t>
      </w:r>
      <w:r w:rsidR="006B31E7"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CE1B8A">
        <w:rPr>
          <w:rFonts w:ascii="Palatino Linotype" w:eastAsia="Times New Roman" w:hAnsi="Palatino Linotype" w:cs="Arial"/>
          <w:color w:val="000000" w:themeColor="text1"/>
        </w:rPr>
        <w:t xml:space="preserve"> </w:t>
      </w:r>
      <w:r w:rsidR="00794F7E">
        <w:rPr>
          <w:rFonts w:ascii="Palatino Linotype" w:eastAsia="Times New Roman" w:hAnsi="Palatino Linotype" w:cs="Arial"/>
          <w:b/>
          <w:color w:val="000000" w:themeColor="text1"/>
        </w:rPr>
        <w:t>Ayuntamiento de Chiautla</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5F1362" w:rsidRPr="00A85CB7">
        <w:rPr>
          <w:rFonts w:ascii="Palatino Linotype" w:eastAsia="Times New Roman" w:hAnsi="Palatino Linotype" w:cs="Times New Roman"/>
          <w:color w:val="000000" w:themeColor="text1"/>
        </w:rPr>
        <w:t>en lo sucesivo el</w:t>
      </w:r>
      <w:r w:rsidR="005F1362" w:rsidRPr="00A85CB7">
        <w:rPr>
          <w:rFonts w:ascii="Palatino Linotype" w:eastAsia="Times New Roman" w:hAnsi="Palatino Linotype" w:cs="Times New Roman"/>
          <w:b/>
          <w:color w:val="000000" w:themeColor="text1"/>
        </w:rPr>
        <w:t xml:space="preserve"> SUJETO OBLIGADO,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5740327F" w:rsidR="00587366" w:rsidRPr="00A85CB7" w:rsidRDefault="00662C69" w:rsidP="00B31E90">
      <w:pPr>
        <w:pStyle w:val="Ttulo1"/>
        <w:spacing w:before="0" w:line="360" w:lineRule="auto"/>
        <w:jc w:val="center"/>
        <w:rPr>
          <w:b/>
          <w:color w:val="000000" w:themeColor="text1"/>
        </w:rPr>
      </w:pPr>
      <w:bookmarkStart w:id="1" w:name="_Toc461555884"/>
      <w:bookmarkStart w:id="2" w:name="_Toc466371847"/>
      <w:bookmarkStart w:id="3" w:name="_Toc89350454"/>
      <w:r w:rsidRPr="00A85CB7">
        <w:rPr>
          <w:b/>
          <w:color w:val="000000" w:themeColor="text1"/>
        </w:rPr>
        <w:t>ANTECEDENTES</w:t>
      </w:r>
      <w:bookmarkEnd w:id="1"/>
      <w:bookmarkEnd w:id="2"/>
      <w:bookmarkEnd w:id="3"/>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194AAC32"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794F7E">
        <w:rPr>
          <w:rFonts w:ascii="Palatino Linotype" w:eastAsia="Calibri" w:hAnsi="Palatino Linotype" w:cs="Arial"/>
          <w:color w:val="000000" w:themeColor="text1"/>
          <w:lang w:val="es-ES"/>
        </w:rPr>
        <w:t>diez (10) de septiembre</w:t>
      </w:r>
      <w:r w:rsidR="00B31E90">
        <w:rPr>
          <w:rFonts w:ascii="Palatino Linotype" w:eastAsia="Calibri" w:hAnsi="Palatino Linotype" w:cs="Arial"/>
          <w:color w:val="000000" w:themeColor="text1"/>
          <w:lang w:val="es-ES"/>
        </w:rPr>
        <w:t xml:space="preserve"> de dos mil veintiuno</w:t>
      </w:r>
      <w:r w:rsidR="005F1362" w:rsidRPr="00A85CB7">
        <w:rPr>
          <w:rFonts w:ascii="Palatino Linotype" w:eastAsia="Calibri" w:hAnsi="Palatino Linotype" w:cs="Arial"/>
          <w:color w:val="000000" w:themeColor="text1"/>
          <w:lang w:val="es-ES"/>
        </w:rPr>
        <w:t xml:space="preserve">, </w:t>
      </w:r>
      <w:r w:rsidR="00B31E90">
        <w:rPr>
          <w:rFonts w:ascii="Palatino Linotype" w:hAnsi="Palatino Linotype"/>
          <w:color w:val="000000" w:themeColor="text1"/>
        </w:rPr>
        <w:t>el particular</w:t>
      </w:r>
      <w:r w:rsidR="005F1362" w:rsidRPr="00A85CB7">
        <w:rPr>
          <w:rFonts w:ascii="Palatino Linotype" w:hAnsi="Palatino Linotype"/>
          <w:color w:val="000000" w:themeColor="text1"/>
        </w:rPr>
        <w:t xml:space="preserve"> presentó</w:t>
      </w:r>
      <w:r w:rsidR="00794F7E">
        <w:rPr>
          <w:rFonts w:ascii="Palatino Linotype" w:hAnsi="Palatino Linotype"/>
          <w:color w:val="000000" w:themeColor="text1"/>
        </w:rPr>
        <w:t>,</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794F7E">
        <w:rPr>
          <w:rFonts w:ascii="Palatino Linotype" w:hAnsi="Palatino Linotype"/>
          <w:bCs/>
          <w:color w:val="000000" w:themeColor="text1"/>
        </w:rPr>
        <w:t>del SAIMEX,</w:t>
      </w:r>
      <w:r w:rsidR="005F1362" w:rsidRPr="00A85CB7">
        <w:rPr>
          <w:rFonts w:ascii="Palatino Linotype" w:eastAsia="Calibri" w:hAnsi="Palatino Linotype" w:cs="Arial"/>
          <w:color w:val="000000" w:themeColor="text1"/>
          <w:lang w:val="es-ES"/>
        </w:rPr>
        <w:t xml:space="preserve"> la solicitud de información pública registrada con el número</w:t>
      </w:r>
      <w:r w:rsidR="005F1362" w:rsidRPr="00A85CB7">
        <w:rPr>
          <w:rFonts w:ascii="Palatino Linotype" w:hAnsi="Palatino Linotype"/>
          <w:b/>
          <w:bCs/>
          <w:color w:val="000000" w:themeColor="text1"/>
        </w:rPr>
        <w:t xml:space="preserve"> </w:t>
      </w:r>
      <w:r w:rsidR="00794F7E">
        <w:rPr>
          <w:rFonts w:ascii="Palatino Linotype" w:hAnsi="Palatino Linotype"/>
          <w:b/>
          <w:bCs/>
          <w:color w:val="000000" w:themeColor="text1"/>
        </w:rPr>
        <w:t>00116/CHIAUTLA/IP/2021</w:t>
      </w:r>
      <w:r w:rsidR="005F1362" w:rsidRPr="00A85CB7">
        <w:rPr>
          <w:rFonts w:ascii="Palatino Linotype" w:hAnsi="Palatino Linotype"/>
          <w:b/>
          <w:bCs/>
          <w:color w:val="000000" w:themeColor="text1"/>
        </w:rPr>
        <w:t>,</w:t>
      </w:r>
      <w:r w:rsidR="005F1362" w:rsidRPr="00A85CB7">
        <w:rPr>
          <w:rFonts w:ascii="Palatino Linotype" w:eastAsia="Calibri" w:hAnsi="Palatino Linotype" w:cs="Arial"/>
          <w:color w:val="000000" w:themeColor="text1"/>
          <w:lang w:val="es-ES"/>
        </w:rPr>
        <w:t xml:space="preserve"> mediante la cual 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3749528B" w:rsidR="0097210F" w:rsidRPr="00A85CB7" w:rsidRDefault="005F1362" w:rsidP="00B31E90">
      <w:pPr>
        <w:pStyle w:val="Prrafodelista"/>
        <w:spacing w:line="276" w:lineRule="auto"/>
        <w:ind w:left="567" w:right="567"/>
        <w:jc w:val="both"/>
        <w:rPr>
          <w:rFonts w:ascii="Palatino Linotype" w:hAnsi="Palatino Linotype"/>
          <w:i/>
          <w:color w:val="000000" w:themeColor="text1"/>
          <w:szCs w:val="22"/>
        </w:rPr>
      </w:pPr>
      <w:r w:rsidRPr="00A85CB7">
        <w:rPr>
          <w:rFonts w:ascii="Palatino Linotype" w:hAnsi="Palatino Linotype"/>
          <w:i/>
          <w:color w:val="000000" w:themeColor="text1"/>
          <w:sz w:val="22"/>
          <w:szCs w:val="22"/>
        </w:rPr>
        <w:t>“</w:t>
      </w:r>
      <w:r w:rsidR="00794F7E" w:rsidRPr="00794F7E">
        <w:rPr>
          <w:rFonts w:ascii="Palatino Linotype" w:hAnsi="Palatino Linotype"/>
          <w:i/>
          <w:iCs/>
          <w:color w:val="000000" w:themeColor="text1"/>
          <w:sz w:val="22"/>
          <w:szCs w:val="22"/>
        </w:rPr>
        <w:t>solicito los expedientes de obras publicas relacionados con cámaras de video vigilancia o similar, de los años 2013 al 2021</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12F0792A"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025127" w:rsidRPr="00A85CB7">
        <w:rPr>
          <w:rFonts w:ascii="Palatino Linotype" w:eastAsia="Times New Roman" w:hAnsi="Palatino Linotype" w:cs="Arial"/>
          <w:color w:val="000000" w:themeColor="text1"/>
          <w:lang w:val="es-ES"/>
        </w:rPr>
        <w:t>el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Pr="00A85CB7">
        <w:rPr>
          <w:rFonts w:ascii="Palatino Linotype" w:eastAsia="Times New Roman" w:hAnsi="Palatino Linotype" w:cs="Arial"/>
          <w:b/>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804D8D">
        <w:rPr>
          <w:rFonts w:ascii="Palatino Linotype" w:eastAsia="Calibri" w:hAnsi="Palatino Linotype" w:cs="Arial"/>
          <w:i/>
          <w:color w:val="000000" w:themeColor="text1"/>
          <w:lang w:val="es-AR"/>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390BBEB5" w:rsidR="0022448D" w:rsidRPr="00022D89"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22D89">
        <w:rPr>
          <w:rFonts w:ascii="Palatino Linotype" w:eastAsia="MS Mincho" w:hAnsi="Palatino Linotype" w:cs="Times New Roman"/>
          <w:color w:val="000000" w:themeColor="text1"/>
        </w:rPr>
        <w:t xml:space="preserve">El </w:t>
      </w:r>
      <w:r w:rsidR="00794F7E">
        <w:rPr>
          <w:rFonts w:ascii="Palatino Linotype" w:eastAsia="MS Mincho" w:hAnsi="Palatino Linotype" w:cs="Times New Roman"/>
          <w:color w:val="000000" w:themeColor="text1"/>
        </w:rPr>
        <w:t>cuatro (04) de octubre</w:t>
      </w:r>
      <w:r w:rsidR="00762697" w:rsidRPr="00022D89">
        <w:rPr>
          <w:rFonts w:ascii="Palatino Linotype" w:eastAsia="MS Mincho" w:hAnsi="Palatino Linotype" w:cs="Times New Roman"/>
          <w:color w:val="000000" w:themeColor="text1"/>
        </w:rPr>
        <w:t xml:space="preserve"> de dos mil veintiuno, </w:t>
      </w:r>
      <w:r w:rsidR="005F1362" w:rsidRPr="00022D89">
        <w:rPr>
          <w:rFonts w:ascii="Palatino Linotype" w:hAnsi="Palatino Linotype"/>
          <w:color w:val="000000" w:themeColor="text1"/>
          <w:szCs w:val="14"/>
        </w:rPr>
        <w:t xml:space="preserve">el </w:t>
      </w:r>
      <w:r w:rsidR="005F1362" w:rsidRPr="00022D89">
        <w:rPr>
          <w:rFonts w:ascii="Palatino Linotype" w:hAnsi="Palatino Linotype"/>
          <w:b/>
          <w:color w:val="000000" w:themeColor="text1"/>
          <w:szCs w:val="14"/>
        </w:rPr>
        <w:t>SUJETO OBLIGADO</w:t>
      </w:r>
      <w:r w:rsidR="005F1362" w:rsidRPr="00022D89">
        <w:rPr>
          <w:rFonts w:ascii="Palatino Linotype" w:hAnsi="Palatino Linotype"/>
          <w:color w:val="000000" w:themeColor="text1"/>
          <w:szCs w:val="14"/>
        </w:rPr>
        <w:t xml:space="preserve"> dio respuesta a la solicitud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52B9636E" w14:textId="77777777" w:rsidR="00794F7E" w:rsidRPr="00794F7E" w:rsidRDefault="005F1362" w:rsidP="00794F7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00794F7E" w:rsidRPr="00794F7E">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 Con fundamento en el artículo 53 fracción II de la Ley de Transparencia y Acceso a la Información Pública del Estado de México y Municipios, se adjunta la respuesta a su solicitud de información pública. ATENTAMENTE Lic. en D. Roberto García Juárez</w:t>
      </w:r>
    </w:p>
    <w:p w14:paraId="2987FF97" w14:textId="77777777" w:rsidR="00794F7E" w:rsidRDefault="00794F7E" w:rsidP="00794F7E">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D2859FD" w14:textId="77777777" w:rsidR="00794F7E" w:rsidRPr="00794F7E" w:rsidRDefault="00794F7E" w:rsidP="00794F7E">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94F7E">
        <w:rPr>
          <w:rFonts w:ascii="Palatino Linotype" w:hAnsi="Palatino Linotype"/>
          <w:i/>
          <w:noProof/>
          <w:color w:val="000000" w:themeColor="text1"/>
          <w:sz w:val="22"/>
          <w:szCs w:val="22"/>
          <w:lang w:val="es-MX" w:eastAsia="es-MX"/>
        </w:rPr>
        <w:t>ATENTAMENTE</w:t>
      </w:r>
    </w:p>
    <w:p w14:paraId="35A36DE0" w14:textId="00110F63" w:rsidR="0039142B" w:rsidRPr="009A593A" w:rsidRDefault="00794F7E" w:rsidP="00794F7E">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794F7E">
        <w:rPr>
          <w:rFonts w:ascii="Palatino Linotype" w:hAnsi="Palatino Linotype"/>
          <w:i/>
          <w:noProof/>
          <w:color w:val="000000" w:themeColor="text1"/>
          <w:sz w:val="22"/>
          <w:szCs w:val="22"/>
          <w:lang w:val="es-MX" w:eastAsia="es-MX"/>
        </w:rPr>
        <w:t>Lic. Titular de la Unidad de Transparencia</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170BD45E" w14:textId="649911A5"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al acuse de respuesta,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al particular </w:t>
      </w:r>
      <w:r w:rsidR="00B04470">
        <w:rPr>
          <w:rFonts w:ascii="Palatino Linotype" w:hAnsi="Palatino Linotype"/>
          <w:color w:val="000000" w:themeColor="text1"/>
          <w:szCs w:val="22"/>
        </w:rPr>
        <w:t>l</w:t>
      </w:r>
      <w:r w:rsidR="00794F7E">
        <w:rPr>
          <w:rFonts w:ascii="Palatino Linotype" w:hAnsi="Palatino Linotype"/>
          <w:color w:val="000000" w:themeColor="text1"/>
          <w:szCs w:val="22"/>
        </w:rPr>
        <w:t>os</w:t>
      </w:r>
      <w:r>
        <w:rPr>
          <w:rFonts w:ascii="Palatino Linotype" w:hAnsi="Palatino Linotype"/>
          <w:color w:val="000000" w:themeColor="text1"/>
          <w:szCs w:val="22"/>
        </w:rPr>
        <w:t xml:space="preserve"> </w:t>
      </w:r>
      <w:r w:rsidR="00794F7E">
        <w:rPr>
          <w:rFonts w:ascii="Palatino Linotype" w:hAnsi="Palatino Linotype"/>
          <w:color w:val="000000" w:themeColor="text1"/>
          <w:szCs w:val="22"/>
        </w:rPr>
        <w:t>archivos electrónicos cuyo contenido</w:t>
      </w:r>
      <w:r>
        <w:rPr>
          <w:rFonts w:ascii="Palatino Linotype" w:hAnsi="Palatino Linotype"/>
          <w:color w:val="000000" w:themeColor="text1"/>
          <w:szCs w:val="22"/>
        </w:rPr>
        <w:t xml:space="preserve"> se describe a continuación:</w:t>
      </w:r>
    </w:p>
    <w:p w14:paraId="2C96932A" w14:textId="799715A6" w:rsidR="00563FC3" w:rsidRDefault="006B31E7" w:rsidP="00AB1131">
      <w:pPr>
        <w:pStyle w:val="Prrafodelista"/>
        <w:numPr>
          <w:ilvl w:val="0"/>
          <w:numId w:val="30"/>
        </w:numPr>
        <w:spacing w:line="360" w:lineRule="auto"/>
        <w:ind w:left="1134"/>
        <w:contextualSpacing w:val="0"/>
        <w:jc w:val="both"/>
        <w:rPr>
          <w:rFonts w:ascii="Palatino Linotype" w:hAnsi="Palatino Linotype" w:cs="Arial"/>
        </w:rPr>
      </w:pPr>
      <w:r>
        <w:rPr>
          <w:rFonts w:ascii="Palatino Linotype" w:hAnsi="Palatino Linotype" w:cs="Arial"/>
          <w:b/>
          <w:i/>
        </w:rPr>
        <w:t>“</w:t>
      </w:r>
      <w:r w:rsidR="00794F7E">
        <w:rPr>
          <w:rFonts w:ascii="Palatino Linotype" w:hAnsi="Palatino Linotype" w:cs="Arial"/>
          <w:b/>
          <w:i/>
        </w:rPr>
        <w:t>RESPUESTA_A_SOLICITUD_00116</w:t>
      </w:r>
      <w:r>
        <w:rPr>
          <w:rFonts w:ascii="Palatino Linotype" w:hAnsi="Palatino Linotype" w:cs="Arial"/>
          <w:b/>
          <w:i/>
        </w:rPr>
        <w:t>.pdf</w:t>
      </w:r>
      <w:r w:rsidR="00794F7E">
        <w:rPr>
          <w:rFonts w:ascii="Palatino Linotype" w:hAnsi="Palatino Linotype" w:cs="Arial"/>
          <w:b/>
          <w:i/>
        </w:rPr>
        <w:t>. (2).pdf</w:t>
      </w:r>
      <w:r>
        <w:rPr>
          <w:rFonts w:ascii="Palatino Linotype" w:hAnsi="Palatino Linotype" w:cs="Arial"/>
          <w:b/>
          <w:i/>
        </w:rPr>
        <w:t>”</w:t>
      </w:r>
      <w:r>
        <w:rPr>
          <w:rFonts w:ascii="Palatino Linotype" w:hAnsi="Palatino Linotype" w:cs="Arial"/>
        </w:rPr>
        <w:t xml:space="preserve">: Documento </w:t>
      </w:r>
      <w:r w:rsidR="00794F7E">
        <w:rPr>
          <w:rFonts w:ascii="Palatino Linotype" w:hAnsi="Palatino Linotype" w:cs="Arial"/>
        </w:rPr>
        <w:t>de una foja consistente en el oficio número UTAIP/04/10/2021/403, de cuatro (04) de octubre de dos mil veintiuno</w:t>
      </w:r>
      <w:r w:rsidR="008D062E">
        <w:rPr>
          <w:rFonts w:ascii="Palatino Linotype" w:hAnsi="Palatino Linotype" w:cs="Arial"/>
        </w:rPr>
        <w:t xml:space="preserve">, emitido por el Titular de la Unidad de Transparencia y Acceso a la Información Pública del </w:t>
      </w:r>
      <w:r w:rsidR="008D062E">
        <w:rPr>
          <w:rFonts w:ascii="Palatino Linotype" w:hAnsi="Palatino Linotype" w:cs="Arial"/>
          <w:b/>
        </w:rPr>
        <w:t>SUJETO OBLIGADO</w:t>
      </w:r>
      <w:r w:rsidR="008D062E">
        <w:rPr>
          <w:rFonts w:ascii="Palatino Linotype" w:hAnsi="Palatino Linotype" w:cs="Arial"/>
        </w:rPr>
        <w:t>, mediante el cual, pone a disposición del particular la respuesta emitida por el Director de Obras Públicas.</w:t>
      </w:r>
    </w:p>
    <w:p w14:paraId="3BEDC155" w14:textId="238698A7" w:rsidR="00794F7E" w:rsidRDefault="00794F7E" w:rsidP="00AB1131">
      <w:pPr>
        <w:pStyle w:val="Prrafodelista"/>
        <w:numPr>
          <w:ilvl w:val="0"/>
          <w:numId w:val="30"/>
        </w:numPr>
        <w:spacing w:line="360" w:lineRule="auto"/>
        <w:ind w:left="1134"/>
        <w:contextualSpacing w:val="0"/>
        <w:jc w:val="both"/>
        <w:rPr>
          <w:rFonts w:ascii="Palatino Linotype" w:hAnsi="Palatino Linotype" w:cs="Arial"/>
        </w:rPr>
      </w:pPr>
      <w:r>
        <w:rPr>
          <w:rFonts w:ascii="Palatino Linotype" w:hAnsi="Palatino Linotype" w:cs="Arial"/>
          <w:b/>
          <w:i/>
        </w:rPr>
        <w:t>“RESPUESTA_OBRAS_PUBLICAS_00116</w:t>
      </w:r>
      <w:r w:rsidRPr="00794F7E">
        <w:rPr>
          <w:rFonts w:ascii="Palatino Linotype" w:hAnsi="Palatino Linotype" w:cs="Arial"/>
        </w:rPr>
        <w:t>.</w:t>
      </w:r>
      <w:r>
        <w:rPr>
          <w:rFonts w:ascii="Palatino Linotype" w:hAnsi="Palatino Linotype" w:cs="Arial"/>
          <w:b/>
          <w:i/>
        </w:rPr>
        <w:t>pdf..pdf”</w:t>
      </w:r>
      <w:r>
        <w:rPr>
          <w:rFonts w:ascii="Palatino Linotype" w:hAnsi="Palatino Linotype" w:cs="Arial"/>
        </w:rPr>
        <w:t xml:space="preserve">: Documento </w:t>
      </w:r>
      <w:r w:rsidR="008D062E">
        <w:rPr>
          <w:rFonts w:ascii="Palatino Linotype" w:hAnsi="Palatino Linotype" w:cs="Arial"/>
        </w:rPr>
        <w:t xml:space="preserve">de una foja consistente en el oficio número CHI/O.P 140/21, de veinte (20) de septiembre de dos mil veintiuno, signado por el Director de Obras Públicas, por el que señala un </w:t>
      </w:r>
      <w:r w:rsidR="008D062E">
        <w:rPr>
          <w:rFonts w:ascii="Palatino Linotype" w:hAnsi="Palatino Linotype" w:cs="Arial"/>
          <w:i/>
        </w:rPr>
        <w:t>link</w:t>
      </w:r>
      <w:r w:rsidR="008D062E">
        <w:rPr>
          <w:rFonts w:ascii="Palatino Linotype" w:hAnsi="Palatino Linotype" w:cs="Arial"/>
        </w:rPr>
        <w:t xml:space="preserve"> para consultar la información requerida en la solicitud </w:t>
      </w:r>
      <w:r w:rsidR="008D062E">
        <w:rPr>
          <w:rFonts w:ascii="Palatino Linotype" w:hAnsi="Palatino Linotype" w:cs="Arial"/>
          <w:b/>
        </w:rPr>
        <w:t>00116/CHIAUTLA/IP/2021</w:t>
      </w:r>
      <w:r w:rsidR="008D062E">
        <w:rPr>
          <w:rFonts w:ascii="Palatino Linotype" w:hAnsi="Palatino Linotype" w:cs="Arial"/>
        </w:rPr>
        <w:t>.</w:t>
      </w:r>
    </w:p>
    <w:p w14:paraId="11423777" w14:textId="77777777" w:rsidR="00F96460" w:rsidRPr="00F96460" w:rsidRDefault="00F96460" w:rsidP="00F96460">
      <w:pPr>
        <w:spacing w:line="360" w:lineRule="auto"/>
        <w:jc w:val="both"/>
        <w:rPr>
          <w:rFonts w:ascii="Palatino Linotype" w:hAnsi="Palatino Linotype" w:cs="Arial"/>
        </w:rPr>
      </w:pPr>
    </w:p>
    <w:p w14:paraId="272B63B3" w14:textId="4FC15469"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8D062E">
        <w:rPr>
          <w:rFonts w:ascii="Palatino Linotype" w:eastAsia="Times New Roman" w:hAnsi="Palatino Linotype" w:cs="Arial"/>
          <w:color w:val="000000" w:themeColor="text1"/>
          <w:lang w:val="es-ES"/>
        </w:rPr>
        <w:t>cinco (05) de octubre</w:t>
      </w:r>
      <w:r w:rsidR="008965EF">
        <w:rPr>
          <w:rFonts w:ascii="Palatino Linotype" w:eastAsia="Times New Roman" w:hAnsi="Palatino Linotype" w:cs="Arial"/>
          <w:color w:val="000000" w:themeColor="text1"/>
          <w:lang w:val="es-ES"/>
        </w:rPr>
        <w:t xml:space="preserve"> </w:t>
      </w:r>
      <w:r w:rsidR="00613655">
        <w:rPr>
          <w:rFonts w:ascii="Palatino Linotype" w:eastAsia="Times New Roman" w:hAnsi="Palatino Linotype" w:cs="Arial"/>
          <w:color w:val="000000" w:themeColor="text1"/>
          <w:lang w:val="es-ES"/>
        </w:rPr>
        <w:t>de dos mil veintiuno</w:t>
      </w:r>
      <w:r w:rsidR="00FE49E3" w:rsidRPr="00A85CB7">
        <w:rPr>
          <w:rFonts w:ascii="Palatino Linotype" w:eastAsia="Times New Roman" w:hAnsi="Palatino Linotype" w:cs="Arial"/>
          <w:color w:val="000000" w:themeColor="text1"/>
          <w:lang w:val="es-ES"/>
        </w:rPr>
        <w:t xml:space="preserve">, </w:t>
      </w:r>
      <w:r w:rsidR="001468E9" w:rsidRPr="00A85CB7">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102D65" w:rsidRPr="00A85CB7">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794F7E">
        <w:rPr>
          <w:rFonts w:ascii="Palatino Linotype" w:eastAsia="Calibri" w:hAnsi="Palatino Linotype" w:cs="Arial"/>
          <w:b/>
          <w:color w:val="000000" w:themeColor="text1"/>
          <w:lang w:val="es-ES"/>
        </w:rPr>
        <w:t>04938/INFOEM/IP/RR/2021</w:t>
      </w:r>
      <w:r w:rsidR="009A0461" w:rsidRPr="00A85CB7">
        <w:rPr>
          <w:rFonts w:ascii="Palatino Linotype" w:eastAsia="Calibri" w:hAnsi="Palatino Linotype" w:cs="Arial"/>
          <w:b/>
          <w:color w:val="000000" w:themeColor="text1"/>
          <w:lang w:val="es-ES"/>
        </w:rPr>
        <w:t>;</w:t>
      </w:r>
      <w:r w:rsidR="00102D65" w:rsidRPr="00A85CB7">
        <w:rPr>
          <w:rFonts w:ascii="Palatino Linotype" w:eastAsia="Times New Roman" w:hAnsi="Palatino Linotype" w:cs="Arial"/>
          <w:color w:val="000000" w:themeColor="text1"/>
          <w:lang w:val="es-ES"/>
        </w:rPr>
        <w:t xml:space="preserve"> 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4C4766E" w:rsidR="00E34622" w:rsidRPr="00A85CB7" w:rsidRDefault="00E34622" w:rsidP="00B04470">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Acto impugnado:</w:t>
      </w:r>
      <w:r w:rsidRPr="00A85CB7">
        <w:rPr>
          <w:rFonts w:ascii="Palatino Linotype" w:eastAsia="Times New Roman" w:hAnsi="Palatino Linotype" w:cs="Arial"/>
          <w:color w:val="000000" w:themeColor="text1"/>
          <w:lang w:val="es-ES"/>
        </w:rPr>
        <w:t xml:space="preserve"> “</w:t>
      </w:r>
      <w:r w:rsidR="008D062E" w:rsidRPr="008D062E">
        <w:rPr>
          <w:rFonts w:ascii="Palatino Linotype" w:hAnsi="Palatino Linotype"/>
          <w:i/>
          <w:iCs/>
          <w:color w:val="000000"/>
        </w:rPr>
        <w:t>no entrega la información, toda vez que menciona que se encuentra publica, no cumple con los plazos, por lo tanto debe entregar la información por este medio</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38724B8B" w14:textId="77777777" w:rsidR="001468E9" w:rsidRPr="00A85CB7"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0F90C1C4" w:rsidR="00E34622" w:rsidRPr="00A85CB7" w:rsidRDefault="00E34622" w:rsidP="008D062E">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Razones o motivos de inconformidad:</w:t>
      </w:r>
      <w:r w:rsidRPr="00A85CB7">
        <w:rPr>
          <w:rFonts w:ascii="Palatino Linotype" w:eastAsia="Times New Roman" w:hAnsi="Palatino Linotype" w:cs="Arial"/>
          <w:color w:val="000000" w:themeColor="text1"/>
          <w:lang w:val="es-ES"/>
        </w:rPr>
        <w:t xml:space="preserve"> “</w:t>
      </w:r>
      <w:r w:rsidR="008D062E" w:rsidRPr="008D062E">
        <w:rPr>
          <w:rFonts w:ascii="Palatino Linotype" w:hAnsi="Palatino Linotype"/>
          <w:i/>
          <w:iCs/>
          <w:color w:val="000000"/>
        </w:rPr>
        <w:t>no entrega la información, toda vez que menciona que se encuentra publica, no cumple con los plazos, por lo tanto debe entregar la información por este medio</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4D16C3B0" w14:textId="77777777" w:rsidR="00E34622" w:rsidRPr="00A85CB7"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4071EB65" w:rsidR="005F1362" w:rsidRPr="00A85CB7"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Times New Roman" w:hAnsi="Palatino Linotype" w:cs="Arial"/>
          <w:color w:val="000000" w:themeColor="text1"/>
          <w:lang w:val="es-ES"/>
        </w:rPr>
        <w:t xml:space="preserve">Se registró el recurso de revisión bajo el número de expediente </w:t>
      </w:r>
      <w:r w:rsidR="004F785F" w:rsidRPr="00A85CB7">
        <w:rPr>
          <w:rFonts w:ascii="Palatino Linotype" w:hAnsi="Palatino Linotype" w:cs="Arial"/>
          <w:bCs/>
          <w:color w:val="000000" w:themeColor="text1"/>
        </w:rPr>
        <w:t>al rubro indicado, asi</w:t>
      </w:r>
      <w:r w:rsidRPr="00A85CB7">
        <w:rPr>
          <w:rFonts w:ascii="Palatino Linotype" w:hAnsi="Palatino Linotype" w:cs="Arial"/>
          <w:bCs/>
          <w:color w:val="000000" w:themeColor="text1"/>
        </w:rPr>
        <w:t xml:space="preserve">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0A45FD">
        <w:rPr>
          <w:rFonts w:ascii="Palatino Linotype" w:eastAsia="Times New Roman" w:hAnsi="Palatino Linotype" w:cs="Arial"/>
          <w:bCs/>
          <w:color w:val="000000" w:themeColor="text1"/>
          <w:lang w:val="es-ES"/>
        </w:rPr>
        <w:t xml:space="preserve">se turnó </w:t>
      </w:r>
      <w:r w:rsidR="0096234B">
        <w:rPr>
          <w:rFonts w:ascii="Palatino Linotype" w:eastAsia="Times New Roman" w:hAnsi="Palatino Linotype" w:cs="Arial"/>
          <w:bCs/>
          <w:color w:val="000000" w:themeColor="text1"/>
          <w:lang w:val="es-ES"/>
        </w:rPr>
        <w:t xml:space="preserve">a la Comisionada </w:t>
      </w:r>
      <w:r w:rsidR="007C165C">
        <w:rPr>
          <w:rFonts w:ascii="Palatino Linotype" w:eastAsia="Times New Roman" w:hAnsi="Palatino Linotype" w:cs="Arial"/>
          <w:bCs/>
          <w:color w:val="000000" w:themeColor="text1"/>
          <w:lang w:val="es-ES"/>
        </w:rPr>
        <w:t>María del Rosario Mejía Ayala</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rPr>
        <w:t>su análisis.</w:t>
      </w:r>
    </w:p>
    <w:p w14:paraId="2BDE682E" w14:textId="77777777" w:rsidR="005F1362" w:rsidRPr="00A85CB7"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F9D0B80"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La</w:t>
      </w:r>
      <w:r w:rsidR="00E647FF">
        <w:rPr>
          <w:rFonts w:ascii="Palatino Linotype" w:eastAsia="Times New Roman" w:hAnsi="Palatino Linotype" w:cs="Arial"/>
          <w:color w:val="000000" w:themeColor="text1"/>
          <w:lang w:val="es-ES"/>
        </w:rPr>
        <w:t xml:space="preserve"> </w:t>
      </w:r>
      <w:r w:rsidR="0004686A" w:rsidRPr="00A85CB7">
        <w:rPr>
          <w:rFonts w:ascii="Palatino Linotype" w:eastAsia="Calibri" w:hAnsi="Palatino Linotype" w:cs="Arial"/>
          <w:color w:val="000000" w:themeColor="text1"/>
          <w:lang w:val="es-ES"/>
        </w:rPr>
        <w:t>Comisionad</w:t>
      </w:r>
      <w:r>
        <w:rPr>
          <w:rFonts w:ascii="Palatino Linotype" w:eastAsia="Calibri" w:hAnsi="Palatino Linotype" w:cs="Arial"/>
          <w:color w:val="000000" w:themeColor="text1"/>
          <w:lang w:val="es-ES"/>
        </w:rPr>
        <w:t>a</w:t>
      </w:r>
      <w:r w:rsidR="0004686A" w:rsidRPr="00A85CB7">
        <w:rPr>
          <w:rFonts w:ascii="Palatino Linotype" w:eastAsia="Calibri" w:hAnsi="Palatino Linotype" w:cs="Arial"/>
          <w:color w:val="000000" w:themeColor="text1"/>
          <w:lang w:val="es-ES"/>
        </w:rPr>
        <w:t xml:space="preserve"> Ponente</w:t>
      </w:r>
      <w:r w:rsidR="006B31E7">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con fundamento en lo dispuesto por el artículo 185 fracción II de la </w:t>
      </w:r>
      <w:r w:rsidR="00613655">
        <w:rPr>
          <w:rFonts w:ascii="Palatino Linotype" w:eastAsia="Calibri" w:hAnsi="Palatino Linotype" w:cs="Arial"/>
          <w:color w:val="000000" w:themeColor="text1"/>
          <w:lang w:val="es-ES"/>
        </w:rPr>
        <w:t>Ley de Transparencia y Acceso a la Información Pública del Estado de México y Municipios</w:t>
      </w:r>
      <w:r w:rsidR="0004686A" w:rsidRPr="00A85CB7">
        <w:rPr>
          <w:rFonts w:ascii="Palatino Linotype" w:eastAsia="Calibri" w:hAnsi="Palatino Linotype" w:cs="Arial"/>
          <w:color w:val="000000" w:themeColor="text1"/>
          <w:lang w:val="es-ES"/>
        </w:rPr>
        <w:t xml:space="preserve">, a través </w:t>
      </w:r>
      <w:r w:rsidR="006E4E2A" w:rsidRPr="00A85CB7">
        <w:rPr>
          <w:rFonts w:ascii="Palatino Linotype" w:eastAsia="Calibri" w:hAnsi="Palatino Linotype" w:cs="Arial"/>
          <w:color w:val="000000" w:themeColor="text1"/>
          <w:lang w:val="es-ES"/>
        </w:rPr>
        <w:t>del</w:t>
      </w:r>
      <w:r w:rsidR="0004686A"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acuerdo </w:t>
      </w:r>
      <w:r w:rsidR="00F147C6" w:rsidRPr="00A85CB7">
        <w:rPr>
          <w:rFonts w:ascii="Palatino Linotype" w:eastAsia="Calibri" w:hAnsi="Palatino Linotype" w:cs="Arial"/>
          <w:color w:val="000000" w:themeColor="text1"/>
          <w:lang w:val="es-ES"/>
        </w:rPr>
        <w:t xml:space="preserve">de admisión </w:t>
      </w:r>
      <w:r w:rsidR="00B81371" w:rsidRPr="00A85CB7">
        <w:rPr>
          <w:rFonts w:ascii="Palatino Linotype" w:eastAsia="Calibri" w:hAnsi="Palatino Linotype" w:cs="Arial"/>
          <w:color w:val="000000" w:themeColor="text1"/>
          <w:lang w:val="es-ES"/>
        </w:rPr>
        <w:t xml:space="preserve">de </w:t>
      </w:r>
      <w:r w:rsidR="008D062E">
        <w:rPr>
          <w:rFonts w:ascii="Palatino Linotype" w:eastAsia="Calibri" w:hAnsi="Palatino Linotype" w:cs="Arial"/>
          <w:color w:val="000000" w:themeColor="text1"/>
          <w:lang w:val="es-ES"/>
        </w:rPr>
        <w:t>ocho (08) de octubre</w:t>
      </w:r>
      <w:r w:rsidR="00613655">
        <w:rPr>
          <w:rFonts w:ascii="Palatino Linotype" w:eastAsia="Calibri" w:hAnsi="Palatino Linotype" w:cs="Arial"/>
          <w:color w:val="000000" w:themeColor="text1"/>
          <w:lang w:val="es-ES"/>
        </w:rPr>
        <w:t xml:space="preserve"> de dos mil veintiuno</w:t>
      </w:r>
      <w:r w:rsidR="006A104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puso a </w:t>
      </w:r>
      <w:r w:rsidR="00875167" w:rsidRPr="00A85CB7">
        <w:rPr>
          <w:rFonts w:ascii="Palatino Linotype" w:eastAsia="Calibri" w:hAnsi="Palatino Linotype" w:cs="Arial"/>
          <w:color w:val="000000" w:themeColor="text1"/>
          <w:lang w:val="es-ES"/>
        </w:rPr>
        <w:t>disposición</w:t>
      </w:r>
      <w:r w:rsidR="00B81371" w:rsidRPr="00A85CB7">
        <w:rPr>
          <w:rFonts w:ascii="Palatino Linotype" w:eastAsia="Calibri" w:hAnsi="Palatino Linotype" w:cs="Arial"/>
          <w:color w:val="000000" w:themeColor="text1"/>
          <w:lang w:val="es-ES"/>
        </w:rPr>
        <w:t xml:space="preserve"> de las partes el expediente electrónico </w:t>
      </w:r>
      <w:r w:rsidR="00B81371" w:rsidRPr="00A85CB7">
        <w:rPr>
          <w:rFonts w:ascii="Palatino Linotype" w:eastAsia="Calibri" w:hAnsi="Palatino Linotype" w:cs="Arial"/>
          <w:color w:val="000000" w:themeColor="text1"/>
        </w:rPr>
        <w:t xml:space="preserve">vía </w:t>
      </w:r>
      <w:r w:rsidR="00B81371" w:rsidRPr="00A85CB7">
        <w:rPr>
          <w:rFonts w:ascii="Palatino Linotype" w:eastAsia="Calibri" w:hAnsi="Palatino Linotype" w:cs="Arial"/>
          <w:color w:val="000000" w:themeColor="text1"/>
          <w:lang w:val="es-ES"/>
        </w:rPr>
        <w:t xml:space="preserve">Sistema de Acceso a la Información Mexiquense </w:t>
      </w:r>
      <w:r w:rsidR="001468E9"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b/>
          <w:i/>
          <w:color w:val="000000" w:themeColor="text1"/>
          <w:lang w:val="es-ES"/>
        </w:rPr>
        <w:t>SAIMEX</w:t>
      </w:r>
      <w:r w:rsidR="001468E9" w:rsidRPr="00A85CB7">
        <w:rPr>
          <w:rFonts w:ascii="Palatino Linotype" w:eastAsia="Calibri" w:hAnsi="Palatino Linotype" w:cs="Arial"/>
          <w:b/>
          <w:i/>
          <w:color w:val="000000" w:themeColor="text1"/>
          <w:lang w:val="es-ES"/>
        </w:rPr>
        <w:t>)</w:t>
      </w:r>
      <w:r w:rsidR="00B81371" w:rsidRPr="00A85CB7">
        <w:rPr>
          <w:rFonts w:ascii="Palatino Linotype" w:eastAsia="Calibri" w:hAnsi="Palatino Linotype" w:cs="Arial"/>
          <w:b/>
          <w:color w:val="000000" w:themeColor="text1"/>
          <w:lang w:val="es-ES"/>
        </w:rPr>
        <w:t xml:space="preserve"> </w:t>
      </w:r>
      <w:r w:rsidR="00B81371" w:rsidRPr="00A85CB7">
        <w:rPr>
          <w:rFonts w:ascii="Palatino Linotype" w:eastAsia="Calibri" w:hAnsi="Palatino Linotype" w:cs="Arial"/>
          <w:color w:val="000000" w:themeColor="text1"/>
          <w:lang w:val="es-ES"/>
        </w:rPr>
        <w:t xml:space="preserve">a efecto de que en un plazo máximo de siete días </w:t>
      </w:r>
      <w:r w:rsidR="00875167" w:rsidRPr="00A85CB7">
        <w:rPr>
          <w:rFonts w:ascii="Palatino Linotype" w:eastAsia="Calibri" w:hAnsi="Palatino Linotype" w:cs="Arial"/>
          <w:color w:val="000000" w:themeColor="text1"/>
          <w:lang w:val="es-ES"/>
        </w:rPr>
        <w:t>manifestaran</w:t>
      </w:r>
      <w:r w:rsidR="00B81371" w:rsidRPr="00A85CB7">
        <w:rPr>
          <w:rFonts w:ascii="Palatino Linotype" w:eastAsia="Calibri" w:hAnsi="Palatino Linotype" w:cs="Arial"/>
          <w:color w:val="000000" w:themeColor="text1"/>
          <w:lang w:val="es-ES"/>
        </w:rPr>
        <w:t xml:space="preserve"> lo que a</w:t>
      </w:r>
      <w:r w:rsidR="003A2029" w:rsidRPr="00A85CB7">
        <w:rPr>
          <w:rFonts w:ascii="Palatino Linotype" w:eastAsia="Calibri" w:hAnsi="Palatino Linotype" w:cs="Arial"/>
          <w:color w:val="000000" w:themeColor="text1"/>
          <w:lang w:val="es-ES"/>
        </w:rPr>
        <w:t xml:space="preserve"> su</w:t>
      </w:r>
      <w:r w:rsidR="00B81371" w:rsidRPr="00A85CB7">
        <w:rPr>
          <w:rFonts w:ascii="Palatino Linotype" w:eastAsia="Calibri" w:hAnsi="Palatino Linotype" w:cs="Arial"/>
          <w:color w:val="000000" w:themeColor="text1"/>
          <w:lang w:val="es-ES"/>
        </w:rPr>
        <w:t xml:space="preserve"> derecho conviniera</w:t>
      </w:r>
      <w:r w:rsidR="00875167" w:rsidRPr="00A85CB7">
        <w:rPr>
          <w:rFonts w:ascii="Palatino Linotype" w:eastAsia="Calibri" w:hAnsi="Palatino Linotype" w:cs="Arial"/>
          <w:color w:val="000000" w:themeColor="text1"/>
          <w:lang w:val="es-ES"/>
        </w:rPr>
        <w:t>n</w:t>
      </w:r>
      <w:r w:rsidR="00032493"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ofrecieran pruebas y</w:t>
      </w:r>
      <w:r w:rsidR="00132C06"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alegatos según corresponda a</w:t>
      </w:r>
      <w:r w:rsidR="004C20F2"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l</w:t>
      </w:r>
      <w:r w:rsidR="004C20F2" w:rsidRPr="00A85CB7">
        <w:rPr>
          <w:rFonts w:ascii="Palatino Linotype" w:eastAsia="Calibri" w:hAnsi="Palatino Linotype" w:cs="Arial"/>
          <w:color w:val="000000" w:themeColor="text1"/>
          <w:lang w:val="es-ES"/>
        </w:rPr>
        <w:t>os</w:t>
      </w:r>
      <w:r w:rsidR="00875167" w:rsidRPr="00A85CB7">
        <w:rPr>
          <w:rFonts w:ascii="Palatino Linotype" w:eastAsia="Calibri" w:hAnsi="Palatino Linotype" w:cs="Arial"/>
          <w:color w:val="000000" w:themeColor="text1"/>
          <w:lang w:val="es-ES"/>
        </w:rPr>
        <w:t xml:space="preserve"> caso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concreto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w:t>
      </w:r>
      <w:r w:rsidR="00F147C6" w:rsidRPr="00A85CB7">
        <w:rPr>
          <w:rFonts w:ascii="Palatino Linotype" w:eastAsia="Calibri" w:hAnsi="Palatino Linotype" w:cs="Arial"/>
          <w:color w:val="000000" w:themeColor="text1"/>
          <w:lang w:val="es-ES"/>
        </w:rPr>
        <w:t>de esta forma</w:t>
      </w:r>
      <w:r w:rsidR="00875167" w:rsidRPr="00A85CB7">
        <w:rPr>
          <w:rFonts w:ascii="Palatino Linotype" w:eastAsia="Calibri" w:hAnsi="Palatino Linotype" w:cs="Arial"/>
          <w:color w:val="000000" w:themeColor="text1"/>
          <w:lang w:val="es-ES"/>
        </w:rPr>
        <w:t xml:space="preserve"> para que el </w:t>
      </w:r>
      <w:r w:rsidR="00875167" w:rsidRPr="00A85CB7">
        <w:rPr>
          <w:rFonts w:ascii="Palatino Linotype" w:eastAsia="Calibri" w:hAnsi="Palatino Linotype" w:cs="Arial"/>
          <w:b/>
          <w:color w:val="000000" w:themeColor="text1"/>
          <w:lang w:val="es-ES"/>
        </w:rPr>
        <w:t>SUJETO OBLIGADO</w:t>
      </w:r>
      <w:r w:rsidR="0087516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presentar</w:t>
      </w:r>
      <w:r w:rsidR="003A03D0" w:rsidRPr="00A85CB7">
        <w:rPr>
          <w:rFonts w:ascii="Palatino Linotype" w:eastAsia="Calibri" w:hAnsi="Palatino Linotype" w:cs="Arial"/>
          <w:color w:val="000000" w:themeColor="text1"/>
          <w:lang w:val="es-ES"/>
        </w:rPr>
        <w:t>a</w:t>
      </w:r>
      <w:r w:rsidR="00B81371" w:rsidRPr="00A85CB7">
        <w:rPr>
          <w:rFonts w:ascii="Palatino Linotype" w:eastAsia="Calibri" w:hAnsi="Palatino Linotype" w:cs="Arial"/>
          <w:color w:val="000000" w:themeColor="text1"/>
          <w:lang w:val="es-ES"/>
        </w:rPr>
        <w:t xml:space="preserve"> el </w:t>
      </w:r>
      <w:r w:rsidR="00556F72" w:rsidRPr="00A85CB7">
        <w:rPr>
          <w:rFonts w:ascii="Palatino Linotype" w:eastAsia="Calibri" w:hAnsi="Palatino Linotype" w:cs="Arial"/>
          <w:color w:val="000000" w:themeColor="text1"/>
          <w:lang w:val="es-ES"/>
        </w:rPr>
        <w:t xml:space="preserve">informe justificado </w:t>
      </w:r>
      <w:r w:rsidR="00875167" w:rsidRPr="00A85CB7">
        <w:rPr>
          <w:rFonts w:ascii="Palatino Linotype" w:eastAsia="Calibri" w:hAnsi="Palatino Linotype" w:cs="Arial"/>
          <w:color w:val="000000" w:themeColor="text1"/>
          <w:lang w:val="es-ES"/>
        </w:rPr>
        <w:t>procedente</w:t>
      </w:r>
      <w:r w:rsidR="00787184" w:rsidRPr="00A85CB7">
        <w:rPr>
          <w:rFonts w:ascii="Palatino Linotype" w:eastAsia="Calibri" w:hAnsi="Palatino Linotype" w:cs="Arial"/>
          <w:color w:val="000000" w:themeColor="text1"/>
          <w:lang w:val="es-ES"/>
        </w:rPr>
        <w:t>.</w:t>
      </w:r>
    </w:p>
    <w:p w14:paraId="455C196B" w14:textId="77777777" w:rsidR="003F0DDA"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4764A20" w14:textId="5B5CB918" w:rsidR="0096234B" w:rsidRPr="008D062E" w:rsidRDefault="008D062E" w:rsidP="007C165C">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lastRenderedPageBreak/>
        <w:t xml:space="preserve">El dieciocho (18) de octubre de dos mil veintiuno, 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presentó su informe justificado a través del archivo electrónico cuyo contenido se describe a continuación:</w:t>
      </w:r>
    </w:p>
    <w:p w14:paraId="0F35BD71" w14:textId="21E34E22" w:rsidR="008D062E" w:rsidRPr="008D062E" w:rsidRDefault="008D062E" w:rsidP="008D062E">
      <w:pPr>
        <w:pStyle w:val="Prrafodelista"/>
        <w:numPr>
          <w:ilvl w:val="1"/>
          <w:numId w:val="1"/>
        </w:numPr>
        <w:tabs>
          <w:tab w:val="left" w:pos="426"/>
        </w:tabs>
        <w:spacing w:line="360" w:lineRule="auto"/>
        <w:ind w:left="993"/>
        <w:jc w:val="both"/>
        <w:rPr>
          <w:rFonts w:ascii="Palatino Linotype" w:hAnsi="Palatino Linotype"/>
          <w:color w:val="000000" w:themeColor="text1"/>
        </w:rPr>
      </w:pPr>
      <w:r>
        <w:rPr>
          <w:rFonts w:ascii="Palatino Linotype" w:hAnsi="Palatino Linotype"/>
          <w:b/>
          <w:i/>
          <w:color w:val="000000" w:themeColor="text1"/>
        </w:rPr>
        <w:t>“INFORME_JUSTIFICADO_04938.pdf..pdf”</w:t>
      </w:r>
      <w:r>
        <w:rPr>
          <w:rFonts w:ascii="Palatino Linotype" w:hAnsi="Palatino Linotype"/>
          <w:color w:val="000000" w:themeColor="text1"/>
        </w:rPr>
        <w:t>: Documento de tres fojas consistente en el informe justificado de dieciocho (18) de octubre de dos mil veintiuno, presentado por el Titular de la Unidad de Transparencia y Acceso a la Información Pública, mediante el cual, esencialmente, ratifica la respuesta inicial.</w:t>
      </w:r>
    </w:p>
    <w:p w14:paraId="13399B66" w14:textId="77777777" w:rsidR="008D062E" w:rsidRPr="008D062E" w:rsidRDefault="008D062E" w:rsidP="008D062E">
      <w:pPr>
        <w:pStyle w:val="Prrafodelista"/>
        <w:tabs>
          <w:tab w:val="left" w:pos="426"/>
        </w:tabs>
        <w:spacing w:line="360" w:lineRule="auto"/>
        <w:ind w:left="0"/>
        <w:jc w:val="both"/>
        <w:rPr>
          <w:rFonts w:ascii="Palatino Linotype" w:hAnsi="Palatino Linotype"/>
          <w:color w:val="000000" w:themeColor="text1"/>
        </w:rPr>
      </w:pPr>
    </w:p>
    <w:p w14:paraId="3016F573" w14:textId="20548618" w:rsidR="008D062E" w:rsidRPr="007C165C" w:rsidRDefault="008D062E" w:rsidP="007C165C">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t xml:space="preserve">El veinticinco (25) de octubre de dos mil veintiuno, la </w:t>
      </w:r>
      <w:r>
        <w:rPr>
          <w:rFonts w:ascii="Palatino Linotype" w:hAnsi="Palatino Linotype"/>
          <w:color w:val="000000" w:themeColor="text1"/>
        </w:rPr>
        <w:t xml:space="preserve">Comisionada Ponente puso a la vista del </w:t>
      </w:r>
      <w:r>
        <w:rPr>
          <w:rFonts w:ascii="Palatino Linotype" w:hAnsi="Palatino Linotype"/>
          <w:b/>
          <w:color w:val="000000" w:themeColor="text1"/>
        </w:rPr>
        <w:t>RECURRENTE</w:t>
      </w:r>
      <w:r>
        <w:rPr>
          <w:rFonts w:ascii="Palatino Linotype" w:hAnsi="Palatino Linotype"/>
          <w:color w:val="000000" w:themeColor="text1"/>
        </w:rPr>
        <w:t xml:space="preserve"> el archivo presentado por el </w:t>
      </w:r>
      <w:r>
        <w:rPr>
          <w:rFonts w:ascii="Palatino Linotype" w:hAnsi="Palatino Linotype"/>
          <w:b/>
          <w:color w:val="000000" w:themeColor="text1"/>
        </w:rPr>
        <w:t>SUJETO OBLIGADO</w:t>
      </w:r>
      <w:r>
        <w:rPr>
          <w:rFonts w:ascii="Palatino Linotype" w:hAnsi="Palatino Linotype"/>
          <w:color w:val="000000" w:themeColor="text1"/>
        </w:rPr>
        <w:t xml:space="preserve"> como Informe Justificado, concediéndole </w:t>
      </w:r>
      <w:r w:rsidRPr="00A72E6C">
        <w:rPr>
          <w:rFonts w:ascii="Palatino Linotype" w:hAnsi="Palatino Linotype"/>
          <w:color w:val="000000" w:themeColor="text1"/>
        </w:rPr>
        <w:t xml:space="preserve">un plazo de tres (03) días para que manifestara lo que a su derecho conviniera, de conformidad con el artículo 185, fracción III, de la Ley de Transparencia y Acceso a la Información Pública del Estado de México y Municipios; no obstante, se hace constar que </w:t>
      </w:r>
      <w:r>
        <w:rPr>
          <w:rFonts w:ascii="Palatino Linotype" w:hAnsi="Palatino Linotype"/>
          <w:color w:val="000000" w:themeColor="text1"/>
        </w:rPr>
        <w:t>el</w:t>
      </w:r>
      <w:r w:rsidRPr="00A72E6C">
        <w:rPr>
          <w:rFonts w:ascii="Palatino Linotype" w:hAnsi="Palatino Linotype"/>
          <w:color w:val="000000" w:themeColor="text1"/>
        </w:rPr>
        <w:t xml:space="preserve"> particular no ejerció su derecho de réplica sobre los nuevos contenidos.</w:t>
      </w:r>
    </w:p>
    <w:p w14:paraId="2154210E" w14:textId="77777777" w:rsidR="007C165C" w:rsidRDefault="007C165C" w:rsidP="007C165C">
      <w:pPr>
        <w:pStyle w:val="Prrafodelista"/>
        <w:tabs>
          <w:tab w:val="left" w:pos="426"/>
        </w:tabs>
        <w:spacing w:line="360" w:lineRule="auto"/>
        <w:ind w:left="0"/>
        <w:jc w:val="both"/>
        <w:rPr>
          <w:rFonts w:ascii="Palatino Linotype" w:hAnsi="Palatino Linotype"/>
          <w:color w:val="000000" w:themeColor="text1"/>
        </w:rPr>
      </w:pPr>
    </w:p>
    <w:p w14:paraId="7FB95849" w14:textId="27A1A77E" w:rsidR="00F2567E" w:rsidRPr="008965EF" w:rsidRDefault="00861622"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lang w:val="es-ES"/>
        </w:rPr>
        <w:t>El</w:t>
      </w:r>
      <w:bookmarkStart w:id="4" w:name="_Toc461555889"/>
      <w:bookmarkStart w:id="5" w:name="_Toc466371858"/>
      <w:r w:rsidR="00B855AA">
        <w:rPr>
          <w:rFonts w:ascii="Palatino Linotype" w:eastAsia="Calibri" w:hAnsi="Palatino Linotype" w:cs="Arial"/>
          <w:color w:val="000000" w:themeColor="text1"/>
          <w:lang w:val="es-ES"/>
        </w:rPr>
        <w:t xml:space="preserve"> </w:t>
      </w:r>
      <w:r w:rsidR="001F0A72">
        <w:rPr>
          <w:rFonts w:ascii="Palatino Linotype" w:eastAsia="Calibri" w:hAnsi="Palatino Linotype" w:cs="Arial"/>
          <w:color w:val="000000" w:themeColor="text1"/>
          <w:lang w:val="es-ES"/>
        </w:rPr>
        <w:t>ocho (08) de noviembre</w:t>
      </w:r>
      <w:r w:rsidR="009917E9">
        <w:rPr>
          <w:rFonts w:ascii="Palatino Linotype" w:eastAsia="Calibri" w:hAnsi="Palatino Linotype" w:cs="Arial"/>
          <w:color w:val="000000" w:themeColor="text1"/>
          <w:lang w:val="es-ES"/>
        </w:rPr>
        <w:t xml:space="preserve"> de dos mil veintiuno</w:t>
      </w:r>
      <w:r w:rsidR="00AD6AC5" w:rsidRPr="00A85CB7">
        <w:rPr>
          <w:rFonts w:ascii="Palatino Linotype" w:hAnsi="Palatino Linotype" w:cs="Arial"/>
          <w:color w:val="000000" w:themeColor="text1"/>
        </w:rPr>
        <w:t xml:space="preserve">, </w:t>
      </w:r>
      <w:r w:rsidR="0096234B">
        <w:rPr>
          <w:rFonts w:ascii="Palatino Linotype" w:hAnsi="Palatino Linotype" w:cs="Arial"/>
          <w:color w:val="000000" w:themeColor="text1"/>
        </w:rPr>
        <w:t xml:space="preserve">la </w:t>
      </w:r>
      <w:r w:rsidR="00AD6AC5" w:rsidRPr="00A85CB7">
        <w:rPr>
          <w:rFonts w:ascii="Palatino Linotype" w:hAnsi="Palatino Linotype" w:cs="Arial"/>
          <w:color w:val="000000" w:themeColor="text1"/>
        </w:rPr>
        <w:t>Comisionad</w:t>
      </w:r>
      <w:r w:rsidR="0096234B">
        <w:rPr>
          <w:rFonts w:ascii="Palatino Linotype" w:hAnsi="Palatino Linotype" w:cs="Arial"/>
          <w:color w:val="000000" w:themeColor="text1"/>
        </w:rPr>
        <w:t>a</w:t>
      </w:r>
      <w:r w:rsidR="00AD6AC5" w:rsidRPr="00A85CB7">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F2567E">
        <w:rPr>
          <w:rFonts w:ascii="Palatino Linotype" w:hAnsi="Palatino Linotype" w:cs="Arial"/>
          <w:color w:val="000000" w:themeColor="text1"/>
        </w:rPr>
        <w:t>.</w:t>
      </w:r>
    </w:p>
    <w:p w14:paraId="4AE99BB6" w14:textId="77777777" w:rsidR="008965EF" w:rsidRPr="008965EF" w:rsidRDefault="008965EF" w:rsidP="008965EF">
      <w:pPr>
        <w:pStyle w:val="Prrafodelista"/>
        <w:tabs>
          <w:tab w:val="left" w:pos="426"/>
        </w:tabs>
        <w:spacing w:line="360" w:lineRule="auto"/>
        <w:ind w:left="0"/>
        <w:jc w:val="both"/>
        <w:rPr>
          <w:rFonts w:ascii="Palatino Linotype" w:hAnsi="Palatino Linotype"/>
          <w:color w:val="000000" w:themeColor="text1"/>
        </w:rPr>
      </w:pPr>
    </w:p>
    <w:p w14:paraId="3001AA57" w14:textId="15D38905" w:rsidR="008965EF" w:rsidRPr="005C3B63" w:rsidRDefault="003F0DDA"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t>Luego</w:t>
      </w:r>
      <w:r w:rsidR="003522BF">
        <w:rPr>
          <w:rFonts w:ascii="Palatino Linotype" w:hAnsi="Palatino Linotype" w:cs="Arial"/>
          <w:color w:val="000000" w:themeColor="text1"/>
        </w:rPr>
        <w:t xml:space="preserve">, </w:t>
      </w:r>
      <w:r w:rsidR="003522BF" w:rsidRPr="003522BF">
        <w:rPr>
          <w:rFonts w:ascii="Palatino Linotype" w:hAnsi="Palatino Linotype" w:cs="Arial"/>
          <w:color w:val="000000" w:themeColor="text1"/>
        </w:rPr>
        <w:t xml:space="preserve">el </w:t>
      </w:r>
      <w:r w:rsidR="001F0A72">
        <w:rPr>
          <w:rFonts w:ascii="Palatino Linotype" w:hAnsi="Palatino Linotype" w:cs="Arial"/>
          <w:color w:val="000000" w:themeColor="text1"/>
        </w:rPr>
        <w:t>veintitrés (23</w:t>
      </w:r>
      <w:r w:rsidR="00630B0D">
        <w:rPr>
          <w:rFonts w:ascii="Palatino Linotype" w:hAnsi="Palatino Linotype" w:cs="Arial"/>
          <w:color w:val="000000" w:themeColor="text1"/>
        </w:rPr>
        <w:t>) de noviembre</w:t>
      </w:r>
      <w:r w:rsidR="00AB7AAA">
        <w:rPr>
          <w:rFonts w:ascii="Palatino Linotype" w:hAnsi="Palatino Linotype" w:cs="Arial"/>
          <w:color w:val="000000" w:themeColor="text1"/>
        </w:rPr>
        <w:t xml:space="preserve"> </w:t>
      </w:r>
      <w:r w:rsidR="003522BF" w:rsidRPr="003522BF">
        <w:rPr>
          <w:rFonts w:ascii="Palatino Linotype" w:hAnsi="Palatino Linotype" w:cs="Arial"/>
          <w:color w:val="000000" w:themeColor="text1"/>
        </w:rPr>
        <w:t xml:space="preserve">dos mil veintiuno, </w:t>
      </w:r>
      <w:r w:rsidR="003522BF" w:rsidRPr="003522BF">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3522BF" w:rsidRPr="003522BF">
        <w:rPr>
          <w:rFonts w:ascii="Palatino Linotype" w:hAnsi="Palatino Linotype" w:cs="Arial"/>
          <w:bCs/>
          <w:color w:val="000000" w:themeColor="text1"/>
          <w:lang w:val="es-ES"/>
        </w:rPr>
        <w:t xml:space="preserve"> </w:t>
      </w:r>
      <w:r w:rsidR="003522BF" w:rsidRPr="003522BF">
        <w:rPr>
          <w:rFonts w:ascii="Palatino Linotype" w:hAnsi="Palatino Linotype" w:cs="Arial"/>
          <w:color w:val="000000" w:themeColor="text1"/>
          <w:lang w:val="es-ES"/>
        </w:rPr>
        <w:t xml:space="preserve">se notificó que el plazo de treinta (30) </w:t>
      </w:r>
      <w:r w:rsidR="003522BF" w:rsidRPr="003522BF">
        <w:rPr>
          <w:rFonts w:ascii="Palatino Linotype" w:hAnsi="Palatino Linotype" w:cs="Arial"/>
          <w:color w:val="000000" w:themeColor="text1"/>
          <w:lang w:val="es-ES"/>
        </w:rPr>
        <w:lastRenderedPageBreak/>
        <w:t>días para resolver el recurso de revisión sería ampliado por un periodo de quince (15) días hábiles adicionales</w:t>
      </w:r>
      <w:r w:rsidR="00630B0D">
        <w:rPr>
          <w:rFonts w:ascii="Palatino Linotype" w:hAnsi="Palatino Linotype" w:cs="Arial"/>
          <w:color w:val="000000" w:themeColor="text1"/>
          <w:lang w:val="es-ES"/>
        </w:rPr>
        <w:t>; y ---------------------------------------------------------------------</w:t>
      </w:r>
    </w:p>
    <w:p w14:paraId="76723CF0" w14:textId="1E451BB4" w:rsidR="009917E9"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85CB7" w:rsidRDefault="007C0013" w:rsidP="00B31E90">
      <w:pPr>
        <w:pStyle w:val="Ttulo1"/>
        <w:spacing w:before="0"/>
        <w:jc w:val="center"/>
        <w:rPr>
          <w:b/>
          <w:color w:val="000000" w:themeColor="text1"/>
        </w:rPr>
      </w:pPr>
      <w:bookmarkStart w:id="6" w:name="_Toc89350455"/>
      <w:r w:rsidRPr="00A85CB7">
        <w:rPr>
          <w:b/>
          <w:color w:val="000000" w:themeColor="text1"/>
        </w:rPr>
        <w:t>CONSIDERANDO</w:t>
      </w:r>
      <w:bookmarkEnd w:id="4"/>
      <w:bookmarkEnd w:id="5"/>
      <w:bookmarkEnd w:id="6"/>
    </w:p>
    <w:p w14:paraId="435CF9A4" w14:textId="77777777" w:rsidR="00FC1DA7" w:rsidRPr="00A85CB7" w:rsidRDefault="00FC1DA7" w:rsidP="00B31E90">
      <w:pPr>
        <w:rPr>
          <w:color w:val="000000" w:themeColor="text1"/>
          <w:lang w:eastAsia="en-US"/>
        </w:rPr>
      </w:pPr>
    </w:p>
    <w:p w14:paraId="629A5BE2" w14:textId="56C3E7D5" w:rsidR="007C0013" w:rsidRPr="00A85CB7"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9350456"/>
      <w:r w:rsidRPr="00A85CB7">
        <w:rPr>
          <w:rFonts w:ascii="Palatino Linotype" w:hAnsi="Palatino Linotype"/>
          <w:b/>
          <w:color w:val="000000" w:themeColor="text1"/>
          <w:sz w:val="24"/>
        </w:rPr>
        <w:t>PRIMERO. De la competencia</w:t>
      </w:r>
      <w:bookmarkEnd w:id="7"/>
      <w:bookmarkEnd w:id="8"/>
      <w:bookmarkEnd w:id="9"/>
    </w:p>
    <w:p w14:paraId="60FBD8C7" w14:textId="77777777" w:rsidR="00FC1DA7" w:rsidRPr="00826F38" w:rsidRDefault="00FC1DA7" w:rsidP="00B31E90">
      <w:pPr>
        <w:rPr>
          <w:rFonts w:ascii="Palatino Linotype" w:hAnsi="Palatino Linotype"/>
          <w:color w:val="000000" w:themeColor="text1"/>
          <w:lang w:eastAsia="en-US"/>
        </w:rPr>
      </w:pPr>
    </w:p>
    <w:p w14:paraId="0BF52B18" w14:textId="515C3AEB"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Pr="00A85CB7">
        <w:rPr>
          <w:rFonts w:ascii="Palatino Linotype" w:eastAsia="Calibri" w:hAnsi="Palatino Linotype" w:cs="Times New Roman"/>
          <w:color w:val="000000" w:themeColor="text1"/>
          <w:lang w:val="es-ES"/>
        </w:rPr>
        <w:t xml:space="preserve">el presente recurso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F56872D" w14:textId="77777777" w:rsidR="00751061"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6F3C53DD" w14:textId="77777777" w:rsidR="001F0A72" w:rsidRDefault="001F0A72"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86A3753" w14:textId="77777777" w:rsidR="001F0A72" w:rsidRPr="00751061" w:rsidRDefault="001F0A72"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9350457"/>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0"/>
      <w:bookmarkEnd w:id="11"/>
      <w:bookmarkEnd w:id="12"/>
    </w:p>
    <w:p w14:paraId="18E22450" w14:textId="77777777" w:rsidR="00C6440A" w:rsidRPr="00A85CB7" w:rsidRDefault="00C6440A" w:rsidP="00B31E90">
      <w:pPr>
        <w:rPr>
          <w:color w:val="000000" w:themeColor="text1"/>
          <w:lang w:eastAsia="en-US"/>
        </w:rPr>
      </w:pPr>
    </w:p>
    <w:p w14:paraId="63E5A495" w14:textId="1C9A427E" w:rsidR="009E360A" w:rsidRPr="00740BA4"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85CB7">
        <w:rPr>
          <w:rFonts w:ascii="Palatino Linotype" w:eastAsia="Calibri" w:hAnsi="Palatino Linotype" w:cs="Arial"/>
          <w:color w:val="000000" w:themeColor="text1"/>
        </w:rPr>
        <w:t xml:space="preserve">El </w:t>
      </w:r>
      <w:r w:rsidR="00740BA4" w:rsidRPr="00740BA4">
        <w:rPr>
          <w:rFonts w:ascii="Palatino Linotype" w:eastAsia="Calibri" w:hAnsi="Palatino Linotype" w:cs="Arial"/>
          <w:color w:val="000000" w:themeColor="text1"/>
        </w:rPr>
        <w:t xml:space="preserve">medio de impugnación fue presentado a través del </w:t>
      </w:r>
      <w:r w:rsidR="00740BA4" w:rsidRPr="007F372C">
        <w:rPr>
          <w:rFonts w:ascii="Palatino Linotype" w:eastAsia="Calibri" w:hAnsi="Palatino Linotype" w:cs="Arial"/>
          <w:bCs/>
          <w:iCs/>
          <w:color w:val="000000" w:themeColor="text1"/>
        </w:rPr>
        <w:t>SAIMEX</w:t>
      </w:r>
      <w:r w:rsidR="00740BA4" w:rsidRPr="00740BA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740BA4">
        <w:rPr>
          <w:rFonts w:ascii="Palatino Linotype" w:eastAsia="Calibri" w:hAnsi="Palatino Linotype" w:cs="Arial"/>
          <w:b/>
          <w:color w:val="000000" w:themeColor="text1"/>
        </w:rPr>
        <w:t>SUJETO OBLIGADO</w:t>
      </w:r>
      <w:r w:rsidR="00740BA4" w:rsidRPr="00740BA4">
        <w:rPr>
          <w:rFonts w:ascii="Palatino Linotype" w:eastAsia="Calibri" w:hAnsi="Palatino Linotype" w:cs="Arial"/>
          <w:color w:val="000000" w:themeColor="text1"/>
        </w:rPr>
        <w:t xml:space="preserve"> entregó respuesta el </w:t>
      </w:r>
      <w:r w:rsidR="001F0A72">
        <w:rPr>
          <w:rFonts w:ascii="Palatino Linotype" w:eastAsia="Calibri" w:hAnsi="Palatino Linotype" w:cs="Arial"/>
          <w:color w:val="000000" w:themeColor="text1"/>
        </w:rPr>
        <w:t xml:space="preserve">cuatro (04) </w:t>
      </w:r>
      <w:r w:rsidR="001F0A72">
        <w:rPr>
          <w:rFonts w:ascii="Palatino Linotype" w:eastAsia="Calibri" w:hAnsi="Palatino Linotype" w:cs="Arial"/>
          <w:color w:val="000000" w:themeColor="text1"/>
        </w:rPr>
        <w:lastRenderedPageBreak/>
        <w:t>de octubre</w:t>
      </w:r>
      <w:r w:rsidR="007F372C">
        <w:rPr>
          <w:rFonts w:ascii="Palatino Linotype" w:eastAsia="Calibri" w:hAnsi="Palatino Linotype" w:cs="Arial"/>
          <w:color w:val="000000" w:themeColor="text1"/>
        </w:rPr>
        <w:t xml:space="preserve"> </w:t>
      </w:r>
      <w:r w:rsidR="00740BA4">
        <w:rPr>
          <w:rFonts w:ascii="Palatino Linotype" w:eastAsia="Calibri" w:hAnsi="Palatino Linotype" w:cs="Arial"/>
          <w:color w:val="000000" w:themeColor="text1"/>
        </w:rPr>
        <w:t>de dos mil veintiuno</w:t>
      </w:r>
      <w:r w:rsidR="00740BA4" w:rsidRPr="00740BA4">
        <w:rPr>
          <w:rFonts w:ascii="Palatino Linotype" w:eastAsia="Calibri" w:hAnsi="Palatino Linotype" w:cs="Arial"/>
          <w:color w:val="000000" w:themeColor="text1"/>
        </w:rPr>
        <w:t xml:space="preserve">, de tal forma que el plazo para interponer el recurso de revisión transcurrió del </w:t>
      </w:r>
      <w:r w:rsidR="001F0A72">
        <w:rPr>
          <w:rFonts w:ascii="Palatino Linotype" w:eastAsia="Calibri" w:hAnsi="Palatino Linotype" w:cs="Arial"/>
          <w:color w:val="000000" w:themeColor="text1"/>
        </w:rPr>
        <w:t>cinco (05) al veinticinco (25)</w:t>
      </w:r>
      <w:r w:rsidR="00630B0D">
        <w:rPr>
          <w:rFonts w:ascii="Palatino Linotype" w:eastAsia="Calibri" w:hAnsi="Palatino Linotype" w:cs="Arial"/>
          <w:color w:val="000000" w:themeColor="text1"/>
        </w:rPr>
        <w:t xml:space="preserve"> </w:t>
      </w:r>
      <w:r w:rsidR="001F0A72">
        <w:rPr>
          <w:rFonts w:ascii="Palatino Linotype" w:eastAsia="Calibri" w:hAnsi="Palatino Linotype" w:cs="Arial"/>
          <w:color w:val="000000" w:themeColor="text1"/>
        </w:rPr>
        <w:t xml:space="preserve">de octubre </w:t>
      </w:r>
      <w:r w:rsidR="00630B0D">
        <w:rPr>
          <w:rFonts w:ascii="Palatino Linotype" w:eastAsia="Calibri" w:hAnsi="Palatino Linotype" w:cs="Arial"/>
          <w:color w:val="000000" w:themeColor="text1"/>
        </w:rPr>
        <w:t>de dos mil veintiuno</w:t>
      </w:r>
      <w:r w:rsidR="00740BA4" w:rsidRPr="00740BA4">
        <w:rPr>
          <w:rFonts w:ascii="Palatino Linotype" w:eastAsia="Calibri" w:hAnsi="Palatino Linotype" w:cs="Arial"/>
          <w:color w:val="000000" w:themeColor="text1"/>
        </w:rPr>
        <w:t xml:space="preserve">, sin contemplar en el cómputo los días </w:t>
      </w:r>
      <w:r w:rsidR="001F0A72">
        <w:rPr>
          <w:rFonts w:ascii="Palatino Linotype" w:eastAsia="Calibri" w:hAnsi="Palatino Linotype" w:cs="Arial"/>
          <w:color w:val="000000" w:themeColor="text1"/>
        </w:rPr>
        <w:t>nueve (09), diez (10), dieciséis (16), diecisiete (17), veintitrés (23) y veinticuatro (24)</w:t>
      </w:r>
      <w:r w:rsidR="00740BA4" w:rsidRPr="00740BA4">
        <w:rPr>
          <w:rFonts w:ascii="Palatino Linotype" w:eastAsia="Calibri" w:hAnsi="Palatino Linotype" w:cs="Arial"/>
          <w:color w:val="000000" w:themeColor="text1"/>
        </w:rPr>
        <w:t xml:space="preserve"> por corresponder a sábados</w:t>
      </w:r>
      <w:r w:rsidR="001F0A72">
        <w:rPr>
          <w:rFonts w:ascii="Palatino Linotype" w:eastAsia="Calibri" w:hAnsi="Palatino Linotype" w:cs="Arial"/>
          <w:color w:val="000000" w:themeColor="text1"/>
        </w:rPr>
        <w:t xml:space="preserve"> y</w:t>
      </w:r>
      <w:r w:rsidR="00740BA4" w:rsidRPr="00740BA4">
        <w:rPr>
          <w:rFonts w:ascii="Palatino Linotype" w:eastAsia="Calibri" w:hAnsi="Palatino Linotype" w:cs="Arial"/>
          <w:color w:val="000000" w:themeColor="text1"/>
        </w:rPr>
        <w:t xml:space="preserve"> domingos</w:t>
      </w:r>
      <w:r w:rsidR="001F0A72">
        <w:rPr>
          <w:rFonts w:ascii="Palatino Linotype" w:eastAsia="Calibri" w:hAnsi="Palatino Linotype" w:cs="Arial"/>
          <w:color w:val="000000" w:themeColor="text1"/>
        </w:rPr>
        <w:t>,</w:t>
      </w:r>
      <w:r w:rsidR="00630B0D">
        <w:rPr>
          <w:rFonts w:ascii="Palatino Linotype" w:eastAsia="Calibri" w:hAnsi="Palatino Linotype" w:cs="Arial"/>
          <w:color w:val="000000" w:themeColor="text1"/>
        </w:rPr>
        <w:t xml:space="preserve"> </w:t>
      </w:r>
      <w:r w:rsidR="00740BA4" w:rsidRPr="00740BA4">
        <w:rPr>
          <w:rFonts w:ascii="Palatino Linotype" w:eastAsia="Calibri" w:hAnsi="Palatino Linotype" w:cs="Arial"/>
          <w:color w:val="000000" w:themeColor="text1"/>
        </w:rPr>
        <w:t>en términos del artículo 3</w:t>
      </w:r>
      <w:r w:rsidR="00630B0D">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fracción X</w:t>
      </w:r>
      <w:r w:rsidR="00630B0D">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740BA4"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07BD591E" w:rsidR="00740BA4" w:rsidRPr="00855985" w:rsidRDefault="00E9553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Luego </w:t>
      </w:r>
      <w:r w:rsidRPr="00A85CB7">
        <w:rPr>
          <w:rFonts w:ascii="Palatino Linotype" w:hAnsi="Palatino Linotype"/>
          <w:color w:val="000000" w:themeColor="text1"/>
        </w:rPr>
        <w:t xml:space="preserve">entonces, si el presente recurso de revisión fue interpuesto el </w:t>
      </w:r>
      <w:r w:rsidR="001F0A72">
        <w:rPr>
          <w:rFonts w:ascii="Palatino Linotype" w:hAnsi="Palatino Linotype"/>
          <w:color w:val="000000" w:themeColor="text1"/>
        </w:rPr>
        <w:t>cinco (05) de octubre</w:t>
      </w:r>
      <w:r w:rsidR="00CC0B3A">
        <w:rPr>
          <w:rFonts w:ascii="Palatino Linotype" w:hAnsi="Palatino Linotype"/>
          <w:color w:val="000000" w:themeColor="text1"/>
        </w:rPr>
        <w:t xml:space="preserve"> </w:t>
      </w:r>
      <w:r w:rsidRPr="00A85CB7">
        <w:rPr>
          <w:rFonts w:ascii="Palatino Linotype" w:hAnsi="Palatino Linotype"/>
          <w:color w:val="000000" w:themeColor="text1"/>
        </w:rPr>
        <w:t xml:space="preserve">de dos mil </w:t>
      </w:r>
      <w:r>
        <w:rPr>
          <w:rFonts w:ascii="Palatino Linotype" w:hAnsi="Palatino Linotype"/>
          <w:color w:val="000000" w:themeColor="text1"/>
        </w:rPr>
        <w:t>veintiuno</w:t>
      </w:r>
      <w:r w:rsidRPr="00A85CB7">
        <w:rPr>
          <w:rFonts w:ascii="Palatino Linotype" w:hAnsi="Palatino Linotype"/>
          <w:color w:val="000000" w:themeColor="text1"/>
        </w:rPr>
        <w:t>, éste</w:t>
      </w:r>
      <w:r w:rsidRPr="00A85CB7">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A85CB7">
        <w:rPr>
          <w:rFonts w:ascii="Palatino Linotype" w:hAnsi="Palatino Linotype" w:cs="Arial"/>
          <w:b/>
          <w:color w:val="000000" w:themeColor="text1"/>
        </w:rPr>
        <w:t xml:space="preserve"> </w:t>
      </w:r>
      <w:r w:rsidRPr="00A85CB7">
        <w:rPr>
          <w:rFonts w:ascii="Palatino Linotype" w:hAnsi="Palatino Linotype" w:cs="Arial"/>
          <w:color w:val="000000" w:themeColor="text1"/>
        </w:rPr>
        <w:t>vigente.</w:t>
      </w:r>
    </w:p>
    <w:p w14:paraId="1511F63E" w14:textId="77777777" w:rsidR="00855985" w:rsidRPr="00855985" w:rsidRDefault="00855985" w:rsidP="0085598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5423FA3" w14:textId="62B4A214" w:rsidR="001F0A72"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Por </w:t>
      </w:r>
      <w:r w:rsidRPr="009C3AB1">
        <w:rPr>
          <w:rFonts w:ascii="Palatino Linotype" w:hAnsi="Palatino Linotype"/>
          <w:color w:val="000000" w:themeColor="text1"/>
          <w:lang w:val="es-ES"/>
        </w:rPr>
        <w:t xml:space="preserve">otro lado, de la revisión al expediente electrónico contenido en el sistema </w:t>
      </w:r>
      <w:r w:rsidRPr="009C3AB1">
        <w:rPr>
          <w:rFonts w:ascii="Palatino Linotype" w:hAnsi="Palatino Linotype"/>
          <w:b/>
          <w:color w:val="000000" w:themeColor="text1"/>
          <w:lang w:val="es-ES"/>
        </w:rPr>
        <w:t>SAIMEX,</w:t>
      </w:r>
      <w:r w:rsidRPr="009C3AB1">
        <w:rPr>
          <w:rFonts w:ascii="Palatino Linotype" w:hAnsi="Palatino Linotype"/>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Pr>
          <w:rFonts w:ascii="Palatino Linotype" w:hAnsi="Palatino Linotype"/>
          <w:b/>
          <w:color w:val="000000" w:themeColor="text1"/>
          <w:lang w:val="es-ES"/>
        </w:rPr>
        <w:t>no señaló ningún</w:t>
      </w:r>
      <w:r w:rsidRPr="009C3AB1">
        <w:rPr>
          <w:rFonts w:ascii="Palatino Linotype" w:hAnsi="Palatino Linotype"/>
          <w:b/>
          <w:color w:val="000000" w:themeColor="text1"/>
          <w:lang w:val="es-ES"/>
        </w:rPr>
        <w:t xml:space="preserve"> nombre</w:t>
      </w:r>
      <w:r>
        <w:rPr>
          <w:rFonts w:ascii="Palatino Linotype" w:hAnsi="Palatino Linotype"/>
          <w:b/>
          <w:color w:val="000000" w:themeColor="text1"/>
          <w:lang w:val="es-ES"/>
        </w:rPr>
        <w:t>, seudónimo o carácter</w:t>
      </w:r>
      <w:r w:rsidRPr="009C3AB1">
        <w:rPr>
          <w:rFonts w:ascii="Palatino Linotype" w:hAnsi="Palatino Linotype"/>
          <w:b/>
          <w:color w:val="000000" w:themeColor="text1"/>
          <w:lang w:val="es-ES"/>
        </w:rPr>
        <w:t xml:space="preserve"> para ser identificado</w:t>
      </w:r>
      <w:r>
        <w:rPr>
          <w:rFonts w:ascii="Palatino Linotype" w:hAnsi="Palatino Linotype"/>
          <w:b/>
          <w:color w:val="000000" w:themeColor="text1"/>
          <w:lang w:val="es-ES"/>
        </w:rPr>
        <w:t>, ni se tiene certeza sobre su identidad.</w:t>
      </w:r>
      <w:r w:rsidRPr="009C3AB1">
        <w:rPr>
          <w:rFonts w:ascii="Palatino Linotype" w:hAnsi="Palatino Linotype"/>
          <w:color w:val="000000" w:themeColor="text1"/>
          <w:lang w:val="es-ES"/>
        </w:rPr>
        <w:t xml:space="preserve"> </w:t>
      </w:r>
      <w:r>
        <w:rPr>
          <w:rFonts w:ascii="Palatino Linotype" w:hAnsi="Palatino Linotype"/>
          <w:color w:val="000000" w:themeColor="text1"/>
          <w:lang w:val="es-ES"/>
        </w:rPr>
        <w:t>S</w:t>
      </w:r>
      <w:r w:rsidRPr="009C3AB1">
        <w:rPr>
          <w:rFonts w:ascii="Palatino Linotype" w:hAnsi="Palatino Linotype"/>
          <w:color w:val="000000" w:themeColor="text1"/>
          <w:lang w:val="es-ES"/>
        </w:rPr>
        <w:t xml:space="preserve">in embargo, es importante señalar que </w:t>
      </w:r>
      <w:r w:rsidRPr="009C3AB1">
        <w:rPr>
          <w:rFonts w:ascii="Palatino Linotype" w:hAnsi="Palatino Linotype"/>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49902269"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3984F9F3" w14:textId="44323B80" w:rsidR="001F0A72" w:rsidRPr="009C3AB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Esto </w:t>
      </w:r>
      <w:r w:rsidRPr="005F1BAD">
        <w:rPr>
          <w:rFonts w:ascii="Palatino Linotype" w:hAnsi="Palatino Linotype" w:cs="Arial"/>
          <w:color w:val="000000" w:themeColor="text1"/>
          <w:lang w:val="es-ES"/>
        </w:rPr>
        <w:t xml:space="preserve">es así, ya que de conformidad con los artículos 6, apartado A, fracciones III y IV de la </w:t>
      </w:r>
      <w:r w:rsidRPr="005F1BAD">
        <w:rPr>
          <w:rFonts w:ascii="Palatino Linotype" w:hAnsi="Palatino Linotype" w:cs="Arial"/>
          <w:b/>
          <w:color w:val="000000" w:themeColor="text1"/>
          <w:lang w:val="es-ES"/>
        </w:rPr>
        <w:t>Constitución Política de los Estados Unidos Mexicanos</w:t>
      </w:r>
      <w:r w:rsidRPr="005F1BAD">
        <w:rPr>
          <w:rFonts w:ascii="Palatino Linotype" w:hAnsi="Palatino Linotype" w:cs="Arial"/>
          <w:color w:val="000000" w:themeColor="text1"/>
          <w:lang w:val="es-ES"/>
        </w:rPr>
        <w:t xml:space="preserve">; 5, párrafos </w:t>
      </w:r>
      <w:r w:rsidR="003D1C2D">
        <w:rPr>
          <w:rFonts w:ascii="Palatino Linotype" w:hAnsi="Palatino Linotype" w:cs="Arial"/>
          <w:color w:val="000000" w:themeColor="text1"/>
          <w:lang w:val="es-ES"/>
        </w:rPr>
        <w:t>trigésimo, trigésimo primero y trigésimo segundo</w:t>
      </w:r>
      <w:r w:rsidRPr="005F1BAD">
        <w:rPr>
          <w:rFonts w:ascii="Palatino Linotype" w:hAnsi="Palatino Linotype" w:cs="Arial"/>
          <w:color w:val="000000" w:themeColor="text1"/>
          <w:lang w:val="es-ES"/>
        </w:rPr>
        <w:t xml:space="preserve">, fracciones III, IV y V, de la </w:t>
      </w:r>
      <w:r w:rsidRPr="005F1BAD">
        <w:rPr>
          <w:rFonts w:ascii="Palatino Linotype" w:hAnsi="Palatino Linotype" w:cs="Arial"/>
          <w:b/>
          <w:color w:val="000000" w:themeColor="text1"/>
          <w:lang w:val="es-ES"/>
        </w:rPr>
        <w:lastRenderedPageBreak/>
        <w:t>Constitución Política del Estado Libre y Soberano de México</w:t>
      </w:r>
      <w:r w:rsidRPr="005F1BAD">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D75B705"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67FB0930" w14:textId="77777777" w:rsidR="001F0A72" w:rsidRPr="009C3AB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49C767E"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217A8383" w14:textId="77777777" w:rsidR="001F0A72" w:rsidRPr="009C3AB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7413F3DB"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3C7F0C66" w14:textId="77777777" w:rsidR="001F0A72" w:rsidRPr="009C3AB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10B77FF"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061076E5" w14:textId="600774C2" w:rsidR="001F0A72"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Por </w:t>
      </w:r>
      <w:r>
        <w:rPr>
          <w:rFonts w:ascii="Palatino Linotype" w:eastAsia="Calibri" w:hAnsi="Palatino Linotype" w:cs="Arial"/>
        </w:rPr>
        <w:t xml:space="preserve">lo tanto, </w:t>
      </w:r>
      <w:r w:rsidRPr="00F43C60">
        <w:rPr>
          <w:rFonts w:ascii="Palatino Linotype" w:eastAsia="Times New Roman" w:hAnsi="Palatino Linotype" w:cs="Arial"/>
          <w:color w:val="000000" w:themeColor="text1"/>
          <w:lang w:val="es-ES" w:eastAsia="es-MX"/>
        </w:rPr>
        <w:t xml:space="preserve">el nombre </w:t>
      </w:r>
      <w:r>
        <w:rPr>
          <w:rFonts w:ascii="Palatino Linotype" w:eastAsia="Times New Roman" w:hAnsi="Palatino Linotype" w:cs="Arial"/>
          <w:color w:val="000000" w:themeColor="text1"/>
          <w:lang w:val="es-ES" w:eastAsia="es-MX"/>
        </w:rPr>
        <w:t>de la</w:t>
      </w:r>
      <w:r w:rsidRPr="00F43C60">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w:t>
      </w:r>
      <w:r>
        <w:rPr>
          <w:rFonts w:ascii="Palatino Linotype" w:eastAsia="Times New Roman" w:hAnsi="Palatino Linotype" w:cs="Arial"/>
          <w:color w:val="000000" w:themeColor="text1"/>
          <w:lang w:val="es-ES" w:eastAsia="es-MX"/>
        </w:rPr>
        <w:t xml:space="preserve">como </w:t>
      </w:r>
      <w:r w:rsidRPr="00F43C60">
        <w:rPr>
          <w:rFonts w:ascii="Palatino Linotype" w:eastAsia="Times New Roman" w:hAnsi="Palatino Linotype" w:cs="Arial"/>
          <w:color w:val="000000" w:themeColor="text1"/>
          <w:lang w:val="es-ES" w:eastAsia="es-MX"/>
        </w:rPr>
        <w:t>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380D0C2" w14:textId="77777777" w:rsidR="001F0A72" w:rsidRPr="001F0A72"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52DD5993" w14:textId="2C36B6F4" w:rsidR="005F1362" w:rsidRPr="00751061"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esta Ponencia Resolutora advierte que </w:t>
      </w:r>
      <w:r w:rsidR="00540208" w:rsidRPr="00A85CB7">
        <w:rPr>
          <w:rFonts w:ascii="Palatino Linotype" w:eastAsia="Calibri" w:hAnsi="Palatino Linotype" w:cs="Arial"/>
          <w:color w:val="000000" w:themeColor="text1"/>
        </w:rPr>
        <w:t xml:space="preserve">el escrito contiene las formalidades previstas por el artículo 180 último párrafo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471F3709" w14:textId="77777777" w:rsidR="00103662" w:rsidRDefault="00103662" w:rsidP="00103662">
      <w:pPr>
        <w:pStyle w:val="Prrafodelista"/>
        <w:tabs>
          <w:tab w:val="left" w:pos="426"/>
        </w:tabs>
        <w:spacing w:line="360" w:lineRule="auto"/>
        <w:ind w:left="0"/>
        <w:jc w:val="both"/>
        <w:rPr>
          <w:rFonts w:ascii="Palatino Linotype" w:hAnsi="Palatino Linotype"/>
          <w:color w:val="000000" w:themeColor="text1"/>
        </w:rPr>
      </w:pPr>
    </w:p>
    <w:p w14:paraId="46BAB55A" w14:textId="77777777" w:rsidR="001F0A72" w:rsidRDefault="001F0A72" w:rsidP="00103662">
      <w:pPr>
        <w:pStyle w:val="Prrafodelista"/>
        <w:tabs>
          <w:tab w:val="left" w:pos="426"/>
        </w:tabs>
        <w:spacing w:line="360" w:lineRule="auto"/>
        <w:ind w:left="0"/>
        <w:jc w:val="both"/>
        <w:rPr>
          <w:rFonts w:ascii="Palatino Linotype" w:hAnsi="Palatino Linotype"/>
          <w:color w:val="000000" w:themeColor="text1"/>
        </w:rPr>
      </w:pPr>
    </w:p>
    <w:p w14:paraId="03CC209B" w14:textId="77777777" w:rsidR="001F0A72" w:rsidRPr="00103662" w:rsidRDefault="001F0A72"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A85CB7" w:rsidRDefault="00751061"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935045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Pr>
          <w:rFonts w:ascii="Palatino Linotype" w:hAnsi="Palatino Linotype"/>
          <w:b/>
          <w:color w:val="000000" w:themeColor="text1"/>
          <w:sz w:val="24"/>
          <w:szCs w:val="24"/>
        </w:rPr>
        <w:t>TERCERO</w:t>
      </w:r>
      <w:r w:rsidR="00C50A2B" w:rsidRPr="00A85CB7">
        <w:rPr>
          <w:rFonts w:ascii="Palatino Linotype" w:hAnsi="Palatino Linotype"/>
          <w:b/>
          <w:color w:val="000000" w:themeColor="text1"/>
          <w:sz w:val="24"/>
          <w:szCs w:val="24"/>
        </w:rPr>
        <w:t>. De</w:t>
      </w:r>
      <w:r w:rsidR="00AD76A1" w:rsidRPr="00A85CB7">
        <w:rPr>
          <w:rFonts w:ascii="Palatino Linotype" w:hAnsi="Palatino Linotype"/>
          <w:b/>
          <w:color w:val="000000" w:themeColor="text1"/>
          <w:sz w:val="24"/>
          <w:szCs w:val="24"/>
        </w:rPr>
        <w:t xml:space="preserve">l planteamiento de la </w:t>
      </w:r>
      <w:r w:rsidR="00AD76A1" w:rsidRPr="00A85CB7">
        <w:rPr>
          <w:rFonts w:ascii="Palatino Linotype" w:hAnsi="Palatino Linotype"/>
          <w:b/>
          <w:i/>
          <w:color w:val="000000" w:themeColor="text1"/>
          <w:sz w:val="24"/>
          <w:szCs w:val="24"/>
        </w:rPr>
        <w:t>Litis</w:t>
      </w:r>
      <w:r w:rsidR="00C50A2B" w:rsidRPr="00A85CB7">
        <w:rPr>
          <w:rFonts w:ascii="Palatino Linotype" w:hAnsi="Palatino Linotype"/>
          <w:b/>
          <w:color w:val="000000" w:themeColor="text1"/>
          <w:sz w:val="24"/>
          <w:szCs w:val="24"/>
        </w:rPr>
        <w:t>.</w:t>
      </w:r>
      <w:bookmarkEnd w:id="13"/>
      <w:bookmarkEnd w:id="14"/>
      <w:bookmarkEnd w:id="15"/>
    </w:p>
    <w:p w14:paraId="4231B8D5" w14:textId="77777777" w:rsidR="00540208" w:rsidRPr="00A85CB7" w:rsidRDefault="00540208" w:rsidP="00B31E90">
      <w:pPr>
        <w:rPr>
          <w:rFonts w:ascii="Palatino Linotype" w:hAnsi="Palatino Linotype"/>
          <w:color w:val="000000" w:themeColor="text1"/>
          <w:lang w:eastAsia="en-US"/>
        </w:rPr>
      </w:pPr>
    </w:p>
    <w:bookmarkEnd w:id="16"/>
    <w:bookmarkEnd w:id="17"/>
    <w:p w14:paraId="573B17A6" w14:textId="4F9ECC84" w:rsidR="00024BCC" w:rsidRDefault="00114309" w:rsidP="0034044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Se requirieron los expedientes de obras públicas relacionadas con cámaras de video vigilancia, o similar, del uno (01) de enero de dos mil veintitrés al diez (10) de septiembre de dos mil veintiuno</w:t>
      </w:r>
      <w:r w:rsidR="007E64B6" w:rsidRPr="00024BCC">
        <w:rPr>
          <w:rFonts w:ascii="Palatino Linotype" w:hAnsi="Palatino Linotype" w:cs="Arial"/>
          <w:color w:val="000000" w:themeColor="text1"/>
        </w:rPr>
        <w:t>.</w:t>
      </w:r>
      <w:r w:rsidR="00910076" w:rsidRPr="00024BCC">
        <w:rPr>
          <w:rFonts w:ascii="Palatino Linotype" w:hAnsi="Palatino Linotype" w:cs="Arial"/>
          <w:color w:val="000000" w:themeColor="text1"/>
        </w:rPr>
        <w:t xml:space="preserve"> El </w:t>
      </w:r>
      <w:r w:rsidR="00910076" w:rsidRPr="00024BCC">
        <w:rPr>
          <w:rFonts w:ascii="Palatino Linotype" w:hAnsi="Palatino Linotype" w:cs="Arial"/>
          <w:b/>
          <w:bCs/>
          <w:color w:val="000000" w:themeColor="text1"/>
        </w:rPr>
        <w:t>SUJETO OBLIGADO</w:t>
      </w:r>
      <w:r w:rsidR="00910076" w:rsidRPr="00024BCC">
        <w:rPr>
          <w:rFonts w:ascii="Palatino Linotype" w:hAnsi="Palatino Linotype" w:cs="Arial"/>
          <w:color w:val="000000" w:themeColor="text1"/>
        </w:rPr>
        <w:t xml:space="preserve"> </w:t>
      </w:r>
      <w:r w:rsidR="00A647D0">
        <w:rPr>
          <w:rFonts w:ascii="Palatino Linotype" w:hAnsi="Palatino Linotype" w:cs="Arial"/>
          <w:color w:val="000000" w:themeColor="text1"/>
        </w:rPr>
        <w:t>entregó un enlace para consultar la información a través de su portal de Información Pública de Oficio Mexiquense (IPOMEX)</w:t>
      </w:r>
      <w:r w:rsidR="00630B0D" w:rsidRPr="00024BCC">
        <w:rPr>
          <w:rFonts w:ascii="Palatino Linotype" w:hAnsi="Palatino Linotype" w:cs="Arial"/>
          <w:color w:val="000000" w:themeColor="text1"/>
        </w:rPr>
        <w:t>.</w:t>
      </w:r>
      <w:r w:rsidR="00024BCC">
        <w:rPr>
          <w:rFonts w:ascii="Palatino Linotype" w:hAnsi="Palatino Linotype" w:cs="Arial"/>
          <w:color w:val="000000" w:themeColor="text1"/>
        </w:rPr>
        <w:t xml:space="preserve"> </w:t>
      </w:r>
      <w:r w:rsidR="00826F38" w:rsidRPr="00024BCC">
        <w:rPr>
          <w:rFonts w:ascii="Palatino Linotype" w:hAnsi="Palatino Linotype" w:cs="Arial"/>
          <w:color w:val="000000" w:themeColor="text1"/>
        </w:rPr>
        <w:t xml:space="preserve">El particular impugnó </w:t>
      </w:r>
      <w:r w:rsidR="006A2EFB" w:rsidRPr="00024BCC">
        <w:rPr>
          <w:rFonts w:ascii="Palatino Linotype" w:hAnsi="Palatino Linotype" w:cs="Arial"/>
          <w:color w:val="000000" w:themeColor="text1"/>
        </w:rPr>
        <w:t>la respuesta</w:t>
      </w:r>
      <w:r w:rsidR="00826F38" w:rsidRPr="00024BCC">
        <w:rPr>
          <w:rFonts w:ascii="Palatino Linotype" w:hAnsi="Palatino Linotype" w:cs="Arial"/>
          <w:color w:val="000000" w:themeColor="text1"/>
        </w:rPr>
        <w:t xml:space="preserve"> mediante recurso de revisión, </w:t>
      </w:r>
      <w:r w:rsidR="006A2EFB" w:rsidRPr="00024BCC">
        <w:rPr>
          <w:rFonts w:ascii="Palatino Linotype" w:hAnsi="Palatino Linotype" w:cs="Arial"/>
          <w:color w:val="000000" w:themeColor="text1"/>
        </w:rPr>
        <w:t>en el que señaló</w:t>
      </w:r>
      <w:r w:rsidR="00826F38" w:rsidRPr="00024BCC">
        <w:rPr>
          <w:rFonts w:ascii="Palatino Linotype" w:hAnsi="Palatino Linotype" w:cs="Arial"/>
          <w:color w:val="000000" w:themeColor="text1"/>
        </w:rPr>
        <w:t xml:space="preserve"> por agravios</w:t>
      </w:r>
      <w:r w:rsidR="00910076" w:rsidRPr="00024BCC">
        <w:rPr>
          <w:rFonts w:ascii="Palatino Linotype" w:hAnsi="Palatino Linotype" w:cs="Arial"/>
          <w:color w:val="000000" w:themeColor="text1"/>
        </w:rPr>
        <w:t xml:space="preserve"> que</w:t>
      </w:r>
      <w:r w:rsidR="00826F38" w:rsidRPr="00024BCC">
        <w:rPr>
          <w:rFonts w:ascii="Palatino Linotype" w:hAnsi="Palatino Linotype" w:cs="Arial"/>
          <w:color w:val="000000" w:themeColor="text1"/>
        </w:rPr>
        <w:t xml:space="preserve"> </w:t>
      </w:r>
      <w:r w:rsidR="00A647D0">
        <w:rPr>
          <w:rFonts w:ascii="Palatino Linotype" w:hAnsi="Palatino Linotype" w:cs="Arial"/>
          <w:color w:val="000000" w:themeColor="text1"/>
        </w:rPr>
        <w:t>no se le entregó la información y que no se habían cumplido con los plazos.</w:t>
      </w:r>
    </w:p>
    <w:p w14:paraId="5A9A3D64" w14:textId="77777777" w:rsidR="00024BCC" w:rsidRDefault="00024BCC" w:rsidP="00024BCC">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0823C900" w:rsidR="001A032D" w:rsidRPr="00024BCC" w:rsidRDefault="001A032D" w:rsidP="0034044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24BCC">
        <w:rPr>
          <w:rFonts w:ascii="Palatino Linotype" w:hAnsi="Palatino Linotype" w:cs="Arial"/>
          <w:color w:val="000000" w:themeColor="text1"/>
        </w:rPr>
        <w:lastRenderedPageBreak/>
        <w:t xml:space="preserve">En ese sentido, </w:t>
      </w:r>
      <w:r w:rsidR="002E160F" w:rsidRPr="00024BCC">
        <w:rPr>
          <w:rFonts w:ascii="Palatino Linotype" w:hAnsi="Palatino Linotype" w:cs="Arial"/>
          <w:color w:val="000000" w:themeColor="text1"/>
        </w:rPr>
        <w:t xml:space="preserve">esta Ponencia Resolutora advierte que las razones o motivos de inconformidad manifestados por el </w:t>
      </w:r>
      <w:r w:rsidRPr="00024BCC">
        <w:rPr>
          <w:rFonts w:ascii="Palatino Linotype" w:hAnsi="Palatino Linotype" w:cs="Arial"/>
          <w:b/>
          <w:bCs/>
          <w:color w:val="000000" w:themeColor="text1"/>
        </w:rPr>
        <w:t>RECURRENTE</w:t>
      </w:r>
      <w:r w:rsidRPr="00024BCC">
        <w:rPr>
          <w:rFonts w:ascii="Palatino Linotype" w:hAnsi="Palatino Linotype" w:cs="Arial"/>
          <w:color w:val="000000" w:themeColor="text1"/>
        </w:rPr>
        <w:t xml:space="preserve"> </w:t>
      </w:r>
      <w:r w:rsidR="002E160F" w:rsidRPr="00024BCC">
        <w:rPr>
          <w:rFonts w:ascii="Palatino Linotype" w:hAnsi="Palatino Linotype" w:cs="Arial"/>
          <w:color w:val="000000" w:themeColor="text1"/>
        </w:rPr>
        <w:t>sugieren que la respuesta proporcionada</w:t>
      </w:r>
      <w:r w:rsidR="00B855AA" w:rsidRPr="00024BCC">
        <w:rPr>
          <w:rFonts w:ascii="Palatino Linotype" w:hAnsi="Palatino Linotype" w:cs="Arial"/>
          <w:color w:val="000000" w:themeColor="text1"/>
        </w:rPr>
        <w:t xml:space="preserve"> por el </w:t>
      </w:r>
      <w:r w:rsidR="00B855AA" w:rsidRPr="00024BCC">
        <w:rPr>
          <w:rFonts w:ascii="Palatino Linotype" w:hAnsi="Palatino Linotype" w:cs="Arial"/>
          <w:b/>
          <w:bCs/>
          <w:color w:val="000000" w:themeColor="text1"/>
        </w:rPr>
        <w:t>SUJETO OBLIGADO</w:t>
      </w:r>
      <w:r w:rsidR="00B855AA" w:rsidRPr="00024BCC">
        <w:rPr>
          <w:rFonts w:ascii="Palatino Linotype" w:hAnsi="Palatino Linotype" w:cs="Arial"/>
          <w:color w:val="000000" w:themeColor="text1"/>
        </w:rPr>
        <w:t xml:space="preserve"> no cumplió con </w:t>
      </w:r>
      <w:r w:rsidR="008F7752" w:rsidRPr="00024BCC">
        <w:rPr>
          <w:rFonts w:ascii="Palatino Linotype" w:hAnsi="Palatino Linotype" w:cs="Arial"/>
          <w:color w:val="000000" w:themeColor="text1"/>
        </w:rPr>
        <w:t>los</w:t>
      </w:r>
      <w:r w:rsidR="00B855AA" w:rsidRPr="00024BCC">
        <w:rPr>
          <w:rFonts w:ascii="Palatino Linotype" w:hAnsi="Palatino Linotype" w:cs="Arial"/>
          <w:color w:val="000000" w:themeColor="text1"/>
        </w:rPr>
        <w:t xml:space="preserve"> principio</w:t>
      </w:r>
      <w:r w:rsidR="008F7752" w:rsidRPr="00024BCC">
        <w:rPr>
          <w:rFonts w:ascii="Palatino Linotype" w:hAnsi="Palatino Linotype" w:cs="Arial"/>
          <w:color w:val="000000" w:themeColor="text1"/>
        </w:rPr>
        <w:t>s</w:t>
      </w:r>
      <w:r w:rsidR="00B855AA" w:rsidRPr="00024BCC">
        <w:rPr>
          <w:rFonts w:ascii="Palatino Linotype" w:hAnsi="Palatino Linotype" w:cs="Arial"/>
          <w:color w:val="000000" w:themeColor="text1"/>
        </w:rPr>
        <w:t xml:space="preserve"> contendido</w:t>
      </w:r>
      <w:r w:rsidR="008F7752" w:rsidRPr="00024BCC">
        <w:rPr>
          <w:rFonts w:ascii="Palatino Linotype" w:hAnsi="Palatino Linotype" w:cs="Arial"/>
          <w:color w:val="000000" w:themeColor="text1"/>
        </w:rPr>
        <w:t>s</w:t>
      </w:r>
      <w:r w:rsidR="00B855AA" w:rsidRPr="00024BCC">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024BCC">
        <w:rPr>
          <w:rFonts w:ascii="Palatino Linotype" w:hAnsi="Palatino Linotype" w:cs="Arial"/>
          <w:color w:val="000000" w:themeColor="text1"/>
        </w:rPr>
        <w:t>os</w:t>
      </w:r>
      <w:r w:rsidR="00B855AA" w:rsidRPr="00024BCC">
        <w:rPr>
          <w:rFonts w:ascii="Palatino Linotype" w:hAnsi="Palatino Linotype" w:cs="Arial"/>
          <w:color w:val="000000" w:themeColor="text1"/>
        </w:rPr>
        <w:t xml:space="preserve"> cual</w:t>
      </w:r>
      <w:r w:rsidR="008F7752" w:rsidRPr="00024BCC">
        <w:rPr>
          <w:rFonts w:ascii="Palatino Linotype" w:hAnsi="Palatino Linotype" w:cs="Arial"/>
          <w:color w:val="000000" w:themeColor="text1"/>
        </w:rPr>
        <w:t>es</w:t>
      </w:r>
      <w:r w:rsidR="00B855AA" w:rsidRPr="00024BCC">
        <w:rPr>
          <w:rFonts w:ascii="Palatino Linotype" w:hAnsi="Palatino Linotype" w:cs="Arial"/>
          <w:color w:val="000000" w:themeColor="text1"/>
        </w:rPr>
        <w:t xml:space="preserve"> señala</w:t>
      </w:r>
      <w:r w:rsidR="008F7752" w:rsidRPr="00024BCC">
        <w:rPr>
          <w:rFonts w:ascii="Palatino Linotype" w:hAnsi="Palatino Linotype" w:cs="Arial"/>
          <w:color w:val="000000" w:themeColor="text1"/>
        </w:rPr>
        <w:t>n</w:t>
      </w:r>
      <w:r w:rsidR="00B855AA" w:rsidRPr="00024BCC">
        <w:rPr>
          <w:rFonts w:ascii="Palatino Linotype" w:hAnsi="Palatino Linotype" w:cs="Arial"/>
          <w:color w:val="000000" w:themeColor="text1"/>
        </w:rPr>
        <w:t xml:space="preserve"> que en la generación, publicación y entrega de información se deberá garantizar que ésta </w:t>
      </w:r>
      <w:r w:rsidR="00C51671" w:rsidRPr="00024BCC">
        <w:rPr>
          <w:rFonts w:ascii="Palatino Linotype" w:hAnsi="Palatino Linotype" w:cs="Arial"/>
          <w:color w:val="000000" w:themeColor="text1"/>
        </w:rPr>
        <w:t>sea</w:t>
      </w:r>
      <w:r w:rsidR="00B855AA" w:rsidRPr="00024BCC">
        <w:rPr>
          <w:rFonts w:ascii="Palatino Linotype" w:hAnsi="Palatino Linotype" w:cs="Arial"/>
          <w:color w:val="000000" w:themeColor="text1"/>
        </w:rPr>
        <w:t xml:space="preserve"> </w:t>
      </w:r>
      <w:r w:rsidR="00A647D0">
        <w:rPr>
          <w:rFonts w:ascii="Palatino Linotype" w:hAnsi="Palatino Linotype" w:cs="Arial"/>
          <w:b/>
          <w:bCs/>
          <w:color w:val="000000" w:themeColor="text1"/>
        </w:rPr>
        <w:t xml:space="preserve">accesible </w:t>
      </w:r>
      <w:r w:rsidR="00024BCC" w:rsidRPr="00024BCC">
        <w:rPr>
          <w:rFonts w:ascii="Palatino Linotype" w:hAnsi="Palatino Linotype" w:cs="Arial"/>
          <w:bCs/>
          <w:color w:val="000000" w:themeColor="text1"/>
        </w:rPr>
        <w:t>y</w:t>
      </w:r>
      <w:r w:rsidR="00024BCC">
        <w:rPr>
          <w:rFonts w:ascii="Palatino Linotype" w:hAnsi="Palatino Linotype" w:cs="Arial"/>
          <w:b/>
          <w:bCs/>
          <w:color w:val="000000" w:themeColor="text1"/>
        </w:rPr>
        <w:t xml:space="preserve"> </w:t>
      </w:r>
      <w:r w:rsidR="00A647D0">
        <w:rPr>
          <w:rFonts w:ascii="Palatino Linotype" w:hAnsi="Palatino Linotype" w:cs="Arial"/>
          <w:b/>
          <w:bCs/>
          <w:color w:val="000000" w:themeColor="text1"/>
        </w:rPr>
        <w:t>expedita</w:t>
      </w:r>
      <w:r w:rsidR="00B855AA" w:rsidRPr="00024BCC">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7EEF7116"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la respuesta 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 xml:space="preserve">colma el derecho de acceso a la información ejercido por el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xml:space="preserve">; o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2C6561">
        <w:rPr>
          <w:rFonts w:ascii="Palatino Linotype" w:hAnsi="Palatino Linotype" w:cs="Arial"/>
          <w:color w:val="000000" w:themeColor="text1"/>
          <w:szCs w:val="23"/>
        </w:rPr>
        <w:t>I</w:t>
      </w:r>
      <w:r w:rsidR="00390D23">
        <w:rPr>
          <w:rFonts w:ascii="Palatino Linotype" w:hAnsi="Palatino Linotype" w:cs="Arial"/>
          <w:color w:val="000000" w:themeColor="text1"/>
          <w:szCs w:val="23"/>
        </w:rPr>
        <w:t xml:space="preserve"> </w:t>
      </w:r>
      <w:r w:rsidR="00C51671">
        <w:rPr>
          <w:rFonts w:ascii="Palatino Linotype" w:hAnsi="Palatino Linotype" w:cs="Arial"/>
          <w:color w:val="000000" w:themeColor="text1"/>
          <w:szCs w:val="23"/>
        </w:rPr>
        <w:t xml:space="preserve">y </w:t>
      </w:r>
      <w:r w:rsidR="00024BCC">
        <w:rPr>
          <w:rFonts w:ascii="Palatino Linotype" w:hAnsi="Palatino Linotype" w:cs="Arial"/>
          <w:color w:val="000000" w:themeColor="text1"/>
          <w:szCs w:val="23"/>
        </w:rPr>
        <w:t>XIII</w:t>
      </w:r>
      <w:r w:rsidR="00C15F97" w:rsidRPr="00A85CB7">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C51671" w:rsidRDefault="00C51671" w:rsidP="00B31E90">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I.</w:t>
      </w:r>
      <w:r>
        <w:rPr>
          <w:rFonts w:ascii="Palatino Linotype" w:hAnsi="Palatino Linotype"/>
          <w:i/>
          <w:color w:val="000000" w:themeColor="text1"/>
          <w:sz w:val="22"/>
        </w:rPr>
        <w:t xml:space="preserve"> La negativa a la información solicitada;</w:t>
      </w:r>
    </w:p>
    <w:p w14:paraId="34DC33E5" w14:textId="6743AE97" w:rsidR="008F7752" w:rsidRDefault="00515DEC" w:rsidP="008F7752">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p>
    <w:p w14:paraId="2A8DC18E" w14:textId="4A2B5667" w:rsidR="008F7752" w:rsidRPr="008F7752" w:rsidRDefault="00A647D0" w:rsidP="008F7752">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VIII</w:t>
      </w:r>
      <w:r w:rsidR="008F7752">
        <w:rPr>
          <w:rFonts w:ascii="Palatino Linotype" w:hAnsi="Palatino Linotype"/>
          <w:b/>
          <w:bCs/>
          <w:i/>
          <w:color w:val="000000" w:themeColor="text1"/>
          <w:sz w:val="22"/>
        </w:rPr>
        <w:t>.</w:t>
      </w:r>
      <w:r w:rsidR="008F7752">
        <w:rPr>
          <w:rFonts w:ascii="Palatino Linotype" w:hAnsi="Palatino Linotype"/>
          <w:i/>
          <w:color w:val="000000" w:themeColor="text1"/>
          <w:sz w:val="22"/>
        </w:rPr>
        <w:t xml:space="preserve"> La </w:t>
      </w:r>
      <w:r>
        <w:rPr>
          <w:rFonts w:ascii="Palatino Linotype" w:hAnsi="Palatino Linotype"/>
          <w:i/>
          <w:color w:val="000000" w:themeColor="text1"/>
          <w:sz w:val="22"/>
        </w:rPr>
        <w:t>notificación, entrega o puesta a disposición de información en una modalidad o formato d</w:t>
      </w:r>
    </w:p>
    <w:p w14:paraId="4FCA9B3F" w14:textId="04527850" w:rsidR="00515DEC" w:rsidRPr="00A85CB7" w:rsidRDefault="008F7752" w:rsidP="00390D23">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A073A0" w:rsidRPr="00A85CB7">
        <w:rPr>
          <w:rFonts w:ascii="Palatino Linotype" w:hAnsi="Palatino Linotype"/>
          <w:i/>
          <w:color w:val="000000" w:themeColor="text1"/>
          <w:sz w:val="22"/>
        </w:rPr>
        <w:t>”</w:t>
      </w:r>
    </w:p>
    <w:p w14:paraId="1C5AB6B5" w14:textId="46B28510" w:rsidR="009F1566" w:rsidRDefault="009F1566" w:rsidP="00F96156">
      <w:pPr>
        <w:pStyle w:val="Ttulo2"/>
        <w:tabs>
          <w:tab w:val="left" w:pos="426"/>
        </w:tabs>
        <w:rPr>
          <w:rFonts w:ascii="Palatino Linotype" w:hAnsi="Palatino Linotype" w:cs="Arial"/>
          <w:b/>
          <w:color w:val="FF0000"/>
          <w:sz w:val="24"/>
        </w:rPr>
      </w:pPr>
    </w:p>
    <w:p w14:paraId="39915D71" w14:textId="77777777" w:rsidR="00340445" w:rsidRPr="00340445" w:rsidRDefault="00340445" w:rsidP="00340445">
      <w:pPr>
        <w:rPr>
          <w:lang w:eastAsia="en-US"/>
        </w:rPr>
      </w:pPr>
    </w:p>
    <w:p w14:paraId="5CEC2F48" w14:textId="21F2B653" w:rsidR="00EF014A" w:rsidRPr="00A85CB7" w:rsidRDefault="00751061" w:rsidP="00F96156">
      <w:pPr>
        <w:pStyle w:val="Ttulo2"/>
        <w:tabs>
          <w:tab w:val="left" w:pos="426"/>
        </w:tabs>
        <w:rPr>
          <w:rFonts w:ascii="Palatino Linotype" w:hAnsi="Palatino Linotype" w:cs="Arial"/>
          <w:b/>
          <w:color w:val="000000" w:themeColor="text1"/>
          <w:sz w:val="24"/>
        </w:rPr>
      </w:pPr>
      <w:bookmarkStart w:id="23" w:name="_Toc89350459"/>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3"/>
    </w:p>
    <w:p w14:paraId="481D9FB1" w14:textId="6B443AD7" w:rsidR="00A55D2B" w:rsidRPr="00A55D2B" w:rsidRDefault="00A55D2B"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4" w:name="_Toc89350460"/>
      <w:bookmarkStart w:id="25" w:name="_Toc466371865"/>
      <w:bookmarkStart w:id="26" w:name="_Toc466377653"/>
      <w:bookmarkEnd w:id="18"/>
      <w:bookmarkEnd w:id="19"/>
      <w:bookmarkEnd w:id="20"/>
      <w:bookmarkEnd w:id="21"/>
      <w:bookmarkEnd w:id="22"/>
      <w:r>
        <w:rPr>
          <w:rFonts w:ascii="Palatino Linotype" w:hAnsi="Palatino Linotype"/>
          <w:b/>
          <w:bCs/>
          <w:color w:val="000000" w:themeColor="text1"/>
        </w:rPr>
        <w:t xml:space="preserve">I. Del deber de las autoridades de promover, respetar, proteger y garantizar el derecho de acceso </w:t>
      </w:r>
      <w:r w:rsidR="00DA2D95">
        <w:rPr>
          <w:rFonts w:ascii="Palatino Linotype" w:hAnsi="Palatino Linotype"/>
          <w:b/>
          <w:bCs/>
          <w:color w:val="000000" w:themeColor="text1"/>
        </w:rPr>
        <w:t>a la información pública.</w:t>
      </w:r>
      <w:bookmarkEnd w:id="24"/>
    </w:p>
    <w:p w14:paraId="6E5EF818"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D3EE781" w14:textId="19E45090" w:rsidR="005937BC" w:rsidRPr="0055159A"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Es </w:t>
      </w:r>
      <w:r w:rsidR="0055159A">
        <w:rPr>
          <w:rFonts w:ascii="Palatino Linotype" w:hAnsi="Palatino Linotype"/>
          <w:color w:val="000000" w:themeColor="text1"/>
        </w:rPr>
        <w:t>menester precisar</w:t>
      </w:r>
      <w:r w:rsidRPr="00DA2D95">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A2D95">
        <w:rPr>
          <w:rFonts w:ascii="Palatino Linotype" w:hAnsi="Palatino Linotype"/>
          <w:b/>
          <w:bCs/>
          <w:color w:val="000000" w:themeColor="text1"/>
        </w:rPr>
        <w:t>SUJETO OBLIGADO</w:t>
      </w:r>
      <w:r w:rsidRPr="00DA2D95">
        <w:rPr>
          <w:rFonts w:ascii="Palatino Linotype" w:hAnsi="Palatino Linotype"/>
          <w:bCs/>
          <w:color w:val="000000" w:themeColor="text1"/>
        </w:rPr>
        <w:t xml:space="preserve"> debe ser cuidadoso del debido cumplimiento de las obligaciones con</w:t>
      </w:r>
      <w:r w:rsidR="00C928FD">
        <w:rPr>
          <w:rFonts w:ascii="Palatino Linotype" w:hAnsi="Palatino Linotype"/>
          <w:bCs/>
          <w:color w:val="000000" w:themeColor="text1"/>
        </w:rPr>
        <w:t>stitucionales que se le imponen;</w:t>
      </w:r>
      <w:r w:rsidRPr="00DA2D95">
        <w:rPr>
          <w:rFonts w:ascii="Palatino Linotype" w:hAnsi="Palatino Linotype"/>
          <w:bCs/>
          <w:color w:val="000000" w:themeColor="text1"/>
        </w:rPr>
        <w:t xml:space="preserve"> en consecuencia, a todas las autoridades, en el ámbito de su competencia, según lo dispone el tercer párrafo del artículo primero de la </w:t>
      </w:r>
      <w:r w:rsidRPr="00DA2D95">
        <w:rPr>
          <w:rFonts w:ascii="Palatino Linotype" w:hAnsi="Palatino Linotype"/>
          <w:b/>
          <w:bCs/>
          <w:color w:val="000000" w:themeColor="text1"/>
        </w:rPr>
        <w:t>Constitución Política de los Estados Unidos Mexicanos</w:t>
      </w:r>
      <w:r w:rsidR="00C928FD">
        <w:rPr>
          <w:rFonts w:ascii="Palatino Linotype" w:hAnsi="Palatino Linotype"/>
          <w:bCs/>
          <w:color w:val="000000" w:themeColor="text1"/>
        </w:rPr>
        <w:t>, tienen</w:t>
      </w:r>
      <w:r w:rsidRPr="00DA2D95">
        <w:rPr>
          <w:rFonts w:ascii="Palatino Linotype" w:hAnsi="Palatino Linotype"/>
          <w:b/>
          <w:bCs/>
          <w:color w:val="000000" w:themeColor="text1"/>
        </w:rPr>
        <w:t xml:space="preserve"> </w:t>
      </w:r>
      <w:r w:rsidRPr="00DA2D95">
        <w:rPr>
          <w:rFonts w:ascii="Palatino Linotype" w:hAnsi="Palatino Linotype"/>
          <w:bCs/>
          <w:color w:val="000000" w:themeColor="text1"/>
        </w:rPr>
        <w:t xml:space="preserve">la obligación de “promover, </w:t>
      </w:r>
      <w:r w:rsidRPr="00DA2D95">
        <w:rPr>
          <w:rFonts w:ascii="Palatino Linotype" w:hAnsi="Palatino Linotype"/>
          <w:b/>
          <w:bCs/>
          <w:color w:val="000000" w:themeColor="text1"/>
        </w:rPr>
        <w:t>respetar</w:t>
      </w:r>
      <w:r w:rsidRPr="00DA2D95">
        <w:rPr>
          <w:rFonts w:ascii="Palatino Linotype" w:hAnsi="Palatino Linotype"/>
          <w:bCs/>
          <w:color w:val="000000" w:themeColor="text1"/>
        </w:rPr>
        <w:t xml:space="preserve">, proteger y </w:t>
      </w:r>
      <w:r w:rsidRPr="00DA2D95">
        <w:rPr>
          <w:rFonts w:ascii="Palatino Linotype" w:hAnsi="Palatino Linotype"/>
          <w:b/>
          <w:bCs/>
          <w:color w:val="000000" w:themeColor="text1"/>
        </w:rPr>
        <w:t>garantizar</w:t>
      </w:r>
      <w:r w:rsidRPr="00DA2D95">
        <w:rPr>
          <w:rFonts w:ascii="Palatino Linotype" w:hAnsi="Palatino Linotype"/>
          <w:bCs/>
          <w:color w:val="000000" w:themeColor="text1"/>
        </w:rPr>
        <w:t xml:space="preserve"> los derechos humanos”, entre los cuales se encuentra dicho derecho.</w:t>
      </w:r>
    </w:p>
    <w:p w14:paraId="30DF4DA3" w14:textId="77777777" w:rsidR="0055159A" w:rsidRPr="0055159A" w:rsidRDefault="0055159A" w:rsidP="0055159A">
      <w:pPr>
        <w:pStyle w:val="Prrafodelista"/>
        <w:tabs>
          <w:tab w:val="left" w:pos="426"/>
        </w:tabs>
        <w:spacing w:before="240" w:after="240" w:line="360" w:lineRule="auto"/>
        <w:ind w:left="0" w:right="51"/>
        <w:jc w:val="both"/>
        <w:rPr>
          <w:rFonts w:ascii="Palatino Linotype" w:hAnsi="Palatino Linotype"/>
          <w:color w:val="000000" w:themeColor="text1"/>
        </w:rPr>
      </w:pPr>
    </w:p>
    <w:p w14:paraId="4827C937" w14:textId="30BDB510" w:rsidR="00A55D2B"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DA2D95">
        <w:rPr>
          <w:rFonts w:ascii="Palatino Linotype" w:hAnsi="Palatino Linotype"/>
          <w:color w:val="000000" w:themeColor="text1"/>
        </w:rPr>
        <w:t>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ABCDF96"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A4CB91B" w14:textId="05CBC681" w:rsidR="00A55D2B"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Así las cosas</w:t>
      </w:r>
      <w:r w:rsidR="00DA2D95">
        <w:rPr>
          <w:rFonts w:ascii="Palatino Linotype" w:hAnsi="Palatino Linotype"/>
          <w:color w:val="000000" w:themeColor="text1"/>
        </w:rPr>
        <w:t xml:space="preserve">, </w:t>
      </w:r>
      <w:r w:rsidR="00DA2D95" w:rsidRPr="00DA2D95">
        <w:rPr>
          <w:rFonts w:ascii="Palatino Linotype" w:hAnsi="Palatino Linotype"/>
          <w:color w:val="000000" w:themeColor="text1"/>
        </w:rPr>
        <w:t xml:space="preserve">podemos definir el Derecho de Acceso a la Información Pública como: </w:t>
      </w:r>
      <w:r w:rsidR="00DA2D95" w:rsidRPr="00DA2D95">
        <w:rPr>
          <w:rFonts w:ascii="Palatino Linotype" w:hAnsi="Palatino Linotype"/>
          <w:i/>
          <w:color w:val="000000" w:themeColor="text1"/>
        </w:rPr>
        <w:t>La igualdad de oportunidades para recibir, buscar e impartir información</w:t>
      </w:r>
      <w:r w:rsidR="00DA2D95" w:rsidRPr="00DA2D95">
        <w:rPr>
          <w:rFonts w:ascii="Palatino Linotype" w:hAnsi="Palatino Linotype"/>
          <w:i/>
          <w:color w:val="000000" w:themeColor="text1"/>
          <w:vertAlign w:val="superscript"/>
        </w:rPr>
        <w:footnoteReference w:id="1"/>
      </w:r>
      <w:r w:rsidR="00DA2D95" w:rsidRPr="00DA2D95">
        <w:rPr>
          <w:rFonts w:ascii="Palatino Linotype" w:hAnsi="Palatino Linotype"/>
          <w:i/>
          <w:color w:val="000000" w:themeColor="text1"/>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00DA2D95" w:rsidRPr="00DA2D95">
        <w:rPr>
          <w:rFonts w:ascii="Palatino Linotype" w:hAnsi="Palatino Linotype"/>
          <w:i/>
          <w:color w:val="000000" w:themeColor="text1"/>
        </w:rPr>
        <w:lastRenderedPageBreak/>
        <w:t>actos de autoridad en el ámbito federal, estatal y municipal,</w:t>
      </w:r>
      <w:r w:rsidR="00DA2D95" w:rsidRPr="00DA2D95">
        <w:rPr>
          <w:rFonts w:ascii="Palatino Linotype" w:hAnsi="Palatino Linotype"/>
          <w:i/>
          <w:color w:val="000000" w:themeColor="text1"/>
          <w:vertAlign w:val="superscript"/>
        </w:rPr>
        <w:footnoteReference w:id="2"/>
      </w:r>
      <w:r w:rsidR="00DA2D95" w:rsidRPr="00DA2D95">
        <w:rPr>
          <w:rFonts w:ascii="Palatino Linotype" w:hAnsi="Palatino Linotype"/>
          <w:color w:val="000000" w:themeColor="text1"/>
        </w:rPr>
        <w:t>que se constituye como una herramienta fundamental para ejercer</w:t>
      </w:r>
      <w:r w:rsidR="00DA2D95"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00DA2D95" w:rsidRPr="00DA2D95">
        <w:rPr>
          <w:rFonts w:ascii="Palatino Linotype" w:hAnsi="Palatino Linotype"/>
          <w:i/>
          <w:color w:val="000000" w:themeColor="text1"/>
          <w:vertAlign w:val="superscript"/>
        </w:rPr>
        <w:footnoteReference w:id="3"/>
      </w:r>
      <w:r w:rsidR="00DA2D95" w:rsidRPr="00DA2D95">
        <w:rPr>
          <w:rFonts w:ascii="Palatino Linotype" w:hAnsi="Palatino Linotype"/>
          <w:i/>
          <w:color w:val="000000" w:themeColor="text1"/>
        </w:rPr>
        <w:t xml:space="preserve"> </w:t>
      </w:r>
      <w:r w:rsidR="00DA2D95" w:rsidRPr="00DA2D95">
        <w:rPr>
          <w:rFonts w:ascii="Palatino Linotype" w:hAnsi="Palatino Linotype"/>
          <w:color w:val="000000" w:themeColor="text1"/>
        </w:rPr>
        <w:t>fomentando</w:t>
      </w:r>
      <w:r w:rsidR="00DA2D95" w:rsidRPr="00DA2D95">
        <w:rPr>
          <w:rFonts w:ascii="Palatino Linotype" w:hAnsi="Palatino Linotype"/>
          <w:i/>
          <w:color w:val="000000" w:themeColor="text1"/>
        </w:rPr>
        <w:t xml:space="preserve"> la transparencia de las actividades estatales y </w:t>
      </w:r>
      <w:r w:rsidR="00DA2D95" w:rsidRPr="00DA2D95">
        <w:rPr>
          <w:rFonts w:ascii="Palatino Linotype" w:hAnsi="Palatino Linotype"/>
          <w:color w:val="000000" w:themeColor="text1"/>
        </w:rPr>
        <w:t>promoviendo</w:t>
      </w:r>
      <w:r w:rsidR="00DA2D95" w:rsidRPr="00DA2D95">
        <w:rPr>
          <w:rFonts w:ascii="Palatino Linotype" w:hAnsi="Palatino Linotype"/>
          <w:i/>
          <w:color w:val="000000" w:themeColor="text1"/>
        </w:rPr>
        <w:t xml:space="preserve"> la responsabilidad de los funcionarios sobre su gestión pública,</w:t>
      </w:r>
      <w:r w:rsidR="00DA2D95" w:rsidRPr="00DA2D95">
        <w:rPr>
          <w:rFonts w:ascii="Palatino Linotype" w:hAnsi="Palatino Linotype"/>
          <w:i/>
          <w:color w:val="000000" w:themeColor="text1"/>
          <w:vertAlign w:val="superscript"/>
        </w:rPr>
        <w:footnoteReference w:id="4"/>
      </w:r>
      <w:r w:rsidR="00DA2D95" w:rsidRPr="00DA2D95">
        <w:rPr>
          <w:rFonts w:ascii="Palatino Linotype" w:hAnsi="Palatino Linotype"/>
          <w:color w:val="000000" w:themeColor="text1"/>
        </w:rPr>
        <w:t>que permite</w:t>
      </w:r>
      <w:r w:rsidR="00DA2D95"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9547B95"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8471CFD" w14:textId="612A17CB" w:rsidR="00A55D2B"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otro lado</w:t>
      </w:r>
      <w:r w:rsidR="0055159A">
        <w:rPr>
          <w:rFonts w:ascii="Palatino Linotype" w:hAnsi="Palatino Linotype"/>
          <w:color w:val="000000" w:themeColor="text1"/>
        </w:rPr>
        <w:t xml:space="preserve">, </w:t>
      </w:r>
      <w:r w:rsidR="0055159A" w:rsidRPr="0055159A">
        <w:rPr>
          <w:rFonts w:ascii="Palatino Linotype" w:hAnsi="Palatino Linotype"/>
          <w:color w:val="000000" w:themeColor="text1"/>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C204A57" w14:textId="2E13BFC4"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39E5242D" w:rsidR="00DA2D95" w:rsidRPr="00DA2D95" w:rsidRDefault="00FC03FD"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7" w:name="_Toc89350461"/>
      <w:r>
        <w:rPr>
          <w:rFonts w:ascii="Palatino Linotype" w:hAnsi="Palatino Linotype"/>
          <w:b/>
          <w:bCs/>
          <w:color w:val="000000" w:themeColor="text1"/>
        </w:rPr>
        <w:t>II. Del trámite y respuesta</w:t>
      </w:r>
      <w:r w:rsidR="00D00269">
        <w:rPr>
          <w:rFonts w:ascii="Palatino Linotype" w:hAnsi="Palatino Linotype"/>
          <w:b/>
          <w:bCs/>
          <w:color w:val="000000" w:themeColor="text1"/>
        </w:rPr>
        <w:t xml:space="preserve"> a la solicitud de información</w:t>
      </w:r>
      <w:r w:rsidR="00DA2D95">
        <w:rPr>
          <w:rFonts w:ascii="Palatino Linotype" w:hAnsi="Palatino Linotype"/>
          <w:b/>
          <w:bCs/>
          <w:color w:val="000000" w:themeColor="text1"/>
        </w:rPr>
        <w:t>.</w:t>
      </w:r>
      <w:bookmarkEnd w:id="27"/>
    </w:p>
    <w:p w14:paraId="47DD46B3" w14:textId="77777777" w:rsidR="00DA2D95"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3DD2D82" w14:textId="292C3DD0" w:rsidR="00FC03FD" w:rsidRPr="00BC7E69"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La Ley </w:t>
      </w:r>
      <w:r w:rsidRPr="00A44BE6">
        <w:rPr>
          <w:rFonts w:ascii="Palatino Linotype" w:hAnsi="Palatino Linotype"/>
          <w:color w:val="000000" w:themeColor="text1"/>
        </w:rPr>
        <w:t>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7279B8E"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458793CB" w14:textId="77777777" w:rsidR="00FC03FD" w:rsidRPr="00BC7E69"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956116">
        <w:rPr>
          <w:rFonts w:ascii="Palatino Linotype" w:hAnsi="Palatino Linotype" w:cs="Arial"/>
        </w:rPr>
        <w:t xml:space="preserve">atender las solicitudes de información, los Sujetos Obligados contarán con un área denominada </w:t>
      </w:r>
      <w:r w:rsidRPr="00956116">
        <w:rPr>
          <w:rFonts w:ascii="Palatino Linotype" w:hAnsi="Palatino Linotype" w:cs="Arial"/>
          <w:b/>
          <w:bCs/>
        </w:rPr>
        <w:t>Unidad de Transparencia</w:t>
      </w:r>
      <w:r w:rsidRPr="00956116">
        <w:rPr>
          <w:rFonts w:ascii="Palatino Linotype" w:hAnsi="Palatino Linotype" w:cs="Arial"/>
          <w:vertAlign w:val="superscript"/>
        </w:rPr>
        <w:footnoteReference w:id="5"/>
      </w:r>
      <w:r w:rsidRPr="00956116">
        <w:rPr>
          <w:rFonts w:ascii="Palatino Linotype" w:hAnsi="Palatino Linotype" w:cs="Arial"/>
        </w:rPr>
        <w:t xml:space="preserve">, la cual será presidida por un Titular, quien fungirá como enlace entre éstos y los solicitantes. Dicha Unidad </w:t>
      </w:r>
      <w:r w:rsidRPr="00956116">
        <w:rPr>
          <w:rFonts w:ascii="Palatino Linotype" w:hAnsi="Palatino Linotype" w:cs="Arial"/>
          <w:b/>
          <w:bCs/>
        </w:rPr>
        <w:t>será la encargada de tramitar internamente la solicitud de información</w:t>
      </w:r>
      <w:r w:rsidRPr="00956116">
        <w:rPr>
          <w:rFonts w:ascii="Palatino Linotype" w:hAnsi="Palatino Linotype" w:cs="Arial"/>
        </w:rPr>
        <w:t xml:space="preserve"> y tendrá la responsabilidad de verificar en cada caso que la misma no sea confidencial o reservada. Asimismo, contará con las facultades internas necesarias para </w:t>
      </w:r>
      <w:r w:rsidRPr="00956116">
        <w:rPr>
          <w:rFonts w:ascii="Palatino Linotype" w:hAnsi="Palatino Linotype" w:cs="Arial"/>
          <w:b/>
          <w:bCs/>
        </w:rPr>
        <w:t xml:space="preserve">gestionar la atención a las solicitudes de información </w:t>
      </w:r>
      <w:r w:rsidRPr="00956116">
        <w:rPr>
          <w:rFonts w:ascii="Palatino Linotype" w:hAnsi="Palatino Linotype" w:cs="Arial"/>
        </w:rPr>
        <w:t>en los términos de la Ley General y la Ley de Transparencia y Acceso a la Información Pública del Estado de México y Municipios</w:t>
      </w:r>
      <w:r w:rsidRPr="00956116">
        <w:rPr>
          <w:rFonts w:ascii="Palatino Linotype" w:hAnsi="Palatino Linotype" w:cs="Arial"/>
          <w:vertAlign w:val="superscript"/>
        </w:rPr>
        <w:footnoteReference w:id="6"/>
      </w:r>
      <w:r w:rsidRPr="00956116">
        <w:rPr>
          <w:rFonts w:ascii="Palatino Linotype" w:hAnsi="Palatino Linotype" w:cs="Arial"/>
        </w:rPr>
        <w:t>.</w:t>
      </w:r>
    </w:p>
    <w:p w14:paraId="7D3D9A4D"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3F5567B8" w14:textId="77777777" w:rsidR="00FC03FD" w:rsidRPr="007B2587"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4A78DF7A" w14:textId="77777777" w:rsidR="00FC03FD" w:rsidRPr="007B2587" w:rsidRDefault="00FC03FD" w:rsidP="00FC03FD">
      <w:pPr>
        <w:pStyle w:val="Prrafodelista"/>
        <w:numPr>
          <w:ilvl w:val="1"/>
          <w:numId w:val="34"/>
        </w:numPr>
        <w:tabs>
          <w:tab w:val="left" w:pos="426"/>
        </w:tabs>
        <w:spacing w:before="240" w:after="240" w:line="360" w:lineRule="auto"/>
        <w:ind w:left="1418" w:right="51"/>
        <w:jc w:val="both"/>
        <w:rPr>
          <w:rFonts w:ascii="Palatino Linotype" w:hAnsi="Palatino Linotype" w:cs="Arial"/>
          <w:color w:val="000000" w:themeColor="text1"/>
        </w:rPr>
      </w:pPr>
      <w:r>
        <w:rPr>
          <w:rFonts w:ascii="Palatino Linotype" w:hAnsi="Palatino Linotype" w:cs="Arial"/>
          <w:color w:val="000000" w:themeColor="text1"/>
        </w:rPr>
        <w:t xml:space="preserve">Recibir, </w:t>
      </w:r>
      <w:r w:rsidRPr="007B2587">
        <w:rPr>
          <w:rFonts w:ascii="Palatino Linotype" w:hAnsi="Palatino Linotype" w:cs="Arial"/>
          <w:color w:val="000000" w:themeColor="text1"/>
        </w:rPr>
        <w:t>tramitar y dar respuesta a las solicitudes de acceso a la información;</w:t>
      </w:r>
    </w:p>
    <w:p w14:paraId="1A2218CC" w14:textId="77777777" w:rsidR="00FC03FD" w:rsidRPr="007B2587" w:rsidRDefault="00FC03FD" w:rsidP="00FC03FD">
      <w:pPr>
        <w:pStyle w:val="Prrafodelista"/>
        <w:numPr>
          <w:ilvl w:val="1"/>
          <w:numId w:val="34"/>
        </w:numPr>
        <w:tabs>
          <w:tab w:val="left" w:pos="426"/>
        </w:tabs>
        <w:spacing w:before="240" w:after="240" w:line="360" w:lineRule="auto"/>
        <w:ind w:left="1418" w:right="51"/>
        <w:jc w:val="both"/>
        <w:rPr>
          <w:rFonts w:ascii="Palatino Linotype" w:hAnsi="Palatino Linotype" w:cs="Arial"/>
          <w:color w:val="000000" w:themeColor="text1"/>
        </w:rPr>
      </w:pPr>
      <w:r w:rsidRPr="007B2587">
        <w:rPr>
          <w:rFonts w:ascii="Palatino Linotype" w:hAnsi="Palatino Linotype" w:cs="Arial"/>
          <w:color w:val="000000" w:themeColor="text1"/>
        </w:rPr>
        <w:lastRenderedPageBreak/>
        <w:t xml:space="preserve">Realizar, con efectividad, los trámites internos necesarios para la atención de las solicitudes de acceso a la información; </w:t>
      </w:r>
    </w:p>
    <w:p w14:paraId="291E1CE8" w14:textId="77777777" w:rsidR="00FC03FD" w:rsidRPr="007B2587" w:rsidRDefault="00FC03FD" w:rsidP="00FC03FD">
      <w:pPr>
        <w:pStyle w:val="Prrafodelista"/>
        <w:numPr>
          <w:ilvl w:val="1"/>
          <w:numId w:val="34"/>
        </w:numPr>
        <w:tabs>
          <w:tab w:val="left" w:pos="426"/>
        </w:tabs>
        <w:spacing w:before="240" w:after="240" w:line="360" w:lineRule="auto"/>
        <w:ind w:left="1418" w:right="51"/>
        <w:jc w:val="both"/>
        <w:rPr>
          <w:rFonts w:ascii="Palatino Linotype" w:hAnsi="Palatino Linotype" w:cs="Arial"/>
          <w:color w:val="000000" w:themeColor="text1"/>
        </w:rPr>
      </w:pPr>
      <w:r w:rsidRPr="007B2587">
        <w:rPr>
          <w:rFonts w:ascii="Palatino Linotype" w:hAnsi="Palatino Linotype" w:cs="Arial"/>
          <w:color w:val="000000" w:themeColor="text1"/>
        </w:rPr>
        <w:t xml:space="preserve">Entregar, en su caso, a los particulares la información solicitada; y </w:t>
      </w:r>
    </w:p>
    <w:p w14:paraId="0347BF1C" w14:textId="77777777" w:rsidR="00FC03FD" w:rsidRPr="00BC7E69" w:rsidRDefault="00FC03FD" w:rsidP="00FC03FD">
      <w:pPr>
        <w:pStyle w:val="Prrafodelista"/>
        <w:numPr>
          <w:ilvl w:val="1"/>
          <w:numId w:val="34"/>
        </w:numPr>
        <w:tabs>
          <w:tab w:val="left" w:pos="426"/>
        </w:tabs>
        <w:spacing w:before="240" w:after="240" w:line="360" w:lineRule="auto"/>
        <w:ind w:left="1418" w:right="51"/>
        <w:jc w:val="both"/>
        <w:rPr>
          <w:rFonts w:ascii="Palatino Linotype" w:hAnsi="Palatino Linotype"/>
          <w:color w:val="000000" w:themeColor="text1"/>
        </w:rPr>
      </w:pPr>
      <w:r w:rsidRPr="007B2587">
        <w:rPr>
          <w:rFonts w:ascii="Palatino Linotype" w:hAnsi="Palatino Linotype" w:cs="Arial"/>
          <w:color w:val="000000" w:themeColor="text1"/>
        </w:rPr>
        <w:t>Hacer del conocimiento de la instancia competente la probable responsabilidad por el incumplimiento de las obligaciones previstas en la presente Ley.</w:t>
      </w:r>
    </w:p>
    <w:p w14:paraId="727B4BF1"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7F1D5449" w14:textId="77777777" w:rsidR="00FC03FD" w:rsidRPr="007B2587"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Otros </w:t>
      </w:r>
      <w:r>
        <w:rPr>
          <w:rFonts w:ascii="Palatino Linotype" w:hAnsi="Palatino Linotype" w:cs="Arial"/>
          <w:color w:val="000000" w:themeColor="text1"/>
        </w:rPr>
        <w:t xml:space="preserve">sujetos del proceso de atención a las solicitudes de información son los servidores públicos habilitados, quienes </w:t>
      </w:r>
      <w:r w:rsidRPr="00A67297">
        <w:rPr>
          <w:rFonts w:ascii="Palatino Linotype" w:hAnsi="Palatino Linotype" w:cs="Arial"/>
          <w:color w:val="000000" w:themeColor="text1"/>
        </w:rPr>
        <w:t>serán designados por el titular del Sujeto Obligado a propuesta del responsable de la Unidad de Transparencia</w:t>
      </w:r>
      <w:r>
        <w:rPr>
          <w:rStyle w:val="Refdenotaalpie"/>
          <w:rFonts w:ascii="Palatino Linotype" w:hAnsi="Palatino Linotype" w:cs="Arial"/>
          <w:color w:val="000000" w:themeColor="text1"/>
        </w:rPr>
        <w:footnoteReference w:id="7"/>
      </w:r>
      <w:r>
        <w:rPr>
          <w:rFonts w:ascii="Palatino Linotype" w:hAnsi="Palatino Linotype" w:cs="Arial"/>
          <w:color w:val="000000" w:themeColor="text1"/>
        </w:rPr>
        <w:t xml:space="preserve"> y tendrán, entre sus atribuciones, las siguientes</w:t>
      </w:r>
      <w:r>
        <w:rPr>
          <w:rStyle w:val="Refdenotaalpie"/>
          <w:rFonts w:ascii="Palatino Linotype" w:hAnsi="Palatino Linotype" w:cs="Arial"/>
          <w:color w:val="000000" w:themeColor="text1"/>
        </w:rPr>
        <w:footnoteReference w:id="8"/>
      </w:r>
      <w:r>
        <w:rPr>
          <w:rFonts w:ascii="Palatino Linotype" w:hAnsi="Palatino Linotype" w:cs="Arial"/>
          <w:color w:val="000000" w:themeColor="text1"/>
        </w:rPr>
        <w:t>:</w:t>
      </w:r>
    </w:p>
    <w:p w14:paraId="23376F7B" w14:textId="77777777" w:rsidR="00FC03FD" w:rsidRPr="00A44BE6" w:rsidRDefault="00FC03FD" w:rsidP="00FC03FD">
      <w:pPr>
        <w:pStyle w:val="Prrafodelista"/>
        <w:numPr>
          <w:ilvl w:val="1"/>
          <w:numId w:val="36"/>
        </w:numPr>
        <w:tabs>
          <w:tab w:val="left" w:pos="426"/>
        </w:tabs>
        <w:spacing w:before="240" w:after="240" w:line="360" w:lineRule="auto"/>
        <w:ind w:right="51"/>
        <w:jc w:val="both"/>
        <w:rPr>
          <w:rFonts w:ascii="Palatino Linotype" w:hAnsi="Palatino Linotype" w:cs="Arial"/>
          <w:color w:val="000000" w:themeColor="text1"/>
        </w:rPr>
      </w:pPr>
      <w:r>
        <w:rPr>
          <w:rFonts w:ascii="Palatino Linotype" w:hAnsi="Palatino Linotype" w:cs="Arial"/>
          <w:color w:val="000000" w:themeColor="text1"/>
        </w:rPr>
        <w:t xml:space="preserve">Localizar </w:t>
      </w:r>
      <w:r w:rsidRPr="00A44BE6">
        <w:rPr>
          <w:rFonts w:ascii="Palatino Linotype" w:hAnsi="Palatino Linotype" w:cs="Arial"/>
          <w:color w:val="000000" w:themeColor="text1"/>
        </w:rPr>
        <w:t>la información que le solicite la Unidad de Transparencia; y</w:t>
      </w:r>
    </w:p>
    <w:p w14:paraId="20BC7802" w14:textId="77777777" w:rsidR="00FC03FD" w:rsidRPr="00BC7E69" w:rsidRDefault="00FC03FD" w:rsidP="00FC03FD">
      <w:pPr>
        <w:pStyle w:val="Prrafodelista"/>
        <w:numPr>
          <w:ilvl w:val="1"/>
          <w:numId w:val="36"/>
        </w:numPr>
        <w:tabs>
          <w:tab w:val="left" w:pos="426"/>
        </w:tabs>
        <w:spacing w:before="240" w:after="240" w:line="360" w:lineRule="auto"/>
        <w:ind w:right="51"/>
        <w:jc w:val="both"/>
        <w:rPr>
          <w:rFonts w:ascii="Palatino Linotype" w:hAnsi="Palatino Linotype"/>
          <w:color w:val="000000" w:themeColor="text1"/>
        </w:rPr>
      </w:pPr>
      <w:r w:rsidRPr="00A44BE6">
        <w:rPr>
          <w:rFonts w:ascii="Palatino Linotype" w:hAnsi="Palatino Linotype" w:cs="Arial"/>
          <w:color w:val="000000" w:themeColor="text1"/>
        </w:rPr>
        <w:t>Proporcionar la información que obre en los archivos y que le sea solicitada por la Unidad de Transparencia.</w:t>
      </w:r>
    </w:p>
    <w:p w14:paraId="7954B2A6"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415686E9" w14:textId="77777777" w:rsidR="00FC03FD" w:rsidRPr="00BC7E69"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 xml:space="preserve">tal manera que cada una de las áreas administrativas del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F82752F"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7B3B0A18" w14:textId="6F3D648E" w:rsidR="00910076" w:rsidRPr="009D3455" w:rsidRDefault="00FC03FD" w:rsidP="009D34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U</w:t>
      </w:r>
      <w:r w:rsidR="00910076">
        <w:rPr>
          <w:rFonts w:ascii="Palatino Linotype" w:hAnsi="Palatino Linotype"/>
          <w:color w:val="000000" w:themeColor="text1"/>
        </w:rPr>
        <w:t xml:space="preserve">na </w:t>
      </w:r>
      <w:r w:rsidR="00910076">
        <w:rPr>
          <w:rFonts w:ascii="Palatino Linotype" w:hAnsi="Palatino Linotype"/>
        </w:rPr>
        <w:t>vez expuesto lo anterior</w:t>
      </w:r>
      <w:r w:rsidR="00910076" w:rsidRPr="0053687A">
        <w:rPr>
          <w:rFonts w:ascii="Palatino Linotype" w:hAnsi="Palatino Linotype"/>
        </w:rPr>
        <w:t xml:space="preserve">, </w:t>
      </w:r>
      <w:r w:rsidR="00910076">
        <w:rPr>
          <w:rFonts w:ascii="Palatino Linotype" w:hAnsi="Palatino Linotype"/>
        </w:rPr>
        <w:t xml:space="preserve">de la lectura a la solicitud de información </w:t>
      </w:r>
      <w:r w:rsidR="00794F7E">
        <w:rPr>
          <w:rFonts w:ascii="Palatino Linotype" w:hAnsi="Palatino Linotype"/>
          <w:b/>
          <w:bCs/>
        </w:rPr>
        <w:t>00116/CHIAUTLA/IP/2021</w:t>
      </w:r>
      <w:r w:rsidR="00910076">
        <w:rPr>
          <w:rFonts w:ascii="Palatino Linotype" w:hAnsi="Palatino Linotype"/>
        </w:rPr>
        <w:t xml:space="preserve">, y como fuera señalado en el </w:t>
      </w:r>
      <w:r w:rsidR="00910076">
        <w:rPr>
          <w:rFonts w:ascii="Palatino Linotype" w:hAnsi="Palatino Linotype"/>
          <w:i/>
          <w:iCs/>
        </w:rPr>
        <w:t>Planteamiento de la Litis</w:t>
      </w:r>
      <w:r w:rsidR="00910076">
        <w:rPr>
          <w:rFonts w:ascii="Palatino Linotype" w:hAnsi="Palatino Linotype"/>
        </w:rPr>
        <w:t xml:space="preserve"> de </w:t>
      </w:r>
      <w:r w:rsidR="00910076">
        <w:rPr>
          <w:rFonts w:ascii="Palatino Linotype" w:hAnsi="Palatino Linotype"/>
        </w:rPr>
        <w:lastRenderedPageBreak/>
        <w:t xml:space="preserve">esta resolución, se advierte que el particular requirió al </w:t>
      </w:r>
      <w:r w:rsidR="00794F7E">
        <w:rPr>
          <w:rFonts w:ascii="Palatino Linotype" w:hAnsi="Palatino Linotype"/>
        </w:rPr>
        <w:t>Ayuntamiento de Chiautla</w:t>
      </w:r>
      <w:r w:rsidR="00910076">
        <w:rPr>
          <w:rFonts w:ascii="Palatino Linotype" w:hAnsi="Palatino Linotype"/>
        </w:rPr>
        <w:t xml:space="preserve"> acceder </w:t>
      </w:r>
      <w:r w:rsidR="009D3455">
        <w:rPr>
          <w:rFonts w:ascii="Palatino Linotype" w:hAnsi="Palatino Linotype"/>
        </w:rPr>
        <w:t>a los expedientes de obras públicas relacionados con cámaras de video vigilancia, o similares, del uno (01) de enero de dos mil trece al diez (10) de septiembre de dos mil veintiuno, fecha en que se presentó la solicitud.</w:t>
      </w:r>
    </w:p>
    <w:p w14:paraId="133D8389" w14:textId="77777777" w:rsidR="009D3455" w:rsidRDefault="009D3455" w:rsidP="009D3455">
      <w:pPr>
        <w:pStyle w:val="Prrafodelista"/>
        <w:tabs>
          <w:tab w:val="left" w:pos="426"/>
        </w:tabs>
        <w:spacing w:before="240" w:after="240" w:line="360" w:lineRule="auto"/>
        <w:ind w:left="0" w:right="51"/>
        <w:jc w:val="both"/>
        <w:rPr>
          <w:rFonts w:ascii="Palatino Linotype" w:hAnsi="Palatino Linotype"/>
          <w:color w:val="000000" w:themeColor="text1"/>
        </w:rPr>
      </w:pPr>
    </w:p>
    <w:p w14:paraId="2D403DA4" w14:textId="0688715C" w:rsidR="00910076" w:rsidRDefault="0040600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w:t>
      </w:r>
      <w:r w:rsidR="00794C2B">
        <w:rPr>
          <w:rFonts w:ascii="Palatino Linotype" w:hAnsi="Palatino Linotype"/>
          <w:color w:val="000000" w:themeColor="text1"/>
        </w:rPr>
        <w:t xml:space="preserve">n </w:t>
      </w:r>
      <w:r w:rsidR="00794C2B" w:rsidRPr="00794C2B">
        <w:rPr>
          <w:rFonts w:ascii="Palatino Linotype" w:hAnsi="Palatino Linotype"/>
          <w:color w:val="000000" w:themeColor="text1"/>
        </w:rPr>
        <w:t xml:space="preserve">respuesta a la solicitud de información, </w:t>
      </w:r>
      <w:r>
        <w:rPr>
          <w:rFonts w:ascii="Palatino Linotype" w:hAnsi="Palatino Linotype"/>
          <w:color w:val="000000" w:themeColor="text1"/>
        </w:rPr>
        <w:t xml:space="preserve">el </w:t>
      </w:r>
      <w:r>
        <w:rPr>
          <w:rFonts w:ascii="Palatino Linotype" w:hAnsi="Palatino Linotype"/>
          <w:b/>
          <w:color w:val="000000" w:themeColor="text1"/>
        </w:rPr>
        <w:t xml:space="preserve">SUJETO </w:t>
      </w:r>
      <w:r w:rsidRPr="0040600B">
        <w:rPr>
          <w:rFonts w:ascii="Palatino Linotype" w:hAnsi="Palatino Linotype"/>
          <w:b/>
          <w:color w:val="000000" w:themeColor="text1"/>
        </w:rPr>
        <w:t>OBLIGADO</w:t>
      </w:r>
      <w:r>
        <w:rPr>
          <w:rFonts w:ascii="Palatino Linotype" w:hAnsi="Palatino Linotype"/>
          <w:color w:val="000000" w:themeColor="text1"/>
        </w:rPr>
        <w:t xml:space="preserve"> remitió al entonces </w:t>
      </w:r>
      <w:r>
        <w:rPr>
          <w:rFonts w:ascii="Palatino Linotype" w:hAnsi="Palatino Linotype"/>
          <w:b/>
          <w:color w:val="000000" w:themeColor="text1"/>
        </w:rPr>
        <w:t>SOLICITANTE</w:t>
      </w:r>
      <w:r>
        <w:rPr>
          <w:rFonts w:ascii="Palatino Linotype" w:hAnsi="Palatino Linotype"/>
          <w:color w:val="000000" w:themeColor="text1"/>
        </w:rPr>
        <w:t xml:space="preserve"> el oficio número CHI/O.P 140/2021, de veinte (20) de septiembre de dos mil veintiuno, signado por </w:t>
      </w:r>
      <w:r w:rsidR="00794C2B" w:rsidRPr="0040600B">
        <w:rPr>
          <w:rFonts w:ascii="Palatino Linotype" w:hAnsi="Palatino Linotype"/>
          <w:color w:val="000000" w:themeColor="text1"/>
        </w:rPr>
        <w:t>el</w:t>
      </w:r>
      <w:r w:rsidR="00794C2B" w:rsidRPr="00794C2B">
        <w:rPr>
          <w:rFonts w:ascii="Palatino Linotype" w:hAnsi="Palatino Linotype"/>
          <w:color w:val="000000" w:themeColor="text1"/>
        </w:rPr>
        <w:t xml:space="preserve"> </w:t>
      </w:r>
      <w:r w:rsidR="00E9230E">
        <w:rPr>
          <w:rFonts w:ascii="Palatino Linotype" w:hAnsi="Palatino Linotype"/>
          <w:color w:val="000000" w:themeColor="text1"/>
        </w:rPr>
        <w:t xml:space="preserve">Director de Obras </w:t>
      </w:r>
      <w:r w:rsidR="00C82F4B">
        <w:rPr>
          <w:rFonts w:ascii="Palatino Linotype" w:hAnsi="Palatino Linotype"/>
          <w:color w:val="000000" w:themeColor="text1"/>
        </w:rPr>
        <w:t>Públicas</w:t>
      </w:r>
      <w:r w:rsidR="00C871C7">
        <w:rPr>
          <w:rFonts w:ascii="Palatino Linotype" w:hAnsi="Palatino Linotype"/>
          <w:color w:val="000000" w:themeColor="text1"/>
        </w:rPr>
        <w:t>,</w:t>
      </w:r>
      <w:r>
        <w:rPr>
          <w:rFonts w:ascii="Palatino Linotype" w:hAnsi="Palatino Linotype"/>
          <w:color w:val="000000" w:themeColor="text1"/>
        </w:rPr>
        <w:t xml:space="preserve"> a través del cual, manifestó lo siguiente</w:t>
      </w:r>
      <w:r w:rsidR="00794C2B" w:rsidRPr="00794C2B">
        <w:rPr>
          <w:rFonts w:ascii="Palatino Linotype" w:hAnsi="Palatino Linotype"/>
          <w:color w:val="000000" w:themeColor="text1"/>
        </w:rPr>
        <w:t>:</w:t>
      </w:r>
    </w:p>
    <w:p w14:paraId="33E348B9" w14:textId="6018A829" w:rsidR="00910076" w:rsidRDefault="00910076" w:rsidP="00794C2B">
      <w:pPr>
        <w:pStyle w:val="Prrafodelista"/>
        <w:tabs>
          <w:tab w:val="left" w:pos="426"/>
        </w:tabs>
        <w:spacing w:before="240" w:line="360" w:lineRule="auto"/>
        <w:ind w:left="0" w:right="51"/>
        <w:jc w:val="both"/>
        <w:rPr>
          <w:rFonts w:ascii="Palatino Linotype" w:hAnsi="Palatino Linotype"/>
          <w:color w:val="000000" w:themeColor="text1"/>
        </w:rPr>
      </w:pPr>
    </w:p>
    <w:p w14:paraId="2D62EB24" w14:textId="77D5C36D" w:rsidR="00794C2B" w:rsidRPr="00794C2B" w:rsidRDefault="0040600B" w:rsidP="00C871C7">
      <w:pPr>
        <w:spacing w:line="276" w:lineRule="auto"/>
        <w:ind w:left="567" w:right="567"/>
        <w:jc w:val="both"/>
        <w:rPr>
          <w:rFonts w:ascii="Palatino Linotype" w:hAnsi="Palatino Linotype" w:cs="Arial"/>
          <w:i/>
          <w:iCs/>
          <w:noProof/>
          <w:sz w:val="22"/>
          <w:szCs w:val="22"/>
        </w:rPr>
      </w:pPr>
      <w:r>
        <w:rPr>
          <w:rFonts w:ascii="Palatino Linotype" w:hAnsi="Palatino Linotype" w:cs="Arial"/>
          <w:i/>
          <w:iCs/>
          <w:noProof/>
          <w:sz w:val="22"/>
          <w:szCs w:val="22"/>
        </w:rPr>
        <w:t xml:space="preserve">“En referencia a la información solicitada se adjunta el siguiente link </w:t>
      </w:r>
      <w:r w:rsidRPr="0040600B">
        <w:rPr>
          <w:rFonts w:ascii="Palatino Linotype" w:hAnsi="Palatino Linotype" w:cs="Arial"/>
          <w:i/>
          <w:iCs/>
          <w:noProof/>
          <w:sz w:val="22"/>
          <w:szCs w:val="22"/>
          <w:u w:val="single"/>
        </w:rPr>
        <w:t>https://www.ipomex.org.mx/ipo3/gce/insert/42958/2/63090.web</w:t>
      </w:r>
      <w:r>
        <w:rPr>
          <w:rFonts w:ascii="Palatino Linotype" w:hAnsi="Palatino Linotype" w:cs="Arial"/>
          <w:i/>
          <w:iCs/>
          <w:noProof/>
          <w:sz w:val="22"/>
          <w:szCs w:val="22"/>
        </w:rPr>
        <w:t>, en cual podrá consultar la información solicitada.</w:t>
      </w:r>
      <w:r w:rsidR="00794C2B" w:rsidRPr="00794C2B">
        <w:rPr>
          <w:rFonts w:ascii="Palatino Linotype" w:hAnsi="Palatino Linotype" w:cs="Arial"/>
          <w:i/>
          <w:iCs/>
          <w:noProof/>
          <w:sz w:val="22"/>
          <w:szCs w:val="22"/>
        </w:rPr>
        <w:t>”</w:t>
      </w:r>
      <w:r w:rsidR="00437909">
        <w:rPr>
          <w:rFonts w:ascii="Palatino Linotype" w:hAnsi="Palatino Linotype" w:cs="Arial"/>
          <w:noProof/>
          <w:sz w:val="22"/>
          <w:szCs w:val="22"/>
        </w:rPr>
        <w:t xml:space="preserve"> (Sic)</w:t>
      </w:r>
    </w:p>
    <w:p w14:paraId="78E7BD23" w14:textId="77777777" w:rsidR="00794C2B" w:rsidRDefault="00794C2B" w:rsidP="00910076">
      <w:pPr>
        <w:pStyle w:val="Prrafodelista"/>
        <w:tabs>
          <w:tab w:val="left" w:pos="426"/>
        </w:tabs>
        <w:spacing w:before="240" w:after="240" w:line="360" w:lineRule="auto"/>
        <w:ind w:left="0" w:right="51"/>
        <w:jc w:val="both"/>
        <w:rPr>
          <w:rFonts w:ascii="Palatino Linotype" w:hAnsi="Palatino Linotype"/>
          <w:color w:val="000000" w:themeColor="text1"/>
        </w:rPr>
      </w:pPr>
    </w:p>
    <w:p w14:paraId="552944F4" w14:textId="2413D18A" w:rsidR="00910076" w:rsidRDefault="00E9230E"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00716EC8">
        <w:rPr>
          <w:rFonts w:ascii="Palatino Linotype" w:hAnsi="Palatino Linotype"/>
          <w:color w:val="000000" w:themeColor="text1"/>
        </w:rPr>
        <w:t>tal guisa</w:t>
      </w:r>
      <w:r>
        <w:rPr>
          <w:rFonts w:ascii="Palatino Linotype" w:hAnsi="Palatino Linotype"/>
          <w:color w:val="000000" w:themeColor="text1"/>
        </w:rPr>
        <w:t xml:space="preserve"> que </w:t>
      </w:r>
      <w:r w:rsidR="0040600B">
        <w:rPr>
          <w:rFonts w:ascii="Palatino Linotype" w:hAnsi="Palatino Linotype"/>
          <w:color w:val="000000" w:themeColor="text1"/>
        </w:rPr>
        <w:t xml:space="preserve">para atender la solicitud de información primigenia, </w:t>
      </w:r>
      <w:r w:rsidR="00682566">
        <w:rPr>
          <w:rFonts w:ascii="Palatino Linotype" w:hAnsi="Palatino Linotype"/>
          <w:color w:val="000000" w:themeColor="text1"/>
        </w:rPr>
        <w:t xml:space="preserve">el Director de Obras Públicas </w:t>
      </w:r>
      <w:r w:rsidR="0040600B">
        <w:rPr>
          <w:rFonts w:ascii="Palatino Linotype" w:hAnsi="Palatino Linotype"/>
          <w:color w:val="000000" w:themeColor="text1"/>
        </w:rPr>
        <w:t>compartió un enlace para consultar la información relacionada con expedientes de obras públicas relacionadas con c</w:t>
      </w:r>
      <w:r w:rsidR="00682566">
        <w:rPr>
          <w:rFonts w:ascii="Palatino Linotype" w:hAnsi="Palatino Linotype"/>
          <w:color w:val="000000" w:themeColor="text1"/>
        </w:rPr>
        <w:t>ámaras de video vigilancia.</w:t>
      </w:r>
    </w:p>
    <w:p w14:paraId="6EE1BFB3" w14:textId="77777777" w:rsidR="00682566" w:rsidRDefault="00682566" w:rsidP="00682566">
      <w:pPr>
        <w:pStyle w:val="Prrafodelista"/>
        <w:tabs>
          <w:tab w:val="left" w:pos="426"/>
        </w:tabs>
        <w:spacing w:before="240" w:after="240" w:line="360" w:lineRule="auto"/>
        <w:ind w:left="0" w:right="51"/>
        <w:jc w:val="both"/>
        <w:rPr>
          <w:rFonts w:ascii="Palatino Linotype" w:hAnsi="Palatino Linotype"/>
          <w:color w:val="000000" w:themeColor="text1"/>
        </w:rPr>
      </w:pPr>
    </w:p>
    <w:p w14:paraId="275A67A3" w14:textId="3C29C1F8" w:rsidR="00682566" w:rsidRDefault="00682566"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el particular impugnó la respuesta presentada a la solicitud </w:t>
      </w:r>
      <w:r>
        <w:rPr>
          <w:rFonts w:ascii="Palatino Linotype" w:hAnsi="Palatino Linotype"/>
          <w:b/>
          <w:color w:val="000000" w:themeColor="text1"/>
        </w:rPr>
        <w:t>00116/CHIAUTLA/IP/2021</w:t>
      </w:r>
      <w:r>
        <w:rPr>
          <w:rFonts w:ascii="Palatino Linotype" w:hAnsi="Palatino Linotype"/>
          <w:color w:val="000000" w:themeColor="text1"/>
        </w:rPr>
        <w:t xml:space="preserve">, mediante el recurso de revisión número </w:t>
      </w:r>
      <w:r>
        <w:rPr>
          <w:rFonts w:ascii="Palatino Linotype" w:hAnsi="Palatino Linotype"/>
          <w:b/>
          <w:color w:val="000000" w:themeColor="text1"/>
        </w:rPr>
        <w:t>04938/INFOEM/IP/RR/2021</w:t>
      </w:r>
      <w:r>
        <w:rPr>
          <w:rFonts w:ascii="Palatino Linotype" w:hAnsi="Palatino Linotype"/>
          <w:color w:val="000000" w:themeColor="text1"/>
        </w:rPr>
        <w:t>, en el que señaló por agravios, lo siguiente:</w:t>
      </w:r>
    </w:p>
    <w:p w14:paraId="29030A9B" w14:textId="2B5A4884" w:rsidR="00682566" w:rsidRDefault="00682566" w:rsidP="00682566">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 xml:space="preserve">Que el </w:t>
      </w:r>
      <w:r>
        <w:rPr>
          <w:rFonts w:ascii="Palatino Linotype" w:hAnsi="Palatino Linotype"/>
          <w:b/>
          <w:color w:val="000000" w:themeColor="text1"/>
        </w:rPr>
        <w:t>SUJETO OBLIGADO</w:t>
      </w:r>
      <w:r>
        <w:rPr>
          <w:rFonts w:ascii="Palatino Linotype" w:hAnsi="Palatino Linotype"/>
          <w:color w:val="000000" w:themeColor="text1"/>
        </w:rPr>
        <w:t xml:space="preserve"> no le entregó la información; y</w:t>
      </w:r>
    </w:p>
    <w:p w14:paraId="5DFC190F" w14:textId="3BBA5243" w:rsidR="00682566" w:rsidRDefault="00682566" w:rsidP="00682566">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 xml:space="preserve">Que no se cumplieron </w:t>
      </w:r>
      <w:r>
        <w:rPr>
          <w:rFonts w:ascii="Palatino Linotype" w:hAnsi="Palatino Linotype"/>
          <w:i/>
          <w:color w:val="000000" w:themeColor="text1"/>
        </w:rPr>
        <w:t>los plazos</w:t>
      </w:r>
      <w:r>
        <w:rPr>
          <w:rFonts w:ascii="Palatino Linotype" w:hAnsi="Palatino Linotype"/>
          <w:color w:val="000000" w:themeColor="text1"/>
        </w:rPr>
        <w:t>.</w:t>
      </w:r>
    </w:p>
    <w:p w14:paraId="65841C01" w14:textId="77777777" w:rsidR="00682566" w:rsidRDefault="00682566" w:rsidP="00682566">
      <w:pPr>
        <w:pStyle w:val="Prrafodelista"/>
        <w:tabs>
          <w:tab w:val="left" w:pos="426"/>
        </w:tabs>
        <w:spacing w:before="240" w:after="240" w:line="360" w:lineRule="auto"/>
        <w:ind w:left="0" w:right="51"/>
        <w:jc w:val="both"/>
        <w:rPr>
          <w:rFonts w:ascii="Palatino Linotype" w:hAnsi="Palatino Linotype"/>
          <w:color w:val="000000" w:themeColor="text1"/>
        </w:rPr>
      </w:pPr>
    </w:p>
    <w:p w14:paraId="52469D26" w14:textId="378C2CC3" w:rsidR="00682566" w:rsidRDefault="00682566"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Posteriormente, en vía de Informe Justificado, el </w:t>
      </w:r>
      <w:r>
        <w:rPr>
          <w:rFonts w:ascii="Palatino Linotype" w:hAnsi="Palatino Linotype"/>
          <w:b/>
          <w:color w:val="000000" w:themeColor="text1"/>
        </w:rPr>
        <w:t>SUJETO OBLIGADO</w:t>
      </w:r>
      <w:r>
        <w:rPr>
          <w:rFonts w:ascii="Palatino Linotype" w:hAnsi="Palatino Linotype"/>
          <w:color w:val="000000" w:themeColor="text1"/>
        </w:rPr>
        <w:t xml:space="preserve"> ratificó su respuesta inicial y ofreció como prueba </w:t>
      </w:r>
      <w:r>
        <w:rPr>
          <w:rFonts w:ascii="Palatino Linotype" w:hAnsi="Palatino Linotype"/>
          <w:i/>
          <w:color w:val="000000" w:themeColor="text1"/>
        </w:rPr>
        <w:t>“</w:t>
      </w:r>
      <w:r>
        <w:rPr>
          <w:rFonts w:ascii="Palatino Linotype" w:hAnsi="Palatino Linotype"/>
          <w:color w:val="000000" w:themeColor="text1"/>
        </w:rPr>
        <w:t>[l]</w:t>
      </w:r>
      <w:r>
        <w:rPr>
          <w:rFonts w:ascii="Palatino Linotype" w:hAnsi="Palatino Linotype"/>
          <w:i/>
          <w:color w:val="000000" w:themeColor="text1"/>
        </w:rPr>
        <w:t xml:space="preserve">a documental consistente de la información proporcionada, de fecha 20 de septiembre del </w:t>
      </w:r>
      <w:r>
        <w:rPr>
          <w:rFonts w:ascii="Palatino Linotype" w:hAnsi="Palatino Linotype"/>
          <w:color w:val="000000" w:themeColor="text1"/>
        </w:rPr>
        <w:t>[dos mil veintiuno]</w:t>
      </w:r>
      <w:r>
        <w:rPr>
          <w:rFonts w:ascii="Palatino Linotype" w:hAnsi="Palatino Linotype"/>
          <w:i/>
          <w:color w:val="000000" w:themeColor="text1"/>
        </w:rPr>
        <w:t>, por el Director de Obras Públicas, dando cumplimiento al requerimiento que se le hiciera por la Unidad de Transparencia y Acceso a la Información Pública a lo solicitado por el recurrente (…)”</w:t>
      </w:r>
    </w:p>
    <w:p w14:paraId="18333472" w14:textId="77777777" w:rsidR="00682566" w:rsidRDefault="00682566" w:rsidP="00682566">
      <w:pPr>
        <w:pStyle w:val="Prrafodelista"/>
        <w:tabs>
          <w:tab w:val="left" w:pos="426"/>
        </w:tabs>
        <w:spacing w:before="240" w:after="240" w:line="360" w:lineRule="auto"/>
        <w:ind w:left="0" w:right="51"/>
        <w:jc w:val="both"/>
        <w:rPr>
          <w:rFonts w:ascii="Palatino Linotype" w:hAnsi="Palatino Linotype"/>
          <w:color w:val="000000" w:themeColor="text1"/>
        </w:rPr>
      </w:pPr>
    </w:p>
    <w:p w14:paraId="1D2A55EC" w14:textId="64F627E2" w:rsidR="00682566" w:rsidRDefault="00682566"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En relación con lo anterior, resulta conveniente señalar que la Ley de Transparencia y Acceso a la Información Pública del Estado de México y Municipios, en su</w:t>
      </w:r>
      <w:r w:rsidR="00F12DDE">
        <w:rPr>
          <w:rFonts w:ascii="Palatino Linotype" w:hAnsi="Palatino Linotype"/>
          <w:color w:val="000000" w:themeColor="text1"/>
        </w:rPr>
        <w:t>s</w:t>
      </w:r>
      <w:r>
        <w:rPr>
          <w:rFonts w:ascii="Palatino Linotype" w:hAnsi="Palatino Linotype"/>
          <w:color w:val="000000" w:themeColor="text1"/>
        </w:rPr>
        <w:t xml:space="preserve"> artículo</w:t>
      </w:r>
      <w:r w:rsidR="00F12DDE">
        <w:rPr>
          <w:rFonts w:ascii="Palatino Linotype" w:hAnsi="Palatino Linotype"/>
          <w:color w:val="000000" w:themeColor="text1"/>
        </w:rPr>
        <w:t>s 180 y</w:t>
      </w:r>
      <w:r>
        <w:rPr>
          <w:rFonts w:ascii="Palatino Linotype" w:hAnsi="Palatino Linotype"/>
          <w:color w:val="000000" w:themeColor="text1"/>
        </w:rPr>
        <w:t xml:space="preserve"> 185, establece lo siguiente:</w:t>
      </w:r>
    </w:p>
    <w:p w14:paraId="1FA078B2" w14:textId="77777777" w:rsidR="00682566" w:rsidRDefault="00682566" w:rsidP="00682566">
      <w:pPr>
        <w:pStyle w:val="Prrafodelista"/>
        <w:tabs>
          <w:tab w:val="left" w:pos="426"/>
        </w:tabs>
        <w:spacing w:before="240" w:after="240" w:line="360" w:lineRule="auto"/>
        <w:ind w:left="0" w:right="51"/>
        <w:jc w:val="both"/>
        <w:rPr>
          <w:rFonts w:ascii="Palatino Linotype" w:hAnsi="Palatino Linotype"/>
          <w:color w:val="000000" w:themeColor="text1"/>
        </w:rPr>
      </w:pPr>
    </w:p>
    <w:p w14:paraId="7F49AC0A" w14:textId="77777777" w:rsidR="00F12DDE" w:rsidRDefault="00F12DDE" w:rsidP="00F12DDE">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i/>
          <w:sz w:val="22"/>
        </w:rPr>
        <w:t>“</w:t>
      </w:r>
      <w:r w:rsidRPr="00785321">
        <w:rPr>
          <w:rFonts w:ascii="Palatino Linotype" w:hAnsi="Palatino Linotype"/>
          <w:b/>
          <w:i/>
          <w:sz w:val="22"/>
        </w:rPr>
        <w:t>Artículo 180.</w:t>
      </w:r>
      <w:r w:rsidRPr="00785321">
        <w:rPr>
          <w:rFonts w:ascii="Palatino Linotype" w:hAnsi="Palatino Linotype"/>
          <w:i/>
          <w:sz w:val="22"/>
        </w:rPr>
        <w:t xml:space="preserve"> El recurso de revisión contendrá: </w:t>
      </w:r>
    </w:p>
    <w:p w14:paraId="485A02BA" w14:textId="77777777" w:rsidR="00F12DDE" w:rsidRDefault="00F12DDE" w:rsidP="00F12DDE">
      <w:pPr>
        <w:pStyle w:val="Prrafodelista"/>
        <w:tabs>
          <w:tab w:val="left" w:pos="426"/>
        </w:tabs>
        <w:spacing w:before="240" w:after="240" w:line="276" w:lineRule="auto"/>
        <w:ind w:left="567" w:right="567"/>
        <w:jc w:val="both"/>
        <w:rPr>
          <w:rFonts w:ascii="Palatino Linotype" w:hAnsi="Palatino Linotype"/>
          <w:i/>
          <w:sz w:val="22"/>
        </w:rPr>
      </w:pPr>
      <w:r w:rsidRPr="00785321">
        <w:rPr>
          <w:rFonts w:ascii="Palatino Linotype" w:hAnsi="Palatino Linotype"/>
          <w:b/>
          <w:i/>
          <w:sz w:val="22"/>
        </w:rPr>
        <w:t>I.</w:t>
      </w:r>
      <w:r w:rsidRPr="00785321">
        <w:rPr>
          <w:rFonts w:ascii="Palatino Linotype" w:hAnsi="Palatino Linotype"/>
          <w:i/>
          <w:sz w:val="22"/>
        </w:rPr>
        <w:t xml:space="preserve"> El sujeto obligado ante la cual se presentó la solicitud; </w:t>
      </w:r>
    </w:p>
    <w:p w14:paraId="40278697" w14:textId="77777777" w:rsidR="00F12DDE" w:rsidRDefault="00F12DDE" w:rsidP="00F12DDE">
      <w:pPr>
        <w:pStyle w:val="Prrafodelista"/>
        <w:tabs>
          <w:tab w:val="left" w:pos="426"/>
        </w:tabs>
        <w:spacing w:before="240" w:after="240" w:line="276" w:lineRule="auto"/>
        <w:ind w:left="567" w:right="567"/>
        <w:jc w:val="both"/>
        <w:rPr>
          <w:rFonts w:ascii="Palatino Linotype" w:hAnsi="Palatino Linotype"/>
          <w:i/>
          <w:sz w:val="22"/>
        </w:rPr>
      </w:pPr>
      <w:r w:rsidRPr="00785321">
        <w:rPr>
          <w:rFonts w:ascii="Palatino Linotype" w:hAnsi="Palatino Linotype"/>
          <w:b/>
          <w:i/>
          <w:sz w:val="22"/>
        </w:rPr>
        <w:t>II.</w:t>
      </w:r>
      <w:r w:rsidRPr="00785321">
        <w:rPr>
          <w:rFonts w:ascii="Palatino Linotype" w:hAnsi="Palatino Linotype"/>
          <w:i/>
          <w:sz w:val="22"/>
        </w:rPr>
        <w:t xml:space="preserve"> El nombre del solicitante que recurre o de su representante y, en su caso, del tercero interesado, así como la dirección o medio que señale para recibir notificaciones; </w:t>
      </w:r>
    </w:p>
    <w:p w14:paraId="476333B5" w14:textId="77777777" w:rsidR="00F12DDE" w:rsidRDefault="00F12DDE" w:rsidP="00F12DDE">
      <w:pPr>
        <w:pStyle w:val="Prrafodelista"/>
        <w:tabs>
          <w:tab w:val="left" w:pos="426"/>
        </w:tabs>
        <w:spacing w:before="240" w:after="240" w:line="276" w:lineRule="auto"/>
        <w:ind w:left="567" w:right="567"/>
        <w:jc w:val="both"/>
        <w:rPr>
          <w:rFonts w:ascii="Palatino Linotype" w:hAnsi="Palatino Linotype"/>
          <w:i/>
          <w:sz w:val="22"/>
        </w:rPr>
      </w:pPr>
      <w:r w:rsidRPr="00785321">
        <w:rPr>
          <w:rFonts w:ascii="Palatino Linotype" w:hAnsi="Palatino Linotype"/>
          <w:b/>
          <w:i/>
          <w:sz w:val="22"/>
        </w:rPr>
        <w:t>III.</w:t>
      </w:r>
      <w:r w:rsidRPr="00785321">
        <w:rPr>
          <w:rFonts w:ascii="Palatino Linotype" w:hAnsi="Palatino Linotype"/>
          <w:i/>
          <w:sz w:val="22"/>
        </w:rPr>
        <w:t xml:space="preserve"> El número de folio de respuesta de la solicitud de acceso; </w:t>
      </w:r>
    </w:p>
    <w:p w14:paraId="43C39353" w14:textId="77777777" w:rsidR="00F12DDE" w:rsidRDefault="00F12DDE" w:rsidP="00F12DDE">
      <w:pPr>
        <w:pStyle w:val="Prrafodelista"/>
        <w:tabs>
          <w:tab w:val="left" w:pos="426"/>
        </w:tabs>
        <w:spacing w:before="240" w:after="240" w:line="276" w:lineRule="auto"/>
        <w:ind w:left="567" w:right="567"/>
        <w:jc w:val="both"/>
        <w:rPr>
          <w:rFonts w:ascii="Palatino Linotype" w:hAnsi="Palatino Linotype"/>
          <w:i/>
          <w:sz w:val="22"/>
        </w:rPr>
      </w:pPr>
      <w:r w:rsidRPr="00785321">
        <w:rPr>
          <w:rFonts w:ascii="Palatino Linotype" w:hAnsi="Palatino Linotype"/>
          <w:b/>
          <w:i/>
          <w:sz w:val="22"/>
        </w:rPr>
        <w:t>IV.</w:t>
      </w:r>
      <w:r w:rsidRPr="00785321">
        <w:rPr>
          <w:rFonts w:ascii="Palatino Linotype" w:hAnsi="Palatino Linotype"/>
          <w:i/>
          <w:sz w:val="22"/>
        </w:rPr>
        <w:t xml:space="preserve"> La fecha en que fue notificada la respuesta al solicitante o tuvo conocimiento del acto reclamado, o de presentación de la solicitud, en caso de falta de respuesta; </w:t>
      </w:r>
    </w:p>
    <w:p w14:paraId="40F7B88F" w14:textId="77777777" w:rsidR="00F12DDE" w:rsidRDefault="00F12DDE" w:rsidP="00F12DDE">
      <w:pPr>
        <w:pStyle w:val="Prrafodelista"/>
        <w:tabs>
          <w:tab w:val="left" w:pos="426"/>
        </w:tabs>
        <w:spacing w:before="240" w:after="240" w:line="276" w:lineRule="auto"/>
        <w:ind w:left="567" w:right="567"/>
        <w:jc w:val="both"/>
        <w:rPr>
          <w:rFonts w:ascii="Palatino Linotype" w:hAnsi="Palatino Linotype"/>
          <w:i/>
          <w:sz w:val="22"/>
        </w:rPr>
      </w:pPr>
      <w:r w:rsidRPr="00785321">
        <w:rPr>
          <w:rFonts w:ascii="Palatino Linotype" w:hAnsi="Palatino Linotype"/>
          <w:b/>
          <w:i/>
          <w:sz w:val="22"/>
        </w:rPr>
        <w:t>V.</w:t>
      </w:r>
      <w:r w:rsidRPr="00785321">
        <w:rPr>
          <w:rFonts w:ascii="Palatino Linotype" w:hAnsi="Palatino Linotype"/>
          <w:i/>
          <w:sz w:val="22"/>
        </w:rPr>
        <w:t xml:space="preserve"> El acto que se recurre; </w:t>
      </w:r>
    </w:p>
    <w:p w14:paraId="7A7024E1" w14:textId="77777777" w:rsidR="00F12DDE" w:rsidRDefault="00F12DDE" w:rsidP="00F12DDE">
      <w:pPr>
        <w:pStyle w:val="Prrafodelista"/>
        <w:tabs>
          <w:tab w:val="left" w:pos="426"/>
        </w:tabs>
        <w:spacing w:before="240" w:after="240" w:line="276" w:lineRule="auto"/>
        <w:ind w:left="567" w:right="567"/>
        <w:jc w:val="both"/>
        <w:rPr>
          <w:rFonts w:ascii="Palatino Linotype" w:hAnsi="Palatino Linotype"/>
          <w:i/>
          <w:sz w:val="22"/>
        </w:rPr>
      </w:pPr>
      <w:r w:rsidRPr="00785321">
        <w:rPr>
          <w:rFonts w:ascii="Palatino Linotype" w:hAnsi="Palatino Linotype"/>
          <w:b/>
          <w:i/>
          <w:sz w:val="22"/>
        </w:rPr>
        <w:t>VI.</w:t>
      </w:r>
      <w:r w:rsidRPr="00785321">
        <w:rPr>
          <w:rFonts w:ascii="Palatino Linotype" w:hAnsi="Palatino Linotype"/>
          <w:i/>
          <w:sz w:val="22"/>
        </w:rPr>
        <w:t xml:space="preserve"> Las razones o motivos de inconformidad; </w:t>
      </w:r>
    </w:p>
    <w:p w14:paraId="3B43D143" w14:textId="77777777" w:rsidR="00F12DDE" w:rsidRDefault="00F12DDE" w:rsidP="00F12DDE">
      <w:pPr>
        <w:pStyle w:val="Prrafodelista"/>
        <w:tabs>
          <w:tab w:val="left" w:pos="426"/>
        </w:tabs>
        <w:spacing w:before="240" w:after="240" w:line="276" w:lineRule="auto"/>
        <w:ind w:left="567" w:right="567"/>
        <w:jc w:val="both"/>
        <w:rPr>
          <w:rFonts w:ascii="Palatino Linotype" w:hAnsi="Palatino Linotype"/>
          <w:i/>
          <w:sz w:val="22"/>
        </w:rPr>
      </w:pPr>
      <w:r w:rsidRPr="00785321">
        <w:rPr>
          <w:rFonts w:ascii="Palatino Linotype" w:hAnsi="Palatino Linotype"/>
          <w:b/>
          <w:i/>
          <w:sz w:val="22"/>
        </w:rPr>
        <w:t>VII.</w:t>
      </w:r>
      <w:r w:rsidRPr="00785321">
        <w:rPr>
          <w:rFonts w:ascii="Palatino Linotype" w:hAnsi="Palatino Linotype"/>
          <w:i/>
          <w:sz w:val="22"/>
        </w:rPr>
        <w:t xml:space="preserve"> La copia de la respuesta que se impugna y, en su caso, de la notificación correspondiente, en el caso de respuesta de la solicitud; y </w:t>
      </w:r>
    </w:p>
    <w:p w14:paraId="33BFC531" w14:textId="77777777" w:rsidR="00F12DDE" w:rsidRDefault="00F12DDE" w:rsidP="00F12DDE">
      <w:pPr>
        <w:pStyle w:val="Prrafodelista"/>
        <w:tabs>
          <w:tab w:val="left" w:pos="426"/>
        </w:tabs>
        <w:spacing w:before="240" w:after="240" w:line="276" w:lineRule="auto"/>
        <w:ind w:left="567" w:right="567"/>
        <w:jc w:val="both"/>
        <w:rPr>
          <w:rFonts w:ascii="Palatino Linotype" w:hAnsi="Palatino Linotype"/>
          <w:i/>
          <w:sz w:val="22"/>
        </w:rPr>
      </w:pPr>
      <w:r w:rsidRPr="00785321">
        <w:rPr>
          <w:rFonts w:ascii="Palatino Linotype" w:hAnsi="Palatino Linotype"/>
          <w:b/>
          <w:i/>
          <w:sz w:val="22"/>
        </w:rPr>
        <w:t>VIII.</w:t>
      </w:r>
      <w:r w:rsidRPr="00785321">
        <w:rPr>
          <w:rFonts w:ascii="Palatino Linotype" w:hAnsi="Palatino Linotype"/>
          <w:i/>
          <w:sz w:val="22"/>
        </w:rPr>
        <w:t xml:space="preserve"> Firma del recurrente, en su caso, cuando se presente por escrito, requisito sin el cual se dará trámite al recurso. </w:t>
      </w:r>
    </w:p>
    <w:p w14:paraId="5EFCB813" w14:textId="77777777" w:rsidR="00F12DDE" w:rsidRDefault="00F12DDE" w:rsidP="00F12DDE">
      <w:pPr>
        <w:pStyle w:val="Prrafodelista"/>
        <w:tabs>
          <w:tab w:val="left" w:pos="426"/>
        </w:tabs>
        <w:spacing w:before="240" w:after="240" w:line="276" w:lineRule="auto"/>
        <w:ind w:left="567" w:right="567"/>
        <w:jc w:val="both"/>
        <w:rPr>
          <w:rFonts w:ascii="Palatino Linotype" w:hAnsi="Palatino Linotype"/>
          <w:i/>
          <w:sz w:val="22"/>
        </w:rPr>
      </w:pPr>
      <w:r w:rsidRPr="00785321">
        <w:rPr>
          <w:rFonts w:ascii="Palatino Linotype" w:hAnsi="Palatino Linotype"/>
          <w:b/>
          <w:i/>
          <w:sz w:val="22"/>
        </w:rPr>
        <w:t>Adicionalmente, se podrán anexar las pruebas y demás elementos que considere procedentes someter a juicio del Instituto.</w:t>
      </w:r>
    </w:p>
    <w:p w14:paraId="202E917D" w14:textId="77777777" w:rsidR="00F12DDE" w:rsidRDefault="00F12DDE" w:rsidP="00F12DDE">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i/>
          <w:sz w:val="22"/>
        </w:rPr>
        <w:t>(…)</w:t>
      </w:r>
    </w:p>
    <w:p w14:paraId="05CD0D6C" w14:textId="77777777" w:rsidR="00F12DDE" w:rsidRDefault="00F12DDE" w:rsidP="00682566">
      <w:pPr>
        <w:pStyle w:val="Prrafodelista"/>
        <w:tabs>
          <w:tab w:val="left" w:pos="426"/>
        </w:tabs>
        <w:spacing w:before="240" w:after="240" w:line="276" w:lineRule="auto"/>
        <w:ind w:left="567" w:right="567"/>
        <w:jc w:val="both"/>
        <w:rPr>
          <w:rFonts w:ascii="Palatino Linotype" w:hAnsi="Palatino Linotype"/>
          <w:b/>
          <w:i/>
          <w:sz w:val="22"/>
        </w:rPr>
      </w:pPr>
    </w:p>
    <w:p w14:paraId="5F547C18" w14:textId="77777777" w:rsidR="00682566" w:rsidRDefault="00682566" w:rsidP="00682566">
      <w:pPr>
        <w:pStyle w:val="Prrafodelista"/>
        <w:tabs>
          <w:tab w:val="left" w:pos="426"/>
        </w:tabs>
        <w:spacing w:before="240" w:after="240" w:line="276" w:lineRule="auto"/>
        <w:ind w:left="567" w:right="567"/>
        <w:jc w:val="both"/>
        <w:rPr>
          <w:rFonts w:ascii="Palatino Linotype" w:hAnsi="Palatino Linotype"/>
          <w:i/>
          <w:sz w:val="22"/>
        </w:rPr>
      </w:pPr>
      <w:r w:rsidRPr="00CA62D4">
        <w:rPr>
          <w:rFonts w:ascii="Palatino Linotype" w:hAnsi="Palatino Linotype"/>
          <w:b/>
          <w:i/>
          <w:sz w:val="22"/>
        </w:rPr>
        <w:t xml:space="preserve">Artículo 185. </w:t>
      </w:r>
      <w:r w:rsidRPr="00CA62D4">
        <w:rPr>
          <w:rFonts w:ascii="Palatino Linotype" w:hAnsi="Palatino Linotype"/>
          <w:i/>
          <w:sz w:val="22"/>
        </w:rPr>
        <w:t xml:space="preserve">El Instituto resolverá el recurso de revisión conforme a lo siguiente: </w:t>
      </w:r>
    </w:p>
    <w:p w14:paraId="472994BD" w14:textId="77777777" w:rsidR="00682566" w:rsidRDefault="00682566" w:rsidP="00682566">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i/>
          <w:sz w:val="22"/>
        </w:rPr>
        <w:t>(…)</w:t>
      </w:r>
    </w:p>
    <w:p w14:paraId="213BDF58" w14:textId="77777777" w:rsidR="00682566" w:rsidRDefault="00682566" w:rsidP="00682566">
      <w:pPr>
        <w:pStyle w:val="Prrafodelista"/>
        <w:tabs>
          <w:tab w:val="left" w:pos="426"/>
        </w:tabs>
        <w:spacing w:before="240" w:after="240" w:line="276" w:lineRule="auto"/>
        <w:ind w:left="567" w:right="567"/>
        <w:jc w:val="both"/>
        <w:rPr>
          <w:rFonts w:ascii="Palatino Linotype" w:hAnsi="Palatino Linotype"/>
          <w:i/>
          <w:sz w:val="22"/>
        </w:rPr>
      </w:pPr>
      <w:r w:rsidRPr="00CA62D4">
        <w:rPr>
          <w:rFonts w:ascii="Palatino Linotype" w:hAnsi="Palatino Linotype"/>
          <w:b/>
          <w:i/>
          <w:sz w:val="22"/>
        </w:rPr>
        <w:lastRenderedPageBreak/>
        <w:t xml:space="preserve"> II.</w:t>
      </w:r>
      <w:r w:rsidRPr="00CA62D4">
        <w:rPr>
          <w:rFonts w:ascii="Palatino Linotype" w:hAnsi="Palatino Linotype"/>
          <w:i/>
          <w:sz w:val="22"/>
        </w:rPr>
        <w:t xml:space="preserve"> Admitido el recurso de revisión, la o el Comisionado ponente deberá integrar un expediente y ponerlo a disposición de las partes, para que, en un plazo máximo de siete días hábiles, manifiesten lo que a su derecho convenga; </w:t>
      </w:r>
    </w:p>
    <w:p w14:paraId="10F3EDCA" w14:textId="77777777" w:rsidR="00682566" w:rsidRPr="00CA62D4" w:rsidRDefault="00682566" w:rsidP="00682566">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i/>
          <w:sz w:val="22"/>
        </w:rPr>
        <w:t>(…)</w:t>
      </w:r>
    </w:p>
    <w:p w14:paraId="78F62869" w14:textId="77777777" w:rsidR="00682566" w:rsidRPr="00785321" w:rsidRDefault="00682566" w:rsidP="0068256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CA62D4">
        <w:rPr>
          <w:rFonts w:ascii="Palatino Linotype" w:hAnsi="Palatino Linotype"/>
          <w:b/>
          <w:i/>
          <w:sz w:val="22"/>
        </w:rPr>
        <w:t>IV. Dentro del plazo mencionado en la fracción II, las partes podrán ofrecer todo tipo de pruebas o alegatos</w:t>
      </w:r>
      <w:r w:rsidRPr="00CA62D4">
        <w:rPr>
          <w:rFonts w:ascii="Palatino Linotype" w:hAnsi="Palatino Linotype"/>
          <w:i/>
          <w:sz w:val="22"/>
        </w:rPr>
        <w:t xml:space="preserve"> excepto la confesional por parte de los sujetos obligados y aquéllas que sean contrarias a derecho;</w:t>
      </w:r>
      <w:r>
        <w:rPr>
          <w:rFonts w:ascii="Palatino Linotype" w:hAnsi="Palatino Linotype"/>
          <w:i/>
          <w:sz w:val="22"/>
        </w:rPr>
        <w:t>”</w:t>
      </w:r>
    </w:p>
    <w:p w14:paraId="721063C4" w14:textId="77777777" w:rsidR="00682566" w:rsidRDefault="00682566" w:rsidP="00682566">
      <w:pPr>
        <w:pStyle w:val="Prrafodelista"/>
        <w:tabs>
          <w:tab w:val="left" w:pos="426"/>
        </w:tabs>
        <w:spacing w:before="240" w:after="240" w:line="360" w:lineRule="auto"/>
        <w:ind w:left="0" w:right="51"/>
        <w:jc w:val="both"/>
        <w:rPr>
          <w:rFonts w:ascii="Palatino Linotype" w:hAnsi="Palatino Linotype"/>
          <w:color w:val="000000" w:themeColor="text1"/>
        </w:rPr>
      </w:pPr>
    </w:p>
    <w:p w14:paraId="3F56536A" w14:textId="1AE0FEB8" w:rsidR="00682566" w:rsidRDefault="00682566"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la lectura a los dispositivos normativos insertos </w:t>
      </w:r>
      <w:r>
        <w:rPr>
          <w:rFonts w:ascii="Palatino Linotype" w:hAnsi="Palatino Linotype"/>
          <w:i/>
          <w:color w:val="000000" w:themeColor="text1"/>
        </w:rPr>
        <w:t>supra</w:t>
      </w:r>
      <w:r>
        <w:rPr>
          <w:rFonts w:ascii="Palatino Linotype" w:hAnsi="Palatino Linotype"/>
          <w:color w:val="000000" w:themeColor="text1"/>
        </w:rPr>
        <w:t xml:space="preserve"> se identifican los elementos esenciales que deberá contener el recurso de revisión para que éste sea procedente; así mismo, se señala que, adicionalmente, el </w:t>
      </w:r>
      <w:r>
        <w:rPr>
          <w:rFonts w:ascii="Palatino Linotype" w:hAnsi="Palatino Linotype"/>
          <w:b/>
          <w:color w:val="000000" w:themeColor="text1"/>
        </w:rPr>
        <w:t>RECURRENTE</w:t>
      </w:r>
      <w:r>
        <w:rPr>
          <w:rFonts w:ascii="Palatino Linotype" w:hAnsi="Palatino Linotype"/>
          <w:color w:val="000000" w:themeColor="text1"/>
        </w:rPr>
        <w:t xml:space="preserve"> podrá adjuntar las pruebas y demás elementos que considere procedentes para que sean sometidos a juicio de este Órgano Garante, resultando en el mismo sentido en favor del </w:t>
      </w:r>
      <w:r>
        <w:rPr>
          <w:rFonts w:ascii="Palatino Linotype" w:hAnsi="Palatino Linotype"/>
          <w:b/>
          <w:color w:val="000000" w:themeColor="text1"/>
        </w:rPr>
        <w:t>SUJETO OBLIGADO</w:t>
      </w:r>
      <w:r>
        <w:rPr>
          <w:rFonts w:ascii="Palatino Linotype" w:hAnsi="Palatino Linotype"/>
          <w:color w:val="000000" w:themeColor="text1"/>
        </w:rPr>
        <w:t>, ya que dentro de la etapa de instrucción del recurso de revisión, también podrá aportar todo tipo de pruebas o alegatos.</w:t>
      </w:r>
    </w:p>
    <w:p w14:paraId="6A42FF41" w14:textId="77777777" w:rsidR="00682566" w:rsidRDefault="00682566" w:rsidP="00682566">
      <w:pPr>
        <w:pStyle w:val="Prrafodelista"/>
        <w:tabs>
          <w:tab w:val="left" w:pos="426"/>
        </w:tabs>
        <w:spacing w:before="240" w:after="240" w:line="360" w:lineRule="auto"/>
        <w:ind w:left="0" w:right="51"/>
        <w:jc w:val="both"/>
        <w:rPr>
          <w:rFonts w:ascii="Palatino Linotype" w:hAnsi="Palatino Linotype"/>
          <w:color w:val="000000" w:themeColor="text1"/>
        </w:rPr>
      </w:pPr>
    </w:p>
    <w:p w14:paraId="18952949" w14:textId="0A015417" w:rsidR="00682566" w:rsidRDefault="00F12DDE"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Dicho lo anterior, si bien es cierto que la Ley de la materia no considera </w:t>
      </w:r>
      <w:r>
        <w:rPr>
          <w:rFonts w:ascii="Palatino Linotype" w:hAnsi="Palatino Linotype"/>
          <w:i/>
          <w:color w:val="000000" w:themeColor="text1"/>
        </w:rPr>
        <w:t>per se</w:t>
      </w:r>
      <w:r>
        <w:rPr>
          <w:rFonts w:ascii="Palatino Linotype" w:hAnsi="Palatino Linotype"/>
          <w:color w:val="000000" w:themeColor="text1"/>
        </w:rPr>
        <w:t xml:space="preserve"> un apartado específico relativo a la valoración de las pruebas que presenten las partes, también lo es que reconoce, expresamente, que durante la </w:t>
      </w:r>
      <w:r w:rsidRPr="002D28CB">
        <w:rPr>
          <w:rFonts w:ascii="Palatino Linotype" w:hAnsi="Palatino Linotype"/>
          <w:color w:val="000000" w:themeColor="text1"/>
        </w:rPr>
        <w:t>tramitación del recurso de revisión se aplicarán supletoriamente las disposiciones contenidas en el Código de Procedimientos Administrativos del Estado de México</w:t>
      </w:r>
      <w:r>
        <w:rPr>
          <w:rStyle w:val="Refdenotaalpie"/>
          <w:rFonts w:ascii="Palatino Linotype" w:hAnsi="Palatino Linotype"/>
          <w:color w:val="000000" w:themeColor="text1"/>
        </w:rPr>
        <w:footnoteReference w:id="9"/>
      </w:r>
      <w:r w:rsidRPr="002D28CB">
        <w:rPr>
          <w:rFonts w:ascii="Palatino Linotype" w:hAnsi="Palatino Linotype"/>
          <w:color w:val="000000" w:themeColor="text1"/>
        </w:rPr>
        <w:t>.</w:t>
      </w:r>
    </w:p>
    <w:p w14:paraId="27476277" w14:textId="77777777" w:rsidR="00682566" w:rsidRDefault="00682566" w:rsidP="00682566">
      <w:pPr>
        <w:pStyle w:val="Prrafodelista"/>
        <w:tabs>
          <w:tab w:val="left" w:pos="426"/>
        </w:tabs>
        <w:spacing w:before="240" w:after="240" w:line="360" w:lineRule="auto"/>
        <w:ind w:left="0" w:right="51"/>
        <w:jc w:val="both"/>
        <w:rPr>
          <w:rFonts w:ascii="Palatino Linotype" w:hAnsi="Palatino Linotype"/>
          <w:color w:val="000000" w:themeColor="text1"/>
        </w:rPr>
      </w:pPr>
    </w:p>
    <w:p w14:paraId="22FC4845" w14:textId="362650F4" w:rsidR="00682566" w:rsidRDefault="00F12DDE"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Al respecto, el Código de Procedimientos Administrativos del Estado de México, en su numeral 38, enlista y reconoce los medios de prueba admisibles en el procedimiento administrativo, a saber:</w:t>
      </w:r>
    </w:p>
    <w:p w14:paraId="43E4E149" w14:textId="77777777" w:rsidR="00F12DDE" w:rsidRPr="002D28CB" w:rsidRDefault="00F12DDE" w:rsidP="00F12DDE">
      <w:pPr>
        <w:pStyle w:val="Prrafodelista"/>
        <w:numPr>
          <w:ilvl w:val="1"/>
          <w:numId w:val="45"/>
        </w:numPr>
        <w:tabs>
          <w:tab w:val="left" w:pos="426"/>
        </w:tabs>
        <w:spacing w:before="240" w:after="240" w:line="276" w:lineRule="auto"/>
        <w:ind w:left="1134" w:right="51"/>
        <w:jc w:val="both"/>
        <w:rPr>
          <w:rFonts w:ascii="Palatino Linotype" w:hAnsi="Palatino Linotype"/>
          <w:color w:val="000000" w:themeColor="text1"/>
        </w:rPr>
      </w:pPr>
      <w:r>
        <w:rPr>
          <w:rFonts w:ascii="Palatino Linotype" w:hAnsi="Palatino Linotype"/>
          <w:color w:val="000000" w:themeColor="text1"/>
        </w:rPr>
        <w:lastRenderedPageBreak/>
        <w:t>Confesional</w:t>
      </w:r>
      <w:r w:rsidRPr="002D28CB">
        <w:rPr>
          <w:rFonts w:ascii="Palatino Linotype" w:hAnsi="Palatino Linotype"/>
          <w:color w:val="000000" w:themeColor="text1"/>
        </w:rPr>
        <w:t>;</w:t>
      </w:r>
    </w:p>
    <w:p w14:paraId="3EA390F3" w14:textId="77777777" w:rsidR="00F12DDE" w:rsidRPr="00036427" w:rsidRDefault="00F12DDE" w:rsidP="00F12DDE">
      <w:pPr>
        <w:pStyle w:val="Prrafodelista"/>
        <w:numPr>
          <w:ilvl w:val="1"/>
          <w:numId w:val="45"/>
        </w:numPr>
        <w:tabs>
          <w:tab w:val="left" w:pos="426"/>
        </w:tabs>
        <w:spacing w:before="240" w:after="240" w:line="276" w:lineRule="auto"/>
        <w:ind w:left="1134" w:right="51"/>
        <w:jc w:val="both"/>
        <w:rPr>
          <w:rFonts w:ascii="Palatino Linotype" w:hAnsi="Palatino Linotype"/>
          <w:b/>
          <w:color w:val="000000" w:themeColor="text1"/>
        </w:rPr>
      </w:pPr>
      <w:r w:rsidRPr="00036427">
        <w:rPr>
          <w:rFonts w:ascii="Palatino Linotype" w:hAnsi="Palatino Linotype"/>
          <w:b/>
          <w:color w:val="000000" w:themeColor="text1"/>
        </w:rPr>
        <w:t>Documentos públicos y privados;</w:t>
      </w:r>
    </w:p>
    <w:p w14:paraId="23FC958B" w14:textId="77777777" w:rsidR="00F12DDE" w:rsidRPr="002D28CB" w:rsidRDefault="00F12DDE" w:rsidP="00F12DDE">
      <w:pPr>
        <w:pStyle w:val="Prrafodelista"/>
        <w:numPr>
          <w:ilvl w:val="1"/>
          <w:numId w:val="45"/>
        </w:numPr>
        <w:tabs>
          <w:tab w:val="left" w:pos="426"/>
        </w:tabs>
        <w:spacing w:before="240" w:after="240" w:line="276" w:lineRule="auto"/>
        <w:ind w:left="1134" w:right="51"/>
        <w:jc w:val="both"/>
        <w:rPr>
          <w:rFonts w:ascii="Palatino Linotype" w:hAnsi="Palatino Linotype"/>
          <w:color w:val="000000" w:themeColor="text1"/>
        </w:rPr>
      </w:pPr>
      <w:r w:rsidRPr="002D28CB">
        <w:rPr>
          <w:rFonts w:ascii="Palatino Linotype" w:hAnsi="Palatino Linotype"/>
          <w:color w:val="000000" w:themeColor="text1"/>
        </w:rPr>
        <w:t>Testimonial;</w:t>
      </w:r>
    </w:p>
    <w:p w14:paraId="2C01B21D" w14:textId="77777777" w:rsidR="00F12DDE" w:rsidRPr="002D28CB" w:rsidRDefault="00F12DDE" w:rsidP="00F12DDE">
      <w:pPr>
        <w:pStyle w:val="Prrafodelista"/>
        <w:numPr>
          <w:ilvl w:val="1"/>
          <w:numId w:val="45"/>
        </w:numPr>
        <w:tabs>
          <w:tab w:val="left" w:pos="426"/>
        </w:tabs>
        <w:spacing w:before="240" w:after="240" w:line="276" w:lineRule="auto"/>
        <w:ind w:left="1134" w:right="51"/>
        <w:jc w:val="both"/>
        <w:rPr>
          <w:rFonts w:ascii="Palatino Linotype" w:hAnsi="Palatino Linotype"/>
          <w:color w:val="000000" w:themeColor="text1"/>
        </w:rPr>
      </w:pPr>
      <w:r w:rsidRPr="002D28CB">
        <w:rPr>
          <w:rFonts w:ascii="Palatino Linotype" w:hAnsi="Palatino Linotype"/>
          <w:color w:val="000000" w:themeColor="text1"/>
        </w:rPr>
        <w:t>Inspección;</w:t>
      </w:r>
    </w:p>
    <w:p w14:paraId="581ADA5A" w14:textId="77777777" w:rsidR="00F12DDE" w:rsidRPr="002D28CB" w:rsidRDefault="00F12DDE" w:rsidP="00F12DDE">
      <w:pPr>
        <w:pStyle w:val="Prrafodelista"/>
        <w:numPr>
          <w:ilvl w:val="1"/>
          <w:numId w:val="45"/>
        </w:numPr>
        <w:tabs>
          <w:tab w:val="left" w:pos="426"/>
        </w:tabs>
        <w:spacing w:before="240" w:after="240" w:line="276" w:lineRule="auto"/>
        <w:ind w:left="1134" w:right="51"/>
        <w:jc w:val="both"/>
        <w:rPr>
          <w:rFonts w:ascii="Palatino Linotype" w:hAnsi="Palatino Linotype"/>
          <w:color w:val="000000" w:themeColor="text1"/>
        </w:rPr>
      </w:pPr>
      <w:r w:rsidRPr="002D28CB">
        <w:rPr>
          <w:rFonts w:ascii="Palatino Linotype" w:hAnsi="Palatino Linotype"/>
          <w:color w:val="000000" w:themeColor="text1"/>
        </w:rPr>
        <w:t>Pericial;</w:t>
      </w:r>
    </w:p>
    <w:p w14:paraId="1937840B" w14:textId="77777777" w:rsidR="00F12DDE" w:rsidRPr="002D28CB" w:rsidRDefault="00F12DDE" w:rsidP="00F12DDE">
      <w:pPr>
        <w:pStyle w:val="Prrafodelista"/>
        <w:numPr>
          <w:ilvl w:val="1"/>
          <w:numId w:val="45"/>
        </w:numPr>
        <w:tabs>
          <w:tab w:val="left" w:pos="426"/>
        </w:tabs>
        <w:spacing w:before="240" w:after="240" w:line="276" w:lineRule="auto"/>
        <w:ind w:left="1134" w:right="51"/>
        <w:jc w:val="both"/>
        <w:rPr>
          <w:rFonts w:ascii="Palatino Linotype" w:hAnsi="Palatino Linotype"/>
          <w:color w:val="000000" w:themeColor="text1"/>
        </w:rPr>
      </w:pPr>
      <w:r w:rsidRPr="002D28CB">
        <w:rPr>
          <w:rFonts w:ascii="Palatino Linotype" w:hAnsi="Palatino Linotype"/>
          <w:color w:val="000000" w:themeColor="text1"/>
        </w:rPr>
        <w:t>Presuncional;</w:t>
      </w:r>
    </w:p>
    <w:p w14:paraId="01D14934" w14:textId="77777777" w:rsidR="00F12DDE" w:rsidRPr="002D28CB" w:rsidRDefault="00F12DDE" w:rsidP="00F12DDE">
      <w:pPr>
        <w:pStyle w:val="Prrafodelista"/>
        <w:numPr>
          <w:ilvl w:val="1"/>
          <w:numId w:val="45"/>
        </w:numPr>
        <w:tabs>
          <w:tab w:val="left" w:pos="426"/>
        </w:tabs>
        <w:spacing w:before="240" w:after="240" w:line="276" w:lineRule="auto"/>
        <w:ind w:left="1134" w:right="51"/>
        <w:jc w:val="both"/>
        <w:rPr>
          <w:rFonts w:ascii="Palatino Linotype" w:hAnsi="Palatino Linotype"/>
          <w:color w:val="000000" w:themeColor="text1"/>
        </w:rPr>
      </w:pPr>
      <w:r w:rsidRPr="002D28CB">
        <w:rPr>
          <w:rFonts w:ascii="Palatino Linotype" w:hAnsi="Palatino Linotype"/>
          <w:color w:val="000000" w:themeColor="text1"/>
        </w:rPr>
        <w:t>Instrumental; y</w:t>
      </w:r>
    </w:p>
    <w:p w14:paraId="76FC7F7F" w14:textId="73E1F485" w:rsidR="00F12DDE" w:rsidRPr="00F12DDE" w:rsidRDefault="00F12DDE" w:rsidP="00F12DDE">
      <w:pPr>
        <w:pStyle w:val="Prrafodelista"/>
        <w:numPr>
          <w:ilvl w:val="1"/>
          <w:numId w:val="45"/>
        </w:numPr>
        <w:tabs>
          <w:tab w:val="left" w:pos="426"/>
        </w:tabs>
        <w:spacing w:line="360" w:lineRule="auto"/>
        <w:ind w:left="1134"/>
        <w:jc w:val="both"/>
        <w:rPr>
          <w:rFonts w:ascii="Palatino Linotype" w:hAnsi="Palatino Linotype"/>
          <w:color w:val="000000" w:themeColor="text1"/>
        </w:rPr>
      </w:pPr>
      <w:r w:rsidRPr="002D28CB">
        <w:rPr>
          <w:rFonts w:ascii="Palatino Linotype" w:hAnsi="Palatino Linotype"/>
          <w:color w:val="000000" w:themeColor="text1"/>
        </w:rPr>
        <w:t>Fotografías y demás elementos aportados por la ciencia.</w:t>
      </w:r>
    </w:p>
    <w:p w14:paraId="789940C0" w14:textId="77777777" w:rsidR="00682566" w:rsidRDefault="00682566" w:rsidP="00682566">
      <w:pPr>
        <w:pStyle w:val="Prrafodelista"/>
        <w:tabs>
          <w:tab w:val="left" w:pos="426"/>
        </w:tabs>
        <w:spacing w:before="240" w:after="240" w:line="360" w:lineRule="auto"/>
        <w:ind w:left="0" w:right="51"/>
        <w:jc w:val="both"/>
        <w:rPr>
          <w:rFonts w:ascii="Palatino Linotype" w:hAnsi="Palatino Linotype"/>
          <w:color w:val="000000" w:themeColor="text1"/>
        </w:rPr>
      </w:pPr>
    </w:p>
    <w:p w14:paraId="40E0697A" w14:textId="00CE0782" w:rsidR="00682566" w:rsidRDefault="00F12DDE"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Siendo </w:t>
      </w:r>
      <w:r>
        <w:rPr>
          <w:rFonts w:ascii="Palatino Linotype" w:eastAsia="Calibri" w:hAnsi="Palatino Linotype" w:cs="Arial"/>
          <w:color w:val="000000" w:themeColor="text1"/>
        </w:rPr>
        <w:t xml:space="preserve">de especial interés la prueba </w:t>
      </w:r>
      <w:r>
        <w:rPr>
          <w:rFonts w:ascii="Palatino Linotype" w:eastAsia="Calibri" w:hAnsi="Palatino Linotype" w:cs="Arial"/>
          <w:b/>
          <w:color w:val="000000" w:themeColor="text1"/>
        </w:rPr>
        <w:t>documental</w:t>
      </w:r>
      <w:r>
        <w:rPr>
          <w:rFonts w:ascii="Palatino Linotype" w:eastAsia="Calibri" w:hAnsi="Palatino Linotype" w:cs="Arial"/>
          <w:color w:val="000000" w:themeColor="text1"/>
        </w:rPr>
        <w:t xml:space="preserve">, la cual fue señalada por el </w:t>
      </w:r>
      <w:r>
        <w:rPr>
          <w:rFonts w:ascii="Palatino Linotype" w:eastAsia="Calibri" w:hAnsi="Palatino Linotype" w:cs="Arial"/>
          <w:b/>
          <w:color w:val="000000" w:themeColor="text1"/>
        </w:rPr>
        <w:t>SUJETO OBLIGADO</w:t>
      </w:r>
      <w:r>
        <w:rPr>
          <w:rFonts w:ascii="Palatino Linotype" w:eastAsia="Calibri" w:hAnsi="Palatino Linotype" w:cs="Arial"/>
          <w:color w:val="000000" w:themeColor="text1"/>
        </w:rPr>
        <w:t xml:space="preserve"> dentro del informe justificado, en relación con el oficio número </w:t>
      </w:r>
      <w:r>
        <w:rPr>
          <w:rFonts w:ascii="Palatino Linotype" w:hAnsi="Palatino Linotype"/>
          <w:color w:val="000000" w:themeColor="text1"/>
        </w:rPr>
        <w:t>CHI/O.P 140/2021, de veinte (20) de septiembre de dos mil veintiuno, entregado en la respuesta inicial.</w:t>
      </w:r>
    </w:p>
    <w:p w14:paraId="794C474D" w14:textId="77777777" w:rsidR="00F12DDE" w:rsidRDefault="00F12DDE" w:rsidP="00F12DDE">
      <w:pPr>
        <w:pStyle w:val="Prrafodelista"/>
        <w:tabs>
          <w:tab w:val="left" w:pos="426"/>
        </w:tabs>
        <w:spacing w:before="240" w:after="240" w:line="360" w:lineRule="auto"/>
        <w:ind w:left="0" w:right="51"/>
        <w:jc w:val="both"/>
        <w:rPr>
          <w:rFonts w:ascii="Palatino Linotype" w:hAnsi="Palatino Linotype"/>
          <w:color w:val="000000" w:themeColor="text1"/>
        </w:rPr>
      </w:pPr>
    </w:p>
    <w:p w14:paraId="7B02C038" w14:textId="2819559F" w:rsidR="00F12DDE" w:rsidRPr="00F12DDE" w:rsidRDefault="00F12DDE"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w:t>
      </w:r>
      <w:r>
        <w:rPr>
          <w:rFonts w:ascii="Palatino Linotype" w:eastAsia="Calibri" w:hAnsi="Palatino Linotype" w:cs="Arial"/>
          <w:color w:val="000000" w:themeColor="text1"/>
        </w:rPr>
        <w:t xml:space="preserve">respecto, el Código de Procedimientos Administrativos del Estado de México, en su artículo 57, reconoce por </w:t>
      </w:r>
      <w:r>
        <w:rPr>
          <w:rFonts w:ascii="Palatino Linotype" w:eastAsia="Calibri" w:hAnsi="Palatino Linotype" w:cs="Arial"/>
          <w:b/>
          <w:color w:val="000000" w:themeColor="text1"/>
        </w:rPr>
        <w:t>documentos públicos</w:t>
      </w:r>
      <w:r>
        <w:rPr>
          <w:rFonts w:ascii="Palatino Linotype" w:eastAsia="Calibri" w:hAnsi="Palatino Linotype" w:cs="Arial"/>
          <w:color w:val="000000" w:themeColor="text1"/>
        </w:rPr>
        <w:t xml:space="preserve"> </w:t>
      </w:r>
      <w:r w:rsidRPr="002617DC">
        <w:rPr>
          <w:rFonts w:ascii="Palatino Linotype" w:eastAsia="Calibri" w:hAnsi="Palatino Linotype" w:cs="Arial"/>
          <w:color w:val="000000" w:themeColor="text1"/>
        </w:rPr>
        <w:t>aquéllos cuya formulación está encomendada por ley, dentro de los límites de sus facultades, a las personas dotadas de fe pública y los expedidos por servidores públicos en</w:t>
      </w:r>
      <w:r>
        <w:rPr>
          <w:rFonts w:ascii="Palatino Linotype" w:eastAsia="Calibri" w:hAnsi="Palatino Linotype" w:cs="Arial"/>
          <w:color w:val="000000" w:themeColor="text1"/>
        </w:rPr>
        <w:t xml:space="preserve"> el ejercicio de sus funciones; asimismo, refiere que la </w:t>
      </w:r>
      <w:r w:rsidRPr="002617DC">
        <w:rPr>
          <w:rFonts w:ascii="Palatino Linotype" w:eastAsia="Calibri" w:hAnsi="Palatino Linotype" w:cs="Arial"/>
          <w:color w:val="000000" w:themeColor="text1"/>
        </w:rPr>
        <w:t>calidad de públicos se demuestra por la existencia regular, sobre los documentos, de sellos, firmas u otros signos exteriores que, en su caso, prevengan las leyes, salvo prueba en contrario.</w:t>
      </w:r>
      <w:r>
        <w:rPr>
          <w:rFonts w:ascii="Palatino Linotype" w:eastAsia="Calibri" w:hAnsi="Palatino Linotype" w:cs="Arial"/>
          <w:color w:val="000000" w:themeColor="text1"/>
        </w:rPr>
        <w:t xml:space="preserve"> Por otro lado, identifica a los </w:t>
      </w:r>
      <w:r>
        <w:rPr>
          <w:rFonts w:ascii="Palatino Linotype" w:eastAsia="Calibri" w:hAnsi="Palatino Linotype" w:cs="Arial"/>
          <w:b/>
          <w:color w:val="000000" w:themeColor="text1"/>
        </w:rPr>
        <w:t>documentos privados</w:t>
      </w:r>
      <w:r>
        <w:rPr>
          <w:rFonts w:ascii="Palatino Linotype" w:eastAsia="Calibri" w:hAnsi="Palatino Linotype" w:cs="Arial"/>
          <w:color w:val="000000" w:themeColor="text1"/>
        </w:rPr>
        <w:t xml:space="preserve"> a aquéllos que no reúnan las condiciones previstas para los públicos</w:t>
      </w:r>
      <w:r>
        <w:rPr>
          <w:rStyle w:val="Refdenotaalpie"/>
          <w:rFonts w:ascii="Palatino Linotype" w:eastAsia="Calibri" w:hAnsi="Palatino Linotype" w:cs="Arial"/>
          <w:color w:val="000000" w:themeColor="text1"/>
        </w:rPr>
        <w:footnoteReference w:id="10"/>
      </w:r>
      <w:r>
        <w:rPr>
          <w:rFonts w:ascii="Palatino Linotype" w:eastAsia="Calibri" w:hAnsi="Palatino Linotype" w:cs="Arial"/>
          <w:color w:val="000000" w:themeColor="text1"/>
        </w:rPr>
        <w:t>.</w:t>
      </w:r>
    </w:p>
    <w:p w14:paraId="586BCD0D" w14:textId="77777777" w:rsidR="00F12DDE" w:rsidRPr="00F12DDE" w:rsidRDefault="00F12DDE" w:rsidP="00F12DDE">
      <w:pPr>
        <w:pStyle w:val="Prrafodelista"/>
        <w:tabs>
          <w:tab w:val="left" w:pos="426"/>
        </w:tabs>
        <w:spacing w:before="240" w:after="240" w:line="360" w:lineRule="auto"/>
        <w:ind w:left="0" w:right="51"/>
        <w:jc w:val="both"/>
        <w:rPr>
          <w:rFonts w:ascii="Palatino Linotype" w:hAnsi="Palatino Linotype"/>
          <w:color w:val="000000" w:themeColor="text1"/>
        </w:rPr>
      </w:pPr>
    </w:p>
    <w:p w14:paraId="7FD5A923" w14:textId="35636062" w:rsidR="00F12DDE" w:rsidRDefault="00F12DDE"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Calibri" w:hAnsi="Palatino Linotype" w:cs="Arial"/>
          <w:color w:val="000000" w:themeColor="text1"/>
        </w:rPr>
        <w:lastRenderedPageBreak/>
        <w:t xml:space="preserve">Dicho lo anterior, tanto los medios de prueba, así como las constancias que obran en el expediente digital que se revisa, serán analizados dentro del estudio de la presente resolución, y permitirán que esta Órgano Garante se haga de tantos elementos posibles para llegar a una determinación apegada a derecho en estricta tutela del derecho de acceso a la información ejercido por el particular. </w:t>
      </w:r>
    </w:p>
    <w:p w14:paraId="196B2CF9" w14:textId="77777777" w:rsidR="0040600B" w:rsidRDefault="0040600B" w:rsidP="0040600B">
      <w:pPr>
        <w:pStyle w:val="Prrafodelista"/>
        <w:tabs>
          <w:tab w:val="left" w:pos="426"/>
        </w:tabs>
        <w:spacing w:before="240" w:after="240" w:line="360" w:lineRule="auto"/>
        <w:ind w:left="0" w:right="51"/>
        <w:jc w:val="both"/>
        <w:rPr>
          <w:rFonts w:ascii="Palatino Linotype" w:hAnsi="Palatino Linotype"/>
          <w:color w:val="000000" w:themeColor="text1"/>
        </w:rPr>
      </w:pPr>
    </w:p>
    <w:p w14:paraId="5547931D" w14:textId="35367A4D" w:rsidR="00910076" w:rsidRDefault="00F12DD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Así las cosas</w:t>
      </w:r>
      <w:r w:rsidR="00794C2B" w:rsidRPr="00794C2B">
        <w:rPr>
          <w:rFonts w:ascii="Palatino Linotype" w:hAnsi="Palatino Linotype"/>
          <w:color w:val="000000" w:themeColor="text1"/>
        </w:rPr>
        <w:t>, se procede a analizar</w:t>
      </w:r>
      <w:r w:rsidR="0039230E">
        <w:rPr>
          <w:rFonts w:ascii="Palatino Linotype" w:hAnsi="Palatino Linotype"/>
          <w:color w:val="000000" w:themeColor="text1"/>
        </w:rPr>
        <w:t xml:space="preserve"> la legalidad de la respuesta proveída por la Dirección de Obras Públicas, así como</w:t>
      </w:r>
      <w:r w:rsidR="00794C2B" w:rsidRPr="00794C2B">
        <w:rPr>
          <w:rFonts w:ascii="Palatino Linotype" w:hAnsi="Palatino Linotype"/>
          <w:color w:val="000000" w:themeColor="text1"/>
        </w:rPr>
        <w:t xml:space="preserve"> </w:t>
      </w:r>
      <w:r w:rsidR="00F36760">
        <w:rPr>
          <w:rFonts w:ascii="Palatino Linotype" w:hAnsi="Palatino Linotype"/>
          <w:color w:val="000000" w:themeColor="text1"/>
        </w:rPr>
        <w:t xml:space="preserve">el marco legal que engloba a la información solicitada, a fin de </w:t>
      </w:r>
      <w:r>
        <w:rPr>
          <w:rFonts w:ascii="Palatino Linotype" w:hAnsi="Palatino Linotype"/>
          <w:color w:val="000000" w:themeColor="text1"/>
        </w:rPr>
        <w:t>establecer si</w:t>
      </w:r>
      <w:r w:rsidR="00F36760">
        <w:rPr>
          <w:rFonts w:ascii="Palatino Linotype" w:hAnsi="Palatino Linotype"/>
          <w:color w:val="000000" w:themeColor="text1"/>
        </w:rPr>
        <w:t xml:space="preserve"> el </w:t>
      </w:r>
      <w:r w:rsidR="00F36760">
        <w:rPr>
          <w:rFonts w:ascii="Palatino Linotype" w:hAnsi="Palatino Linotype"/>
          <w:b/>
          <w:color w:val="000000" w:themeColor="text1"/>
        </w:rPr>
        <w:t>SUJETO OBLIGADO</w:t>
      </w:r>
      <w:r>
        <w:rPr>
          <w:rFonts w:ascii="Palatino Linotype" w:hAnsi="Palatino Linotype"/>
          <w:color w:val="000000" w:themeColor="text1"/>
        </w:rPr>
        <w:t xml:space="preserve"> colmó el derecho de acceso a la información del </w:t>
      </w:r>
      <w:r>
        <w:rPr>
          <w:rFonts w:ascii="Palatino Linotype" w:hAnsi="Palatino Linotype"/>
          <w:b/>
          <w:color w:val="000000" w:themeColor="text1"/>
        </w:rPr>
        <w:t>RECURRENTE</w:t>
      </w:r>
      <w:r w:rsidR="00F36760">
        <w:rPr>
          <w:rFonts w:ascii="Palatino Linotype" w:hAnsi="Palatino Linotype"/>
          <w:color w:val="000000" w:themeColor="text1"/>
        </w:rPr>
        <w:t>; o</w:t>
      </w:r>
      <w:r w:rsidR="0039230E">
        <w:rPr>
          <w:rFonts w:ascii="Palatino Linotype" w:hAnsi="Palatino Linotype"/>
          <w:color w:val="000000" w:themeColor="text1"/>
        </w:rPr>
        <w:t>,</w:t>
      </w:r>
      <w:r w:rsidR="00F36760">
        <w:rPr>
          <w:rFonts w:ascii="Palatino Linotype" w:hAnsi="Palatino Linotype"/>
          <w:color w:val="000000" w:themeColor="text1"/>
        </w:rPr>
        <w:t xml:space="preserve"> si por el contrario, procede la entrega de lo solicitado.</w:t>
      </w:r>
    </w:p>
    <w:p w14:paraId="596F40EE" w14:textId="77777777" w:rsidR="0039230E" w:rsidRDefault="0039230E" w:rsidP="0039230E">
      <w:pPr>
        <w:pStyle w:val="Prrafodelista"/>
        <w:tabs>
          <w:tab w:val="left" w:pos="426"/>
        </w:tabs>
        <w:spacing w:before="240" w:after="240" w:line="360" w:lineRule="auto"/>
        <w:ind w:left="0" w:right="51"/>
        <w:jc w:val="both"/>
        <w:rPr>
          <w:rFonts w:ascii="Palatino Linotype" w:hAnsi="Palatino Linotype"/>
          <w:color w:val="000000" w:themeColor="text1"/>
        </w:rPr>
      </w:pPr>
    </w:p>
    <w:p w14:paraId="7BEF790C" w14:textId="4C0DEEED" w:rsidR="0039230E" w:rsidRPr="0039230E" w:rsidRDefault="0039230E" w:rsidP="003923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8" w:name="_Toc89350462"/>
      <w:r>
        <w:rPr>
          <w:rFonts w:ascii="Palatino Linotype" w:hAnsi="Palatino Linotype"/>
          <w:b/>
          <w:color w:val="000000" w:themeColor="text1"/>
        </w:rPr>
        <w:t>III. Del enlace proporcionado para consultar la información.</w:t>
      </w:r>
      <w:bookmarkEnd w:id="28"/>
    </w:p>
    <w:p w14:paraId="5F6193E6" w14:textId="77777777" w:rsidR="0039230E" w:rsidRDefault="0039230E" w:rsidP="0039230E">
      <w:pPr>
        <w:pStyle w:val="Prrafodelista"/>
        <w:tabs>
          <w:tab w:val="left" w:pos="426"/>
        </w:tabs>
        <w:spacing w:before="240" w:after="240" w:line="360" w:lineRule="auto"/>
        <w:ind w:left="0" w:right="51"/>
        <w:jc w:val="both"/>
        <w:rPr>
          <w:rFonts w:ascii="Palatino Linotype" w:hAnsi="Palatino Linotype"/>
          <w:color w:val="000000" w:themeColor="text1"/>
        </w:rPr>
      </w:pPr>
    </w:p>
    <w:p w14:paraId="2A9EA9A2" w14:textId="47AC2996" w:rsidR="0039230E" w:rsidRDefault="0039230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39230E">
        <w:rPr>
          <w:rFonts w:ascii="Palatino Linotype" w:hAnsi="Palatino Linotype"/>
          <w:color w:val="000000" w:themeColor="text1"/>
        </w:rPr>
        <w:t xml:space="preserve">artículo 161 de la Ley de Transparencia y Acceso a la Información Pública del Estado de México y Municipios establece que, cuando la </w:t>
      </w:r>
      <w:r w:rsidRPr="0039230E">
        <w:rPr>
          <w:rFonts w:ascii="Palatino Linotype" w:hAnsi="Palatino Linotype"/>
          <w:color w:val="000000" w:themeColor="text1"/>
          <w:lang w:val="es-ES_tradnl"/>
        </w:rPr>
        <w:t xml:space="preserve">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39230E">
        <w:rPr>
          <w:rFonts w:ascii="Palatino Linotype" w:hAnsi="Palatino Linotype"/>
          <w:b/>
          <w:color w:val="000000" w:themeColor="text1"/>
          <w:lang w:val="es-ES_tradnl"/>
        </w:rPr>
        <w:t>en un plazo no mayor a cinco días hábiles</w:t>
      </w:r>
      <w:r w:rsidRPr="0039230E">
        <w:rPr>
          <w:rFonts w:ascii="Palatino Linotype" w:hAnsi="Palatino Linotype"/>
          <w:color w:val="000000" w:themeColor="text1"/>
          <w:lang w:val="es-ES_tradnl"/>
        </w:rPr>
        <w:t xml:space="preserve">. </w:t>
      </w:r>
      <w:r w:rsidRPr="0039230E">
        <w:rPr>
          <w:rFonts w:ascii="Palatino Linotype" w:hAnsi="Palatino Linotype"/>
          <w:b/>
          <w:color w:val="000000" w:themeColor="text1"/>
          <w:lang w:val="es-ES_tradnl"/>
        </w:rPr>
        <w:t>La fuente deberá ser precisa y concreta</w:t>
      </w:r>
      <w:r w:rsidRPr="0039230E">
        <w:rPr>
          <w:rFonts w:ascii="Palatino Linotype" w:hAnsi="Palatino Linotype"/>
          <w:color w:val="000000" w:themeColor="text1"/>
          <w:lang w:val="es-ES_tradnl"/>
        </w:rPr>
        <w:t xml:space="preserve"> y </w:t>
      </w:r>
      <w:r w:rsidRPr="0039230E">
        <w:rPr>
          <w:rFonts w:ascii="Palatino Linotype" w:hAnsi="Palatino Linotype"/>
          <w:b/>
          <w:color w:val="000000" w:themeColor="text1"/>
          <w:lang w:val="es-ES_tradnl"/>
        </w:rPr>
        <w:t>no debe implicar que el solicitante realice una búsqueda en toda la información que se encuentre disponible</w:t>
      </w:r>
      <w:r w:rsidRPr="0039230E">
        <w:rPr>
          <w:rFonts w:ascii="Palatino Linotype" w:hAnsi="Palatino Linotype"/>
          <w:color w:val="000000" w:themeColor="text1"/>
          <w:lang w:val="es-ES_tradnl"/>
        </w:rPr>
        <w:t>.</w:t>
      </w:r>
    </w:p>
    <w:p w14:paraId="1C1AC50D" w14:textId="77777777" w:rsidR="0039230E" w:rsidRDefault="0039230E" w:rsidP="0039230E">
      <w:pPr>
        <w:pStyle w:val="Prrafodelista"/>
        <w:tabs>
          <w:tab w:val="left" w:pos="426"/>
        </w:tabs>
        <w:spacing w:before="240" w:after="240" w:line="360" w:lineRule="auto"/>
        <w:ind w:left="0" w:right="51"/>
        <w:jc w:val="both"/>
        <w:rPr>
          <w:rFonts w:ascii="Palatino Linotype" w:hAnsi="Palatino Linotype"/>
          <w:color w:val="000000" w:themeColor="text1"/>
        </w:rPr>
      </w:pPr>
    </w:p>
    <w:p w14:paraId="23DE6420" w14:textId="7CC78A7C" w:rsidR="0039230E" w:rsidRDefault="0039230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Así </w:t>
      </w:r>
      <w:r>
        <w:rPr>
          <w:rFonts w:ascii="Palatino Linotype" w:eastAsia="MS Mincho" w:hAnsi="Palatino Linotype" w:cs="Times New Roman"/>
        </w:rPr>
        <w:t xml:space="preserve">las cosas, la Ley de la materia establece que, para el caso de que la información que requieran los particulares ya se encuentre disponible en medios electrónicos, el </w:t>
      </w:r>
      <w:r>
        <w:rPr>
          <w:rFonts w:ascii="Palatino Linotype" w:eastAsia="MS Mincho" w:hAnsi="Palatino Linotype" w:cs="Times New Roman"/>
          <w:b/>
          <w:bCs/>
        </w:rPr>
        <w:t>SUJETO OBLIGADO</w:t>
      </w:r>
      <w:r>
        <w:rPr>
          <w:rFonts w:ascii="Palatino Linotype" w:eastAsia="MS Mincho" w:hAnsi="Palatino Linotype" w:cs="Times New Roman"/>
        </w:rPr>
        <w:t xml:space="preserve"> podrá hacerle saber al particular la fuente de consulta atendiendo dos consideraciones: </w:t>
      </w:r>
      <w:r w:rsidRPr="002E6295">
        <w:rPr>
          <w:rFonts w:ascii="Palatino Linotype" w:eastAsia="MS Mincho" w:hAnsi="Palatino Linotype" w:cs="Times New Roman"/>
          <w:b/>
          <w:bCs/>
        </w:rPr>
        <w:t>a)</w:t>
      </w:r>
      <w:r>
        <w:rPr>
          <w:rFonts w:ascii="Palatino Linotype" w:eastAsia="MS Mincho" w:hAnsi="Palatino Linotype" w:cs="Times New Roman"/>
        </w:rPr>
        <w:t xml:space="preserve"> la fuente se deberá hacer de su conocimiento dentro de los primeros cinco días hábiles posteriores a la recepción de la solicitud de información; y, </w:t>
      </w:r>
      <w:r w:rsidRPr="002E6295">
        <w:rPr>
          <w:rFonts w:ascii="Palatino Linotype" w:eastAsia="MS Mincho" w:hAnsi="Palatino Linotype" w:cs="Times New Roman"/>
          <w:b/>
          <w:bCs/>
        </w:rPr>
        <w:t>b)</w:t>
      </w:r>
      <w:r>
        <w:rPr>
          <w:rFonts w:ascii="Palatino Linotype" w:eastAsia="MS Mincho" w:hAnsi="Palatino Linotype" w:cs="Times New Roman"/>
        </w:rPr>
        <w:t xml:space="preserve"> la fuente deberá ser precisa, esto es, que evite que el particular tenga que realizar una búsqueda en toda la información disponible en el portal que se señale.</w:t>
      </w:r>
    </w:p>
    <w:p w14:paraId="4A064E5A" w14:textId="77777777" w:rsidR="0039230E" w:rsidRDefault="0039230E" w:rsidP="0039230E">
      <w:pPr>
        <w:pStyle w:val="Prrafodelista"/>
        <w:tabs>
          <w:tab w:val="left" w:pos="426"/>
        </w:tabs>
        <w:spacing w:before="240" w:after="240" w:line="360" w:lineRule="auto"/>
        <w:ind w:left="0" w:right="51"/>
        <w:jc w:val="both"/>
        <w:rPr>
          <w:rFonts w:ascii="Palatino Linotype" w:hAnsi="Palatino Linotype"/>
          <w:color w:val="000000" w:themeColor="text1"/>
        </w:rPr>
      </w:pPr>
    </w:p>
    <w:p w14:paraId="7DF0C5E4" w14:textId="014569B9" w:rsidR="0039230E" w:rsidRDefault="0039230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Mincho" w:hAnsi="Palatino Linotype" w:cs="Times New Roman"/>
        </w:rPr>
        <w:t xml:space="preserve">el presente asunto, por cuanto hace al primer elemento para acreditar la entrega de información señalando una fuente de consulta, como fuera señalado en el </w:t>
      </w:r>
      <w:r w:rsidR="001862CF">
        <w:rPr>
          <w:rFonts w:ascii="Palatino Linotype" w:eastAsia="MS Mincho" w:hAnsi="Palatino Linotype" w:cs="Times New Roman"/>
        </w:rPr>
        <w:t xml:space="preserve">apartado de </w:t>
      </w:r>
      <w:r w:rsidR="001862CF">
        <w:rPr>
          <w:rFonts w:ascii="Palatino Linotype" w:eastAsia="MS Mincho" w:hAnsi="Palatino Linotype" w:cs="Times New Roman"/>
          <w:i/>
        </w:rPr>
        <w:t>Antecedentes</w:t>
      </w:r>
      <w:r w:rsidR="001862CF">
        <w:rPr>
          <w:rFonts w:ascii="Palatino Linotype" w:eastAsia="MS Mincho" w:hAnsi="Palatino Linotype" w:cs="Times New Roman"/>
        </w:rPr>
        <w:t xml:space="preserve"> de la presente resolución</w:t>
      </w:r>
      <w:r>
        <w:rPr>
          <w:rFonts w:ascii="Palatino Linotype" w:eastAsia="MS Mincho" w:hAnsi="Palatino Linotype" w:cs="Times New Roman"/>
        </w:rPr>
        <w:t xml:space="preserve">, el </w:t>
      </w:r>
      <w:r>
        <w:rPr>
          <w:rFonts w:ascii="Palatino Linotype" w:eastAsia="MS Mincho" w:hAnsi="Palatino Linotype" w:cs="Times New Roman"/>
          <w:b/>
          <w:bCs/>
        </w:rPr>
        <w:t>SUJETO OBLIGADO</w:t>
      </w:r>
      <w:r>
        <w:rPr>
          <w:rFonts w:ascii="Palatino Linotype" w:eastAsia="MS Mincho" w:hAnsi="Palatino Linotype" w:cs="Times New Roman"/>
        </w:rPr>
        <w:t xml:space="preserve"> entregó respuesta a la solicitud de información el </w:t>
      </w:r>
      <w:r w:rsidR="001862CF">
        <w:rPr>
          <w:rFonts w:ascii="Palatino Linotype" w:eastAsia="MS Mincho" w:hAnsi="Palatino Linotype" w:cs="Times New Roman"/>
        </w:rPr>
        <w:t>cuatro (04) de octubre</w:t>
      </w:r>
      <w:r>
        <w:rPr>
          <w:rFonts w:ascii="Palatino Linotype" w:eastAsia="MS Mincho" w:hAnsi="Palatino Linotype" w:cs="Times New Roman"/>
        </w:rPr>
        <w:t xml:space="preserve"> de dos mil </w:t>
      </w:r>
      <w:r w:rsidR="001862CF">
        <w:rPr>
          <w:rFonts w:ascii="Palatino Linotype" w:eastAsia="MS Mincho" w:hAnsi="Palatino Linotype" w:cs="Times New Roman"/>
        </w:rPr>
        <w:t>veintiuno;</w:t>
      </w:r>
      <w:r>
        <w:rPr>
          <w:rFonts w:ascii="Palatino Linotype" w:eastAsia="MS Mincho" w:hAnsi="Palatino Linotype" w:cs="Times New Roman"/>
        </w:rPr>
        <w:t xml:space="preserve"> esto es</w:t>
      </w:r>
      <w:r w:rsidR="001862CF">
        <w:rPr>
          <w:rFonts w:ascii="Palatino Linotype" w:eastAsia="MS Mincho" w:hAnsi="Palatino Linotype" w:cs="Times New Roman"/>
        </w:rPr>
        <w:t>,</w:t>
      </w:r>
      <w:r>
        <w:rPr>
          <w:rFonts w:ascii="Palatino Linotype" w:eastAsia="MS Mincho" w:hAnsi="Palatino Linotype" w:cs="Times New Roman"/>
        </w:rPr>
        <w:t xml:space="preserve"> al </w:t>
      </w:r>
      <w:r w:rsidR="001862CF">
        <w:rPr>
          <w:rFonts w:ascii="Palatino Linotype" w:eastAsia="MS Mincho" w:hAnsi="Palatino Linotype" w:cs="Times New Roman"/>
        </w:rPr>
        <w:t>décimo quinto</w:t>
      </w:r>
      <w:r>
        <w:rPr>
          <w:rFonts w:ascii="Palatino Linotype" w:eastAsia="MS Mincho" w:hAnsi="Palatino Linotype" w:cs="Times New Roman"/>
        </w:rPr>
        <w:t xml:space="preserve"> día hábil posterior a la presentación de la solicitud de información </w:t>
      </w:r>
      <w:r w:rsidR="001862CF">
        <w:rPr>
          <w:rFonts w:ascii="Palatino Linotype" w:eastAsia="MS Mincho" w:hAnsi="Palatino Linotype" w:cs="Times New Roman"/>
          <w:b/>
          <w:bCs/>
        </w:rPr>
        <w:t>00116</w:t>
      </w:r>
      <w:r>
        <w:rPr>
          <w:rFonts w:ascii="Palatino Linotype" w:eastAsia="MS Mincho" w:hAnsi="Palatino Linotype" w:cs="Times New Roman"/>
          <w:b/>
          <w:bCs/>
        </w:rPr>
        <w:t>/</w:t>
      </w:r>
      <w:r w:rsidR="001862CF">
        <w:rPr>
          <w:rFonts w:ascii="Palatino Linotype" w:eastAsia="MS Mincho" w:hAnsi="Palatino Linotype" w:cs="Times New Roman"/>
          <w:b/>
          <w:bCs/>
        </w:rPr>
        <w:t>CHIAUTLA</w:t>
      </w:r>
      <w:r>
        <w:rPr>
          <w:rFonts w:ascii="Palatino Linotype" w:eastAsia="MS Mincho" w:hAnsi="Palatino Linotype" w:cs="Times New Roman"/>
          <w:b/>
          <w:bCs/>
        </w:rPr>
        <w:t>/IP/2021</w:t>
      </w:r>
      <w:r>
        <w:rPr>
          <w:rFonts w:ascii="Palatino Linotype" w:eastAsia="MS Mincho" w:hAnsi="Palatino Linotype" w:cs="Times New Roman"/>
        </w:rPr>
        <w:t>, encontrándose superados los cinco días hábiles que determina la Ley de Transparencia Estatal.</w:t>
      </w:r>
    </w:p>
    <w:p w14:paraId="6EF8A93C" w14:textId="77777777" w:rsidR="0039230E" w:rsidRDefault="0039230E" w:rsidP="0039230E">
      <w:pPr>
        <w:pStyle w:val="Prrafodelista"/>
        <w:tabs>
          <w:tab w:val="left" w:pos="426"/>
        </w:tabs>
        <w:spacing w:before="240" w:after="240" w:line="360" w:lineRule="auto"/>
        <w:ind w:left="0" w:right="51"/>
        <w:jc w:val="both"/>
        <w:rPr>
          <w:rFonts w:ascii="Palatino Linotype" w:hAnsi="Palatino Linotype"/>
          <w:color w:val="000000" w:themeColor="text1"/>
        </w:rPr>
      </w:pPr>
    </w:p>
    <w:p w14:paraId="76265761" w14:textId="01CEE525" w:rsidR="0039230E" w:rsidRDefault="001862C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Derivado de lo anterior</w:t>
      </w:r>
      <w:r>
        <w:rPr>
          <w:rFonts w:ascii="Palatino Linotype" w:eastAsia="MS Mincho" w:hAnsi="Palatino Linotype" w:cs="Times New Roman"/>
        </w:rPr>
        <w:t xml:space="preserve">, este Órgano Garante advierte que el agravio del </w:t>
      </w:r>
      <w:r>
        <w:rPr>
          <w:rFonts w:ascii="Palatino Linotype" w:eastAsia="MS Mincho" w:hAnsi="Palatino Linotype" w:cs="Times New Roman"/>
          <w:b/>
        </w:rPr>
        <w:t>RECURRENTE</w:t>
      </w:r>
      <w:r>
        <w:rPr>
          <w:rFonts w:ascii="Palatino Linotype" w:eastAsia="MS Mincho" w:hAnsi="Palatino Linotype" w:cs="Times New Roman"/>
        </w:rPr>
        <w:t xml:space="preserve"> por el que manifestó que la respuesta del </w:t>
      </w:r>
      <w:r>
        <w:rPr>
          <w:rFonts w:ascii="Palatino Linotype" w:eastAsia="MS Mincho" w:hAnsi="Palatino Linotype" w:cs="Times New Roman"/>
          <w:b/>
        </w:rPr>
        <w:t>SUJETO OBLIGADO</w:t>
      </w:r>
      <w:r>
        <w:rPr>
          <w:rFonts w:ascii="Palatino Linotype" w:eastAsia="MS Mincho" w:hAnsi="Palatino Linotype" w:cs="Times New Roman"/>
        </w:rPr>
        <w:t xml:space="preserve"> se encontraba </w:t>
      </w:r>
      <w:r>
        <w:rPr>
          <w:rFonts w:ascii="Palatino Linotype" w:eastAsia="MS Mincho" w:hAnsi="Palatino Linotype" w:cs="Times New Roman"/>
          <w:i/>
        </w:rPr>
        <w:t>fuera de plazo</w:t>
      </w:r>
      <w:r>
        <w:rPr>
          <w:rFonts w:ascii="Palatino Linotype" w:eastAsia="MS Mincho" w:hAnsi="Palatino Linotype" w:cs="Times New Roman"/>
        </w:rPr>
        <w:t xml:space="preserve">, debe determinarse </w:t>
      </w:r>
      <w:r>
        <w:rPr>
          <w:rFonts w:ascii="Palatino Linotype" w:eastAsia="MS Mincho" w:hAnsi="Palatino Linotype" w:cs="Times New Roman"/>
          <w:b/>
        </w:rPr>
        <w:t>fundado</w:t>
      </w:r>
      <w:r>
        <w:rPr>
          <w:rFonts w:ascii="Palatino Linotype" w:eastAsia="MS Mincho" w:hAnsi="Palatino Linotype" w:cs="Times New Roman"/>
        </w:rPr>
        <w:t>, ya que a pesar de que la Ley de la materia contempla la posibilidad de orientar a los particulares a consultar la información en sitios electrónicos, esto es únicamente posible cuando se realiza dentro de los primeros cinco días posteriores a la presentación de la solicitud de información, situación que en el asunto que nos ocupa no aconteció.</w:t>
      </w:r>
    </w:p>
    <w:p w14:paraId="54815B21" w14:textId="77777777" w:rsidR="0039230E" w:rsidRDefault="0039230E" w:rsidP="0039230E">
      <w:pPr>
        <w:pStyle w:val="Prrafodelista"/>
        <w:tabs>
          <w:tab w:val="left" w:pos="426"/>
        </w:tabs>
        <w:spacing w:before="240" w:after="240" w:line="360" w:lineRule="auto"/>
        <w:ind w:left="0" w:right="51"/>
        <w:jc w:val="both"/>
        <w:rPr>
          <w:rFonts w:ascii="Palatino Linotype" w:hAnsi="Palatino Linotype"/>
          <w:color w:val="000000" w:themeColor="text1"/>
        </w:rPr>
      </w:pPr>
    </w:p>
    <w:p w14:paraId="2DA7B3EC" w14:textId="619BB67F" w:rsidR="0039230E" w:rsidRDefault="001862CF"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Por otro lado, por cuanto hace a la fuente precisa y concreta para consultar la información, </w:t>
      </w:r>
      <w:r w:rsidR="00257CC3">
        <w:rPr>
          <w:rFonts w:ascii="Palatino Linotype" w:hAnsi="Palatino Linotype"/>
          <w:color w:val="000000" w:themeColor="text1"/>
        </w:rPr>
        <w:t>conviene recordar que</w:t>
      </w:r>
      <w:r>
        <w:rPr>
          <w:rFonts w:ascii="Palatino Linotype" w:hAnsi="Palatino Linotype"/>
          <w:color w:val="000000" w:themeColor="text1"/>
        </w:rPr>
        <w:t xml:space="preserve"> el </w:t>
      </w:r>
      <w:r>
        <w:rPr>
          <w:rFonts w:ascii="Palatino Linotype" w:hAnsi="Palatino Linotype"/>
          <w:b/>
          <w:color w:val="000000" w:themeColor="text1"/>
        </w:rPr>
        <w:t>SUJETO OBLIGADO</w:t>
      </w:r>
      <w:r>
        <w:rPr>
          <w:rFonts w:ascii="Palatino Linotype" w:hAnsi="Palatino Linotype"/>
          <w:color w:val="000000" w:themeColor="text1"/>
        </w:rPr>
        <w:t xml:space="preserve"> </w:t>
      </w:r>
      <w:r w:rsidR="00257CC3">
        <w:rPr>
          <w:rFonts w:ascii="Palatino Linotype" w:hAnsi="Palatino Linotype"/>
          <w:color w:val="000000" w:themeColor="text1"/>
        </w:rPr>
        <w:t>entregó un enlace (</w:t>
      </w:r>
      <w:r w:rsidR="00257CC3" w:rsidRPr="00257CC3">
        <w:rPr>
          <w:rStyle w:val="Hipervnculo"/>
          <w:rFonts w:ascii="Palatino Linotype" w:hAnsi="Palatino Linotype"/>
          <w:color w:val="auto"/>
          <w:u w:val="none"/>
        </w:rPr>
        <w:t>https://www.ipomex.org.mx/ipo3/gce/insert/42958/2/63090.web</w:t>
      </w:r>
      <w:r w:rsidR="00257CC3">
        <w:rPr>
          <w:rFonts w:ascii="Palatino Linotype" w:hAnsi="Palatino Linotype"/>
          <w:color w:val="000000" w:themeColor="text1"/>
        </w:rPr>
        <w:t xml:space="preserve">)  cuyo origen de la dirección </w:t>
      </w:r>
      <w:r w:rsidR="00257CC3">
        <w:rPr>
          <w:rFonts w:ascii="Palatino Linotype" w:hAnsi="Palatino Linotype"/>
          <w:i/>
          <w:color w:val="000000" w:themeColor="text1"/>
        </w:rPr>
        <w:t>web</w:t>
      </w:r>
      <w:r w:rsidR="00257CC3">
        <w:rPr>
          <w:rFonts w:ascii="Palatino Linotype" w:hAnsi="Palatino Linotype"/>
          <w:color w:val="000000" w:themeColor="text1"/>
        </w:rPr>
        <w:t xml:space="preserve"> deviene del portal de Información Pública de Oficio Mexiquense (IPOMEX).</w:t>
      </w:r>
    </w:p>
    <w:p w14:paraId="0191F668" w14:textId="77777777" w:rsidR="0039230E" w:rsidRDefault="0039230E" w:rsidP="0039230E">
      <w:pPr>
        <w:pStyle w:val="Prrafodelista"/>
        <w:tabs>
          <w:tab w:val="left" w:pos="426"/>
        </w:tabs>
        <w:spacing w:before="240" w:after="240" w:line="360" w:lineRule="auto"/>
        <w:ind w:left="0" w:right="51"/>
        <w:jc w:val="both"/>
        <w:rPr>
          <w:rFonts w:ascii="Palatino Linotype" w:hAnsi="Palatino Linotype"/>
          <w:color w:val="000000" w:themeColor="text1"/>
        </w:rPr>
      </w:pPr>
    </w:p>
    <w:p w14:paraId="3A9BD3AE" w14:textId="5B132A02" w:rsidR="0039230E" w:rsidRDefault="00257CC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Empero, al intentar acceder a la dirección proveída por el </w:t>
      </w:r>
      <w:r>
        <w:rPr>
          <w:rFonts w:ascii="Palatino Linotype" w:hAnsi="Palatino Linotype"/>
          <w:b/>
          <w:color w:val="000000" w:themeColor="text1"/>
        </w:rPr>
        <w:t>SUJETO OBLIGADO</w:t>
      </w:r>
      <w:r>
        <w:rPr>
          <w:rFonts w:ascii="Palatino Linotype" w:hAnsi="Palatino Linotype"/>
          <w:color w:val="000000" w:themeColor="text1"/>
        </w:rPr>
        <w:t>, el portal nos redirige automáticamente a una sección distinta del IPOMEX donde se solicita el ingreso de un usuario y contraseña. Se comparten a continuación capturas de imagen de los sitios antes descritos:</w:t>
      </w:r>
    </w:p>
    <w:p w14:paraId="57A69918" w14:textId="77777777" w:rsidR="0039230E" w:rsidRDefault="0039230E" w:rsidP="0039230E">
      <w:pPr>
        <w:pStyle w:val="Prrafodelista"/>
        <w:tabs>
          <w:tab w:val="left" w:pos="426"/>
        </w:tabs>
        <w:spacing w:before="240" w:after="240" w:line="360" w:lineRule="auto"/>
        <w:ind w:left="0" w:right="51"/>
        <w:jc w:val="both"/>
        <w:rPr>
          <w:rFonts w:ascii="Palatino Linotype" w:hAnsi="Palatino Linotype"/>
          <w:color w:val="000000" w:themeColor="text1"/>
        </w:rPr>
      </w:pPr>
    </w:p>
    <w:p w14:paraId="093F63B3" w14:textId="3E5315A0" w:rsidR="00257CC3" w:rsidRDefault="00257CC3" w:rsidP="00257CC3">
      <w:pPr>
        <w:pStyle w:val="Prrafodelista"/>
        <w:tabs>
          <w:tab w:val="left" w:pos="426"/>
        </w:tabs>
        <w:spacing w:before="240" w:after="240" w:line="360" w:lineRule="auto"/>
        <w:ind w:left="0" w:right="51"/>
        <w:jc w:val="center"/>
      </w:pPr>
      <w:r>
        <w:object w:dxaOrig="4079" w:dyaOrig="4320" w14:anchorId="2AE25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5pt;height:147.2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03340300" r:id="rId9"/>
        </w:object>
      </w:r>
    </w:p>
    <w:p w14:paraId="147164EF" w14:textId="494D00BD" w:rsidR="00257CC3" w:rsidRDefault="00257CC3" w:rsidP="00257CC3">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2346" w:dyaOrig="4320" w14:anchorId="394CA308">
          <v:shape id="_x0000_i1026" type="#_x0000_t75" style="width:381.5pt;height:189.1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03340301" r:id="rId11"/>
        </w:object>
      </w:r>
    </w:p>
    <w:p w14:paraId="5FE07CC1" w14:textId="77777777" w:rsidR="00257CC3" w:rsidRDefault="00257CC3" w:rsidP="0039230E">
      <w:pPr>
        <w:pStyle w:val="Prrafodelista"/>
        <w:tabs>
          <w:tab w:val="left" w:pos="426"/>
        </w:tabs>
        <w:spacing w:before="240" w:after="240" w:line="360" w:lineRule="auto"/>
        <w:ind w:left="0" w:right="51"/>
        <w:jc w:val="both"/>
        <w:rPr>
          <w:rFonts w:ascii="Palatino Linotype" w:hAnsi="Palatino Linotype"/>
          <w:color w:val="000000" w:themeColor="text1"/>
        </w:rPr>
      </w:pPr>
    </w:p>
    <w:p w14:paraId="780F2D11" w14:textId="3AF21B3E" w:rsidR="0039230E" w:rsidRDefault="0041159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resulta evidente, a todas luces, que el </w:t>
      </w:r>
      <w:r>
        <w:rPr>
          <w:rFonts w:ascii="Palatino Linotype" w:hAnsi="Palatino Linotype"/>
          <w:b/>
          <w:color w:val="000000" w:themeColor="text1"/>
        </w:rPr>
        <w:t>SUJETO OBLIGADO</w:t>
      </w:r>
      <w:r>
        <w:rPr>
          <w:rFonts w:ascii="Palatino Linotype" w:hAnsi="Palatino Linotype"/>
          <w:color w:val="000000" w:themeColor="text1"/>
        </w:rPr>
        <w:t xml:space="preserve"> no proporcionó una fuente precisa que permitiera al </w:t>
      </w:r>
      <w:r>
        <w:rPr>
          <w:rFonts w:ascii="Palatino Linotype" w:hAnsi="Palatino Linotype"/>
          <w:b/>
          <w:color w:val="000000" w:themeColor="text1"/>
        </w:rPr>
        <w:t>RECURRENTE</w:t>
      </w:r>
      <w:r>
        <w:rPr>
          <w:rFonts w:ascii="Palatino Linotype" w:hAnsi="Palatino Linotype"/>
          <w:color w:val="000000" w:themeColor="text1"/>
        </w:rPr>
        <w:t xml:space="preserve"> consultar la información solicitada. Por lo tanto, el segundo elemento considerado por el artículo 161 de la Ley de Transparencia y Acceso a la Información Pública del Estado de México y Municipios, tampoco fue atendido por el Ayuntamiento de Chiautla.</w:t>
      </w:r>
    </w:p>
    <w:p w14:paraId="681EA394" w14:textId="77777777" w:rsidR="006D72D6" w:rsidRDefault="006D72D6" w:rsidP="0039230E">
      <w:pPr>
        <w:pStyle w:val="Prrafodelista"/>
        <w:tabs>
          <w:tab w:val="left" w:pos="426"/>
        </w:tabs>
        <w:spacing w:before="240" w:after="240" w:line="360" w:lineRule="auto"/>
        <w:ind w:left="0" w:right="51"/>
        <w:jc w:val="both"/>
        <w:rPr>
          <w:rFonts w:ascii="Palatino Linotype" w:hAnsi="Palatino Linotype"/>
          <w:color w:val="000000" w:themeColor="text1"/>
        </w:rPr>
      </w:pPr>
    </w:p>
    <w:p w14:paraId="2001DD32" w14:textId="0963E4D2" w:rsidR="0039230E" w:rsidRDefault="0041159E"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consecuencia de lo anterior, por cuanto hace al agravio por el que el </w:t>
      </w:r>
      <w:r>
        <w:rPr>
          <w:rFonts w:ascii="Palatino Linotype" w:hAnsi="Palatino Linotype"/>
          <w:b/>
          <w:color w:val="000000" w:themeColor="text1"/>
        </w:rPr>
        <w:t>RECURRENTE</w:t>
      </w:r>
      <w:r>
        <w:rPr>
          <w:rFonts w:ascii="Palatino Linotype" w:hAnsi="Palatino Linotype"/>
          <w:color w:val="000000" w:themeColor="text1"/>
        </w:rPr>
        <w:t xml:space="preserve"> se dolió porque el </w:t>
      </w:r>
      <w:r>
        <w:rPr>
          <w:rFonts w:ascii="Palatino Linotype" w:hAnsi="Palatino Linotype"/>
          <w:b/>
          <w:color w:val="000000" w:themeColor="text1"/>
        </w:rPr>
        <w:t>SUJETO OBLIGADO</w:t>
      </w:r>
      <w:r>
        <w:rPr>
          <w:rFonts w:ascii="Palatino Linotype" w:hAnsi="Palatino Linotype"/>
          <w:color w:val="000000" w:themeColor="text1"/>
        </w:rPr>
        <w:t xml:space="preserve"> no le entregó la información, este Órgano Garante lo encuentra </w:t>
      </w:r>
      <w:r>
        <w:rPr>
          <w:rFonts w:ascii="Palatino Linotype" w:hAnsi="Palatino Linotype"/>
          <w:b/>
          <w:color w:val="000000" w:themeColor="text1"/>
        </w:rPr>
        <w:t>fundado</w:t>
      </w:r>
      <w:r>
        <w:rPr>
          <w:rFonts w:ascii="Palatino Linotype" w:hAnsi="Palatino Linotype"/>
          <w:color w:val="000000" w:themeColor="text1"/>
        </w:rPr>
        <w:t>, pues la dirección electrónica proveída en respuesta no permite consultar, acceder o analizar ninguna información relacionada con los expedientes de obra pública relacionados con cámaras de video vigilancia.</w:t>
      </w:r>
    </w:p>
    <w:p w14:paraId="66022918" w14:textId="77777777" w:rsidR="0039230E" w:rsidRDefault="0039230E" w:rsidP="0039230E">
      <w:pPr>
        <w:pStyle w:val="Prrafodelista"/>
        <w:tabs>
          <w:tab w:val="left" w:pos="426"/>
        </w:tabs>
        <w:spacing w:before="240" w:after="240" w:line="360" w:lineRule="auto"/>
        <w:ind w:left="0" w:right="51"/>
        <w:jc w:val="both"/>
        <w:rPr>
          <w:rFonts w:ascii="Palatino Linotype" w:hAnsi="Palatino Linotype"/>
          <w:color w:val="000000" w:themeColor="text1"/>
        </w:rPr>
      </w:pPr>
    </w:p>
    <w:p w14:paraId="387D7D17" w14:textId="28CF0FD2" w:rsidR="00794C2B" w:rsidRPr="00794C2B" w:rsidRDefault="0039230E" w:rsidP="00794C2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9" w:name="_Toc89350463"/>
      <w:r>
        <w:rPr>
          <w:rFonts w:ascii="Palatino Linotype" w:hAnsi="Palatino Linotype"/>
          <w:b/>
          <w:bCs/>
          <w:color w:val="000000" w:themeColor="text1"/>
        </w:rPr>
        <w:t>IV</w:t>
      </w:r>
      <w:r w:rsidR="00794C2B">
        <w:rPr>
          <w:rFonts w:ascii="Palatino Linotype" w:hAnsi="Palatino Linotype"/>
          <w:b/>
          <w:bCs/>
          <w:color w:val="000000" w:themeColor="text1"/>
        </w:rPr>
        <w:t xml:space="preserve">. </w:t>
      </w:r>
      <w:r w:rsidR="00F36760">
        <w:rPr>
          <w:rFonts w:ascii="Palatino Linotype" w:hAnsi="Palatino Linotype"/>
          <w:b/>
          <w:bCs/>
          <w:color w:val="000000" w:themeColor="text1"/>
        </w:rPr>
        <w:t>De las obras públicas</w:t>
      </w:r>
      <w:r w:rsidR="00794C2B">
        <w:rPr>
          <w:rFonts w:ascii="Palatino Linotype" w:hAnsi="Palatino Linotype"/>
          <w:b/>
          <w:bCs/>
          <w:color w:val="000000" w:themeColor="text1"/>
        </w:rPr>
        <w:t>.</w:t>
      </w:r>
      <w:bookmarkEnd w:id="29"/>
    </w:p>
    <w:p w14:paraId="1A74BABD" w14:textId="77777777" w:rsidR="00794C2B" w:rsidRDefault="00794C2B" w:rsidP="00910076">
      <w:pPr>
        <w:pStyle w:val="Prrafodelista"/>
        <w:tabs>
          <w:tab w:val="left" w:pos="426"/>
        </w:tabs>
        <w:spacing w:before="240" w:after="240" w:line="360" w:lineRule="auto"/>
        <w:ind w:left="0" w:right="51"/>
        <w:jc w:val="both"/>
        <w:rPr>
          <w:rFonts w:ascii="Palatino Linotype" w:hAnsi="Palatino Linotype"/>
          <w:color w:val="000000" w:themeColor="text1"/>
        </w:rPr>
      </w:pPr>
    </w:p>
    <w:p w14:paraId="0346CD54" w14:textId="13E84015" w:rsidR="00760BAE" w:rsidRDefault="00F36760"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El artículo 115 de la Constitución Política de los Estados Unidos Mexicanos, en su fracción II, establece que </w:t>
      </w:r>
      <w:r w:rsidRPr="001A0A8E">
        <w:rPr>
          <w:rFonts w:ascii="Palatino Linotype" w:hAnsi="Palatino Linotype"/>
          <w:b/>
          <w:color w:val="000000" w:themeColor="text1"/>
        </w:rPr>
        <w:t>los municipios estarán investidos de personalidad jurídica</w:t>
      </w:r>
      <w:r w:rsidRPr="0009663D">
        <w:rPr>
          <w:rFonts w:ascii="Palatino Linotype" w:hAnsi="Palatino Linotype"/>
          <w:color w:val="000000" w:themeColor="text1"/>
        </w:rPr>
        <w:t xml:space="preserve"> y manejarán su patrimonio </w:t>
      </w:r>
      <w:r>
        <w:rPr>
          <w:rFonts w:ascii="Palatino Linotype" w:hAnsi="Palatino Linotype"/>
          <w:color w:val="000000" w:themeColor="text1"/>
        </w:rPr>
        <w:t xml:space="preserve">conforme a la ley; derivado de lo anterior, </w:t>
      </w:r>
      <w:r w:rsidRPr="001A0A8E">
        <w:rPr>
          <w:rFonts w:ascii="Palatino Linotype" w:hAnsi="Palatino Linotype"/>
          <w:b/>
          <w:color w:val="000000" w:themeColor="text1"/>
        </w:rPr>
        <w:t>tendrán facultades para aprobar</w:t>
      </w:r>
      <w:r w:rsidRPr="0009663D">
        <w:rPr>
          <w:rFonts w:ascii="Palatino Linotype" w:hAnsi="Palatino Linotype"/>
          <w:color w:val="000000" w:themeColor="text1"/>
        </w:rPr>
        <w:t xml:space="preserve">, de acuerdo con las leyes en materia municipal, los bandos de policía y gobierno, </w:t>
      </w:r>
      <w:r w:rsidRPr="001A0A8E">
        <w:rPr>
          <w:rFonts w:ascii="Palatino Linotype" w:hAnsi="Palatino Linotype"/>
          <w:b/>
          <w:color w:val="000000" w:themeColor="text1"/>
        </w:rPr>
        <w:t>los reglamentos, circulares y disposiciones administrativas</w:t>
      </w:r>
      <w:r w:rsidRPr="0009663D">
        <w:rPr>
          <w:rFonts w:ascii="Palatino Linotype" w:hAnsi="Palatino Linotype"/>
          <w:color w:val="000000" w:themeColor="text1"/>
        </w:rPr>
        <w:t xml:space="preserve"> de observancia general dentro de sus respectivas jurisdicciones, </w:t>
      </w:r>
      <w:r w:rsidRPr="001A0A8E">
        <w:rPr>
          <w:rFonts w:ascii="Palatino Linotype" w:hAnsi="Palatino Linotype"/>
          <w:b/>
          <w:color w:val="000000" w:themeColor="text1"/>
        </w:rPr>
        <w:t>que organicen</w:t>
      </w:r>
      <w:r w:rsidRPr="0009663D">
        <w:rPr>
          <w:rFonts w:ascii="Palatino Linotype" w:hAnsi="Palatino Linotype"/>
          <w:color w:val="000000" w:themeColor="text1"/>
        </w:rPr>
        <w:t xml:space="preserve"> </w:t>
      </w:r>
      <w:r w:rsidRPr="00335793">
        <w:rPr>
          <w:rFonts w:ascii="Palatino Linotype" w:hAnsi="Palatino Linotype"/>
          <w:b/>
          <w:color w:val="000000" w:themeColor="text1"/>
        </w:rPr>
        <w:t xml:space="preserve">la administración pública municipal, regulen las materias, procedimientos, funciones y servicios públicos </w:t>
      </w:r>
      <w:r w:rsidRPr="001A0A8E">
        <w:rPr>
          <w:rFonts w:ascii="Palatino Linotype" w:hAnsi="Palatino Linotype"/>
          <w:color w:val="000000" w:themeColor="text1"/>
        </w:rPr>
        <w:t>de su</w:t>
      </w:r>
      <w:r w:rsidRPr="00335793">
        <w:rPr>
          <w:rFonts w:ascii="Palatino Linotype" w:hAnsi="Palatino Linotype"/>
          <w:b/>
          <w:color w:val="000000" w:themeColor="text1"/>
        </w:rPr>
        <w:t xml:space="preserve"> </w:t>
      </w:r>
      <w:r w:rsidRPr="00F36760">
        <w:rPr>
          <w:rFonts w:ascii="Palatino Linotype" w:hAnsi="Palatino Linotype"/>
          <w:color w:val="000000" w:themeColor="text1"/>
        </w:rPr>
        <w:t>competencia y aseguren la participación ciudadana y vecinal</w:t>
      </w:r>
      <w:r w:rsidRPr="0009663D">
        <w:rPr>
          <w:rFonts w:ascii="Palatino Linotype" w:hAnsi="Palatino Linotype"/>
          <w:color w:val="000000" w:themeColor="text1"/>
        </w:rPr>
        <w:t>.</w:t>
      </w:r>
    </w:p>
    <w:p w14:paraId="60BD4DBF" w14:textId="77777777" w:rsidR="00F36760" w:rsidRDefault="00F36760" w:rsidP="00F36760">
      <w:pPr>
        <w:pStyle w:val="Prrafodelista"/>
        <w:tabs>
          <w:tab w:val="left" w:pos="426"/>
        </w:tabs>
        <w:spacing w:before="240" w:after="240" w:line="360" w:lineRule="auto"/>
        <w:ind w:left="0" w:right="51"/>
        <w:jc w:val="both"/>
        <w:rPr>
          <w:rFonts w:ascii="Palatino Linotype" w:hAnsi="Palatino Linotype"/>
          <w:color w:val="000000" w:themeColor="text1"/>
        </w:rPr>
      </w:pPr>
    </w:p>
    <w:p w14:paraId="4B95DACD" w14:textId="7A4CBA8D" w:rsidR="00F36760" w:rsidRDefault="00F36760"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su parte, la fracción III del artículo constitucional en estudio, señala que los municipios, también, tendrán a su cargo, entre otros, las funciones y servicios públicos siguientes:</w:t>
      </w:r>
    </w:p>
    <w:p w14:paraId="6C9DBD50" w14:textId="4EAEC085" w:rsidR="00F36760" w:rsidRDefault="00F36760" w:rsidP="00F36760">
      <w:pPr>
        <w:pStyle w:val="Prrafodelista"/>
        <w:numPr>
          <w:ilvl w:val="1"/>
          <w:numId w:val="40"/>
        </w:numPr>
        <w:tabs>
          <w:tab w:val="left" w:pos="426"/>
        </w:tabs>
        <w:spacing w:before="240" w:after="240" w:line="360" w:lineRule="auto"/>
        <w:ind w:left="993" w:right="51"/>
        <w:jc w:val="both"/>
        <w:rPr>
          <w:rFonts w:ascii="Palatino Linotype" w:hAnsi="Palatino Linotype"/>
          <w:color w:val="000000" w:themeColor="text1"/>
        </w:rPr>
      </w:pPr>
      <w:r w:rsidRPr="008A40DD">
        <w:rPr>
          <w:rFonts w:ascii="Palatino Linotype" w:hAnsi="Palatino Linotype"/>
          <w:color w:val="000000" w:themeColor="text1"/>
        </w:rPr>
        <w:t xml:space="preserve">Calles, parques y jardines </w:t>
      </w:r>
      <w:r w:rsidRPr="008A40DD">
        <w:rPr>
          <w:rFonts w:ascii="Palatino Linotype" w:hAnsi="Palatino Linotype"/>
          <w:b/>
          <w:color w:val="000000" w:themeColor="text1"/>
        </w:rPr>
        <w:t>y su equipamiento</w:t>
      </w:r>
      <w:r>
        <w:rPr>
          <w:rFonts w:ascii="Palatino Linotype" w:hAnsi="Palatino Linotype"/>
          <w:color w:val="000000" w:themeColor="text1"/>
        </w:rPr>
        <w:t>.</w:t>
      </w:r>
    </w:p>
    <w:p w14:paraId="595C718D" w14:textId="77777777" w:rsidR="00F36760" w:rsidRDefault="00F36760" w:rsidP="00F36760">
      <w:pPr>
        <w:pStyle w:val="Prrafodelista"/>
        <w:tabs>
          <w:tab w:val="left" w:pos="426"/>
        </w:tabs>
        <w:spacing w:before="240" w:after="240" w:line="360" w:lineRule="auto"/>
        <w:ind w:left="0" w:right="51"/>
        <w:jc w:val="both"/>
        <w:rPr>
          <w:rFonts w:ascii="Palatino Linotype" w:hAnsi="Palatino Linotype"/>
          <w:color w:val="000000" w:themeColor="text1"/>
        </w:rPr>
      </w:pPr>
    </w:p>
    <w:p w14:paraId="1086C042" w14:textId="097DEB0E" w:rsidR="001A0A8E" w:rsidRDefault="001A0A8E"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Correlativo a lo anterior, la Ley Orgánica Municipal del Estado de México, establece que para </w:t>
      </w:r>
      <w:r w:rsidRPr="001A0A8E">
        <w:rPr>
          <w:rFonts w:ascii="Palatino Linotype" w:hAnsi="Palatino Linotype"/>
          <w:color w:val="000000" w:themeColor="text1"/>
        </w:rPr>
        <w:t xml:space="preserve">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w:t>
      </w:r>
      <w:r w:rsidRPr="001A0A8E">
        <w:rPr>
          <w:rFonts w:ascii="Palatino Linotype" w:hAnsi="Palatino Linotype"/>
          <w:color w:val="000000" w:themeColor="text1"/>
        </w:rPr>
        <w:lastRenderedPageBreak/>
        <w:t>manuales, acuerdos, circulares y otras disposiciones legales que tiendan a regular el funcionamiento del Municipio</w:t>
      </w:r>
      <w:r w:rsidR="00A94100">
        <w:rPr>
          <w:rStyle w:val="Refdenotaalpie"/>
          <w:rFonts w:ascii="Palatino Linotype" w:hAnsi="Palatino Linotype"/>
          <w:color w:val="000000" w:themeColor="text1"/>
        </w:rPr>
        <w:footnoteReference w:id="11"/>
      </w:r>
      <w:r w:rsidRPr="001A0A8E">
        <w:rPr>
          <w:rFonts w:ascii="Palatino Linotype" w:hAnsi="Palatino Linotype"/>
          <w:color w:val="000000" w:themeColor="text1"/>
        </w:rPr>
        <w:t>.</w:t>
      </w:r>
    </w:p>
    <w:p w14:paraId="3030B49A" w14:textId="77777777" w:rsidR="001A0A8E" w:rsidRDefault="001A0A8E" w:rsidP="001A0A8E">
      <w:pPr>
        <w:pStyle w:val="Prrafodelista"/>
        <w:tabs>
          <w:tab w:val="left" w:pos="426"/>
        </w:tabs>
        <w:spacing w:before="240" w:after="240" w:line="360" w:lineRule="auto"/>
        <w:ind w:left="0" w:right="51"/>
        <w:jc w:val="both"/>
        <w:rPr>
          <w:rFonts w:ascii="Palatino Linotype" w:hAnsi="Palatino Linotype"/>
          <w:color w:val="000000" w:themeColor="text1"/>
        </w:rPr>
      </w:pPr>
    </w:p>
    <w:p w14:paraId="6E926FAB" w14:textId="14DEDF96" w:rsidR="001A0A8E" w:rsidRDefault="001A0A8E"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1A0A8E">
        <w:rPr>
          <w:rFonts w:ascii="Palatino Linotype" w:hAnsi="Palatino Linotype"/>
          <w:color w:val="000000" w:themeColor="text1"/>
        </w:rPr>
        <w:t>el despacho, estudio y planeación de los diversos asuntos de la administración municipal, el ayuntamiento contará</w:t>
      </w:r>
      <w:r>
        <w:rPr>
          <w:rFonts w:ascii="Palatino Linotype" w:hAnsi="Palatino Linotype"/>
          <w:color w:val="000000" w:themeColor="text1"/>
        </w:rPr>
        <w:t xml:space="preserve">, </w:t>
      </w:r>
      <w:r w:rsidRPr="001A0A8E">
        <w:rPr>
          <w:rFonts w:ascii="Palatino Linotype" w:hAnsi="Palatino Linotype"/>
          <w:color w:val="000000" w:themeColor="text1"/>
        </w:rPr>
        <w:t xml:space="preserve"> por lo menos</w:t>
      </w:r>
      <w:r>
        <w:rPr>
          <w:rFonts w:ascii="Palatino Linotype" w:hAnsi="Palatino Linotype"/>
          <w:color w:val="000000" w:themeColor="text1"/>
        </w:rPr>
        <w:t>,</w:t>
      </w:r>
      <w:r w:rsidRPr="001A0A8E">
        <w:rPr>
          <w:rFonts w:ascii="Palatino Linotype" w:hAnsi="Palatino Linotype"/>
          <w:color w:val="000000" w:themeColor="text1"/>
        </w:rPr>
        <w:t xml:space="preserve"> con las siguientes dependencias</w:t>
      </w:r>
      <w:r>
        <w:rPr>
          <w:rStyle w:val="Refdenotaalpie"/>
          <w:rFonts w:ascii="Palatino Linotype" w:hAnsi="Palatino Linotype"/>
          <w:color w:val="000000" w:themeColor="text1"/>
        </w:rPr>
        <w:footnoteReference w:id="12"/>
      </w:r>
      <w:r w:rsidRPr="001A0A8E">
        <w:rPr>
          <w:rFonts w:ascii="Palatino Linotype" w:hAnsi="Palatino Linotype"/>
          <w:color w:val="000000" w:themeColor="text1"/>
        </w:rPr>
        <w:t>:</w:t>
      </w:r>
    </w:p>
    <w:p w14:paraId="011DF336" w14:textId="77777777" w:rsidR="001A0A8E" w:rsidRPr="001A0A8E" w:rsidRDefault="001A0A8E" w:rsidP="001A0A8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1A0A8E">
        <w:rPr>
          <w:rFonts w:ascii="Palatino Linotype" w:hAnsi="Palatino Linotype"/>
          <w:color w:val="000000" w:themeColor="text1"/>
        </w:rPr>
        <w:t>secretaría del ayuntamiento;</w:t>
      </w:r>
    </w:p>
    <w:p w14:paraId="75080BB9" w14:textId="055AAED3" w:rsidR="001A0A8E" w:rsidRPr="001A0A8E" w:rsidRDefault="001A0A8E" w:rsidP="001A0A8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A0A8E">
        <w:rPr>
          <w:rFonts w:ascii="Palatino Linotype" w:hAnsi="Palatino Linotype"/>
          <w:color w:val="000000" w:themeColor="text1"/>
        </w:rPr>
        <w:t>La tesorería municipal.</w:t>
      </w:r>
    </w:p>
    <w:p w14:paraId="50B6B661" w14:textId="460C0F42" w:rsidR="001A0A8E" w:rsidRPr="001A0A8E" w:rsidRDefault="001A0A8E" w:rsidP="001A0A8E">
      <w:pPr>
        <w:pStyle w:val="Prrafodelista"/>
        <w:numPr>
          <w:ilvl w:val="1"/>
          <w:numId w:val="1"/>
        </w:numPr>
        <w:tabs>
          <w:tab w:val="left" w:pos="426"/>
        </w:tabs>
        <w:spacing w:before="240" w:after="240" w:line="360" w:lineRule="auto"/>
        <w:ind w:right="51"/>
        <w:jc w:val="both"/>
        <w:rPr>
          <w:rFonts w:ascii="Palatino Linotype" w:hAnsi="Palatino Linotype"/>
          <w:b/>
          <w:color w:val="000000" w:themeColor="text1"/>
        </w:rPr>
      </w:pPr>
      <w:r w:rsidRPr="001A0A8E">
        <w:rPr>
          <w:rFonts w:ascii="Palatino Linotype" w:hAnsi="Palatino Linotype"/>
          <w:b/>
          <w:color w:val="000000" w:themeColor="text1"/>
        </w:rPr>
        <w:t>La Dirección de Obras Públicas o equivalente.</w:t>
      </w:r>
    </w:p>
    <w:p w14:paraId="0C7F8FEB" w14:textId="1E2CB582" w:rsidR="001A0A8E" w:rsidRPr="001A0A8E" w:rsidRDefault="001A0A8E" w:rsidP="001A0A8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A0A8E">
        <w:rPr>
          <w:rFonts w:ascii="Palatino Linotype" w:hAnsi="Palatino Linotype"/>
          <w:color w:val="000000" w:themeColor="text1"/>
        </w:rPr>
        <w:t>La Dirección de Desarrollo Económico o equivalente.</w:t>
      </w:r>
    </w:p>
    <w:p w14:paraId="14C0D455" w14:textId="343BEC08" w:rsidR="001A0A8E" w:rsidRPr="001A0A8E" w:rsidRDefault="001A0A8E" w:rsidP="001A0A8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A0A8E">
        <w:rPr>
          <w:rFonts w:ascii="Palatino Linotype" w:hAnsi="Palatino Linotype"/>
          <w:color w:val="000000" w:themeColor="text1"/>
        </w:rPr>
        <w:t>La Dirección de Desarrollo Urbano o equivalente;</w:t>
      </w:r>
    </w:p>
    <w:p w14:paraId="449E8FEE" w14:textId="01A6403C" w:rsidR="001A0A8E" w:rsidRPr="001A0A8E" w:rsidRDefault="001A0A8E" w:rsidP="001A0A8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A0A8E">
        <w:rPr>
          <w:rFonts w:ascii="Palatino Linotype" w:hAnsi="Palatino Linotype"/>
          <w:color w:val="000000" w:themeColor="text1"/>
        </w:rPr>
        <w:t>La Direcci</w:t>
      </w:r>
      <w:r>
        <w:rPr>
          <w:rFonts w:ascii="Palatino Linotype" w:hAnsi="Palatino Linotype"/>
          <w:color w:val="000000" w:themeColor="text1"/>
        </w:rPr>
        <w:t>ón de Ecología o equivalente;</w:t>
      </w:r>
    </w:p>
    <w:p w14:paraId="12046924" w14:textId="58AD608F" w:rsidR="001A0A8E" w:rsidRPr="001A0A8E" w:rsidRDefault="001A0A8E" w:rsidP="001A0A8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A0A8E">
        <w:rPr>
          <w:rFonts w:ascii="Palatino Linotype" w:hAnsi="Palatino Linotype"/>
          <w:color w:val="000000" w:themeColor="text1"/>
        </w:rPr>
        <w:t xml:space="preserve">La Dirección de Desarrollo Social o equivalente, y </w:t>
      </w:r>
    </w:p>
    <w:p w14:paraId="2D224863" w14:textId="0E5E302F" w:rsidR="001A0A8E" w:rsidRDefault="001A0A8E" w:rsidP="001A0A8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A0A8E">
        <w:rPr>
          <w:rFonts w:ascii="Palatino Linotype" w:hAnsi="Palatino Linotype"/>
          <w:color w:val="000000" w:themeColor="text1"/>
        </w:rPr>
        <w:t>La Coordinación Municipal de Protección Civil o equivalente.</w:t>
      </w:r>
    </w:p>
    <w:p w14:paraId="578D42A6" w14:textId="77777777" w:rsidR="001A0A8E" w:rsidRDefault="001A0A8E" w:rsidP="001A0A8E">
      <w:pPr>
        <w:pStyle w:val="Prrafodelista"/>
        <w:tabs>
          <w:tab w:val="left" w:pos="426"/>
        </w:tabs>
        <w:spacing w:before="240" w:after="240" w:line="360" w:lineRule="auto"/>
        <w:ind w:left="0" w:right="51"/>
        <w:jc w:val="both"/>
        <w:rPr>
          <w:rFonts w:ascii="Palatino Linotype" w:hAnsi="Palatino Linotype"/>
          <w:color w:val="000000" w:themeColor="text1"/>
        </w:rPr>
      </w:pPr>
    </w:p>
    <w:p w14:paraId="7A892486" w14:textId="3A958B94" w:rsidR="001A0A8E" w:rsidRDefault="001A0A8E"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Resultando de especial interés, para el presente asunto, la </w:t>
      </w:r>
      <w:r>
        <w:rPr>
          <w:rFonts w:ascii="Palatino Linotype" w:hAnsi="Palatino Linotype"/>
          <w:b/>
          <w:color w:val="000000" w:themeColor="text1"/>
        </w:rPr>
        <w:t>Dirección de Obras Públicas</w:t>
      </w:r>
      <w:r>
        <w:rPr>
          <w:rFonts w:ascii="Palatino Linotype" w:hAnsi="Palatino Linotype"/>
          <w:color w:val="000000" w:themeColor="text1"/>
        </w:rPr>
        <w:t>, cuyo titular tendrá, entre otras, las siguientes atribuciones</w:t>
      </w:r>
      <w:r w:rsidR="00C550B8">
        <w:rPr>
          <w:rStyle w:val="Refdenotaalpie"/>
          <w:rFonts w:ascii="Palatino Linotype" w:hAnsi="Palatino Linotype"/>
          <w:color w:val="000000" w:themeColor="text1"/>
        </w:rPr>
        <w:footnoteReference w:id="13"/>
      </w:r>
      <w:r>
        <w:rPr>
          <w:rFonts w:ascii="Palatino Linotype" w:hAnsi="Palatino Linotype"/>
          <w:color w:val="000000" w:themeColor="text1"/>
        </w:rPr>
        <w:t>:</w:t>
      </w:r>
    </w:p>
    <w:p w14:paraId="4C7953B7" w14:textId="26B132F1" w:rsidR="00F3664C" w:rsidRPr="00F3664C" w:rsidRDefault="00F3664C" w:rsidP="00886111">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F3664C">
        <w:rPr>
          <w:rFonts w:ascii="Palatino Linotype" w:hAnsi="Palatino Linotype"/>
          <w:b/>
          <w:color w:val="000000" w:themeColor="text1"/>
        </w:rPr>
        <w:t>Realizar la programación y ejecución de las obras públicas</w:t>
      </w:r>
      <w:r w:rsidRPr="00F3664C">
        <w:rPr>
          <w:rFonts w:ascii="Palatino Linotype" w:hAnsi="Palatino Linotype"/>
          <w:color w:val="000000" w:themeColor="text1"/>
        </w:rPr>
        <w:t xml:space="preserve"> y servicios relacionados, que por orden expresa del Ayuntamiento requieran prioridad;</w:t>
      </w:r>
    </w:p>
    <w:p w14:paraId="0C106E93" w14:textId="0095BAC0" w:rsidR="00F3664C" w:rsidRPr="00F3664C" w:rsidRDefault="00F3664C" w:rsidP="00886111">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F3664C">
        <w:rPr>
          <w:rFonts w:ascii="Palatino Linotype" w:hAnsi="Palatino Linotype"/>
          <w:b/>
          <w:color w:val="000000" w:themeColor="text1"/>
        </w:rPr>
        <w:t>Planear y coordinar los proyectos de obras públicas</w:t>
      </w:r>
      <w:r w:rsidRPr="00F3664C">
        <w:rPr>
          <w:rFonts w:ascii="Palatino Linotype" w:hAnsi="Palatino Linotype"/>
          <w:color w:val="000000" w:themeColor="text1"/>
        </w:rPr>
        <w:t xml:space="preserve"> y servicios relacionados con las mismas que autorice el Ayuntamiento, una vez </w:t>
      </w:r>
      <w:r w:rsidRPr="00F3664C">
        <w:rPr>
          <w:rFonts w:ascii="Palatino Linotype" w:hAnsi="Palatino Linotype"/>
          <w:color w:val="000000" w:themeColor="text1"/>
        </w:rPr>
        <w:lastRenderedPageBreak/>
        <w:t>que se cumplan los requisitos de licitación y otros que determine la ley de la materia;</w:t>
      </w:r>
    </w:p>
    <w:p w14:paraId="4BB52BB4" w14:textId="6D775963" w:rsidR="00F3664C" w:rsidRPr="00F3664C" w:rsidRDefault="00F3664C" w:rsidP="00886111">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F3664C">
        <w:rPr>
          <w:rFonts w:ascii="Palatino Linotype" w:hAnsi="Palatino Linotype"/>
          <w:b/>
          <w:color w:val="000000" w:themeColor="text1"/>
        </w:rPr>
        <w:t>Proyectar las obras públicas</w:t>
      </w:r>
      <w:r w:rsidRPr="00F3664C">
        <w:rPr>
          <w:rFonts w:ascii="Palatino Linotype" w:hAnsi="Palatino Linotype"/>
          <w:color w:val="000000" w:themeColor="text1"/>
        </w:rPr>
        <w:t xml:space="preserve"> y servicios relacionados, que realice el Municipio, incluyendo la conservación y mantenimiento de edificios, monumentos, calles, parques y jardines;</w:t>
      </w:r>
    </w:p>
    <w:p w14:paraId="07E1610B" w14:textId="2FEB7656" w:rsidR="00F3664C" w:rsidRDefault="00F3664C" w:rsidP="00886111">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9E364B">
        <w:rPr>
          <w:rFonts w:ascii="Palatino Linotype" w:hAnsi="Palatino Linotype"/>
          <w:b/>
          <w:color w:val="000000" w:themeColor="text1"/>
        </w:rPr>
        <w:t>Vigilar la construcción en las obras</w:t>
      </w:r>
      <w:r w:rsidRPr="00F3664C">
        <w:rPr>
          <w:rFonts w:ascii="Palatino Linotype" w:hAnsi="Palatino Linotype"/>
          <w:color w:val="000000" w:themeColor="text1"/>
        </w:rPr>
        <w:t xml:space="preserve"> por contrato y por administración </w:t>
      </w:r>
      <w:r w:rsidRPr="009E364B">
        <w:rPr>
          <w:rFonts w:ascii="Palatino Linotype" w:hAnsi="Palatino Linotype"/>
          <w:b/>
          <w:color w:val="000000" w:themeColor="text1"/>
        </w:rPr>
        <w:t>que hayan sido adjudicadas a los contratistas</w:t>
      </w:r>
      <w:r w:rsidRPr="00F3664C">
        <w:rPr>
          <w:rFonts w:ascii="Palatino Linotype" w:hAnsi="Palatino Linotype"/>
          <w:color w:val="000000" w:themeColor="text1"/>
        </w:rPr>
        <w:t>;</w:t>
      </w:r>
    </w:p>
    <w:p w14:paraId="77279442" w14:textId="52D2EE54" w:rsidR="00F3664C" w:rsidRDefault="00F3664C" w:rsidP="00886111">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9E364B">
        <w:rPr>
          <w:rFonts w:ascii="Palatino Linotype" w:hAnsi="Palatino Linotype"/>
          <w:b/>
          <w:color w:val="000000" w:themeColor="text1"/>
        </w:rPr>
        <w:t>Integrar y verificar que se elaboren</w:t>
      </w:r>
      <w:r w:rsidRPr="00F3664C">
        <w:rPr>
          <w:rFonts w:ascii="Palatino Linotype" w:hAnsi="Palatino Linotype"/>
          <w:color w:val="000000" w:themeColor="text1"/>
        </w:rPr>
        <w:t xml:space="preserve"> de manera correcta y completa </w:t>
      </w:r>
      <w:r w:rsidRPr="009E364B">
        <w:rPr>
          <w:rFonts w:ascii="Palatino Linotype" w:hAnsi="Palatino Linotype"/>
          <w:b/>
          <w:color w:val="000000" w:themeColor="text1"/>
        </w:rPr>
        <w:t>las bitácoras y/o expedientes abiertos con motivo de la obra pública</w:t>
      </w:r>
      <w:r w:rsidRPr="00F3664C">
        <w:rPr>
          <w:rFonts w:ascii="Palatino Linotype" w:hAnsi="Palatino Linotype"/>
          <w:color w:val="000000" w:themeColor="text1"/>
        </w:rPr>
        <w:t xml:space="preserve"> y servicios relacionados con la misma, conforme a lo establecido en las disposiciones legales aplicables;</w:t>
      </w:r>
      <w:r w:rsidR="009E364B">
        <w:rPr>
          <w:rFonts w:ascii="Palatino Linotype" w:hAnsi="Palatino Linotype"/>
          <w:color w:val="000000" w:themeColor="text1"/>
        </w:rPr>
        <w:t xml:space="preserve"> y</w:t>
      </w:r>
    </w:p>
    <w:p w14:paraId="1A1C82CF" w14:textId="0F046225" w:rsidR="009E364B" w:rsidRPr="00F3664C" w:rsidRDefault="009E364B" w:rsidP="00886111">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9E364B">
        <w:rPr>
          <w:rFonts w:ascii="Palatino Linotype" w:hAnsi="Palatino Linotype"/>
          <w:b/>
          <w:color w:val="000000" w:themeColor="text1"/>
        </w:rPr>
        <w:t>Formular las bases y expedir la convocatoria a los concursos para la realización de las obras públicas</w:t>
      </w:r>
      <w:r w:rsidRPr="009E364B">
        <w:rPr>
          <w:rFonts w:ascii="Palatino Linotype" w:hAnsi="Palatino Linotype"/>
          <w:color w:val="000000" w:themeColor="text1"/>
        </w:rPr>
        <w:t xml:space="preserve"> municipales, de acuerdo con los requisitos que para dichos actos señale la legislación y normatividad respectiva, vigilando su correcta ejecución;</w:t>
      </w:r>
    </w:p>
    <w:p w14:paraId="6142B7D0" w14:textId="77777777" w:rsidR="001A0A8E" w:rsidRDefault="001A0A8E" w:rsidP="001A0A8E">
      <w:pPr>
        <w:pStyle w:val="Prrafodelista"/>
        <w:tabs>
          <w:tab w:val="left" w:pos="426"/>
        </w:tabs>
        <w:spacing w:before="240" w:after="240" w:line="360" w:lineRule="auto"/>
        <w:ind w:left="0" w:right="51"/>
        <w:jc w:val="both"/>
        <w:rPr>
          <w:rFonts w:ascii="Palatino Linotype" w:hAnsi="Palatino Linotype"/>
          <w:color w:val="000000" w:themeColor="text1"/>
        </w:rPr>
      </w:pPr>
    </w:p>
    <w:p w14:paraId="5643DBB5" w14:textId="447D00A3" w:rsidR="00B57F54" w:rsidRDefault="009E364B"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Así las cosas, podemos inferir que, en</w:t>
      </w:r>
      <w:r w:rsidR="00F12DDE">
        <w:rPr>
          <w:rFonts w:ascii="Palatino Linotype" w:hAnsi="Palatino Linotype"/>
          <w:color w:val="000000" w:themeColor="text1"/>
        </w:rPr>
        <w:t xml:space="preserve"> estricto seguimiento al mandato constitucional</w:t>
      </w:r>
      <w:r w:rsidR="00B57F54">
        <w:rPr>
          <w:rFonts w:ascii="Palatino Linotype" w:hAnsi="Palatino Linotype"/>
          <w:color w:val="000000" w:themeColor="text1"/>
        </w:rPr>
        <w:t xml:space="preserve">, los ayuntamientos contarán con una Dirección de Obras Públicas, la cual se encargará de la </w:t>
      </w:r>
      <w:r w:rsidR="00B57F54" w:rsidRPr="00F12DDE">
        <w:rPr>
          <w:rFonts w:ascii="Palatino Linotype" w:hAnsi="Palatino Linotype"/>
          <w:b/>
          <w:color w:val="000000" w:themeColor="text1"/>
        </w:rPr>
        <w:t>planeación, programación, presupuestación, ejecución y vigilancia de las obras públicas</w:t>
      </w:r>
      <w:r w:rsidR="00B57F54">
        <w:rPr>
          <w:rFonts w:ascii="Palatino Linotype" w:hAnsi="Palatino Linotype"/>
          <w:color w:val="000000" w:themeColor="text1"/>
        </w:rPr>
        <w:t xml:space="preserve"> que se realicen </w:t>
      </w:r>
      <w:r w:rsidR="00627DB0">
        <w:rPr>
          <w:rFonts w:ascii="Palatino Linotype" w:hAnsi="Palatino Linotype"/>
          <w:color w:val="000000" w:themeColor="text1"/>
        </w:rPr>
        <w:t>en los municipios respectivos.</w:t>
      </w:r>
    </w:p>
    <w:p w14:paraId="04508A05" w14:textId="77777777" w:rsidR="00B57F54" w:rsidRDefault="00B57F54" w:rsidP="00B57F54">
      <w:pPr>
        <w:pStyle w:val="Prrafodelista"/>
        <w:tabs>
          <w:tab w:val="left" w:pos="426"/>
        </w:tabs>
        <w:spacing w:before="240" w:after="240" w:line="360" w:lineRule="auto"/>
        <w:ind w:left="0" w:right="51"/>
        <w:jc w:val="both"/>
        <w:rPr>
          <w:rFonts w:ascii="Palatino Linotype" w:hAnsi="Palatino Linotype"/>
          <w:color w:val="000000" w:themeColor="text1"/>
        </w:rPr>
      </w:pPr>
    </w:p>
    <w:p w14:paraId="6CF3777A" w14:textId="0BAC7BC7" w:rsidR="00F36760" w:rsidRDefault="007E1992"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Ahora bien, el Libro Décimo Segundo del Código Administrativo del Estado de México, tiene </w:t>
      </w:r>
      <w:r w:rsidRPr="007E1992">
        <w:rPr>
          <w:rFonts w:ascii="Palatino Linotype" w:hAnsi="Palatino Linotype"/>
          <w:color w:val="000000" w:themeColor="text1"/>
        </w:rPr>
        <w:t xml:space="preserve">por objeto regular los actos relativos a la </w:t>
      </w:r>
      <w:r w:rsidRPr="007E1992">
        <w:rPr>
          <w:rFonts w:ascii="Palatino Linotype" w:hAnsi="Palatino Linotype"/>
          <w:b/>
          <w:color w:val="000000" w:themeColor="text1"/>
        </w:rPr>
        <w:t xml:space="preserve">planeación, programación, presupuestación, adjudicación, contratación, ejecución y control de la obra </w:t>
      </w:r>
      <w:r w:rsidRPr="007E1992">
        <w:rPr>
          <w:rFonts w:ascii="Palatino Linotype" w:hAnsi="Palatino Linotype"/>
          <w:b/>
          <w:color w:val="000000" w:themeColor="text1"/>
        </w:rPr>
        <w:lastRenderedPageBreak/>
        <w:t>pública</w:t>
      </w:r>
      <w:r w:rsidRPr="007E1992">
        <w:rPr>
          <w:rFonts w:ascii="Palatino Linotype" w:hAnsi="Palatino Linotype"/>
          <w:color w:val="000000" w:themeColor="text1"/>
        </w:rPr>
        <w:t>, así como los servicios relacionados con la misma que, por sí o por</w:t>
      </w:r>
      <w:r>
        <w:rPr>
          <w:rFonts w:ascii="Palatino Linotype" w:hAnsi="Palatino Linotype"/>
          <w:color w:val="000000" w:themeColor="text1"/>
        </w:rPr>
        <w:t xml:space="preserve"> conducto de terceros, realicen los </w:t>
      </w:r>
      <w:r w:rsidRPr="00627DB0">
        <w:rPr>
          <w:rFonts w:ascii="Palatino Linotype" w:hAnsi="Palatino Linotype"/>
          <w:b/>
          <w:color w:val="000000" w:themeColor="text1"/>
        </w:rPr>
        <w:t>ayuntamientos</w:t>
      </w:r>
      <w:r>
        <w:rPr>
          <w:rFonts w:ascii="Palatino Linotype" w:hAnsi="Palatino Linotype"/>
          <w:color w:val="000000" w:themeColor="text1"/>
        </w:rPr>
        <w:t>, entre otros entes públicos</w:t>
      </w:r>
      <w:r>
        <w:rPr>
          <w:rStyle w:val="Refdenotaalpie"/>
          <w:rFonts w:ascii="Palatino Linotype" w:hAnsi="Palatino Linotype"/>
          <w:color w:val="000000" w:themeColor="text1"/>
        </w:rPr>
        <w:footnoteReference w:id="14"/>
      </w:r>
      <w:r>
        <w:rPr>
          <w:rFonts w:ascii="Palatino Linotype" w:hAnsi="Palatino Linotype"/>
          <w:color w:val="000000" w:themeColor="text1"/>
        </w:rPr>
        <w:t>.</w:t>
      </w:r>
    </w:p>
    <w:p w14:paraId="4A7D0DE8" w14:textId="77777777" w:rsidR="00F36760" w:rsidRDefault="00F36760" w:rsidP="00F36760">
      <w:pPr>
        <w:pStyle w:val="Prrafodelista"/>
        <w:tabs>
          <w:tab w:val="left" w:pos="426"/>
        </w:tabs>
        <w:spacing w:before="240" w:after="240" w:line="360" w:lineRule="auto"/>
        <w:ind w:left="0" w:right="51"/>
        <w:jc w:val="both"/>
        <w:rPr>
          <w:rFonts w:ascii="Palatino Linotype" w:hAnsi="Palatino Linotype"/>
          <w:color w:val="000000" w:themeColor="text1"/>
        </w:rPr>
      </w:pPr>
    </w:p>
    <w:p w14:paraId="09694849" w14:textId="0B8DE818" w:rsidR="00F36760" w:rsidRDefault="007E1992"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conformidad con el artículo 12.4 del Código Administrativo del Estado de México, </w:t>
      </w:r>
      <w:r w:rsidRPr="009E364B">
        <w:rPr>
          <w:rFonts w:ascii="Palatino Linotype" w:hAnsi="Palatino Linotype"/>
          <w:b/>
          <w:color w:val="000000" w:themeColor="text1"/>
        </w:rPr>
        <w:t>se considera obra pública todo trabajo que tenga por objeto principal el</w:t>
      </w:r>
      <w:r>
        <w:rPr>
          <w:rFonts w:ascii="Palatino Linotype" w:hAnsi="Palatino Linotype"/>
          <w:color w:val="000000" w:themeColor="text1"/>
        </w:rPr>
        <w:t xml:space="preserve"> construir, </w:t>
      </w:r>
      <w:r w:rsidRPr="009E364B">
        <w:rPr>
          <w:rFonts w:ascii="Palatino Linotype" w:hAnsi="Palatino Linotype"/>
          <w:b/>
          <w:color w:val="000000" w:themeColor="text1"/>
        </w:rPr>
        <w:t>instalar</w:t>
      </w:r>
      <w:r>
        <w:rPr>
          <w:rFonts w:ascii="Palatino Linotype" w:hAnsi="Palatino Linotype"/>
          <w:color w:val="000000" w:themeColor="text1"/>
        </w:rPr>
        <w:t xml:space="preserve">, </w:t>
      </w:r>
      <w:r w:rsidRPr="007E1992">
        <w:rPr>
          <w:rFonts w:ascii="Palatino Linotype" w:hAnsi="Palatino Linotype"/>
          <w:color w:val="000000" w:themeColor="text1"/>
        </w:rPr>
        <w:t xml:space="preserve">ampliar, adecuar, remodelar, restaurar, conservar, mantener, modificar o demoler </w:t>
      </w:r>
      <w:r w:rsidRPr="009E364B">
        <w:rPr>
          <w:rFonts w:ascii="Palatino Linotype" w:hAnsi="Palatino Linotype"/>
          <w:b/>
          <w:color w:val="000000" w:themeColor="text1"/>
        </w:rPr>
        <w:t>bienes inmuebles propiedad</w:t>
      </w:r>
      <w:r w:rsidRPr="007E1992">
        <w:rPr>
          <w:rFonts w:ascii="Palatino Linotype" w:hAnsi="Palatino Linotype"/>
          <w:color w:val="000000" w:themeColor="text1"/>
        </w:rPr>
        <w:t xml:space="preserve"> del Estado, de sus dependencias y entidades y </w:t>
      </w:r>
      <w:r w:rsidRPr="009E364B">
        <w:rPr>
          <w:rFonts w:ascii="Palatino Linotype" w:hAnsi="Palatino Linotype"/>
          <w:b/>
          <w:color w:val="000000" w:themeColor="text1"/>
        </w:rPr>
        <w:t>de los municipios</w:t>
      </w:r>
      <w:r w:rsidRPr="007E1992">
        <w:rPr>
          <w:rFonts w:ascii="Palatino Linotype" w:hAnsi="Palatino Linotype"/>
          <w:color w:val="000000" w:themeColor="text1"/>
        </w:rPr>
        <w:t xml:space="preserve"> y sus organismos </w:t>
      </w:r>
      <w:r w:rsidRPr="009E364B">
        <w:rPr>
          <w:rFonts w:ascii="Palatino Linotype" w:hAnsi="Palatino Linotype"/>
          <w:b/>
          <w:color w:val="000000" w:themeColor="text1"/>
        </w:rPr>
        <w:t>con cargo a recursos públicos</w:t>
      </w:r>
      <w:r w:rsidRPr="007E1992">
        <w:rPr>
          <w:rFonts w:ascii="Palatino Linotype" w:hAnsi="Palatino Linotype"/>
          <w:color w:val="000000" w:themeColor="text1"/>
        </w:rPr>
        <w:t xml:space="preserve"> estatales o municipales.</w:t>
      </w:r>
    </w:p>
    <w:p w14:paraId="3A8B5566" w14:textId="77777777" w:rsidR="00F36760" w:rsidRDefault="00F36760" w:rsidP="00F36760">
      <w:pPr>
        <w:pStyle w:val="Prrafodelista"/>
        <w:tabs>
          <w:tab w:val="left" w:pos="426"/>
        </w:tabs>
        <w:spacing w:before="240" w:after="240" w:line="360" w:lineRule="auto"/>
        <w:ind w:left="0" w:right="51"/>
        <w:jc w:val="both"/>
        <w:rPr>
          <w:rFonts w:ascii="Palatino Linotype" w:hAnsi="Palatino Linotype"/>
          <w:color w:val="000000" w:themeColor="text1"/>
        </w:rPr>
      </w:pPr>
    </w:p>
    <w:p w14:paraId="49BD7370" w14:textId="13D8A524" w:rsidR="00F36760" w:rsidRDefault="007E1992"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se considerarán </w:t>
      </w:r>
      <w:r w:rsidRPr="007E1992">
        <w:rPr>
          <w:rFonts w:ascii="Palatino Linotype" w:hAnsi="Palatino Linotype"/>
          <w:color w:val="000000" w:themeColor="text1"/>
        </w:rPr>
        <w:t xml:space="preserve">servicios relacionados con la obra pública, los trabajos que tengan por objeto concebir, diseñar y calcular los elementos que integran un proyecto de obra pública; las investigaciones, estudios, asesorías y consultorías que se vinculen con </w:t>
      </w:r>
      <w:r>
        <w:rPr>
          <w:rFonts w:ascii="Palatino Linotype" w:hAnsi="Palatino Linotype"/>
          <w:color w:val="000000" w:themeColor="text1"/>
        </w:rPr>
        <w:t>éste</w:t>
      </w:r>
      <w:r w:rsidRPr="007E1992">
        <w:rPr>
          <w:rFonts w:ascii="Palatino Linotype" w:hAnsi="Palatino Linotype"/>
          <w:color w:val="000000" w:themeColor="text1"/>
        </w:rPr>
        <w:t>;</w:t>
      </w:r>
      <w:r>
        <w:rPr>
          <w:rFonts w:ascii="Palatino Linotype" w:hAnsi="Palatino Linotype"/>
          <w:color w:val="000000" w:themeColor="text1"/>
        </w:rPr>
        <w:t xml:space="preserve"> así como</w:t>
      </w:r>
      <w:r w:rsidRPr="007E1992">
        <w:rPr>
          <w:rFonts w:ascii="Palatino Linotype" w:hAnsi="Palatino Linotype"/>
          <w:color w:val="000000" w:themeColor="text1"/>
        </w:rPr>
        <w:t xml:space="preserve"> la dirección y supervisión de la ejecución de las obras y los estudios que tengan por objeto principal rehabilitar, corregir o incrementar la </w:t>
      </w:r>
      <w:r>
        <w:rPr>
          <w:rFonts w:ascii="Palatino Linotype" w:hAnsi="Palatino Linotype"/>
          <w:color w:val="000000" w:themeColor="text1"/>
        </w:rPr>
        <w:t>eficiencia de las instalaciones</w:t>
      </w:r>
      <w:r>
        <w:rPr>
          <w:rStyle w:val="Refdenotaalpie"/>
          <w:rFonts w:ascii="Palatino Linotype" w:hAnsi="Palatino Linotype"/>
          <w:color w:val="000000" w:themeColor="text1"/>
        </w:rPr>
        <w:footnoteReference w:id="15"/>
      </w:r>
      <w:r>
        <w:rPr>
          <w:rFonts w:ascii="Palatino Linotype" w:hAnsi="Palatino Linotype"/>
          <w:color w:val="000000" w:themeColor="text1"/>
        </w:rPr>
        <w:t>.</w:t>
      </w:r>
    </w:p>
    <w:p w14:paraId="0E57F4E9" w14:textId="77777777" w:rsidR="00F36760" w:rsidRDefault="00F36760" w:rsidP="00F36760">
      <w:pPr>
        <w:pStyle w:val="Prrafodelista"/>
        <w:tabs>
          <w:tab w:val="left" w:pos="426"/>
        </w:tabs>
        <w:spacing w:before="240" w:after="240" w:line="360" w:lineRule="auto"/>
        <w:ind w:left="0" w:right="51"/>
        <w:jc w:val="both"/>
        <w:rPr>
          <w:rFonts w:ascii="Palatino Linotype" w:hAnsi="Palatino Linotype"/>
          <w:color w:val="000000" w:themeColor="text1"/>
        </w:rPr>
      </w:pPr>
    </w:p>
    <w:p w14:paraId="1286E9D1" w14:textId="75AA490D" w:rsidR="00F36760" w:rsidRDefault="00D5517B"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w:t>
      </w:r>
      <w:r w:rsidR="00B57F54">
        <w:rPr>
          <w:rFonts w:ascii="Palatino Linotype" w:hAnsi="Palatino Linotype"/>
          <w:color w:val="000000" w:themeColor="text1"/>
        </w:rPr>
        <w:t xml:space="preserve">icho lo anterior, según las </w:t>
      </w:r>
      <w:r w:rsidR="00B57F54" w:rsidRPr="00B57F54">
        <w:rPr>
          <w:rFonts w:ascii="Palatino Linotype" w:hAnsi="Palatino Linotype"/>
          <w:color w:val="000000" w:themeColor="text1"/>
        </w:rPr>
        <w:t xml:space="preserve">características, complejidad y magnitud de los trabajos, </w:t>
      </w:r>
      <w:r w:rsidR="00B57F54">
        <w:rPr>
          <w:rFonts w:ascii="Palatino Linotype" w:hAnsi="Palatino Linotype"/>
          <w:color w:val="000000" w:themeColor="text1"/>
        </w:rPr>
        <w:t xml:space="preserve">los ayuntamientos </w:t>
      </w:r>
      <w:r w:rsidR="00B57F54" w:rsidRPr="00B57F54">
        <w:rPr>
          <w:rFonts w:ascii="Palatino Linotype" w:hAnsi="Palatino Linotype"/>
          <w:color w:val="000000" w:themeColor="text1"/>
        </w:rPr>
        <w:t>formularán los programas de obra pública o de servicios relacionados con la misma, así como sus respectivos presupuestos, con base en las políticas, objetivos y prioridades de la planeación del desarrollo del Estado y municipios, considerando</w:t>
      </w:r>
      <w:r w:rsidR="00A94100">
        <w:rPr>
          <w:rStyle w:val="Refdenotaalpie"/>
          <w:rFonts w:ascii="Palatino Linotype" w:hAnsi="Palatino Linotype"/>
          <w:color w:val="000000" w:themeColor="text1"/>
        </w:rPr>
        <w:footnoteReference w:id="16"/>
      </w:r>
      <w:r w:rsidR="00B57F54" w:rsidRPr="00B57F54">
        <w:rPr>
          <w:rFonts w:ascii="Palatino Linotype" w:hAnsi="Palatino Linotype"/>
          <w:color w:val="000000" w:themeColor="text1"/>
        </w:rPr>
        <w:t>:</w:t>
      </w:r>
    </w:p>
    <w:p w14:paraId="2A0A7193" w14:textId="77777777" w:rsidR="00B57F54" w:rsidRDefault="00B57F54" w:rsidP="00B57F54">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lastRenderedPageBreak/>
        <w:t xml:space="preserve">Entre </w:t>
      </w:r>
      <w:r w:rsidRPr="00B57F54">
        <w:rPr>
          <w:rFonts w:ascii="Palatino Linotype" w:hAnsi="Palatino Linotype"/>
          <w:color w:val="000000" w:themeColor="text1"/>
        </w:rPr>
        <w:t xml:space="preserve">las obras prioritarias, aquéllas que se encuentren en proceso de ejecución; </w:t>
      </w:r>
    </w:p>
    <w:p w14:paraId="637C81A0" w14:textId="77777777" w:rsidR="00B57F54" w:rsidRDefault="00B57F54" w:rsidP="00B57F54">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B57F54">
        <w:rPr>
          <w:rFonts w:ascii="Palatino Linotype" w:hAnsi="Palatino Linotype"/>
          <w:color w:val="000000" w:themeColor="text1"/>
        </w:rPr>
        <w:t xml:space="preserve">El </w:t>
      </w:r>
      <w:r w:rsidRPr="00B57F54">
        <w:rPr>
          <w:rFonts w:ascii="Palatino Linotype" w:hAnsi="Palatino Linotype"/>
          <w:b/>
          <w:color w:val="000000" w:themeColor="text1"/>
        </w:rPr>
        <w:t>resultado de los estudios que se requieran para definir la factibilidad</w:t>
      </w:r>
      <w:r w:rsidRPr="00B57F54">
        <w:rPr>
          <w:rFonts w:ascii="Palatino Linotype" w:hAnsi="Palatino Linotype"/>
          <w:color w:val="000000" w:themeColor="text1"/>
        </w:rPr>
        <w:t xml:space="preserve"> técnica, económica, social, ecológica y ambiental de los trabajos; </w:t>
      </w:r>
    </w:p>
    <w:p w14:paraId="4CBB2E67" w14:textId="524A8A03" w:rsidR="00B57F54" w:rsidRDefault="00B57F54" w:rsidP="00B57F54">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9E364B">
        <w:rPr>
          <w:rFonts w:ascii="Palatino Linotype" w:hAnsi="Palatino Linotype"/>
          <w:b/>
          <w:color w:val="000000" w:themeColor="text1"/>
        </w:rPr>
        <w:t>Los objetivos y metas</w:t>
      </w:r>
      <w:r w:rsidRPr="00B57F54">
        <w:rPr>
          <w:rFonts w:ascii="Palatino Linotype" w:hAnsi="Palatino Linotype"/>
          <w:color w:val="000000" w:themeColor="text1"/>
        </w:rPr>
        <w:t xml:space="preserve"> a corto, mediano y largo plazo;</w:t>
      </w:r>
    </w:p>
    <w:p w14:paraId="4FC5C82C" w14:textId="77777777" w:rsidR="00B57F54" w:rsidRDefault="00B57F54" w:rsidP="00B57F54">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9E364B">
        <w:rPr>
          <w:rFonts w:ascii="Palatino Linotype" w:hAnsi="Palatino Linotype"/>
          <w:b/>
          <w:color w:val="000000" w:themeColor="text1"/>
        </w:rPr>
        <w:t>Las acciones previas, simultáneas y posteriores a la ejecución de la obra pública</w:t>
      </w:r>
      <w:r w:rsidRPr="00B57F54">
        <w:rPr>
          <w:rFonts w:ascii="Palatino Linotype" w:hAnsi="Palatino Linotype"/>
          <w:color w:val="000000" w:themeColor="text1"/>
        </w:rPr>
        <w:t xml:space="preserve">, incluyendo, cuando corresponda, las obras principales, de infraestructura, inducidas, complementarias y accesorias, así como las acciones para poner aquellas en servicio; </w:t>
      </w:r>
    </w:p>
    <w:p w14:paraId="51B4A29A" w14:textId="77777777" w:rsidR="00B57F54" w:rsidRDefault="00B57F54" w:rsidP="00B57F54">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B57F54">
        <w:rPr>
          <w:rFonts w:ascii="Palatino Linotype" w:hAnsi="Palatino Linotype"/>
          <w:color w:val="000000" w:themeColor="text1"/>
        </w:rPr>
        <w:t xml:space="preserve">Las características ambientales, climáticas y geográficas de la región donde deba realizarse la obra pública, así como los resultados previsibles; </w:t>
      </w:r>
    </w:p>
    <w:p w14:paraId="0F087D64" w14:textId="77777777" w:rsidR="00B57F54" w:rsidRDefault="00B57F54" w:rsidP="00B57F54">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B57F54">
        <w:rPr>
          <w:rFonts w:ascii="Palatino Linotype" w:hAnsi="Palatino Linotype"/>
          <w:color w:val="000000" w:themeColor="text1"/>
        </w:rPr>
        <w:t xml:space="preserve">La coordinación que sea necesaria para resolver posibles interferencias y evitar duplicidad de trabajos o interrupción de servicios públicos; </w:t>
      </w:r>
    </w:p>
    <w:p w14:paraId="408F1A9B" w14:textId="54B4ADE7" w:rsidR="00B57F54" w:rsidRDefault="00B57F54" w:rsidP="00B57F54">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B57F54">
        <w:rPr>
          <w:rFonts w:ascii="Palatino Linotype" w:hAnsi="Palatino Linotype"/>
          <w:color w:val="000000" w:themeColor="text1"/>
        </w:rPr>
        <w:t xml:space="preserve">La </w:t>
      </w:r>
      <w:r w:rsidRPr="00B57F54">
        <w:rPr>
          <w:rFonts w:ascii="Palatino Linotype" w:hAnsi="Palatino Linotype"/>
          <w:b/>
          <w:color w:val="000000" w:themeColor="text1"/>
        </w:rPr>
        <w:t>calendarización física y financiera de los recursos</w:t>
      </w:r>
      <w:r w:rsidRPr="00B57F54">
        <w:rPr>
          <w:rFonts w:ascii="Palatino Linotype" w:hAnsi="Palatino Linotype"/>
          <w:color w:val="000000" w:themeColor="text1"/>
        </w:rPr>
        <w:t xml:space="preserve"> necesarios para la realización de estudios y proyectos, ejecución de los trabajos y cobertura de los gastos de operación; </w:t>
      </w:r>
    </w:p>
    <w:p w14:paraId="101A4F42" w14:textId="77777777" w:rsidR="00B57F54" w:rsidRDefault="00B57F54" w:rsidP="00B57F54">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9E364B">
        <w:rPr>
          <w:rFonts w:ascii="Palatino Linotype" w:hAnsi="Palatino Linotype"/>
          <w:b/>
          <w:color w:val="000000" w:themeColor="text1"/>
        </w:rPr>
        <w:t>Las fechas de inicio y término de los trabajos</w:t>
      </w:r>
      <w:r w:rsidRPr="00B57F54">
        <w:rPr>
          <w:rFonts w:ascii="Palatino Linotype" w:hAnsi="Palatino Linotype"/>
          <w:color w:val="000000" w:themeColor="text1"/>
        </w:rPr>
        <w:t xml:space="preserve">; </w:t>
      </w:r>
    </w:p>
    <w:p w14:paraId="0A25BA77" w14:textId="77777777" w:rsidR="00B57F54" w:rsidRDefault="00B57F54" w:rsidP="00B57F54">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B57F54">
        <w:rPr>
          <w:rFonts w:ascii="Palatino Linotype" w:hAnsi="Palatino Linotype"/>
          <w:color w:val="000000" w:themeColor="text1"/>
        </w:rPr>
        <w:t xml:space="preserve">Las </w:t>
      </w:r>
      <w:r w:rsidRPr="00B57F54">
        <w:rPr>
          <w:rFonts w:ascii="Palatino Linotype" w:hAnsi="Palatino Linotype"/>
          <w:b/>
          <w:color w:val="000000" w:themeColor="text1"/>
        </w:rPr>
        <w:t>investigaciones, asesorías, consultorías, y estudios que se requieran</w:t>
      </w:r>
      <w:r w:rsidRPr="00B57F54">
        <w:rPr>
          <w:rFonts w:ascii="Palatino Linotype" w:hAnsi="Palatino Linotype"/>
          <w:color w:val="000000" w:themeColor="text1"/>
        </w:rPr>
        <w:t xml:space="preserve">, incluyendo los proyectos arquitectónicos y de ingeniería necesarios; </w:t>
      </w:r>
    </w:p>
    <w:p w14:paraId="350EB266" w14:textId="77777777" w:rsidR="00B57F54" w:rsidRDefault="00B57F54" w:rsidP="00B57F54">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B57F54">
        <w:rPr>
          <w:rFonts w:ascii="Palatino Linotype" w:hAnsi="Palatino Linotype"/>
          <w:color w:val="000000" w:themeColor="text1"/>
        </w:rPr>
        <w:t xml:space="preserve">La adquisición y regularización en su caso, de la tenencia de la tierra; </w:t>
      </w:r>
    </w:p>
    <w:p w14:paraId="48795DB4" w14:textId="77777777" w:rsidR="00B57F54" w:rsidRDefault="00B57F54" w:rsidP="00B57F54">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9E364B">
        <w:rPr>
          <w:rFonts w:ascii="Palatino Linotype" w:hAnsi="Palatino Linotype"/>
          <w:b/>
          <w:color w:val="000000" w:themeColor="text1"/>
        </w:rPr>
        <w:t>La ejecución</w:t>
      </w:r>
      <w:r w:rsidRPr="00B57F54">
        <w:rPr>
          <w:rFonts w:ascii="Palatino Linotype" w:hAnsi="Palatino Linotype"/>
          <w:color w:val="000000" w:themeColor="text1"/>
        </w:rPr>
        <w:t xml:space="preserve">, que deberá comprender el costo estimado, incluyendo probables ajustes; las condiciones de suministro de materiales, de </w:t>
      </w:r>
      <w:r w:rsidRPr="00B57F54">
        <w:rPr>
          <w:rFonts w:ascii="Palatino Linotype" w:hAnsi="Palatino Linotype"/>
          <w:color w:val="000000" w:themeColor="text1"/>
        </w:rPr>
        <w:lastRenderedPageBreak/>
        <w:t xml:space="preserve">maquinaria, de equipo o de cualquier otro accesorio relacionado con los trabajos; los cargos para pruebas de funcionamiento, así como los indirectos de la obra o servicios relacionados con la misma; </w:t>
      </w:r>
    </w:p>
    <w:p w14:paraId="085447F5" w14:textId="77777777" w:rsidR="00B57F54" w:rsidRDefault="00B57F54" w:rsidP="00B57F54">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B57F54">
        <w:rPr>
          <w:rFonts w:ascii="Palatino Linotype" w:hAnsi="Palatino Linotype"/>
          <w:color w:val="000000" w:themeColor="text1"/>
        </w:rPr>
        <w:t xml:space="preserve">Los trabajos de mantenimiento preventivo y correctivo de los bienes inmuebles a su cargo; </w:t>
      </w:r>
    </w:p>
    <w:p w14:paraId="2E5FD9AE" w14:textId="77777777" w:rsidR="00B57F54" w:rsidRDefault="00B57F54" w:rsidP="00B57F54">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B57F54">
        <w:rPr>
          <w:rFonts w:ascii="Palatino Linotype" w:hAnsi="Palatino Linotype"/>
          <w:color w:val="000000" w:themeColor="text1"/>
        </w:rPr>
        <w:t xml:space="preserve">La accesibilidad, evacuación, libre tránsito sin barreras arquitectónicas para todas las personas; y cumplir con las normas de diseño y de señalización que se emitan, en instalaciones, circulaciones, servicios sanitarios y demás instalaciones análogas para las personas con discapacidad; </w:t>
      </w:r>
    </w:p>
    <w:p w14:paraId="135C596B" w14:textId="7994C509" w:rsidR="00B57F54" w:rsidRDefault="00B57F54" w:rsidP="00B57F54">
      <w:pPr>
        <w:pStyle w:val="Prrafodelista"/>
        <w:numPr>
          <w:ilvl w:val="1"/>
          <w:numId w:val="42"/>
        </w:numPr>
        <w:tabs>
          <w:tab w:val="left" w:pos="426"/>
        </w:tabs>
        <w:spacing w:before="240" w:after="240" w:line="360" w:lineRule="auto"/>
        <w:ind w:left="1134" w:right="51"/>
        <w:jc w:val="both"/>
        <w:rPr>
          <w:rFonts w:ascii="Palatino Linotype" w:hAnsi="Palatino Linotype"/>
          <w:color w:val="000000" w:themeColor="text1"/>
        </w:rPr>
      </w:pPr>
      <w:r w:rsidRPr="00B57F54">
        <w:rPr>
          <w:rFonts w:ascii="Palatino Linotype" w:hAnsi="Palatino Linotype"/>
          <w:color w:val="000000" w:themeColor="text1"/>
        </w:rPr>
        <w:t xml:space="preserve">La forma de ejecución sea por contrato o por administración directa. </w:t>
      </w:r>
    </w:p>
    <w:p w14:paraId="4DA7F28B" w14:textId="77777777" w:rsidR="00F36760" w:rsidRDefault="00F36760" w:rsidP="00F36760">
      <w:pPr>
        <w:pStyle w:val="Prrafodelista"/>
        <w:tabs>
          <w:tab w:val="left" w:pos="426"/>
        </w:tabs>
        <w:spacing w:before="240" w:after="240" w:line="360" w:lineRule="auto"/>
        <w:ind w:left="0" w:right="51"/>
        <w:jc w:val="both"/>
        <w:rPr>
          <w:rFonts w:ascii="Palatino Linotype" w:hAnsi="Palatino Linotype"/>
          <w:color w:val="000000" w:themeColor="text1"/>
        </w:rPr>
      </w:pPr>
    </w:p>
    <w:p w14:paraId="3C809A90" w14:textId="1161F4B6" w:rsidR="00974A97" w:rsidRDefault="00974A97" w:rsidP="00627D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Una vez señalado lo anterior, debe precisarse que la </w:t>
      </w:r>
      <w:r w:rsidRPr="00974A97">
        <w:rPr>
          <w:rFonts w:ascii="Palatino Linotype" w:hAnsi="Palatino Linotype"/>
          <w:color w:val="000000" w:themeColor="text1"/>
        </w:rPr>
        <w:t>planeación de la obra pública comprende el conjunto de actividades necesarias para la debida programación, presupuestación, ejecución, seguimiento, control y evaluación. Las actividades básicas que conlleva la planeación de una obra son</w:t>
      </w:r>
      <w:r>
        <w:rPr>
          <w:rStyle w:val="Refdenotaalpie"/>
          <w:rFonts w:ascii="Palatino Linotype" w:hAnsi="Palatino Linotype"/>
          <w:color w:val="000000" w:themeColor="text1"/>
        </w:rPr>
        <w:footnoteReference w:id="17"/>
      </w:r>
      <w:r w:rsidRPr="00974A97">
        <w:rPr>
          <w:rFonts w:ascii="Palatino Linotype" w:hAnsi="Palatino Linotype"/>
          <w:color w:val="000000" w:themeColor="text1"/>
        </w:rPr>
        <w:t>:</w:t>
      </w:r>
    </w:p>
    <w:p w14:paraId="0D669EDE" w14:textId="77777777" w:rsidR="00974A97" w:rsidRDefault="00974A97" w:rsidP="00974A97">
      <w:pPr>
        <w:pStyle w:val="Prrafodelista"/>
        <w:numPr>
          <w:ilvl w:val="1"/>
          <w:numId w:val="43"/>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 xml:space="preserve">La </w:t>
      </w:r>
      <w:r w:rsidRPr="00974A97">
        <w:rPr>
          <w:rFonts w:ascii="Palatino Linotype" w:hAnsi="Palatino Linotype"/>
          <w:b/>
          <w:color w:val="000000" w:themeColor="text1"/>
        </w:rPr>
        <w:t>descripción de la obra</w:t>
      </w:r>
      <w:r w:rsidRPr="00974A97">
        <w:rPr>
          <w:rFonts w:ascii="Palatino Linotype" w:hAnsi="Palatino Linotype"/>
          <w:color w:val="000000" w:themeColor="text1"/>
        </w:rPr>
        <w:t xml:space="preserve">; </w:t>
      </w:r>
    </w:p>
    <w:p w14:paraId="1475AD85" w14:textId="77777777" w:rsidR="00974A97" w:rsidRDefault="00974A97" w:rsidP="00974A97">
      <w:pPr>
        <w:pStyle w:val="Prrafodelista"/>
        <w:numPr>
          <w:ilvl w:val="1"/>
          <w:numId w:val="43"/>
        </w:numPr>
        <w:tabs>
          <w:tab w:val="left" w:pos="426"/>
        </w:tabs>
        <w:spacing w:before="240" w:after="240" w:line="360" w:lineRule="auto"/>
        <w:ind w:left="1134" w:right="51"/>
        <w:jc w:val="both"/>
        <w:rPr>
          <w:rFonts w:ascii="Palatino Linotype" w:hAnsi="Palatino Linotype"/>
          <w:color w:val="000000" w:themeColor="text1"/>
        </w:rPr>
      </w:pPr>
      <w:r w:rsidRPr="00974A97">
        <w:rPr>
          <w:rFonts w:ascii="Palatino Linotype" w:hAnsi="Palatino Linotype"/>
          <w:color w:val="000000" w:themeColor="text1"/>
        </w:rPr>
        <w:t xml:space="preserve">El </w:t>
      </w:r>
      <w:r w:rsidRPr="00974A97">
        <w:rPr>
          <w:rFonts w:ascii="Palatino Linotype" w:hAnsi="Palatino Linotype"/>
          <w:b/>
          <w:color w:val="000000" w:themeColor="text1"/>
        </w:rPr>
        <w:t>análisis de factibilidad</w:t>
      </w:r>
      <w:r w:rsidRPr="00974A97">
        <w:rPr>
          <w:rFonts w:ascii="Palatino Linotype" w:hAnsi="Palatino Linotype"/>
          <w:color w:val="000000" w:themeColor="text1"/>
        </w:rPr>
        <w:t xml:space="preserve">; </w:t>
      </w:r>
    </w:p>
    <w:p w14:paraId="3BC5D81F" w14:textId="77777777" w:rsidR="00974A97" w:rsidRDefault="00974A97" w:rsidP="00974A97">
      <w:pPr>
        <w:pStyle w:val="Prrafodelista"/>
        <w:numPr>
          <w:ilvl w:val="1"/>
          <w:numId w:val="43"/>
        </w:numPr>
        <w:tabs>
          <w:tab w:val="left" w:pos="426"/>
        </w:tabs>
        <w:spacing w:before="240" w:after="240" w:line="360" w:lineRule="auto"/>
        <w:ind w:left="1134" w:right="51"/>
        <w:jc w:val="both"/>
        <w:rPr>
          <w:rFonts w:ascii="Palatino Linotype" w:hAnsi="Palatino Linotype"/>
          <w:color w:val="000000" w:themeColor="text1"/>
        </w:rPr>
      </w:pPr>
      <w:r w:rsidRPr="00974A97">
        <w:rPr>
          <w:rFonts w:ascii="Palatino Linotype" w:hAnsi="Palatino Linotype"/>
          <w:color w:val="000000" w:themeColor="text1"/>
        </w:rPr>
        <w:t>El desarrollo del proyecto arquitectónico;</w:t>
      </w:r>
      <w:r>
        <w:rPr>
          <w:rFonts w:ascii="Palatino Linotype" w:hAnsi="Palatino Linotype"/>
          <w:color w:val="000000" w:themeColor="text1"/>
        </w:rPr>
        <w:t xml:space="preserve"> </w:t>
      </w:r>
    </w:p>
    <w:p w14:paraId="2C76DBC3" w14:textId="77777777" w:rsidR="00974A97" w:rsidRDefault="00974A97" w:rsidP="00974A97">
      <w:pPr>
        <w:pStyle w:val="Prrafodelista"/>
        <w:numPr>
          <w:ilvl w:val="1"/>
          <w:numId w:val="43"/>
        </w:numPr>
        <w:tabs>
          <w:tab w:val="left" w:pos="426"/>
        </w:tabs>
        <w:spacing w:before="240" w:after="240" w:line="360" w:lineRule="auto"/>
        <w:ind w:left="1134" w:right="51"/>
        <w:jc w:val="both"/>
        <w:rPr>
          <w:rFonts w:ascii="Palatino Linotype" w:hAnsi="Palatino Linotype"/>
          <w:color w:val="000000" w:themeColor="text1"/>
        </w:rPr>
      </w:pPr>
      <w:r w:rsidRPr="00974A97">
        <w:rPr>
          <w:rFonts w:ascii="Palatino Linotype" w:hAnsi="Palatino Linotype"/>
          <w:color w:val="000000" w:themeColor="text1"/>
        </w:rPr>
        <w:t xml:space="preserve">El desarrollo del proyecto de ingeniería; </w:t>
      </w:r>
    </w:p>
    <w:p w14:paraId="6D18980C" w14:textId="77777777" w:rsidR="00974A97" w:rsidRDefault="00974A97" w:rsidP="00974A97">
      <w:pPr>
        <w:pStyle w:val="Prrafodelista"/>
        <w:numPr>
          <w:ilvl w:val="1"/>
          <w:numId w:val="43"/>
        </w:numPr>
        <w:tabs>
          <w:tab w:val="left" w:pos="426"/>
        </w:tabs>
        <w:spacing w:before="240" w:after="240" w:line="360" w:lineRule="auto"/>
        <w:ind w:left="1134" w:right="51"/>
        <w:jc w:val="both"/>
        <w:rPr>
          <w:rFonts w:ascii="Palatino Linotype" w:hAnsi="Palatino Linotype"/>
          <w:color w:val="000000" w:themeColor="text1"/>
        </w:rPr>
      </w:pPr>
      <w:r w:rsidRPr="00974A97">
        <w:rPr>
          <w:rFonts w:ascii="Palatino Linotype" w:hAnsi="Palatino Linotype"/>
          <w:color w:val="000000" w:themeColor="text1"/>
        </w:rPr>
        <w:t xml:space="preserve">La </w:t>
      </w:r>
      <w:r w:rsidRPr="00974A97">
        <w:rPr>
          <w:rFonts w:ascii="Palatino Linotype" w:hAnsi="Palatino Linotype"/>
          <w:b/>
          <w:color w:val="000000" w:themeColor="text1"/>
        </w:rPr>
        <w:t>integración del proyecto ejecutivo</w:t>
      </w:r>
      <w:r w:rsidRPr="00974A97">
        <w:rPr>
          <w:rFonts w:ascii="Palatino Linotype" w:hAnsi="Palatino Linotype"/>
          <w:color w:val="000000" w:themeColor="text1"/>
        </w:rPr>
        <w:t xml:space="preserve">; </w:t>
      </w:r>
    </w:p>
    <w:p w14:paraId="6B1D3AB3" w14:textId="77777777" w:rsidR="00974A97" w:rsidRDefault="00974A97" w:rsidP="00974A97">
      <w:pPr>
        <w:pStyle w:val="Prrafodelista"/>
        <w:numPr>
          <w:ilvl w:val="1"/>
          <w:numId w:val="43"/>
        </w:numPr>
        <w:tabs>
          <w:tab w:val="left" w:pos="426"/>
        </w:tabs>
        <w:spacing w:before="240" w:after="240" w:line="360" w:lineRule="auto"/>
        <w:ind w:left="1134" w:right="51"/>
        <w:jc w:val="both"/>
        <w:rPr>
          <w:rFonts w:ascii="Palatino Linotype" w:hAnsi="Palatino Linotype"/>
          <w:color w:val="000000" w:themeColor="text1"/>
        </w:rPr>
      </w:pPr>
      <w:r w:rsidRPr="00974A97">
        <w:rPr>
          <w:rFonts w:ascii="Palatino Linotype" w:hAnsi="Palatino Linotype"/>
          <w:color w:val="000000" w:themeColor="text1"/>
        </w:rPr>
        <w:t xml:space="preserve">La determinación de normas técnicas y de calidad de materiales y equipos de instalación permanente; </w:t>
      </w:r>
    </w:p>
    <w:p w14:paraId="04DF1314" w14:textId="77777777" w:rsidR="00974A97" w:rsidRDefault="00974A97" w:rsidP="00974A97">
      <w:pPr>
        <w:pStyle w:val="Prrafodelista"/>
        <w:numPr>
          <w:ilvl w:val="1"/>
          <w:numId w:val="43"/>
        </w:numPr>
        <w:tabs>
          <w:tab w:val="left" w:pos="426"/>
        </w:tabs>
        <w:spacing w:before="240" w:after="240" w:line="360" w:lineRule="auto"/>
        <w:ind w:left="1134" w:right="51"/>
        <w:jc w:val="both"/>
        <w:rPr>
          <w:rFonts w:ascii="Palatino Linotype" w:hAnsi="Palatino Linotype"/>
          <w:color w:val="000000" w:themeColor="text1"/>
        </w:rPr>
      </w:pPr>
      <w:r w:rsidRPr="009E364B">
        <w:rPr>
          <w:rFonts w:ascii="Palatino Linotype" w:hAnsi="Palatino Linotype"/>
          <w:b/>
          <w:color w:val="000000" w:themeColor="text1"/>
        </w:rPr>
        <w:lastRenderedPageBreak/>
        <w:t>La determinación de especificaciones particulares de construcción</w:t>
      </w:r>
      <w:r w:rsidRPr="00974A97">
        <w:rPr>
          <w:rFonts w:ascii="Palatino Linotype" w:hAnsi="Palatino Linotype"/>
          <w:color w:val="000000" w:themeColor="text1"/>
        </w:rPr>
        <w:t xml:space="preserve">, de así requerirse; </w:t>
      </w:r>
    </w:p>
    <w:p w14:paraId="655610E5" w14:textId="77777777" w:rsidR="00974A97" w:rsidRDefault="00974A97" w:rsidP="00974A97">
      <w:pPr>
        <w:pStyle w:val="Prrafodelista"/>
        <w:numPr>
          <w:ilvl w:val="1"/>
          <w:numId w:val="43"/>
        </w:numPr>
        <w:tabs>
          <w:tab w:val="left" w:pos="426"/>
        </w:tabs>
        <w:spacing w:before="240" w:after="240" w:line="360" w:lineRule="auto"/>
        <w:ind w:left="1134" w:right="51"/>
        <w:jc w:val="both"/>
        <w:rPr>
          <w:rFonts w:ascii="Palatino Linotype" w:hAnsi="Palatino Linotype"/>
          <w:color w:val="000000" w:themeColor="text1"/>
        </w:rPr>
      </w:pPr>
      <w:r w:rsidRPr="00974A97">
        <w:rPr>
          <w:rFonts w:ascii="Palatino Linotype" w:hAnsi="Palatino Linotype"/>
          <w:color w:val="000000" w:themeColor="text1"/>
        </w:rPr>
        <w:t xml:space="preserve">La definición de los servicios relacionados con la obra; </w:t>
      </w:r>
    </w:p>
    <w:p w14:paraId="23B85DAA" w14:textId="77777777" w:rsidR="00974A97" w:rsidRDefault="00974A97" w:rsidP="00974A97">
      <w:pPr>
        <w:pStyle w:val="Prrafodelista"/>
        <w:numPr>
          <w:ilvl w:val="1"/>
          <w:numId w:val="43"/>
        </w:numPr>
        <w:tabs>
          <w:tab w:val="left" w:pos="426"/>
        </w:tabs>
        <w:spacing w:before="240" w:after="240" w:line="360" w:lineRule="auto"/>
        <w:ind w:left="1134" w:right="51"/>
        <w:jc w:val="both"/>
        <w:rPr>
          <w:rFonts w:ascii="Palatino Linotype" w:hAnsi="Palatino Linotype"/>
          <w:color w:val="000000" w:themeColor="text1"/>
        </w:rPr>
      </w:pPr>
      <w:r w:rsidRPr="00974A97">
        <w:rPr>
          <w:rFonts w:ascii="Palatino Linotype" w:hAnsi="Palatino Linotype"/>
          <w:color w:val="000000" w:themeColor="text1"/>
        </w:rPr>
        <w:t xml:space="preserve">El </w:t>
      </w:r>
      <w:r w:rsidRPr="00974A97">
        <w:rPr>
          <w:rFonts w:ascii="Palatino Linotype" w:hAnsi="Palatino Linotype"/>
          <w:b/>
          <w:color w:val="000000" w:themeColor="text1"/>
        </w:rPr>
        <w:t>programa de ejecución</w:t>
      </w:r>
      <w:r w:rsidRPr="00974A97">
        <w:rPr>
          <w:rFonts w:ascii="Palatino Linotype" w:hAnsi="Palatino Linotype"/>
          <w:color w:val="000000" w:themeColor="text1"/>
        </w:rPr>
        <w:t xml:space="preserve">; </w:t>
      </w:r>
    </w:p>
    <w:p w14:paraId="41C9273E" w14:textId="5173021C" w:rsidR="00974A97" w:rsidRDefault="00974A97" w:rsidP="00974A97">
      <w:pPr>
        <w:pStyle w:val="Prrafodelista"/>
        <w:numPr>
          <w:ilvl w:val="1"/>
          <w:numId w:val="43"/>
        </w:numPr>
        <w:tabs>
          <w:tab w:val="left" w:pos="426"/>
        </w:tabs>
        <w:spacing w:before="240" w:after="240" w:line="360" w:lineRule="auto"/>
        <w:ind w:left="1134" w:right="51"/>
        <w:jc w:val="both"/>
        <w:rPr>
          <w:rFonts w:ascii="Palatino Linotype" w:hAnsi="Palatino Linotype"/>
          <w:color w:val="000000" w:themeColor="text1"/>
        </w:rPr>
      </w:pPr>
      <w:r w:rsidRPr="00974A97">
        <w:rPr>
          <w:rFonts w:ascii="Palatino Linotype" w:hAnsi="Palatino Linotype"/>
          <w:color w:val="000000" w:themeColor="text1"/>
        </w:rPr>
        <w:t xml:space="preserve">El </w:t>
      </w:r>
      <w:r w:rsidRPr="00974A97">
        <w:rPr>
          <w:rFonts w:ascii="Palatino Linotype" w:hAnsi="Palatino Linotype"/>
          <w:b/>
          <w:color w:val="000000" w:themeColor="text1"/>
        </w:rPr>
        <w:t>presupuesto</w:t>
      </w:r>
      <w:r w:rsidRPr="00974A97">
        <w:rPr>
          <w:rFonts w:ascii="Palatino Linotype" w:hAnsi="Palatino Linotype"/>
          <w:color w:val="000000" w:themeColor="text1"/>
        </w:rPr>
        <w:t>.</w:t>
      </w:r>
    </w:p>
    <w:p w14:paraId="3CAF4F9C" w14:textId="77777777" w:rsidR="00974A97" w:rsidRDefault="00974A97" w:rsidP="00974A97">
      <w:pPr>
        <w:pStyle w:val="Prrafodelista"/>
        <w:tabs>
          <w:tab w:val="left" w:pos="426"/>
        </w:tabs>
        <w:spacing w:before="240" w:after="240" w:line="360" w:lineRule="auto"/>
        <w:ind w:left="0" w:right="51"/>
        <w:jc w:val="both"/>
        <w:rPr>
          <w:rFonts w:ascii="Palatino Linotype" w:hAnsi="Palatino Linotype"/>
          <w:color w:val="000000" w:themeColor="text1"/>
        </w:rPr>
      </w:pPr>
    </w:p>
    <w:p w14:paraId="75DF2703" w14:textId="0A8E5837" w:rsidR="00627DB0" w:rsidRPr="00627DB0" w:rsidRDefault="00627DB0" w:rsidP="00627D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Los t</w:t>
      </w:r>
      <w:r w:rsidRPr="00627DB0">
        <w:rPr>
          <w:rFonts w:ascii="Palatino Linotype" w:hAnsi="Palatino Linotype"/>
          <w:color w:val="000000" w:themeColor="text1"/>
        </w:rPr>
        <w:t xml:space="preserve">itulares de las dependencias y los órganos de gobierno de las entidades, así como los </w:t>
      </w:r>
      <w:r w:rsidRPr="00627DB0">
        <w:rPr>
          <w:rFonts w:ascii="Palatino Linotype" w:hAnsi="Palatino Linotype"/>
          <w:b/>
          <w:color w:val="000000" w:themeColor="text1"/>
        </w:rPr>
        <w:t>ayuntamientos</w:t>
      </w:r>
      <w:r w:rsidRPr="00627DB0">
        <w:rPr>
          <w:rFonts w:ascii="Palatino Linotype" w:hAnsi="Palatino Linotype"/>
          <w:color w:val="000000" w:themeColor="text1"/>
        </w:rPr>
        <w:t xml:space="preserve">, atendiendo al volumen de obra pública o servicios relacionados con la misma que programen, podrán auxiliarse de </w:t>
      </w:r>
      <w:r w:rsidRPr="00627DB0">
        <w:rPr>
          <w:rFonts w:ascii="Palatino Linotype" w:hAnsi="Palatino Linotype"/>
          <w:b/>
          <w:color w:val="000000" w:themeColor="text1"/>
        </w:rPr>
        <w:t>comités internos de obra pública</w:t>
      </w:r>
      <w:r w:rsidRPr="00627DB0">
        <w:rPr>
          <w:rFonts w:ascii="Palatino Linotype" w:hAnsi="Palatino Linotype"/>
          <w:color w:val="000000" w:themeColor="text1"/>
        </w:rPr>
        <w:t xml:space="preserve">, </w:t>
      </w:r>
      <w:r>
        <w:rPr>
          <w:rFonts w:ascii="Palatino Linotype" w:hAnsi="Palatino Linotype"/>
          <w:color w:val="000000" w:themeColor="text1"/>
        </w:rPr>
        <w:t xml:space="preserve">los cuales se encargarán principalmente de </w:t>
      </w:r>
      <w:r w:rsidRPr="00627DB0">
        <w:rPr>
          <w:rFonts w:ascii="Palatino Linotype" w:hAnsi="Palatino Linotype"/>
          <w:b/>
          <w:color w:val="000000" w:themeColor="text1"/>
        </w:rPr>
        <w:t>revisar los proyectos de programas y presupuestos de obra pública</w:t>
      </w:r>
      <w:r w:rsidRPr="00627DB0">
        <w:rPr>
          <w:rFonts w:ascii="Palatino Linotype" w:hAnsi="Palatino Linotype"/>
          <w:color w:val="000000" w:themeColor="text1"/>
        </w:rPr>
        <w:t xml:space="preserve"> o servicios relacionados con la misma, </w:t>
      </w:r>
      <w:r w:rsidRPr="00906061">
        <w:rPr>
          <w:rFonts w:ascii="Palatino Linotype" w:hAnsi="Palatino Linotype"/>
          <w:b/>
          <w:color w:val="000000" w:themeColor="text1"/>
        </w:rPr>
        <w:t>así como formular las observaciones y recomendaciones convenientes; y dictaminar sobre la procedencia de inicio de procedimientos</w:t>
      </w:r>
      <w:r w:rsidRPr="00627DB0">
        <w:rPr>
          <w:rFonts w:ascii="Palatino Linotype" w:hAnsi="Palatino Linotype"/>
          <w:color w:val="000000" w:themeColor="text1"/>
        </w:rPr>
        <w:t xml:space="preserve"> de invitación restri</w:t>
      </w:r>
      <w:r>
        <w:rPr>
          <w:rFonts w:ascii="Palatino Linotype" w:hAnsi="Palatino Linotype"/>
          <w:color w:val="000000" w:themeColor="text1"/>
        </w:rPr>
        <w:t>ngida o de adjudicación directa</w:t>
      </w:r>
      <w:r w:rsidR="009E364B">
        <w:rPr>
          <w:rStyle w:val="Refdenotaalpie"/>
          <w:rFonts w:ascii="Palatino Linotype" w:hAnsi="Palatino Linotype"/>
          <w:color w:val="000000" w:themeColor="text1"/>
        </w:rPr>
        <w:footnoteReference w:id="18"/>
      </w:r>
      <w:r>
        <w:rPr>
          <w:rFonts w:ascii="Palatino Linotype" w:hAnsi="Palatino Linotype"/>
          <w:color w:val="000000" w:themeColor="text1"/>
        </w:rPr>
        <w:t>.</w:t>
      </w:r>
    </w:p>
    <w:p w14:paraId="6B1359C4" w14:textId="77777777" w:rsidR="00627DB0" w:rsidRDefault="00627DB0" w:rsidP="00F36760">
      <w:pPr>
        <w:pStyle w:val="Prrafodelista"/>
        <w:tabs>
          <w:tab w:val="left" w:pos="426"/>
        </w:tabs>
        <w:spacing w:before="240" w:after="240" w:line="360" w:lineRule="auto"/>
        <w:ind w:left="0" w:right="51"/>
        <w:jc w:val="both"/>
        <w:rPr>
          <w:rFonts w:ascii="Palatino Linotype" w:hAnsi="Palatino Linotype"/>
          <w:color w:val="000000" w:themeColor="text1"/>
        </w:rPr>
      </w:pPr>
    </w:p>
    <w:p w14:paraId="3D2DE16C" w14:textId="4DB71E37" w:rsidR="00F36760" w:rsidRDefault="00627DB0"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Ahora bien, por cuanto hace a los contratos de obra pública que suscriban las dependencias, entidades y ayuntamientos, éstos se adjudicarán a través de </w:t>
      </w:r>
      <w:r w:rsidRPr="00627DB0">
        <w:rPr>
          <w:rFonts w:ascii="Palatino Linotype" w:hAnsi="Palatino Linotype"/>
          <w:b/>
          <w:color w:val="000000" w:themeColor="text1"/>
        </w:rPr>
        <w:t>licitaciones públicas</w:t>
      </w:r>
      <w:r>
        <w:rPr>
          <w:rStyle w:val="Refdenotaalpie"/>
          <w:rFonts w:ascii="Palatino Linotype" w:hAnsi="Palatino Linotype"/>
          <w:color w:val="000000" w:themeColor="text1"/>
        </w:rPr>
        <w:footnoteReference w:id="19"/>
      </w:r>
      <w:r>
        <w:rPr>
          <w:rFonts w:ascii="Palatino Linotype" w:hAnsi="Palatino Linotype"/>
          <w:color w:val="000000" w:themeColor="text1"/>
        </w:rPr>
        <w:t xml:space="preserve">; y, excepcionalmente, bajo su responsabilidad, mediante los procedimientos de </w:t>
      </w:r>
      <w:r w:rsidRPr="00627DB0">
        <w:rPr>
          <w:rFonts w:ascii="Palatino Linotype" w:hAnsi="Palatino Linotype"/>
          <w:b/>
          <w:color w:val="000000" w:themeColor="text1"/>
        </w:rPr>
        <w:t>invitación restringida</w:t>
      </w:r>
      <w:r>
        <w:rPr>
          <w:rFonts w:ascii="Palatino Linotype" w:hAnsi="Palatino Linotype"/>
          <w:color w:val="000000" w:themeColor="text1"/>
        </w:rPr>
        <w:t xml:space="preserve"> o </w:t>
      </w:r>
      <w:r w:rsidRPr="00627DB0">
        <w:rPr>
          <w:rFonts w:ascii="Palatino Linotype" w:hAnsi="Palatino Linotype"/>
          <w:b/>
          <w:color w:val="000000" w:themeColor="text1"/>
        </w:rPr>
        <w:t>adjudicación directa</w:t>
      </w:r>
      <w:r>
        <w:rPr>
          <w:rFonts w:ascii="Palatino Linotype" w:hAnsi="Palatino Linotype"/>
          <w:color w:val="000000" w:themeColor="text1"/>
        </w:rPr>
        <w:t>.</w:t>
      </w:r>
    </w:p>
    <w:p w14:paraId="79385DDA" w14:textId="77777777" w:rsidR="00F36760" w:rsidRDefault="00F36760" w:rsidP="00F36760">
      <w:pPr>
        <w:pStyle w:val="Prrafodelista"/>
        <w:tabs>
          <w:tab w:val="left" w:pos="426"/>
        </w:tabs>
        <w:spacing w:before="240" w:after="240" w:line="360" w:lineRule="auto"/>
        <w:ind w:left="0" w:right="51"/>
        <w:jc w:val="both"/>
        <w:rPr>
          <w:rFonts w:ascii="Palatino Linotype" w:hAnsi="Palatino Linotype"/>
          <w:color w:val="000000" w:themeColor="text1"/>
        </w:rPr>
      </w:pPr>
    </w:p>
    <w:p w14:paraId="30C83CE8" w14:textId="6CA04114" w:rsidR="00F36760" w:rsidRDefault="00627DB0"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Al respecto, los artículos 12.34 y 12.37 del Código Administrativo del Estado de México establecen las excepciones en las que se puede prescindir de la licitación pública:</w:t>
      </w:r>
    </w:p>
    <w:p w14:paraId="027576B9" w14:textId="77777777" w:rsidR="00F36760" w:rsidRDefault="00F36760" w:rsidP="00F36760">
      <w:pPr>
        <w:pStyle w:val="Prrafodelista"/>
        <w:tabs>
          <w:tab w:val="left" w:pos="426"/>
        </w:tabs>
        <w:spacing w:before="240" w:after="240" w:line="360" w:lineRule="auto"/>
        <w:ind w:left="0" w:right="51"/>
        <w:jc w:val="both"/>
        <w:rPr>
          <w:rFonts w:ascii="Palatino Linotype" w:hAnsi="Palatino Linotype"/>
          <w:color w:val="000000" w:themeColor="text1"/>
        </w:rPr>
      </w:pPr>
    </w:p>
    <w:p w14:paraId="48CB901A" w14:textId="77777777" w:rsid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i/>
          <w:sz w:val="22"/>
        </w:rPr>
        <w:t>“</w:t>
      </w:r>
      <w:r w:rsidRPr="008E3AE8">
        <w:rPr>
          <w:rFonts w:ascii="Palatino Linotype" w:hAnsi="Palatino Linotype"/>
          <w:b/>
          <w:i/>
          <w:sz w:val="22"/>
        </w:rPr>
        <w:t>Artículo 12.34.-</w:t>
      </w:r>
      <w:r w:rsidRPr="008E3AE8">
        <w:rPr>
          <w:rFonts w:ascii="Palatino Linotype" w:hAnsi="Palatino Linotype"/>
          <w:i/>
          <w:sz w:val="22"/>
        </w:rPr>
        <w:t xml:space="preserve"> Las dependencias, entidades y ayuntamientos podrán contratar obra pública o servicios relacionados con la misma, mediante el procedimiento de invitación restringida, cuando: </w:t>
      </w:r>
    </w:p>
    <w:p w14:paraId="4BF0891B" w14:textId="77777777" w:rsid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r w:rsidRPr="008E3AE8">
        <w:rPr>
          <w:rFonts w:ascii="Palatino Linotype" w:hAnsi="Palatino Linotype"/>
          <w:b/>
          <w:i/>
          <w:sz w:val="22"/>
        </w:rPr>
        <w:t>I.</w:t>
      </w:r>
      <w:r w:rsidRPr="008E3AE8">
        <w:rPr>
          <w:rFonts w:ascii="Palatino Linotype" w:hAnsi="Palatino Linotype"/>
          <w:i/>
          <w:sz w:val="22"/>
        </w:rPr>
        <w:t xml:space="preserve"> Se hubiere declarado desierto un procedimiento de licitación; o </w:t>
      </w:r>
    </w:p>
    <w:p w14:paraId="5AED8EAE" w14:textId="65C8BF07" w:rsidR="00627DB0" w:rsidRP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r w:rsidRPr="008E3AE8">
        <w:rPr>
          <w:rFonts w:ascii="Palatino Linotype" w:hAnsi="Palatino Linotype"/>
          <w:b/>
          <w:i/>
          <w:sz w:val="22"/>
        </w:rPr>
        <w:t>II.</w:t>
      </w:r>
      <w:r w:rsidRPr="008E3AE8">
        <w:rPr>
          <w:rFonts w:ascii="Palatino Linotype" w:hAnsi="Palatino Linotype"/>
          <w:i/>
          <w:sz w:val="22"/>
        </w:rPr>
        <w:t xml:space="preserve"> Las obras o servicios a contratar, no rebasen los montos establecidos por el Presupuesto de Egresos del Gobierno del Estado del ejercicio correspondiente.</w:t>
      </w:r>
    </w:p>
    <w:p w14:paraId="42E1A864" w14:textId="77777777" w:rsidR="008E3AE8" w:rsidRP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p>
    <w:p w14:paraId="615550CC" w14:textId="77777777" w:rsid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r w:rsidRPr="008E3AE8">
        <w:rPr>
          <w:rFonts w:ascii="Palatino Linotype" w:hAnsi="Palatino Linotype"/>
          <w:b/>
          <w:i/>
          <w:sz w:val="22"/>
        </w:rPr>
        <w:t>Artículo 12.37.-</w:t>
      </w:r>
      <w:r w:rsidRPr="008E3AE8">
        <w:rPr>
          <w:rFonts w:ascii="Palatino Linotype" w:hAnsi="Palatino Linotype"/>
          <w:i/>
          <w:sz w:val="22"/>
        </w:rPr>
        <w:t xml:space="preserve"> Las dependencias, entidades y ayuntamientos podrán adjudicar obra pública o servicios relacionados con la misma, mediante el procedimiento de adjudicación directa, cuando: </w:t>
      </w:r>
    </w:p>
    <w:p w14:paraId="08517800" w14:textId="77777777" w:rsid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r w:rsidRPr="008E3AE8">
        <w:rPr>
          <w:rFonts w:ascii="Palatino Linotype" w:hAnsi="Palatino Linotype"/>
          <w:b/>
          <w:i/>
          <w:sz w:val="22"/>
        </w:rPr>
        <w:t>I.</w:t>
      </w:r>
      <w:r w:rsidRPr="008E3AE8">
        <w:rPr>
          <w:rFonts w:ascii="Palatino Linotype" w:hAnsi="Palatino Linotype"/>
          <w:i/>
          <w:sz w:val="22"/>
        </w:rPr>
        <w:t xml:space="preserve"> Se trate de restauración de monumentos arqueológicos, artísticos e históricos; </w:t>
      </w:r>
    </w:p>
    <w:p w14:paraId="04EEEF3D" w14:textId="77777777" w:rsid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r w:rsidRPr="008E3AE8">
        <w:rPr>
          <w:rFonts w:ascii="Palatino Linotype" w:hAnsi="Palatino Linotype"/>
          <w:b/>
          <w:i/>
          <w:sz w:val="22"/>
        </w:rPr>
        <w:t>II.</w:t>
      </w:r>
      <w:r w:rsidRPr="008E3AE8">
        <w:rPr>
          <w:rFonts w:ascii="Palatino Linotype" w:hAnsi="Palatino Linotype"/>
          <w:i/>
          <w:sz w:val="22"/>
        </w:rPr>
        <w:t xml:space="preserve"> Para la ejecución de la obra o servicios se requiera contratar al titular de una patente, derechos de autor u otros derechos exclusivos; </w:t>
      </w:r>
    </w:p>
    <w:p w14:paraId="49B7221B" w14:textId="77777777" w:rsid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r w:rsidRPr="008E3AE8">
        <w:rPr>
          <w:rFonts w:ascii="Palatino Linotype" w:hAnsi="Palatino Linotype"/>
          <w:b/>
          <w:i/>
          <w:sz w:val="22"/>
        </w:rPr>
        <w:t>III.</w:t>
      </w:r>
      <w:r w:rsidRPr="008E3AE8">
        <w:rPr>
          <w:rFonts w:ascii="Palatino Linotype" w:hAnsi="Palatino Linotype"/>
          <w:i/>
          <w:sz w:val="22"/>
        </w:rPr>
        <w:t xml:space="preserve"> Se requiera de experiencia, materiales, equipos o técnicas especiales; </w:t>
      </w:r>
    </w:p>
    <w:p w14:paraId="6797790A" w14:textId="77777777" w:rsid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r w:rsidRPr="008E3AE8">
        <w:rPr>
          <w:rFonts w:ascii="Palatino Linotype" w:hAnsi="Palatino Linotype"/>
          <w:b/>
          <w:i/>
          <w:sz w:val="22"/>
        </w:rPr>
        <w:t>IV.</w:t>
      </w:r>
      <w:r w:rsidRPr="008E3AE8">
        <w:rPr>
          <w:rFonts w:ascii="Palatino Linotype" w:hAnsi="Palatino Linotype"/>
          <w:i/>
          <w:sz w:val="22"/>
        </w:rPr>
        <w:t xml:space="preserve"> Sea urgente la ejecución de la obra por estar en riesgo el orden social, la salubridad, la seguridad pública o el ambiente, de alguna zona o región del Estado; se paralicen los servicios públicos; se trate de programas de apoyo a la comunidad para atender necesidades apremiantes; o concurra alguna otra causa similar de interés público; </w:t>
      </w:r>
    </w:p>
    <w:p w14:paraId="0651D5A5" w14:textId="77777777" w:rsid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r w:rsidRPr="008E3AE8">
        <w:rPr>
          <w:rFonts w:ascii="Palatino Linotype" w:hAnsi="Palatino Linotype"/>
          <w:b/>
          <w:i/>
          <w:sz w:val="22"/>
        </w:rPr>
        <w:t xml:space="preserve">V. </w:t>
      </w:r>
      <w:r w:rsidRPr="008E3AE8">
        <w:rPr>
          <w:rFonts w:ascii="Palatino Linotype" w:hAnsi="Palatino Linotype"/>
          <w:i/>
          <w:sz w:val="22"/>
        </w:rPr>
        <w:t xml:space="preserve">Existan circunstancias que puedan provocar pérdidas o costos adicionales importantes al erario; </w:t>
      </w:r>
    </w:p>
    <w:p w14:paraId="50453D7A" w14:textId="77777777" w:rsid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r w:rsidRPr="008E3AE8">
        <w:rPr>
          <w:rFonts w:ascii="Palatino Linotype" w:hAnsi="Palatino Linotype"/>
          <w:b/>
          <w:i/>
          <w:sz w:val="22"/>
        </w:rPr>
        <w:t>VI.</w:t>
      </w:r>
      <w:r w:rsidRPr="008E3AE8">
        <w:rPr>
          <w:rFonts w:ascii="Palatino Linotype" w:hAnsi="Palatino Linotype"/>
          <w:i/>
          <w:sz w:val="22"/>
        </w:rPr>
        <w:t xml:space="preserve"> Pueda comprometerse información de naturaleza confidencial para el Estado o municipios, por razones de seguridad pública; </w:t>
      </w:r>
    </w:p>
    <w:p w14:paraId="3A47876A" w14:textId="77777777" w:rsid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r w:rsidRPr="008E3AE8">
        <w:rPr>
          <w:rFonts w:ascii="Palatino Linotype" w:hAnsi="Palatino Linotype"/>
          <w:b/>
          <w:i/>
          <w:sz w:val="22"/>
        </w:rPr>
        <w:t>VII.</w:t>
      </w:r>
      <w:r w:rsidRPr="008E3AE8">
        <w:rPr>
          <w:rFonts w:ascii="Palatino Linotype" w:hAnsi="Palatino Linotype"/>
          <w:i/>
          <w:sz w:val="22"/>
        </w:rPr>
        <w:t xml:space="preserve"> Existan circunstancias extraordinarias o imprevisibles que generen riesgo o desastre. En este supuesto, la contratación deberá limitarse a lo estrictamente necesario para enfrentar tal eventualidad; </w:t>
      </w:r>
    </w:p>
    <w:p w14:paraId="01327F6C" w14:textId="77777777" w:rsid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r w:rsidRPr="008E3AE8">
        <w:rPr>
          <w:rFonts w:ascii="Palatino Linotype" w:hAnsi="Palatino Linotype"/>
          <w:b/>
          <w:i/>
          <w:sz w:val="22"/>
        </w:rPr>
        <w:t>VIII.</w:t>
      </w:r>
      <w:r w:rsidRPr="008E3AE8">
        <w:rPr>
          <w:rFonts w:ascii="Palatino Linotype" w:hAnsi="Palatino Linotype"/>
          <w:i/>
          <w:sz w:val="22"/>
        </w:rPr>
        <w:t xml:space="preserve"> Se hubiere rescindido un contrato por causas imputables al contratista ganador en una licitación; o la persona que habiendo resultado ganadora no concurra a la celebración del contrato en el plazo que dispone este Libro. En estos casos la dependencia, entidad o ayuntamiento podrá adjudicar el contrato al licitante que haya presentado la propuesta solvente más cercana a la ganadora y así sucesivamente; en todo caso, la diferencia de precio no deberá ser superior al diez por ciento respecto de la propuesta ganadora; </w:t>
      </w:r>
    </w:p>
    <w:p w14:paraId="395594E0" w14:textId="77777777" w:rsid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r w:rsidRPr="008E3AE8">
        <w:rPr>
          <w:rFonts w:ascii="Palatino Linotype" w:hAnsi="Palatino Linotype"/>
          <w:b/>
          <w:i/>
          <w:sz w:val="22"/>
        </w:rPr>
        <w:t>IX.</w:t>
      </w:r>
      <w:r w:rsidRPr="008E3AE8">
        <w:rPr>
          <w:rFonts w:ascii="Palatino Linotype" w:hAnsi="Palatino Linotype"/>
          <w:i/>
          <w:sz w:val="22"/>
        </w:rPr>
        <w:t xml:space="preserve"> Se hubiere declarado desierto un procedimiento de invitación restringida; </w:t>
      </w:r>
    </w:p>
    <w:p w14:paraId="7BD20390" w14:textId="77777777" w:rsidR="008E3AE8" w:rsidRDefault="008E3AE8" w:rsidP="008E3AE8">
      <w:pPr>
        <w:pStyle w:val="Prrafodelista"/>
        <w:tabs>
          <w:tab w:val="left" w:pos="426"/>
        </w:tabs>
        <w:spacing w:before="240" w:after="240" w:line="276" w:lineRule="auto"/>
        <w:ind w:left="567" w:right="567"/>
        <w:jc w:val="both"/>
        <w:rPr>
          <w:rFonts w:ascii="Palatino Linotype" w:hAnsi="Palatino Linotype"/>
          <w:i/>
          <w:sz w:val="22"/>
        </w:rPr>
      </w:pPr>
      <w:r w:rsidRPr="008E3AE8">
        <w:rPr>
          <w:rFonts w:ascii="Palatino Linotype" w:hAnsi="Palatino Linotype"/>
          <w:b/>
          <w:i/>
          <w:sz w:val="22"/>
        </w:rPr>
        <w:t xml:space="preserve">X. </w:t>
      </w:r>
      <w:r w:rsidRPr="008E3AE8">
        <w:rPr>
          <w:rFonts w:ascii="Palatino Linotype" w:hAnsi="Palatino Linotype"/>
          <w:i/>
          <w:sz w:val="22"/>
        </w:rPr>
        <w:t xml:space="preserve">Cuando se aseguren condiciones financieras que permitan al Estado o municipios cumplir con la obligación de pago de manera diferida, sin que ello implique un costo </w:t>
      </w:r>
      <w:r w:rsidRPr="008E3AE8">
        <w:rPr>
          <w:rFonts w:ascii="Palatino Linotype" w:hAnsi="Palatino Linotype"/>
          <w:i/>
          <w:sz w:val="22"/>
        </w:rPr>
        <w:lastRenderedPageBreak/>
        <w:t xml:space="preserve">financiero adicional; o bien que habiendo un costo financiero adicional éste sea inferior al del mercado; o </w:t>
      </w:r>
    </w:p>
    <w:p w14:paraId="6605E728" w14:textId="0384C936" w:rsidR="008E3AE8" w:rsidRPr="008E3AE8" w:rsidRDefault="008E3AE8" w:rsidP="008E3AE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8E3AE8">
        <w:rPr>
          <w:rFonts w:ascii="Palatino Linotype" w:hAnsi="Palatino Linotype"/>
          <w:b/>
          <w:i/>
          <w:sz w:val="22"/>
        </w:rPr>
        <w:t>XI.</w:t>
      </w:r>
      <w:r w:rsidRPr="008E3AE8">
        <w:rPr>
          <w:rFonts w:ascii="Palatino Linotype" w:hAnsi="Palatino Linotype"/>
          <w:i/>
          <w:sz w:val="22"/>
        </w:rPr>
        <w:t xml:space="preserve"> Las obras o servicios a contratar, no rebasen los montos establecidos por el Presupuesto de Egresos del Gobierno del Estado del ejercicio correspondiente.</w:t>
      </w:r>
      <w:r>
        <w:rPr>
          <w:rFonts w:ascii="Palatino Linotype" w:hAnsi="Palatino Linotype"/>
          <w:i/>
          <w:sz w:val="22"/>
        </w:rPr>
        <w:t>”</w:t>
      </w:r>
    </w:p>
    <w:p w14:paraId="66879122" w14:textId="77777777" w:rsidR="00627DB0" w:rsidRDefault="00627DB0" w:rsidP="00F36760">
      <w:pPr>
        <w:pStyle w:val="Prrafodelista"/>
        <w:tabs>
          <w:tab w:val="left" w:pos="426"/>
        </w:tabs>
        <w:spacing w:before="240" w:after="240" w:line="360" w:lineRule="auto"/>
        <w:ind w:left="0" w:right="51"/>
        <w:jc w:val="both"/>
        <w:rPr>
          <w:rFonts w:ascii="Palatino Linotype" w:hAnsi="Palatino Linotype"/>
          <w:color w:val="000000" w:themeColor="text1"/>
        </w:rPr>
      </w:pPr>
    </w:p>
    <w:p w14:paraId="4E32C482" w14:textId="7FED1C98" w:rsidR="00F36760" w:rsidRDefault="005B18FF"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Dicho lo anterior, es esencial señalar que la semántica de la información requerida por el </w:t>
      </w:r>
      <w:r>
        <w:rPr>
          <w:rFonts w:ascii="Palatino Linotype" w:hAnsi="Palatino Linotype"/>
          <w:b/>
          <w:color w:val="000000" w:themeColor="text1"/>
        </w:rPr>
        <w:t>RECURRENTE</w:t>
      </w:r>
      <w:r>
        <w:rPr>
          <w:rFonts w:ascii="Palatino Linotype" w:hAnsi="Palatino Linotype"/>
          <w:color w:val="000000" w:themeColor="text1"/>
        </w:rPr>
        <w:t xml:space="preserve"> se reconoce como parte de las </w:t>
      </w:r>
      <w:r>
        <w:rPr>
          <w:rFonts w:ascii="Palatino Linotype" w:hAnsi="Palatino Linotype"/>
          <w:b/>
          <w:bCs/>
          <w:color w:val="000000" w:themeColor="text1"/>
        </w:rPr>
        <w:t>obligaciones de transparencia común</w:t>
      </w:r>
      <w:r w:rsidR="0039230E">
        <w:rPr>
          <w:rFonts w:ascii="Palatino Linotype" w:hAnsi="Palatino Linotype"/>
          <w:bCs/>
          <w:color w:val="000000" w:themeColor="text1"/>
        </w:rPr>
        <w:t>,</w:t>
      </w:r>
      <w:r>
        <w:rPr>
          <w:rFonts w:ascii="Palatino Linotype" w:hAnsi="Palatino Linotype"/>
          <w:color w:val="000000" w:themeColor="text1"/>
        </w:rPr>
        <w:t xml:space="preserve"> las cuales, el </w:t>
      </w:r>
      <w:r w:rsidR="00794F7E">
        <w:rPr>
          <w:rFonts w:ascii="Palatino Linotype" w:hAnsi="Palatino Linotype"/>
          <w:color w:val="000000" w:themeColor="text1"/>
        </w:rPr>
        <w:t>Ayuntamiento de Chiautla</w:t>
      </w:r>
      <w:r>
        <w:rPr>
          <w:rFonts w:ascii="Palatino Linotype" w:hAnsi="Palatino Linotype"/>
          <w:color w:val="000000" w:themeColor="text1"/>
        </w:rPr>
        <w:t xml:space="preserve"> está inexcusado de publicar y difundir a la ciudadanía, de manera permanente y actualizada. Lo anterior de acuerdo con lo establecido en el artículo 92 de la Ley de Transparencia y Acceso a la Información Pública del Estado de México y Municipios, mismo que se comparte a continuación:</w:t>
      </w:r>
    </w:p>
    <w:p w14:paraId="38A84721" w14:textId="77777777" w:rsidR="00F36760" w:rsidRDefault="00F36760" w:rsidP="00F36760">
      <w:pPr>
        <w:pStyle w:val="Prrafodelista"/>
        <w:tabs>
          <w:tab w:val="left" w:pos="426"/>
        </w:tabs>
        <w:spacing w:before="240" w:after="240" w:line="360" w:lineRule="auto"/>
        <w:ind w:left="0" w:right="51"/>
        <w:jc w:val="both"/>
        <w:rPr>
          <w:rFonts w:ascii="Palatino Linotype" w:hAnsi="Palatino Linotype"/>
          <w:color w:val="000000" w:themeColor="text1"/>
        </w:rPr>
      </w:pPr>
    </w:p>
    <w:p w14:paraId="68DEBA4D" w14:textId="77777777" w:rsidR="00161B6B" w:rsidRPr="00644E13" w:rsidRDefault="00161B6B" w:rsidP="00161B6B">
      <w:pPr>
        <w:pStyle w:val="Prrafodelista"/>
        <w:tabs>
          <w:tab w:val="left" w:pos="426"/>
        </w:tabs>
        <w:spacing w:before="240" w:after="240" w:line="276" w:lineRule="auto"/>
        <w:ind w:left="567" w:right="567"/>
        <w:jc w:val="both"/>
        <w:rPr>
          <w:rFonts w:ascii="Palatino Linotype" w:hAnsi="Palatino Linotype"/>
          <w:i/>
          <w:iCs/>
          <w:sz w:val="22"/>
          <w:szCs w:val="22"/>
        </w:rPr>
      </w:pPr>
      <w:r>
        <w:rPr>
          <w:rFonts w:ascii="Palatino Linotype" w:hAnsi="Palatino Linotype"/>
          <w:i/>
          <w:iCs/>
          <w:sz w:val="22"/>
          <w:szCs w:val="22"/>
        </w:rPr>
        <w:t>“</w:t>
      </w:r>
      <w:r w:rsidRPr="00644E13">
        <w:rPr>
          <w:rFonts w:ascii="Palatino Linotype" w:hAnsi="Palatino Linotype"/>
          <w:b/>
          <w:bCs/>
          <w:i/>
          <w:iCs/>
          <w:sz w:val="22"/>
          <w:szCs w:val="22"/>
        </w:rPr>
        <w:t>Artículo 92.</w:t>
      </w:r>
      <w:r w:rsidRPr="00644E13">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39E1774" w14:textId="77777777" w:rsidR="00161B6B" w:rsidRDefault="00161B6B" w:rsidP="00161B6B">
      <w:pPr>
        <w:pStyle w:val="Prrafodelista"/>
        <w:tabs>
          <w:tab w:val="left" w:pos="426"/>
        </w:tabs>
        <w:spacing w:before="240" w:after="240" w:line="276" w:lineRule="auto"/>
        <w:ind w:left="567" w:right="567"/>
        <w:jc w:val="both"/>
        <w:rPr>
          <w:rFonts w:ascii="Palatino Linotype" w:hAnsi="Palatino Linotype"/>
          <w:i/>
          <w:iCs/>
          <w:sz w:val="22"/>
          <w:szCs w:val="22"/>
        </w:rPr>
      </w:pPr>
      <w:r w:rsidRPr="00644E13">
        <w:rPr>
          <w:rFonts w:ascii="Palatino Linotype" w:hAnsi="Palatino Linotype"/>
          <w:i/>
          <w:iCs/>
          <w:sz w:val="22"/>
          <w:szCs w:val="22"/>
        </w:rPr>
        <w:t>(…)</w:t>
      </w:r>
    </w:p>
    <w:p w14:paraId="3D21EE40" w14:textId="77777777" w:rsidR="00161B6B" w:rsidRDefault="00161B6B" w:rsidP="00161B6B">
      <w:pPr>
        <w:pStyle w:val="Prrafodelista"/>
        <w:tabs>
          <w:tab w:val="left" w:pos="426"/>
        </w:tabs>
        <w:spacing w:before="240" w:after="240" w:line="276" w:lineRule="auto"/>
        <w:ind w:left="567" w:right="567"/>
        <w:jc w:val="both"/>
        <w:rPr>
          <w:rFonts w:ascii="Palatino Linotype" w:hAnsi="Palatino Linotype"/>
          <w:i/>
          <w:iCs/>
          <w:sz w:val="22"/>
          <w:szCs w:val="22"/>
        </w:rPr>
      </w:pPr>
      <w:r w:rsidRPr="00161B6B">
        <w:rPr>
          <w:rFonts w:ascii="Palatino Linotype" w:hAnsi="Palatino Linotype"/>
          <w:b/>
          <w:i/>
          <w:iCs/>
          <w:sz w:val="22"/>
          <w:szCs w:val="22"/>
        </w:rPr>
        <w:t>XXIX.</w:t>
      </w:r>
      <w:r w:rsidRPr="00161B6B">
        <w:rPr>
          <w:rFonts w:ascii="Palatino Linotype" w:hAnsi="Palatino Linotype"/>
          <w:i/>
          <w:iCs/>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666282FF" w14:textId="77777777" w:rsidR="00161B6B" w:rsidRDefault="00161B6B" w:rsidP="00161B6B">
      <w:pPr>
        <w:pStyle w:val="Prrafodelista"/>
        <w:tabs>
          <w:tab w:val="left" w:pos="426"/>
        </w:tabs>
        <w:spacing w:before="240" w:after="240" w:line="276" w:lineRule="auto"/>
        <w:ind w:left="851" w:right="567"/>
        <w:jc w:val="both"/>
        <w:rPr>
          <w:rFonts w:ascii="Palatino Linotype" w:hAnsi="Palatino Linotype"/>
          <w:i/>
          <w:iCs/>
          <w:sz w:val="22"/>
          <w:szCs w:val="22"/>
        </w:rPr>
      </w:pPr>
      <w:r w:rsidRPr="00161B6B">
        <w:rPr>
          <w:rFonts w:ascii="Palatino Linotype" w:hAnsi="Palatino Linotype"/>
          <w:b/>
          <w:i/>
          <w:iCs/>
          <w:sz w:val="22"/>
          <w:szCs w:val="22"/>
        </w:rPr>
        <w:t>a)</w:t>
      </w:r>
      <w:r w:rsidRPr="00161B6B">
        <w:rPr>
          <w:rFonts w:ascii="Palatino Linotype" w:hAnsi="Palatino Linotype"/>
          <w:i/>
          <w:iCs/>
          <w:sz w:val="22"/>
          <w:szCs w:val="22"/>
        </w:rPr>
        <w:t xml:space="preserve"> </w:t>
      </w:r>
      <w:r w:rsidRPr="00161B6B">
        <w:rPr>
          <w:rFonts w:ascii="Palatino Linotype" w:hAnsi="Palatino Linotype"/>
          <w:b/>
          <w:i/>
          <w:iCs/>
          <w:sz w:val="22"/>
          <w:szCs w:val="22"/>
        </w:rPr>
        <w:t>De licitaciones públicas o procedimientos de invitación restringida:</w:t>
      </w:r>
      <w:r w:rsidRPr="00161B6B">
        <w:rPr>
          <w:rFonts w:ascii="Palatino Linotype" w:hAnsi="Palatino Linotype"/>
          <w:i/>
          <w:iCs/>
          <w:sz w:val="22"/>
          <w:szCs w:val="22"/>
        </w:rPr>
        <w:t xml:space="preserve"> </w:t>
      </w:r>
    </w:p>
    <w:p w14:paraId="321AD9E8"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1)</w:t>
      </w:r>
      <w:r w:rsidRPr="00161B6B">
        <w:rPr>
          <w:rFonts w:ascii="Palatino Linotype" w:hAnsi="Palatino Linotype"/>
          <w:i/>
          <w:iCs/>
          <w:sz w:val="22"/>
          <w:szCs w:val="22"/>
        </w:rPr>
        <w:t xml:space="preserve"> </w:t>
      </w:r>
      <w:r w:rsidRPr="00161B6B">
        <w:rPr>
          <w:rFonts w:ascii="Palatino Linotype" w:hAnsi="Palatino Linotype"/>
          <w:b/>
          <w:i/>
          <w:iCs/>
          <w:sz w:val="22"/>
          <w:szCs w:val="22"/>
        </w:rPr>
        <w:t>La convocatoria o invitación emitida</w:t>
      </w:r>
      <w:r w:rsidRPr="00161B6B">
        <w:rPr>
          <w:rFonts w:ascii="Palatino Linotype" w:hAnsi="Palatino Linotype"/>
          <w:i/>
          <w:iCs/>
          <w:sz w:val="22"/>
          <w:szCs w:val="22"/>
        </w:rPr>
        <w:t xml:space="preserve">, así como los fundamentos legales aplicados para llevarla a cabo; </w:t>
      </w:r>
    </w:p>
    <w:p w14:paraId="1DAAF778"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2)</w:t>
      </w:r>
      <w:r w:rsidRPr="00161B6B">
        <w:rPr>
          <w:rFonts w:ascii="Palatino Linotype" w:hAnsi="Palatino Linotype"/>
          <w:i/>
          <w:iCs/>
          <w:sz w:val="22"/>
          <w:szCs w:val="22"/>
        </w:rPr>
        <w:t xml:space="preserve"> Los nombres de los participantes o invitados; </w:t>
      </w:r>
    </w:p>
    <w:p w14:paraId="53525D58"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3)</w:t>
      </w:r>
      <w:r w:rsidRPr="00161B6B">
        <w:rPr>
          <w:rFonts w:ascii="Palatino Linotype" w:hAnsi="Palatino Linotype"/>
          <w:i/>
          <w:iCs/>
          <w:sz w:val="22"/>
          <w:szCs w:val="22"/>
        </w:rPr>
        <w:t xml:space="preserve"> </w:t>
      </w:r>
      <w:r w:rsidRPr="00161B6B">
        <w:rPr>
          <w:rFonts w:ascii="Palatino Linotype" w:hAnsi="Palatino Linotype"/>
          <w:b/>
          <w:i/>
          <w:iCs/>
          <w:sz w:val="22"/>
          <w:szCs w:val="22"/>
        </w:rPr>
        <w:t>El nombre del ganador y las razones que lo justifican</w:t>
      </w:r>
      <w:r w:rsidRPr="00161B6B">
        <w:rPr>
          <w:rFonts w:ascii="Palatino Linotype" w:hAnsi="Palatino Linotype"/>
          <w:i/>
          <w:iCs/>
          <w:sz w:val="22"/>
          <w:szCs w:val="22"/>
        </w:rPr>
        <w:t xml:space="preserve">; </w:t>
      </w:r>
    </w:p>
    <w:p w14:paraId="6E8A5E06"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4)</w:t>
      </w:r>
      <w:r w:rsidRPr="00161B6B">
        <w:rPr>
          <w:rFonts w:ascii="Palatino Linotype" w:hAnsi="Palatino Linotype"/>
          <w:i/>
          <w:iCs/>
          <w:sz w:val="22"/>
          <w:szCs w:val="22"/>
        </w:rPr>
        <w:t xml:space="preserve"> El área solicitante y la responsable de su ejecución; </w:t>
      </w:r>
    </w:p>
    <w:p w14:paraId="112DF62F"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5)</w:t>
      </w:r>
      <w:r w:rsidRPr="00161B6B">
        <w:rPr>
          <w:rFonts w:ascii="Palatino Linotype" w:hAnsi="Palatino Linotype"/>
          <w:i/>
          <w:iCs/>
          <w:sz w:val="22"/>
          <w:szCs w:val="22"/>
        </w:rPr>
        <w:t xml:space="preserve"> Las convocatorias e invitaciones emitidas;</w:t>
      </w:r>
      <w:r>
        <w:rPr>
          <w:rFonts w:ascii="Palatino Linotype" w:hAnsi="Palatino Linotype"/>
          <w:i/>
          <w:iCs/>
          <w:sz w:val="22"/>
          <w:szCs w:val="22"/>
        </w:rPr>
        <w:t xml:space="preserve"> </w:t>
      </w:r>
    </w:p>
    <w:p w14:paraId="54084C79"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6)</w:t>
      </w:r>
      <w:r w:rsidRPr="00161B6B">
        <w:rPr>
          <w:rFonts w:ascii="Palatino Linotype" w:hAnsi="Palatino Linotype"/>
          <w:i/>
          <w:iCs/>
          <w:sz w:val="22"/>
          <w:szCs w:val="22"/>
        </w:rPr>
        <w:t xml:space="preserve"> </w:t>
      </w:r>
      <w:r w:rsidRPr="00161B6B">
        <w:rPr>
          <w:rFonts w:ascii="Palatino Linotype" w:hAnsi="Palatino Linotype"/>
          <w:b/>
          <w:i/>
          <w:iCs/>
          <w:sz w:val="22"/>
          <w:szCs w:val="22"/>
        </w:rPr>
        <w:t>Los dictámenes y fallo de adjudicación</w:t>
      </w:r>
      <w:r w:rsidRPr="00161B6B">
        <w:rPr>
          <w:rFonts w:ascii="Palatino Linotype" w:hAnsi="Palatino Linotype"/>
          <w:i/>
          <w:iCs/>
          <w:sz w:val="22"/>
          <w:szCs w:val="22"/>
        </w:rPr>
        <w:t xml:space="preserve">; </w:t>
      </w:r>
    </w:p>
    <w:p w14:paraId="5ED80D10"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7)</w:t>
      </w:r>
      <w:r w:rsidRPr="00161B6B">
        <w:rPr>
          <w:rFonts w:ascii="Palatino Linotype" w:hAnsi="Palatino Linotype"/>
          <w:i/>
          <w:iCs/>
          <w:sz w:val="22"/>
          <w:szCs w:val="22"/>
        </w:rPr>
        <w:t xml:space="preserve"> El contrato y, en su caso, sus anexos; </w:t>
      </w:r>
    </w:p>
    <w:p w14:paraId="60D47E5D"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lastRenderedPageBreak/>
        <w:t>8)</w:t>
      </w:r>
      <w:r w:rsidRPr="00161B6B">
        <w:rPr>
          <w:rFonts w:ascii="Palatino Linotype" w:hAnsi="Palatino Linotype"/>
          <w:i/>
          <w:iCs/>
          <w:sz w:val="22"/>
          <w:szCs w:val="22"/>
        </w:rPr>
        <w:t xml:space="preserve"> </w:t>
      </w:r>
      <w:r w:rsidRPr="00161B6B">
        <w:rPr>
          <w:rFonts w:ascii="Palatino Linotype" w:hAnsi="Palatino Linotype"/>
          <w:b/>
          <w:i/>
          <w:iCs/>
          <w:sz w:val="22"/>
          <w:szCs w:val="22"/>
        </w:rPr>
        <w:t>Los mecanismos de vigilancia y supervisión</w:t>
      </w:r>
      <w:r w:rsidRPr="00161B6B">
        <w:rPr>
          <w:rFonts w:ascii="Palatino Linotype" w:hAnsi="Palatino Linotype"/>
          <w:i/>
          <w:iCs/>
          <w:sz w:val="22"/>
          <w:szCs w:val="22"/>
        </w:rPr>
        <w:t xml:space="preserve">, incluyendo en su caso, los estudios de impacto urbano y ambiental, según corresponda; </w:t>
      </w:r>
    </w:p>
    <w:p w14:paraId="57E61B0C"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9)</w:t>
      </w:r>
      <w:r w:rsidRPr="00161B6B">
        <w:rPr>
          <w:rFonts w:ascii="Palatino Linotype" w:hAnsi="Palatino Linotype"/>
          <w:i/>
          <w:iCs/>
          <w:sz w:val="22"/>
          <w:szCs w:val="22"/>
        </w:rPr>
        <w:t xml:space="preserve"> La partida presupuestal, de conformidad con el clasificador por objeto del gasto, en el caso de ser aplicable; </w:t>
      </w:r>
    </w:p>
    <w:p w14:paraId="25EA1F9B"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10)</w:t>
      </w:r>
      <w:r w:rsidRPr="00161B6B">
        <w:rPr>
          <w:rFonts w:ascii="Palatino Linotype" w:hAnsi="Palatino Linotype"/>
          <w:i/>
          <w:iCs/>
          <w:sz w:val="22"/>
          <w:szCs w:val="22"/>
        </w:rPr>
        <w:t xml:space="preserve"> Origen de los recursos especificando si son federales, estatales o municipales, así como el tipo de fondo de participación o aportación respectiva; </w:t>
      </w:r>
    </w:p>
    <w:p w14:paraId="10B0006B"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11)</w:t>
      </w:r>
      <w:r w:rsidRPr="00161B6B">
        <w:rPr>
          <w:rFonts w:ascii="Palatino Linotype" w:hAnsi="Palatino Linotype"/>
          <w:i/>
          <w:iCs/>
          <w:sz w:val="22"/>
          <w:szCs w:val="22"/>
        </w:rPr>
        <w:t xml:space="preserve"> Los convenios modificatorios que, en su caso, sean firmados, precisando el objeto y la fecha de celebración; </w:t>
      </w:r>
    </w:p>
    <w:p w14:paraId="4614EC4D"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12)</w:t>
      </w:r>
      <w:r w:rsidRPr="00161B6B">
        <w:rPr>
          <w:rFonts w:ascii="Palatino Linotype" w:hAnsi="Palatino Linotype"/>
          <w:i/>
          <w:iCs/>
          <w:sz w:val="22"/>
          <w:szCs w:val="22"/>
        </w:rPr>
        <w:t xml:space="preserve"> </w:t>
      </w:r>
      <w:r w:rsidRPr="00161B6B">
        <w:rPr>
          <w:rFonts w:ascii="Palatino Linotype" w:hAnsi="Palatino Linotype"/>
          <w:b/>
          <w:i/>
          <w:iCs/>
          <w:sz w:val="22"/>
          <w:szCs w:val="22"/>
        </w:rPr>
        <w:t>Los informes de avance físico y financiero sobre las obras</w:t>
      </w:r>
      <w:r w:rsidRPr="00161B6B">
        <w:rPr>
          <w:rFonts w:ascii="Palatino Linotype" w:hAnsi="Palatino Linotype"/>
          <w:i/>
          <w:iCs/>
          <w:sz w:val="22"/>
          <w:szCs w:val="22"/>
        </w:rPr>
        <w:t xml:space="preserve"> o servicios contratados; </w:t>
      </w:r>
    </w:p>
    <w:p w14:paraId="1E719F97"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13)</w:t>
      </w:r>
      <w:r w:rsidRPr="00161B6B">
        <w:rPr>
          <w:rFonts w:ascii="Palatino Linotype" w:hAnsi="Palatino Linotype"/>
          <w:i/>
          <w:iCs/>
          <w:sz w:val="22"/>
          <w:szCs w:val="22"/>
        </w:rPr>
        <w:t xml:space="preserve"> El convenio de terminación; y </w:t>
      </w:r>
    </w:p>
    <w:p w14:paraId="2297EBAE"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14)</w:t>
      </w:r>
      <w:r w:rsidRPr="00161B6B">
        <w:rPr>
          <w:rFonts w:ascii="Palatino Linotype" w:hAnsi="Palatino Linotype"/>
          <w:i/>
          <w:iCs/>
          <w:sz w:val="22"/>
          <w:szCs w:val="22"/>
        </w:rPr>
        <w:t xml:space="preserve"> El finiquito. </w:t>
      </w:r>
    </w:p>
    <w:p w14:paraId="61677719" w14:textId="77777777" w:rsidR="00161B6B" w:rsidRDefault="00161B6B" w:rsidP="00161B6B">
      <w:pPr>
        <w:pStyle w:val="Prrafodelista"/>
        <w:tabs>
          <w:tab w:val="left" w:pos="426"/>
        </w:tabs>
        <w:spacing w:before="240" w:after="240" w:line="276" w:lineRule="auto"/>
        <w:ind w:left="851" w:right="567"/>
        <w:jc w:val="both"/>
        <w:rPr>
          <w:rFonts w:ascii="Palatino Linotype" w:hAnsi="Palatino Linotype"/>
          <w:i/>
          <w:iCs/>
          <w:sz w:val="22"/>
          <w:szCs w:val="22"/>
        </w:rPr>
      </w:pPr>
      <w:r w:rsidRPr="00161B6B">
        <w:rPr>
          <w:rFonts w:ascii="Palatino Linotype" w:hAnsi="Palatino Linotype"/>
          <w:b/>
          <w:i/>
          <w:iCs/>
          <w:sz w:val="22"/>
          <w:szCs w:val="22"/>
        </w:rPr>
        <w:t>b)</w:t>
      </w:r>
      <w:r w:rsidRPr="00161B6B">
        <w:rPr>
          <w:rFonts w:ascii="Palatino Linotype" w:hAnsi="Palatino Linotype"/>
          <w:i/>
          <w:iCs/>
          <w:sz w:val="22"/>
          <w:szCs w:val="22"/>
        </w:rPr>
        <w:t xml:space="preserve"> </w:t>
      </w:r>
      <w:r w:rsidRPr="00161B6B">
        <w:rPr>
          <w:rFonts w:ascii="Palatino Linotype" w:hAnsi="Palatino Linotype"/>
          <w:b/>
          <w:i/>
          <w:iCs/>
          <w:sz w:val="22"/>
          <w:szCs w:val="22"/>
        </w:rPr>
        <w:t>De las adjudicaciones directas:</w:t>
      </w:r>
      <w:r w:rsidRPr="00161B6B">
        <w:rPr>
          <w:rFonts w:ascii="Palatino Linotype" w:hAnsi="Palatino Linotype"/>
          <w:i/>
          <w:iCs/>
          <w:sz w:val="22"/>
          <w:szCs w:val="22"/>
        </w:rPr>
        <w:t xml:space="preserve"> </w:t>
      </w:r>
    </w:p>
    <w:p w14:paraId="0F545A16"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1)</w:t>
      </w:r>
      <w:r w:rsidRPr="00161B6B">
        <w:rPr>
          <w:rFonts w:ascii="Palatino Linotype" w:hAnsi="Palatino Linotype"/>
          <w:i/>
          <w:iCs/>
          <w:sz w:val="22"/>
          <w:szCs w:val="22"/>
        </w:rPr>
        <w:t xml:space="preserve"> </w:t>
      </w:r>
      <w:r w:rsidRPr="00161B6B">
        <w:rPr>
          <w:rFonts w:ascii="Palatino Linotype" w:hAnsi="Palatino Linotype"/>
          <w:b/>
          <w:i/>
          <w:iCs/>
          <w:sz w:val="22"/>
          <w:szCs w:val="22"/>
        </w:rPr>
        <w:t>La propuesta</w:t>
      </w:r>
      <w:r w:rsidRPr="00161B6B">
        <w:rPr>
          <w:rFonts w:ascii="Palatino Linotype" w:hAnsi="Palatino Linotype"/>
          <w:i/>
          <w:iCs/>
          <w:sz w:val="22"/>
          <w:szCs w:val="22"/>
        </w:rPr>
        <w:t xml:space="preserve"> enviada por el participante; </w:t>
      </w:r>
    </w:p>
    <w:p w14:paraId="481E5B9D"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2)</w:t>
      </w:r>
      <w:r w:rsidRPr="00161B6B">
        <w:rPr>
          <w:rFonts w:ascii="Palatino Linotype" w:hAnsi="Palatino Linotype"/>
          <w:i/>
          <w:iCs/>
          <w:sz w:val="22"/>
          <w:szCs w:val="22"/>
        </w:rPr>
        <w:t xml:space="preserve"> </w:t>
      </w:r>
      <w:r w:rsidRPr="00161B6B">
        <w:rPr>
          <w:rFonts w:ascii="Palatino Linotype" w:hAnsi="Palatino Linotype"/>
          <w:b/>
          <w:i/>
          <w:iCs/>
          <w:sz w:val="22"/>
          <w:szCs w:val="22"/>
        </w:rPr>
        <w:t>Los motivos y fundamentos</w:t>
      </w:r>
      <w:r w:rsidRPr="00161B6B">
        <w:rPr>
          <w:rFonts w:ascii="Palatino Linotype" w:hAnsi="Palatino Linotype"/>
          <w:i/>
          <w:iCs/>
          <w:sz w:val="22"/>
          <w:szCs w:val="22"/>
        </w:rPr>
        <w:t xml:space="preserve"> legales aplicados para llevarla a cabo; </w:t>
      </w:r>
    </w:p>
    <w:p w14:paraId="4EB4B300"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3)</w:t>
      </w:r>
      <w:r w:rsidRPr="00161B6B">
        <w:rPr>
          <w:rFonts w:ascii="Palatino Linotype" w:hAnsi="Palatino Linotype"/>
          <w:i/>
          <w:iCs/>
          <w:sz w:val="22"/>
          <w:szCs w:val="22"/>
        </w:rPr>
        <w:t xml:space="preserve"> </w:t>
      </w:r>
      <w:r w:rsidRPr="00161B6B">
        <w:rPr>
          <w:rFonts w:ascii="Palatino Linotype" w:hAnsi="Palatino Linotype"/>
          <w:b/>
          <w:i/>
          <w:iCs/>
          <w:sz w:val="22"/>
          <w:szCs w:val="22"/>
        </w:rPr>
        <w:t>La autorización</w:t>
      </w:r>
      <w:r w:rsidRPr="00161B6B">
        <w:rPr>
          <w:rFonts w:ascii="Palatino Linotype" w:hAnsi="Palatino Linotype"/>
          <w:i/>
          <w:iCs/>
          <w:sz w:val="22"/>
          <w:szCs w:val="22"/>
        </w:rPr>
        <w:t xml:space="preserve"> del ejercicio de la opción; </w:t>
      </w:r>
    </w:p>
    <w:p w14:paraId="176051ED"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4)</w:t>
      </w:r>
      <w:r w:rsidRPr="00161B6B">
        <w:rPr>
          <w:rFonts w:ascii="Palatino Linotype" w:hAnsi="Palatino Linotype"/>
          <w:i/>
          <w:iCs/>
          <w:sz w:val="22"/>
          <w:szCs w:val="22"/>
        </w:rPr>
        <w:t xml:space="preserve"> En su caso, las cotizaciones consideradas, especificando los nombres de los proveedores y sus montos; </w:t>
      </w:r>
    </w:p>
    <w:p w14:paraId="0D95DB07"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5)</w:t>
      </w:r>
      <w:r w:rsidRPr="00161B6B">
        <w:rPr>
          <w:rFonts w:ascii="Palatino Linotype" w:hAnsi="Palatino Linotype"/>
          <w:i/>
          <w:iCs/>
          <w:sz w:val="22"/>
          <w:szCs w:val="22"/>
        </w:rPr>
        <w:t xml:space="preserve"> El nombre de la persona física o jurídica colectiva adjudicada; </w:t>
      </w:r>
    </w:p>
    <w:p w14:paraId="2E4888F1"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6)</w:t>
      </w:r>
      <w:r w:rsidRPr="00161B6B">
        <w:rPr>
          <w:rFonts w:ascii="Palatino Linotype" w:hAnsi="Palatino Linotype"/>
          <w:i/>
          <w:iCs/>
          <w:sz w:val="22"/>
          <w:szCs w:val="22"/>
        </w:rPr>
        <w:t xml:space="preserve"> La unidad administrativa solicitante y la responsable de su ejecución; </w:t>
      </w:r>
    </w:p>
    <w:p w14:paraId="1C8869E4"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7)</w:t>
      </w:r>
      <w:r w:rsidRPr="00161B6B">
        <w:rPr>
          <w:rFonts w:ascii="Palatino Linotype" w:hAnsi="Palatino Linotype"/>
          <w:i/>
          <w:iCs/>
          <w:sz w:val="22"/>
          <w:szCs w:val="22"/>
        </w:rPr>
        <w:t xml:space="preserve"> El número, fecha, el monto del contrato y el plazo de entrega o de ejecución de los servicios u obra; </w:t>
      </w:r>
    </w:p>
    <w:p w14:paraId="642873B4"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8)</w:t>
      </w:r>
      <w:r w:rsidRPr="00161B6B">
        <w:rPr>
          <w:rFonts w:ascii="Palatino Linotype" w:hAnsi="Palatino Linotype"/>
          <w:i/>
          <w:iCs/>
          <w:sz w:val="22"/>
          <w:szCs w:val="22"/>
        </w:rPr>
        <w:t xml:space="preserve"> Los </w:t>
      </w:r>
      <w:r w:rsidRPr="00161B6B">
        <w:rPr>
          <w:rFonts w:ascii="Palatino Linotype" w:hAnsi="Palatino Linotype"/>
          <w:b/>
          <w:i/>
          <w:iCs/>
          <w:sz w:val="22"/>
          <w:szCs w:val="22"/>
        </w:rPr>
        <w:t>mecanismos de vigilancia y supervisión</w:t>
      </w:r>
      <w:r w:rsidRPr="00161B6B">
        <w:rPr>
          <w:rFonts w:ascii="Palatino Linotype" w:hAnsi="Palatino Linotype"/>
          <w:i/>
          <w:iCs/>
          <w:sz w:val="22"/>
          <w:szCs w:val="22"/>
        </w:rPr>
        <w:t xml:space="preserve">, incluyendo, en su caso, los estudios de impacto urbano y ambiental, según corresponda; </w:t>
      </w:r>
    </w:p>
    <w:p w14:paraId="32E41470"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9)</w:t>
      </w:r>
      <w:r w:rsidRPr="00161B6B">
        <w:rPr>
          <w:rFonts w:ascii="Palatino Linotype" w:hAnsi="Palatino Linotype"/>
          <w:i/>
          <w:iCs/>
          <w:sz w:val="22"/>
          <w:szCs w:val="22"/>
        </w:rPr>
        <w:t xml:space="preserve"> Los </w:t>
      </w:r>
      <w:r w:rsidRPr="00161B6B">
        <w:rPr>
          <w:rFonts w:ascii="Palatino Linotype" w:hAnsi="Palatino Linotype"/>
          <w:b/>
          <w:i/>
          <w:iCs/>
          <w:sz w:val="22"/>
          <w:szCs w:val="22"/>
        </w:rPr>
        <w:t>informes de avance sobre las obras</w:t>
      </w:r>
      <w:r w:rsidRPr="00161B6B">
        <w:rPr>
          <w:rFonts w:ascii="Palatino Linotype" w:hAnsi="Palatino Linotype"/>
          <w:i/>
          <w:iCs/>
          <w:sz w:val="22"/>
          <w:szCs w:val="22"/>
        </w:rPr>
        <w:t xml:space="preserve"> o servicios contratados; </w:t>
      </w:r>
    </w:p>
    <w:p w14:paraId="1E0AE341" w14:textId="77777777" w:rsidR="00161B6B" w:rsidRDefault="00161B6B" w:rsidP="00161B6B">
      <w:pPr>
        <w:pStyle w:val="Prrafodelista"/>
        <w:tabs>
          <w:tab w:val="left" w:pos="426"/>
        </w:tabs>
        <w:spacing w:before="240" w:after="240" w:line="276" w:lineRule="auto"/>
        <w:ind w:left="1134" w:right="567"/>
        <w:jc w:val="both"/>
        <w:rPr>
          <w:rFonts w:ascii="Palatino Linotype" w:hAnsi="Palatino Linotype"/>
          <w:i/>
          <w:iCs/>
          <w:sz w:val="22"/>
          <w:szCs w:val="22"/>
        </w:rPr>
      </w:pPr>
      <w:r w:rsidRPr="00161B6B">
        <w:rPr>
          <w:rFonts w:ascii="Palatino Linotype" w:hAnsi="Palatino Linotype"/>
          <w:b/>
          <w:i/>
          <w:iCs/>
          <w:sz w:val="22"/>
          <w:szCs w:val="22"/>
        </w:rPr>
        <w:t>10)</w:t>
      </w:r>
      <w:r w:rsidRPr="00161B6B">
        <w:rPr>
          <w:rFonts w:ascii="Palatino Linotype" w:hAnsi="Palatino Linotype"/>
          <w:i/>
          <w:iCs/>
          <w:sz w:val="22"/>
          <w:szCs w:val="22"/>
        </w:rPr>
        <w:t xml:space="preserve"> El convenio de terminación; y </w:t>
      </w:r>
    </w:p>
    <w:p w14:paraId="22F6A42B" w14:textId="7C114428" w:rsidR="00161B6B" w:rsidRDefault="00161B6B" w:rsidP="00161B6B">
      <w:pPr>
        <w:pStyle w:val="Prrafodelista"/>
        <w:tabs>
          <w:tab w:val="left" w:pos="426"/>
        </w:tabs>
        <w:spacing w:before="240" w:after="240" w:line="276" w:lineRule="auto"/>
        <w:ind w:left="1134" w:right="567"/>
        <w:jc w:val="both"/>
        <w:rPr>
          <w:rFonts w:ascii="Palatino Linotype" w:hAnsi="Palatino Linotype"/>
          <w:iCs/>
          <w:sz w:val="22"/>
          <w:szCs w:val="22"/>
        </w:rPr>
      </w:pPr>
      <w:r w:rsidRPr="00161B6B">
        <w:rPr>
          <w:rFonts w:ascii="Palatino Linotype" w:hAnsi="Palatino Linotype"/>
          <w:b/>
          <w:i/>
          <w:iCs/>
          <w:sz w:val="22"/>
          <w:szCs w:val="22"/>
        </w:rPr>
        <w:t>11)</w:t>
      </w:r>
      <w:r w:rsidRPr="00161B6B">
        <w:rPr>
          <w:rFonts w:ascii="Palatino Linotype" w:hAnsi="Palatino Linotype"/>
          <w:i/>
          <w:iCs/>
          <w:sz w:val="22"/>
          <w:szCs w:val="22"/>
        </w:rPr>
        <w:t xml:space="preserve"> El finiquito.</w:t>
      </w:r>
      <w:r>
        <w:rPr>
          <w:rFonts w:ascii="Palatino Linotype" w:hAnsi="Palatino Linotype"/>
          <w:i/>
          <w:iCs/>
          <w:sz w:val="22"/>
          <w:szCs w:val="22"/>
        </w:rPr>
        <w:t>”</w:t>
      </w:r>
    </w:p>
    <w:p w14:paraId="3D70B13C" w14:textId="185F1A4B" w:rsidR="00161B6B" w:rsidRPr="00161B6B" w:rsidRDefault="00161B6B" w:rsidP="00161B6B">
      <w:pPr>
        <w:pStyle w:val="Prrafodelista"/>
        <w:tabs>
          <w:tab w:val="left" w:pos="426"/>
        </w:tabs>
        <w:spacing w:before="240" w:after="240" w:line="276" w:lineRule="auto"/>
        <w:ind w:left="567" w:right="567"/>
        <w:jc w:val="both"/>
        <w:rPr>
          <w:rFonts w:ascii="Palatino Linotype" w:hAnsi="Palatino Linotype"/>
          <w:iCs/>
          <w:sz w:val="22"/>
          <w:szCs w:val="22"/>
        </w:rPr>
      </w:pPr>
      <w:r>
        <w:rPr>
          <w:rFonts w:ascii="Palatino Linotype" w:hAnsi="Palatino Linotype"/>
          <w:iCs/>
          <w:sz w:val="22"/>
          <w:szCs w:val="22"/>
        </w:rPr>
        <w:t>(Énfasis añadido)</w:t>
      </w:r>
    </w:p>
    <w:p w14:paraId="77348D51" w14:textId="77777777" w:rsidR="00161B6B" w:rsidRDefault="00161B6B" w:rsidP="00F36760">
      <w:pPr>
        <w:pStyle w:val="Prrafodelista"/>
        <w:tabs>
          <w:tab w:val="left" w:pos="426"/>
        </w:tabs>
        <w:spacing w:before="240" w:after="240" w:line="360" w:lineRule="auto"/>
        <w:ind w:left="0" w:right="51"/>
        <w:jc w:val="both"/>
        <w:rPr>
          <w:rFonts w:ascii="Palatino Linotype" w:hAnsi="Palatino Linotype"/>
          <w:color w:val="000000" w:themeColor="text1"/>
        </w:rPr>
      </w:pPr>
    </w:p>
    <w:p w14:paraId="78FCE812" w14:textId="704E67DF" w:rsidR="00C550B8" w:rsidRDefault="00C550B8"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 anterior se robustece aún más a través del Bando Municipal del Chiautla, que en su artículo 60, enlista una serie de facultades que le corresponden a la Dirección de Obras Públicas del </w:t>
      </w:r>
      <w:r>
        <w:rPr>
          <w:rFonts w:ascii="Palatino Linotype" w:hAnsi="Palatino Linotype"/>
          <w:b/>
          <w:color w:val="000000" w:themeColor="text1"/>
        </w:rPr>
        <w:t>SUJETO OBLIGADO</w:t>
      </w:r>
      <w:r>
        <w:rPr>
          <w:rFonts w:ascii="Palatino Linotype" w:hAnsi="Palatino Linotype"/>
          <w:color w:val="000000" w:themeColor="text1"/>
        </w:rPr>
        <w:t>, entre las que destacan las siguientes:</w:t>
      </w:r>
    </w:p>
    <w:p w14:paraId="0AF3D53E" w14:textId="5C1A7CA7" w:rsidR="00C550B8" w:rsidRDefault="00C550B8" w:rsidP="00C550B8">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lastRenderedPageBreak/>
        <w:t xml:space="preserve">Realizar </w:t>
      </w:r>
      <w:r w:rsidRPr="00C550B8">
        <w:rPr>
          <w:rFonts w:ascii="Palatino Linotype" w:hAnsi="Palatino Linotype"/>
          <w:color w:val="000000" w:themeColor="text1"/>
        </w:rPr>
        <w:t xml:space="preserve">la </w:t>
      </w:r>
      <w:r w:rsidRPr="00C550B8">
        <w:rPr>
          <w:rFonts w:ascii="Palatino Linotype" w:hAnsi="Palatino Linotype"/>
          <w:b/>
          <w:color w:val="000000" w:themeColor="text1"/>
        </w:rPr>
        <w:t>programación y ejecución de las obras públicas</w:t>
      </w:r>
      <w:r w:rsidRPr="00C550B8">
        <w:rPr>
          <w:rFonts w:ascii="Palatino Linotype" w:hAnsi="Palatino Linotype"/>
          <w:color w:val="000000" w:themeColor="text1"/>
        </w:rPr>
        <w:t xml:space="preserve"> y servicios relaciones atendiendo prioridades para la ciudadanía de acuerdo a la normatividad aplicable y en congruencia con el Plan de Desarrollo Municipal;</w:t>
      </w:r>
      <w:r>
        <w:rPr>
          <w:rFonts w:ascii="Palatino Linotype" w:hAnsi="Palatino Linotype"/>
          <w:color w:val="000000" w:themeColor="text1"/>
        </w:rPr>
        <w:t xml:space="preserve"> y</w:t>
      </w:r>
    </w:p>
    <w:p w14:paraId="13206049" w14:textId="2757029D" w:rsidR="00C550B8" w:rsidRDefault="00C550B8" w:rsidP="00C550B8">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036427">
        <w:rPr>
          <w:rFonts w:ascii="Palatino Linotype" w:hAnsi="Palatino Linotype"/>
          <w:b/>
          <w:color w:val="000000" w:themeColor="text1"/>
          <w:u w:val="double"/>
        </w:rPr>
        <w:t>Formular, integrar, verificar los expedientes de obra pública de manera correcta y completa</w:t>
      </w:r>
      <w:r w:rsidRPr="00C550B8">
        <w:rPr>
          <w:rFonts w:ascii="Palatino Linotype" w:hAnsi="Palatino Linotype"/>
          <w:color w:val="000000" w:themeColor="text1"/>
        </w:rPr>
        <w:t>, conforme a lo establecido en las disposiciones legales aplicables.</w:t>
      </w:r>
    </w:p>
    <w:p w14:paraId="3A149E15" w14:textId="77777777" w:rsidR="00C550B8" w:rsidRDefault="00C550B8" w:rsidP="00C550B8">
      <w:pPr>
        <w:pStyle w:val="Prrafodelista"/>
        <w:tabs>
          <w:tab w:val="left" w:pos="426"/>
        </w:tabs>
        <w:spacing w:before="240" w:after="240" w:line="360" w:lineRule="auto"/>
        <w:ind w:left="0" w:right="51"/>
        <w:jc w:val="both"/>
        <w:rPr>
          <w:rFonts w:ascii="Palatino Linotype" w:hAnsi="Palatino Linotype"/>
          <w:color w:val="000000" w:themeColor="text1"/>
        </w:rPr>
      </w:pPr>
    </w:p>
    <w:p w14:paraId="5C85A61B" w14:textId="77777777" w:rsidR="00336D58" w:rsidRDefault="002B6B6C"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No es ocioso mencionar que este Órgano Garante realizó un ejercicio de investigación sobre los documentos publicados y difundidos por el </w:t>
      </w:r>
      <w:r>
        <w:rPr>
          <w:rFonts w:ascii="Palatino Linotype" w:hAnsi="Palatino Linotype"/>
          <w:b/>
          <w:color w:val="000000" w:themeColor="text1"/>
        </w:rPr>
        <w:t>SUJETO OBLIGADO</w:t>
      </w:r>
      <w:r>
        <w:rPr>
          <w:rFonts w:ascii="Palatino Linotype" w:hAnsi="Palatino Linotype"/>
          <w:color w:val="000000" w:themeColor="text1"/>
        </w:rPr>
        <w:t xml:space="preserve"> en su portal de internet,</w:t>
      </w:r>
      <w:r w:rsidR="00AD471B">
        <w:rPr>
          <w:rFonts w:ascii="Palatino Linotype" w:hAnsi="Palatino Linotype"/>
          <w:color w:val="000000" w:themeColor="text1"/>
        </w:rPr>
        <w:t xml:space="preserve"> con el objetivo de buscar indicios de obras públicas llevadas a cabo en el Municipio de Chiautla relacionadas con cámaras de video vigilancia,</w:t>
      </w:r>
      <w:r>
        <w:rPr>
          <w:rFonts w:ascii="Palatino Linotype" w:hAnsi="Palatino Linotype"/>
          <w:color w:val="000000" w:themeColor="text1"/>
        </w:rPr>
        <w:t xml:space="preserve"> encontrándose </w:t>
      </w:r>
      <w:r w:rsidR="00336D58">
        <w:rPr>
          <w:rFonts w:ascii="Palatino Linotype" w:hAnsi="Palatino Linotype"/>
          <w:color w:val="000000" w:themeColor="text1"/>
        </w:rPr>
        <w:t>lo siguiente:</w:t>
      </w:r>
    </w:p>
    <w:p w14:paraId="134F327B" w14:textId="77777777" w:rsidR="00336D58" w:rsidRDefault="00336D58" w:rsidP="00336D58">
      <w:pPr>
        <w:pStyle w:val="Prrafodelista"/>
        <w:tabs>
          <w:tab w:val="left" w:pos="426"/>
        </w:tabs>
        <w:spacing w:before="240" w:after="240" w:line="360" w:lineRule="auto"/>
        <w:ind w:left="0" w:right="51"/>
        <w:jc w:val="both"/>
        <w:rPr>
          <w:rFonts w:ascii="Palatino Linotype" w:hAnsi="Palatino Linotype"/>
          <w:color w:val="000000" w:themeColor="text1"/>
        </w:rPr>
      </w:pPr>
    </w:p>
    <w:p w14:paraId="1F003F3E" w14:textId="6798A4B5" w:rsidR="00336D58" w:rsidRPr="00E5295F" w:rsidRDefault="00336D58" w:rsidP="00E5295F">
      <w:pPr>
        <w:pStyle w:val="Prrafodelista"/>
        <w:numPr>
          <w:ilvl w:val="0"/>
          <w:numId w:val="1"/>
        </w:numPr>
        <w:shd w:val="clear" w:color="auto" w:fill="FFFFFF" w:themeFill="background1"/>
        <w:tabs>
          <w:tab w:val="left" w:pos="426"/>
        </w:tabs>
        <w:spacing w:before="240" w:after="240" w:line="360" w:lineRule="auto"/>
        <w:ind w:right="51"/>
        <w:jc w:val="both"/>
        <w:rPr>
          <w:rFonts w:ascii="Palatino Linotype" w:hAnsi="Palatino Linotype"/>
          <w:color w:val="000000" w:themeColor="text1"/>
        </w:rPr>
      </w:pPr>
      <w:r w:rsidRPr="00E5295F">
        <w:rPr>
          <w:rFonts w:ascii="Palatino Linotype" w:hAnsi="Palatino Linotype"/>
          <w:color w:val="000000" w:themeColor="text1"/>
        </w:rPr>
        <w:t>El Plan Municipal de Desarrollo 2013-2015</w:t>
      </w:r>
      <w:r w:rsidRPr="00E5295F">
        <w:rPr>
          <w:rStyle w:val="Refdenotaalpie"/>
          <w:rFonts w:ascii="Palatino Linotype" w:hAnsi="Palatino Linotype"/>
          <w:color w:val="000000" w:themeColor="text1"/>
        </w:rPr>
        <w:footnoteReference w:id="20"/>
      </w:r>
      <w:r w:rsidRPr="00E5295F">
        <w:rPr>
          <w:rFonts w:ascii="Palatino Linotype" w:hAnsi="Palatino Linotype"/>
          <w:color w:val="000000" w:themeColor="text1"/>
        </w:rPr>
        <w:t xml:space="preserve">, dentro de su capítulo 7, establece los </w:t>
      </w:r>
      <w:r w:rsidRPr="00E5295F">
        <w:rPr>
          <w:rFonts w:ascii="Palatino Linotype" w:hAnsi="Palatino Linotype"/>
          <w:i/>
          <w:color w:val="000000" w:themeColor="text1"/>
        </w:rPr>
        <w:t>Criterios para la Instrumentación del Plan de Desarrollo Municipal</w:t>
      </w:r>
      <w:r w:rsidRPr="00E5295F">
        <w:rPr>
          <w:rFonts w:ascii="Palatino Linotype" w:hAnsi="Palatino Linotype"/>
          <w:color w:val="000000" w:themeColor="text1"/>
        </w:rPr>
        <w:t xml:space="preserve"> donde, como subtema, aparecen diversas demandas sociales; una de ellas, en materia de seguridad pública, demanda mayor seguridad en todo el municipio y, como estrategia de atención, se establece la </w:t>
      </w:r>
      <w:r w:rsidRPr="00E5295F">
        <w:rPr>
          <w:rFonts w:ascii="Palatino Linotype" w:hAnsi="Palatino Linotype"/>
          <w:b/>
          <w:color w:val="000000" w:themeColor="text1"/>
        </w:rPr>
        <w:t>instalación de cámaras de seguridad</w:t>
      </w:r>
      <w:r w:rsidRPr="00E5295F">
        <w:rPr>
          <w:rFonts w:ascii="Palatino Linotype" w:hAnsi="Palatino Linotype"/>
          <w:color w:val="000000" w:themeColor="text1"/>
        </w:rPr>
        <w:t>. Se adjunta captura de imagen del apartado de mérito:</w:t>
      </w:r>
    </w:p>
    <w:p w14:paraId="605066C2" w14:textId="77777777" w:rsidR="00336D58" w:rsidRDefault="00336D58" w:rsidP="00336D58">
      <w:pPr>
        <w:pStyle w:val="Prrafodelista"/>
        <w:tabs>
          <w:tab w:val="left" w:pos="426"/>
        </w:tabs>
        <w:spacing w:before="240" w:after="240" w:line="360" w:lineRule="auto"/>
        <w:ind w:left="0" w:right="51"/>
        <w:jc w:val="both"/>
        <w:rPr>
          <w:rFonts w:ascii="Palatino Linotype" w:hAnsi="Palatino Linotype"/>
          <w:color w:val="000000" w:themeColor="text1"/>
        </w:rPr>
      </w:pPr>
    </w:p>
    <w:p w14:paraId="65F3A199" w14:textId="7BFAC8A4" w:rsidR="00336D58" w:rsidRDefault="00336D58" w:rsidP="00336D58">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13230" w:dyaOrig="8235" w14:anchorId="449A6127">
          <v:shape id="_x0000_i1027" type="#_x0000_t75" style="width:381.5pt;height:236.9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03340302" r:id="rId13"/>
        </w:object>
      </w:r>
    </w:p>
    <w:p w14:paraId="4E8B4F5C" w14:textId="77777777" w:rsidR="00336D58" w:rsidRDefault="00336D58" w:rsidP="00336D58">
      <w:pPr>
        <w:pStyle w:val="Prrafodelista"/>
        <w:tabs>
          <w:tab w:val="left" w:pos="426"/>
        </w:tabs>
        <w:spacing w:before="240" w:after="240" w:line="360" w:lineRule="auto"/>
        <w:ind w:left="0" w:right="51"/>
        <w:jc w:val="both"/>
        <w:rPr>
          <w:rFonts w:ascii="Palatino Linotype" w:hAnsi="Palatino Linotype"/>
          <w:color w:val="000000" w:themeColor="text1"/>
        </w:rPr>
      </w:pPr>
    </w:p>
    <w:p w14:paraId="6786F873" w14:textId="5736F970" w:rsidR="00336D58" w:rsidRPr="00E5295F" w:rsidRDefault="00336D58"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5295F">
        <w:rPr>
          <w:rFonts w:ascii="Palatino Linotype" w:hAnsi="Palatino Linotype"/>
          <w:color w:val="000000" w:themeColor="text1"/>
        </w:rPr>
        <w:t>Por su parte, el Plan de Desarrollo Municipal 2016-2018</w:t>
      </w:r>
      <w:r w:rsidR="00AA264F" w:rsidRPr="00E5295F">
        <w:rPr>
          <w:rStyle w:val="Refdenotaalpie"/>
          <w:rFonts w:ascii="Palatino Linotype" w:hAnsi="Palatino Linotype"/>
          <w:color w:val="000000" w:themeColor="text1"/>
        </w:rPr>
        <w:footnoteReference w:id="21"/>
      </w:r>
      <w:r w:rsidRPr="00E5295F">
        <w:rPr>
          <w:rFonts w:ascii="Palatino Linotype" w:hAnsi="Palatino Linotype"/>
          <w:color w:val="000000" w:themeColor="text1"/>
        </w:rPr>
        <w:t xml:space="preserve"> del </w:t>
      </w:r>
      <w:r w:rsidRPr="00E5295F">
        <w:rPr>
          <w:rFonts w:ascii="Palatino Linotype" w:hAnsi="Palatino Linotype"/>
          <w:b/>
          <w:color w:val="000000" w:themeColor="text1"/>
        </w:rPr>
        <w:t>SUJETO OBLIGADO</w:t>
      </w:r>
      <w:r w:rsidRPr="00E5295F">
        <w:rPr>
          <w:rFonts w:ascii="Palatino Linotype" w:hAnsi="Palatino Linotype"/>
          <w:color w:val="000000" w:themeColor="text1"/>
        </w:rPr>
        <w:t xml:space="preserve">, contempla como una de sus obras y acciones de alto impacto para una sociedad protegida, en materia de seguridad pública, la </w:t>
      </w:r>
      <w:r w:rsidRPr="00E5295F">
        <w:rPr>
          <w:rFonts w:ascii="Palatino Linotype" w:hAnsi="Palatino Linotype"/>
          <w:b/>
          <w:color w:val="000000" w:themeColor="text1"/>
        </w:rPr>
        <w:t>reubicación de cámaras</w:t>
      </w:r>
      <w:r w:rsidRPr="00E5295F">
        <w:rPr>
          <w:rFonts w:ascii="Palatino Linotype" w:hAnsi="Palatino Linotype"/>
          <w:color w:val="000000" w:themeColor="text1"/>
        </w:rPr>
        <w:t>, con apoyo del programa FORTAMUN, con una inversión de $515,620.00 (QUINIENTOS QUINCE MIL SEISCIENTOS VEINTE PESOS 00/100 M.N.).</w:t>
      </w:r>
    </w:p>
    <w:p w14:paraId="078304A9" w14:textId="77777777" w:rsidR="00336D58" w:rsidRDefault="00336D58" w:rsidP="00336D58">
      <w:pPr>
        <w:pStyle w:val="Prrafodelista"/>
        <w:tabs>
          <w:tab w:val="left" w:pos="426"/>
        </w:tabs>
        <w:spacing w:before="240" w:after="240" w:line="360" w:lineRule="auto"/>
        <w:ind w:left="0" w:right="51"/>
        <w:jc w:val="both"/>
        <w:rPr>
          <w:rFonts w:ascii="Palatino Linotype" w:hAnsi="Palatino Linotype"/>
          <w:color w:val="000000" w:themeColor="text1"/>
        </w:rPr>
      </w:pPr>
    </w:p>
    <w:p w14:paraId="4A19BA56" w14:textId="73149540" w:rsidR="00336D58" w:rsidRDefault="00336D58" w:rsidP="00336D58">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14700" w:dyaOrig="3540" w14:anchorId="143CE765">
          <v:shape id="_x0000_i1028" type="#_x0000_t75" style="width:380.95pt;height:91.3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8" DrawAspect="Content" ObjectID="_1703340303" r:id="rId15"/>
        </w:object>
      </w:r>
    </w:p>
    <w:p w14:paraId="48567540" w14:textId="77777777" w:rsidR="00336D58" w:rsidRDefault="00336D58" w:rsidP="00336D58">
      <w:pPr>
        <w:pStyle w:val="Prrafodelista"/>
        <w:tabs>
          <w:tab w:val="left" w:pos="426"/>
        </w:tabs>
        <w:spacing w:before="240" w:after="240" w:line="360" w:lineRule="auto"/>
        <w:ind w:left="0" w:right="51"/>
        <w:jc w:val="both"/>
        <w:rPr>
          <w:rFonts w:ascii="Palatino Linotype" w:hAnsi="Palatino Linotype"/>
          <w:color w:val="000000" w:themeColor="text1"/>
        </w:rPr>
      </w:pPr>
    </w:p>
    <w:p w14:paraId="25C35C36" w14:textId="3A615253" w:rsidR="002B6B6C" w:rsidRPr="00E5295F" w:rsidRDefault="00336D58"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5295F">
        <w:rPr>
          <w:rFonts w:ascii="Palatino Linotype" w:hAnsi="Palatino Linotype"/>
          <w:color w:val="000000" w:themeColor="text1"/>
        </w:rPr>
        <w:lastRenderedPageBreak/>
        <w:t xml:space="preserve">Mientras que en </w:t>
      </w:r>
      <w:r w:rsidR="002B6B6C" w:rsidRPr="00E5295F">
        <w:rPr>
          <w:rFonts w:ascii="Palatino Linotype" w:hAnsi="Palatino Linotype"/>
          <w:color w:val="000000" w:themeColor="text1"/>
        </w:rPr>
        <w:t>el Plan de Desarrollo Municipal 2019-2021 de Chiautla</w:t>
      </w:r>
      <w:r w:rsidR="002B6B6C" w:rsidRPr="00E5295F">
        <w:rPr>
          <w:rStyle w:val="Refdenotaalpie"/>
          <w:rFonts w:ascii="Palatino Linotype" w:hAnsi="Palatino Linotype"/>
          <w:color w:val="000000" w:themeColor="text1"/>
        </w:rPr>
        <w:footnoteReference w:id="22"/>
      </w:r>
      <w:r w:rsidR="002B6B6C" w:rsidRPr="00E5295F">
        <w:rPr>
          <w:rFonts w:ascii="Palatino Linotype" w:hAnsi="Palatino Linotype"/>
          <w:color w:val="000000" w:themeColor="text1"/>
        </w:rPr>
        <w:t xml:space="preserve">, se expone dentro del </w:t>
      </w:r>
      <w:r w:rsidR="002B6B6C" w:rsidRPr="00E5295F">
        <w:rPr>
          <w:rFonts w:ascii="Palatino Linotype" w:hAnsi="Palatino Linotype"/>
          <w:i/>
          <w:color w:val="000000" w:themeColor="text1"/>
        </w:rPr>
        <w:t>Diagnóstico por pilares y ejes transversales</w:t>
      </w:r>
      <w:r w:rsidR="002B6B6C" w:rsidRPr="00E5295F">
        <w:rPr>
          <w:rFonts w:ascii="Palatino Linotype" w:hAnsi="Palatino Linotype"/>
          <w:color w:val="000000" w:themeColor="text1"/>
        </w:rPr>
        <w:t xml:space="preserve">, el </w:t>
      </w:r>
      <w:r w:rsidR="002B6B6C" w:rsidRPr="00E5295F">
        <w:rPr>
          <w:rFonts w:ascii="Palatino Linotype" w:hAnsi="Palatino Linotype"/>
          <w:i/>
          <w:color w:val="000000" w:themeColor="text1"/>
        </w:rPr>
        <w:t>Pilar 4 Seguridad: Municipio con seguridad y justicia</w:t>
      </w:r>
      <w:r w:rsidR="009F3818" w:rsidRPr="00E5295F">
        <w:rPr>
          <w:rFonts w:ascii="Palatino Linotype" w:hAnsi="Palatino Linotype"/>
          <w:color w:val="000000" w:themeColor="text1"/>
        </w:rPr>
        <w:t xml:space="preserve">, en el cual, establece </w:t>
      </w:r>
      <w:r w:rsidR="001868EF" w:rsidRPr="00E5295F">
        <w:rPr>
          <w:rFonts w:ascii="Palatino Linotype" w:hAnsi="Palatino Linotype"/>
          <w:color w:val="000000" w:themeColor="text1"/>
        </w:rPr>
        <w:t>como uno de sus objetivos de su Matriz de Indicadores, la instalación de cámaras de video vigilancia en el territorio municipal. Se comparte fragmento del instrumento en cuestión para efectos referenciativos:</w:t>
      </w:r>
    </w:p>
    <w:p w14:paraId="52682839" w14:textId="49D39D47" w:rsidR="009F3818" w:rsidRDefault="009F3818" w:rsidP="009F3818">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56457F70" wp14:editId="3FB19B87">
                <wp:simplePos x="0" y="0"/>
                <wp:positionH relativeFrom="margin">
                  <wp:align>left</wp:align>
                </wp:positionH>
                <wp:positionV relativeFrom="paragraph">
                  <wp:posOffset>51244</wp:posOffset>
                </wp:positionV>
                <wp:extent cx="5515922" cy="5363571"/>
                <wp:effectExtent l="38100" t="38100" r="66040" b="85090"/>
                <wp:wrapNone/>
                <wp:docPr id="1" name="Conector recto 1"/>
                <wp:cNvGraphicFramePr/>
                <a:graphic xmlns:a="http://schemas.openxmlformats.org/drawingml/2006/main">
                  <a:graphicData uri="http://schemas.microsoft.com/office/word/2010/wordprocessingShape">
                    <wps:wsp>
                      <wps:cNvCnPr/>
                      <wps:spPr>
                        <a:xfrm flipV="1">
                          <a:off x="0" y="0"/>
                          <a:ext cx="5515922" cy="5363571"/>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B85F69" id="Conector recto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5pt" to="434.3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" strokecolor="black [3200]" strokeweight="1pt">
                <v:shadow on="t" color="black" opacity="24903f" origin=",.5" offset="0,.55556mm"/>
                <w10:wrap anchorx="margin"/>
              </v:line>
            </w:pict>
          </mc:Fallback>
        </mc:AlternateContent>
      </w:r>
    </w:p>
    <w:p w14:paraId="7A168511" w14:textId="11AA6EC5" w:rsidR="001868EF" w:rsidRDefault="009F3818" w:rsidP="001868EF">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14055" w:dyaOrig="17835" w14:anchorId="7583DBE2">
          <v:shape id="_x0000_i1029" type="#_x0000_t75" style="width:351.4pt;height:445.95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aint.Picture" ShapeID="_x0000_i1029" DrawAspect="Content" ObjectID="_1703340304" r:id="rId17"/>
        </w:object>
      </w:r>
    </w:p>
    <w:p w14:paraId="4CFBD8BB" w14:textId="77777777" w:rsidR="001868EF" w:rsidRDefault="001868EF" w:rsidP="002B6B6C">
      <w:pPr>
        <w:pStyle w:val="Prrafodelista"/>
        <w:tabs>
          <w:tab w:val="left" w:pos="426"/>
        </w:tabs>
        <w:spacing w:before="240" w:after="240" w:line="360" w:lineRule="auto"/>
        <w:ind w:left="0" w:right="51"/>
        <w:jc w:val="both"/>
        <w:rPr>
          <w:rFonts w:ascii="Palatino Linotype" w:hAnsi="Palatino Linotype"/>
          <w:color w:val="000000" w:themeColor="text1"/>
        </w:rPr>
      </w:pPr>
    </w:p>
    <w:p w14:paraId="2490D270" w14:textId="2E31038B" w:rsidR="00AD471B" w:rsidRPr="00E5295F" w:rsidRDefault="009F3818" w:rsidP="002B6B6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5295F">
        <w:rPr>
          <w:rFonts w:ascii="Palatino Linotype" w:hAnsi="Palatino Linotype"/>
          <w:color w:val="000000" w:themeColor="text1"/>
        </w:rPr>
        <w:t>No es ocioso mencionar que</w:t>
      </w:r>
      <w:r w:rsidR="001868EF" w:rsidRPr="00E5295F">
        <w:rPr>
          <w:rFonts w:ascii="Palatino Linotype" w:hAnsi="Palatino Linotype"/>
          <w:color w:val="000000" w:themeColor="text1"/>
        </w:rPr>
        <w:t xml:space="preserve"> se encontró</w:t>
      </w:r>
      <w:r w:rsidRPr="00E5295F">
        <w:rPr>
          <w:rFonts w:ascii="Palatino Linotype" w:hAnsi="Palatino Linotype"/>
          <w:color w:val="000000" w:themeColor="text1"/>
        </w:rPr>
        <w:t xml:space="preserve">, también, </w:t>
      </w:r>
      <w:r w:rsidR="001868EF" w:rsidRPr="00E5295F">
        <w:rPr>
          <w:rFonts w:ascii="Palatino Linotype" w:hAnsi="Palatino Linotype"/>
          <w:color w:val="000000" w:themeColor="text1"/>
        </w:rPr>
        <w:t>el Acta de la Cuarta Sesión Extraordinaria de Cabildo</w:t>
      </w:r>
      <w:r w:rsidR="001868EF" w:rsidRPr="00E5295F">
        <w:rPr>
          <w:rStyle w:val="Refdenotaalpie"/>
          <w:rFonts w:ascii="Palatino Linotype" w:hAnsi="Palatino Linotype"/>
          <w:color w:val="000000" w:themeColor="text1"/>
        </w:rPr>
        <w:footnoteReference w:id="23"/>
      </w:r>
      <w:r w:rsidR="001868EF" w:rsidRPr="00E5295F">
        <w:rPr>
          <w:rFonts w:ascii="Palatino Linotype" w:hAnsi="Palatino Linotype"/>
          <w:color w:val="000000" w:themeColor="text1"/>
        </w:rPr>
        <w:t>, celebrada el veintiséis (26) de agosto de dos mil diecinueve, cuyo punto 4.1 del Orden del Día</w:t>
      </w:r>
      <w:r w:rsidR="00AD471B" w:rsidRPr="00E5295F">
        <w:rPr>
          <w:rFonts w:ascii="Palatino Linotype" w:hAnsi="Palatino Linotype"/>
          <w:color w:val="000000" w:themeColor="text1"/>
        </w:rPr>
        <w:t xml:space="preserve">, desahoga la “Solicitud de Recursos a </w:t>
      </w:r>
      <w:r w:rsidR="00AD471B" w:rsidRPr="00E5295F">
        <w:rPr>
          <w:rFonts w:ascii="Palatino Linotype" w:hAnsi="Palatino Linotype"/>
          <w:color w:val="000000" w:themeColor="text1"/>
        </w:rPr>
        <w:lastRenderedPageBreak/>
        <w:t>Fondo Perdido Estatal y Municipal del ramo 23, a través de la Secretaría de Hacienda y Crédito Público del Gobierno Federal”, para la realización de diversas obras; y, en materia de seguridad pública, se señala la pretensión de incrementar 100 cámaras de video vigilancia para el mejoramiento del Centro de Monitoreo del municipio. Se comparte a continuación el fragmento del Acta donde se muestra el nombre del proyecto y su importe total:</w:t>
      </w:r>
    </w:p>
    <w:p w14:paraId="62E5E70E" w14:textId="77777777" w:rsidR="00AD471B" w:rsidRDefault="00AD471B" w:rsidP="002B6B6C">
      <w:pPr>
        <w:pStyle w:val="Prrafodelista"/>
        <w:tabs>
          <w:tab w:val="left" w:pos="426"/>
        </w:tabs>
        <w:spacing w:before="240" w:after="240" w:line="360" w:lineRule="auto"/>
        <w:ind w:left="0" w:right="51"/>
        <w:jc w:val="both"/>
        <w:rPr>
          <w:rFonts w:ascii="Palatino Linotype" w:hAnsi="Palatino Linotype"/>
          <w:color w:val="000000" w:themeColor="text1"/>
        </w:rPr>
      </w:pPr>
    </w:p>
    <w:p w14:paraId="76EE826A" w14:textId="19A5A2D6" w:rsidR="00AD471B" w:rsidRDefault="00AD471B" w:rsidP="00AD471B">
      <w:pPr>
        <w:pStyle w:val="Prrafodelista"/>
        <w:tabs>
          <w:tab w:val="left" w:pos="426"/>
        </w:tabs>
        <w:spacing w:before="240" w:after="240" w:line="360" w:lineRule="auto"/>
        <w:ind w:left="0" w:right="51"/>
        <w:jc w:val="center"/>
      </w:pPr>
      <w:r>
        <w:object w:dxaOrig="9750" w:dyaOrig="2610" w14:anchorId="458ABFE5">
          <v:shape id="_x0000_i1030" type="#_x0000_t75" style="width:384.7pt;height:103.1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aint.Picture" ShapeID="_x0000_i1030" DrawAspect="Content" ObjectID="_1703340305" r:id="rId19"/>
        </w:object>
      </w:r>
    </w:p>
    <w:p w14:paraId="0264A18B" w14:textId="77777777" w:rsidR="00AD471B" w:rsidRDefault="00AD471B" w:rsidP="00AD471B">
      <w:pPr>
        <w:pStyle w:val="Prrafodelista"/>
        <w:tabs>
          <w:tab w:val="left" w:pos="426"/>
        </w:tabs>
        <w:spacing w:before="240" w:after="240" w:line="360" w:lineRule="auto"/>
        <w:ind w:left="0" w:right="51"/>
        <w:jc w:val="center"/>
        <w:rPr>
          <w:rFonts w:ascii="Palatino Linotype" w:hAnsi="Palatino Linotype"/>
          <w:color w:val="000000" w:themeColor="text1"/>
        </w:rPr>
      </w:pPr>
    </w:p>
    <w:p w14:paraId="69D6F45B" w14:textId="7D347F96" w:rsidR="002B6B6C" w:rsidRDefault="00AD471B" w:rsidP="00F367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último, también se encontró la copia digitalizada del recibo de finiquito</w:t>
      </w:r>
      <w:r>
        <w:rPr>
          <w:rStyle w:val="Refdenotaalpie"/>
          <w:rFonts w:ascii="Palatino Linotype" w:hAnsi="Palatino Linotype"/>
          <w:color w:val="000000" w:themeColor="text1"/>
        </w:rPr>
        <w:footnoteReference w:id="24"/>
      </w:r>
      <w:r>
        <w:rPr>
          <w:rFonts w:ascii="Palatino Linotype" w:hAnsi="Palatino Linotype"/>
          <w:color w:val="000000" w:themeColor="text1"/>
        </w:rPr>
        <w:t xml:space="preserve"> expedido por la </w:t>
      </w:r>
      <w:r>
        <w:rPr>
          <w:rFonts w:ascii="Palatino Linotype" w:hAnsi="Palatino Linotype"/>
          <w:b/>
          <w:color w:val="000000" w:themeColor="text1"/>
        </w:rPr>
        <w:t>Dirección de Obras Públicas</w:t>
      </w:r>
      <w:r>
        <w:rPr>
          <w:rFonts w:ascii="Palatino Linotype" w:hAnsi="Palatino Linotype"/>
          <w:color w:val="000000" w:themeColor="text1"/>
        </w:rPr>
        <w:t xml:space="preserve">, que dan por terminados los derechos y obligaciones del contrato de obra pública número CHI-OP/AS-REHA-CVCM/FEFOM, de veintiséis (26) de octubre de dos mil veintiuno, por concepto de </w:t>
      </w:r>
      <w:r>
        <w:rPr>
          <w:rFonts w:ascii="Palatino Linotype" w:hAnsi="Palatino Linotype"/>
          <w:b/>
          <w:color w:val="000000" w:themeColor="text1"/>
        </w:rPr>
        <w:t>“Rehabilitación de cámaras de videovigilancia en el Centro de Monitoreo de Seguridad Pública”</w:t>
      </w:r>
      <w:r>
        <w:rPr>
          <w:rFonts w:ascii="Palatino Linotype" w:hAnsi="Palatino Linotype"/>
          <w:color w:val="000000" w:themeColor="text1"/>
        </w:rPr>
        <w:t>, por un total de $210,730.29 (DOSCIENTOS DIEZ MIL SETECIENTOS TREINTA PESOS 00/100 M.N.).</w:t>
      </w:r>
    </w:p>
    <w:p w14:paraId="453304B2" w14:textId="77777777" w:rsidR="002B6B6C" w:rsidRDefault="002B6B6C" w:rsidP="002B6B6C">
      <w:pPr>
        <w:pStyle w:val="Prrafodelista"/>
        <w:tabs>
          <w:tab w:val="left" w:pos="426"/>
        </w:tabs>
        <w:spacing w:before="240" w:after="240" w:line="360" w:lineRule="auto"/>
        <w:ind w:left="0" w:right="51"/>
        <w:jc w:val="both"/>
        <w:rPr>
          <w:rFonts w:ascii="Palatino Linotype" w:hAnsi="Palatino Linotype"/>
          <w:color w:val="000000" w:themeColor="text1"/>
        </w:rPr>
      </w:pPr>
    </w:p>
    <w:p w14:paraId="27805716" w14:textId="7C245671" w:rsidR="00C550B8" w:rsidRPr="00E5295F" w:rsidRDefault="009F3818" w:rsidP="00903CB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5295F">
        <w:rPr>
          <w:rFonts w:ascii="Palatino Linotype" w:hAnsi="Palatino Linotype"/>
          <w:color w:val="000000" w:themeColor="text1"/>
        </w:rPr>
        <w:t xml:space="preserve">De esta manera queda demostrado sin lugar a dudas que el Ayuntamiento de Chiautla, a través de las diversas administraciones que han tomado cargo del </w:t>
      </w:r>
      <w:r w:rsidRPr="00E5295F">
        <w:rPr>
          <w:rFonts w:ascii="Palatino Linotype" w:hAnsi="Palatino Linotype"/>
          <w:color w:val="000000" w:themeColor="text1"/>
        </w:rPr>
        <w:lastRenderedPageBreak/>
        <w:t xml:space="preserve">municipio desde el dos mil trece, ha considerado la instalación, reubicación o mantenimiento de cámaras de videovigilancia; por ello, </w:t>
      </w:r>
      <w:r w:rsidR="00C550B8" w:rsidRPr="00E5295F">
        <w:rPr>
          <w:rFonts w:ascii="Palatino Linotype" w:hAnsi="Palatino Linotype"/>
          <w:color w:val="000000" w:themeColor="text1"/>
        </w:rPr>
        <w:t xml:space="preserve">el </w:t>
      </w:r>
      <w:r w:rsidR="00C550B8" w:rsidRPr="00E5295F">
        <w:rPr>
          <w:rFonts w:ascii="Palatino Linotype" w:hAnsi="Palatino Linotype"/>
          <w:b/>
          <w:color w:val="000000" w:themeColor="text1"/>
        </w:rPr>
        <w:t>SUJETO OBLIGADO</w:t>
      </w:r>
      <w:r w:rsidR="00C550B8" w:rsidRPr="00E5295F">
        <w:rPr>
          <w:rFonts w:ascii="Palatino Linotype" w:hAnsi="Palatino Linotype"/>
          <w:color w:val="000000" w:themeColor="text1"/>
        </w:rPr>
        <w:t xml:space="preserve"> deberá realizar una búsqueda exhaustiva y razonable en sus archivos, a efecto de entregar al </w:t>
      </w:r>
      <w:r w:rsidR="00C550B8" w:rsidRPr="00E5295F">
        <w:rPr>
          <w:rFonts w:ascii="Palatino Linotype" w:hAnsi="Palatino Linotype"/>
          <w:b/>
          <w:color w:val="000000" w:themeColor="text1"/>
        </w:rPr>
        <w:t>RECURRENTE</w:t>
      </w:r>
      <w:r w:rsidR="002B6B6C" w:rsidRPr="00E5295F">
        <w:rPr>
          <w:rFonts w:ascii="Palatino Linotype" w:hAnsi="Palatino Linotype"/>
          <w:color w:val="000000" w:themeColor="text1"/>
        </w:rPr>
        <w:t>, en versión pública de ser procedente,</w:t>
      </w:r>
      <w:r w:rsidR="00C550B8" w:rsidRPr="00E5295F">
        <w:rPr>
          <w:rFonts w:ascii="Palatino Linotype" w:hAnsi="Palatino Linotype"/>
          <w:color w:val="000000" w:themeColor="text1"/>
        </w:rPr>
        <w:t xml:space="preserve"> los expedientes de obra pública relacionados con cámaras de</w:t>
      </w:r>
      <w:r w:rsidR="002B6B6C" w:rsidRPr="00E5295F">
        <w:rPr>
          <w:rFonts w:ascii="Palatino Linotype" w:hAnsi="Palatino Linotype"/>
          <w:color w:val="000000" w:themeColor="text1"/>
        </w:rPr>
        <w:t xml:space="preserve"> video vigilancia, o similar, por el periodo comprendido del uno (01) de enero de dos mil trece al diez (19) de septiembre de dos mil veintiuno</w:t>
      </w:r>
      <w:r w:rsidR="003C1632" w:rsidRPr="00E5295F">
        <w:rPr>
          <w:rFonts w:ascii="Palatino Linotype" w:hAnsi="Palatino Linotype"/>
          <w:color w:val="000000" w:themeColor="text1"/>
        </w:rPr>
        <w:t>.</w:t>
      </w:r>
    </w:p>
    <w:p w14:paraId="44016C96" w14:textId="77777777" w:rsidR="00C550B8" w:rsidRDefault="00C550B8" w:rsidP="00C550B8">
      <w:pPr>
        <w:pStyle w:val="Prrafodelista"/>
        <w:tabs>
          <w:tab w:val="left" w:pos="426"/>
        </w:tabs>
        <w:spacing w:before="240" w:after="240" w:line="360" w:lineRule="auto"/>
        <w:ind w:left="0" w:right="51"/>
        <w:jc w:val="both"/>
        <w:rPr>
          <w:rFonts w:ascii="Palatino Linotype" w:hAnsi="Palatino Linotype"/>
          <w:color w:val="000000" w:themeColor="text1"/>
        </w:rPr>
      </w:pPr>
    </w:p>
    <w:p w14:paraId="63B9D284" w14:textId="42E351BB" w:rsidR="00F36760" w:rsidRPr="002B6B6C" w:rsidRDefault="002B6B6C" w:rsidP="00E9024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En ese sentido</w:t>
      </w:r>
      <w:r w:rsidR="00A40535" w:rsidRPr="002B6B6C">
        <w:rPr>
          <w:rFonts w:ascii="Palatino Linotype" w:hAnsi="Palatino Linotype"/>
          <w:color w:val="000000" w:themeColor="text1"/>
        </w:rPr>
        <w:t xml:space="preserve">, para el caso de que deban generarse versiones públicas de los documentos que atiendan la solicitud de mérito, el </w:t>
      </w:r>
      <w:r w:rsidR="00A40535" w:rsidRPr="002B6B6C">
        <w:rPr>
          <w:rFonts w:ascii="Palatino Linotype" w:hAnsi="Palatino Linotype"/>
          <w:b/>
          <w:color w:val="000000" w:themeColor="text1"/>
        </w:rPr>
        <w:t>SUJETO OBLIGADO</w:t>
      </w:r>
      <w:r w:rsidR="00A40535" w:rsidRPr="002B6B6C">
        <w:rPr>
          <w:rFonts w:ascii="Palatino Linotype" w:hAnsi="Palatino Linotype"/>
          <w:color w:val="000000" w:themeColor="text1"/>
        </w:rPr>
        <w:t xml:space="preserve"> deberá observar las puntualizaciones vertidas en el Considerando QUINTO de esta resolución.</w:t>
      </w:r>
    </w:p>
    <w:p w14:paraId="59532746" w14:textId="77777777" w:rsidR="00F36760" w:rsidRPr="00DD3902" w:rsidRDefault="00F36760" w:rsidP="00F36760">
      <w:pPr>
        <w:pStyle w:val="Prrafodelista"/>
        <w:tabs>
          <w:tab w:val="left" w:pos="426"/>
        </w:tabs>
        <w:spacing w:before="240" w:after="240" w:line="360" w:lineRule="auto"/>
        <w:ind w:left="0" w:right="51"/>
        <w:jc w:val="both"/>
        <w:rPr>
          <w:rFonts w:ascii="Palatino Linotype" w:hAnsi="Palatino Linotype"/>
          <w:color w:val="000000" w:themeColor="text1"/>
        </w:rPr>
      </w:pPr>
    </w:p>
    <w:p w14:paraId="168673E3" w14:textId="67008571" w:rsidR="00F01443" w:rsidRPr="00F01443" w:rsidRDefault="00751061" w:rsidP="00F0144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0" w:name="_Toc89350464"/>
      <w:r>
        <w:rPr>
          <w:rFonts w:ascii="Palatino Linotype" w:hAnsi="Palatino Linotype"/>
          <w:b/>
          <w:bCs/>
          <w:color w:val="000000" w:themeColor="text1"/>
        </w:rPr>
        <w:t>QUINTO</w:t>
      </w:r>
      <w:r w:rsidR="00F01443">
        <w:rPr>
          <w:rFonts w:ascii="Palatino Linotype" w:hAnsi="Palatino Linotype"/>
          <w:b/>
          <w:bCs/>
          <w:color w:val="000000" w:themeColor="text1"/>
        </w:rPr>
        <w:t>. De la versión pública.</w:t>
      </w:r>
      <w:bookmarkEnd w:id="30"/>
    </w:p>
    <w:p w14:paraId="294C3AEA" w14:textId="77777777" w:rsidR="00F01443"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7CB31F7" w14:textId="77777777" w:rsidR="00CA7A78" w:rsidRDefault="00F01443"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Debe </w:t>
      </w:r>
      <w:r w:rsidRPr="00F01443">
        <w:rPr>
          <w:rFonts w:ascii="Palatino Linotype" w:hAnsi="Palatino Linotype"/>
          <w:color w:val="000000" w:themeColor="text1"/>
        </w:rPr>
        <w:t xml:space="preserve">destacarse que, </w:t>
      </w:r>
      <w:r w:rsidR="00CA7A78" w:rsidRPr="00F01443">
        <w:rPr>
          <w:rFonts w:ascii="Palatino Linotype" w:hAnsi="Palatino Linotype"/>
          <w:color w:val="000000" w:themeColor="text1"/>
        </w:rPr>
        <w:t>debido a la naturaleza de la información solicitada</w:t>
      </w:r>
      <w:r w:rsidR="00CA7A78">
        <w:rPr>
          <w:rFonts w:ascii="Palatino Linotype" w:hAnsi="Palatino Linotype"/>
          <w:b/>
          <w:color w:val="000000" w:themeColor="text1"/>
        </w:rPr>
        <w:t xml:space="preserve"> </w:t>
      </w:r>
      <w:r w:rsidR="00CA7A78" w:rsidRPr="00F01443">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948AF9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4850C0C"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w:t>
      </w:r>
      <w:r w:rsidRPr="0062325E">
        <w:rPr>
          <w:rFonts w:ascii="Palatino Linotype" w:hAnsi="Palatino Linotype" w:cs="Arial"/>
          <w:color w:val="000000" w:themeColor="text1"/>
        </w:rPr>
        <w:lastRenderedPageBreak/>
        <w:t>de acceso a la información. Como reiteradamente han dicho, diversos Órganos Jurisdiccionales, ningún derecho es absoluto</w:t>
      </w:r>
      <w:r>
        <w:rPr>
          <w:rFonts w:ascii="Palatino Linotype" w:hAnsi="Palatino Linotype" w:cs="Arial"/>
          <w:color w:val="000000" w:themeColor="text1"/>
        </w:rPr>
        <w:t>,</w:t>
      </w:r>
      <w:r w:rsidRPr="0062325E">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F2BFA2F"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E9CF202" w14:textId="25299E0A" w:rsidR="009D13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0E208AB"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B572C4C" w14:textId="2C984B22" w:rsidR="00CA7A78" w:rsidRPr="00CA7A78"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9350465"/>
      <w:r>
        <w:rPr>
          <w:rFonts w:ascii="Palatino Linotype" w:hAnsi="Palatino Linotype"/>
          <w:b/>
          <w:color w:val="000000" w:themeColor="text1"/>
        </w:rPr>
        <w:t>I. Requisitos previos.</w:t>
      </w:r>
      <w:bookmarkEnd w:id="31"/>
    </w:p>
    <w:p w14:paraId="7A4B0F56"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77FAE175"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62325E">
        <w:rPr>
          <w:rFonts w:ascii="Palatino Linotype" w:eastAsia="MS Mincho" w:hAnsi="Palatino Linotype" w:cs="Times New Roman"/>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w:t>
      </w:r>
      <w:r w:rsidRPr="0062325E">
        <w:rPr>
          <w:rFonts w:ascii="Palatino Linotype" w:eastAsia="MS Mincho" w:hAnsi="Palatino Linotype" w:cs="Times New Roman"/>
        </w:rPr>
        <w:lastRenderedPageBreak/>
        <w:t>registro federal de contribuyentes, edad, fotografía, entre otros) que forme parte de algún documento o el documento que se pretende reservar (contrato, licencia, póliza, entre otros), señalando el supuesto de clasificación (confidencialidad o reserva).</w:t>
      </w:r>
    </w:p>
    <w:p w14:paraId="6EA835D2"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6259DEB"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Además, </w:t>
      </w:r>
      <w:r w:rsidRPr="0062325E">
        <w:rPr>
          <w:rFonts w:ascii="Palatino Linotype" w:eastAsia="MS Mincho" w:hAnsi="Palatino Linotype" w:cs="Times New Roman"/>
        </w:rPr>
        <w:t>se debe señalar el procedimiento</w:t>
      </w:r>
      <w:r>
        <w:rPr>
          <w:rFonts w:ascii="Palatino Linotype" w:eastAsia="MS Mincho" w:hAnsi="Palatino Linotype" w:cs="Times New Roman"/>
        </w:rPr>
        <w:t xml:space="preserve"> </w:t>
      </w:r>
      <w:r w:rsidRPr="0062325E">
        <w:rPr>
          <w:rFonts w:ascii="Palatino Linotype" w:eastAsia="MS Mincho" w:hAnsi="Palatino Linotype" w:cs="Times New Roman"/>
        </w:rPr>
        <w:t>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C28181D"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CFA3F53" w14:textId="1931DEEA"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D694AA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9416A56" w14:textId="4D408F9E" w:rsidR="00CA7A78" w:rsidRPr="00CA7A78"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89350466"/>
      <w:r>
        <w:rPr>
          <w:rFonts w:ascii="Palatino Linotype" w:hAnsi="Palatino Linotype"/>
          <w:b/>
          <w:color w:val="000000" w:themeColor="text1"/>
        </w:rPr>
        <w:t>II. Supuestos de clasificación.</w:t>
      </w:r>
      <w:bookmarkEnd w:id="32"/>
    </w:p>
    <w:p w14:paraId="4D9928F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FC7D98D"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Las </w:t>
      </w:r>
      <w:r w:rsidRPr="0062325E">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60F1F28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108251F" w14:textId="3CF20C12"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Los </w:t>
      </w:r>
      <w:r w:rsidRPr="0062325E">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6B621959" w14:textId="77777777" w:rsidR="00CA7A78" w:rsidRDefault="00CA7A78" w:rsidP="00CA7A78">
      <w:pPr>
        <w:pStyle w:val="Prrafodelista"/>
        <w:tabs>
          <w:tab w:val="left" w:pos="426"/>
        </w:tabs>
        <w:spacing w:before="240" w:line="360" w:lineRule="auto"/>
        <w:ind w:left="0" w:right="51"/>
        <w:jc w:val="both"/>
        <w:rPr>
          <w:rFonts w:ascii="Palatino Linotype" w:hAnsi="Palatino Linotype"/>
          <w:color w:val="000000" w:themeColor="text1"/>
        </w:rPr>
      </w:pPr>
    </w:p>
    <w:p w14:paraId="35F08CB3"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 </w:t>
      </w:r>
      <w:r w:rsidRPr="00F01443">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68528C9C"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II. </w:t>
      </w:r>
      <w:r w:rsidRPr="00F01443">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1E937DB"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III. </w:t>
      </w:r>
      <w:r w:rsidRPr="00F01443">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2B1097B7"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36990213"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F01443">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3E095314"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0E0AD7B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Mientras </w:t>
      </w:r>
      <w:r w:rsidRPr="0062325E">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1014D6F"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A0474A4"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eastAsia="MS Mincho" w:hAnsi="Palatino Linotype" w:cs="Times New Roman"/>
        </w:rPr>
        <w:t xml:space="preserve">consecuencia de lo anterior, el </w:t>
      </w:r>
      <w:r w:rsidRPr="0062325E">
        <w:rPr>
          <w:rFonts w:ascii="Palatino Linotype" w:eastAsia="MS Mincho" w:hAnsi="Palatino Linotype" w:cs="Times New Roman"/>
          <w:b/>
          <w:bCs/>
        </w:rPr>
        <w:t>SUJETO OBLIGADO</w:t>
      </w:r>
      <w:r w:rsidRPr="0062325E">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w:t>
      </w:r>
      <w:r w:rsidRPr="0062325E">
        <w:rPr>
          <w:rFonts w:ascii="Palatino Linotype" w:eastAsia="MS Mincho" w:hAnsi="Palatino Linotype" w:cs="Times New Roman"/>
        </w:rPr>
        <w:lastRenderedPageBreak/>
        <w:t>jurídica. Esto también lo debe de realizar el servidor público habilitado y el titular del área que administra la información.</w:t>
      </w:r>
    </w:p>
    <w:p w14:paraId="57FB7ED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435E710" w14:textId="663DA79D"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w:t>
      </w:r>
      <w:r w:rsidRPr="0062325E">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2D735103"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D232830"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w:t>
      </w:r>
      <w:r w:rsidRPr="00F01443">
        <w:rPr>
          <w:rFonts w:ascii="Palatino Linotype" w:hAnsi="Palatino Linotype" w:cs="Arial"/>
          <w:b/>
          <w:i/>
          <w:sz w:val="22"/>
          <w:szCs w:val="22"/>
        </w:rPr>
        <w:t>Quincuagésimo.</w:t>
      </w:r>
      <w:r w:rsidRPr="00F01443">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8C97D54"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D9A25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primero.</w:t>
      </w:r>
      <w:r w:rsidRPr="00F01443">
        <w:rPr>
          <w:rFonts w:ascii="Palatino Linotype" w:hAnsi="Palatino Linotype" w:cs="Arial"/>
          <w:i/>
          <w:sz w:val="22"/>
          <w:szCs w:val="22"/>
        </w:rPr>
        <w:t xml:space="preserve"> La leyenda en los documentos clasificados indicará:</w:t>
      </w:r>
    </w:p>
    <w:p w14:paraId="1C3668A8"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 La fecha de sesión del Comité de Transparencia en donde se confirmó la clasificación, en su caso;</w:t>
      </w:r>
    </w:p>
    <w:p w14:paraId="6E59C893"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 El nombre del área;</w:t>
      </w:r>
    </w:p>
    <w:p w14:paraId="05709D8D"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III. La palabra reservado o confidencial;</w:t>
      </w:r>
    </w:p>
    <w:p w14:paraId="4C58DE4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IV. Las partes o secciones reservadas o confidenciales, en su caso;</w:t>
      </w:r>
    </w:p>
    <w:p w14:paraId="0854ECAB"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 El fundamento legal;</w:t>
      </w:r>
    </w:p>
    <w:p w14:paraId="3D08148B"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 El periodo de reserva, y</w:t>
      </w:r>
    </w:p>
    <w:p w14:paraId="7A08E9B7"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VII. La rúbrica del titular del área.</w:t>
      </w:r>
    </w:p>
    <w:p w14:paraId="42FB0DC9"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4CBF0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segundo.</w:t>
      </w:r>
      <w:r w:rsidRPr="00F01443">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7F49FFD4"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4E86B5D"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36BB8A8" w14:textId="77777777" w:rsidR="00CA7A78"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tercero.</w:t>
      </w:r>
      <w:r w:rsidRPr="00F01443">
        <w:rPr>
          <w:rFonts w:ascii="Palatino Linotype" w:hAnsi="Palatino Linotype" w:cs="Arial"/>
          <w:i/>
          <w:sz w:val="22"/>
          <w:szCs w:val="22"/>
        </w:rPr>
        <w:t xml:space="preserve"> El formato para señalar la clasificación parcial de un documento, es el siguiente:</w:t>
      </w:r>
    </w:p>
    <w:p w14:paraId="66542400" w14:textId="3B9B39FD" w:rsidR="00CA7A78" w:rsidRDefault="00CA7A78" w:rsidP="00CA7A78">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cs="Arial"/>
          <w:i/>
          <w:noProof/>
          <w:lang w:eastAsia="es-MX"/>
        </w:rPr>
        <w:lastRenderedPageBreak/>
        <w:drawing>
          <wp:inline distT="0" distB="0" distL="0" distR="0" wp14:anchorId="4D0C6FE8" wp14:editId="138BF4A5">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5F86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329B9E5" w14:textId="6E84C657" w:rsidR="00CA7A78" w:rsidRPr="005278AD"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Una </w:t>
      </w:r>
      <w:r w:rsidRPr="0062325E">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41447C5A" w14:textId="77777777" w:rsidR="005278AD" w:rsidRDefault="005278AD" w:rsidP="005278AD">
      <w:pPr>
        <w:pStyle w:val="Prrafodelista"/>
        <w:tabs>
          <w:tab w:val="left" w:pos="426"/>
        </w:tabs>
        <w:spacing w:before="240" w:after="240" w:line="360" w:lineRule="auto"/>
        <w:ind w:left="0" w:right="51"/>
        <w:jc w:val="both"/>
        <w:rPr>
          <w:rFonts w:ascii="Palatino Linotype" w:hAnsi="Palatino Linotype"/>
          <w:color w:val="000000" w:themeColor="text1"/>
        </w:rPr>
      </w:pPr>
    </w:p>
    <w:p w14:paraId="34A44003" w14:textId="04A395AA" w:rsidR="005278AD" w:rsidRPr="005278AD" w:rsidRDefault="005278AD" w:rsidP="005278AD">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3" w:name="_Toc89350467"/>
      <w:r w:rsidRPr="005278AD">
        <w:rPr>
          <w:rFonts w:ascii="Palatino Linotype" w:hAnsi="Palatino Linotype"/>
          <w:b/>
          <w:color w:val="000000" w:themeColor="text1"/>
        </w:rPr>
        <w:t>III. Condiciones especiales de la información solicitada.</w:t>
      </w:r>
      <w:bookmarkEnd w:id="33"/>
    </w:p>
    <w:p w14:paraId="1C3883DD" w14:textId="77777777" w:rsidR="005278AD" w:rsidRPr="005278AD" w:rsidRDefault="005278AD" w:rsidP="005278AD">
      <w:pPr>
        <w:pStyle w:val="Prrafodelista"/>
        <w:tabs>
          <w:tab w:val="left" w:pos="426"/>
        </w:tabs>
        <w:spacing w:before="240" w:after="240" w:line="360" w:lineRule="auto"/>
        <w:ind w:left="0" w:right="51"/>
        <w:jc w:val="both"/>
        <w:rPr>
          <w:rFonts w:ascii="Palatino Linotype" w:hAnsi="Palatino Linotype"/>
          <w:color w:val="000000" w:themeColor="text1"/>
        </w:rPr>
      </w:pPr>
    </w:p>
    <w:p w14:paraId="586C8833" w14:textId="55328BDD" w:rsidR="005278AD" w:rsidRPr="005278AD" w:rsidRDefault="005278AD"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imes New Roman"/>
        </w:rPr>
        <w:t xml:space="preserve">El </w:t>
      </w:r>
      <w:r w:rsidR="006D7F18">
        <w:rPr>
          <w:rFonts w:ascii="Palatino Linotype" w:eastAsia="MS Mincho" w:hAnsi="Palatino Linotype" w:cs="Times New Roman"/>
        </w:rPr>
        <w:t xml:space="preserve">párrafo noveno del </w:t>
      </w:r>
      <w:r>
        <w:rPr>
          <w:rFonts w:ascii="Palatino Linotype" w:eastAsia="MS Mincho" w:hAnsi="Palatino Linotype" w:cs="Times New Roman"/>
        </w:rPr>
        <w:t xml:space="preserve">artículo 21 de </w:t>
      </w:r>
      <w:r w:rsidR="006D7F18">
        <w:rPr>
          <w:rFonts w:ascii="Palatino Linotype" w:eastAsia="MS Mincho" w:hAnsi="Palatino Linotype" w:cs="Times New Roman"/>
        </w:rPr>
        <w:t xml:space="preserve">la Constitución Política de los Estados Unidos Mexicanos, establece que la </w:t>
      </w:r>
      <w:r w:rsidR="006D7F18" w:rsidRPr="006D7F18">
        <w:rPr>
          <w:rFonts w:ascii="Palatino Linotype" w:eastAsia="MS Mincho" w:hAnsi="Palatino Linotype" w:cs="Times New Roman"/>
        </w:rPr>
        <w:t xml:space="preserve">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w:t>
      </w:r>
      <w:r w:rsidR="006D7F18" w:rsidRPr="006D7F18">
        <w:rPr>
          <w:rFonts w:ascii="Palatino Linotype" w:eastAsia="MS Mincho" w:hAnsi="Palatino Linotype" w:cs="Times New Roman"/>
        </w:rPr>
        <w:lastRenderedPageBreak/>
        <w:t xml:space="preserve">de conformidad con lo previsto en </w:t>
      </w:r>
      <w:r w:rsidR="006D7F18">
        <w:rPr>
          <w:rFonts w:ascii="Palatino Linotype" w:eastAsia="MS Mincho" w:hAnsi="Palatino Linotype" w:cs="Times New Roman"/>
        </w:rPr>
        <w:t xml:space="preserve">la </w:t>
      </w:r>
      <w:r w:rsidR="006D7F18">
        <w:rPr>
          <w:rFonts w:ascii="Palatino Linotype" w:eastAsia="MS Mincho" w:hAnsi="Palatino Linotype" w:cs="Times New Roman"/>
          <w:i/>
        </w:rPr>
        <w:t>Magna Carta</w:t>
      </w:r>
      <w:r w:rsidR="006D7F18">
        <w:rPr>
          <w:rFonts w:ascii="Palatino Linotype" w:eastAsia="MS Mincho" w:hAnsi="Palatino Linotype" w:cs="Times New Roman"/>
        </w:rPr>
        <w:t xml:space="preserve"> y las leyes en la materia; </w:t>
      </w:r>
      <w:r w:rsidR="006D7F18" w:rsidRPr="006D7F18">
        <w:rPr>
          <w:rFonts w:ascii="Palatino Linotype" w:eastAsia="MS Mincho" w:hAnsi="Palatino Linotype" w:cs="Times New Roman"/>
        </w:rPr>
        <w:t>comprende la prevención, investigación y persecución de los delitos, así como la sanción de l</w:t>
      </w:r>
      <w:r w:rsidR="006D7F18">
        <w:rPr>
          <w:rFonts w:ascii="Palatino Linotype" w:eastAsia="MS Mincho" w:hAnsi="Palatino Linotype" w:cs="Times New Roman"/>
        </w:rPr>
        <w:t>as infracciones administrativas</w:t>
      </w:r>
      <w:r w:rsidR="006D7F18" w:rsidRPr="006D7F18">
        <w:rPr>
          <w:rFonts w:ascii="Palatino Linotype" w:eastAsia="MS Mincho" w:hAnsi="Palatino Linotype" w:cs="Times New Roman"/>
        </w:rPr>
        <w:t>.</w:t>
      </w:r>
    </w:p>
    <w:p w14:paraId="558CACCA" w14:textId="77777777" w:rsidR="005278AD" w:rsidRPr="005278AD" w:rsidRDefault="005278AD" w:rsidP="005278AD">
      <w:pPr>
        <w:pStyle w:val="Prrafodelista"/>
        <w:tabs>
          <w:tab w:val="left" w:pos="426"/>
        </w:tabs>
        <w:spacing w:before="240" w:after="240" w:line="360" w:lineRule="auto"/>
        <w:ind w:left="0" w:right="51"/>
        <w:jc w:val="both"/>
        <w:rPr>
          <w:rFonts w:ascii="Palatino Linotype" w:hAnsi="Palatino Linotype"/>
          <w:color w:val="000000" w:themeColor="text1"/>
        </w:rPr>
      </w:pPr>
    </w:p>
    <w:p w14:paraId="04C51475" w14:textId="49C3F66A" w:rsidR="005278AD" w:rsidRPr="005278AD" w:rsidRDefault="006D7F1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imes New Roman"/>
        </w:rPr>
        <w:t xml:space="preserve">En estricta observancia al mandato constitucional, se crea la Ley General del Sistema Nacional de Seguridad Pública, </w:t>
      </w:r>
      <w:r w:rsidRPr="006D7F18">
        <w:rPr>
          <w:rFonts w:ascii="Palatino Linotype" w:eastAsia="MS Mincho" w:hAnsi="Palatino Linotype" w:cs="Times New Roman"/>
        </w:rPr>
        <w:t>reglamentaria del artículo 21 de la Constitución Política de los Estados Unidos Mexicanos</w:t>
      </w:r>
      <w:r>
        <w:rPr>
          <w:rFonts w:ascii="Palatino Linotype" w:eastAsia="MS Mincho" w:hAnsi="Palatino Linotype" w:cs="Times New Roman"/>
        </w:rPr>
        <w:t>,</w:t>
      </w:r>
      <w:r w:rsidRPr="006D7F18">
        <w:rPr>
          <w:rFonts w:ascii="Palatino Linotype" w:eastAsia="MS Mincho" w:hAnsi="Palatino Linotype" w:cs="Times New Roman"/>
        </w:rPr>
        <w:t xml:space="preserve"> en materia de Seguridad Pública</w:t>
      </w:r>
      <w:r>
        <w:rPr>
          <w:rFonts w:ascii="Palatino Linotype" w:eastAsia="MS Mincho" w:hAnsi="Palatino Linotype" w:cs="Times New Roman"/>
        </w:rPr>
        <w:t>,</w:t>
      </w:r>
      <w:r w:rsidRPr="006D7F18">
        <w:rPr>
          <w:rFonts w:ascii="Palatino Linotype" w:eastAsia="MS Mincho" w:hAnsi="Palatino Linotype" w:cs="Times New Roman"/>
        </w:rPr>
        <w:t xml:space="preserve"> </w:t>
      </w:r>
      <w:r>
        <w:rPr>
          <w:rFonts w:ascii="Palatino Linotype" w:eastAsia="MS Mincho" w:hAnsi="Palatino Linotype" w:cs="Times New Roman"/>
        </w:rPr>
        <w:t>y</w:t>
      </w:r>
      <w:r w:rsidRPr="006D7F18">
        <w:rPr>
          <w:rFonts w:ascii="Palatino Linotype" w:eastAsia="MS Mincho" w:hAnsi="Palatino Linotype" w:cs="Times New Roman"/>
        </w:rPr>
        <w:t xml:space="preserve"> tiene por objeto regular la integración, organización y funcionamiento del Sistema Nacional de Seguridad Pública, así como establecer la distribución de competencias y las bases de coordinación entre la Federación, las entidades federativas y los Municipios, en esta materia</w:t>
      </w:r>
      <w:r>
        <w:rPr>
          <w:rStyle w:val="Refdenotaalpie"/>
          <w:rFonts w:ascii="Palatino Linotype" w:eastAsia="MS Mincho" w:hAnsi="Palatino Linotype" w:cs="Times New Roman"/>
        </w:rPr>
        <w:footnoteReference w:id="25"/>
      </w:r>
      <w:r w:rsidRPr="006D7F18">
        <w:rPr>
          <w:rFonts w:ascii="Palatino Linotype" w:eastAsia="MS Mincho" w:hAnsi="Palatino Linotype" w:cs="Times New Roman"/>
        </w:rPr>
        <w:t>.</w:t>
      </w:r>
    </w:p>
    <w:p w14:paraId="10CDB6A6" w14:textId="77777777" w:rsidR="005278AD" w:rsidRPr="005278AD" w:rsidRDefault="005278AD" w:rsidP="005278AD">
      <w:pPr>
        <w:pStyle w:val="Prrafodelista"/>
        <w:tabs>
          <w:tab w:val="left" w:pos="426"/>
        </w:tabs>
        <w:spacing w:before="240" w:after="240" w:line="360" w:lineRule="auto"/>
        <w:ind w:left="0" w:right="51"/>
        <w:jc w:val="both"/>
        <w:rPr>
          <w:rFonts w:ascii="Palatino Linotype" w:hAnsi="Palatino Linotype"/>
          <w:color w:val="000000" w:themeColor="text1"/>
        </w:rPr>
      </w:pPr>
    </w:p>
    <w:p w14:paraId="17AE8A79" w14:textId="608465AA" w:rsidR="005278AD" w:rsidRPr="005278AD" w:rsidRDefault="006D7F1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imes New Roman"/>
        </w:rPr>
        <w:t xml:space="preserve">Dicho lo anterior, el artículo 110 de la Ley General del Sistema Nacional de Seguridad Pública, establece que se deberá clasificar </w:t>
      </w:r>
      <w:r w:rsidRPr="006D7F18">
        <w:rPr>
          <w:rFonts w:ascii="Palatino Linotype" w:eastAsia="MS Mincho" w:hAnsi="Palatino Linotype" w:cs="Times New Roman"/>
          <w:bCs/>
        </w:rPr>
        <w:t xml:space="preserve">la información contenida en todas y cada una de las Bases de Datos del Sistema Nacional de Información, así como de los Registros Nacional y la información contenida en ellos, en materia de detenciones, información criminal, armamento, equipo, vehículos, medidas cautelares, soluciones alternas y formas de terminación anticipada, entre otros; además, que su consulta es exclusiva de las instituciones de Seguridad Pública, que estén facultadas en cada caso, a través de los servidores públicos que cada institución designe, </w:t>
      </w:r>
      <w:r w:rsidRPr="006D7F18">
        <w:rPr>
          <w:rFonts w:ascii="Palatino Linotype" w:eastAsia="MS Mincho" w:hAnsi="Palatino Linotype" w:cs="Times New Roman"/>
          <w:b/>
          <w:bCs/>
        </w:rPr>
        <w:t>por lo que, el público no tendrá acceso a la información que en ellos se contenga.</w:t>
      </w:r>
    </w:p>
    <w:p w14:paraId="680EE59C" w14:textId="77777777" w:rsidR="005278AD" w:rsidRPr="005278AD" w:rsidRDefault="005278AD" w:rsidP="005278AD">
      <w:pPr>
        <w:pStyle w:val="Prrafodelista"/>
        <w:tabs>
          <w:tab w:val="left" w:pos="426"/>
        </w:tabs>
        <w:spacing w:before="240" w:after="240" w:line="360" w:lineRule="auto"/>
        <w:ind w:left="0" w:right="51"/>
        <w:jc w:val="both"/>
        <w:rPr>
          <w:rFonts w:ascii="Palatino Linotype" w:hAnsi="Palatino Linotype"/>
          <w:color w:val="000000" w:themeColor="text1"/>
        </w:rPr>
      </w:pPr>
    </w:p>
    <w:p w14:paraId="584E1A37" w14:textId="061DCF39" w:rsidR="005278AD" w:rsidRPr="005278AD" w:rsidRDefault="006D7F1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imes New Roman"/>
        </w:rPr>
        <w:lastRenderedPageBreak/>
        <w:t>Por su parte, el</w:t>
      </w:r>
      <w:r w:rsidR="005278AD">
        <w:rPr>
          <w:rFonts w:ascii="Palatino Linotype" w:eastAsia="MS Mincho" w:hAnsi="Palatino Linotype" w:cs="Times New Roman"/>
        </w:rPr>
        <w:t xml:space="preserve"> artículo 140 de la Ley de Transparencia y Acceso a la Información Pública del Estado de México y Municipios, en su fracción I, establece que el </w:t>
      </w:r>
      <w:r w:rsidR="005278AD" w:rsidRPr="005278AD">
        <w:rPr>
          <w:rFonts w:ascii="Palatino Linotype" w:eastAsia="MS Mincho" w:hAnsi="Palatino Linotype" w:cs="Times New Roman"/>
        </w:rPr>
        <w:t>acceso a la información pública será restringido excepcionalmente, cuando por razones de interés público, ésta sea clasificada como reservada</w:t>
      </w:r>
      <w:r w:rsidR="005278AD">
        <w:rPr>
          <w:rFonts w:ascii="Palatino Linotype" w:eastAsia="MS Mincho" w:hAnsi="Palatino Linotype" w:cs="Times New Roman"/>
        </w:rPr>
        <w:t xml:space="preserve"> porque su publicidad </w:t>
      </w:r>
      <w:r w:rsidR="005278AD" w:rsidRPr="006D7F18">
        <w:rPr>
          <w:rFonts w:ascii="Palatino Linotype" w:eastAsia="MS Mincho" w:hAnsi="Palatino Linotype" w:cs="Times New Roman"/>
          <w:b/>
        </w:rPr>
        <w:t>pueda comprometer la seguridad pública y cuente con un propósito genuino y un efecto demostrable</w:t>
      </w:r>
      <w:r w:rsidR="005278AD">
        <w:rPr>
          <w:rFonts w:ascii="Palatino Linotype" w:eastAsia="MS Mincho" w:hAnsi="Palatino Linotype" w:cs="Times New Roman"/>
        </w:rPr>
        <w:t>.</w:t>
      </w:r>
    </w:p>
    <w:p w14:paraId="7B6357D1" w14:textId="77777777" w:rsidR="005278AD" w:rsidRPr="005278AD" w:rsidRDefault="005278AD" w:rsidP="005278AD">
      <w:pPr>
        <w:pStyle w:val="Prrafodelista"/>
        <w:tabs>
          <w:tab w:val="left" w:pos="426"/>
        </w:tabs>
        <w:spacing w:before="240" w:after="240" w:line="360" w:lineRule="auto"/>
        <w:ind w:left="0" w:right="51"/>
        <w:jc w:val="both"/>
        <w:rPr>
          <w:rFonts w:ascii="Palatino Linotype" w:hAnsi="Palatino Linotype"/>
          <w:color w:val="000000" w:themeColor="text1"/>
        </w:rPr>
      </w:pPr>
    </w:p>
    <w:p w14:paraId="4750A551" w14:textId="75E5D2DA" w:rsidR="005278AD" w:rsidRPr="005278AD" w:rsidRDefault="005278AD"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imes New Roman"/>
        </w:rPr>
        <w:t xml:space="preserve">Correlativo a lo anterior, el lineamiento Décimo Octavo de los </w:t>
      </w:r>
      <w:r w:rsidRPr="005278AD">
        <w:rPr>
          <w:rFonts w:ascii="Palatino Linotype" w:eastAsia="MS Mincho" w:hAnsi="Palatino Linotype" w:cs="Times New Roman"/>
          <w:bCs/>
          <w:iCs/>
        </w:rPr>
        <w:t>Lineamientos Generales en Materia de Clasificación y Desclasificación de la Información, así como para la Elaboración de Versiones Públicas</w:t>
      </w:r>
      <w:r>
        <w:rPr>
          <w:rFonts w:ascii="Palatino Linotype" w:eastAsia="MS Mincho" w:hAnsi="Palatino Linotype" w:cs="Times New Roman"/>
          <w:bCs/>
          <w:iCs/>
        </w:rPr>
        <w:t>, señala lo siguiente:</w:t>
      </w:r>
    </w:p>
    <w:p w14:paraId="06AE84D4" w14:textId="77777777" w:rsidR="005278AD" w:rsidRPr="005278AD" w:rsidRDefault="005278AD" w:rsidP="005278AD">
      <w:pPr>
        <w:tabs>
          <w:tab w:val="left" w:pos="4962"/>
        </w:tabs>
        <w:spacing w:line="276" w:lineRule="auto"/>
        <w:ind w:left="567" w:right="567"/>
        <w:jc w:val="both"/>
        <w:rPr>
          <w:rFonts w:ascii="Palatino Linotype" w:eastAsia="Calibri" w:hAnsi="Palatino Linotype" w:cs="Tahoma"/>
          <w:i/>
          <w:iCs/>
          <w:sz w:val="22"/>
          <w:lang w:eastAsia="es-ES_tradnl"/>
        </w:rPr>
      </w:pPr>
      <w:r w:rsidRPr="005278AD">
        <w:rPr>
          <w:rFonts w:ascii="Palatino Linotype" w:eastAsia="Calibri" w:hAnsi="Palatino Linotype" w:cs="Tahoma"/>
          <w:b/>
          <w:iCs/>
          <w:sz w:val="22"/>
          <w:lang w:val="es-ES" w:eastAsia="es-ES_tradnl"/>
        </w:rPr>
        <w:t>“</w:t>
      </w:r>
      <w:r w:rsidRPr="005278AD">
        <w:rPr>
          <w:rFonts w:ascii="Palatino Linotype" w:eastAsia="Calibri" w:hAnsi="Palatino Linotype" w:cs="Tahoma"/>
          <w:b/>
          <w:i/>
          <w:iCs/>
          <w:sz w:val="22"/>
          <w:lang w:val="es-ES" w:eastAsia="es-ES_tradnl"/>
        </w:rPr>
        <w:t>Décimo octavo.</w:t>
      </w:r>
      <w:r w:rsidRPr="005278AD">
        <w:rPr>
          <w:rFonts w:ascii="Palatino Linotype" w:eastAsia="Calibri" w:hAnsi="Palatino Linotype" w:cs="Tahoma"/>
          <w:i/>
          <w:iCs/>
          <w:sz w:val="22"/>
          <w:lang w:val="es-ES" w:eastAsia="es-ES_tradnl"/>
        </w:rPr>
        <w:t xml:space="preserve"> De conformidad con el artículo 113, fracción I de la Ley General, podrá considerarse como información reservada, aquella que comprometa la seguridad pública, al poner en peligro las funciones a cargo de la Federación, la </w:t>
      </w:r>
      <w:r w:rsidRPr="005278AD">
        <w:rPr>
          <w:rFonts w:ascii="Palatino Linotype" w:eastAsia="Calibri" w:hAnsi="Palatino Linotype" w:cs="Tahoma"/>
          <w:i/>
          <w:iCs/>
          <w:sz w:val="22"/>
          <w:lang w:eastAsia="es-ES_tradnl"/>
        </w:rPr>
        <w:t xml:space="preserve">Ciudad de México, los Estados y los Municipios, tendientes a preservar y resguardar la vida, la salud, la integridad y el ejercicio de los derechos de las personas, así como para el mantenimiento del orden público. </w:t>
      </w:r>
    </w:p>
    <w:p w14:paraId="702A758E" w14:textId="77777777" w:rsidR="005278AD" w:rsidRPr="005278AD" w:rsidRDefault="005278AD" w:rsidP="005278AD">
      <w:pPr>
        <w:tabs>
          <w:tab w:val="left" w:pos="4962"/>
        </w:tabs>
        <w:spacing w:line="276" w:lineRule="auto"/>
        <w:ind w:left="567" w:right="567"/>
        <w:jc w:val="both"/>
        <w:rPr>
          <w:rFonts w:ascii="Palatino Linotype" w:eastAsia="Calibri" w:hAnsi="Palatino Linotype" w:cs="Tahoma"/>
          <w:i/>
          <w:iCs/>
          <w:sz w:val="22"/>
          <w:lang w:eastAsia="es-ES_tradnl"/>
        </w:rPr>
      </w:pPr>
    </w:p>
    <w:p w14:paraId="27ECBFCC" w14:textId="77777777" w:rsidR="005278AD" w:rsidRPr="005278AD" w:rsidRDefault="005278AD" w:rsidP="005278AD">
      <w:pPr>
        <w:tabs>
          <w:tab w:val="left" w:pos="4962"/>
        </w:tabs>
        <w:spacing w:line="276" w:lineRule="auto"/>
        <w:ind w:left="567" w:right="567"/>
        <w:jc w:val="both"/>
        <w:rPr>
          <w:rFonts w:ascii="Palatino Linotype" w:eastAsia="Calibri" w:hAnsi="Palatino Linotype" w:cs="Tahoma"/>
          <w:i/>
          <w:iCs/>
          <w:sz w:val="22"/>
          <w:lang w:eastAsia="es-ES_tradnl"/>
        </w:rPr>
      </w:pPr>
      <w:r w:rsidRPr="005278AD">
        <w:rPr>
          <w:rFonts w:ascii="Palatino Linotype" w:eastAsia="Calibri" w:hAnsi="Palatino Linotype" w:cs="Tahoma"/>
          <w:i/>
          <w:iCs/>
          <w:sz w:val="22"/>
          <w:lang w:eastAsia="es-ES_tradnl"/>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4086CEA6" w14:textId="77777777" w:rsidR="005278AD" w:rsidRPr="005278AD" w:rsidRDefault="005278AD" w:rsidP="005278AD">
      <w:pPr>
        <w:tabs>
          <w:tab w:val="left" w:pos="4962"/>
        </w:tabs>
        <w:spacing w:line="276" w:lineRule="auto"/>
        <w:ind w:left="567" w:right="567"/>
        <w:jc w:val="both"/>
        <w:rPr>
          <w:rFonts w:ascii="Palatino Linotype" w:eastAsia="Calibri" w:hAnsi="Palatino Linotype" w:cs="Tahoma"/>
          <w:i/>
          <w:iCs/>
          <w:sz w:val="22"/>
          <w:lang w:eastAsia="es-ES_tradnl"/>
        </w:rPr>
      </w:pPr>
    </w:p>
    <w:p w14:paraId="0EB29278" w14:textId="77777777" w:rsidR="005278AD" w:rsidRDefault="005278AD" w:rsidP="005278AD">
      <w:pPr>
        <w:tabs>
          <w:tab w:val="left" w:pos="4962"/>
        </w:tabs>
        <w:spacing w:line="276" w:lineRule="auto"/>
        <w:ind w:left="567" w:right="567"/>
        <w:jc w:val="both"/>
        <w:rPr>
          <w:rFonts w:ascii="Palatino Linotype" w:eastAsia="Calibri" w:hAnsi="Palatino Linotype" w:cs="Tahoma"/>
          <w:i/>
          <w:iCs/>
          <w:sz w:val="22"/>
          <w:lang w:eastAsia="es-ES_tradnl"/>
        </w:rPr>
      </w:pPr>
      <w:r w:rsidRPr="005278AD">
        <w:rPr>
          <w:rFonts w:ascii="Palatino Linotype" w:eastAsia="Calibri" w:hAnsi="Palatino Linotype" w:cs="Tahoma"/>
          <w:i/>
          <w:iCs/>
          <w:sz w:val="22"/>
          <w:lang w:eastAsia="es-ES_tradnl"/>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4391EFEC" w14:textId="77777777" w:rsidR="005278AD" w:rsidRPr="005278AD" w:rsidRDefault="005278AD" w:rsidP="005278AD">
      <w:pPr>
        <w:tabs>
          <w:tab w:val="left" w:pos="4962"/>
        </w:tabs>
        <w:spacing w:line="276" w:lineRule="auto"/>
        <w:ind w:left="567" w:right="567"/>
        <w:jc w:val="both"/>
        <w:rPr>
          <w:rFonts w:ascii="Palatino Linotype" w:eastAsia="Calibri" w:hAnsi="Palatino Linotype" w:cs="Tahoma"/>
          <w:i/>
          <w:iCs/>
          <w:sz w:val="22"/>
          <w:lang w:val="es-ES" w:eastAsia="es-ES_tradnl"/>
        </w:rPr>
      </w:pPr>
    </w:p>
    <w:p w14:paraId="145D1191" w14:textId="73E1D404" w:rsidR="005278AD" w:rsidRPr="005278AD" w:rsidRDefault="005278AD"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imes New Roman"/>
        </w:rPr>
        <w:t xml:space="preserve">De tal guisa, podemos establecer que se </w:t>
      </w:r>
      <w:r w:rsidRPr="000375B3">
        <w:rPr>
          <w:rFonts w:ascii="Palatino Linotype" w:eastAsia="Calibri" w:hAnsi="Palatino Linotype" w:cs="Tahoma"/>
          <w:bCs/>
          <w:sz w:val="22"/>
          <w:szCs w:val="22"/>
          <w:lang w:eastAsia="en-US"/>
        </w:rPr>
        <w:t>podrá clasificar</w:t>
      </w:r>
      <w:r>
        <w:rPr>
          <w:rFonts w:ascii="Palatino Linotype" w:eastAsia="Calibri" w:hAnsi="Palatino Linotype" w:cs="Tahoma"/>
          <w:bCs/>
          <w:sz w:val="22"/>
          <w:szCs w:val="22"/>
          <w:lang w:eastAsia="en-US"/>
        </w:rPr>
        <w:t>,</w:t>
      </w:r>
      <w:r w:rsidRPr="000375B3">
        <w:rPr>
          <w:rFonts w:ascii="Palatino Linotype" w:eastAsia="Calibri" w:hAnsi="Palatino Linotype" w:cs="Tahoma"/>
          <w:bCs/>
          <w:sz w:val="22"/>
          <w:szCs w:val="22"/>
          <w:lang w:eastAsia="en-US"/>
        </w:rPr>
        <w:t xml:space="preserve"> como información reservada, aquélla que comprometa la seguridad pública</w:t>
      </w:r>
      <w:r>
        <w:rPr>
          <w:rFonts w:ascii="Palatino Linotype" w:eastAsia="Calibri" w:hAnsi="Palatino Linotype" w:cs="Tahoma"/>
          <w:bCs/>
          <w:sz w:val="22"/>
          <w:szCs w:val="22"/>
          <w:lang w:eastAsia="en-US"/>
        </w:rPr>
        <w:t>;</w:t>
      </w:r>
      <w:r w:rsidRPr="000375B3">
        <w:rPr>
          <w:rFonts w:ascii="Palatino Linotype" w:eastAsia="Calibri" w:hAnsi="Palatino Linotype" w:cs="Tahoma"/>
          <w:bCs/>
          <w:sz w:val="22"/>
          <w:szCs w:val="22"/>
          <w:lang w:eastAsia="en-US"/>
        </w:rPr>
        <w:t xml:space="preserve"> o bien, </w:t>
      </w:r>
      <w:r>
        <w:rPr>
          <w:rFonts w:ascii="Palatino Linotype" w:eastAsia="Calibri" w:hAnsi="Palatino Linotype" w:cs="Tahoma"/>
          <w:bCs/>
          <w:sz w:val="22"/>
          <w:szCs w:val="22"/>
          <w:lang w:eastAsia="en-US"/>
        </w:rPr>
        <w:t xml:space="preserve">que </w:t>
      </w:r>
      <w:r w:rsidRPr="000375B3">
        <w:rPr>
          <w:rFonts w:ascii="Palatino Linotype" w:eastAsia="Calibri" w:hAnsi="Palatino Linotype" w:cs="Tahoma"/>
          <w:bCs/>
          <w:sz w:val="22"/>
          <w:szCs w:val="22"/>
          <w:lang w:eastAsia="en-US"/>
        </w:rPr>
        <w:t xml:space="preserve">entorpezca los </w:t>
      </w:r>
      <w:r w:rsidRPr="000375B3">
        <w:rPr>
          <w:rFonts w:ascii="Palatino Linotype" w:eastAsia="Calibri" w:hAnsi="Palatino Linotype" w:cs="Tahoma"/>
          <w:bCs/>
          <w:sz w:val="22"/>
          <w:szCs w:val="22"/>
          <w:lang w:eastAsia="en-US"/>
        </w:rPr>
        <w:lastRenderedPageBreak/>
        <w:t>sistemas de coordinación interinstitucional en materia de seguridad pública, menoscabar o dificultar las estrategias contra la evasión de reos o la capacidad de las autoridades para disuadir</w:t>
      </w:r>
      <w:r>
        <w:rPr>
          <w:rFonts w:ascii="Palatino Linotype" w:eastAsia="Calibri" w:hAnsi="Palatino Linotype" w:cs="Tahoma"/>
          <w:bCs/>
          <w:sz w:val="22"/>
          <w:szCs w:val="22"/>
          <w:lang w:eastAsia="en-US"/>
        </w:rPr>
        <w:t xml:space="preserve"> o prevenir disturbios sociales; asimismo, se reservará aquélla información </w:t>
      </w:r>
      <w:r w:rsidRPr="005278AD">
        <w:rPr>
          <w:rFonts w:ascii="Palatino Linotype" w:eastAsia="Calibri" w:hAnsi="Palatino Linotype" w:cs="Tahoma"/>
          <w:bCs/>
          <w:sz w:val="22"/>
          <w:szCs w:val="22"/>
          <w:lang w:eastAsia="en-US"/>
        </w:rPr>
        <w:t>que revele datos que pudieran ser aprovechados para conocer la capacidad de reacción de las instituciones encargadas de la seguridad pública, sus planes, estra</w:t>
      </w:r>
      <w:r>
        <w:rPr>
          <w:rFonts w:ascii="Palatino Linotype" w:eastAsia="Calibri" w:hAnsi="Palatino Linotype" w:cs="Tahoma"/>
          <w:bCs/>
          <w:sz w:val="22"/>
          <w:szCs w:val="22"/>
          <w:lang w:eastAsia="en-US"/>
        </w:rPr>
        <w:t>tegias, tecnología, información y/o</w:t>
      </w:r>
      <w:r w:rsidRPr="005278AD">
        <w:rPr>
          <w:rFonts w:ascii="Palatino Linotype" w:eastAsia="Calibri" w:hAnsi="Palatino Linotype" w:cs="Tahoma"/>
          <w:bCs/>
          <w:sz w:val="22"/>
          <w:szCs w:val="22"/>
          <w:lang w:eastAsia="en-US"/>
        </w:rPr>
        <w:t xml:space="preserve"> sistemas de comunicaciones.</w:t>
      </w:r>
    </w:p>
    <w:p w14:paraId="2E7DE927" w14:textId="77777777" w:rsidR="005278AD" w:rsidRPr="005278AD" w:rsidRDefault="005278AD" w:rsidP="005278AD">
      <w:pPr>
        <w:pStyle w:val="Prrafodelista"/>
        <w:tabs>
          <w:tab w:val="left" w:pos="426"/>
        </w:tabs>
        <w:spacing w:before="240" w:after="240" w:line="360" w:lineRule="auto"/>
        <w:ind w:left="0" w:right="51"/>
        <w:jc w:val="both"/>
        <w:rPr>
          <w:rFonts w:ascii="Palatino Linotype" w:hAnsi="Palatino Linotype"/>
          <w:color w:val="000000" w:themeColor="text1"/>
        </w:rPr>
      </w:pPr>
    </w:p>
    <w:p w14:paraId="012A1160" w14:textId="2D288D37" w:rsidR="005278AD" w:rsidRPr="005278AD" w:rsidRDefault="006D7F1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imes New Roman"/>
        </w:rPr>
        <w:t xml:space="preserve">Una vez expuesto lo anterior, es elemental recordar que el </w:t>
      </w:r>
      <w:r>
        <w:rPr>
          <w:rFonts w:ascii="Palatino Linotype" w:eastAsia="MS Mincho" w:hAnsi="Palatino Linotype" w:cs="Times New Roman"/>
          <w:b/>
        </w:rPr>
        <w:t>RECURRENTE</w:t>
      </w:r>
      <w:r>
        <w:rPr>
          <w:rFonts w:ascii="Palatino Linotype" w:eastAsia="MS Mincho" w:hAnsi="Palatino Linotype" w:cs="Times New Roman"/>
        </w:rPr>
        <w:t xml:space="preserve"> solicitó acceder a los expedientes de obras públicas relacionados con cámaras de video vigilancia, o similares; informaci</w:t>
      </w:r>
      <w:r w:rsidR="003A7034">
        <w:rPr>
          <w:rFonts w:ascii="Palatino Linotype" w:eastAsia="MS Mincho" w:hAnsi="Palatino Linotype" w:cs="Times New Roman"/>
        </w:rPr>
        <w:t>ón en la que, indudablemente, debe de obrar la ubicación de cada una de las cámaras dentro del territorio municipal.</w:t>
      </w:r>
    </w:p>
    <w:p w14:paraId="2F664327" w14:textId="77777777" w:rsidR="005278AD" w:rsidRPr="005278AD" w:rsidRDefault="005278AD" w:rsidP="005278AD">
      <w:pPr>
        <w:pStyle w:val="Prrafodelista"/>
        <w:tabs>
          <w:tab w:val="left" w:pos="426"/>
        </w:tabs>
        <w:spacing w:before="240" w:after="240" w:line="360" w:lineRule="auto"/>
        <w:ind w:left="0" w:right="51"/>
        <w:jc w:val="both"/>
        <w:rPr>
          <w:rFonts w:ascii="Palatino Linotype" w:hAnsi="Palatino Linotype"/>
          <w:color w:val="000000" w:themeColor="text1"/>
        </w:rPr>
      </w:pPr>
    </w:p>
    <w:p w14:paraId="4AC341BB" w14:textId="75019249" w:rsidR="005278AD" w:rsidRPr="005278AD" w:rsidRDefault="003A7034"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imes New Roman"/>
        </w:rPr>
        <w:t>Por ello, conviene señalar que la Ley que Regula el Uso de Tecnologías de la Información y Comunicación para la Seguridad Pública del Estado de México, en su artículo 2, establece las siguientes definiciones:</w:t>
      </w:r>
    </w:p>
    <w:p w14:paraId="012AFBAD" w14:textId="77777777" w:rsidR="005278AD" w:rsidRDefault="005278AD" w:rsidP="005278AD">
      <w:pPr>
        <w:pStyle w:val="Prrafodelista"/>
        <w:tabs>
          <w:tab w:val="left" w:pos="426"/>
        </w:tabs>
        <w:spacing w:before="240" w:after="240" w:line="360" w:lineRule="auto"/>
        <w:ind w:left="0" w:right="51"/>
        <w:jc w:val="both"/>
        <w:rPr>
          <w:rFonts w:ascii="Palatino Linotype" w:hAnsi="Palatino Linotype"/>
          <w:color w:val="000000" w:themeColor="text1"/>
        </w:rPr>
      </w:pPr>
    </w:p>
    <w:p w14:paraId="5855E345" w14:textId="6B1339D7" w:rsidR="003A7034" w:rsidRPr="000B13A8" w:rsidRDefault="000B13A8" w:rsidP="000B13A8">
      <w:pPr>
        <w:pStyle w:val="Prrafodelista"/>
        <w:tabs>
          <w:tab w:val="left" w:pos="426"/>
        </w:tabs>
        <w:spacing w:before="240" w:after="240" w:line="276" w:lineRule="auto"/>
        <w:ind w:left="567" w:right="567"/>
        <w:jc w:val="both"/>
        <w:rPr>
          <w:rFonts w:ascii="Palatino Linotype" w:hAnsi="Palatino Linotype"/>
          <w:i/>
          <w:sz w:val="22"/>
        </w:rPr>
      </w:pPr>
      <w:r w:rsidRPr="000B13A8">
        <w:rPr>
          <w:rFonts w:ascii="Palatino Linotype" w:hAnsi="Palatino Linotype"/>
          <w:i/>
          <w:sz w:val="22"/>
        </w:rPr>
        <w:t>“</w:t>
      </w:r>
      <w:r w:rsidRPr="000B13A8">
        <w:rPr>
          <w:rFonts w:ascii="Palatino Linotype" w:hAnsi="Palatino Linotype"/>
          <w:b/>
          <w:i/>
          <w:sz w:val="22"/>
        </w:rPr>
        <w:t>Artículo 2.</w:t>
      </w:r>
      <w:r w:rsidRPr="000B13A8">
        <w:rPr>
          <w:rFonts w:ascii="Palatino Linotype" w:hAnsi="Palatino Linotype"/>
          <w:i/>
          <w:sz w:val="22"/>
        </w:rPr>
        <w:t xml:space="preserve"> Para los efectos de esta Ley, se entenderá por:</w:t>
      </w:r>
    </w:p>
    <w:p w14:paraId="469C4A59" w14:textId="27479836" w:rsidR="000B13A8" w:rsidRPr="000B13A8" w:rsidRDefault="000B13A8" w:rsidP="000B13A8">
      <w:pPr>
        <w:pStyle w:val="Prrafodelista"/>
        <w:tabs>
          <w:tab w:val="left" w:pos="426"/>
        </w:tabs>
        <w:spacing w:before="240" w:after="240" w:line="276" w:lineRule="auto"/>
        <w:ind w:left="567" w:right="567"/>
        <w:jc w:val="both"/>
        <w:rPr>
          <w:rFonts w:ascii="Palatino Linotype" w:hAnsi="Palatino Linotype"/>
          <w:i/>
          <w:sz w:val="22"/>
        </w:rPr>
      </w:pPr>
      <w:r w:rsidRPr="000B13A8">
        <w:rPr>
          <w:rFonts w:ascii="Palatino Linotype" w:hAnsi="Palatino Linotype"/>
          <w:i/>
          <w:sz w:val="22"/>
        </w:rPr>
        <w:t>(…)</w:t>
      </w:r>
    </w:p>
    <w:p w14:paraId="00A7209E" w14:textId="5527AD48" w:rsidR="000B13A8" w:rsidRPr="000B13A8" w:rsidRDefault="000B13A8" w:rsidP="000B13A8">
      <w:pPr>
        <w:pStyle w:val="Prrafodelista"/>
        <w:tabs>
          <w:tab w:val="left" w:pos="426"/>
        </w:tabs>
        <w:spacing w:before="240" w:after="240" w:line="276" w:lineRule="auto"/>
        <w:ind w:left="567" w:right="567"/>
        <w:jc w:val="both"/>
        <w:rPr>
          <w:rFonts w:ascii="Palatino Linotype" w:hAnsi="Palatino Linotype"/>
          <w:i/>
          <w:sz w:val="22"/>
        </w:rPr>
      </w:pPr>
      <w:r w:rsidRPr="000B13A8">
        <w:rPr>
          <w:rFonts w:ascii="Palatino Linotype" w:hAnsi="Palatino Linotype"/>
          <w:b/>
          <w:i/>
          <w:sz w:val="22"/>
        </w:rPr>
        <w:t>II. Centros de Mando Municipal:</w:t>
      </w:r>
      <w:r w:rsidRPr="000B13A8">
        <w:rPr>
          <w:rFonts w:ascii="Palatino Linotype" w:hAnsi="Palatino Linotype"/>
          <w:i/>
          <w:sz w:val="22"/>
        </w:rPr>
        <w:t xml:space="preserve"> A las áreas que se encargan de operar el sistema de emergencia 066, la consulta de la base de datos, así como de administrar y controlar el sistema de videovigilancia municipal.</w:t>
      </w:r>
    </w:p>
    <w:p w14:paraId="6E2F8C0E" w14:textId="4F06C97A" w:rsidR="000B13A8" w:rsidRPr="000B13A8" w:rsidRDefault="000B13A8" w:rsidP="000B13A8">
      <w:pPr>
        <w:pStyle w:val="Prrafodelista"/>
        <w:tabs>
          <w:tab w:val="left" w:pos="426"/>
        </w:tabs>
        <w:spacing w:before="240" w:after="240" w:line="276" w:lineRule="auto"/>
        <w:ind w:left="567" w:right="567"/>
        <w:jc w:val="both"/>
        <w:rPr>
          <w:rFonts w:ascii="Palatino Linotype" w:hAnsi="Palatino Linotype"/>
          <w:i/>
          <w:sz w:val="22"/>
        </w:rPr>
      </w:pPr>
      <w:r w:rsidRPr="000B13A8">
        <w:rPr>
          <w:rFonts w:ascii="Palatino Linotype" w:hAnsi="Palatino Linotype"/>
          <w:i/>
          <w:sz w:val="22"/>
        </w:rPr>
        <w:t>(…)</w:t>
      </w:r>
    </w:p>
    <w:p w14:paraId="526C2390" w14:textId="0F74B575" w:rsidR="000B13A8" w:rsidRPr="000B13A8" w:rsidRDefault="000B13A8" w:rsidP="000B13A8">
      <w:pPr>
        <w:pStyle w:val="Prrafodelista"/>
        <w:tabs>
          <w:tab w:val="left" w:pos="426"/>
        </w:tabs>
        <w:spacing w:before="240" w:after="240" w:line="276" w:lineRule="auto"/>
        <w:ind w:left="567" w:right="567"/>
        <w:jc w:val="both"/>
        <w:rPr>
          <w:rFonts w:ascii="Palatino Linotype" w:hAnsi="Palatino Linotype"/>
          <w:i/>
          <w:sz w:val="22"/>
        </w:rPr>
      </w:pPr>
      <w:r w:rsidRPr="000B13A8">
        <w:rPr>
          <w:rFonts w:ascii="Palatino Linotype" w:hAnsi="Palatino Linotype"/>
          <w:b/>
          <w:i/>
          <w:sz w:val="22"/>
        </w:rPr>
        <w:t>V. Equipos y Sistemas Tecnológicos:</w:t>
      </w:r>
      <w:r w:rsidRPr="000B13A8">
        <w:rPr>
          <w:rFonts w:ascii="Palatino Linotype" w:hAnsi="Palatino Linotype"/>
          <w:i/>
          <w:sz w:val="22"/>
        </w:rPr>
        <w:t xml:space="preserve"> Conjunto de aparatos y dispositivos dentro de la categoría de tecnologías de la información y comunicación para la seguridad pública, adecuados para el tratamiento de voz e imagen.</w:t>
      </w:r>
    </w:p>
    <w:p w14:paraId="0B62033B" w14:textId="5F97A2B2" w:rsidR="000B13A8" w:rsidRPr="000B13A8" w:rsidRDefault="000B13A8" w:rsidP="000B13A8">
      <w:pPr>
        <w:pStyle w:val="Prrafodelista"/>
        <w:tabs>
          <w:tab w:val="left" w:pos="426"/>
        </w:tabs>
        <w:spacing w:before="240" w:after="240" w:line="276" w:lineRule="auto"/>
        <w:ind w:left="567" w:right="567"/>
        <w:jc w:val="both"/>
        <w:rPr>
          <w:rFonts w:ascii="Palatino Linotype" w:hAnsi="Palatino Linotype"/>
          <w:i/>
          <w:sz w:val="22"/>
        </w:rPr>
      </w:pPr>
      <w:r w:rsidRPr="000B13A8">
        <w:rPr>
          <w:rFonts w:ascii="Palatino Linotype" w:hAnsi="Palatino Linotype"/>
          <w:i/>
          <w:sz w:val="22"/>
        </w:rPr>
        <w:t>(…)</w:t>
      </w:r>
    </w:p>
    <w:p w14:paraId="574969DE" w14:textId="7800C883" w:rsidR="000B13A8" w:rsidRPr="000B13A8" w:rsidRDefault="000B13A8" w:rsidP="000B13A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B13A8">
        <w:rPr>
          <w:rFonts w:ascii="Palatino Linotype" w:hAnsi="Palatino Linotype"/>
          <w:b/>
          <w:i/>
          <w:sz w:val="22"/>
        </w:rPr>
        <w:t>XX. Tecnología:</w:t>
      </w:r>
      <w:r w:rsidRPr="000B13A8">
        <w:rPr>
          <w:rFonts w:ascii="Palatino Linotype" w:hAnsi="Palatino Linotype"/>
          <w:i/>
          <w:sz w:val="22"/>
        </w:rPr>
        <w:t xml:space="preserve"> Conjunto de recursos, procedimientos y técnicas usados para el procesamiento, almacenamiento y transmisión de la información, utilizados para apoyar tareas de seguridad pública.”</w:t>
      </w:r>
    </w:p>
    <w:p w14:paraId="71FCA581" w14:textId="77777777" w:rsidR="003A7034" w:rsidRPr="005278AD" w:rsidRDefault="003A7034" w:rsidP="005278AD">
      <w:pPr>
        <w:pStyle w:val="Prrafodelista"/>
        <w:tabs>
          <w:tab w:val="left" w:pos="426"/>
        </w:tabs>
        <w:spacing w:before="240" w:after="240" w:line="360" w:lineRule="auto"/>
        <w:ind w:left="0" w:right="51"/>
        <w:jc w:val="both"/>
        <w:rPr>
          <w:rFonts w:ascii="Palatino Linotype" w:hAnsi="Palatino Linotype"/>
          <w:color w:val="000000" w:themeColor="text1"/>
        </w:rPr>
      </w:pPr>
    </w:p>
    <w:p w14:paraId="736795DC" w14:textId="33E55F86" w:rsidR="005278AD" w:rsidRPr="000B13A8" w:rsidRDefault="000B13A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imes New Roman"/>
        </w:rPr>
        <w:t xml:space="preserve">Por su parte, el numeral 12 de la Ley que Regula el Uso de Tecnologías de la Información y Comunicación para la Seguridad Pública del Estado de México, refiere que la </w:t>
      </w:r>
      <w:r w:rsidRPr="000B13A8">
        <w:rPr>
          <w:rFonts w:ascii="Palatino Linotype" w:eastAsia="MS Mincho" w:hAnsi="Palatino Linotype" w:cs="Times New Roman"/>
        </w:rPr>
        <w:t xml:space="preserve">instalación de equipos y sistemas tecnológicos, previo análisis técnico basado en los criterios y prioridades establecidos en la presente Ley, se acordará entre la Secretaría, el municipio o la dependencia interesada. </w:t>
      </w:r>
      <w:r w:rsidRPr="00E9024A">
        <w:rPr>
          <w:rFonts w:ascii="Palatino Linotype" w:eastAsia="MS Mincho" w:hAnsi="Palatino Linotype" w:cs="Times New Roman"/>
          <w:b/>
        </w:rPr>
        <w:t>La instalación se realizará en lugares en los cuales sea posible prevenir, inhibir y combatir conductas ilícitas</w:t>
      </w:r>
      <w:r w:rsidRPr="000B13A8">
        <w:rPr>
          <w:rFonts w:ascii="Palatino Linotype" w:eastAsia="MS Mincho" w:hAnsi="Palatino Linotype" w:cs="Times New Roman"/>
        </w:rPr>
        <w:t>, para garantizar el orden y la tranquilidad de los habitantes del Estado de México.</w:t>
      </w:r>
      <w:r>
        <w:rPr>
          <w:rFonts w:ascii="Palatino Linotype" w:eastAsia="MS Mincho" w:hAnsi="Palatino Linotype" w:cs="Times New Roman"/>
        </w:rPr>
        <w:t xml:space="preserve"> </w:t>
      </w:r>
      <w:r w:rsidRPr="00E9024A">
        <w:rPr>
          <w:rFonts w:ascii="Palatino Linotype" w:eastAsia="MS Mincho" w:hAnsi="Palatino Linotype" w:cs="Times New Roman"/>
          <w:b/>
        </w:rPr>
        <w:t>Serán criterios para la instalación</w:t>
      </w:r>
      <w:r>
        <w:rPr>
          <w:rFonts w:ascii="Palatino Linotype" w:eastAsia="MS Mincho" w:hAnsi="Palatino Linotype" w:cs="Times New Roman"/>
        </w:rPr>
        <w:t xml:space="preserve"> y operación de equipos y sistemas tecnológicos, </w:t>
      </w:r>
      <w:r w:rsidRPr="00E9024A">
        <w:rPr>
          <w:rFonts w:ascii="Palatino Linotype" w:eastAsia="MS Mincho" w:hAnsi="Palatino Linotype" w:cs="Times New Roman"/>
          <w:b/>
        </w:rPr>
        <w:t>los siguientes</w:t>
      </w:r>
      <w:r>
        <w:rPr>
          <w:rStyle w:val="Refdenotaalpie"/>
          <w:rFonts w:ascii="Palatino Linotype" w:eastAsia="MS Mincho" w:hAnsi="Palatino Linotype" w:cs="Times New Roman"/>
        </w:rPr>
        <w:footnoteReference w:id="26"/>
      </w:r>
      <w:r>
        <w:rPr>
          <w:rFonts w:ascii="Palatino Linotype" w:eastAsia="MS Mincho" w:hAnsi="Palatino Linotype" w:cs="Times New Roman"/>
        </w:rPr>
        <w:t>:</w:t>
      </w:r>
    </w:p>
    <w:p w14:paraId="0124EC73" w14:textId="77777777" w:rsidR="000B13A8" w:rsidRPr="000B13A8" w:rsidRDefault="000B13A8" w:rsidP="000B13A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E9024A">
        <w:rPr>
          <w:rFonts w:ascii="Palatino Linotype" w:eastAsia="MS Mincho" w:hAnsi="Palatino Linotype" w:cs="Times New Roman"/>
          <w:b/>
        </w:rPr>
        <w:t>Zonas escolares, recreativas y lugares de mayor afluencia de público, turismo o comercio</w:t>
      </w:r>
      <w:r w:rsidRPr="000B13A8">
        <w:rPr>
          <w:rFonts w:ascii="Palatino Linotype" w:eastAsia="MS Mincho" w:hAnsi="Palatino Linotype" w:cs="Times New Roman"/>
        </w:rPr>
        <w:t>.</w:t>
      </w:r>
    </w:p>
    <w:p w14:paraId="4B759AE0" w14:textId="77777777" w:rsidR="000B13A8" w:rsidRPr="000B13A8" w:rsidRDefault="000B13A8" w:rsidP="000B13A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0B13A8">
        <w:rPr>
          <w:rFonts w:ascii="Palatino Linotype" w:eastAsia="MS Mincho" w:hAnsi="Palatino Linotype" w:cs="Times New Roman"/>
        </w:rPr>
        <w:t xml:space="preserve">Las </w:t>
      </w:r>
      <w:r w:rsidRPr="00E9024A">
        <w:rPr>
          <w:rFonts w:ascii="Palatino Linotype" w:eastAsia="MS Mincho" w:hAnsi="Palatino Linotype" w:cs="Times New Roman"/>
          <w:b/>
        </w:rPr>
        <w:t>áreas públicas de zonas, colonias y demás lugares de concentración o afluencia de personas</w:t>
      </w:r>
      <w:r w:rsidRPr="000B13A8">
        <w:rPr>
          <w:rFonts w:ascii="Palatino Linotype" w:eastAsia="MS Mincho" w:hAnsi="Palatino Linotype" w:cs="Times New Roman"/>
        </w:rPr>
        <w:t xml:space="preserve"> o tránsito de las mismas, registradas con mayor incidencia delictiva en la estadística criminal de las instituciones de seguridad pública, de los municipios o de los sistemas de emergencia 066 y de denuncia anónima 089. </w:t>
      </w:r>
    </w:p>
    <w:p w14:paraId="448D4F38" w14:textId="77777777" w:rsidR="000B13A8" w:rsidRPr="000B13A8" w:rsidRDefault="000B13A8" w:rsidP="000B13A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0B13A8">
        <w:rPr>
          <w:rFonts w:ascii="Palatino Linotype" w:eastAsia="MS Mincho" w:hAnsi="Palatino Linotype" w:cs="Times New Roman"/>
        </w:rPr>
        <w:t>Las co</w:t>
      </w:r>
      <w:r w:rsidRPr="00E9024A">
        <w:rPr>
          <w:rFonts w:ascii="Palatino Linotype" w:eastAsia="MS Mincho" w:hAnsi="Palatino Linotype" w:cs="Times New Roman"/>
          <w:b/>
        </w:rPr>
        <w:t>lonias, manzanas, avenidas, calles y demás lugares que registren</w:t>
      </w:r>
      <w:r w:rsidRPr="000B13A8">
        <w:rPr>
          <w:rFonts w:ascii="Palatino Linotype" w:eastAsia="MS Mincho" w:hAnsi="Palatino Linotype" w:cs="Times New Roman"/>
        </w:rPr>
        <w:t xml:space="preserve"> los </w:t>
      </w:r>
      <w:r w:rsidRPr="00E9024A">
        <w:rPr>
          <w:rFonts w:ascii="Palatino Linotype" w:eastAsia="MS Mincho" w:hAnsi="Palatino Linotype" w:cs="Times New Roman"/>
          <w:b/>
        </w:rPr>
        <w:t>delitos</w:t>
      </w:r>
      <w:r w:rsidRPr="000B13A8">
        <w:rPr>
          <w:rFonts w:ascii="Palatino Linotype" w:eastAsia="MS Mincho" w:hAnsi="Palatino Linotype" w:cs="Times New Roman"/>
        </w:rPr>
        <w:t xml:space="preserve"> de mayor impacto para la sociedad. </w:t>
      </w:r>
    </w:p>
    <w:p w14:paraId="16CFD98B" w14:textId="77777777" w:rsidR="000B13A8" w:rsidRPr="000B13A8" w:rsidRDefault="000B13A8" w:rsidP="000B13A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0B13A8">
        <w:rPr>
          <w:rFonts w:ascii="Palatino Linotype" w:eastAsia="MS Mincho" w:hAnsi="Palatino Linotype" w:cs="Times New Roman"/>
        </w:rPr>
        <w:t xml:space="preserve">Las </w:t>
      </w:r>
      <w:r w:rsidRPr="00E9024A">
        <w:rPr>
          <w:rFonts w:ascii="Palatino Linotype" w:eastAsia="MS Mincho" w:hAnsi="Palatino Linotype" w:cs="Times New Roman"/>
          <w:b/>
        </w:rPr>
        <w:t>intersecciones viales</w:t>
      </w:r>
      <w:r w:rsidRPr="000B13A8">
        <w:rPr>
          <w:rFonts w:ascii="Palatino Linotype" w:eastAsia="MS Mincho" w:hAnsi="Palatino Linotype" w:cs="Times New Roman"/>
        </w:rPr>
        <w:t xml:space="preserve"> más conflictivas clasificadas por la Dirección General de Seguridad Pública y Tránsito de la Secretaría o por los municipios. </w:t>
      </w:r>
    </w:p>
    <w:p w14:paraId="384C68BA" w14:textId="77777777" w:rsidR="000B13A8" w:rsidRPr="000B13A8" w:rsidRDefault="000B13A8" w:rsidP="000B13A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0B13A8">
        <w:rPr>
          <w:rFonts w:ascii="Palatino Linotype" w:eastAsia="MS Mincho" w:hAnsi="Palatino Linotype" w:cs="Times New Roman"/>
        </w:rPr>
        <w:t xml:space="preserve">Las </w:t>
      </w:r>
      <w:r w:rsidRPr="00E9024A">
        <w:rPr>
          <w:rFonts w:ascii="Palatino Linotype" w:eastAsia="MS Mincho" w:hAnsi="Palatino Linotype" w:cs="Times New Roman"/>
          <w:b/>
        </w:rPr>
        <w:t>zonas con mayor índice de percepción de inseguridad</w:t>
      </w:r>
      <w:r w:rsidRPr="000B13A8">
        <w:rPr>
          <w:rFonts w:ascii="Palatino Linotype" w:eastAsia="MS Mincho" w:hAnsi="Palatino Linotype" w:cs="Times New Roman"/>
        </w:rPr>
        <w:t xml:space="preserve">. </w:t>
      </w:r>
    </w:p>
    <w:p w14:paraId="1B704577" w14:textId="77777777" w:rsidR="000B13A8" w:rsidRPr="000B13A8" w:rsidRDefault="000B13A8" w:rsidP="000B13A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0B13A8">
        <w:rPr>
          <w:rFonts w:ascii="Palatino Linotype" w:eastAsia="MS Mincho" w:hAnsi="Palatino Linotype" w:cs="Times New Roman"/>
        </w:rPr>
        <w:lastRenderedPageBreak/>
        <w:t xml:space="preserve">Las </w:t>
      </w:r>
      <w:r w:rsidRPr="00E9024A">
        <w:rPr>
          <w:rFonts w:ascii="Palatino Linotype" w:eastAsia="MS Mincho" w:hAnsi="Palatino Linotype" w:cs="Times New Roman"/>
          <w:b/>
        </w:rPr>
        <w:t>zonas con mayor vulnerabilidad a fenómenos de origen natural o humano</w:t>
      </w:r>
      <w:r w:rsidRPr="000B13A8">
        <w:rPr>
          <w:rFonts w:ascii="Palatino Linotype" w:eastAsia="MS Mincho" w:hAnsi="Palatino Linotype" w:cs="Times New Roman"/>
        </w:rPr>
        <w:t xml:space="preserve"> identificados en los atlas de riesgo. </w:t>
      </w:r>
    </w:p>
    <w:p w14:paraId="12BD6CB0" w14:textId="77777777" w:rsidR="000B13A8" w:rsidRPr="000B13A8" w:rsidRDefault="000B13A8" w:rsidP="000B13A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0B13A8">
        <w:rPr>
          <w:rFonts w:ascii="Palatino Linotype" w:eastAsia="MS Mincho" w:hAnsi="Palatino Linotype" w:cs="Times New Roman"/>
        </w:rPr>
        <w:t xml:space="preserve">Cualquier instrumento de análisis diferente a la prevención, que permita la toma de decisiones en materia de seguridad pública, así como aquella información que posibilite su adecuada colocación, para el cumplimiento de sus fines. </w:t>
      </w:r>
    </w:p>
    <w:p w14:paraId="63B62F45" w14:textId="5997EFED" w:rsidR="000B13A8" w:rsidRPr="005278AD" w:rsidRDefault="000B13A8" w:rsidP="000B13A8">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0B13A8">
        <w:rPr>
          <w:rFonts w:ascii="Palatino Linotype" w:eastAsia="MS Mincho" w:hAnsi="Palatino Linotype" w:cs="Times New Roman"/>
        </w:rPr>
        <w:t xml:space="preserve">Las </w:t>
      </w:r>
      <w:r w:rsidRPr="00E9024A">
        <w:rPr>
          <w:rFonts w:ascii="Palatino Linotype" w:eastAsia="MS Mincho" w:hAnsi="Palatino Linotype" w:cs="Times New Roman"/>
          <w:b/>
        </w:rPr>
        <w:t>zonas registradas con mayor incidencia de infracciones administrativas</w:t>
      </w:r>
      <w:r w:rsidRPr="000B13A8">
        <w:rPr>
          <w:rFonts w:ascii="Palatino Linotype" w:eastAsia="MS Mincho" w:hAnsi="Palatino Linotype" w:cs="Times New Roman"/>
        </w:rPr>
        <w:t>.</w:t>
      </w:r>
    </w:p>
    <w:p w14:paraId="6905BA6B" w14:textId="77777777" w:rsidR="005278AD" w:rsidRPr="005278AD" w:rsidRDefault="005278AD" w:rsidP="005278AD">
      <w:pPr>
        <w:pStyle w:val="Prrafodelista"/>
        <w:tabs>
          <w:tab w:val="left" w:pos="426"/>
        </w:tabs>
        <w:spacing w:before="240" w:after="240" w:line="360" w:lineRule="auto"/>
        <w:ind w:left="0" w:right="51"/>
        <w:jc w:val="both"/>
        <w:rPr>
          <w:rFonts w:ascii="Palatino Linotype" w:hAnsi="Palatino Linotype"/>
          <w:color w:val="000000" w:themeColor="text1"/>
        </w:rPr>
      </w:pPr>
    </w:p>
    <w:p w14:paraId="06E57765" w14:textId="6DD80E43" w:rsidR="005278AD" w:rsidRPr="005278AD" w:rsidRDefault="000B13A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lo que respecta a la video vigilancia, ésta tendrá </w:t>
      </w:r>
      <w:r w:rsidRPr="000B13A8">
        <w:rPr>
          <w:rFonts w:ascii="Palatino Linotype" w:hAnsi="Palatino Linotype"/>
          <w:color w:val="000000" w:themeColor="text1"/>
        </w:rPr>
        <w:t>por objeto regular el uso, localización y operación de videocámaras para grabar o captar imágenes con o sin sonido, en lugares públicos o en lugares privados con acceso al público, en materia de seguridad pública</w:t>
      </w:r>
      <w:r>
        <w:rPr>
          <w:rStyle w:val="Refdenotaalpie"/>
          <w:rFonts w:ascii="Palatino Linotype" w:hAnsi="Palatino Linotype"/>
          <w:color w:val="000000" w:themeColor="text1"/>
        </w:rPr>
        <w:footnoteReference w:id="27"/>
      </w:r>
      <w:r w:rsidRPr="000B13A8">
        <w:rPr>
          <w:rFonts w:ascii="Palatino Linotype" w:hAnsi="Palatino Linotype"/>
          <w:color w:val="000000" w:themeColor="text1"/>
        </w:rPr>
        <w:t>.</w:t>
      </w:r>
      <w:r>
        <w:rPr>
          <w:rFonts w:ascii="Palatino Linotype" w:hAnsi="Palatino Linotype"/>
          <w:color w:val="000000" w:themeColor="text1"/>
        </w:rPr>
        <w:t xml:space="preserve"> Toda </w:t>
      </w:r>
      <w:r w:rsidRPr="000B13A8">
        <w:rPr>
          <w:rFonts w:ascii="Palatino Linotype" w:hAnsi="Palatino Linotype"/>
          <w:color w:val="000000" w:themeColor="text1"/>
        </w:rPr>
        <w:t>información recabada por las instituciones de seguridad pública con el uso de equipos y sistemas tecnológicos, deberá ser remitida a petición de cualquier autoridad judicial o administrativa que la requiera para el cumplimiento de sus atribuciones</w:t>
      </w:r>
      <w:r>
        <w:rPr>
          <w:rStyle w:val="Refdenotaalpie"/>
          <w:rFonts w:ascii="Palatino Linotype" w:hAnsi="Palatino Linotype"/>
          <w:color w:val="000000" w:themeColor="text1"/>
        </w:rPr>
        <w:footnoteReference w:id="28"/>
      </w:r>
      <w:r w:rsidRPr="000B13A8">
        <w:rPr>
          <w:rFonts w:ascii="Palatino Linotype" w:hAnsi="Palatino Linotype"/>
          <w:color w:val="000000" w:themeColor="text1"/>
        </w:rPr>
        <w:t>.</w:t>
      </w:r>
    </w:p>
    <w:p w14:paraId="1BCD78E9" w14:textId="77777777" w:rsidR="005278AD" w:rsidRPr="005278AD" w:rsidRDefault="005278AD" w:rsidP="005278AD">
      <w:pPr>
        <w:pStyle w:val="Prrafodelista"/>
        <w:tabs>
          <w:tab w:val="left" w:pos="426"/>
        </w:tabs>
        <w:spacing w:before="240" w:after="240" w:line="360" w:lineRule="auto"/>
        <w:ind w:left="0" w:right="51"/>
        <w:jc w:val="both"/>
        <w:rPr>
          <w:rFonts w:ascii="Palatino Linotype" w:hAnsi="Palatino Linotype"/>
          <w:color w:val="000000" w:themeColor="text1"/>
        </w:rPr>
      </w:pPr>
    </w:p>
    <w:p w14:paraId="1FDB4483" w14:textId="6AF66711" w:rsidR="007846FC" w:rsidRDefault="00E9024A" w:rsidP="00AF750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Así las cosas, podemos arribar a la conclusión de que</w:t>
      </w:r>
      <w:r w:rsidR="00AF7507">
        <w:rPr>
          <w:rFonts w:ascii="Palatino Linotype" w:hAnsi="Palatino Linotype"/>
          <w:color w:val="000000" w:themeColor="text1"/>
        </w:rPr>
        <w:t>, si bien es cierto que</w:t>
      </w:r>
      <w:r>
        <w:rPr>
          <w:rFonts w:ascii="Palatino Linotype" w:hAnsi="Palatino Linotype"/>
          <w:color w:val="000000" w:themeColor="text1"/>
        </w:rPr>
        <w:t xml:space="preserve"> la</w:t>
      </w:r>
      <w:r w:rsidR="00AF7507">
        <w:rPr>
          <w:rFonts w:ascii="Palatino Linotype" w:hAnsi="Palatino Linotype"/>
          <w:color w:val="000000" w:themeColor="text1"/>
        </w:rPr>
        <w:t xml:space="preserve"> considerable mayoría de las</w:t>
      </w:r>
      <w:r>
        <w:rPr>
          <w:rFonts w:ascii="Palatino Linotype" w:hAnsi="Palatino Linotype"/>
          <w:color w:val="000000" w:themeColor="text1"/>
        </w:rPr>
        <w:t xml:space="preserve"> cámaras de video vigilancia </w:t>
      </w:r>
      <w:r w:rsidR="00AF7507">
        <w:rPr>
          <w:rFonts w:ascii="Palatino Linotype" w:hAnsi="Palatino Linotype"/>
          <w:color w:val="000000" w:themeColor="text1"/>
        </w:rPr>
        <w:t xml:space="preserve">se encuentran a plena vista de la ciudadanía, también lo es que el difundir documentos donde se especifique la ubicación específica de cada una de éstas puede presumir un riesgo a la seguridad pública, pues células o grupos delictivos podrían atentar contra la integridad y </w:t>
      </w:r>
      <w:r w:rsidR="00AF7507">
        <w:rPr>
          <w:rFonts w:ascii="Palatino Linotype" w:hAnsi="Palatino Linotype"/>
          <w:color w:val="000000" w:themeColor="text1"/>
        </w:rPr>
        <w:lastRenderedPageBreak/>
        <w:t>funcionamiento de las tecnologías de video vigilancia, lo cual provocaría un daño severo al estado de fuerza del municipio y entorpecería las actividades de investigación y persecución de los delitos que, gracias a las imágenes y videos capturados por las filmadoras, permiten asegurar una mayor eficacia en los trabajos ministeriales.</w:t>
      </w:r>
    </w:p>
    <w:p w14:paraId="4D595AB4" w14:textId="77777777" w:rsidR="00AF7507" w:rsidRPr="007846FC" w:rsidRDefault="00AF7507" w:rsidP="00AF7507">
      <w:pPr>
        <w:pStyle w:val="Prrafodelista"/>
        <w:tabs>
          <w:tab w:val="left" w:pos="426"/>
        </w:tabs>
        <w:spacing w:before="240" w:after="240" w:line="360" w:lineRule="auto"/>
        <w:ind w:left="0" w:right="51"/>
        <w:jc w:val="both"/>
        <w:rPr>
          <w:rFonts w:ascii="Palatino Linotype" w:hAnsi="Palatino Linotype"/>
          <w:color w:val="000000" w:themeColor="text1"/>
        </w:rPr>
      </w:pPr>
    </w:p>
    <w:p w14:paraId="264CFF1C" w14:textId="274FB2BA" w:rsidR="007846FC" w:rsidRDefault="007846FC"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lang w:val="es-ES"/>
        </w:rPr>
        <w:t xml:space="preserve">En conclusión de lo anterior, este Órgano Garante </w:t>
      </w:r>
      <w:r w:rsidR="00AF7507">
        <w:rPr>
          <w:rFonts w:ascii="Palatino Linotype" w:hAnsi="Palatino Linotype"/>
          <w:color w:val="000000" w:themeColor="text1"/>
          <w:lang w:val="es-ES"/>
        </w:rPr>
        <w:t>considera</w:t>
      </w:r>
      <w:r>
        <w:rPr>
          <w:rFonts w:ascii="Palatino Linotype" w:hAnsi="Palatino Linotype"/>
          <w:color w:val="000000" w:themeColor="text1"/>
          <w:lang w:val="es-ES"/>
        </w:rPr>
        <w:t xml:space="preserve"> que </w:t>
      </w:r>
      <w:r w:rsidRPr="00571CB9">
        <w:rPr>
          <w:rFonts w:ascii="Palatino Linotype" w:hAnsi="Palatino Linotype"/>
          <w:b/>
          <w:color w:val="000000" w:themeColor="text1"/>
          <w:lang w:val="es-ES"/>
        </w:rPr>
        <w:t xml:space="preserve">la ubicación de las cámaras de video vigilancia </w:t>
      </w:r>
      <w:r w:rsidR="00AF7507">
        <w:rPr>
          <w:rFonts w:ascii="Palatino Linotype" w:hAnsi="Palatino Linotype"/>
          <w:b/>
          <w:color w:val="000000" w:themeColor="text1"/>
          <w:lang w:val="es-ES"/>
        </w:rPr>
        <w:t>debe</w:t>
      </w:r>
      <w:r w:rsidR="00571CB9">
        <w:rPr>
          <w:rFonts w:ascii="Palatino Linotype" w:hAnsi="Palatino Linotype"/>
          <w:b/>
          <w:color w:val="000000" w:themeColor="text1"/>
          <w:lang w:val="es-ES"/>
        </w:rPr>
        <w:t xml:space="preserve"> de ser clasificada</w:t>
      </w:r>
      <w:r>
        <w:rPr>
          <w:rFonts w:ascii="Palatino Linotype" w:hAnsi="Palatino Linotype"/>
          <w:color w:val="000000" w:themeColor="text1"/>
          <w:lang w:val="es-ES"/>
        </w:rPr>
        <w:t xml:space="preserve">, pues su publicidad </w:t>
      </w:r>
      <w:r w:rsidR="00AF7507">
        <w:rPr>
          <w:rFonts w:ascii="Palatino Linotype" w:hAnsi="Palatino Linotype"/>
          <w:color w:val="000000" w:themeColor="text1"/>
          <w:lang w:val="es-ES"/>
        </w:rPr>
        <w:t>puede</w:t>
      </w:r>
      <w:r>
        <w:rPr>
          <w:rFonts w:ascii="Palatino Linotype" w:hAnsi="Palatino Linotype"/>
          <w:color w:val="000000" w:themeColor="text1"/>
          <w:lang w:val="es-ES"/>
        </w:rPr>
        <w:t xml:space="preserve"> </w:t>
      </w:r>
      <w:r w:rsidR="00AF7507">
        <w:rPr>
          <w:rFonts w:ascii="Palatino Linotype" w:hAnsi="Palatino Linotype"/>
          <w:color w:val="000000" w:themeColor="text1"/>
          <w:lang w:val="es-ES"/>
        </w:rPr>
        <w:t>contravenir</w:t>
      </w:r>
      <w:r>
        <w:rPr>
          <w:rFonts w:ascii="Palatino Linotype" w:hAnsi="Palatino Linotype"/>
          <w:color w:val="000000" w:themeColor="text1"/>
          <w:lang w:val="es-ES"/>
        </w:rPr>
        <w:t xml:space="preserve"> los trabajos de seguridad pública, </w:t>
      </w:r>
      <w:r w:rsidR="00AF7507">
        <w:rPr>
          <w:rFonts w:ascii="Palatino Linotype" w:hAnsi="Palatino Linotype"/>
          <w:color w:val="000000" w:themeColor="text1"/>
          <w:lang w:val="es-ES"/>
        </w:rPr>
        <w:t>vigilancia y persecución a los delitos.</w:t>
      </w:r>
    </w:p>
    <w:p w14:paraId="3BF7A64C"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76B9F57B" w14:textId="0A61783B" w:rsidR="00CA7A78" w:rsidRDefault="005278AD"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4" w:name="_Toc89350468"/>
      <w:r>
        <w:rPr>
          <w:rFonts w:ascii="Palatino Linotype" w:hAnsi="Palatino Linotype"/>
          <w:b/>
          <w:color w:val="000000" w:themeColor="text1"/>
        </w:rPr>
        <w:t>IV</w:t>
      </w:r>
      <w:r w:rsidR="00CA7A78">
        <w:rPr>
          <w:rFonts w:ascii="Palatino Linotype" w:hAnsi="Palatino Linotype"/>
          <w:b/>
          <w:color w:val="000000" w:themeColor="text1"/>
        </w:rPr>
        <w:t>. La intervención del Comité de Transparencia.</w:t>
      </w:r>
      <w:bookmarkEnd w:id="34"/>
    </w:p>
    <w:p w14:paraId="4B083D4C" w14:textId="2F89BEF9" w:rsidR="00CA7A78" w:rsidRPr="00CA7A78" w:rsidRDefault="00CA7A78" w:rsidP="00CA7A78">
      <w:pPr>
        <w:pStyle w:val="Prrafodelista"/>
        <w:tabs>
          <w:tab w:val="left" w:pos="426"/>
        </w:tabs>
        <w:spacing w:before="240" w:after="240" w:line="360" w:lineRule="auto"/>
        <w:ind w:left="0" w:right="51"/>
        <w:jc w:val="both"/>
        <w:rPr>
          <w:rFonts w:ascii="Palatino Linotype" w:hAnsi="Palatino Linotype"/>
          <w:b/>
          <w:color w:val="000000" w:themeColor="text1"/>
        </w:rPr>
      </w:pPr>
      <w:r>
        <w:rPr>
          <w:rFonts w:ascii="Palatino Linotype" w:hAnsi="Palatino Linotype"/>
          <w:b/>
          <w:color w:val="000000" w:themeColor="text1"/>
        </w:rPr>
        <w:t>a) Formalidades para emitir el Acuerdo de clasificación.</w:t>
      </w:r>
    </w:p>
    <w:p w14:paraId="570B75E1"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9095867"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6913A11"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0C6D5F1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Evidentemente, </w:t>
      </w:r>
      <w:r w:rsidRPr="0062325E">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AE4CE30"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D0F1764" w14:textId="16C6FE6D"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6B3930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B1B6028" w14:textId="4422CCF2" w:rsidR="00CA7A78" w:rsidRPr="00CA7A78" w:rsidRDefault="00CA7A78" w:rsidP="00CA7A78">
      <w:pPr>
        <w:pStyle w:val="Prrafodelista"/>
        <w:tabs>
          <w:tab w:val="left" w:pos="426"/>
        </w:tabs>
        <w:spacing w:before="240" w:after="240" w:line="360" w:lineRule="auto"/>
        <w:ind w:left="0" w:right="51"/>
        <w:jc w:val="both"/>
        <w:rPr>
          <w:rFonts w:ascii="Palatino Linotype" w:hAnsi="Palatino Linotype"/>
          <w:b/>
          <w:color w:val="000000" w:themeColor="text1"/>
        </w:rPr>
      </w:pPr>
      <w:r>
        <w:rPr>
          <w:rFonts w:ascii="Palatino Linotype" w:hAnsi="Palatino Linotype"/>
          <w:b/>
          <w:color w:val="000000" w:themeColor="text1"/>
        </w:rPr>
        <w:t>b) Requisitos de fondo del Acuerdo de Clasificación.</w:t>
      </w:r>
    </w:p>
    <w:p w14:paraId="1444C01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125EFA8"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hAnsi="Palatino Linotype" w:cs="Arial"/>
          <w:color w:val="000000" w:themeColor="text1"/>
        </w:rPr>
        <w:t xml:space="preserve">se ha señalado antes, al hacer el juicio de subsunción o encaje entre el supuesto de hecho y la hipótesis jurídica, se debe acreditar la estricta </w:t>
      </w:r>
      <w:r w:rsidRPr="0062325E">
        <w:rPr>
          <w:rFonts w:ascii="Palatino Linotype" w:hAnsi="Palatino Linotype" w:cs="Arial"/>
          <w:color w:val="000000" w:themeColor="text1"/>
        </w:rPr>
        <w:lastRenderedPageBreak/>
        <w:t>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767A7BD"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E9B0833"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Pr="0062325E">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C96872E"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5CCFD2D"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Han </w:t>
      </w:r>
      <w:r w:rsidRPr="0062325E">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62325E">
        <w:rPr>
          <w:rFonts w:ascii="Palatino Linotype" w:eastAsia="MS Mincho" w:hAnsi="Palatino Linotype" w:cs="Times New Roman"/>
          <w:i/>
          <w:iCs/>
        </w:rPr>
        <w:t xml:space="preserv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w:t>
      </w:r>
      <w:r w:rsidRPr="0062325E">
        <w:rPr>
          <w:rFonts w:ascii="Palatino Linotype" w:eastAsia="MS Mincho" w:hAnsi="Palatino Linotype" w:cs="Times New Roman"/>
          <w:i/>
          <w:iCs/>
        </w:rPr>
        <w:lastRenderedPageBreak/>
        <w:t>ciertos, normalmente a partir del análisis de las pruebas, lo cual se debe exteriorizar en una argumentación o juicio de hecho (....)”</w:t>
      </w:r>
      <w:r>
        <w:rPr>
          <w:rFonts w:ascii="Palatino Linotype" w:eastAsia="MS Mincho" w:hAnsi="Palatino Linotype" w:cs="Times New Roman"/>
        </w:rPr>
        <w:t>.</w:t>
      </w:r>
    </w:p>
    <w:p w14:paraId="14197ECB"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E366771" w14:textId="3121E440"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62325E">
        <w:rPr>
          <w:rFonts w:ascii="Palatino Linotype" w:eastAsia="MS Mincho" w:hAnsi="Palatino Linotype" w:cs="Times New Roman"/>
        </w:rPr>
        <w:t>su parte, el intérprete judicial del país ha establecido una jurisprudencia</w:t>
      </w:r>
      <w:r>
        <w:rPr>
          <w:rStyle w:val="Refdenotaalpie"/>
          <w:rFonts w:ascii="Palatino Linotype" w:eastAsia="MS Mincho" w:hAnsi="Palatino Linotype" w:cs="Times New Roman"/>
        </w:rPr>
        <w:footnoteReference w:id="29"/>
      </w:r>
      <w:r w:rsidRPr="0062325E">
        <w:rPr>
          <w:rFonts w:ascii="Palatino Linotype" w:eastAsia="MS Mincho" w:hAnsi="Palatino Linotype" w:cs="Times New Roman"/>
        </w:rPr>
        <w:t xml:space="preserve"> respecto a qué debe entenderse por fundamentación y motivación, en los siguientes términos:</w:t>
      </w:r>
    </w:p>
    <w:p w14:paraId="521BDF63" w14:textId="77777777" w:rsidR="00CA7A78" w:rsidRDefault="00CA7A78" w:rsidP="00CA7A78">
      <w:pPr>
        <w:pStyle w:val="Prrafodelista"/>
        <w:tabs>
          <w:tab w:val="left" w:pos="426"/>
        </w:tabs>
        <w:spacing w:before="240" w:line="360" w:lineRule="auto"/>
        <w:ind w:left="0" w:right="51"/>
        <w:jc w:val="both"/>
        <w:rPr>
          <w:rFonts w:ascii="Palatino Linotype" w:hAnsi="Palatino Linotype"/>
          <w:color w:val="000000" w:themeColor="text1"/>
        </w:rPr>
      </w:pPr>
    </w:p>
    <w:p w14:paraId="333662B2" w14:textId="77777777" w:rsidR="00CA7A78" w:rsidRPr="003E6079" w:rsidRDefault="00CA7A78" w:rsidP="00CA7A78">
      <w:pPr>
        <w:spacing w:line="276" w:lineRule="auto"/>
        <w:ind w:left="567" w:right="567"/>
        <w:contextualSpacing/>
        <w:jc w:val="both"/>
        <w:rPr>
          <w:rFonts w:ascii="Palatino Linotype" w:hAnsi="Palatino Linotype" w:cs="Arial"/>
          <w:i/>
          <w:color w:val="000000"/>
          <w:sz w:val="22"/>
          <w:szCs w:val="22"/>
        </w:rPr>
      </w:pPr>
      <w:r w:rsidRPr="003E6079">
        <w:rPr>
          <w:rFonts w:ascii="Palatino Linotype" w:hAnsi="Palatino Linotype" w:cs="Arial"/>
          <w:b/>
          <w:i/>
          <w:color w:val="000000"/>
          <w:sz w:val="22"/>
          <w:szCs w:val="22"/>
        </w:rPr>
        <w:t>FUNDAMENTACIÓN Y MOTIVACIÓN.</w:t>
      </w:r>
      <w:r w:rsidRPr="003E6079">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6062B14"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42ABFE6"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sidRPr="000D2150">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7108AF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0AFBFE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16103A3"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1D56972"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En </w:t>
      </w:r>
      <w:r w:rsidRPr="000D2150">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433AFD1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CA3614E" w14:textId="490C9B3F"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 </w:t>
      </w:r>
      <w:r w:rsidRPr="00F4286A">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B0C35AD" w14:textId="77777777" w:rsidR="00CA7A78" w:rsidRPr="009D13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0EA71506" w:rsidR="00953B03" w:rsidRPr="00953B03" w:rsidRDefault="00E066DF"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5" w:name="_Toc89350469"/>
      <w:r>
        <w:rPr>
          <w:rFonts w:ascii="Palatino Linotype" w:hAnsi="Palatino Linotype"/>
          <w:b/>
          <w:bCs/>
          <w:color w:val="000000" w:themeColor="text1"/>
        </w:rPr>
        <w:t>SEXTO</w:t>
      </w:r>
      <w:r w:rsidR="00953B03" w:rsidRPr="00953B03">
        <w:rPr>
          <w:rFonts w:ascii="Palatino Linotype" w:hAnsi="Palatino Linotype"/>
          <w:b/>
          <w:bCs/>
          <w:color w:val="000000" w:themeColor="text1"/>
        </w:rPr>
        <w:t>. Decisión</w:t>
      </w:r>
      <w:bookmarkEnd w:id="35"/>
    </w:p>
    <w:p w14:paraId="2B8DED45" w14:textId="77777777" w:rsidR="00953B03"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29E264F9" w:rsidR="00953B03" w:rsidRPr="00EF75DE" w:rsidRDefault="00A4053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Una vez analiza</w:t>
      </w:r>
      <w:r w:rsidR="00571CB9">
        <w:rPr>
          <w:rFonts w:ascii="Palatino Linotype" w:hAnsi="Palatino Linotype"/>
          <w:color w:val="000000" w:themeColor="text1"/>
        </w:rPr>
        <w:t xml:space="preserve">das las constancias que forman el expediente digital, se estableció que el enlace electrónico proporcionado por el </w:t>
      </w:r>
      <w:r w:rsidR="00571CB9">
        <w:rPr>
          <w:rFonts w:ascii="Palatino Linotype" w:hAnsi="Palatino Linotype"/>
          <w:b/>
          <w:color w:val="000000" w:themeColor="text1"/>
        </w:rPr>
        <w:t>SUJETO OBLIGADO</w:t>
      </w:r>
      <w:r w:rsidR="00571CB9">
        <w:rPr>
          <w:rFonts w:ascii="Palatino Linotype" w:hAnsi="Palatino Linotype"/>
          <w:color w:val="000000" w:themeColor="text1"/>
        </w:rPr>
        <w:t xml:space="preserve"> para consultar la información no era preciso en absoluto, pues su contenido no mostraba ninguna información relacionada con lo solicitado;</w:t>
      </w:r>
      <w:r w:rsidR="00E91BFE">
        <w:rPr>
          <w:rFonts w:ascii="Palatino Linotype" w:hAnsi="Palatino Linotype"/>
          <w:color w:val="000000" w:themeColor="text1"/>
        </w:rPr>
        <w:t xml:space="preserve"> por lo tanto</w:t>
      </w:r>
      <w:r w:rsidR="00571CB9">
        <w:rPr>
          <w:rFonts w:ascii="Palatino Linotype" w:hAnsi="Palatino Linotype"/>
          <w:color w:val="000000" w:themeColor="text1"/>
        </w:rPr>
        <w:t>,</w:t>
      </w:r>
      <w:r w:rsidR="00892AB9">
        <w:rPr>
          <w:rFonts w:ascii="Palatino Linotype" w:hAnsi="Palatino Linotype"/>
          <w:color w:val="000000" w:themeColor="text1"/>
        </w:rPr>
        <w:t xml:space="preserve"> se determinó ordenar al </w:t>
      </w:r>
      <w:r w:rsidR="00892AB9">
        <w:rPr>
          <w:rFonts w:ascii="Palatino Linotype" w:hAnsi="Palatino Linotype"/>
          <w:b/>
          <w:color w:val="000000" w:themeColor="text1"/>
        </w:rPr>
        <w:t>SUJETO OBLIGADO</w:t>
      </w:r>
      <w:r w:rsidR="00892AB9">
        <w:rPr>
          <w:rFonts w:ascii="Palatino Linotype" w:hAnsi="Palatino Linotype"/>
          <w:color w:val="000000" w:themeColor="text1"/>
        </w:rPr>
        <w:t xml:space="preserve"> entregar, previa búsqueda exhaustiva y razonable</w:t>
      </w:r>
      <w:r w:rsidR="00E91BFE">
        <w:rPr>
          <w:rFonts w:ascii="Palatino Linotype" w:hAnsi="Palatino Linotype"/>
          <w:color w:val="000000" w:themeColor="text1"/>
        </w:rPr>
        <w:t xml:space="preserve"> en sus archivos</w:t>
      </w:r>
      <w:r w:rsidR="00571CB9">
        <w:rPr>
          <w:rFonts w:ascii="Palatino Linotype" w:hAnsi="Palatino Linotype"/>
          <w:color w:val="000000" w:themeColor="text1"/>
        </w:rPr>
        <w:t>, todos los expedientes de obras públicas relacionados con cámaras de video vigilancia, de ser procedente en versión pública, por el periodo comprendido del uno (01) de enero de dos mil trece al diez (10) de septiembre de dos mil veintiuno.</w:t>
      </w:r>
    </w:p>
    <w:p w14:paraId="07E67D9C" w14:textId="306D7B6D" w:rsidR="00F6300E"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17255C3" w:rsidR="00F01443"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28241C">
        <w:rPr>
          <w:rFonts w:ascii="Palatino Linotype" w:eastAsia="MS Mincho" w:hAnsi="Palatino Linotype" w:cstheme="majorBidi"/>
        </w:rPr>
        <w:t>lo tanto,</w:t>
      </w:r>
      <w:r w:rsidRPr="0028241C">
        <w:rPr>
          <w:rFonts w:ascii="Palatino Linotype" w:eastAsia="MS Mincho" w:hAnsi="Palatino Linotype" w:cstheme="majorBidi"/>
          <w:lang w:val="es-ES"/>
        </w:rPr>
        <w:t xml:space="preserve"> en consecuencia y en mérito de lo expuesto en líneas anteriores, resultan</w:t>
      </w:r>
      <w:r>
        <w:rPr>
          <w:rFonts w:ascii="Palatino Linotype" w:eastAsia="MS Mincho" w:hAnsi="Palatino Linotype" w:cstheme="majorBidi"/>
          <w:lang w:val="es-ES"/>
        </w:rPr>
        <w:t xml:space="preserve"> </w:t>
      </w:r>
      <w:r w:rsidRPr="0028241C">
        <w:rPr>
          <w:rFonts w:ascii="Palatino Linotype" w:eastAsia="MS Mincho" w:hAnsi="Palatino Linotype" w:cstheme="majorBidi"/>
          <w:lang w:val="es-ES"/>
        </w:rPr>
        <w:t xml:space="preserve">fundadas las razones o motivos de inconformidad hechos valer por el </w:t>
      </w:r>
      <w:r w:rsidRPr="0028241C">
        <w:rPr>
          <w:rFonts w:ascii="Palatino Linotype" w:eastAsia="MS Mincho" w:hAnsi="Palatino Linotype" w:cstheme="majorBidi"/>
          <w:b/>
          <w:lang w:val="es-ES"/>
        </w:rPr>
        <w:t>RECURRENTE</w:t>
      </w:r>
      <w:r w:rsidRPr="0028241C">
        <w:rPr>
          <w:rFonts w:ascii="Palatino Linotype" w:eastAsia="MS Mincho" w:hAnsi="Palatino Linotype" w:cstheme="majorBidi"/>
          <w:lang w:val="es-ES"/>
        </w:rPr>
        <w:t xml:space="preserve"> dentro del recurso de revisión </w:t>
      </w:r>
      <w:r w:rsidR="00794F7E">
        <w:rPr>
          <w:rFonts w:ascii="Palatino Linotype" w:eastAsia="MS Mincho" w:hAnsi="Palatino Linotype" w:cstheme="majorBidi"/>
          <w:b/>
          <w:bCs/>
          <w:lang w:val="es-ES"/>
        </w:rPr>
        <w:t>04938/INFOEM/IP/RR/2021</w:t>
      </w:r>
      <w:r w:rsidRPr="0028241C">
        <w:rPr>
          <w:rFonts w:ascii="Palatino Linotype" w:eastAsia="MS Mincho" w:hAnsi="Palatino Linotype" w:cstheme="majorBidi"/>
          <w:lang w:val="es-ES"/>
        </w:rPr>
        <w:t xml:space="preserve">; por </w:t>
      </w:r>
      <w:r w:rsidRPr="0028241C">
        <w:rPr>
          <w:rFonts w:ascii="Palatino Linotype" w:eastAsia="MS Mincho" w:hAnsi="Palatino Linotype" w:cstheme="majorBidi"/>
          <w:lang w:val="es-ES"/>
        </w:rPr>
        <w:lastRenderedPageBreak/>
        <w:t xml:space="preserve">ello, y con fundamento en la fracción III del numeral 186 de la Ley de Transparencia y Acceso a la Información Pública del Estado de México y Municipios, se </w:t>
      </w:r>
      <w:r w:rsidR="00E91BFE">
        <w:rPr>
          <w:rFonts w:ascii="Palatino Linotype" w:eastAsia="MS Mincho" w:hAnsi="Palatino Linotype" w:cstheme="majorBidi"/>
          <w:b/>
          <w:lang w:val="es-ES"/>
        </w:rPr>
        <w:t>REVOCA</w:t>
      </w:r>
      <w:r w:rsidRPr="0028241C">
        <w:rPr>
          <w:rFonts w:ascii="Palatino Linotype" w:eastAsia="MS Mincho" w:hAnsi="Palatino Linotype" w:cstheme="majorBidi"/>
          <w:lang w:val="es-ES"/>
        </w:rPr>
        <w:t xml:space="preserve"> la respuesta a la solicitud de información número </w:t>
      </w:r>
      <w:r w:rsidR="00794F7E">
        <w:rPr>
          <w:rFonts w:ascii="Palatino Linotype" w:eastAsia="MS Mincho" w:hAnsi="Palatino Linotype" w:cstheme="majorBidi"/>
          <w:b/>
          <w:lang w:val="es-ES"/>
        </w:rPr>
        <w:t>00116/CHIAUTLA/IP/2021</w:t>
      </w:r>
      <w:r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p>
    <w:p w14:paraId="19A111DC" w14:textId="77777777" w:rsidR="00266588" w:rsidRDefault="00266588">
      <w:pPr>
        <w:rPr>
          <w:rFonts w:ascii="Palatino Linotype" w:hAnsi="Palatino Linotype"/>
          <w:color w:val="000000" w:themeColor="text1"/>
        </w:rPr>
      </w:pPr>
      <w:r>
        <w:rPr>
          <w:rFonts w:ascii="Palatino Linotype" w:hAnsi="Palatino Linotype"/>
          <w:color w:val="000000" w:themeColor="text1"/>
        </w:rPr>
        <w:br w:type="page"/>
      </w:r>
    </w:p>
    <w:p w14:paraId="18C7D92B" w14:textId="77777777" w:rsidR="009959DB" w:rsidRDefault="009959DB" w:rsidP="007E2870">
      <w:pPr>
        <w:pStyle w:val="Ttulo1"/>
        <w:spacing w:after="240" w:line="360" w:lineRule="auto"/>
        <w:jc w:val="center"/>
        <w:rPr>
          <w:b/>
          <w:color w:val="000000" w:themeColor="text1"/>
          <w:szCs w:val="24"/>
        </w:rPr>
      </w:pPr>
      <w:bookmarkStart w:id="36" w:name="_Toc495427547"/>
      <w:bookmarkStart w:id="37" w:name="_Toc497905366"/>
      <w:bookmarkStart w:id="38" w:name="_Toc89350470"/>
      <w:r w:rsidRPr="008C6062">
        <w:rPr>
          <w:b/>
          <w:color w:val="000000" w:themeColor="text1"/>
          <w:szCs w:val="24"/>
        </w:rPr>
        <w:lastRenderedPageBreak/>
        <w:t>R E S O L U T I V O S</w:t>
      </w:r>
      <w:bookmarkEnd w:id="25"/>
      <w:bookmarkEnd w:id="26"/>
      <w:bookmarkEnd w:id="36"/>
      <w:bookmarkEnd w:id="37"/>
      <w:bookmarkEnd w:id="38"/>
    </w:p>
    <w:p w14:paraId="67A78F7D" w14:textId="5841A0BE" w:rsidR="00CA0640" w:rsidRPr="00D020D3" w:rsidRDefault="00CA0640" w:rsidP="00CA0640">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Pr>
          <w:rFonts w:ascii="Palatino Linotype" w:eastAsia="Times New Roman" w:hAnsi="Palatino Linotype" w:cs="Arial"/>
        </w:rPr>
        <w:t>Resultan</w:t>
      </w:r>
      <w:r w:rsidR="00892AB9">
        <w:rPr>
          <w:rFonts w:ascii="Palatino Linotype" w:eastAsia="Times New Roman" w:hAnsi="Palatino Linotype" w:cs="Arial"/>
        </w:rPr>
        <w:t xml:space="preserve">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Pr="007B222D">
        <w:rPr>
          <w:rFonts w:ascii="Palatino Linotype" w:eastAsia="Calibri" w:hAnsi="Palatino Linotype" w:cs="Arial"/>
          <w:lang w:val="es-ES"/>
        </w:rPr>
        <w:t xml:space="preserve">el </w:t>
      </w:r>
      <w:r w:rsidRPr="001607E7">
        <w:rPr>
          <w:rFonts w:ascii="Palatino Linotype" w:eastAsia="Calibri" w:hAnsi="Palatino Linotype" w:cs="Arial"/>
          <w:lang w:val="es-ES"/>
        </w:rPr>
        <w:t xml:space="preserve">recurso de revisión </w:t>
      </w:r>
      <w:r w:rsidR="00794F7E">
        <w:rPr>
          <w:rFonts w:ascii="Palatino Linotype" w:eastAsia="Times New Roman" w:hAnsi="Palatino Linotype" w:cs="Times New Roman"/>
          <w:b/>
        </w:rPr>
        <w:t>04938/INFOEM/IP/RR/2021</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w:t>
      </w:r>
      <w:r>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Pr>
          <w:rFonts w:ascii="Palatino Linotype" w:eastAsia="Times New Roman" w:hAnsi="Palatino Linotype" w:cs="Times New Roman"/>
        </w:rPr>
        <w:t>os</w:t>
      </w:r>
      <w:r w:rsidRPr="001607E7">
        <w:rPr>
          <w:rFonts w:ascii="Palatino Linotype" w:eastAsia="Times New Roman" w:hAnsi="Palatino Linotype" w:cs="Times New Roman"/>
          <w:b/>
          <w:bCs/>
        </w:rPr>
        <w:t xml:space="preserve"> Considerando</w:t>
      </w:r>
      <w:r>
        <w:rPr>
          <w:rFonts w:ascii="Palatino Linotype" w:eastAsia="Times New Roman" w:hAnsi="Palatino Linotype" w:cs="Times New Roman"/>
          <w:b/>
          <w:bCs/>
        </w:rPr>
        <w:t>s</w:t>
      </w:r>
      <w:r w:rsidRPr="001607E7">
        <w:rPr>
          <w:rFonts w:ascii="Palatino Linotype" w:eastAsia="Times New Roman" w:hAnsi="Palatino Linotype" w:cs="Times New Roman"/>
        </w:rPr>
        <w:t xml:space="preserve"> </w:t>
      </w:r>
      <w:r>
        <w:rPr>
          <w:rFonts w:ascii="Palatino Linotype" w:eastAsia="Times New Roman" w:hAnsi="Palatino Linotype" w:cs="Times New Roman"/>
          <w:b/>
        </w:rPr>
        <w:t xml:space="preserve">CUARTO </w:t>
      </w:r>
      <w:r>
        <w:rPr>
          <w:rFonts w:ascii="Palatino Linotype" w:eastAsia="Times New Roman" w:hAnsi="Palatino Linotype" w:cs="Times New Roman"/>
          <w:bCs/>
        </w:rPr>
        <w:t xml:space="preserve">y </w:t>
      </w:r>
      <w:r>
        <w:rPr>
          <w:rFonts w:ascii="Palatino Linotype" w:eastAsia="Times New Roman" w:hAnsi="Palatino Linotype" w:cs="Times New Roman"/>
          <w:b/>
        </w:rPr>
        <w:t>QUINTO</w:t>
      </w:r>
      <w:r w:rsidRPr="001607E7">
        <w:rPr>
          <w:rFonts w:ascii="Palatino Linotype" w:eastAsia="Times New Roman" w:hAnsi="Palatino Linotype" w:cs="Times New Roman"/>
          <w:b/>
        </w:rPr>
        <w:t xml:space="preserve"> </w:t>
      </w:r>
      <w:r w:rsidRPr="001607E7">
        <w:rPr>
          <w:rFonts w:ascii="Palatino Linotype" w:eastAsia="Times New Roman" w:hAnsi="Palatino Linotype" w:cs="Times New Roman"/>
        </w:rPr>
        <w:t>de la presente resolución.</w:t>
      </w:r>
    </w:p>
    <w:p w14:paraId="223895AA" w14:textId="77777777" w:rsidR="00CA0640" w:rsidRDefault="00CA0640" w:rsidP="00CA0640">
      <w:pPr>
        <w:spacing w:line="360" w:lineRule="auto"/>
        <w:contextualSpacing/>
        <w:jc w:val="both"/>
        <w:rPr>
          <w:rFonts w:ascii="Palatino Linotype" w:eastAsia="Calibri" w:hAnsi="Palatino Linotype" w:cs="Arial"/>
          <w:b/>
          <w:bCs/>
          <w:lang w:val="es-ES"/>
        </w:rPr>
      </w:pPr>
    </w:p>
    <w:p w14:paraId="6FD259C5" w14:textId="777D6C50" w:rsidR="00CA0640" w:rsidRDefault="00CA0640" w:rsidP="00CA0640">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E91BFE">
        <w:rPr>
          <w:rFonts w:ascii="Palatino Linotype" w:eastAsia="Calibri" w:hAnsi="Palatino Linotype" w:cs="Arial"/>
          <w:b/>
          <w:lang w:val="es-ES"/>
        </w:rPr>
        <w:t>REVOCA</w:t>
      </w:r>
      <w:r w:rsidRPr="00D92794">
        <w:rPr>
          <w:rFonts w:ascii="Palatino Linotype" w:eastAsia="Calibri" w:hAnsi="Palatino Linotype" w:cs="Arial"/>
          <w:lang w:val="es-ES"/>
        </w:rPr>
        <w:t xml:space="preserve"> la respuesta </w:t>
      </w:r>
      <w:r>
        <w:rPr>
          <w:rFonts w:ascii="Palatino Linotype" w:eastAsia="Calibri" w:hAnsi="Palatino Linotype" w:cs="Arial"/>
          <w:lang w:val="es-ES"/>
        </w:rPr>
        <w:t>emitida por el</w:t>
      </w:r>
      <w:r w:rsidRPr="00D92794">
        <w:rPr>
          <w:rFonts w:ascii="Palatino Linotype" w:eastAsia="Calibri" w:hAnsi="Palatino Linotype" w:cs="Arial"/>
          <w:lang w:val="es-ES"/>
        </w:rPr>
        <w:t xml:space="preserve"> </w:t>
      </w:r>
      <w:r w:rsidR="00794F7E">
        <w:rPr>
          <w:rFonts w:ascii="Palatino Linotype" w:eastAsia="Calibri" w:hAnsi="Palatino Linotype" w:cs="Arial"/>
          <w:b/>
        </w:rPr>
        <w:t>Ayuntamiento de Chiautla</w:t>
      </w:r>
      <w:r>
        <w:rPr>
          <w:rFonts w:ascii="Palatino Linotype" w:eastAsia="Calibri" w:hAnsi="Palatino Linotype" w:cs="Arial"/>
          <w:bCs/>
        </w:rPr>
        <w:t xml:space="preserve"> a la solicitud </w:t>
      </w:r>
      <w:r w:rsidR="00794F7E">
        <w:rPr>
          <w:rFonts w:ascii="Palatino Linotype" w:eastAsia="Calibri" w:hAnsi="Palatino Linotype" w:cs="Arial"/>
          <w:b/>
        </w:rPr>
        <w:t>00116/CHIAUTLA/IP/2021</w:t>
      </w:r>
      <w:r>
        <w:rPr>
          <w:rFonts w:ascii="Palatino Linotype" w:eastAsia="Calibri" w:hAnsi="Palatino Linotype" w:cs="Arial"/>
          <w:b/>
        </w:rPr>
        <w:t xml:space="preserve"> </w:t>
      </w:r>
      <w:r w:rsidRPr="00D92794">
        <w:rPr>
          <w:rFonts w:ascii="Palatino Linotype" w:eastAsia="Calibri" w:hAnsi="Palatino Linotype" w:cs="Arial"/>
        </w:rPr>
        <w:t xml:space="preserve">y se </w:t>
      </w:r>
      <w:r w:rsidRPr="00D92794">
        <w:rPr>
          <w:rFonts w:ascii="Palatino Linotype" w:eastAsia="Calibri" w:hAnsi="Palatino Linotype" w:cs="Arial"/>
          <w:b/>
        </w:rPr>
        <w:t>ORDENA</w:t>
      </w:r>
      <w:r w:rsidRPr="00D92794">
        <w:rPr>
          <w:rFonts w:ascii="Palatino Linotype" w:eastAsia="Calibri" w:hAnsi="Palatino Linotype" w:cs="Arial"/>
          <w:b/>
          <w:lang w:val="es-ES"/>
        </w:rPr>
        <w:t xml:space="preserve"> </w:t>
      </w:r>
      <w:r w:rsidRPr="00D92794">
        <w:rPr>
          <w:rFonts w:ascii="Palatino Linotype" w:eastAsia="Calibri" w:hAnsi="Palatino Linotype" w:cs="Arial"/>
          <w:lang w:val="es-ES"/>
        </w:rPr>
        <w:t>entregar</w:t>
      </w:r>
      <w:r>
        <w:rPr>
          <w:rFonts w:ascii="Palatino Linotype" w:eastAsia="Calibri" w:hAnsi="Palatino Linotype" w:cs="Arial"/>
          <w:lang w:val="es-ES"/>
        </w:rPr>
        <w:t>,</w:t>
      </w:r>
      <w:r w:rsidRPr="00D92794">
        <w:rPr>
          <w:rFonts w:ascii="Palatino Linotype" w:eastAsia="Calibri" w:hAnsi="Palatino Linotype" w:cs="Arial"/>
          <w:lang w:val="es-ES"/>
        </w:rPr>
        <w:t xml:space="preserve"> </w:t>
      </w:r>
      <w:bookmarkStart w:id="39" w:name="_Toc460947013"/>
      <w:r w:rsidR="00E91BFE">
        <w:rPr>
          <w:rFonts w:ascii="Palatino Linotype" w:eastAsia="Calibri" w:hAnsi="Palatino Linotype" w:cs="Arial"/>
          <w:lang w:val="es-ES"/>
        </w:rPr>
        <w:t>vía</w:t>
      </w:r>
      <w:r w:rsidR="008705E1">
        <w:rPr>
          <w:rFonts w:ascii="Palatino Linotype" w:eastAsia="Calibri" w:hAnsi="Palatino Linotype" w:cs="Arial"/>
          <w:lang w:val="es-ES"/>
        </w:rPr>
        <w:t xml:space="preserve"> Sistema de Acceso a la Información Pública Mexiquense (SAIMEX)</w:t>
      </w:r>
      <w:r>
        <w:rPr>
          <w:rFonts w:ascii="Palatino Linotype" w:eastAsia="Times New Roman" w:hAnsi="Palatino Linotype" w:cs="Arial"/>
          <w:color w:val="000000"/>
        </w:rPr>
        <w:t xml:space="preserve">, </w:t>
      </w:r>
      <w:r w:rsidR="00892AB9">
        <w:rPr>
          <w:rFonts w:ascii="Palatino Linotype" w:eastAsia="Times New Roman" w:hAnsi="Palatino Linotype" w:cs="Arial"/>
          <w:color w:val="000000"/>
        </w:rPr>
        <w:t xml:space="preserve">previa búsqueda exhaustiva y razonable, de ser procedente </w:t>
      </w:r>
      <w:r>
        <w:rPr>
          <w:rFonts w:ascii="Palatino Linotype" w:eastAsia="Times New Roman" w:hAnsi="Palatino Linotype" w:cs="Arial"/>
          <w:color w:val="000000"/>
        </w:rPr>
        <w:t xml:space="preserve">en versión pública, </w:t>
      </w:r>
      <w:r w:rsidR="00E91BFE">
        <w:rPr>
          <w:rFonts w:ascii="Palatino Linotype" w:eastAsia="Times New Roman" w:hAnsi="Palatino Linotype" w:cs="Arial"/>
          <w:color w:val="000000"/>
        </w:rPr>
        <w:t>la</w:t>
      </w:r>
      <w:r w:rsidR="00266588">
        <w:rPr>
          <w:rFonts w:ascii="Palatino Linotype" w:eastAsia="Times New Roman" w:hAnsi="Palatino Linotype" w:cs="Arial"/>
          <w:color w:val="000000"/>
        </w:rPr>
        <w:t xml:space="preserve"> siguiente información</w:t>
      </w:r>
      <w:r>
        <w:rPr>
          <w:rFonts w:ascii="Palatino Linotype" w:eastAsia="Times New Roman" w:hAnsi="Palatino Linotype" w:cs="Arial"/>
          <w:color w:val="000000"/>
        </w:rPr>
        <w:t xml:space="preserve">: </w:t>
      </w:r>
    </w:p>
    <w:p w14:paraId="73CAD18D" w14:textId="77777777" w:rsidR="00CA0640" w:rsidRPr="00226963" w:rsidRDefault="00CA0640" w:rsidP="00CA0640">
      <w:pPr>
        <w:spacing w:line="360" w:lineRule="auto"/>
        <w:ind w:right="616"/>
        <w:jc w:val="both"/>
        <w:rPr>
          <w:rFonts w:ascii="Palatino Linotype" w:hAnsi="Palatino Linotype"/>
          <w:b/>
          <w:bCs/>
        </w:rPr>
      </w:pPr>
      <w:bookmarkStart w:id="40" w:name="_Hlk22229143"/>
    </w:p>
    <w:bookmarkEnd w:id="40"/>
    <w:p w14:paraId="3AAF756B" w14:textId="42E48837" w:rsidR="00892AB9" w:rsidRPr="00E91BFE" w:rsidRDefault="00571CB9" w:rsidP="0074573F">
      <w:pPr>
        <w:pStyle w:val="Prrafodelista"/>
        <w:numPr>
          <w:ilvl w:val="0"/>
          <w:numId w:val="14"/>
        </w:numPr>
        <w:spacing w:after="240" w:line="360" w:lineRule="auto"/>
        <w:ind w:left="851" w:right="567" w:hanging="284"/>
        <w:jc w:val="both"/>
        <w:rPr>
          <w:rFonts w:ascii="Palatino Linotype" w:hAnsi="Palatino Linotype"/>
          <w:b/>
          <w:bCs/>
          <w:color w:val="000000"/>
          <w:u w:val="double"/>
        </w:rPr>
      </w:pPr>
      <w:r>
        <w:rPr>
          <w:rFonts w:ascii="Palatino Linotype" w:hAnsi="Palatino Linotype"/>
          <w:b/>
          <w:bCs/>
          <w:color w:val="000000"/>
        </w:rPr>
        <w:t>Expedientes de obras públicas relacionados con cámaras de video vigilancia, o similar, por el periodo comprendido del uno (01) de enero de dos mil trece al diez (10) de septiembre de dos mil veintiuno.</w:t>
      </w:r>
    </w:p>
    <w:p w14:paraId="19C3E213" w14:textId="77777777" w:rsidR="00CA0640" w:rsidRDefault="00CA0640" w:rsidP="0046340E">
      <w:pPr>
        <w:tabs>
          <w:tab w:val="left" w:pos="993"/>
        </w:tabs>
        <w:spacing w:line="360" w:lineRule="auto"/>
        <w:jc w:val="both"/>
        <w:rPr>
          <w:rFonts w:ascii="Palatino Linotype" w:eastAsia="Calibri" w:hAnsi="Palatino Linotype" w:cs="Arial"/>
        </w:rPr>
      </w:pPr>
      <w:r>
        <w:rPr>
          <w:rFonts w:ascii="Palatino Linotype" w:hAnsi="Palatino Linotype"/>
          <w:color w:val="000000"/>
        </w:rPr>
        <w:t xml:space="preserve">Para </w:t>
      </w:r>
      <w:r w:rsidRPr="00EF01CE">
        <w:rPr>
          <w:rFonts w:ascii="Palatino Linotype" w:eastAsia="Calibri" w:hAnsi="Palatino Linotype" w:cs="Arial"/>
        </w:rPr>
        <w:t>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 a disposición del </w:t>
      </w:r>
      <w:r>
        <w:rPr>
          <w:rFonts w:ascii="Palatino Linotype" w:eastAsia="Calibri" w:hAnsi="Palatino Linotype" w:cs="Arial"/>
          <w:b/>
        </w:rPr>
        <w:t>RECURRENTE</w:t>
      </w:r>
      <w:r w:rsidRPr="00EF01CE">
        <w:rPr>
          <w:rFonts w:ascii="Palatino Linotype" w:eastAsia="Calibri" w:hAnsi="Palatino Linotype" w:cs="Arial"/>
        </w:rPr>
        <w:t>.</w:t>
      </w:r>
    </w:p>
    <w:p w14:paraId="75CA2A2B" w14:textId="77777777" w:rsidR="0046340E" w:rsidRDefault="0046340E" w:rsidP="00CA0640">
      <w:pPr>
        <w:tabs>
          <w:tab w:val="left" w:pos="993"/>
        </w:tabs>
        <w:spacing w:line="360" w:lineRule="auto"/>
        <w:ind w:right="567"/>
        <w:jc w:val="both"/>
        <w:rPr>
          <w:rFonts w:ascii="Palatino Linotype" w:eastAsia="Calibri" w:hAnsi="Palatino Linotype" w:cs="Arial"/>
        </w:rPr>
      </w:pPr>
    </w:p>
    <w:p w14:paraId="5463F9DB" w14:textId="75C8BC41"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TERCERO</w:t>
      </w:r>
      <w:r w:rsidRPr="00C07697">
        <w:rPr>
          <w:rFonts w:ascii="Palatino Linotype" w:eastAsia="MS Mincho" w:hAnsi="Palatino Linotype" w:cs="Times New Roman"/>
          <w:b/>
          <w:color w:val="000000"/>
        </w:rPr>
        <w:t>.</w:t>
      </w:r>
      <w:r w:rsidRPr="007B222D">
        <w:rPr>
          <w:rFonts w:ascii="Palatino Linotype" w:eastAsia="MS Mincho" w:hAnsi="Palatino Linotype" w:cs="Times New Roman"/>
          <w:color w:val="000000"/>
        </w:rPr>
        <w:t xml:space="preserve"> Notifíquese al Titular de la Unidad de Transparencia del</w:t>
      </w:r>
      <w:r w:rsidRPr="007B222D">
        <w:rPr>
          <w:rFonts w:ascii="Palatino Linotype" w:eastAsia="MS Mincho" w:hAnsi="Palatino Linotype" w:cs="Times New Roman"/>
          <w:b/>
          <w:color w:val="000000"/>
        </w:rPr>
        <w:t xml:space="preserve"> </w:t>
      </w:r>
      <w:r w:rsidR="007C7D43" w:rsidRPr="007C7D43">
        <w:rPr>
          <w:rFonts w:ascii="Palatino Linotype" w:eastAsia="MS Mincho" w:hAnsi="Palatino Linotype" w:cs="Times New Roman"/>
          <w:b/>
          <w:color w:val="000000"/>
        </w:rPr>
        <w:t>SUJETO OBLIGADO</w:t>
      </w:r>
      <w:r w:rsidRPr="007B222D">
        <w:rPr>
          <w:rFonts w:ascii="Palatino Linotype" w:eastAsia="MS Mincho" w:hAnsi="Palatino Linotype" w:cs="Times New Roman"/>
          <w:color w:val="000000"/>
        </w:rPr>
        <w:t xml:space="preserve">, </w:t>
      </w:r>
      <w:r w:rsidR="00512DCC">
        <w:rPr>
          <w:rFonts w:ascii="Palatino Linotype" w:eastAsia="MS Mincho" w:hAnsi="Palatino Linotype" w:cs="Times New Roman"/>
          <w:color w:val="000000"/>
        </w:rPr>
        <w:t xml:space="preserve">vía Sistema de Acceso a la Información Mexiquense (SAIMEX), </w:t>
      </w:r>
      <w:r w:rsidRPr="007B222D">
        <w:rPr>
          <w:rFonts w:ascii="Palatino Linotype" w:eastAsia="MS Mincho" w:hAnsi="Palatino Linotype" w:cs="Times New Roman"/>
          <w:color w:val="000000"/>
        </w:rPr>
        <w:t xml:space="preserve">para </w:t>
      </w:r>
      <w:r w:rsidRPr="007B222D">
        <w:rPr>
          <w:rFonts w:ascii="Palatino Linotype" w:eastAsia="MS Mincho" w:hAnsi="Palatino Linotype" w:cs="Times New Roman"/>
          <w:color w:val="000000"/>
        </w:rPr>
        <w:lastRenderedPageBreak/>
        <w:t xml:space="preserve">que conforme a los artículos 186 último párrafo, 189 párrafo segundo y 199 de la Ley de Transparencia y Acceso a la Información Pública del Estado de México y Municipios, vigente, dé cumplimiento a lo ordenado dentro del plazo de </w:t>
      </w:r>
      <w:r>
        <w:rPr>
          <w:rFonts w:ascii="Palatino Linotype" w:eastAsia="MS Mincho" w:hAnsi="Palatino Linotype" w:cs="Times New Roman"/>
          <w:color w:val="000000"/>
        </w:rPr>
        <w:t>diez</w:t>
      </w:r>
      <w:r w:rsidRPr="007B222D">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1A751802" w14:textId="77777777" w:rsidR="00CA0640" w:rsidRDefault="00CA0640" w:rsidP="00CA0640">
      <w:pPr>
        <w:spacing w:line="360" w:lineRule="auto"/>
        <w:jc w:val="both"/>
        <w:rPr>
          <w:rFonts w:ascii="Palatino Linotype" w:eastAsia="MS Mincho" w:hAnsi="Palatino Linotype" w:cs="Times New Roman"/>
          <w:color w:val="000000"/>
        </w:rPr>
      </w:pPr>
    </w:p>
    <w:p w14:paraId="1926C937" w14:textId="77777777"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bCs/>
          <w:color w:val="000000"/>
          <w:sz w:val="28"/>
          <w:szCs w:val="28"/>
        </w:rPr>
        <w:t>CUARTO</w:t>
      </w:r>
      <w:r w:rsidRPr="005142A8">
        <w:rPr>
          <w:rFonts w:ascii="Palatino Linotype" w:eastAsia="MS Mincho" w:hAnsi="Palatino Linotype" w:cs="Times New Roman"/>
          <w:b/>
          <w:bCs/>
          <w:color w:val="000000"/>
        </w:rPr>
        <w:t>.</w:t>
      </w:r>
      <w:r>
        <w:rPr>
          <w:rFonts w:ascii="Palatino Linotype" w:eastAsia="MS Mincho" w:hAnsi="Palatino Linotype" w:cs="Times New Roman"/>
          <w:color w:val="000000"/>
        </w:rPr>
        <w:t xml:space="preserve"> </w:t>
      </w:r>
      <w:r w:rsidRPr="005142A8">
        <w:rPr>
          <w:rFonts w:ascii="Palatino Linotype" w:eastAsia="MS Mincho" w:hAnsi="Palatino Linotype" w:cs="Times New Roman"/>
          <w:color w:val="000000"/>
        </w:rPr>
        <w:t xml:space="preserve">De </w:t>
      </w:r>
      <w:r w:rsidRPr="005142A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5142A8">
        <w:rPr>
          <w:rFonts w:ascii="Palatino Linotype" w:eastAsia="MS Mincho" w:hAnsi="Palatino Linotype" w:cs="Times New Roman"/>
          <w:b/>
          <w:color w:val="000000"/>
        </w:rPr>
        <w:t>SUJETO OBLIGADO,</w:t>
      </w:r>
      <w:r w:rsidRPr="005142A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001F736" w14:textId="77777777" w:rsidR="00CA0640" w:rsidRPr="007B222D" w:rsidRDefault="00CA0640" w:rsidP="00CA0640">
      <w:pPr>
        <w:spacing w:line="360" w:lineRule="auto"/>
        <w:jc w:val="both"/>
        <w:rPr>
          <w:rFonts w:ascii="Palatino Linotype" w:eastAsia="MS Mincho" w:hAnsi="Palatino Linotype" w:cs="Times New Roman"/>
          <w:color w:val="000000"/>
        </w:rPr>
      </w:pPr>
    </w:p>
    <w:p w14:paraId="667576E1" w14:textId="0BD7A851"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QUINTO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Notifíquese </w:t>
      </w:r>
      <w:r>
        <w:rPr>
          <w:rFonts w:ascii="Palatino Linotype" w:eastAsia="MS Mincho" w:hAnsi="Palatino Linotype" w:cs="Times New Roman"/>
          <w:color w:val="000000"/>
        </w:rPr>
        <w:t xml:space="preserve">al </w:t>
      </w:r>
      <w:r>
        <w:rPr>
          <w:rFonts w:ascii="Palatino Linotype" w:eastAsia="MS Mincho" w:hAnsi="Palatino Linotype" w:cs="Times New Roman"/>
          <w:b/>
          <w:bCs/>
          <w:color w:val="000000"/>
        </w:rPr>
        <w:t>RECURRENTE</w:t>
      </w:r>
      <w:r>
        <w:rPr>
          <w:rFonts w:ascii="Palatino Linotype" w:eastAsia="MS Mincho" w:hAnsi="Palatino Linotype" w:cs="Times New Roman"/>
          <w:color w:val="000000"/>
        </w:rPr>
        <w:t xml:space="preserve"> la p</w:t>
      </w:r>
      <w:r w:rsidRPr="007B222D">
        <w:rPr>
          <w:rFonts w:ascii="Palatino Linotype" w:eastAsia="MS Mincho" w:hAnsi="Palatino Linotype" w:cs="Times New Roman"/>
          <w:color w:val="000000"/>
        </w:rPr>
        <w:t>resente resolución</w:t>
      </w:r>
      <w:r w:rsidR="00512DCC">
        <w:rPr>
          <w:rFonts w:ascii="Palatino Linotype" w:eastAsia="MS Mincho" w:hAnsi="Palatino Linotype" w:cs="Times New Roman"/>
          <w:color w:val="000000"/>
        </w:rPr>
        <w:t xml:space="preserve"> vía Sistema de Acceso a la Información Mexiquense (SAIMEX) y correo electrónico.</w:t>
      </w:r>
    </w:p>
    <w:p w14:paraId="435E92A5" w14:textId="77777777" w:rsidR="00CA0640" w:rsidRPr="00970362" w:rsidRDefault="00CA0640" w:rsidP="00CA0640">
      <w:pPr>
        <w:spacing w:line="360" w:lineRule="auto"/>
        <w:jc w:val="both"/>
        <w:rPr>
          <w:rFonts w:ascii="Palatino Linotype" w:hAnsi="Palatino Linotype"/>
          <w:b/>
        </w:rPr>
      </w:pPr>
    </w:p>
    <w:p w14:paraId="1E2CA3C7" w14:textId="457A5FC5" w:rsidR="00CA0640" w:rsidRDefault="00CA0640" w:rsidP="00CA0640">
      <w:pPr>
        <w:spacing w:line="360" w:lineRule="auto"/>
        <w:jc w:val="both"/>
        <w:rPr>
          <w:rFonts w:ascii="Palatino Linotype" w:eastAsia="MS Mincho" w:hAnsi="Palatino Linotype" w:cs="Times New Roman"/>
          <w:color w:val="000000"/>
          <w:lang w:val="es-ES"/>
        </w:rPr>
      </w:pPr>
      <w:r w:rsidRPr="00E5295F">
        <w:rPr>
          <w:rFonts w:ascii="Palatino Linotype" w:eastAsia="MS Mincho" w:hAnsi="Palatino Linotype" w:cs="Times New Roman"/>
          <w:b/>
          <w:sz w:val="28"/>
          <w:szCs w:val="28"/>
        </w:rPr>
        <w:t>SEXTO</w:t>
      </w:r>
      <w:r w:rsidRPr="00E5295F">
        <w:rPr>
          <w:rFonts w:ascii="Palatino Linotype" w:eastAsia="MS Mincho" w:hAnsi="Palatino Linotype" w:cs="Times New Roman"/>
          <w:b/>
          <w:color w:val="000000"/>
        </w:rPr>
        <w:t xml:space="preserve">. </w:t>
      </w:r>
      <w:r w:rsidRPr="00E5295F">
        <w:rPr>
          <w:rFonts w:ascii="Palatino Linotype" w:eastAsia="MS Mincho" w:hAnsi="Palatino Linotype" w:cs="Times New Roman"/>
          <w:color w:val="000000"/>
        </w:rPr>
        <w:t xml:space="preserve">Se </w:t>
      </w:r>
      <w:bookmarkEnd w:id="39"/>
      <w:r w:rsidR="008144D3" w:rsidRPr="00E5295F">
        <w:rPr>
          <w:rFonts w:ascii="Palatino Linotype" w:eastAsia="MS Mincho" w:hAnsi="Palatino Linotype" w:cs="Times New Roman"/>
          <w:color w:val="000000" w:themeColor="text1"/>
        </w:rPr>
        <w:t>hace del conocimiento del</w:t>
      </w:r>
      <w:r w:rsidR="008144D3" w:rsidRPr="00E5295F">
        <w:rPr>
          <w:rFonts w:ascii="Palatino Linotype" w:eastAsia="MS Mincho" w:hAnsi="Palatino Linotype" w:cs="Times New Roman"/>
          <w:b/>
          <w:color w:val="000000" w:themeColor="text1"/>
        </w:rPr>
        <w:t xml:space="preserve"> RECURRENTE </w:t>
      </w:r>
      <w:r w:rsidR="008144D3" w:rsidRPr="00E5295F">
        <w:rPr>
          <w:rFonts w:ascii="Palatino Linotype" w:eastAsia="MS Mincho" w:hAnsi="Palatino Linotype" w:cs="Times New Roman"/>
          <w:color w:val="000000" w:themeColor="text1"/>
        </w:rPr>
        <w:t xml:space="preserve">que, </w:t>
      </w:r>
      <w:r w:rsidR="00A21410" w:rsidRPr="00E5295F">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A21410" w:rsidRPr="00E5295F">
        <w:rPr>
          <w:rFonts w:ascii="Palatino Linotype" w:eastAsia="MS Mincho" w:hAnsi="Palatino Linotype" w:cs="Times New Roman"/>
          <w:bCs/>
          <w:color w:val="000000"/>
          <w:lang w:val="es-ES"/>
        </w:rPr>
        <w:t xml:space="preserve">juicio de amparo </w:t>
      </w:r>
      <w:r w:rsidR="00A21410" w:rsidRPr="00E5295F">
        <w:rPr>
          <w:rFonts w:ascii="Palatino Linotype" w:eastAsia="MS Mincho" w:hAnsi="Palatino Linotype" w:cs="Times New Roman"/>
          <w:color w:val="000000"/>
          <w:lang w:val="es-ES"/>
        </w:rPr>
        <w:t>en los términos de las Leyes aplicables.</w:t>
      </w:r>
    </w:p>
    <w:p w14:paraId="3193C8FC" w14:textId="77777777" w:rsidR="00CA0640" w:rsidRDefault="00CA0640" w:rsidP="00CA0640">
      <w:pPr>
        <w:spacing w:line="360" w:lineRule="auto"/>
        <w:jc w:val="both"/>
        <w:rPr>
          <w:rFonts w:ascii="Palatino Linotype" w:eastAsia="MS Mincho" w:hAnsi="Palatino Linotype" w:cs="Times New Roman"/>
          <w:color w:val="000000"/>
          <w:lang w:val="es-ES"/>
        </w:rPr>
      </w:pPr>
    </w:p>
    <w:p w14:paraId="326A712A" w14:textId="09AABAB6" w:rsidR="00895335" w:rsidRDefault="00025266" w:rsidP="00025266">
      <w:pPr>
        <w:pStyle w:val="Prrafodelista"/>
        <w:spacing w:line="360" w:lineRule="auto"/>
        <w:ind w:left="0"/>
        <w:jc w:val="both"/>
        <w:rPr>
          <w:rFonts w:ascii="Palatino Linotype" w:hAnsi="Palatino Linotype" w:cs="Arial"/>
          <w:color w:val="000000" w:themeColor="text1"/>
        </w:rPr>
      </w:pPr>
      <w:r w:rsidRPr="002D6F4B">
        <w:rPr>
          <w:rFonts w:ascii="Palatino Linotype" w:hAnsi="Palatino Linotype"/>
          <w:color w:val="000000" w:themeColor="text1"/>
        </w:rPr>
        <w:t xml:space="preserve">ASÍ LO </w:t>
      </w:r>
      <w:r w:rsidRPr="00DB51AE">
        <w:rPr>
          <w:rFonts w:ascii="Palatino Linotype" w:hAnsi="Palatino Linotype"/>
          <w:color w:val="000000" w:themeColor="text1"/>
        </w:rPr>
        <w:t xml:space="preserve">RESUELVE, POR UNANIMIDAD DE VOTOS, EL PLENO DEL INSTITUTO DE TRANSPARENCIA, ACCESO A LA INFORMACIÓN PÚBLICA Y PROTECCIÓN DE DATOS PERSONALES DEL ESTADO DE MÉXICO Y MUNICIPIOS, CONFORMADO POR LOS COMISIONADOS </w:t>
      </w:r>
      <w:r w:rsidR="00A24131" w:rsidRPr="00DB51AE">
        <w:rPr>
          <w:rFonts w:ascii="Palatino Linotype" w:hAnsi="Palatino Linotype"/>
          <w:color w:val="000000" w:themeColor="text1"/>
        </w:rPr>
        <w:t xml:space="preserve">JOSÉ MARTÍNEZ VILCHIS, MARÍA DEL ROSARIO MEJÍA AYALA, SHARON </w:t>
      </w:r>
      <w:r w:rsidR="00E5295F">
        <w:rPr>
          <w:rFonts w:ascii="Palatino Linotype" w:hAnsi="Palatino Linotype"/>
          <w:color w:val="000000" w:themeColor="text1"/>
        </w:rPr>
        <w:t xml:space="preserve">CRISTINA </w:t>
      </w:r>
      <w:r w:rsidR="00A24131" w:rsidRPr="00DB51AE">
        <w:rPr>
          <w:rFonts w:ascii="Palatino Linotype" w:hAnsi="Palatino Linotype"/>
          <w:color w:val="000000" w:themeColor="text1"/>
        </w:rPr>
        <w:lastRenderedPageBreak/>
        <w:t>MORALES MARTÍNEZ, LUIS GUSTAVO PARRA NORIEGA Y GUADALUPE RAMÍREZ PEÑA</w:t>
      </w:r>
      <w:r w:rsidRPr="00DB51AE">
        <w:rPr>
          <w:rFonts w:ascii="Palatino Linotype" w:hAnsi="Palatino Linotype"/>
          <w:color w:val="000000" w:themeColor="text1"/>
        </w:rPr>
        <w:t xml:space="preserve">; EN LA </w:t>
      </w:r>
      <w:r w:rsidR="00512DCC">
        <w:rPr>
          <w:rFonts w:ascii="Palatino Linotype" w:hAnsi="Palatino Linotype"/>
          <w:color w:val="000000" w:themeColor="text1"/>
        </w:rPr>
        <w:t xml:space="preserve">CUADRAGÉSIMA </w:t>
      </w:r>
      <w:r w:rsidR="00571CB9">
        <w:rPr>
          <w:rFonts w:ascii="Palatino Linotype" w:hAnsi="Palatino Linotype"/>
          <w:color w:val="000000" w:themeColor="text1"/>
        </w:rPr>
        <w:t>CUARTA</w:t>
      </w:r>
      <w:r w:rsidRPr="00DB51AE">
        <w:rPr>
          <w:rFonts w:ascii="Palatino Linotype" w:hAnsi="Palatino Linotype"/>
          <w:color w:val="000000" w:themeColor="text1"/>
        </w:rPr>
        <w:t xml:space="preserve"> SESIÓN ORDINARIA CELEBRADA EL </w:t>
      </w:r>
      <w:r w:rsidR="00571CB9">
        <w:rPr>
          <w:rFonts w:ascii="Palatino Linotype" w:hAnsi="Palatino Linotype"/>
          <w:color w:val="000000" w:themeColor="text1"/>
        </w:rPr>
        <w:t>OCHO (08) DE DICIEMBRE</w:t>
      </w:r>
      <w:r w:rsidR="00A24131" w:rsidRPr="00DB51AE">
        <w:rPr>
          <w:rFonts w:ascii="Palatino Linotype" w:hAnsi="Palatino Linotype"/>
          <w:color w:val="000000" w:themeColor="text1"/>
        </w:rPr>
        <w:t xml:space="preserve"> </w:t>
      </w:r>
      <w:r w:rsidR="0072445A" w:rsidRPr="00DB51AE">
        <w:rPr>
          <w:rFonts w:ascii="Palatino Linotype" w:hAnsi="Palatino Linotype"/>
          <w:color w:val="000000" w:themeColor="text1"/>
        </w:rPr>
        <w:t>DE DOS MIL VEINTIUNO</w:t>
      </w:r>
      <w:r w:rsidRPr="00DB51AE">
        <w:rPr>
          <w:rFonts w:ascii="Palatino Linotype" w:hAnsi="Palatino Linotype"/>
          <w:color w:val="000000" w:themeColor="text1"/>
        </w:rPr>
        <w:t>, ANTE EL SECRETARIO TÉCNICO DEL PLENO ALEXIS TAPIA RAMÍREZ.</w:t>
      </w:r>
      <w:r w:rsidRPr="002D6F4B">
        <w:rPr>
          <w:rFonts w:ascii="Palatino Linotype" w:hAnsi="Palatino Linotype" w:cs="Arial"/>
          <w:color w:val="000000" w:themeColor="text1"/>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21"/>
      <w:footerReference w:type="default" r:id="rId22"/>
      <w:headerReference w:type="first" r:id="rId23"/>
      <w:footerReference w:type="first" r:id="rId2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35889" w14:textId="77777777" w:rsidR="00336D58" w:rsidRDefault="00336D58" w:rsidP="00587366">
      <w:r>
        <w:separator/>
      </w:r>
    </w:p>
  </w:endnote>
  <w:endnote w:type="continuationSeparator" w:id="0">
    <w:p w14:paraId="485E7D34" w14:textId="77777777" w:rsidR="00336D58" w:rsidRDefault="00336D5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336D58" w:rsidRPr="00883450" w:rsidRDefault="00336D5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444E0">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444E0">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14:paraId="6243EC1B" w14:textId="47B193F0" w:rsidR="00336D58" w:rsidRDefault="00336D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336D58" w:rsidRPr="00883450" w:rsidRDefault="00336D5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444E0" w:rsidRPr="00D444E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444E0" w:rsidRPr="00D444E0">
      <w:rPr>
        <w:rFonts w:ascii="Palatino Linotype" w:hAnsi="Palatino Linotype"/>
        <w:noProof/>
        <w:sz w:val="22"/>
        <w:szCs w:val="22"/>
        <w:lang w:val="es-ES"/>
      </w:rPr>
      <w:t>57</w:t>
    </w:r>
    <w:r w:rsidRPr="00883450">
      <w:rPr>
        <w:rFonts w:ascii="Palatino Linotype" w:hAnsi="Palatino Linotype"/>
        <w:sz w:val="22"/>
        <w:szCs w:val="22"/>
      </w:rPr>
      <w:fldChar w:fldCharType="end"/>
    </w:r>
  </w:p>
  <w:p w14:paraId="5F5C4865" w14:textId="0A9A2B26" w:rsidR="00336D58" w:rsidRPr="00883450" w:rsidRDefault="00336D5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12E927" w14:textId="77777777" w:rsidR="00336D58" w:rsidRDefault="00336D58" w:rsidP="00587366">
      <w:r>
        <w:separator/>
      </w:r>
    </w:p>
  </w:footnote>
  <w:footnote w:type="continuationSeparator" w:id="0">
    <w:p w14:paraId="19E8677F" w14:textId="77777777" w:rsidR="00336D58" w:rsidRDefault="00336D58" w:rsidP="00587366">
      <w:r>
        <w:continuationSeparator/>
      </w:r>
    </w:p>
  </w:footnote>
  <w:footnote w:id="1">
    <w:p w14:paraId="31C71B15" w14:textId="77777777" w:rsidR="00336D58" w:rsidRPr="009C43C2" w:rsidRDefault="00336D58"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3E66C088" w14:textId="77777777" w:rsidR="00336D58" w:rsidRPr="009C43C2" w:rsidRDefault="00336D58"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6F4FB53" w14:textId="77777777" w:rsidR="00336D58" w:rsidRPr="009C43C2" w:rsidRDefault="00336D58"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7F5A516D" w14:textId="77777777" w:rsidR="00336D58" w:rsidRDefault="00336D58" w:rsidP="00DA2D95">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4A30E04C" w14:textId="77777777" w:rsidR="00336D58" w:rsidRDefault="00336D58" w:rsidP="00FC03FD">
      <w:pPr>
        <w:pStyle w:val="Textonotapie"/>
      </w:pPr>
      <w:r>
        <w:rPr>
          <w:rStyle w:val="Refdenotaalpie"/>
        </w:rPr>
        <w:footnoteRef/>
      </w:r>
      <w:r>
        <w:t xml:space="preserve"> Artículo 50, Ley de Transparencia y Acceso a la Información Pública del Estado de México y Municipios.</w:t>
      </w:r>
    </w:p>
  </w:footnote>
  <w:footnote w:id="6">
    <w:p w14:paraId="50199F52" w14:textId="77777777" w:rsidR="00336D58" w:rsidRDefault="00336D58" w:rsidP="00FC03FD">
      <w:pPr>
        <w:pStyle w:val="Textonotapie"/>
      </w:pPr>
      <w:r>
        <w:rPr>
          <w:rStyle w:val="Refdenotaalpie"/>
        </w:rPr>
        <w:footnoteRef/>
      </w:r>
      <w:r>
        <w:t xml:space="preserve"> Artículo 51, Ídem.</w:t>
      </w:r>
    </w:p>
  </w:footnote>
  <w:footnote w:id="7">
    <w:p w14:paraId="0201F338" w14:textId="77777777" w:rsidR="00336D58" w:rsidRDefault="00336D58" w:rsidP="00FC03FD">
      <w:pPr>
        <w:pStyle w:val="Textonotapie"/>
      </w:pPr>
      <w:r>
        <w:rPr>
          <w:rStyle w:val="Refdenotaalpie"/>
        </w:rPr>
        <w:footnoteRef/>
      </w:r>
      <w:r>
        <w:t xml:space="preserve"> Artículo 58, Ley de Transparencia y Acceso a la Información Pública del Estado de México y Municipios.</w:t>
      </w:r>
    </w:p>
  </w:footnote>
  <w:footnote w:id="8">
    <w:p w14:paraId="1FDC6A70" w14:textId="77777777" w:rsidR="00336D58" w:rsidRDefault="00336D58" w:rsidP="00FC03FD">
      <w:pPr>
        <w:pStyle w:val="Textonotapie"/>
      </w:pPr>
      <w:r>
        <w:rPr>
          <w:rStyle w:val="Refdenotaalpie"/>
        </w:rPr>
        <w:footnoteRef/>
      </w:r>
      <w:r>
        <w:t xml:space="preserve"> Artículo 59, Ídem.</w:t>
      </w:r>
    </w:p>
  </w:footnote>
  <w:footnote w:id="9">
    <w:p w14:paraId="7003BAC3" w14:textId="77777777" w:rsidR="00336D58" w:rsidRDefault="00336D58" w:rsidP="00F12DDE">
      <w:pPr>
        <w:pStyle w:val="Textonotapie"/>
      </w:pPr>
      <w:r>
        <w:rPr>
          <w:rStyle w:val="Refdenotaalpie"/>
        </w:rPr>
        <w:footnoteRef/>
      </w:r>
      <w:r>
        <w:t xml:space="preserve"> Artículo 195, Ley de Transparencia y Acceso a la Información Pública del Estado de México y Municipios.</w:t>
      </w:r>
    </w:p>
  </w:footnote>
  <w:footnote w:id="10">
    <w:p w14:paraId="6EF67439" w14:textId="77777777" w:rsidR="00336D58" w:rsidRDefault="00336D58" w:rsidP="00F12DDE">
      <w:pPr>
        <w:pStyle w:val="Textonotapie"/>
      </w:pPr>
      <w:r>
        <w:rPr>
          <w:rStyle w:val="Refdenotaalpie"/>
        </w:rPr>
        <w:footnoteRef/>
      </w:r>
      <w:r>
        <w:t xml:space="preserve"> Artículo 58, Código de Procedimientos Administrativos del Estado de México y Municipios.</w:t>
      </w:r>
    </w:p>
  </w:footnote>
  <w:footnote w:id="11">
    <w:p w14:paraId="3EAF3C92" w14:textId="5B781F29" w:rsidR="00336D58" w:rsidRDefault="00336D58">
      <w:pPr>
        <w:pStyle w:val="Textonotapie"/>
      </w:pPr>
      <w:r>
        <w:rPr>
          <w:rStyle w:val="Refdenotaalpie"/>
        </w:rPr>
        <w:footnoteRef/>
      </w:r>
      <w:r>
        <w:t xml:space="preserve"> Artículo 86, Ley Orgánica Municipal del Estado de México.</w:t>
      </w:r>
    </w:p>
  </w:footnote>
  <w:footnote w:id="12">
    <w:p w14:paraId="453434DD" w14:textId="1F9969AF" w:rsidR="00336D58" w:rsidRDefault="00336D58">
      <w:pPr>
        <w:pStyle w:val="Textonotapie"/>
      </w:pPr>
      <w:r>
        <w:rPr>
          <w:rStyle w:val="Refdenotaalpie"/>
        </w:rPr>
        <w:footnoteRef/>
      </w:r>
      <w:r>
        <w:t xml:space="preserve"> Artículo 87, Ídem.</w:t>
      </w:r>
    </w:p>
  </w:footnote>
  <w:footnote w:id="13">
    <w:p w14:paraId="161874ED" w14:textId="150EFBE0" w:rsidR="00336D58" w:rsidRDefault="00336D58">
      <w:pPr>
        <w:pStyle w:val="Textonotapie"/>
      </w:pPr>
      <w:r>
        <w:rPr>
          <w:rStyle w:val="Refdenotaalpie"/>
        </w:rPr>
        <w:footnoteRef/>
      </w:r>
      <w:r>
        <w:t xml:space="preserve"> Artículo 96 Bis. Ídem.</w:t>
      </w:r>
    </w:p>
  </w:footnote>
  <w:footnote w:id="14">
    <w:p w14:paraId="73154A58" w14:textId="058FAA78" w:rsidR="00336D58" w:rsidRDefault="00336D58">
      <w:pPr>
        <w:pStyle w:val="Textonotapie"/>
      </w:pPr>
      <w:r>
        <w:rPr>
          <w:rStyle w:val="Refdenotaalpie"/>
        </w:rPr>
        <w:footnoteRef/>
      </w:r>
      <w:r>
        <w:t xml:space="preserve"> Artículo 12.1, Código Administrativo del Estado de México.</w:t>
      </w:r>
    </w:p>
  </w:footnote>
  <w:footnote w:id="15">
    <w:p w14:paraId="7944092D" w14:textId="218FAA59" w:rsidR="00336D58" w:rsidRDefault="00336D58">
      <w:pPr>
        <w:pStyle w:val="Textonotapie"/>
      </w:pPr>
      <w:r>
        <w:rPr>
          <w:rStyle w:val="Refdenotaalpie"/>
        </w:rPr>
        <w:footnoteRef/>
      </w:r>
      <w:r>
        <w:t xml:space="preserve"> Artículo 12.5, Ídem</w:t>
      </w:r>
    </w:p>
  </w:footnote>
  <w:footnote w:id="16">
    <w:p w14:paraId="20C1693E" w14:textId="65B0BD8A" w:rsidR="00336D58" w:rsidRDefault="00336D58">
      <w:pPr>
        <w:pStyle w:val="Textonotapie"/>
      </w:pPr>
      <w:r>
        <w:rPr>
          <w:rStyle w:val="Refdenotaalpie"/>
        </w:rPr>
        <w:footnoteRef/>
      </w:r>
      <w:r>
        <w:t xml:space="preserve"> Artículo 12.15, Código Administrativo del Estado de México.</w:t>
      </w:r>
    </w:p>
  </w:footnote>
  <w:footnote w:id="17">
    <w:p w14:paraId="75F5AA54" w14:textId="1D041C94" w:rsidR="00336D58" w:rsidRDefault="00336D58">
      <w:pPr>
        <w:pStyle w:val="Textonotapie"/>
      </w:pPr>
      <w:r>
        <w:rPr>
          <w:rStyle w:val="Refdenotaalpie"/>
        </w:rPr>
        <w:footnoteRef/>
      </w:r>
      <w:r>
        <w:t xml:space="preserve"> Artículo 4, Reglamento del Libro Décimo Segundo del Código Administrativo del Estado de México.</w:t>
      </w:r>
    </w:p>
  </w:footnote>
  <w:footnote w:id="18">
    <w:p w14:paraId="11DAF825" w14:textId="42CF497D" w:rsidR="00336D58" w:rsidRDefault="00336D58">
      <w:pPr>
        <w:pStyle w:val="Textonotapie"/>
      </w:pPr>
      <w:r>
        <w:rPr>
          <w:rStyle w:val="Refdenotaalpie"/>
        </w:rPr>
        <w:footnoteRef/>
      </w:r>
      <w:r>
        <w:t xml:space="preserve"> Artículo 12.19, Código Administrativo del Estado de México.</w:t>
      </w:r>
    </w:p>
  </w:footnote>
  <w:footnote w:id="19">
    <w:p w14:paraId="14C978F5" w14:textId="05721A01" w:rsidR="00336D58" w:rsidRDefault="00336D58">
      <w:pPr>
        <w:pStyle w:val="Textonotapie"/>
      </w:pPr>
      <w:r>
        <w:rPr>
          <w:rStyle w:val="Refdenotaalpie"/>
        </w:rPr>
        <w:footnoteRef/>
      </w:r>
      <w:r>
        <w:t xml:space="preserve"> Artículo 12.20, Ídem.</w:t>
      </w:r>
    </w:p>
  </w:footnote>
  <w:footnote w:id="20">
    <w:p w14:paraId="4C5A9941" w14:textId="13AC5F06" w:rsidR="00336D58" w:rsidRDefault="00336D58">
      <w:pPr>
        <w:pStyle w:val="Textonotapie"/>
      </w:pPr>
      <w:r>
        <w:rPr>
          <w:rStyle w:val="Refdenotaalpie"/>
        </w:rPr>
        <w:footnoteRef/>
      </w:r>
      <w:r>
        <w:t xml:space="preserve"> Consultable en: </w:t>
      </w:r>
      <w:r w:rsidRPr="00336D58">
        <w:t>https://www.ipomex.org.mx/recursos/ipo/files_ipo/2015/8/1/49fefea37472c76568804c0cb65d3e7e.pdf</w:t>
      </w:r>
    </w:p>
  </w:footnote>
  <w:footnote w:id="21">
    <w:p w14:paraId="730C1A72" w14:textId="20F0508D" w:rsidR="00AA264F" w:rsidRDefault="00AA264F">
      <w:pPr>
        <w:pStyle w:val="Textonotapie"/>
      </w:pPr>
      <w:r>
        <w:rPr>
          <w:rStyle w:val="Refdenotaalpie"/>
        </w:rPr>
        <w:footnoteRef/>
      </w:r>
      <w:r>
        <w:t xml:space="preserve"> Consultable en: </w:t>
      </w:r>
      <w:r w:rsidRPr="00AA264F">
        <w:t>https://www.ipomex.org.mx/recursos/ipo/files_ipo/2017/118/9/a3fc1b721915f6b6c7f6ffe91a250950.pdf</w:t>
      </w:r>
    </w:p>
  </w:footnote>
  <w:footnote w:id="22">
    <w:p w14:paraId="67753E07" w14:textId="7B50B59E" w:rsidR="00336D58" w:rsidRDefault="00336D58">
      <w:pPr>
        <w:pStyle w:val="Textonotapie"/>
      </w:pPr>
      <w:r>
        <w:rPr>
          <w:rStyle w:val="Refdenotaalpie"/>
        </w:rPr>
        <w:footnoteRef/>
      </w:r>
      <w:r>
        <w:t xml:space="preserve"> Consultable en </w:t>
      </w:r>
      <w:r w:rsidRPr="002B6B6C">
        <w:t>https://www.chiautlaedomex.gob.mx/wp-content/uploads/2019/09/PLAN-DE-DESARROLLO-MUNICIPAL-2019-2021-CHIAUTLA.pdf</w:t>
      </w:r>
    </w:p>
  </w:footnote>
  <w:footnote w:id="23">
    <w:p w14:paraId="27A0653D" w14:textId="43B14FD4" w:rsidR="00336D58" w:rsidRDefault="00336D58">
      <w:pPr>
        <w:pStyle w:val="Textonotapie"/>
      </w:pPr>
      <w:r>
        <w:rPr>
          <w:rStyle w:val="Refdenotaalpie"/>
        </w:rPr>
        <w:footnoteRef/>
      </w:r>
      <w:r>
        <w:t xml:space="preserve"> Consultable en </w:t>
      </w:r>
      <w:r w:rsidRPr="001868EF">
        <w:t>https://www.ipomex.org.mx/recursos/ipo/files_ipo3/2019/43044/8/bbdbf002ff482df7a9d58e781e71cc27.pdf</w:t>
      </w:r>
    </w:p>
  </w:footnote>
  <w:footnote w:id="24">
    <w:p w14:paraId="53899632" w14:textId="2D630BE8" w:rsidR="00336D58" w:rsidRDefault="00336D58">
      <w:pPr>
        <w:pStyle w:val="Textonotapie"/>
      </w:pPr>
      <w:r>
        <w:rPr>
          <w:rStyle w:val="Refdenotaalpie"/>
        </w:rPr>
        <w:footnoteRef/>
      </w:r>
      <w:r>
        <w:t xml:space="preserve"> Consultable en </w:t>
      </w:r>
      <w:r w:rsidRPr="00AD471B">
        <w:t>http://chiautla.edomex.gob.mx/sites/chiautla.edomex.gob.mx/files/files/ArchivosIPOMEX/Obras-Publicas/Fraccion-XXIX-A/FINCAMARAS.pdf</w:t>
      </w:r>
    </w:p>
  </w:footnote>
  <w:footnote w:id="25">
    <w:p w14:paraId="53E5256B" w14:textId="73B395FF" w:rsidR="00336D58" w:rsidRDefault="00336D58">
      <w:pPr>
        <w:pStyle w:val="Textonotapie"/>
      </w:pPr>
      <w:r>
        <w:rPr>
          <w:rStyle w:val="Refdenotaalpie"/>
        </w:rPr>
        <w:footnoteRef/>
      </w:r>
      <w:r>
        <w:t xml:space="preserve"> Artículo 1, Ley General del Sistema Nacional de Seguridad Pública.</w:t>
      </w:r>
    </w:p>
  </w:footnote>
  <w:footnote w:id="26">
    <w:p w14:paraId="018E7844" w14:textId="38259044" w:rsidR="00336D58" w:rsidRDefault="00336D58">
      <w:pPr>
        <w:pStyle w:val="Textonotapie"/>
      </w:pPr>
      <w:r>
        <w:rPr>
          <w:rStyle w:val="Refdenotaalpie"/>
        </w:rPr>
        <w:footnoteRef/>
      </w:r>
      <w:r>
        <w:t xml:space="preserve"> Artículo 15, Ley </w:t>
      </w:r>
      <w:r w:rsidRPr="000B13A8">
        <w:t>que Regula el Uso de Tecnologías de la Información y Comunicación para la Seguridad Pública del Estado de México</w:t>
      </w:r>
    </w:p>
  </w:footnote>
  <w:footnote w:id="27">
    <w:p w14:paraId="68C60983" w14:textId="13563EA9" w:rsidR="00336D58" w:rsidRDefault="00336D58">
      <w:pPr>
        <w:pStyle w:val="Textonotapie"/>
      </w:pPr>
      <w:r>
        <w:rPr>
          <w:rStyle w:val="Refdenotaalpie"/>
        </w:rPr>
        <w:footnoteRef/>
      </w:r>
      <w:r>
        <w:t xml:space="preserve"> Artículo 20, Ley </w:t>
      </w:r>
      <w:r w:rsidRPr="000B13A8">
        <w:t>que Regula el Uso de Tecnologías de la Información y Comunicación para la Seguridad Pública del Estado de México</w:t>
      </w:r>
    </w:p>
  </w:footnote>
  <w:footnote w:id="28">
    <w:p w14:paraId="14A81E26" w14:textId="2C02773D" w:rsidR="00336D58" w:rsidRDefault="00336D58">
      <w:pPr>
        <w:pStyle w:val="Textonotapie"/>
      </w:pPr>
      <w:r>
        <w:rPr>
          <w:rStyle w:val="Refdenotaalpie"/>
        </w:rPr>
        <w:footnoteRef/>
      </w:r>
      <w:r>
        <w:t xml:space="preserve"> Artículo 35, Ley </w:t>
      </w:r>
      <w:r w:rsidRPr="000B13A8">
        <w:t>que Regula el Uso de Tecnologías de la Información y Comunicación para la Seguridad Pública del Estado de México</w:t>
      </w:r>
    </w:p>
  </w:footnote>
  <w:footnote w:id="29">
    <w:p w14:paraId="7C3E2F0F" w14:textId="77777777" w:rsidR="00336D58" w:rsidRDefault="00336D58" w:rsidP="00CA7A78">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7A40003" w:rsidR="00336D58" w:rsidRDefault="00336D58" w:rsidP="00790318">
    <w:pPr>
      <w:pStyle w:val="Encabezado"/>
      <w:tabs>
        <w:tab w:val="clear" w:pos="4252"/>
        <w:tab w:val="clear" w:pos="8504"/>
        <w:tab w:val="left" w:pos="8460"/>
      </w:tabs>
    </w:pPr>
    <w:r>
      <w:rPr>
        <w:noProof/>
        <w:lang w:eastAsia="es-MX"/>
      </w:rPr>
      <w:drawing>
        <wp:anchor distT="0" distB="0" distL="114300" distR="114300" simplePos="0" relativeHeight="251657216" behindDoc="1" locked="0" layoutInCell="0" allowOverlap="1" wp14:anchorId="1A29E15A" wp14:editId="40CE154B">
          <wp:simplePos x="0" y="0"/>
          <wp:positionH relativeFrom="margin">
            <wp:align>center</wp:align>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336D58" w:rsidRPr="00025127" w14:paraId="07F2896E" w14:textId="77777777" w:rsidTr="00FA0F09">
      <w:trPr>
        <w:trHeight w:val="138"/>
        <w:jc w:val="right"/>
      </w:trPr>
      <w:tc>
        <w:tcPr>
          <w:tcW w:w="3260" w:type="dxa"/>
          <w:vAlign w:val="center"/>
        </w:tcPr>
        <w:p w14:paraId="4A5B1974" w14:textId="3B2AB4E0" w:rsidR="00336D58" w:rsidRPr="00025127" w:rsidRDefault="00336D58"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65234809" w:rsidR="00336D58" w:rsidRPr="00025127" w:rsidRDefault="00336D58" w:rsidP="005F1362">
          <w:pPr>
            <w:pStyle w:val="Encabezado"/>
            <w:jc w:val="both"/>
            <w:rPr>
              <w:rFonts w:ascii="Palatino Linotype" w:hAnsi="Palatino Linotype"/>
              <w:b/>
              <w:sz w:val="22"/>
              <w:szCs w:val="22"/>
            </w:rPr>
          </w:pPr>
          <w:r>
            <w:rPr>
              <w:rFonts w:ascii="Palatino Linotype" w:hAnsi="Palatino Linotype"/>
              <w:b/>
              <w:sz w:val="22"/>
              <w:szCs w:val="22"/>
            </w:rPr>
            <w:t>04938</w:t>
          </w:r>
          <w:r w:rsidRPr="00025127">
            <w:rPr>
              <w:rFonts w:ascii="Palatino Linotype" w:hAnsi="Palatino Linotype"/>
              <w:b/>
              <w:sz w:val="22"/>
              <w:szCs w:val="22"/>
            </w:rPr>
            <w:t>/INFOEM/IP/RR/</w:t>
          </w:r>
          <w:r>
            <w:rPr>
              <w:rFonts w:ascii="Palatino Linotype" w:hAnsi="Palatino Linotype"/>
              <w:b/>
              <w:sz w:val="22"/>
              <w:szCs w:val="22"/>
            </w:rPr>
            <w:t>2021</w:t>
          </w:r>
        </w:p>
      </w:tc>
    </w:tr>
    <w:tr w:rsidR="00336D58" w:rsidRPr="00025127" w14:paraId="1B5D8690" w14:textId="77777777" w:rsidTr="00FA0F09">
      <w:trPr>
        <w:trHeight w:val="233"/>
        <w:jc w:val="right"/>
      </w:trPr>
      <w:tc>
        <w:tcPr>
          <w:tcW w:w="3260" w:type="dxa"/>
          <w:vAlign w:val="center"/>
        </w:tcPr>
        <w:p w14:paraId="3903F2C6" w14:textId="22D569F8" w:rsidR="00336D58" w:rsidRPr="00025127" w:rsidRDefault="00336D58" w:rsidP="00F96460">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21336BB6" w:rsidR="00336D58" w:rsidRPr="00025127" w:rsidRDefault="00336D58" w:rsidP="00794F7E">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Chiautla</w:t>
          </w:r>
        </w:p>
      </w:tc>
    </w:tr>
    <w:tr w:rsidR="00336D58" w:rsidRPr="00025127" w14:paraId="095EB01B" w14:textId="77777777" w:rsidTr="00FA0F09">
      <w:trPr>
        <w:trHeight w:val="321"/>
        <w:jc w:val="right"/>
      </w:trPr>
      <w:tc>
        <w:tcPr>
          <w:tcW w:w="3260" w:type="dxa"/>
          <w:vAlign w:val="center"/>
        </w:tcPr>
        <w:p w14:paraId="6E000A51" w14:textId="05E1861A" w:rsidR="00336D58" w:rsidRPr="00025127" w:rsidRDefault="00336D58"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336D58" w:rsidRPr="00025127" w:rsidRDefault="00336D58"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336D58" w:rsidRDefault="00336D58"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403"/>
    </w:tblGrid>
    <w:tr w:rsidR="00336D58" w:rsidRPr="00025127" w14:paraId="0A3256F2" w14:textId="77777777" w:rsidTr="00790318">
      <w:trPr>
        <w:trHeight w:val="138"/>
        <w:jc w:val="right"/>
      </w:trPr>
      <w:tc>
        <w:tcPr>
          <w:tcW w:w="3969" w:type="dxa"/>
          <w:vAlign w:val="center"/>
        </w:tcPr>
        <w:p w14:paraId="3D80769D" w14:textId="63F8A454" w:rsidR="00336D58" w:rsidRPr="00025127" w:rsidRDefault="00336D58"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3" w:type="dxa"/>
          <w:vAlign w:val="center"/>
        </w:tcPr>
        <w:p w14:paraId="0453495E" w14:textId="1D8D6711" w:rsidR="00336D58" w:rsidRPr="00025127" w:rsidRDefault="00336D58" w:rsidP="005F1362">
          <w:pPr>
            <w:pStyle w:val="Encabezado"/>
            <w:rPr>
              <w:rFonts w:ascii="Palatino Linotype" w:hAnsi="Palatino Linotype"/>
              <w:b/>
              <w:sz w:val="22"/>
              <w:szCs w:val="22"/>
            </w:rPr>
          </w:pPr>
          <w:r>
            <w:rPr>
              <w:rFonts w:ascii="Palatino Linotype" w:hAnsi="Palatino Linotype"/>
              <w:b/>
              <w:sz w:val="22"/>
              <w:szCs w:val="22"/>
            </w:rPr>
            <w:t>04938</w:t>
          </w:r>
          <w:r w:rsidRPr="00025127">
            <w:rPr>
              <w:rFonts w:ascii="Palatino Linotype" w:hAnsi="Palatino Linotype"/>
              <w:b/>
              <w:sz w:val="22"/>
              <w:szCs w:val="22"/>
            </w:rPr>
            <w:t>/INFOEM/IP/RR/</w:t>
          </w:r>
          <w:r>
            <w:rPr>
              <w:rFonts w:ascii="Palatino Linotype" w:hAnsi="Palatino Linotype"/>
              <w:b/>
              <w:sz w:val="22"/>
              <w:szCs w:val="22"/>
            </w:rPr>
            <w:t>2021</w:t>
          </w:r>
        </w:p>
      </w:tc>
    </w:tr>
    <w:tr w:rsidR="00336D58" w:rsidRPr="00025127" w14:paraId="128C8B3C" w14:textId="77777777" w:rsidTr="00790318">
      <w:trPr>
        <w:trHeight w:val="233"/>
        <w:jc w:val="right"/>
      </w:trPr>
      <w:tc>
        <w:tcPr>
          <w:tcW w:w="3969" w:type="dxa"/>
          <w:vAlign w:val="center"/>
        </w:tcPr>
        <w:p w14:paraId="483E3371" w14:textId="66B1BC74" w:rsidR="00336D58" w:rsidRPr="00025127" w:rsidRDefault="00336D58"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3" w:type="dxa"/>
        </w:tcPr>
        <w:p w14:paraId="1548525E" w14:textId="0C8CBA3C" w:rsidR="00336D58" w:rsidRPr="00025127" w:rsidRDefault="00336D58" w:rsidP="0058757A">
          <w:pPr>
            <w:pStyle w:val="Encabezado"/>
            <w:rPr>
              <w:rFonts w:ascii="Palatino Linotype" w:hAnsi="Palatino Linotype"/>
              <w:b/>
              <w:sz w:val="22"/>
              <w:szCs w:val="22"/>
            </w:rPr>
          </w:pPr>
          <w:r>
            <w:rPr>
              <w:rFonts w:ascii="Palatino Linotype" w:hAnsi="Palatino Linotype"/>
              <w:b/>
              <w:sz w:val="22"/>
              <w:szCs w:val="22"/>
            </w:rPr>
            <w:t>RECURRENTE</w:t>
          </w:r>
        </w:p>
      </w:tc>
    </w:tr>
    <w:tr w:rsidR="00336D58" w:rsidRPr="00025127" w14:paraId="41BE0704" w14:textId="77777777" w:rsidTr="00790318">
      <w:trPr>
        <w:trHeight w:val="321"/>
        <w:jc w:val="right"/>
      </w:trPr>
      <w:tc>
        <w:tcPr>
          <w:tcW w:w="3969" w:type="dxa"/>
          <w:vAlign w:val="center"/>
        </w:tcPr>
        <w:p w14:paraId="34C64148" w14:textId="10C6C8A9" w:rsidR="00336D58" w:rsidRPr="00025127" w:rsidRDefault="00336D58"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3" w:type="dxa"/>
          <w:vAlign w:val="center"/>
        </w:tcPr>
        <w:p w14:paraId="34C341BF" w14:textId="0C0569F5" w:rsidR="00336D58" w:rsidRPr="00025127" w:rsidRDefault="00336D58" w:rsidP="00794F7E">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Chiautla</w:t>
          </w:r>
        </w:p>
      </w:tc>
    </w:tr>
    <w:tr w:rsidR="00336D58" w:rsidRPr="00025127" w14:paraId="0C8B6193" w14:textId="77777777" w:rsidTr="00790318">
      <w:trPr>
        <w:trHeight w:val="321"/>
        <w:jc w:val="right"/>
      </w:trPr>
      <w:tc>
        <w:tcPr>
          <w:tcW w:w="3969" w:type="dxa"/>
          <w:vAlign w:val="center"/>
        </w:tcPr>
        <w:p w14:paraId="321FFAFF" w14:textId="0E8C2CE7" w:rsidR="00336D58" w:rsidRPr="00025127" w:rsidRDefault="00336D58"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3" w:type="dxa"/>
          <w:vAlign w:val="center"/>
        </w:tcPr>
        <w:p w14:paraId="0FECDA9D" w14:textId="6D336FD0" w:rsidR="00336D58" w:rsidRPr="00025127" w:rsidRDefault="00336D58"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54C51E6E" w:rsidR="00336D58" w:rsidRDefault="00D444E0"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85.1pt;margin-top:-111.8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EA17FB"/>
    <w:multiLevelType w:val="hybridMultilevel"/>
    <w:tmpl w:val="5EA695B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5668E"/>
    <w:multiLevelType w:val="hybridMultilevel"/>
    <w:tmpl w:val="589AA2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D06002"/>
    <w:multiLevelType w:val="hybridMultilevel"/>
    <w:tmpl w:val="E4B6A8C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FF7B08"/>
    <w:multiLevelType w:val="hybridMultilevel"/>
    <w:tmpl w:val="4F002F7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A3A4C"/>
    <w:multiLevelType w:val="hybridMultilevel"/>
    <w:tmpl w:val="B1360FBE"/>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6FDE01E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43A66"/>
    <w:multiLevelType w:val="hybridMultilevel"/>
    <w:tmpl w:val="3B22023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ED6365"/>
    <w:multiLevelType w:val="hybridMultilevel"/>
    <w:tmpl w:val="A7F017F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6A7AC8"/>
    <w:multiLevelType w:val="hybridMultilevel"/>
    <w:tmpl w:val="6E180100"/>
    <w:lvl w:ilvl="0" w:tplc="D6B6B6E0">
      <w:start w:val="1"/>
      <w:numFmt w:val="upperRoman"/>
      <w:lvlText w:val="%1."/>
      <w:lvlJc w:val="right"/>
      <w:pPr>
        <w:ind w:left="720" w:hanging="360"/>
      </w:pPr>
      <w:rPr>
        <w:b/>
      </w:rPr>
    </w:lvl>
    <w:lvl w:ilvl="1" w:tplc="BC86E1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7F347F"/>
    <w:multiLevelType w:val="hybridMultilevel"/>
    <w:tmpl w:val="51DA7EA0"/>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634B80"/>
    <w:multiLevelType w:val="hybridMultilevel"/>
    <w:tmpl w:val="5864581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5A2CAB"/>
    <w:multiLevelType w:val="hybridMultilevel"/>
    <w:tmpl w:val="B60C5B4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8C2EE3"/>
    <w:multiLevelType w:val="hybridMultilevel"/>
    <w:tmpl w:val="059235A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B27B3A"/>
    <w:multiLevelType w:val="hybridMultilevel"/>
    <w:tmpl w:val="BCE4F1FE"/>
    <w:lvl w:ilvl="0" w:tplc="24D680C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A2C8506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AB3D07"/>
    <w:multiLevelType w:val="hybridMultilevel"/>
    <w:tmpl w:val="F3F6A4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AD5C03"/>
    <w:multiLevelType w:val="hybridMultilevel"/>
    <w:tmpl w:val="5B6007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394646"/>
    <w:multiLevelType w:val="hybridMultilevel"/>
    <w:tmpl w:val="639EFD5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867102F"/>
    <w:multiLevelType w:val="hybridMultilevel"/>
    <w:tmpl w:val="AEE280B2"/>
    <w:lvl w:ilvl="0" w:tplc="937EE478">
      <w:start w:val="1"/>
      <w:numFmt w:val="lowerLetter"/>
      <w:lvlText w:val="%1)"/>
      <w:lvlJc w:val="left"/>
      <w:pPr>
        <w:ind w:left="720" w:hanging="360"/>
      </w:pPr>
      <w:rPr>
        <w:rFonts w:hint="default"/>
        <w:b/>
        <w:bCs/>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BD7076"/>
    <w:multiLevelType w:val="hybridMultilevel"/>
    <w:tmpl w:val="4E7E8F2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2F3B8F"/>
    <w:multiLevelType w:val="hybridMultilevel"/>
    <w:tmpl w:val="1B3C30F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EE6C95"/>
    <w:multiLevelType w:val="hybridMultilevel"/>
    <w:tmpl w:val="AB80EC4E"/>
    <w:lvl w:ilvl="0" w:tplc="F6469C9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D501DE"/>
    <w:multiLevelType w:val="hybridMultilevel"/>
    <w:tmpl w:val="F9468BFE"/>
    <w:lvl w:ilvl="0" w:tplc="080A000B">
      <w:start w:val="1"/>
      <w:numFmt w:val="bullet"/>
      <w:lvlText w:val=""/>
      <w:lvlJc w:val="left"/>
      <w:pPr>
        <w:ind w:left="720" w:hanging="360"/>
      </w:pPr>
      <w:rPr>
        <w:rFonts w:ascii="Wingdings" w:hAnsi="Wingdings" w:cs="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15:restartNumberingAfterBreak="0">
    <w:nsid w:val="512C4A98"/>
    <w:multiLevelType w:val="hybridMultilevel"/>
    <w:tmpl w:val="4AF8845C"/>
    <w:lvl w:ilvl="0" w:tplc="3AF07C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FD38DE"/>
    <w:multiLevelType w:val="hybridMultilevel"/>
    <w:tmpl w:val="B5E2256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13794C"/>
    <w:multiLevelType w:val="hybridMultilevel"/>
    <w:tmpl w:val="77B02D7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054996"/>
    <w:multiLevelType w:val="hybridMultilevel"/>
    <w:tmpl w:val="A558A1C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D81525"/>
    <w:multiLevelType w:val="hybridMultilevel"/>
    <w:tmpl w:val="9C26DD1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9021F9"/>
    <w:multiLevelType w:val="hybridMultilevel"/>
    <w:tmpl w:val="0ECAB8A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9C4BD6"/>
    <w:multiLevelType w:val="hybridMultilevel"/>
    <w:tmpl w:val="542C6D9C"/>
    <w:lvl w:ilvl="0" w:tplc="080A0013">
      <w:start w:val="1"/>
      <w:numFmt w:val="upperRoman"/>
      <w:lvlText w:val="%1."/>
      <w:lvlJc w:val="right"/>
      <w:pPr>
        <w:ind w:left="720" w:hanging="360"/>
      </w:pPr>
    </w:lvl>
    <w:lvl w:ilvl="1" w:tplc="D87471B0">
      <w:start w:val="1"/>
      <w:numFmt w:val="lowerLetter"/>
      <w:lvlText w:val="%2)"/>
      <w:lvlJc w:val="left"/>
      <w:pPr>
        <w:ind w:left="1440" w:hanging="360"/>
      </w:pPr>
      <w:rPr>
        <w:rFonts w:hint="default"/>
        <w:b/>
        <w:bCs/>
      </w:rPr>
    </w:lvl>
    <w:lvl w:ilvl="2" w:tplc="64EADD26">
      <w:start w:val="1"/>
      <w:numFmt w:val="bullet"/>
      <w:lvlText w:val=""/>
      <w:lvlJc w:val="left"/>
      <w:pPr>
        <w:ind w:left="2160" w:hanging="180"/>
      </w:pPr>
      <w:rPr>
        <w:rFonts w:ascii="Wingdings" w:hAnsi="Wingdings" w:cs="Wingding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536D17"/>
    <w:multiLevelType w:val="hybridMultilevel"/>
    <w:tmpl w:val="4878BBAC"/>
    <w:lvl w:ilvl="0" w:tplc="26C0EC56">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70285B"/>
    <w:multiLevelType w:val="hybridMultilevel"/>
    <w:tmpl w:val="E0FA9A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271B2C"/>
    <w:multiLevelType w:val="hybridMultilevel"/>
    <w:tmpl w:val="8B58531C"/>
    <w:lvl w:ilvl="0" w:tplc="701C6778">
      <w:start w:val="1"/>
      <w:numFmt w:val="upperRoman"/>
      <w:lvlText w:val="%1."/>
      <w:lvlJc w:val="right"/>
      <w:pPr>
        <w:ind w:left="720" w:hanging="360"/>
      </w:pPr>
      <w:rPr>
        <w:b/>
        <w:bCs/>
      </w:rPr>
    </w:lvl>
    <w:lvl w:ilvl="1" w:tplc="DAC2E5A4">
      <w:start w:val="1"/>
      <w:numFmt w:val="bullet"/>
      <w:lvlText w:val=""/>
      <w:lvlJc w:val="left"/>
      <w:pPr>
        <w:ind w:left="1440" w:hanging="360"/>
      </w:pPr>
      <w:rPr>
        <w:rFonts w:ascii="Wingdings" w:hAnsi="Wingdings" w:cs="Wingdings" w:hint="default"/>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B37318"/>
    <w:multiLevelType w:val="hybridMultilevel"/>
    <w:tmpl w:val="6818BC5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B73309"/>
    <w:multiLevelType w:val="hybridMultilevel"/>
    <w:tmpl w:val="4D1CA15C"/>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D0501F"/>
    <w:multiLevelType w:val="hybridMultilevel"/>
    <w:tmpl w:val="00C4DB3E"/>
    <w:lvl w:ilvl="0" w:tplc="701C6778">
      <w:start w:val="1"/>
      <w:numFmt w:val="upperRoman"/>
      <w:lvlText w:val="%1."/>
      <w:lvlJc w:val="right"/>
      <w:pPr>
        <w:ind w:left="720" w:hanging="360"/>
      </w:pPr>
      <w:rPr>
        <w:b/>
        <w:bCs/>
      </w:rPr>
    </w:lvl>
    <w:lvl w:ilvl="1" w:tplc="080A0017">
      <w:start w:val="1"/>
      <w:numFmt w:val="lowerLetter"/>
      <w:lvlText w:val="%2)"/>
      <w:lvlJc w:val="left"/>
      <w:pPr>
        <w:ind w:left="1440" w:hanging="360"/>
      </w:pPr>
      <w:rPr>
        <w:rFonts w:hint="default"/>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200772"/>
    <w:multiLevelType w:val="hybridMultilevel"/>
    <w:tmpl w:val="AD3436F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3005B5"/>
    <w:multiLevelType w:val="hybridMultilevel"/>
    <w:tmpl w:val="611263D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8B26F1"/>
    <w:multiLevelType w:val="hybridMultilevel"/>
    <w:tmpl w:val="89CC0090"/>
    <w:lvl w:ilvl="0" w:tplc="080A000B">
      <w:start w:val="1"/>
      <w:numFmt w:val="bullet"/>
      <w:lvlText w:val=""/>
      <w:lvlJc w:val="left"/>
      <w:pPr>
        <w:ind w:left="720" w:hanging="360"/>
      </w:pPr>
      <w:rPr>
        <w:rFonts w:ascii="Wingdings" w:hAnsi="Wingdings" w:cs="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144C59"/>
    <w:multiLevelType w:val="hybridMultilevel"/>
    <w:tmpl w:val="9364FEF4"/>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B6355E0"/>
    <w:multiLevelType w:val="hybridMultilevel"/>
    <w:tmpl w:val="619054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4"/>
  </w:num>
  <w:num w:numId="3">
    <w:abstractNumId w:val="41"/>
  </w:num>
  <w:num w:numId="4">
    <w:abstractNumId w:val="21"/>
  </w:num>
  <w:num w:numId="5">
    <w:abstractNumId w:val="34"/>
  </w:num>
  <w:num w:numId="6">
    <w:abstractNumId w:val="31"/>
  </w:num>
  <w:num w:numId="7">
    <w:abstractNumId w:val="38"/>
  </w:num>
  <w:num w:numId="8">
    <w:abstractNumId w:val="8"/>
  </w:num>
  <w:num w:numId="9">
    <w:abstractNumId w:val="11"/>
  </w:num>
  <w:num w:numId="10">
    <w:abstractNumId w:val="15"/>
  </w:num>
  <w:num w:numId="11">
    <w:abstractNumId w:val="39"/>
  </w:num>
  <w:num w:numId="12">
    <w:abstractNumId w:val="33"/>
  </w:num>
  <w:num w:numId="13">
    <w:abstractNumId w:val="29"/>
  </w:num>
  <w:num w:numId="14">
    <w:abstractNumId w:val="18"/>
  </w:num>
  <w:num w:numId="15">
    <w:abstractNumId w:val="19"/>
  </w:num>
  <w:num w:numId="16">
    <w:abstractNumId w:val="0"/>
  </w:num>
  <w:num w:numId="17">
    <w:abstractNumId w:val="22"/>
  </w:num>
  <w:num w:numId="18">
    <w:abstractNumId w:val="3"/>
  </w:num>
  <w:num w:numId="19">
    <w:abstractNumId w:val="25"/>
  </w:num>
  <w:num w:numId="20">
    <w:abstractNumId w:val="43"/>
  </w:num>
  <w:num w:numId="21">
    <w:abstractNumId w:val="32"/>
  </w:num>
  <w:num w:numId="22">
    <w:abstractNumId w:val="16"/>
  </w:num>
  <w:num w:numId="23">
    <w:abstractNumId w:val="13"/>
  </w:num>
  <w:num w:numId="24">
    <w:abstractNumId w:val="7"/>
  </w:num>
  <w:num w:numId="25">
    <w:abstractNumId w:val="20"/>
  </w:num>
  <w:num w:numId="26">
    <w:abstractNumId w:val="27"/>
  </w:num>
  <w:num w:numId="27">
    <w:abstractNumId w:val="9"/>
  </w:num>
  <w:num w:numId="28">
    <w:abstractNumId w:val="17"/>
  </w:num>
  <w:num w:numId="29">
    <w:abstractNumId w:val="23"/>
  </w:num>
  <w:num w:numId="30">
    <w:abstractNumId w:val="42"/>
  </w:num>
  <w:num w:numId="31">
    <w:abstractNumId w:val="5"/>
  </w:num>
  <w:num w:numId="32">
    <w:abstractNumId w:val="35"/>
  </w:num>
  <w:num w:numId="33">
    <w:abstractNumId w:val="2"/>
  </w:num>
  <w:num w:numId="34">
    <w:abstractNumId w:val="36"/>
  </w:num>
  <w:num w:numId="35">
    <w:abstractNumId w:val="6"/>
  </w:num>
  <w:num w:numId="36">
    <w:abstractNumId w:val="44"/>
  </w:num>
  <w:num w:numId="37">
    <w:abstractNumId w:val="30"/>
  </w:num>
  <w:num w:numId="38">
    <w:abstractNumId w:val="10"/>
  </w:num>
  <w:num w:numId="39">
    <w:abstractNumId w:val="26"/>
  </w:num>
  <w:num w:numId="40">
    <w:abstractNumId w:val="37"/>
  </w:num>
  <w:num w:numId="41">
    <w:abstractNumId w:val="28"/>
  </w:num>
  <w:num w:numId="42">
    <w:abstractNumId w:val="40"/>
  </w:num>
  <w:num w:numId="43">
    <w:abstractNumId w:val="12"/>
  </w:num>
  <w:num w:numId="44">
    <w:abstractNumId w:val="4"/>
  </w:num>
  <w:num w:numId="4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98B"/>
    <w:rsid w:val="000203D3"/>
    <w:rsid w:val="000204A6"/>
    <w:rsid w:val="000211F8"/>
    <w:rsid w:val="0002146F"/>
    <w:rsid w:val="00022D89"/>
    <w:rsid w:val="000236A3"/>
    <w:rsid w:val="00024BCC"/>
    <w:rsid w:val="00024F35"/>
    <w:rsid w:val="00025127"/>
    <w:rsid w:val="00025266"/>
    <w:rsid w:val="0003063D"/>
    <w:rsid w:val="00031D37"/>
    <w:rsid w:val="00031F10"/>
    <w:rsid w:val="00031F98"/>
    <w:rsid w:val="00032493"/>
    <w:rsid w:val="00036427"/>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230A"/>
    <w:rsid w:val="00082D11"/>
    <w:rsid w:val="00082E28"/>
    <w:rsid w:val="000834FE"/>
    <w:rsid w:val="0008465D"/>
    <w:rsid w:val="00084E31"/>
    <w:rsid w:val="0008542A"/>
    <w:rsid w:val="00090D6F"/>
    <w:rsid w:val="00091C2C"/>
    <w:rsid w:val="00093FC7"/>
    <w:rsid w:val="000953E2"/>
    <w:rsid w:val="00095BB9"/>
    <w:rsid w:val="000A26B8"/>
    <w:rsid w:val="000A3F90"/>
    <w:rsid w:val="000A4554"/>
    <w:rsid w:val="000A45FD"/>
    <w:rsid w:val="000A4E44"/>
    <w:rsid w:val="000A556A"/>
    <w:rsid w:val="000A77ED"/>
    <w:rsid w:val="000B0370"/>
    <w:rsid w:val="000B13A8"/>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DDD"/>
    <w:rsid w:val="00102D65"/>
    <w:rsid w:val="00103662"/>
    <w:rsid w:val="00103888"/>
    <w:rsid w:val="00107499"/>
    <w:rsid w:val="00107557"/>
    <w:rsid w:val="0011167C"/>
    <w:rsid w:val="00111F02"/>
    <w:rsid w:val="0011279B"/>
    <w:rsid w:val="00112B02"/>
    <w:rsid w:val="00114309"/>
    <w:rsid w:val="00114A21"/>
    <w:rsid w:val="00117441"/>
    <w:rsid w:val="0012006D"/>
    <w:rsid w:val="00121F4A"/>
    <w:rsid w:val="00122E4B"/>
    <w:rsid w:val="0012380D"/>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B6B"/>
    <w:rsid w:val="00161E95"/>
    <w:rsid w:val="00163780"/>
    <w:rsid w:val="00163B1F"/>
    <w:rsid w:val="001648EE"/>
    <w:rsid w:val="00164B65"/>
    <w:rsid w:val="001656F2"/>
    <w:rsid w:val="00166794"/>
    <w:rsid w:val="0017273C"/>
    <w:rsid w:val="001732E3"/>
    <w:rsid w:val="00174E02"/>
    <w:rsid w:val="0017653A"/>
    <w:rsid w:val="001775DF"/>
    <w:rsid w:val="00185460"/>
    <w:rsid w:val="001862A3"/>
    <w:rsid w:val="001862CF"/>
    <w:rsid w:val="001868EF"/>
    <w:rsid w:val="00192E4B"/>
    <w:rsid w:val="00194D62"/>
    <w:rsid w:val="00196407"/>
    <w:rsid w:val="00197091"/>
    <w:rsid w:val="001972CC"/>
    <w:rsid w:val="001A032D"/>
    <w:rsid w:val="001A0A8E"/>
    <w:rsid w:val="001A138D"/>
    <w:rsid w:val="001A2857"/>
    <w:rsid w:val="001A2A89"/>
    <w:rsid w:val="001A3634"/>
    <w:rsid w:val="001A4D5D"/>
    <w:rsid w:val="001A5150"/>
    <w:rsid w:val="001A58B9"/>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0A72"/>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507D8"/>
    <w:rsid w:val="00252A20"/>
    <w:rsid w:val="00252B41"/>
    <w:rsid w:val="0025524F"/>
    <w:rsid w:val="00257CC3"/>
    <w:rsid w:val="00257E5F"/>
    <w:rsid w:val="00260C1D"/>
    <w:rsid w:val="00261001"/>
    <w:rsid w:val="00261A42"/>
    <w:rsid w:val="00261D84"/>
    <w:rsid w:val="002629A6"/>
    <w:rsid w:val="00263F23"/>
    <w:rsid w:val="00264D02"/>
    <w:rsid w:val="0026500D"/>
    <w:rsid w:val="00265CD7"/>
    <w:rsid w:val="00266588"/>
    <w:rsid w:val="002665BD"/>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B6B6C"/>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E6B"/>
    <w:rsid w:val="003337F3"/>
    <w:rsid w:val="00333BE8"/>
    <w:rsid w:val="003344DB"/>
    <w:rsid w:val="00335898"/>
    <w:rsid w:val="00335BFE"/>
    <w:rsid w:val="00335E9C"/>
    <w:rsid w:val="0033608B"/>
    <w:rsid w:val="0033675D"/>
    <w:rsid w:val="00336D58"/>
    <w:rsid w:val="00337941"/>
    <w:rsid w:val="00340445"/>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FD2"/>
    <w:rsid w:val="00377278"/>
    <w:rsid w:val="0038132B"/>
    <w:rsid w:val="00383E66"/>
    <w:rsid w:val="00384AE2"/>
    <w:rsid w:val="00385699"/>
    <w:rsid w:val="00387DC9"/>
    <w:rsid w:val="00390D23"/>
    <w:rsid w:val="0039142B"/>
    <w:rsid w:val="0039193E"/>
    <w:rsid w:val="00391ADA"/>
    <w:rsid w:val="0039230E"/>
    <w:rsid w:val="00392CDB"/>
    <w:rsid w:val="0039380F"/>
    <w:rsid w:val="00393B71"/>
    <w:rsid w:val="00394095"/>
    <w:rsid w:val="003940F6"/>
    <w:rsid w:val="003955D3"/>
    <w:rsid w:val="00396545"/>
    <w:rsid w:val="0039671B"/>
    <w:rsid w:val="00396F71"/>
    <w:rsid w:val="003A03D0"/>
    <w:rsid w:val="003A04FF"/>
    <w:rsid w:val="003A1B01"/>
    <w:rsid w:val="003A2029"/>
    <w:rsid w:val="003A6417"/>
    <w:rsid w:val="003A65FE"/>
    <w:rsid w:val="003A6A5A"/>
    <w:rsid w:val="003A7034"/>
    <w:rsid w:val="003A7221"/>
    <w:rsid w:val="003A730E"/>
    <w:rsid w:val="003B1CEE"/>
    <w:rsid w:val="003B2199"/>
    <w:rsid w:val="003B2856"/>
    <w:rsid w:val="003B2A0D"/>
    <w:rsid w:val="003B31FA"/>
    <w:rsid w:val="003B55AD"/>
    <w:rsid w:val="003B7EC4"/>
    <w:rsid w:val="003C1632"/>
    <w:rsid w:val="003C183D"/>
    <w:rsid w:val="003C7282"/>
    <w:rsid w:val="003D00D5"/>
    <w:rsid w:val="003D0A29"/>
    <w:rsid w:val="003D0BC7"/>
    <w:rsid w:val="003D181D"/>
    <w:rsid w:val="003D1C2D"/>
    <w:rsid w:val="003D20C4"/>
    <w:rsid w:val="003D4163"/>
    <w:rsid w:val="003D46D0"/>
    <w:rsid w:val="003D5661"/>
    <w:rsid w:val="003D792A"/>
    <w:rsid w:val="003E2E98"/>
    <w:rsid w:val="003E4701"/>
    <w:rsid w:val="003E6079"/>
    <w:rsid w:val="003E6128"/>
    <w:rsid w:val="003E6679"/>
    <w:rsid w:val="003E6D0F"/>
    <w:rsid w:val="003E712E"/>
    <w:rsid w:val="003F0DDA"/>
    <w:rsid w:val="003F140F"/>
    <w:rsid w:val="003F15DB"/>
    <w:rsid w:val="003F2702"/>
    <w:rsid w:val="003F2778"/>
    <w:rsid w:val="003F36A4"/>
    <w:rsid w:val="003F4900"/>
    <w:rsid w:val="003F70CA"/>
    <w:rsid w:val="003F7823"/>
    <w:rsid w:val="00400E76"/>
    <w:rsid w:val="0040137F"/>
    <w:rsid w:val="00402179"/>
    <w:rsid w:val="0040278D"/>
    <w:rsid w:val="00403249"/>
    <w:rsid w:val="0040600B"/>
    <w:rsid w:val="004078C8"/>
    <w:rsid w:val="004102DE"/>
    <w:rsid w:val="0041159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2B7"/>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DCC"/>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8AD"/>
    <w:rsid w:val="00527E7A"/>
    <w:rsid w:val="00531594"/>
    <w:rsid w:val="00537E2C"/>
    <w:rsid w:val="00540208"/>
    <w:rsid w:val="00542797"/>
    <w:rsid w:val="00542B3A"/>
    <w:rsid w:val="00544ADC"/>
    <w:rsid w:val="00544B9C"/>
    <w:rsid w:val="00544E13"/>
    <w:rsid w:val="00544EC9"/>
    <w:rsid w:val="00546FBD"/>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120"/>
    <w:rsid w:val="0056555A"/>
    <w:rsid w:val="005669D6"/>
    <w:rsid w:val="0056788F"/>
    <w:rsid w:val="00567998"/>
    <w:rsid w:val="00571CB9"/>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A65"/>
    <w:rsid w:val="005A2F65"/>
    <w:rsid w:val="005A3513"/>
    <w:rsid w:val="005A3581"/>
    <w:rsid w:val="005A3BD7"/>
    <w:rsid w:val="005A60E1"/>
    <w:rsid w:val="005A6788"/>
    <w:rsid w:val="005A786F"/>
    <w:rsid w:val="005B169C"/>
    <w:rsid w:val="005B18FF"/>
    <w:rsid w:val="005B2DD1"/>
    <w:rsid w:val="005B3A49"/>
    <w:rsid w:val="005B6ADF"/>
    <w:rsid w:val="005B773D"/>
    <w:rsid w:val="005B7C5D"/>
    <w:rsid w:val="005C02B5"/>
    <w:rsid w:val="005C0821"/>
    <w:rsid w:val="005C1A74"/>
    <w:rsid w:val="005C287E"/>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4AC3"/>
    <w:rsid w:val="00605865"/>
    <w:rsid w:val="00611DC1"/>
    <w:rsid w:val="00613655"/>
    <w:rsid w:val="006144EE"/>
    <w:rsid w:val="00617125"/>
    <w:rsid w:val="00617813"/>
    <w:rsid w:val="006206CC"/>
    <w:rsid w:val="00622B06"/>
    <w:rsid w:val="00624425"/>
    <w:rsid w:val="006257C2"/>
    <w:rsid w:val="00627163"/>
    <w:rsid w:val="00627DB0"/>
    <w:rsid w:val="0063034E"/>
    <w:rsid w:val="00630B0D"/>
    <w:rsid w:val="00634476"/>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2566"/>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72D6"/>
    <w:rsid w:val="006D77A2"/>
    <w:rsid w:val="006D7F18"/>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7096"/>
    <w:rsid w:val="007127BB"/>
    <w:rsid w:val="007136BC"/>
    <w:rsid w:val="00714576"/>
    <w:rsid w:val="00714FEC"/>
    <w:rsid w:val="00715A04"/>
    <w:rsid w:val="00715B7D"/>
    <w:rsid w:val="00716EC8"/>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4A5F"/>
    <w:rsid w:val="00774DFD"/>
    <w:rsid w:val="007753FA"/>
    <w:rsid w:val="0077544D"/>
    <w:rsid w:val="00775D67"/>
    <w:rsid w:val="00776C78"/>
    <w:rsid w:val="0078079A"/>
    <w:rsid w:val="0078249C"/>
    <w:rsid w:val="007846FC"/>
    <w:rsid w:val="00784AA0"/>
    <w:rsid w:val="00784F3D"/>
    <w:rsid w:val="00785321"/>
    <w:rsid w:val="00785E63"/>
    <w:rsid w:val="007860B9"/>
    <w:rsid w:val="00786DD5"/>
    <w:rsid w:val="00787184"/>
    <w:rsid w:val="00790318"/>
    <w:rsid w:val="007914E4"/>
    <w:rsid w:val="00791E58"/>
    <w:rsid w:val="00794C2B"/>
    <w:rsid w:val="00794F7E"/>
    <w:rsid w:val="007A0692"/>
    <w:rsid w:val="007A082B"/>
    <w:rsid w:val="007A0A0E"/>
    <w:rsid w:val="007A1303"/>
    <w:rsid w:val="007A2C90"/>
    <w:rsid w:val="007A4419"/>
    <w:rsid w:val="007A65E0"/>
    <w:rsid w:val="007A70B9"/>
    <w:rsid w:val="007A729D"/>
    <w:rsid w:val="007A7602"/>
    <w:rsid w:val="007A7A58"/>
    <w:rsid w:val="007A7E06"/>
    <w:rsid w:val="007B02B9"/>
    <w:rsid w:val="007B1A87"/>
    <w:rsid w:val="007B1AED"/>
    <w:rsid w:val="007B233D"/>
    <w:rsid w:val="007B2587"/>
    <w:rsid w:val="007B26B2"/>
    <w:rsid w:val="007B30F3"/>
    <w:rsid w:val="007B5AF0"/>
    <w:rsid w:val="007B6317"/>
    <w:rsid w:val="007B694D"/>
    <w:rsid w:val="007B79A9"/>
    <w:rsid w:val="007C0013"/>
    <w:rsid w:val="007C0CBC"/>
    <w:rsid w:val="007C165C"/>
    <w:rsid w:val="007C255D"/>
    <w:rsid w:val="007C37D2"/>
    <w:rsid w:val="007C3985"/>
    <w:rsid w:val="007C6110"/>
    <w:rsid w:val="007C6AE2"/>
    <w:rsid w:val="007C7154"/>
    <w:rsid w:val="007C7D43"/>
    <w:rsid w:val="007D0C01"/>
    <w:rsid w:val="007D26D2"/>
    <w:rsid w:val="007D3FBD"/>
    <w:rsid w:val="007D49A0"/>
    <w:rsid w:val="007D7EF3"/>
    <w:rsid w:val="007E0553"/>
    <w:rsid w:val="007E1992"/>
    <w:rsid w:val="007E2870"/>
    <w:rsid w:val="007E5125"/>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4D8D"/>
    <w:rsid w:val="008055FF"/>
    <w:rsid w:val="00806782"/>
    <w:rsid w:val="00810302"/>
    <w:rsid w:val="00810F94"/>
    <w:rsid w:val="008118AF"/>
    <w:rsid w:val="008144D3"/>
    <w:rsid w:val="00814A17"/>
    <w:rsid w:val="008167F5"/>
    <w:rsid w:val="00816EAC"/>
    <w:rsid w:val="0081794B"/>
    <w:rsid w:val="00817D8E"/>
    <w:rsid w:val="008200A3"/>
    <w:rsid w:val="00820BF2"/>
    <w:rsid w:val="00824C4E"/>
    <w:rsid w:val="00826125"/>
    <w:rsid w:val="00826F38"/>
    <w:rsid w:val="00830D70"/>
    <w:rsid w:val="00831969"/>
    <w:rsid w:val="00833CE6"/>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8B1"/>
    <w:rsid w:val="008570EB"/>
    <w:rsid w:val="00860A1E"/>
    <w:rsid w:val="00861622"/>
    <w:rsid w:val="00863125"/>
    <w:rsid w:val="008662C0"/>
    <w:rsid w:val="008705E1"/>
    <w:rsid w:val="0087153F"/>
    <w:rsid w:val="00872938"/>
    <w:rsid w:val="00873ABF"/>
    <w:rsid w:val="0087459A"/>
    <w:rsid w:val="00875167"/>
    <w:rsid w:val="00875DF8"/>
    <w:rsid w:val="008765E3"/>
    <w:rsid w:val="00876DCE"/>
    <w:rsid w:val="00876FBF"/>
    <w:rsid w:val="00881572"/>
    <w:rsid w:val="00882FEA"/>
    <w:rsid w:val="0088320F"/>
    <w:rsid w:val="00883450"/>
    <w:rsid w:val="0088398C"/>
    <w:rsid w:val="00885A71"/>
    <w:rsid w:val="00885C6E"/>
    <w:rsid w:val="00886111"/>
    <w:rsid w:val="00886AF2"/>
    <w:rsid w:val="0088743F"/>
    <w:rsid w:val="0089067B"/>
    <w:rsid w:val="00890700"/>
    <w:rsid w:val="00892AB9"/>
    <w:rsid w:val="00893857"/>
    <w:rsid w:val="0089412A"/>
    <w:rsid w:val="00895335"/>
    <w:rsid w:val="00895536"/>
    <w:rsid w:val="008965EF"/>
    <w:rsid w:val="00896AD4"/>
    <w:rsid w:val="00897752"/>
    <w:rsid w:val="008A2811"/>
    <w:rsid w:val="008A3FC8"/>
    <w:rsid w:val="008A40DD"/>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4571"/>
    <w:rsid w:val="008C6F34"/>
    <w:rsid w:val="008C7108"/>
    <w:rsid w:val="008C75C8"/>
    <w:rsid w:val="008D02A3"/>
    <w:rsid w:val="008D062E"/>
    <w:rsid w:val="008D22D8"/>
    <w:rsid w:val="008D259C"/>
    <w:rsid w:val="008D2BCD"/>
    <w:rsid w:val="008D406E"/>
    <w:rsid w:val="008D4E99"/>
    <w:rsid w:val="008D5066"/>
    <w:rsid w:val="008D5A97"/>
    <w:rsid w:val="008D6697"/>
    <w:rsid w:val="008D728C"/>
    <w:rsid w:val="008E0674"/>
    <w:rsid w:val="008E11CC"/>
    <w:rsid w:val="008E1B8F"/>
    <w:rsid w:val="008E2B17"/>
    <w:rsid w:val="008E3AE8"/>
    <w:rsid w:val="008E3E12"/>
    <w:rsid w:val="008E4DCD"/>
    <w:rsid w:val="008E5767"/>
    <w:rsid w:val="008E580D"/>
    <w:rsid w:val="008F12E6"/>
    <w:rsid w:val="008F1558"/>
    <w:rsid w:val="008F2B44"/>
    <w:rsid w:val="008F5927"/>
    <w:rsid w:val="008F5F96"/>
    <w:rsid w:val="008F7752"/>
    <w:rsid w:val="0090174A"/>
    <w:rsid w:val="00902E52"/>
    <w:rsid w:val="009036B3"/>
    <w:rsid w:val="00906061"/>
    <w:rsid w:val="0090620F"/>
    <w:rsid w:val="009071FE"/>
    <w:rsid w:val="00907761"/>
    <w:rsid w:val="00907A46"/>
    <w:rsid w:val="00910076"/>
    <w:rsid w:val="0091242A"/>
    <w:rsid w:val="00912E53"/>
    <w:rsid w:val="0091395C"/>
    <w:rsid w:val="00913AA4"/>
    <w:rsid w:val="00915778"/>
    <w:rsid w:val="009163BF"/>
    <w:rsid w:val="009164DD"/>
    <w:rsid w:val="009210C9"/>
    <w:rsid w:val="00925C68"/>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4A97"/>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455"/>
    <w:rsid w:val="009D3A6E"/>
    <w:rsid w:val="009D61D9"/>
    <w:rsid w:val="009D624D"/>
    <w:rsid w:val="009D6AD5"/>
    <w:rsid w:val="009E0AB4"/>
    <w:rsid w:val="009E10C7"/>
    <w:rsid w:val="009E360A"/>
    <w:rsid w:val="009E364B"/>
    <w:rsid w:val="009E38A4"/>
    <w:rsid w:val="009E3D82"/>
    <w:rsid w:val="009E4942"/>
    <w:rsid w:val="009E6E48"/>
    <w:rsid w:val="009F0B67"/>
    <w:rsid w:val="009F1566"/>
    <w:rsid w:val="009F1E4B"/>
    <w:rsid w:val="009F307E"/>
    <w:rsid w:val="009F37D5"/>
    <w:rsid w:val="009F3818"/>
    <w:rsid w:val="009F50DE"/>
    <w:rsid w:val="009F5F3E"/>
    <w:rsid w:val="009F6D34"/>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1410"/>
    <w:rsid w:val="00A235D0"/>
    <w:rsid w:val="00A24131"/>
    <w:rsid w:val="00A27A7F"/>
    <w:rsid w:val="00A3276A"/>
    <w:rsid w:val="00A33754"/>
    <w:rsid w:val="00A349D2"/>
    <w:rsid w:val="00A34C05"/>
    <w:rsid w:val="00A35492"/>
    <w:rsid w:val="00A4044E"/>
    <w:rsid w:val="00A40535"/>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D2B"/>
    <w:rsid w:val="00A572BC"/>
    <w:rsid w:val="00A57A82"/>
    <w:rsid w:val="00A62B7B"/>
    <w:rsid w:val="00A647D0"/>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4100"/>
    <w:rsid w:val="00A975D5"/>
    <w:rsid w:val="00A9772B"/>
    <w:rsid w:val="00AA0660"/>
    <w:rsid w:val="00AA1409"/>
    <w:rsid w:val="00AA264F"/>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65"/>
    <w:rsid w:val="00AC535B"/>
    <w:rsid w:val="00AC5F6A"/>
    <w:rsid w:val="00AD0B3C"/>
    <w:rsid w:val="00AD0FC3"/>
    <w:rsid w:val="00AD1CC0"/>
    <w:rsid w:val="00AD22B5"/>
    <w:rsid w:val="00AD2718"/>
    <w:rsid w:val="00AD33D3"/>
    <w:rsid w:val="00AD3DB4"/>
    <w:rsid w:val="00AD471B"/>
    <w:rsid w:val="00AD5133"/>
    <w:rsid w:val="00AD5712"/>
    <w:rsid w:val="00AD6AC5"/>
    <w:rsid w:val="00AD76A1"/>
    <w:rsid w:val="00AE48E8"/>
    <w:rsid w:val="00AE7D9E"/>
    <w:rsid w:val="00AE7F20"/>
    <w:rsid w:val="00AF0E7C"/>
    <w:rsid w:val="00AF1F04"/>
    <w:rsid w:val="00AF3B55"/>
    <w:rsid w:val="00AF3D59"/>
    <w:rsid w:val="00AF6794"/>
    <w:rsid w:val="00AF6F48"/>
    <w:rsid w:val="00AF717E"/>
    <w:rsid w:val="00AF7507"/>
    <w:rsid w:val="00B016F7"/>
    <w:rsid w:val="00B02BDD"/>
    <w:rsid w:val="00B04470"/>
    <w:rsid w:val="00B04E10"/>
    <w:rsid w:val="00B055B9"/>
    <w:rsid w:val="00B13243"/>
    <w:rsid w:val="00B13511"/>
    <w:rsid w:val="00B13D85"/>
    <w:rsid w:val="00B16296"/>
    <w:rsid w:val="00B16CC7"/>
    <w:rsid w:val="00B1786A"/>
    <w:rsid w:val="00B206D8"/>
    <w:rsid w:val="00B20C75"/>
    <w:rsid w:val="00B230E5"/>
    <w:rsid w:val="00B23E88"/>
    <w:rsid w:val="00B267A4"/>
    <w:rsid w:val="00B312C7"/>
    <w:rsid w:val="00B316B9"/>
    <w:rsid w:val="00B31E90"/>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57F54"/>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818"/>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68"/>
    <w:rsid w:val="00C203F6"/>
    <w:rsid w:val="00C20EB1"/>
    <w:rsid w:val="00C2139F"/>
    <w:rsid w:val="00C24101"/>
    <w:rsid w:val="00C24FF3"/>
    <w:rsid w:val="00C2575E"/>
    <w:rsid w:val="00C26121"/>
    <w:rsid w:val="00C27ABF"/>
    <w:rsid w:val="00C3086E"/>
    <w:rsid w:val="00C315FB"/>
    <w:rsid w:val="00C31713"/>
    <w:rsid w:val="00C317BD"/>
    <w:rsid w:val="00C33279"/>
    <w:rsid w:val="00C34B8F"/>
    <w:rsid w:val="00C35332"/>
    <w:rsid w:val="00C37421"/>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401F"/>
    <w:rsid w:val="00C54922"/>
    <w:rsid w:val="00C550B8"/>
    <w:rsid w:val="00C55FE8"/>
    <w:rsid w:val="00C601EF"/>
    <w:rsid w:val="00C6220B"/>
    <w:rsid w:val="00C62658"/>
    <w:rsid w:val="00C634D6"/>
    <w:rsid w:val="00C63CF2"/>
    <w:rsid w:val="00C6440A"/>
    <w:rsid w:val="00C648FC"/>
    <w:rsid w:val="00C663BE"/>
    <w:rsid w:val="00C70AB7"/>
    <w:rsid w:val="00C71858"/>
    <w:rsid w:val="00C722C5"/>
    <w:rsid w:val="00C74346"/>
    <w:rsid w:val="00C744AE"/>
    <w:rsid w:val="00C74781"/>
    <w:rsid w:val="00C76B87"/>
    <w:rsid w:val="00C80034"/>
    <w:rsid w:val="00C828E8"/>
    <w:rsid w:val="00C82F4B"/>
    <w:rsid w:val="00C83579"/>
    <w:rsid w:val="00C83EA7"/>
    <w:rsid w:val="00C84559"/>
    <w:rsid w:val="00C84E31"/>
    <w:rsid w:val="00C862C4"/>
    <w:rsid w:val="00C86977"/>
    <w:rsid w:val="00C86B34"/>
    <w:rsid w:val="00C86FFF"/>
    <w:rsid w:val="00C871C7"/>
    <w:rsid w:val="00C91060"/>
    <w:rsid w:val="00C928FD"/>
    <w:rsid w:val="00C95593"/>
    <w:rsid w:val="00CA0640"/>
    <w:rsid w:val="00CA2022"/>
    <w:rsid w:val="00CA4741"/>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1B8A"/>
    <w:rsid w:val="00CE7E6A"/>
    <w:rsid w:val="00CF030B"/>
    <w:rsid w:val="00CF23A2"/>
    <w:rsid w:val="00CF5D77"/>
    <w:rsid w:val="00CF6EB2"/>
    <w:rsid w:val="00D00269"/>
    <w:rsid w:val="00D02F72"/>
    <w:rsid w:val="00D10AB0"/>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4E0"/>
    <w:rsid w:val="00D446E7"/>
    <w:rsid w:val="00D47265"/>
    <w:rsid w:val="00D47500"/>
    <w:rsid w:val="00D4793C"/>
    <w:rsid w:val="00D5517B"/>
    <w:rsid w:val="00D60582"/>
    <w:rsid w:val="00D61222"/>
    <w:rsid w:val="00D63800"/>
    <w:rsid w:val="00D63990"/>
    <w:rsid w:val="00D65068"/>
    <w:rsid w:val="00D65243"/>
    <w:rsid w:val="00D658A1"/>
    <w:rsid w:val="00D65BBD"/>
    <w:rsid w:val="00D67085"/>
    <w:rsid w:val="00D67E99"/>
    <w:rsid w:val="00D71057"/>
    <w:rsid w:val="00D71912"/>
    <w:rsid w:val="00D730F6"/>
    <w:rsid w:val="00D738F0"/>
    <w:rsid w:val="00D75E6C"/>
    <w:rsid w:val="00D82CB3"/>
    <w:rsid w:val="00D82FC0"/>
    <w:rsid w:val="00D8322A"/>
    <w:rsid w:val="00D83C17"/>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1AE"/>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7A5F"/>
    <w:rsid w:val="00E506E7"/>
    <w:rsid w:val="00E507A5"/>
    <w:rsid w:val="00E51A57"/>
    <w:rsid w:val="00E528D2"/>
    <w:rsid w:val="00E5295F"/>
    <w:rsid w:val="00E54E89"/>
    <w:rsid w:val="00E57E0F"/>
    <w:rsid w:val="00E601CE"/>
    <w:rsid w:val="00E602CF"/>
    <w:rsid w:val="00E60B1D"/>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711"/>
    <w:rsid w:val="00E87F07"/>
    <w:rsid w:val="00E9024A"/>
    <w:rsid w:val="00E91BFE"/>
    <w:rsid w:val="00E91E35"/>
    <w:rsid w:val="00E9230E"/>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2DDE"/>
    <w:rsid w:val="00F13E45"/>
    <w:rsid w:val="00F147C6"/>
    <w:rsid w:val="00F20933"/>
    <w:rsid w:val="00F21705"/>
    <w:rsid w:val="00F231FC"/>
    <w:rsid w:val="00F24AB7"/>
    <w:rsid w:val="00F2567E"/>
    <w:rsid w:val="00F25E84"/>
    <w:rsid w:val="00F26068"/>
    <w:rsid w:val="00F2706D"/>
    <w:rsid w:val="00F2723F"/>
    <w:rsid w:val="00F27ADB"/>
    <w:rsid w:val="00F31178"/>
    <w:rsid w:val="00F32971"/>
    <w:rsid w:val="00F3400B"/>
    <w:rsid w:val="00F35C44"/>
    <w:rsid w:val="00F3664C"/>
    <w:rsid w:val="00F36760"/>
    <w:rsid w:val="00F37B6F"/>
    <w:rsid w:val="00F40C05"/>
    <w:rsid w:val="00F40E86"/>
    <w:rsid w:val="00F42168"/>
    <w:rsid w:val="00F425B3"/>
    <w:rsid w:val="00F44C78"/>
    <w:rsid w:val="00F44F38"/>
    <w:rsid w:val="00F452C0"/>
    <w:rsid w:val="00F459E6"/>
    <w:rsid w:val="00F53C70"/>
    <w:rsid w:val="00F55309"/>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6156"/>
    <w:rsid w:val="00F96460"/>
    <w:rsid w:val="00F97AFE"/>
    <w:rsid w:val="00F97E65"/>
    <w:rsid w:val="00FA0128"/>
    <w:rsid w:val="00FA0F09"/>
    <w:rsid w:val="00FA1786"/>
    <w:rsid w:val="00FA17C2"/>
    <w:rsid w:val="00FA215F"/>
    <w:rsid w:val="00FA3191"/>
    <w:rsid w:val="00FA5AE3"/>
    <w:rsid w:val="00FA73DD"/>
    <w:rsid w:val="00FB13C2"/>
    <w:rsid w:val="00FB27FA"/>
    <w:rsid w:val="00FB35D3"/>
    <w:rsid w:val="00FB380D"/>
    <w:rsid w:val="00FB3FB7"/>
    <w:rsid w:val="00FB76C5"/>
    <w:rsid w:val="00FB7FBE"/>
    <w:rsid w:val="00FC03FD"/>
    <w:rsid w:val="00FC0824"/>
    <w:rsid w:val="00FC0C57"/>
    <w:rsid w:val="00FC16B9"/>
    <w:rsid w:val="00FC1DA7"/>
    <w:rsid w:val="00FC2414"/>
    <w:rsid w:val="00FC2C4D"/>
    <w:rsid w:val="00FC2E20"/>
    <w:rsid w:val="00FC44A1"/>
    <w:rsid w:val="00FC4BCF"/>
    <w:rsid w:val="00FC4DEB"/>
    <w:rsid w:val="00FC50CE"/>
    <w:rsid w:val="00FC62AC"/>
    <w:rsid w:val="00FC6AC7"/>
    <w:rsid w:val="00FC77FF"/>
    <w:rsid w:val="00FC7E40"/>
    <w:rsid w:val="00FD1351"/>
    <w:rsid w:val="00FD4B65"/>
    <w:rsid w:val="00FD6729"/>
    <w:rsid w:val="00FD7996"/>
    <w:rsid w:val="00FD7B5E"/>
    <w:rsid w:val="00FD7EFE"/>
    <w:rsid w:val="00FE2025"/>
    <w:rsid w:val="00FE2D9D"/>
    <w:rsid w:val="00FE3280"/>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16"/>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9985200">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6400448">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8108293">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2948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FD07A-70AC-44C0-AE94-20B78B8B0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11668</Words>
  <Characters>64175</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2019-12-11T01:19:00Z</cp:lastPrinted>
  <dcterms:created xsi:type="dcterms:W3CDTF">2022-01-10T23:19:00Z</dcterms:created>
  <dcterms:modified xsi:type="dcterms:W3CDTF">2022-01-10T23:19:00Z</dcterms:modified>
</cp:coreProperties>
</file>