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29BF24B"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222F">
        <w:rPr>
          <w:rFonts w:ascii="Palatino Linotype" w:eastAsia="Times New Roman" w:hAnsi="Palatino Linotype" w:cs="Arial"/>
          <w:color w:val="000000"/>
          <w:sz w:val="24"/>
          <w:szCs w:val="24"/>
          <w:lang w:eastAsia="es-MX"/>
        </w:rPr>
        <w:t>siete de julio</w:t>
      </w:r>
      <w:r w:rsidR="009F7E96">
        <w:rPr>
          <w:rFonts w:ascii="Palatino Linotype" w:eastAsia="Times New Roman" w:hAnsi="Palatino Linotype" w:cs="Arial"/>
          <w:color w:val="000000"/>
          <w:sz w:val="24"/>
          <w:szCs w:val="24"/>
          <w:lang w:eastAsia="es-MX"/>
        </w:rPr>
        <w:t xml:space="preserve">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07F82107" w14:textId="73DDF89F" w:rsidR="00185EBD" w:rsidRPr="00C94F08"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185EBD">
        <w:rPr>
          <w:rFonts w:ascii="Palatino Linotype" w:hAnsi="Palatino Linotype" w:cs="Arial"/>
          <w:b/>
          <w:bCs/>
          <w:sz w:val="24"/>
          <w:lang w:eastAsia="es-MX"/>
        </w:rPr>
        <w:t>2935</w:t>
      </w:r>
      <w:r w:rsidR="008D6B66">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interpuesto por</w:t>
      </w:r>
      <w:r w:rsidR="001007C2">
        <w:rPr>
          <w:rFonts w:ascii="Palatino Linotype" w:hAnsi="Palatino Linotype" w:cs="Arial"/>
          <w:sz w:val="24"/>
        </w:rPr>
        <w:t xml:space="preserve"> </w:t>
      </w:r>
      <w:r w:rsidR="00185EBD">
        <w:rPr>
          <w:rFonts w:ascii="Palatino Linotype" w:hAnsi="Palatino Linotype" w:cs="Arial"/>
          <w:sz w:val="24"/>
        </w:rPr>
        <w:t xml:space="preserve">el </w:t>
      </w:r>
      <w:r w:rsidR="00185EBD">
        <w:rPr>
          <w:rFonts w:ascii="Palatino Linotype" w:hAnsi="Palatino Linotype" w:cs="Arial"/>
          <w:b/>
          <w:sz w:val="24"/>
        </w:rPr>
        <w:t xml:space="preserve">C. </w:t>
      </w:r>
      <w:r w:rsidR="00372400">
        <w:rPr>
          <w:rFonts w:ascii="Palatino Linotype" w:hAnsi="Palatino Linotype" w:cs="Arial"/>
          <w:b/>
          <w:sz w:val="24"/>
        </w:rPr>
        <w:t>xxxxxxxxxxxxxxxxxxxxxxxxxxxxxx</w:t>
      </w:r>
      <w:r w:rsidR="00185EBD">
        <w:rPr>
          <w:rFonts w:ascii="Palatino Linotype" w:hAnsi="Palatino Linotype" w:cs="Arial"/>
          <w:b/>
          <w:sz w:val="24"/>
        </w:rPr>
        <w:t xml:space="preserve">, </w:t>
      </w:r>
      <w:r w:rsidR="00185EBD">
        <w:rPr>
          <w:rFonts w:ascii="Palatino Linotype" w:hAnsi="Palatino Linotype" w:cs="Arial"/>
          <w:sz w:val="24"/>
        </w:rPr>
        <w:t xml:space="preserve">en lo subsecuente </w:t>
      </w:r>
      <w:r w:rsidR="00185EBD">
        <w:rPr>
          <w:rFonts w:ascii="Palatino Linotype" w:hAnsi="Palatino Linotype" w:cs="Arial"/>
          <w:b/>
          <w:sz w:val="24"/>
        </w:rPr>
        <w:t xml:space="preserve">El Recurrente, </w:t>
      </w:r>
      <w:r w:rsidR="00185EBD">
        <w:rPr>
          <w:rFonts w:ascii="Palatino Linotype" w:hAnsi="Palatino Linotype" w:cs="Arial"/>
          <w:sz w:val="24"/>
        </w:rPr>
        <w:t xml:space="preserve">en contra de la respuesta de la </w:t>
      </w:r>
      <w:r w:rsidR="00185EBD">
        <w:rPr>
          <w:rFonts w:ascii="Palatino Linotype" w:hAnsi="Palatino Linotype" w:cs="Arial"/>
          <w:b/>
          <w:sz w:val="24"/>
        </w:rPr>
        <w:t xml:space="preserve">Junta de Asistencia Privada del Estado de México, </w:t>
      </w:r>
      <w:r w:rsidR="00185EBD">
        <w:rPr>
          <w:rFonts w:ascii="Palatino Linotype" w:hAnsi="Palatino Linotype" w:cs="Arial"/>
          <w:sz w:val="24"/>
        </w:rPr>
        <w:t xml:space="preserve">en lo subsecuente </w:t>
      </w:r>
      <w:r w:rsidR="00C94F08">
        <w:rPr>
          <w:rFonts w:ascii="Palatino Linotype" w:hAnsi="Palatino Linotype" w:cs="Arial"/>
          <w:b/>
          <w:sz w:val="24"/>
        </w:rPr>
        <w:t xml:space="preserve">El Sujeto Obligado, </w:t>
      </w:r>
      <w:r w:rsidR="00C94F08">
        <w:rPr>
          <w:rFonts w:ascii="Palatino Linotype" w:hAnsi="Palatino Linotype" w:cs="Arial"/>
          <w:sz w:val="24"/>
        </w:rPr>
        <w:t xml:space="preserve">se procede a dictar la presente resolución. </w:t>
      </w:r>
    </w:p>
    <w:p w14:paraId="07069232" w14:textId="77777777" w:rsidR="001007C2" w:rsidRDefault="001007C2"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64BE83D" w14:textId="42E28C2B" w:rsidR="00DD27B9" w:rsidRPr="00661A64" w:rsidRDefault="000451BE" w:rsidP="00A26BC8">
      <w:pPr>
        <w:pStyle w:val="INFOEM"/>
        <w:ind w:left="0" w:right="-18"/>
        <w:rPr>
          <w:i w:val="0"/>
          <w:iCs/>
          <w:sz w:val="24"/>
          <w:szCs w:val="24"/>
        </w:rPr>
      </w:pPr>
      <w:r w:rsidRPr="00A26BC8">
        <w:rPr>
          <w:i w:val="0"/>
          <w:iCs/>
          <w:sz w:val="24"/>
          <w:szCs w:val="24"/>
        </w:rPr>
        <w:t xml:space="preserve">Con fecha </w:t>
      </w:r>
      <w:r w:rsidR="00DD27B9">
        <w:rPr>
          <w:i w:val="0"/>
          <w:iCs/>
          <w:sz w:val="24"/>
          <w:szCs w:val="24"/>
        </w:rPr>
        <w:t xml:space="preserve">doce de mayo de dos mil veintiuno, </w:t>
      </w:r>
      <w:r w:rsidR="00DD27B9">
        <w:rPr>
          <w:b/>
          <w:i w:val="0"/>
          <w:iCs/>
          <w:sz w:val="24"/>
          <w:szCs w:val="24"/>
        </w:rPr>
        <w:t xml:space="preserve">El Recurrente, </w:t>
      </w:r>
      <w:r w:rsidR="00DD27B9">
        <w:rPr>
          <w:i w:val="0"/>
          <w:iCs/>
          <w:sz w:val="24"/>
          <w:szCs w:val="24"/>
        </w:rPr>
        <w:t xml:space="preserve">presentó a través del Sistema de Acceso a la Información Mexiquense </w:t>
      </w:r>
      <w:r w:rsidR="00DD27B9">
        <w:rPr>
          <w:b/>
          <w:i w:val="0"/>
          <w:iCs/>
          <w:sz w:val="24"/>
          <w:szCs w:val="24"/>
        </w:rPr>
        <w:t xml:space="preserve">(SAIMEX) </w:t>
      </w:r>
      <w:r w:rsidR="00DD27B9">
        <w:rPr>
          <w:i w:val="0"/>
          <w:iCs/>
          <w:sz w:val="24"/>
          <w:szCs w:val="24"/>
        </w:rPr>
        <w:t xml:space="preserve">ante </w:t>
      </w:r>
      <w:r w:rsidR="00DD27B9">
        <w:rPr>
          <w:b/>
          <w:i w:val="0"/>
          <w:iCs/>
          <w:sz w:val="24"/>
          <w:szCs w:val="24"/>
        </w:rPr>
        <w:t xml:space="preserve">El Sujeto Obligado, </w:t>
      </w:r>
      <w:r w:rsidR="00DD27B9">
        <w:rPr>
          <w:i w:val="0"/>
          <w:iCs/>
          <w:sz w:val="24"/>
          <w:szCs w:val="24"/>
        </w:rPr>
        <w:t xml:space="preserve">solicitud de </w:t>
      </w:r>
      <w:r w:rsidR="00661A64">
        <w:rPr>
          <w:i w:val="0"/>
          <w:iCs/>
          <w:sz w:val="24"/>
          <w:szCs w:val="24"/>
        </w:rPr>
        <w:t xml:space="preserve">acceso a la información pública, registrada bajo el número de expediente </w:t>
      </w:r>
      <w:r w:rsidR="00661A64">
        <w:rPr>
          <w:b/>
          <w:i w:val="0"/>
          <w:iCs/>
          <w:sz w:val="24"/>
          <w:szCs w:val="24"/>
        </w:rPr>
        <w:t xml:space="preserve">00006/JAPEM/IP/2021, </w:t>
      </w:r>
      <w:r w:rsidR="00661A64">
        <w:rPr>
          <w:i w:val="0"/>
          <w:iCs/>
          <w:sz w:val="24"/>
          <w:szCs w:val="24"/>
        </w:rPr>
        <w:t xml:space="preserve">mediante la cual solicitó información en el tenor siguiente: </w:t>
      </w:r>
    </w:p>
    <w:p w14:paraId="65E20ABC" w14:textId="34548190" w:rsidR="00DD27B9" w:rsidRPr="00661A64" w:rsidRDefault="00661A64" w:rsidP="00661A64">
      <w:pPr>
        <w:pStyle w:val="Citas"/>
        <w:rPr>
          <w:b/>
          <w:iCs/>
          <w:sz w:val="24"/>
          <w:szCs w:val="24"/>
        </w:rPr>
      </w:pPr>
      <w:r>
        <w:t xml:space="preserve">“copia del expediente laboral ingresos ,declaración patrimonial , denuncias o quejas en su nombre netos y brutos , cédula , prestaciones, Dr JOSE PATRICIO ROMERO DIAZ” </w:t>
      </w:r>
      <w:r>
        <w:rPr>
          <w:b/>
        </w:rPr>
        <w:t>[Sic]</w:t>
      </w:r>
    </w:p>
    <w:p w14:paraId="2BC2C549" w14:textId="77777777" w:rsidR="00DD27B9" w:rsidRDefault="00DD27B9" w:rsidP="00A26BC8">
      <w:pPr>
        <w:pStyle w:val="INFOEM"/>
        <w:ind w:left="0" w:right="-18"/>
        <w:rPr>
          <w:i w:val="0"/>
          <w:iCs/>
          <w:sz w:val="24"/>
          <w:szCs w:val="24"/>
        </w:rPr>
      </w:pP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lastRenderedPageBreak/>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3692FF9" w14:textId="77777777" w:rsidR="009F7E96" w:rsidRDefault="009F7E96" w:rsidP="008D6B66">
      <w:pPr>
        <w:spacing w:before="240" w:line="360" w:lineRule="auto"/>
        <w:ind w:right="850"/>
        <w:jc w:val="both"/>
        <w:rPr>
          <w:rFonts w:ascii="Palatino Linotype" w:eastAsia="Times New Roman" w:hAnsi="Palatino Linotype" w:cs="Times New Roman"/>
          <w:sz w:val="24"/>
          <w:szCs w:val="24"/>
          <w:lang w:val="es-ES_tradnl" w:eastAsia="es-ES"/>
        </w:rPr>
      </w:pPr>
    </w:p>
    <w:p w14:paraId="541EBFAF" w14:textId="35FC1105" w:rsidR="00905E3E" w:rsidRPr="00441692" w:rsidRDefault="00905E3E" w:rsidP="00905E3E">
      <w:pPr>
        <w:spacing w:before="240" w:line="360" w:lineRule="auto"/>
        <w:jc w:val="both"/>
        <w:rPr>
          <w:rFonts w:ascii="Palatino Linotype" w:hAnsi="Palatino Linotype" w:cs="Arial"/>
          <w:b/>
          <w:sz w:val="28"/>
          <w:szCs w:val="20"/>
        </w:rPr>
      </w:pPr>
      <w:r w:rsidRPr="00441692">
        <w:rPr>
          <w:rFonts w:ascii="Palatino Linotype" w:hAnsi="Palatino Linotype" w:cs="Arial"/>
          <w:b/>
          <w:sz w:val="28"/>
        </w:rPr>
        <w:t xml:space="preserve">SEGUNDO. </w:t>
      </w:r>
      <w:r w:rsidRPr="00441692">
        <w:rPr>
          <w:rFonts w:ascii="Palatino Linotype" w:hAnsi="Palatino Linotype" w:cs="Arial"/>
          <w:b/>
          <w:sz w:val="28"/>
          <w:szCs w:val="20"/>
        </w:rPr>
        <w:t xml:space="preserve">De la </w:t>
      </w:r>
      <w:r w:rsidR="006124AD">
        <w:rPr>
          <w:rFonts w:ascii="Palatino Linotype" w:hAnsi="Palatino Linotype" w:cs="Arial"/>
          <w:b/>
          <w:sz w:val="28"/>
          <w:szCs w:val="20"/>
        </w:rPr>
        <w:t>respuesta</w:t>
      </w:r>
      <w:r w:rsidRPr="00441692">
        <w:rPr>
          <w:rFonts w:ascii="Palatino Linotype" w:hAnsi="Palatino Linotype" w:cs="Arial"/>
          <w:b/>
          <w:sz w:val="28"/>
          <w:szCs w:val="20"/>
        </w:rPr>
        <w:t xml:space="preserve"> del Sujeto Obligado.</w:t>
      </w:r>
    </w:p>
    <w:p w14:paraId="3AAC7118" w14:textId="79D9666F" w:rsidR="00905E3E" w:rsidRDefault="006124AD" w:rsidP="00905E3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diecisiete de mayo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resultando de nuestro interés lo siguiente: </w:t>
      </w:r>
    </w:p>
    <w:p w14:paraId="06A4C2FF" w14:textId="1F349E45" w:rsidR="006124AD" w:rsidRPr="0014051A" w:rsidRDefault="0014051A" w:rsidP="0014051A">
      <w:pPr>
        <w:pStyle w:val="Citas"/>
        <w:rPr>
          <w:b/>
          <w:sz w:val="24"/>
          <w:szCs w:val="24"/>
        </w:rPr>
      </w:pPr>
      <w:r>
        <w:t>“</w:t>
      </w:r>
      <w:r w:rsidR="006124AD">
        <w:t>Se anexa oficio de respuesta número JAPEM/UT/006/2021, de fecha 17 de mayo de 2021</w:t>
      </w:r>
      <w:r>
        <w:t xml:space="preserve">” </w:t>
      </w:r>
      <w:r>
        <w:rPr>
          <w:b/>
        </w:rPr>
        <w:t xml:space="preserve">[Sic] </w:t>
      </w:r>
    </w:p>
    <w:p w14:paraId="69C0C0D7" w14:textId="77777777" w:rsidR="00545DBB" w:rsidRDefault="00545DBB" w:rsidP="001007C2">
      <w:pPr>
        <w:spacing w:line="360" w:lineRule="auto"/>
        <w:ind w:right="-91"/>
        <w:jc w:val="both"/>
        <w:rPr>
          <w:rFonts w:ascii="Palatino Linotype" w:hAnsi="Palatino Linotype" w:cs="Arial"/>
          <w:sz w:val="24"/>
          <w:szCs w:val="24"/>
        </w:rPr>
      </w:pPr>
    </w:p>
    <w:p w14:paraId="5A1AFBD3" w14:textId="099D6D43" w:rsidR="0014051A" w:rsidRPr="0014051A" w:rsidRDefault="0014051A" w:rsidP="001007C2">
      <w:pPr>
        <w:spacing w:line="360" w:lineRule="auto"/>
        <w:ind w:right="-91"/>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“JAPEM – 006 – C. </w:t>
      </w:r>
      <w:r w:rsidR="00610C57">
        <w:rPr>
          <w:rFonts w:ascii="Palatino Linotype" w:hAnsi="Palatino Linotype" w:cs="Arial"/>
          <w:b/>
          <w:sz w:val="24"/>
          <w:szCs w:val="24"/>
        </w:rPr>
        <w:t>xxxxxxxxxxxxxxxxxxxxxxxxxxxxx</w:t>
      </w:r>
      <w:r>
        <w:rPr>
          <w:rFonts w:ascii="Palatino Linotype" w:hAnsi="Palatino Linotype" w:cs="Arial"/>
          <w:b/>
          <w:sz w:val="24"/>
          <w:szCs w:val="24"/>
        </w:rPr>
        <w:t xml:space="preserve"> – Unidad de Transparencia – En Poder de Otro Sujeto Obligado -06.pdf”, </w:t>
      </w:r>
      <w:r>
        <w:rPr>
          <w:rFonts w:ascii="Palatino Linotype" w:hAnsi="Palatino Linotype" w:cs="Arial"/>
          <w:sz w:val="24"/>
          <w:szCs w:val="24"/>
        </w:rPr>
        <w:t xml:space="preserve">mismo que se tiene por reproducido en virtud de que será materia de análisis en el considerando respectivo. </w:t>
      </w:r>
    </w:p>
    <w:p w14:paraId="54C30EC8" w14:textId="77777777" w:rsidR="0014051A" w:rsidRDefault="0014051A" w:rsidP="009F7E96">
      <w:pPr>
        <w:pStyle w:val="Prrafodelista"/>
        <w:spacing w:after="240" w:line="360" w:lineRule="auto"/>
        <w:ind w:left="0"/>
        <w:jc w:val="both"/>
        <w:rPr>
          <w:rFonts w:ascii="Palatino Linotype" w:hAnsi="Palatino Linotype" w:cs="Arial"/>
        </w:rPr>
      </w:pPr>
      <w:bookmarkStart w:id="0" w:name="_GoBack"/>
      <w:bookmarkEnd w:id="0"/>
    </w:p>
    <w:p w14:paraId="4DF1EF67" w14:textId="1FA49D2B" w:rsidR="006168E4" w:rsidRPr="00994280" w:rsidRDefault="00F21837"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473F6A1B" w14:textId="71CE8457" w:rsidR="00F21837" w:rsidRPr="00F21837"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F21837">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F21837">
        <w:rPr>
          <w:rFonts w:ascii="Palatino Linotype" w:hAnsi="Palatino Linotype" w:cs="Arial"/>
          <w:sz w:val="24"/>
          <w:szCs w:val="24"/>
        </w:rPr>
        <w:t xml:space="preserve"> veinte de mayo de dos mil veintiuno, el cual fue registrado en el sistema electrónico con el expediente </w:t>
      </w:r>
      <w:r w:rsidR="00F21837">
        <w:rPr>
          <w:rFonts w:ascii="Palatino Linotype" w:hAnsi="Palatino Linotype" w:cs="Arial"/>
          <w:b/>
          <w:sz w:val="24"/>
          <w:szCs w:val="24"/>
        </w:rPr>
        <w:t xml:space="preserve">02935/INFOEM/IP/RR/2021, </w:t>
      </w:r>
      <w:r w:rsidR="00F21837">
        <w:rPr>
          <w:rFonts w:ascii="Palatino Linotype" w:hAnsi="Palatino Linotype" w:cs="Arial"/>
          <w:sz w:val="24"/>
          <w:szCs w:val="24"/>
        </w:rPr>
        <w:t xml:space="preserve">en el cual arguye las siguientes manifestaciones: </w:t>
      </w:r>
    </w:p>
    <w:p w14:paraId="4C83A3C2" w14:textId="77777777" w:rsidR="00F21837" w:rsidRDefault="00F21837" w:rsidP="00844569">
      <w:pPr>
        <w:spacing w:before="240" w:line="360" w:lineRule="auto"/>
        <w:jc w:val="both"/>
        <w:rPr>
          <w:rFonts w:ascii="Palatino Linotype" w:hAnsi="Palatino Linotype" w:cs="Arial"/>
          <w:sz w:val="24"/>
          <w:szCs w:val="24"/>
        </w:rPr>
      </w:pPr>
    </w:p>
    <w:p w14:paraId="47809D31" w14:textId="5CD17AB4" w:rsidR="00905E3E" w:rsidRDefault="00905E3E"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Acto Impugnado: </w:t>
      </w:r>
    </w:p>
    <w:p w14:paraId="771E3483" w14:textId="53D30BCC" w:rsidR="00905E3E" w:rsidRPr="00905E3E" w:rsidRDefault="00F21837" w:rsidP="00905E3E">
      <w:pPr>
        <w:pStyle w:val="Citas"/>
        <w:rPr>
          <w:b/>
          <w:sz w:val="24"/>
          <w:szCs w:val="24"/>
        </w:rPr>
      </w:pPr>
      <w:r w:rsidRPr="00F21837">
        <w:t>“su respuesta es ambigua y denota tener la información del trabajador mas no la entrega</w:t>
      </w:r>
      <w:r w:rsidR="00905E3E" w:rsidRPr="00F21837">
        <w:t xml:space="preserve">” </w:t>
      </w:r>
      <w:r w:rsidR="00905E3E">
        <w:rPr>
          <w:b/>
        </w:rPr>
        <w:t xml:space="preserve">[Sic] </w:t>
      </w:r>
    </w:p>
    <w:p w14:paraId="6FE2150E" w14:textId="77777777" w:rsidR="00905E3E" w:rsidRDefault="00905E3E" w:rsidP="00844569">
      <w:pPr>
        <w:spacing w:before="240" w:line="360" w:lineRule="auto"/>
        <w:jc w:val="both"/>
        <w:rPr>
          <w:rFonts w:ascii="Palatino Linotype" w:hAnsi="Palatino Linotype" w:cs="Arial"/>
          <w:sz w:val="24"/>
          <w:szCs w:val="24"/>
        </w:rPr>
      </w:pPr>
    </w:p>
    <w:p w14:paraId="1E1D13B8" w14:textId="409BF481" w:rsidR="006168E4" w:rsidRDefault="00905E3E" w:rsidP="00844569">
      <w:pPr>
        <w:spacing w:before="240" w:line="360" w:lineRule="auto"/>
        <w:jc w:val="both"/>
        <w:rPr>
          <w:rFonts w:ascii="Palatino Linotype" w:hAnsi="Palatino Linotype" w:cs="Arial"/>
          <w:sz w:val="24"/>
        </w:rPr>
      </w:pPr>
      <w:r>
        <w:rPr>
          <w:rFonts w:ascii="Palatino Linotype" w:hAnsi="Palatino Linotype" w:cs="Arial"/>
          <w:b/>
          <w:sz w:val="24"/>
        </w:rPr>
        <w:t>R</w:t>
      </w:r>
      <w:r w:rsidR="006168E4">
        <w:rPr>
          <w:rFonts w:ascii="Palatino Linotype" w:hAnsi="Palatino Linotype" w:cs="Arial"/>
          <w:b/>
          <w:sz w:val="24"/>
        </w:rPr>
        <w:t>azones o Motivos de Inconformidad</w:t>
      </w:r>
      <w:r w:rsidR="006168E4">
        <w:rPr>
          <w:rFonts w:ascii="Palatino Linotype" w:hAnsi="Palatino Linotype" w:cs="Arial"/>
          <w:sz w:val="24"/>
        </w:rPr>
        <w:t xml:space="preserve">: </w:t>
      </w:r>
    </w:p>
    <w:p w14:paraId="2FCCBE0F" w14:textId="0C0A1432" w:rsidR="00064EA6" w:rsidRPr="00E73F25" w:rsidRDefault="00064EA6" w:rsidP="00E2456F">
      <w:pPr>
        <w:pStyle w:val="Citas"/>
        <w:rPr>
          <w:b/>
        </w:rPr>
      </w:pPr>
      <w:r w:rsidRPr="00F21837">
        <w:t>“</w:t>
      </w:r>
      <w:r w:rsidR="00F21837" w:rsidRPr="00F21837">
        <w:t>su respuesta es ambigua y denota tener la información del trabajador mas no la entrega</w:t>
      </w:r>
      <w:r w:rsidRPr="00F21837">
        <w:t>”</w:t>
      </w:r>
      <w:r w:rsidRPr="00E2456F">
        <w:t xml:space="preserve"> </w:t>
      </w:r>
      <w:r w:rsidRPr="00E73F25">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3E7A2ACE" w:rsidR="006168E4" w:rsidRPr="00A81BCB" w:rsidRDefault="00F21837"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397F6349"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65025F">
        <w:rPr>
          <w:rFonts w:ascii="Palatino Linotype" w:hAnsi="Palatino Linotype" w:cs="Arial"/>
          <w:sz w:val="24"/>
          <w:szCs w:val="24"/>
        </w:rPr>
        <w:t xml:space="preserve">veintiséis de mayo de dos mil veintiuno, </w:t>
      </w:r>
      <w:r w:rsidR="004523AF">
        <w:rPr>
          <w:rFonts w:ascii="Palatino Linotype" w:hAnsi="Palatino Linotype" w:cs="Arial"/>
          <w:sz w:val="24"/>
          <w:szCs w:val="24"/>
        </w:rPr>
        <w:t>determinándose en él, un 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7EE332CC" w:rsidR="006168E4" w:rsidRDefault="0065025F"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6D20BEC8" w14:textId="0C2C2D89" w:rsidR="0065025F" w:rsidRPr="0065025F" w:rsidRDefault="0060304F" w:rsidP="0060304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65025F">
        <w:rPr>
          <w:rFonts w:ascii="Palatino Linotype" w:hAnsi="Palatino Linotype" w:cs="Arial"/>
          <w:sz w:val="24"/>
          <w:szCs w:val="24"/>
        </w:rPr>
        <w:t xml:space="preserve">dos de junio, </w:t>
      </w:r>
      <w:r w:rsidR="0065025F">
        <w:rPr>
          <w:rFonts w:ascii="Palatino Linotype" w:hAnsi="Palatino Linotype" w:cs="Arial"/>
          <w:sz w:val="24"/>
          <w:szCs w:val="24"/>
        </w:rPr>
        <w:lastRenderedPageBreak/>
        <w:t xml:space="preserve">mismo que se puso a la vista del </w:t>
      </w:r>
      <w:r w:rsidR="0065025F">
        <w:rPr>
          <w:rFonts w:ascii="Palatino Linotype" w:hAnsi="Palatino Linotype" w:cs="Arial"/>
          <w:b/>
          <w:sz w:val="24"/>
          <w:szCs w:val="24"/>
        </w:rPr>
        <w:t xml:space="preserve">Recurrente, </w:t>
      </w:r>
      <w:r w:rsidR="0065025F">
        <w:rPr>
          <w:rFonts w:ascii="Palatino Linotype" w:hAnsi="Palatino Linotype" w:cs="Arial"/>
          <w:sz w:val="24"/>
          <w:szCs w:val="24"/>
        </w:rPr>
        <w:t xml:space="preserve">el siete de junio, ambos de dos mil veintiuno. </w:t>
      </w:r>
    </w:p>
    <w:p w14:paraId="3BFDCB11" w14:textId="11B4A0C3" w:rsidR="004523AF" w:rsidRDefault="00F761C4" w:rsidP="00F761C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dieciséis de junio se decretó el cierre de instrucción </w:t>
      </w:r>
      <w:r w:rsidR="004523AF">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B5D3C9B" w14:textId="36F80FAF"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1777CDA8"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F761C4">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1DDCBC1"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4DEAF36"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4DF48D72"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E33EA8"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5DE7909D"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7A3D238"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2C47980"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675DE18"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32D61A36" w14:textId="77777777" w:rsidR="009E1AA9" w:rsidRDefault="009E1AA9" w:rsidP="009E1AA9">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5AB84BC7" w14:textId="77777777" w:rsidR="009E1AA9" w:rsidRDefault="009E1AA9" w:rsidP="009E1AA9">
      <w:pPr>
        <w:spacing w:before="240" w:line="360" w:lineRule="auto"/>
        <w:ind w:left="851" w:right="851"/>
        <w:jc w:val="both"/>
        <w:rPr>
          <w:rFonts w:ascii="Palatino Linotype" w:hAnsi="Palatino Linotype"/>
          <w:b/>
          <w:bCs/>
          <w:i/>
          <w:lang w:eastAsia="es-MX"/>
        </w:rPr>
      </w:pPr>
      <w:r>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6B3FFA0A"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0684F4A" w14:textId="77777777" w:rsidR="009E1AA9" w:rsidRDefault="009E1AA9" w:rsidP="009E1AA9">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lastRenderedPageBreak/>
        <w:t>PRIMER TRIBUNAL COLEGIADO EN MATERIAS ADMINISTRATIVA Y DE TRABAJO DEL DÉCIMO SEXTO CIRCUITO.</w:t>
      </w:r>
    </w:p>
    <w:p w14:paraId="0CB694E4" w14:textId="77777777" w:rsidR="009E1AA9" w:rsidRDefault="009E1AA9" w:rsidP="009E1AA9">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537A9B7C" w14:textId="77777777" w:rsidR="009E1AA9" w:rsidRPr="00044D01" w:rsidRDefault="009E1AA9" w:rsidP="009E1AA9">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bCs/>
          <w:i/>
          <w:color w:val="444444"/>
          <w:lang w:eastAsia="es-MX"/>
        </w:rPr>
        <w:t>[Sic]</w:t>
      </w:r>
    </w:p>
    <w:p w14:paraId="21ABC7C7"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61BEE11"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0888D4AD"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0453A3CE"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17BFB6BB"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30D1F3CF"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018317CE"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IV. No se haya desahogado la prevención en los términos establecidos en la presente Ley;  </w:t>
      </w:r>
    </w:p>
    <w:p w14:paraId="1D34F7E1"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14163581"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330F4EC6" w14:textId="77777777" w:rsidR="009E1AA9" w:rsidRDefault="009E1AA9" w:rsidP="009E1AA9">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6D4DC6E6"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rPr>
      </w:pPr>
    </w:p>
    <w:p w14:paraId="5BD45A41"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7C975909"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highlight w:val="yellow"/>
        </w:rPr>
      </w:pPr>
    </w:p>
    <w:p w14:paraId="553F9DE9" w14:textId="77777777" w:rsidR="009E1AA9" w:rsidRDefault="009E1AA9" w:rsidP="008C6D37">
      <w:pPr>
        <w:pStyle w:val="Prrafodelista"/>
        <w:numPr>
          <w:ilvl w:val="0"/>
          <w:numId w:val="4"/>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0499E65D" w14:textId="77777777" w:rsidR="009E1AA9" w:rsidRDefault="009E1AA9" w:rsidP="009E1AA9">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1F2734C9" w14:textId="449CEFBA" w:rsidR="009E1AA9" w:rsidRDefault="009E1AA9" w:rsidP="009E1AA9">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372400">
        <w:rPr>
          <w:rFonts w:ascii="Palatino Linotype" w:hAnsi="Palatino Linotype" w:cs="Arial"/>
          <w:b/>
          <w:sz w:val="24"/>
        </w:rPr>
        <w:t>xxxxxxxxx</w:t>
      </w:r>
      <w:r w:rsidR="00344B37">
        <w:rPr>
          <w:rFonts w:ascii="Palatino Linotype" w:hAnsi="Palatino Linotype" w:cs="Arial"/>
          <w:b/>
          <w:sz w:val="24"/>
        </w:rPr>
        <w:t xml:space="preserve"> </w:t>
      </w:r>
      <w:r w:rsidR="00372400">
        <w:rPr>
          <w:rFonts w:ascii="Palatino Linotype" w:hAnsi="Palatino Linotype" w:cs="Arial"/>
          <w:b/>
          <w:sz w:val="24"/>
        </w:rPr>
        <w:lastRenderedPageBreak/>
        <w:t>xxxxxxxxxxxxxxxxxxxxxxx</w:t>
      </w:r>
      <w:r>
        <w:rPr>
          <w:rFonts w:ascii="Palatino Linotype" w:hAnsi="Palatino Linotype" w:cs="Arial"/>
          <w:sz w:val="24"/>
        </w:rPr>
        <w:t>, del cual no se colige que corresponda al nombre de una persona.</w:t>
      </w:r>
    </w:p>
    <w:p w14:paraId="3E20C2EF"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rPr>
      </w:pPr>
    </w:p>
    <w:p w14:paraId="09E32258" w14:textId="77777777" w:rsidR="009E1AA9" w:rsidRDefault="009E1AA9" w:rsidP="009E1AA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9A94370" w14:textId="77777777" w:rsidR="009E1AA9" w:rsidRDefault="009E1AA9" w:rsidP="009E1AA9">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D8D05BE" w14:textId="77777777" w:rsidR="009E1AA9" w:rsidRDefault="009E1AA9" w:rsidP="009E1AA9">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6220CA2" w14:textId="77777777" w:rsidR="009E1AA9" w:rsidRDefault="009E1AA9" w:rsidP="009E1AA9">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34B8F0D" w14:textId="77777777" w:rsidR="009E1AA9" w:rsidRDefault="009E1AA9" w:rsidP="009E1AA9">
      <w:pPr>
        <w:spacing w:before="240" w:line="360" w:lineRule="auto"/>
        <w:ind w:left="851" w:right="851"/>
        <w:rPr>
          <w:rFonts w:ascii="Palatino Linotype" w:hAnsi="Palatino Linotype"/>
          <w:i/>
        </w:rPr>
      </w:pPr>
      <w:r>
        <w:rPr>
          <w:rFonts w:ascii="Palatino Linotype" w:hAnsi="Palatino Linotype"/>
          <w:b/>
          <w:i/>
        </w:rPr>
        <w:t>(…)” [Sic]</w:t>
      </w:r>
    </w:p>
    <w:p w14:paraId="24BBA44A" w14:textId="77777777" w:rsidR="009E1AA9" w:rsidRDefault="009E1AA9" w:rsidP="009E1AA9">
      <w:pPr>
        <w:pStyle w:val="Prrafodelista"/>
        <w:widowControl w:val="0"/>
        <w:autoSpaceDE w:val="0"/>
        <w:autoSpaceDN w:val="0"/>
        <w:adjustRightInd w:val="0"/>
        <w:ind w:left="0"/>
        <w:jc w:val="both"/>
        <w:rPr>
          <w:rFonts w:ascii="Palatino Linotype" w:hAnsi="Palatino Linotype"/>
          <w:highlight w:val="yellow"/>
        </w:rPr>
      </w:pPr>
    </w:p>
    <w:p w14:paraId="4D9A780F" w14:textId="48151753" w:rsidR="009E1AA9" w:rsidRDefault="009E1AA9" w:rsidP="009E1AA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344B37">
        <w:rPr>
          <w:rFonts w:ascii="Palatino Linotype" w:hAnsi="Palatino Linotype" w:cs="Arial"/>
          <w:b/>
        </w:rPr>
        <w:t xml:space="preserve">C. </w:t>
      </w:r>
      <w:r w:rsidR="00372400">
        <w:rPr>
          <w:rFonts w:ascii="Palatino Linotype" w:hAnsi="Palatino Linotype" w:cs="Arial"/>
          <w:b/>
        </w:rPr>
        <w:t>xxxxxxxxxxxxxxxxxxxxxxxxxxxxxx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w:t>
      </w:r>
      <w:r>
        <w:rPr>
          <w:rFonts w:ascii="Palatino Linotype" w:hAnsi="Palatino Linotype"/>
        </w:rPr>
        <w:lastRenderedPageBreak/>
        <w:t>Transparencia.</w:t>
      </w:r>
    </w:p>
    <w:p w14:paraId="39FCB4BC" w14:textId="77777777" w:rsidR="009E1AA9" w:rsidRDefault="009E1AA9" w:rsidP="009E1AA9">
      <w:pPr>
        <w:pStyle w:val="Prrafodelista"/>
        <w:widowControl w:val="0"/>
        <w:autoSpaceDE w:val="0"/>
        <w:autoSpaceDN w:val="0"/>
        <w:adjustRightInd w:val="0"/>
        <w:spacing w:line="360" w:lineRule="auto"/>
        <w:ind w:left="0"/>
        <w:jc w:val="both"/>
        <w:rPr>
          <w:rFonts w:ascii="Palatino Linotype" w:hAnsi="Palatino Linotype"/>
        </w:rPr>
      </w:pPr>
    </w:p>
    <w:p w14:paraId="2EAE6F9B" w14:textId="77777777" w:rsidR="009E1AA9" w:rsidRDefault="009E1AA9" w:rsidP="009E1AA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4FC68F1" w14:textId="77777777" w:rsidR="009E1AA9" w:rsidRDefault="009E1AA9" w:rsidP="009E1AA9">
      <w:pPr>
        <w:pStyle w:val="Prrafodelista"/>
        <w:widowControl w:val="0"/>
        <w:autoSpaceDE w:val="0"/>
        <w:autoSpaceDN w:val="0"/>
        <w:adjustRightInd w:val="0"/>
        <w:ind w:left="0"/>
        <w:jc w:val="both"/>
        <w:rPr>
          <w:rFonts w:ascii="Palatino Linotype" w:hAnsi="Palatino Linotype"/>
          <w:highlight w:val="yellow"/>
        </w:rPr>
      </w:pPr>
    </w:p>
    <w:p w14:paraId="1252EB60" w14:textId="77777777" w:rsidR="009E1AA9" w:rsidRDefault="009E1AA9" w:rsidP="009E1AA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1C853D" w14:textId="77777777" w:rsidR="009E1AA9" w:rsidRDefault="009E1AA9" w:rsidP="009E1AA9">
      <w:pPr>
        <w:pStyle w:val="Prrafodelista"/>
        <w:widowControl w:val="0"/>
        <w:autoSpaceDE w:val="0"/>
        <w:autoSpaceDN w:val="0"/>
        <w:adjustRightInd w:val="0"/>
        <w:spacing w:line="360" w:lineRule="auto"/>
        <w:ind w:left="0"/>
        <w:jc w:val="both"/>
        <w:rPr>
          <w:rFonts w:ascii="Palatino Linotype" w:hAnsi="Palatino Linotype"/>
        </w:rPr>
      </w:pPr>
    </w:p>
    <w:p w14:paraId="6B3033F3" w14:textId="77777777" w:rsidR="009E1AA9" w:rsidRDefault="009E1AA9" w:rsidP="009E1AA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64BAEB32" w14:textId="77777777" w:rsidR="009E1AA9" w:rsidRDefault="009E1AA9" w:rsidP="000D4532">
      <w:pPr>
        <w:pStyle w:val="Prrafodelista"/>
        <w:autoSpaceDE w:val="0"/>
        <w:autoSpaceDN w:val="0"/>
        <w:adjustRightInd w:val="0"/>
        <w:spacing w:before="240" w:after="160" w:line="360" w:lineRule="auto"/>
        <w:ind w:left="0"/>
        <w:jc w:val="both"/>
        <w:rPr>
          <w:rFonts w:ascii="Palatino Linotype" w:hAnsi="Palatino Linotype" w:cs="Arial"/>
          <w:b/>
        </w:rPr>
      </w:pPr>
    </w:p>
    <w:p w14:paraId="4628A669" w14:textId="4707009C" w:rsidR="000D4532" w:rsidRDefault="00E73F25" w:rsidP="0066175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w:t>
      </w:r>
      <w:r w:rsidR="000D4532" w:rsidRPr="007D15EF">
        <w:rPr>
          <w:rFonts w:ascii="Palatino Linotype" w:hAnsi="Palatino Linotype"/>
          <w:b/>
          <w:sz w:val="28"/>
          <w:szCs w:val="28"/>
        </w:rPr>
        <w:t xml:space="preserve">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39293C67" w14:textId="4C88A98A" w:rsidR="00344B37" w:rsidRDefault="009D70B9"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Una vez sentado lo anterior, en una aproximación inicial, es procedente mencionar que </w:t>
      </w:r>
      <w:r w:rsidR="00B6458B">
        <w:rPr>
          <w:rFonts w:ascii="Palatino Linotype" w:hAnsi="Palatino Linotype"/>
          <w:bCs/>
        </w:rPr>
        <w:t xml:space="preserve">mediante </w:t>
      </w:r>
      <w:r>
        <w:rPr>
          <w:rFonts w:ascii="Palatino Linotype" w:hAnsi="Palatino Linotype"/>
          <w:bCs/>
        </w:rPr>
        <w:t>la solicitud de información</w:t>
      </w:r>
      <w:r w:rsidR="0036376D">
        <w:rPr>
          <w:rFonts w:ascii="Palatino Linotype" w:hAnsi="Palatino Linotype"/>
          <w:bCs/>
        </w:rPr>
        <w:t xml:space="preserve"> </w:t>
      </w:r>
      <w:r w:rsidR="0036376D">
        <w:rPr>
          <w:rFonts w:ascii="Palatino Linotype" w:hAnsi="Palatino Linotype"/>
          <w:b/>
          <w:bCs/>
        </w:rPr>
        <w:t xml:space="preserve">00006/JAPEM/IP/2021, </w:t>
      </w:r>
      <w:r w:rsidR="0036376D">
        <w:rPr>
          <w:rFonts w:ascii="Palatino Linotype" w:hAnsi="Palatino Linotype"/>
          <w:bCs/>
        </w:rPr>
        <w:t xml:space="preserve">el particular formulo </w:t>
      </w:r>
      <w:r w:rsidR="004A68CA">
        <w:rPr>
          <w:rFonts w:ascii="Palatino Linotype" w:hAnsi="Palatino Linotype"/>
          <w:b/>
          <w:bCs/>
        </w:rPr>
        <w:t xml:space="preserve">5      </w:t>
      </w:r>
      <w:r w:rsidR="0036376D">
        <w:rPr>
          <w:rFonts w:ascii="Palatino Linotype" w:hAnsi="Palatino Linotype"/>
          <w:b/>
          <w:bCs/>
        </w:rPr>
        <w:t xml:space="preserve"> –</w:t>
      </w:r>
      <w:r w:rsidR="004A68CA">
        <w:rPr>
          <w:rFonts w:ascii="Palatino Linotype" w:hAnsi="Palatino Linotype"/>
          <w:b/>
          <w:bCs/>
        </w:rPr>
        <w:t>cinco</w:t>
      </w:r>
      <w:r w:rsidR="0036376D">
        <w:rPr>
          <w:rFonts w:ascii="Palatino Linotype" w:hAnsi="Palatino Linotype"/>
          <w:b/>
          <w:bCs/>
        </w:rPr>
        <w:t xml:space="preserve">- </w:t>
      </w:r>
      <w:r w:rsidR="0036376D">
        <w:rPr>
          <w:rFonts w:ascii="Palatino Linotype" w:hAnsi="Palatino Linotype"/>
          <w:bCs/>
        </w:rPr>
        <w:t xml:space="preserve">requerimientos, respecto de los cuales fue omiso en señalar elemento temporal. </w:t>
      </w:r>
      <w:r w:rsidR="000C2E41">
        <w:rPr>
          <w:rFonts w:ascii="Palatino Linotype" w:hAnsi="Palatino Linotype"/>
          <w:bCs/>
        </w:rPr>
        <w:t xml:space="preserve">En este sentido, en alusión a los requerimientos </w:t>
      </w:r>
      <w:r w:rsidR="004A68CA">
        <w:rPr>
          <w:rFonts w:ascii="Palatino Linotype" w:hAnsi="Palatino Linotype"/>
          <w:b/>
          <w:bCs/>
        </w:rPr>
        <w:t>1</w:t>
      </w:r>
      <w:r w:rsidR="004D434A">
        <w:rPr>
          <w:rFonts w:ascii="Palatino Linotype" w:hAnsi="Palatino Linotype"/>
          <w:b/>
          <w:bCs/>
        </w:rPr>
        <w:t xml:space="preserve"> </w:t>
      </w:r>
      <w:r w:rsidR="004D434A">
        <w:rPr>
          <w:rFonts w:ascii="Palatino Linotype" w:hAnsi="Palatino Linotype"/>
          <w:bCs/>
        </w:rPr>
        <w:t>(expediente laboral)</w:t>
      </w:r>
      <w:r w:rsidR="004A68CA">
        <w:rPr>
          <w:rFonts w:ascii="Palatino Linotype" w:hAnsi="Palatino Linotype"/>
          <w:b/>
          <w:bCs/>
        </w:rPr>
        <w:t xml:space="preserve">, 4 </w:t>
      </w:r>
      <w:r w:rsidR="004D434A">
        <w:rPr>
          <w:rFonts w:ascii="Palatino Linotype" w:hAnsi="Palatino Linotype"/>
          <w:bCs/>
        </w:rPr>
        <w:t xml:space="preserve">(declaración patrimonial) </w:t>
      </w:r>
      <w:r w:rsidR="004A68CA">
        <w:rPr>
          <w:rFonts w:ascii="Palatino Linotype" w:hAnsi="Palatino Linotype"/>
          <w:b/>
          <w:bCs/>
        </w:rPr>
        <w:t>y 5</w:t>
      </w:r>
      <w:r w:rsidR="004D434A">
        <w:rPr>
          <w:rFonts w:ascii="Palatino Linotype" w:hAnsi="Palatino Linotype"/>
          <w:b/>
          <w:bCs/>
        </w:rPr>
        <w:t xml:space="preserve"> </w:t>
      </w:r>
      <w:r w:rsidR="004D434A">
        <w:rPr>
          <w:rFonts w:ascii="Palatino Linotype" w:hAnsi="Palatino Linotype"/>
          <w:bCs/>
        </w:rPr>
        <w:t xml:space="preserve">(cédula profesional), éstos deben de ser fijados a la fecha de la solicitud, es decir al doce de mayo de dos mil veintiuno. </w:t>
      </w:r>
    </w:p>
    <w:p w14:paraId="4A878867" w14:textId="172D00FE" w:rsidR="004D434A" w:rsidRDefault="004D434A"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lastRenderedPageBreak/>
        <w:t xml:space="preserve">Con relación al requerimiento </w:t>
      </w:r>
      <w:r>
        <w:rPr>
          <w:rFonts w:ascii="Palatino Linotype" w:hAnsi="Palatino Linotype"/>
          <w:b/>
          <w:bCs/>
        </w:rPr>
        <w:t xml:space="preserve">2 </w:t>
      </w:r>
      <w:r>
        <w:rPr>
          <w:rFonts w:ascii="Palatino Linotype" w:hAnsi="Palatino Linotype"/>
          <w:bCs/>
        </w:rPr>
        <w:t>(remuneraciones</w:t>
      </w:r>
      <w:r w:rsidR="001C4445">
        <w:rPr>
          <w:rFonts w:ascii="Palatino Linotype" w:hAnsi="Palatino Linotype"/>
          <w:bCs/>
        </w:rPr>
        <w:t xml:space="preserve"> y prestaciones), éste se fija del dieciséis al treinta de abril de dos mil veintiuno, al considerar que se trata de un soporte documental generado quincenalmente. </w:t>
      </w:r>
    </w:p>
    <w:p w14:paraId="209182F1" w14:textId="2355B6A7" w:rsidR="00C24573" w:rsidRDefault="00C24573" w:rsidP="00C24573">
      <w:pPr>
        <w:spacing w:before="240" w:line="360" w:lineRule="auto"/>
        <w:jc w:val="both"/>
        <w:rPr>
          <w:rFonts w:ascii="Palatino Linotype" w:hAnsi="Palatino Linotype"/>
        </w:rPr>
      </w:pPr>
      <w:r>
        <w:rPr>
          <w:rFonts w:ascii="Palatino Linotype" w:hAnsi="Palatino Linotype" w:cs="Arial"/>
          <w:sz w:val="24"/>
          <w:szCs w:val="24"/>
        </w:rPr>
        <w:t xml:space="preserve">Dichas precisiones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09591AEA" w14:textId="77777777" w:rsidR="00C24573" w:rsidRPr="00BC704A" w:rsidRDefault="00C24573" w:rsidP="00C24573">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A6A41CC" w14:textId="77777777" w:rsidR="00C24573" w:rsidRPr="00BC704A" w:rsidRDefault="00C24573" w:rsidP="00C24573">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196B1131" w14:textId="77777777" w:rsidR="00C24573" w:rsidRDefault="00C24573" w:rsidP="00C24573">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4D539A29" w14:textId="77777777" w:rsidR="002467A7" w:rsidRDefault="002467A7" w:rsidP="005056EA">
      <w:pPr>
        <w:pStyle w:val="Prrafodelista"/>
        <w:autoSpaceDE w:val="0"/>
        <w:autoSpaceDN w:val="0"/>
        <w:adjustRightInd w:val="0"/>
        <w:spacing w:before="240" w:after="160" w:line="360" w:lineRule="auto"/>
        <w:ind w:left="0"/>
        <w:jc w:val="both"/>
        <w:rPr>
          <w:rFonts w:ascii="Palatino Linotype" w:hAnsi="Palatino Linotype"/>
          <w:bCs/>
        </w:rPr>
      </w:pPr>
    </w:p>
    <w:p w14:paraId="6CB2FA30" w14:textId="7A47047C" w:rsidR="00C24573" w:rsidRDefault="00882B0F"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Ahora bien, con relación al requerimiento </w:t>
      </w:r>
      <w:r>
        <w:rPr>
          <w:rFonts w:ascii="Palatino Linotype" w:hAnsi="Palatino Linotype"/>
          <w:b/>
          <w:bCs/>
        </w:rPr>
        <w:t xml:space="preserve">3 </w:t>
      </w:r>
      <w:r>
        <w:rPr>
          <w:rFonts w:ascii="Palatino Linotype" w:hAnsi="Palatino Linotype"/>
          <w:bCs/>
        </w:rPr>
        <w:t xml:space="preserve">(denuncias y quejas), resulta oportuno traer a colación el criterio relevante </w:t>
      </w:r>
      <w:r w:rsidR="00065EF1">
        <w:rPr>
          <w:rFonts w:ascii="Palatino Linotype" w:hAnsi="Palatino Linotype"/>
          <w:b/>
          <w:bCs/>
        </w:rPr>
        <w:t>03/19</w:t>
      </w:r>
      <w:r w:rsidR="00065EF1">
        <w:rPr>
          <w:rFonts w:ascii="Palatino Linotype" w:hAnsi="Palatino Linotype"/>
          <w:bCs/>
        </w:rPr>
        <w:t xml:space="preserve"> emitido por el Órgano Garante Nacional, cuyo contenido dispone a la literalidad lo siguiente: </w:t>
      </w:r>
    </w:p>
    <w:p w14:paraId="4293C4BC" w14:textId="48767BF6" w:rsidR="00065EF1" w:rsidRDefault="00065EF1" w:rsidP="00065EF1">
      <w:pPr>
        <w:pStyle w:val="Citas"/>
        <w:rPr>
          <w:b/>
        </w:rPr>
      </w:pPr>
      <w:r>
        <w:rPr>
          <w:b/>
        </w:rPr>
        <w:t>“</w:t>
      </w:r>
      <w:r w:rsidRPr="007603E6">
        <w:rPr>
          <w:b/>
        </w:rPr>
        <w:t xml:space="preserve">Periodo de búsqueda de la información. </w:t>
      </w:r>
    </w:p>
    <w:p w14:paraId="42B8B02C" w14:textId="39EF3C3C" w:rsidR="00065EF1" w:rsidRDefault="00065EF1" w:rsidP="00065EF1">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w:t>
      </w:r>
      <w:r w:rsidRPr="007603E6">
        <w:lastRenderedPageBreak/>
        <w:t>información, que el requerimiento se refiere al año inmediato anterior, contado a partir de la fecha en que se presentó la solicitud.</w:t>
      </w:r>
    </w:p>
    <w:p w14:paraId="7818F077" w14:textId="77777777" w:rsidR="00065EF1" w:rsidRPr="00A15759" w:rsidRDefault="00065EF1" w:rsidP="00065EF1">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6FCE0A86" w14:textId="77777777" w:rsidR="00065EF1" w:rsidRPr="005177EB" w:rsidRDefault="00065EF1" w:rsidP="00065EF1">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4E76BC47" w14:textId="7254DB8A" w:rsidR="00065EF1" w:rsidRPr="00065EF1" w:rsidRDefault="00C355EF" w:rsidP="00065EF1">
      <w:pPr>
        <w:pStyle w:val="Citas"/>
      </w:pPr>
      <w:hyperlink r:id="rId10" w:history="1">
        <w:r w:rsidR="00065EF1" w:rsidRPr="00065EF1">
          <w:rPr>
            <w:rStyle w:val="Hipervnculo"/>
            <w:color w:val="auto"/>
            <w:u w:val="none"/>
          </w:rPr>
          <w:t>http://consultas.ifai.org.mx/descargar.php?r=./pdf/resoluciones/2017/&amp;a=RRA%2022.pdf</w:t>
        </w:r>
      </w:hyperlink>
    </w:p>
    <w:p w14:paraId="3C21C48A" w14:textId="77777777" w:rsidR="00065EF1" w:rsidRPr="00065EF1" w:rsidRDefault="00065EF1" w:rsidP="00065EF1">
      <w:pPr>
        <w:pStyle w:val="Citas"/>
      </w:pPr>
      <w:r w:rsidRPr="00120E92">
        <w:rPr>
          <w:b/>
        </w:rPr>
        <w:t xml:space="preserve">RRA 2536/17. </w:t>
      </w:r>
      <w:r w:rsidRPr="00065EF1">
        <w:t xml:space="preserve">Secretaría de Gobernación. 07 de junio de 2017. Por unanimidad. Comisionada Ponente Areli Cano Guadiana. </w:t>
      </w:r>
    </w:p>
    <w:p w14:paraId="767DA651" w14:textId="77777777" w:rsidR="00065EF1" w:rsidRPr="00065EF1" w:rsidRDefault="00C355EF" w:rsidP="00065EF1">
      <w:pPr>
        <w:pStyle w:val="Citas"/>
      </w:pPr>
      <w:hyperlink r:id="rId11" w:history="1">
        <w:r w:rsidR="00065EF1" w:rsidRPr="00065EF1">
          <w:rPr>
            <w:rStyle w:val="Hipervnculo"/>
            <w:color w:val="auto"/>
            <w:u w:val="none"/>
          </w:rPr>
          <w:t>http://consultas.ifai.org.mx/descargar.php?r=./pdf/resoluciones/2017/&amp;a=RRA%202536.pdf</w:t>
        </w:r>
      </w:hyperlink>
      <w:r w:rsidR="00065EF1" w:rsidRPr="00065EF1">
        <w:t xml:space="preserve"> </w:t>
      </w:r>
    </w:p>
    <w:p w14:paraId="4D625681" w14:textId="77777777" w:rsidR="00065EF1" w:rsidRPr="00065EF1" w:rsidRDefault="00065EF1" w:rsidP="00065EF1">
      <w:pPr>
        <w:pStyle w:val="Citas"/>
      </w:pPr>
      <w:r w:rsidRPr="00065EF1">
        <w:t>RRA 3482/17. Secretaría de Comunicaciones y Transportes. 02 de agosto de 2017. Por unanimidad. Comisionado Ponente Oscar Mauricio Guerra Ford.</w:t>
      </w:r>
    </w:p>
    <w:p w14:paraId="422400FF" w14:textId="296044EC" w:rsidR="00065EF1" w:rsidRPr="00416953" w:rsidRDefault="00C355EF" w:rsidP="00065EF1">
      <w:pPr>
        <w:pStyle w:val="Citas"/>
        <w:rPr>
          <w:b/>
        </w:rPr>
      </w:pPr>
      <w:hyperlink r:id="rId12" w:history="1">
        <w:r w:rsidR="00065EF1" w:rsidRPr="00065EF1">
          <w:rPr>
            <w:rStyle w:val="Hipervnculo"/>
            <w:color w:val="auto"/>
            <w:u w:val="none"/>
          </w:rPr>
          <w:t>http://consultas.ifai.org.mx/descargar.php?r=./pdf/resoluciones/2017/&amp;a=RRA%203482.pdf</w:t>
        </w:r>
      </w:hyperlink>
      <w:r w:rsidR="00416953">
        <w:rPr>
          <w:rStyle w:val="Hipervnculo"/>
          <w:color w:val="auto"/>
          <w:u w:val="none"/>
        </w:rPr>
        <w:t xml:space="preserve">” </w:t>
      </w:r>
      <w:r w:rsidR="00416953">
        <w:rPr>
          <w:rStyle w:val="Hipervnculo"/>
          <w:b/>
          <w:color w:val="auto"/>
          <w:u w:val="none"/>
        </w:rPr>
        <w:t xml:space="preserve">[Sic] </w:t>
      </w:r>
    </w:p>
    <w:p w14:paraId="52A0872B" w14:textId="77777777" w:rsidR="00416953" w:rsidRDefault="00416953" w:rsidP="00416953">
      <w:pPr>
        <w:spacing w:before="240" w:line="360" w:lineRule="auto"/>
        <w:ind w:right="72"/>
        <w:jc w:val="both"/>
        <w:rPr>
          <w:rFonts w:ascii="Palatino Linotype" w:hAnsi="Palatino Linotype" w:cs="Arial"/>
          <w:sz w:val="24"/>
          <w:szCs w:val="24"/>
        </w:rPr>
      </w:pPr>
    </w:p>
    <w:p w14:paraId="31B04700" w14:textId="77777777" w:rsidR="00416953" w:rsidRDefault="00416953" w:rsidP="00416953">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y delimitar el requerimiento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B4DE9EB" w14:textId="77777777" w:rsidR="002467A7" w:rsidRPr="00D566F2" w:rsidRDefault="002467A7" w:rsidP="00416953">
      <w:pPr>
        <w:spacing w:before="240" w:line="360" w:lineRule="auto"/>
        <w:ind w:right="72"/>
        <w:jc w:val="both"/>
        <w:rPr>
          <w:rFonts w:ascii="Palatino Linotype" w:hAnsi="Palatino Linotype" w:cs="Arial"/>
        </w:rPr>
      </w:pPr>
    </w:p>
    <w:p w14:paraId="4004FE06" w14:textId="0F1F2EB6" w:rsidR="00583220" w:rsidRPr="00583220" w:rsidRDefault="00583220" w:rsidP="005056EA">
      <w:pPr>
        <w:pStyle w:val="Prrafodelista"/>
        <w:autoSpaceDE w:val="0"/>
        <w:autoSpaceDN w:val="0"/>
        <w:adjustRightInd w:val="0"/>
        <w:spacing w:before="240" w:after="160" w:line="360" w:lineRule="auto"/>
        <w:ind w:left="0"/>
        <w:jc w:val="both"/>
        <w:rPr>
          <w:rFonts w:ascii="Palatino Linotype" w:hAnsi="Palatino Linotype"/>
          <w:b/>
          <w:bCs/>
        </w:rPr>
      </w:pPr>
      <w:r>
        <w:rPr>
          <w:rFonts w:ascii="Palatino Linotype" w:hAnsi="Palatino Linotype"/>
          <w:b/>
          <w:bCs/>
        </w:rPr>
        <w:lastRenderedPageBreak/>
        <w:t xml:space="preserve">Del </w:t>
      </w:r>
      <w:r w:rsidR="00873C4C">
        <w:rPr>
          <w:rFonts w:ascii="Palatino Linotype" w:hAnsi="Palatino Linotype"/>
          <w:b/>
          <w:bCs/>
        </w:rPr>
        <w:t>servidor público referido en la solicitud de información 00006/JAPEM/IP/2021</w:t>
      </w:r>
    </w:p>
    <w:p w14:paraId="49D5CD1C" w14:textId="5DFA57CC" w:rsidR="00583220" w:rsidRDefault="00583220" w:rsidP="008C6D37">
      <w:pPr>
        <w:pStyle w:val="Prrafodelista"/>
        <w:numPr>
          <w:ilvl w:val="0"/>
          <w:numId w:val="5"/>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w:t>
      </w:r>
      <w:r w:rsidR="00437F6C">
        <w:rPr>
          <w:rFonts w:ascii="Palatino Linotype" w:hAnsi="Palatino Linotype"/>
          <w:bCs/>
        </w:rPr>
        <w:t xml:space="preserve">que integran el expediente laboral, al doce de mayo de dos mil veintiuno. </w:t>
      </w:r>
    </w:p>
    <w:p w14:paraId="38F9B0A4" w14:textId="429CE706" w:rsidR="00437F6C" w:rsidRDefault="00437F6C" w:rsidP="008C6D37">
      <w:pPr>
        <w:pStyle w:val="Prrafodelista"/>
        <w:numPr>
          <w:ilvl w:val="0"/>
          <w:numId w:val="5"/>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E</w:t>
      </w:r>
      <w:r w:rsidR="00D6598F">
        <w:rPr>
          <w:rFonts w:ascii="Palatino Linotype" w:hAnsi="Palatino Linotype"/>
          <w:bCs/>
        </w:rPr>
        <w:t>l o los documentos donde consten las rem</w:t>
      </w:r>
      <w:r w:rsidR="008D61B6">
        <w:rPr>
          <w:rFonts w:ascii="Palatino Linotype" w:hAnsi="Palatino Linotype"/>
          <w:bCs/>
        </w:rPr>
        <w:t xml:space="preserve">uneraciones brutas y netas, incluyendo prestaciones y/o equivalentes, </w:t>
      </w:r>
      <w:r w:rsidR="007F5F9F">
        <w:rPr>
          <w:rFonts w:ascii="Palatino Linotype" w:hAnsi="Palatino Linotype"/>
          <w:bCs/>
        </w:rPr>
        <w:t xml:space="preserve">del dieciséis al treinta de abril de dos mil veintiuno. </w:t>
      </w:r>
    </w:p>
    <w:p w14:paraId="16567811" w14:textId="206550A2" w:rsidR="00416FB7" w:rsidRDefault="00416FB7" w:rsidP="008C6D37">
      <w:pPr>
        <w:pStyle w:val="Prrafodelista"/>
        <w:numPr>
          <w:ilvl w:val="0"/>
          <w:numId w:val="5"/>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vinculados con denuncias o quejas, durante el periodo comprendido del doce de mayo de dos mil veinte al doce de mayo de dos mil veintiuno. </w:t>
      </w:r>
    </w:p>
    <w:p w14:paraId="6929DB52" w14:textId="32833C9D" w:rsidR="00416FB7" w:rsidRDefault="008C1FB2" w:rsidP="008C6D37">
      <w:pPr>
        <w:pStyle w:val="Prrafodelista"/>
        <w:numPr>
          <w:ilvl w:val="0"/>
          <w:numId w:val="5"/>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Declaración patrimonial, al doce de mayo de dos mil veintiuno. </w:t>
      </w:r>
    </w:p>
    <w:p w14:paraId="1E66F12D" w14:textId="044F38F9" w:rsidR="000C2E41" w:rsidRDefault="000C2E41" w:rsidP="008C6D37">
      <w:pPr>
        <w:pStyle w:val="Prrafodelista"/>
        <w:numPr>
          <w:ilvl w:val="0"/>
          <w:numId w:val="5"/>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Cédula profesional, al doce de mayo de dos mil veintiuno. </w:t>
      </w:r>
    </w:p>
    <w:p w14:paraId="639212A7" w14:textId="77777777" w:rsidR="00B6458B" w:rsidRDefault="00B6458B" w:rsidP="005056EA">
      <w:pPr>
        <w:pStyle w:val="Prrafodelista"/>
        <w:autoSpaceDE w:val="0"/>
        <w:autoSpaceDN w:val="0"/>
        <w:adjustRightInd w:val="0"/>
        <w:spacing w:before="240" w:after="160" w:line="360" w:lineRule="auto"/>
        <w:ind w:left="0"/>
        <w:jc w:val="both"/>
        <w:rPr>
          <w:rFonts w:ascii="Palatino Linotype" w:hAnsi="Palatino Linotype"/>
          <w:bCs/>
        </w:rPr>
      </w:pPr>
    </w:p>
    <w:p w14:paraId="598440E8" w14:textId="42ACD32F" w:rsidR="00771ABD" w:rsidRDefault="00771ABD" w:rsidP="0050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 mayor abundamiento, en alusión a la normatividad previamente plasmada, sirven de sustento las siguientes imágenes ilustrativas, correspondientes al organigrama del </w:t>
      </w:r>
      <w:r>
        <w:rPr>
          <w:rFonts w:ascii="Palatino Linotype" w:hAnsi="Palatino Linotype" w:cs="Arial"/>
          <w:b/>
          <w:bCs/>
        </w:rPr>
        <w:t xml:space="preserve">Sujeto Obligado, </w:t>
      </w:r>
      <w:r>
        <w:rPr>
          <w:rFonts w:ascii="Palatino Linotype" w:hAnsi="Palatino Linotype" w:cs="Arial"/>
        </w:rPr>
        <w:t xml:space="preserve">mismo que puede ser consultado en la siguiente dirección electrónica:  </w:t>
      </w:r>
    </w:p>
    <w:p w14:paraId="7B2E85B1" w14:textId="23CDCCD0" w:rsidR="00771ABD" w:rsidRDefault="00C355EF" w:rsidP="005056EA">
      <w:pPr>
        <w:pStyle w:val="Prrafodelista"/>
        <w:autoSpaceDE w:val="0"/>
        <w:autoSpaceDN w:val="0"/>
        <w:adjustRightInd w:val="0"/>
        <w:spacing w:before="240" w:after="160" w:line="360" w:lineRule="auto"/>
        <w:ind w:left="0"/>
        <w:jc w:val="both"/>
        <w:rPr>
          <w:rFonts w:ascii="Palatino Linotype" w:hAnsi="Palatino Linotype"/>
          <w:bCs/>
        </w:rPr>
      </w:pPr>
      <w:hyperlink r:id="rId13" w:history="1">
        <w:r w:rsidR="008D2EDE" w:rsidRPr="005B5E00">
          <w:rPr>
            <w:rStyle w:val="Hipervnculo"/>
            <w:rFonts w:ascii="Palatino Linotype" w:hAnsi="Palatino Linotype"/>
            <w:bCs/>
          </w:rPr>
          <w:t>https://www.ipomex.org.mx/ipo3/lgt/indice/JAPEM/art_92_ii_b.web</w:t>
        </w:r>
      </w:hyperlink>
      <w:r w:rsidR="008D2EDE">
        <w:rPr>
          <w:rFonts w:ascii="Palatino Linotype" w:hAnsi="Palatino Linotype"/>
          <w:bCs/>
        </w:rPr>
        <w:t xml:space="preserve"> </w:t>
      </w:r>
    </w:p>
    <w:p w14:paraId="4067CDEC" w14:textId="77777777" w:rsidR="008D2EDE" w:rsidRDefault="008D2EDE" w:rsidP="005056EA">
      <w:pPr>
        <w:pStyle w:val="Prrafodelista"/>
        <w:autoSpaceDE w:val="0"/>
        <w:autoSpaceDN w:val="0"/>
        <w:adjustRightInd w:val="0"/>
        <w:spacing w:before="240" w:after="160" w:line="360" w:lineRule="auto"/>
        <w:ind w:left="0"/>
        <w:jc w:val="both"/>
        <w:rPr>
          <w:rFonts w:ascii="Palatino Linotype" w:hAnsi="Palatino Linotype"/>
          <w:bCs/>
        </w:rPr>
      </w:pPr>
    </w:p>
    <w:p w14:paraId="41BAF32D" w14:textId="327699EF" w:rsidR="00771ABD" w:rsidRDefault="0089738C" w:rsidP="005056EA">
      <w:pPr>
        <w:pStyle w:val="Prrafodelista"/>
        <w:autoSpaceDE w:val="0"/>
        <w:autoSpaceDN w:val="0"/>
        <w:adjustRightInd w:val="0"/>
        <w:spacing w:before="240" w:after="160" w:line="360" w:lineRule="auto"/>
        <w:ind w:left="0"/>
        <w:jc w:val="both"/>
        <w:rPr>
          <w:rFonts w:ascii="Palatino Linotype" w:hAnsi="Palatino Linotype"/>
          <w:bCs/>
        </w:rPr>
      </w:pPr>
      <w:r>
        <w:rPr>
          <w:noProof/>
          <w:lang w:val="es-MX" w:eastAsia="es-MX"/>
        </w:rPr>
        <w:lastRenderedPageBreak/>
        <w:drawing>
          <wp:anchor distT="0" distB="0" distL="114300" distR="114300" simplePos="0" relativeHeight="251652090" behindDoc="0" locked="0" layoutInCell="1" allowOverlap="1" wp14:anchorId="688E73E2" wp14:editId="32245822">
            <wp:simplePos x="0" y="0"/>
            <wp:positionH relativeFrom="page">
              <wp:align>center</wp:align>
            </wp:positionH>
            <wp:positionV relativeFrom="paragraph">
              <wp:posOffset>19584</wp:posOffset>
            </wp:positionV>
            <wp:extent cx="5727700" cy="3566160"/>
            <wp:effectExtent l="19050" t="19050" r="25400" b="15240"/>
            <wp:wrapThrough wrapText="bothSides">
              <wp:wrapPolygon edited="0">
                <wp:start x="-72" y="-115"/>
                <wp:lineTo x="-72" y="21577"/>
                <wp:lineTo x="21624" y="21577"/>
                <wp:lineTo x="21624" y="-115"/>
                <wp:lineTo x="-72" y="-11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35661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0FD898" w14:textId="6D69FD21" w:rsidR="00771ABD" w:rsidRDefault="00C659DE"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drawing>
          <wp:anchor distT="0" distB="0" distL="114300" distR="114300" simplePos="0" relativeHeight="251666432" behindDoc="0" locked="0" layoutInCell="1" allowOverlap="1" wp14:anchorId="58882F35" wp14:editId="106B03A6">
            <wp:simplePos x="0" y="0"/>
            <wp:positionH relativeFrom="column">
              <wp:posOffset>3126003</wp:posOffset>
            </wp:positionH>
            <wp:positionV relativeFrom="paragraph">
              <wp:posOffset>81280</wp:posOffset>
            </wp:positionV>
            <wp:extent cx="2136140" cy="1309370"/>
            <wp:effectExtent l="19050" t="19050" r="16510" b="24130"/>
            <wp:wrapThrough wrapText="bothSides">
              <wp:wrapPolygon edited="0">
                <wp:start x="-193" y="-314"/>
                <wp:lineTo x="-193" y="21684"/>
                <wp:lineTo x="21574" y="21684"/>
                <wp:lineTo x="21574" y="-314"/>
                <wp:lineTo x="-193" y="-314"/>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6140" cy="1309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val="es-MX" w:eastAsia="es-MX"/>
        </w:rPr>
        <w:drawing>
          <wp:anchor distT="0" distB="0" distL="114300" distR="114300" simplePos="0" relativeHeight="251651065" behindDoc="0" locked="0" layoutInCell="1" allowOverlap="1" wp14:anchorId="7353F25A" wp14:editId="1620CE61">
            <wp:simplePos x="0" y="0"/>
            <wp:positionH relativeFrom="margin">
              <wp:posOffset>274295</wp:posOffset>
            </wp:positionH>
            <wp:positionV relativeFrom="paragraph">
              <wp:posOffset>88265</wp:posOffset>
            </wp:positionV>
            <wp:extent cx="2121535" cy="1301750"/>
            <wp:effectExtent l="19050" t="19050" r="12065" b="12700"/>
            <wp:wrapThrough wrapText="bothSides">
              <wp:wrapPolygon edited="0">
                <wp:start x="-194" y="-316"/>
                <wp:lineTo x="-194" y="21495"/>
                <wp:lineTo x="21529" y="21495"/>
                <wp:lineTo x="21529" y="-316"/>
                <wp:lineTo x="-194" y="-316"/>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1535" cy="1301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B5F230" w14:textId="2F341209" w:rsidR="008D2EDE" w:rsidRDefault="008D2EDE" w:rsidP="005056EA">
      <w:pPr>
        <w:pStyle w:val="Prrafodelista"/>
        <w:autoSpaceDE w:val="0"/>
        <w:autoSpaceDN w:val="0"/>
        <w:adjustRightInd w:val="0"/>
        <w:spacing w:before="240" w:after="160" w:line="360" w:lineRule="auto"/>
        <w:ind w:left="0"/>
        <w:jc w:val="both"/>
        <w:rPr>
          <w:rFonts w:ascii="Palatino Linotype" w:hAnsi="Palatino Linotype"/>
          <w:bCs/>
        </w:rPr>
      </w:pPr>
    </w:p>
    <w:p w14:paraId="0D18C89F" w14:textId="3A6C1337" w:rsidR="008D2EDE" w:rsidRDefault="008D2EDE" w:rsidP="005056EA">
      <w:pPr>
        <w:pStyle w:val="Prrafodelista"/>
        <w:autoSpaceDE w:val="0"/>
        <w:autoSpaceDN w:val="0"/>
        <w:adjustRightInd w:val="0"/>
        <w:spacing w:before="240" w:after="160" w:line="360" w:lineRule="auto"/>
        <w:ind w:left="0"/>
        <w:jc w:val="both"/>
        <w:rPr>
          <w:rFonts w:ascii="Palatino Linotype" w:hAnsi="Palatino Linotype"/>
          <w:bCs/>
        </w:rPr>
      </w:pPr>
    </w:p>
    <w:p w14:paraId="0AD5438C" w14:textId="663375A7" w:rsidR="008D2EDE" w:rsidRDefault="008D2EDE" w:rsidP="005056EA">
      <w:pPr>
        <w:pStyle w:val="Prrafodelista"/>
        <w:autoSpaceDE w:val="0"/>
        <w:autoSpaceDN w:val="0"/>
        <w:adjustRightInd w:val="0"/>
        <w:spacing w:before="240" w:after="160" w:line="360" w:lineRule="auto"/>
        <w:ind w:left="0"/>
        <w:jc w:val="both"/>
        <w:rPr>
          <w:rFonts w:ascii="Palatino Linotype" w:hAnsi="Palatino Linotype"/>
          <w:bCs/>
        </w:rPr>
      </w:pPr>
    </w:p>
    <w:p w14:paraId="19CC4FB0" w14:textId="5B34589C" w:rsidR="00E1253C" w:rsidRPr="008F5972" w:rsidRDefault="005A7010" w:rsidP="0050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se auxilia de diversas Unidades, Direcciones, Jefaturas y Departamentos para cumplir con sus fines y objetivos, resultando de nuestro interés la esfera competencial de la Unidad de Apoyo Administrativo, así como del Órgano Interno de C</w:t>
      </w:r>
      <w:r w:rsidR="00062ED4">
        <w:rPr>
          <w:rFonts w:ascii="Palatino Linotype" w:hAnsi="Palatino Linotype" w:cs="Arial"/>
        </w:rPr>
        <w:t xml:space="preserve">ontrol. En este tenor, resultan </w:t>
      </w:r>
      <w:r w:rsidR="00062ED4" w:rsidRPr="008F5972">
        <w:rPr>
          <w:rFonts w:ascii="Palatino Linotype" w:hAnsi="Palatino Linotype" w:cs="Arial"/>
        </w:rPr>
        <w:lastRenderedPageBreak/>
        <w:t xml:space="preserve">aplicables </w:t>
      </w:r>
      <w:r w:rsidR="00BA4358">
        <w:rPr>
          <w:rFonts w:ascii="Palatino Linotype" w:hAnsi="Palatino Linotype" w:cs="Arial"/>
        </w:rPr>
        <w:t xml:space="preserve">el artículo 14 de la Ley de Instituciones de Asistencia Privada del Estado de México, los numerales </w:t>
      </w:r>
      <w:r w:rsidR="0019120B" w:rsidRPr="008F5972">
        <w:rPr>
          <w:rFonts w:ascii="Palatino Linotype" w:hAnsi="Palatino Linotype" w:cs="Arial"/>
        </w:rPr>
        <w:t xml:space="preserve"> 16, fracciones I, II y III y 17, fracciones X y XIV del Reglamento Interior de la Junta de Asistencia Privada del Estado de México</w:t>
      </w:r>
      <w:r w:rsidR="00EC1354" w:rsidRPr="008F5972">
        <w:rPr>
          <w:rFonts w:ascii="Palatino Linotype" w:hAnsi="Palatino Linotype" w:cs="Arial"/>
        </w:rPr>
        <w:t xml:space="preserve">; así como los apartados </w:t>
      </w:r>
      <w:r w:rsidR="008F5972" w:rsidRPr="008F5972">
        <w:rPr>
          <w:rFonts w:ascii="Palatino Linotype" w:hAnsi="Palatino Linotype"/>
          <w:b/>
        </w:rPr>
        <w:t>215E10001</w:t>
      </w:r>
      <w:r w:rsidR="008F5972" w:rsidRPr="008F5972">
        <w:rPr>
          <w:rFonts w:ascii="Palatino Linotype" w:hAnsi="Palatino Linotype"/>
        </w:rPr>
        <w:t xml:space="preserve"> y </w:t>
      </w:r>
      <w:r w:rsidR="008F5972" w:rsidRPr="008F5972">
        <w:rPr>
          <w:rFonts w:ascii="Palatino Linotype" w:hAnsi="Palatino Linotype" w:cs="Arial"/>
          <w:b/>
        </w:rPr>
        <w:t>215E100002</w:t>
      </w:r>
      <w:r w:rsidR="008F5972">
        <w:rPr>
          <w:rFonts w:ascii="Palatino Linotype" w:hAnsi="Palatino Linotype" w:cs="Arial"/>
          <w:b/>
        </w:rPr>
        <w:t xml:space="preserve"> </w:t>
      </w:r>
      <w:r w:rsidR="008F5972">
        <w:rPr>
          <w:rFonts w:ascii="Palatino Linotype" w:hAnsi="Palatino Linotype" w:cs="Arial"/>
        </w:rPr>
        <w:t xml:space="preserve">del Manual General de Organización del </w:t>
      </w:r>
      <w:r w:rsidR="008F5972">
        <w:rPr>
          <w:rFonts w:ascii="Palatino Linotype" w:hAnsi="Palatino Linotype" w:cs="Arial"/>
          <w:b/>
        </w:rPr>
        <w:t xml:space="preserve">Sujeto Obligado, </w:t>
      </w:r>
      <w:r w:rsidR="008F5972">
        <w:rPr>
          <w:rFonts w:ascii="Palatino Linotype" w:hAnsi="Palatino Linotype" w:cs="Arial"/>
        </w:rPr>
        <w:t xml:space="preserve">porciones normativas que disponen a la literalidad lo siguiente: </w:t>
      </w:r>
    </w:p>
    <w:p w14:paraId="0238307E" w14:textId="744A549E" w:rsidR="00BA4358" w:rsidRPr="00BA4358" w:rsidRDefault="00BA4358" w:rsidP="00120E92">
      <w:pPr>
        <w:pStyle w:val="Citas"/>
        <w:jc w:val="center"/>
        <w:rPr>
          <w:b/>
        </w:rPr>
      </w:pPr>
      <w:r w:rsidRPr="00BA4358">
        <w:rPr>
          <w:b/>
        </w:rPr>
        <w:t xml:space="preserve">Ley de Instituciones de Asistencia Privada del Estado de México </w:t>
      </w:r>
    </w:p>
    <w:p w14:paraId="5A0CEBC7" w14:textId="614AD516" w:rsidR="00BA4358" w:rsidRDefault="00BA4358" w:rsidP="00BA4358">
      <w:pPr>
        <w:pStyle w:val="Citas"/>
      </w:pPr>
      <w:r>
        <w:t xml:space="preserve">“Artículo 14.- La Junta de Asistencia Privada del Estado de México es un organismo descentralizado del Gobierno del Estado, y tiene por objeto el cuidado, fomento, desarrollo, vigilancia, asesoría y coordinación de las Instituciones de Asistencia Privada dentro del territorio Estatal. </w:t>
      </w:r>
    </w:p>
    <w:p w14:paraId="40A900C1" w14:textId="2A0C02F6" w:rsidR="00BA4358" w:rsidRPr="00BA4358" w:rsidRDefault="00BA4358" w:rsidP="00BA4358">
      <w:pPr>
        <w:pStyle w:val="Citas"/>
        <w:rPr>
          <w:b/>
        </w:rPr>
      </w:pPr>
      <w:r>
        <w:t xml:space="preserve">La Junta contará con el presupuesto que le asigne el Estado, así como las cuotas que reciba de las Instituciones.” </w:t>
      </w:r>
      <w:r>
        <w:rPr>
          <w:b/>
        </w:rPr>
        <w:t>[Sic]</w:t>
      </w:r>
    </w:p>
    <w:p w14:paraId="2E8EC1AF" w14:textId="77777777" w:rsidR="00BA4358" w:rsidRDefault="00BA4358" w:rsidP="00120E92">
      <w:pPr>
        <w:pStyle w:val="Citas"/>
        <w:jc w:val="center"/>
        <w:rPr>
          <w:b/>
        </w:rPr>
      </w:pPr>
    </w:p>
    <w:p w14:paraId="16F52141" w14:textId="2B8BCDBB" w:rsidR="00120E92" w:rsidRPr="00120E92" w:rsidRDefault="00120E92" w:rsidP="00120E92">
      <w:pPr>
        <w:pStyle w:val="Citas"/>
        <w:jc w:val="center"/>
        <w:rPr>
          <w:b/>
        </w:rPr>
      </w:pPr>
      <w:r>
        <w:rPr>
          <w:b/>
        </w:rPr>
        <w:t>Reglamento Interior de la Junta de Asistencia Privada del Estado de México</w:t>
      </w:r>
    </w:p>
    <w:p w14:paraId="44E7E381" w14:textId="77777777" w:rsidR="00120E92" w:rsidRDefault="00120E92" w:rsidP="00120E92">
      <w:pPr>
        <w:pStyle w:val="Citas"/>
      </w:pPr>
      <w:r>
        <w:t>“Artículo 16.- Corresponde a la Unidad de Apoyo Administrativo:</w:t>
      </w:r>
    </w:p>
    <w:p w14:paraId="0F0F93F3" w14:textId="77777777" w:rsidR="00120E92" w:rsidRDefault="00120E92" w:rsidP="00120E92">
      <w:pPr>
        <w:pStyle w:val="Citas"/>
      </w:pPr>
      <w:r>
        <w:t xml:space="preserve">I. Programar, organizar y controlar el suministro, administración y aplicación de los recursos humanos, materiales, financieros y técnicos, así como los servicios generales necesarios para el funcionamiento de las unidades administrativas de la JAPEM. </w:t>
      </w:r>
    </w:p>
    <w:p w14:paraId="63AB7AB6" w14:textId="77777777" w:rsidR="00120E92" w:rsidRDefault="00120E92" w:rsidP="00120E92">
      <w:pPr>
        <w:pStyle w:val="Citas"/>
      </w:pPr>
      <w:r>
        <w:t>II. Vigilar y supervisar que el proceso de registro contable de la JAPEM, cumpla con las normas y lineamientos establecidos por las autoridades competentes.</w:t>
      </w:r>
    </w:p>
    <w:p w14:paraId="448F831D" w14:textId="77777777" w:rsidR="00120E92" w:rsidRDefault="00120E92" w:rsidP="00120E92">
      <w:pPr>
        <w:pStyle w:val="Citas"/>
        <w:rPr>
          <w:b/>
          <w:u w:val="single"/>
        </w:rPr>
      </w:pPr>
      <w:r w:rsidRPr="001873A2">
        <w:rPr>
          <w:b/>
          <w:u w:val="single"/>
        </w:rPr>
        <w:lastRenderedPageBreak/>
        <w:t>III. Aplicar las políticas, lineamientos y procedimientos en materia de administración de personal, adquisiciones, servicios, control presupuestal, registro contable y evaluación programática, de acuerdo con las disposiciones aplicables</w:t>
      </w:r>
    </w:p>
    <w:p w14:paraId="50A5D80F" w14:textId="77777777" w:rsidR="00120E92" w:rsidRDefault="00120E92" w:rsidP="00120E92">
      <w:pPr>
        <w:pStyle w:val="Citas"/>
        <w:rPr>
          <w:bCs/>
        </w:rPr>
      </w:pPr>
      <w:r w:rsidRPr="001873A2">
        <w:rPr>
          <w:bCs/>
        </w:rPr>
        <w:t>(…)</w:t>
      </w:r>
    </w:p>
    <w:p w14:paraId="055EA034" w14:textId="77777777" w:rsidR="00120E92" w:rsidRDefault="00120E92" w:rsidP="00120E92">
      <w:pPr>
        <w:pStyle w:val="Citas"/>
      </w:pPr>
      <w:r>
        <w:t>Artículo 17.- Corresponde a la Contraloría Interna:</w:t>
      </w:r>
    </w:p>
    <w:p w14:paraId="1A349BD2" w14:textId="77777777" w:rsidR="00120E92" w:rsidRDefault="00120E92" w:rsidP="00120E92">
      <w:pPr>
        <w:pStyle w:val="Citas"/>
      </w:pPr>
      <w:r>
        <w:t>(…)</w:t>
      </w:r>
    </w:p>
    <w:p w14:paraId="6F4A9237" w14:textId="77777777" w:rsidR="00120E92" w:rsidRDefault="00120E92" w:rsidP="00120E92">
      <w:pPr>
        <w:pStyle w:val="Citas"/>
      </w:pPr>
      <w:r>
        <w:t>X. Ordenar que se presenten las denuncias correspondientes o dar vista al Ministerio Público cuando en el trámite de un expediente de queja, denuncia o investigación por responsabilidad administrativa o en el ejercicio de sus facultades de control y evaluación, advierta que existen hechos o elementos que impliquen la probable responsabilidad penal de los servidores públicos de la JAPEM.</w:t>
      </w:r>
    </w:p>
    <w:p w14:paraId="1AD83A66" w14:textId="77777777" w:rsidR="00120E92" w:rsidRDefault="00120E92" w:rsidP="00120E92">
      <w:pPr>
        <w:pStyle w:val="Citas"/>
      </w:pPr>
      <w:r>
        <w:t>(…)</w:t>
      </w:r>
    </w:p>
    <w:p w14:paraId="74451C9D" w14:textId="77777777" w:rsidR="00120E92" w:rsidRPr="00FC2E08" w:rsidRDefault="00120E92" w:rsidP="00120E92">
      <w:pPr>
        <w:pStyle w:val="Citas"/>
        <w:rPr>
          <w:b/>
          <w:u w:val="single"/>
        </w:rPr>
      </w:pPr>
      <w:r w:rsidRPr="00FC2E08">
        <w:rPr>
          <w:b/>
          <w:u w:val="single"/>
        </w:rPr>
        <w:t>XIV. Promover la presentación oportuna de las declaraciones de situación patrimonial de los servidores públicos adscritos a la JAPEM, sujetos a esta obligación.</w:t>
      </w:r>
    </w:p>
    <w:p w14:paraId="1A67B0C4" w14:textId="77777777" w:rsidR="00120E92" w:rsidRDefault="00120E92" w:rsidP="00120E92">
      <w:pPr>
        <w:pStyle w:val="Citas"/>
        <w:rPr>
          <w:b/>
        </w:rPr>
      </w:pPr>
      <w:r>
        <w:t xml:space="preserve">(…)” </w:t>
      </w:r>
      <w:r>
        <w:rPr>
          <w:b/>
        </w:rPr>
        <w:t>[Sic]</w:t>
      </w:r>
    </w:p>
    <w:p w14:paraId="483B8E8E" w14:textId="77777777" w:rsidR="00EC1354" w:rsidRDefault="00EC1354" w:rsidP="005056EA">
      <w:pPr>
        <w:pStyle w:val="Prrafodelista"/>
        <w:autoSpaceDE w:val="0"/>
        <w:autoSpaceDN w:val="0"/>
        <w:adjustRightInd w:val="0"/>
        <w:spacing w:before="240" w:after="160" w:line="360" w:lineRule="auto"/>
        <w:ind w:left="0"/>
        <w:jc w:val="both"/>
        <w:rPr>
          <w:rFonts w:ascii="Palatino Linotype" w:hAnsi="Palatino Linotype" w:cs="Arial"/>
        </w:rPr>
      </w:pPr>
    </w:p>
    <w:p w14:paraId="69F145DC" w14:textId="1441F7F9" w:rsidR="008F5972" w:rsidRPr="008F5972" w:rsidRDefault="008F5972" w:rsidP="008F5972">
      <w:pPr>
        <w:pStyle w:val="Citas"/>
        <w:jc w:val="center"/>
        <w:rPr>
          <w:b/>
        </w:rPr>
      </w:pPr>
      <w:r>
        <w:rPr>
          <w:b/>
        </w:rPr>
        <w:t>Manual General de Organización de la Junta de Asistencia Privada del Estado de México</w:t>
      </w:r>
    </w:p>
    <w:p w14:paraId="2FD8C9C9" w14:textId="7BC595C5" w:rsidR="00EC1354" w:rsidRPr="008F5972" w:rsidRDefault="008F5972" w:rsidP="00120E92">
      <w:pPr>
        <w:pStyle w:val="Citas"/>
        <w:rPr>
          <w:b/>
        </w:rPr>
      </w:pPr>
      <w:r w:rsidRPr="008F5972">
        <w:rPr>
          <w:b/>
        </w:rPr>
        <w:lastRenderedPageBreak/>
        <w:t>“</w:t>
      </w:r>
      <w:r w:rsidR="00EC1354" w:rsidRPr="008F5972">
        <w:rPr>
          <w:b/>
        </w:rPr>
        <w:t>215E10001 UNIDAD DE APOYO ADMINISTRATIVO</w:t>
      </w:r>
    </w:p>
    <w:p w14:paraId="4DC8D19F" w14:textId="7716E804" w:rsidR="00EC1354" w:rsidRDefault="00EC1354" w:rsidP="00120E92">
      <w:pPr>
        <w:pStyle w:val="Citas"/>
      </w:pPr>
      <w:r>
        <w:t xml:space="preserve">OBJETIVO: Gestionar y proporcionar con suficiencia y oportunidad los recursos humanos, materiales, técnicos y financieros requeridos por las unidades administrativas, para el cumplimiento de sus funciones, así como efectuar el registro bancario, presupuestal y contable y realizar el seguimiento y evaluación de las metas del Programa Operativo Anual. </w:t>
      </w:r>
    </w:p>
    <w:p w14:paraId="44CFDD9C" w14:textId="58350321" w:rsidR="00EC1354" w:rsidRDefault="00EC1354" w:rsidP="00120E92">
      <w:pPr>
        <w:pStyle w:val="Citas"/>
      </w:pPr>
      <w:r>
        <w:t xml:space="preserve">FUNCIONES: </w:t>
      </w:r>
    </w:p>
    <w:p w14:paraId="302D62D3" w14:textId="70A485FA" w:rsidR="00EC1354" w:rsidRDefault="001B3029" w:rsidP="00120E92">
      <w:pPr>
        <w:pStyle w:val="Citas"/>
      </w:pPr>
      <w:r>
        <w:t xml:space="preserve">Planear y controlar los recursos humanos, </w:t>
      </w:r>
      <w:r w:rsidR="00760B4C">
        <w:t xml:space="preserve">materiales y financieros necesarios para el logro de los objetivos de la Junta. </w:t>
      </w:r>
    </w:p>
    <w:p w14:paraId="0379F3FA" w14:textId="7326C3E3" w:rsidR="00760B4C" w:rsidRPr="00760B4C" w:rsidRDefault="00760B4C" w:rsidP="00120E92">
      <w:pPr>
        <w:pStyle w:val="Citas"/>
      </w:pPr>
      <w:r>
        <w:t>(…)</w:t>
      </w:r>
    </w:p>
    <w:p w14:paraId="21DB2EF1" w14:textId="3644F30D" w:rsidR="00760B4C" w:rsidRPr="00AE65ED" w:rsidRDefault="00760B4C" w:rsidP="00120E92">
      <w:pPr>
        <w:pStyle w:val="Citas"/>
        <w:rPr>
          <w:b/>
          <w:u w:val="single"/>
        </w:rPr>
      </w:pPr>
      <w:r w:rsidRPr="00AE65ED">
        <w:rPr>
          <w:b/>
          <w:u w:val="single"/>
        </w:rPr>
        <w:t xml:space="preserve">Establecer los sistemas y procedimientos para la administración, control y desarrollo del personal de la Junta, así como vigilar su aplicación. </w:t>
      </w:r>
    </w:p>
    <w:p w14:paraId="4957542C" w14:textId="62C01709" w:rsidR="00760B4C" w:rsidRPr="00AE65ED" w:rsidRDefault="00760B4C" w:rsidP="00120E92">
      <w:pPr>
        <w:pStyle w:val="Citas"/>
        <w:rPr>
          <w:b/>
          <w:u w:val="single"/>
        </w:rPr>
      </w:pPr>
      <w:r w:rsidRPr="00AE65ED">
        <w:rPr>
          <w:b/>
          <w:u w:val="single"/>
        </w:rPr>
        <w:t xml:space="preserve">Realizar los movimientos de </w:t>
      </w:r>
      <w:r w:rsidR="0026655C" w:rsidRPr="00AE65ED">
        <w:rPr>
          <w:b/>
          <w:u w:val="single"/>
        </w:rPr>
        <w:t xml:space="preserve">altas, bajas, promociones, permisos, vacaciones, licencias, estímulos y demás incidencias de los servidores públicos adscritos a la Junta. </w:t>
      </w:r>
    </w:p>
    <w:p w14:paraId="7E409EF7" w14:textId="41E15D66" w:rsidR="0026655C" w:rsidRDefault="0026655C" w:rsidP="00120E92">
      <w:pPr>
        <w:pStyle w:val="Citas"/>
      </w:pPr>
      <w:r>
        <w:t>Realizar las actividades de reclutamiento, selección, capacitación, desarrollo y administración</w:t>
      </w:r>
      <w:r w:rsidR="00831150">
        <w:t xml:space="preserve"> de personal del organismo, conforme a la normatividad vigente en la materia. </w:t>
      </w:r>
    </w:p>
    <w:p w14:paraId="326C25F0" w14:textId="7F361F7D" w:rsidR="00AE65ED" w:rsidRDefault="00AE65ED" w:rsidP="008F5972">
      <w:pPr>
        <w:pStyle w:val="Citas"/>
      </w:pPr>
      <w:r>
        <w:t>(…)</w:t>
      </w:r>
    </w:p>
    <w:p w14:paraId="79F8446C" w14:textId="6A176CAA" w:rsidR="00AE65ED" w:rsidRPr="008F5972" w:rsidRDefault="00AE65ED" w:rsidP="008F5972">
      <w:pPr>
        <w:pStyle w:val="Citas"/>
        <w:rPr>
          <w:b/>
        </w:rPr>
      </w:pPr>
      <w:r w:rsidRPr="008F5972">
        <w:rPr>
          <w:b/>
        </w:rPr>
        <w:t>215E100002 CONTRALORÍA INTERNA</w:t>
      </w:r>
    </w:p>
    <w:p w14:paraId="62DBACEA" w14:textId="21A0CC70" w:rsidR="00AE65ED" w:rsidRDefault="00AE65ED" w:rsidP="008F5972">
      <w:pPr>
        <w:pStyle w:val="Citas"/>
      </w:pPr>
      <w:r>
        <w:lastRenderedPageBreak/>
        <w:t>OBJETIVO:</w:t>
      </w:r>
      <w:r w:rsidR="008F5972">
        <w:t xml:space="preserve"> </w:t>
      </w:r>
      <w:r>
        <w:t xml:space="preserve">Establecer y operar un </w:t>
      </w:r>
      <w:r w:rsidR="003C032D">
        <w:t>sistema de control y evaluación guberna</w:t>
      </w:r>
      <w:r w:rsidR="00BE0EE0">
        <w:t xml:space="preserve">mental para garantizar el adecuado y eficiente manejo de los recuerdos asignados al organismo, que propicie la racionalidad y transparencia en la aplicación de los mismos y proponer alternativas de solución para el cumplimiento de los objetivos institucionales, así como vigilar la observancia de la Ley de Responsabilidades de los Servidores Públicos del Estado de México y Municipios y del marco normativo correspondiente: </w:t>
      </w:r>
    </w:p>
    <w:p w14:paraId="660CBEAC" w14:textId="5EE05E29" w:rsidR="00BE0EE0" w:rsidRDefault="00BE0EE0" w:rsidP="008F5972">
      <w:pPr>
        <w:pStyle w:val="Citas"/>
        <w:rPr>
          <w:b/>
        </w:rPr>
      </w:pPr>
      <w:r>
        <w:rPr>
          <w:b/>
        </w:rPr>
        <w:t xml:space="preserve">FUNCIONES: </w:t>
      </w:r>
    </w:p>
    <w:p w14:paraId="1AFC0948" w14:textId="22261732" w:rsidR="00147C62" w:rsidRDefault="00147C62" w:rsidP="008F5972">
      <w:pPr>
        <w:pStyle w:val="Citas"/>
        <w:rPr>
          <w:b/>
        </w:rPr>
      </w:pPr>
      <w:r>
        <w:rPr>
          <w:b/>
        </w:rPr>
        <w:t>(…)</w:t>
      </w:r>
    </w:p>
    <w:p w14:paraId="2A549D6D" w14:textId="419D0AD0" w:rsidR="00147C62" w:rsidRPr="008F5972" w:rsidRDefault="00147C62" w:rsidP="008C6D37">
      <w:pPr>
        <w:pStyle w:val="Citas"/>
        <w:numPr>
          <w:ilvl w:val="0"/>
          <w:numId w:val="6"/>
        </w:numPr>
        <w:ind w:left="851" w:hanging="142"/>
        <w:rPr>
          <w:b/>
          <w:u w:val="single"/>
        </w:rPr>
      </w:pPr>
      <w:r w:rsidRPr="008F5972">
        <w:rPr>
          <w:b/>
          <w:u w:val="single"/>
        </w:rPr>
        <w:t xml:space="preserve">Captar quejas y denuncias respecto de la actuación de los servidores públicos de la Junta, y en su caso, realizar las investigaciones correspondientes, a efecto de </w:t>
      </w:r>
      <w:r w:rsidR="008F5972" w:rsidRPr="008F5972">
        <w:rPr>
          <w:b/>
          <w:u w:val="single"/>
        </w:rPr>
        <w:t>integrar</w:t>
      </w:r>
      <w:r w:rsidRPr="008F5972">
        <w:rPr>
          <w:b/>
          <w:u w:val="single"/>
        </w:rPr>
        <w:t xml:space="preserve"> el expediente para su desahogo en la Secretaría de la Contraloría. </w:t>
      </w:r>
    </w:p>
    <w:p w14:paraId="30CFB05E" w14:textId="229979FD" w:rsidR="008F5972" w:rsidRPr="008F5972" w:rsidRDefault="008F5972" w:rsidP="008F5972">
      <w:pPr>
        <w:pStyle w:val="Citas"/>
        <w:rPr>
          <w:b/>
        </w:rPr>
      </w:pPr>
      <w:r>
        <w:t xml:space="preserve">(…)” </w:t>
      </w:r>
      <w:r>
        <w:rPr>
          <w:b/>
        </w:rPr>
        <w:t>[Sic]</w:t>
      </w:r>
    </w:p>
    <w:p w14:paraId="073AE539" w14:textId="77777777" w:rsidR="00147C62" w:rsidRPr="00147C62" w:rsidRDefault="00147C62" w:rsidP="008F5972">
      <w:pPr>
        <w:pStyle w:val="Prrafodelista"/>
        <w:autoSpaceDE w:val="0"/>
        <w:autoSpaceDN w:val="0"/>
        <w:adjustRightInd w:val="0"/>
        <w:spacing w:before="240" w:after="160" w:line="360" w:lineRule="auto"/>
        <w:ind w:left="720"/>
        <w:jc w:val="both"/>
        <w:rPr>
          <w:rFonts w:ascii="Palatino Linotype" w:hAnsi="Palatino Linotype" w:cs="Arial"/>
        </w:rPr>
      </w:pPr>
    </w:p>
    <w:p w14:paraId="269650AC" w14:textId="728D384D" w:rsidR="00663280" w:rsidRDefault="0020249B" w:rsidP="0020249B">
      <w:pPr>
        <w:spacing w:after="0" w:line="360" w:lineRule="auto"/>
        <w:jc w:val="both"/>
        <w:rPr>
          <w:rFonts w:ascii="Palatino Linotype" w:hAnsi="Palatino Linotype" w:cs="Arial"/>
          <w:noProof/>
          <w:color w:val="000000"/>
          <w:sz w:val="24"/>
          <w:szCs w:val="24"/>
          <w:lang w:eastAsia="es-MX"/>
        </w:rPr>
      </w:pPr>
      <w:r w:rsidRPr="00335E5E">
        <w:rPr>
          <w:rFonts w:ascii="Palatino Linotype" w:hAnsi="Palatino Linotype" w:cs="Arial"/>
          <w:noProof/>
          <w:color w:val="000000"/>
          <w:sz w:val="24"/>
          <w:szCs w:val="24"/>
          <w:lang w:eastAsia="es-MX"/>
        </w:rPr>
        <w:t>En efecto de la normatividad previamente</w:t>
      </w:r>
      <w:r w:rsidR="00663280">
        <w:rPr>
          <w:rFonts w:ascii="Palatino Linotype" w:hAnsi="Palatino Linotype" w:cs="Arial"/>
          <w:noProof/>
          <w:color w:val="000000"/>
          <w:sz w:val="24"/>
          <w:szCs w:val="24"/>
          <w:lang w:eastAsia="es-MX"/>
        </w:rPr>
        <w:t xml:space="preserve"> plasmada se desprende que el titular de la </w:t>
      </w:r>
      <w:r w:rsidR="002467A7">
        <w:rPr>
          <w:rFonts w:ascii="Palatino Linotype" w:hAnsi="Palatino Linotype" w:cs="Arial"/>
          <w:noProof/>
          <w:color w:val="000000"/>
          <w:sz w:val="24"/>
          <w:szCs w:val="24"/>
          <w:lang w:eastAsia="es-MX"/>
        </w:rPr>
        <w:t xml:space="preserve">Unidad de Apoyo Administrativo </w:t>
      </w:r>
      <w:r w:rsidR="00BA4358">
        <w:rPr>
          <w:rFonts w:ascii="Palatino Linotype" w:hAnsi="Palatino Linotype" w:cs="Arial"/>
          <w:noProof/>
          <w:color w:val="000000"/>
          <w:sz w:val="24"/>
          <w:szCs w:val="24"/>
          <w:lang w:eastAsia="es-MX"/>
        </w:rPr>
        <w:t>planea y controla los recursos humanos y financieros, resultando competente para atender los requerimientos identificados con los numerales 1 (expediente laboral), 2 (remuneraciones) y 5 (cédula profesional). En contraste, la contraloría interna es competente para atender los requerimientos identificados con los numerales 3 (documentales vin</w:t>
      </w:r>
      <w:r w:rsidR="00C211F0">
        <w:rPr>
          <w:rFonts w:ascii="Palatino Linotype" w:hAnsi="Palatino Linotype" w:cs="Arial"/>
          <w:noProof/>
          <w:color w:val="000000"/>
          <w:sz w:val="24"/>
          <w:szCs w:val="24"/>
          <w:lang w:eastAsia="es-MX"/>
        </w:rPr>
        <w:t>culadas c</w:t>
      </w:r>
      <w:r w:rsidR="003816DA">
        <w:rPr>
          <w:rFonts w:ascii="Palatino Linotype" w:hAnsi="Palatino Linotype" w:cs="Arial"/>
          <w:noProof/>
          <w:color w:val="000000"/>
          <w:sz w:val="24"/>
          <w:szCs w:val="24"/>
          <w:lang w:eastAsia="es-MX"/>
        </w:rPr>
        <w:t>on denuncias o quejas) y 4 (promocionar la presentación de declaraciones patrimoniales)</w:t>
      </w:r>
    </w:p>
    <w:p w14:paraId="7944F00D" w14:textId="29718702" w:rsidR="00BA4358" w:rsidRDefault="003816DA" w:rsidP="00BA4358">
      <w:pPr>
        <w:autoSpaceDE w:val="0"/>
        <w:autoSpaceDN w:val="0"/>
        <w:adjustRightInd w:val="0"/>
        <w:spacing w:line="360" w:lineRule="auto"/>
        <w:jc w:val="both"/>
        <w:rPr>
          <w:rFonts w:ascii="Palatino Linotype" w:hAnsi="Palatino Linotype" w:cs="Tahoma"/>
          <w:b/>
          <w:bCs/>
          <w:sz w:val="24"/>
          <w:szCs w:val="24"/>
          <w:u w:val="single"/>
        </w:rPr>
      </w:pPr>
      <w:r>
        <w:rPr>
          <w:rFonts w:ascii="Palatino Linotype" w:hAnsi="Palatino Linotype" w:cs="Arial"/>
          <w:noProof/>
          <w:color w:val="000000"/>
          <w:sz w:val="24"/>
          <w:szCs w:val="24"/>
          <w:lang w:eastAsia="es-MX"/>
        </w:rPr>
        <w:lastRenderedPageBreak/>
        <w:t>Adicionalmente, c</w:t>
      </w:r>
      <w:r w:rsidR="00BA4358">
        <w:rPr>
          <w:rFonts w:ascii="Palatino Linotype" w:hAnsi="Palatino Linotype" w:cs="Arial"/>
          <w:noProof/>
          <w:color w:val="000000"/>
          <w:sz w:val="24"/>
          <w:szCs w:val="24"/>
          <w:lang w:eastAsia="es-MX"/>
        </w:rPr>
        <w:t>on relación al requerimien</w:t>
      </w:r>
      <w:r>
        <w:rPr>
          <w:rFonts w:ascii="Palatino Linotype" w:hAnsi="Palatino Linotype" w:cs="Arial"/>
          <w:noProof/>
          <w:color w:val="000000"/>
          <w:sz w:val="24"/>
          <w:szCs w:val="24"/>
          <w:lang w:eastAsia="es-MX"/>
        </w:rPr>
        <w:t>to identificado con el numeral 4</w:t>
      </w:r>
      <w:r w:rsidR="00BA4358">
        <w:rPr>
          <w:rFonts w:ascii="Palatino Linotype" w:hAnsi="Palatino Linotype" w:cs="Arial"/>
          <w:noProof/>
          <w:color w:val="000000"/>
          <w:sz w:val="24"/>
          <w:szCs w:val="24"/>
          <w:lang w:eastAsia="es-MX"/>
        </w:rPr>
        <w:t xml:space="preserve"> (declaración patrimonial), es obice mencionar que </w:t>
      </w:r>
      <w:r w:rsidR="00BA4358" w:rsidRPr="00734B12">
        <w:rPr>
          <w:rFonts w:ascii="Palatino Linotype" w:hAnsi="Palatino Linotype" w:cs="Tahoma"/>
          <w:sz w:val="24"/>
          <w:szCs w:val="24"/>
        </w:rPr>
        <w:t xml:space="preserve">en términos de la Ley de Responsabilidades Administrativas del Estado de México y Municipios, están obligados a presentar las declaraciones de situación </w:t>
      </w:r>
      <w:r w:rsidR="00BA4358" w:rsidRPr="00734B12">
        <w:rPr>
          <w:rFonts w:ascii="Palatino Linotype" w:hAnsi="Palatino Linotype" w:cs="Tahoma"/>
          <w:b/>
          <w:bCs/>
          <w:sz w:val="24"/>
          <w:szCs w:val="24"/>
          <w:u w:val="single"/>
        </w:rPr>
        <w:t xml:space="preserve">patrimonial </w:t>
      </w:r>
      <w:r w:rsidR="00BA4358" w:rsidRPr="00734B12">
        <w:rPr>
          <w:rFonts w:ascii="Palatino Linotype" w:hAnsi="Palatino Linotype" w:cs="Tahoma"/>
          <w:sz w:val="24"/>
          <w:szCs w:val="24"/>
        </w:rPr>
        <w:t>y de intereses, bajo protesta de decir verdad</w:t>
      </w:r>
      <w:r w:rsidR="00BA4358" w:rsidRPr="00734B12">
        <w:rPr>
          <w:rFonts w:ascii="Palatino Linotype" w:hAnsi="Palatino Linotype" w:cs="Tahoma"/>
          <w:sz w:val="24"/>
          <w:szCs w:val="24"/>
          <w:u w:val="single"/>
        </w:rPr>
        <w:t xml:space="preserve"> ante la </w:t>
      </w:r>
      <w:r w:rsidR="00BA4358" w:rsidRPr="00734B12">
        <w:rPr>
          <w:rFonts w:ascii="Palatino Linotype" w:hAnsi="Palatino Linotype" w:cs="Tahoma"/>
          <w:b/>
          <w:bCs/>
          <w:sz w:val="24"/>
          <w:szCs w:val="24"/>
          <w:u w:val="single"/>
        </w:rPr>
        <w:t>Secretaría de la Contraloría</w:t>
      </w:r>
      <w:r w:rsidR="00BA4358" w:rsidRPr="00734B12">
        <w:rPr>
          <w:rFonts w:ascii="Palatino Linotype" w:hAnsi="Palatino Linotype" w:cs="Tahoma"/>
          <w:sz w:val="24"/>
          <w:szCs w:val="24"/>
          <w:u w:val="single"/>
        </w:rPr>
        <w:t xml:space="preserve"> </w:t>
      </w:r>
      <w:r w:rsidR="00BA4358" w:rsidRPr="00734B12">
        <w:rPr>
          <w:rFonts w:ascii="Palatino Linotype" w:hAnsi="Palatino Linotype" w:cs="Tahoma"/>
          <w:sz w:val="24"/>
          <w:szCs w:val="24"/>
        </w:rPr>
        <w:t xml:space="preserve">o los órganos internos de control, </w:t>
      </w:r>
      <w:r w:rsidR="00BA4358" w:rsidRPr="00734B12">
        <w:rPr>
          <w:rFonts w:ascii="Palatino Linotype" w:hAnsi="Palatino Linotype" w:cs="Tahoma"/>
          <w:b/>
          <w:bCs/>
          <w:sz w:val="24"/>
          <w:szCs w:val="24"/>
          <w:u w:val="single"/>
        </w:rPr>
        <w:t>todos los servidores públicos estatales y municipales</w:t>
      </w:r>
      <w:r w:rsidR="00BA4358">
        <w:rPr>
          <w:rFonts w:ascii="Palatino Linotype" w:hAnsi="Palatino Linotype" w:cs="Tahoma"/>
          <w:b/>
          <w:bCs/>
          <w:sz w:val="24"/>
          <w:szCs w:val="24"/>
          <w:u w:val="single"/>
        </w:rPr>
        <w:t xml:space="preserve">, englobando a aquellos adscritos a órganos constitucionalmente autónomos. </w:t>
      </w:r>
    </w:p>
    <w:p w14:paraId="64BA2AB7" w14:textId="77777777" w:rsidR="00BA4358" w:rsidRDefault="00BA4358" w:rsidP="00BA4358">
      <w:pPr>
        <w:autoSpaceDE w:val="0"/>
        <w:autoSpaceDN w:val="0"/>
        <w:adjustRightInd w:val="0"/>
        <w:spacing w:line="360" w:lineRule="auto"/>
        <w:jc w:val="both"/>
        <w:rPr>
          <w:rFonts w:ascii="Palatino Linotype" w:hAnsi="Palatino Linotype" w:cs="Tahoma"/>
          <w:sz w:val="24"/>
          <w:szCs w:val="24"/>
        </w:rPr>
      </w:pPr>
      <w:r>
        <w:rPr>
          <w:rFonts w:ascii="Palatino Linotype" w:hAnsi="Palatino Linotype" w:cs="Tahoma"/>
          <w:sz w:val="24"/>
          <w:szCs w:val="24"/>
        </w:rPr>
        <w:t>En este tenor, la declaración de situación patrimonial deberá presentarse en los siguientes plazos:</w:t>
      </w:r>
    </w:p>
    <w:p w14:paraId="5505A265" w14:textId="77777777" w:rsidR="00BA4358" w:rsidRDefault="00BA4358" w:rsidP="008C6D37">
      <w:pPr>
        <w:pStyle w:val="Prrafodelista"/>
        <w:numPr>
          <w:ilvl w:val="0"/>
          <w:numId w:val="7"/>
        </w:numPr>
        <w:autoSpaceDE w:val="0"/>
        <w:autoSpaceDN w:val="0"/>
        <w:adjustRightInd w:val="0"/>
        <w:spacing w:line="360" w:lineRule="auto"/>
        <w:jc w:val="both"/>
        <w:rPr>
          <w:rFonts w:ascii="Palatino Linotype" w:hAnsi="Palatino Linotype" w:cs="Tahoma"/>
        </w:rPr>
      </w:pPr>
      <w:r>
        <w:rPr>
          <w:rFonts w:ascii="Palatino Linotype" w:hAnsi="Palatino Linotype" w:cs="Tahoma"/>
        </w:rPr>
        <w:t>Declaración inicial, dentro de los sesenta días naturales siguientes a la toma de la posesión con motivo del:</w:t>
      </w:r>
    </w:p>
    <w:p w14:paraId="5433D674" w14:textId="77777777" w:rsidR="00BA4358" w:rsidRDefault="00BA4358" w:rsidP="008C6D37">
      <w:pPr>
        <w:pStyle w:val="Prrafodelista"/>
        <w:numPr>
          <w:ilvl w:val="0"/>
          <w:numId w:val="8"/>
        </w:numPr>
        <w:autoSpaceDE w:val="0"/>
        <w:autoSpaceDN w:val="0"/>
        <w:adjustRightInd w:val="0"/>
        <w:spacing w:line="360" w:lineRule="auto"/>
        <w:jc w:val="both"/>
        <w:rPr>
          <w:rFonts w:ascii="Palatino Linotype" w:hAnsi="Palatino Linotype" w:cs="Tahoma"/>
        </w:rPr>
      </w:pPr>
      <w:r>
        <w:rPr>
          <w:rFonts w:ascii="Palatino Linotype" w:hAnsi="Palatino Linotype" w:cs="Tahoma"/>
        </w:rPr>
        <w:t>Ingreso al servicio público por primera vez.</w:t>
      </w:r>
    </w:p>
    <w:p w14:paraId="63B71135" w14:textId="77777777" w:rsidR="00BA4358" w:rsidRDefault="00BA4358" w:rsidP="008C6D37">
      <w:pPr>
        <w:pStyle w:val="Prrafodelista"/>
        <w:numPr>
          <w:ilvl w:val="0"/>
          <w:numId w:val="8"/>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Reingreso al servicio público después de sesenta días naturales de la conclusión de su último encargo. </w:t>
      </w:r>
    </w:p>
    <w:p w14:paraId="011BFBC5" w14:textId="77777777" w:rsidR="00BA4358" w:rsidRDefault="00BA4358" w:rsidP="008C6D37">
      <w:pPr>
        <w:pStyle w:val="Prrafodelista"/>
        <w:numPr>
          <w:ilvl w:val="0"/>
          <w:numId w:val="7"/>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modificación patrimonial, durante el mes de mayo de cada año. </w:t>
      </w:r>
    </w:p>
    <w:p w14:paraId="29965C0E" w14:textId="77777777" w:rsidR="00BA4358" w:rsidRPr="00734B12" w:rsidRDefault="00BA4358" w:rsidP="008C6D37">
      <w:pPr>
        <w:pStyle w:val="Prrafodelista"/>
        <w:numPr>
          <w:ilvl w:val="0"/>
          <w:numId w:val="7"/>
        </w:numPr>
        <w:autoSpaceDE w:val="0"/>
        <w:autoSpaceDN w:val="0"/>
        <w:adjustRightInd w:val="0"/>
        <w:spacing w:line="360" w:lineRule="auto"/>
        <w:jc w:val="both"/>
        <w:rPr>
          <w:rFonts w:ascii="Palatino Linotype" w:hAnsi="Palatino Linotype" w:cs="Tahoma"/>
        </w:rPr>
      </w:pPr>
      <w:r>
        <w:rPr>
          <w:rFonts w:ascii="Palatino Linotype" w:hAnsi="Palatino Linotype" w:cs="Tahoma"/>
        </w:rPr>
        <w:t xml:space="preserve">Declaración de conclusión del encargo, dentro de los sesenta días naturales siguientes a la conclusión. </w:t>
      </w:r>
    </w:p>
    <w:p w14:paraId="0856545D" w14:textId="77777777" w:rsidR="00BA4358" w:rsidRDefault="00BA4358" w:rsidP="00BA4358">
      <w:pPr>
        <w:autoSpaceDE w:val="0"/>
        <w:autoSpaceDN w:val="0"/>
        <w:adjustRightInd w:val="0"/>
        <w:spacing w:line="360" w:lineRule="auto"/>
        <w:jc w:val="both"/>
        <w:rPr>
          <w:rFonts w:ascii="Palatino Linotype" w:hAnsi="Palatino Linotype" w:cs="Tahoma"/>
          <w:sz w:val="24"/>
          <w:szCs w:val="24"/>
        </w:rPr>
      </w:pPr>
    </w:p>
    <w:p w14:paraId="72EF3981" w14:textId="5652A7D5" w:rsidR="00BA4358" w:rsidRPr="00D800B9" w:rsidRDefault="00BA4358" w:rsidP="00BA4358">
      <w:pPr>
        <w:autoSpaceDE w:val="0"/>
        <w:autoSpaceDN w:val="0"/>
        <w:adjustRightInd w:val="0"/>
        <w:spacing w:line="360" w:lineRule="auto"/>
        <w:jc w:val="both"/>
        <w:rPr>
          <w:rFonts w:ascii="Palatino Linotype" w:hAnsi="Palatino Linotype" w:cs="Tahoma"/>
          <w:sz w:val="24"/>
          <w:szCs w:val="24"/>
        </w:rPr>
      </w:pPr>
      <w:r w:rsidRPr="00D800B9">
        <w:rPr>
          <w:rFonts w:ascii="Palatino Linotype" w:hAnsi="Palatino Linotype" w:cs="Tahoma"/>
          <w:sz w:val="24"/>
          <w:szCs w:val="24"/>
        </w:rPr>
        <w:t>En la declaración inicial y de conclusión del encargo se manifestarán los bienes inmuebles, con la fecha y valor de adquisición y en las declaraciones de modificación patrimonial se manifestarán sólo las modificaciones al patrimonio, con fecha y valor de adquisición, y en todo caso el medio po</w:t>
      </w:r>
      <w:r w:rsidR="000E4C1C">
        <w:rPr>
          <w:rFonts w:ascii="Palatino Linotype" w:hAnsi="Palatino Linotype" w:cs="Tahoma"/>
          <w:sz w:val="24"/>
          <w:szCs w:val="24"/>
        </w:rPr>
        <w:t xml:space="preserve">r el que se hizo la adquisición, </w:t>
      </w:r>
    </w:p>
    <w:p w14:paraId="30D307EC" w14:textId="5B7F8E50" w:rsidR="007D322E" w:rsidRPr="007D322E" w:rsidRDefault="0020249B" w:rsidP="0020249B">
      <w:pPr>
        <w:pStyle w:val="Sinespaciado"/>
        <w:spacing w:line="360" w:lineRule="auto"/>
        <w:jc w:val="both"/>
        <w:rPr>
          <w:rFonts w:ascii="Palatino Linotype" w:hAnsi="Palatino Linotype"/>
        </w:rPr>
      </w:pPr>
      <w:r>
        <w:rPr>
          <w:rFonts w:ascii="Palatino Linotype" w:hAnsi="Palatino Linotype"/>
        </w:rPr>
        <w:lastRenderedPageBreak/>
        <w:t xml:space="preserve">De ahí que deba arribarse a la premisa de que la información requerida es </w:t>
      </w:r>
      <w:r w:rsidR="000E4C1C" w:rsidRPr="000E4C1C">
        <w:rPr>
          <w:rFonts w:ascii="Palatino Linotype" w:hAnsi="Palatino Linotype"/>
          <w:b/>
          <w:u w:val="single"/>
        </w:rPr>
        <w:t>parcialmente</w:t>
      </w:r>
      <w:r w:rsidR="000E4C1C">
        <w:rPr>
          <w:rFonts w:ascii="Palatino Linotype" w:hAnsi="Palatino Linotype"/>
        </w:rPr>
        <w:t xml:space="preserve"> </w:t>
      </w:r>
      <w:r>
        <w:rPr>
          <w:rFonts w:ascii="Palatino Linotype" w:hAnsi="Palatino Linotype"/>
        </w:rPr>
        <w:t xml:space="preserve">susceptible de ser generada, poseída y administrada por </w:t>
      </w:r>
      <w:r w:rsidR="007D322E">
        <w:rPr>
          <w:rFonts w:ascii="Palatino Linotype" w:hAnsi="Palatino Linotype"/>
          <w:b/>
        </w:rPr>
        <w:t xml:space="preserve">El Sujeto Obligado, </w:t>
      </w:r>
      <w:r w:rsidR="007D322E">
        <w:rPr>
          <w:rFonts w:ascii="Palatino Linotype" w:hAnsi="Palatino Linotype"/>
        </w:rPr>
        <w:t xml:space="preserve">insistiendo en que la declaración patrimonial de los servidores públicos adscritos al </w:t>
      </w:r>
      <w:r w:rsidR="007D322E">
        <w:rPr>
          <w:rFonts w:ascii="Palatino Linotype" w:hAnsi="Palatino Linotype"/>
          <w:b/>
        </w:rPr>
        <w:t xml:space="preserve">Sujeto Obligado </w:t>
      </w:r>
      <w:r w:rsidR="007D322E">
        <w:rPr>
          <w:rFonts w:ascii="Palatino Linotype" w:hAnsi="Palatino Linotype"/>
        </w:rPr>
        <w:t xml:space="preserve">es presentada ante la Secretaría de la Contraloría. </w:t>
      </w:r>
    </w:p>
    <w:p w14:paraId="7D0B85D3" w14:textId="77777777" w:rsidR="007D322E" w:rsidRDefault="007D322E" w:rsidP="0020249B">
      <w:pPr>
        <w:pStyle w:val="Sinespaciado"/>
        <w:spacing w:line="360" w:lineRule="auto"/>
        <w:jc w:val="both"/>
        <w:rPr>
          <w:rFonts w:ascii="Palatino Linotype" w:hAnsi="Palatino Linotype"/>
          <w:b/>
        </w:rPr>
      </w:pPr>
    </w:p>
    <w:p w14:paraId="38F44333" w14:textId="2AE3B7B6" w:rsidR="0020249B" w:rsidRPr="00AA7EDD" w:rsidRDefault="000E4C1C" w:rsidP="0020249B">
      <w:pPr>
        <w:pStyle w:val="Sinespaciado"/>
        <w:spacing w:line="360" w:lineRule="auto"/>
        <w:jc w:val="both"/>
        <w:rPr>
          <w:rFonts w:ascii="Palatino Linotype" w:hAnsi="Palatino Linotype"/>
        </w:rPr>
      </w:pPr>
      <w:r>
        <w:rPr>
          <w:rFonts w:ascii="Palatino Linotype" w:hAnsi="Palatino Linotype"/>
        </w:rPr>
        <w:t>De forma complementaria</w:t>
      </w:r>
      <w:r w:rsidR="0020249B">
        <w:rPr>
          <w:rFonts w:ascii="Palatino Linotype" w:hAnsi="Palatino Linotype"/>
        </w:rPr>
        <w:t xml:space="preserve">, es óbice mencionar que la información requerida estriba parcialmente dentro de las obligaciones de transparencia común, robustece lo anterior los artículos 24, fracción XII y 92, </w:t>
      </w:r>
      <w:r>
        <w:rPr>
          <w:rFonts w:ascii="Palatino Linotype" w:hAnsi="Palatino Linotype"/>
        </w:rPr>
        <w:t>fracciones VIII, XXI y XXII</w:t>
      </w:r>
      <w:r w:rsidR="0020249B">
        <w:rPr>
          <w:rFonts w:ascii="Palatino Linotype" w:hAnsi="Palatino Linotype"/>
        </w:rPr>
        <w:t xml:space="preserve"> de la Ley de Transparencia y Acceso a la Información Pública del Estado de México y Municipios, normatividad invocada cuyo contenido literal es el siguiente: </w:t>
      </w:r>
    </w:p>
    <w:p w14:paraId="0DC2C629" w14:textId="77777777" w:rsidR="0020249B" w:rsidRPr="00E66BD3"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0438C314" w14:textId="77777777" w:rsidR="0020249B" w:rsidRPr="00E66BD3" w:rsidRDefault="0020249B" w:rsidP="0020249B">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0A081E1" w14:textId="77777777" w:rsidR="0020249B" w:rsidRDefault="0020249B" w:rsidP="0020249B">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26CF4D" w14:textId="5107E82B" w:rsidR="000E4C1C" w:rsidRDefault="000E4C1C" w:rsidP="000E4C1C">
      <w:pPr>
        <w:pStyle w:val="Citas"/>
      </w:pPr>
      <w: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7629735" w14:textId="5C1BF24F" w:rsidR="000E4C1C" w:rsidRDefault="000E4C1C" w:rsidP="000E4C1C">
      <w:pPr>
        <w:pStyle w:val="Citas"/>
      </w:pPr>
      <w:r>
        <w:t>(…)</w:t>
      </w:r>
    </w:p>
    <w:p w14:paraId="372BAA46" w14:textId="47104AA7" w:rsidR="000E4C1C" w:rsidRDefault="000E4C1C" w:rsidP="000E4C1C">
      <w:pPr>
        <w:pStyle w:val="Citas"/>
      </w:pPr>
      <w:r>
        <w:t>XXI. La información curricular, desde el nivel de jefe de departamento o equivalente, hasta el titular del sujeto obligado, así como, en su caso, las sanciones administrativas de que haya sido objeto;</w:t>
      </w:r>
    </w:p>
    <w:p w14:paraId="146976BB" w14:textId="701D04D8" w:rsidR="000E4C1C" w:rsidRPr="000E4C1C" w:rsidRDefault="00DC439C" w:rsidP="000E4C1C">
      <w:pPr>
        <w:pStyle w:val="Citas"/>
        <w:rPr>
          <w:b/>
        </w:rPr>
      </w:pPr>
      <w:r>
        <w:t xml:space="preserve"> </w:t>
      </w:r>
      <w:r w:rsidR="000E4C1C">
        <w:t xml:space="preserve">(…)” </w:t>
      </w:r>
      <w:r w:rsidR="000E4C1C">
        <w:rPr>
          <w:b/>
        </w:rPr>
        <w:t>[Sic]</w:t>
      </w:r>
    </w:p>
    <w:p w14:paraId="49F247A4" w14:textId="77777777" w:rsidR="0020249B" w:rsidRDefault="0020249B" w:rsidP="0020249B">
      <w:pPr>
        <w:pStyle w:val="infoemcitas"/>
        <w:tabs>
          <w:tab w:val="left" w:pos="7655"/>
        </w:tabs>
        <w:ind w:left="0" w:right="0"/>
        <w:rPr>
          <w:i w:val="0"/>
          <w:sz w:val="24"/>
          <w:szCs w:val="24"/>
        </w:rPr>
      </w:pPr>
    </w:p>
    <w:p w14:paraId="6EB342C1" w14:textId="63151D89" w:rsidR="0020249B" w:rsidRDefault="0020249B" w:rsidP="0020249B">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446180CA" w14:textId="0288235D" w:rsidR="0020249B" w:rsidRDefault="00C355EF" w:rsidP="005056EA">
      <w:pPr>
        <w:pStyle w:val="Prrafodelista"/>
        <w:autoSpaceDE w:val="0"/>
        <w:autoSpaceDN w:val="0"/>
        <w:adjustRightInd w:val="0"/>
        <w:spacing w:before="240" w:after="160" w:line="360" w:lineRule="auto"/>
        <w:ind w:left="0"/>
        <w:jc w:val="both"/>
        <w:rPr>
          <w:rFonts w:ascii="Palatino Linotype" w:hAnsi="Palatino Linotype"/>
          <w:bCs/>
        </w:rPr>
      </w:pPr>
      <w:hyperlink r:id="rId17" w:history="1">
        <w:r w:rsidR="001431FC" w:rsidRPr="00EE75BF">
          <w:rPr>
            <w:rStyle w:val="Hipervnculo"/>
            <w:rFonts w:ascii="Palatino Linotype" w:hAnsi="Palatino Linotype"/>
            <w:bCs/>
          </w:rPr>
          <w:t>https://www.infoem.org.mx/es/contenido/transparencia/directorio-de-sujetos-obligados</w:t>
        </w:r>
      </w:hyperlink>
      <w:r w:rsidR="001431FC">
        <w:rPr>
          <w:rFonts w:ascii="Palatino Linotype" w:hAnsi="Palatino Linotype"/>
          <w:bCs/>
        </w:rPr>
        <w:t xml:space="preserve"> </w:t>
      </w:r>
    </w:p>
    <w:p w14:paraId="14F8111A" w14:textId="3BC1674D" w:rsidR="00B6458B" w:rsidRDefault="007D322E"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mc:AlternateContent>
          <mc:Choice Requires="wps">
            <w:drawing>
              <wp:anchor distT="0" distB="0" distL="114300" distR="114300" simplePos="0" relativeHeight="251667456" behindDoc="0" locked="0" layoutInCell="1" allowOverlap="1" wp14:anchorId="5753B832" wp14:editId="78AB4C97">
                <wp:simplePos x="0" y="0"/>
                <wp:positionH relativeFrom="column">
                  <wp:posOffset>-312039</wp:posOffset>
                </wp:positionH>
                <wp:positionV relativeFrom="paragraph">
                  <wp:posOffset>638556</wp:posOffset>
                </wp:positionV>
                <wp:extent cx="6371387" cy="1225906"/>
                <wp:effectExtent l="0" t="0" r="29845" b="31750"/>
                <wp:wrapNone/>
                <wp:docPr id="1" name="Conector recto 1"/>
                <wp:cNvGraphicFramePr/>
                <a:graphic xmlns:a="http://schemas.openxmlformats.org/drawingml/2006/main">
                  <a:graphicData uri="http://schemas.microsoft.com/office/word/2010/wordprocessingShape">
                    <wps:wsp>
                      <wps:cNvCnPr/>
                      <wps:spPr>
                        <a:xfrm>
                          <a:off x="0" y="0"/>
                          <a:ext cx="6371387" cy="12259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243B2"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50.3pt" to="477.15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NVugEAAMUDAAAOAAAAZHJzL2Uyb0RvYy54bWysU9uO0zAQfUfiHyy/b5N0RXeJmu5DV/CC&#10;oOLyAV5n3FjyTWPTpH/P2GmzCJAQaF/s2D5nZs6ZyfZhsoadAKP2ruPNquYMnPS9dseOf/v67uae&#10;s5iE64XxDjp+hsgfdq9fbcfQwtoP3vSAjIK42I6h40NKoa2qKAewIq58AEePyqMViY54rHoUI0W3&#10;plrX9aYaPfYBvYQY6fZxfuS7El8pkOmTUhESMx2n2lJZsaxPea12W9EeUYRBy0sZ4j+qsEI7SrqE&#10;ehRJsO+ofwtltUQfvUor6W3lldISigZS09S/qPkyiABFC5kTw2JTfLmw8uPpgEz31DvOnLDUoj01&#10;SiaPDPPGmuzRGGJL0L074OUUwwGz4EmhzTtJYVPx9bz4ClNiki43t3fN7f0dZ5LemvX6zdt6k6NW&#10;z/SAMb0Hb1n+6LjRLgsXrTh9iGmGXiHEy+XMBZSvdDaQwcZ9BkViKGVT2GWMYG+QnQQNgJASXCqC&#10;KHVBZ5rSxizE+u/ECz5ToYzYv5AXRsnsXVrIVjuPf8qepmvJasZfHZh1ZwuefH8urSnW0KwUcy9z&#10;nYfx53OhP/99ux8AAAD//wMAUEsDBBQABgAIAAAAIQAXmRHn4gAAAAsBAAAPAAAAZHJzL2Rvd25y&#10;ZXYueG1sTI9BT8JAEIXvJv6HzZh4gy0FxdZuCSExIokhoAkel+7YVruzTXeh5d87nvQ4eV/e+yZb&#10;DLYRZ+x87UjBZByBQCqcqalU8P72NHoA4YMmoxtHqOCCHhb59VWmU+N62uF5H0rBJeRTraAKoU2l&#10;9EWFVvuxa5E4+3Sd1YHPrpSm0z2X20bGUXQvra6JFyrd4qrC4nt/sgpeu/V6tdxcvmj7YftDvDls&#10;X4ZnpW5vhuUjiIBD+IPhV5/VIWenozuR8aJRMJolE0Y54BkQTCR3symIo4I4mc5B5pn8/0P+AwAA&#10;//8DAFBLAQItABQABgAIAAAAIQC2gziS/gAAAOEBAAATAAAAAAAAAAAAAAAAAAAAAABbQ29udGVu&#10;dF9UeXBlc10ueG1sUEsBAi0AFAAGAAgAAAAhADj9If/WAAAAlAEAAAsAAAAAAAAAAAAAAAAALwEA&#10;AF9yZWxzLy5yZWxzUEsBAi0AFAAGAAgAAAAhAHAo81W6AQAAxQMAAA4AAAAAAAAAAAAAAAAALgIA&#10;AGRycy9lMm9Eb2MueG1sUEsBAi0AFAAGAAgAAAAhABeZEefiAAAACwEAAA8AAAAAAAAAAAAAAAAA&#10;FAQAAGRycy9kb3ducmV2LnhtbFBLBQYAAAAABAAEAPMAAAAjBQAAAAA=&#10;" strokecolor="#5b9bd5 [3204]" strokeweight=".5pt">
                <v:stroke joinstyle="miter"/>
              </v:line>
            </w:pict>
          </mc:Fallback>
        </mc:AlternateContent>
      </w:r>
      <w:r w:rsidR="001431FC">
        <w:rPr>
          <w:rFonts w:ascii="Palatino Linotype" w:hAnsi="Palatino Linotype"/>
          <w:bCs/>
        </w:rPr>
        <w:t xml:space="preserve">Sirven de sustento las siguientes imágenes ilustrativas: </w:t>
      </w:r>
    </w:p>
    <w:p w14:paraId="0BB4D6A2" w14:textId="43D971A5" w:rsidR="00B6458B" w:rsidRDefault="00DC439C" w:rsidP="005056EA">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lastRenderedPageBreak/>
        <w:drawing>
          <wp:anchor distT="0" distB="0" distL="114300" distR="114300" simplePos="0" relativeHeight="251649015" behindDoc="0" locked="0" layoutInCell="1" allowOverlap="1" wp14:anchorId="493F9FBD" wp14:editId="29C3FF14">
            <wp:simplePos x="0" y="0"/>
            <wp:positionH relativeFrom="column">
              <wp:posOffset>-70485</wp:posOffset>
            </wp:positionH>
            <wp:positionV relativeFrom="paragraph">
              <wp:posOffset>3711575</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val="es-MX" w:eastAsia="es-MX"/>
        </w:rPr>
        <w:drawing>
          <wp:anchor distT="0" distB="0" distL="114300" distR="114300" simplePos="0" relativeHeight="251650040" behindDoc="0" locked="0" layoutInCell="1" allowOverlap="1" wp14:anchorId="7B39505F" wp14:editId="3404FB38">
            <wp:simplePos x="0" y="0"/>
            <wp:positionH relativeFrom="column">
              <wp:posOffset>-70485</wp:posOffset>
            </wp:positionH>
            <wp:positionV relativeFrom="paragraph">
              <wp:posOffset>15875</wp:posOffset>
            </wp:positionV>
            <wp:extent cx="5749925" cy="3418840"/>
            <wp:effectExtent l="19050" t="19050" r="22225" b="10160"/>
            <wp:wrapThrough wrapText="bothSides">
              <wp:wrapPolygon edited="0">
                <wp:start x="-72" y="-120"/>
                <wp:lineTo x="-72" y="21544"/>
                <wp:lineTo x="21612" y="21544"/>
                <wp:lineTo x="21612" y="-120"/>
                <wp:lineTo x="-72" y="-12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9925" cy="34188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E29BDB" w14:textId="10BDD0E9" w:rsidR="00DC439C" w:rsidRDefault="00DC439C" w:rsidP="00DC439C">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noProof/>
          <w:lang w:val="es-MX" w:eastAsia="es-MX"/>
        </w:rPr>
        <w:lastRenderedPageBreak/>
        <w:drawing>
          <wp:anchor distT="0" distB="0" distL="114300" distR="114300" simplePos="0" relativeHeight="251647990" behindDoc="0" locked="0" layoutInCell="1" allowOverlap="1" wp14:anchorId="4D97CF4E" wp14:editId="6BD9B80D">
            <wp:simplePos x="0" y="0"/>
            <wp:positionH relativeFrom="column">
              <wp:posOffset>24765</wp:posOffset>
            </wp:positionH>
            <wp:positionV relativeFrom="paragraph">
              <wp:posOffset>19050</wp:posOffset>
            </wp:positionV>
            <wp:extent cx="5753100" cy="3428365"/>
            <wp:effectExtent l="19050" t="19050" r="19050" b="19685"/>
            <wp:wrapThrough wrapText="bothSides">
              <wp:wrapPolygon edited="0">
                <wp:start x="-72" y="-120"/>
                <wp:lineTo x="-72" y="21604"/>
                <wp:lineTo x="21600" y="21604"/>
                <wp:lineTo x="21600" y="-120"/>
                <wp:lineTo x="-72" y="-12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3100" cy="34283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C48E9F" w14:textId="5EA64346" w:rsidR="00010E77" w:rsidRPr="00E17B3E" w:rsidRDefault="00010E77" w:rsidP="00010E77">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w:t>
      </w:r>
      <w:r w:rsidR="00DC439C">
        <w:rPr>
          <w:rFonts w:ascii="Palatino Linotype" w:hAnsi="Palatino Linotype"/>
          <w:bCs/>
        </w:rPr>
        <w:t>, de forma parcial,</w:t>
      </w:r>
      <w:r w:rsidRPr="00E17B3E">
        <w:rPr>
          <w:rFonts w:ascii="Palatino Linotype" w:hAnsi="Palatino Linotype"/>
          <w:bCs/>
        </w:rPr>
        <w:t xml:space="preserve"> la información requerida</w:t>
      </w:r>
      <w:r w:rsidR="007D322E">
        <w:rPr>
          <w:rFonts w:ascii="Palatino Linotype" w:hAnsi="Palatino Linotype"/>
          <w:bCs/>
        </w:rPr>
        <w:t xml:space="preserve">. </w:t>
      </w:r>
    </w:p>
    <w:p w14:paraId="2526D814" w14:textId="54CD4F08" w:rsidR="00010E77" w:rsidRDefault="00010E77" w:rsidP="005056EA">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segundo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244C81BC" w14:textId="5190F458" w:rsidR="00211AFA" w:rsidRDefault="00DC439C" w:rsidP="008C6D37">
      <w:pPr>
        <w:pStyle w:val="Prrafodelista"/>
        <w:numPr>
          <w:ilvl w:val="0"/>
          <w:numId w:val="3"/>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 xml:space="preserve">“JAPEM – 006 – C. </w:t>
      </w:r>
      <w:r w:rsidR="00372400">
        <w:rPr>
          <w:rFonts w:ascii="Palatino Linotype" w:hAnsi="Palatino Linotype"/>
          <w:b/>
          <w:bCs/>
        </w:rPr>
        <w:t>xxxxxxxxxxxxxxxxxxxxxxxxxxxxxx</w:t>
      </w:r>
      <w:r>
        <w:rPr>
          <w:rFonts w:ascii="Palatino Linotype" w:hAnsi="Palatino Linotype"/>
          <w:b/>
          <w:bCs/>
        </w:rPr>
        <w:t xml:space="preserve"> – Unidad de Transparencia – En Poder de Otro Sujeto Obligado – 06.pdf”: </w:t>
      </w:r>
      <w:r w:rsidR="00FF283E">
        <w:rPr>
          <w:rFonts w:ascii="Palatino Linotype" w:hAnsi="Palatino Linotype"/>
          <w:bCs/>
        </w:rPr>
        <w:t xml:space="preserve">Oficio </w:t>
      </w:r>
      <w:r w:rsidR="00FF283E">
        <w:rPr>
          <w:rFonts w:ascii="Palatino Linotype" w:hAnsi="Palatino Linotype"/>
          <w:b/>
          <w:bCs/>
        </w:rPr>
        <w:t xml:space="preserve">JAPEM/UT/006/2021 </w:t>
      </w:r>
      <w:r w:rsidR="00FF283E">
        <w:rPr>
          <w:rFonts w:ascii="Palatino Linotype" w:hAnsi="Palatino Linotype"/>
          <w:bCs/>
        </w:rPr>
        <w:t xml:space="preserve">signado por el Jefe de la Unidad de Apoyo Administrativo </w:t>
      </w:r>
      <w:r w:rsidR="00FF283E">
        <w:rPr>
          <w:rFonts w:ascii="Palatino Linotype" w:hAnsi="Palatino Linotype"/>
          <w:bCs/>
        </w:rPr>
        <w:lastRenderedPageBreak/>
        <w:t>y Titular de la Unidad de T</w:t>
      </w:r>
      <w:r w:rsidR="008C36F9">
        <w:rPr>
          <w:rFonts w:ascii="Palatino Linotype" w:hAnsi="Palatino Linotype"/>
          <w:bCs/>
        </w:rPr>
        <w:t xml:space="preserve">ransparencia y dirigido al particular, en lo medular </w:t>
      </w:r>
      <w:r w:rsidR="003324B5">
        <w:rPr>
          <w:rFonts w:ascii="Palatino Linotype" w:hAnsi="Palatino Linotype"/>
          <w:bCs/>
        </w:rPr>
        <w:t>declina competencia conforme a l siguiente extracto:</w:t>
      </w:r>
    </w:p>
    <w:p w14:paraId="7681565A" w14:textId="6D4C6A6A" w:rsidR="002D2682" w:rsidRPr="00963D36" w:rsidRDefault="003324B5" w:rsidP="003324B5">
      <w:pPr>
        <w:pStyle w:val="Prrafodelista"/>
        <w:autoSpaceDE w:val="0"/>
        <w:autoSpaceDN w:val="0"/>
        <w:adjustRightInd w:val="0"/>
        <w:spacing w:before="240" w:line="360" w:lineRule="auto"/>
        <w:ind w:left="720"/>
        <w:jc w:val="both"/>
        <w:rPr>
          <w:rFonts w:ascii="Palatino Linotype" w:hAnsi="Palatino Linotype"/>
          <w:b/>
          <w:bCs/>
          <w:i/>
          <w:u w:val="single"/>
        </w:rPr>
      </w:pPr>
      <w:r w:rsidRPr="003324B5">
        <w:rPr>
          <w:rFonts w:ascii="Palatino Linotype" w:hAnsi="Palatino Linotype"/>
          <w:bCs/>
          <w:i/>
        </w:rPr>
        <w:t>“</w:t>
      </w:r>
      <w:r w:rsidR="002D2682">
        <w:rPr>
          <w:rFonts w:ascii="Palatino Linotype" w:hAnsi="Palatino Linotype"/>
          <w:bCs/>
          <w:i/>
        </w:rPr>
        <w:t xml:space="preserve">hago de su conocimiento que de acuerdo con el artículo 14 de la Ley de Instituciones de Asistencia Privada del Estado de México, establece que la Junta de Asistencia Privada del Estado de México es un organismo descentralizado del Gobierno del Estado, </w:t>
      </w:r>
      <w:r w:rsidR="00963D36">
        <w:rPr>
          <w:rFonts w:ascii="Palatino Linotype" w:hAnsi="Palatino Linotype"/>
          <w:bCs/>
          <w:i/>
        </w:rPr>
        <w:t xml:space="preserve">y tiene por objeto el cuidado, fomento, desarrollo, vigilancia, asesoría, coordinación de las Instituciones de Asistencia Privada dentro del territorio Estatal, así como en su Reglamento Interior y Manual General de Organización, </w:t>
      </w:r>
      <w:r w:rsidR="00963D36">
        <w:rPr>
          <w:rFonts w:ascii="Palatino Linotype" w:hAnsi="Palatino Linotype"/>
          <w:b/>
          <w:bCs/>
          <w:i/>
          <w:u w:val="single"/>
        </w:rPr>
        <w:t xml:space="preserve">no cuenta con atribuciones y funciones para resguardar una copia del expediente laboral, conocer los ingresos, así como la declaración patrimonial, las denuncias o quejas en su nombre, sueldos netos y brutos, su cédula y prestaciones… por lo que no es posible proporcionarle la información requerida al respecto. </w:t>
      </w:r>
    </w:p>
    <w:p w14:paraId="11A03991" w14:textId="6BF6C778" w:rsidR="002D2682" w:rsidRDefault="002D2682" w:rsidP="003324B5">
      <w:pPr>
        <w:pStyle w:val="Prrafodelista"/>
        <w:autoSpaceDE w:val="0"/>
        <w:autoSpaceDN w:val="0"/>
        <w:adjustRightInd w:val="0"/>
        <w:spacing w:before="240" w:line="360" w:lineRule="auto"/>
        <w:ind w:left="720"/>
        <w:jc w:val="both"/>
        <w:rPr>
          <w:rFonts w:ascii="Palatino Linotype" w:hAnsi="Palatino Linotype"/>
          <w:bCs/>
          <w:i/>
        </w:rPr>
      </w:pPr>
      <w:r>
        <w:rPr>
          <w:rFonts w:ascii="Palatino Linotype" w:hAnsi="Palatino Linotype"/>
          <w:bCs/>
          <w:i/>
        </w:rPr>
        <w:t>(…)</w:t>
      </w:r>
    </w:p>
    <w:p w14:paraId="043532C8" w14:textId="5ADAA95D" w:rsidR="003324B5" w:rsidRPr="003324B5" w:rsidRDefault="003324B5" w:rsidP="003324B5">
      <w:pPr>
        <w:pStyle w:val="Prrafodelista"/>
        <w:autoSpaceDE w:val="0"/>
        <w:autoSpaceDN w:val="0"/>
        <w:adjustRightInd w:val="0"/>
        <w:spacing w:before="240" w:line="360" w:lineRule="auto"/>
        <w:ind w:left="720"/>
        <w:jc w:val="both"/>
        <w:rPr>
          <w:rFonts w:ascii="Palatino Linotype" w:hAnsi="Palatino Linotype"/>
          <w:b/>
          <w:bCs/>
          <w:i/>
        </w:rPr>
      </w:pPr>
      <w:r w:rsidRPr="003324B5">
        <w:rPr>
          <w:rFonts w:ascii="Palatino Linotype" w:hAnsi="Palatino Linotype"/>
          <w:bCs/>
          <w:i/>
        </w:rPr>
        <w:t>En este sentido, se le precisa que este organismo público descentralizado no recopila, administra, maneja, procesa, archiva o conserva la información pública que generan las dependencias, organismos públicos descentralizados y los ayuntamientos de la entidad”</w:t>
      </w:r>
      <w:r>
        <w:rPr>
          <w:rFonts w:ascii="Palatino Linotype" w:hAnsi="Palatino Linotype"/>
          <w:b/>
          <w:bCs/>
          <w:i/>
        </w:rPr>
        <w:t xml:space="preserve"> [Sic] </w:t>
      </w:r>
    </w:p>
    <w:p w14:paraId="59EB8B08" w14:textId="77777777" w:rsidR="008C36F9" w:rsidRPr="00C25508" w:rsidRDefault="008C36F9" w:rsidP="003324B5">
      <w:pPr>
        <w:pStyle w:val="Prrafodelista"/>
        <w:autoSpaceDE w:val="0"/>
        <w:autoSpaceDN w:val="0"/>
        <w:adjustRightInd w:val="0"/>
        <w:spacing w:before="240" w:line="360" w:lineRule="auto"/>
        <w:ind w:left="720"/>
        <w:jc w:val="both"/>
        <w:rPr>
          <w:rFonts w:ascii="Palatino Linotype" w:hAnsi="Palatino Linotype"/>
          <w:b/>
          <w:bCs/>
        </w:rPr>
      </w:pPr>
    </w:p>
    <w:p w14:paraId="11B157F1" w14:textId="2AA6723E" w:rsidR="003324B5" w:rsidRDefault="00C25508" w:rsidP="005056E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I</w:t>
      </w:r>
      <w:r w:rsidR="00211AFA" w:rsidRPr="00211AFA">
        <w:rPr>
          <w:rFonts w:ascii="Palatino Linotype" w:hAnsi="Palatino Linotype"/>
        </w:rPr>
        <w:t xml:space="preserve">nconforme con la respuesta del Sujeto Obligado, </w:t>
      </w:r>
      <w:r w:rsidR="003324B5">
        <w:rPr>
          <w:rFonts w:ascii="Palatino Linotype" w:hAnsi="Palatino Linotype"/>
          <w:b/>
        </w:rPr>
        <w:t>El</w:t>
      </w:r>
      <w:r w:rsidR="00211AFA" w:rsidRPr="00211AFA">
        <w:rPr>
          <w:rFonts w:ascii="Palatino Linotype" w:hAnsi="Palatino Linotype"/>
          <w:b/>
        </w:rPr>
        <w:t xml:space="preserve"> Recurrente</w:t>
      </w:r>
      <w:r w:rsidR="00211AFA" w:rsidRPr="00211AFA">
        <w:rPr>
          <w:rFonts w:ascii="Palatino Linotype" w:hAnsi="Palatino Linotype"/>
        </w:rPr>
        <w:t xml:space="preserve"> interpuso, recurso de revisión en fecha </w:t>
      </w:r>
      <w:r w:rsidR="003324B5">
        <w:rPr>
          <w:rFonts w:ascii="Palatino Linotype" w:hAnsi="Palatino Linotype"/>
        </w:rPr>
        <w:t xml:space="preserve">veinte de mayo de dos mil veintiuno, señalando como razones o motivos de inconformidad: </w:t>
      </w:r>
    </w:p>
    <w:p w14:paraId="087C7BCF" w14:textId="04B68B3A" w:rsidR="003324B5" w:rsidRPr="003324B5" w:rsidRDefault="003324B5" w:rsidP="003324B5">
      <w:pPr>
        <w:pStyle w:val="Citas"/>
        <w:rPr>
          <w:b/>
        </w:rPr>
      </w:pPr>
      <w:r>
        <w:lastRenderedPageBreak/>
        <w:t xml:space="preserve">“su respuesta es ambigua y denota tener la información del trabajador mas no la entrega” </w:t>
      </w:r>
      <w:r>
        <w:rPr>
          <w:b/>
        </w:rPr>
        <w:t>[Sic]</w:t>
      </w:r>
    </w:p>
    <w:p w14:paraId="73EC49DC" w14:textId="77777777" w:rsidR="003324B5" w:rsidRDefault="003324B5" w:rsidP="005056EA">
      <w:pPr>
        <w:pStyle w:val="Prrafodelista"/>
        <w:autoSpaceDE w:val="0"/>
        <w:autoSpaceDN w:val="0"/>
        <w:adjustRightInd w:val="0"/>
        <w:spacing w:before="240" w:after="160" w:line="360" w:lineRule="auto"/>
        <w:ind w:left="0"/>
        <w:jc w:val="both"/>
        <w:rPr>
          <w:rFonts w:ascii="Palatino Linotype" w:hAnsi="Palatino Linotype"/>
        </w:rPr>
      </w:pPr>
    </w:p>
    <w:p w14:paraId="30C46D2B" w14:textId="602E8A2B" w:rsidR="00571275" w:rsidRDefault="00571275" w:rsidP="005712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virtud de lo anterior, se tiene por actualizada la causal de procedencia inmersa en</w:t>
      </w:r>
      <w:r w:rsidR="00C25508">
        <w:rPr>
          <w:rFonts w:ascii="Palatino Linotype" w:hAnsi="Palatino Linotype"/>
          <w:sz w:val="24"/>
          <w:szCs w:val="24"/>
        </w:rPr>
        <w:t xml:space="preserve"> el numeral 179, </w:t>
      </w:r>
      <w:r w:rsidR="003324B5">
        <w:rPr>
          <w:rFonts w:ascii="Palatino Linotype" w:hAnsi="Palatino Linotype"/>
          <w:sz w:val="24"/>
          <w:szCs w:val="24"/>
        </w:rPr>
        <w:t xml:space="preserve">fracciones I y IV </w:t>
      </w:r>
      <w:r>
        <w:rPr>
          <w:rFonts w:ascii="Palatino Linotype" w:hAnsi="Palatino Linotype"/>
          <w:sz w:val="24"/>
          <w:szCs w:val="24"/>
        </w:rPr>
        <w:t>de la Ley de Transparencia local, porción normativa que reza a la literalidad:</w:t>
      </w:r>
    </w:p>
    <w:p w14:paraId="7A9CD146" w14:textId="77777777" w:rsidR="00571275" w:rsidRDefault="00571275" w:rsidP="00571275">
      <w:pPr>
        <w:pStyle w:val="INFOEM"/>
      </w:pPr>
      <w:r>
        <w:t xml:space="preserve">“Artículo 179. El recurso de revisión es un medio de protección que la Ley otorga a los particulares, para hacer valer su derecho de acceso a la información pública, y procederá en contra de las siguientes causas: </w:t>
      </w:r>
    </w:p>
    <w:p w14:paraId="41AE33E2" w14:textId="77777777" w:rsidR="003324B5" w:rsidRDefault="003324B5" w:rsidP="00571275">
      <w:pPr>
        <w:pStyle w:val="INFOEM"/>
      </w:pPr>
      <w:r>
        <w:t>I. La negativa a la información solicitada;</w:t>
      </w:r>
    </w:p>
    <w:p w14:paraId="16A82505" w14:textId="595C1680" w:rsidR="003324B5" w:rsidRDefault="003324B5" w:rsidP="00571275">
      <w:pPr>
        <w:pStyle w:val="INFOEM"/>
      </w:pPr>
      <w:r>
        <w:t>(…)</w:t>
      </w:r>
    </w:p>
    <w:p w14:paraId="1440736F" w14:textId="77777777" w:rsidR="003324B5" w:rsidRDefault="003324B5" w:rsidP="00571275">
      <w:pPr>
        <w:pStyle w:val="INFOEM"/>
        <w:rPr>
          <w:sz w:val="24"/>
          <w:szCs w:val="24"/>
        </w:rPr>
      </w:pPr>
      <w:r>
        <w:t>IV. La declaración de incompetencia por el sujeto obligado</w:t>
      </w:r>
      <w:r>
        <w:rPr>
          <w:sz w:val="24"/>
          <w:szCs w:val="24"/>
        </w:rPr>
        <w:t xml:space="preserve"> </w:t>
      </w:r>
    </w:p>
    <w:p w14:paraId="6B4F27A9" w14:textId="07991430" w:rsidR="00571275" w:rsidRDefault="00571275" w:rsidP="00571275">
      <w:pPr>
        <w:pStyle w:val="INFOEM"/>
        <w:rPr>
          <w:b/>
          <w:sz w:val="24"/>
          <w:szCs w:val="24"/>
        </w:rPr>
      </w:pPr>
      <w:r>
        <w:rPr>
          <w:sz w:val="24"/>
          <w:szCs w:val="24"/>
        </w:rPr>
        <w:t xml:space="preserve">(…)” </w:t>
      </w:r>
      <w:r>
        <w:rPr>
          <w:b/>
          <w:sz w:val="24"/>
          <w:szCs w:val="24"/>
        </w:rPr>
        <w:t>[Sic]</w:t>
      </w:r>
    </w:p>
    <w:p w14:paraId="0B95F8FA" w14:textId="77777777" w:rsidR="00571275" w:rsidRDefault="00571275" w:rsidP="00211AFA">
      <w:pPr>
        <w:pStyle w:val="Citas"/>
        <w:ind w:left="0"/>
        <w:rPr>
          <w:i w:val="0"/>
          <w:sz w:val="24"/>
          <w:szCs w:val="24"/>
        </w:rPr>
      </w:pPr>
    </w:p>
    <w:p w14:paraId="5348D3A5" w14:textId="77777777" w:rsidR="00571275" w:rsidRDefault="00571275" w:rsidP="00571275">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w:t>
      </w:r>
      <w:r>
        <w:rPr>
          <w:rFonts w:ascii="Palatino Linotype" w:hAnsi="Palatino Linotype" w:cs="Arial"/>
          <w:b/>
          <w:color w:val="000000"/>
          <w:sz w:val="24"/>
        </w:rPr>
        <w:t xml:space="preserve">El Sujeto Obligado </w:t>
      </w:r>
      <w:r>
        <w:rPr>
          <w:rFonts w:ascii="Palatino Linotype" w:hAnsi="Palatino Linotype" w:cs="Arial"/>
          <w:color w:val="000000"/>
          <w:sz w:val="24"/>
        </w:rPr>
        <w:t xml:space="preserve">rindió su informe justificado, adjuntando lo siguiente: </w:t>
      </w:r>
    </w:p>
    <w:p w14:paraId="54E9958A" w14:textId="6BF2D884" w:rsidR="00C25508" w:rsidRPr="00B933D5" w:rsidRDefault="003324B5" w:rsidP="008C6D37">
      <w:pPr>
        <w:pStyle w:val="Citas"/>
        <w:numPr>
          <w:ilvl w:val="0"/>
          <w:numId w:val="2"/>
        </w:numPr>
        <w:rPr>
          <w:b/>
          <w:i w:val="0"/>
          <w:sz w:val="24"/>
          <w:szCs w:val="24"/>
        </w:rPr>
      </w:pPr>
      <w:r>
        <w:rPr>
          <w:b/>
          <w:i w:val="0"/>
          <w:sz w:val="24"/>
          <w:szCs w:val="24"/>
        </w:rPr>
        <w:t xml:space="preserve">“JAPEM – 006 – C. </w:t>
      </w:r>
      <w:r w:rsidR="00372400">
        <w:rPr>
          <w:b/>
          <w:i w:val="0"/>
          <w:sz w:val="24"/>
          <w:szCs w:val="24"/>
        </w:rPr>
        <w:t>xxxxxxxxxxxxxxxxxxxxxxxxxxx</w:t>
      </w:r>
      <w:r>
        <w:rPr>
          <w:b/>
          <w:i w:val="0"/>
          <w:sz w:val="24"/>
          <w:szCs w:val="24"/>
        </w:rPr>
        <w:t xml:space="preserve"> – Unidad de Transparencia  - Informe Justificado – 06.pdf”: </w:t>
      </w:r>
      <w:r w:rsidR="001C4D81">
        <w:rPr>
          <w:i w:val="0"/>
          <w:sz w:val="24"/>
          <w:szCs w:val="24"/>
        </w:rPr>
        <w:t xml:space="preserve">Informe justificado signado por el Jefe de la Unidad de Apoyo Administrativo y Titular de </w:t>
      </w:r>
      <w:r w:rsidR="001C4D81">
        <w:rPr>
          <w:i w:val="0"/>
          <w:sz w:val="24"/>
          <w:szCs w:val="24"/>
        </w:rPr>
        <w:lastRenderedPageBreak/>
        <w:t xml:space="preserve">la Unidad de Transparencia de la Junta de Asistencia Privada del Estado de México, en lo medular reitera la incompetencia para </w:t>
      </w:r>
      <w:r w:rsidR="00905E07">
        <w:rPr>
          <w:i w:val="0"/>
          <w:sz w:val="24"/>
          <w:szCs w:val="24"/>
        </w:rPr>
        <w:t xml:space="preserve">generar, poseer o administrar la información. </w:t>
      </w:r>
      <w:r w:rsidR="001C4D81">
        <w:rPr>
          <w:i w:val="0"/>
          <w:sz w:val="24"/>
          <w:szCs w:val="24"/>
        </w:rPr>
        <w:t xml:space="preserve"> </w:t>
      </w:r>
    </w:p>
    <w:p w14:paraId="48107EDA" w14:textId="77777777" w:rsidR="00B933D5" w:rsidRDefault="00B933D5" w:rsidP="00B933D5">
      <w:pPr>
        <w:pStyle w:val="Citas"/>
        <w:ind w:left="0"/>
        <w:rPr>
          <w:b/>
          <w:i w:val="0"/>
          <w:sz w:val="24"/>
          <w:szCs w:val="24"/>
        </w:rPr>
      </w:pPr>
    </w:p>
    <w:p w14:paraId="6A69E02B" w14:textId="69D10060" w:rsidR="00963D36" w:rsidRDefault="00B933D5" w:rsidP="00B933D5">
      <w:pPr>
        <w:pStyle w:val="Citas"/>
        <w:ind w:left="0" w:right="0"/>
        <w:rPr>
          <w:b/>
          <w:bCs/>
          <w:i w:val="0"/>
          <w:sz w:val="24"/>
          <w:szCs w:val="24"/>
          <w:u w:val="single"/>
        </w:rPr>
      </w:pPr>
      <w:r>
        <w:rPr>
          <w:i w:val="0"/>
          <w:sz w:val="24"/>
          <w:szCs w:val="24"/>
        </w:rPr>
        <w:t xml:space="preserve">En virtud de lo anterior, se </w:t>
      </w:r>
      <w:r w:rsidR="00905E07">
        <w:rPr>
          <w:i w:val="0"/>
          <w:sz w:val="24"/>
          <w:szCs w:val="24"/>
        </w:rPr>
        <w:t>advierte</w:t>
      </w:r>
      <w:r>
        <w:rPr>
          <w:i w:val="0"/>
          <w:sz w:val="24"/>
          <w:szCs w:val="24"/>
        </w:rPr>
        <w:t xml:space="preserve"> que </w:t>
      </w:r>
      <w:r w:rsidR="00E66D57">
        <w:rPr>
          <w:i w:val="0"/>
          <w:sz w:val="24"/>
          <w:szCs w:val="24"/>
        </w:rPr>
        <w:t xml:space="preserve">la declaración patrimonial si es presentada por los servidores públicos ante la Secretaría de la Contraloría, luego entonces se tiene por colmado el requerimiento identificado con el numeral </w:t>
      </w:r>
      <w:r w:rsidR="00E66D57">
        <w:rPr>
          <w:b/>
          <w:i w:val="0"/>
          <w:sz w:val="24"/>
          <w:szCs w:val="24"/>
        </w:rPr>
        <w:t xml:space="preserve">4. </w:t>
      </w:r>
      <w:r w:rsidR="00E66D57">
        <w:rPr>
          <w:i w:val="0"/>
          <w:sz w:val="24"/>
          <w:szCs w:val="24"/>
        </w:rPr>
        <w:t xml:space="preserve">Ahora bien, con relación al resto de los numerales, es menester señalar </w:t>
      </w:r>
      <w:r w:rsidR="00066735">
        <w:rPr>
          <w:i w:val="0"/>
          <w:sz w:val="24"/>
          <w:szCs w:val="24"/>
        </w:rPr>
        <w:t xml:space="preserve">que </w:t>
      </w:r>
      <w:r w:rsidR="00066735">
        <w:rPr>
          <w:b/>
          <w:i w:val="0"/>
          <w:sz w:val="24"/>
          <w:szCs w:val="24"/>
        </w:rPr>
        <w:t xml:space="preserve">El Sujeto Obligado, a través del Sujeto Habilitado Competente  </w:t>
      </w:r>
      <w:r w:rsidR="00EB0A83">
        <w:rPr>
          <w:b/>
          <w:i w:val="0"/>
          <w:sz w:val="24"/>
          <w:szCs w:val="24"/>
        </w:rPr>
        <w:t xml:space="preserve">(Director Administrativo), </w:t>
      </w:r>
      <w:r w:rsidR="00066735">
        <w:rPr>
          <w:i w:val="0"/>
          <w:sz w:val="24"/>
          <w:szCs w:val="24"/>
        </w:rPr>
        <w:t xml:space="preserve">manifestó que no </w:t>
      </w:r>
      <w:r w:rsidR="00963D36" w:rsidRPr="00963D36">
        <w:rPr>
          <w:b/>
          <w:bCs/>
          <w:i w:val="0"/>
          <w:sz w:val="24"/>
          <w:szCs w:val="24"/>
          <w:u w:val="single"/>
        </w:rPr>
        <w:t>cuenta con atribuciones y funciones para resguardar una copia del expediente laboral, conocer los ingresos, así como la declaración patrimonial, las denuncias o quejas en su nombre, sueldos netos y brutos, su cédula y prestaciones</w:t>
      </w:r>
      <w:r w:rsidR="00C40C03">
        <w:rPr>
          <w:b/>
          <w:bCs/>
          <w:i w:val="0"/>
          <w:sz w:val="24"/>
          <w:szCs w:val="24"/>
          <w:u w:val="single"/>
        </w:rPr>
        <w:t xml:space="preserve">. </w:t>
      </w:r>
    </w:p>
    <w:p w14:paraId="7F71AF93" w14:textId="52CCA834" w:rsidR="00C40C03" w:rsidRDefault="00C40C03" w:rsidP="00B933D5">
      <w:pPr>
        <w:pStyle w:val="Citas"/>
        <w:ind w:left="0" w:right="0"/>
        <w:rPr>
          <w:b/>
          <w:bCs/>
          <w:i w:val="0"/>
          <w:sz w:val="24"/>
          <w:szCs w:val="24"/>
          <w:u w:val="single"/>
        </w:rPr>
      </w:pPr>
      <w:r>
        <w:rPr>
          <w:bCs/>
          <w:i w:val="0"/>
          <w:sz w:val="24"/>
          <w:szCs w:val="24"/>
        </w:rPr>
        <w:t xml:space="preserve">De forma complementaria, refirió que el organismo público descentralizado no recopila, </w:t>
      </w:r>
      <w:r w:rsidRPr="00C40C03">
        <w:rPr>
          <w:bCs/>
          <w:i w:val="0"/>
          <w:sz w:val="24"/>
          <w:szCs w:val="24"/>
        </w:rPr>
        <w:t xml:space="preserve">administra, maneja, procesa, archiva o conserva la información pública que generan las dependencias, organismos públicos descentralizados y los ayuntamientos de la entidad; </w:t>
      </w:r>
      <w:r w:rsidRPr="00C40C03">
        <w:rPr>
          <w:b/>
          <w:bCs/>
          <w:i w:val="0"/>
          <w:sz w:val="24"/>
          <w:szCs w:val="24"/>
          <w:u w:val="single"/>
        </w:rPr>
        <w:t xml:space="preserve">siendo su naturaleza la de un organismo descentralizado. </w:t>
      </w:r>
    </w:p>
    <w:p w14:paraId="4A75A78B" w14:textId="77777777" w:rsidR="00130620" w:rsidRDefault="00C40C03" w:rsidP="00B933D5">
      <w:pPr>
        <w:pStyle w:val="Citas"/>
        <w:ind w:left="0" w:right="0"/>
        <w:rPr>
          <w:bCs/>
          <w:i w:val="0"/>
          <w:sz w:val="24"/>
          <w:szCs w:val="24"/>
        </w:rPr>
      </w:pPr>
      <w:r>
        <w:rPr>
          <w:bCs/>
          <w:i w:val="0"/>
          <w:sz w:val="24"/>
          <w:szCs w:val="24"/>
        </w:rPr>
        <w:t xml:space="preserve">Luego entonces, a toda luz se desprende que la respuesta primigenia e informe justificado rendidos por </w:t>
      </w:r>
      <w:r>
        <w:rPr>
          <w:b/>
          <w:bCs/>
          <w:i w:val="0"/>
          <w:sz w:val="24"/>
          <w:szCs w:val="24"/>
        </w:rPr>
        <w:t xml:space="preserve">El Sujeto Obligado </w:t>
      </w:r>
      <w:r>
        <w:rPr>
          <w:bCs/>
          <w:i w:val="0"/>
          <w:sz w:val="24"/>
          <w:szCs w:val="24"/>
        </w:rPr>
        <w:t xml:space="preserve">no observan el principio de certeza imperante en la materia, al no manifestar de manera expresa si la persona física referida en la solicitud de información </w:t>
      </w:r>
      <w:r>
        <w:rPr>
          <w:b/>
          <w:bCs/>
          <w:i w:val="0"/>
          <w:sz w:val="24"/>
          <w:szCs w:val="24"/>
        </w:rPr>
        <w:t xml:space="preserve">00006/JAPEM/IP/2021 </w:t>
      </w:r>
      <w:r w:rsidR="00130620">
        <w:rPr>
          <w:bCs/>
          <w:i w:val="0"/>
          <w:sz w:val="24"/>
          <w:szCs w:val="24"/>
        </w:rPr>
        <w:t>funge como</w:t>
      </w:r>
      <w:r>
        <w:rPr>
          <w:bCs/>
          <w:i w:val="0"/>
          <w:sz w:val="24"/>
          <w:szCs w:val="24"/>
        </w:rPr>
        <w:t xml:space="preserve"> servidor p</w:t>
      </w:r>
      <w:r w:rsidR="00130620">
        <w:rPr>
          <w:bCs/>
          <w:i w:val="0"/>
          <w:sz w:val="24"/>
          <w:szCs w:val="24"/>
        </w:rPr>
        <w:t>úblico, proveedor, autoridad auxiliar o simplemente, un</w:t>
      </w:r>
      <w:r w:rsidR="002C3466">
        <w:rPr>
          <w:bCs/>
          <w:i w:val="0"/>
          <w:sz w:val="24"/>
          <w:szCs w:val="24"/>
        </w:rPr>
        <w:t xml:space="preserve"> particular. </w:t>
      </w:r>
    </w:p>
    <w:p w14:paraId="7A861B44" w14:textId="1EA95D75" w:rsidR="00C40C03" w:rsidRDefault="002C3466" w:rsidP="00B933D5">
      <w:pPr>
        <w:pStyle w:val="Citas"/>
        <w:ind w:left="0" w:right="0"/>
        <w:rPr>
          <w:bCs/>
          <w:i w:val="0"/>
          <w:sz w:val="24"/>
          <w:szCs w:val="24"/>
        </w:rPr>
      </w:pPr>
      <w:r>
        <w:rPr>
          <w:bCs/>
          <w:i w:val="0"/>
          <w:sz w:val="24"/>
          <w:szCs w:val="24"/>
        </w:rPr>
        <w:lastRenderedPageBreak/>
        <w:t xml:space="preserve">Asimismo, de ostentar la categoría de  servidor público, sí está adscrito o no a la Junta de Asistencia Privada del Estado de México. </w:t>
      </w:r>
    </w:p>
    <w:p w14:paraId="26079F84" w14:textId="1CDAB226" w:rsidR="002C3466" w:rsidRDefault="002C3466" w:rsidP="00B933D5">
      <w:pPr>
        <w:pStyle w:val="Citas"/>
        <w:ind w:left="0" w:right="0"/>
        <w:rPr>
          <w:bCs/>
          <w:i w:val="0"/>
          <w:sz w:val="24"/>
          <w:szCs w:val="24"/>
        </w:rPr>
      </w:pPr>
      <w:r>
        <w:rPr>
          <w:bCs/>
          <w:i w:val="0"/>
          <w:sz w:val="24"/>
          <w:szCs w:val="24"/>
        </w:rPr>
        <w:t xml:space="preserve">En virtud, resulta procedente ordenar una búsqueda exhaustiva y razonable, a efecto de hacer entrega de la siguiente información, en versión pública de ser procedente: </w:t>
      </w:r>
    </w:p>
    <w:p w14:paraId="627322CD" w14:textId="1C8E656F" w:rsidR="00130620" w:rsidRPr="00130620" w:rsidRDefault="00130620" w:rsidP="00B933D5">
      <w:pPr>
        <w:pStyle w:val="Citas"/>
        <w:ind w:left="0" w:right="0"/>
        <w:rPr>
          <w:bCs/>
          <w:i w:val="0"/>
          <w:sz w:val="24"/>
          <w:szCs w:val="24"/>
        </w:rPr>
      </w:pPr>
      <w:r w:rsidRPr="00130620">
        <w:rPr>
          <w:b/>
          <w:bCs/>
          <w:i w:val="0"/>
          <w:sz w:val="24"/>
          <w:szCs w:val="24"/>
        </w:rPr>
        <w:t>Del servidor público referido en la solicitud de información 00006/JAPEM/IP/2021</w:t>
      </w:r>
    </w:p>
    <w:p w14:paraId="7C876579" w14:textId="77777777" w:rsidR="00130620" w:rsidRDefault="00130620" w:rsidP="00130620">
      <w:pPr>
        <w:pStyle w:val="Prrafodelista"/>
        <w:numPr>
          <w:ilvl w:val="0"/>
          <w:numId w:val="11"/>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que integran el expediente laboral, al doce de mayo de dos mil veintiuno. </w:t>
      </w:r>
    </w:p>
    <w:p w14:paraId="714CC4FF" w14:textId="77777777" w:rsidR="00130620" w:rsidRDefault="00130620" w:rsidP="00130620">
      <w:pPr>
        <w:pStyle w:val="Prrafodelista"/>
        <w:numPr>
          <w:ilvl w:val="0"/>
          <w:numId w:val="11"/>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donde consten las remuneraciones brutas y netas, incluyendo prestaciones y/o equivalentes, del dieciséis al treinta de abril de dos mil veintiuno. </w:t>
      </w:r>
    </w:p>
    <w:p w14:paraId="292E5629" w14:textId="77777777" w:rsidR="00130620" w:rsidRDefault="00130620" w:rsidP="00130620">
      <w:pPr>
        <w:pStyle w:val="Prrafodelista"/>
        <w:numPr>
          <w:ilvl w:val="0"/>
          <w:numId w:val="11"/>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El o los documentos vinculados con denuncias o quejas, durante el periodo comprendido del doce de mayo de dos mil veinte al doce de mayo de dos mil veintiuno. </w:t>
      </w:r>
    </w:p>
    <w:p w14:paraId="75A8E0BA" w14:textId="77777777" w:rsidR="00130620" w:rsidRDefault="00130620" w:rsidP="00130620">
      <w:pPr>
        <w:pStyle w:val="Prrafodelista"/>
        <w:numPr>
          <w:ilvl w:val="0"/>
          <w:numId w:val="11"/>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Cédula profesional, al doce de mayo de dos mil veintiuno. </w:t>
      </w:r>
    </w:p>
    <w:p w14:paraId="717B28D7" w14:textId="77777777" w:rsidR="002C3466" w:rsidRPr="00C40C03" w:rsidRDefault="002C3466" w:rsidP="00130620">
      <w:pPr>
        <w:pStyle w:val="Citas"/>
        <w:ind w:left="720" w:right="0"/>
        <w:rPr>
          <w:bCs/>
          <w:i w:val="0"/>
          <w:sz w:val="24"/>
          <w:szCs w:val="24"/>
        </w:rPr>
      </w:pPr>
    </w:p>
    <w:p w14:paraId="21CC39DD" w14:textId="77777777" w:rsidR="00130620" w:rsidRPr="00817B10" w:rsidRDefault="00130620" w:rsidP="00130620">
      <w:pPr>
        <w:tabs>
          <w:tab w:val="left" w:pos="709"/>
        </w:tabs>
        <w:spacing w:before="240" w:line="360" w:lineRule="auto"/>
        <w:ind w:right="51"/>
        <w:jc w:val="both"/>
        <w:rPr>
          <w:rFonts w:ascii="Palatino Linotype" w:hAnsi="Palatino Linotype"/>
          <w:sz w:val="24"/>
          <w:szCs w:val="24"/>
        </w:rPr>
      </w:pPr>
      <w:r w:rsidRPr="007D06E9">
        <w:rPr>
          <w:rFonts w:ascii="Palatino Linotype" w:hAnsi="Palatino Linotype"/>
          <w:sz w:val="24"/>
          <w:szCs w:val="24"/>
        </w:rPr>
        <w:t xml:space="preserve">Bajo tal tesitura, </w:t>
      </w:r>
      <w:r>
        <w:rPr>
          <w:rFonts w:ascii="Palatino Linotype" w:hAnsi="Palatino Linotype"/>
          <w:sz w:val="24"/>
          <w:szCs w:val="24"/>
        </w:rPr>
        <w:t xml:space="preserve">no resulta desapercibido para este órgano resolutor que en el expediente laboral pudieran obrar diversos soportes documentales tales como certificado médico, acta de nacimiento, credencial de elector o comprobantes de domicilio, mismos que deben de ser clasificados </w:t>
      </w:r>
      <w:r w:rsidRPr="00373E72">
        <w:rPr>
          <w:rFonts w:ascii="Palatino Linotype" w:hAnsi="Palatino Linotype" w:cs="Arial"/>
          <w:b/>
          <w:sz w:val="24"/>
          <w:szCs w:val="24"/>
          <w:u w:val="single"/>
        </w:rPr>
        <w:t>en su totalidad como confidenciales,</w:t>
      </w:r>
      <w:r w:rsidRPr="00817B10">
        <w:rPr>
          <w:rFonts w:ascii="Palatino Linotype" w:hAnsi="Palatino Linotype" w:cs="Arial"/>
          <w:sz w:val="24"/>
          <w:szCs w:val="24"/>
        </w:rPr>
        <w:t xml:space="preserve"> debido a que su entrega no abona a la transparencia y rendición de cuentas, en virtud </w:t>
      </w:r>
      <w:r w:rsidRPr="00817B10">
        <w:rPr>
          <w:rFonts w:ascii="Palatino Linotype" w:hAnsi="Palatino Linotype" w:cs="Arial"/>
          <w:sz w:val="24"/>
          <w:szCs w:val="24"/>
        </w:rPr>
        <w:lastRenderedPageBreak/>
        <w:t>de que se trata de información relativa a la esfera más íntima de las personas, excluyendo en consecuencia la entrega de la información, incluso en versión pública.</w:t>
      </w:r>
    </w:p>
    <w:p w14:paraId="5F05111C" w14:textId="77777777" w:rsidR="00C6222F" w:rsidRDefault="00130620" w:rsidP="00B933D5">
      <w:pPr>
        <w:pStyle w:val="Citas"/>
        <w:ind w:left="0" w:right="0"/>
        <w:rPr>
          <w:bCs/>
          <w:i w:val="0"/>
          <w:sz w:val="24"/>
          <w:szCs w:val="24"/>
        </w:rPr>
      </w:pPr>
      <w:r>
        <w:rPr>
          <w:bCs/>
          <w:i w:val="0"/>
          <w:sz w:val="24"/>
          <w:szCs w:val="24"/>
        </w:rPr>
        <w:t xml:space="preserve">Por otra parte, con relación a las documentales vinculadas con denuncias o quejas, </w:t>
      </w:r>
      <w:r w:rsidR="00C6222F">
        <w:rPr>
          <w:bCs/>
          <w:i w:val="0"/>
          <w:sz w:val="24"/>
          <w:szCs w:val="24"/>
        </w:rPr>
        <w:t xml:space="preserve">resulta oportuno formular las siguientes precisiones: </w:t>
      </w:r>
    </w:p>
    <w:p w14:paraId="7F239E8B" w14:textId="30C9978F" w:rsidR="00C6222F" w:rsidRPr="00C6222F" w:rsidRDefault="00CE7E88" w:rsidP="00C6222F">
      <w:pPr>
        <w:pStyle w:val="Prrafodelista"/>
        <w:numPr>
          <w:ilvl w:val="0"/>
          <w:numId w:val="16"/>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Respecto</w:t>
      </w:r>
      <w:r w:rsidR="00C6222F" w:rsidRPr="00C6222F">
        <w:rPr>
          <w:rFonts w:ascii="Palatino Linotype" w:hAnsi="Palatino Linotype" w:cs="Arial"/>
        </w:rPr>
        <w:t xml:space="preserve"> de las denuncias o quejas firmes vinculadas con </w:t>
      </w:r>
      <w:r w:rsidR="00C6222F" w:rsidRPr="00C6222F">
        <w:rPr>
          <w:rFonts w:ascii="Palatino Linotype" w:hAnsi="Palatino Linotype" w:cs="Arial"/>
          <w:b/>
          <w:u w:val="single"/>
        </w:rPr>
        <w:t xml:space="preserve">faltas graves, </w:t>
      </w:r>
      <w:r w:rsidR="00C6222F" w:rsidRPr="00C6222F">
        <w:rPr>
          <w:rFonts w:ascii="Palatino Linotype" w:hAnsi="Palatino Linotype" w:cs="Arial"/>
        </w:rPr>
        <w:t xml:space="preserve">invariablemente resulta procedente su entrega en términos del artículo 5 de la Ley de Transparencia local y demás normatividad aplicable. </w:t>
      </w:r>
    </w:p>
    <w:p w14:paraId="14863947" w14:textId="5B6520E0" w:rsidR="00C6222F" w:rsidRPr="00C6222F" w:rsidRDefault="00C6222F" w:rsidP="00C6222F">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C6222F">
        <w:rPr>
          <w:rFonts w:ascii="Palatino Linotype" w:hAnsi="Palatino Linotype" w:cs="Arial"/>
        </w:rPr>
        <w:t xml:space="preserve">Acuerdo como información reservada, </w:t>
      </w:r>
      <w:r w:rsidRPr="00C6222F">
        <w:rPr>
          <w:rFonts w:ascii="Palatino Linotype" w:hAnsi="Palatino Linotype" w:cs="Arial"/>
          <w:b/>
        </w:rPr>
        <w:t>EN CASO DE</w:t>
      </w:r>
      <w:r w:rsidRPr="00C6222F">
        <w:rPr>
          <w:rFonts w:ascii="Palatino Linotype" w:hAnsi="Palatino Linotype" w:cs="Arial"/>
        </w:rPr>
        <w:t xml:space="preserve"> </w:t>
      </w:r>
      <w:r w:rsidRPr="00C6222F">
        <w:rPr>
          <w:rFonts w:ascii="Palatino Linotype" w:hAnsi="Palatino Linotype" w:cs="Arial"/>
          <w:b/>
        </w:rPr>
        <w:t>NO</w:t>
      </w:r>
      <w:r w:rsidRPr="00C6222F">
        <w:rPr>
          <w:rFonts w:ascii="Palatino Linotype" w:hAnsi="Palatino Linotype" w:cs="Arial"/>
        </w:rPr>
        <w:t xml:space="preserve"> haber quedado firme alguna o varias de las denuncias o quejas </w:t>
      </w:r>
      <w:r w:rsidRPr="00C6222F">
        <w:rPr>
          <w:rFonts w:ascii="Palatino Linotype" w:hAnsi="Palatino Linotype" w:cs="Arial"/>
          <w:b/>
          <w:u w:val="single"/>
        </w:rPr>
        <w:t>(faltas no graves o graves)</w:t>
      </w:r>
      <w:r w:rsidRPr="00C6222F">
        <w:rPr>
          <w:rFonts w:ascii="Palatino Linotype" w:hAnsi="Palatino Linotype" w:cs="Arial"/>
        </w:rPr>
        <w:t>.</w:t>
      </w:r>
    </w:p>
    <w:p w14:paraId="7C501927" w14:textId="51AB27D6" w:rsidR="00C6222F" w:rsidRPr="00C6222F" w:rsidRDefault="00C6222F" w:rsidP="00C6222F">
      <w:pPr>
        <w:pStyle w:val="Prrafodelista"/>
        <w:numPr>
          <w:ilvl w:val="0"/>
          <w:numId w:val="16"/>
        </w:numPr>
        <w:autoSpaceDE w:val="0"/>
        <w:autoSpaceDN w:val="0"/>
        <w:adjustRightInd w:val="0"/>
        <w:spacing w:before="240" w:line="360" w:lineRule="auto"/>
        <w:jc w:val="both"/>
        <w:rPr>
          <w:rFonts w:ascii="Palatino Linotype" w:hAnsi="Palatino Linotype"/>
          <w:bCs/>
        </w:rPr>
      </w:pPr>
      <w:r w:rsidRPr="00C6222F">
        <w:rPr>
          <w:rFonts w:ascii="Palatino Linotype" w:hAnsi="Palatino Linotype" w:cs="Arial"/>
          <w:bCs/>
        </w:rPr>
        <w:t xml:space="preserve">Acuerdo como información confidencial, </w:t>
      </w:r>
      <w:r w:rsidRPr="00C6222F">
        <w:rPr>
          <w:rFonts w:ascii="Palatino Linotype" w:hAnsi="Palatino Linotype" w:cs="Arial"/>
          <w:b/>
          <w:bCs/>
        </w:rPr>
        <w:t>EN CASO DE</w:t>
      </w:r>
      <w:r w:rsidRPr="00C6222F">
        <w:rPr>
          <w:rFonts w:ascii="Palatino Linotype" w:hAnsi="Palatino Linotype" w:cs="Arial"/>
          <w:bCs/>
        </w:rPr>
        <w:t xml:space="preserve"> haber quedado firme alguna o varias de las denuncias o quejas </w:t>
      </w:r>
      <w:r w:rsidRPr="00C6222F">
        <w:rPr>
          <w:rFonts w:ascii="Palatino Linotype" w:hAnsi="Palatino Linotype" w:cs="Arial"/>
          <w:b/>
          <w:bCs/>
        </w:rPr>
        <w:t>(faltas no graves)</w:t>
      </w:r>
    </w:p>
    <w:p w14:paraId="4944A118" w14:textId="6A8F4551" w:rsidR="00C40C03" w:rsidRDefault="00C40C03" w:rsidP="00B933D5">
      <w:pPr>
        <w:pStyle w:val="Citas"/>
        <w:ind w:left="0" w:right="0"/>
        <w:rPr>
          <w:bCs/>
          <w:i w:val="0"/>
          <w:sz w:val="24"/>
          <w:szCs w:val="24"/>
        </w:rPr>
      </w:pPr>
    </w:p>
    <w:p w14:paraId="1E075DF5" w14:textId="77777777" w:rsidR="00130620" w:rsidRDefault="00130620" w:rsidP="00130620">
      <w:pPr>
        <w:autoSpaceDE w:val="0"/>
        <w:autoSpaceDN w:val="0"/>
        <w:adjustRightInd w:val="0"/>
        <w:spacing w:before="240" w:line="360" w:lineRule="auto"/>
        <w:jc w:val="both"/>
        <w:rPr>
          <w:rFonts w:ascii="Palatino Linotype" w:hAnsi="Palatino Linotype"/>
          <w:b/>
          <w:sz w:val="24"/>
          <w:szCs w:val="24"/>
        </w:rPr>
      </w:pPr>
      <w:r>
        <w:rPr>
          <w:rFonts w:ascii="Palatino Linotype" w:hAnsi="Palatino Linotype"/>
          <w:sz w:val="24"/>
          <w:szCs w:val="24"/>
        </w:rPr>
        <w:t xml:space="preserve">Finalmente, si después de realizada la búsqueda exhaustiva y razonable de la información, ésta no se encontrare en los archivos del </w:t>
      </w:r>
      <w:r>
        <w:rPr>
          <w:rFonts w:ascii="Palatino Linotype" w:hAnsi="Palatino Linotype"/>
          <w:b/>
          <w:sz w:val="24"/>
          <w:szCs w:val="24"/>
        </w:rPr>
        <w:t xml:space="preserve">Sujeto Obligado, </w:t>
      </w:r>
      <w:r>
        <w:rPr>
          <w:rFonts w:ascii="Palatino Linotype" w:hAnsi="Palatino Linotype"/>
          <w:sz w:val="24"/>
          <w:szCs w:val="24"/>
        </w:rPr>
        <w:t xml:space="preserve">bastará con que lo haga del conocimiento al </w:t>
      </w:r>
      <w:r>
        <w:rPr>
          <w:rFonts w:ascii="Palatino Linotype" w:hAnsi="Palatino Linotype"/>
          <w:b/>
          <w:sz w:val="24"/>
          <w:szCs w:val="24"/>
        </w:rPr>
        <w:t xml:space="preserve">Recurrente. </w:t>
      </w:r>
    </w:p>
    <w:p w14:paraId="6A0B0257" w14:textId="77777777" w:rsidR="00472E42" w:rsidRDefault="00472E42" w:rsidP="00130620">
      <w:pPr>
        <w:autoSpaceDE w:val="0"/>
        <w:autoSpaceDN w:val="0"/>
        <w:adjustRightInd w:val="0"/>
        <w:spacing w:before="240" w:line="360" w:lineRule="auto"/>
        <w:jc w:val="both"/>
        <w:rPr>
          <w:rFonts w:ascii="Palatino Linotype" w:hAnsi="Palatino Linotype"/>
          <w:b/>
          <w:sz w:val="24"/>
          <w:szCs w:val="24"/>
        </w:rPr>
      </w:pPr>
    </w:p>
    <w:p w14:paraId="320BE64F" w14:textId="77777777" w:rsidR="00472E42" w:rsidRPr="00E97BEA" w:rsidRDefault="00472E42" w:rsidP="00472E42">
      <w:pPr>
        <w:pStyle w:val="Prrafodelista"/>
        <w:numPr>
          <w:ilvl w:val="0"/>
          <w:numId w:val="13"/>
        </w:numPr>
        <w:spacing w:before="240" w:line="360" w:lineRule="auto"/>
        <w:jc w:val="both"/>
        <w:rPr>
          <w:rFonts w:ascii="Palatino Linotype" w:hAnsi="Palatino Linotype" w:cs="Arial"/>
          <w:b/>
          <w:bCs/>
          <w:sz w:val="28"/>
          <w:szCs w:val="28"/>
        </w:rPr>
      </w:pPr>
      <w:r w:rsidRPr="00E97BEA">
        <w:rPr>
          <w:rFonts w:ascii="Palatino Linotype" w:hAnsi="Palatino Linotype" w:cs="Arial"/>
          <w:b/>
          <w:bCs/>
          <w:sz w:val="28"/>
          <w:szCs w:val="28"/>
        </w:rPr>
        <w:t xml:space="preserve">De la clasificación de la información como reservada </w:t>
      </w:r>
    </w:p>
    <w:p w14:paraId="0D8F3CAB" w14:textId="77777777" w:rsidR="00472E42" w:rsidRPr="00F825BB" w:rsidRDefault="00472E42" w:rsidP="00472E42">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La clasificación de la información es el proceso mediante el cual los </w:t>
      </w:r>
      <w:r w:rsidRPr="00F825BB">
        <w:rPr>
          <w:rFonts w:ascii="Palatino Linotype" w:hAnsi="Palatino Linotype"/>
          <w:b/>
          <w:sz w:val="24"/>
          <w:szCs w:val="24"/>
        </w:rPr>
        <w:t xml:space="preserve">Sujetos Obligados </w:t>
      </w:r>
      <w:r w:rsidRPr="00F825BB">
        <w:rPr>
          <w:rFonts w:ascii="Palatino Linotype" w:hAnsi="Palatino Linotype"/>
          <w:sz w:val="24"/>
          <w:szCs w:val="24"/>
        </w:rPr>
        <w:t xml:space="preserve">determinan que la información requerida actualiza alguno de los supuestos de </w:t>
      </w:r>
      <w:r w:rsidRPr="00F825BB">
        <w:rPr>
          <w:rFonts w:ascii="Palatino Linotype" w:hAnsi="Palatino Linotype"/>
          <w:sz w:val="24"/>
          <w:szCs w:val="24"/>
        </w:rPr>
        <w:lastRenderedPageBreak/>
        <w:t xml:space="preserve">confidencialidad </w:t>
      </w:r>
      <w:r w:rsidRPr="00F825BB">
        <w:rPr>
          <w:rFonts w:ascii="Palatino Linotype" w:hAnsi="Palatino Linotype"/>
          <w:b/>
          <w:sz w:val="24"/>
          <w:szCs w:val="24"/>
        </w:rPr>
        <w:t xml:space="preserve">o </w:t>
      </w:r>
      <w:r w:rsidRPr="00F825BB">
        <w:rPr>
          <w:rFonts w:ascii="Palatino Linotype" w:hAnsi="Palatino Linotype"/>
          <w:b/>
          <w:sz w:val="24"/>
          <w:szCs w:val="24"/>
          <w:u w:val="single"/>
        </w:rPr>
        <w:t>reserva,</w:t>
      </w:r>
      <w:r w:rsidRPr="00F825BB">
        <w:rPr>
          <w:rFonts w:ascii="Palatino Linotype" w:hAnsi="Palatino Linotype"/>
          <w:b/>
          <w:sz w:val="24"/>
          <w:szCs w:val="24"/>
        </w:rPr>
        <w:t xml:space="preserve"> </w:t>
      </w:r>
      <w:r w:rsidRPr="00F825BB">
        <w:rPr>
          <w:rFonts w:ascii="Palatino Linotype" w:hAnsi="Palatino Linotype"/>
          <w:sz w:val="24"/>
          <w:szCs w:val="24"/>
        </w:rPr>
        <w:t xml:space="preserve">de acuerdo con las bases y los principios inmersos en la normatividad aplicable. </w:t>
      </w:r>
    </w:p>
    <w:p w14:paraId="4B17290A" w14:textId="77777777" w:rsidR="00472E42" w:rsidRPr="00F825BB" w:rsidRDefault="00472E42" w:rsidP="00472E42">
      <w:pPr>
        <w:spacing w:before="240" w:line="360" w:lineRule="auto"/>
        <w:jc w:val="both"/>
        <w:rPr>
          <w:rFonts w:ascii="Palatino Linotype" w:hAnsi="Palatino Linotype"/>
          <w:b/>
          <w:sz w:val="24"/>
          <w:szCs w:val="24"/>
        </w:rPr>
      </w:pPr>
      <w:r w:rsidRPr="00F825BB">
        <w:rPr>
          <w:rFonts w:ascii="Palatino Linotype" w:hAnsi="Palatino Linotype"/>
          <w:sz w:val="24"/>
          <w:szCs w:val="24"/>
        </w:rPr>
        <w:t>El artículo 140 de la Ley de Transparencia y Acceso a la Información del Estado de México y Municipios enlista de manera estricta y limitativa las causales de procedencia para clasificar soportes documentales como información reservada.</w:t>
      </w:r>
    </w:p>
    <w:p w14:paraId="528E31F5" w14:textId="77777777" w:rsidR="00472E42" w:rsidRPr="00F825BB" w:rsidRDefault="00472E42" w:rsidP="00472E42">
      <w:pPr>
        <w:spacing w:before="240" w:line="360" w:lineRule="auto"/>
        <w:jc w:val="both"/>
        <w:rPr>
          <w:rFonts w:ascii="Palatino Linotype" w:hAnsi="Palatino Linotype"/>
          <w:b/>
          <w:sz w:val="24"/>
          <w:szCs w:val="24"/>
        </w:rPr>
      </w:pPr>
      <w:r w:rsidRPr="00F825BB">
        <w:rPr>
          <w:rFonts w:ascii="Palatino Linotype" w:hAnsi="Palatino Linotype"/>
          <w:sz w:val="24"/>
          <w:szCs w:val="24"/>
        </w:rPr>
        <w:t xml:space="preserve">Para realizar la reserva la información, no basta con invocar alguna de las causales previstas en la Ley de transparencia local. En sentido contrario, dicha valoración debe realizarse a través de lo que se conoce como </w:t>
      </w:r>
      <w:r w:rsidRPr="00F825BB">
        <w:rPr>
          <w:rFonts w:ascii="Palatino Linotype" w:hAnsi="Palatino Linotype"/>
          <w:b/>
          <w:i/>
          <w:sz w:val="24"/>
          <w:szCs w:val="24"/>
        </w:rPr>
        <w:t xml:space="preserve">“prueba de daño”, </w:t>
      </w:r>
      <w:r w:rsidRPr="00F825BB">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F825BB">
        <w:rPr>
          <w:sz w:val="24"/>
          <w:szCs w:val="24"/>
          <w:vertAlign w:val="superscript"/>
        </w:rPr>
        <w:footnoteReference w:id="1"/>
      </w:r>
      <w:r w:rsidRPr="00F825BB">
        <w:rPr>
          <w:rFonts w:ascii="Palatino Linotype" w:hAnsi="Palatino Linotype"/>
          <w:sz w:val="24"/>
          <w:szCs w:val="24"/>
        </w:rPr>
        <w:t>. Asimismo, ésta no debe basarse en meras especulaciones o suposiciones, sino en elementos objetivos que deban evaluar que existe un riego actual e inminente</w:t>
      </w:r>
      <w:r w:rsidRPr="00F825BB">
        <w:rPr>
          <w:sz w:val="24"/>
          <w:szCs w:val="24"/>
          <w:vertAlign w:val="superscript"/>
        </w:rPr>
        <w:footnoteReference w:id="2"/>
      </w:r>
      <w:r w:rsidRPr="00F825BB">
        <w:rPr>
          <w:rFonts w:ascii="Palatino Linotype" w:hAnsi="Palatino Linotype"/>
          <w:sz w:val="24"/>
          <w:szCs w:val="24"/>
        </w:rPr>
        <w:t>.</w:t>
      </w:r>
    </w:p>
    <w:p w14:paraId="341F6F3A" w14:textId="77777777" w:rsidR="00472E42" w:rsidRPr="00F825BB" w:rsidRDefault="00472E42" w:rsidP="00472E42">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w:t>
      </w:r>
      <w:r w:rsidRPr="00F825BB">
        <w:rPr>
          <w:rFonts w:ascii="Palatino Linotype" w:hAnsi="Palatino Linotype"/>
          <w:color w:val="000000" w:themeColor="text1"/>
          <w:sz w:val="24"/>
          <w:szCs w:val="24"/>
        </w:rPr>
        <w:lastRenderedPageBreak/>
        <w:t xml:space="preserve">esto es, no se puede hacer una prueba de daño de un expediente completo, </w:t>
      </w:r>
      <w:r w:rsidRPr="00F825BB">
        <w:rPr>
          <w:rFonts w:ascii="Palatino Linotype" w:hAnsi="Palatino Linotype"/>
          <w:b/>
          <w:color w:val="000000" w:themeColor="text1"/>
          <w:sz w:val="24"/>
          <w:szCs w:val="24"/>
          <w:u w:val="single"/>
        </w:rPr>
        <w:t>sino de cada uno de los documentos que lo integran</w:t>
      </w:r>
      <w:r w:rsidRPr="00F825BB">
        <w:rPr>
          <w:rFonts w:ascii="Palatino Linotype" w:hAnsi="Palatino Linotype"/>
          <w:color w:val="000000" w:themeColor="text1"/>
          <w:sz w:val="24"/>
          <w:szCs w:val="24"/>
        </w:rPr>
        <w:t>.</w:t>
      </w:r>
    </w:p>
    <w:p w14:paraId="34FADB23" w14:textId="77777777" w:rsidR="00472E42" w:rsidRPr="00F825BB" w:rsidRDefault="00472E42" w:rsidP="00472E42">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16B5AA1B" w14:textId="77777777" w:rsidR="00472E42" w:rsidRPr="00F825BB" w:rsidRDefault="00472E42" w:rsidP="00472E42">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 </w:t>
      </w:r>
      <w:r w:rsidRPr="00F825BB">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524B7FDC" w14:textId="77777777" w:rsidR="00472E42" w:rsidRPr="00F825BB" w:rsidRDefault="00472E42" w:rsidP="00472E42">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 </w:t>
      </w:r>
      <w:r w:rsidRPr="00F825BB">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357501A6" w14:textId="77777777" w:rsidR="00472E42" w:rsidRPr="00F825BB" w:rsidRDefault="00472E42" w:rsidP="00472E42">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F825BB">
        <w:rPr>
          <w:rFonts w:ascii="Palatino Linotype" w:hAnsi="Palatino Linotype" w:cs="Bookman Old Style"/>
          <w:bCs/>
          <w:color w:val="000000" w:themeColor="text1"/>
          <w:sz w:val="24"/>
          <w:szCs w:val="24"/>
          <w:lang w:val="es-ES_tradnl"/>
        </w:rPr>
        <w:t xml:space="preserve">III. </w:t>
      </w:r>
      <w:r w:rsidRPr="00F825BB">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64CD1844" w14:textId="77777777" w:rsidR="00472E42" w:rsidRPr="00F825BB" w:rsidRDefault="00472E42" w:rsidP="00472E42">
      <w:pPr>
        <w:pStyle w:val="j"/>
        <w:shd w:val="clear" w:color="auto" w:fill="FFFFFF"/>
        <w:suppressAutoHyphens/>
        <w:spacing w:line="360" w:lineRule="auto"/>
        <w:jc w:val="both"/>
        <w:textAlignment w:val="baseline"/>
        <w:rPr>
          <w:rFonts w:ascii="Palatino Linotype" w:hAnsi="Palatino Linotype"/>
          <w:color w:val="000000" w:themeColor="text1"/>
        </w:rPr>
      </w:pPr>
      <w:r w:rsidRPr="00F825BB">
        <w:rPr>
          <w:rFonts w:ascii="Palatino Linotype" w:hAnsi="Palatino Linotype"/>
          <w:color w:val="000000" w:themeColor="text1"/>
        </w:rPr>
        <w:t>Sobre el primer supuesto consideremos que según el diccionario del español jurídico, por riesgo podemos entender “la contingencia o proximidad de un daño”,</w:t>
      </w:r>
      <w:r w:rsidRPr="00F825BB">
        <w:rPr>
          <w:rStyle w:val="Refdenotaalpie"/>
          <w:rFonts w:ascii="Palatino Linotype" w:hAnsi="Palatino Linotype"/>
          <w:color w:val="000000" w:themeColor="text1"/>
        </w:rPr>
        <w:footnoteReference w:id="3"/>
      </w:r>
      <w:r w:rsidRPr="00F825BB">
        <w:rPr>
          <w:rFonts w:ascii="Palatino Linotype" w:hAnsi="Palatino Linotype"/>
          <w:color w:val="000000" w:themeColor="text1"/>
        </w:rPr>
        <w:t xml:space="preserve"> mientras que el daño es considerado como un “perjuicio o lesión”</w:t>
      </w:r>
      <w:r w:rsidRPr="00F825BB">
        <w:rPr>
          <w:rStyle w:val="Refdenotaalpie"/>
          <w:rFonts w:ascii="Palatino Linotype" w:hAnsi="Palatino Linotype"/>
          <w:color w:val="000000" w:themeColor="text1"/>
        </w:rPr>
        <w:footnoteReference w:id="4"/>
      </w:r>
      <w:r w:rsidRPr="00F825BB">
        <w:rPr>
          <w:rFonts w:ascii="Palatino Linotype" w:hAnsi="Palatino Linotype"/>
          <w:color w:val="000000" w:themeColor="text1"/>
        </w:rPr>
        <w:t>, mientras que según el Diccionario de la Lengua Española, lo real es</w:t>
      </w:r>
      <w:r w:rsidRPr="00F825BB">
        <w:rPr>
          <w:rFonts w:ascii="Palatino Linotype" w:eastAsia="Arial Unicode MS" w:hAnsi="Palatino Linotype" w:cs="Arial Unicode MS"/>
          <w:color w:val="000000" w:themeColor="text1"/>
          <w:spacing w:val="4"/>
          <w:shd w:val="clear" w:color="auto" w:fill="FFFFFF"/>
        </w:rPr>
        <w:t> lo “</w:t>
      </w:r>
      <w:r w:rsidRPr="00F825BB">
        <w:rPr>
          <w:rFonts w:ascii="Palatino Linotype" w:eastAsia="Times New Roman" w:hAnsi="Palatino Linotype"/>
          <w:color w:val="000000" w:themeColor="text1"/>
        </w:rPr>
        <w:t>(q)ue</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tiene</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existencia</w:t>
      </w:r>
      <w:r w:rsidRPr="00F825BB">
        <w:rPr>
          <w:rFonts w:ascii="Palatino Linotype" w:eastAsia="Arial Unicode MS" w:hAnsi="Palatino Linotype" w:cs="Arial Unicode MS"/>
          <w:color w:val="000000" w:themeColor="text1"/>
          <w:spacing w:val="4"/>
          <w:shd w:val="clear" w:color="auto" w:fill="FFFFFF"/>
        </w:rPr>
        <w:t> </w:t>
      </w:r>
      <w:r w:rsidRPr="00F825BB">
        <w:rPr>
          <w:rFonts w:ascii="Palatino Linotype" w:eastAsia="Times New Roman" w:hAnsi="Palatino Linotype"/>
          <w:color w:val="000000" w:themeColor="text1"/>
        </w:rPr>
        <w:t>objetiva”,</w:t>
      </w:r>
      <w:r w:rsidRPr="00F825BB">
        <w:rPr>
          <w:rStyle w:val="Refdenotaalpie"/>
          <w:rFonts w:ascii="Palatino Linotype" w:eastAsia="Times New Roman" w:hAnsi="Palatino Linotype"/>
          <w:color w:val="000000" w:themeColor="text1"/>
        </w:rPr>
        <w:footnoteReference w:id="5"/>
      </w:r>
      <w:r w:rsidRPr="00F825BB">
        <w:rPr>
          <w:rFonts w:ascii="Palatino Linotype" w:eastAsia="Times New Roman" w:hAnsi="Palatino Linotype"/>
          <w:color w:val="000000" w:themeColor="text1"/>
        </w:rPr>
        <w:t xml:space="preserve"> </w:t>
      </w:r>
      <w:r w:rsidRPr="00F825BB">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Pr="00F825BB">
        <w:rPr>
          <w:rStyle w:val="Refdenotaalpie"/>
          <w:rFonts w:ascii="Palatino Linotype" w:eastAsia="Arial Unicode MS" w:hAnsi="Palatino Linotype" w:cs="Arial Unicode MS"/>
          <w:color w:val="000000" w:themeColor="text1"/>
          <w:spacing w:val="4"/>
          <w:shd w:val="clear" w:color="auto" w:fill="FFFFFF"/>
        </w:rPr>
        <w:footnoteReference w:id="6"/>
      </w:r>
      <w:r w:rsidRPr="00F825BB">
        <w:rPr>
          <w:rFonts w:ascii="Palatino Linotype" w:eastAsia="Arial Unicode MS" w:hAnsi="Palatino Linotype" w:cs="Arial Unicode MS"/>
          <w:color w:val="000000" w:themeColor="text1"/>
          <w:spacing w:val="4"/>
          <w:shd w:val="clear" w:color="auto" w:fill="FFFFFF"/>
        </w:rPr>
        <w:t xml:space="preserve"> es decir, </w:t>
      </w:r>
      <w:r w:rsidRPr="00F825BB">
        <w:rPr>
          <w:rFonts w:ascii="Palatino Linotype" w:hAnsi="Palatino Linotype" w:cstheme="minorBidi"/>
          <w:color w:val="000000" w:themeColor="text1"/>
          <w:lang w:val="es-MX" w:eastAsia="en-US"/>
        </w:rPr>
        <w:t xml:space="preserve">“(m)anifestar, declarar. Probar, sirviéndose de cualquier género de </w:t>
      </w:r>
      <w:r w:rsidRPr="00F825BB">
        <w:rPr>
          <w:rFonts w:ascii="Palatino Linotype" w:hAnsi="Palatino Linotype" w:cstheme="minorBidi"/>
          <w:color w:val="000000" w:themeColor="text1"/>
          <w:lang w:val="es-MX" w:eastAsia="en-US"/>
        </w:rPr>
        <w:lastRenderedPageBreak/>
        <w:t>demostración, </w:t>
      </w:r>
      <w:hyperlink r:id="rId21" w:anchor="6nAyKjE" w:history="1">
        <w:r w:rsidRPr="00F825BB">
          <w:rPr>
            <w:rFonts w:ascii="Palatino Linotype" w:hAnsi="Palatino Linotype" w:cstheme="minorBidi"/>
            <w:color w:val="000000" w:themeColor="text1"/>
            <w:lang w:val="es-MX" w:eastAsia="en-US"/>
          </w:rPr>
          <w:t>enseñar</w:t>
        </w:r>
      </w:hyperlink>
      <w:r w:rsidRPr="00F825BB">
        <w:rPr>
          <w:rFonts w:ascii="Palatino Linotype" w:hAnsi="Palatino Linotype" w:cstheme="minorBidi"/>
          <w:color w:val="000000" w:themeColor="text1"/>
          <w:lang w:val="es-MX" w:eastAsia="en-US"/>
        </w:rPr>
        <w:t> mostrar o exponer algo)”.</w:t>
      </w:r>
      <w:r w:rsidRPr="00F825BB">
        <w:rPr>
          <w:rStyle w:val="Refdenotaalpie"/>
          <w:rFonts w:ascii="Palatino Linotype" w:hAnsi="Palatino Linotype" w:cstheme="minorBidi"/>
          <w:color w:val="000000" w:themeColor="text1"/>
          <w:lang w:val="es-MX" w:eastAsia="en-US"/>
        </w:rPr>
        <w:footnoteReference w:id="7"/>
      </w:r>
      <w:r w:rsidRPr="00F825BB">
        <w:rPr>
          <w:rFonts w:ascii="Palatino Linotype" w:hAnsi="Palatino Linotype" w:cstheme="minorBidi"/>
          <w:color w:val="000000" w:themeColor="text1"/>
          <w:lang w:val="es-MX" w:eastAsia="en-US"/>
        </w:rPr>
        <w:t xml:space="preserve"> Mientras que lo identificable es lo que puede ser identificado,</w:t>
      </w:r>
      <w:r w:rsidRPr="00F825BB">
        <w:rPr>
          <w:rStyle w:val="Refdenotaalpie"/>
          <w:rFonts w:ascii="Palatino Linotype" w:hAnsi="Palatino Linotype" w:cstheme="minorBidi"/>
          <w:color w:val="000000" w:themeColor="text1"/>
          <w:lang w:val="es-MX" w:eastAsia="en-US"/>
        </w:rPr>
        <w:footnoteReference w:id="8"/>
      </w:r>
      <w:r w:rsidRPr="00F825BB">
        <w:rPr>
          <w:rFonts w:ascii="Palatino Linotype" w:hAnsi="Palatino Linotype" w:cstheme="minorBidi"/>
          <w:color w:val="000000" w:themeColor="text1"/>
          <w:lang w:val="es-MX" w:eastAsia="en-US"/>
        </w:rPr>
        <w:t xml:space="preserve"> esto es,</w:t>
      </w:r>
      <w:r w:rsidRPr="00F825BB">
        <w:rPr>
          <w:rFonts w:ascii="Palatino Linotype" w:hAnsi="Palatino Linotype" w:cstheme="minorBidi"/>
          <w:color w:val="000000" w:themeColor="text1"/>
        </w:rPr>
        <w:t>  “(d)ar los datos necesarios para ser reconocido”.</w:t>
      </w:r>
      <w:r w:rsidRPr="00F825BB">
        <w:rPr>
          <w:rStyle w:val="Refdenotaalpie"/>
          <w:rFonts w:ascii="Palatino Linotype" w:hAnsi="Palatino Linotype" w:cstheme="minorBidi"/>
          <w:color w:val="000000" w:themeColor="text1"/>
        </w:rPr>
        <w:footnoteReference w:id="9"/>
      </w:r>
    </w:p>
    <w:p w14:paraId="2B28D62D" w14:textId="77777777" w:rsidR="00472E42" w:rsidRPr="00F825BB" w:rsidRDefault="00472E42" w:rsidP="00472E42">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8AD3E49" w14:textId="77777777" w:rsidR="00472E42" w:rsidRPr="00F825BB" w:rsidRDefault="00472E42" w:rsidP="00472E42">
      <w:pPr>
        <w:spacing w:line="360" w:lineRule="auto"/>
        <w:jc w:val="both"/>
        <w:rPr>
          <w:rFonts w:ascii="Palatino Linotype" w:hAnsi="Palatino Linotype"/>
          <w:color w:val="000000" w:themeColor="text1"/>
          <w:sz w:val="24"/>
          <w:szCs w:val="24"/>
        </w:rPr>
      </w:pPr>
      <w:r w:rsidRPr="00F825BB">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093B4A5E" w14:textId="77777777" w:rsidR="00472E42" w:rsidRDefault="00472E42" w:rsidP="00472E42">
      <w:pPr>
        <w:spacing w:line="360" w:lineRule="auto"/>
        <w:jc w:val="both"/>
        <w:rPr>
          <w:rFonts w:ascii="Palatino Linotype" w:hAnsi="Palatino Linotype"/>
          <w:color w:val="000000" w:themeColor="text1"/>
          <w:sz w:val="24"/>
          <w:szCs w:val="24"/>
        </w:rPr>
      </w:pPr>
      <w:r w:rsidRPr="00E01285">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774B2D">
        <w:rPr>
          <w:rStyle w:val="Refdenotaalpie"/>
          <w:rFonts w:ascii="Palatino Linotype" w:hAnsi="Palatino Linotype"/>
          <w:color w:val="000000" w:themeColor="text1"/>
        </w:rPr>
        <w:footnoteReference w:id="10"/>
      </w:r>
      <w:r w:rsidRPr="00E01285">
        <w:rPr>
          <w:rFonts w:ascii="Palatino Linotype" w:hAnsi="Palatino Linotype"/>
          <w:color w:val="000000" w:themeColor="text1"/>
          <w:sz w:val="24"/>
          <w:szCs w:val="24"/>
        </w:rPr>
        <w:t xml:space="preserve">, siguiendo el principio de ponderación propuesto por el Tribunal </w:t>
      </w:r>
      <w:r w:rsidRPr="00E01285">
        <w:rPr>
          <w:rFonts w:ascii="Palatino Linotype" w:hAnsi="Palatino Linotype"/>
          <w:color w:val="000000" w:themeColor="text1"/>
          <w:sz w:val="24"/>
          <w:szCs w:val="24"/>
        </w:rPr>
        <w:lastRenderedPageBreak/>
        <w:t>Constitucional Alemán,</w:t>
      </w:r>
      <w:r w:rsidRPr="00774B2D">
        <w:rPr>
          <w:rStyle w:val="Refdenotaalpie"/>
          <w:rFonts w:ascii="Palatino Linotype" w:hAnsi="Palatino Linotype"/>
          <w:color w:val="000000" w:themeColor="text1"/>
        </w:rPr>
        <w:footnoteReference w:id="11"/>
      </w:r>
      <w:r w:rsidRPr="00E01285">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2A0B571" w14:textId="77777777" w:rsidR="00472E42" w:rsidRPr="00E01285" w:rsidRDefault="00472E42" w:rsidP="00472E42">
      <w:pPr>
        <w:spacing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5D6F6F81" w14:textId="77777777" w:rsidR="00472E42" w:rsidRDefault="00472E42" w:rsidP="00130620">
      <w:pPr>
        <w:autoSpaceDE w:val="0"/>
        <w:autoSpaceDN w:val="0"/>
        <w:adjustRightInd w:val="0"/>
        <w:spacing w:before="240" w:line="360" w:lineRule="auto"/>
        <w:jc w:val="both"/>
        <w:rPr>
          <w:rFonts w:ascii="Palatino Linotype" w:hAnsi="Palatino Linotype"/>
          <w:b/>
          <w:sz w:val="24"/>
          <w:szCs w:val="24"/>
        </w:rPr>
      </w:pPr>
    </w:p>
    <w:p w14:paraId="44DE6249" w14:textId="77777777" w:rsidR="00130620" w:rsidRPr="00C211F0" w:rsidRDefault="00130620" w:rsidP="00C211F0">
      <w:pPr>
        <w:pStyle w:val="Prrafodelista"/>
        <w:numPr>
          <w:ilvl w:val="0"/>
          <w:numId w:val="14"/>
        </w:numPr>
        <w:autoSpaceDE w:val="0"/>
        <w:autoSpaceDN w:val="0"/>
        <w:adjustRightInd w:val="0"/>
        <w:spacing w:before="240" w:line="360" w:lineRule="auto"/>
        <w:jc w:val="both"/>
        <w:rPr>
          <w:rFonts w:ascii="Palatino Linotype" w:hAnsi="Palatino Linotype"/>
          <w:b/>
          <w:sz w:val="28"/>
          <w:szCs w:val="28"/>
        </w:rPr>
      </w:pPr>
      <w:r w:rsidRPr="00C211F0">
        <w:rPr>
          <w:rFonts w:ascii="Palatino Linotype" w:hAnsi="Palatino Linotype"/>
          <w:b/>
          <w:sz w:val="28"/>
          <w:szCs w:val="28"/>
        </w:rPr>
        <w:t xml:space="preserve">Versión Pública </w:t>
      </w:r>
    </w:p>
    <w:p w14:paraId="226D7286" w14:textId="77777777" w:rsidR="00130620" w:rsidRPr="001571EB" w:rsidRDefault="00130620" w:rsidP="0013062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5BCF36A6" w14:textId="77777777" w:rsidR="00130620" w:rsidRPr="00E60DEF" w:rsidRDefault="00130620" w:rsidP="0013062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7707272" w14:textId="77777777" w:rsidR="00130620" w:rsidRPr="00E60DEF" w:rsidRDefault="00130620" w:rsidP="0013062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FE347B8" w14:textId="77777777" w:rsidR="00130620" w:rsidRPr="001571EB" w:rsidRDefault="00130620" w:rsidP="0013062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D43428B" w14:textId="77777777" w:rsidR="00130620" w:rsidRPr="001571EB" w:rsidRDefault="00130620" w:rsidP="0013062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85CD37F" w14:textId="77777777" w:rsidR="00130620" w:rsidRPr="001571EB" w:rsidRDefault="00130620" w:rsidP="0013062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C2A727F" w14:textId="77777777" w:rsidR="00130620" w:rsidRPr="001571EB" w:rsidRDefault="00130620" w:rsidP="0013062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377574A" w14:textId="77777777" w:rsidR="00130620" w:rsidRPr="001571EB" w:rsidRDefault="00130620" w:rsidP="0013062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5C93F7" w14:textId="77777777" w:rsidR="00130620" w:rsidRPr="001571EB" w:rsidRDefault="00130620" w:rsidP="0013062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EA53BA6" w14:textId="77777777" w:rsidR="00130620" w:rsidRPr="001571EB" w:rsidRDefault="00130620" w:rsidP="0013062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3EE561A" w14:textId="77777777" w:rsidR="00130620" w:rsidRPr="00E60DEF" w:rsidRDefault="00130620" w:rsidP="0013062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969F499" w14:textId="77777777" w:rsidR="00130620" w:rsidRPr="001571EB" w:rsidRDefault="00130620" w:rsidP="0013062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0D93A32" w14:textId="77777777" w:rsidR="00130620" w:rsidRPr="00E60DEF" w:rsidRDefault="00130620" w:rsidP="00130620">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89A54DF" w14:textId="77777777" w:rsidR="00130620" w:rsidRPr="001571EB" w:rsidRDefault="00130620" w:rsidP="00130620">
      <w:pPr>
        <w:spacing w:line="240" w:lineRule="auto"/>
        <w:ind w:left="851" w:right="851"/>
        <w:jc w:val="both"/>
        <w:rPr>
          <w:rFonts w:ascii="Palatino Linotype" w:hAnsi="Palatino Linotype" w:cs="Arial"/>
          <w:b/>
          <w:i/>
          <w:u w:val="single"/>
        </w:rPr>
      </w:pPr>
    </w:p>
    <w:p w14:paraId="03B6DE82" w14:textId="77777777" w:rsidR="00130620" w:rsidRPr="001571EB" w:rsidRDefault="00130620" w:rsidP="0013062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82DF7F" w14:textId="77777777" w:rsidR="00130620" w:rsidRPr="001571EB" w:rsidRDefault="00130620" w:rsidP="0013062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CC4BC70" w14:textId="77777777" w:rsidR="00130620" w:rsidRPr="001571EB" w:rsidRDefault="00130620" w:rsidP="0013062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27E0275" w14:textId="77777777" w:rsidR="00130620" w:rsidRPr="001571EB" w:rsidRDefault="00130620" w:rsidP="0013062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312051"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2B186CA"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F8CB22D"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39C2411"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8207119"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4F9FAC84" w14:textId="77777777" w:rsidR="00130620" w:rsidRPr="001571EB" w:rsidRDefault="00130620" w:rsidP="00130620">
      <w:pPr>
        <w:autoSpaceDE w:val="0"/>
        <w:autoSpaceDN w:val="0"/>
        <w:adjustRightInd w:val="0"/>
        <w:spacing w:before="120" w:after="120"/>
        <w:ind w:left="567" w:right="850"/>
        <w:jc w:val="both"/>
        <w:rPr>
          <w:rFonts w:ascii="Palatino Linotype" w:eastAsia="Times New Roman" w:hAnsi="Palatino Linotype" w:cs="Arial"/>
          <w:i/>
        </w:rPr>
      </w:pPr>
    </w:p>
    <w:p w14:paraId="3BAA1507" w14:textId="77777777" w:rsidR="00130620" w:rsidRPr="001571EB" w:rsidRDefault="00130620" w:rsidP="0013062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6F5758E" w14:textId="77777777" w:rsidR="00130620" w:rsidRPr="001571EB" w:rsidRDefault="00130620" w:rsidP="0013062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w:t>
      </w:r>
      <w:r w:rsidRPr="001571EB">
        <w:rPr>
          <w:rFonts w:ascii="Palatino Linotype" w:eastAsia="Calibri" w:hAnsi="Palatino Linotype" w:cs="Arial"/>
          <w:sz w:val="24"/>
          <w:szCs w:val="24"/>
          <w:lang w:eastAsia="es-MX"/>
        </w:rPr>
        <w:lastRenderedPageBreak/>
        <w:t>su fecha de nacimiento, su nombre, sus apellidos y su lugar de nacimiento; información que permite distinguirlo del resto de los habitantes, se considera que es de carácter confidencial.</w:t>
      </w:r>
    </w:p>
    <w:p w14:paraId="11AB6B0E" w14:textId="77777777" w:rsidR="00130620" w:rsidRPr="001571EB" w:rsidRDefault="00130620" w:rsidP="0013062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7836C0D7"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790E041"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BF80A09"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5A5CEBE"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4F90FD6" w14:textId="77777777" w:rsidR="00130620" w:rsidRPr="001571EB" w:rsidRDefault="00130620" w:rsidP="0013062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51E16327" w14:textId="77777777" w:rsidR="00130620" w:rsidRPr="001571EB" w:rsidRDefault="00130620" w:rsidP="00130620">
      <w:pPr>
        <w:spacing w:after="0" w:line="360" w:lineRule="auto"/>
        <w:jc w:val="both"/>
        <w:rPr>
          <w:rFonts w:ascii="Palatino Linotype" w:hAnsi="Palatino Linotype" w:cs="Arial"/>
        </w:rPr>
      </w:pPr>
    </w:p>
    <w:p w14:paraId="4EA5A3E9" w14:textId="77777777" w:rsidR="00130620" w:rsidRDefault="00130620" w:rsidP="0013062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92DFF41" w14:textId="574DA261" w:rsidR="00130620" w:rsidRPr="00D5257A" w:rsidRDefault="00130620" w:rsidP="00130620">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472E42">
        <w:rPr>
          <w:rFonts w:ascii="Palatino Linotype" w:hAnsi="Palatino Linotype"/>
          <w:b/>
          <w:sz w:val="24"/>
          <w:szCs w:val="24"/>
        </w:rPr>
        <w:t>00006/JAPEM/IP/2021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4A620AD" w14:textId="77777777" w:rsidR="00130620" w:rsidRDefault="00130620" w:rsidP="00130620">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440724D" w14:textId="269644E6" w:rsidR="00130620" w:rsidRDefault="00CE7E88" w:rsidP="00130620">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6DDDEAA4" wp14:editId="2DDF4C30">
                <wp:simplePos x="0" y="0"/>
                <wp:positionH relativeFrom="column">
                  <wp:posOffset>-153035</wp:posOffset>
                </wp:positionH>
                <wp:positionV relativeFrom="paragraph">
                  <wp:posOffset>43180</wp:posOffset>
                </wp:positionV>
                <wp:extent cx="6267450" cy="17145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26745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AEBE7"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05pt,3.4pt" to="481.4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DYugEAAMUDAAAOAAAAZHJzL2Uyb0RvYy54bWysU8tu2zAQvBfoPxC815Kc1gkEyzk4SC9F&#10;a7TJBzDU0iLAF5asJf99l7StBG2BokEuJFfcmd0Zrta3kzXsABi1dx1vFjVn4KTvtdt3/PHh/sMN&#10;ZzEJ1wvjHXT8CJHfbt6/W4+hhaUfvOkBGZG42I6h40NKoa2qKAewIi58AEeXyqMViULcVz2Kkdit&#10;qZZ1vapGj31ALyFG+np3uuSbwq8UyPRNqQiJmY5Tb6msWNanvFabtWj3KMKg5bkN8YourNCOis5U&#10;dyIJ9hP1H1RWS/TRq7SQ3lZeKS2haCA1Tf2bmh+DCFC0kDkxzDbFt6OVXw87ZLrv+BVnTlh6oi09&#10;lEweGeaNXWWPxhBbSt26HZ6jGHaYBU8Kbd5JCpuKr8fZV5gSk/RxtVxdf/xE9ku6a64bOhfnq2d4&#10;wJg+g7csHzputMvCRSsOX2KikpR6SaEgt3NqoJzS0UBONu47KBJDJZuCLmMEW4PsIGgAhJTgUpMF&#10;EV/JzjCljZmB9b+B5/wMhTJi/wOeEaWyd2kGW+08/q16mi4tq1P+xYGT7mzBk++P5WmKNTQrReF5&#10;rvMwvowL/Pnv2/wCAAD//wMAUEsDBBQABgAIAAAAIQCRBYMC4QAAAAkBAAAPAAAAZHJzL2Rvd25y&#10;ZXYueG1sTI9BS8NAEIXvgv9hGcFbu+ki0cZsSimItSDFKtTjNjsm0exsyG6b9N87Pelx3nu8+V6+&#10;GF0rTtiHxpOG2TQBgVR621Cl4eP9afIAIkRD1rSeUMMZAyyK66vcZNYP9IanXawEl1DIjIY6xi6T&#10;MpQ1OhOmvkNi78v3zkQ++0ra3gxc7lqpkiSVzjTEH2rT4arG8md3dBpe+/V6tdycv2n76Ya92uy3&#10;L+Oz1rc34/IRRMQx/oXhgs/oUDDTwR/JBtFqmKi7GUc1pLyA/Xmq5iAOGtQ9K7LI5f8FxS8AAAD/&#10;/wMAUEsBAi0AFAAGAAgAAAAhALaDOJL+AAAA4QEAABMAAAAAAAAAAAAAAAAAAAAAAFtDb250ZW50&#10;X1R5cGVzXS54bWxQSwECLQAUAAYACAAAACEAOP0h/9YAAACUAQAACwAAAAAAAAAAAAAAAAAvAQAA&#10;X3JlbHMvLnJlbHNQSwECLQAUAAYACAAAACEAkkHg2LoBAADFAwAADgAAAAAAAAAAAAAAAAAuAgAA&#10;ZHJzL2Uyb0RvYy54bWxQSwECLQAUAAYACAAAACEAkQWDAuEAAAAJAQAADwAAAAAAAAAAAAAAAAAU&#10;BAAAZHJzL2Rvd25yZXYueG1sUEsFBgAAAAAEAAQA8wAAACIFAAAAAA==&#10;" strokecolor="#5b9bd5 [3204]" strokeweight=".5pt">
                <v:stroke joinstyle="miter"/>
              </v:line>
            </w:pict>
          </mc:Fallback>
        </mc:AlternateContent>
      </w:r>
    </w:p>
    <w:p w14:paraId="40C8257C" w14:textId="77777777" w:rsidR="00CE7E88" w:rsidRDefault="00CE7E88" w:rsidP="00130620">
      <w:pPr>
        <w:spacing w:before="240" w:line="360" w:lineRule="auto"/>
        <w:jc w:val="both"/>
        <w:rPr>
          <w:rFonts w:ascii="Palatino Linotype" w:hAnsi="Palatino Linotype"/>
          <w:sz w:val="24"/>
          <w:szCs w:val="24"/>
        </w:rPr>
      </w:pPr>
    </w:p>
    <w:p w14:paraId="5952EC66" w14:textId="77777777" w:rsidR="00CE7E88" w:rsidRDefault="00CE7E88" w:rsidP="00130620">
      <w:pPr>
        <w:spacing w:before="240" w:line="360" w:lineRule="auto"/>
        <w:jc w:val="both"/>
        <w:rPr>
          <w:rFonts w:ascii="Palatino Linotype" w:hAnsi="Palatino Linotype"/>
          <w:sz w:val="24"/>
          <w:szCs w:val="24"/>
        </w:rPr>
      </w:pPr>
    </w:p>
    <w:p w14:paraId="5D43E38A" w14:textId="77777777" w:rsidR="00CE7E88" w:rsidRPr="00517889" w:rsidRDefault="00CE7E88" w:rsidP="00130620">
      <w:pPr>
        <w:spacing w:before="240" w:line="360" w:lineRule="auto"/>
        <w:jc w:val="both"/>
        <w:rPr>
          <w:rFonts w:ascii="Palatino Linotype" w:hAnsi="Palatino Linotype"/>
          <w:sz w:val="24"/>
          <w:szCs w:val="24"/>
        </w:rPr>
      </w:pPr>
    </w:p>
    <w:p w14:paraId="276DCB91" w14:textId="77777777" w:rsidR="00130620" w:rsidRPr="00D05C83" w:rsidRDefault="00130620" w:rsidP="00130620">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3A273A1D" w14:textId="59E0BAA3" w:rsidR="00130620" w:rsidRDefault="00130620" w:rsidP="00130620">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472E42">
        <w:rPr>
          <w:rFonts w:ascii="Palatino Linotype" w:hAnsi="Palatino Linotype"/>
          <w:b/>
          <w:sz w:val="24"/>
          <w:szCs w:val="24"/>
        </w:rPr>
        <w:t>00006/JAPEM/IP/2021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DED4C78" w14:textId="77777777" w:rsidR="00130620" w:rsidRDefault="00130620" w:rsidP="00130620">
      <w:pPr>
        <w:spacing w:before="240" w:line="360" w:lineRule="auto"/>
        <w:jc w:val="both"/>
        <w:rPr>
          <w:rFonts w:ascii="Palatino Linotype" w:hAnsi="Palatino Linotype" w:cs="Arial"/>
          <w:sz w:val="24"/>
        </w:rPr>
      </w:pPr>
    </w:p>
    <w:p w14:paraId="639B5A94" w14:textId="389DE815" w:rsidR="00130620" w:rsidRPr="00844438" w:rsidRDefault="00130620" w:rsidP="00130620">
      <w:pPr>
        <w:pStyle w:val="Sinespaciado"/>
        <w:spacing w:line="360" w:lineRule="auto"/>
        <w:jc w:val="both"/>
        <w:rPr>
          <w:rFonts w:ascii="Palatino Linotype" w:hAnsi="Palatino Linotype" w:cs="Arial"/>
        </w:rPr>
      </w:pPr>
      <w:r w:rsidRPr="00844438">
        <w:rPr>
          <w:rFonts w:ascii="Palatino Linotype" w:hAnsi="Palatino Linotype" w:cs="Arial"/>
          <w:b/>
          <w:sz w:val="28"/>
          <w:szCs w:val="28"/>
        </w:rPr>
        <w:t>SEGUNDO.</w:t>
      </w:r>
      <w:r w:rsidRPr="00844438">
        <w:rPr>
          <w:rFonts w:ascii="Palatino Linotype" w:hAnsi="Palatino Linotype" w:cs="Arial"/>
        </w:rPr>
        <w:t xml:space="preserve"> Se </w:t>
      </w:r>
      <w:r w:rsidRPr="00844438">
        <w:rPr>
          <w:rFonts w:ascii="Palatino Linotype" w:hAnsi="Palatino Linotype" w:cs="Arial"/>
          <w:b/>
        </w:rPr>
        <w:t>ORDENA</w:t>
      </w:r>
      <w:r w:rsidRPr="00844438">
        <w:rPr>
          <w:rFonts w:ascii="Palatino Linotype" w:hAnsi="Palatino Linotype" w:cs="Arial"/>
        </w:rPr>
        <w:t xml:space="preserve"> al </w:t>
      </w:r>
      <w:r w:rsidRPr="00844438">
        <w:rPr>
          <w:rFonts w:ascii="Palatino Linotype" w:hAnsi="Palatino Linotype" w:cs="Arial"/>
          <w:b/>
        </w:rPr>
        <w:t>SUJETO OBLIGADO</w:t>
      </w:r>
      <w:r w:rsidRPr="00844438">
        <w:rPr>
          <w:rFonts w:ascii="Palatino Linotype" w:hAnsi="Palatino Linotype" w:cs="Arial"/>
        </w:rPr>
        <w:t xml:space="preserve"> haga entrega al </w:t>
      </w:r>
      <w:r w:rsidRPr="00844438">
        <w:rPr>
          <w:rFonts w:ascii="Palatino Linotype" w:hAnsi="Palatino Linotype" w:cs="Arial"/>
          <w:b/>
        </w:rPr>
        <w:t xml:space="preserve">RECURRENTE </w:t>
      </w:r>
      <w:r w:rsidRPr="00844438">
        <w:rPr>
          <w:rFonts w:ascii="Palatino Linotype" w:hAnsi="Palatino Linotype" w:cs="Arial"/>
        </w:rPr>
        <w:t xml:space="preserve">en términos del Considerando </w:t>
      </w:r>
      <w:r w:rsidRPr="00844438">
        <w:rPr>
          <w:rFonts w:ascii="Palatino Linotype" w:hAnsi="Palatino Linotype" w:cs="Arial"/>
          <w:b/>
        </w:rPr>
        <w:t xml:space="preserve">CUARTO </w:t>
      </w:r>
      <w:r w:rsidRPr="00844438">
        <w:rPr>
          <w:rFonts w:ascii="Palatino Linotype" w:hAnsi="Palatino Linotype" w:cs="Arial"/>
        </w:rPr>
        <w:t xml:space="preserve">de esta resolución, previa búsqueda exhaustiva y razonable, a través del </w:t>
      </w:r>
      <w:r w:rsidRPr="00844438">
        <w:rPr>
          <w:rFonts w:ascii="Palatino Linotype" w:hAnsi="Palatino Linotype" w:cs="Arial"/>
          <w:b/>
        </w:rPr>
        <w:t>SAIMEX</w:t>
      </w:r>
      <w:r w:rsidR="00472E42" w:rsidRPr="00844438">
        <w:rPr>
          <w:rFonts w:ascii="Palatino Linotype" w:hAnsi="Palatino Linotype" w:cs="Arial"/>
          <w:b/>
        </w:rPr>
        <w:t xml:space="preserve"> y vía correo electrónico</w:t>
      </w:r>
      <w:r w:rsidRPr="00844438">
        <w:rPr>
          <w:rFonts w:ascii="Palatino Linotype" w:hAnsi="Palatino Linotype" w:cs="Arial"/>
        </w:rPr>
        <w:t>, en versión pública</w:t>
      </w:r>
      <w:r w:rsidR="00472E42" w:rsidRPr="00844438">
        <w:rPr>
          <w:rFonts w:ascii="Palatino Linotype" w:hAnsi="Palatino Linotype" w:cs="Arial"/>
        </w:rPr>
        <w:t xml:space="preserve"> de ser procedente</w:t>
      </w:r>
      <w:r w:rsidRPr="00844438">
        <w:rPr>
          <w:rFonts w:ascii="Palatino Linotype" w:hAnsi="Palatino Linotype" w:cs="Arial"/>
        </w:rPr>
        <w:t>, de lo siguiente:</w:t>
      </w:r>
    </w:p>
    <w:p w14:paraId="337C21F2" w14:textId="77777777" w:rsidR="001B5974" w:rsidRPr="00844438" w:rsidRDefault="001B5974" w:rsidP="001B5974">
      <w:pPr>
        <w:pStyle w:val="Citas"/>
        <w:ind w:left="0" w:right="0"/>
        <w:rPr>
          <w:bCs/>
          <w:i w:val="0"/>
          <w:sz w:val="24"/>
          <w:szCs w:val="24"/>
        </w:rPr>
      </w:pPr>
      <w:r w:rsidRPr="00844438">
        <w:rPr>
          <w:b/>
          <w:bCs/>
          <w:i w:val="0"/>
          <w:sz w:val="24"/>
          <w:szCs w:val="24"/>
        </w:rPr>
        <w:t>Del servidor público referido en la solicitud de información 00006/JAPEM/IP/2021</w:t>
      </w:r>
    </w:p>
    <w:p w14:paraId="3C2F0540" w14:textId="77777777" w:rsidR="001B5974" w:rsidRPr="00844438" w:rsidRDefault="001B5974" w:rsidP="001B5974">
      <w:pPr>
        <w:pStyle w:val="Prrafodelista"/>
        <w:numPr>
          <w:ilvl w:val="0"/>
          <w:numId w:val="12"/>
        </w:numPr>
        <w:spacing w:before="240" w:line="360" w:lineRule="auto"/>
        <w:ind w:right="72"/>
        <w:jc w:val="both"/>
        <w:rPr>
          <w:rFonts w:ascii="Palatino Linotype" w:hAnsi="Palatino Linotype" w:cs="Arial"/>
          <w:i/>
        </w:rPr>
      </w:pPr>
      <w:r w:rsidRPr="00844438">
        <w:rPr>
          <w:rFonts w:ascii="Palatino Linotype" w:hAnsi="Palatino Linotype" w:cs="Arial"/>
          <w:i/>
        </w:rPr>
        <w:t xml:space="preserve">El o los documentos que integran el expediente laboral, al doce de mayo de dos mil veintiuno. </w:t>
      </w:r>
    </w:p>
    <w:p w14:paraId="72E934E6" w14:textId="77777777" w:rsidR="001B5974" w:rsidRPr="00844438" w:rsidRDefault="001B5974" w:rsidP="001B5974">
      <w:pPr>
        <w:pStyle w:val="Prrafodelista"/>
        <w:spacing w:line="360" w:lineRule="auto"/>
        <w:ind w:left="1416"/>
        <w:contextualSpacing/>
        <w:jc w:val="both"/>
        <w:rPr>
          <w:rFonts w:ascii="Palatino Linotype" w:hAnsi="Palatino Linotype" w:cs="Arial"/>
          <w:bCs/>
          <w:i/>
        </w:rPr>
      </w:pPr>
      <w:r w:rsidRPr="00844438">
        <w:rPr>
          <w:rFonts w:ascii="Palatino Linotype" w:hAnsi="Palatino Linotype" w:cs="Arial"/>
          <w:i/>
        </w:rPr>
        <w:t xml:space="preserve">1.1 </w:t>
      </w:r>
      <w:r w:rsidRPr="00844438">
        <w:rPr>
          <w:rFonts w:ascii="Palatino Linotype" w:hAnsi="Palatino Linotype" w:cs="Arial"/>
          <w:bCs/>
          <w:i/>
        </w:rPr>
        <w:t>Acuerdo como información confidencial, en donde se justifique la clasificación en su totalidad, de los documentos precisados en el considerando cuarto de la presente resolución.</w:t>
      </w:r>
    </w:p>
    <w:p w14:paraId="779F54C9" w14:textId="77777777" w:rsidR="001B5974" w:rsidRPr="00844438" w:rsidRDefault="001B5974" w:rsidP="001B5974">
      <w:pPr>
        <w:pStyle w:val="Prrafodelista"/>
        <w:numPr>
          <w:ilvl w:val="0"/>
          <w:numId w:val="12"/>
        </w:numPr>
        <w:autoSpaceDE w:val="0"/>
        <w:autoSpaceDN w:val="0"/>
        <w:adjustRightInd w:val="0"/>
        <w:spacing w:before="240" w:after="160" w:line="360" w:lineRule="auto"/>
        <w:jc w:val="both"/>
        <w:rPr>
          <w:rFonts w:ascii="Palatino Linotype" w:hAnsi="Palatino Linotype"/>
          <w:bCs/>
          <w:i/>
        </w:rPr>
      </w:pPr>
      <w:r w:rsidRPr="00844438">
        <w:rPr>
          <w:rFonts w:ascii="Palatino Linotype" w:hAnsi="Palatino Linotype"/>
          <w:bCs/>
          <w:i/>
        </w:rPr>
        <w:t xml:space="preserve">El o los documentos donde consten las remuneraciones brutas y netas, incluyendo prestaciones y/o equivalentes, del dieciséis al treinta de abril de dos mil veintiuno. </w:t>
      </w:r>
    </w:p>
    <w:p w14:paraId="36849F54" w14:textId="77777777" w:rsidR="001B5974" w:rsidRPr="00844438" w:rsidRDefault="001B5974" w:rsidP="001B5974">
      <w:pPr>
        <w:pStyle w:val="Prrafodelista"/>
        <w:numPr>
          <w:ilvl w:val="0"/>
          <w:numId w:val="12"/>
        </w:numPr>
        <w:autoSpaceDE w:val="0"/>
        <w:autoSpaceDN w:val="0"/>
        <w:adjustRightInd w:val="0"/>
        <w:spacing w:before="240" w:after="160" w:line="360" w:lineRule="auto"/>
        <w:jc w:val="both"/>
        <w:rPr>
          <w:rFonts w:ascii="Palatino Linotype" w:hAnsi="Palatino Linotype"/>
          <w:bCs/>
          <w:i/>
        </w:rPr>
      </w:pPr>
      <w:r w:rsidRPr="00844438">
        <w:rPr>
          <w:rFonts w:ascii="Palatino Linotype" w:hAnsi="Palatino Linotype"/>
          <w:bCs/>
          <w:i/>
        </w:rPr>
        <w:t xml:space="preserve">El o los documentos vinculados con denuncias o quejas, durante el periodo comprendido del doce de mayo de dos mil veinte al doce de mayo de dos mil veintiuno. </w:t>
      </w:r>
    </w:p>
    <w:p w14:paraId="18E11A2E" w14:textId="78FAFB0B" w:rsidR="001B5974" w:rsidRPr="00844438" w:rsidRDefault="001B5974" w:rsidP="00CE7E88">
      <w:pPr>
        <w:pStyle w:val="Prrafodelista"/>
        <w:autoSpaceDE w:val="0"/>
        <w:autoSpaceDN w:val="0"/>
        <w:adjustRightInd w:val="0"/>
        <w:spacing w:before="240" w:after="160" w:line="360" w:lineRule="auto"/>
        <w:ind w:left="1418"/>
        <w:jc w:val="both"/>
        <w:rPr>
          <w:rFonts w:ascii="Palatino Linotype" w:hAnsi="Palatino Linotype" w:cs="Arial"/>
          <w:i/>
        </w:rPr>
      </w:pPr>
      <w:r w:rsidRPr="00844438">
        <w:rPr>
          <w:rFonts w:ascii="Palatino Linotype" w:hAnsi="Palatino Linotype" w:cs="Arial"/>
          <w:i/>
        </w:rPr>
        <w:lastRenderedPageBreak/>
        <w:t xml:space="preserve">3.1 En alusión al numeral 3, respecto de las denuncias o quejas firmes vinculadas con </w:t>
      </w:r>
      <w:r w:rsidRPr="00844438">
        <w:rPr>
          <w:rFonts w:ascii="Palatino Linotype" w:hAnsi="Palatino Linotype" w:cs="Arial"/>
          <w:b/>
          <w:i/>
          <w:u w:val="single"/>
        </w:rPr>
        <w:t xml:space="preserve">faltas graves, </w:t>
      </w:r>
      <w:r w:rsidRPr="00844438">
        <w:rPr>
          <w:rFonts w:ascii="Palatino Linotype" w:hAnsi="Palatino Linotype" w:cs="Arial"/>
          <w:i/>
        </w:rPr>
        <w:t xml:space="preserve">invariablemente resulta procedente su entrega en términos del artículo 5 de la Ley de Transparencia local y demás normatividad aplicable. </w:t>
      </w:r>
    </w:p>
    <w:p w14:paraId="0EB62730" w14:textId="5778ADDC" w:rsidR="001B5974" w:rsidRPr="00844438" w:rsidRDefault="001B5974" w:rsidP="00CE7E88">
      <w:pPr>
        <w:pStyle w:val="Prrafodelista"/>
        <w:autoSpaceDE w:val="0"/>
        <w:autoSpaceDN w:val="0"/>
        <w:adjustRightInd w:val="0"/>
        <w:spacing w:before="240" w:after="160" w:line="360" w:lineRule="auto"/>
        <w:ind w:left="1418"/>
        <w:jc w:val="both"/>
        <w:rPr>
          <w:rFonts w:ascii="Palatino Linotype" w:hAnsi="Palatino Linotype" w:cs="Arial"/>
          <w:i/>
        </w:rPr>
      </w:pPr>
      <w:r w:rsidRPr="00844438">
        <w:rPr>
          <w:rFonts w:ascii="Palatino Linotype" w:hAnsi="Palatino Linotype" w:cs="Arial"/>
          <w:i/>
        </w:rPr>
        <w:t xml:space="preserve">3.2 Acuerdo como información reservada, </w:t>
      </w:r>
      <w:r w:rsidRPr="00844438">
        <w:rPr>
          <w:rFonts w:ascii="Palatino Linotype" w:hAnsi="Palatino Linotype" w:cs="Arial"/>
          <w:b/>
          <w:i/>
        </w:rPr>
        <w:t>EN CASO DE</w:t>
      </w:r>
      <w:r w:rsidRPr="00844438">
        <w:rPr>
          <w:rFonts w:ascii="Palatino Linotype" w:hAnsi="Palatino Linotype" w:cs="Arial"/>
          <w:i/>
        </w:rPr>
        <w:t xml:space="preserve"> </w:t>
      </w:r>
      <w:r w:rsidRPr="00844438">
        <w:rPr>
          <w:rFonts w:ascii="Palatino Linotype" w:hAnsi="Palatino Linotype" w:cs="Arial"/>
          <w:b/>
          <w:i/>
        </w:rPr>
        <w:t>NO</w:t>
      </w:r>
      <w:r w:rsidRPr="00844438">
        <w:rPr>
          <w:rFonts w:ascii="Palatino Linotype" w:hAnsi="Palatino Linotype" w:cs="Arial"/>
          <w:i/>
        </w:rPr>
        <w:t xml:space="preserve"> haber quedado firme alguna o varias de las denuncias o quejas </w:t>
      </w:r>
      <w:r w:rsidR="00867F8C">
        <w:rPr>
          <w:rFonts w:ascii="Palatino Linotype" w:hAnsi="Palatino Linotype" w:cs="Arial"/>
          <w:b/>
          <w:i/>
          <w:u w:val="single"/>
        </w:rPr>
        <w:t xml:space="preserve"> vinculadas con faltas no graves o graves. </w:t>
      </w:r>
    </w:p>
    <w:p w14:paraId="7D0A130F" w14:textId="3DF04F91" w:rsidR="001B5974" w:rsidRPr="00844438" w:rsidRDefault="001B5974" w:rsidP="00CE7E88">
      <w:pPr>
        <w:pStyle w:val="Prrafodelista"/>
        <w:autoSpaceDE w:val="0"/>
        <w:autoSpaceDN w:val="0"/>
        <w:adjustRightInd w:val="0"/>
        <w:spacing w:before="240" w:after="160" w:line="360" w:lineRule="auto"/>
        <w:ind w:left="1418"/>
        <w:jc w:val="both"/>
        <w:rPr>
          <w:rFonts w:ascii="Palatino Linotype" w:hAnsi="Palatino Linotype"/>
          <w:bCs/>
          <w:i/>
        </w:rPr>
      </w:pPr>
      <w:r w:rsidRPr="00844438">
        <w:rPr>
          <w:rFonts w:ascii="Palatino Linotype" w:hAnsi="Palatino Linotype" w:cs="Arial"/>
          <w:bCs/>
          <w:i/>
        </w:rPr>
        <w:t xml:space="preserve">3.3 Acuerdo como información confidencial, </w:t>
      </w:r>
      <w:r w:rsidRPr="00844438">
        <w:rPr>
          <w:rFonts w:ascii="Palatino Linotype" w:hAnsi="Palatino Linotype" w:cs="Arial"/>
          <w:b/>
          <w:bCs/>
          <w:i/>
        </w:rPr>
        <w:t>EN CASO DE</w:t>
      </w:r>
      <w:r w:rsidRPr="00844438">
        <w:rPr>
          <w:rFonts w:ascii="Palatino Linotype" w:hAnsi="Palatino Linotype" w:cs="Arial"/>
          <w:bCs/>
          <w:i/>
        </w:rPr>
        <w:t xml:space="preserve"> haber quedado firme alguna o varias de las denuncias o quejas </w:t>
      </w:r>
      <w:r w:rsidR="00867F8C">
        <w:rPr>
          <w:rFonts w:ascii="Palatino Linotype" w:hAnsi="Palatino Linotype" w:cs="Arial"/>
          <w:bCs/>
          <w:i/>
        </w:rPr>
        <w:t xml:space="preserve">vinculadas con </w:t>
      </w:r>
      <w:r w:rsidR="00867F8C" w:rsidRPr="00440FF9">
        <w:rPr>
          <w:rFonts w:ascii="Palatino Linotype" w:hAnsi="Palatino Linotype" w:cs="Arial"/>
          <w:b/>
          <w:bCs/>
          <w:i/>
          <w:u w:val="single"/>
        </w:rPr>
        <w:t>faltas no graves.</w:t>
      </w:r>
      <w:r w:rsidR="00867F8C">
        <w:rPr>
          <w:rFonts w:ascii="Palatino Linotype" w:hAnsi="Palatino Linotype" w:cs="Arial"/>
          <w:b/>
          <w:bCs/>
          <w:i/>
        </w:rPr>
        <w:t xml:space="preserve"> </w:t>
      </w:r>
    </w:p>
    <w:p w14:paraId="068A1040" w14:textId="77777777" w:rsidR="001B5974" w:rsidRPr="00472E42" w:rsidRDefault="001B5974" w:rsidP="001B5974">
      <w:pPr>
        <w:pStyle w:val="Prrafodelista"/>
        <w:numPr>
          <w:ilvl w:val="0"/>
          <w:numId w:val="12"/>
        </w:numPr>
        <w:autoSpaceDE w:val="0"/>
        <w:autoSpaceDN w:val="0"/>
        <w:adjustRightInd w:val="0"/>
        <w:spacing w:before="240" w:after="160" w:line="360" w:lineRule="auto"/>
        <w:jc w:val="both"/>
        <w:rPr>
          <w:rFonts w:ascii="Palatino Linotype" w:hAnsi="Palatino Linotype"/>
          <w:bCs/>
          <w:i/>
        </w:rPr>
      </w:pPr>
      <w:r w:rsidRPr="00472E42">
        <w:rPr>
          <w:rFonts w:ascii="Palatino Linotype" w:hAnsi="Palatino Linotype"/>
          <w:bCs/>
          <w:i/>
        </w:rPr>
        <w:t xml:space="preserve">Cédula profesional, al doce de mayo de dos mil veintiuno. </w:t>
      </w:r>
    </w:p>
    <w:p w14:paraId="799E2D01" w14:textId="77777777" w:rsidR="001B5974" w:rsidRDefault="001B5974" w:rsidP="001B5974">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443183B0" w14:textId="77777777" w:rsidR="001B5974" w:rsidRDefault="001B5974" w:rsidP="001B5974">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previamente referida, bastará con que El Sujeto Obligado lo haga del conocimiento del Recurrente. </w:t>
      </w:r>
    </w:p>
    <w:p w14:paraId="0259534F" w14:textId="77777777" w:rsidR="00472E42" w:rsidRDefault="00472E42" w:rsidP="00130620">
      <w:pPr>
        <w:pStyle w:val="Sinespaciado"/>
        <w:spacing w:line="360" w:lineRule="auto"/>
        <w:ind w:left="720"/>
        <w:jc w:val="both"/>
        <w:rPr>
          <w:rFonts w:ascii="Palatino Linotype" w:hAnsi="Palatino Linotype" w:cs="Arial"/>
          <w:i/>
        </w:rPr>
      </w:pPr>
    </w:p>
    <w:p w14:paraId="422DC674" w14:textId="258B3F60" w:rsidR="00130620" w:rsidRDefault="00130620" w:rsidP="00130620">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2A12F5">
        <w:rPr>
          <w:rFonts w:ascii="Palatino Linotype" w:hAnsi="Palatino Linotype" w:cs="Arial"/>
          <w:sz w:val="24"/>
          <w:szCs w:val="24"/>
        </w:rPr>
        <w:lastRenderedPageBreak/>
        <w:t>México y Municipios; dé cumplimiento a lo ordenado dentr</w:t>
      </w:r>
      <w:r w:rsidRPr="00D05C83">
        <w:rPr>
          <w:rFonts w:ascii="Palatino Linotype" w:hAnsi="Palatino Linotype" w:cs="Arial"/>
          <w:sz w:val="24"/>
          <w:szCs w:val="24"/>
        </w:rPr>
        <w:t xml:space="preserve">o del plazo de </w:t>
      </w:r>
      <w:r w:rsidR="00472E42">
        <w:rPr>
          <w:rFonts w:ascii="Palatino Linotype" w:hAnsi="Palatino Linotype" w:cs="Arial"/>
          <w:sz w:val="24"/>
          <w:szCs w:val="24"/>
        </w:rPr>
        <w:t>veinte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1231CB7" w14:textId="77777777" w:rsidR="00130620" w:rsidRDefault="00130620" w:rsidP="00130620">
      <w:pPr>
        <w:autoSpaceDE w:val="0"/>
        <w:autoSpaceDN w:val="0"/>
        <w:adjustRightInd w:val="0"/>
        <w:spacing w:before="240" w:line="360" w:lineRule="auto"/>
        <w:jc w:val="both"/>
        <w:rPr>
          <w:rFonts w:ascii="Palatino Linotype" w:hAnsi="Palatino Linotype" w:cs="Arial"/>
          <w:sz w:val="24"/>
          <w:szCs w:val="24"/>
        </w:rPr>
      </w:pPr>
    </w:p>
    <w:p w14:paraId="6B118ABE" w14:textId="77777777" w:rsidR="00130620" w:rsidRDefault="00130620" w:rsidP="001306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049B61" w14:textId="77777777" w:rsidR="00130620" w:rsidRPr="005751B7" w:rsidRDefault="00130620" w:rsidP="0013062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AC99190" w14:textId="77777777" w:rsidR="00130620" w:rsidRPr="00F77047" w:rsidRDefault="00130620" w:rsidP="00130620">
      <w:pPr>
        <w:spacing w:after="0" w:line="360" w:lineRule="auto"/>
        <w:jc w:val="both"/>
        <w:rPr>
          <w:rFonts w:ascii="Palatino Linotype" w:eastAsia="Times New Roman" w:hAnsi="Palatino Linotype" w:cs="Arial"/>
          <w:b/>
          <w:sz w:val="18"/>
          <w:szCs w:val="24"/>
          <w:lang w:eastAsia="es-ES"/>
        </w:rPr>
      </w:pPr>
    </w:p>
    <w:p w14:paraId="41E1F311" w14:textId="4CB06924" w:rsidR="00130620" w:rsidRDefault="00130620" w:rsidP="00130620">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al </w:t>
      </w:r>
      <w:r w:rsidRPr="008B7EDA">
        <w:rPr>
          <w:rFonts w:ascii="Palatino Linotype" w:eastAsia="Times New Roman" w:hAnsi="Palatino Linotype" w:cs="Arial"/>
          <w:b/>
          <w:sz w:val="24"/>
          <w:szCs w:val="24"/>
          <w:lang w:eastAsia="es-ES"/>
        </w:rPr>
        <w:t>RECURRENTE</w:t>
      </w:r>
      <w:r w:rsidR="00472E42">
        <w:rPr>
          <w:rFonts w:ascii="Palatino Linotype" w:eastAsia="Times New Roman" w:hAnsi="Palatino Linotype" w:cs="Arial"/>
          <w:b/>
          <w:sz w:val="24"/>
          <w:szCs w:val="24"/>
          <w:lang w:eastAsia="es-ES"/>
        </w:rPr>
        <w:t xml:space="preserve"> vía SAIMEX y por correo electrónico,</w:t>
      </w:r>
      <w:r w:rsidRPr="008B7EDA">
        <w:rPr>
          <w:rFonts w:ascii="Palatino Linotype" w:eastAsia="Times New Roman" w:hAnsi="Palatino Linotype" w:cs="Arial"/>
          <w:sz w:val="24"/>
          <w:szCs w:val="24"/>
          <w:lang w:eastAsia="es-ES"/>
        </w:rPr>
        <w:t xml:space="preserve"> 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4C3E4F0B" w14:textId="77777777" w:rsidR="00844438" w:rsidRDefault="00844438" w:rsidP="0013062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4C1772C" w14:textId="578E5348" w:rsidR="004E5242" w:rsidRDefault="004E5242" w:rsidP="004E5242">
      <w:pPr>
        <w:spacing w:after="0" w:line="360" w:lineRule="auto"/>
        <w:jc w:val="both"/>
        <w:rPr>
          <w:rFonts w:ascii="Palatino Linotype" w:eastAsia="Arial Unicode MS" w:hAnsi="Palatino Linotype" w:cs="Times New Roman"/>
          <w:sz w:val="24"/>
          <w:szCs w:val="24"/>
          <w:lang w:eastAsia="es-ES"/>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JAVIER MARTÍNEZ CRUZ Y LUIS GUSTAVO PARRA NORIEGA</w:t>
      </w:r>
      <w:r w:rsidR="009114BF">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 xml:space="preserve">VIGÉSIMA </w:t>
      </w:r>
      <w:r w:rsidR="00C6222F">
        <w:rPr>
          <w:rFonts w:ascii="Palatino Linotype" w:eastAsia="Arial Unicode MS" w:hAnsi="Palatino Linotype" w:cs="Times New Roman"/>
          <w:sz w:val="24"/>
          <w:szCs w:val="24"/>
          <w:lang w:eastAsia="es-ES"/>
        </w:rPr>
        <w:t>CUARTA</w:t>
      </w:r>
      <w:r>
        <w:rPr>
          <w:rFonts w:ascii="Palatino Linotype" w:eastAsia="Arial Unicode MS" w:hAnsi="Palatino Linotype" w:cs="Times New Roman"/>
          <w:sz w:val="24"/>
          <w:szCs w:val="24"/>
          <w:lang w:eastAsia="es-ES"/>
        </w:rPr>
        <w:t xml:space="preserve"> SESIÓN </w:t>
      </w:r>
      <w:r>
        <w:rPr>
          <w:rFonts w:ascii="Palatino Linotype" w:eastAsia="Arial Unicode MS" w:hAnsi="Palatino Linotype" w:cs="Times New Roman"/>
          <w:sz w:val="24"/>
          <w:szCs w:val="24"/>
          <w:lang w:eastAsia="es-ES"/>
        </w:rPr>
        <w:lastRenderedPageBreak/>
        <w:t xml:space="preserve">ORDINARIA CELEBRADA EL </w:t>
      </w:r>
      <w:r w:rsidR="00C6222F">
        <w:rPr>
          <w:rFonts w:ascii="Palatino Linotype" w:eastAsia="Arial Unicode MS" w:hAnsi="Palatino Linotype" w:cs="Times New Roman"/>
          <w:sz w:val="24"/>
          <w:szCs w:val="24"/>
          <w:lang w:eastAsia="es-ES"/>
        </w:rPr>
        <w:t>SIETE DE JULIO</w:t>
      </w:r>
      <w:r>
        <w:rPr>
          <w:rFonts w:ascii="Palatino Linotype" w:eastAsia="Arial Unicode MS" w:hAnsi="Palatino Linotype" w:cs="Times New Roman"/>
          <w:sz w:val="24"/>
          <w:szCs w:val="24"/>
          <w:lang w:eastAsia="es-ES"/>
        </w:rPr>
        <w:t xml:space="preserve"> DE DOS MIL VEINTIUNO, ANTE EL SECRETARIO TÉCNICO DEL PLENO, ALEXIS TAPIA RAMÍREZ. </w:t>
      </w:r>
    </w:p>
    <w:p w14:paraId="2FB62A6B" w14:textId="00324E44" w:rsidR="00C40C03" w:rsidRDefault="00C211F0" w:rsidP="00B933D5">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68480" behindDoc="0" locked="0" layoutInCell="1" allowOverlap="1" wp14:anchorId="24F1377C" wp14:editId="4237C269">
                <wp:simplePos x="0" y="0"/>
                <wp:positionH relativeFrom="column">
                  <wp:posOffset>-216941</wp:posOffset>
                </wp:positionH>
                <wp:positionV relativeFrom="paragraph">
                  <wp:posOffset>195123</wp:posOffset>
                </wp:positionV>
                <wp:extent cx="6517843" cy="6612941"/>
                <wp:effectExtent l="0" t="0" r="35560" b="35560"/>
                <wp:wrapNone/>
                <wp:docPr id="4" name="Conector recto 4"/>
                <wp:cNvGraphicFramePr/>
                <a:graphic xmlns:a="http://schemas.openxmlformats.org/drawingml/2006/main">
                  <a:graphicData uri="http://schemas.microsoft.com/office/word/2010/wordprocessingShape">
                    <wps:wsp>
                      <wps:cNvCnPr/>
                      <wps:spPr>
                        <a:xfrm>
                          <a:off x="0" y="0"/>
                          <a:ext cx="6517843" cy="66129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BDD1E" id="Conector recto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5.35pt" to="496.1pt,5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ETtwEAAMUDAAAOAAAAZHJzL2Uyb0RvYy54bWysU8uu0zAQ3SPxD5b3NEkp5RI1vYtewQZB&#10;xeMDfJ1xY8kvjU2T/j1jp81FgIRAbPycc2bO8Xh3P1nDzoBRe9fxZlVzBk76XrtTx79+efvijrOY&#10;hOuF8Q46foHI7/fPn+3G0MLaD970gIxIXGzH0PEhpdBWVZQDWBFXPoCjS+XRikRbPFU9ipHYranW&#10;db2tRo99QC8hRjp9mC/5vvArBTJ9VCpCYqbjVFsqI5bxMY/VfifaE4owaHktQ/xDFVZoR0kXqgeR&#10;BPuG+hcqqyX66FVaSW8rr5SWUDSQmqb+Sc3nQQQoWsicGBab4v+jlR/OR2S67/iGMycsPdGBHkom&#10;jwzzxDbZozHElkIP7ojXXQxHzIInhTbPJIVNxdfL4itMiUk63L5qXt9tXnIm6W67bdZvNk1mrZ7g&#10;AWN6B96yvOi40S4LF604v49pDr2FEC6XMxdQVuliIAcb9wkUiaGUTUGXNoKDQXYW1ABCSnDplrpE&#10;Z5jSxizA+s/Aa3yGQmmxvwEviJLZu7SArXYef5c9TbeS1Rx/c2DWnS149P2lPE2xhnqlmHvt69yM&#10;P+4L/On37b8DAAD//wMAUEsDBBQABgAIAAAAIQBUGvD14gAAAAsBAAAPAAAAZHJzL2Rvd25yZXYu&#10;eG1sTI/BSgMxEIbvgu8QRvDWJk3F2nWzpRTEWijFKtRjuom7q5vJkqTd7ds7nvQ4Mx//fH++GFzL&#10;zjbExqOCyVgAs1h602Cl4P3tafQALCaNRrcerYKLjbAorq9ynRnf46s971PFKARjphXUKXUZ57Gs&#10;rdNx7DuLdPv0welEY6i4CbqncNdyKcQ9d7pB+lDrzq5qW37vT07BNqzXq+Xm8oW7D9cf5Oawexme&#10;lbq9GZaPwJId0h8Mv/qkDgU5Hf0JTWStgtH0ThKqYCpmwAiYzyUtjkSKmZwAL3L+v0PxAwAA//8D&#10;AFBLAQItABQABgAIAAAAIQC2gziS/gAAAOEBAAATAAAAAAAAAAAAAAAAAAAAAABbQ29udGVudF9U&#10;eXBlc10ueG1sUEsBAi0AFAAGAAgAAAAhADj9If/WAAAAlAEAAAsAAAAAAAAAAAAAAAAALwEAAF9y&#10;ZWxzLy5yZWxzUEsBAi0AFAAGAAgAAAAhAFw/0RO3AQAAxQMAAA4AAAAAAAAAAAAAAAAALgIAAGRy&#10;cy9lMm9Eb2MueG1sUEsBAi0AFAAGAAgAAAAhAFQa8PXiAAAACwEAAA8AAAAAAAAAAAAAAAAAEQQA&#10;AGRycy9kb3ducmV2LnhtbFBLBQYAAAAABAAEAPMAAAAgBQAAAAA=&#10;" strokecolor="#5b9bd5 [3204]" strokeweight=".5pt">
                <v:stroke joinstyle="miter"/>
              </v:line>
            </w:pict>
          </mc:Fallback>
        </mc:AlternateContent>
      </w:r>
    </w:p>
    <w:p w14:paraId="43C358FD" w14:textId="77777777" w:rsidR="00C211F0" w:rsidRDefault="00C211F0" w:rsidP="00B933D5">
      <w:pPr>
        <w:pStyle w:val="Citas"/>
        <w:ind w:left="0" w:right="0"/>
        <w:rPr>
          <w:i w:val="0"/>
          <w:sz w:val="24"/>
          <w:szCs w:val="24"/>
        </w:rPr>
      </w:pPr>
    </w:p>
    <w:p w14:paraId="3839AE90" w14:textId="77777777" w:rsidR="00C211F0" w:rsidRDefault="00C211F0" w:rsidP="00B933D5">
      <w:pPr>
        <w:pStyle w:val="Citas"/>
        <w:ind w:left="0" w:right="0"/>
        <w:rPr>
          <w:i w:val="0"/>
          <w:sz w:val="24"/>
          <w:szCs w:val="24"/>
        </w:rPr>
      </w:pPr>
    </w:p>
    <w:p w14:paraId="17EA9D30" w14:textId="77777777" w:rsidR="00C211F0" w:rsidRDefault="00C211F0" w:rsidP="00B933D5">
      <w:pPr>
        <w:pStyle w:val="Citas"/>
        <w:ind w:left="0" w:right="0"/>
        <w:rPr>
          <w:i w:val="0"/>
          <w:sz w:val="24"/>
          <w:szCs w:val="24"/>
        </w:rPr>
      </w:pPr>
    </w:p>
    <w:p w14:paraId="1E9CE9DF" w14:textId="77777777" w:rsidR="00C211F0" w:rsidRDefault="00C211F0" w:rsidP="00B933D5">
      <w:pPr>
        <w:pStyle w:val="Citas"/>
        <w:ind w:left="0" w:right="0"/>
        <w:rPr>
          <w:i w:val="0"/>
          <w:sz w:val="24"/>
          <w:szCs w:val="24"/>
        </w:rPr>
      </w:pPr>
    </w:p>
    <w:p w14:paraId="04C4C2AB" w14:textId="77777777" w:rsidR="00C211F0" w:rsidRDefault="00C211F0" w:rsidP="00B933D5">
      <w:pPr>
        <w:pStyle w:val="Citas"/>
        <w:ind w:left="0" w:right="0"/>
        <w:rPr>
          <w:i w:val="0"/>
          <w:sz w:val="24"/>
          <w:szCs w:val="24"/>
        </w:rPr>
      </w:pPr>
    </w:p>
    <w:p w14:paraId="0B6CC582" w14:textId="77777777" w:rsidR="00C211F0" w:rsidRDefault="00C211F0" w:rsidP="00B933D5">
      <w:pPr>
        <w:pStyle w:val="Citas"/>
        <w:ind w:left="0" w:right="0"/>
        <w:rPr>
          <w:i w:val="0"/>
          <w:sz w:val="24"/>
          <w:szCs w:val="24"/>
        </w:rPr>
      </w:pPr>
    </w:p>
    <w:p w14:paraId="66E1C638" w14:textId="77777777" w:rsidR="00C211F0" w:rsidRDefault="00C211F0" w:rsidP="00B933D5">
      <w:pPr>
        <w:pStyle w:val="Citas"/>
        <w:ind w:left="0" w:right="0"/>
        <w:rPr>
          <w:i w:val="0"/>
          <w:sz w:val="24"/>
          <w:szCs w:val="24"/>
        </w:rPr>
      </w:pPr>
    </w:p>
    <w:p w14:paraId="7E7E42CF" w14:textId="77777777" w:rsidR="00C211F0" w:rsidRDefault="00C211F0" w:rsidP="00B933D5">
      <w:pPr>
        <w:pStyle w:val="Citas"/>
        <w:ind w:left="0" w:right="0"/>
        <w:rPr>
          <w:i w:val="0"/>
          <w:sz w:val="24"/>
          <w:szCs w:val="24"/>
        </w:rPr>
      </w:pPr>
    </w:p>
    <w:p w14:paraId="6A7A8C00" w14:textId="77777777" w:rsidR="00CE7E88" w:rsidRDefault="00CE7E88" w:rsidP="00B933D5">
      <w:pPr>
        <w:pStyle w:val="Citas"/>
        <w:ind w:left="0" w:right="0"/>
        <w:rPr>
          <w:i w:val="0"/>
          <w:sz w:val="24"/>
          <w:szCs w:val="24"/>
        </w:rPr>
      </w:pPr>
    </w:p>
    <w:p w14:paraId="7A59CF89" w14:textId="77777777" w:rsidR="00CE7E88" w:rsidRDefault="00CE7E88" w:rsidP="00B933D5">
      <w:pPr>
        <w:pStyle w:val="Citas"/>
        <w:ind w:left="0" w:right="0"/>
        <w:rPr>
          <w:i w:val="0"/>
          <w:sz w:val="24"/>
          <w:szCs w:val="24"/>
        </w:rPr>
      </w:pPr>
    </w:p>
    <w:p w14:paraId="627BBE6B" w14:textId="77777777" w:rsidR="00CE7E88" w:rsidRDefault="00CE7E88" w:rsidP="00B933D5">
      <w:pPr>
        <w:pStyle w:val="Citas"/>
        <w:ind w:left="0" w:right="0"/>
        <w:rPr>
          <w:i w:val="0"/>
          <w:sz w:val="24"/>
          <w:szCs w:val="24"/>
        </w:rPr>
      </w:pPr>
    </w:p>
    <w:p w14:paraId="4044EE41" w14:textId="77777777" w:rsidR="00CE7E88" w:rsidRDefault="00CE7E88" w:rsidP="00B933D5">
      <w:pPr>
        <w:pStyle w:val="Citas"/>
        <w:ind w:left="0" w:right="0"/>
        <w:rPr>
          <w:i w:val="0"/>
          <w:sz w:val="24"/>
          <w:szCs w:val="24"/>
        </w:rPr>
      </w:pPr>
    </w:p>
    <w:p w14:paraId="4CD5F1B0" w14:textId="63EC6DC0" w:rsidR="00C211F0" w:rsidRPr="009114BF" w:rsidRDefault="00C211F0" w:rsidP="00B933D5">
      <w:pPr>
        <w:pStyle w:val="Citas"/>
        <w:ind w:left="0" w:right="0"/>
        <w:rPr>
          <w:i w:val="0"/>
          <w:sz w:val="18"/>
          <w:szCs w:val="18"/>
        </w:rPr>
      </w:pPr>
      <w:r w:rsidRPr="009114BF">
        <w:rPr>
          <w:i w:val="0"/>
          <w:sz w:val="18"/>
          <w:szCs w:val="18"/>
        </w:rPr>
        <w:t>OSAM/JCMA</w:t>
      </w:r>
    </w:p>
    <w:p w14:paraId="2F751638" w14:textId="77777777" w:rsidR="00CE7E88" w:rsidRDefault="00CE7E88" w:rsidP="00B933D5">
      <w:pPr>
        <w:pStyle w:val="Citas"/>
        <w:ind w:left="0" w:right="0"/>
        <w:rPr>
          <w:i w:val="0"/>
          <w:sz w:val="24"/>
          <w:szCs w:val="24"/>
        </w:rPr>
      </w:pPr>
    </w:p>
    <w:p w14:paraId="39E23DAF" w14:textId="77777777" w:rsidR="00CE7E88" w:rsidRDefault="00CE7E88" w:rsidP="00B933D5">
      <w:pPr>
        <w:pStyle w:val="Citas"/>
        <w:ind w:left="0" w:right="0"/>
        <w:rPr>
          <w:i w:val="0"/>
          <w:sz w:val="24"/>
          <w:szCs w:val="24"/>
        </w:rPr>
      </w:pPr>
    </w:p>
    <w:p w14:paraId="46A5DBC2" w14:textId="77777777" w:rsidR="00C211F0" w:rsidRPr="00C40C03" w:rsidRDefault="00C211F0" w:rsidP="00B933D5">
      <w:pPr>
        <w:pStyle w:val="Citas"/>
        <w:ind w:left="0" w:right="0"/>
        <w:rPr>
          <w:i w:val="0"/>
          <w:sz w:val="24"/>
          <w:szCs w:val="24"/>
        </w:rPr>
      </w:pPr>
    </w:p>
    <w:sectPr w:rsidR="00C211F0" w:rsidRPr="00C40C03" w:rsidSect="00FB4AAD">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E205" w14:textId="77777777" w:rsidR="00C355EF" w:rsidRDefault="00C355EF" w:rsidP="006168E4">
      <w:pPr>
        <w:spacing w:after="0" w:line="240" w:lineRule="auto"/>
      </w:pPr>
      <w:r>
        <w:separator/>
      </w:r>
    </w:p>
  </w:endnote>
  <w:endnote w:type="continuationSeparator" w:id="0">
    <w:p w14:paraId="47DE24BE" w14:textId="77777777" w:rsidR="00C355EF" w:rsidRDefault="00C355E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472E42" w:rsidRPr="000B69FA" w:rsidRDefault="00472E4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0C5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0C57">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472E42" w:rsidRPr="000B69FA" w:rsidRDefault="00472E4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0C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0C57">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7497A" w14:textId="77777777" w:rsidR="00C355EF" w:rsidRDefault="00C355EF" w:rsidP="006168E4">
      <w:pPr>
        <w:spacing w:after="0" w:line="240" w:lineRule="auto"/>
      </w:pPr>
      <w:r>
        <w:separator/>
      </w:r>
    </w:p>
  </w:footnote>
  <w:footnote w:type="continuationSeparator" w:id="0">
    <w:p w14:paraId="20DE623B" w14:textId="77777777" w:rsidR="00C355EF" w:rsidRDefault="00C355EF" w:rsidP="006168E4">
      <w:pPr>
        <w:spacing w:after="0" w:line="240" w:lineRule="auto"/>
      </w:pPr>
      <w:r>
        <w:continuationSeparator/>
      </w:r>
    </w:p>
  </w:footnote>
  <w:footnote w:id="1">
    <w:p w14:paraId="2A5D79DB" w14:textId="77777777" w:rsidR="00472E42" w:rsidRDefault="00472E42" w:rsidP="00472E42">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5F189D2D" w14:textId="77777777" w:rsidR="00472E42" w:rsidRDefault="00472E42" w:rsidP="00472E42">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4E52A049" w14:textId="77777777" w:rsidR="00472E42" w:rsidRPr="000553F9" w:rsidRDefault="00472E42" w:rsidP="00472E42">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 w:anchor="/entry-id/E216930" w:history="1">
        <w:r w:rsidRPr="000553F9">
          <w:rPr>
            <w:rStyle w:val="Hipervnculo"/>
            <w:color w:val="000000" w:themeColor="text1"/>
          </w:rPr>
          <w:t>http://dej.rae.es/#/entry-id/E216930</w:t>
        </w:r>
      </w:hyperlink>
      <w:r w:rsidRPr="000553F9">
        <w:rPr>
          <w:color w:val="000000" w:themeColor="text1"/>
        </w:rPr>
        <w:t xml:space="preserve"> </w:t>
      </w:r>
    </w:p>
  </w:footnote>
  <w:footnote w:id="4">
    <w:p w14:paraId="52DC01A9" w14:textId="77777777" w:rsidR="00472E42" w:rsidRPr="000553F9" w:rsidRDefault="00472E42" w:rsidP="00472E42">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2" w:anchor="/entry-id/E87450" w:history="1">
        <w:r w:rsidRPr="000553F9">
          <w:rPr>
            <w:rStyle w:val="Hipervnculo"/>
            <w:color w:val="000000" w:themeColor="text1"/>
          </w:rPr>
          <w:t>http://dej.rae.es/#/entry-id/E87450</w:t>
        </w:r>
      </w:hyperlink>
      <w:r w:rsidRPr="000553F9">
        <w:rPr>
          <w:color w:val="000000" w:themeColor="text1"/>
        </w:rPr>
        <w:t xml:space="preserve"> </w:t>
      </w:r>
    </w:p>
  </w:footnote>
  <w:footnote w:id="5">
    <w:p w14:paraId="5D3894DF" w14:textId="77777777" w:rsidR="00472E42" w:rsidRPr="000553F9" w:rsidRDefault="00472E42" w:rsidP="00472E42">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3" w:history="1">
        <w:r w:rsidRPr="000553F9">
          <w:rPr>
            <w:rStyle w:val="Hipervnculo"/>
            <w:color w:val="000000" w:themeColor="text1"/>
          </w:rPr>
          <w:t>http://dle.rae.es/?id=VGqyuLj|VGtxgAo|VGuc9Wg</w:t>
        </w:r>
      </w:hyperlink>
      <w:r w:rsidRPr="000553F9">
        <w:rPr>
          <w:color w:val="000000" w:themeColor="text1"/>
        </w:rPr>
        <w:t xml:space="preserve"> </w:t>
      </w:r>
    </w:p>
  </w:footnote>
  <w:footnote w:id="6">
    <w:p w14:paraId="5EB41F1A" w14:textId="77777777" w:rsidR="00472E42" w:rsidRPr="000553F9" w:rsidRDefault="00472E42" w:rsidP="00472E42">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4" w:history="1">
        <w:r w:rsidRPr="000553F9">
          <w:rPr>
            <w:rStyle w:val="Hipervnculo"/>
            <w:color w:val="000000" w:themeColor="text1"/>
          </w:rPr>
          <w:t>http://dle.rae.es/?id=CAjNzMR</w:t>
        </w:r>
      </w:hyperlink>
      <w:r w:rsidRPr="000553F9">
        <w:rPr>
          <w:color w:val="000000" w:themeColor="text1"/>
        </w:rPr>
        <w:t xml:space="preserve"> </w:t>
      </w:r>
    </w:p>
  </w:footnote>
  <w:footnote w:id="7">
    <w:p w14:paraId="3F1A1E75" w14:textId="77777777" w:rsidR="00472E42" w:rsidRPr="000553F9" w:rsidRDefault="00472E42" w:rsidP="00472E42">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5" w:history="1">
        <w:r w:rsidRPr="000553F9">
          <w:rPr>
            <w:rStyle w:val="Hipervnculo"/>
            <w:color w:val="000000" w:themeColor="text1"/>
          </w:rPr>
          <w:t>http://dle.rae.es/?id=CAqWkEB</w:t>
        </w:r>
      </w:hyperlink>
      <w:r w:rsidRPr="000553F9">
        <w:rPr>
          <w:color w:val="000000" w:themeColor="text1"/>
        </w:rPr>
        <w:t xml:space="preserve"> </w:t>
      </w:r>
    </w:p>
  </w:footnote>
  <w:footnote w:id="8">
    <w:p w14:paraId="680F4B90" w14:textId="77777777" w:rsidR="00472E42" w:rsidRPr="000553F9" w:rsidRDefault="00472E42" w:rsidP="00472E42">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6" w:history="1">
        <w:r w:rsidRPr="000553F9">
          <w:rPr>
            <w:rStyle w:val="Hipervnculo"/>
            <w:color w:val="000000" w:themeColor="text1"/>
          </w:rPr>
          <w:t>http://dle.rae.es/?id=KtnHLLd</w:t>
        </w:r>
      </w:hyperlink>
      <w:r w:rsidRPr="000553F9">
        <w:rPr>
          <w:color w:val="000000" w:themeColor="text1"/>
        </w:rPr>
        <w:t xml:space="preserve"> </w:t>
      </w:r>
    </w:p>
  </w:footnote>
  <w:footnote w:id="9">
    <w:p w14:paraId="2DD2C415" w14:textId="77777777" w:rsidR="00472E42" w:rsidRPr="000406A4" w:rsidRDefault="00472E42" w:rsidP="00472E42">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7" w:history="1">
        <w:r w:rsidRPr="000553F9">
          <w:rPr>
            <w:rStyle w:val="Hipervnculo"/>
            <w:color w:val="000000" w:themeColor="text1"/>
          </w:rPr>
          <w:t>http://dle.rae.es/?id=KtpfgjV</w:t>
        </w:r>
      </w:hyperlink>
      <w:r w:rsidRPr="000553F9">
        <w:rPr>
          <w:color w:val="000000" w:themeColor="text1"/>
        </w:rPr>
        <w:t xml:space="preserve"> </w:t>
      </w:r>
    </w:p>
  </w:footnote>
  <w:footnote w:id="10">
    <w:p w14:paraId="09B91B45" w14:textId="77777777" w:rsidR="00472E42" w:rsidRPr="00D75A73" w:rsidRDefault="00472E42" w:rsidP="00472E42">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1">
    <w:p w14:paraId="1D57DE0A" w14:textId="77777777" w:rsidR="00472E42" w:rsidRPr="00D75A73" w:rsidRDefault="00472E42" w:rsidP="00472E42">
      <w:pPr>
        <w:pStyle w:val="Textonotapie"/>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472E42" w:rsidRDefault="00472E4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72E42" w14:paraId="17981A04" w14:textId="77777777" w:rsidTr="00FB4AAD">
      <w:trPr>
        <w:trHeight w:val="227"/>
      </w:trPr>
      <w:tc>
        <w:tcPr>
          <w:tcW w:w="5529" w:type="dxa"/>
          <w:hideMark/>
        </w:tcPr>
        <w:p w14:paraId="0E414BC5" w14:textId="75B4D793" w:rsidR="00472E42" w:rsidRDefault="00472E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8D4EC9C" w:rsidR="00472E42" w:rsidRPr="00B4142F" w:rsidRDefault="00472E4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02935/INFOEM/IP/RR/2021</w:t>
          </w:r>
        </w:p>
      </w:tc>
    </w:tr>
    <w:tr w:rsidR="00472E42" w14:paraId="637042F0" w14:textId="77777777" w:rsidTr="00FB4AAD">
      <w:trPr>
        <w:trHeight w:val="242"/>
      </w:trPr>
      <w:tc>
        <w:tcPr>
          <w:tcW w:w="5529" w:type="dxa"/>
          <w:hideMark/>
        </w:tcPr>
        <w:p w14:paraId="412AD568" w14:textId="582E7AD7" w:rsidR="00472E42" w:rsidRDefault="00472E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47BD3C9" w:rsidR="00472E42" w:rsidRPr="00F06FED" w:rsidRDefault="00472E42" w:rsidP="00905E3E">
          <w:pPr>
            <w:spacing w:after="120" w:line="256" w:lineRule="auto"/>
            <w:ind w:left="639" w:right="214"/>
            <w:jc w:val="both"/>
            <w:rPr>
              <w:rFonts w:ascii="Palatino Linotype" w:hAnsi="Palatino Linotype" w:cs="Arial"/>
            </w:rPr>
          </w:pPr>
          <w:r>
            <w:rPr>
              <w:rFonts w:ascii="Palatino Linotype" w:hAnsi="Palatino Linotype" w:cs="Arial"/>
              <w:szCs w:val="20"/>
            </w:rPr>
            <w:t>Junta de Asistencia Privada del Estado de México</w:t>
          </w:r>
        </w:p>
      </w:tc>
    </w:tr>
    <w:tr w:rsidR="00472E42" w14:paraId="21BFE746" w14:textId="77777777" w:rsidTr="00FB4AAD">
      <w:trPr>
        <w:trHeight w:val="342"/>
      </w:trPr>
      <w:tc>
        <w:tcPr>
          <w:tcW w:w="5529" w:type="dxa"/>
          <w:hideMark/>
        </w:tcPr>
        <w:p w14:paraId="64C4E314" w14:textId="77777777" w:rsidR="00472E42" w:rsidRDefault="00472E4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472E42" w:rsidRDefault="00472E4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472E42" w:rsidRDefault="00472E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472E42" w14:paraId="385FD437" w14:textId="77777777" w:rsidTr="00FB4AAD">
      <w:trPr>
        <w:trHeight w:val="227"/>
      </w:trPr>
      <w:tc>
        <w:tcPr>
          <w:tcW w:w="5529" w:type="dxa"/>
          <w:hideMark/>
        </w:tcPr>
        <w:p w14:paraId="272860E8" w14:textId="09D9FF7D" w:rsidR="00472E42" w:rsidRDefault="00472E4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6554095" w:rsidR="00472E42" w:rsidRPr="00B4142F" w:rsidRDefault="00472E4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02935/INFOEM/IP/RR/2021</w:t>
          </w:r>
        </w:p>
      </w:tc>
    </w:tr>
    <w:tr w:rsidR="00472E42" w14:paraId="33FC5097" w14:textId="77777777" w:rsidTr="00FB4AAD">
      <w:trPr>
        <w:trHeight w:val="196"/>
      </w:trPr>
      <w:tc>
        <w:tcPr>
          <w:tcW w:w="5529" w:type="dxa"/>
          <w:hideMark/>
        </w:tcPr>
        <w:p w14:paraId="4F5D01E5" w14:textId="77777777" w:rsidR="00472E42" w:rsidRDefault="00472E4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DE7CC25" w:rsidR="00472E42" w:rsidRPr="00120C4B" w:rsidRDefault="00472E42" w:rsidP="00372400">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372400">
            <w:rPr>
              <w:rFonts w:ascii="Palatino Linotype" w:hAnsi="Palatino Linotype" w:cs="Arial"/>
              <w:b/>
              <w:bCs/>
            </w:rPr>
            <w:t>xxxxxxxxxxxxxxxxxxxxxxxxxxxxx</w:t>
          </w:r>
          <w:r>
            <w:rPr>
              <w:rFonts w:ascii="Palatino Linotype" w:hAnsi="Palatino Linotype" w:cs="Arial"/>
              <w:b/>
              <w:bCs/>
            </w:rPr>
            <w:t xml:space="preserve">  </w:t>
          </w:r>
        </w:p>
      </w:tc>
    </w:tr>
    <w:tr w:rsidR="00472E42" w14:paraId="178280DE" w14:textId="77777777" w:rsidTr="00FB4AAD">
      <w:trPr>
        <w:trHeight w:val="242"/>
      </w:trPr>
      <w:tc>
        <w:tcPr>
          <w:tcW w:w="5529" w:type="dxa"/>
          <w:hideMark/>
        </w:tcPr>
        <w:p w14:paraId="71AC708B" w14:textId="77777777" w:rsidR="00472E42" w:rsidRDefault="00472E4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2C47739" w:rsidR="00472E42" w:rsidRDefault="00472E42" w:rsidP="00905E3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Junta de Asistencia Privada del Estado de México  </w:t>
          </w:r>
        </w:p>
      </w:tc>
    </w:tr>
    <w:tr w:rsidR="00472E42" w14:paraId="0518978B" w14:textId="77777777" w:rsidTr="00FB4AAD">
      <w:trPr>
        <w:trHeight w:val="342"/>
      </w:trPr>
      <w:tc>
        <w:tcPr>
          <w:tcW w:w="5529" w:type="dxa"/>
          <w:hideMark/>
        </w:tcPr>
        <w:p w14:paraId="04968A43" w14:textId="77777777" w:rsidR="00472E42" w:rsidRDefault="00472E4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472E42" w:rsidRDefault="00472E4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472E42" w:rsidRDefault="00472E4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F1EE8"/>
    <w:multiLevelType w:val="hybridMultilevel"/>
    <w:tmpl w:val="AD5C29BC"/>
    <w:lvl w:ilvl="0" w:tplc="080A0001">
      <w:start w:val="1"/>
      <w:numFmt w:val="bullet"/>
      <w:lvlText w:val=""/>
      <w:lvlJc w:val="left"/>
      <w:pPr>
        <w:ind w:left="2526" w:hanging="360"/>
      </w:pPr>
      <w:rPr>
        <w:rFonts w:ascii="Symbol" w:hAnsi="Symbol" w:hint="default"/>
      </w:rPr>
    </w:lvl>
    <w:lvl w:ilvl="1" w:tplc="080A0003">
      <w:start w:val="1"/>
      <w:numFmt w:val="bullet"/>
      <w:lvlText w:val="o"/>
      <w:lvlJc w:val="left"/>
      <w:pPr>
        <w:ind w:left="3246" w:hanging="360"/>
      </w:pPr>
      <w:rPr>
        <w:rFonts w:ascii="Courier New" w:hAnsi="Courier New" w:cs="Courier New" w:hint="default"/>
      </w:rPr>
    </w:lvl>
    <w:lvl w:ilvl="2" w:tplc="080A0005" w:tentative="1">
      <w:start w:val="1"/>
      <w:numFmt w:val="bullet"/>
      <w:lvlText w:val=""/>
      <w:lvlJc w:val="left"/>
      <w:pPr>
        <w:ind w:left="3966" w:hanging="360"/>
      </w:pPr>
      <w:rPr>
        <w:rFonts w:ascii="Wingdings" w:hAnsi="Wingdings" w:hint="default"/>
      </w:rPr>
    </w:lvl>
    <w:lvl w:ilvl="3" w:tplc="080A0001" w:tentative="1">
      <w:start w:val="1"/>
      <w:numFmt w:val="bullet"/>
      <w:lvlText w:val=""/>
      <w:lvlJc w:val="left"/>
      <w:pPr>
        <w:ind w:left="4686" w:hanging="360"/>
      </w:pPr>
      <w:rPr>
        <w:rFonts w:ascii="Symbol" w:hAnsi="Symbol" w:hint="default"/>
      </w:rPr>
    </w:lvl>
    <w:lvl w:ilvl="4" w:tplc="080A0003" w:tentative="1">
      <w:start w:val="1"/>
      <w:numFmt w:val="bullet"/>
      <w:lvlText w:val="o"/>
      <w:lvlJc w:val="left"/>
      <w:pPr>
        <w:ind w:left="5406" w:hanging="360"/>
      </w:pPr>
      <w:rPr>
        <w:rFonts w:ascii="Courier New" w:hAnsi="Courier New" w:cs="Courier New" w:hint="default"/>
      </w:rPr>
    </w:lvl>
    <w:lvl w:ilvl="5" w:tplc="080A0005" w:tentative="1">
      <w:start w:val="1"/>
      <w:numFmt w:val="bullet"/>
      <w:lvlText w:val=""/>
      <w:lvlJc w:val="left"/>
      <w:pPr>
        <w:ind w:left="6126" w:hanging="360"/>
      </w:pPr>
      <w:rPr>
        <w:rFonts w:ascii="Wingdings" w:hAnsi="Wingdings" w:hint="default"/>
      </w:rPr>
    </w:lvl>
    <w:lvl w:ilvl="6" w:tplc="080A0001" w:tentative="1">
      <w:start w:val="1"/>
      <w:numFmt w:val="bullet"/>
      <w:lvlText w:val=""/>
      <w:lvlJc w:val="left"/>
      <w:pPr>
        <w:ind w:left="6846" w:hanging="360"/>
      </w:pPr>
      <w:rPr>
        <w:rFonts w:ascii="Symbol" w:hAnsi="Symbol" w:hint="default"/>
      </w:rPr>
    </w:lvl>
    <w:lvl w:ilvl="7" w:tplc="080A0003" w:tentative="1">
      <w:start w:val="1"/>
      <w:numFmt w:val="bullet"/>
      <w:lvlText w:val="o"/>
      <w:lvlJc w:val="left"/>
      <w:pPr>
        <w:ind w:left="7566" w:hanging="360"/>
      </w:pPr>
      <w:rPr>
        <w:rFonts w:ascii="Courier New" w:hAnsi="Courier New" w:cs="Courier New" w:hint="default"/>
      </w:rPr>
    </w:lvl>
    <w:lvl w:ilvl="8" w:tplc="080A0005" w:tentative="1">
      <w:start w:val="1"/>
      <w:numFmt w:val="bullet"/>
      <w:lvlText w:val=""/>
      <w:lvlJc w:val="left"/>
      <w:pPr>
        <w:ind w:left="8286" w:hanging="360"/>
      </w:pPr>
      <w:rPr>
        <w:rFonts w:ascii="Wingdings" w:hAnsi="Wingdings" w:hint="default"/>
      </w:rPr>
    </w:lvl>
  </w:abstractNum>
  <w:abstractNum w:abstractNumId="1">
    <w:nsid w:val="17D74905"/>
    <w:multiLevelType w:val="hybridMultilevel"/>
    <w:tmpl w:val="8B746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794BE0"/>
    <w:multiLevelType w:val="hybridMultilevel"/>
    <w:tmpl w:val="3F144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964A50"/>
    <w:multiLevelType w:val="hybridMultilevel"/>
    <w:tmpl w:val="51A8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AC72B2E"/>
    <w:multiLevelType w:val="hybridMultilevel"/>
    <w:tmpl w:val="699C1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B46AD4"/>
    <w:multiLevelType w:val="hybridMultilevel"/>
    <w:tmpl w:val="E3AA85B0"/>
    <w:lvl w:ilvl="0" w:tplc="6986D9E6">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nsid w:val="481A6176"/>
    <w:multiLevelType w:val="hybridMultilevel"/>
    <w:tmpl w:val="93605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C865B10"/>
    <w:multiLevelType w:val="hybridMultilevel"/>
    <w:tmpl w:val="C352D2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B72D03"/>
    <w:multiLevelType w:val="hybridMultilevel"/>
    <w:tmpl w:val="EB968FB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FA50F3C"/>
    <w:multiLevelType w:val="multilevel"/>
    <w:tmpl w:val="35322A50"/>
    <w:lvl w:ilvl="0">
      <w:start w:val="1"/>
      <w:numFmt w:val="upperRoman"/>
      <w:lvlText w:val="%1."/>
      <w:lvlJc w:val="right"/>
      <w:pPr>
        <w:ind w:left="720" w:hanging="360"/>
      </w:pPr>
    </w:lvl>
    <w:lvl w:ilvl="1">
      <w:start w:val="1"/>
      <w:numFmt w:val="decimal"/>
      <w:isLgl/>
      <w:lvlText w:val="%1.%2"/>
      <w:lvlJc w:val="left"/>
      <w:pPr>
        <w:ind w:left="2226" w:hanging="420"/>
      </w:pPr>
      <w:rPr>
        <w:rFonts w:hint="default"/>
      </w:rPr>
    </w:lvl>
    <w:lvl w:ilvl="2">
      <w:start w:val="1"/>
      <w:numFmt w:val="decimal"/>
      <w:isLgl/>
      <w:lvlText w:val="%1.%2.%3"/>
      <w:lvlJc w:val="left"/>
      <w:pPr>
        <w:ind w:left="3972" w:hanging="720"/>
      </w:pPr>
      <w:rPr>
        <w:rFonts w:hint="default"/>
      </w:rPr>
    </w:lvl>
    <w:lvl w:ilvl="3">
      <w:start w:val="1"/>
      <w:numFmt w:val="decimal"/>
      <w:isLgl/>
      <w:lvlText w:val="%1.%2.%3.%4"/>
      <w:lvlJc w:val="left"/>
      <w:pPr>
        <w:ind w:left="5418" w:hanging="720"/>
      </w:pPr>
      <w:rPr>
        <w:rFonts w:hint="default"/>
      </w:rPr>
    </w:lvl>
    <w:lvl w:ilvl="4">
      <w:start w:val="1"/>
      <w:numFmt w:val="decimal"/>
      <w:isLgl/>
      <w:lvlText w:val="%1.%2.%3.%4.%5"/>
      <w:lvlJc w:val="left"/>
      <w:pPr>
        <w:ind w:left="7224" w:hanging="1080"/>
      </w:pPr>
      <w:rPr>
        <w:rFonts w:hint="default"/>
      </w:rPr>
    </w:lvl>
    <w:lvl w:ilvl="5">
      <w:start w:val="1"/>
      <w:numFmt w:val="decimal"/>
      <w:isLgl/>
      <w:lvlText w:val="%1.%2.%3.%4.%5.%6"/>
      <w:lvlJc w:val="left"/>
      <w:pPr>
        <w:ind w:left="8670" w:hanging="1080"/>
      </w:pPr>
      <w:rPr>
        <w:rFonts w:hint="default"/>
      </w:rPr>
    </w:lvl>
    <w:lvl w:ilvl="6">
      <w:start w:val="1"/>
      <w:numFmt w:val="decimal"/>
      <w:isLgl/>
      <w:lvlText w:val="%1.%2.%3.%4.%5.%6.%7"/>
      <w:lvlJc w:val="left"/>
      <w:pPr>
        <w:ind w:left="10476" w:hanging="1440"/>
      </w:pPr>
      <w:rPr>
        <w:rFonts w:hint="default"/>
      </w:rPr>
    </w:lvl>
    <w:lvl w:ilvl="7">
      <w:start w:val="1"/>
      <w:numFmt w:val="decimal"/>
      <w:isLgl/>
      <w:lvlText w:val="%1.%2.%3.%4.%5.%6.%7.%8"/>
      <w:lvlJc w:val="left"/>
      <w:pPr>
        <w:ind w:left="11922" w:hanging="1440"/>
      </w:pPr>
      <w:rPr>
        <w:rFonts w:hint="default"/>
      </w:rPr>
    </w:lvl>
    <w:lvl w:ilvl="8">
      <w:start w:val="1"/>
      <w:numFmt w:val="decimal"/>
      <w:isLgl/>
      <w:lvlText w:val="%1.%2.%3.%4.%5.%6.%7.%8.%9"/>
      <w:lvlJc w:val="left"/>
      <w:pPr>
        <w:ind w:left="13728" w:hanging="1800"/>
      </w:pPr>
      <w:rPr>
        <w:rFonts w:hint="default"/>
      </w:rPr>
    </w:lvl>
  </w:abstractNum>
  <w:abstractNum w:abstractNumId="12">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6A56259A"/>
    <w:multiLevelType w:val="hybridMultilevel"/>
    <w:tmpl w:val="C7B628EC"/>
    <w:lvl w:ilvl="0" w:tplc="2BA6D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173081"/>
    <w:multiLevelType w:val="hybridMultilevel"/>
    <w:tmpl w:val="699C1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2E07CD"/>
    <w:multiLevelType w:val="hybridMultilevel"/>
    <w:tmpl w:val="DB7CA826"/>
    <w:lvl w:ilvl="0" w:tplc="080A0017">
      <w:start w:val="1"/>
      <w:numFmt w:val="lowerLetter"/>
      <w:lvlText w:val="%1)"/>
      <w:lvlJc w:val="left"/>
      <w:pPr>
        <w:ind w:left="782" w:hanging="360"/>
      </w:pPr>
      <w:rPr>
        <w:rFonts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num w:numId="1">
    <w:abstractNumId w:val="15"/>
  </w:num>
  <w:num w:numId="2">
    <w:abstractNumId w:val="1"/>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1"/>
  </w:num>
  <w:num w:numId="8">
    <w:abstractNumId w:val="13"/>
  </w:num>
  <w:num w:numId="9">
    <w:abstractNumId w:val="10"/>
  </w:num>
  <w:num w:numId="10">
    <w:abstractNumId w:val="14"/>
  </w:num>
  <w:num w:numId="11">
    <w:abstractNumId w:val="2"/>
  </w:num>
  <w:num w:numId="12">
    <w:abstractNumId w:val="8"/>
  </w:num>
  <w:num w:numId="13">
    <w:abstractNumId w:val="12"/>
  </w:num>
  <w:num w:numId="14">
    <w:abstractNumId w:val="3"/>
  </w:num>
  <w:num w:numId="15">
    <w:abstractNumId w:val="0"/>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FAC"/>
    <w:rsid w:val="00010E77"/>
    <w:rsid w:val="000115FC"/>
    <w:rsid w:val="000128B2"/>
    <w:rsid w:val="0001366A"/>
    <w:rsid w:val="00013C75"/>
    <w:rsid w:val="000143F3"/>
    <w:rsid w:val="0001564B"/>
    <w:rsid w:val="000171B7"/>
    <w:rsid w:val="00017685"/>
    <w:rsid w:val="00020E74"/>
    <w:rsid w:val="000214C9"/>
    <w:rsid w:val="000240C8"/>
    <w:rsid w:val="0002560B"/>
    <w:rsid w:val="000306A7"/>
    <w:rsid w:val="00031B3B"/>
    <w:rsid w:val="00032896"/>
    <w:rsid w:val="000329BE"/>
    <w:rsid w:val="00040A67"/>
    <w:rsid w:val="0004186E"/>
    <w:rsid w:val="000451BE"/>
    <w:rsid w:val="00045379"/>
    <w:rsid w:val="00045CB8"/>
    <w:rsid w:val="000508FA"/>
    <w:rsid w:val="0005171D"/>
    <w:rsid w:val="00055224"/>
    <w:rsid w:val="00061821"/>
    <w:rsid w:val="000623F9"/>
    <w:rsid w:val="00062ED4"/>
    <w:rsid w:val="00063A10"/>
    <w:rsid w:val="00064EA6"/>
    <w:rsid w:val="000658D4"/>
    <w:rsid w:val="00065EF1"/>
    <w:rsid w:val="000662F8"/>
    <w:rsid w:val="00066735"/>
    <w:rsid w:val="00066B61"/>
    <w:rsid w:val="00070E99"/>
    <w:rsid w:val="00073E78"/>
    <w:rsid w:val="00073FC2"/>
    <w:rsid w:val="00076AE0"/>
    <w:rsid w:val="0007756F"/>
    <w:rsid w:val="000801AB"/>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2E41"/>
    <w:rsid w:val="000C5B8B"/>
    <w:rsid w:val="000D1A4E"/>
    <w:rsid w:val="000D1B55"/>
    <w:rsid w:val="000D3C75"/>
    <w:rsid w:val="000D4532"/>
    <w:rsid w:val="000D4A3A"/>
    <w:rsid w:val="000D5800"/>
    <w:rsid w:val="000D7523"/>
    <w:rsid w:val="000E0C4D"/>
    <w:rsid w:val="000E2762"/>
    <w:rsid w:val="000E30C2"/>
    <w:rsid w:val="000E395E"/>
    <w:rsid w:val="000E3AEA"/>
    <w:rsid w:val="000E4C1C"/>
    <w:rsid w:val="000E6545"/>
    <w:rsid w:val="000E686B"/>
    <w:rsid w:val="000F2A5E"/>
    <w:rsid w:val="000F3F8D"/>
    <w:rsid w:val="000F6CD3"/>
    <w:rsid w:val="001007C2"/>
    <w:rsid w:val="00100C19"/>
    <w:rsid w:val="00106372"/>
    <w:rsid w:val="00111DCD"/>
    <w:rsid w:val="00111F5F"/>
    <w:rsid w:val="00112C29"/>
    <w:rsid w:val="00114CF9"/>
    <w:rsid w:val="001178B9"/>
    <w:rsid w:val="00120C4B"/>
    <w:rsid w:val="00120E92"/>
    <w:rsid w:val="001228AB"/>
    <w:rsid w:val="00124855"/>
    <w:rsid w:val="001254F5"/>
    <w:rsid w:val="00130620"/>
    <w:rsid w:val="00130C5D"/>
    <w:rsid w:val="001332FA"/>
    <w:rsid w:val="00136FAD"/>
    <w:rsid w:val="0014051A"/>
    <w:rsid w:val="00140557"/>
    <w:rsid w:val="001408A0"/>
    <w:rsid w:val="00142B2A"/>
    <w:rsid w:val="001431FC"/>
    <w:rsid w:val="001439C9"/>
    <w:rsid w:val="00145279"/>
    <w:rsid w:val="00145540"/>
    <w:rsid w:val="00146A39"/>
    <w:rsid w:val="00146F0A"/>
    <w:rsid w:val="00147C16"/>
    <w:rsid w:val="00147C62"/>
    <w:rsid w:val="00152AB2"/>
    <w:rsid w:val="00152C2B"/>
    <w:rsid w:val="0015483E"/>
    <w:rsid w:val="00157AAA"/>
    <w:rsid w:val="00161FBE"/>
    <w:rsid w:val="00164AB0"/>
    <w:rsid w:val="0016745C"/>
    <w:rsid w:val="001710C0"/>
    <w:rsid w:val="001733A0"/>
    <w:rsid w:val="00175897"/>
    <w:rsid w:val="00180B9F"/>
    <w:rsid w:val="00181CC5"/>
    <w:rsid w:val="001829BE"/>
    <w:rsid w:val="00184E8E"/>
    <w:rsid w:val="001854E1"/>
    <w:rsid w:val="0018577F"/>
    <w:rsid w:val="00185EBD"/>
    <w:rsid w:val="001873A2"/>
    <w:rsid w:val="0019120B"/>
    <w:rsid w:val="001934AA"/>
    <w:rsid w:val="00193784"/>
    <w:rsid w:val="00196DCE"/>
    <w:rsid w:val="001A02EC"/>
    <w:rsid w:val="001A1756"/>
    <w:rsid w:val="001A30F5"/>
    <w:rsid w:val="001A4643"/>
    <w:rsid w:val="001A5630"/>
    <w:rsid w:val="001A577E"/>
    <w:rsid w:val="001A7C9B"/>
    <w:rsid w:val="001B05B9"/>
    <w:rsid w:val="001B3029"/>
    <w:rsid w:val="001B3F47"/>
    <w:rsid w:val="001B5974"/>
    <w:rsid w:val="001B7B88"/>
    <w:rsid w:val="001B7FA2"/>
    <w:rsid w:val="001C0D03"/>
    <w:rsid w:val="001C1CAF"/>
    <w:rsid w:val="001C32F4"/>
    <w:rsid w:val="001C4445"/>
    <w:rsid w:val="001C4467"/>
    <w:rsid w:val="001C4D81"/>
    <w:rsid w:val="001C50EE"/>
    <w:rsid w:val="001C7319"/>
    <w:rsid w:val="001C7D87"/>
    <w:rsid w:val="001D23B4"/>
    <w:rsid w:val="001D3E87"/>
    <w:rsid w:val="001D49A2"/>
    <w:rsid w:val="001D627A"/>
    <w:rsid w:val="001D6B60"/>
    <w:rsid w:val="001E0C3F"/>
    <w:rsid w:val="001E181D"/>
    <w:rsid w:val="001E58D8"/>
    <w:rsid w:val="001E78AA"/>
    <w:rsid w:val="001F2101"/>
    <w:rsid w:val="001F3969"/>
    <w:rsid w:val="001F5EF3"/>
    <w:rsid w:val="001F61DA"/>
    <w:rsid w:val="0020249B"/>
    <w:rsid w:val="00205ACD"/>
    <w:rsid w:val="002075A5"/>
    <w:rsid w:val="00211AFA"/>
    <w:rsid w:val="00212A9D"/>
    <w:rsid w:val="0021501E"/>
    <w:rsid w:val="00215192"/>
    <w:rsid w:val="002155E8"/>
    <w:rsid w:val="00215778"/>
    <w:rsid w:val="00215783"/>
    <w:rsid w:val="002205C0"/>
    <w:rsid w:val="00221889"/>
    <w:rsid w:val="00222064"/>
    <w:rsid w:val="0022427E"/>
    <w:rsid w:val="002248AC"/>
    <w:rsid w:val="00226AF5"/>
    <w:rsid w:val="0023373D"/>
    <w:rsid w:val="0023423C"/>
    <w:rsid w:val="00235D40"/>
    <w:rsid w:val="002420E3"/>
    <w:rsid w:val="002448CB"/>
    <w:rsid w:val="002467A7"/>
    <w:rsid w:val="00251426"/>
    <w:rsid w:val="002525C7"/>
    <w:rsid w:val="002526E7"/>
    <w:rsid w:val="00254BA9"/>
    <w:rsid w:val="0025746A"/>
    <w:rsid w:val="002577FE"/>
    <w:rsid w:val="00261125"/>
    <w:rsid w:val="002659E9"/>
    <w:rsid w:val="0026655C"/>
    <w:rsid w:val="00267074"/>
    <w:rsid w:val="00267244"/>
    <w:rsid w:val="002717B7"/>
    <w:rsid w:val="00273D0E"/>
    <w:rsid w:val="00274159"/>
    <w:rsid w:val="00274BE8"/>
    <w:rsid w:val="00275CA1"/>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EC4"/>
    <w:rsid w:val="002C1B76"/>
    <w:rsid w:val="002C2D3F"/>
    <w:rsid w:val="002C3466"/>
    <w:rsid w:val="002C4B9B"/>
    <w:rsid w:val="002C6278"/>
    <w:rsid w:val="002C72D2"/>
    <w:rsid w:val="002D08E3"/>
    <w:rsid w:val="002D2682"/>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59F4"/>
    <w:rsid w:val="00306096"/>
    <w:rsid w:val="00306678"/>
    <w:rsid w:val="003107AB"/>
    <w:rsid w:val="003111C0"/>
    <w:rsid w:val="00315D83"/>
    <w:rsid w:val="0031645D"/>
    <w:rsid w:val="00317A04"/>
    <w:rsid w:val="00317A10"/>
    <w:rsid w:val="00320A67"/>
    <w:rsid w:val="00321565"/>
    <w:rsid w:val="0032187D"/>
    <w:rsid w:val="00323CD2"/>
    <w:rsid w:val="003272FB"/>
    <w:rsid w:val="003317CD"/>
    <w:rsid w:val="003324B5"/>
    <w:rsid w:val="00335E5E"/>
    <w:rsid w:val="003367C6"/>
    <w:rsid w:val="0034179E"/>
    <w:rsid w:val="00341AC3"/>
    <w:rsid w:val="00341CFC"/>
    <w:rsid w:val="0034299B"/>
    <w:rsid w:val="003430A8"/>
    <w:rsid w:val="003443B2"/>
    <w:rsid w:val="00344B37"/>
    <w:rsid w:val="0034637B"/>
    <w:rsid w:val="00361B9C"/>
    <w:rsid w:val="0036376D"/>
    <w:rsid w:val="00365C45"/>
    <w:rsid w:val="00372400"/>
    <w:rsid w:val="00374444"/>
    <w:rsid w:val="00376114"/>
    <w:rsid w:val="00376CEC"/>
    <w:rsid w:val="00377697"/>
    <w:rsid w:val="00380758"/>
    <w:rsid w:val="003816DA"/>
    <w:rsid w:val="003827B4"/>
    <w:rsid w:val="00383C82"/>
    <w:rsid w:val="0038698A"/>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032D"/>
    <w:rsid w:val="003C2632"/>
    <w:rsid w:val="003C2A8E"/>
    <w:rsid w:val="003C4EB8"/>
    <w:rsid w:val="003C7873"/>
    <w:rsid w:val="003C78F7"/>
    <w:rsid w:val="003D153C"/>
    <w:rsid w:val="003D3506"/>
    <w:rsid w:val="003D4054"/>
    <w:rsid w:val="003D43BA"/>
    <w:rsid w:val="003E0BC5"/>
    <w:rsid w:val="003E16E1"/>
    <w:rsid w:val="003E2624"/>
    <w:rsid w:val="003E34C9"/>
    <w:rsid w:val="003E3A95"/>
    <w:rsid w:val="003E4B54"/>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16953"/>
    <w:rsid w:val="00416FB7"/>
    <w:rsid w:val="004217D1"/>
    <w:rsid w:val="00423213"/>
    <w:rsid w:val="0042416D"/>
    <w:rsid w:val="0042767F"/>
    <w:rsid w:val="004312E4"/>
    <w:rsid w:val="00432A8A"/>
    <w:rsid w:val="00432FA5"/>
    <w:rsid w:val="00433507"/>
    <w:rsid w:val="00437A0E"/>
    <w:rsid w:val="00437C20"/>
    <w:rsid w:val="00437F6C"/>
    <w:rsid w:val="00440FF9"/>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2E42"/>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68CA"/>
    <w:rsid w:val="004A7195"/>
    <w:rsid w:val="004A7CE2"/>
    <w:rsid w:val="004B1E4C"/>
    <w:rsid w:val="004B376D"/>
    <w:rsid w:val="004B5DEC"/>
    <w:rsid w:val="004B7F32"/>
    <w:rsid w:val="004C1DF1"/>
    <w:rsid w:val="004C4C4A"/>
    <w:rsid w:val="004C4E77"/>
    <w:rsid w:val="004C73A9"/>
    <w:rsid w:val="004D08EB"/>
    <w:rsid w:val="004D1E01"/>
    <w:rsid w:val="004D434A"/>
    <w:rsid w:val="004D6029"/>
    <w:rsid w:val="004E0679"/>
    <w:rsid w:val="004E0B32"/>
    <w:rsid w:val="004E2371"/>
    <w:rsid w:val="004E5242"/>
    <w:rsid w:val="004E6BE9"/>
    <w:rsid w:val="004E79A4"/>
    <w:rsid w:val="004F17EE"/>
    <w:rsid w:val="004F26CF"/>
    <w:rsid w:val="004F27C4"/>
    <w:rsid w:val="004F4792"/>
    <w:rsid w:val="004F4DF1"/>
    <w:rsid w:val="004F5301"/>
    <w:rsid w:val="004F75A1"/>
    <w:rsid w:val="004F7A30"/>
    <w:rsid w:val="00502F50"/>
    <w:rsid w:val="00503655"/>
    <w:rsid w:val="005056EA"/>
    <w:rsid w:val="00505759"/>
    <w:rsid w:val="0050578D"/>
    <w:rsid w:val="00507827"/>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5DBB"/>
    <w:rsid w:val="005478DE"/>
    <w:rsid w:val="005520FE"/>
    <w:rsid w:val="0055211D"/>
    <w:rsid w:val="00552FA7"/>
    <w:rsid w:val="00553317"/>
    <w:rsid w:val="00553AA5"/>
    <w:rsid w:val="00553E92"/>
    <w:rsid w:val="00554927"/>
    <w:rsid w:val="00556513"/>
    <w:rsid w:val="00560D4A"/>
    <w:rsid w:val="00562570"/>
    <w:rsid w:val="00562653"/>
    <w:rsid w:val="00562F51"/>
    <w:rsid w:val="0056468F"/>
    <w:rsid w:val="00564B48"/>
    <w:rsid w:val="00566E4B"/>
    <w:rsid w:val="0056782C"/>
    <w:rsid w:val="00567F9A"/>
    <w:rsid w:val="005705E2"/>
    <w:rsid w:val="00571275"/>
    <w:rsid w:val="005714B9"/>
    <w:rsid w:val="00572B75"/>
    <w:rsid w:val="005733EB"/>
    <w:rsid w:val="00580802"/>
    <w:rsid w:val="00581A22"/>
    <w:rsid w:val="00583220"/>
    <w:rsid w:val="005833A8"/>
    <w:rsid w:val="0058661B"/>
    <w:rsid w:val="005910DD"/>
    <w:rsid w:val="00593E91"/>
    <w:rsid w:val="00595600"/>
    <w:rsid w:val="00596DC4"/>
    <w:rsid w:val="00597589"/>
    <w:rsid w:val="005A0B49"/>
    <w:rsid w:val="005A52D9"/>
    <w:rsid w:val="005A5A6E"/>
    <w:rsid w:val="005A694B"/>
    <w:rsid w:val="005A6D57"/>
    <w:rsid w:val="005A7010"/>
    <w:rsid w:val="005B0424"/>
    <w:rsid w:val="005B37EF"/>
    <w:rsid w:val="005B5B70"/>
    <w:rsid w:val="005B5F05"/>
    <w:rsid w:val="005B77A6"/>
    <w:rsid w:val="005B79E7"/>
    <w:rsid w:val="005C0E09"/>
    <w:rsid w:val="005C1B2E"/>
    <w:rsid w:val="005C3E35"/>
    <w:rsid w:val="005C40CB"/>
    <w:rsid w:val="005C6982"/>
    <w:rsid w:val="005D0901"/>
    <w:rsid w:val="005D16DD"/>
    <w:rsid w:val="005D2B59"/>
    <w:rsid w:val="005D362F"/>
    <w:rsid w:val="005D370F"/>
    <w:rsid w:val="005D5217"/>
    <w:rsid w:val="005D5E8C"/>
    <w:rsid w:val="005E35EB"/>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0C57"/>
    <w:rsid w:val="0061131F"/>
    <w:rsid w:val="006124AD"/>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025F"/>
    <w:rsid w:val="00650B37"/>
    <w:rsid w:val="006529A5"/>
    <w:rsid w:val="006536EF"/>
    <w:rsid w:val="00655735"/>
    <w:rsid w:val="00661404"/>
    <w:rsid w:val="00661753"/>
    <w:rsid w:val="00661A64"/>
    <w:rsid w:val="00663280"/>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6232"/>
    <w:rsid w:val="006B7444"/>
    <w:rsid w:val="006C32EE"/>
    <w:rsid w:val="006C64A7"/>
    <w:rsid w:val="006C6A05"/>
    <w:rsid w:val="006D23FC"/>
    <w:rsid w:val="006D3CD7"/>
    <w:rsid w:val="006D5719"/>
    <w:rsid w:val="006E01D1"/>
    <w:rsid w:val="006E2523"/>
    <w:rsid w:val="006E46E2"/>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3F4"/>
    <w:rsid w:val="007234D1"/>
    <w:rsid w:val="0072600B"/>
    <w:rsid w:val="00731428"/>
    <w:rsid w:val="0073157A"/>
    <w:rsid w:val="0073211C"/>
    <w:rsid w:val="00735209"/>
    <w:rsid w:val="00744E29"/>
    <w:rsid w:val="00744EEF"/>
    <w:rsid w:val="00751632"/>
    <w:rsid w:val="007517D1"/>
    <w:rsid w:val="007524CA"/>
    <w:rsid w:val="00754CAE"/>
    <w:rsid w:val="00757F12"/>
    <w:rsid w:val="00760B4C"/>
    <w:rsid w:val="007658D5"/>
    <w:rsid w:val="00771ABD"/>
    <w:rsid w:val="00772BA8"/>
    <w:rsid w:val="00774266"/>
    <w:rsid w:val="0078028A"/>
    <w:rsid w:val="007806CB"/>
    <w:rsid w:val="00780FE1"/>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660A"/>
    <w:rsid w:val="007B7A6F"/>
    <w:rsid w:val="007B7E1A"/>
    <w:rsid w:val="007C2C6B"/>
    <w:rsid w:val="007C3FF2"/>
    <w:rsid w:val="007C449F"/>
    <w:rsid w:val="007C5E10"/>
    <w:rsid w:val="007C7FF1"/>
    <w:rsid w:val="007D15EF"/>
    <w:rsid w:val="007D1A27"/>
    <w:rsid w:val="007D1B24"/>
    <w:rsid w:val="007D1F15"/>
    <w:rsid w:val="007D25B1"/>
    <w:rsid w:val="007D2878"/>
    <w:rsid w:val="007D300A"/>
    <w:rsid w:val="007D322E"/>
    <w:rsid w:val="007D4DC3"/>
    <w:rsid w:val="007D661B"/>
    <w:rsid w:val="007E26F8"/>
    <w:rsid w:val="007E2A9D"/>
    <w:rsid w:val="007E3A35"/>
    <w:rsid w:val="007E49BA"/>
    <w:rsid w:val="007E5726"/>
    <w:rsid w:val="007E7BAB"/>
    <w:rsid w:val="007E7DCE"/>
    <w:rsid w:val="007F1347"/>
    <w:rsid w:val="007F20AC"/>
    <w:rsid w:val="007F43BD"/>
    <w:rsid w:val="007F53D4"/>
    <w:rsid w:val="007F5F9F"/>
    <w:rsid w:val="007F7DC1"/>
    <w:rsid w:val="00800927"/>
    <w:rsid w:val="008016F1"/>
    <w:rsid w:val="00802C56"/>
    <w:rsid w:val="00804BD9"/>
    <w:rsid w:val="00805270"/>
    <w:rsid w:val="00806AA1"/>
    <w:rsid w:val="008111EB"/>
    <w:rsid w:val="00811205"/>
    <w:rsid w:val="00811D16"/>
    <w:rsid w:val="00811F97"/>
    <w:rsid w:val="00812C48"/>
    <w:rsid w:val="008146F9"/>
    <w:rsid w:val="00814D55"/>
    <w:rsid w:val="00815095"/>
    <w:rsid w:val="008159C4"/>
    <w:rsid w:val="0081655D"/>
    <w:rsid w:val="008230AE"/>
    <w:rsid w:val="00824DCD"/>
    <w:rsid w:val="00831150"/>
    <w:rsid w:val="00831D3F"/>
    <w:rsid w:val="00832986"/>
    <w:rsid w:val="00833DB5"/>
    <w:rsid w:val="00835692"/>
    <w:rsid w:val="00835B0C"/>
    <w:rsid w:val="008419A8"/>
    <w:rsid w:val="008436AD"/>
    <w:rsid w:val="00844438"/>
    <w:rsid w:val="00844569"/>
    <w:rsid w:val="00846539"/>
    <w:rsid w:val="0084766D"/>
    <w:rsid w:val="00847D23"/>
    <w:rsid w:val="00855544"/>
    <w:rsid w:val="00856D15"/>
    <w:rsid w:val="0086020D"/>
    <w:rsid w:val="00863327"/>
    <w:rsid w:val="008643DE"/>
    <w:rsid w:val="00864B13"/>
    <w:rsid w:val="008656FB"/>
    <w:rsid w:val="00867B2F"/>
    <w:rsid w:val="00867F8C"/>
    <w:rsid w:val="00870B6A"/>
    <w:rsid w:val="00870F44"/>
    <w:rsid w:val="00873C4C"/>
    <w:rsid w:val="00874015"/>
    <w:rsid w:val="00876A75"/>
    <w:rsid w:val="0087786C"/>
    <w:rsid w:val="00882B0F"/>
    <w:rsid w:val="00883587"/>
    <w:rsid w:val="00884054"/>
    <w:rsid w:val="00886712"/>
    <w:rsid w:val="00886864"/>
    <w:rsid w:val="008868B6"/>
    <w:rsid w:val="00886ABD"/>
    <w:rsid w:val="00891715"/>
    <w:rsid w:val="00893C5F"/>
    <w:rsid w:val="00895089"/>
    <w:rsid w:val="008951ED"/>
    <w:rsid w:val="00896BBD"/>
    <w:rsid w:val="00897208"/>
    <w:rsid w:val="0089738C"/>
    <w:rsid w:val="008A1129"/>
    <w:rsid w:val="008A322D"/>
    <w:rsid w:val="008A75BE"/>
    <w:rsid w:val="008B14D0"/>
    <w:rsid w:val="008C1FB2"/>
    <w:rsid w:val="008C2BCF"/>
    <w:rsid w:val="008C32A8"/>
    <w:rsid w:val="008C36F9"/>
    <w:rsid w:val="008C55A3"/>
    <w:rsid w:val="008C6D37"/>
    <w:rsid w:val="008C6EB7"/>
    <w:rsid w:val="008D06E0"/>
    <w:rsid w:val="008D1DFF"/>
    <w:rsid w:val="008D2EDE"/>
    <w:rsid w:val="008D61B6"/>
    <w:rsid w:val="008D6B66"/>
    <w:rsid w:val="008E0F5C"/>
    <w:rsid w:val="008E6375"/>
    <w:rsid w:val="008F15EE"/>
    <w:rsid w:val="008F16D2"/>
    <w:rsid w:val="008F3674"/>
    <w:rsid w:val="008F4C65"/>
    <w:rsid w:val="008F5972"/>
    <w:rsid w:val="008F79AB"/>
    <w:rsid w:val="009020E0"/>
    <w:rsid w:val="0090233A"/>
    <w:rsid w:val="00903410"/>
    <w:rsid w:val="00905422"/>
    <w:rsid w:val="00905E07"/>
    <w:rsid w:val="00905E3E"/>
    <w:rsid w:val="00906A91"/>
    <w:rsid w:val="00907A17"/>
    <w:rsid w:val="00910B4E"/>
    <w:rsid w:val="009114BF"/>
    <w:rsid w:val="00912756"/>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3D36"/>
    <w:rsid w:val="00965FEE"/>
    <w:rsid w:val="0096643B"/>
    <w:rsid w:val="009706B5"/>
    <w:rsid w:val="00970CE3"/>
    <w:rsid w:val="009718BF"/>
    <w:rsid w:val="00972BDF"/>
    <w:rsid w:val="0097390F"/>
    <w:rsid w:val="00980EFE"/>
    <w:rsid w:val="0098182D"/>
    <w:rsid w:val="00985C4C"/>
    <w:rsid w:val="0098704B"/>
    <w:rsid w:val="0099168E"/>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1AA9"/>
    <w:rsid w:val="009E52F2"/>
    <w:rsid w:val="009E5717"/>
    <w:rsid w:val="009F01C0"/>
    <w:rsid w:val="009F0275"/>
    <w:rsid w:val="009F1278"/>
    <w:rsid w:val="009F3C1F"/>
    <w:rsid w:val="009F491E"/>
    <w:rsid w:val="009F5DB2"/>
    <w:rsid w:val="009F614E"/>
    <w:rsid w:val="009F762B"/>
    <w:rsid w:val="009F7E96"/>
    <w:rsid w:val="00A0172D"/>
    <w:rsid w:val="00A02047"/>
    <w:rsid w:val="00A036BE"/>
    <w:rsid w:val="00A03C4B"/>
    <w:rsid w:val="00A04C52"/>
    <w:rsid w:val="00A07627"/>
    <w:rsid w:val="00A10040"/>
    <w:rsid w:val="00A11AE6"/>
    <w:rsid w:val="00A12205"/>
    <w:rsid w:val="00A152BD"/>
    <w:rsid w:val="00A20E27"/>
    <w:rsid w:val="00A21876"/>
    <w:rsid w:val="00A269FD"/>
    <w:rsid w:val="00A26BC8"/>
    <w:rsid w:val="00A30C44"/>
    <w:rsid w:val="00A31AB7"/>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4C80"/>
    <w:rsid w:val="00A67EF9"/>
    <w:rsid w:val="00A72465"/>
    <w:rsid w:val="00A80C92"/>
    <w:rsid w:val="00A81AF3"/>
    <w:rsid w:val="00A81BCB"/>
    <w:rsid w:val="00A82461"/>
    <w:rsid w:val="00A840FB"/>
    <w:rsid w:val="00A84571"/>
    <w:rsid w:val="00A84CDC"/>
    <w:rsid w:val="00A851D8"/>
    <w:rsid w:val="00A85515"/>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2056"/>
    <w:rsid w:val="00AE65ED"/>
    <w:rsid w:val="00AF16C8"/>
    <w:rsid w:val="00AF74DA"/>
    <w:rsid w:val="00B00C72"/>
    <w:rsid w:val="00B01443"/>
    <w:rsid w:val="00B0427D"/>
    <w:rsid w:val="00B04CF0"/>
    <w:rsid w:val="00B05F3F"/>
    <w:rsid w:val="00B070A2"/>
    <w:rsid w:val="00B10635"/>
    <w:rsid w:val="00B10E49"/>
    <w:rsid w:val="00B11E08"/>
    <w:rsid w:val="00B145FA"/>
    <w:rsid w:val="00B15BF1"/>
    <w:rsid w:val="00B2037B"/>
    <w:rsid w:val="00B229A7"/>
    <w:rsid w:val="00B23274"/>
    <w:rsid w:val="00B272A6"/>
    <w:rsid w:val="00B30856"/>
    <w:rsid w:val="00B32CD3"/>
    <w:rsid w:val="00B34CA9"/>
    <w:rsid w:val="00B35797"/>
    <w:rsid w:val="00B35A93"/>
    <w:rsid w:val="00B3672D"/>
    <w:rsid w:val="00B40656"/>
    <w:rsid w:val="00B40F8A"/>
    <w:rsid w:val="00B4745C"/>
    <w:rsid w:val="00B5020C"/>
    <w:rsid w:val="00B50AAA"/>
    <w:rsid w:val="00B544D9"/>
    <w:rsid w:val="00B6458B"/>
    <w:rsid w:val="00B658D4"/>
    <w:rsid w:val="00B75A2C"/>
    <w:rsid w:val="00B764B2"/>
    <w:rsid w:val="00B80964"/>
    <w:rsid w:val="00B813AC"/>
    <w:rsid w:val="00B815FC"/>
    <w:rsid w:val="00B8376C"/>
    <w:rsid w:val="00B84260"/>
    <w:rsid w:val="00B8738D"/>
    <w:rsid w:val="00B91F0B"/>
    <w:rsid w:val="00B9223B"/>
    <w:rsid w:val="00B92270"/>
    <w:rsid w:val="00B92D47"/>
    <w:rsid w:val="00B933D5"/>
    <w:rsid w:val="00B961A5"/>
    <w:rsid w:val="00BA18D5"/>
    <w:rsid w:val="00BA4358"/>
    <w:rsid w:val="00BA49CC"/>
    <w:rsid w:val="00BA4D1F"/>
    <w:rsid w:val="00BA6C49"/>
    <w:rsid w:val="00BA7AD1"/>
    <w:rsid w:val="00BB0B9D"/>
    <w:rsid w:val="00BB1372"/>
    <w:rsid w:val="00BB1CC2"/>
    <w:rsid w:val="00BB2250"/>
    <w:rsid w:val="00BB4F63"/>
    <w:rsid w:val="00BB735C"/>
    <w:rsid w:val="00BB744D"/>
    <w:rsid w:val="00BB7708"/>
    <w:rsid w:val="00BC0FDD"/>
    <w:rsid w:val="00BC22E0"/>
    <w:rsid w:val="00BC4AA7"/>
    <w:rsid w:val="00BC5852"/>
    <w:rsid w:val="00BD5425"/>
    <w:rsid w:val="00BD6F2F"/>
    <w:rsid w:val="00BD705F"/>
    <w:rsid w:val="00BE0C27"/>
    <w:rsid w:val="00BE0EE0"/>
    <w:rsid w:val="00BE215B"/>
    <w:rsid w:val="00BE28ED"/>
    <w:rsid w:val="00BE3163"/>
    <w:rsid w:val="00BE55D6"/>
    <w:rsid w:val="00BF21C5"/>
    <w:rsid w:val="00BF2EA1"/>
    <w:rsid w:val="00BF543F"/>
    <w:rsid w:val="00BF6902"/>
    <w:rsid w:val="00BF7421"/>
    <w:rsid w:val="00C01E2A"/>
    <w:rsid w:val="00C06E2B"/>
    <w:rsid w:val="00C07650"/>
    <w:rsid w:val="00C104DD"/>
    <w:rsid w:val="00C1331F"/>
    <w:rsid w:val="00C15275"/>
    <w:rsid w:val="00C15B36"/>
    <w:rsid w:val="00C15E31"/>
    <w:rsid w:val="00C16479"/>
    <w:rsid w:val="00C2058D"/>
    <w:rsid w:val="00C211F0"/>
    <w:rsid w:val="00C24573"/>
    <w:rsid w:val="00C25084"/>
    <w:rsid w:val="00C250CB"/>
    <w:rsid w:val="00C25508"/>
    <w:rsid w:val="00C261C7"/>
    <w:rsid w:val="00C2768B"/>
    <w:rsid w:val="00C276A1"/>
    <w:rsid w:val="00C316A8"/>
    <w:rsid w:val="00C337F9"/>
    <w:rsid w:val="00C355EF"/>
    <w:rsid w:val="00C3746F"/>
    <w:rsid w:val="00C3768A"/>
    <w:rsid w:val="00C37D9D"/>
    <w:rsid w:val="00C40C03"/>
    <w:rsid w:val="00C4139D"/>
    <w:rsid w:val="00C45900"/>
    <w:rsid w:val="00C45DE7"/>
    <w:rsid w:val="00C5035A"/>
    <w:rsid w:val="00C5122B"/>
    <w:rsid w:val="00C538D4"/>
    <w:rsid w:val="00C562FD"/>
    <w:rsid w:val="00C56C17"/>
    <w:rsid w:val="00C6222F"/>
    <w:rsid w:val="00C659DE"/>
    <w:rsid w:val="00C71CD1"/>
    <w:rsid w:val="00C73143"/>
    <w:rsid w:val="00C76C40"/>
    <w:rsid w:val="00C77685"/>
    <w:rsid w:val="00C77815"/>
    <w:rsid w:val="00C80ED6"/>
    <w:rsid w:val="00C82D1D"/>
    <w:rsid w:val="00C85259"/>
    <w:rsid w:val="00C85378"/>
    <w:rsid w:val="00C866F1"/>
    <w:rsid w:val="00C86808"/>
    <w:rsid w:val="00C87238"/>
    <w:rsid w:val="00C9297C"/>
    <w:rsid w:val="00C94F08"/>
    <w:rsid w:val="00C961E8"/>
    <w:rsid w:val="00C967A3"/>
    <w:rsid w:val="00CA1C79"/>
    <w:rsid w:val="00CA30DB"/>
    <w:rsid w:val="00CA491B"/>
    <w:rsid w:val="00CA6D58"/>
    <w:rsid w:val="00CA6FDA"/>
    <w:rsid w:val="00CA7943"/>
    <w:rsid w:val="00CB3B6F"/>
    <w:rsid w:val="00CB3D57"/>
    <w:rsid w:val="00CB73C0"/>
    <w:rsid w:val="00CC0C5F"/>
    <w:rsid w:val="00CC24B0"/>
    <w:rsid w:val="00CC2788"/>
    <w:rsid w:val="00CC2F3D"/>
    <w:rsid w:val="00CC5FF3"/>
    <w:rsid w:val="00CD1B1F"/>
    <w:rsid w:val="00CD462F"/>
    <w:rsid w:val="00CD7178"/>
    <w:rsid w:val="00CE2ADF"/>
    <w:rsid w:val="00CE33FC"/>
    <w:rsid w:val="00CE4B84"/>
    <w:rsid w:val="00CE74B0"/>
    <w:rsid w:val="00CE7E88"/>
    <w:rsid w:val="00CF00DE"/>
    <w:rsid w:val="00CF052D"/>
    <w:rsid w:val="00CF1D7D"/>
    <w:rsid w:val="00CF30D8"/>
    <w:rsid w:val="00CF3998"/>
    <w:rsid w:val="00CF3D69"/>
    <w:rsid w:val="00CF45D3"/>
    <w:rsid w:val="00CF4910"/>
    <w:rsid w:val="00CF4D04"/>
    <w:rsid w:val="00CF4E1C"/>
    <w:rsid w:val="00CF6B6C"/>
    <w:rsid w:val="00CF7B6B"/>
    <w:rsid w:val="00D00804"/>
    <w:rsid w:val="00D01094"/>
    <w:rsid w:val="00D01EA5"/>
    <w:rsid w:val="00D02978"/>
    <w:rsid w:val="00D03A57"/>
    <w:rsid w:val="00D03C06"/>
    <w:rsid w:val="00D042BB"/>
    <w:rsid w:val="00D06321"/>
    <w:rsid w:val="00D06CA0"/>
    <w:rsid w:val="00D07E06"/>
    <w:rsid w:val="00D108E6"/>
    <w:rsid w:val="00D1312A"/>
    <w:rsid w:val="00D13159"/>
    <w:rsid w:val="00D13814"/>
    <w:rsid w:val="00D14BA9"/>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036"/>
    <w:rsid w:val="00D53360"/>
    <w:rsid w:val="00D54CA9"/>
    <w:rsid w:val="00D563D9"/>
    <w:rsid w:val="00D6188C"/>
    <w:rsid w:val="00D61959"/>
    <w:rsid w:val="00D6340F"/>
    <w:rsid w:val="00D6598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93F60"/>
    <w:rsid w:val="00DA2E2B"/>
    <w:rsid w:val="00DA3DE4"/>
    <w:rsid w:val="00DA4349"/>
    <w:rsid w:val="00DA5F3E"/>
    <w:rsid w:val="00DA69DE"/>
    <w:rsid w:val="00DB5C0A"/>
    <w:rsid w:val="00DB6DAF"/>
    <w:rsid w:val="00DB6EB3"/>
    <w:rsid w:val="00DC0AF1"/>
    <w:rsid w:val="00DC2393"/>
    <w:rsid w:val="00DC439C"/>
    <w:rsid w:val="00DC588B"/>
    <w:rsid w:val="00DC64BF"/>
    <w:rsid w:val="00DD13E2"/>
    <w:rsid w:val="00DD27B9"/>
    <w:rsid w:val="00DD624E"/>
    <w:rsid w:val="00DD6CBA"/>
    <w:rsid w:val="00DD7977"/>
    <w:rsid w:val="00DE34FF"/>
    <w:rsid w:val="00DF003C"/>
    <w:rsid w:val="00DF00D4"/>
    <w:rsid w:val="00DF3162"/>
    <w:rsid w:val="00DF4501"/>
    <w:rsid w:val="00DF7233"/>
    <w:rsid w:val="00DF78AE"/>
    <w:rsid w:val="00DF7B33"/>
    <w:rsid w:val="00E033F2"/>
    <w:rsid w:val="00E0462A"/>
    <w:rsid w:val="00E07CC2"/>
    <w:rsid w:val="00E11A53"/>
    <w:rsid w:val="00E11E2E"/>
    <w:rsid w:val="00E1253C"/>
    <w:rsid w:val="00E125CA"/>
    <w:rsid w:val="00E13C77"/>
    <w:rsid w:val="00E14B17"/>
    <w:rsid w:val="00E14EAE"/>
    <w:rsid w:val="00E16394"/>
    <w:rsid w:val="00E207BD"/>
    <w:rsid w:val="00E22571"/>
    <w:rsid w:val="00E2456F"/>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45F4E"/>
    <w:rsid w:val="00E51EF9"/>
    <w:rsid w:val="00E524AA"/>
    <w:rsid w:val="00E54816"/>
    <w:rsid w:val="00E5512E"/>
    <w:rsid w:val="00E55E60"/>
    <w:rsid w:val="00E56594"/>
    <w:rsid w:val="00E578DF"/>
    <w:rsid w:val="00E57D18"/>
    <w:rsid w:val="00E605C2"/>
    <w:rsid w:val="00E6129C"/>
    <w:rsid w:val="00E644A0"/>
    <w:rsid w:val="00E66D57"/>
    <w:rsid w:val="00E67395"/>
    <w:rsid w:val="00E70893"/>
    <w:rsid w:val="00E72707"/>
    <w:rsid w:val="00E72AE3"/>
    <w:rsid w:val="00E7349C"/>
    <w:rsid w:val="00E73B51"/>
    <w:rsid w:val="00E73F25"/>
    <w:rsid w:val="00E75790"/>
    <w:rsid w:val="00E80180"/>
    <w:rsid w:val="00E8129E"/>
    <w:rsid w:val="00E81A2B"/>
    <w:rsid w:val="00E81E42"/>
    <w:rsid w:val="00E81FFF"/>
    <w:rsid w:val="00E97676"/>
    <w:rsid w:val="00EA1CE1"/>
    <w:rsid w:val="00EA1F89"/>
    <w:rsid w:val="00EB08A0"/>
    <w:rsid w:val="00EB0A83"/>
    <w:rsid w:val="00EB117B"/>
    <w:rsid w:val="00EB40D6"/>
    <w:rsid w:val="00EB5F75"/>
    <w:rsid w:val="00EB7852"/>
    <w:rsid w:val="00EB79CD"/>
    <w:rsid w:val="00EC060D"/>
    <w:rsid w:val="00EC1354"/>
    <w:rsid w:val="00EC2525"/>
    <w:rsid w:val="00EC6C27"/>
    <w:rsid w:val="00ED0E85"/>
    <w:rsid w:val="00EE0713"/>
    <w:rsid w:val="00EE07A6"/>
    <w:rsid w:val="00EE0F2E"/>
    <w:rsid w:val="00EE2364"/>
    <w:rsid w:val="00EE2A41"/>
    <w:rsid w:val="00EE4E10"/>
    <w:rsid w:val="00EE525B"/>
    <w:rsid w:val="00EE563D"/>
    <w:rsid w:val="00EE5B33"/>
    <w:rsid w:val="00EE633C"/>
    <w:rsid w:val="00EF09FB"/>
    <w:rsid w:val="00EF0CFD"/>
    <w:rsid w:val="00EF0DE2"/>
    <w:rsid w:val="00EF1B38"/>
    <w:rsid w:val="00EF4DFA"/>
    <w:rsid w:val="00EF5F08"/>
    <w:rsid w:val="00F02923"/>
    <w:rsid w:val="00F03348"/>
    <w:rsid w:val="00F0351B"/>
    <w:rsid w:val="00F04089"/>
    <w:rsid w:val="00F06275"/>
    <w:rsid w:val="00F06472"/>
    <w:rsid w:val="00F06AB8"/>
    <w:rsid w:val="00F123EC"/>
    <w:rsid w:val="00F16331"/>
    <w:rsid w:val="00F21837"/>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761C4"/>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2E08"/>
    <w:rsid w:val="00FC4F9B"/>
    <w:rsid w:val="00FC59F0"/>
    <w:rsid w:val="00FD4599"/>
    <w:rsid w:val="00FD4784"/>
    <w:rsid w:val="00FD637E"/>
    <w:rsid w:val="00FD65FE"/>
    <w:rsid w:val="00FE0FAF"/>
    <w:rsid w:val="00FE35B1"/>
    <w:rsid w:val="00FE3C36"/>
    <w:rsid w:val="00FE427F"/>
    <w:rsid w:val="00FE4574"/>
    <w:rsid w:val="00FE72EA"/>
    <w:rsid w:val="00FF130E"/>
    <w:rsid w:val="00FF2475"/>
    <w:rsid w:val="00FF283E"/>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 w:type="character" w:styleId="nfasis">
    <w:name w:val="Emphasis"/>
    <w:basedOn w:val="Fuentedeprrafopredeter"/>
    <w:uiPriority w:val="20"/>
    <w:qFormat/>
    <w:rsid w:val="0099168E"/>
    <w:rPr>
      <w:i/>
      <w:iCs/>
    </w:rPr>
  </w:style>
  <w:style w:type="paragraph" w:customStyle="1" w:styleId="infoemcitas">
    <w:name w:val="infoem citas"/>
    <w:basedOn w:val="Normal"/>
    <w:qFormat/>
    <w:rsid w:val="0020249B"/>
    <w:pPr>
      <w:spacing w:before="240" w:line="360" w:lineRule="auto"/>
      <w:ind w:left="851" w:right="851"/>
      <w:jc w:val="both"/>
    </w:pPr>
    <w:rPr>
      <w:rFonts w:ascii="Palatino Linotype" w:hAnsi="Palatino Linotype"/>
      <w:i/>
    </w:rPr>
  </w:style>
  <w:style w:type="paragraph" w:customStyle="1" w:styleId="j">
    <w:name w:val="j"/>
    <w:basedOn w:val="Normal"/>
    <w:rsid w:val="00472E42"/>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635716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79496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830371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15332754">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9745204">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https://www.ipomex.org.mx/ipo3/lgt/indice/JAPEM/art_92_ii_b.web"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le.rae.es/?id=FdI00Or" TargetMode="Externa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hyperlink" Target="https://www.infoem.org.mx/es/contenido/transparencia/directorio-de-sujetos-obligado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consultas.ifai.org.mx/descargar.php?r=./pdf/resoluciones/2017/&amp;a=RRA%2022.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A95C-BB64-4BBD-82EC-B5D08CB6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46</Pages>
  <Words>8231</Words>
  <Characters>45276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2018-12-04T20:35:00Z</cp:lastPrinted>
  <dcterms:created xsi:type="dcterms:W3CDTF">2021-06-16T00:48:00Z</dcterms:created>
  <dcterms:modified xsi:type="dcterms:W3CDTF">2021-08-17T19:32:00Z</dcterms:modified>
</cp:coreProperties>
</file>