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108" w:rsidRDefault="00302726">
      <w:pPr>
        <w:spacing w:line="360"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color w:val="000000"/>
        </w:rPr>
        <w:t>Resolución del Pleno del Instituto de Transparencia, Acceso a la In</w:t>
      </w:r>
      <w:bookmarkStart w:id="1" w:name="_GoBack"/>
      <w:bookmarkEnd w:id="1"/>
      <w:r>
        <w:rPr>
          <w:rFonts w:ascii="Palatino Linotype" w:eastAsia="Palatino Linotype" w:hAnsi="Palatino Linotype" w:cs="Palatino Linotype"/>
          <w:color w:val="000000"/>
        </w:rPr>
        <w:t>formación Pública y Protección de Datos Personales del Estado de México y Municipios, con domicilio en Metepec, Estado de México, de fecha diez de noviembre de dos mil veintiuno.</w:t>
      </w:r>
    </w:p>
    <w:p w:rsidR="00700108" w:rsidRDefault="00700108">
      <w:pPr>
        <w:spacing w:line="360" w:lineRule="auto"/>
        <w:jc w:val="both"/>
        <w:rPr>
          <w:rFonts w:ascii="Palatino Linotype" w:eastAsia="Palatino Linotype" w:hAnsi="Palatino Linotype" w:cs="Palatino Linotype"/>
          <w:color w:val="000000"/>
        </w:rPr>
      </w:pPr>
    </w:p>
    <w:p w:rsidR="00700108" w:rsidRDefault="0030272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w:t>
      </w:r>
      <w:r>
        <w:rPr>
          <w:rFonts w:ascii="Palatino Linotype" w:eastAsia="Palatino Linotype" w:hAnsi="Palatino Linotype" w:cs="Palatino Linotype"/>
          <w:color w:val="000000"/>
        </w:rPr>
        <w:t xml:space="preserve"> el expediente formado con motivo del recurso de revisión </w:t>
      </w:r>
      <w:r>
        <w:rPr>
          <w:rFonts w:ascii="Palatino Linotype" w:eastAsia="Palatino Linotype" w:hAnsi="Palatino Linotype" w:cs="Palatino Linotype"/>
          <w:b/>
          <w:color w:val="000000"/>
        </w:rPr>
        <w:t>05072/INFOEM/IP/RR/2021</w:t>
      </w:r>
      <w:r>
        <w:rPr>
          <w:rFonts w:ascii="Palatino Linotype" w:eastAsia="Palatino Linotype" w:hAnsi="Palatino Linotype" w:cs="Palatino Linotype"/>
          <w:color w:val="000000"/>
        </w:rPr>
        <w:t xml:space="preserve">, promovido por </w:t>
      </w:r>
      <w:r w:rsidR="001E54AA">
        <w:rPr>
          <w:rFonts w:ascii="Palatino Linotype" w:eastAsia="Palatino Linotype" w:hAnsi="Palatino Linotype" w:cs="Palatino Linotype"/>
          <w:b/>
          <w:color w:val="000000"/>
        </w:rPr>
        <w:t>XX XXXXXXXXXXX XXXXXX X XXXXXXXXX</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en lo sucesivo se denominará</w:t>
      </w:r>
      <w:r>
        <w:rPr>
          <w:rFonts w:ascii="Palatino Linotype" w:eastAsia="Palatino Linotype" w:hAnsi="Palatino Linotype" w:cs="Palatino Linotype"/>
          <w:b/>
          <w:color w:val="000000"/>
        </w:rPr>
        <w:t xml:space="preserve"> EL RECURRENTE,</w:t>
      </w:r>
      <w:r>
        <w:rPr>
          <w:rFonts w:ascii="Palatino Linotype" w:eastAsia="Palatino Linotype" w:hAnsi="Palatino Linotype" w:cs="Palatino Linotype"/>
          <w:color w:val="000000"/>
        </w:rPr>
        <w:t xml:space="preserve"> en contra de la falta de respuesta del </w:t>
      </w:r>
      <w:r>
        <w:rPr>
          <w:rFonts w:ascii="Palatino Linotype" w:eastAsia="Palatino Linotype" w:hAnsi="Palatino Linotype" w:cs="Palatino Linotype"/>
          <w:b/>
          <w:color w:val="000000"/>
        </w:rPr>
        <w:t>Servicios Educativos Integrados al Estado</w:t>
      </w:r>
      <w:r>
        <w:rPr>
          <w:rFonts w:ascii="Palatino Linotype" w:eastAsia="Palatino Linotype" w:hAnsi="Palatino Linotype" w:cs="Palatino Linotype"/>
          <w:b/>
          <w:color w:val="000000"/>
        </w:rPr>
        <w:t xml:space="preserve"> de México, </w:t>
      </w:r>
      <w:r>
        <w:rPr>
          <w:rFonts w:ascii="Palatino Linotype" w:eastAsia="Palatino Linotype" w:hAnsi="Palatino Linotype" w:cs="Palatino Linotype"/>
          <w:color w:val="000000"/>
        </w:rPr>
        <w:t xml:space="preserve">en lo sucesivo se denominará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se procede a dictar la presente resolución con base en lo siguiente: </w:t>
      </w:r>
    </w:p>
    <w:p w:rsidR="00700108" w:rsidRDefault="00700108">
      <w:pPr>
        <w:jc w:val="center"/>
        <w:rPr>
          <w:rFonts w:ascii="Palatino Linotype" w:eastAsia="Palatino Linotype" w:hAnsi="Palatino Linotype" w:cs="Palatino Linotype"/>
          <w:b/>
          <w:color w:val="000000"/>
          <w:sz w:val="28"/>
          <w:szCs w:val="28"/>
        </w:rPr>
      </w:pPr>
    </w:p>
    <w:p w:rsidR="00700108" w:rsidRDefault="00302726">
      <w:pPr>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RESULTANDO</w:t>
      </w:r>
    </w:p>
    <w:p w:rsidR="00700108" w:rsidRDefault="00700108">
      <w:pPr>
        <w:jc w:val="center"/>
        <w:rPr>
          <w:rFonts w:ascii="Palatino Linotype" w:eastAsia="Palatino Linotype" w:hAnsi="Palatino Linotype" w:cs="Palatino Linotype"/>
          <w:b/>
          <w:color w:val="000000"/>
        </w:rPr>
      </w:pPr>
    </w:p>
    <w:p w:rsidR="00700108" w:rsidRDefault="0030272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
          <w:color w:val="000000"/>
        </w:rPr>
        <w:t>veintidós de septiembre de dos mil veintiuno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presentó a través del Sistema de Acceso </w:t>
      </w:r>
      <w:r>
        <w:rPr>
          <w:rFonts w:ascii="Palatino Linotype" w:eastAsia="Palatino Linotype" w:hAnsi="Palatino Linotype" w:cs="Palatino Linotype"/>
          <w:color w:val="000000"/>
        </w:rPr>
        <w:t xml:space="preserve">a la Información Mexiquense, en lo subsecuente </w:t>
      </w:r>
      <w:r>
        <w:rPr>
          <w:rFonts w:ascii="Palatino Linotype" w:eastAsia="Palatino Linotype" w:hAnsi="Palatino Linotype" w:cs="Palatino Linotype"/>
          <w:b/>
          <w:color w:val="000000"/>
        </w:rPr>
        <w:t xml:space="preserve">EL SAIMEX, </w:t>
      </w:r>
      <w:r>
        <w:rPr>
          <w:rFonts w:ascii="Palatino Linotype" w:eastAsia="Palatino Linotype" w:hAnsi="Palatino Linotype" w:cs="Palatino Linotype"/>
          <w:color w:val="000000"/>
        </w:rPr>
        <w:t xml:space="preserve">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de expediente </w:t>
      </w:r>
      <w:r>
        <w:rPr>
          <w:rFonts w:ascii="Palatino Linotype" w:eastAsia="Palatino Linotype" w:hAnsi="Palatino Linotype" w:cs="Palatino Linotype"/>
          <w:b/>
          <w:color w:val="000000"/>
        </w:rPr>
        <w:t>00380/SEIEM/IP/2021</w:t>
      </w:r>
      <w:r>
        <w:rPr>
          <w:rFonts w:ascii="Palatino Linotype" w:eastAsia="Palatino Linotype" w:hAnsi="Palatino Linotype" w:cs="Palatino Linotype"/>
          <w:color w:val="000000"/>
        </w:rPr>
        <w:t>, por medio de la cual requirió:</w:t>
      </w:r>
    </w:p>
    <w:p w:rsidR="00700108" w:rsidRDefault="00700108">
      <w:pPr>
        <w:tabs>
          <w:tab w:val="left" w:pos="851"/>
        </w:tabs>
        <w:ind w:left="851" w:right="901"/>
        <w:jc w:val="both"/>
        <w:rPr>
          <w:rFonts w:ascii="Palatino Linotype" w:eastAsia="Palatino Linotype" w:hAnsi="Palatino Linotype" w:cs="Palatino Linotype"/>
          <w:i/>
          <w:color w:val="000000"/>
          <w:sz w:val="22"/>
          <w:szCs w:val="22"/>
        </w:rPr>
      </w:pPr>
    </w:p>
    <w:p w:rsidR="00700108" w:rsidRDefault="00302726">
      <w:pPr>
        <w:ind w:left="851"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“Número de escuelas de </w:t>
      </w:r>
      <w:proofErr w:type="spellStart"/>
      <w:r>
        <w:rPr>
          <w:rFonts w:ascii="Palatino Linotype" w:eastAsia="Palatino Linotype" w:hAnsi="Palatino Linotype" w:cs="Palatino Linotype"/>
          <w:i/>
          <w:color w:val="000000"/>
          <w:sz w:val="22"/>
          <w:szCs w:val="22"/>
        </w:rPr>
        <w:t>se</w:t>
      </w:r>
      <w:r>
        <w:rPr>
          <w:rFonts w:ascii="Palatino Linotype" w:eastAsia="Palatino Linotype" w:hAnsi="Palatino Linotype" w:cs="Palatino Linotype"/>
          <w:i/>
          <w:color w:val="000000"/>
          <w:sz w:val="22"/>
          <w:szCs w:val="22"/>
        </w:rPr>
        <w:t>iem</w:t>
      </w:r>
      <w:proofErr w:type="spellEnd"/>
      <w:r>
        <w:rPr>
          <w:rFonts w:ascii="Palatino Linotype" w:eastAsia="Palatino Linotype" w:hAnsi="Palatino Linotype" w:cs="Palatino Linotype"/>
          <w:i/>
          <w:color w:val="000000"/>
          <w:sz w:val="22"/>
          <w:szCs w:val="22"/>
        </w:rPr>
        <w:t xml:space="preserve"> que en el año 2018, 2019, 2020 y 2021, se les dio </w:t>
      </w:r>
      <w:proofErr w:type="gramStart"/>
      <w:r>
        <w:rPr>
          <w:rFonts w:ascii="Palatino Linotype" w:eastAsia="Palatino Linotype" w:hAnsi="Palatino Linotype" w:cs="Palatino Linotype"/>
          <w:i/>
          <w:color w:val="000000"/>
          <w:sz w:val="22"/>
          <w:szCs w:val="22"/>
        </w:rPr>
        <w:t>mantenimiento</w:t>
      </w:r>
      <w:proofErr w:type="gramEnd"/>
      <w:r>
        <w:rPr>
          <w:rFonts w:ascii="Palatino Linotype" w:eastAsia="Palatino Linotype" w:hAnsi="Palatino Linotype" w:cs="Palatino Linotype"/>
          <w:i/>
          <w:color w:val="000000"/>
          <w:sz w:val="22"/>
          <w:szCs w:val="22"/>
        </w:rPr>
        <w:t xml:space="preserve"> o rehabilitación o reparación o reconstrucción o cualquier </w:t>
      </w:r>
      <w:proofErr w:type="spellStart"/>
      <w:r>
        <w:rPr>
          <w:rFonts w:ascii="Palatino Linotype" w:eastAsia="Palatino Linotype" w:hAnsi="Palatino Linotype" w:cs="Palatino Linotype"/>
          <w:i/>
          <w:color w:val="000000"/>
          <w:sz w:val="22"/>
          <w:szCs w:val="22"/>
        </w:rPr>
        <w:t>analogo</w:t>
      </w:r>
      <w:proofErr w:type="spellEnd"/>
      <w:r>
        <w:rPr>
          <w:rFonts w:ascii="Palatino Linotype" w:eastAsia="Palatino Linotype" w:hAnsi="Palatino Linotype" w:cs="Palatino Linotype"/>
          <w:i/>
          <w:color w:val="000000"/>
          <w:sz w:val="22"/>
          <w:szCs w:val="22"/>
        </w:rPr>
        <w:t>. Separado los totales por cada año.” (</w:t>
      </w:r>
      <w:proofErr w:type="gramStart"/>
      <w:r>
        <w:rPr>
          <w:rFonts w:ascii="Palatino Linotype" w:eastAsia="Palatino Linotype" w:hAnsi="Palatino Linotype" w:cs="Palatino Linotype"/>
          <w:i/>
          <w:color w:val="000000"/>
          <w:sz w:val="22"/>
          <w:szCs w:val="22"/>
        </w:rPr>
        <w:t>sic</w:t>
      </w:r>
      <w:proofErr w:type="gramEnd"/>
      <w:r>
        <w:rPr>
          <w:rFonts w:ascii="Palatino Linotype" w:eastAsia="Palatino Linotype" w:hAnsi="Palatino Linotype" w:cs="Palatino Linotype"/>
          <w:i/>
          <w:color w:val="000000"/>
          <w:sz w:val="22"/>
          <w:szCs w:val="22"/>
        </w:rPr>
        <w:t>)</w:t>
      </w:r>
    </w:p>
    <w:p w:rsidR="00700108" w:rsidRDefault="00700108">
      <w:pPr>
        <w:tabs>
          <w:tab w:val="left" w:pos="851"/>
        </w:tabs>
        <w:ind w:left="851" w:right="901"/>
        <w:jc w:val="both"/>
        <w:rPr>
          <w:rFonts w:ascii="Palatino Linotype" w:eastAsia="Palatino Linotype" w:hAnsi="Palatino Linotype" w:cs="Palatino Linotype"/>
          <w:i/>
          <w:color w:val="000000"/>
          <w:sz w:val="22"/>
          <w:szCs w:val="22"/>
        </w:rPr>
      </w:pPr>
    </w:p>
    <w:p w:rsidR="00700108" w:rsidRDefault="00700108">
      <w:pPr>
        <w:spacing w:line="360" w:lineRule="auto"/>
        <w:jc w:val="both"/>
        <w:rPr>
          <w:rFonts w:ascii="Palatino Linotype" w:eastAsia="Palatino Linotype" w:hAnsi="Palatino Linotype" w:cs="Palatino Linotype"/>
          <w:b/>
          <w:color w:val="000000"/>
        </w:rPr>
      </w:pPr>
    </w:p>
    <w:p w:rsidR="00700108" w:rsidRDefault="0030272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MODALIDAD DE ENTREGA:</w:t>
      </w:r>
      <w:r>
        <w:rPr>
          <w:rFonts w:ascii="Palatino Linotype" w:eastAsia="Palatino Linotype" w:hAnsi="Palatino Linotype" w:cs="Palatino Linotype"/>
          <w:color w:val="000000"/>
        </w:rPr>
        <w:t xml:space="preserve"> Vía </w:t>
      </w:r>
      <w:r>
        <w:rPr>
          <w:rFonts w:ascii="Palatino Linotype" w:eastAsia="Palatino Linotype" w:hAnsi="Palatino Linotype" w:cs="Palatino Linotype"/>
          <w:b/>
          <w:color w:val="000000"/>
        </w:rPr>
        <w:t xml:space="preserve">SAIMEX </w:t>
      </w:r>
    </w:p>
    <w:p w:rsidR="00700108" w:rsidRDefault="00700108">
      <w:pPr>
        <w:widowControl w:val="0"/>
        <w:spacing w:line="360" w:lineRule="auto"/>
        <w:jc w:val="both"/>
        <w:rPr>
          <w:rFonts w:ascii="Palatino Linotype" w:eastAsia="Palatino Linotype" w:hAnsi="Palatino Linotype" w:cs="Palatino Linotype"/>
          <w:b/>
          <w:sz w:val="28"/>
          <w:szCs w:val="28"/>
        </w:rPr>
      </w:pPr>
    </w:p>
    <w:p w:rsidR="00700108" w:rsidRDefault="00302726">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II</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En cumplimiento al artículo 162 de la Ley de Transparencia y Acceso a la Información Pública del Estado de México y Municipios, el 24 de septiembre de 2021, el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mediante el oficio denominado TURSOL3</w:t>
      </w:r>
      <w:r>
        <w:rPr>
          <w:rFonts w:ascii="Palatino Linotype" w:eastAsia="Palatino Linotype" w:hAnsi="Palatino Linotype" w:cs="Palatino Linotype"/>
          <w:color w:val="000000"/>
        </w:rPr>
        <w:t>801P2021DIE.pdf</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turnó el requerimiento de información al Servidor Público Habilitado (Director de Instalaciones Educativas) que estimó pertinente, a fin de colmar la solicitud de acceso a la información lo anterior en cumplimiento a lo establecido en el n</w:t>
      </w:r>
      <w:r>
        <w:rPr>
          <w:rFonts w:ascii="Palatino Linotype" w:eastAsia="Palatino Linotype" w:hAnsi="Palatino Linotype" w:cs="Palatino Linotype"/>
          <w:color w:val="000000"/>
        </w:rPr>
        <w:t xml:space="preserve">umeral 162 de la Ley de </w:t>
      </w:r>
      <w:r>
        <w:rPr>
          <w:rFonts w:ascii="Palatino Linotype" w:eastAsia="Palatino Linotype" w:hAnsi="Palatino Linotype" w:cs="Palatino Linotype"/>
        </w:rPr>
        <w:t>Transparencia, Acceso a la Información Pública y Protección de Datos Personales del Estado de México y Municipios</w:t>
      </w:r>
      <w:r>
        <w:rPr>
          <w:rFonts w:ascii="Palatino Linotype" w:eastAsia="Palatino Linotype" w:hAnsi="Palatino Linotype" w:cs="Palatino Linotype"/>
          <w:color w:val="000000"/>
        </w:rPr>
        <w:t>; tal y como, se aprecia en la imagen siguiente:</w:t>
      </w:r>
    </w:p>
    <w:p w:rsidR="00700108" w:rsidRDefault="00302726">
      <w:pPr>
        <w:widowControl w:val="0"/>
        <w:spacing w:line="360" w:lineRule="auto"/>
        <w:jc w:val="both"/>
        <w:rPr>
          <w:rFonts w:ascii="Palatino Linotype" w:eastAsia="Palatino Linotype" w:hAnsi="Palatino Linotype" w:cs="Palatino Linotype"/>
          <w:color w:val="000000"/>
        </w:rPr>
      </w:pPr>
      <w:r>
        <w:rPr>
          <w:noProof/>
        </w:rPr>
        <w:drawing>
          <wp:inline distT="0" distB="0" distL="0" distR="0">
            <wp:extent cx="5791835" cy="1096645"/>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91835" cy="1096645"/>
                    </a:xfrm>
                    <a:prstGeom prst="rect">
                      <a:avLst/>
                    </a:prstGeom>
                    <a:ln/>
                  </pic:spPr>
                </pic:pic>
              </a:graphicData>
            </a:graphic>
          </wp:inline>
        </w:drawing>
      </w:r>
    </w:p>
    <w:p w:rsidR="00700108" w:rsidRDefault="00700108">
      <w:pPr>
        <w:widowControl w:val="0"/>
        <w:spacing w:line="360" w:lineRule="auto"/>
        <w:jc w:val="both"/>
        <w:rPr>
          <w:rFonts w:ascii="Palatino Linotype" w:eastAsia="Palatino Linotype" w:hAnsi="Palatino Linotype" w:cs="Palatino Linotype"/>
        </w:rPr>
      </w:pPr>
    </w:p>
    <w:p w:rsidR="00700108" w:rsidRDefault="00302726">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el detalle de seguimiento que obran en </w:t>
      </w:r>
      <w:r>
        <w:rPr>
          <w:rFonts w:ascii="Palatino Linotype" w:eastAsia="Palatino Linotype" w:hAnsi="Palatino Linotype" w:cs="Palatino Linotype"/>
          <w:b/>
        </w:rPr>
        <w:t>EL SAIMEX</w:t>
      </w:r>
      <w:r>
        <w:rPr>
          <w:rFonts w:ascii="Palatino Linotype" w:eastAsia="Palatino Linotype" w:hAnsi="Palatino Linotype" w:cs="Palatino Linotype"/>
        </w:rPr>
        <w:t>, se ad</w:t>
      </w:r>
      <w:r>
        <w:rPr>
          <w:rFonts w:ascii="Palatino Linotype" w:eastAsia="Palatino Linotype" w:hAnsi="Palatino Linotype" w:cs="Palatino Linotype"/>
        </w:rPr>
        <w:t xml:space="preserve">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rendir su respuesta.</w:t>
      </w:r>
    </w:p>
    <w:p w:rsidR="00700108" w:rsidRDefault="00700108">
      <w:pPr>
        <w:spacing w:line="360" w:lineRule="auto"/>
        <w:jc w:val="both"/>
        <w:rPr>
          <w:rFonts w:ascii="Palatino Linotype" w:eastAsia="Palatino Linotype" w:hAnsi="Palatino Linotype" w:cs="Palatino Linotype"/>
          <w:b/>
          <w:sz w:val="28"/>
          <w:szCs w:val="28"/>
        </w:rPr>
      </w:pPr>
    </w:p>
    <w:p w:rsidR="00700108" w:rsidRDefault="00302726">
      <w:pPr>
        <w:spacing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sz w:val="28"/>
          <w:szCs w:val="28"/>
        </w:rPr>
        <w:t>III</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Inconforme por la falta de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catorce de octubre de dos mil veintiuno,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recurso de revisión objeto del presente estudi</w:t>
      </w:r>
      <w:r>
        <w:rPr>
          <w:rFonts w:ascii="Palatino Linotype" w:eastAsia="Palatino Linotype" w:hAnsi="Palatino Linotype" w:cs="Palatino Linotype"/>
        </w:rPr>
        <w:t xml:space="preserve">o,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al rubro citado, en el que señaló como acto impugnado:</w:t>
      </w:r>
    </w:p>
    <w:p w:rsidR="00700108" w:rsidRDefault="00302726">
      <w:pPr>
        <w:spacing w:before="280" w:after="280"/>
        <w:ind w:left="851" w:right="899"/>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ilegal dolosa y SOSPECHOSA falta de respuesta a mi </w:t>
      </w:r>
      <w:proofErr w:type="spellStart"/>
      <w:r>
        <w:rPr>
          <w:rFonts w:ascii="Palatino Linotype" w:eastAsia="Palatino Linotype" w:hAnsi="Palatino Linotype" w:cs="Palatino Linotype"/>
          <w:i/>
          <w:sz w:val="22"/>
          <w:szCs w:val="22"/>
        </w:rPr>
        <w:t>solictid</w:t>
      </w:r>
      <w:proofErr w:type="spellEnd"/>
      <w:r>
        <w:rPr>
          <w:rFonts w:ascii="Palatino Linotype" w:eastAsia="Palatino Linotype" w:hAnsi="Palatino Linotype" w:cs="Palatino Linotype"/>
          <w:i/>
          <w:sz w:val="22"/>
          <w:szCs w:val="22"/>
        </w:rPr>
        <w:t>.” (Sic)</w:t>
      </w:r>
    </w:p>
    <w:p w:rsidR="00700108" w:rsidRDefault="00302726">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Asimismo, indicó como razones o motivos de inconformidad:</w:t>
      </w:r>
    </w:p>
    <w:p w:rsidR="00700108" w:rsidRDefault="00302726">
      <w:pPr>
        <w:spacing w:before="280" w:after="280"/>
        <w:ind w:left="851" w:right="899"/>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ilegal dolosa y SOSPECHOSA falta de respuesta.”(Sic)</w:t>
      </w:r>
    </w:p>
    <w:p w:rsidR="00700108" w:rsidRDefault="0030272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color w:val="000000"/>
          <w:sz w:val="28"/>
          <w:szCs w:val="28"/>
        </w:rPr>
        <w:t xml:space="preserve">IV. </w:t>
      </w:r>
      <w:r>
        <w:rPr>
          <w:rFonts w:ascii="Palatino Linotype" w:eastAsia="Palatino Linotype" w:hAnsi="Palatino Linotype" w:cs="Palatino Linotype"/>
          <w:color w:val="000000"/>
        </w:rPr>
        <w:t xml:space="preserve">El catorce de octubre de dos mil veintiuno, se envió electrónicamente al Instituto de Transparencia, Acceso a la Información Pública y Protección de Datos Personales del Estado de México y Municipios, el recurso de revisión citado al rubro, por lo que con </w:t>
      </w:r>
      <w:r>
        <w:rPr>
          <w:rFonts w:ascii="Palatino Linotype" w:eastAsia="Palatino Linotype" w:hAnsi="Palatino Linotype" w:cs="Palatino Linotype"/>
          <w:color w:val="000000"/>
        </w:rPr>
        <w:t xml:space="preserve">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que decretara su admisió</w:t>
      </w:r>
      <w:r>
        <w:rPr>
          <w:rFonts w:ascii="Palatino Linotype" w:eastAsia="Palatino Linotype" w:hAnsi="Palatino Linotype" w:cs="Palatino Linotype"/>
          <w:color w:val="000000"/>
        </w:rPr>
        <w:t xml:space="preserve">n o </w:t>
      </w:r>
      <w:proofErr w:type="spellStart"/>
      <w:r>
        <w:rPr>
          <w:rFonts w:ascii="Palatino Linotype" w:eastAsia="Palatino Linotype" w:hAnsi="Palatino Linotype" w:cs="Palatino Linotype"/>
          <w:color w:val="000000"/>
        </w:rPr>
        <w:t>desechamiento</w:t>
      </w:r>
      <w:proofErr w:type="spellEnd"/>
      <w:r>
        <w:rPr>
          <w:rFonts w:ascii="Palatino Linotype" w:eastAsia="Palatino Linotype" w:hAnsi="Palatino Linotype" w:cs="Palatino Linotype"/>
          <w:color w:val="000000"/>
        </w:rPr>
        <w:t>.</w:t>
      </w:r>
    </w:p>
    <w:p w:rsidR="00700108" w:rsidRDefault="00302726">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w:t>
      </w:r>
      <w:r>
        <w:rPr>
          <w:rFonts w:ascii="Palatino Linotype" w:eastAsia="Palatino Linotype" w:hAnsi="Palatino Linotype" w:cs="Palatino Linotype"/>
          <w:color w:val="000000"/>
        </w:rPr>
        <w:t xml:space="preserve"> El diecinueve de octubre de dos mil veintiuno, atento a lo dispuesto en el artículo 185, fracciones I, II y IV, de la Ley de Transparencia y Acceso a la Información Pública del Estado de México y Municipios, se acordó la admisión a tr</w:t>
      </w:r>
      <w:r>
        <w:rPr>
          <w:rFonts w:ascii="Palatino Linotype" w:eastAsia="Palatino Linotype" w:hAnsi="Palatino Linotype" w:cs="Palatino Linotype"/>
          <w:color w:val="000000"/>
        </w:rPr>
        <w:t xml:space="preserve">ámite del citado recurso de revisión; y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realizara manifestaciones, alegatos y ofreciera las pruebas qu</w:t>
      </w:r>
      <w:r>
        <w:rPr>
          <w:rFonts w:ascii="Palatino Linotype" w:eastAsia="Palatino Linotype" w:hAnsi="Palatino Linotype" w:cs="Palatino Linotype"/>
          <w:color w:val="000000"/>
        </w:rPr>
        <w:t>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para que exhibiera el Informe Justificado correspondiente.</w:t>
      </w:r>
    </w:p>
    <w:p w:rsidR="00700108" w:rsidRDefault="0030272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VI</w:t>
      </w:r>
      <w:r>
        <w:rPr>
          <w:rFonts w:ascii="Palatino Linotype" w:eastAsia="Palatino Linotype" w:hAnsi="Palatino Linotype" w:cs="Palatino Linotype"/>
          <w:b/>
        </w:rPr>
        <w:t xml:space="preserve">. </w:t>
      </w:r>
      <w:r>
        <w:rPr>
          <w:rFonts w:ascii="Palatino Linotype" w:eastAsia="Palatino Linotype" w:hAnsi="Palatino Linotype" w:cs="Palatino Linotype"/>
          <w:color w:val="000000"/>
        </w:rPr>
        <w:t xml:space="preserve">Conforme a las constancias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éste no realizó manifestación alguna, ni prese</w:t>
      </w:r>
      <w:r>
        <w:rPr>
          <w:rFonts w:ascii="Palatino Linotype" w:eastAsia="Palatino Linotype" w:hAnsi="Palatino Linotype" w:cs="Palatino Linotype"/>
          <w:color w:val="000000"/>
        </w:rPr>
        <w:t xml:space="preserve">ntó pruebas o alegatos. </w:t>
      </w:r>
    </w:p>
    <w:p w:rsidR="00700108" w:rsidRDefault="0030272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tampoco rindió su Informe Justificado</w:t>
      </w:r>
      <w:r>
        <w:rPr>
          <w:rFonts w:ascii="Palatino Linotype" w:eastAsia="Palatino Linotype" w:hAnsi="Palatino Linotype" w:cs="Palatino Linotype"/>
        </w:rPr>
        <w:t>; lo que se materializa mediante la siguiente imagen que se inserta para conocimiento:</w:t>
      </w:r>
    </w:p>
    <w:p w:rsidR="00700108" w:rsidRDefault="00302726">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rPr>
      </w:pPr>
      <w:r>
        <w:rPr>
          <w:noProof/>
        </w:rPr>
        <w:drawing>
          <wp:inline distT="0" distB="0" distL="0" distR="0">
            <wp:extent cx="5791835" cy="179895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798955"/>
                    </a:xfrm>
                    <a:prstGeom prst="rect">
                      <a:avLst/>
                    </a:prstGeom>
                    <a:ln/>
                  </pic:spPr>
                </pic:pic>
              </a:graphicData>
            </a:graphic>
          </wp:inline>
        </w:drawing>
      </w:r>
    </w:p>
    <w:p w:rsidR="00700108" w:rsidRDefault="00302726">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bookmarkStart w:id="3" w:name="_heading=h.1fob9te" w:colFirst="0" w:colLast="0"/>
      <w:bookmarkEnd w:id="3"/>
      <w:r>
        <w:rPr>
          <w:rFonts w:ascii="Palatino Linotype" w:eastAsia="Palatino Linotype" w:hAnsi="Palatino Linotype" w:cs="Palatino Linotype"/>
          <w:b/>
          <w:color w:val="000000"/>
          <w:sz w:val="28"/>
          <w:szCs w:val="28"/>
        </w:rPr>
        <w:t>VII.</w:t>
      </w:r>
      <w:r>
        <w:rPr>
          <w:rFonts w:ascii="Palatino Linotype" w:eastAsia="Palatino Linotype" w:hAnsi="Palatino Linotype" w:cs="Palatino Linotype"/>
          <w:color w:val="000000"/>
        </w:rPr>
        <w:t xml:space="preserve"> Transcurrido el plazo señalado en el párrafo anterior y una vez analizado el estado procesal que guarda el expediente, el tres de noviembre de dos mil veintiuno, se acordó el cierre de instrucción, y su remisión para ser resuelto, de conformidad con lo es</w:t>
      </w:r>
      <w:r>
        <w:rPr>
          <w:rFonts w:ascii="Palatino Linotype" w:eastAsia="Palatino Linotype" w:hAnsi="Palatino Linotype" w:cs="Palatino Linotype"/>
          <w:color w:val="000000"/>
        </w:rPr>
        <w:t>tablecido en el artículo 185, fracciones VI y VIII de la Ley de Transparencia y Acceso a la Información Pública del Estado de México y Municipios; y,</w:t>
      </w:r>
    </w:p>
    <w:p w:rsidR="00700108" w:rsidRDefault="00302726">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700108" w:rsidRDefault="00700108">
      <w:pPr>
        <w:rPr>
          <w:rFonts w:ascii="Palatino Linotype" w:eastAsia="Palatino Linotype" w:hAnsi="Palatino Linotype" w:cs="Palatino Linotype"/>
          <w:b/>
          <w:sz w:val="28"/>
          <w:szCs w:val="28"/>
        </w:rPr>
      </w:pPr>
    </w:p>
    <w:p w:rsidR="00700108" w:rsidRDefault="00302726">
      <w:pPr>
        <w:widowControl w:val="0"/>
        <w:numPr>
          <w:ilvl w:val="0"/>
          <w:numId w:val="4"/>
        </w:numPr>
        <w:tabs>
          <w:tab w:val="left" w:pos="1701"/>
        </w:tabs>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b/>
        </w:rPr>
        <w:t>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700108" w:rsidRDefault="00302726">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 xml:space="preserve">Este Instituto de Transparencia, Acceso a la Información Pública y Protección </w:t>
      </w:r>
      <w:r>
        <w:rPr>
          <w:rFonts w:ascii="Palatino Linotype" w:eastAsia="Palatino Linotype" w:hAnsi="Palatino Linotype" w:cs="Palatino Linotype"/>
        </w:rPr>
        <w:t xml:space="preserve">de Datos Personales del Estado de México y Municipios, es competente para conocer y resolver el presente recurso de revisión, conforme a lo dispuesto en los artículos 6, Apartado A de la Constitución Política de los Estados Unidos Mexicanos; 5, párrafos </w:t>
      </w:r>
      <w:r>
        <w:rPr>
          <w:rFonts w:ascii="Palatino Linotype" w:eastAsia="Palatino Linotype" w:hAnsi="Palatino Linotype" w:cs="Palatino Linotype"/>
          <w:color w:val="000000"/>
        </w:rPr>
        <w:t>tr</w:t>
      </w:r>
      <w:r>
        <w:rPr>
          <w:rFonts w:ascii="Palatino Linotype" w:eastAsia="Palatino Linotype" w:hAnsi="Palatino Linotype" w:cs="Palatino Linotype"/>
          <w:color w:val="000000"/>
        </w:rPr>
        <w:t>igésimo, trigésimo primero y trigésimo segundo</w:t>
      </w:r>
      <w:r>
        <w:rPr>
          <w:rFonts w:ascii="Palatino Linotype" w:eastAsia="Palatino Linotype" w:hAnsi="Palatino Linotype" w:cs="Palatino Linotype"/>
        </w:rPr>
        <w:t xml:space="preserve">, fracciones IV y V de la Constitución Política del Estado Libre y Soberano de México; 2 fracción II, 13, 29, 36, fracciones I y II, 176, </w:t>
      </w:r>
      <w:r>
        <w:rPr>
          <w:rFonts w:ascii="Palatino Linotype" w:eastAsia="Palatino Linotype" w:hAnsi="Palatino Linotype" w:cs="Palatino Linotype"/>
        </w:rPr>
        <w:lastRenderedPageBreak/>
        <w:t xml:space="preserve">178, 179, 181 párrafo tercero y 185 de la Ley de Transparencia y Acceso a la Información Pública del Estado de México </w:t>
      </w:r>
      <w:r>
        <w:rPr>
          <w:rFonts w:ascii="Palatino Linotype" w:eastAsia="Palatino Linotype" w:hAnsi="Palatino Linotype" w:cs="Palatino Linotype"/>
        </w:rPr>
        <w:t>y Municipios; y 9, fracciones I y XXIV y 11 del Reglamento Interior del Instituto de Transparencia, Acceso a la Información Pública y Protección de Datos Personales del Estado de México y Municipios.</w:t>
      </w:r>
    </w:p>
    <w:p w:rsidR="00700108" w:rsidRDefault="00700108">
      <w:pPr>
        <w:widowControl w:val="0"/>
        <w:tabs>
          <w:tab w:val="left" w:pos="1701"/>
        </w:tabs>
        <w:spacing w:line="360" w:lineRule="auto"/>
        <w:jc w:val="both"/>
        <w:rPr>
          <w:rFonts w:ascii="Palatino Linotype" w:eastAsia="Palatino Linotype" w:hAnsi="Palatino Linotype" w:cs="Palatino Linotype"/>
        </w:rPr>
      </w:pPr>
    </w:p>
    <w:p w:rsidR="00700108" w:rsidRDefault="0030272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rsidR="00700108" w:rsidRDefault="0030272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recurso de revisión fue interpues</w:t>
      </w:r>
      <w:r>
        <w:rPr>
          <w:rFonts w:ascii="Palatino Linotype" w:eastAsia="Palatino Linotype" w:hAnsi="Palatino Linotype" w:cs="Palatino Linotype"/>
        </w:rPr>
        <w:t xml:space="preserve">to por parte legítima, en atención a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 la misma persona que formuló la solicitud de acceso a la información pública al </w:t>
      </w:r>
      <w:r>
        <w:rPr>
          <w:rFonts w:ascii="Palatino Linotype" w:eastAsia="Palatino Linotype" w:hAnsi="Palatino Linotype" w:cs="Palatino Linotype"/>
          <w:b/>
        </w:rPr>
        <w:t>SUJETO OBLIGADO.</w:t>
      </w:r>
    </w:p>
    <w:p w:rsidR="00700108" w:rsidRDefault="00700108">
      <w:pPr>
        <w:spacing w:line="360" w:lineRule="auto"/>
        <w:jc w:val="both"/>
        <w:rPr>
          <w:rFonts w:ascii="Palatino Linotype" w:eastAsia="Palatino Linotype" w:hAnsi="Palatino Linotype" w:cs="Palatino Linotype"/>
          <w:b/>
        </w:rPr>
      </w:pPr>
    </w:p>
    <w:p w:rsidR="00700108" w:rsidRDefault="00302726">
      <w:pPr>
        <w:tabs>
          <w:tab w:val="center" w:pos="4252"/>
          <w:tab w:val="right" w:pos="8504"/>
        </w:tabs>
        <w:spacing w:line="360" w:lineRule="auto"/>
        <w:ind w:left="-57"/>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sz w:val="28"/>
          <w:szCs w:val="28"/>
        </w:rPr>
        <w:t xml:space="preserve">TERCERO. </w:t>
      </w:r>
      <w:r>
        <w:rPr>
          <w:rFonts w:ascii="Palatino Linotype" w:eastAsia="Palatino Linotype" w:hAnsi="Palatino Linotype" w:cs="Palatino Linotype"/>
          <w:b/>
        </w:rPr>
        <w:t>Oportunidad</w:t>
      </w:r>
      <w:r>
        <w:rPr>
          <w:rFonts w:ascii="Palatino Linotype" w:eastAsia="Palatino Linotype" w:hAnsi="Palatino Linotype" w:cs="Palatino Linotype"/>
        </w:rPr>
        <w:t xml:space="preserve">. </w:t>
      </w:r>
    </w:p>
    <w:p w:rsidR="00700108" w:rsidRDefault="00302726">
      <w:pPr>
        <w:tabs>
          <w:tab w:val="center" w:pos="4252"/>
          <w:tab w:val="right" w:pos="8504"/>
        </w:tabs>
        <w:spacing w:line="360" w:lineRule="auto"/>
        <w:ind w:left="-57"/>
        <w:jc w:val="both"/>
        <w:rPr>
          <w:rFonts w:ascii="Palatino Linotype" w:eastAsia="Palatino Linotype" w:hAnsi="Palatino Linotype" w:cs="Palatino Linotype"/>
          <w:b/>
        </w:rPr>
      </w:pPr>
      <w:r>
        <w:rPr>
          <w:rFonts w:ascii="Palatino Linotype" w:eastAsia="Palatino Linotype" w:hAnsi="Palatino Linotype" w:cs="Palatino Linotype"/>
        </w:rPr>
        <w:t>Es de precisar que la Ley de Transparencia y Acceso a la Información Pública</w:t>
      </w:r>
      <w:r>
        <w:rPr>
          <w:rFonts w:ascii="Palatino Linotype" w:eastAsia="Palatino Linotype" w:hAnsi="Palatino Linotype" w:cs="Palatino Linotype"/>
        </w:rPr>
        <w:t xml:space="preserve"> del Estado de México y Municipios, describe el mecanismo de procedencia de los recursos de revisión, como se puede apreciar en el siguiente artículo:</w:t>
      </w:r>
    </w:p>
    <w:p w:rsidR="00700108" w:rsidRDefault="00700108">
      <w:pPr>
        <w:jc w:val="both"/>
        <w:rPr>
          <w:rFonts w:ascii="Palatino Linotype" w:eastAsia="Palatino Linotype" w:hAnsi="Palatino Linotype" w:cs="Palatino Linotype"/>
        </w:rPr>
      </w:pP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163.</w:t>
      </w:r>
      <w:r>
        <w:rPr>
          <w:rFonts w:ascii="Palatino Linotype" w:eastAsia="Palatino Linotype" w:hAnsi="Palatino Linotype" w:cs="Palatino Linotype"/>
          <w:i/>
          <w:sz w:val="22"/>
          <w:szCs w:val="22"/>
        </w:rPr>
        <w:t xml:space="preserve"> La Unidad de Transparencia deberá notificar la respuesta a la solicitud al interesado en </w:t>
      </w:r>
      <w:r>
        <w:rPr>
          <w:rFonts w:ascii="Palatino Linotype" w:eastAsia="Palatino Linotype" w:hAnsi="Palatino Linotype" w:cs="Palatino Linotype"/>
          <w:i/>
          <w:sz w:val="22"/>
          <w:szCs w:val="22"/>
        </w:rPr>
        <w:t>el menor tiempo posible, que no podrá exceder de quince días hábiles, contados a partir del día siguiente a la presentación de aquélla.</w:t>
      </w:r>
    </w:p>
    <w:p w:rsidR="00700108" w:rsidRDefault="00700108">
      <w:pPr>
        <w:ind w:left="851" w:right="902"/>
        <w:jc w:val="both"/>
        <w:rPr>
          <w:rFonts w:ascii="Palatino Linotype" w:eastAsia="Palatino Linotype" w:hAnsi="Palatino Linotype" w:cs="Palatino Linotype"/>
          <w:i/>
          <w:sz w:val="22"/>
          <w:szCs w:val="22"/>
        </w:rPr>
      </w:pP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Pr>
          <w:rFonts w:ascii="Palatino Linotype" w:eastAsia="Palatino Linotype" w:hAnsi="Palatino Linotype" w:cs="Palatino Linotype"/>
          <w:i/>
          <w:sz w:val="22"/>
          <w:szCs w:val="22"/>
        </w:rPr>
        <w:t xml:space="preserve">resolución que deberá notificarse al solicitante, antes de su vencimiento. No podrán invocarse como causales de ampliación del plazo motivos que supongan negligencia o descuido del sujeto obligado en el desahogo de la solicitud.” </w:t>
      </w:r>
    </w:p>
    <w:p w:rsidR="00700108" w:rsidRDefault="00700108">
      <w:pPr>
        <w:ind w:left="851" w:right="901"/>
        <w:jc w:val="both"/>
        <w:rPr>
          <w:rFonts w:ascii="Palatino Linotype" w:eastAsia="Palatino Linotype" w:hAnsi="Palatino Linotype" w:cs="Palatino Linotype"/>
          <w:i/>
        </w:rPr>
      </w:pP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interpretación al </w:t>
      </w:r>
      <w:r>
        <w:rPr>
          <w:rFonts w:ascii="Palatino Linotype" w:eastAsia="Palatino Linotype" w:hAnsi="Palatino Linotype" w:cs="Palatino Linotype"/>
        </w:rPr>
        <w:t>precepto legal inserto, se obtiene que el plazo que les asiste a los Sujetos Obligados para entregar la respuesta a una solicitud de información pública es de quince días hábiles posteriores a la presentación de ésta.</w:t>
      </w:r>
    </w:p>
    <w:p w:rsidR="00700108" w:rsidRDefault="00700108">
      <w:pPr>
        <w:spacing w:line="360" w:lineRule="auto"/>
        <w:jc w:val="both"/>
        <w:rPr>
          <w:rFonts w:ascii="Palatino Linotype" w:eastAsia="Palatino Linotype" w:hAnsi="Palatino Linotype" w:cs="Palatino Linotype"/>
        </w:rPr>
      </w:pP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Sin embargo, en aquellos casos en que</w:t>
      </w:r>
      <w:r>
        <w:rPr>
          <w:rFonts w:ascii="Palatino Linotype" w:eastAsia="Palatino Linotype" w:hAnsi="Palatino Linotype" w:cs="Palatino Linotype"/>
        </w:rPr>
        <w:t xml:space="preserve"> transcurre el referido plazo de quince días hábiles, sin que los Sujetos Obligados entreguen la respuesta a la solicitud de información, ésta se considera negada.  </w:t>
      </w:r>
    </w:p>
    <w:p w:rsidR="00700108" w:rsidRDefault="00700108">
      <w:pPr>
        <w:spacing w:line="360" w:lineRule="auto"/>
        <w:jc w:val="both"/>
        <w:rPr>
          <w:rFonts w:ascii="Palatino Linotype" w:eastAsia="Palatino Linotype" w:hAnsi="Palatino Linotype" w:cs="Palatino Linotype"/>
        </w:rPr>
      </w:pP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Constituyéndose la figura jurídica de la </w:t>
      </w:r>
      <w:r>
        <w:rPr>
          <w:rFonts w:ascii="Palatino Linotype" w:eastAsia="Palatino Linotype" w:hAnsi="Palatino Linotype" w:cs="Palatino Linotype"/>
          <w:b/>
        </w:rPr>
        <w:t>NEGATIVA FICTA</w:t>
      </w:r>
      <w:r>
        <w:rPr>
          <w:rFonts w:ascii="Palatino Linotype" w:eastAsia="Palatino Linotype" w:hAnsi="Palatino Linotype" w:cs="Palatino Linotype"/>
        </w:rPr>
        <w:t>, cuya esencia consiste en atribui</w:t>
      </w:r>
      <w:r>
        <w:rPr>
          <w:rFonts w:ascii="Palatino Linotype" w:eastAsia="Palatino Linotype" w:hAnsi="Palatino Linotype" w:cs="Palatino Linotype"/>
        </w:rPr>
        <w:t>r un efecto negativo al silencio de la autoridad administrativa frente a las instancias y solicitudes que hagan los particulares, por lo que al solicitante le asiste el derecho para poder presentar el recurso de revisión correspondiente</w:t>
      </w:r>
    </w:p>
    <w:p w:rsidR="00700108" w:rsidRDefault="00700108">
      <w:pPr>
        <w:spacing w:line="360" w:lineRule="auto"/>
        <w:jc w:val="both"/>
        <w:rPr>
          <w:rFonts w:ascii="Palatino Linotype" w:eastAsia="Palatino Linotype" w:hAnsi="Palatino Linotype" w:cs="Palatino Linotype"/>
        </w:rPr>
      </w:pP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que encuentra s</w:t>
      </w:r>
      <w:r>
        <w:rPr>
          <w:rFonts w:ascii="Palatino Linotype" w:eastAsia="Palatino Linotype" w:hAnsi="Palatino Linotype" w:cs="Palatino Linotype"/>
        </w:rPr>
        <w:t>ustento en el artículo 178 de la Ley de Transparencia y Acceso a la Información Pública del Estado de México y Municipios, que establece:</w:t>
      </w:r>
    </w:p>
    <w:p w:rsidR="00700108" w:rsidRDefault="00700108">
      <w:pPr>
        <w:jc w:val="both"/>
        <w:rPr>
          <w:rFonts w:ascii="Palatino Linotype" w:eastAsia="Palatino Linotype" w:hAnsi="Palatino Linotype" w:cs="Palatino Linotype"/>
        </w:rPr>
      </w:pPr>
    </w:p>
    <w:p w:rsidR="00700108" w:rsidRDefault="0030272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 xml:space="preserve">El solicitante podrá interponer, por sí mismo o a través de su representante, de manera directa o por </w:t>
      </w:r>
      <w:r>
        <w:rPr>
          <w:rFonts w:ascii="Palatino Linotype" w:eastAsia="Palatino Linotype" w:hAnsi="Palatino Linotype" w:cs="Palatino Linotype"/>
          <w:i/>
          <w:sz w:val="22"/>
          <w:szCs w:val="22"/>
        </w:rPr>
        <w:t>medios electrónicos, recurso de revisión ante el Instituto o ante la Unidad de Transparencia que haya conocido de la solicitud dentro de los quince días hábiles, siguientes a la fecha de la notificación de la respuesta.</w:t>
      </w:r>
    </w:p>
    <w:p w:rsidR="00700108" w:rsidRDefault="00700108">
      <w:pPr>
        <w:ind w:left="851" w:right="901"/>
        <w:jc w:val="both"/>
        <w:rPr>
          <w:rFonts w:ascii="Palatino Linotype" w:eastAsia="Palatino Linotype" w:hAnsi="Palatino Linotype" w:cs="Palatino Linotype"/>
          <w:i/>
          <w:sz w:val="22"/>
          <w:szCs w:val="22"/>
        </w:rPr>
      </w:pPr>
    </w:p>
    <w:p w:rsidR="00700108" w:rsidRDefault="0030272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 falta de respuesta del sujeto obl</w:t>
      </w:r>
      <w:r>
        <w:rPr>
          <w:rFonts w:ascii="Palatino Linotype" w:eastAsia="Palatino Linotype" w:hAnsi="Palatino Linotype" w:cs="Palatino Linotype"/>
          <w:b/>
          <w:i/>
          <w:sz w:val="22"/>
          <w:szCs w:val="22"/>
          <w:u w:val="single"/>
        </w:rPr>
        <w:t>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sz w:val="22"/>
          <w:szCs w:val="22"/>
        </w:rPr>
        <w:t>, acompañado con el documento que pruebe la fecha en que presentó la solicitud.</w:t>
      </w:r>
    </w:p>
    <w:p w:rsidR="00700108" w:rsidRDefault="00700108">
      <w:pPr>
        <w:ind w:left="851" w:right="901"/>
        <w:jc w:val="both"/>
        <w:rPr>
          <w:rFonts w:ascii="Palatino Linotype" w:eastAsia="Palatino Linotype" w:hAnsi="Palatino Linotype" w:cs="Palatino Linotype"/>
          <w:i/>
          <w:sz w:val="22"/>
          <w:szCs w:val="22"/>
        </w:rPr>
      </w:pPr>
    </w:p>
    <w:p w:rsidR="00700108" w:rsidRDefault="0030272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700108" w:rsidRDefault="00302726">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(Énfasis añadido) </w:t>
      </w:r>
    </w:p>
    <w:p w:rsidR="00700108" w:rsidRDefault="00700108">
      <w:pPr>
        <w:jc w:val="both"/>
        <w:rPr>
          <w:rFonts w:ascii="Palatino Linotype" w:eastAsia="Palatino Linotype" w:hAnsi="Palatino Linotype" w:cs="Palatino Linotype"/>
        </w:rPr>
      </w:pP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el recurso de revisión se debe interponer dentro del plazo</w:t>
      </w:r>
      <w:r>
        <w:rPr>
          <w:rFonts w:ascii="Palatino Linotype" w:eastAsia="Palatino Linotype" w:hAnsi="Palatino Linotype" w:cs="Palatino Linotype"/>
        </w:rPr>
        <w:t xml:space="preserve"> de quince días hábiles contados a partir del día siguiente  a aquel en el que el particular tuvo conocimiento de la resolución respectiva, de ahí que, para que empiece a computarse dicho plazo debe existir una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no o</w:t>
      </w:r>
      <w:r>
        <w:rPr>
          <w:rFonts w:ascii="Palatino Linotype" w:eastAsia="Palatino Linotype" w:hAnsi="Palatino Linotype" w:cs="Palatino Linotype"/>
        </w:rPr>
        <w:t>bstante, tratándose de negativa ficta no existe resolución que se haga del conocimiento de la particular a partir de la cual pueda computarse dicho término, por tal motivo es pertinente establecer que no existe plazo para la interposición del recurso de re</w:t>
      </w:r>
      <w:r>
        <w:rPr>
          <w:rFonts w:ascii="Palatino Linotype" w:eastAsia="Palatino Linotype" w:hAnsi="Palatino Linotype" w:cs="Palatino Linotype"/>
        </w:rPr>
        <w:t xml:space="preserve">visión y por tanto una vez que transcurra el plazo que la ley de la materia le concede al SUJETO OBLIGADO para responder,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está en la total libertad de presentar su medio de impugnación en cualquier momento, consecuentemente se tiene que dicho</w:t>
      </w:r>
      <w:r>
        <w:rPr>
          <w:rFonts w:ascii="Palatino Linotype" w:eastAsia="Palatino Linotype" w:hAnsi="Palatino Linotype" w:cs="Palatino Linotype"/>
        </w:rPr>
        <w:t xml:space="preserve"> recurso se presentó oportunamente.</w:t>
      </w:r>
    </w:p>
    <w:p w:rsidR="00700108" w:rsidRDefault="00700108">
      <w:pPr>
        <w:spacing w:line="360" w:lineRule="auto"/>
        <w:jc w:val="both"/>
        <w:rPr>
          <w:rFonts w:ascii="Palatino Linotype" w:eastAsia="Palatino Linotype" w:hAnsi="Palatino Linotype" w:cs="Palatino Linotype"/>
        </w:rPr>
      </w:pPr>
    </w:p>
    <w:p w:rsidR="00700108" w:rsidRDefault="00302726">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rPr>
        <w:t xml:space="preserve">. </w:t>
      </w:r>
    </w:p>
    <w:p w:rsidR="00700108" w:rsidRDefault="00302726">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análisis efectuado, se advierte que resulta procedente la interposición del recurso de revisión y se concluye la acreditación plena de todos y cada uno de los elementos formales exigidos por</w:t>
      </w:r>
      <w:r>
        <w:rPr>
          <w:rFonts w:ascii="Palatino Linotype" w:eastAsia="Palatino Linotype" w:hAnsi="Palatino Linotype" w:cs="Palatino Linotype"/>
        </w:rPr>
        <w:t xml:space="preserve"> el artículo 180 de la Ley de Transparencia y Acceso a la Información Pública del Estado de México y municipios, en atención a que fue presentado mediante el formato visible en el SAIMEX. </w:t>
      </w:r>
    </w:p>
    <w:p w:rsidR="00700108" w:rsidRDefault="00302726">
      <w:pPr>
        <w:shd w:val="clear" w:color="auto" w:fill="FFFFFF"/>
        <w:tabs>
          <w:tab w:val="left" w:pos="2553"/>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Estudio y análisis del asunto.</w:t>
      </w:r>
    </w:p>
    <w:p w:rsidR="00700108" w:rsidRDefault="00302726">
      <w:pPr>
        <w:shd w:val="clear" w:color="auto" w:fill="FFFFFF"/>
        <w:tabs>
          <w:tab w:val="left" w:pos="2553"/>
        </w:tabs>
        <w:spacing w:line="360" w:lineRule="auto"/>
        <w:ind w:right="49"/>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Del análisis efectuado se advierte que los recursos de revisión de que se tratan son procedentes; ya que, que se actualizan las hipótesis previstas en las fracciones VII y XI del artículo 179 de la Ley de la materia, que a la letra indica:</w:t>
      </w:r>
    </w:p>
    <w:p w:rsidR="00700108" w:rsidRDefault="00700108">
      <w:pPr>
        <w:spacing w:line="276" w:lineRule="auto"/>
        <w:ind w:left="709" w:right="709"/>
        <w:jc w:val="both"/>
        <w:rPr>
          <w:rFonts w:ascii="Palatino Linotype" w:eastAsia="Palatino Linotype" w:hAnsi="Palatino Linotype" w:cs="Palatino Linotype"/>
          <w:i/>
          <w:sz w:val="22"/>
          <w:szCs w:val="22"/>
        </w:rPr>
      </w:pPr>
    </w:p>
    <w:p w:rsidR="00700108" w:rsidRDefault="00302726">
      <w:pPr>
        <w:spacing w:line="276" w:lineRule="auto"/>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 y </w:t>
      </w:r>
      <w:r>
        <w:rPr>
          <w:rFonts w:ascii="Palatino Linotype" w:eastAsia="Palatino Linotype" w:hAnsi="Palatino Linotype" w:cs="Palatino Linotype"/>
          <w:b/>
          <w:i/>
          <w:sz w:val="22"/>
          <w:szCs w:val="22"/>
        </w:rPr>
        <w:t>procederá en contra de las siguientes causas:</w:t>
      </w:r>
    </w:p>
    <w:p w:rsidR="00700108" w:rsidRDefault="00302726">
      <w:pPr>
        <w:spacing w:line="276"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00108" w:rsidRDefault="00302726">
      <w:pPr>
        <w:spacing w:line="276" w:lineRule="auto"/>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VII. La falta de respuesta a una solicitud de acceso </w:t>
      </w:r>
      <w:r>
        <w:rPr>
          <w:rFonts w:ascii="Palatino Linotype" w:eastAsia="Palatino Linotype" w:hAnsi="Palatino Linotype" w:cs="Palatino Linotype"/>
          <w:b/>
          <w:i/>
          <w:sz w:val="22"/>
          <w:szCs w:val="22"/>
        </w:rPr>
        <w:t>a la información;</w:t>
      </w:r>
    </w:p>
    <w:p w:rsidR="00700108" w:rsidRDefault="00302726">
      <w:pPr>
        <w:spacing w:line="276"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00108" w:rsidRDefault="00302726">
      <w:pPr>
        <w:ind w:left="709" w:right="709"/>
        <w:jc w:val="both"/>
        <w:rPr>
          <w:rFonts w:ascii="Palatino Linotype" w:eastAsia="Palatino Linotype" w:hAnsi="Palatino Linotype" w:cs="Palatino Linotype"/>
          <w:b/>
          <w:i/>
          <w:sz w:val="20"/>
          <w:szCs w:val="20"/>
        </w:rPr>
      </w:pPr>
      <w:r>
        <w:rPr>
          <w:b/>
          <w:i/>
          <w:sz w:val="22"/>
          <w:szCs w:val="22"/>
        </w:rPr>
        <w:t>XI. La falta de trámite a una solicitud;</w:t>
      </w:r>
    </w:p>
    <w:p w:rsidR="00700108" w:rsidRDefault="00302726">
      <w:pPr>
        <w:spacing w:line="276"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700108" w:rsidRDefault="00700108">
      <w:pPr>
        <w:spacing w:line="276" w:lineRule="auto"/>
        <w:ind w:left="709" w:right="709"/>
        <w:jc w:val="both"/>
        <w:rPr>
          <w:rFonts w:ascii="Palatino Linotype" w:eastAsia="Palatino Linotype" w:hAnsi="Palatino Linotype" w:cs="Palatino Linotype"/>
          <w:b/>
          <w:i/>
          <w:sz w:val="22"/>
          <w:szCs w:val="22"/>
        </w:rPr>
      </w:pPr>
    </w:p>
    <w:p w:rsidR="00700108" w:rsidRDefault="00302726">
      <w:pPr>
        <w:widowControl w:val="0"/>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precepto legal antes citado establece como supuesto de procedencia del recurso de revisión, la</w:t>
      </w:r>
      <w:r>
        <w:t xml:space="preserve"> </w:t>
      </w:r>
      <w:r>
        <w:rPr>
          <w:rFonts w:ascii="Palatino Linotype" w:eastAsia="Palatino Linotype" w:hAnsi="Palatino Linotype" w:cs="Palatino Linotype"/>
        </w:rPr>
        <w:t xml:space="preserve">falta de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w:t>
      </w:r>
      <w:r>
        <w:rPr>
          <w:rFonts w:ascii="Palatino Linotype" w:eastAsia="Palatino Linotype" w:hAnsi="Palatino Linotype" w:cs="Palatino Linotype"/>
        </w:rPr>
        <w:t xml:space="preserve">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700108" w:rsidRDefault="00302726">
      <w:pPr>
        <w:widowControl w:val="0"/>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determinada la vía sobre la que versará el presente asunto y previa revisión de los expedientes electrónicos formados en el SAIMEX, por motivo de la solicitud de información y del recurso a</w:t>
      </w:r>
      <w:r>
        <w:rPr>
          <w:rFonts w:ascii="Palatino Linotype" w:eastAsia="Palatino Linotype" w:hAnsi="Palatino Linotype" w:cs="Palatino Linotype"/>
        </w:rPr>
        <w:t xml:space="preserve">l que dio origen, se observa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dio respuesta a la solicitud de información planteada por el particular; lo que en conclusión se traduce en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w:t>
      </w:r>
    </w:p>
    <w:p w:rsidR="00700108" w:rsidRDefault="00302726">
      <w:pPr>
        <w:shd w:val="clear" w:color="auto" w:fill="FFFFFF"/>
        <w:tabs>
          <w:tab w:val="left" w:pos="255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ilustrar dicha actualización, debemos recordar q</w:t>
      </w:r>
      <w:r>
        <w:rPr>
          <w:rFonts w:ascii="Palatino Linotype" w:eastAsia="Palatino Linotype" w:hAnsi="Palatino Linotype" w:cs="Palatino Linotype"/>
        </w:rPr>
        <w:t>ue el hoy</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en la solicitud de acceso a la información pública, requirió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vía </w:t>
      </w:r>
      <w:r>
        <w:rPr>
          <w:rFonts w:ascii="Palatino Linotype" w:eastAsia="Palatino Linotype" w:hAnsi="Palatino Linotype" w:cs="Palatino Linotype"/>
          <w:b/>
        </w:rPr>
        <w:t>EL SAIMEX</w:t>
      </w:r>
      <w:r>
        <w:rPr>
          <w:rFonts w:ascii="Palatino Linotype" w:eastAsia="Palatino Linotype" w:hAnsi="Palatino Linotype" w:cs="Palatino Linotype"/>
        </w:rPr>
        <w:t>, lo siguiente:</w:t>
      </w:r>
    </w:p>
    <w:p w:rsidR="00700108" w:rsidRDefault="00700108">
      <w:pPr>
        <w:shd w:val="clear" w:color="auto" w:fill="FFFFFF"/>
        <w:tabs>
          <w:tab w:val="left" w:pos="2553"/>
        </w:tabs>
        <w:spacing w:line="360" w:lineRule="auto"/>
        <w:ind w:right="49"/>
        <w:jc w:val="both"/>
        <w:rPr>
          <w:rFonts w:ascii="Palatino Linotype" w:eastAsia="Palatino Linotype" w:hAnsi="Palatino Linotype" w:cs="Palatino Linotype"/>
        </w:rPr>
      </w:pPr>
    </w:p>
    <w:p w:rsidR="00700108" w:rsidRDefault="00302726">
      <w:pPr>
        <w:ind w:left="851" w:right="10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“Número de escuelas de </w:t>
      </w:r>
      <w:proofErr w:type="spellStart"/>
      <w:r>
        <w:rPr>
          <w:rFonts w:ascii="Palatino Linotype" w:eastAsia="Palatino Linotype" w:hAnsi="Palatino Linotype" w:cs="Palatino Linotype"/>
          <w:i/>
          <w:color w:val="000000"/>
          <w:sz w:val="22"/>
          <w:szCs w:val="22"/>
        </w:rPr>
        <w:t>seiem</w:t>
      </w:r>
      <w:proofErr w:type="spellEnd"/>
      <w:r>
        <w:rPr>
          <w:rFonts w:ascii="Palatino Linotype" w:eastAsia="Palatino Linotype" w:hAnsi="Palatino Linotype" w:cs="Palatino Linotype"/>
          <w:i/>
          <w:color w:val="000000"/>
          <w:sz w:val="22"/>
          <w:szCs w:val="22"/>
        </w:rPr>
        <w:t xml:space="preserve"> que en el año 2018, 2019, 2020 y 2021, se les dio mantenimiento o rehabilitación o reparación </w:t>
      </w:r>
      <w:r>
        <w:rPr>
          <w:rFonts w:ascii="Palatino Linotype" w:eastAsia="Palatino Linotype" w:hAnsi="Palatino Linotype" w:cs="Palatino Linotype"/>
          <w:i/>
          <w:color w:val="000000"/>
          <w:sz w:val="22"/>
          <w:szCs w:val="22"/>
        </w:rPr>
        <w:t xml:space="preserve">o reconstrucción o cualquier </w:t>
      </w:r>
      <w:proofErr w:type="spellStart"/>
      <w:r>
        <w:rPr>
          <w:rFonts w:ascii="Palatino Linotype" w:eastAsia="Palatino Linotype" w:hAnsi="Palatino Linotype" w:cs="Palatino Linotype"/>
          <w:i/>
          <w:color w:val="000000"/>
          <w:sz w:val="22"/>
          <w:szCs w:val="22"/>
        </w:rPr>
        <w:t>analogo</w:t>
      </w:r>
      <w:proofErr w:type="spellEnd"/>
      <w:r>
        <w:rPr>
          <w:rFonts w:ascii="Palatino Linotype" w:eastAsia="Palatino Linotype" w:hAnsi="Palatino Linotype" w:cs="Palatino Linotype"/>
          <w:i/>
          <w:color w:val="000000"/>
          <w:sz w:val="22"/>
          <w:szCs w:val="22"/>
        </w:rPr>
        <w:t>. Separado los totales por cada año.” (</w:t>
      </w:r>
      <w:proofErr w:type="gramStart"/>
      <w:r>
        <w:rPr>
          <w:rFonts w:ascii="Palatino Linotype" w:eastAsia="Palatino Linotype" w:hAnsi="Palatino Linotype" w:cs="Palatino Linotype"/>
          <w:i/>
          <w:color w:val="000000"/>
          <w:sz w:val="22"/>
          <w:szCs w:val="22"/>
        </w:rPr>
        <w:t>sic</w:t>
      </w:r>
      <w:proofErr w:type="gramEnd"/>
      <w:r>
        <w:rPr>
          <w:rFonts w:ascii="Palatino Linotype" w:eastAsia="Palatino Linotype" w:hAnsi="Palatino Linotype" w:cs="Palatino Linotype"/>
          <w:i/>
          <w:color w:val="000000"/>
          <w:sz w:val="22"/>
          <w:szCs w:val="22"/>
        </w:rPr>
        <w:t>)</w:t>
      </w:r>
    </w:p>
    <w:p w:rsidR="00700108" w:rsidRDefault="00700108">
      <w:pPr>
        <w:tabs>
          <w:tab w:val="left" w:pos="851"/>
        </w:tabs>
        <w:ind w:left="851" w:right="901"/>
        <w:jc w:val="both"/>
        <w:rPr>
          <w:rFonts w:ascii="Palatino Linotype" w:eastAsia="Palatino Linotype" w:hAnsi="Palatino Linotype" w:cs="Palatino Linotype"/>
          <w:i/>
          <w:color w:val="000000"/>
          <w:sz w:val="22"/>
          <w:szCs w:val="22"/>
        </w:rPr>
      </w:pPr>
    </w:p>
    <w:p w:rsidR="00700108" w:rsidRDefault="00302726">
      <w:pPr>
        <w:shd w:val="clear" w:color="auto" w:fill="FFFFFF"/>
        <w:tabs>
          <w:tab w:val="left" w:pos="255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destaca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dio respuesta a la solicitud de acceso a la información, motivo por el cual el hoy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medio de defensa que motiva el presente estudio.</w:t>
      </w:r>
    </w:p>
    <w:p w:rsidR="00700108" w:rsidRDefault="00700108">
      <w:pPr>
        <w:widowControl w:val="0"/>
        <w:tabs>
          <w:tab w:val="left" w:pos="1701"/>
          <w:tab w:val="left" w:pos="1843"/>
        </w:tabs>
        <w:spacing w:line="360" w:lineRule="auto"/>
        <w:jc w:val="both"/>
        <w:rPr>
          <w:rFonts w:ascii="Palatino Linotype" w:eastAsia="Palatino Linotype" w:hAnsi="Palatino Linotype" w:cs="Palatino Linotype"/>
        </w:rPr>
      </w:pP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análisis realizado al expediente electrónico del SAIMEX, y atentos</w:t>
      </w:r>
      <w:r>
        <w:rPr>
          <w:rFonts w:ascii="Palatino Linotype" w:eastAsia="Palatino Linotype" w:hAnsi="Palatino Linotype" w:cs="Palatino Linotype"/>
          <w:color w:val="000000"/>
        </w:rPr>
        <w:t xml:space="preserve"> a lo dispuesto en el artículo 185 de la Ley de Transparencia y Acceso a la Información Pública del Estado de México y Municipios, se aprecia que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no realizó manifestación alguna dentro del término legalmente concedido, ni presentó pruebas o a</w:t>
      </w:r>
      <w:r>
        <w:rPr>
          <w:rFonts w:ascii="Palatino Linotype" w:eastAsia="Palatino Linotype" w:hAnsi="Palatino Linotype" w:cs="Palatino Linotype"/>
          <w:color w:val="000000"/>
        </w:rPr>
        <w:t xml:space="preserve">legatos; 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tampoco rindió su Informe Justificado</w:t>
      </w:r>
      <w:r>
        <w:rPr>
          <w:rFonts w:ascii="Palatino Linotype" w:eastAsia="Palatino Linotype" w:hAnsi="Palatino Linotype" w:cs="Palatino Linotype"/>
        </w:rPr>
        <w:t>.</w:t>
      </w:r>
    </w:p>
    <w:p w:rsidR="00700108" w:rsidRDefault="00700108">
      <w:pPr>
        <w:spacing w:line="360" w:lineRule="auto"/>
        <w:jc w:val="both"/>
        <w:rPr>
          <w:rFonts w:ascii="Palatino Linotype" w:eastAsia="Palatino Linotype" w:hAnsi="Palatino Linotype" w:cs="Palatino Linotype"/>
        </w:rPr>
      </w:pPr>
    </w:p>
    <w:p w:rsidR="00700108" w:rsidRDefault="00302726">
      <w:pPr>
        <w:widowControl w:val="0"/>
        <w:tabs>
          <w:tab w:val="left" w:pos="1701"/>
          <w:tab w:val="left" w:pos="1843"/>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contexto, este Instituto analizó la totalidad de las constancias que integran 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y observó que las razones o motivos de inconformid</w:t>
      </w:r>
      <w:r>
        <w:rPr>
          <w:rFonts w:ascii="Palatino Linotype" w:eastAsia="Palatino Linotype" w:hAnsi="Palatino Linotype" w:cs="Palatino Linotype"/>
        </w:rPr>
        <w:t xml:space="preserve">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devienen </w:t>
      </w:r>
      <w:r>
        <w:rPr>
          <w:rFonts w:ascii="Palatino Linotype" w:eastAsia="Palatino Linotype" w:hAnsi="Palatino Linotype" w:cs="Palatino Linotype"/>
          <w:b/>
        </w:rPr>
        <w:t>fundados</w:t>
      </w:r>
      <w:r>
        <w:rPr>
          <w:rFonts w:ascii="Palatino Linotype" w:eastAsia="Palatino Linotype" w:hAnsi="Palatino Linotype" w:cs="Palatino Linotype"/>
        </w:rPr>
        <w:t>, en atención a las siguientes Consideraciones de hecho y de Derecho.</w:t>
      </w:r>
    </w:p>
    <w:p w:rsidR="00700108" w:rsidRDefault="00700108">
      <w:pPr>
        <w:widowControl w:val="0"/>
        <w:tabs>
          <w:tab w:val="left" w:pos="1701"/>
          <w:tab w:val="left" w:pos="1843"/>
        </w:tabs>
        <w:spacing w:line="360" w:lineRule="auto"/>
        <w:jc w:val="both"/>
        <w:rPr>
          <w:rFonts w:ascii="Palatino Linotype" w:eastAsia="Palatino Linotype" w:hAnsi="Palatino Linotype" w:cs="Palatino Linotype"/>
        </w:rPr>
      </w:pPr>
    </w:p>
    <w:p w:rsidR="00700108" w:rsidRDefault="00302726">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este sentido, es pertinente enfatizar lo que, respecto al derecho de acceso a la información pública, refiere el artículo 6° de la </w:t>
      </w:r>
      <w:r>
        <w:rPr>
          <w:rFonts w:ascii="Palatino Linotype" w:eastAsia="Palatino Linotype" w:hAnsi="Palatino Linotype" w:cs="Palatino Linotype"/>
        </w:rPr>
        <w:t>Constitución Política de los Estados Unidos Mexicanos, que en su parte conducente señala:</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6o.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manifestación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ninguna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inquisición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ataque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terceros,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provoque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algún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perturbe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orden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réplica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rPr>
        <w:t xml:space="preserve"> </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tiene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libre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plural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buscar,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ideas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índole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expresión.</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artículo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observará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Distrito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realice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federal,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nacional,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derive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facultades,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competencias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refiere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lastRenderedPageBreak/>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morales.</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inobservancia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sancionada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dispongan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Federación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colegiado,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patrimonio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plena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autonomía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técnica,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gestión,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capacidad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decidir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presupuesto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responsable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posesión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considere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confidencial.</w:t>
      </w:r>
    </w:p>
    <w:p w:rsidR="00700108" w:rsidRDefault="00302726">
      <w:pPr>
        <w:tabs>
          <w:tab w:val="left" w:pos="3759"/>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rPr>
        <w:tab/>
      </w:r>
    </w:p>
    <w:p w:rsidR="00700108" w:rsidRDefault="00302726">
      <w:pPr>
        <w:tabs>
          <w:tab w:val="left" w:pos="8222"/>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rsidR="00700108" w:rsidRDefault="00302726">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w:t>
      </w:r>
      <w:r>
        <w:rPr>
          <w:rFonts w:ascii="Palatino Linotype" w:eastAsia="Palatino Linotype" w:hAnsi="Palatino Linotype" w:cs="Palatino Linotype"/>
          <w:b/>
          <w:i/>
        </w:rPr>
        <w:t xml:space="preserve"> </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será</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garantizado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Estado</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asegurar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difusión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garantizar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transparentarán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oportuna,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clara,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veraz</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fácil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regirá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bases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siguientes: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Toda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posesión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cualquier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gobierno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descentralizados,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asimismo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reciba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ejerza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realice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autoridad</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lastRenderedPageBreak/>
        <w:t>ámbito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estatal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w:t>
      </w:r>
      <w:r>
        <w:rPr>
          <w:rFonts w:ascii="Palatino Linotype" w:eastAsia="Palatino Linotype" w:hAnsi="Palatino Linotype" w:cs="Palatino Linotype"/>
          <w:b/>
          <w:i/>
          <w:sz w:val="22"/>
          <w:szCs w:val="22"/>
        </w:rPr>
        <w:t>l,</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sólo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reservada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temporalmente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razones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previstas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Mexicanos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seguridad,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fijen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interpretación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derecho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prevalecer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principio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máxima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publicidad.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documentar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facultades,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funciones,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supuestos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específicos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bajo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declaración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inexistencia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referente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intimidad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vida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privada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imagen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protegida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marco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rígido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tratamiento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excepciones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necesidad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acreditar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interés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alguno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justificar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utilización,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tendrá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gratuito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rectificación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éstos.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mecanismos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expeditos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sustanciarán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especializado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imparcial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Constitución.</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acceso,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corrección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supresión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revisión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derivados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tramitarse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medios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electrónicos,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través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automatizado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efecto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establezca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garante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resoluciones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correspondan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procedimientos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sistematizarán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favorecer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consulta.</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preservar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documentos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archivos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administrativos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publicarán,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través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medios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electrónicos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disponibles,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completa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actualizada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sobre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ejercicio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recursos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indicadores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permitan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rendir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cumplimiento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objetivos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resultados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obtenidos.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reglamentaria,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determinará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manera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añadido)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700108" w:rsidRDefault="00302726">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700108" w:rsidRDefault="00302726">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700108" w:rsidRDefault="00302726">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w:t>
      </w:r>
      <w:r>
        <w:rPr>
          <w:rFonts w:ascii="Palatino Linotype" w:eastAsia="Palatino Linotype" w:hAnsi="Palatino Linotype" w:cs="Palatino Linotype"/>
        </w:rPr>
        <w:t xml:space="preserve"> </w:t>
      </w:r>
      <w:r>
        <w:rPr>
          <w:rFonts w:ascii="Palatino Linotype" w:eastAsia="Palatino Linotype" w:hAnsi="Palatino Linotype" w:cs="Palatino Linotype"/>
          <w:sz w:val="22"/>
          <w:szCs w:val="22"/>
        </w:rPr>
        <w:t>añadido)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conforme a los preceptos legales citados, se desprende que el derecho de acceso a la información pública, es un derecho individual que puede ser ejercido ante cualquier autoridad, entidad, órgano u organismo, tanto federales, como estatales, de</w:t>
      </w:r>
      <w:r>
        <w:rPr>
          <w:rFonts w:ascii="Palatino Linotype" w:eastAsia="Palatino Linotype" w:hAnsi="Palatino Linotype" w:cs="Palatino Linotype"/>
        </w:rPr>
        <w:t xml:space="preserve"> la Ciudad de México o Municipales, con el fin de que los particulares conozcan aquella información que es considerada como pública. </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esa tesitura, este Instituto no omite señalar que los Sujetos Obligados deben contar con un área responsable para la at</w:t>
      </w:r>
      <w:r>
        <w:rPr>
          <w:rFonts w:ascii="Palatino Linotype" w:eastAsia="Palatino Linotype" w:hAnsi="Palatino Linotype" w:cs="Palatino Linotype"/>
        </w:rPr>
        <w:t xml:space="preserve">ención de las solicitudes de información, a la que se le denominará Unidad de Transparencia; asimismo, deben designar a un responsable para atender dicha Unidad, quien fungirá como enlace entre éstos y los solicitantes. </w:t>
      </w:r>
    </w:p>
    <w:p w:rsidR="00700108" w:rsidRDefault="00302726">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w:t>
      </w:r>
      <w:r>
        <w:rPr>
          <w:rFonts w:ascii="Palatino Linotype" w:eastAsia="Palatino Linotype" w:hAnsi="Palatino Linotype" w:cs="Palatino Linotype"/>
        </w:rPr>
        <w:t>a ya mencionada Unidad de Transparencia es la encargada de tramitar internamente las solicitudes de información y tiene la responsabilidad de verificar, en cada caso, que la información no tenga el carácter de confidencial o reservada, en términos de los a</w:t>
      </w:r>
      <w:r>
        <w:rPr>
          <w:rFonts w:ascii="Palatino Linotype" w:eastAsia="Palatino Linotype" w:hAnsi="Palatino Linotype" w:cs="Palatino Linotype"/>
        </w:rPr>
        <w:t>rtículos 50 y 51 de la Ley de Transparencia y Acceso a la Información del Estado de México y Municipios.</w:t>
      </w:r>
    </w:p>
    <w:p w:rsidR="00700108" w:rsidRDefault="00302726">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w:t>
      </w:r>
      <w:r>
        <w:rPr>
          <w:rFonts w:ascii="Palatino Linotype" w:eastAsia="Palatino Linotype" w:hAnsi="Palatino Linotype" w:cs="Palatino Linotype"/>
        </w:rPr>
        <w:t>es de recibir, tramitar y dar respuesta a las solicitudes de acceso a la información; realizar, con efectividad, los trámites internos necesarios para la atención de las solicitudes de acceso a la información; así como, entregar, en su caso, a los particul</w:t>
      </w:r>
      <w:r>
        <w:rPr>
          <w:rFonts w:ascii="Palatino Linotype" w:eastAsia="Palatino Linotype" w:hAnsi="Palatino Linotype" w:cs="Palatino Linotype"/>
        </w:rPr>
        <w:t>ares la información solicitada.</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algún área de los sujetos obligados se negara a colaborar con la Unidad de </w:t>
      </w:r>
      <w:r>
        <w:rPr>
          <w:rFonts w:ascii="Palatino Linotype" w:eastAsia="Palatino Linotype" w:hAnsi="Palatino Linotype" w:cs="Palatino Linotype"/>
        </w:rPr>
        <w:t>Transparencia, esta dará aviso al superior jerárquico para que le ordene realizar sin demora las acciones conducentes y en caso de que persista la negativa de colaboración, hará del conocimiento de la autoridad competente para que se inicie, en su caso, el</w:t>
      </w:r>
      <w:r>
        <w:rPr>
          <w:rFonts w:ascii="Palatino Linotype" w:eastAsia="Palatino Linotype" w:hAnsi="Palatino Linotype" w:cs="Palatino Linotype"/>
        </w:rPr>
        <w:t xml:space="preserve"> procedimiento de responsabilidad respectivo.</w:t>
      </w:r>
    </w:p>
    <w:p w:rsidR="00700108" w:rsidRDefault="00302726">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el artículo 59, fracciones I, II y III de la multicitada legislación Sustantiva establece que los servidores públicos habilitados deben localizar la información que le solicite la Unidad de Tran</w:t>
      </w:r>
      <w:r>
        <w:rPr>
          <w:rFonts w:ascii="Palatino Linotype" w:eastAsia="Palatino Linotype" w:hAnsi="Palatino Linotype" w:cs="Palatino Linotype"/>
        </w:rPr>
        <w:t>sparencia; proporcionar la misma y apoyarla en lo que ésta le solicite para el cumplimiento de sus funciones.</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de conformidad con el artículo 163 de la legislación en cita, la Unidad de Transparencia debe notificar la respuesta a las solicitudes</w:t>
      </w:r>
      <w:r>
        <w:rPr>
          <w:rFonts w:ascii="Palatino Linotype" w:eastAsia="Palatino Linotype" w:hAnsi="Palatino Linotype" w:cs="Palatino Linotype"/>
        </w:rPr>
        <w:t xml:space="preserve"> de acceso a la información, en el menor tiempo posible, que no podrá exceder de quince días hábiles, tendiendo como excepción al plazo referido, una prórroga de hasta siete días hábiles adicionales, siempre y cuando existan razones fundadas y motivadas, l</w:t>
      </w:r>
      <w:r>
        <w:rPr>
          <w:rFonts w:ascii="Palatino Linotype" w:eastAsia="Palatino Linotype" w:hAnsi="Palatino Linotype" w:cs="Palatino Linotype"/>
        </w:rPr>
        <w:t>as cuales deberán ser aprobadas por el Comité de Transparencia. Situación que en la especie no aconteció. Sirve de sustento a lo anterior el precepto legal en cita:</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w:t>
      </w:r>
      <w:r>
        <w:rPr>
          <w:rFonts w:ascii="Palatino Linotype" w:eastAsia="Palatino Linotype" w:hAnsi="Palatino Linotype" w:cs="Palatino Linotype"/>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w:t>
      </w:r>
      <w:r>
        <w:rPr>
          <w:rFonts w:ascii="Palatino Linotype" w:eastAsia="Palatino Linotype" w:hAnsi="Palatino Linotype" w:cs="Palatino Linotype"/>
          <w:i/>
          <w:sz w:val="22"/>
          <w:szCs w:val="22"/>
        </w:rPr>
        <w:t xml:space="preserve">eberá notificarse al solicitante, antes de su vencimiento. No podrán invocarse como causales de ampliación del plazo motivos que supongan negligencia o descuido del sujeto obligado en el desahogo de la solicitud.” </w:t>
      </w:r>
    </w:p>
    <w:p w:rsidR="00700108" w:rsidRDefault="00302726">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mérito de lo expues</w:t>
      </w:r>
      <w:r>
        <w:rPr>
          <w:rFonts w:ascii="Palatino Linotype" w:eastAsia="Palatino Linotype" w:hAnsi="Palatino Linotype" w:cs="Palatino Linotype"/>
        </w:rPr>
        <w:t xml:space="preserve">to, es claro que en este caso en particular la Unidad de Transparencia incumplió la normatividad aplicable a la materia, puesto que no dio trámite completo y correcto ni respuesta a la solicitud de acceso a la información, limitando el derecho de acceso a </w:t>
      </w:r>
      <w:r>
        <w:rPr>
          <w:rFonts w:ascii="Palatino Linotype" w:eastAsia="Palatino Linotype" w:hAnsi="Palatino Linotype" w:cs="Palatino Linotype"/>
        </w:rPr>
        <w:t>la información, accionado por el particular.</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w:t>
      </w:r>
      <w:r>
        <w:rPr>
          <w:rFonts w:ascii="Palatino Linotype" w:eastAsia="Palatino Linotype" w:hAnsi="Palatino Linotype" w:cs="Palatino Linotype"/>
          <w:b/>
        </w:rPr>
        <w:t xml:space="preserve">el procedimiento de </w:t>
      </w:r>
      <w:r>
        <w:rPr>
          <w:rFonts w:ascii="Palatino Linotype" w:eastAsia="Palatino Linotype" w:hAnsi="Palatino Linotype" w:cs="Palatino Linotype"/>
          <w:b/>
        </w:rPr>
        <w:t>acceso a la información es la garantía primaria del derecho en cuestión y se rige por los principios de simplicidad, rapidez gratuidad del procedimiento, auxilio y orientación a los particulares</w:t>
      </w:r>
      <w:r>
        <w:rPr>
          <w:rFonts w:ascii="Palatino Linotype" w:eastAsia="Palatino Linotype" w:hAnsi="Palatino Linotype" w:cs="Palatino Linotype"/>
        </w:rPr>
        <w:t xml:space="preserve">; así como, atención adecuada a las personas con discapacidad </w:t>
      </w:r>
      <w:r>
        <w:rPr>
          <w:rFonts w:ascii="Palatino Linotype" w:eastAsia="Palatino Linotype" w:hAnsi="Palatino Linotype" w:cs="Palatino Linotype"/>
        </w:rPr>
        <w:t xml:space="preserve">y a los hablantes de lengua indígena con el objeto de otorgar la protección más amplia del derecho de las personas. </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d|é</w:t>
      </w:r>
      <w:proofErr w:type="spellEnd"/>
      <w:r>
        <w:rPr>
          <w:rFonts w:ascii="Palatino Linotype" w:eastAsia="Palatino Linotype" w:hAnsi="Palatino Linotype" w:cs="Palatino Linotype"/>
        </w:rPr>
        <w:t xml:space="preserve"> tramité y respuesta a la solicitud del particular.</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w:t>
      </w:r>
      <w:r>
        <w:rPr>
          <w:rFonts w:ascii="Palatino Linotype" w:eastAsia="Palatino Linotype" w:hAnsi="Palatino Linotype" w:cs="Palatino Linotype"/>
        </w:rPr>
        <w:t xml:space="preserve">el cual señala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w:t>
      </w:r>
      <w:r>
        <w:rPr>
          <w:rFonts w:ascii="Palatino Linotype" w:eastAsia="Palatino Linotype" w:hAnsi="Palatino Linotype" w:cs="Palatino Linotype"/>
        </w:rPr>
        <w:t xml:space="preserve">a bien, en atención al sentido en que se resuelve el presente medio de impugnación, esta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no omite señalar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que dentro de la información solicitada se contienen datos personales que sean susceptibles de</w:t>
      </w:r>
      <w:r>
        <w:rPr>
          <w:rFonts w:ascii="Palatino Linotype" w:eastAsia="Palatino Linotype" w:hAnsi="Palatino Linotype" w:cs="Palatino Linotype"/>
        </w:rPr>
        <w:t xml:space="preserve"> ser clasificados como confidenciales, deberá entregar la información de mérito en versión pública y emitir el Acuerdo de </w:t>
      </w:r>
      <w:r>
        <w:rPr>
          <w:rFonts w:ascii="Palatino Linotype" w:eastAsia="Palatino Linotype" w:hAnsi="Palatino Linotype" w:cs="Palatino Linotype"/>
        </w:rPr>
        <w:lastRenderedPageBreak/>
        <w:t xml:space="preserve">Clasificación en el que se sustenten dichas versiones públicas, en atención al ordinal 122 y 143 de la Ley de la materia y observando </w:t>
      </w:r>
      <w:r>
        <w:rPr>
          <w:rFonts w:ascii="Palatino Linotype" w:eastAsia="Palatino Linotype" w:hAnsi="Palatino Linotype" w:cs="Palatino Linotype"/>
        </w:rPr>
        <w:t>los Lineamientos Generales en materia de Clasificación y Desclasificación de la Información, así como para la elaboración de Versiones Públicas.</w:t>
      </w:r>
    </w:p>
    <w:p w:rsidR="00700108" w:rsidRDefault="00302726">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es de precisar que </w:t>
      </w:r>
      <w:r>
        <w:rPr>
          <w:rFonts w:ascii="Palatino Linotype" w:eastAsia="Palatino Linotype" w:hAnsi="Palatino Linotype" w:cs="Palatino Linotype"/>
          <w:color w:val="0D0D0D"/>
        </w:rPr>
        <w:t>la clasificación de la información no se da por el simple mandato de la Ley,</w:t>
      </w:r>
      <w:r>
        <w:rPr>
          <w:rFonts w:ascii="Palatino Linotype" w:eastAsia="Palatino Linotype" w:hAnsi="Palatino Linotype" w:cs="Palatino Linotype"/>
          <w:color w:val="0D0D0D"/>
        </w:rPr>
        <w:t xml:space="preserve"> sino que </w:t>
      </w:r>
      <w:r>
        <w:rPr>
          <w:rFonts w:ascii="Palatino Linotype" w:eastAsia="Palatino Linotype" w:hAnsi="Palatino Linotype" w:cs="Palatino Linotype"/>
        </w:rPr>
        <w:t xml:space="preserve">es necesario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cuando clasifique algún documento o información, ya sea todo o en parte, debe atender lo dispuesto por la Ley de la materia, siendo que dicha clasificación es un trabajo en conjunto tanto de los servidores públ</w:t>
      </w:r>
      <w:r>
        <w:rPr>
          <w:rFonts w:ascii="Palatino Linotype" w:eastAsia="Palatino Linotype" w:hAnsi="Palatino Linotype" w:cs="Palatino Linotype"/>
        </w:rPr>
        <w:t xml:space="preserve">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w:t>
      </w:r>
      <w:r>
        <w:rPr>
          <w:rFonts w:ascii="Palatino Linotype" w:eastAsia="Palatino Linotype" w:hAnsi="Palatino Linotype" w:cs="Palatino Linotype"/>
        </w:rPr>
        <w:t>ta se presente ante al Comité de Transparencia y de así resultar procedente el proyecto de clasificación de la información, finalmente sea éste último quien apruebe, modifique o revoque la misma, de manera fundada y motivada, en atención al artículo 143 de</w:t>
      </w:r>
      <w:r>
        <w:rPr>
          <w:rFonts w:ascii="Palatino Linotype" w:eastAsia="Palatino Linotype" w:hAnsi="Palatino Linotype" w:cs="Palatino Linotype"/>
        </w:rPr>
        <w:t xml:space="preserve"> la Constitución Política del Estado Libre y Soberano de México.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w:t>
      </w:r>
      <w:r>
        <w:rPr>
          <w:rFonts w:ascii="Palatino Linotype" w:eastAsia="Palatino Linotype" w:hAnsi="Palatino Linotype" w:cs="Palatino Linotype"/>
        </w:rPr>
        <w:t xml:space="preserve"> grave para éste. De manera enunciativa más no limitativa, se consideran sensibles los datos personales que puedan revelar aspectos como origen racial o étnico, estado de salud física o mental, presente o futura, información genética, creencias religiosas,</w:t>
      </w:r>
      <w:r>
        <w:rPr>
          <w:rFonts w:ascii="Palatino Linotype" w:eastAsia="Palatino Linotype" w:hAnsi="Palatino Linotype" w:cs="Palatino Linotype"/>
        </w:rPr>
        <w:t xml:space="preserve"> filosóficas y morales, opiniones políticas y preferencia sexual, de conformidad con el artículo 4, </w:t>
      </w:r>
      <w:r>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7 de la Ley de Protección de Datos Personales en Posesión de Sujetos Obligados del Estado de México y Municipios establece puntualmente que los datos personales sensibles y de naturaleza análoga en términos de las disposiciones le</w:t>
      </w:r>
      <w:r>
        <w:rPr>
          <w:rFonts w:ascii="Palatino Linotype" w:eastAsia="Palatino Linotype" w:hAnsi="Palatino Linotype" w:cs="Palatino Linotype"/>
        </w:rPr>
        <w:t>gales aplicables estarán especialmente protegidos con medidas de seguridad de alto nivel.</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no omite mencionar que, si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advierte información que, por su propia y especial naturaleza, encuadre en al</w:t>
      </w:r>
      <w:r>
        <w:rPr>
          <w:rFonts w:ascii="Palatino Linotype" w:eastAsia="Palatino Linotype" w:hAnsi="Palatino Linotype" w:cs="Palatino Linotype"/>
        </w:rPr>
        <w:t>guno de los supuestos de reserva que enmarca la Ley de Transparencia y Acceso a la Información Pública del Estado de México y Municipios deberá efectuar la clasificación correspondiente, debidamente fundada y motivada, en términos de las hipótesis prevista</w:t>
      </w:r>
      <w:r>
        <w:rPr>
          <w:rFonts w:ascii="Palatino Linotype" w:eastAsia="Palatino Linotype" w:hAnsi="Palatino Linotype" w:cs="Palatino Linotype"/>
        </w:rPr>
        <w:t xml:space="preserve">s en el ordinal 140 de la Ley de Transparencia y Acceso a la Información Pública del Estado de México y Municipios; así como, de lo dispuesto por los Lineamientos Generales en materia de Clasificación y Desclasificación de la Información, así como para la </w:t>
      </w:r>
      <w:r>
        <w:rPr>
          <w:rFonts w:ascii="Palatino Linotype" w:eastAsia="Palatino Linotype" w:hAnsi="Palatino Linotype" w:cs="Palatino Linotype"/>
        </w:rPr>
        <w:t>elaboración de Versiones Públicas.</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w:t>
      </w:r>
      <w:r>
        <w:rPr>
          <w:rFonts w:ascii="Palatino Linotype" w:eastAsia="Palatino Linotype" w:hAnsi="Palatino Linotype" w:cs="Palatino Linotype"/>
        </w:rPr>
        <w:t>ralmente por razones de interés público y en los términos expresamente señalados en la Ley, es decir, el derecho de acceso a la información pública no es absoluto pero su restricción debe estar sujeta a un sistema rígido de excepciones, en el que los Sujet</w:t>
      </w:r>
      <w:r>
        <w:rPr>
          <w:rFonts w:ascii="Palatino Linotype" w:eastAsia="Palatino Linotype" w:hAnsi="Palatino Linotype" w:cs="Palatino Linotype"/>
        </w:rPr>
        <w:t xml:space="preserve">os Obligados deben fundamentar </w:t>
      </w:r>
      <w:r>
        <w:rPr>
          <w:rFonts w:ascii="Palatino Linotype" w:eastAsia="Palatino Linotype" w:hAnsi="Palatino Linotype" w:cs="Palatino Linotype"/>
        </w:rPr>
        <w:lastRenderedPageBreak/>
        <w:t>y argumentar las causas de interés público que se ponen en riesgo al liberarse la información, señalando un plazo justificado para la reserva de la información.</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pertinente aclarar que, la información que se clasifica b</w:t>
      </w:r>
      <w:r>
        <w:rPr>
          <w:rFonts w:ascii="Palatino Linotype" w:eastAsia="Palatino Linotype" w:hAnsi="Palatino Linotype" w:cs="Palatino Linotype"/>
        </w:rPr>
        <w:t xml:space="preserve">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w:t>
      </w:r>
      <w:r>
        <w:rPr>
          <w:rFonts w:ascii="Palatino Linotype" w:eastAsia="Palatino Linotype" w:hAnsi="Palatino Linotype" w:cs="Palatino Linotype"/>
        </w:rPr>
        <w:t>zo de reserva, el documento podrá divulgarse.</w:t>
      </w:r>
    </w:p>
    <w:p w:rsidR="00700108" w:rsidRDefault="00302726">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w:t>
      </w:r>
      <w:r>
        <w:rPr>
          <w:rFonts w:ascii="Palatino Linotype" w:eastAsia="Palatino Linotype" w:hAnsi="Palatino Linotype" w:cs="Palatino Linotype"/>
        </w:rPr>
        <w:t>rio a valores jurídicamente protegidos. Lo anterior encuentra sustento en la Tesis de la Décima Época, publicada en la Gaceta del Semanario Judicial de la Federación, sección Tribunales Colegiados de Circuito, Libro 5, de fecha abril de 2014, pág. 1523, Re</w:t>
      </w:r>
      <w:r>
        <w:rPr>
          <w:rFonts w:ascii="Palatino Linotype" w:eastAsia="Palatino Linotype" w:hAnsi="Palatino Linotype" w:cs="Palatino Linotype"/>
        </w:rPr>
        <w:t>gistro, 2,006,299. I.1o.A.E.3 K (10a.)</w:t>
      </w:r>
      <w:r>
        <w:rPr>
          <w:rFonts w:ascii="Palatino Linotype" w:eastAsia="Palatino Linotype" w:hAnsi="Palatino Linotype" w:cs="Palatino Linotype"/>
          <w:color w:val="000000"/>
        </w:rPr>
        <w:t>, que literalmente señala:</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w:t>
      </w:r>
      <w:r>
        <w:rPr>
          <w:rFonts w:ascii="Palatino Linotype" w:eastAsia="Palatino Linotype" w:hAnsi="Palatino Linotype" w:cs="Palatino Linotype"/>
          <w:b/>
          <w:i/>
          <w:sz w:val="22"/>
          <w:szCs w:val="22"/>
        </w:rPr>
        <w:t>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w:t>
      </w:r>
      <w:r>
        <w:rPr>
          <w:rFonts w:ascii="Palatino Linotype" w:eastAsia="Palatino Linotype" w:hAnsi="Palatino Linotype" w:cs="Palatino Linotype"/>
          <w:i/>
          <w:sz w:val="22"/>
          <w:szCs w:val="22"/>
        </w:rPr>
        <w:t>daño desproporcionado o innecesario a valores jurídicamente protegidos, lo cual debe evitarse, en la medida de lo posible, frente a aquella que debe ser accesible al quejoso en el amparo para hacer viable su defensa efectiva y cuestionar violaciones a dere</w:t>
      </w:r>
      <w:r>
        <w:rPr>
          <w:rFonts w:ascii="Palatino Linotype" w:eastAsia="Palatino Linotype" w:hAnsi="Palatino Linotype" w:cs="Palatino Linotype"/>
          <w:i/>
          <w:sz w:val="22"/>
          <w:szCs w:val="22"/>
        </w:rPr>
        <w:t xml:space="preserve">chos fundamentales, lo que implica un interés público en abrir o desclasificar la información necesaria para ese efecto, cuando la autoridad responsable que la aporta al juicio la clasifica como reservada. Por tanto, es necesario distinguir esas </w:t>
      </w:r>
      <w:r>
        <w:rPr>
          <w:rFonts w:ascii="Palatino Linotype" w:eastAsia="Palatino Linotype" w:hAnsi="Palatino Linotype" w:cs="Palatino Linotype"/>
          <w:i/>
          <w:sz w:val="22"/>
          <w:szCs w:val="22"/>
        </w:rPr>
        <w:lastRenderedPageBreak/>
        <w:t>diferencia</w:t>
      </w:r>
      <w:r>
        <w:rPr>
          <w:rFonts w:ascii="Palatino Linotype" w:eastAsia="Palatino Linotype" w:hAnsi="Palatino Linotype" w:cs="Palatino Linotype"/>
          <w:i/>
          <w:sz w:val="22"/>
          <w:szCs w:val="22"/>
        </w:rPr>
        <w:t xml:space="preserve">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w:t>
      </w:r>
      <w:r>
        <w:rPr>
          <w:rFonts w:ascii="Palatino Linotype" w:eastAsia="Palatino Linotype" w:hAnsi="Palatino Linotype" w:cs="Palatino Linotype"/>
          <w:i/>
          <w:sz w:val="22"/>
          <w:szCs w:val="22"/>
        </w:rPr>
        <w:t>lica para la parte interesada.”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determina que la información en su poder </w:t>
      </w:r>
      <w:proofErr w:type="spellStart"/>
      <w:r>
        <w:rPr>
          <w:rFonts w:ascii="Palatino Linotype" w:eastAsia="Palatino Linotype" w:hAnsi="Palatino Linotype" w:cs="Palatino Linotype"/>
        </w:rPr>
        <w:t>actualiza</w:t>
      </w:r>
      <w:proofErr w:type="spellEnd"/>
      <w:r>
        <w:rPr>
          <w:rFonts w:ascii="Palatino Linotype" w:eastAsia="Palatino Linotype" w:hAnsi="Palatino Linotype" w:cs="Palatino Linotype"/>
        </w:rPr>
        <w:t xml:space="preserve"> alguno de los</w:t>
      </w:r>
      <w:r>
        <w:rPr>
          <w:rFonts w:ascii="Palatino Linotype" w:eastAsia="Palatino Linotype" w:hAnsi="Palatino Linotype" w:cs="Palatino Linotype"/>
        </w:rPr>
        <w:t xml:space="preserve"> supuestos conforme a las normas aplicables.</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virtud, conforme al artículo 49, fracción VIII de la Ley de Transparencia y Acceso a la Información Pública del Estado de México y Municipios, los Comités de Transparencia tienen la atribución de aprobar,</w:t>
      </w:r>
      <w:r>
        <w:rPr>
          <w:rFonts w:ascii="Palatino Linotype" w:eastAsia="Palatino Linotype" w:hAnsi="Palatino Linotype" w:cs="Palatino Linotype"/>
        </w:rPr>
        <w:t xml:space="preserve"> modificar o revocar la clasificación de la información, mientras que el artículo 128 de la misma Ley, indica que en los casos en que se niegue el acceso a la información por actualizarse alguno de los supuestos de clasificación, el Comité de Transparencia</w:t>
      </w:r>
      <w:r>
        <w:rPr>
          <w:rFonts w:ascii="Palatino Linotype" w:eastAsia="Palatino Linotype" w:hAnsi="Palatino Linotype" w:cs="Palatino Linotype"/>
        </w:rPr>
        <w:t xml:space="preserve"> debe confirmar, modificar o revocar la decisión, para motivar la clasificación de la información y la ampliación del plazo de reserva,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w:t>
      </w:r>
      <w:r>
        <w:rPr>
          <w:rFonts w:ascii="Palatino Linotype" w:eastAsia="Palatino Linotype" w:hAnsi="Palatino Linotype" w:cs="Palatino Linotype"/>
        </w:rPr>
        <w:t xml:space="preserve"> caso particular se ajusta al supuesto previsto por la norma legal invocada como fundamento; siendo que, además,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en todo momento, aplicar una prueba de daño.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w:t>
      </w:r>
      <w:r>
        <w:rPr>
          <w:rFonts w:ascii="Palatino Linotype" w:eastAsia="Palatino Linotype" w:hAnsi="Palatino Linotype" w:cs="Palatino Linotype"/>
        </w:rPr>
        <w:t xml:space="preserve">nsabilidad de los Sujetos Obligados de demostrar, de manera fundada y motivada, que la divulgación de la información lesiona el interés debidamente protegido por la Ley y que el menoscabo o daño que puede producirse con la publicidad de la información, es </w:t>
      </w:r>
      <w:r>
        <w:rPr>
          <w:rFonts w:ascii="Palatino Linotype" w:eastAsia="Palatino Linotype" w:hAnsi="Palatino Linotype" w:cs="Palatino Linotype"/>
        </w:rPr>
        <w:t>mayor que el interés de conocerla; por lo que, debe clasificarse como reservada.</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en correlación con el 49, fracción II de la Ley de Transparencia y Acceso a la Información Pública del Estado de México y Municipios, pa</w:t>
      </w:r>
      <w:r>
        <w:rPr>
          <w:rFonts w:ascii="Palatino Linotype" w:eastAsia="Palatino Linotype" w:hAnsi="Palatino Linotype" w:cs="Palatino Linotype"/>
        </w:rPr>
        <w:t>ra clasificar la información se debe de atender a lo dispuesto por la normativa y aplicar, de manera estricta, las excepciones del derecho de acceso a la información y sólo podrán invocarlas cuando acrediten su procedencia, debiendo clasificar la informaci</w:t>
      </w:r>
      <w:r>
        <w:rPr>
          <w:rFonts w:ascii="Palatino Linotype" w:eastAsia="Palatino Linotype" w:hAnsi="Palatino Linotype" w:cs="Palatino Linotype"/>
        </w:rPr>
        <w:t>ón en el momento en que:</w:t>
      </w:r>
    </w:p>
    <w:p w:rsidR="00700108" w:rsidRDefault="00302726">
      <w:pPr>
        <w:numPr>
          <w:ilvl w:val="0"/>
          <w:numId w:val="1"/>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700108" w:rsidRDefault="00302726">
      <w:pPr>
        <w:numPr>
          <w:ilvl w:val="0"/>
          <w:numId w:val="1"/>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700108" w:rsidRDefault="00302726">
      <w:pPr>
        <w:numPr>
          <w:ilvl w:val="0"/>
          <w:numId w:val="1"/>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w:t>
      </w:r>
      <w:r>
        <w:rPr>
          <w:rFonts w:ascii="Palatino Linotype" w:eastAsia="Palatino Linotype" w:hAnsi="Palatino Linotype" w:cs="Palatino Linotype"/>
        </w:rPr>
        <w:t>n que se robustece con el artículo 141 de la misma Ley, que señala que las causales de reserva previstas, se deberán fundar y motivar, a través de la aplicación de la prueba de daño.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la clasificación de la información debe estar sustentada en e</w:t>
      </w:r>
      <w:r>
        <w:rPr>
          <w:rFonts w:ascii="Palatino Linotype" w:eastAsia="Palatino Linotype" w:hAnsi="Palatino Linotype" w:cs="Palatino Linotype"/>
        </w:rPr>
        <w:t xml:space="preserve">l Acuerdo de Clasificación correspondiente, en el que, de manera fundada y motivada, se establezcan las hipótesis normativas aplicables al caso concreto y se analice la prueba de daño que prevé el artículo 129 de la Ley de Transparencia de mérito, para lo </w:t>
      </w:r>
      <w:r>
        <w:rPr>
          <w:rFonts w:ascii="Palatino Linotype" w:eastAsia="Palatino Linotype" w:hAnsi="Palatino Linotype" w:cs="Palatino Linotype"/>
        </w:rPr>
        <w:t xml:space="preserve">cual, los Sujetos Obligados deberán considerar que: </w:t>
      </w:r>
    </w:p>
    <w:p w:rsidR="00700108" w:rsidRDefault="00302726">
      <w:pPr>
        <w:numPr>
          <w:ilvl w:val="0"/>
          <w:numId w:val="2"/>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700108" w:rsidRDefault="00302726">
      <w:pPr>
        <w:numPr>
          <w:ilvl w:val="0"/>
          <w:numId w:val="2"/>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rsidR="00700108" w:rsidRDefault="00302726">
      <w:pPr>
        <w:numPr>
          <w:ilvl w:val="0"/>
          <w:numId w:val="2"/>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700108" w:rsidRDefault="00302726">
      <w:pPr>
        <w:widowControl w:val="0"/>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Atento a lo a</w:t>
      </w:r>
      <w:r>
        <w:rPr>
          <w:rFonts w:ascii="Palatino Linotype" w:eastAsia="Palatino Linotype" w:hAnsi="Palatino Linotype" w:cs="Palatino Linotype"/>
        </w:rPr>
        <w:t>nterior, es necesario hacer hincapié que para el caso de que existan causas presentes que impiden la publicidad de la información durante cierto periodo de tiempo, debe clasificar la información como reservada, precisar las razones objetivas por las que la</w:t>
      </w:r>
      <w:r>
        <w:rPr>
          <w:rFonts w:ascii="Palatino Linotype" w:eastAsia="Palatino Linotype" w:hAnsi="Palatino Linotype" w:cs="Palatino Linotype"/>
        </w:rPr>
        <w:t xml:space="preserve"> apertura de la información generaría una afectación, asimismo es claro que los mismos deben aplicar de manera restrictiva y limitada las hipótesis de clasificación y no hacerlas valer de manera general.</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w:t>
      </w:r>
      <w:r>
        <w:rPr>
          <w:rFonts w:ascii="Palatino Linotype" w:eastAsia="Palatino Linotype" w:hAnsi="Palatino Linotype" w:cs="Palatino Linotype"/>
        </w:rPr>
        <w:t xml:space="preserve">Datos Personales no omite mencionar que, si dentro de la información que se ordena su entrega,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advierte documentos que por su propia y especial naturaleza son privados, deberá efectuar el Acuerdo de Clasificación como confidencial, en té</w:t>
      </w:r>
      <w:r>
        <w:rPr>
          <w:rFonts w:ascii="Palatino Linotype" w:eastAsia="Palatino Linotype" w:hAnsi="Palatino Linotype" w:cs="Palatino Linotype"/>
        </w:rPr>
        <w:t>rminos de la legislación aplicable y en los términos abordados con antelación.</w:t>
      </w:r>
    </w:p>
    <w:p w:rsidR="00700108" w:rsidRDefault="00302726">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w:t>
      </w:r>
      <w:r>
        <w:rPr>
          <w:rFonts w:ascii="Palatino Linotype" w:eastAsia="Palatino Linotype" w:hAnsi="Palatino Linotype" w:cs="Palatino Linotype"/>
        </w:rPr>
        <w:t>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w:t>
      </w:r>
      <w:r>
        <w:rPr>
          <w:rFonts w:ascii="Palatino Linotype" w:eastAsia="Palatino Linotype" w:hAnsi="Palatino Linotype" w:cs="Palatino Linotype"/>
        </w:rPr>
        <w:t xml:space="preserve">ncertidumbre, al no conocer o comprender las razones por las que se clasifica la documentación respectiva, es decir, si no se exponen de manera </w:t>
      </w:r>
      <w:r>
        <w:rPr>
          <w:rFonts w:ascii="Palatino Linotype" w:eastAsia="Palatino Linotype" w:hAnsi="Palatino Linotype" w:cs="Palatino Linotype"/>
        </w:rPr>
        <w:lastRenderedPageBreak/>
        <w:t>puntual las razones de ello se estaría violentando el Derecho de Acceso a la Información del solicitante.</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w:t>
      </w:r>
      <w:r>
        <w:rPr>
          <w:rFonts w:ascii="Palatino Linotype" w:eastAsia="Palatino Linotype" w:hAnsi="Palatino Linotype" w:cs="Palatino Linotype"/>
        </w:rPr>
        <w:t xml:space="preserve">ra parte, esta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w:t>
      </w:r>
      <w:r>
        <w:rPr>
          <w:rFonts w:ascii="Palatino Linotype" w:eastAsia="Palatino Linotype" w:hAnsi="Palatino Linotype" w:cs="Palatino Linotype"/>
        </w:rPr>
        <w:t>aratoria de inexistencia de la misma.</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w:t>
      </w:r>
      <w:r>
        <w:rPr>
          <w:rFonts w:ascii="Palatino Linotype" w:eastAsia="Palatino Linotype" w:hAnsi="Palatino Linotype" w:cs="Palatino Linotype"/>
        </w:rPr>
        <w:t>rive del ejercicio de sus facultades, competencias o funciones y que se presume que la información debe existir si se refiere a dichas facultades, competencias y/o funciones.</w:t>
      </w:r>
    </w:p>
    <w:p w:rsidR="00700108" w:rsidRDefault="00302726">
      <w:pPr>
        <w:shd w:val="clear" w:color="auto" w:fill="FFFFFF"/>
        <w:spacing w:before="280" w:after="280" w:line="360" w:lineRule="auto"/>
        <w:jc w:val="both"/>
        <w:rPr>
          <w:rFonts w:ascii="Georgia" w:eastAsia="Georgia" w:hAnsi="Georgia" w:cs="Georgia"/>
        </w:rPr>
      </w:pPr>
      <w:r>
        <w:rPr>
          <w:rFonts w:ascii="Palatino Linotype" w:eastAsia="Palatino Linotype" w:hAnsi="Palatino Linotype" w:cs="Palatino Linotype"/>
        </w:rPr>
        <w:t>En tal caso, la declaratoria a que se ha hecho referencia deberá realizarse, conf</w:t>
      </w:r>
      <w:r>
        <w:rPr>
          <w:rFonts w:ascii="Palatino Linotype" w:eastAsia="Palatino Linotype" w:hAnsi="Palatino Linotype" w:cs="Palatino Linotype"/>
        </w:rPr>
        <w:t>orme a lo dispuesto en los artículos 49, fracciones II y XIII, 169 y 170 de la Ley de Transparencia y Acceso a la Información Pública del Estado de México y Municipios, que establecen la forma en que los Sujetos Obligados deben dar curso a las Declaratoria</w:t>
      </w:r>
      <w:r>
        <w:rPr>
          <w:rFonts w:ascii="Palatino Linotype" w:eastAsia="Palatino Linotype" w:hAnsi="Palatino Linotype" w:cs="Palatino Linotype"/>
        </w:rPr>
        <w:t>s de Inexistencia.</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w:t>
      </w:r>
      <w:r>
        <w:rPr>
          <w:rFonts w:ascii="Palatino Linotype" w:eastAsia="Palatino Linotype" w:hAnsi="Palatino Linotype" w:cs="Palatino Linotype"/>
        </w:rPr>
        <w:t>ce:</w:t>
      </w:r>
    </w:p>
    <w:p w:rsidR="00700108" w:rsidRDefault="0030272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w:t>
      </w:r>
      <w:r>
        <w:rPr>
          <w:rFonts w:ascii="Palatino Linotype" w:eastAsia="Palatino Linotype" w:hAnsi="Palatino Linotype" w:cs="Palatino Linotype"/>
          <w:i/>
          <w:sz w:val="22"/>
          <w:szCs w:val="22"/>
        </w:rPr>
        <w:lastRenderedPageBreak/>
        <w:t>y Municipios, el Comité de Transpar</w:t>
      </w:r>
      <w:r>
        <w:rPr>
          <w:rFonts w:ascii="Palatino Linotype" w:eastAsia="Palatino Linotype" w:hAnsi="Palatino Linotype" w:cs="Palatino Linotype"/>
          <w:i/>
          <w:sz w:val="22"/>
          <w:szCs w:val="22"/>
        </w:rPr>
        <w:t>encia deberá emitir un acuerdo de inexistencia de información debidamente fundado y motivado, para justificar por qué no obra en los archivos del Sujeto Obligado la información que deriva de las facultades, competencias y atribuciones que los ordenamientos</w:t>
      </w:r>
      <w:r>
        <w:rPr>
          <w:rFonts w:ascii="Palatino Linotype" w:eastAsia="Palatino Linotype" w:hAnsi="Palatino Linotype" w:cs="Palatino Linotype"/>
          <w:i/>
          <w:sz w:val="22"/>
          <w:szCs w:val="22"/>
        </w:rPr>
        <w:t xml:space="preserve"> jurídicos aplicables le otorgan, la cual debió generar, poseer y administrar. Por tanto, en términos de los numerales previamente citados, el referido acuerdo de inexistencia procede en los siguientes momentos: a) cuando no se generó, poseyó o administró </w:t>
      </w:r>
      <w:r>
        <w:rPr>
          <w:rFonts w:ascii="Palatino Linotype" w:eastAsia="Palatino Linotype" w:hAnsi="Palatino Linotype" w:cs="Palatino Linotype"/>
          <w:i/>
          <w:sz w:val="22"/>
          <w:szCs w:val="22"/>
        </w:rPr>
        <w:t>el documento teniendo la obligación conforme a la presunción legal que deriva de las facultades, competencias y atribuciones que los ordenamientos jurídicos aplicables le otorgan; b) que habiendo sido generada, poseída o administrada, por algún motivo ya n</w:t>
      </w:r>
      <w:r>
        <w:rPr>
          <w:rFonts w:ascii="Palatino Linotype" w:eastAsia="Palatino Linotype" w:hAnsi="Palatino Linotype" w:cs="Palatino Linotype"/>
          <w:i/>
          <w:sz w:val="22"/>
          <w:szCs w:val="22"/>
        </w:rPr>
        <w:t>o se cuenta con la información solicitada; o bien, c) cuando el Sujeto Obligado fue omiso en ejercer una facultad, competencia o atribución inexcusable. Supuestos que, de actualizarse, deberán acreditarse con las exigencias legales contempladas en los nume</w:t>
      </w:r>
      <w:r>
        <w:rPr>
          <w:rFonts w:ascii="Palatino Linotype" w:eastAsia="Palatino Linotype" w:hAnsi="Palatino Linotype" w:cs="Palatino Linotype"/>
          <w:i/>
          <w:sz w:val="22"/>
          <w:szCs w:val="22"/>
        </w:rPr>
        <w:t>rales 49, fracción II, 169 y 170 de la Ley de Transparencia de la entidad, a través de una resolución del Comité de Transparencia del Sujeto Obligado que confirme la inexistencia de la información, acto jurídico que genera certeza jurídica al particular de</w:t>
      </w:r>
      <w:r>
        <w:rPr>
          <w:rFonts w:ascii="Palatino Linotype" w:eastAsia="Palatino Linotype" w:hAnsi="Palatino Linotype" w:cs="Palatino Linotype"/>
          <w:i/>
          <w:sz w:val="22"/>
          <w:szCs w:val="22"/>
        </w:rPr>
        <w:t xml:space="preserve"> que se realizó un criterio de búsqueda exhaustivo y razonable con la debida justificación de la falta de información y en su caso, las consecuencias de ello.</w:t>
      </w:r>
    </w:p>
    <w:p w:rsidR="00700108" w:rsidRDefault="00302726">
      <w:pPr>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 xml:space="preserve"> (Énfasis añadido)</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como el criterio 04/17 emitido por el Instituto Nacional de Transparencia,</w:t>
      </w:r>
      <w:r>
        <w:rPr>
          <w:rFonts w:ascii="Palatino Linotype" w:eastAsia="Palatino Linotype" w:hAnsi="Palatino Linotype" w:cs="Palatino Linotype"/>
        </w:rPr>
        <w:t xml:space="preserve"> Acceso a la Información y Protección de Datos Personales que señala:</w:t>
      </w:r>
    </w:p>
    <w:p w:rsidR="00700108" w:rsidRDefault="00302726">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Inexistencia.</w:t>
      </w:r>
      <w:r>
        <w:rPr>
          <w:rFonts w:ascii="Palatino Linotype" w:eastAsia="Palatino Linotype" w:hAnsi="Palatino Linotype" w:cs="Palatino Linotype"/>
          <w:i/>
          <w:sz w:val="22"/>
          <w:szCs w:val="22"/>
        </w:rPr>
        <w:t xml:space="preserve"> La inexistencia es una cuestión de hecho que se atribuye a la información solicitada e implica que ésta no se encuentra en los archivos del sujeto obligado, no obstante que</w:t>
      </w:r>
      <w:r>
        <w:rPr>
          <w:rFonts w:ascii="Palatino Linotype" w:eastAsia="Palatino Linotype" w:hAnsi="Palatino Linotype" w:cs="Palatino Linotype"/>
          <w:i/>
          <w:sz w:val="22"/>
          <w:szCs w:val="22"/>
        </w:rPr>
        <w:t xml:space="preserve"> cuenta con facultades para poseerla.</w:t>
      </w:r>
    </w:p>
    <w:p w:rsidR="00700108" w:rsidRDefault="0030272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la respuesta a la solicitud de acceso a la información, atendiendo lo señalado en el presente Considerando.</w:t>
      </w:r>
    </w:p>
    <w:p w:rsidR="00700108" w:rsidRDefault="00302726">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se reitera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respuesta a la solicitud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w:t>
      </w:r>
      <w:r>
        <w:rPr>
          <w:rFonts w:ascii="Palatino Linotype" w:eastAsia="Palatino Linotype" w:hAnsi="Palatino Linotype" w:cs="Palatino Linotype"/>
          <w:b/>
        </w:rPr>
        <w:t xml:space="preserve">se ordena dar vista al Titular de la Contraloría Interna y Órgano de Control </w:t>
      </w:r>
      <w:r>
        <w:rPr>
          <w:rFonts w:ascii="Palatino Linotype" w:eastAsia="Palatino Linotype" w:hAnsi="Palatino Linotype" w:cs="Palatino Linotype"/>
          <w:b/>
        </w:rPr>
        <w:t>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w:t>
      </w:r>
      <w:r>
        <w:rPr>
          <w:rFonts w:ascii="Palatino Linotype" w:eastAsia="Palatino Linotype" w:hAnsi="Palatino Linotype" w:cs="Palatino Linotype"/>
        </w:rPr>
        <w:t>rmación Pública del Estado de México y Municipios.</w:t>
      </w:r>
    </w:p>
    <w:p w:rsidR="00700108" w:rsidRDefault="00302726">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por los artículos 5, párrafos trigésimo, trigésimo primero y trigésimo segundo de la Constitución Política del Estado Libre y Soberano de México; 2, fracción II, 19, 29, </w:t>
      </w:r>
      <w:r>
        <w:rPr>
          <w:rFonts w:ascii="Palatino Linotype" w:eastAsia="Palatino Linotype" w:hAnsi="Palatino Linotype" w:cs="Palatino Linotype"/>
        </w:rPr>
        <w:t xml:space="preserve">36, fracciones I y II, 176, 178, 179, 181, 185, fracción I, 186 y 188 de la Ley de Transparencia y Acceso a la Información Pública del Estado de México y Municipios, este Pleno: </w:t>
      </w:r>
    </w:p>
    <w:p w:rsidR="00700108" w:rsidRDefault="00302726">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rsidR="00700108" w:rsidRDefault="00700108">
      <w:pPr>
        <w:jc w:val="center"/>
        <w:rPr>
          <w:rFonts w:ascii="Palatino Linotype" w:eastAsia="Palatino Linotype" w:hAnsi="Palatino Linotype" w:cs="Palatino Linotype"/>
          <w:b/>
          <w:sz w:val="28"/>
          <w:szCs w:val="28"/>
        </w:rPr>
      </w:pPr>
    </w:p>
    <w:p w:rsidR="00700108" w:rsidRDefault="00302726">
      <w:pPr>
        <w:widowControl w:val="0"/>
        <w:numPr>
          <w:ilvl w:val="0"/>
          <w:numId w:val="3"/>
        </w:numPr>
        <w:tabs>
          <w:tab w:val="left" w:pos="1701"/>
        </w:tabs>
        <w:spacing w:before="240"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w:t>
      </w:r>
      <w:r>
        <w:rPr>
          <w:rFonts w:ascii="Palatino Linotype" w:eastAsia="Palatino Linotype" w:hAnsi="Palatino Linotype" w:cs="Palatino Linotype"/>
          <w:highlight w:val="white"/>
        </w:rPr>
        <w:t>razones</w:t>
      </w:r>
      <w:r>
        <w:rPr>
          <w:rFonts w:ascii="Palatino Linotype" w:eastAsia="Palatino Linotype" w:hAnsi="Palatino Linotype" w:cs="Palatino Linotype"/>
        </w:rPr>
        <w:t xml:space="preserve"> o motivos de inconformidad hechas val</w:t>
      </w:r>
      <w:r>
        <w:rPr>
          <w:rFonts w:ascii="Palatino Linotype" w:eastAsia="Palatino Linotype" w:hAnsi="Palatino Linotype" w:cs="Palatino Linotype"/>
        </w:rPr>
        <w:t xml:space="preserve">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rsidR="00700108" w:rsidRDefault="00302726">
      <w:pPr>
        <w:widowControl w:val="0"/>
        <w:numPr>
          <w:ilvl w:val="0"/>
          <w:numId w:val="3"/>
        </w:numPr>
        <w:tabs>
          <w:tab w:val="left" w:pos="1701"/>
        </w:tabs>
        <w:spacing w:before="240"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color w:val="222222"/>
        </w:rPr>
        <w:t>Se</w:t>
      </w:r>
      <w:r>
        <w:rPr>
          <w:rFonts w:ascii="Palatino Linotype" w:eastAsia="Palatino Linotype" w:hAnsi="Palatino Linotype" w:cs="Palatino Linotype"/>
          <w:b/>
          <w:color w:val="222222"/>
        </w:rPr>
        <w:t xml:space="preserve"> 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atienda a la solicitud de acceso a la información pública que dio origen al recurso de revisión con número </w:t>
      </w:r>
      <w:r>
        <w:rPr>
          <w:rFonts w:ascii="Palatino Linotype" w:eastAsia="Palatino Linotype" w:hAnsi="Palatino Linotype" w:cs="Palatino Linotype"/>
          <w:b/>
        </w:rPr>
        <w:t xml:space="preserve">05072/INFOEM/IP/RR/2021, </w:t>
      </w:r>
      <w:r>
        <w:rPr>
          <w:rFonts w:ascii="Palatino Linotype" w:eastAsia="Palatino Linotype" w:hAnsi="Palatino Linotype" w:cs="Palatino Linotype"/>
          <w:color w:val="222222"/>
        </w:rPr>
        <w:t>en término</w:t>
      </w:r>
      <w:r>
        <w:rPr>
          <w:rFonts w:ascii="Palatino Linotype" w:eastAsia="Palatino Linotype" w:hAnsi="Palatino Linotype" w:cs="Palatino Linotype"/>
          <w:color w:val="222222"/>
        </w:rPr>
        <w:t xml:space="preserve">s del Considerando </w:t>
      </w:r>
      <w:r>
        <w:rPr>
          <w:rFonts w:ascii="Palatino Linotype" w:eastAsia="Palatino Linotype" w:hAnsi="Palatino Linotype" w:cs="Palatino Linotype"/>
          <w:b/>
          <w:color w:val="222222"/>
        </w:rPr>
        <w:t xml:space="preserve">QUINTO </w:t>
      </w:r>
      <w:r>
        <w:rPr>
          <w:rFonts w:ascii="Palatino Linotype" w:eastAsia="Palatino Linotype" w:hAnsi="Palatino Linotype" w:cs="Palatino Linotype"/>
          <w:color w:val="222222"/>
        </w:rPr>
        <w:t xml:space="preserve">de esta resolución; y emita la respuesta vía </w:t>
      </w:r>
      <w:r>
        <w:rPr>
          <w:rFonts w:ascii="Palatino Linotype" w:eastAsia="Palatino Linotype" w:hAnsi="Palatino Linotype" w:cs="Palatino Linotype"/>
          <w:b/>
          <w:color w:val="222222"/>
        </w:rPr>
        <w:t>SAIMEX</w:t>
      </w:r>
      <w:r>
        <w:rPr>
          <w:rFonts w:ascii="Palatino Linotype" w:eastAsia="Palatino Linotype" w:hAnsi="Palatino Linotype" w:cs="Palatino Linotype"/>
          <w:color w:val="222222"/>
        </w:rPr>
        <w:t>, debiendo observar las excepciones contenidas en la Ley de Transparencia y Acceso a la Información Pública del Estado de México y Municipios, que en su caso resulten aplicables.</w:t>
      </w:r>
    </w:p>
    <w:p w:rsidR="00700108" w:rsidRDefault="00302726">
      <w:pPr>
        <w:widowControl w:val="0"/>
        <w:numPr>
          <w:ilvl w:val="0"/>
          <w:numId w:val="3"/>
        </w:numPr>
        <w:tabs>
          <w:tab w:val="left" w:pos="1701"/>
        </w:tabs>
        <w:spacing w:before="240" w:line="360" w:lineRule="auto"/>
        <w:ind w:left="0" w:firstLine="0"/>
        <w:jc w:val="both"/>
        <w:rPr>
          <w:rFonts w:ascii="Palatino Linotype" w:eastAsia="Palatino Linotype" w:hAnsi="Palatino Linotype" w:cs="Palatino Linotype"/>
          <w:highlight w:val="white"/>
        </w:rPr>
      </w:pPr>
      <w:r>
        <w:rPr>
          <w:rFonts w:ascii="Palatino Linotype" w:eastAsia="Palatino Linotype" w:hAnsi="Palatino Linotype" w:cs="Palatino Linotype"/>
        </w:rPr>
        <w:lastRenderedPageBreak/>
        <w:t>Con fundamento en el artículo 198 de la Ley de Transparencia y Acceso a la Información Pública del Estado de México y Municipios, se apercibe al Sujeto Obligado que, en caso de negarse a cumplir la presente resolución o hacerlo de manera parcial se actuará</w:t>
      </w:r>
      <w:r>
        <w:rPr>
          <w:rFonts w:ascii="Palatino Linotype" w:eastAsia="Palatino Linotype" w:hAnsi="Palatino Linotype" w:cs="Palatino Linotype"/>
        </w:rPr>
        <w:t xml:space="preserve"> de conformidad con lo previsto en los artículos 213, 214, 216 y 217 de dicha Ley.</w:t>
      </w:r>
      <w:r>
        <w:rPr>
          <w:rFonts w:ascii="Palatino Linotype" w:eastAsia="Palatino Linotype" w:hAnsi="Palatino Linotype" w:cs="Palatino Linotype"/>
          <w:b/>
        </w:rPr>
        <w:t xml:space="preserve"> </w:t>
      </w:r>
    </w:p>
    <w:p w:rsidR="00700108" w:rsidRDefault="00302726">
      <w:pPr>
        <w:widowControl w:val="0"/>
        <w:numPr>
          <w:ilvl w:val="0"/>
          <w:numId w:val="3"/>
        </w:numPr>
        <w:tabs>
          <w:tab w:val="left" w:pos="1701"/>
        </w:tabs>
        <w:spacing w:before="240" w:line="360" w:lineRule="auto"/>
        <w:ind w:left="0" w:firstLine="0"/>
        <w:jc w:val="both"/>
        <w:rPr>
          <w:rFonts w:ascii="Palatino Linotype" w:eastAsia="Palatino Linotype" w:hAnsi="Palatino Linotype" w:cs="Palatino Linotype"/>
          <w:highlight w:val="white"/>
        </w:rPr>
      </w:pPr>
      <w:r>
        <w:rPr>
          <w:rFonts w:ascii="Palatino Linotype" w:eastAsia="Palatino Linotype" w:hAnsi="Palatino Linotype" w:cs="Palatino Linotype"/>
          <w:b/>
        </w:rPr>
        <w:t>Notifíquese</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a la </w:t>
      </w:r>
      <w:r>
        <w:rPr>
          <w:rFonts w:ascii="Palatino Linotype" w:eastAsia="Palatino Linotype" w:hAnsi="Palatino Linotype" w:cs="Palatino Linotype"/>
        </w:rPr>
        <w:t>Titular</w:t>
      </w:r>
      <w:r>
        <w:rPr>
          <w:rFonts w:ascii="Palatino Linotype" w:eastAsia="Palatino Linotype" w:hAnsi="Palatino Linotype" w:cs="Palatino Linotype"/>
          <w:highlight w:val="white"/>
        </w:rPr>
        <w:t xml:space="preserv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para que, </w:t>
      </w:r>
      <w:r>
        <w:rPr>
          <w:rFonts w:ascii="Palatino Linotype" w:eastAsia="Palatino Linotype" w:hAnsi="Palatino Linotype" w:cs="Palatino Linotype"/>
        </w:rPr>
        <w:t>conforme</w:t>
      </w:r>
      <w:r>
        <w:rPr>
          <w:rFonts w:ascii="Palatino Linotype" w:eastAsia="Palatino Linotype" w:hAnsi="Palatino Linotype" w:cs="Palatino Linotype"/>
          <w:highlight w:val="white"/>
        </w:rPr>
        <w:t xml:space="preserve"> a los artículos 186, último párrafo y 189, párrafo segundo de la Ley de </w:t>
      </w:r>
      <w:r>
        <w:rPr>
          <w:rFonts w:ascii="Palatino Linotype" w:eastAsia="Palatino Linotype" w:hAnsi="Palatino Linotype" w:cs="Palatino Linotype"/>
        </w:rPr>
        <w:t>Transp</w:t>
      </w:r>
      <w:r>
        <w:rPr>
          <w:rFonts w:ascii="Palatino Linotype" w:eastAsia="Palatino Linotype" w:hAnsi="Palatino Linotype" w:cs="Palatino Linotype"/>
        </w:rPr>
        <w:t>arencia</w:t>
      </w:r>
      <w:r>
        <w:rPr>
          <w:rFonts w:ascii="Palatino Linotype" w:eastAsia="Palatino Linotype" w:hAnsi="Palatino Linotype" w:cs="Palatino Linotype"/>
          <w:highlight w:val="white"/>
        </w:rPr>
        <w:t xml:space="preserve"> y </w:t>
      </w:r>
      <w:r>
        <w:rPr>
          <w:rFonts w:ascii="Palatino Linotype" w:eastAsia="Palatino Linotype" w:hAnsi="Palatino Linotype" w:cs="Palatino Linotype"/>
        </w:rPr>
        <w:t>Acceso</w:t>
      </w:r>
      <w:r>
        <w:rPr>
          <w:rFonts w:ascii="Palatino Linotype" w:eastAsia="Palatino Linotype" w:hAnsi="Palatino Linotype" w:cs="Palatino Linotype"/>
          <w:highlight w:val="white"/>
        </w:rPr>
        <w:t xml:space="preserve"> a la Información Pública del Estado de México y Municipios, dé </w:t>
      </w:r>
      <w:r>
        <w:rPr>
          <w:rFonts w:ascii="Palatino Linotype" w:eastAsia="Palatino Linotype" w:hAnsi="Palatino Linotype" w:cs="Palatino Linotype"/>
        </w:rPr>
        <w:t>cumplimiento</w:t>
      </w:r>
      <w:r>
        <w:rPr>
          <w:rFonts w:ascii="Palatino Linotype" w:eastAsia="Palatino Linotype" w:hAnsi="Palatino Linotype" w:cs="Palatino Linotype"/>
          <w:highlight w:val="white"/>
        </w:rPr>
        <w:t xml:space="preserve"> a lo ordenado dentro del plazo de diez días hábiles, debiendo informar a este Instituto en un plazo </w:t>
      </w:r>
      <w:r>
        <w:rPr>
          <w:rFonts w:ascii="Palatino Linotype" w:eastAsia="Palatino Linotype" w:hAnsi="Palatino Linotype" w:cs="Palatino Linotype"/>
        </w:rPr>
        <w:t>de</w:t>
      </w:r>
      <w:r>
        <w:rPr>
          <w:rFonts w:ascii="Palatino Linotype" w:eastAsia="Palatino Linotype" w:hAnsi="Palatino Linotype" w:cs="Palatino Linotype"/>
          <w:highlight w:val="white"/>
        </w:rPr>
        <w:t xml:space="preserve"> tres días hábiles siguientes sobre el cumplimiento dado a la resolución.</w:t>
      </w:r>
    </w:p>
    <w:p w:rsidR="00700108" w:rsidRDefault="00302726">
      <w:pPr>
        <w:widowControl w:val="0"/>
        <w:numPr>
          <w:ilvl w:val="0"/>
          <w:numId w:val="3"/>
        </w:numPr>
        <w:tabs>
          <w:tab w:val="left" w:pos="1701"/>
        </w:tabs>
        <w:spacing w:before="240" w:after="240"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b/>
        </w:rPr>
        <w:t>Notifíquese</w:t>
      </w:r>
      <w:r>
        <w:rPr>
          <w:rFonts w:ascii="Palatino Linotype" w:eastAsia="Palatino Linotype" w:hAnsi="Palatino Linotype" w:cs="Palatino Linotype"/>
        </w:rPr>
        <w:t xml:space="preserv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w:t>
      </w:r>
      <w:r>
        <w:rPr>
          <w:rFonts w:ascii="Palatino Linotype" w:eastAsia="Palatino Linotype" w:hAnsi="Palatino Linotype" w:cs="Palatino Linotype"/>
          <w:highlight w:val="white"/>
        </w:rPr>
        <w:t xml:space="preserve">resolución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SAIMEX</w:t>
      </w:r>
      <w:r>
        <w:rPr>
          <w:rFonts w:ascii="Palatino Linotype" w:eastAsia="Palatino Linotype" w:hAnsi="Palatino Linotype" w:cs="Palatino Linotype"/>
        </w:rPr>
        <w:t>.</w:t>
      </w:r>
    </w:p>
    <w:p w:rsidR="00700108" w:rsidRDefault="00302726">
      <w:pPr>
        <w:widowControl w:val="0"/>
        <w:numPr>
          <w:ilvl w:val="0"/>
          <w:numId w:val="3"/>
        </w:numP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rPr>
        <w:t>Hágase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w:t>
      </w:r>
      <w:r>
        <w:rPr>
          <w:rFonts w:ascii="Palatino Linotype" w:eastAsia="Palatino Linotype" w:hAnsi="Palatino Linotype" w:cs="Palatino Linotype"/>
        </w:rPr>
        <w:t xml:space="preserve"> del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que, de conformidad con lo establecido en el artículo 196 de la Ley de Transparenc</w:t>
      </w:r>
      <w:r>
        <w:rPr>
          <w:rFonts w:ascii="Palatino Linotype" w:eastAsia="Palatino Linotype" w:hAnsi="Palatino Linotype" w:cs="Palatino Linotype"/>
        </w:rPr>
        <w:t>ia y Acceso a la Información Pública del Estado de México y Municipios, podrá impugnarla vía Juicio de Amparo en los términos de las leyes aplicables.</w:t>
      </w:r>
    </w:p>
    <w:p w:rsidR="00700108" w:rsidRDefault="00302726">
      <w:pPr>
        <w:widowControl w:val="0"/>
        <w:numPr>
          <w:ilvl w:val="0"/>
          <w:numId w:val="3"/>
        </w:numP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 xml:space="preserve">Hágase del conocimiento </w:t>
      </w:r>
      <w:r>
        <w:rPr>
          <w:rFonts w:ascii="Palatino Linotype" w:eastAsia="Palatino Linotype" w:hAnsi="Palatino Linotype" w:cs="Palatino Linotype"/>
          <w:color w:val="222222"/>
        </w:rPr>
        <w:t xml:space="preserve">del </w:t>
      </w:r>
      <w:r>
        <w:rPr>
          <w:rFonts w:ascii="Palatino Linotype" w:eastAsia="Palatino Linotype" w:hAnsi="Palatino Linotype" w:cs="Palatino Linotype"/>
          <w:b/>
          <w:color w:val="222222"/>
        </w:rPr>
        <w:t xml:space="preserve">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w:t>
      </w:r>
      <w:r>
        <w:rPr>
          <w:rFonts w:ascii="Palatino Linotype" w:eastAsia="Palatino Linotype" w:hAnsi="Palatino Linotype" w:cs="Palatino Linotype"/>
          <w:color w:val="222222"/>
        </w:rPr>
        <w:t xml:space="preserve"> resolución es susceptible de ser impugnada nuevamente, mediante recurso de revisión, ante el Instituto, en términos del artículo 179, último párrafo de la Ley de Transparencia y Acceso a la Información Pública del Estado de México y Municipios.</w:t>
      </w:r>
    </w:p>
    <w:p w:rsidR="00700108" w:rsidRDefault="00302726">
      <w:pPr>
        <w:widowControl w:val="0"/>
        <w:numPr>
          <w:ilvl w:val="0"/>
          <w:numId w:val="3"/>
        </w:numPr>
        <w:tabs>
          <w:tab w:val="left" w:pos="1701"/>
        </w:tabs>
        <w:spacing w:before="240" w:after="240" w:line="360" w:lineRule="auto"/>
        <w:ind w:left="0" w:right="49" w:firstLine="0"/>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lastRenderedPageBreak/>
        <w:t>Gírese ofi</w:t>
      </w:r>
      <w:r>
        <w:rPr>
          <w:rFonts w:ascii="Palatino Linotype" w:eastAsia="Palatino Linotype" w:hAnsi="Palatino Linotype" w:cs="Palatino Linotype"/>
          <w:b/>
          <w:color w:val="222222"/>
        </w:rPr>
        <w:t xml:space="preserve">cio </w:t>
      </w:r>
      <w:r>
        <w:rPr>
          <w:rFonts w:ascii="Palatino Linotype" w:eastAsia="Palatino Linotype" w:hAnsi="Palatino Linotype" w:cs="Palatino Linotype"/>
          <w:color w:val="222222"/>
        </w:rPr>
        <w:t>al Titular de la Contraloría Interna y Órgano de Control y Vigilancia de este Instituto, de conformidad con el artículo 190 de la Ley de Transparencia y Acceso a la Información Pública del Estado de México y Municipios, a fin de que determine lo conduc</w:t>
      </w:r>
      <w:r>
        <w:rPr>
          <w:rFonts w:ascii="Palatino Linotype" w:eastAsia="Palatino Linotype" w:hAnsi="Palatino Linotype" w:cs="Palatino Linotype"/>
          <w:color w:val="222222"/>
        </w:rPr>
        <w:t xml:space="preserve">ente en términos del Considerando </w:t>
      </w:r>
      <w:r>
        <w:rPr>
          <w:rFonts w:ascii="Palatino Linotype" w:eastAsia="Palatino Linotype" w:hAnsi="Palatino Linotype" w:cs="Palatino Linotype"/>
          <w:b/>
          <w:color w:val="222222"/>
        </w:rPr>
        <w:t xml:space="preserve">QUINTO </w:t>
      </w:r>
      <w:r>
        <w:rPr>
          <w:rFonts w:ascii="Palatino Linotype" w:eastAsia="Palatino Linotype" w:hAnsi="Palatino Linotype" w:cs="Palatino Linotype"/>
          <w:color w:val="222222"/>
        </w:rPr>
        <w:t>de la presente resolución.</w:t>
      </w:r>
    </w:p>
    <w:p w:rsidR="00700108" w:rsidRDefault="003027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w:t>
      </w:r>
      <w:r>
        <w:rPr>
          <w:rFonts w:ascii="Palatino Linotype" w:eastAsia="Palatino Linotype" w:hAnsi="Palatino Linotype" w:cs="Palatino Linotype"/>
        </w:rPr>
        <w:t>EJÍA AYALA; SHARON CRISTINA MORALES MARTÍNEZ; LUIS GUSTAVO PARRA NORIEGA Y GUADALUPE RAMÍREZ PEÑA; EN LA CUADRAGÉSIMA SESIÓN ORDINARIA CELEBRADA EL DIEZ DE NOVIEMBRE DE DOS MIL VEINTIUNO, ANTE EL SECRETARIO TÉCNICO DEL PLENO, ALEXIS TAPIA RAMÍREZ.</w:t>
      </w:r>
    </w:p>
    <w:p w:rsidR="00700108" w:rsidRDefault="00302726">
      <w:pPr>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sz w:val="16"/>
          <w:szCs w:val="16"/>
        </w:rPr>
        <w:t>SCMM/BLA</w:t>
      </w:r>
      <w:r>
        <w:rPr>
          <w:rFonts w:ascii="Palatino Linotype" w:eastAsia="Palatino Linotype" w:hAnsi="Palatino Linotype" w:cs="Palatino Linotype"/>
          <w:sz w:val="16"/>
          <w:szCs w:val="16"/>
        </w:rPr>
        <w:t>/DEMF/AMV/AGE</w:t>
      </w:r>
      <w:r>
        <w:br w:type="page"/>
      </w: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p w:rsidR="00700108" w:rsidRDefault="00700108">
      <w:pPr>
        <w:jc w:val="both"/>
        <w:rPr>
          <w:rFonts w:ascii="Palatino Linotype" w:eastAsia="Palatino Linotype" w:hAnsi="Palatino Linotype" w:cs="Palatino Linotype"/>
        </w:rPr>
      </w:pPr>
    </w:p>
    <w:sectPr w:rsidR="00700108">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26" w:rsidRDefault="00302726">
      <w:r>
        <w:separator/>
      </w:r>
    </w:p>
  </w:endnote>
  <w:endnote w:type="continuationSeparator" w:id="0">
    <w:p w:rsidR="00302726" w:rsidRDefault="0030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08" w:rsidRDefault="003027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sidR="001E54AA">
      <w:rPr>
        <w:rFonts w:ascii="Palatino Linotype" w:eastAsia="Palatino Linotype" w:hAnsi="Palatino Linotype" w:cs="Palatino Linotype"/>
        <w:color w:val="000000"/>
        <w:sz w:val="22"/>
        <w:szCs w:val="22"/>
      </w:rPr>
      <w:fldChar w:fldCharType="separate"/>
    </w:r>
    <w:r w:rsidR="001E54AA">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sidR="001E54AA">
      <w:rPr>
        <w:rFonts w:ascii="Palatino Linotype" w:eastAsia="Palatino Linotype" w:hAnsi="Palatino Linotype" w:cs="Palatino Linotype"/>
        <w:color w:val="000000"/>
        <w:sz w:val="22"/>
        <w:szCs w:val="22"/>
      </w:rPr>
      <w:fldChar w:fldCharType="separate"/>
    </w:r>
    <w:r w:rsidR="001E54AA">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08" w:rsidRDefault="0030272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sidR="001E54AA">
      <w:rPr>
        <w:rFonts w:ascii="Palatino Linotype" w:eastAsia="Palatino Linotype" w:hAnsi="Palatino Linotype" w:cs="Palatino Linotype"/>
        <w:color w:val="000000"/>
        <w:sz w:val="22"/>
        <w:szCs w:val="22"/>
      </w:rPr>
      <w:fldChar w:fldCharType="separate"/>
    </w:r>
    <w:r w:rsidR="001E54A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sidR="001E54AA">
      <w:rPr>
        <w:rFonts w:ascii="Palatino Linotype" w:eastAsia="Palatino Linotype" w:hAnsi="Palatino Linotype" w:cs="Palatino Linotype"/>
        <w:color w:val="000000"/>
        <w:sz w:val="22"/>
        <w:szCs w:val="22"/>
      </w:rPr>
      <w:fldChar w:fldCharType="separate"/>
    </w:r>
    <w:r w:rsidR="001E54AA">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26" w:rsidRDefault="00302726">
      <w:r>
        <w:separator/>
      </w:r>
    </w:p>
  </w:footnote>
  <w:footnote w:type="continuationSeparator" w:id="0">
    <w:p w:rsidR="00302726" w:rsidRDefault="00302726">
      <w:r>
        <w:continuationSeparator/>
      </w:r>
    </w:p>
  </w:footnote>
  <w:footnote w:id="1">
    <w:p w:rsidR="00700108" w:rsidRDefault="00302726">
      <w:pPr>
        <w:pBdr>
          <w:top w:val="nil"/>
          <w:left w:val="nil"/>
          <w:bottom w:val="nil"/>
          <w:right w:val="nil"/>
          <w:between w:val="nil"/>
        </w:pBdr>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08" w:rsidRDefault="0070010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tbl>
    <w:tblPr>
      <w:tblStyle w:val="a0"/>
      <w:tblW w:w="9534" w:type="dxa"/>
      <w:tblInd w:w="-142" w:type="dxa"/>
      <w:tblLayout w:type="fixed"/>
      <w:tblLook w:val="0400" w:firstRow="0" w:lastRow="0" w:firstColumn="0" w:lastColumn="0" w:noHBand="0" w:noVBand="1"/>
    </w:tblPr>
    <w:tblGrid>
      <w:gridCol w:w="3261"/>
      <w:gridCol w:w="2551"/>
      <w:gridCol w:w="3722"/>
    </w:tblGrid>
    <w:tr w:rsidR="00700108">
      <w:tc>
        <w:tcPr>
          <w:tcW w:w="3261" w:type="dxa"/>
          <w:vMerge w:val="restart"/>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700108" w:rsidRDefault="003027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05072/INFOEM/IP/RR/2021 </w:t>
          </w:r>
        </w:p>
      </w:tc>
    </w:tr>
    <w:tr w:rsidR="00700108">
      <w:tc>
        <w:tcPr>
          <w:tcW w:w="3261" w:type="dxa"/>
          <w:vMerge/>
        </w:tcPr>
        <w:p w:rsidR="00700108" w:rsidRDefault="0070010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rsidR="00700108" w:rsidRDefault="003027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700108">
      <w:trPr>
        <w:trHeight w:val="228"/>
      </w:trPr>
      <w:tc>
        <w:tcPr>
          <w:tcW w:w="3261" w:type="dxa"/>
          <w:vMerge/>
        </w:tcPr>
        <w:p w:rsidR="00700108" w:rsidRDefault="0070010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700108" w:rsidRDefault="003027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700108" w:rsidRDefault="0070010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108" w:rsidRDefault="00700108">
    <w:pPr>
      <w:rPr>
        <w:rFonts w:ascii="Palatino Linotype" w:eastAsia="Palatino Linotype" w:hAnsi="Palatino Linotype" w:cs="Palatino Linotype"/>
        <w:sz w:val="28"/>
        <w:szCs w:val="28"/>
      </w:rPr>
    </w:pPr>
  </w:p>
  <w:tbl>
    <w:tblPr>
      <w:tblStyle w:val="a"/>
      <w:tblW w:w="10490" w:type="dxa"/>
      <w:tblInd w:w="-833" w:type="dxa"/>
      <w:tblLayout w:type="fixed"/>
      <w:tblLook w:val="0400" w:firstRow="0" w:lastRow="0" w:firstColumn="0" w:lastColumn="0" w:noHBand="0" w:noVBand="1"/>
    </w:tblPr>
    <w:tblGrid>
      <w:gridCol w:w="4253"/>
      <w:gridCol w:w="2552"/>
      <w:gridCol w:w="3685"/>
    </w:tblGrid>
    <w:tr w:rsidR="00700108">
      <w:tc>
        <w:tcPr>
          <w:tcW w:w="4253" w:type="dxa"/>
          <w:vMerge w:val="restart"/>
          <w:shd w:val="clear" w:color="auto" w:fill="auto"/>
        </w:tcPr>
        <w:p w:rsidR="00700108" w:rsidRDefault="00302726">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700108" w:rsidRDefault="003027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05072/INFOEM/IP/RR/2021 </w:t>
          </w:r>
        </w:p>
      </w:tc>
    </w:tr>
    <w:tr w:rsidR="00700108">
      <w:tc>
        <w:tcPr>
          <w:tcW w:w="4253" w:type="dxa"/>
          <w:vMerge/>
          <w:shd w:val="clear" w:color="auto" w:fill="auto"/>
        </w:tcPr>
        <w:p w:rsidR="00700108" w:rsidRDefault="0070010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700108" w:rsidRDefault="001E54A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XXXXXXXXXXX XXXXXX X XXXXXXXXX</w:t>
          </w:r>
        </w:p>
      </w:tc>
    </w:tr>
    <w:tr w:rsidR="00700108">
      <w:trPr>
        <w:trHeight w:val="228"/>
      </w:trPr>
      <w:tc>
        <w:tcPr>
          <w:tcW w:w="4253" w:type="dxa"/>
          <w:vMerge/>
          <w:shd w:val="clear" w:color="auto" w:fill="auto"/>
        </w:tcPr>
        <w:p w:rsidR="00700108" w:rsidRDefault="0070010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700108" w:rsidRDefault="003027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700108">
      <w:tc>
        <w:tcPr>
          <w:tcW w:w="4253" w:type="dxa"/>
          <w:vMerge/>
          <w:shd w:val="clear" w:color="auto" w:fill="auto"/>
        </w:tcPr>
        <w:p w:rsidR="00700108" w:rsidRDefault="00700108">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700108" w:rsidRDefault="003027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700108" w:rsidRDefault="003027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700108" w:rsidRDefault="0070010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B7E5D"/>
    <w:multiLevelType w:val="multilevel"/>
    <w:tmpl w:val="F9D86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9644A9"/>
    <w:multiLevelType w:val="multilevel"/>
    <w:tmpl w:val="B1A0D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FC1407A"/>
    <w:multiLevelType w:val="multilevel"/>
    <w:tmpl w:val="80CC8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A767F05"/>
    <w:multiLevelType w:val="multilevel"/>
    <w:tmpl w:val="8E9204A8"/>
    <w:lvl w:ilvl="0">
      <w:start w:val="1"/>
      <w:numFmt w:val="decimal"/>
      <w:lvlText w:val="%1."/>
      <w:lvlJc w:val="left"/>
      <w:pPr>
        <w:ind w:left="644" w:hanging="359"/>
      </w:pPr>
      <w:rPr>
        <w:rFonts w:ascii="Palatino Linotype" w:eastAsia="Palatino Linotype" w:hAnsi="Palatino Linotype" w:cs="Palatino Linotype"/>
        <w:b/>
        <w:smallCaps/>
        <w:sz w:val="28"/>
        <w:szCs w:val="2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778C130C"/>
    <w:multiLevelType w:val="multilevel"/>
    <w:tmpl w:val="E0AE10D6"/>
    <w:lvl w:ilvl="0">
      <w:start w:val="1"/>
      <w:numFmt w:val="decimal"/>
      <w:lvlText w:val="%1."/>
      <w:lvlJc w:val="left"/>
      <w:pPr>
        <w:ind w:left="1920" w:hanging="360"/>
      </w:pPr>
      <w:rPr>
        <w:b/>
        <w:smallCaps/>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08"/>
    <w:rsid w:val="001E54AA"/>
    <w:rsid w:val="00302726"/>
    <w:rsid w:val="007001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58EAB-C2E0-4CCB-AADF-07683DF7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32E"/>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style>
  <w:style w:type="table" w:customStyle="1" w:styleId="Tablaconcuadrcula3">
    <w:name w:val="Tabla con cuadrícula3"/>
    <w:basedOn w:val="Tablanormal"/>
    <w:next w:val="Tablaconcuadrcula"/>
    <w:uiPriority w:val="39"/>
    <w:rsid w:val="00F7506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character" w:customStyle="1" w:styleId="PuestoCar">
    <w:name w:val="Puesto Car"/>
    <w:basedOn w:val="Fuentedeprrafopredeter"/>
    <w:link w:val="Puest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de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style>
  <w:style w:type="paragraph" w:customStyle="1" w:styleId="francesa">
    <w:name w:val="francesa"/>
    <w:basedOn w:val="Normal"/>
    <w:uiPriority w:val="99"/>
    <w:rsid w:val="009F7E33"/>
    <w:pPr>
      <w:spacing w:before="100" w:beforeAutospacing="1" w:after="100" w:afterAutospacing="1"/>
    </w:pPr>
  </w:style>
  <w:style w:type="paragraph" w:customStyle="1" w:styleId="Estilo">
    <w:name w:val="Estilo"/>
    <w:uiPriority w:val="99"/>
    <w:rsid w:val="009F7E33"/>
    <w:pPr>
      <w:widowControl w:val="0"/>
      <w:autoSpaceDE w:val="0"/>
      <w:autoSpaceDN w:val="0"/>
      <w:adjustRightInd w:val="0"/>
    </w:pPr>
    <w:rPr>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9F7E33"/>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style>
  <w:style w:type="numbering" w:customStyle="1" w:styleId="Estiloimportado14">
    <w:name w:val="Estilo importado 14"/>
    <w:rsid w:val="009F7E33"/>
  </w:style>
  <w:style w:type="numbering" w:customStyle="1" w:styleId="Estiloimportado22">
    <w:name w:val="Estilo importado 22"/>
    <w:rsid w:val="009F7E33"/>
  </w:style>
  <w:style w:type="numbering" w:customStyle="1" w:styleId="Estiloimportado212">
    <w:name w:val="Estilo importado 212"/>
    <w:rsid w:val="009F7E33"/>
  </w:style>
  <w:style w:type="numbering" w:customStyle="1" w:styleId="Estiloimportado24">
    <w:name w:val="Estilo importado 24"/>
    <w:rsid w:val="009F7E33"/>
  </w:style>
  <w:style w:type="numbering" w:customStyle="1" w:styleId="Estiloimportado112">
    <w:name w:val="Estilo importado 112"/>
    <w:rsid w:val="009F7E33"/>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1hcfokFC1MQpibLW7KCVJZltgA==">AMUW2mWN7rnm/7fIzYwsfIVCL6rJTB9xd1PDLRagk51ViniSSXfC+dj2+BA2GFR+a4VROjngOBxCf+12eZ479VbgcXxCExVrooGHfmfz5WFpJcf5HBd43fAK0YwQ54iiIdganB53lIdc8o23mOZtQUjurQqb5mm39RjUeUER5e5zyL0n9/5EyCDndEwNItC2TdZb9p8hX81n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7001</Words>
  <Characters>38508</Characters>
  <Application>Microsoft Office Word</Application>
  <DocSecurity>0</DocSecurity>
  <Lines>320</Lines>
  <Paragraphs>90</Paragraphs>
  <ScaleCrop>false</ScaleCrop>
  <Company>INFOEM</Company>
  <LinksUpToDate>false</LinksUpToDate>
  <CharactersWithSpaces>45419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PONENCIA EAY</cp:lastModifiedBy>
  <cp:revision>2</cp:revision>
  <dcterms:created xsi:type="dcterms:W3CDTF">2021-11-04T16:47:00Z</dcterms:created>
  <dcterms:modified xsi:type="dcterms:W3CDTF">2021-11-19T20:41:00Z</dcterms:modified>
</cp:coreProperties>
</file>