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77777777" w:rsidR="005000AA" w:rsidRPr="00624AAD" w:rsidRDefault="005000AA" w:rsidP="005000AA">
      <w:pPr>
        <w:spacing w:before="240" w:after="240" w:line="360" w:lineRule="auto"/>
        <w:jc w:val="center"/>
        <w:rPr>
          <w:rFonts w:ascii="Palatino Linotype" w:hAnsi="Palatino Linotype"/>
          <w:sz w:val="24"/>
          <w:szCs w:val="24"/>
        </w:rPr>
      </w:pPr>
      <w:r w:rsidRPr="00624AAD">
        <w:rPr>
          <w:rFonts w:ascii="Palatino Linotype" w:hAnsi="Palatino Linotype"/>
          <w:b/>
          <w:sz w:val="24"/>
          <w:szCs w:val="24"/>
        </w:rPr>
        <w:t>Índice</w:t>
      </w:r>
      <w:r w:rsidRPr="00624AAD">
        <w:rPr>
          <w:rFonts w:ascii="Palatino Linotype" w:hAnsi="Palatino Linotype"/>
          <w:sz w:val="24"/>
          <w:szCs w:val="24"/>
        </w:rPr>
        <w:t>.</w:t>
      </w:r>
    </w:p>
    <w:sdt>
      <w:sdtPr>
        <w:rPr>
          <w:rFonts w:ascii="Times New Roman" w:eastAsiaTheme="minorEastAsia" w:hAnsi="Times New Roman" w:cstheme="minorBidi"/>
          <w:b w:val="0"/>
          <w:sz w:val="20"/>
          <w:szCs w:val="24"/>
          <w:lang w:val="es-ES" w:eastAsia="es-ES"/>
        </w:rPr>
        <w:id w:val="1703668029"/>
        <w:docPartObj>
          <w:docPartGallery w:val="Table of Contents"/>
          <w:docPartUnique/>
        </w:docPartObj>
      </w:sdtPr>
      <w:sdtEndPr>
        <w:rPr>
          <w:rFonts w:eastAsia="Times New Roman" w:cs="Times New Roman"/>
        </w:rPr>
      </w:sdtEndPr>
      <w:sdtContent>
        <w:p w14:paraId="533358D9" w14:textId="77777777" w:rsidR="005000AA" w:rsidRPr="00624AAD" w:rsidRDefault="005000AA" w:rsidP="005000AA">
          <w:pPr>
            <w:pStyle w:val="TtulodeTDC"/>
            <w:spacing w:line="480" w:lineRule="auto"/>
            <w:rPr>
              <w:szCs w:val="24"/>
            </w:rPr>
          </w:pPr>
        </w:p>
        <w:p w14:paraId="16A43478" w14:textId="77777777" w:rsidR="00132FDD" w:rsidRDefault="005000AA">
          <w:pPr>
            <w:pStyle w:val="TDC1"/>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3901331" w:history="1">
            <w:r w:rsidR="00132FDD" w:rsidRPr="003E38B2">
              <w:rPr>
                <w:rStyle w:val="Hipervnculo"/>
              </w:rPr>
              <w:t>ANTECEDENTES</w:t>
            </w:r>
            <w:r w:rsidR="00132FDD">
              <w:rPr>
                <w:webHidden/>
              </w:rPr>
              <w:tab/>
            </w:r>
            <w:r w:rsidR="00132FDD">
              <w:rPr>
                <w:webHidden/>
              </w:rPr>
              <w:fldChar w:fldCharType="begin"/>
            </w:r>
            <w:r w:rsidR="00132FDD">
              <w:rPr>
                <w:webHidden/>
              </w:rPr>
              <w:instrText xml:space="preserve"> PAGEREF _Toc83901331 \h </w:instrText>
            </w:r>
            <w:r w:rsidR="00132FDD">
              <w:rPr>
                <w:webHidden/>
              </w:rPr>
            </w:r>
            <w:r w:rsidR="00132FDD">
              <w:rPr>
                <w:webHidden/>
              </w:rPr>
              <w:fldChar w:fldCharType="separate"/>
            </w:r>
            <w:r w:rsidR="00132FDD">
              <w:rPr>
                <w:webHidden/>
              </w:rPr>
              <w:t>2</w:t>
            </w:r>
            <w:r w:rsidR="00132FDD">
              <w:rPr>
                <w:webHidden/>
              </w:rPr>
              <w:fldChar w:fldCharType="end"/>
            </w:r>
          </w:hyperlink>
        </w:p>
        <w:p w14:paraId="347DABB9" w14:textId="77777777" w:rsidR="00132FDD" w:rsidRDefault="00BA7865">
          <w:pPr>
            <w:pStyle w:val="TDC1"/>
            <w:rPr>
              <w:rFonts w:asciiTheme="minorHAnsi" w:hAnsiTheme="minorHAnsi"/>
              <w:b w:val="0"/>
              <w:bCs w:val="0"/>
              <w:sz w:val="22"/>
              <w:szCs w:val="22"/>
              <w:lang w:val="es-MX" w:eastAsia="es-MX"/>
            </w:rPr>
          </w:pPr>
          <w:hyperlink w:anchor="_Toc83901332" w:history="1">
            <w:r w:rsidR="00132FDD" w:rsidRPr="003E38B2">
              <w:rPr>
                <w:rStyle w:val="Hipervnculo"/>
              </w:rPr>
              <w:t>CONSIDERANDO</w:t>
            </w:r>
            <w:r w:rsidR="00132FDD">
              <w:rPr>
                <w:webHidden/>
              </w:rPr>
              <w:tab/>
            </w:r>
            <w:r w:rsidR="00132FDD">
              <w:rPr>
                <w:webHidden/>
              </w:rPr>
              <w:fldChar w:fldCharType="begin"/>
            </w:r>
            <w:r w:rsidR="00132FDD">
              <w:rPr>
                <w:webHidden/>
              </w:rPr>
              <w:instrText xml:space="preserve"> PAGEREF _Toc83901332 \h </w:instrText>
            </w:r>
            <w:r w:rsidR="00132FDD">
              <w:rPr>
                <w:webHidden/>
              </w:rPr>
            </w:r>
            <w:r w:rsidR="00132FDD">
              <w:rPr>
                <w:webHidden/>
              </w:rPr>
              <w:fldChar w:fldCharType="separate"/>
            </w:r>
            <w:r w:rsidR="00132FDD">
              <w:rPr>
                <w:webHidden/>
              </w:rPr>
              <w:t>6</w:t>
            </w:r>
            <w:r w:rsidR="00132FDD">
              <w:rPr>
                <w:webHidden/>
              </w:rPr>
              <w:fldChar w:fldCharType="end"/>
            </w:r>
          </w:hyperlink>
        </w:p>
        <w:p w14:paraId="5431A0A9" w14:textId="77777777" w:rsidR="00132FDD" w:rsidRDefault="00BA7865">
          <w:pPr>
            <w:pStyle w:val="TDC2"/>
            <w:rPr>
              <w:noProof/>
              <w:sz w:val="22"/>
              <w:szCs w:val="22"/>
              <w:lang w:val="es-MX" w:eastAsia="es-MX"/>
            </w:rPr>
          </w:pPr>
          <w:hyperlink w:anchor="_Toc83901333" w:history="1">
            <w:r w:rsidR="00132FDD" w:rsidRPr="003E38B2">
              <w:rPr>
                <w:rStyle w:val="Hipervnculo"/>
                <w:rFonts w:ascii="Palatino Linotype" w:hAnsi="Palatino Linotype"/>
                <w:b/>
                <w:noProof/>
              </w:rPr>
              <w:t>PRIMERO. De la competencia</w:t>
            </w:r>
            <w:r w:rsidR="00132FDD">
              <w:rPr>
                <w:noProof/>
                <w:webHidden/>
              </w:rPr>
              <w:tab/>
            </w:r>
            <w:r w:rsidR="00132FDD">
              <w:rPr>
                <w:noProof/>
                <w:webHidden/>
              </w:rPr>
              <w:fldChar w:fldCharType="begin"/>
            </w:r>
            <w:r w:rsidR="00132FDD">
              <w:rPr>
                <w:noProof/>
                <w:webHidden/>
              </w:rPr>
              <w:instrText xml:space="preserve"> PAGEREF _Toc83901333 \h </w:instrText>
            </w:r>
            <w:r w:rsidR="00132FDD">
              <w:rPr>
                <w:noProof/>
                <w:webHidden/>
              </w:rPr>
            </w:r>
            <w:r w:rsidR="00132FDD">
              <w:rPr>
                <w:noProof/>
                <w:webHidden/>
              </w:rPr>
              <w:fldChar w:fldCharType="separate"/>
            </w:r>
            <w:r w:rsidR="00132FDD">
              <w:rPr>
                <w:noProof/>
                <w:webHidden/>
              </w:rPr>
              <w:t>6</w:t>
            </w:r>
            <w:r w:rsidR="00132FDD">
              <w:rPr>
                <w:noProof/>
                <w:webHidden/>
              </w:rPr>
              <w:fldChar w:fldCharType="end"/>
            </w:r>
          </w:hyperlink>
        </w:p>
        <w:p w14:paraId="0EED660A" w14:textId="77777777" w:rsidR="00132FDD" w:rsidRDefault="00BA7865">
          <w:pPr>
            <w:pStyle w:val="TDC2"/>
            <w:rPr>
              <w:noProof/>
              <w:sz w:val="22"/>
              <w:szCs w:val="22"/>
              <w:lang w:val="es-MX" w:eastAsia="es-MX"/>
            </w:rPr>
          </w:pPr>
          <w:hyperlink w:anchor="_Toc83901334" w:history="1">
            <w:r w:rsidR="00132FDD" w:rsidRPr="003E38B2">
              <w:rPr>
                <w:rStyle w:val="Hipervnculo"/>
                <w:rFonts w:ascii="Palatino Linotype" w:hAnsi="Palatino Linotype"/>
                <w:b/>
                <w:noProof/>
              </w:rPr>
              <w:t>SEGUNDO. De la oportunidad y procedencia.</w:t>
            </w:r>
            <w:r w:rsidR="00132FDD">
              <w:rPr>
                <w:noProof/>
                <w:webHidden/>
              </w:rPr>
              <w:tab/>
            </w:r>
            <w:r w:rsidR="00132FDD">
              <w:rPr>
                <w:noProof/>
                <w:webHidden/>
              </w:rPr>
              <w:fldChar w:fldCharType="begin"/>
            </w:r>
            <w:r w:rsidR="00132FDD">
              <w:rPr>
                <w:noProof/>
                <w:webHidden/>
              </w:rPr>
              <w:instrText xml:space="preserve"> PAGEREF _Toc83901334 \h </w:instrText>
            </w:r>
            <w:r w:rsidR="00132FDD">
              <w:rPr>
                <w:noProof/>
                <w:webHidden/>
              </w:rPr>
            </w:r>
            <w:r w:rsidR="00132FDD">
              <w:rPr>
                <w:noProof/>
                <w:webHidden/>
              </w:rPr>
              <w:fldChar w:fldCharType="separate"/>
            </w:r>
            <w:r w:rsidR="00132FDD">
              <w:rPr>
                <w:noProof/>
                <w:webHidden/>
              </w:rPr>
              <w:t>7</w:t>
            </w:r>
            <w:r w:rsidR="00132FDD">
              <w:rPr>
                <w:noProof/>
                <w:webHidden/>
              </w:rPr>
              <w:fldChar w:fldCharType="end"/>
            </w:r>
          </w:hyperlink>
        </w:p>
        <w:p w14:paraId="44703DA9" w14:textId="77777777" w:rsidR="00132FDD" w:rsidRDefault="00BA7865">
          <w:pPr>
            <w:pStyle w:val="TDC1"/>
            <w:rPr>
              <w:rFonts w:asciiTheme="minorHAnsi" w:hAnsiTheme="minorHAnsi"/>
              <w:b w:val="0"/>
              <w:bCs w:val="0"/>
              <w:sz w:val="22"/>
              <w:szCs w:val="22"/>
              <w:lang w:val="es-MX" w:eastAsia="es-MX"/>
            </w:rPr>
          </w:pPr>
          <w:hyperlink w:anchor="_Toc83901335" w:history="1">
            <w:r w:rsidR="00132FDD" w:rsidRPr="003E38B2">
              <w:rPr>
                <w:rStyle w:val="Hipervnculo"/>
              </w:rPr>
              <w:t>TERCERO. Planteamiento de la Litis</w:t>
            </w:r>
            <w:r w:rsidR="00132FDD">
              <w:rPr>
                <w:webHidden/>
              </w:rPr>
              <w:tab/>
            </w:r>
            <w:r w:rsidR="00132FDD">
              <w:rPr>
                <w:webHidden/>
              </w:rPr>
              <w:fldChar w:fldCharType="begin"/>
            </w:r>
            <w:r w:rsidR="00132FDD">
              <w:rPr>
                <w:webHidden/>
              </w:rPr>
              <w:instrText xml:space="preserve"> PAGEREF _Toc83901335 \h </w:instrText>
            </w:r>
            <w:r w:rsidR="00132FDD">
              <w:rPr>
                <w:webHidden/>
              </w:rPr>
            </w:r>
            <w:r w:rsidR="00132FDD">
              <w:rPr>
                <w:webHidden/>
              </w:rPr>
              <w:fldChar w:fldCharType="separate"/>
            </w:r>
            <w:r w:rsidR="00132FDD">
              <w:rPr>
                <w:webHidden/>
              </w:rPr>
              <w:t>8</w:t>
            </w:r>
            <w:r w:rsidR="00132FDD">
              <w:rPr>
                <w:webHidden/>
              </w:rPr>
              <w:fldChar w:fldCharType="end"/>
            </w:r>
          </w:hyperlink>
        </w:p>
        <w:p w14:paraId="20FA66CC" w14:textId="77777777" w:rsidR="00132FDD" w:rsidRDefault="00BA7865">
          <w:pPr>
            <w:pStyle w:val="TDC1"/>
            <w:rPr>
              <w:rFonts w:asciiTheme="minorHAnsi" w:hAnsiTheme="minorHAnsi"/>
              <w:b w:val="0"/>
              <w:bCs w:val="0"/>
              <w:sz w:val="22"/>
              <w:szCs w:val="22"/>
              <w:lang w:val="es-MX" w:eastAsia="es-MX"/>
            </w:rPr>
          </w:pPr>
          <w:hyperlink w:anchor="_Toc83901336" w:history="1">
            <w:r w:rsidR="00132FDD" w:rsidRPr="003E38B2">
              <w:rPr>
                <w:rStyle w:val="Hipervnculo"/>
              </w:rPr>
              <w:t>CUARTO. Estudio y resolución del asunto</w:t>
            </w:r>
            <w:r w:rsidR="00132FDD">
              <w:rPr>
                <w:webHidden/>
              </w:rPr>
              <w:tab/>
            </w:r>
            <w:r w:rsidR="00132FDD">
              <w:rPr>
                <w:webHidden/>
              </w:rPr>
              <w:fldChar w:fldCharType="begin"/>
            </w:r>
            <w:r w:rsidR="00132FDD">
              <w:rPr>
                <w:webHidden/>
              </w:rPr>
              <w:instrText xml:space="preserve"> PAGEREF _Toc83901336 \h </w:instrText>
            </w:r>
            <w:r w:rsidR="00132FDD">
              <w:rPr>
                <w:webHidden/>
              </w:rPr>
            </w:r>
            <w:r w:rsidR="00132FDD">
              <w:rPr>
                <w:webHidden/>
              </w:rPr>
              <w:fldChar w:fldCharType="separate"/>
            </w:r>
            <w:r w:rsidR="00132FDD">
              <w:rPr>
                <w:webHidden/>
              </w:rPr>
              <w:t>8</w:t>
            </w:r>
            <w:r w:rsidR="00132FDD">
              <w:rPr>
                <w:webHidden/>
              </w:rPr>
              <w:fldChar w:fldCharType="end"/>
            </w:r>
          </w:hyperlink>
        </w:p>
        <w:p w14:paraId="414650E3" w14:textId="77777777" w:rsidR="00132FDD" w:rsidRDefault="00BA7865">
          <w:pPr>
            <w:pStyle w:val="TDC2"/>
            <w:rPr>
              <w:noProof/>
              <w:sz w:val="22"/>
              <w:szCs w:val="22"/>
              <w:lang w:val="es-MX" w:eastAsia="es-MX"/>
            </w:rPr>
          </w:pPr>
          <w:hyperlink w:anchor="_Toc83901337" w:history="1">
            <w:r w:rsidR="00132FDD" w:rsidRPr="003E38B2">
              <w:rPr>
                <w:rStyle w:val="Hipervnculo"/>
                <w:rFonts w:ascii="Palatino Linotype" w:hAnsi="Palatino Linotype"/>
                <w:b/>
                <w:noProof/>
              </w:rPr>
              <w:t>I.</w:t>
            </w:r>
            <w:r w:rsidR="00132FDD">
              <w:rPr>
                <w:noProof/>
                <w:sz w:val="22"/>
                <w:szCs w:val="22"/>
                <w:lang w:val="es-MX" w:eastAsia="es-MX"/>
              </w:rPr>
              <w:tab/>
            </w:r>
            <w:r w:rsidR="00132FDD" w:rsidRPr="003E38B2">
              <w:rPr>
                <w:rStyle w:val="Hipervnculo"/>
                <w:rFonts w:ascii="Palatino Linotype" w:hAnsi="Palatino Linotype"/>
                <w:b/>
                <w:noProof/>
              </w:rPr>
              <w:t>De la fuente obligacional</w:t>
            </w:r>
            <w:r w:rsidR="00132FDD">
              <w:rPr>
                <w:noProof/>
                <w:webHidden/>
              </w:rPr>
              <w:tab/>
            </w:r>
            <w:r w:rsidR="00132FDD">
              <w:rPr>
                <w:noProof/>
                <w:webHidden/>
              </w:rPr>
              <w:fldChar w:fldCharType="begin"/>
            </w:r>
            <w:r w:rsidR="00132FDD">
              <w:rPr>
                <w:noProof/>
                <w:webHidden/>
              </w:rPr>
              <w:instrText xml:space="preserve"> PAGEREF _Toc83901337 \h </w:instrText>
            </w:r>
            <w:r w:rsidR="00132FDD">
              <w:rPr>
                <w:noProof/>
                <w:webHidden/>
              </w:rPr>
            </w:r>
            <w:r w:rsidR="00132FDD">
              <w:rPr>
                <w:noProof/>
                <w:webHidden/>
              </w:rPr>
              <w:fldChar w:fldCharType="separate"/>
            </w:r>
            <w:r w:rsidR="00132FDD">
              <w:rPr>
                <w:noProof/>
                <w:webHidden/>
              </w:rPr>
              <w:t>8</w:t>
            </w:r>
            <w:r w:rsidR="00132FDD">
              <w:rPr>
                <w:noProof/>
                <w:webHidden/>
              </w:rPr>
              <w:fldChar w:fldCharType="end"/>
            </w:r>
          </w:hyperlink>
        </w:p>
        <w:p w14:paraId="4199F7D2" w14:textId="77777777" w:rsidR="00132FDD" w:rsidRDefault="00BA7865">
          <w:pPr>
            <w:pStyle w:val="TDC2"/>
            <w:rPr>
              <w:noProof/>
              <w:sz w:val="22"/>
              <w:szCs w:val="22"/>
              <w:lang w:val="es-MX" w:eastAsia="es-MX"/>
            </w:rPr>
          </w:pPr>
          <w:hyperlink w:anchor="_Toc83901338" w:history="1">
            <w:r w:rsidR="00132FDD" w:rsidRPr="003E38B2">
              <w:rPr>
                <w:rStyle w:val="Hipervnculo"/>
                <w:rFonts w:ascii="Palatino Linotype" w:hAnsi="Palatino Linotype"/>
                <w:b/>
                <w:noProof/>
              </w:rPr>
              <w:t>II. De la Seguridad Pública.</w:t>
            </w:r>
            <w:r w:rsidR="00132FDD">
              <w:rPr>
                <w:noProof/>
                <w:webHidden/>
              </w:rPr>
              <w:tab/>
            </w:r>
            <w:r w:rsidR="00132FDD">
              <w:rPr>
                <w:noProof/>
                <w:webHidden/>
              </w:rPr>
              <w:fldChar w:fldCharType="begin"/>
            </w:r>
            <w:r w:rsidR="00132FDD">
              <w:rPr>
                <w:noProof/>
                <w:webHidden/>
              </w:rPr>
              <w:instrText xml:space="preserve"> PAGEREF _Toc83901338 \h </w:instrText>
            </w:r>
            <w:r w:rsidR="00132FDD">
              <w:rPr>
                <w:noProof/>
                <w:webHidden/>
              </w:rPr>
            </w:r>
            <w:r w:rsidR="00132FDD">
              <w:rPr>
                <w:noProof/>
                <w:webHidden/>
              </w:rPr>
              <w:fldChar w:fldCharType="separate"/>
            </w:r>
            <w:r w:rsidR="00132FDD">
              <w:rPr>
                <w:noProof/>
                <w:webHidden/>
              </w:rPr>
              <w:t>19</w:t>
            </w:r>
            <w:r w:rsidR="00132FDD">
              <w:rPr>
                <w:noProof/>
                <w:webHidden/>
              </w:rPr>
              <w:fldChar w:fldCharType="end"/>
            </w:r>
          </w:hyperlink>
        </w:p>
        <w:p w14:paraId="4AC50795" w14:textId="77777777" w:rsidR="00132FDD" w:rsidRDefault="00BA7865">
          <w:pPr>
            <w:pStyle w:val="TDC2"/>
            <w:rPr>
              <w:noProof/>
              <w:sz w:val="22"/>
              <w:szCs w:val="22"/>
              <w:lang w:val="es-MX" w:eastAsia="es-MX"/>
            </w:rPr>
          </w:pPr>
          <w:hyperlink w:anchor="_Toc83901339" w:history="1">
            <w:r w:rsidR="00132FDD" w:rsidRPr="003E38B2">
              <w:rPr>
                <w:rStyle w:val="Hipervnculo"/>
                <w:rFonts w:ascii="Palatino Linotype" w:hAnsi="Palatino Linotype"/>
                <w:b/>
                <w:noProof/>
              </w:rPr>
              <w:t>III. De los Cuerpos de Seguridad Auxiliares del Estado de México.</w:t>
            </w:r>
            <w:r w:rsidR="00132FDD">
              <w:rPr>
                <w:noProof/>
                <w:webHidden/>
              </w:rPr>
              <w:tab/>
            </w:r>
            <w:r w:rsidR="00132FDD">
              <w:rPr>
                <w:noProof/>
                <w:webHidden/>
              </w:rPr>
              <w:fldChar w:fldCharType="begin"/>
            </w:r>
            <w:r w:rsidR="00132FDD">
              <w:rPr>
                <w:noProof/>
                <w:webHidden/>
              </w:rPr>
              <w:instrText xml:space="preserve"> PAGEREF _Toc83901339 \h </w:instrText>
            </w:r>
            <w:r w:rsidR="00132FDD">
              <w:rPr>
                <w:noProof/>
                <w:webHidden/>
              </w:rPr>
            </w:r>
            <w:r w:rsidR="00132FDD">
              <w:rPr>
                <w:noProof/>
                <w:webHidden/>
              </w:rPr>
              <w:fldChar w:fldCharType="separate"/>
            </w:r>
            <w:r w:rsidR="00132FDD">
              <w:rPr>
                <w:noProof/>
                <w:webHidden/>
              </w:rPr>
              <w:t>23</w:t>
            </w:r>
            <w:r w:rsidR="00132FDD">
              <w:rPr>
                <w:noProof/>
                <w:webHidden/>
              </w:rPr>
              <w:fldChar w:fldCharType="end"/>
            </w:r>
          </w:hyperlink>
        </w:p>
        <w:p w14:paraId="03C0C63C" w14:textId="77777777" w:rsidR="00132FDD" w:rsidRDefault="00BA7865">
          <w:pPr>
            <w:pStyle w:val="TDC2"/>
            <w:rPr>
              <w:noProof/>
              <w:sz w:val="22"/>
              <w:szCs w:val="22"/>
              <w:lang w:val="es-MX" w:eastAsia="es-MX"/>
            </w:rPr>
          </w:pPr>
          <w:hyperlink w:anchor="_Toc83901340" w:history="1">
            <w:r w:rsidR="00132FDD" w:rsidRPr="003E38B2">
              <w:rPr>
                <w:rStyle w:val="Hipervnculo"/>
                <w:rFonts w:ascii="Palatino Linotype" w:hAnsi="Palatino Linotype"/>
                <w:b/>
                <w:noProof/>
              </w:rPr>
              <w:t>IV. De la naturaleza de los Cuerpos de Seguridad Auxiliares del Estado de México (CUSAEM).</w:t>
            </w:r>
            <w:r w:rsidR="00132FDD">
              <w:rPr>
                <w:noProof/>
                <w:webHidden/>
              </w:rPr>
              <w:tab/>
            </w:r>
            <w:r w:rsidR="00132FDD">
              <w:rPr>
                <w:noProof/>
                <w:webHidden/>
              </w:rPr>
              <w:fldChar w:fldCharType="begin"/>
            </w:r>
            <w:r w:rsidR="00132FDD">
              <w:rPr>
                <w:noProof/>
                <w:webHidden/>
              </w:rPr>
              <w:instrText xml:space="preserve"> PAGEREF _Toc83901340 \h </w:instrText>
            </w:r>
            <w:r w:rsidR="00132FDD">
              <w:rPr>
                <w:noProof/>
                <w:webHidden/>
              </w:rPr>
            </w:r>
            <w:r w:rsidR="00132FDD">
              <w:rPr>
                <w:noProof/>
                <w:webHidden/>
              </w:rPr>
              <w:fldChar w:fldCharType="separate"/>
            </w:r>
            <w:r w:rsidR="00132FDD">
              <w:rPr>
                <w:noProof/>
                <w:webHidden/>
              </w:rPr>
              <w:t>25</w:t>
            </w:r>
            <w:r w:rsidR="00132FDD">
              <w:rPr>
                <w:noProof/>
                <w:webHidden/>
              </w:rPr>
              <w:fldChar w:fldCharType="end"/>
            </w:r>
          </w:hyperlink>
        </w:p>
        <w:p w14:paraId="15819CE1" w14:textId="77777777" w:rsidR="00132FDD" w:rsidRDefault="00BA7865">
          <w:pPr>
            <w:pStyle w:val="TDC3"/>
            <w:rPr>
              <w:noProof/>
              <w:sz w:val="22"/>
              <w:szCs w:val="22"/>
              <w:lang w:val="es-MX" w:eastAsia="es-MX"/>
            </w:rPr>
          </w:pPr>
          <w:hyperlink w:anchor="_Toc83901341" w:history="1">
            <w:r w:rsidR="00132FDD" w:rsidRPr="003E38B2">
              <w:rPr>
                <w:rStyle w:val="Hipervnculo"/>
                <w:rFonts w:ascii="Palatino Linotype" w:hAnsi="Palatino Linotype"/>
                <w:b/>
                <w:noProof/>
              </w:rPr>
              <w:t>a) Los actos del organismo auxiliar de seguridad pública con otras dependencias gubernamentales.</w:t>
            </w:r>
            <w:r w:rsidR="00132FDD">
              <w:rPr>
                <w:noProof/>
                <w:webHidden/>
              </w:rPr>
              <w:tab/>
            </w:r>
            <w:r w:rsidR="00132FDD">
              <w:rPr>
                <w:noProof/>
                <w:webHidden/>
              </w:rPr>
              <w:fldChar w:fldCharType="begin"/>
            </w:r>
            <w:r w:rsidR="00132FDD">
              <w:rPr>
                <w:noProof/>
                <w:webHidden/>
              </w:rPr>
              <w:instrText xml:space="preserve"> PAGEREF _Toc83901341 \h </w:instrText>
            </w:r>
            <w:r w:rsidR="00132FDD">
              <w:rPr>
                <w:noProof/>
                <w:webHidden/>
              </w:rPr>
            </w:r>
            <w:r w:rsidR="00132FDD">
              <w:rPr>
                <w:noProof/>
                <w:webHidden/>
              </w:rPr>
              <w:fldChar w:fldCharType="separate"/>
            </w:r>
            <w:r w:rsidR="00132FDD">
              <w:rPr>
                <w:noProof/>
                <w:webHidden/>
              </w:rPr>
              <w:t>28</w:t>
            </w:r>
            <w:r w:rsidR="00132FDD">
              <w:rPr>
                <w:noProof/>
                <w:webHidden/>
              </w:rPr>
              <w:fldChar w:fldCharType="end"/>
            </w:r>
          </w:hyperlink>
        </w:p>
        <w:p w14:paraId="286C163E" w14:textId="77777777" w:rsidR="00132FDD" w:rsidRDefault="00BA7865">
          <w:pPr>
            <w:pStyle w:val="TDC2"/>
            <w:rPr>
              <w:noProof/>
              <w:sz w:val="22"/>
              <w:szCs w:val="22"/>
              <w:lang w:val="es-MX" w:eastAsia="es-MX"/>
            </w:rPr>
          </w:pPr>
          <w:hyperlink w:anchor="_Toc83901342" w:history="1">
            <w:r w:rsidR="00132FDD" w:rsidRPr="003E38B2">
              <w:rPr>
                <w:rStyle w:val="Hipervnculo"/>
                <w:rFonts w:ascii="Palatino Linotype" w:hAnsi="Palatino Linotype"/>
                <w:b/>
                <w:noProof/>
              </w:rPr>
              <w:t>V. De la búsqueda exhaustiva y razonable de la información.</w:t>
            </w:r>
            <w:r w:rsidR="00132FDD">
              <w:rPr>
                <w:noProof/>
                <w:webHidden/>
              </w:rPr>
              <w:tab/>
            </w:r>
            <w:r w:rsidR="00132FDD">
              <w:rPr>
                <w:noProof/>
                <w:webHidden/>
              </w:rPr>
              <w:fldChar w:fldCharType="begin"/>
            </w:r>
            <w:r w:rsidR="00132FDD">
              <w:rPr>
                <w:noProof/>
                <w:webHidden/>
              </w:rPr>
              <w:instrText xml:space="preserve"> PAGEREF _Toc83901342 \h </w:instrText>
            </w:r>
            <w:r w:rsidR="00132FDD">
              <w:rPr>
                <w:noProof/>
                <w:webHidden/>
              </w:rPr>
            </w:r>
            <w:r w:rsidR="00132FDD">
              <w:rPr>
                <w:noProof/>
                <w:webHidden/>
              </w:rPr>
              <w:fldChar w:fldCharType="separate"/>
            </w:r>
            <w:r w:rsidR="00132FDD">
              <w:rPr>
                <w:noProof/>
                <w:webHidden/>
              </w:rPr>
              <w:t>41</w:t>
            </w:r>
            <w:r w:rsidR="00132FDD">
              <w:rPr>
                <w:noProof/>
                <w:webHidden/>
              </w:rPr>
              <w:fldChar w:fldCharType="end"/>
            </w:r>
          </w:hyperlink>
        </w:p>
        <w:p w14:paraId="559E0C55" w14:textId="77777777" w:rsidR="00132FDD" w:rsidRDefault="00BA7865">
          <w:pPr>
            <w:pStyle w:val="TDC1"/>
            <w:rPr>
              <w:rFonts w:asciiTheme="minorHAnsi" w:hAnsiTheme="minorHAnsi"/>
              <w:b w:val="0"/>
              <w:bCs w:val="0"/>
              <w:sz w:val="22"/>
              <w:szCs w:val="22"/>
              <w:lang w:val="es-MX" w:eastAsia="es-MX"/>
            </w:rPr>
          </w:pPr>
          <w:hyperlink w:anchor="_Toc83901343" w:history="1">
            <w:r w:rsidR="00132FDD" w:rsidRPr="003E38B2">
              <w:rPr>
                <w:rStyle w:val="Hipervnculo"/>
                <w:rFonts w:eastAsia="Calibri"/>
              </w:rPr>
              <w:t>QUINTO. VERSIÓN PÚBLICA.</w:t>
            </w:r>
            <w:r w:rsidR="00132FDD">
              <w:rPr>
                <w:webHidden/>
              </w:rPr>
              <w:tab/>
            </w:r>
            <w:r w:rsidR="00132FDD">
              <w:rPr>
                <w:webHidden/>
              </w:rPr>
              <w:fldChar w:fldCharType="begin"/>
            </w:r>
            <w:r w:rsidR="00132FDD">
              <w:rPr>
                <w:webHidden/>
              </w:rPr>
              <w:instrText xml:space="preserve"> PAGEREF _Toc83901343 \h </w:instrText>
            </w:r>
            <w:r w:rsidR="00132FDD">
              <w:rPr>
                <w:webHidden/>
              </w:rPr>
            </w:r>
            <w:r w:rsidR="00132FDD">
              <w:rPr>
                <w:webHidden/>
              </w:rPr>
              <w:fldChar w:fldCharType="separate"/>
            </w:r>
            <w:r w:rsidR="00132FDD">
              <w:rPr>
                <w:webHidden/>
              </w:rPr>
              <w:t>43</w:t>
            </w:r>
            <w:r w:rsidR="00132FDD">
              <w:rPr>
                <w:webHidden/>
              </w:rPr>
              <w:fldChar w:fldCharType="end"/>
            </w:r>
          </w:hyperlink>
        </w:p>
        <w:p w14:paraId="2B4C017B" w14:textId="77777777" w:rsidR="00132FDD" w:rsidRDefault="00BA7865">
          <w:pPr>
            <w:pStyle w:val="TDC1"/>
            <w:tabs>
              <w:tab w:val="left" w:pos="660"/>
            </w:tabs>
            <w:rPr>
              <w:rFonts w:asciiTheme="minorHAnsi" w:hAnsiTheme="minorHAnsi"/>
              <w:b w:val="0"/>
              <w:bCs w:val="0"/>
              <w:sz w:val="22"/>
              <w:szCs w:val="22"/>
              <w:lang w:val="es-MX" w:eastAsia="es-MX"/>
            </w:rPr>
          </w:pPr>
          <w:hyperlink w:anchor="_Toc83901344" w:history="1">
            <w:r w:rsidR="00132FDD" w:rsidRPr="003E38B2">
              <w:rPr>
                <w:rStyle w:val="Hipervnculo"/>
                <w:rFonts w:cs="Times New Roman"/>
              </w:rPr>
              <w:t>I.</w:t>
            </w:r>
            <w:r w:rsidR="00132FDD">
              <w:rPr>
                <w:rFonts w:asciiTheme="minorHAnsi" w:hAnsiTheme="minorHAnsi"/>
                <w:b w:val="0"/>
                <w:bCs w:val="0"/>
                <w:sz w:val="22"/>
                <w:szCs w:val="22"/>
                <w:lang w:val="es-MX" w:eastAsia="es-MX"/>
              </w:rPr>
              <w:tab/>
            </w:r>
            <w:r w:rsidR="00132FDD" w:rsidRPr="003E38B2">
              <w:rPr>
                <w:rStyle w:val="Hipervnculo"/>
                <w:rFonts w:cs="Times New Roman"/>
                <w:lang w:eastAsia="es-ES_tradnl"/>
              </w:rPr>
              <w:t>Nociones generales.</w:t>
            </w:r>
            <w:r w:rsidR="00132FDD">
              <w:rPr>
                <w:webHidden/>
              </w:rPr>
              <w:tab/>
            </w:r>
            <w:r w:rsidR="00132FDD">
              <w:rPr>
                <w:webHidden/>
              </w:rPr>
              <w:fldChar w:fldCharType="begin"/>
            </w:r>
            <w:r w:rsidR="00132FDD">
              <w:rPr>
                <w:webHidden/>
              </w:rPr>
              <w:instrText xml:space="preserve"> PAGEREF _Toc83901344 \h </w:instrText>
            </w:r>
            <w:r w:rsidR="00132FDD">
              <w:rPr>
                <w:webHidden/>
              </w:rPr>
            </w:r>
            <w:r w:rsidR="00132FDD">
              <w:rPr>
                <w:webHidden/>
              </w:rPr>
              <w:fldChar w:fldCharType="separate"/>
            </w:r>
            <w:r w:rsidR="00132FDD">
              <w:rPr>
                <w:webHidden/>
              </w:rPr>
              <w:t>43</w:t>
            </w:r>
            <w:r w:rsidR="00132FDD">
              <w:rPr>
                <w:webHidden/>
              </w:rPr>
              <w:fldChar w:fldCharType="end"/>
            </w:r>
          </w:hyperlink>
        </w:p>
        <w:p w14:paraId="1DE1950A" w14:textId="77777777" w:rsidR="00132FDD" w:rsidRDefault="00BA7865">
          <w:pPr>
            <w:pStyle w:val="TDC2"/>
            <w:rPr>
              <w:noProof/>
              <w:sz w:val="22"/>
              <w:szCs w:val="22"/>
              <w:lang w:val="es-MX" w:eastAsia="es-MX"/>
            </w:rPr>
          </w:pPr>
          <w:hyperlink w:anchor="_Toc83901345" w:history="1">
            <w:r w:rsidR="00132FDD" w:rsidRPr="003E38B2">
              <w:rPr>
                <w:rStyle w:val="Hipervnculo"/>
                <w:rFonts w:ascii="Palatino Linotype" w:hAnsi="Palatino Linotype" w:cs="Times New Roman"/>
                <w:b/>
                <w:noProof/>
              </w:rPr>
              <w:t>II.</w:t>
            </w:r>
            <w:r w:rsidR="00132FDD">
              <w:rPr>
                <w:noProof/>
                <w:sz w:val="22"/>
                <w:szCs w:val="22"/>
                <w:lang w:val="es-MX" w:eastAsia="es-MX"/>
              </w:rPr>
              <w:tab/>
            </w:r>
            <w:r w:rsidR="00132FDD" w:rsidRPr="003E38B2">
              <w:rPr>
                <w:rStyle w:val="Hipervnculo"/>
                <w:rFonts w:ascii="Palatino Linotype" w:hAnsi="Palatino Linotype"/>
                <w:b/>
                <w:noProof/>
              </w:rPr>
              <w:t>De la reserva de la información.</w:t>
            </w:r>
            <w:r w:rsidR="00132FDD">
              <w:rPr>
                <w:noProof/>
                <w:webHidden/>
              </w:rPr>
              <w:tab/>
            </w:r>
            <w:r w:rsidR="00132FDD">
              <w:rPr>
                <w:noProof/>
                <w:webHidden/>
              </w:rPr>
              <w:fldChar w:fldCharType="begin"/>
            </w:r>
            <w:r w:rsidR="00132FDD">
              <w:rPr>
                <w:noProof/>
                <w:webHidden/>
              </w:rPr>
              <w:instrText xml:space="preserve"> PAGEREF _Toc83901345 \h </w:instrText>
            </w:r>
            <w:r w:rsidR="00132FDD">
              <w:rPr>
                <w:noProof/>
                <w:webHidden/>
              </w:rPr>
            </w:r>
            <w:r w:rsidR="00132FDD">
              <w:rPr>
                <w:noProof/>
                <w:webHidden/>
              </w:rPr>
              <w:fldChar w:fldCharType="separate"/>
            </w:r>
            <w:r w:rsidR="00132FDD">
              <w:rPr>
                <w:noProof/>
                <w:webHidden/>
              </w:rPr>
              <w:t>47</w:t>
            </w:r>
            <w:r w:rsidR="00132FDD">
              <w:rPr>
                <w:noProof/>
                <w:webHidden/>
              </w:rPr>
              <w:fldChar w:fldCharType="end"/>
            </w:r>
          </w:hyperlink>
        </w:p>
        <w:p w14:paraId="721F73CD" w14:textId="77777777" w:rsidR="00132FDD" w:rsidRDefault="00BA7865">
          <w:pPr>
            <w:pStyle w:val="TDC3"/>
            <w:rPr>
              <w:noProof/>
              <w:sz w:val="22"/>
              <w:szCs w:val="22"/>
              <w:lang w:val="es-MX" w:eastAsia="es-MX"/>
            </w:rPr>
          </w:pPr>
          <w:hyperlink w:anchor="_Toc83901346" w:history="1">
            <w:r w:rsidR="00132FDD" w:rsidRPr="003E38B2">
              <w:rPr>
                <w:rStyle w:val="Hipervnculo"/>
                <w:rFonts w:ascii="Palatino Linotype" w:hAnsi="Palatino Linotype"/>
                <w:b/>
                <w:bCs/>
                <w:noProof/>
              </w:rPr>
              <w:t>I. Condiciones especiales de la clasificación de la información como reservada</w:t>
            </w:r>
            <w:r w:rsidR="00132FDD">
              <w:rPr>
                <w:noProof/>
                <w:webHidden/>
              </w:rPr>
              <w:tab/>
            </w:r>
            <w:r w:rsidR="00132FDD">
              <w:rPr>
                <w:noProof/>
                <w:webHidden/>
              </w:rPr>
              <w:fldChar w:fldCharType="begin"/>
            </w:r>
            <w:r w:rsidR="00132FDD">
              <w:rPr>
                <w:noProof/>
                <w:webHidden/>
              </w:rPr>
              <w:instrText xml:space="preserve"> PAGEREF _Toc83901346 \h </w:instrText>
            </w:r>
            <w:r w:rsidR="00132FDD">
              <w:rPr>
                <w:noProof/>
                <w:webHidden/>
              </w:rPr>
            </w:r>
            <w:r w:rsidR="00132FDD">
              <w:rPr>
                <w:noProof/>
                <w:webHidden/>
              </w:rPr>
              <w:fldChar w:fldCharType="separate"/>
            </w:r>
            <w:r w:rsidR="00132FDD">
              <w:rPr>
                <w:noProof/>
                <w:webHidden/>
              </w:rPr>
              <w:t>50</w:t>
            </w:r>
            <w:r w:rsidR="00132FDD">
              <w:rPr>
                <w:noProof/>
                <w:webHidden/>
              </w:rPr>
              <w:fldChar w:fldCharType="end"/>
            </w:r>
          </w:hyperlink>
        </w:p>
        <w:p w14:paraId="3BAA7124" w14:textId="77777777" w:rsidR="00132FDD" w:rsidRDefault="00BA7865">
          <w:pPr>
            <w:pStyle w:val="TDC3"/>
            <w:rPr>
              <w:noProof/>
              <w:sz w:val="22"/>
              <w:szCs w:val="22"/>
              <w:lang w:val="es-MX" w:eastAsia="es-MX"/>
            </w:rPr>
          </w:pPr>
          <w:hyperlink w:anchor="_Toc83901347" w:history="1">
            <w:r w:rsidR="00132FDD" w:rsidRPr="003E38B2">
              <w:rPr>
                <w:rStyle w:val="Hipervnculo"/>
                <w:rFonts w:ascii="Palatino Linotype" w:hAnsi="Palatino Linotype"/>
                <w:b/>
                <w:bCs/>
                <w:noProof/>
              </w:rPr>
              <w:t>II. Lineamientos Generales en materia de Clasificación y desclasificación de la información, así como para la elaboración de versiones públicas.</w:t>
            </w:r>
            <w:r w:rsidR="00132FDD">
              <w:rPr>
                <w:noProof/>
                <w:webHidden/>
              </w:rPr>
              <w:tab/>
            </w:r>
            <w:r w:rsidR="00132FDD">
              <w:rPr>
                <w:noProof/>
                <w:webHidden/>
              </w:rPr>
              <w:fldChar w:fldCharType="begin"/>
            </w:r>
            <w:r w:rsidR="00132FDD">
              <w:rPr>
                <w:noProof/>
                <w:webHidden/>
              </w:rPr>
              <w:instrText xml:space="preserve"> PAGEREF _Toc83901347 \h </w:instrText>
            </w:r>
            <w:r w:rsidR="00132FDD">
              <w:rPr>
                <w:noProof/>
                <w:webHidden/>
              </w:rPr>
            </w:r>
            <w:r w:rsidR="00132FDD">
              <w:rPr>
                <w:noProof/>
                <w:webHidden/>
              </w:rPr>
              <w:fldChar w:fldCharType="separate"/>
            </w:r>
            <w:r w:rsidR="00132FDD">
              <w:rPr>
                <w:noProof/>
                <w:webHidden/>
              </w:rPr>
              <w:t>55</w:t>
            </w:r>
            <w:r w:rsidR="00132FDD">
              <w:rPr>
                <w:noProof/>
                <w:webHidden/>
              </w:rPr>
              <w:fldChar w:fldCharType="end"/>
            </w:r>
          </w:hyperlink>
        </w:p>
        <w:p w14:paraId="14C33AB0" w14:textId="77777777" w:rsidR="00132FDD" w:rsidRDefault="00BA7865">
          <w:pPr>
            <w:pStyle w:val="TDC1"/>
            <w:rPr>
              <w:rFonts w:asciiTheme="minorHAnsi" w:hAnsiTheme="minorHAnsi"/>
              <w:b w:val="0"/>
              <w:bCs w:val="0"/>
              <w:sz w:val="22"/>
              <w:szCs w:val="22"/>
              <w:lang w:val="es-MX" w:eastAsia="es-MX"/>
            </w:rPr>
          </w:pPr>
          <w:hyperlink w:anchor="_Toc83901348" w:history="1">
            <w:r w:rsidR="00132FDD" w:rsidRPr="003E38B2">
              <w:rPr>
                <w:rStyle w:val="Hipervnculo"/>
                <w:rFonts w:eastAsia="Calibri"/>
              </w:rPr>
              <w:t>SEXTO. DECISIÓN.</w:t>
            </w:r>
            <w:r w:rsidR="00132FDD">
              <w:rPr>
                <w:webHidden/>
              </w:rPr>
              <w:tab/>
            </w:r>
            <w:r w:rsidR="00132FDD">
              <w:rPr>
                <w:webHidden/>
              </w:rPr>
              <w:fldChar w:fldCharType="begin"/>
            </w:r>
            <w:r w:rsidR="00132FDD">
              <w:rPr>
                <w:webHidden/>
              </w:rPr>
              <w:instrText xml:space="preserve"> PAGEREF _Toc83901348 \h </w:instrText>
            </w:r>
            <w:r w:rsidR="00132FDD">
              <w:rPr>
                <w:webHidden/>
              </w:rPr>
            </w:r>
            <w:r w:rsidR="00132FDD">
              <w:rPr>
                <w:webHidden/>
              </w:rPr>
              <w:fldChar w:fldCharType="separate"/>
            </w:r>
            <w:r w:rsidR="00132FDD">
              <w:rPr>
                <w:webHidden/>
              </w:rPr>
              <w:t>58</w:t>
            </w:r>
            <w:r w:rsidR="00132FDD">
              <w:rPr>
                <w:webHidden/>
              </w:rPr>
              <w:fldChar w:fldCharType="end"/>
            </w:r>
          </w:hyperlink>
        </w:p>
        <w:p w14:paraId="20AF25CA" w14:textId="77777777" w:rsidR="00132FDD" w:rsidRDefault="00BA7865">
          <w:pPr>
            <w:pStyle w:val="TDC1"/>
            <w:rPr>
              <w:rFonts w:asciiTheme="minorHAnsi" w:hAnsiTheme="minorHAnsi"/>
              <w:b w:val="0"/>
              <w:bCs w:val="0"/>
              <w:sz w:val="22"/>
              <w:szCs w:val="22"/>
              <w:lang w:val="es-MX" w:eastAsia="es-MX"/>
            </w:rPr>
          </w:pPr>
          <w:hyperlink w:anchor="_Toc83901349" w:history="1">
            <w:r w:rsidR="00132FDD" w:rsidRPr="003E38B2">
              <w:rPr>
                <w:rStyle w:val="Hipervnculo"/>
              </w:rPr>
              <w:t>R E S O L U T I V O S</w:t>
            </w:r>
            <w:r w:rsidR="00132FDD">
              <w:rPr>
                <w:webHidden/>
              </w:rPr>
              <w:tab/>
            </w:r>
            <w:r w:rsidR="00132FDD">
              <w:rPr>
                <w:webHidden/>
              </w:rPr>
              <w:fldChar w:fldCharType="begin"/>
            </w:r>
            <w:r w:rsidR="00132FDD">
              <w:rPr>
                <w:webHidden/>
              </w:rPr>
              <w:instrText xml:space="preserve"> PAGEREF _Toc83901349 \h </w:instrText>
            </w:r>
            <w:r w:rsidR="00132FDD">
              <w:rPr>
                <w:webHidden/>
              </w:rPr>
            </w:r>
            <w:r w:rsidR="00132FDD">
              <w:rPr>
                <w:webHidden/>
              </w:rPr>
              <w:fldChar w:fldCharType="separate"/>
            </w:r>
            <w:r w:rsidR="00132FDD">
              <w:rPr>
                <w:webHidden/>
              </w:rPr>
              <w:t>60</w:t>
            </w:r>
            <w:r w:rsidR="00132FDD">
              <w:rPr>
                <w:webHidden/>
              </w:rPr>
              <w:fldChar w:fldCharType="end"/>
            </w:r>
          </w:hyperlink>
        </w:p>
        <w:p w14:paraId="19723959" w14:textId="77777777" w:rsidR="005000AA" w:rsidRPr="00624AAD" w:rsidRDefault="005000AA" w:rsidP="005000AA">
          <w:pPr>
            <w:spacing w:line="480"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6FEFF981" w14:textId="77777777" w:rsidR="00F24CE9" w:rsidRDefault="00F24CE9" w:rsidP="005000AA">
      <w:pPr>
        <w:spacing w:before="240" w:after="240" w:line="360" w:lineRule="auto"/>
        <w:jc w:val="both"/>
        <w:rPr>
          <w:rFonts w:ascii="Palatino Linotype" w:hAnsi="Palatino Linotype"/>
          <w:sz w:val="24"/>
          <w:szCs w:val="24"/>
        </w:rPr>
      </w:pPr>
    </w:p>
    <w:p w14:paraId="43847B78" w14:textId="4857B3F1"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132FDD">
        <w:rPr>
          <w:rFonts w:ascii="Palatino Linotype" w:hAnsi="Palatino Linotype"/>
          <w:sz w:val="24"/>
          <w:szCs w:val="24"/>
        </w:rPr>
        <w:t>seis</w:t>
      </w:r>
      <w:r w:rsidRPr="008E0B6A">
        <w:rPr>
          <w:rFonts w:ascii="Palatino Linotype" w:hAnsi="Palatino Linotype"/>
          <w:sz w:val="24"/>
          <w:szCs w:val="24"/>
        </w:rPr>
        <w:t xml:space="preserve"> (</w:t>
      </w:r>
      <w:r w:rsidR="00132FDD" w:rsidRPr="008E0B6A">
        <w:rPr>
          <w:rFonts w:ascii="Palatino Linotype" w:hAnsi="Palatino Linotype"/>
          <w:sz w:val="24"/>
          <w:szCs w:val="24"/>
        </w:rPr>
        <w:t>6</w:t>
      </w:r>
      <w:r w:rsidRPr="008E0B6A">
        <w:rPr>
          <w:rFonts w:ascii="Palatino Linotype" w:hAnsi="Palatino Linotype"/>
          <w:sz w:val="24"/>
          <w:szCs w:val="24"/>
        </w:rPr>
        <w:t xml:space="preserve">) de </w:t>
      </w:r>
      <w:r w:rsidR="00132FDD" w:rsidRPr="008E0B6A">
        <w:rPr>
          <w:rFonts w:ascii="Palatino Linotype" w:hAnsi="Palatino Linotype"/>
          <w:sz w:val="24"/>
          <w:szCs w:val="24"/>
        </w:rPr>
        <w:t>octubre</w:t>
      </w:r>
      <w:r w:rsidRPr="008E0B6A">
        <w:rPr>
          <w:rFonts w:ascii="Palatino Linotype" w:hAnsi="Palatino Linotype"/>
          <w:sz w:val="24"/>
          <w:szCs w:val="24"/>
        </w:rPr>
        <w:t xml:space="preserve"> de dos mil veintiuno.</w:t>
      </w:r>
    </w:p>
    <w:p w14:paraId="4C818016" w14:textId="108D3B69"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Pr="00624AAD">
        <w:rPr>
          <w:rFonts w:ascii="Palatino Linotype" w:hAnsi="Palatino Linotype" w:cs="Arial"/>
          <w:b/>
          <w:bCs/>
          <w:sz w:val="24"/>
          <w:szCs w:val="24"/>
          <w:lang w:eastAsia="es-MX"/>
        </w:rPr>
        <w:t>0</w:t>
      </w:r>
      <w:r w:rsidR="00045238">
        <w:rPr>
          <w:rFonts w:ascii="Palatino Linotype" w:hAnsi="Palatino Linotype" w:cs="Arial"/>
          <w:b/>
          <w:bCs/>
          <w:sz w:val="24"/>
          <w:szCs w:val="24"/>
          <w:lang w:eastAsia="es-MX"/>
        </w:rPr>
        <w:t>4098</w:t>
      </w:r>
      <w:r w:rsidRPr="00624AAD">
        <w:rPr>
          <w:rFonts w:ascii="Palatino Linotype" w:hAnsi="Palatino Linotype" w:cs="Arial"/>
          <w:b/>
          <w:bCs/>
          <w:sz w:val="24"/>
          <w:szCs w:val="24"/>
          <w:lang w:eastAsia="es-MX"/>
        </w:rPr>
        <w:t>/INFOEM/IP/RR/2021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E772BC" w:rsidRPr="00E772BC">
        <w:rPr>
          <w:rFonts w:ascii="Palatino Linotype" w:eastAsia="Calibri" w:hAnsi="Palatino Linotype" w:cs="Tahoma"/>
          <w:b/>
          <w:sz w:val="22"/>
          <w:szCs w:val="22"/>
          <w:lang w:eastAsia="en-US"/>
        </w:rPr>
        <w:t>XXXXXXXXXXXXXXXXXXX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Pr="00624AAD">
        <w:rPr>
          <w:rFonts w:ascii="Palatino Linotype" w:hAnsi="Palatino Linotype" w:cs="Arial"/>
          <w:sz w:val="24"/>
          <w:szCs w:val="24"/>
        </w:rPr>
        <w:t>, en contra de la respuesta de</w:t>
      </w:r>
      <w:r w:rsidR="00A6768A">
        <w:rPr>
          <w:rFonts w:ascii="Palatino Linotype" w:hAnsi="Palatino Linotype" w:cs="Arial"/>
          <w:sz w:val="24"/>
          <w:szCs w:val="24"/>
        </w:rPr>
        <w:t xml:space="preserve"> </w:t>
      </w:r>
      <w:r w:rsidRPr="00624AAD">
        <w:rPr>
          <w:rFonts w:ascii="Palatino Linotype" w:hAnsi="Palatino Linotype" w:cs="Arial"/>
          <w:sz w:val="24"/>
          <w:szCs w:val="24"/>
        </w:rPr>
        <w:t>l</w:t>
      </w:r>
      <w:r w:rsidR="00A6768A">
        <w:rPr>
          <w:rFonts w:ascii="Palatino Linotype" w:hAnsi="Palatino Linotype" w:cs="Arial"/>
          <w:sz w:val="24"/>
          <w:szCs w:val="24"/>
        </w:rPr>
        <w:t>a</w:t>
      </w:r>
      <w:r w:rsidRPr="00624AAD">
        <w:rPr>
          <w:rFonts w:ascii="Palatino Linotype" w:hAnsi="Palatino Linotype" w:cs="Arial"/>
          <w:sz w:val="24"/>
          <w:szCs w:val="24"/>
        </w:rPr>
        <w:t xml:space="preserve"> </w:t>
      </w:r>
      <w:r w:rsidR="00A6768A">
        <w:rPr>
          <w:rFonts w:ascii="Palatino Linotype" w:eastAsia="Calibri" w:hAnsi="Palatino Linotype" w:cs="Tahoma"/>
          <w:b/>
          <w:sz w:val="24"/>
          <w:szCs w:val="24"/>
          <w:lang w:eastAsia="en-US"/>
        </w:rPr>
        <w:t>Secretaría de Seguridad</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3901331"/>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25017A65" w:rsidR="005000AA" w:rsidRPr="00624AAD"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El día siete</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7</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de ju</w:t>
      </w:r>
      <w:r>
        <w:rPr>
          <w:rFonts w:ascii="Palatino Linotype" w:eastAsia="Calibri" w:hAnsi="Palatino Linotype"/>
          <w:sz w:val="24"/>
          <w:lang w:val="es-ES"/>
        </w:rPr>
        <w:t>lio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8D7103">
        <w:rPr>
          <w:rFonts w:ascii="Palatino Linotype" w:eastAsia="Calibri" w:hAnsi="Palatino Linotype" w:cs="Arial"/>
          <w:b/>
          <w:sz w:val="24"/>
          <w:lang w:val="es-ES"/>
        </w:rPr>
        <w:t>353</w:t>
      </w:r>
      <w:r w:rsidR="00624AAD" w:rsidRPr="00624AAD">
        <w:rPr>
          <w:rFonts w:ascii="Palatino Linotype" w:eastAsia="Calibri" w:hAnsi="Palatino Linotype" w:cs="Arial"/>
          <w:b/>
          <w:sz w:val="24"/>
          <w:lang w:val="es-ES"/>
        </w:rPr>
        <w:t>/</w:t>
      </w:r>
      <w:r w:rsidR="008D7103">
        <w:rPr>
          <w:rFonts w:ascii="Palatino Linotype" w:eastAsia="Calibri" w:hAnsi="Palatino Linotype" w:cs="Arial"/>
          <w:b/>
          <w:sz w:val="24"/>
          <w:lang w:val="es-ES"/>
        </w:rPr>
        <w:t>SSEM</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19CBEB32" w14:textId="4A05D58C"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8D7103" w:rsidRPr="008D7103">
        <w:rPr>
          <w:rFonts w:ascii="Palatino Linotype" w:hAnsi="Palatino Linotype"/>
          <w:i/>
          <w:sz w:val="24"/>
          <w:szCs w:val="24"/>
          <w:lang w:eastAsia="es-MX"/>
        </w:rPr>
        <w:t>Requiero saber la situación labolar del sr Alejandro José cuellar vilchis, si todavía labora como custodio en al Cusaem, cual es su puesto, servicio y asignacion actual, en el caso de haber sido dado de baja, favor de informarme en que fecha o si paso a formar parte de otra corporación, gracias</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424EECAC"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8D7103">
        <w:rPr>
          <w:rFonts w:ascii="Palatino Linotype" w:eastAsia="Calibri" w:hAnsi="Palatino Linotype"/>
          <w:sz w:val="24"/>
          <w:lang w:val="es-ES"/>
        </w:rPr>
        <w:t>once</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A36BE2">
        <w:rPr>
          <w:rFonts w:ascii="Palatino Linotype" w:eastAsia="Calibri" w:hAnsi="Palatino Linotype" w:cs="Arial"/>
          <w:sz w:val="24"/>
          <w:lang w:val="es-ES"/>
        </w:rPr>
        <w:t>1</w:t>
      </w:r>
      <w:r w:rsidR="008D7103">
        <w:rPr>
          <w:rFonts w:ascii="Palatino Linotype" w:eastAsia="Calibri" w:hAnsi="Palatino Linotype" w:cs="Arial"/>
          <w:sz w:val="24"/>
          <w:lang w:val="es-ES"/>
        </w:rPr>
        <w:t>1</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8D7103">
        <w:rPr>
          <w:rFonts w:ascii="Palatino Linotype" w:eastAsia="Calibri" w:hAnsi="Palatino Linotype"/>
          <w:sz w:val="24"/>
          <w:lang w:val="es-ES"/>
        </w:rPr>
        <w:t>agosto</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6F6DA5D5" w14:textId="77777777" w:rsidR="008D7103" w:rsidRPr="008D7103" w:rsidRDefault="005000AA" w:rsidP="008D7103">
      <w:pPr>
        <w:pStyle w:val="Prrafodelista"/>
        <w:spacing w:before="240" w:after="240" w:line="360" w:lineRule="auto"/>
        <w:ind w:left="567" w:right="567"/>
        <w:jc w:val="both"/>
        <w:rPr>
          <w:rFonts w:ascii="Palatino Linotype" w:hAnsi="Palatino Linotype"/>
          <w:i/>
          <w:color w:val="000000"/>
          <w:sz w:val="24"/>
        </w:rPr>
      </w:pPr>
      <w:r w:rsidRPr="00624AAD">
        <w:rPr>
          <w:rFonts w:ascii="Palatino Linotype" w:eastAsia="Calibri" w:hAnsi="Palatino Linotype"/>
          <w:i/>
          <w:sz w:val="24"/>
          <w:lang w:val="es-ES"/>
        </w:rPr>
        <w:t>“</w:t>
      </w:r>
      <w:r w:rsidR="008D7103" w:rsidRPr="008D7103">
        <w:rPr>
          <w:rFonts w:ascii="Palatino Linotype" w:hAnsi="Palatino Linotype"/>
          <w:i/>
          <w:color w:val="000000"/>
          <w:sz w:val="24"/>
        </w:rPr>
        <w:t>Metepec, México a 11 de Agosto de 2021</w:t>
      </w:r>
    </w:p>
    <w:p w14:paraId="5C7FC26E" w14:textId="10AF3148" w:rsidR="008D7103" w:rsidRPr="008D7103" w:rsidRDefault="008D7103" w:rsidP="008D7103">
      <w:pPr>
        <w:pStyle w:val="Prrafodelista"/>
        <w:spacing w:before="240" w:after="240" w:line="360" w:lineRule="auto"/>
        <w:ind w:left="567" w:right="567"/>
        <w:jc w:val="both"/>
        <w:rPr>
          <w:rFonts w:ascii="Palatino Linotype" w:hAnsi="Palatino Linotype"/>
          <w:i/>
          <w:color w:val="000000"/>
          <w:sz w:val="24"/>
        </w:rPr>
      </w:pPr>
      <w:r w:rsidRPr="008D7103">
        <w:rPr>
          <w:rFonts w:ascii="Palatino Linotype" w:hAnsi="Palatino Linotype"/>
          <w:i/>
          <w:color w:val="000000"/>
          <w:sz w:val="24"/>
        </w:rPr>
        <w:lastRenderedPageBreak/>
        <w:t xml:space="preserve">Nombre del solicitante: </w:t>
      </w:r>
      <w:r w:rsidR="00E772BC" w:rsidRPr="00E772BC">
        <w:rPr>
          <w:rFonts w:ascii="Palatino Linotype" w:eastAsia="Calibri" w:hAnsi="Palatino Linotype" w:cs="Tahoma"/>
          <w:b/>
          <w:szCs w:val="22"/>
          <w:lang w:eastAsia="en-US"/>
        </w:rPr>
        <w:t>XXXXXXXXXXXXXXXXXXX</w:t>
      </w:r>
    </w:p>
    <w:p w14:paraId="2C52DF16" w14:textId="77777777" w:rsidR="008D7103" w:rsidRPr="008D7103" w:rsidRDefault="008D7103" w:rsidP="008D7103">
      <w:pPr>
        <w:pStyle w:val="Prrafodelista"/>
        <w:spacing w:before="240" w:after="240" w:line="360" w:lineRule="auto"/>
        <w:ind w:left="567" w:right="567"/>
        <w:jc w:val="both"/>
        <w:rPr>
          <w:rFonts w:ascii="Palatino Linotype" w:hAnsi="Palatino Linotype"/>
          <w:i/>
          <w:color w:val="000000"/>
          <w:sz w:val="24"/>
        </w:rPr>
      </w:pPr>
      <w:r w:rsidRPr="008D7103">
        <w:rPr>
          <w:rFonts w:ascii="Palatino Linotype" w:hAnsi="Palatino Linotype"/>
          <w:i/>
          <w:color w:val="000000"/>
          <w:sz w:val="24"/>
        </w:rPr>
        <w:t>Folio de la solicitud: 00353/SSEM/IP/2021</w:t>
      </w:r>
    </w:p>
    <w:p w14:paraId="024522C4" w14:textId="77777777" w:rsidR="008D7103" w:rsidRPr="008D7103" w:rsidRDefault="008D7103" w:rsidP="008D7103">
      <w:pPr>
        <w:pStyle w:val="Prrafodelista"/>
        <w:spacing w:before="240" w:after="240" w:line="360" w:lineRule="auto"/>
        <w:ind w:left="567" w:right="567"/>
        <w:jc w:val="both"/>
        <w:rPr>
          <w:rFonts w:ascii="Palatino Linotype" w:hAnsi="Palatino Linotype"/>
          <w:i/>
          <w:color w:val="000000"/>
          <w:sz w:val="24"/>
        </w:rPr>
      </w:pPr>
      <w:r w:rsidRPr="008D7103">
        <w:rPr>
          <w:rFonts w:ascii="Palatino Linotype" w:hAnsi="Palatino Linotype"/>
          <w:i/>
          <w:color w:val="000000"/>
          <w:sz w:val="24"/>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31536F87" w14:textId="77777777" w:rsidR="008D7103" w:rsidRPr="008D7103" w:rsidRDefault="008D7103" w:rsidP="008D7103">
      <w:pPr>
        <w:pStyle w:val="Prrafodelista"/>
        <w:spacing w:before="240" w:after="240" w:line="360" w:lineRule="auto"/>
        <w:ind w:left="567" w:right="567"/>
        <w:jc w:val="both"/>
        <w:rPr>
          <w:rFonts w:ascii="Palatino Linotype" w:hAnsi="Palatino Linotype"/>
          <w:i/>
          <w:color w:val="000000"/>
          <w:sz w:val="24"/>
        </w:rPr>
      </w:pPr>
      <w:r w:rsidRPr="008D7103">
        <w:rPr>
          <w:rFonts w:ascii="Palatino Linotype" w:hAnsi="Palatino Linotype"/>
          <w:i/>
          <w:color w:val="000000"/>
          <w:sz w:val="24"/>
        </w:rPr>
        <w:t>ATENTAMENTE</w:t>
      </w:r>
    </w:p>
    <w:p w14:paraId="362915EB" w14:textId="68EA5BF8" w:rsidR="005000AA" w:rsidRPr="00624AAD" w:rsidRDefault="008D7103" w:rsidP="008D7103">
      <w:pPr>
        <w:pStyle w:val="Prrafodelista"/>
        <w:spacing w:before="240" w:after="240" w:line="360" w:lineRule="auto"/>
        <w:ind w:left="567" w:right="567"/>
        <w:jc w:val="both"/>
        <w:rPr>
          <w:rFonts w:ascii="Palatino Linotype" w:hAnsi="Palatino Linotype"/>
          <w:i/>
          <w:color w:val="000000"/>
          <w:sz w:val="24"/>
        </w:rPr>
      </w:pPr>
      <w:r w:rsidRPr="008D7103">
        <w:rPr>
          <w:rFonts w:ascii="Palatino Linotype" w:hAnsi="Palatino Linotype"/>
          <w:i/>
          <w:color w:val="000000"/>
          <w:sz w:val="24"/>
        </w:rPr>
        <w:t>M. en D. Larissa León Arce</w:t>
      </w:r>
      <w:r w:rsidR="005000AA" w:rsidRPr="00624AAD">
        <w:rPr>
          <w:rFonts w:ascii="Palatino Linotype" w:hAnsi="Palatino Linotype"/>
          <w:i/>
          <w:color w:val="000000"/>
          <w:sz w:val="24"/>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0FDD08FE" w14:textId="56507887" w:rsidR="00A36BE2" w:rsidRDefault="00A36BE2"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R</w:t>
      </w:r>
      <w:r w:rsidR="008D7103">
        <w:rPr>
          <w:rFonts w:ascii="Palatino Linotype" w:hAnsi="Palatino Linotype"/>
          <w:b/>
          <w:bCs/>
          <w:iCs/>
          <w:color w:val="000000"/>
          <w:sz w:val="24"/>
        </w:rPr>
        <w:t>espuesta 353.pdf</w:t>
      </w:r>
      <w:r w:rsidR="005000AA" w:rsidRPr="00624AAD">
        <w:rPr>
          <w:rFonts w:ascii="Palatino Linotype" w:hAnsi="Palatino Linotype"/>
          <w:b/>
          <w:bCs/>
          <w:iCs/>
          <w:color w:val="000000"/>
          <w:sz w:val="24"/>
        </w:rPr>
        <w:t xml:space="preserve">: </w:t>
      </w:r>
      <w:r w:rsidR="008D7103">
        <w:rPr>
          <w:rFonts w:ascii="Palatino Linotype" w:hAnsi="Palatino Linotype"/>
          <w:bCs/>
          <w:iCs/>
          <w:color w:val="000000"/>
          <w:sz w:val="24"/>
        </w:rPr>
        <w:t>Documento suscrito por la Titular de la Unidad de Transparencia del Sujeto Obligado, mediante el cual refiere que, se realizó una revisión exhaustiva y no se localizó documento que permita dar respuesta a su solicitud. Asimismo, señaló que, entre la Secretaría de Seguridad y los cuerpos auxiliares, sólo existe una coordinación estrictamente de carácter operativo en situaciones de emergencia, desastre o cuando fuese necesario el apoyo. Por último, indicó que, en la estructura orgánica no se observa que los cuerpos auxiliares de la seguridad pública, formen parte del mismo.</w:t>
      </w:r>
    </w:p>
    <w:p w14:paraId="3D543208" w14:textId="77777777" w:rsidR="00A36BE2" w:rsidRDefault="00A36BE2" w:rsidP="00A36BE2">
      <w:pPr>
        <w:pStyle w:val="Prrafodelista"/>
        <w:spacing w:before="240" w:after="240" w:line="360" w:lineRule="auto"/>
        <w:ind w:left="709" w:right="567"/>
        <w:jc w:val="both"/>
        <w:rPr>
          <w:rFonts w:ascii="Palatino Linotype" w:hAnsi="Palatino Linotype"/>
          <w:b/>
          <w:bCs/>
          <w:iCs/>
          <w:color w:val="000000"/>
          <w:sz w:val="24"/>
        </w:rPr>
      </w:pPr>
    </w:p>
    <w:p w14:paraId="518CDCD9" w14:textId="4D13FEBF" w:rsidR="005000AA" w:rsidRPr="00624AAD" w:rsidRDefault="008D7103"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veinte</w:t>
      </w:r>
      <w:r w:rsidR="005000AA" w:rsidRPr="00624AAD">
        <w:rPr>
          <w:rFonts w:ascii="Palatino Linotype" w:eastAsia="Calibri" w:hAnsi="Palatino Linotype" w:cs="Arial"/>
          <w:sz w:val="24"/>
          <w:lang w:val="es-AR"/>
        </w:rPr>
        <w:t xml:space="preserve"> (</w:t>
      </w:r>
      <w:r w:rsidR="004E6A3B">
        <w:rPr>
          <w:rFonts w:ascii="Palatino Linotype" w:eastAsia="Calibri" w:hAnsi="Palatino Linotype" w:cs="Arial"/>
          <w:sz w:val="24"/>
          <w:lang w:val="es-AR"/>
        </w:rPr>
        <w:t>2</w:t>
      </w:r>
      <w:r>
        <w:rPr>
          <w:rFonts w:ascii="Palatino Linotype" w:eastAsia="Calibri" w:hAnsi="Palatino Linotype" w:cs="Arial"/>
          <w:sz w:val="24"/>
          <w:lang w:val="es-AR"/>
        </w:rPr>
        <w:t>0</w:t>
      </w:r>
      <w:r w:rsidR="005000AA" w:rsidRPr="00624AAD">
        <w:rPr>
          <w:rFonts w:ascii="Palatino Linotype" w:eastAsia="Calibri" w:hAnsi="Palatino Linotype" w:cs="Arial"/>
          <w:sz w:val="24"/>
          <w:lang w:val="es-AR"/>
        </w:rPr>
        <w:t xml:space="preserve">) de </w:t>
      </w:r>
      <w:r w:rsidR="004E6A3B">
        <w:rPr>
          <w:rFonts w:ascii="Palatino Linotype" w:eastAsia="Calibri" w:hAnsi="Palatino Linotype" w:cs="Arial"/>
          <w:sz w:val="24"/>
          <w:lang w:val="es-AR"/>
        </w:rPr>
        <w:t xml:space="preserve">agosto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387B2B08"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lastRenderedPageBreak/>
        <w:t xml:space="preserve">Acto impugnado: </w:t>
      </w:r>
      <w:r w:rsidRPr="00624AAD">
        <w:rPr>
          <w:rFonts w:ascii="Palatino Linotype" w:hAnsi="Palatino Linotype"/>
          <w:bCs/>
          <w:i/>
          <w:iCs/>
          <w:sz w:val="24"/>
        </w:rPr>
        <w:t>“</w:t>
      </w:r>
      <w:r w:rsidR="008D7103" w:rsidRPr="008D7103">
        <w:rPr>
          <w:rFonts w:ascii="Palatino Linotype" w:hAnsi="Palatino Linotype"/>
          <w:bCs/>
          <w:i/>
          <w:iCs/>
          <w:sz w:val="24"/>
        </w:rPr>
        <w:t>El cusaem depende de la secretaría de seguridad no tiene excusa para no proporcionar la información solicitada</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20D6B219"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8D7103" w:rsidRPr="008D7103">
        <w:rPr>
          <w:rFonts w:ascii="Palatino Linotype" w:hAnsi="Palatino Linotype"/>
          <w:i/>
          <w:sz w:val="24"/>
        </w:rPr>
        <w:t xml:space="preserve">De acuerdo a la oficina del gobernador, la SSEM es el sujeto obligado a proporcionar la información solicitada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p w14:paraId="677B1F8E" w14:textId="61B9FC7E" w:rsidR="008D7103" w:rsidRDefault="008D7103" w:rsidP="008D7103">
      <w:pPr>
        <w:pStyle w:val="Prrafodelista"/>
        <w:numPr>
          <w:ilvl w:val="0"/>
          <w:numId w:val="18"/>
        </w:numPr>
        <w:spacing w:line="360" w:lineRule="auto"/>
        <w:ind w:left="426"/>
        <w:jc w:val="both"/>
        <w:rPr>
          <w:rFonts w:ascii="Palatino Linotype" w:eastAsia="Calibri" w:hAnsi="Palatino Linotype" w:cs="Arial"/>
          <w:sz w:val="24"/>
          <w:lang w:val="es-ES"/>
        </w:rPr>
      </w:pPr>
      <w:r>
        <w:rPr>
          <w:rFonts w:ascii="Palatino Linotype" w:eastAsia="Calibri" w:hAnsi="Palatino Linotype" w:cs="Arial"/>
          <w:sz w:val="24"/>
          <w:lang w:val="es-ES"/>
        </w:rPr>
        <w:t xml:space="preserve">Al recurso de revisión adjuntó el documento electrónico denominado 0171 respuesta.PDF, el cual contiene el oficio </w:t>
      </w:r>
      <w:r w:rsidRPr="008D7103">
        <w:rPr>
          <w:rFonts w:ascii="Palatino Linotype" w:eastAsia="Calibri" w:hAnsi="Palatino Linotype" w:cs="Arial"/>
          <w:b/>
          <w:sz w:val="24"/>
          <w:lang w:val="es-ES"/>
        </w:rPr>
        <w:t>UTG/00200/2021</w:t>
      </w:r>
      <w:r>
        <w:rPr>
          <w:rFonts w:ascii="Palatino Linotype" w:eastAsia="Calibri" w:hAnsi="Palatino Linotype" w:cs="Arial"/>
          <w:b/>
          <w:sz w:val="24"/>
          <w:lang w:val="es-ES"/>
        </w:rPr>
        <w:t xml:space="preserve">, </w:t>
      </w:r>
      <w:r w:rsidRPr="00B12CC8">
        <w:rPr>
          <w:rFonts w:ascii="Palatino Linotype" w:eastAsia="Calibri" w:hAnsi="Palatino Linotype" w:cs="Arial"/>
          <w:sz w:val="24"/>
          <w:lang w:val="es-ES"/>
        </w:rPr>
        <w:t>suscrito por el Titular de la Unidad de Transparencia de la Gubernatura del Estado de México</w:t>
      </w:r>
      <w:r w:rsidR="00B12CC8">
        <w:rPr>
          <w:rFonts w:ascii="Palatino Linotype" w:eastAsia="Calibri" w:hAnsi="Palatino Linotype" w:cs="Arial"/>
          <w:sz w:val="24"/>
          <w:lang w:val="es-ES"/>
        </w:rPr>
        <w:t>, mediante el cual dan respuesta a la solicitud 000171/GUBERNA/IP/2021 en la que piden saber a qué dependencia del Gobierno del Estado de México pertenece el CUSAEM y le indican al recurrente que debe presentar su solicitud a la Secretaría de Seguridad.</w:t>
      </w:r>
    </w:p>
    <w:p w14:paraId="4BAE0A94" w14:textId="77777777" w:rsidR="008D7103" w:rsidRPr="00624AAD" w:rsidRDefault="008D7103"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5BC2B45E"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Pr="00624AAD">
        <w:rPr>
          <w:rFonts w:ascii="Palatino Linotype" w:hAnsi="Palatino Linotype" w:cs="Arial"/>
          <w:sz w:val="24"/>
          <w:lang w:val="es-ES"/>
        </w:rPr>
        <w:t xml:space="preserve">l </w:t>
      </w:r>
      <w:r w:rsidR="00D31521">
        <w:rPr>
          <w:rFonts w:ascii="Palatino Linotype" w:hAnsi="Palatino Linotype" w:cs="Arial"/>
          <w:b/>
          <w:sz w:val="24"/>
          <w:lang w:val="es-ES"/>
        </w:rPr>
        <w:t>Comisionado</w:t>
      </w:r>
      <w:r w:rsidRPr="00624AAD">
        <w:rPr>
          <w:rFonts w:ascii="Palatino Linotype" w:hAnsi="Palatino Linotype" w:cs="Arial"/>
          <w:b/>
          <w:sz w:val="24"/>
          <w:lang w:val="es-ES"/>
        </w:rPr>
        <w:t xml:space="preserve"> </w:t>
      </w:r>
      <w:r w:rsidR="00D31521">
        <w:rPr>
          <w:rFonts w:ascii="Palatino Linotype" w:hAnsi="Palatino Linotype" w:cs="Arial"/>
          <w:b/>
          <w:sz w:val="24"/>
          <w:lang w:val="es-ES"/>
        </w:rPr>
        <w:t>Luis Gustavo Parra Noriega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00C15AFF"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B12CC8">
        <w:rPr>
          <w:rFonts w:ascii="Palatino Linotype" w:eastAsia="Calibri" w:hAnsi="Palatino Linotype" w:cs="Arial"/>
          <w:sz w:val="24"/>
          <w:lang w:val="es-ES"/>
        </w:rPr>
        <w:t>veintisiete</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B12CC8">
        <w:rPr>
          <w:rFonts w:ascii="Palatino Linotype" w:eastAsia="Calibri" w:hAnsi="Palatino Linotype" w:cs="Arial"/>
          <w:sz w:val="24"/>
          <w:lang w:val="es-ES"/>
        </w:rPr>
        <w:t>27</w:t>
      </w:r>
      <w:r w:rsidR="004E6A3B">
        <w:rPr>
          <w:rFonts w:ascii="Palatino Linotype" w:eastAsia="Calibri" w:hAnsi="Palatino Linotype" w:cs="Arial"/>
          <w:sz w:val="24"/>
          <w:lang w:val="es-ES"/>
        </w:rPr>
        <w:t>) de agosto</w:t>
      </w:r>
      <w:r w:rsidRPr="00624AAD">
        <w:rPr>
          <w:rFonts w:ascii="Palatino Linotype" w:eastAsia="Calibri" w:hAnsi="Palatino Linotype" w:cs="Arial"/>
          <w:sz w:val="24"/>
          <w:lang w:val="es-ES"/>
        </w:rPr>
        <w:t xml:space="preserve"> de dos mil veintiuno, puso a disposición de las partes el expediente 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w:t>
      </w:r>
      <w:r w:rsidRPr="00624AAD">
        <w:rPr>
          <w:rFonts w:ascii="Palatino Linotype" w:eastAsia="Calibri" w:hAnsi="Palatino Linotype" w:cs="Arial"/>
          <w:sz w:val="24"/>
          <w:lang w:val="es-ES"/>
        </w:rPr>
        <w:lastRenderedPageBreak/>
        <w:t xml:space="preserve">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433A2E4A" w14:textId="1154A0CB" w:rsidR="004E6A3B" w:rsidRPr="00B12CC8" w:rsidRDefault="005000AA"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t xml:space="preserve">De las constancias que obran en el expediente electrónico del SAIMEX se aprecia que el Sujeto Obligado en fecha </w:t>
      </w:r>
      <w:r w:rsidR="004E6A3B">
        <w:rPr>
          <w:rFonts w:ascii="Palatino Linotype" w:hAnsi="Palatino Linotype"/>
          <w:iCs/>
          <w:color w:val="000000"/>
          <w:sz w:val="24"/>
        </w:rPr>
        <w:t>tre</w:t>
      </w:r>
      <w:r w:rsidR="00B12CC8">
        <w:rPr>
          <w:rFonts w:ascii="Palatino Linotype" w:hAnsi="Palatino Linotype"/>
          <w:iCs/>
          <w:color w:val="000000"/>
          <w:sz w:val="24"/>
        </w:rPr>
        <w:t>s</w:t>
      </w:r>
      <w:r w:rsidRPr="00624AAD">
        <w:rPr>
          <w:rFonts w:ascii="Palatino Linotype" w:hAnsi="Palatino Linotype"/>
          <w:iCs/>
          <w:color w:val="000000"/>
          <w:sz w:val="24"/>
        </w:rPr>
        <w:t xml:space="preserve"> (</w:t>
      </w:r>
      <w:r w:rsidR="004E6A3B">
        <w:rPr>
          <w:rFonts w:ascii="Palatino Linotype" w:hAnsi="Palatino Linotype"/>
          <w:iCs/>
          <w:color w:val="000000"/>
          <w:sz w:val="24"/>
        </w:rPr>
        <w:t>3</w:t>
      </w:r>
      <w:r w:rsidRPr="00624AAD">
        <w:rPr>
          <w:rFonts w:ascii="Palatino Linotype" w:hAnsi="Palatino Linotype"/>
          <w:iCs/>
          <w:color w:val="000000"/>
          <w:sz w:val="24"/>
        </w:rPr>
        <w:t xml:space="preserve">) de </w:t>
      </w:r>
      <w:r w:rsidR="00B12CC8">
        <w:rPr>
          <w:rFonts w:ascii="Palatino Linotype" w:hAnsi="Palatino Linotype"/>
          <w:iCs/>
          <w:color w:val="000000"/>
          <w:sz w:val="24"/>
        </w:rPr>
        <w:t>septiembre</w:t>
      </w:r>
      <w:r w:rsidRPr="00624AAD">
        <w:rPr>
          <w:rFonts w:ascii="Palatino Linotype" w:hAnsi="Palatino Linotype"/>
          <w:iCs/>
          <w:color w:val="000000"/>
          <w:sz w:val="24"/>
        </w:rPr>
        <w:t xml:space="preserve"> de dos mil veintiuno, remitió </w:t>
      </w:r>
      <w:r w:rsidR="004E6A3B">
        <w:rPr>
          <w:rFonts w:ascii="Palatino Linotype" w:hAnsi="Palatino Linotype"/>
          <w:iCs/>
          <w:color w:val="000000"/>
          <w:sz w:val="24"/>
        </w:rPr>
        <w:t xml:space="preserve">el documento electrónico denominado </w:t>
      </w:r>
      <w:r w:rsidR="00B12CC8" w:rsidRPr="00B12CC8">
        <w:rPr>
          <w:rFonts w:ascii="Palatino Linotype" w:hAnsi="Palatino Linotype"/>
          <w:b/>
          <w:i/>
          <w:iCs/>
          <w:color w:val="000000"/>
          <w:sz w:val="24"/>
        </w:rPr>
        <w:t>informe justificado04098.pdf</w:t>
      </w:r>
      <w:r w:rsidR="004E6A3B">
        <w:rPr>
          <w:rFonts w:ascii="Palatino Linotype" w:hAnsi="Palatino Linotype"/>
          <w:b/>
          <w:i/>
          <w:iCs/>
          <w:color w:val="000000"/>
          <w:sz w:val="24"/>
        </w:rPr>
        <w:t xml:space="preserve">; </w:t>
      </w:r>
      <w:r w:rsidR="004E6A3B" w:rsidRPr="004E6A3B">
        <w:rPr>
          <w:rFonts w:ascii="Palatino Linotype" w:hAnsi="Palatino Linotype"/>
          <w:iCs/>
          <w:color w:val="000000"/>
          <w:sz w:val="24"/>
        </w:rPr>
        <w:t xml:space="preserve">el cual </w:t>
      </w:r>
      <w:r w:rsidR="00B12CC8">
        <w:rPr>
          <w:rFonts w:ascii="Palatino Linotype" w:hAnsi="Palatino Linotype"/>
          <w:iCs/>
          <w:color w:val="000000"/>
          <w:sz w:val="24"/>
        </w:rPr>
        <w:t>se puso a la vista del Recurrente el trece (13) de septiembre; sin embargo, se procede a</w:t>
      </w:r>
      <w:r w:rsidR="00BD556F">
        <w:rPr>
          <w:rFonts w:ascii="Palatino Linotype" w:hAnsi="Palatino Linotype"/>
          <w:iCs/>
          <w:color w:val="000000"/>
          <w:sz w:val="24"/>
        </w:rPr>
        <w:t xml:space="preserve"> describir su contenido medular, siendo el siguiente:</w:t>
      </w:r>
    </w:p>
    <w:p w14:paraId="6430FAEC" w14:textId="77777777" w:rsidR="00B12CC8" w:rsidRPr="00B12CC8" w:rsidRDefault="00B12CC8" w:rsidP="00B12CC8">
      <w:pPr>
        <w:pStyle w:val="Prrafodelista"/>
        <w:rPr>
          <w:rFonts w:ascii="Palatino Linotype" w:hAnsi="Palatino Linotype"/>
          <w:i/>
          <w:color w:val="000000"/>
          <w:sz w:val="24"/>
        </w:rPr>
      </w:pPr>
    </w:p>
    <w:p w14:paraId="767C1149" w14:textId="029563C6" w:rsidR="00BD556F" w:rsidRPr="00BD556F" w:rsidRDefault="00B12CC8" w:rsidP="00B12CC8">
      <w:pPr>
        <w:pStyle w:val="Prrafodelista"/>
        <w:spacing w:before="240" w:after="240" w:line="360" w:lineRule="auto"/>
        <w:ind w:left="0"/>
        <w:jc w:val="both"/>
        <w:rPr>
          <w:rFonts w:ascii="Palatino Linotype" w:hAnsi="Palatino Linotype"/>
          <w:i/>
          <w:iCs/>
          <w:color w:val="000000"/>
          <w:sz w:val="24"/>
        </w:rPr>
      </w:pPr>
      <w:r w:rsidRPr="00BD556F">
        <w:rPr>
          <w:rFonts w:ascii="Palatino Linotype" w:hAnsi="Palatino Linotype"/>
          <w:b/>
          <w:i/>
          <w:iCs/>
          <w:color w:val="000000"/>
          <w:sz w:val="24"/>
        </w:rPr>
        <w:t xml:space="preserve">informe justificado04098.pdf: </w:t>
      </w:r>
      <w:r w:rsidRPr="00BD556F">
        <w:rPr>
          <w:rFonts w:ascii="Palatino Linotype" w:hAnsi="Palatino Linotype"/>
          <w:i/>
          <w:iCs/>
          <w:color w:val="000000"/>
          <w:sz w:val="24"/>
        </w:rPr>
        <w:t>oficio 20600007000000S/</w:t>
      </w:r>
      <w:r w:rsidR="00BD556F" w:rsidRPr="00BD556F">
        <w:rPr>
          <w:rFonts w:ascii="Palatino Linotype" w:hAnsi="Palatino Linotype"/>
          <w:i/>
          <w:iCs/>
          <w:color w:val="000000"/>
          <w:sz w:val="24"/>
        </w:rPr>
        <w:t>UIPPE</w:t>
      </w:r>
      <w:r w:rsidRPr="00BD556F">
        <w:rPr>
          <w:rFonts w:ascii="Palatino Linotype" w:hAnsi="Palatino Linotype"/>
          <w:i/>
          <w:iCs/>
          <w:color w:val="000000"/>
          <w:sz w:val="24"/>
        </w:rPr>
        <w:t>/1390/2021</w:t>
      </w:r>
      <w:r w:rsidR="00BD556F" w:rsidRPr="00BD556F">
        <w:rPr>
          <w:rFonts w:ascii="Palatino Linotype" w:hAnsi="Palatino Linotype"/>
          <w:i/>
          <w:iCs/>
          <w:color w:val="000000"/>
          <w:sz w:val="24"/>
        </w:rPr>
        <w:t xml:space="preserve"> suscrito por el Titular de la Unidad de Transparencia mediante el cual ratifica su respuesta inicial y refiere que, con la finalidad de acreditar que los cuerpos auxiliares de la seguridad pública no dependen orgánica, programática, ni administrativamente de la Secretaría de Seguridad, pone a su disposición:</w:t>
      </w:r>
    </w:p>
    <w:p w14:paraId="140AEF92" w14:textId="77777777" w:rsidR="00BD556F" w:rsidRPr="00BD556F" w:rsidRDefault="00BD556F" w:rsidP="00B12CC8">
      <w:pPr>
        <w:pStyle w:val="Prrafodelista"/>
        <w:spacing w:before="240" w:after="240" w:line="360" w:lineRule="auto"/>
        <w:ind w:left="0"/>
        <w:jc w:val="both"/>
        <w:rPr>
          <w:rFonts w:ascii="Palatino Linotype" w:hAnsi="Palatino Linotype"/>
          <w:i/>
          <w:iCs/>
          <w:color w:val="000000"/>
          <w:sz w:val="24"/>
        </w:rPr>
      </w:pPr>
    </w:p>
    <w:p w14:paraId="38214B18" w14:textId="237C5563" w:rsidR="00BD556F" w:rsidRPr="00BD556F" w:rsidRDefault="00BD556F" w:rsidP="00BD556F">
      <w:pPr>
        <w:pStyle w:val="Prrafodelista"/>
        <w:numPr>
          <w:ilvl w:val="0"/>
          <w:numId w:val="18"/>
        </w:numPr>
        <w:spacing w:before="240" w:after="240" w:line="360" w:lineRule="auto"/>
        <w:jc w:val="both"/>
        <w:rPr>
          <w:rFonts w:ascii="Palatino Linotype" w:hAnsi="Palatino Linotype"/>
          <w:i/>
          <w:iCs/>
          <w:color w:val="000000"/>
          <w:sz w:val="24"/>
        </w:rPr>
      </w:pPr>
      <w:r w:rsidRPr="00BD556F">
        <w:rPr>
          <w:rFonts w:ascii="Palatino Linotype" w:hAnsi="Palatino Linotype"/>
          <w:i/>
          <w:iCs/>
          <w:color w:val="000000"/>
          <w:sz w:val="24"/>
        </w:rPr>
        <w:t>Organigrama de la Secretaría de Seguridad;</w:t>
      </w:r>
    </w:p>
    <w:p w14:paraId="78DBCE0A" w14:textId="4C88A174" w:rsidR="00BD556F" w:rsidRPr="00BD556F" w:rsidRDefault="00BD556F" w:rsidP="00BD556F">
      <w:pPr>
        <w:pStyle w:val="Prrafodelista"/>
        <w:numPr>
          <w:ilvl w:val="0"/>
          <w:numId w:val="18"/>
        </w:numPr>
        <w:spacing w:before="240" w:after="240" w:line="360" w:lineRule="auto"/>
        <w:jc w:val="both"/>
        <w:rPr>
          <w:rFonts w:ascii="Palatino Linotype" w:hAnsi="Palatino Linotype"/>
          <w:i/>
          <w:iCs/>
          <w:color w:val="000000"/>
          <w:sz w:val="24"/>
        </w:rPr>
      </w:pPr>
      <w:r w:rsidRPr="00BD556F">
        <w:rPr>
          <w:rFonts w:ascii="Palatino Linotype" w:hAnsi="Palatino Linotype"/>
          <w:i/>
          <w:iCs/>
          <w:color w:val="000000"/>
          <w:sz w:val="24"/>
        </w:rPr>
        <w:t>Codificación de las Unidades Administrativas;</w:t>
      </w:r>
    </w:p>
    <w:p w14:paraId="20D9546D" w14:textId="082FDA0E" w:rsidR="00BD556F" w:rsidRPr="00BD556F" w:rsidRDefault="00BD556F" w:rsidP="00BD556F">
      <w:pPr>
        <w:pStyle w:val="Prrafodelista"/>
        <w:numPr>
          <w:ilvl w:val="0"/>
          <w:numId w:val="18"/>
        </w:numPr>
        <w:spacing w:before="240" w:after="240" w:line="360" w:lineRule="auto"/>
        <w:jc w:val="both"/>
        <w:rPr>
          <w:rFonts w:ascii="Palatino Linotype" w:hAnsi="Palatino Linotype"/>
          <w:i/>
          <w:iCs/>
          <w:color w:val="000000"/>
          <w:sz w:val="24"/>
        </w:rPr>
      </w:pPr>
      <w:r w:rsidRPr="00BD556F">
        <w:rPr>
          <w:rFonts w:ascii="Palatino Linotype" w:hAnsi="Palatino Linotype"/>
          <w:i/>
          <w:iCs/>
          <w:color w:val="000000"/>
          <w:sz w:val="24"/>
        </w:rPr>
        <w:t>Programa Operativo anual 2021 de la Secretaría de Seguridad</w:t>
      </w:r>
    </w:p>
    <w:p w14:paraId="1B720D49" w14:textId="09662B57" w:rsidR="004E6A3B" w:rsidRPr="00BD556F" w:rsidRDefault="00BD556F" w:rsidP="00BD556F">
      <w:pPr>
        <w:spacing w:line="360" w:lineRule="auto"/>
        <w:rPr>
          <w:rFonts w:ascii="Palatino Linotype" w:hAnsi="Palatino Linotype"/>
          <w:i/>
          <w:color w:val="000000"/>
          <w:sz w:val="24"/>
        </w:rPr>
      </w:pPr>
      <w:r w:rsidRPr="00BD556F">
        <w:rPr>
          <w:rFonts w:ascii="Palatino Linotype" w:hAnsi="Palatino Linotype"/>
          <w:i/>
          <w:color w:val="000000"/>
          <w:sz w:val="24"/>
        </w:rPr>
        <w:t>Asimismo, argumentó que no es posible proporcionar información al respecto, toda vez que se carece de la misma, por encontrarse fuera de sus atribuciones legales.</w:t>
      </w:r>
    </w:p>
    <w:p w14:paraId="358B5E8F" w14:textId="76A936A4" w:rsidR="004E6A3B" w:rsidRDefault="004E6A3B" w:rsidP="004E6A3B">
      <w:pPr>
        <w:spacing w:before="240" w:after="240" w:line="360" w:lineRule="auto"/>
        <w:jc w:val="center"/>
        <w:rPr>
          <w:rFonts w:ascii="Palatino Linotype" w:hAnsi="Palatino Linotype"/>
          <w:i/>
          <w:color w:val="000000"/>
          <w:sz w:val="24"/>
        </w:rPr>
      </w:pPr>
    </w:p>
    <w:p w14:paraId="0A330165" w14:textId="2D329174" w:rsidR="009467E5" w:rsidRDefault="009467E5" w:rsidP="001A31A2">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lastRenderedPageBreak/>
        <w:t>Por su parte, el Recurrente fue omiso presentar pruebas, alegatos o realizar cualquier manifestación que a su derecho convenga.</w:t>
      </w:r>
    </w:p>
    <w:p w14:paraId="39C09C22" w14:textId="77777777" w:rsidR="009467E5" w:rsidRPr="009467E5" w:rsidRDefault="009467E5" w:rsidP="009467E5">
      <w:pPr>
        <w:pStyle w:val="Prrafodelista"/>
        <w:spacing w:line="360" w:lineRule="auto"/>
        <w:ind w:left="0"/>
        <w:jc w:val="both"/>
        <w:rPr>
          <w:rFonts w:ascii="Palatino Linotype" w:hAnsi="Palatino Linotype" w:cs="Tahoma"/>
          <w:sz w:val="24"/>
        </w:rPr>
      </w:pPr>
    </w:p>
    <w:p w14:paraId="1818EEE5" w14:textId="34285433" w:rsidR="005000AA" w:rsidRPr="009467E5" w:rsidRDefault="00BD556F" w:rsidP="001A31A2">
      <w:pPr>
        <w:pStyle w:val="Prrafodelista"/>
        <w:numPr>
          <w:ilvl w:val="0"/>
          <w:numId w:val="3"/>
        </w:numPr>
        <w:spacing w:line="360" w:lineRule="auto"/>
        <w:ind w:left="0" w:firstLine="0"/>
        <w:jc w:val="both"/>
        <w:rPr>
          <w:rFonts w:ascii="Palatino Linotype" w:hAnsi="Palatino Linotype" w:cs="Tahoma"/>
          <w:sz w:val="24"/>
        </w:rPr>
      </w:pPr>
      <w:r w:rsidRPr="009467E5">
        <w:rPr>
          <w:rFonts w:ascii="Palatino Linotype" w:eastAsia="Calibri" w:hAnsi="Palatino Linotype" w:cs="Arial"/>
          <w:sz w:val="24"/>
          <w:lang w:val="es-ES"/>
        </w:rPr>
        <w:t>El día veinte</w:t>
      </w:r>
      <w:r w:rsidR="005000AA" w:rsidRPr="009467E5">
        <w:rPr>
          <w:rFonts w:ascii="Palatino Linotype" w:eastAsia="Calibri" w:hAnsi="Palatino Linotype" w:cs="Arial"/>
          <w:sz w:val="24"/>
          <w:lang w:val="es-ES"/>
        </w:rPr>
        <w:t xml:space="preserve"> (</w:t>
      </w:r>
      <w:r w:rsidRPr="009467E5">
        <w:rPr>
          <w:rFonts w:ascii="Palatino Linotype" w:eastAsia="Calibri" w:hAnsi="Palatino Linotype" w:cs="Arial"/>
          <w:sz w:val="24"/>
          <w:lang w:val="es-ES"/>
        </w:rPr>
        <w:t>20</w:t>
      </w:r>
      <w:r w:rsidR="005000AA" w:rsidRPr="009467E5">
        <w:rPr>
          <w:rFonts w:ascii="Palatino Linotype" w:eastAsia="Calibri" w:hAnsi="Palatino Linotype" w:cs="Arial"/>
          <w:sz w:val="24"/>
          <w:lang w:val="es-ES"/>
        </w:rPr>
        <w:t xml:space="preserve">) de </w:t>
      </w:r>
      <w:r w:rsidR="00D31521" w:rsidRPr="009467E5">
        <w:rPr>
          <w:rFonts w:ascii="Palatino Linotype" w:eastAsia="Calibri" w:hAnsi="Palatino Linotype" w:cs="Arial"/>
          <w:sz w:val="24"/>
          <w:lang w:val="es-ES"/>
        </w:rPr>
        <w:t>septiembre</w:t>
      </w:r>
      <w:r w:rsidR="005000AA" w:rsidRPr="009467E5">
        <w:rPr>
          <w:rFonts w:ascii="Palatino Linotype" w:eastAsia="Calibri" w:hAnsi="Palatino Linotype" w:cs="Arial"/>
          <w:sz w:val="24"/>
          <w:lang w:val="es-ES"/>
        </w:rPr>
        <w:t xml:space="preserve"> de dos mil veintiuno, e</w:t>
      </w:r>
      <w:r w:rsidR="005000AA" w:rsidRPr="009467E5">
        <w:rPr>
          <w:rFonts w:ascii="Palatino Linotype" w:hAnsi="Palatino Linotype"/>
          <w:sz w:val="24"/>
        </w:rPr>
        <w:t>l Comisionado Ponente decretó el cierre de instrucción</w:t>
      </w:r>
      <w:r w:rsidR="009467E5" w:rsidRPr="009467E5">
        <w:rPr>
          <w:rFonts w:ascii="Palatino Linotype" w:hAnsi="Palatino Linotype" w:cs="Arial"/>
          <w:sz w:val="24"/>
        </w:rPr>
        <w:t xml:space="preserve"> </w:t>
      </w:r>
      <w:r w:rsidR="005000AA" w:rsidRPr="009467E5">
        <w:rPr>
          <w:rFonts w:ascii="Palatino Linotype" w:hAnsi="Palatino Linotype" w:cs="Arial"/>
          <w:color w:val="000000" w:themeColor="text1"/>
          <w:sz w:val="24"/>
        </w:rPr>
        <w:t xml:space="preserve">para su resolución; y - - - - - - - - - - - </w:t>
      </w:r>
      <w:r w:rsidR="005000AA" w:rsidRPr="009467E5">
        <w:rPr>
          <w:rFonts w:ascii="Palatino Linotype" w:hAnsi="Palatino Linotype" w:cs="Arial"/>
          <w:sz w:val="24"/>
        </w:rPr>
        <w:t>- - -</w:t>
      </w:r>
      <w:r w:rsidR="009467E5">
        <w:rPr>
          <w:rFonts w:ascii="Palatino Linotype" w:hAnsi="Palatino Linotype" w:cs="Arial"/>
          <w:sz w:val="24"/>
        </w:rPr>
        <w:t xml:space="preserve">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3901332"/>
      <w:r w:rsidRPr="00624AAD">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3901333"/>
      <w:r w:rsidRPr="00624AAD">
        <w:rPr>
          <w:rFonts w:ascii="Palatino Linotype" w:hAnsi="Palatino Linotype"/>
          <w:b/>
          <w:color w:val="auto"/>
          <w:sz w:val="24"/>
          <w:szCs w:val="24"/>
        </w:rPr>
        <w:t>PRIMERO. De la competencia</w:t>
      </w:r>
      <w:bookmarkEnd w:id="5"/>
    </w:p>
    <w:p w14:paraId="38B24DFE" w14:textId="1124CA81"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2372C3">
        <w:rPr>
          <w:rFonts w:ascii="Palatino Linotype" w:eastAsia="Calibri" w:hAnsi="Palatino Linotype"/>
          <w:sz w:val="24"/>
          <w:lang w:val="es-ES"/>
        </w:rPr>
        <w:t>; 5, párrafos</w:t>
      </w:r>
      <w:r w:rsidRPr="00624AAD">
        <w:rPr>
          <w:rFonts w:ascii="Palatino Linotype" w:hAnsi="Palatino Linotype" w:cs="Arial"/>
          <w:bCs/>
          <w:color w:val="222222"/>
          <w:sz w:val="24"/>
          <w:lang w:val="es-ES"/>
        </w:rPr>
        <w:t>,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w:t>
      </w:r>
      <w:r w:rsidRPr="00624AAD">
        <w:rPr>
          <w:rFonts w:ascii="Palatino Linotype" w:eastAsia="Calibri" w:hAnsi="Palatino Linotype" w:cs="Arial"/>
          <w:sz w:val="24"/>
          <w:lang w:val="es-ES"/>
        </w:rPr>
        <w:lastRenderedPageBreak/>
        <w:t>necesarias que eviten mermar el ejercicio de los derechos correspondientes, sin que ello implique el poner en riesgo el diverso derecho a la salud de todos los partícipes en los procesos que conllevan.</w:t>
      </w:r>
    </w:p>
    <w:p w14:paraId="6D296A9A" w14:textId="77777777" w:rsidR="005000AA" w:rsidRPr="00624AAD" w:rsidRDefault="005000AA" w:rsidP="005000AA">
      <w:pPr>
        <w:pStyle w:val="Ttulo2"/>
        <w:rPr>
          <w:rFonts w:ascii="Palatino Linotype" w:hAnsi="Palatino Linotype"/>
          <w:b/>
          <w:color w:val="auto"/>
          <w:sz w:val="24"/>
          <w:szCs w:val="24"/>
        </w:rPr>
      </w:pPr>
      <w:bookmarkStart w:id="6" w:name="_Toc83901334"/>
      <w:r w:rsidRPr="00624AAD">
        <w:rPr>
          <w:rFonts w:ascii="Palatino Linotype" w:hAnsi="Palatino Linotype"/>
          <w:b/>
          <w:color w:val="auto"/>
          <w:sz w:val="24"/>
          <w:szCs w:val="24"/>
        </w:rPr>
        <w:t>SEGUNDO. De la oportunidad y procedencia.</w:t>
      </w:r>
      <w:bookmarkEnd w:id="6"/>
    </w:p>
    <w:p w14:paraId="68EB8895" w14:textId="4676647F"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9467E5">
        <w:rPr>
          <w:rFonts w:ascii="Palatino Linotype" w:eastAsia="Calibri" w:hAnsi="Palatino Linotype" w:cs="Arial"/>
          <w:sz w:val="24"/>
        </w:rPr>
        <w:t>once</w:t>
      </w:r>
      <w:r w:rsidRPr="00624AAD">
        <w:rPr>
          <w:rFonts w:ascii="Palatino Linotype" w:eastAsia="Calibri" w:hAnsi="Palatino Linotype" w:cs="Arial"/>
          <w:sz w:val="24"/>
        </w:rPr>
        <w:t xml:space="preserve"> (</w:t>
      </w:r>
      <w:r w:rsidR="009467E5">
        <w:rPr>
          <w:rFonts w:ascii="Palatino Linotype" w:eastAsia="Calibri" w:hAnsi="Palatino Linotype" w:cs="Arial"/>
          <w:sz w:val="24"/>
        </w:rPr>
        <w:t>11</w:t>
      </w:r>
      <w:r w:rsidRPr="00624AAD">
        <w:rPr>
          <w:rFonts w:ascii="Palatino Linotype" w:eastAsia="Calibri" w:hAnsi="Palatino Linotype" w:cs="Arial"/>
          <w:sz w:val="24"/>
        </w:rPr>
        <w:t xml:space="preserve">) de </w:t>
      </w:r>
      <w:r w:rsidR="009467E5">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9467E5">
        <w:rPr>
          <w:rFonts w:ascii="Palatino Linotype" w:hAnsi="Palatino Linotype" w:cs="Arial"/>
          <w:sz w:val="24"/>
        </w:rPr>
        <w:t>doce</w:t>
      </w:r>
      <w:r w:rsidRPr="00624AAD">
        <w:rPr>
          <w:rFonts w:ascii="Palatino Linotype" w:hAnsi="Palatino Linotype" w:cs="Arial"/>
          <w:sz w:val="24"/>
        </w:rPr>
        <w:t xml:space="preserve"> (</w:t>
      </w:r>
      <w:r w:rsidR="00D31521">
        <w:rPr>
          <w:rFonts w:ascii="Palatino Linotype" w:hAnsi="Palatino Linotype" w:cs="Arial"/>
          <w:sz w:val="24"/>
        </w:rPr>
        <w:t>1</w:t>
      </w:r>
      <w:r w:rsidR="009467E5">
        <w:rPr>
          <w:rFonts w:ascii="Palatino Linotype" w:hAnsi="Palatino Linotype" w:cs="Arial"/>
          <w:sz w:val="24"/>
        </w:rPr>
        <w:t>2</w:t>
      </w:r>
      <w:r w:rsidRPr="00624AAD">
        <w:rPr>
          <w:rFonts w:ascii="Palatino Linotype" w:hAnsi="Palatino Linotype" w:cs="Arial"/>
          <w:sz w:val="24"/>
        </w:rPr>
        <w:t xml:space="preserve">) de </w:t>
      </w:r>
      <w:r w:rsidR="009467E5">
        <w:rPr>
          <w:rFonts w:ascii="Palatino Linotype" w:hAnsi="Palatino Linotype" w:cs="Arial"/>
          <w:sz w:val="24"/>
        </w:rPr>
        <w:t>agosto</w:t>
      </w:r>
      <w:r w:rsidRPr="00624AAD">
        <w:rPr>
          <w:rFonts w:ascii="Palatino Linotype" w:hAnsi="Palatino Linotype" w:cs="Arial"/>
          <w:sz w:val="24"/>
        </w:rPr>
        <w:t xml:space="preserve"> al </w:t>
      </w:r>
      <w:r w:rsidR="009467E5">
        <w:rPr>
          <w:rFonts w:ascii="Palatino Linotype" w:hAnsi="Palatino Linotype" w:cs="Arial"/>
          <w:sz w:val="24"/>
        </w:rPr>
        <w:t>uno</w:t>
      </w:r>
      <w:r w:rsidRPr="00624AAD">
        <w:rPr>
          <w:rFonts w:ascii="Palatino Linotype" w:hAnsi="Palatino Linotype" w:cs="Arial"/>
          <w:sz w:val="24"/>
        </w:rPr>
        <w:t xml:space="preserve"> (</w:t>
      </w:r>
      <w:r w:rsidR="00D31521">
        <w:rPr>
          <w:rFonts w:ascii="Palatino Linotype" w:hAnsi="Palatino Linotype" w:cs="Arial"/>
          <w:sz w:val="24"/>
        </w:rPr>
        <w:t>1</w:t>
      </w:r>
      <w:r w:rsidRPr="00624AAD">
        <w:rPr>
          <w:rFonts w:ascii="Palatino Linotype" w:hAnsi="Palatino Linotype" w:cs="Arial"/>
          <w:sz w:val="24"/>
        </w:rPr>
        <w:t xml:space="preserve">) de </w:t>
      </w:r>
      <w:r w:rsidR="009467E5">
        <w:rPr>
          <w:rFonts w:ascii="Palatino Linotype" w:hAnsi="Palatino Linotype" w:cs="Arial"/>
          <w:sz w:val="24"/>
        </w:rPr>
        <w:t>septiembre</w:t>
      </w:r>
      <w:r w:rsidRPr="00624AAD">
        <w:rPr>
          <w:rFonts w:ascii="Palatino Linotype" w:hAnsi="Palatino Linotype" w:cs="Arial"/>
          <w:sz w:val="24"/>
        </w:rPr>
        <w:t xml:space="preserve"> de dos mil veintiuno; en consecuencia, presentó su inconformidad el día </w:t>
      </w:r>
      <w:r w:rsidR="009467E5">
        <w:rPr>
          <w:rFonts w:ascii="Palatino Linotype" w:hAnsi="Palatino Linotype" w:cs="Arial"/>
          <w:sz w:val="24"/>
        </w:rPr>
        <w:t xml:space="preserve">veinte </w:t>
      </w:r>
      <w:r w:rsidRPr="00624AAD">
        <w:rPr>
          <w:rFonts w:ascii="Palatino Linotype" w:eastAsia="Calibri" w:hAnsi="Palatino Linotype" w:cs="Arial"/>
          <w:sz w:val="24"/>
        </w:rPr>
        <w:t>(</w:t>
      </w:r>
      <w:r w:rsidR="00D31521">
        <w:rPr>
          <w:rFonts w:ascii="Palatino Linotype" w:eastAsia="Calibri" w:hAnsi="Palatino Linotype" w:cs="Arial"/>
          <w:sz w:val="24"/>
        </w:rPr>
        <w:t>2</w:t>
      </w:r>
      <w:r w:rsidR="009467E5">
        <w:rPr>
          <w:rFonts w:ascii="Palatino Linotype" w:eastAsia="Calibri" w:hAnsi="Palatino Linotype" w:cs="Arial"/>
          <w:sz w:val="24"/>
        </w:rPr>
        <w:t>0</w:t>
      </w:r>
      <w:r w:rsidRPr="00624AAD">
        <w:rPr>
          <w:rFonts w:ascii="Palatino Linotype" w:eastAsia="Calibri" w:hAnsi="Palatino Linotype" w:cs="Arial"/>
          <w:sz w:val="24"/>
        </w:rPr>
        <w:t xml:space="preserve">) de </w:t>
      </w:r>
      <w:r w:rsidR="00D31521">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2EE3B909" w14:textId="77777777" w:rsidR="005000AA" w:rsidRPr="00624AAD" w:rsidRDefault="005000AA" w:rsidP="005000A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7" w:name="_Toc83901335"/>
      <w:r w:rsidRPr="00624AAD">
        <w:rPr>
          <w:rFonts w:ascii="Palatino Linotype" w:hAnsi="Palatino Linotype"/>
          <w:b/>
          <w:color w:val="auto"/>
          <w:sz w:val="24"/>
          <w:szCs w:val="24"/>
        </w:rPr>
        <w:t>TERCERO. Planteamiento de la Litis</w:t>
      </w:r>
      <w:bookmarkEnd w:id="7"/>
      <w:r w:rsidRPr="00624AAD">
        <w:rPr>
          <w:rFonts w:ascii="Palatino Linotype" w:hAnsi="Palatino Linotype"/>
          <w:b/>
          <w:color w:val="auto"/>
          <w:sz w:val="24"/>
          <w:szCs w:val="24"/>
        </w:rPr>
        <w:t xml:space="preserve"> </w:t>
      </w:r>
    </w:p>
    <w:p w14:paraId="17F8B12C" w14:textId="09CA146A"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9467E5">
        <w:rPr>
          <w:rFonts w:ascii="Palatino Linotype" w:hAnsi="Palatino Linotype"/>
          <w:bCs/>
          <w:sz w:val="24"/>
        </w:rPr>
        <w:t>, del C. Alejandro José Cuellar Vilchis,</w:t>
      </w:r>
      <w:r w:rsidRPr="00624AAD">
        <w:rPr>
          <w:rFonts w:ascii="Palatino Linotype" w:hAnsi="Palatino Linotype"/>
          <w:bCs/>
          <w:sz w:val="24"/>
        </w:rPr>
        <w:t xml:space="preserve"> lo siguiente:</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01E0AA8A" w14:textId="15AC1F34" w:rsidR="009467E5" w:rsidRPr="009467E5" w:rsidRDefault="009467E5"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9467E5">
        <w:rPr>
          <w:rFonts w:ascii="Palatino Linotype" w:hAnsi="Palatino Linotype" w:cs="Arial"/>
          <w:b/>
          <w:sz w:val="24"/>
        </w:rPr>
        <w:t>Situación laboral en el CUSAEM;</w:t>
      </w:r>
    </w:p>
    <w:p w14:paraId="0735DDD8" w14:textId="7A72F421" w:rsidR="009467E5" w:rsidRPr="009467E5" w:rsidRDefault="009467E5"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9467E5">
        <w:rPr>
          <w:rFonts w:ascii="Palatino Linotype" w:hAnsi="Palatino Linotype" w:cs="Arial"/>
          <w:b/>
          <w:sz w:val="24"/>
        </w:rPr>
        <w:t>Puesto;</w:t>
      </w:r>
    </w:p>
    <w:p w14:paraId="388C53AD" w14:textId="6BC3947F" w:rsidR="009467E5" w:rsidRPr="009467E5" w:rsidRDefault="009467E5"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9467E5">
        <w:rPr>
          <w:rFonts w:ascii="Palatino Linotype" w:hAnsi="Palatino Linotype" w:cs="Arial"/>
          <w:b/>
          <w:sz w:val="24"/>
        </w:rPr>
        <w:lastRenderedPageBreak/>
        <w:t>Servicio;</w:t>
      </w:r>
    </w:p>
    <w:p w14:paraId="270C7F7D" w14:textId="4924BE8D" w:rsidR="009467E5" w:rsidRPr="009467E5" w:rsidRDefault="009467E5"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9467E5">
        <w:rPr>
          <w:rFonts w:ascii="Palatino Linotype" w:hAnsi="Palatino Linotype" w:cs="Arial"/>
          <w:b/>
          <w:sz w:val="24"/>
        </w:rPr>
        <w:t>Asignación actual;</w:t>
      </w:r>
    </w:p>
    <w:p w14:paraId="1BFB143C" w14:textId="21AF0F26" w:rsidR="009467E5" w:rsidRPr="009467E5" w:rsidRDefault="009467E5" w:rsidP="005000AA">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9467E5">
        <w:rPr>
          <w:rFonts w:ascii="Palatino Linotype" w:eastAsiaTheme="minorEastAsia" w:hAnsi="Palatino Linotype" w:cs="Arial"/>
          <w:b/>
          <w:sz w:val="24"/>
          <w:lang w:val="es-ES_tradnl"/>
        </w:rPr>
        <w:t>Fecha de baja, en su caso.</w:t>
      </w:r>
    </w:p>
    <w:p w14:paraId="67C3A0B4"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56F914DF" w14:textId="67825BBA"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manifestó que </w:t>
      </w:r>
      <w:r w:rsidR="001E3C5B">
        <w:rPr>
          <w:rFonts w:ascii="Palatino Linotype" w:hAnsi="Palatino Linotype"/>
          <w:bCs/>
          <w:sz w:val="24"/>
        </w:rPr>
        <w:t>no cuenta con la información, toda vez que el CUSAEM no forma parte de su estructura ogánica.</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84FCB54"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 xml:space="preserve">El recurrente se inconformó por la </w:t>
      </w:r>
      <w:r w:rsidR="00AD5DA3">
        <w:rPr>
          <w:rFonts w:ascii="Palatino Linotype" w:hAnsi="Palatino Linotype"/>
          <w:bCs/>
          <w:sz w:val="24"/>
        </w:rPr>
        <w:t xml:space="preserve">inexistencia de la información y la </w:t>
      </w:r>
      <w:r w:rsidR="00971F24">
        <w:rPr>
          <w:rFonts w:ascii="Palatino Linotype" w:hAnsi="Palatino Linotype"/>
          <w:bCs/>
          <w:sz w:val="24"/>
        </w:rPr>
        <w:t>in</w:t>
      </w:r>
      <w:r w:rsidR="00D31521">
        <w:rPr>
          <w:rFonts w:ascii="Palatino Linotype" w:hAnsi="Palatino Linotype"/>
          <w:bCs/>
          <w:sz w:val="24"/>
        </w:rPr>
        <w:t>competencia</w:t>
      </w:r>
      <w:r w:rsidR="00971F24">
        <w:rPr>
          <w:rFonts w:ascii="Palatino Linotype" w:hAnsi="Palatino Linotype"/>
          <w:bCs/>
          <w:sz w:val="24"/>
        </w:rPr>
        <w:t xml:space="preserve"> del Sujeto Obligado.</w:t>
      </w:r>
    </w:p>
    <w:p w14:paraId="0D89BECC" w14:textId="77777777" w:rsidR="005000AA" w:rsidRPr="00624AAD" w:rsidRDefault="005000AA" w:rsidP="005000AA">
      <w:pPr>
        <w:pStyle w:val="Prrafodelista"/>
        <w:rPr>
          <w:rFonts w:ascii="Palatino Linotype" w:hAnsi="Palatino Linotype"/>
          <w:bCs/>
          <w:sz w:val="24"/>
        </w:rPr>
      </w:pPr>
    </w:p>
    <w:p w14:paraId="78695B9E" w14:textId="525F313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 las fracciones I,</w:t>
      </w:r>
      <w:r w:rsidRPr="00624AAD">
        <w:rPr>
          <w:rFonts w:ascii="Palatino Linotype" w:hAnsi="Palatino Linotype"/>
          <w:sz w:val="24"/>
        </w:rPr>
        <w:t xml:space="preserve"> </w:t>
      </w:r>
      <w:r w:rsidR="00AD5DA3">
        <w:rPr>
          <w:rFonts w:ascii="Palatino Linotype" w:hAnsi="Palatino Linotype"/>
          <w:sz w:val="24"/>
        </w:rPr>
        <w:t xml:space="preserve">III y </w:t>
      </w:r>
      <w:r w:rsidRPr="00624AAD">
        <w:rPr>
          <w:rFonts w:ascii="Palatino Linotype" w:hAnsi="Palatino Linotype"/>
          <w:sz w:val="24"/>
        </w:rPr>
        <w:t>I</w:t>
      </w:r>
      <w:r w:rsidR="00971F24">
        <w:rPr>
          <w:rFonts w:ascii="Palatino Linotype" w:hAnsi="Palatino Linotype"/>
          <w:sz w:val="24"/>
        </w:rPr>
        <w:t>V</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de la información y la declaración de incompetencia.</w:t>
      </w:r>
      <w:bookmarkStart w:id="8" w:name="_Toc486525253"/>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9" w:name="_Toc4061675"/>
      <w:bookmarkStart w:id="10" w:name="_Toc3372324"/>
      <w:bookmarkStart w:id="11" w:name="_Toc499201873"/>
      <w:bookmarkStart w:id="12" w:name="_Toc83901336"/>
      <w:bookmarkEnd w:id="8"/>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09B5F100" w14:textId="77777777" w:rsidR="005000AA" w:rsidRDefault="005000AA" w:rsidP="005000AA">
      <w:pPr>
        <w:rPr>
          <w:rFonts w:ascii="Palatino Linotype" w:hAnsi="Palatino Linotype"/>
          <w:sz w:val="24"/>
          <w:szCs w:val="24"/>
          <w:lang w:eastAsia="en-US"/>
        </w:rPr>
      </w:pPr>
    </w:p>
    <w:p w14:paraId="504EA127" w14:textId="77777777" w:rsidR="00AD5DA3" w:rsidRPr="000A3E60" w:rsidRDefault="00AD5DA3" w:rsidP="00AD5DA3">
      <w:pPr>
        <w:pStyle w:val="Ttulo2"/>
        <w:numPr>
          <w:ilvl w:val="1"/>
          <w:numId w:val="2"/>
        </w:numPr>
        <w:spacing w:line="259" w:lineRule="auto"/>
        <w:ind w:left="993"/>
        <w:rPr>
          <w:rFonts w:ascii="Palatino Linotype" w:hAnsi="Palatino Linotype"/>
          <w:b/>
          <w:color w:val="auto"/>
          <w:sz w:val="24"/>
        </w:rPr>
      </w:pPr>
      <w:bookmarkStart w:id="13" w:name="_Toc59195561"/>
      <w:bookmarkStart w:id="14" w:name="_Toc83830727"/>
      <w:bookmarkStart w:id="15" w:name="_Toc83901337"/>
      <w:bookmarkStart w:id="16" w:name="_Toc27141117"/>
      <w:bookmarkStart w:id="17" w:name="_Toc4061684"/>
      <w:r w:rsidRPr="000A3E60">
        <w:rPr>
          <w:rFonts w:ascii="Palatino Linotype" w:hAnsi="Palatino Linotype"/>
          <w:b/>
          <w:color w:val="auto"/>
          <w:sz w:val="24"/>
        </w:rPr>
        <w:t>De la fuente obligacional</w:t>
      </w:r>
      <w:bookmarkEnd w:id="13"/>
      <w:bookmarkEnd w:id="14"/>
      <w:bookmarkEnd w:id="15"/>
    </w:p>
    <w:bookmarkEnd w:id="16"/>
    <w:bookmarkEnd w:id="17"/>
    <w:p w14:paraId="73894435" w14:textId="77777777" w:rsidR="00AD5DA3" w:rsidRPr="001521F1" w:rsidRDefault="00AD5DA3" w:rsidP="00AD5DA3">
      <w:pPr>
        <w:rPr>
          <w:lang w:val="es-ES"/>
        </w:rPr>
      </w:pPr>
    </w:p>
    <w:p w14:paraId="740AACCC" w14:textId="77777777" w:rsidR="00AD5DA3" w:rsidRPr="00AD5DA3"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D5DA3">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D5DA3">
        <w:rPr>
          <w:rFonts w:ascii="Palatino Linotype" w:hAnsi="Palatino Linotype" w:cs="Arial"/>
          <w:color w:val="000000"/>
          <w:sz w:val="24"/>
        </w:rPr>
        <w:t xml:space="preserve"> </w:t>
      </w:r>
      <w:r w:rsidRPr="00AD5DA3">
        <w:rPr>
          <w:rFonts w:ascii="Palatino Linotype" w:hAnsi="Palatino Linotype" w:cs="Arial"/>
          <w:b/>
          <w:color w:val="000000"/>
          <w:sz w:val="24"/>
        </w:rPr>
        <w:t>SUJETO OBLIGADO</w:t>
      </w:r>
      <w:r w:rsidRPr="00AD5DA3">
        <w:rPr>
          <w:rFonts w:ascii="Palatino Linotype" w:hAnsi="Palatino Linotype" w:cs="Arial"/>
          <w:color w:val="000000"/>
          <w:sz w:val="24"/>
        </w:rPr>
        <w:t xml:space="preserve"> debe ser cuidadoso del debido cumplimiento de las obligaciones constitucionales que se le imponen, en consecuencia, a todas las autoridades, en el </w:t>
      </w:r>
      <w:r w:rsidRPr="00AD5DA3">
        <w:rPr>
          <w:rFonts w:ascii="Palatino Linotype" w:hAnsi="Palatino Linotype" w:cs="Arial"/>
          <w:color w:val="000000"/>
          <w:sz w:val="24"/>
        </w:rPr>
        <w:lastRenderedPageBreak/>
        <w:t xml:space="preserve">ámbito de su competencia, según lo dispone el tercer párrafo del artículo primero de la </w:t>
      </w:r>
      <w:r w:rsidRPr="00AD5DA3">
        <w:rPr>
          <w:rFonts w:ascii="Palatino Linotype" w:hAnsi="Palatino Linotype" w:cs="Arial"/>
          <w:b/>
          <w:color w:val="000000"/>
          <w:sz w:val="24"/>
        </w:rPr>
        <w:t xml:space="preserve">Constitución Política de los Estados Unidos Mexicanos </w:t>
      </w:r>
      <w:r w:rsidRPr="00AD5DA3">
        <w:rPr>
          <w:rFonts w:ascii="Palatino Linotype" w:hAnsi="Palatino Linotype" w:cs="Arial"/>
          <w:color w:val="000000"/>
          <w:sz w:val="24"/>
        </w:rPr>
        <w:t xml:space="preserve">al señalar la obligación de “promover, </w:t>
      </w:r>
      <w:r w:rsidRPr="00AD5DA3">
        <w:rPr>
          <w:rFonts w:ascii="Palatino Linotype" w:hAnsi="Palatino Linotype" w:cs="Arial"/>
          <w:b/>
          <w:color w:val="000000"/>
          <w:sz w:val="24"/>
        </w:rPr>
        <w:t>respetar</w:t>
      </w:r>
      <w:r w:rsidRPr="00AD5DA3">
        <w:rPr>
          <w:rFonts w:ascii="Palatino Linotype" w:hAnsi="Palatino Linotype" w:cs="Arial"/>
          <w:color w:val="000000"/>
          <w:sz w:val="24"/>
        </w:rPr>
        <w:t xml:space="preserve">, proteger y </w:t>
      </w:r>
      <w:r w:rsidRPr="00AD5DA3">
        <w:rPr>
          <w:rFonts w:ascii="Palatino Linotype" w:hAnsi="Palatino Linotype" w:cs="Arial"/>
          <w:b/>
          <w:color w:val="000000"/>
          <w:sz w:val="24"/>
        </w:rPr>
        <w:t>garantizar</w:t>
      </w:r>
      <w:r w:rsidRPr="00AD5DA3">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77777777" w:rsidR="00AD5DA3" w:rsidRPr="00AD5DA3" w:rsidRDefault="00AD5DA3" w:rsidP="00AD5DA3">
      <w:pPr>
        <w:pStyle w:val="Prrafodelista"/>
        <w:numPr>
          <w:ilvl w:val="0"/>
          <w:numId w:val="3"/>
        </w:numPr>
        <w:spacing w:before="240" w:after="360" w:line="360" w:lineRule="auto"/>
        <w:ind w:left="0" w:firstLine="0"/>
        <w:jc w:val="both"/>
        <w:rPr>
          <w:rFonts w:ascii="Palatino Linotype" w:hAnsi="Palatino Linotype" w:cs="Arial"/>
          <w:i/>
          <w:color w:val="000000" w:themeColor="text1"/>
          <w:sz w:val="24"/>
        </w:rPr>
      </w:pPr>
      <w:r w:rsidRPr="00AD5DA3">
        <w:rPr>
          <w:rFonts w:ascii="Palatino Linotype" w:hAnsi="Palatino Linotype" w:cs="Arial"/>
          <w:sz w:val="24"/>
        </w:rPr>
        <w:t xml:space="preserve">Ahora bien para entender los alcances de la información pública se considera importante citar el criterio </w:t>
      </w:r>
      <w:r w:rsidRPr="00AD5DA3">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AD5DA3">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AD5DA3">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AD5DA3" w:rsidRDefault="00AD5DA3" w:rsidP="00AD5DA3">
      <w:pPr>
        <w:pStyle w:val="Prrafodelista"/>
        <w:numPr>
          <w:ilvl w:val="0"/>
          <w:numId w:val="3"/>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AD5DA3">
        <w:rPr>
          <w:rFonts w:ascii="Palatino Linotype" w:hAnsi="Palatino Linotype"/>
          <w:sz w:val="24"/>
          <w:lang w:val="es-ES"/>
        </w:rPr>
        <w:lastRenderedPageBreak/>
        <w:t>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Robustece lo anterior la Tesis aislada identificada con la clave I.4º.A.40 A del Cuarto Tribunal colegiado en Materia Administrativa del Primer Circuito, publicada </w:t>
      </w:r>
      <w:r w:rsidRPr="00AD5DA3">
        <w:rPr>
          <w:rFonts w:ascii="Palatino Linotype" w:hAnsi="Palatino Linotype"/>
          <w:sz w:val="24"/>
          <w:lang w:val="es-ES"/>
        </w:rPr>
        <w:lastRenderedPageBreak/>
        <w:t>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lastRenderedPageBreak/>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w:t>
      </w:r>
      <w:r w:rsidRPr="00197E0B">
        <w:rPr>
          <w:rFonts w:ascii="Palatino Linotype" w:hAnsi="Palatino Linotype"/>
          <w:i/>
          <w:sz w:val="22"/>
        </w:rPr>
        <w:lastRenderedPageBreak/>
        <w:t>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Adicional, tenemos que la Ley de Transparencia y Acceso a la Información Pública del Estado de México y Municipios, prevé en su artículo 23 fracción II,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b/>
          <w:i/>
        </w:rPr>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4DF2DFE"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30F463DB" w14:textId="77777777" w:rsidR="00AD5DA3" w:rsidRPr="00A53EE3" w:rsidRDefault="00AD5DA3" w:rsidP="00AD5DA3">
      <w:pPr>
        <w:ind w:left="567" w:right="822"/>
        <w:jc w:val="both"/>
        <w:rPr>
          <w:rFonts w:ascii="Palatino Linotype" w:hAnsi="Palatino Linotype"/>
          <w:i/>
          <w:sz w:val="22"/>
        </w:rPr>
      </w:pPr>
      <w:r w:rsidRPr="00A53EE3">
        <w:rPr>
          <w:rFonts w:ascii="Palatino Linotype" w:hAnsi="Palatino Linotype"/>
          <w:i/>
          <w:sz w:val="22"/>
        </w:rPr>
        <w:t>I. El Poder Ejecutivo del Estado de México, las dependencias, organismos auxiliares, órganos, entidades, fideicomisos y fondos públicos, así como la Procuraduría General de Justicia;</w:t>
      </w:r>
    </w:p>
    <w:p w14:paraId="2AA7A8B1" w14:textId="77777777" w:rsidR="00AD5DA3" w:rsidRDefault="00AD5DA3" w:rsidP="00AD5DA3">
      <w:pPr>
        <w:ind w:left="567" w:right="822"/>
        <w:jc w:val="both"/>
        <w:rPr>
          <w:rFonts w:ascii="Palatino Linotype" w:eastAsia="MS Mincho" w:hAnsi="Palatino Linotype" w:cs="Arial"/>
          <w:b/>
          <w:i/>
        </w:rPr>
      </w:pPr>
      <w:r w:rsidRPr="00C82303">
        <w:rPr>
          <w:rFonts w:ascii="Palatino Linotype" w:eastAsia="MS Mincho" w:hAnsi="Palatino Linotype" w:cs="Arial"/>
          <w:b/>
          <w:i/>
        </w:rPr>
        <w:t>…</w:t>
      </w:r>
    </w:p>
    <w:p w14:paraId="7CFF69DC" w14:textId="77777777" w:rsidR="00AD5DA3" w:rsidRPr="00C82303" w:rsidRDefault="00AD5DA3" w:rsidP="00AD5DA3">
      <w:pPr>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w:t>
      </w:r>
      <w:r>
        <w:rPr>
          <w:rFonts w:ascii="Palatino Linotype" w:eastAsia="MS Mincho" w:hAnsi="Palatino Linotype"/>
          <w:b/>
          <w:i/>
        </w:rPr>
        <w:t xml:space="preserve"> </w:t>
      </w:r>
      <w:r w:rsidRPr="00C82303">
        <w:rPr>
          <w:rFonts w:ascii="Palatino Linotype" w:eastAsia="MS Mincho" w:hAnsi="Palatino Linotype"/>
          <w:b/>
          <w:i/>
        </w:rPr>
        <w:t>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6D8D1BC6"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b/>
          <w:i/>
        </w:rPr>
        <w:t>Los servidores públicos deberán transparentar sus acciones así como garantizar y respetar el derecho de acceso a la información pública.”</w:t>
      </w:r>
    </w:p>
    <w:p w14:paraId="596F68B3"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3A515D7D" w:rsidR="00AD5DA3" w:rsidRPr="00A82A4C" w:rsidRDefault="00AD5DA3" w:rsidP="00AD5DA3">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Pr>
          <w:rFonts w:ascii="Palatino Linotype" w:hAnsi="Palatino Linotype" w:cs="Arial"/>
          <w:b/>
        </w:rPr>
        <w:t xml:space="preserve"> </w:t>
      </w:r>
      <w:r>
        <w:rPr>
          <w:rFonts w:ascii="Palatino Linotype" w:hAnsi="Palatino Linotype"/>
          <w:b/>
          <w:bCs/>
          <w:szCs w:val="22"/>
        </w:rPr>
        <w:t>la Secretaría de Seguridad</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C54F121" w14:textId="77777777" w:rsidR="00AD5DA3" w:rsidRDefault="00AD5DA3" w:rsidP="005000AA">
      <w:pPr>
        <w:rPr>
          <w:rFonts w:ascii="Palatino Linotype" w:hAnsi="Palatino Linotype"/>
          <w:sz w:val="24"/>
          <w:szCs w:val="24"/>
          <w:lang w:eastAsia="en-US"/>
        </w:rPr>
      </w:pPr>
    </w:p>
    <w:p w14:paraId="6BE50F69" w14:textId="77777777" w:rsidR="00AD5DA3" w:rsidRPr="00132FDD" w:rsidRDefault="00AD5DA3" w:rsidP="00132FDD">
      <w:pPr>
        <w:pStyle w:val="Ttulo2"/>
        <w:rPr>
          <w:rFonts w:ascii="Palatino Linotype" w:hAnsi="Palatino Linotype"/>
          <w:b/>
          <w:lang w:val="es-ES_tradnl"/>
        </w:rPr>
      </w:pPr>
      <w:bookmarkStart w:id="18" w:name="_Toc23446071"/>
      <w:bookmarkStart w:id="19" w:name="_Toc83901338"/>
      <w:bookmarkStart w:id="20" w:name="_Toc34911390"/>
      <w:r w:rsidRPr="00132FDD">
        <w:rPr>
          <w:rFonts w:ascii="Palatino Linotype" w:hAnsi="Palatino Linotype"/>
          <w:b/>
          <w:color w:val="auto"/>
          <w:sz w:val="24"/>
          <w:lang w:val="es-ES_tradnl"/>
        </w:rPr>
        <w:t>II. De la Seguridad Pública.</w:t>
      </w:r>
      <w:bookmarkEnd w:id="18"/>
      <w:bookmarkEnd w:id="19"/>
      <w:r w:rsidRPr="00132FDD">
        <w:rPr>
          <w:rFonts w:ascii="Palatino Linotype" w:hAnsi="Palatino Linotype"/>
          <w:b/>
          <w:color w:val="auto"/>
          <w:sz w:val="24"/>
          <w:lang w:val="es-ES_tradnl"/>
        </w:rPr>
        <w:t xml:space="preserve"> </w:t>
      </w:r>
    </w:p>
    <w:p w14:paraId="4D8D265B"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3B054A99"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El tema de seguridad pública es constantemente un objeto de análisis, pues forma parte esencial del bienestar social, de tal forma que un Estado de derecho debe generar las condiciones que permitan que la sociedad sea cimentada en confianza respecto a sus bienes jurídicos tutelados. El concepto de seguridad, no puede ser consolidado con estrategias y acciones aisladas, por el contrario, se exige la articulación y coordinación de los órganos que intervienen en los tres niveles de gobierno a lo cual deben sumarse otras instituciones e inclusive la sociedad civil, por lo que, ante ello se parte de una visión global e incluyente. </w:t>
      </w:r>
    </w:p>
    <w:p w14:paraId="550BABBE"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3BC881E6"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De acuerdo con José Antonio González Fernández, </w:t>
      </w:r>
      <w:r w:rsidRPr="00132FDD">
        <w:rPr>
          <w:rFonts w:ascii="Palatino Linotype" w:eastAsia="MS Mincho" w:hAnsi="Palatino Linotype"/>
          <w:i/>
          <w:iCs/>
          <w:sz w:val="22"/>
          <w:szCs w:val="24"/>
          <w:lang w:val="es-ES_tradnl"/>
        </w:rPr>
        <w:t xml:space="preserve">“…para definir el concepto de seguridad pública debemos partir del deber del Estado como encargado de vigilar el orden público, </w:t>
      </w:r>
      <w:r w:rsidRPr="00132FDD">
        <w:rPr>
          <w:rFonts w:ascii="Palatino Linotype" w:eastAsia="MS Mincho" w:hAnsi="Palatino Linotype"/>
          <w:i/>
          <w:iCs/>
          <w:sz w:val="22"/>
          <w:szCs w:val="24"/>
          <w:lang w:val="es-ES_tradnl"/>
        </w:rPr>
        <w:lastRenderedPageBreak/>
        <w:t>garantizar la paz y la seguridad de la comunidad…</w:t>
      </w:r>
      <w:r w:rsidRPr="00132FDD">
        <w:rPr>
          <w:rFonts w:ascii="Palatino Linotype" w:hAnsi="Palatino Linotype" w:cs="Arial"/>
          <w:i/>
          <w:sz w:val="22"/>
          <w:szCs w:val="24"/>
          <w:vertAlign w:val="superscript"/>
        </w:rPr>
        <w:footnoteReference w:id="6"/>
      </w:r>
      <w:r w:rsidRPr="00870A4E">
        <w:rPr>
          <w:rFonts w:ascii="Palatino Linotype" w:eastAsia="MS Mincho" w:hAnsi="Palatino Linotype"/>
          <w:i/>
          <w:iCs/>
          <w:sz w:val="24"/>
          <w:szCs w:val="24"/>
          <w:lang w:val="es-ES_tradnl"/>
        </w:rPr>
        <w:t>”</w:t>
      </w:r>
      <w:r w:rsidRPr="00870A4E">
        <w:rPr>
          <w:rFonts w:ascii="Palatino Linotype" w:eastAsia="MS Mincho" w:hAnsi="Palatino Linotype"/>
          <w:sz w:val="24"/>
          <w:szCs w:val="24"/>
          <w:lang w:val="es-ES_tradnl"/>
        </w:rPr>
        <w:t>, y dicha función se relaciona con la preservación de determinados valores tutelados entre los cuales se encuentran los de la vida e integridad de las personas, sus derechos y libertades, el orden y la paz públicos</w:t>
      </w:r>
      <w:r w:rsidRPr="00870A4E">
        <w:rPr>
          <w:rFonts w:ascii="Palatino Linotype" w:hAnsi="Palatino Linotype" w:cs="Arial"/>
          <w:sz w:val="24"/>
          <w:szCs w:val="24"/>
          <w:vertAlign w:val="superscript"/>
        </w:rPr>
        <w:footnoteReference w:id="7"/>
      </w:r>
      <w:r w:rsidRPr="00870A4E">
        <w:rPr>
          <w:rFonts w:ascii="Palatino Linotype" w:eastAsia="MS Mincho" w:hAnsi="Palatino Linotype"/>
          <w:sz w:val="24"/>
          <w:szCs w:val="24"/>
          <w:lang w:val="es-ES_tradnl"/>
        </w:rPr>
        <w:t xml:space="preserve">. </w:t>
      </w:r>
    </w:p>
    <w:p w14:paraId="162C2149"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3605A0FF"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Es entonces que la seguridad, en su concepción genérica, es concebida como un valor supremo, mientras que la función del Estado, en su especie, corresponde a la seguridad pública como el mecanismo idóneo para alcanzar la realización de ese valor, de tal forma, que el Estado mediante la coordinación de diversas actividades, como prevención, investigación, persecución, sanción de delitos y reinserción de la persona infractora del orden jurídico, salvaguarda la integridad y derechos de las personas, preserva las libertades y mantiene el orden y la paz públicos. </w:t>
      </w:r>
    </w:p>
    <w:p w14:paraId="10FE2850"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015D3818"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Lo anterior, permite comprender con mayor claridad la concepción de la seguridad pública definida en el noveno párrafo del artículo 21 de la Constitución Política de los Estados Unidos Mexicanos, en los siguientes términos:</w:t>
      </w:r>
    </w:p>
    <w:p w14:paraId="703D9894"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061357E3" w14:textId="77777777" w:rsidR="00AD5DA3" w:rsidRPr="00132FDD" w:rsidRDefault="00AD5DA3" w:rsidP="00132FDD">
      <w:pPr>
        <w:ind w:left="567" w:right="49"/>
        <w:contextualSpacing/>
        <w:jc w:val="both"/>
        <w:rPr>
          <w:rFonts w:ascii="Palatino Linotype" w:eastAsia="MS Mincho" w:hAnsi="Palatino Linotype"/>
          <w:b/>
          <w:bCs/>
          <w:i/>
          <w:sz w:val="22"/>
          <w:lang w:val="es-ES_tradnl"/>
        </w:rPr>
      </w:pPr>
      <w:r w:rsidRPr="00132FDD">
        <w:rPr>
          <w:rFonts w:ascii="Palatino Linotype" w:eastAsia="MS Mincho" w:hAnsi="Palatino Linotype"/>
          <w:b/>
          <w:bCs/>
          <w:i/>
          <w:sz w:val="22"/>
          <w:lang w:val="es-ES_tradnl"/>
        </w:rPr>
        <w:t>Artículo 21. […]</w:t>
      </w:r>
    </w:p>
    <w:p w14:paraId="2F1F50B2" w14:textId="77777777" w:rsidR="00AD5DA3" w:rsidRPr="00132FDD" w:rsidRDefault="00AD5DA3" w:rsidP="00132FDD">
      <w:pPr>
        <w:ind w:left="567" w:right="49"/>
        <w:contextualSpacing/>
        <w:jc w:val="both"/>
        <w:rPr>
          <w:rFonts w:ascii="Palatino Linotype" w:eastAsia="MS Mincho" w:hAnsi="Palatino Linotype"/>
          <w:b/>
          <w:bCs/>
          <w:i/>
          <w:sz w:val="14"/>
          <w:szCs w:val="12"/>
          <w:lang w:val="es-ES_tradnl"/>
        </w:rPr>
      </w:pPr>
    </w:p>
    <w:p w14:paraId="5F677D1A"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 xml:space="preserve">“[…]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w:t>
      </w:r>
      <w:r w:rsidRPr="00132FDD">
        <w:rPr>
          <w:rFonts w:ascii="Palatino Linotype" w:hAnsi="Palatino Linotype"/>
          <w:i/>
          <w:sz w:val="22"/>
        </w:rPr>
        <w:lastRenderedPageBreak/>
        <w:t xml:space="preserve">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14:paraId="20373061"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0047BC3A" w14:textId="77777777" w:rsidR="00AD5DA3" w:rsidRPr="00870A4E" w:rsidRDefault="00AD5DA3" w:rsidP="00AD5DA3">
      <w:pPr>
        <w:pStyle w:val="Prrafodelista"/>
        <w:numPr>
          <w:ilvl w:val="0"/>
          <w:numId w:val="2"/>
        </w:numPr>
        <w:spacing w:line="360" w:lineRule="auto"/>
        <w:ind w:left="0" w:right="49" w:firstLine="0"/>
        <w:jc w:val="both"/>
        <w:rPr>
          <w:rFonts w:ascii="Palatino Linotype" w:eastAsia="MS Mincho" w:hAnsi="Palatino Linotype"/>
          <w:sz w:val="24"/>
          <w:lang w:val="es-ES_tradnl"/>
        </w:rPr>
      </w:pPr>
      <w:r w:rsidRPr="00870A4E">
        <w:rPr>
          <w:rFonts w:ascii="Palatino Linotype" w:eastAsia="MS Mincho" w:hAnsi="Palatino Linotype"/>
          <w:sz w:val="24"/>
          <w:lang w:val="es-ES_tradnl"/>
        </w:rPr>
        <w:t>Asimismo, en el artículo referido, se establece que 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bases mínimas como;</w:t>
      </w:r>
    </w:p>
    <w:p w14:paraId="5B0CBF61"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316E2EE" w14:textId="77777777" w:rsidR="00AD5DA3" w:rsidRPr="00132FDD" w:rsidRDefault="00AD5DA3" w:rsidP="00132FDD">
      <w:pPr>
        <w:ind w:left="567" w:right="567"/>
        <w:contextualSpacing/>
        <w:jc w:val="both"/>
        <w:rPr>
          <w:rFonts w:ascii="Palatino Linotype" w:hAnsi="Palatino Linotype"/>
          <w:b/>
          <w:bCs/>
          <w:i/>
          <w:sz w:val="22"/>
        </w:rPr>
      </w:pPr>
      <w:r w:rsidRPr="00132FDD">
        <w:rPr>
          <w:rFonts w:ascii="Palatino Linotype" w:hAnsi="Palatino Linotype"/>
          <w:b/>
          <w:bCs/>
          <w:i/>
          <w:sz w:val="22"/>
        </w:rPr>
        <w:t>Artículo 21. […]</w:t>
      </w:r>
    </w:p>
    <w:p w14:paraId="700C7B88" w14:textId="77777777" w:rsidR="00AD5DA3" w:rsidRPr="00132FDD" w:rsidRDefault="00AD5DA3" w:rsidP="00132FDD">
      <w:pPr>
        <w:ind w:left="567" w:right="567"/>
        <w:contextualSpacing/>
        <w:jc w:val="both"/>
        <w:rPr>
          <w:rFonts w:ascii="Palatino Linotype" w:hAnsi="Palatino Linotype"/>
          <w:i/>
          <w:sz w:val="22"/>
        </w:rPr>
      </w:pPr>
    </w:p>
    <w:p w14:paraId="29EBFDA7"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a</w:t>
      </w:r>
      <w:r w:rsidRPr="00132FDD">
        <w:rPr>
          <w:rFonts w:ascii="Palatino Linotype" w:hAnsi="Palatino Linotype"/>
          <w:b/>
          <w:bCs/>
          <w:i/>
          <w:sz w:val="22"/>
        </w:rPr>
        <w:t>)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r w:rsidRPr="00132FDD">
        <w:rPr>
          <w:rFonts w:ascii="Palatino Linotype" w:hAnsi="Palatino Linotype"/>
          <w:i/>
          <w:sz w:val="22"/>
        </w:rPr>
        <w:t xml:space="preserve"> [Inciso reformado DOF 29-01-2016]</w:t>
      </w:r>
    </w:p>
    <w:p w14:paraId="5D6EC336" w14:textId="77777777" w:rsidR="00AD5DA3" w:rsidRPr="00132FDD" w:rsidRDefault="00AD5DA3" w:rsidP="00132FDD">
      <w:pPr>
        <w:ind w:left="567" w:right="567"/>
        <w:contextualSpacing/>
        <w:jc w:val="both"/>
        <w:rPr>
          <w:rFonts w:ascii="Palatino Linotype" w:hAnsi="Palatino Linotype"/>
          <w:i/>
          <w:sz w:val="22"/>
        </w:rPr>
      </w:pPr>
    </w:p>
    <w:p w14:paraId="7D43DCC2"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 [Inciso reformado DOF 26-03-2019]</w:t>
      </w:r>
    </w:p>
    <w:p w14:paraId="2F78FF21" w14:textId="77777777" w:rsidR="00AD5DA3" w:rsidRPr="00132FDD" w:rsidRDefault="00AD5DA3" w:rsidP="00132FDD">
      <w:pPr>
        <w:ind w:left="567" w:right="567"/>
        <w:contextualSpacing/>
        <w:jc w:val="both"/>
        <w:rPr>
          <w:rFonts w:ascii="Palatino Linotype" w:hAnsi="Palatino Linotype"/>
          <w:i/>
          <w:sz w:val="22"/>
        </w:rPr>
      </w:pPr>
    </w:p>
    <w:p w14:paraId="3331437E"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 xml:space="preserve">c) La formulación de políticas públicas tendientes a prevenir la comisión de delitos. </w:t>
      </w:r>
    </w:p>
    <w:p w14:paraId="34A98FB7" w14:textId="77777777" w:rsidR="00AD5DA3" w:rsidRPr="00132FDD" w:rsidRDefault="00AD5DA3" w:rsidP="00132FDD">
      <w:pPr>
        <w:ind w:left="567" w:right="567"/>
        <w:contextualSpacing/>
        <w:jc w:val="both"/>
        <w:rPr>
          <w:rFonts w:ascii="Palatino Linotype" w:hAnsi="Palatino Linotype"/>
          <w:i/>
          <w:sz w:val="22"/>
        </w:rPr>
      </w:pPr>
    </w:p>
    <w:p w14:paraId="4FE06A2E" w14:textId="03F6F88B"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lastRenderedPageBreak/>
        <w:t xml:space="preserve">d) Se determinará la participación de la comunidad que coadyuvará, entre otros, en los procesos de evaluación de las políticas de prevención del delito, así como de las instituciones de seguridad pública. </w:t>
      </w:r>
    </w:p>
    <w:p w14:paraId="6F5654B4" w14:textId="77777777" w:rsidR="00AD5DA3" w:rsidRPr="00132FDD" w:rsidRDefault="00AD5DA3" w:rsidP="00132FDD">
      <w:pPr>
        <w:ind w:left="567" w:right="567"/>
        <w:contextualSpacing/>
        <w:jc w:val="both"/>
        <w:rPr>
          <w:rFonts w:ascii="Palatino Linotype" w:hAnsi="Palatino Linotype"/>
          <w:i/>
          <w:sz w:val="22"/>
        </w:rPr>
      </w:pPr>
    </w:p>
    <w:p w14:paraId="5DFC701B"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e) Los fondos de ayuda federal para la seguridad pública, a nivel nacional serán aportados a las entidades federativas y municipios para ser destinados exclusivamente a estos fines.</w:t>
      </w:r>
    </w:p>
    <w:p w14:paraId="3865993F" w14:textId="77777777" w:rsidR="00AD5DA3" w:rsidRPr="00132FDD" w:rsidRDefault="00AD5DA3" w:rsidP="00132FDD">
      <w:pPr>
        <w:ind w:left="567" w:right="567"/>
        <w:contextualSpacing/>
        <w:jc w:val="both"/>
        <w:rPr>
          <w:rFonts w:ascii="Palatino Linotype" w:hAnsi="Palatino Linotype"/>
          <w:i/>
          <w:sz w:val="22"/>
        </w:rPr>
      </w:pPr>
      <w:r w:rsidRPr="00132FDD">
        <w:rPr>
          <w:rFonts w:ascii="Palatino Linotype" w:hAnsi="Palatino Linotype"/>
          <w:i/>
          <w:sz w:val="22"/>
        </w:rPr>
        <w:t>[…]</w:t>
      </w:r>
    </w:p>
    <w:p w14:paraId="2CB4CCC5" w14:textId="77777777" w:rsidR="00AD5DA3" w:rsidRPr="00870A4E" w:rsidRDefault="00AD5DA3" w:rsidP="00AD5DA3">
      <w:pPr>
        <w:spacing w:line="360" w:lineRule="auto"/>
        <w:ind w:right="567"/>
        <w:contextualSpacing/>
        <w:jc w:val="both"/>
        <w:rPr>
          <w:rFonts w:ascii="Palatino Linotype" w:hAnsi="Palatino Linotype"/>
        </w:rPr>
      </w:pPr>
    </w:p>
    <w:p w14:paraId="2F2074F7" w14:textId="77777777" w:rsidR="00AD5DA3" w:rsidRPr="00870A4E" w:rsidRDefault="00AD5DA3" w:rsidP="00AD5DA3">
      <w:pPr>
        <w:pStyle w:val="Prrafodelista"/>
        <w:numPr>
          <w:ilvl w:val="0"/>
          <w:numId w:val="2"/>
        </w:numPr>
        <w:spacing w:line="360" w:lineRule="auto"/>
        <w:ind w:left="0" w:right="49" w:firstLine="0"/>
        <w:jc w:val="both"/>
        <w:rPr>
          <w:rFonts w:ascii="Palatino Linotype" w:eastAsia="MS Mincho" w:hAnsi="Palatino Linotype"/>
          <w:sz w:val="24"/>
          <w:lang w:val="es-ES_tradnl"/>
        </w:rPr>
      </w:pPr>
      <w:r w:rsidRPr="00870A4E">
        <w:rPr>
          <w:rFonts w:ascii="Palatino Linotype" w:eastAsia="MS Mincho" w:hAnsi="Palatino Linotype"/>
          <w:sz w:val="24"/>
          <w:lang w:val="es-ES_tradnl"/>
        </w:rPr>
        <w:t xml:space="preserve">En el caso que nos ocupa, se trata de un ente que realiza ciertas actividades que forman parte de dicha función pública, las que se encuentran comprendidas dentro de las competencias locales definidas en la Ley de Seguridad del Estado de México, a través del segundo párrafo del artículo 103 como atribución del Estado que, a través de organismos auxiliares, en este caso, los denominados Cuerpos de Seguridad Auxiliares del Estado de México, organismo que coadyuva a la consumación de los fines perseguidos por el artículo 21 constitucional, pues contribuyen al orden, la paz y tienden a asegurar el respeto a la vida, integridad, derechos y libertades de las personas </w:t>
      </w:r>
      <w:r w:rsidRPr="00870A4E">
        <w:rPr>
          <w:rFonts w:ascii="Palatino Linotype" w:eastAsia="MS Mincho" w:hAnsi="Palatino Linotype"/>
          <w:i/>
          <w:sz w:val="24"/>
          <w:lang w:val="es-ES_tradnl"/>
        </w:rPr>
        <w:t>al proporcionar</w:t>
      </w:r>
      <w:r w:rsidRPr="00870A4E">
        <w:rPr>
          <w:rFonts w:ascii="Palatino Linotype" w:eastAsia="MS Mincho" w:hAnsi="Palatino Linotype"/>
          <w:sz w:val="24"/>
          <w:lang w:val="es-ES_tradnl"/>
        </w:rPr>
        <w:t xml:space="preserve"> </w:t>
      </w:r>
      <w:r w:rsidRPr="00870A4E">
        <w:rPr>
          <w:rFonts w:ascii="Palatino Linotype" w:eastAsia="MS Mincho" w:hAnsi="Palatino Linotype"/>
          <w:i/>
          <w:sz w:val="24"/>
          <w:lang w:val="es-ES_tradnl"/>
        </w:rPr>
        <w:t>servicios de protección, custodia, vigilancia y seguridad a dependencias y organismos públicos, sociedades mercantiles, asociaciones, instituciones educativas y particulares.</w:t>
      </w:r>
      <w:r w:rsidRPr="00870A4E">
        <w:rPr>
          <w:rFonts w:ascii="Palatino Linotype" w:eastAsia="MS Mincho" w:hAnsi="Palatino Linotype"/>
          <w:sz w:val="24"/>
          <w:lang w:val="es-ES_tradnl"/>
        </w:rPr>
        <w:t xml:space="preserve">  </w:t>
      </w:r>
    </w:p>
    <w:p w14:paraId="0B33E194" w14:textId="77777777" w:rsidR="00AD5DA3" w:rsidRPr="00870A4E" w:rsidRDefault="00AD5DA3" w:rsidP="00AD5DA3">
      <w:pPr>
        <w:spacing w:line="360" w:lineRule="auto"/>
        <w:ind w:right="49"/>
        <w:jc w:val="both"/>
        <w:rPr>
          <w:rFonts w:ascii="Palatino Linotype" w:eastAsia="MS Mincho" w:hAnsi="Palatino Linotype"/>
          <w:sz w:val="24"/>
          <w:szCs w:val="24"/>
          <w:lang w:val="es-ES_tradnl"/>
        </w:rPr>
      </w:pPr>
    </w:p>
    <w:p w14:paraId="6061A6EE" w14:textId="77777777" w:rsidR="00AD5DA3" w:rsidRPr="00132FDD" w:rsidRDefault="00AD5DA3" w:rsidP="00132FDD">
      <w:pPr>
        <w:pStyle w:val="Ttulo2"/>
        <w:rPr>
          <w:rFonts w:ascii="Palatino Linotype" w:hAnsi="Palatino Linotype"/>
          <w:b/>
          <w:color w:val="auto"/>
          <w:sz w:val="24"/>
          <w:lang w:val="es-ES_tradnl"/>
        </w:rPr>
      </w:pPr>
      <w:bookmarkStart w:id="21" w:name="_Toc23446072"/>
      <w:bookmarkStart w:id="22" w:name="_Toc83901339"/>
      <w:r w:rsidRPr="00132FDD">
        <w:rPr>
          <w:rFonts w:ascii="Palatino Linotype" w:hAnsi="Palatino Linotype"/>
          <w:b/>
          <w:color w:val="auto"/>
          <w:sz w:val="24"/>
          <w:lang w:val="es-ES_tradnl"/>
        </w:rPr>
        <w:t>III. De los Cuerpos de Seguridad Auxiliares del Estado de México.</w:t>
      </w:r>
      <w:bookmarkEnd w:id="21"/>
      <w:bookmarkEnd w:id="22"/>
      <w:r w:rsidRPr="00132FDD">
        <w:rPr>
          <w:rFonts w:ascii="Palatino Linotype" w:hAnsi="Palatino Linotype"/>
          <w:b/>
          <w:color w:val="auto"/>
          <w:sz w:val="24"/>
          <w:lang w:val="es-ES_tradnl"/>
        </w:rPr>
        <w:t xml:space="preserve"> </w:t>
      </w:r>
    </w:p>
    <w:p w14:paraId="1D4DF332"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52778CDF"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Los Cuerpos de Seguridad Auxiliares del Estado de México, conocidos por sus siglas CUSAEM, son un organismo auxiliar cuya existencia se encuentra regulada por lo dispuesto en el artículo 103, segundo párrafo de la Ley de Seguridad del Estado de México, el cual señala que: </w:t>
      </w:r>
      <w:r w:rsidRPr="00870A4E">
        <w:rPr>
          <w:rFonts w:ascii="Palatino Linotype" w:eastAsia="MS Mincho" w:hAnsi="Palatino Linotype"/>
          <w:i/>
          <w:iCs/>
          <w:sz w:val="24"/>
          <w:szCs w:val="24"/>
          <w:lang w:val="es-ES_tradnl"/>
        </w:rPr>
        <w:t>“</w:t>
      </w:r>
      <w:r w:rsidRPr="00132FDD">
        <w:rPr>
          <w:rFonts w:ascii="Palatino Linotype" w:eastAsia="MS Mincho" w:hAnsi="Palatino Linotype"/>
          <w:i/>
          <w:iCs/>
          <w:sz w:val="22"/>
          <w:szCs w:val="24"/>
          <w:lang w:val="es-ES_tradnl"/>
        </w:rPr>
        <w:t xml:space="preserve">El Estado podrá proporcionar servicios de protección, custodia, vigilancia y seguridad a dependencias y organismos públicos, sociedades mercantiles, asociaciones, </w:t>
      </w:r>
      <w:r w:rsidRPr="00132FDD">
        <w:rPr>
          <w:rFonts w:ascii="Palatino Linotype" w:eastAsia="MS Mincho" w:hAnsi="Palatino Linotype"/>
          <w:i/>
          <w:iCs/>
          <w:sz w:val="22"/>
          <w:szCs w:val="24"/>
          <w:lang w:val="es-ES_tradnl"/>
        </w:rPr>
        <w:lastRenderedPageBreak/>
        <w:t xml:space="preserve">instituciones educativas y particulares, por conducto de los </w:t>
      </w:r>
      <w:r w:rsidRPr="00132FDD">
        <w:rPr>
          <w:rFonts w:ascii="Palatino Linotype" w:eastAsia="MS Mincho" w:hAnsi="Palatino Linotype"/>
          <w:b/>
          <w:i/>
          <w:iCs/>
          <w:sz w:val="22"/>
          <w:szCs w:val="24"/>
          <w:lang w:val="es-ES_tradnl"/>
        </w:rPr>
        <w:t>organismos</w:t>
      </w:r>
      <w:r w:rsidRPr="00132FDD">
        <w:rPr>
          <w:rFonts w:ascii="Palatino Linotype" w:eastAsia="MS Mincho" w:hAnsi="Palatino Linotype"/>
          <w:i/>
          <w:iCs/>
          <w:sz w:val="22"/>
          <w:szCs w:val="24"/>
          <w:lang w:val="es-ES_tradnl"/>
        </w:rPr>
        <w:t xml:space="preserve"> que se creen con base en las normas legales aplicables, </w:t>
      </w:r>
      <w:r w:rsidRPr="00132FDD">
        <w:rPr>
          <w:rFonts w:ascii="Palatino Linotype" w:eastAsia="MS Mincho" w:hAnsi="Palatino Linotype"/>
          <w:b/>
          <w:i/>
          <w:iCs/>
          <w:sz w:val="22"/>
          <w:szCs w:val="24"/>
          <w:lang w:val="es-ES_tradnl"/>
        </w:rPr>
        <w:t>en su carácter de auxiliares</w:t>
      </w:r>
      <w:r w:rsidRPr="00132FDD">
        <w:rPr>
          <w:rFonts w:ascii="Palatino Linotype" w:eastAsia="MS Mincho" w:hAnsi="Palatino Linotype"/>
          <w:i/>
          <w:iCs/>
          <w:sz w:val="22"/>
          <w:szCs w:val="24"/>
          <w:lang w:val="es-ES_tradnl"/>
        </w:rPr>
        <w:t xml:space="preserve">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r w:rsidRPr="00870A4E">
        <w:rPr>
          <w:rFonts w:ascii="Palatino Linotype" w:eastAsia="MS Mincho" w:hAnsi="Palatino Linotype"/>
          <w:i/>
          <w:iCs/>
          <w:sz w:val="24"/>
          <w:szCs w:val="24"/>
          <w:lang w:val="es-ES_tradnl"/>
        </w:rPr>
        <w:t xml:space="preserve"> </w:t>
      </w:r>
      <w:r w:rsidRPr="00870A4E">
        <w:rPr>
          <w:rFonts w:ascii="Palatino Linotype" w:eastAsia="MS Mincho" w:hAnsi="Palatino Linotype"/>
          <w:iCs/>
          <w:sz w:val="24"/>
          <w:szCs w:val="24"/>
          <w:lang w:val="es-ES_tradnl"/>
        </w:rPr>
        <w:t>(énfasis añadido)</w:t>
      </w:r>
      <w:r w:rsidRPr="00870A4E">
        <w:rPr>
          <w:rFonts w:ascii="Palatino Linotype" w:eastAsia="MS Mincho" w:hAnsi="Palatino Linotype"/>
          <w:i/>
          <w:iCs/>
          <w:sz w:val="24"/>
          <w:szCs w:val="24"/>
          <w:lang w:val="es-ES_tradnl"/>
        </w:rPr>
        <w:t>.</w:t>
      </w:r>
      <w:r w:rsidRPr="00870A4E">
        <w:rPr>
          <w:rFonts w:ascii="Palatino Linotype" w:eastAsia="MS Mincho" w:hAnsi="Palatino Linotype"/>
          <w:sz w:val="24"/>
          <w:szCs w:val="24"/>
          <w:lang w:val="es-ES_tradnl"/>
        </w:rPr>
        <w:t xml:space="preserve"> </w:t>
      </w:r>
    </w:p>
    <w:p w14:paraId="4F641A55"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4E53081E"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i/>
          <w:iCs/>
          <w:lang w:val="es-ES_tradnl"/>
        </w:rPr>
      </w:pPr>
      <w:r w:rsidRPr="00870A4E">
        <w:rPr>
          <w:rFonts w:ascii="Palatino Linotype" w:eastAsia="MS Mincho" w:hAnsi="Palatino Linotype"/>
          <w:sz w:val="24"/>
          <w:szCs w:val="24"/>
          <w:lang w:val="es-ES_tradnl"/>
        </w:rPr>
        <w:t>Para resolver el presente recurso de revisión y determinar si el sujeto obligado debe contar o no con la información requerida, es necesario entender la naturaleza jurídica de un organismo auxiliar. Al respecto, la Ley Orgánica de la Administración Pública del Estado de México, en su artículo 3 señala que:</w:t>
      </w:r>
      <w:r w:rsidRPr="00870A4E">
        <w:rPr>
          <w:rFonts w:ascii="Palatino Linotype" w:eastAsia="MS Mincho" w:hAnsi="Palatino Linotype"/>
          <w:sz w:val="28"/>
          <w:szCs w:val="28"/>
          <w:lang w:val="es-ES_tradnl"/>
        </w:rPr>
        <w:t xml:space="preserve"> </w:t>
      </w:r>
      <w:r w:rsidRPr="00870A4E">
        <w:rPr>
          <w:rFonts w:ascii="Palatino Linotype" w:eastAsia="MS Mincho" w:hAnsi="Palatino Linotype"/>
          <w:i/>
          <w:iCs/>
          <w:sz w:val="24"/>
          <w:szCs w:val="24"/>
          <w:lang w:val="es-ES_tradnl"/>
        </w:rPr>
        <w:t xml:space="preserve">“Para el despacho de los asuntos que competen al Poder Ejecutivo, el Gobernador del Estado </w:t>
      </w:r>
      <w:r w:rsidRPr="00870A4E">
        <w:rPr>
          <w:rFonts w:ascii="Palatino Linotype" w:eastAsia="MS Mincho" w:hAnsi="Palatino Linotype"/>
          <w:b/>
          <w:bCs/>
          <w:i/>
          <w:iCs/>
          <w:sz w:val="24"/>
          <w:szCs w:val="24"/>
          <w:lang w:val="es-ES_tradnl"/>
        </w:rPr>
        <w:t xml:space="preserve">se auxiliará de las dependencias, organismos y entidades que </w:t>
      </w:r>
      <w:r w:rsidRPr="00870A4E">
        <w:rPr>
          <w:rFonts w:ascii="Palatino Linotype" w:eastAsia="MS Mincho" w:hAnsi="Palatino Linotype"/>
          <w:bCs/>
          <w:i/>
          <w:iCs/>
          <w:sz w:val="24"/>
          <w:szCs w:val="24"/>
          <w:lang w:val="es-ES_tradnl"/>
        </w:rPr>
        <w:t>señalen la Constitución Política del Estado, la presente Ley, el presupuesto de egresos</w:t>
      </w:r>
      <w:r w:rsidRPr="00870A4E">
        <w:rPr>
          <w:rFonts w:ascii="Palatino Linotype" w:eastAsia="MS Mincho" w:hAnsi="Palatino Linotype"/>
          <w:b/>
          <w:bCs/>
          <w:i/>
          <w:iCs/>
          <w:sz w:val="24"/>
          <w:szCs w:val="24"/>
          <w:lang w:val="es-ES_tradnl"/>
        </w:rPr>
        <w:t xml:space="preserve"> y las demás disposiciones jurídicas vigentes en el Estado” </w:t>
      </w:r>
      <w:r w:rsidRPr="00870A4E">
        <w:rPr>
          <w:rFonts w:ascii="Palatino Linotype" w:eastAsia="MS Mincho" w:hAnsi="Palatino Linotype"/>
          <w:bCs/>
          <w:iCs/>
          <w:sz w:val="24"/>
          <w:szCs w:val="24"/>
          <w:lang w:val="es-ES_tradnl"/>
        </w:rPr>
        <w:t>(énfasis añadido)</w:t>
      </w:r>
      <w:r w:rsidRPr="00870A4E">
        <w:rPr>
          <w:rFonts w:ascii="Palatino Linotype" w:eastAsia="MS Mincho" w:hAnsi="Palatino Linotype"/>
          <w:b/>
          <w:bCs/>
          <w:i/>
          <w:iCs/>
          <w:sz w:val="24"/>
          <w:szCs w:val="24"/>
          <w:lang w:val="es-ES_tradnl"/>
        </w:rPr>
        <w:t>.</w:t>
      </w:r>
      <w:r w:rsidRPr="00870A4E">
        <w:rPr>
          <w:rFonts w:ascii="Palatino Linotype" w:eastAsia="MS Mincho" w:hAnsi="Palatino Linotype"/>
          <w:i/>
          <w:iCs/>
          <w:sz w:val="24"/>
          <w:szCs w:val="24"/>
          <w:lang w:val="es-ES_tradnl"/>
        </w:rPr>
        <w:t xml:space="preserve"> </w:t>
      </w:r>
    </w:p>
    <w:p w14:paraId="626B4D8C"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498AEE38" w14:textId="77777777" w:rsidR="00AD5DA3" w:rsidRPr="00132FDD"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8"/>
          <w:lang w:val="es-ES_tradnl"/>
        </w:rPr>
      </w:pPr>
      <w:r w:rsidRPr="00870A4E">
        <w:rPr>
          <w:rFonts w:ascii="Palatino Linotype" w:eastAsia="MS Mincho" w:hAnsi="Palatino Linotype"/>
          <w:sz w:val="24"/>
          <w:szCs w:val="24"/>
          <w:lang w:val="es-ES_tradnl"/>
        </w:rPr>
        <w:t xml:space="preserve">Por su parte, el artículo 45 de la citada ley orgánica establece que: </w:t>
      </w:r>
      <w:bookmarkStart w:id="23" w:name="_Hlk22886355"/>
      <w:r w:rsidRPr="00132FDD">
        <w:rPr>
          <w:rFonts w:ascii="Palatino Linotype" w:eastAsia="MS Mincho" w:hAnsi="Palatino Linotype"/>
          <w:i/>
          <w:iCs/>
          <w:sz w:val="22"/>
          <w:szCs w:val="24"/>
          <w:lang w:val="es-ES_tradnl"/>
        </w:rPr>
        <w:t xml:space="preserve">“Los organismos descentralizados, las empresas de participación estatal y los fideicomisos públicos serán considerados como </w:t>
      </w:r>
      <w:r w:rsidRPr="00132FDD">
        <w:rPr>
          <w:rFonts w:ascii="Palatino Linotype" w:eastAsia="MS Mincho" w:hAnsi="Palatino Linotype"/>
          <w:b/>
          <w:bCs/>
          <w:i/>
          <w:iCs/>
          <w:sz w:val="22"/>
          <w:szCs w:val="24"/>
          <w:lang w:val="es-ES_tradnl"/>
        </w:rPr>
        <w:t xml:space="preserve">organismos auxiliares </w:t>
      </w:r>
      <w:r w:rsidRPr="00132FDD">
        <w:rPr>
          <w:rFonts w:ascii="Palatino Linotype" w:eastAsia="MS Mincho" w:hAnsi="Palatino Linotype"/>
          <w:bCs/>
          <w:i/>
          <w:iCs/>
          <w:sz w:val="22"/>
          <w:szCs w:val="24"/>
          <w:lang w:val="es-ES_tradnl"/>
        </w:rPr>
        <w:t>del Poder Ejecutivo</w:t>
      </w:r>
      <w:r w:rsidRPr="00132FDD">
        <w:rPr>
          <w:rFonts w:ascii="Palatino Linotype" w:eastAsia="MS Mincho" w:hAnsi="Palatino Linotype"/>
          <w:b/>
          <w:bCs/>
          <w:i/>
          <w:iCs/>
          <w:sz w:val="22"/>
          <w:szCs w:val="24"/>
          <w:lang w:val="es-ES_tradnl"/>
        </w:rPr>
        <w:t xml:space="preserve"> y forman parte de la Administración Pública del Estado</w:t>
      </w:r>
      <w:r w:rsidRPr="00132FDD">
        <w:rPr>
          <w:rFonts w:ascii="Palatino Linotype" w:eastAsia="MS Mincho" w:hAnsi="Palatino Linotype"/>
          <w:i/>
          <w:iCs/>
          <w:sz w:val="22"/>
          <w:szCs w:val="24"/>
          <w:lang w:val="es-ES_tradnl"/>
        </w:rPr>
        <w:t>”.</w:t>
      </w:r>
      <w:r w:rsidRPr="00132FDD">
        <w:rPr>
          <w:rFonts w:ascii="Palatino Linotype" w:eastAsia="MS Mincho" w:hAnsi="Palatino Linotype"/>
          <w:sz w:val="22"/>
          <w:szCs w:val="24"/>
          <w:lang w:val="es-ES_tradnl"/>
        </w:rPr>
        <w:t xml:space="preserve"> </w:t>
      </w:r>
      <w:bookmarkEnd w:id="23"/>
    </w:p>
    <w:p w14:paraId="71E1A592"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7899B9F6" w14:textId="77777777" w:rsidR="00AD5DA3" w:rsidRPr="008840B9" w:rsidRDefault="00AD5DA3" w:rsidP="00AD5DA3">
      <w:pPr>
        <w:numPr>
          <w:ilvl w:val="0"/>
          <w:numId w:val="2"/>
        </w:numPr>
        <w:spacing w:line="360" w:lineRule="auto"/>
        <w:ind w:left="0" w:right="49" w:firstLine="0"/>
        <w:contextualSpacing/>
        <w:jc w:val="both"/>
        <w:rPr>
          <w:rFonts w:ascii="Palatino Linotype" w:eastAsia="Calibri" w:hAnsi="Palatino Linotype"/>
          <w:sz w:val="24"/>
          <w:szCs w:val="24"/>
          <w:lang w:val="es-ES"/>
        </w:rPr>
      </w:pPr>
      <w:r w:rsidRPr="00870A4E">
        <w:rPr>
          <w:rFonts w:ascii="Palatino Linotype" w:eastAsia="MS Mincho" w:hAnsi="Palatino Linotype"/>
          <w:sz w:val="24"/>
          <w:szCs w:val="24"/>
          <w:lang w:val="es-ES_tradnl"/>
        </w:rPr>
        <w:t xml:space="preserve">La Ley de Seguridad Pública del Estado de México es una disposición jurídica vigente en nuestra entidad, la que establece atribuciones para las autoridades del ámbito estatal, a las que alude como el Estado, y de carácter municipal, a las que refiere como los Municipios. </w:t>
      </w:r>
      <w:r>
        <w:rPr>
          <w:rFonts w:ascii="Palatino Linotype" w:eastAsia="MS Mincho" w:hAnsi="Palatino Linotype"/>
          <w:sz w:val="24"/>
          <w:szCs w:val="24"/>
          <w:lang w:val="es-ES_tradnl"/>
        </w:rPr>
        <w:t>Dicha disposición jurídica vigente, señala a estos</w:t>
      </w:r>
      <w:r w:rsidRPr="00870A4E">
        <w:rPr>
          <w:rFonts w:ascii="Palatino Linotype" w:eastAsia="MS Mincho" w:hAnsi="Palatino Linotype"/>
          <w:sz w:val="24"/>
          <w:szCs w:val="24"/>
          <w:lang w:val="es-ES_tradnl"/>
        </w:rPr>
        <w:t xml:space="preserve"> </w:t>
      </w:r>
      <w:r w:rsidRPr="00870A4E">
        <w:rPr>
          <w:rFonts w:ascii="Palatino Linotype" w:eastAsia="MS Mincho" w:hAnsi="Palatino Linotype"/>
          <w:sz w:val="24"/>
          <w:szCs w:val="24"/>
          <w:lang w:val="es-ES_tradnl"/>
        </w:rPr>
        <w:lastRenderedPageBreak/>
        <w:t>organismo</w:t>
      </w:r>
      <w:r>
        <w:rPr>
          <w:rFonts w:ascii="Palatino Linotype" w:eastAsia="MS Mincho" w:hAnsi="Palatino Linotype"/>
          <w:sz w:val="24"/>
          <w:szCs w:val="24"/>
          <w:lang w:val="es-ES_tradnl"/>
        </w:rPr>
        <w:t>s</w:t>
      </w:r>
      <w:r w:rsidRPr="00870A4E">
        <w:rPr>
          <w:rFonts w:ascii="Palatino Linotype" w:eastAsia="MS Mincho" w:hAnsi="Palatino Linotype"/>
          <w:sz w:val="24"/>
          <w:szCs w:val="24"/>
          <w:lang w:val="es-ES_tradnl"/>
        </w:rPr>
        <w:t xml:space="preserve"> auxiliar</w:t>
      </w:r>
      <w:r>
        <w:rPr>
          <w:rFonts w:ascii="Palatino Linotype" w:eastAsia="MS Mincho" w:hAnsi="Palatino Linotype"/>
          <w:sz w:val="24"/>
          <w:szCs w:val="24"/>
          <w:lang w:val="es-ES_tradnl"/>
        </w:rPr>
        <w:t>es</w:t>
      </w:r>
      <w:r w:rsidRPr="00870A4E">
        <w:rPr>
          <w:rFonts w:ascii="Palatino Linotype" w:eastAsia="MS Mincho" w:hAnsi="Palatino Linotype"/>
          <w:sz w:val="24"/>
          <w:szCs w:val="24"/>
          <w:lang w:val="es-ES_tradnl"/>
        </w:rPr>
        <w:t xml:space="preserve"> del Estado </w:t>
      </w:r>
      <w:r>
        <w:rPr>
          <w:rFonts w:ascii="Palatino Linotype" w:eastAsia="MS Mincho" w:hAnsi="Palatino Linotype"/>
          <w:sz w:val="24"/>
          <w:szCs w:val="24"/>
          <w:lang w:val="es-ES_tradnl"/>
        </w:rPr>
        <w:t>en materia de seguridad pública</w:t>
      </w:r>
      <w:r w:rsidRPr="00870A4E">
        <w:rPr>
          <w:rFonts w:ascii="Palatino Linotype" w:eastAsia="MS Mincho" w:hAnsi="Palatino Linotype"/>
          <w:sz w:val="24"/>
          <w:szCs w:val="24"/>
          <w:lang w:val="es-ES_tradnl"/>
        </w:rPr>
        <w:t xml:space="preserve"> para brindar los servicios que previamente se han precisado, </w:t>
      </w:r>
      <w:r>
        <w:rPr>
          <w:rFonts w:ascii="Palatino Linotype" w:eastAsia="MS Mincho" w:hAnsi="Palatino Linotype"/>
          <w:sz w:val="24"/>
          <w:szCs w:val="24"/>
          <w:lang w:val="es-ES_tradnl"/>
        </w:rPr>
        <w:t xml:space="preserve">por lo que bajo tal condición debe entenderse a los Cuerpos de Seguridad Auxiliares del Estado de México. </w:t>
      </w:r>
    </w:p>
    <w:p w14:paraId="3C80102C" w14:textId="77777777" w:rsidR="00AD5DA3" w:rsidRPr="008840B9" w:rsidRDefault="00AD5DA3" w:rsidP="00AD5DA3">
      <w:pPr>
        <w:spacing w:line="360" w:lineRule="auto"/>
        <w:ind w:right="49"/>
        <w:contextualSpacing/>
        <w:jc w:val="both"/>
        <w:rPr>
          <w:rFonts w:ascii="Palatino Linotype" w:eastAsia="Calibri" w:hAnsi="Palatino Linotype"/>
          <w:sz w:val="24"/>
          <w:szCs w:val="24"/>
          <w:lang w:val="es-ES"/>
        </w:rPr>
      </w:pPr>
    </w:p>
    <w:p w14:paraId="17F940ED"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Calibri" w:hAnsi="Palatino Linotype"/>
          <w:bCs/>
          <w:sz w:val="24"/>
          <w:szCs w:val="24"/>
        </w:rPr>
        <w:t xml:space="preserve">Así las cosas y de acuerdo con lo establecido por el artículo 45 de la Ley Orgánica de la Administración Pública del Estado de México, </w:t>
      </w:r>
      <w:r w:rsidRPr="00132FDD">
        <w:rPr>
          <w:rFonts w:ascii="Palatino Linotype" w:eastAsia="Calibri" w:hAnsi="Palatino Linotype"/>
          <w:bCs/>
          <w:i/>
          <w:sz w:val="22"/>
          <w:szCs w:val="24"/>
        </w:rPr>
        <w:t xml:space="preserve">los organismos auxiliares del Poder Ejecutivo forman parte de la Administración Pública del Estado </w:t>
      </w:r>
      <w:r w:rsidRPr="00132FDD">
        <w:rPr>
          <w:rFonts w:ascii="Palatino Linotype" w:eastAsia="Calibri" w:hAnsi="Palatino Linotype"/>
          <w:bCs/>
          <w:sz w:val="22"/>
          <w:szCs w:val="24"/>
        </w:rPr>
        <w:t>y pueden ser de tres tipos</w:t>
      </w:r>
      <w:r w:rsidRPr="00132FDD">
        <w:rPr>
          <w:rFonts w:ascii="Palatino Linotype" w:eastAsia="Calibri" w:hAnsi="Palatino Linotype"/>
          <w:bCs/>
          <w:i/>
          <w:iCs/>
          <w:sz w:val="22"/>
          <w:szCs w:val="24"/>
          <w:lang w:val="es-ES_tradnl"/>
        </w:rPr>
        <w:t xml:space="preserve"> organismos descentralizados, empresas de participación estatal y fideicomisos públicos. </w:t>
      </w:r>
      <w:r w:rsidRPr="00870A4E">
        <w:rPr>
          <w:rFonts w:ascii="Palatino Linotype" w:eastAsia="Calibri" w:hAnsi="Palatino Linotype"/>
          <w:bCs/>
          <w:sz w:val="24"/>
          <w:szCs w:val="24"/>
          <w:lang w:val="es-ES_tradnl"/>
        </w:rPr>
        <w:t>Bajo ese diseño institucional deben de ser considerado los cuerpos de seguridad sobre los cuales se requiere información y cuya negativa motivan el recurso de revisión que se resuelve.</w:t>
      </w:r>
    </w:p>
    <w:p w14:paraId="503C8EE0"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3E420BDB" w14:textId="32743957" w:rsidR="00AD5DA3"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A pesar de que el asunto resulta así de claro y evidente, al parecer, en el diseño de dicho organismo auxiliar, ocurrió algo distinto. Como consecuencia de eso, este Órgano Garante ha enfrentado diversos obstáculos para resolver los recursos de revisión que se han presentado en este tema. De esta manera la posición ha pasado de la sistemática respuesta de los sujetos obligados del ámbito estatal que negaban cualquier contacto e información con relación a dicho organismo auxiliar,</w:t>
      </w:r>
      <w:r w:rsidRPr="00870A4E">
        <w:rPr>
          <w:rStyle w:val="Refdenotaalpie"/>
          <w:rFonts w:ascii="Palatino Linotype" w:eastAsia="MS Mincho" w:hAnsi="Palatino Linotype"/>
          <w:sz w:val="24"/>
          <w:szCs w:val="24"/>
          <w:lang w:val="es-ES_tradnl"/>
        </w:rPr>
        <w:footnoteReference w:id="8"/>
      </w:r>
      <w:r w:rsidRPr="00870A4E">
        <w:rPr>
          <w:rFonts w:ascii="Palatino Linotype" w:eastAsia="MS Mincho" w:hAnsi="Palatino Linotype"/>
          <w:sz w:val="24"/>
          <w:szCs w:val="24"/>
          <w:lang w:val="es-ES_tradnl"/>
        </w:rPr>
        <w:t xml:space="preserve"> a reconocer sólo una relación en casos de desastres,</w:t>
      </w:r>
      <w:r w:rsidRPr="00870A4E">
        <w:rPr>
          <w:rStyle w:val="Refdenotaalpie"/>
          <w:rFonts w:ascii="Palatino Linotype" w:eastAsia="MS Mincho" w:hAnsi="Palatino Linotype"/>
          <w:sz w:val="24"/>
          <w:szCs w:val="24"/>
          <w:lang w:val="es-ES_tradnl"/>
        </w:rPr>
        <w:footnoteReference w:id="9"/>
      </w:r>
      <w:r w:rsidRPr="00870A4E">
        <w:rPr>
          <w:rFonts w:ascii="Palatino Linotype" w:eastAsia="MS Mincho" w:hAnsi="Palatino Linotype"/>
          <w:sz w:val="24"/>
          <w:szCs w:val="24"/>
          <w:lang w:val="es-ES_tradnl"/>
        </w:rPr>
        <w:t xml:space="preserve"> hasta –en los más recientes casos–, reconocer relaciones entre dicho organismo con el Instituto de Seguridad Social del Estado de México y Municipios</w:t>
      </w:r>
      <w:r w:rsidRPr="00870A4E">
        <w:rPr>
          <w:rStyle w:val="Refdenotaalpie"/>
          <w:rFonts w:ascii="Palatino Linotype" w:eastAsia="MS Mincho" w:hAnsi="Palatino Linotype"/>
          <w:sz w:val="24"/>
          <w:szCs w:val="24"/>
          <w:lang w:val="es-ES_tradnl"/>
        </w:rPr>
        <w:footnoteReference w:id="10"/>
      </w:r>
      <w:r w:rsidRPr="00870A4E">
        <w:rPr>
          <w:rFonts w:ascii="Palatino Linotype" w:eastAsia="MS Mincho" w:hAnsi="Palatino Linotype"/>
          <w:sz w:val="24"/>
          <w:szCs w:val="24"/>
          <w:lang w:val="es-ES_tradnl"/>
        </w:rPr>
        <w:t xml:space="preserve"> o dando cuenta de los elementos que lo integran y demás </w:t>
      </w:r>
      <w:r w:rsidRPr="00870A4E">
        <w:rPr>
          <w:rFonts w:ascii="Palatino Linotype" w:eastAsia="MS Mincho" w:hAnsi="Palatino Linotype"/>
          <w:sz w:val="24"/>
          <w:szCs w:val="24"/>
          <w:lang w:val="es-ES_tradnl"/>
        </w:rPr>
        <w:lastRenderedPageBreak/>
        <w:t>información estadística</w:t>
      </w:r>
      <w:r w:rsidRPr="00870A4E">
        <w:rPr>
          <w:rStyle w:val="Refdenotaalpie"/>
          <w:rFonts w:ascii="Palatino Linotype" w:eastAsia="MS Mincho" w:hAnsi="Palatino Linotype"/>
          <w:sz w:val="24"/>
          <w:szCs w:val="24"/>
          <w:lang w:val="es-ES_tradnl"/>
        </w:rPr>
        <w:footnoteReference w:id="11"/>
      </w:r>
      <w:r w:rsidRPr="00870A4E">
        <w:rPr>
          <w:rFonts w:ascii="Palatino Linotype" w:eastAsia="MS Mincho" w:hAnsi="Palatino Linotype"/>
          <w:sz w:val="24"/>
          <w:szCs w:val="24"/>
          <w:lang w:val="es-ES_tradnl"/>
        </w:rPr>
        <w:t xml:space="preserve">. Sin embargo, en casos como el que ahora se analiza, la Secretaría de </w:t>
      </w:r>
      <w:r>
        <w:rPr>
          <w:rFonts w:ascii="Palatino Linotype" w:eastAsia="MS Mincho" w:hAnsi="Palatino Linotype"/>
          <w:sz w:val="24"/>
          <w:szCs w:val="24"/>
          <w:lang w:val="es-ES_tradnl"/>
        </w:rPr>
        <w:t>Seguridad</w:t>
      </w:r>
      <w:r w:rsidRPr="00870A4E">
        <w:rPr>
          <w:rFonts w:ascii="Palatino Linotype" w:eastAsia="MS Mincho" w:hAnsi="Palatino Linotype"/>
          <w:sz w:val="24"/>
          <w:szCs w:val="24"/>
          <w:lang w:val="es-ES_tradnl"/>
        </w:rPr>
        <w:t xml:space="preserve"> sigue pretendiendo negar la existencia de información</w:t>
      </w:r>
      <w:r w:rsidR="006914DE">
        <w:rPr>
          <w:rFonts w:ascii="Palatino Linotype" w:eastAsia="MS Mincho" w:hAnsi="Palatino Linotype"/>
          <w:sz w:val="24"/>
          <w:szCs w:val="24"/>
          <w:lang w:val="es-ES_tradnl"/>
        </w:rPr>
        <w:t xml:space="preserve"> relacionada con este organismo</w:t>
      </w:r>
      <w:r w:rsidRPr="00870A4E">
        <w:rPr>
          <w:rFonts w:ascii="Palatino Linotype" w:eastAsia="MS Mincho" w:hAnsi="Palatino Linotype"/>
          <w:sz w:val="24"/>
          <w:szCs w:val="24"/>
          <w:lang w:val="es-ES_tradnl"/>
        </w:rPr>
        <w:t>. Razón por la cual resulta relevante analizar con mayor profundidad el marco normativo de obligada aplicación al respecto.</w:t>
      </w:r>
    </w:p>
    <w:p w14:paraId="06CD9A4B"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8A4D889" w14:textId="77777777" w:rsidR="00AD5DA3" w:rsidRPr="00132FDD" w:rsidRDefault="00AD5DA3" w:rsidP="00132FDD">
      <w:pPr>
        <w:pStyle w:val="Ttulo2"/>
        <w:rPr>
          <w:rFonts w:ascii="Palatino Linotype" w:hAnsi="Palatino Linotype"/>
          <w:b/>
          <w:color w:val="auto"/>
          <w:sz w:val="24"/>
          <w:lang w:val="es-ES_tradnl"/>
        </w:rPr>
      </w:pPr>
      <w:bookmarkStart w:id="24" w:name="_Toc23446073"/>
      <w:bookmarkStart w:id="25" w:name="_Toc83901340"/>
      <w:r w:rsidRPr="00132FDD">
        <w:rPr>
          <w:rFonts w:ascii="Palatino Linotype" w:hAnsi="Palatino Linotype"/>
          <w:b/>
          <w:color w:val="auto"/>
          <w:sz w:val="24"/>
          <w:lang w:val="es-ES_tradnl"/>
        </w:rPr>
        <w:t>IV. De la naturaleza de los Cuerpos de Seguridad Auxiliares del Estado de México (CUSAEM).</w:t>
      </w:r>
      <w:bookmarkEnd w:id="24"/>
      <w:bookmarkEnd w:id="25"/>
      <w:r w:rsidRPr="00132FDD">
        <w:rPr>
          <w:rFonts w:ascii="Palatino Linotype" w:hAnsi="Palatino Linotype"/>
          <w:b/>
          <w:color w:val="auto"/>
          <w:sz w:val="24"/>
          <w:lang w:val="es-ES_tradnl"/>
        </w:rPr>
        <w:t xml:space="preserve"> </w:t>
      </w:r>
    </w:p>
    <w:p w14:paraId="0713B679"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A4BE400" w14:textId="3280C59D"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Como anteriormente se estableció, las actividades que desempeñan estos Cuerpos de Seguridad forman parte de los componentes de la función de seguridad pública definidos en el artículo 21 constitucional, aterrizadas en nuestra entidad a través de la Ley de Seguridad del Estado de México, específicamente del segundo y tercer párrafo del artículo 103</w:t>
      </w:r>
      <w:r w:rsidR="00E652E4">
        <w:rPr>
          <w:rFonts w:ascii="Palatino Linotype" w:eastAsia="MS Mincho" w:hAnsi="Palatino Linotype"/>
          <w:sz w:val="24"/>
          <w:szCs w:val="24"/>
          <w:lang w:val="es-ES_tradnl"/>
        </w:rPr>
        <w:t xml:space="preserve"> antes citado.</w:t>
      </w:r>
    </w:p>
    <w:p w14:paraId="6C7695A3"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C576C8D" w14:textId="77777777" w:rsidR="00AD5DA3" w:rsidRPr="00132FDD" w:rsidRDefault="00AD5DA3" w:rsidP="00AD5DA3">
      <w:pPr>
        <w:spacing w:line="360" w:lineRule="auto"/>
        <w:ind w:left="567" w:right="567"/>
        <w:contextualSpacing/>
        <w:jc w:val="both"/>
        <w:rPr>
          <w:rFonts w:ascii="Palatino Linotype" w:hAnsi="Palatino Linotype"/>
          <w:i/>
          <w:sz w:val="22"/>
        </w:rPr>
      </w:pPr>
      <w:r w:rsidRPr="00132FDD">
        <w:rPr>
          <w:rFonts w:ascii="Palatino Linotype" w:hAnsi="Palatino Linotype"/>
          <w:i/>
          <w:sz w:val="22"/>
        </w:rPr>
        <w:t>“</w:t>
      </w:r>
      <w:r w:rsidRPr="00132FDD">
        <w:rPr>
          <w:rFonts w:ascii="Palatino Linotype" w:hAnsi="Palatino Linotype"/>
          <w:b/>
          <w:bCs/>
          <w:i/>
          <w:sz w:val="22"/>
        </w:rPr>
        <w:t>Artículo 103.</w:t>
      </w:r>
      <w:r w:rsidRPr="00132FDD">
        <w:rPr>
          <w:rFonts w:ascii="Palatino Linotype" w:hAnsi="Palatino Linotype"/>
          <w:i/>
          <w:sz w:val="22"/>
        </w:rPr>
        <w:t xml:space="preserve"> …</w:t>
      </w:r>
    </w:p>
    <w:p w14:paraId="60EC2B12" w14:textId="77777777" w:rsidR="00AD5DA3" w:rsidRPr="00132FDD" w:rsidRDefault="00AD5DA3" w:rsidP="00AD5DA3">
      <w:pPr>
        <w:spacing w:line="360" w:lineRule="auto"/>
        <w:ind w:left="567" w:right="567"/>
        <w:contextualSpacing/>
        <w:jc w:val="both"/>
        <w:rPr>
          <w:rFonts w:ascii="Palatino Linotype" w:hAnsi="Palatino Linotype"/>
          <w:i/>
          <w:sz w:val="22"/>
        </w:rPr>
      </w:pPr>
    </w:p>
    <w:p w14:paraId="5F3D472D" w14:textId="77777777" w:rsidR="00AD5DA3" w:rsidRPr="00132FDD" w:rsidRDefault="00AD5DA3" w:rsidP="00AD5DA3">
      <w:pPr>
        <w:spacing w:line="360" w:lineRule="auto"/>
        <w:ind w:left="567" w:right="567"/>
        <w:contextualSpacing/>
        <w:jc w:val="both"/>
        <w:rPr>
          <w:rFonts w:ascii="Palatino Linotype" w:hAnsi="Palatino Linotype"/>
          <w:b/>
          <w:bCs/>
          <w:i/>
          <w:sz w:val="22"/>
        </w:rPr>
      </w:pPr>
      <w:r w:rsidRPr="00132FDD">
        <w:rPr>
          <w:rFonts w:ascii="Palatino Linotype" w:hAnsi="Palatino Linotype"/>
          <w:b/>
          <w:bCs/>
          <w:i/>
          <w:sz w:val="22"/>
        </w:rPr>
        <w:t xml:space="preserve">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w:t>
      </w:r>
      <w:r w:rsidRPr="00132FDD">
        <w:rPr>
          <w:rFonts w:ascii="Palatino Linotype" w:hAnsi="Palatino Linotype"/>
          <w:b/>
          <w:bCs/>
          <w:i/>
          <w:sz w:val="22"/>
        </w:rPr>
        <w:lastRenderedPageBreak/>
        <w:t>competentes, sujetándose a los sistemas de control y fiscalización a cargo de las instancias competentes.</w:t>
      </w:r>
    </w:p>
    <w:p w14:paraId="4CE069EE" w14:textId="77777777" w:rsidR="00AD5DA3" w:rsidRPr="00132FDD" w:rsidRDefault="00AD5DA3" w:rsidP="00AD5DA3">
      <w:pPr>
        <w:spacing w:line="360" w:lineRule="auto"/>
        <w:ind w:left="567" w:right="567"/>
        <w:contextualSpacing/>
        <w:jc w:val="both"/>
        <w:rPr>
          <w:rFonts w:ascii="Palatino Linotype" w:hAnsi="Palatino Linotype"/>
          <w:i/>
          <w:sz w:val="22"/>
        </w:rPr>
      </w:pPr>
    </w:p>
    <w:p w14:paraId="584CAE78" w14:textId="77777777" w:rsidR="00AD5DA3" w:rsidRPr="00132FDD" w:rsidRDefault="00AD5DA3" w:rsidP="00AD5DA3">
      <w:pPr>
        <w:spacing w:line="360" w:lineRule="auto"/>
        <w:ind w:left="567" w:right="567"/>
        <w:contextualSpacing/>
        <w:jc w:val="both"/>
        <w:rPr>
          <w:rFonts w:ascii="Palatino Linotype" w:hAnsi="Palatino Linotype"/>
          <w:i/>
          <w:sz w:val="22"/>
        </w:rPr>
      </w:pPr>
      <w:r w:rsidRPr="00132FDD">
        <w:rPr>
          <w:rFonts w:ascii="Palatino Linotype" w:hAnsi="Palatino Linotype"/>
          <w:i/>
          <w:sz w:val="22"/>
        </w:rPr>
        <w:t xml:space="preserve">El personal que integre los organismos antes referidos deberá sujetarse a las disposiciones que establece esta Ley en materia de desarrollo policial, así como someterse a las evaluaciones para contar con la certificación respectiva”. </w:t>
      </w:r>
    </w:p>
    <w:p w14:paraId="10CE17B9"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4D70DDC9"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Por lo que, las actividades de protección, custodia, vigilancia y seguridad señaladas en la sección anterior además de formar parte de la función general de seguridad pública a cargo del Estado, corresponden a un tema de prestación de servicios que tienen un común denominador, </w:t>
      </w:r>
      <w:r w:rsidRPr="00870A4E">
        <w:rPr>
          <w:rFonts w:ascii="Palatino Linotype" w:eastAsia="MS Mincho" w:hAnsi="Palatino Linotype"/>
          <w:b/>
          <w:bCs/>
          <w:sz w:val="24"/>
          <w:szCs w:val="24"/>
          <w:lang w:val="es-ES_tradnl"/>
        </w:rPr>
        <w:t>el Estado</w:t>
      </w:r>
      <w:r w:rsidRPr="00870A4E">
        <w:rPr>
          <w:rFonts w:ascii="Palatino Linotype" w:eastAsia="MS Mincho" w:hAnsi="Palatino Linotype"/>
          <w:sz w:val="24"/>
          <w:szCs w:val="24"/>
          <w:lang w:val="es-ES_tradnl"/>
        </w:rPr>
        <w:t xml:space="preserve">; el cual las puede proporcionar a </w:t>
      </w:r>
      <w:r w:rsidRPr="00870A4E">
        <w:rPr>
          <w:rFonts w:ascii="Palatino Linotype" w:hAnsi="Palatino Linotype"/>
          <w:sz w:val="24"/>
          <w:szCs w:val="24"/>
        </w:rPr>
        <w:t xml:space="preserve">través de </w:t>
      </w:r>
      <w:r w:rsidRPr="00870A4E">
        <w:rPr>
          <w:rFonts w:ascii="Palatino Linotype" w:hAnsi="Palatino Linotype"/>
          <w:b/>
          <w:sz w:val="24"/>
          <w:szCs w:val="24"/>
        </w:rPr>
        <w:t>organismos</w:t>
      </w:r>
      <w:r w:rsidRPr="00870A4E">
        <w:rPr>
          <w:rFonts w:ascii="Palatino Linotype" w:hAnsi="Palatino Linotype"/>
          <w:sz w:val="24"/>
          <w:szCs w:val="24"/>
        </w:rPr>
        <w:t xml:space="preserve"> </w:t>
      </w:r>
      <w:r w:rsidRPr="00870A4E">
        <w:rPr>
          <w:rFonts w:ascii="Palatino Linotype" w:hAnsi="Palatino Linotype"/>
          <w:b/>
          <w:bCs/>
          <w:sz w:val="24"/>
          <w:szCs w:val="24"/>
        </w:rPr>
        <w:t xml:space="preserve">auxiliares de la función de seguridad pública. </w:t>
      </w:r>
    </w:p>
    <w:p w14:paraId="7DF95017"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60828E05"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Como se ha señalado antes, el artículo 3 de la Ley Orgánica de la Administración Pública del Estado de México, reconoce como organismos a los creados </w:t>
      </w:r>
      <w:r w:rsidRPr="00870A4E">
        <w:rPr>
          <w:rFonts w:ascii="Palatino Linotype" w:eastAsia="MS Mincho" w:hAnsi="Palatino Linotype"/>
          <w:b/>
          <w:sz w:val="24"/>
          <w:szCs w:val="24"/>
          <w:lang w:val="es-ES_tradnl"/>
        </w:rPr>
        <w:t>en las disposiciones jurídicas vigentes,</w:t>
      </w:r>
      <w:r w:rsidRPr="00870A4E">
        <w:rPr>
          <w:rFonts w:ascii="Palatino Linotype" w:eastAsia="MS Mincho" w:hAnsi="Palatino Linotype"/>
          <w:sz w:val="24"/>
          <w:szCs w:val="24"/>
          <w:lang w:val="es-ES_tradnl"/>
        </w:rPr>
        <w:t xml:space="preserve"> siendo la Ley de Seguridad del Estado de México, una disposición jurídica vigente, los organismos auxiliares del estado, concebidos en su artículo 103 para que el Estado pueda brindar los servicios de protección, custodia, vigilancia y seguridad deben corresponderse a cualquiera de las tres modalidades descritas en el artículo 45 de la Ley Orgánica de la Administración Pública del Estado de México. </w:t>
      </w:r>
    </w:p>
    <w:p w14:paraId="0B8F45D6"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276EB6D" w14:textId="3A68434C"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Pero </w:t>
      </w:r>
      <w:r w:rsidR="006914DE" w:rsidRPr="00870A4E">
        <w:rPr>
          <w:rFonts w:ascii="Palatino Linotype" w:eastAsia="MS Mincho" w:hAnsi="Palatino Linotype"/>
          <w:sz w:val="24"/>
          <w:szCs w:val="24"/>
          <w:lang w:val="es-ES_tradnl"/>
        </w:rPr>
        <w:t>aun</w:t>
      </w:r>
      <w:r w:rsidRPr="00870A4E">
        <w:rPr>
          <w:rFonts w:ascii="Palatino Linotype" w:eastAsia="MS Mincho" w:hAnsi="Palatino Linotype"/>
          <w:sz w:val="24"/>
          <w:szCs w:val="24"/>
          <w:lang w:val="es-ES_tradnl"/>
        </w:rPr>
        <w:t xml:space="preserve"> cuando la hipótesis jurídica se encuentra perfectamente establecida y es claramente aplicable al caso en proceso de solución, es necesario confirmar si, </w:t>
      </w:r>
      <w:r w:rsidRPr="00870A4E">
        <w:rPr>
          <w:rFonts w:ascii="Palatino Linotype" w:eastAsia="MS Mincho" w:hAnsi="Palatino Linotype"/>
          <w:sz w:val="24"/>
          <w:szCs w:val="24"/>
          <w:lang w:val="es-ES_tradnl"/>
        </w:rPr>
        <w:lastRenderedPageBreak/>
        <w:t xml:space="preserve">efecto, dicho organismo auxiliar es un organismo de naturaleza pública en cualquiera de sus modalidades o no, para entonces apreciar si se encuentra sujeto al control y supervisión de las instituciones públicas. En caso de que esto sea así, la presunción de existencia de la información tendría consecuencias distintas a las hasta ahora consideradas. Siendo eso lo que se resuelve a continuación. </w:t>
      </w:r>
    </w:p>
    <w:p w14:paraId="77326F6A"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64E925E6"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Para ello, es indispensable nuevamente traer a colación el fragmento del artículo 103, segundo párrafo de la Ley de Seguridad del Estado de México que señala que: </w:t>
      </w:r>
      <w:r w:rsidRPr="00132FDD">
        <w:rPr>
          <w:rFonts w:ascii="Palatino Linotype" w:eastAsia="MS Mincho" w:hAnsi="Palatino Linotype"/>
          <w:i/>
          <w:iCs/>
          <w:sz w:val="22"/>
          <w:szCs w:val="24"/>
          <w:lang w:val="es-ES_tradnl"/>
        </w:rPr>
        <w:t xml:space="preserve">“…Su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14:paraId="5F5FD413"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7A57CFD7"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Luego entonces, no es el propio organismo auxiliar el que por sí mismo determina su organización, funcionamiento y tarifa, ya que el mismo artículo 103 dispone que el </w:t>
      </w:r>
      <w:r w:rsidRPr="00870A4E">
        <w:rPr>
          <w:rFonts w:ascii="Palatino Linotype" w:eastAsia="MS Mincho" w:hAnsi="Palatino Linotype"/>
          <w:b/>
          <w:bCs/>
          <w:sz w:val="24"/>
          <w:szCs w:val="24"/>
          <w:lang w:val="es-ES_tradnl"/>
        </w:rPr>
        <w:t>organismo se encuentra sujeto a las disposiciones administrativas que emitan las dependencias del Gobierno del Estado competentes y a los sistemas de control y fiscalización a cargo de las instancias competentes</w:t>
      </w:r>
      <w:r w:rsidRPr="00870A4E">
        <w:rPr>
          <w:rFonts w:ascii="Palatino Linotype" w:eastAsia="MS Mincho" w:hAnsi="Palatino Linotype"/>
          <w:sz w:val="24"/>
          <w:szCs w:val="24"/>
          <w:lang w:val="es-ES_tradnl"/>
        </w:rPr>
        <w:t>.</w:t>
      </w:r>
    </w:p>
    <w:p w14:paraId="15CD5D60"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0283DF81"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bookmarkStart w:id="26" w:name="_Hlk22886466"/>
      <w:r w:rsidRPr="00870A4E">
        <w:rPr>
          <w:rFonts w:ascii="Palatino Linotype" w:eastAsia="MS Mincho" w:hAnsi="Palatino Linotype"/>
          <w:sz w:val="24"/>
          <w:szCs w:val="24"/>
          <w:lang w:val="es-ES_tradnl"/>
        </w:rPr>
        <w:t xml:space="preserve">Por lo tanto, si el organismo no tiene autonomía para gobernarse y depende del propio sector público, </w:t>
      </w:r>
      <w:r w:rsidRPr="00870A4E">
        <w:rPr>
          <w:rFonts w:ascii="Palatino Linotype" w:eastAsia="MS Mincho" w:hAnsi="Palatino Linotype"/>
          <w:b/>
          <w:bCs/>
          <w:sz w:val="24"/>
          <w:szCs w:val="24"/>
          <w:lang w:val="es-ES_tradnl"/>
        </w:rPr>
        <w:t>su esquema de control y fiscalización no es otro que el propio sistema de control y fiscalización del sector público</w:t>
      </w:r>
      <w:bookmarkEnd w:id="26"/>
      <w:r w:rsidRPr="00870A4E">
        <w:rPr>
          <w:rFonts w:ascii="Palatino Linotype" w:eastAsia="MS Mincho" w:hAnsi="Palatino Linotype"/>
          <w:sz w:val="24"/>
          <w:szCs w:val="24"/>
          <w:lang w:val="es-ES_tradnl"/>
        </w:rPr>
        <w:t xml:space="preserve">. </w:t>
      </w:r>
    </w:p>
    <w:p w14:paraId="1822111C"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6DF73052"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Por lo anterior, es relevante señalar que, en México, el sistema de fiscalización alcanza a los poderes públicos, a los organismos autónomos, a la administración </w:t>
      </w:r>
      <w:r w:rsidRPr="00870A4E">
        <w:rPr>
          <w:rFonts w:ascii="Palatino Linotype" w:eastAsia="MS Mincho" w:hAnsi="Palatino Linotype"/>
          <w:sz w:val="24"/>
          <w:szCs w:val="24"/>
          <w:lang w:val="es-ES_tradnl"/>
        </w:rPr>
        <w:lastRenderedPageBreak/>
        <w:t xml:space="preserve">central, a los organismos descentralizados y a todas las figuras jurídicas que maneja el artículo 45 de la Ley Orgánica de la Administración Pública del Estado de México. </w:t>
      </w:r>
    </w:p>
    <w:p w14:paraId="3F059FC4"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01E43572" w14:textId="6863D6A2" w:rsidR="00AD5DA3" w:rsidRDefault="00AD5DA3" w:rsidP="001A31A2">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Para sustentar esta consideración, conviene analizar el comportamiento que ha tenido el propio CUSAEM y que permite confirmar que, en efecto se trata de un organismo auxiliar de naturaleza pública.</w:t>
      </w:r>
    </w:p>
    <w:p w14:paraId="16192131" w14:textId="77777777" w:rsidR="001A31A2" w:rsidRDefault="001A31A2" w:rsidP="001A31A2">
      <w:pPr>
        <w:pStyle w:val="Prrafodelista"/>
        <w:rPr>
          <w:rFonts w:ascii="Palatino Linotype" w:eastAsia="MS Mincho" w:hAnsi="Palatino Linotype"/>
          <w:sz w:val="24"/>
          <w:lang w:val="es-ES_tradnl"/>
        </w:rPr>
      </w:pPr>
    </w:p>
    <w:p w14:paraId="2AE3107C" w14:textId="77777777" w:rsidR="00AD5DA3" w:rsidRPr="00132FDD" w:rsidRDefault="00AD5DA3" w:rsidP="00132FDD">
      <w:pPr>
        <w:pStyle w:val="Ttulo3"/>
        <w:rPr>
          <w:rFonts w:ascii="Palatino Linotype" w:eastAsia="MS Mincho" w:hAnsi="Palatino Linotype"/>
          <w:b/>
          <w:bCs/>
          <w:color w:val="auto"/>
        </w:rPr>
      </w:pPr>
      <w:bookmarkStart w:id="27" w:name="_Toc23446074"/>
      <w:bookmarkStart w:id="28" w:name="_Toc83901341"/>
      <w:r w:rsidRPr="00132FDD">
        <w:rPr>
          <w:rFonts w:ascii="Palatino Linotype" w:hAnsi="Palatino Linotype"/>
          <w:b/>
          <w:color w:val="auto"/>
        </w:rPr>
        <w:t>a) Los actos del organismo auxiliar de seguridad pública con otras dependencias gubernamentales.</w:t>
      </w:r>
      <w:bookmarkEnd w:id="27"/>
      <w:bookmarkEnd w:id="28"/>
      <w:r w:rsidRPr="00132FDD">
        <w:rPr>
          <w:rFonts w:ascii="Palatino Linotype" w:hAnsi="Palatino Linotype"/>
          <w:b/>
          <w:color w:val="auto"/>
        </w:rPr>
        <w:t xml:space="preserve">  </w:t>
      </w:r>
    </w:p>
    <w:p w14:paraId="63FC361F"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5DB52245" w14:textId="60634402" w:rsidR="00AD5DA3"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Los Cuerpos de Seguridad Auxiliares del Estado de México, han brindado servicios de guarda y custodia de dependencias a través de distintos contratos, los cuales en términos del artículo 70 la Ley General de Transparencia y Acceso a la Información Pública, son una obligación de transparencia común y por ello, diversas dependencias los han publicitado, en dichos contratos, el CUSAEM se ha reivindicado como parte de la administración pública estatal, </w:t>
      </w:r>
      <w:r>
        <w:rPr>
          <w:rFonts w:ascii="Palatino Linotype" w:eastAsia="MS Mincho" w:hAnsi="Palatino Linotype"/>
          <w:sz w:val="24"/>
          <w:szCs w:val="24"/>
          <w:lang w:val="es-ES_tradnl"/>
        </w:rPr>
        <w:t>tal y como lo establece en los contratos f</w:t>
      </w:r>
      <w:r w:rsidRPr="00870A4E">
        <w:rPr>
          <w:rFonts w:ascii="Palatino Linotype" w:eastAsia="MS Mincho" w:hAnsi="Palatino Linotype"/>
          <w:sz w:val="24"/>
          <w:szCs w:val="24"/>
          <w:lang w:val="es-ES_tradnl"/>
        </w:rPr>
        <w:t xml:space="preserve">irmado </w:t>
      </w:r>
      <w:r>
        <w:rPr>
          <w:rFonts w:ascii="Palatino Linotype" w:eastAsia="MS Mincho" w:hAnsi="Palatino Linotype"/>
          <w:sz w:val="24"/>
          <w:szCs w:val="24"/>
          <w:lang w:val="es-ES_tradnl"/>
        </w:rPr>
        <w:t xml:space="preserve">con el Consejo de Promoción Turística de México S.A. DE C.V. </w:t>
      </w:r>
      <w:r>
        <w:rPr>
          <w:rStyle w:val="Refdenotaalpie"/>
          <w:rFonts w:ascii="Palatino Linotype" w:eastAsia="MS Mincho" w:hAnsi="Palatino Linotype"/>
          <w:sz w:val="24"/>
          <w:szCs w:val="24"/>
          <w:lang w:val="es-ES_tradnl"/>
        </w:rPr>
        <w:footnoteReference w:id="12"/>
      </w:r>
      <w:r>
        <w:rPr>
          <w:rFonts w:ascii="Palatino Linotype" w:eastAsia="MS Mincho" w:hAnsi="Palatino Linotype"/>
          <w:sz w:val="24"/>
          <w:szCs w:val="24"/>
          <w:lang w:val="es-ES_tradnl"/>
        </w:rPr>
        <w:t xml:space="preserve"> o aquellos convenidos con el Organismo Descentralizado de la Administración Pública Federal “TELECOMM”</w:t>
      </w:r>
      <w:r>
        <w:rPr>
          <w:rStyle w:val="Refdenotaalpie"/>
          <w:rFonts w:ascii="Palatino Linotype" w:eastAsia="MS Mincho" w:hAnsi="Palatino Linotype"/>
          <w:sz w:val="24"/>
          <w:szCs w:val="24"/>
          <w:lang w:val="es-ES_tradnl"/>
        </w:rPr>
        <w:footnoteReference w:id="13"/>
      </w:r>
      <w:r>
        <w:rPr>
          <w:rFonts w:ascii="Palatino Linotype" w:eastAsia="MS Mincho" w:hAnsi="Palatino Linotype"/>
          <w:sz w:val="24"/>
          <w:szCs w:val="24"/>
          <w:lang w:val="es-ES_tradnl"/>
        </w:rPr>
        <w:t xml:space="preserve">, </w:t>
      </w:r>
      <w:r w:rsidRPr="008840B9">
        <w:rPr>
          <w:rFonts w:ascii="Palatino Linotype" w:eastAsia="MS Mincho" w:hAnsi="Palatino Linotype"/>
          <w:sz w:val="24"/>
          <w:szCs w:val="24"/>
          <w:lang w:val="es-ES_tradnl"/>
        </w:rPr>
        <w:t>instrumento</w:t>
      </w:r>
      <w:r>
        <w:rPr>
          <w:rFonts w:ascii="Palatino Linotype" w:eastAsia="MS Mincho" w:hAnsi="Palatino Linotype"/>
          <w:sz w:val="24"/>
          <w:szCs w:val="24"/>
          <w:lang w:val="es-ES_tradnl"/>
        </w:rPr>
        <w:t>s</w:t>
      </w:r>
      <w:r w:rsidRPr="008840B9">
        <w:rPr>
          <w:rFonts w:ascii="Palatino Linotype" w:eastAsia="MS Mincho" w:hAnsi="Palatino Linotype"/>
          <w:sz w:val="24"/>
          <w:szCs w:val="24"/>
          <w:lang w:val="es-ES_tradnl"/>
        </w:rPr>
        <w:t xml:space="preserve"> en el que dicho organismo auxiliar emplea el escudo del Estado de México y la cromática y logotipos de la anterior Secretaría de Seguridad Ciudadana del Estado, declarando además que sus integrantes se rigen por el apartado B del artículo 123 de la Constitución Política de los Estados Unidos </w:t>
      </w:r>
      <w:r w:rsidRPr="008840B9">
        <w:rPr>
          <w:rFonts w:ascii="Palatino Linotype" w:eastAsia="MS Mincho" w:hAnsi="Palatino Linotype"/>
          <w:sz w:val="24"/>
          <w:szCs w:val="24"/>
          <w:lang w:val="es-ES_tradnl"/>
        </w:rPr>
        <w:lastRenderedPageBreak/>
        <w:t xml:space="preserve">Mexicanos, que sólo es aplicable precisamente a los trabajadores al servicio del Estado. </w:t>
      </w:r>
    </w:p>
    <w:p w14:paraId="69809362" w14:textId="77777777" w:rsidR="00AD5DA3" w:rsidRPr="00870A4E" w:rsidRDefault="00AD5DA3" w:rsidP="002C5F2E">
      <w:pPr>
        <w:spacing w:line="360" w:lineRule="auto"/>
        <w:ind w:right="49"/>
        <w:contextualSpacing/>
        <w:jc w:val="center"/>
        <w:rPr>
          <w:rFonts w:ascii="Palatino Linotype" w:eastAsia="MS Mincho" w:hAnsi="Palatino Linotype"/>
          <w:sz w:val="24"/>
          <w:szCs w:val="24"/>
          <w:lang w:val="es-ES_tradnl"/>
        </w:rPr>
      </w:pPr>
      <w:r w:rsidRPr="00870A4E">
        <w:rPr>
          <w:noProof/>
          <w:lang w:eastAsia="es-MX"/>
        </w:rPr>
        <w:drawing>
          <wp:inline distT="0" distB="0" distL="0" distR="0" wp14:anchorId="1E570B25" wp14:editId="5D56A3A3">
            <wp:extent cx="4597879" cy="61409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85" t="13283" r="33906" b="11105"/>
                    <a:stretch/>
                  </pic:blipFill>
                  <pic:spPr bwMode="auto">
                    <a:xfrm>
                      <a:off x="0" y="0"/>
                      <a:ext cx="4605518" cy="6151150"/>
                    </a:xfrm>
                    <a:prstGeom prst="rect">
                      <a:avLst/>
                    </a:prstGeom>
                    <a:ln>
                      <a:noFill/>
                    </a:ln>
                    <a:extLst>
                      <a:ext uri="{53640926-AAD7-44D8-BBD7-CCE9431645EC}">
                        <a14:shadowObscured xmlns:a14="http://schemas.microsoft.com/office/drawing/2010/main"/>
                      </a:ext>
                    </a:extLst>
                  </pic:spPr>
                </pic:pic>
              </a:graphicData>
            </a:graphic>
          </wp:inline>
        </w:drawing>
      </w:r>
    </w:p>
    <w:p w14:paraId="04A306A0" w14:textId="5FD097FA" w:rsidR="00AD5DA3" w:rsidRPr="00870A4E" w:rsidRDefault="00AD5DA3" w:rsidP="00AD5DA3">
      <w:pPr>
        <w:spacing w:line="360" w:lineRule="auto"/>
        <w:ind w:right="49"/>
        <w:contextualSpacing/>
        <w:rPr>
          <w:rFonts w:ascii="Palatino Linotype" w:eastAsia="MS Mincho" w:hAnsi="Palatino Linotype"/>
          <w:sz w:val="24"/>
          <w:szCs w:val="24"/>
          <w:lang w:val="es-ES_tradnl"/>
        </w:rPr>
      </w:pPr>
    </w:p>
    <w:p w14:paraId="6000323B" w14:textId="77777777" w:rsidR="00AD5DA3" w:rsidRPr="00870A4E" w:rsidRDefault="00AD5DA3" w:rsidP="00AD5DA3">
      <w:pPr>
        <w:spacing w:line="360" w:lineRule="auto"/>
        <w:ind w:right="49"/>
        <w:contextualSpacing/>
        <w:rPr>
          <w:rFonts w:ascii="Palatino Linotype" w:eastAsia="MS Mincho" w:hAnsi="Palatino Linotype"/>
          <w:sz w:val="24"/>
          <w:szCs w:val="24"/>
          <w:lang w:val="es-ES_tradnl"/>
        </w:rPr>
      </w:pPr>
      <w:r w:rsidRPr="00870A4E">
        <w:rPr>
          <w:noProof/>
          <w:lang w:eastAsia="es-MX"/>
        </w:rPr>
        <w:lastRenderedPageBreak/>
        <w:drawing>
          <wp:inline distT="0" distB="0" distL="0" distR="0" wp14:anchorId="4C5A0AEC" wp14:editId="3561EFAE">
            <wp:extent cx="5705475" cy="7410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99" t="13349" r="36512" b="21420"/>
                    <a:stretch/>
                  </pic:blipFill>
                  <pic:spPr bwMode="auto">
                    <a:xfrm>
                      <a:off x="0" y="0"/>
                      <a:ext cx="5705475" cy="7410450"/>
                    </a:xfrm>
                    <a:prstGeom prst="rect">
                      <a:avLst/>
                    </a:prstGeom>
                    <a:ln>
                      <a:noFill/>
                    </a:ln>
                    <a:extLst>
                      <a:ext uri="{53640926-AAD7-44D8-BBD7-CCE9431645EC}">
                        <a14:shadowObscured xmlns:a14="http://schemas.microsoft.com/office/drawing/2010/main"/>
                      </a:ext>
                    </a:extLst>
                  </pic:spPr>
                </pic:pic>
              </a:graphicData>
            </a:graphic>
          </wp:inline>
        </w:drawing>
      </w:r>
    </w:p>
    <w:p w14:paraId="0293F1E8" w14:textId="77777777" w:rsidR="00AD5DA3" w:rsidRPr="00870A4E" w:rsidRDefault="00AD5DA3" w:rsidP="00AD5DA3">
      <w:pPr>
        <w:spacing w:line="360" w:lineRule="auto"/>
        <w:ind w:right="49"/>
        <w:contextualSpacing/>
        <w:rPr>
          <w:rFonts w:ascii="Palatino Linotype" w:eastAsia="MS Mincho" w:hAnsi="Palatino Linotype"/>
          <w:sz w:val="24"/>
          <w:szCs w:val="24"/>
          <w:lang w:val="es-ES_tradnl"/>
        </w:rPr>
      </w:pPr>
      <w:r w:rsidRPr="00870A4E">
        <w:rPr>
          <w:noProof/>
          <w:lang w:eastAsia="es-MX"/>
        </w:rPr>
        <w:lastRenderedPageBreak/>
        <w:drawing>
          <wp:inline distT="0" distB="0" distL="0" distR="0" wp14:anchorId="0934A7ED" wp14:editId="441AEE0A">
            <wp:extent cx="5629275" cy="7562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58" t="23665" r="36340" b="12014"/>
                    <a:stretch/>
                  </pic:blipFill>
                  <pic:spPr bwMode="auto">
                    <a:xfrm>
                      <a:off x="0" y="0"/>
                      <a:ext cx="5629275" cy="7562850"/>
                    </a:xfrm>
                    <a:prstGeom prst="rect">
                      <a:avLst/>
                    </a:prstGeom>
                    <a:ln>
                      <a:noFill/>
                    </a:ln>
                    <a:extLst>
                      <a:ext uri="{53640926-AAD7-44D8-BBD7-CCE9431645EC}">
                        <a14:shadowObscured xmlns:a14="http://schemas.microsoft.com/office/drawing/2010/main"/>
                      </a:ext>
                    </a:extLst>
                  </pic:spPr>
                </pic:pic>
              </a:graphicData>
            </a:graphic>
          </wp:inline>
        </w:drawing>
      </w:r>
    </w:p>
    <w:p w14:paraId="00B3F70D" w14:textId="6E87C03C"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lastRenderedPageBreak/>
        <w:t xml:space="preserve">Aunado a lo anterior, los Cuerpos de Seguridad Auxiliares del Estado de México, han firmado múltiples convenios con el Instituto de Seguridad Social del Estado de México y sus Municipios (ISSEMyM). De acuerdo con la Ley de Seguridad Social para los Servidores Públicos del Estado de México y Municipios, se tiene que en la fracción </w:t>
      </w:r>
      <w:r w:rsidR="00E652E4">
        <w:rPr>
          <w:rFonts w:ascii="Palatino Linotype" w:eastAsia="MS Mincho" w:hAnsi="Palatino Linotype"/>
          <w:sz w:val="24"/>
          <w:szCs w:val="24"/>
          <w:lang w:val="es-ES_tradnl"/>
        </w:rPr>
        <w:t>III</w:t>
      </w:r>
      <w:r w:rsidRPr="00870A4E">
        <w:rPr>
          <w:rFonts w:ascii="Palatino Linotype" w:eastAsia="MS Mincho" w:hAnsi="Palatino Linotype"/>
          <w:sz w:val="24"/>
          <w:szCs w:val="24"/>
          <w:lang w:val="es-ES_tradnl"/>
        </w:rPr>
        <w:t xml:space="preserve"> de su artículo 5, se establece </w:t>
      </w:r>
      <w:r w:rsidR="00E652E4">
        <w:rPr>
          <w:rFonts w:ascii="Palatino Linotype" w:eastAsia="MS Mincho" w:hAnsi="Palatino Linotype"/>
          <w:sz w:val="24"/>
          <w:szCs w:val="24"/>
          <w:lang w:val="es-ES_tradnl"/>
        </w:rPr>
        <w:t>lo siguiente:</w:t>
      </w:r>
      <w:r w:rsidRPr="00870A4E">
        <w:rPr>
          <w:rFonts w:ascii="Palatino Linotype" w:eastAsia="MS Mincho" w:hAnsi="Palatino Linotype"/>
          <w:sz w:val="24"/>
          <w:szCs w:val="24"/>
          <w:lang w:val="es-ES_tradnl"/>
        </w:rPr>
        <w:t xml:space="preserve"> </w:t>
      </w:r>
    </w:p>
    <w:p w14:paraId="13194FD2"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4D17E833" w14:textId="77777777" w:rsidR="00AD5DA3" w:rsidRPr="002C5F2E" w:rsidRDefault="00AD5DA3" w:rsidP="00AD5DA3">
      <w:pPr>
        <w:spacing w:line="360" w:lineRule="auto"/>
        <w:ind w:left="567" w:right="49"/>
        <w:contextualSpacing/>
        <w:jc w:val="both"/>
        <w:rPr>
          <w:rFonts w:ascii="Palatino Linotype" w:hAnsi="Palatino Linotype"/>
          <w:b/>
          <w:bCs/>
          <w:i/>
          <w:sz w:val="22"/>
          <w:szCs w:val="22"/>
        </w:rPr>
      </w:pPr>
      <w:r w:rsidRPr="002C5F2E">
        <w:rPr>
          <w:rFonts w:ascii="Palatino Linotype" w:hAnsi="Palatino Linotype"/>
          <w:b/>
          <w:bCs/>
          <w:i/>
          <w:sz w:val="22"/>
          <w:szCs w:val="22"/>
        </w:rPr>
        <w:t>Artículo 5. Para los efectos de esta Ley se entiende por:</w:t>
      </w:r>
    </w:p>
    <w:p w14:paraId="2933CD18" w14:textId="77777777" w:rsidR="00AD5DA3" w:rsidRPr="002C5F2E" w:rsidRDefault="00AD5DA3" w:rsidP="00AD5DA3">
      <w:pPr>
        <w:spacing w:line="360" w:lineRule="auto"/>
        <w:ind w:left="567" w:right="49"/>
        <w:contextualSpacing/>
        <w:jc w:val="both"/>
        <w:rPr>
          <w:rFonts w:ascii="Palatino Linotype" w:hAnsi="Palatino Linotype"/>
          <w:b/>
          <w:bCs/>
          <w:i/>
          <w:sz w:val="22"/>
          <w:szCs w:val="22"/>
        </w:rPr>
      </w:pPr>
    </w:p>
    <w:p w14:paraId="1FD07CC0" w14:textId="77777777" w:rsidR="00E652E4" w:rsidRPr="00E652E4" w:rsidRDefault="00E652E4" w:rsidP="00AD5DA3">
      <w:pPr>
        <w:pStyle w:val="Prrafodelista"/>
        <w:spacing w:line="360" w:lineRule="auto"/>
        <w:ind w:left="567" w:right="567"/>
        <w:jc w:val="both"/>
        <w:rPr>
          <w:rFonts w:ascii="Palatino Linotype" w:hAnsi="Palatino Linotype"/>
          <w:i/>
        </w:rPr>
      </w:pPr>
      <w:r w:rsidRPr="00E652E4">
        <w:rPr>
          <w:rFonts w:ascii="Palatino Linotype" w:hAnsi="Palatino Linotype"/>
          <w:i/>
        </w:rPr>
        <w:t>I</w:t>
      </w:r>
      <w:r w:rsidRPr="00E652E4">
        <w:rPr>
          <w:rFonts w:ascii="Palatino Linotype" w:hAnsi="Palatino Linotype"/>
          <w:b/>
          <w:i/>
        </w:rPr>
        <w:t xml:space="preserve">II. Servidor público, </w:t>
      </w:r>
      <w:r w:rsidRPr="00E652E4">
        <w:rPr>
          <w:rFonts w:ascii="Palatino Linotype" w:hAnsi="Palatino Linotype"/>
          <w:i/>
        </w:rPr>
        <w:t xml:space="preserve">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3D1E29B2" w14:textId="1C4E8394" w:rsidR="00AD5DA3" w:rsidRPr="00E652E4" w:rsidRDefault="00AD5DA3" w:rsidP="00AD5DA3">
      <w:pPr>
        <w:pStyle w:val="Prrafodelista"/>
        <w:spacing w:line="360" w:lineRule="auto"/>
        <w:ind w:left="567" w:right="567"/>
        <w:jc w:val="both"/>
        <w:rPr>
          <w:rFonts w:ascii="Palatino Linotype" w:hAnsi="Palatino Linotype"/>
          <w:i/>
        </w:rPr>
      </w:pPr>
      <w:r w:rsidRPr="00E652E4">
        <w:rPr>
          <w:rFonts w:ascii="Palatino Linotype" w:hAnsi="Palatino Linotype"/>
          <w:i/>
        </w:rPr>
        <w:t>[…]</w:t>
      </w:r>
    </w:p>
    <w:p w14:paraId="49325FD0"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2C9299B6"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Por lo que, el primero y directo derechohabiente es aquella persona que resulta ser </w:t>
      </w:r>
      <w:r w:rsidRPr="00870A4E">
        <w:rPr>
          <w:rFonts w:ascii="Palatino Linotype" w:eastAsia="MS Mincho" w:hAnsi="Palatino Linotype"/>
          <w:b/>
          <w:bCs/>
          <w:sz w:val="24"/>
          <w:szCs w:val="24"/>
          <w:lang w:val="es-ES_tradnl"/>
        </w:rPr>
        <w:t>servidor público</w:t>
      </w:r>
      <w:r w:rsidRPr="00870A4E">
        <w:rPr>
          <w:rFonts w:ascii="Palatino Linotype" w:eastAsia="MS Mincho" w:hAnsi="Palatino Linotype"/>
          <w:sz w:val="24"/>
          <w:szCs w:val="24"/>
          <w:lang w:val="es-ES_tradnl"/>
        </w:rPr>
        <w:t xml:space="preserve"> y presta sus servicios en cualquiera de las Instituciones Públicas</w:t>
      </w:r>
      <w:r>
        <w:rPr>
          <w:rFonts w:ascii="Palatino Linotype" w:eastAsia="MS Mincho" w:hAnsi="Palatino Linotype"/>
          <w:sz w:val="24"/>
          <w:szCs w:val="24"/>
          <w:lang w:val="es-ES_tradnl"/>
        </w:rPr>
        <w:t xml:space="preserve">, como lo ha referido la recurrente, durante el análisis de la más reciente Cuenta Pública del Gobierno del Estado de México y organismos autónomos, quedó acreditado una serie de adeudos de dicho organismo auxiliar con el ISSEMyM y que se derivan de la relación que existe por dar de alta a sus elementos como derechohabientes. </w:t>
      </w:r>
    </w:p>
    <w:p w14:paraId="0F1FAB38"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4CF83D7D"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A la luz de estos elementos, el uso del escudo, logotipos del gobierno del estado de México, y la determinación de que sus elementos son trabajadores al servicio del </w:t>
      </w:r>
      <w:r w:rsidRPr="00870A4E">
        <w:rPr>
          <w:rFonts w:ascii="Palatino Linotype" w:eastAsia="MS Mincho" w:hAnsi="Palatino Linotype"/>
          <w:sz w:val="24"/>
          <w:szCs w:val="24"/>
          <w:lang w:val="es-ES_tradnl"/>
        </w:rPr>
        <w:lastRenderedPageBreak/>
        <w:t xml:space="preserve">Estado, sujetos al régimen de seguridad social del Estado, es que no puede concluirse otra cosa, sino que se trata de </w:t>
      </w:r>
      <w:r w:rsidRPr="00870A4E">
        <w:rPr>
          <w:rFonts w:ascii="Palatino Linotype" w:eastAsia="MS Mincho" w:hAnsi="Palatino Linotype"/>
          <w:b/>
          <w:bCs/>
          <w:sz w:val="24"/>
          <w:szCs w:val="24"/>
          <w:lang w:val="es-ES_tradnl"/>
        </w:rPr>
        <w:t>un organismo auxiliar de naturaleza pública.</w:t>
      </w:r>
      <w:r w:rsidRPr="00870A4E">
        <w:rPr>
          <w:rFonts w:ascii="Palatino Linotype" w:eastAsia="MS Mincho" w:hAnsi="Palatino Linotype"/>
          <w:sz w:val="24"/>
          <w:szCs w:val="24"/>
          <w:lang w:val="es-ES_tradnl"/>
        </w:rPr>
        <w:t xml:space="preserve"> </w:t>
      </w:r>
    </w:p>
    <w:p w14:paraId="6A5BBC73"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5C597206" w14:textId="77777777" w:rsidR="00AD5DA3" w:rsidRPr="00870A4E"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hAnsi="Palatino Linotype" w:cs="Arial"/>
          <w:sz w:val="24"/>
          <w:szCs w:val="24"/>
        </w:rPr>
        <w:t>En consecuencia, l</w:t>
      </w:r>
      <w:r w:rsidRPr="00870A4E">
        <w:rPr>
          <w:rFonts w:ascii="Palatino Linotype" w:hAnsi="Palatino Linotype" w:cs="Arial"/>
          <w:sz w:val="24"/>
          <w:szCs w:val="24"/>
        </w:rPr>
        <w:t xml:space="preserve">os servicios de protección, custodia, vigilancia y seguridad forman parte de la función general de seguridad pública, y cuando el Estado los brinda a través de un organismo auxiliar, cuyo régimen se encuentra regulado por la disposición jurídica contenida en el segundo párrafo del artículo 103 de la Ley de Seguridad del Estado de México, dicha función obliga a documentar sus actos y, al generar documentación, esta debe considerarse de naturaleza pública. </w:t>
      </w:r>
    </w:p>
    <w:p w14:paraId="6E783FBF" w14:textId="77777777" w:rsidR="00AD5DA3" w:rsidRPr="00870A4E" w:rsidRDefault="00AD5DA3" w:rsidP="00AD5DA3">
      <w:pPr>
        <w:spacing w:line="360" w:lineRule="auto"/>
        <w:ind w:right="49"/>
        <w:contextualSpacing/>
        <w:jc w:val="both"/>
        <w:rPr>
          <w:rFonts w:ascii="Palatino Linotype" w:eastAsia="MS Mincho" w:hAnsi="Palatino Linotype"/>
          <w:sz w:val="24"/>
          <w:szCs w:val="24"/>
          <w:lang w:val="es-ES_tradnl"/>
        </w:rPr>
      </w:pPr>
    </w:p>
    <w:p w14:paraId="16326DFD" w14:textId="5EAF8D0D" w:rsidR="00AD5DA3" w:rsidRDefault="00AD5DA3"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870A4E">
        <w:rPr>
          <w:rFonts w:ascii="Palatino Linotype" w:eastAsia="MS Mincho" w:hAnsi="Palatino Linotype"/>
          <w:sz w:val="24"/>
          <w:szCs w:val="24"/>
          <w:lang w:val="es-ES_tradnl"/>
        </w:rPr>
        <w:t xml:space="preserve">Ahora es necesario analizar si la Secretaría de </w:t>
      </w:r>
      <w:r w:rsidR="006914DE">
        <w:rPr>
          <w:rFonts w:ascii="Palatino Linotype" w:eastAsia="MS Mincho" w:hAnsi="Palatino Linotype"/>
          <w:sz w:val="24"/>
          <w:szCs w:val="24"/>
          <w:lang w:val="es-ES_tradnl"/>
        </w:rPr>
        <w:t xml:space="preserve">Seguridad </w:t>
      </w:r>
      <w:r w:rsidRPr="00870A4E">
        <w:rPr>
          <w:rFonts w:ascii="Palatino Linotype" w:eastAsia="MS Mincho" w:hAnsi="Palatino Linotype"/>
          <w:sz w:val="24"/>
          <w:szCs w:val="24"/>
          <w:lang w:val="es-ES_tradnl"/>
        </w:rPr>
        <w:t xml:space="preserve">debe o no, contar con la información que se le ha solicitado. </w:t>
      </w:r>
    </w:p>
    <w:p w14:paraId="668D2094" w14:textId="77777777" w:rsidR="006914DE" w:rsidRDefault="006914DE" w:rsidP="006914DE">
      <w:pPr>
        <w:pStyle w:val="Prrafodelista"/>
        <w:rPr>
          <w:rFonts w:ascii="Palatino Linotype" w:eastAsia="MS Mincho" w:hAnsi="Palatino Linotype"/>
          <w:sz w:val="24"/>
          <w:lang w:val="es-ES_tradnl"/>
        </w:rPr>
      </w:pPr>
    </w:p>
    <w:p w14:paraId="4F27B4CB" w14:textId="7B5C0C3F" w:rsidR="006914DE" w:rsidRPr="002C5F2E" w:rsidRDefault="006914DE" w:rsidP="006914DE">
      <w:pPr>
        <w:numPr>
          <w:ilvl w:val="0"/>
          <w:numId w:val="2"/>
        </w:numPr>
        <w:spacing w:line="360" w:lineRule="auto"/>
        <w:ind w:left="0" w:right="49" w:firstLine="0"/>
        <w:contextualSpacing/>
        <w:jc w:val="both"/>
        <w:rPr>
          <w:rFonts w:ascii="Palatino Linotype" w:eastAsia="MS Mincho" w:hAnsi="Palatino Linotype"/>
          <w:sz w:val="28"/>
          <w:szCs w:val="24"/>
          <w:lang w:val="es-ES_tradnl"/>
        </w:rPr>
      </w:pPr>
      <w:r w:rsidRPr="002C5F2E">
        <w:rPr>
          <w:rFonts w:ascii="Palatino Linotype" w:hAnsi="Palatino Linotype" w:cs="Tahoma"/>
          <w:sz w:val="24"/>
          <w:szCs w:val="22"/>
        </w:rPr>
        <w:t xml:space="preserve">Ahora bien, tal y como lo establece el artículo 21 Bis de la Ley Orgánica de la Administración Pública del Estado de México, la Secretaría de Seguridad es la encargada de planear, formular, conducir, coordinar, ejecutar, supervisar y evaluar las políticas, programas y acciones en materia de seguridad pública; además de establecer que tiene como atribución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promover la formación, capacitación, profesionalización, actualización, adiestramiento y especialización de las instituciones policiales; así </w:t>
      </w:r>
      <w:r w:rsidRPr="002C5F2E">
        <w:rPr>
          <w:rFonts w:ascii="Palatino Linotype" w:hAnsi="Palatino Linotype" w:cs="Tahoma"/>
          <w:sz w:val="24"/>
          <w:szCs w:val="22"/>
        </w:rPr>
        <w:lastRenderedPageBreak/>
        <w:t>como autorizar, coordinar, controlar y supervisar los servicios de seguridad pública y privada, de conformidad con las normas aplicables.</w:t>
      </w:r>
    </w:p>
    <w:p w14:paraId="0BAE76A4" w14:textId="77777777" w:rsidR="002D0A20" w:rsidRDefault="002D0A20" w:rsidP="002D0A20">
      <w:pPr>
        <w:pStyle w:val="Prrafodelista"/>
        <w:rPr>
          <w:rFonts w:ascii="Palatino Linotype" w:eastAsia="MS Mincho" w:hAnsi="Palatino Linotype"/>
          <w:sz w:val="24"/>
          <w:lang w:val="es-ES_tradnl"/>
        </w:rPr>
      </w:pPr>
    </w:p>
    <w:p w14:paraId="4CC817E6" w14:textId="058FB9D1" w:rsidR="002D0A20" w:rsidRPr="002C5F2E" w:rsidRDefault="002D0A20" w:rsidP="002D0A20">
      <w:pPr>
        <w:numPr>
          <w:ilvl w:val="0"/>
          <w:numId w:val="2"/>
        </w:numPr>
        <w:spacing w:line="360" w:lineRule="auto"/>
        <w:ind w:left="0" w:right="49" w:firstLine="0"/>
        <w:contextualSpacing/>
        <w:jc w:val="both"/>
        <w:rPr>
          <w:rFonts w:ascii="Palatino Linotype" w:eastAsia="MS Mincho" w:hAnsi="Palatino Linotype"/>
          <w:sz w:val="28"/>
          <w:szCs w:val="24"/>
          <w:lang w:val="es-ES_tradnl"/>
        </w:rPr>
      </w:pPr>
      <w:r w:rsidRPr="002C5F2E">
        <w:rPr>
          <w:rFonts w:ascii="Palatino Linotype" w:eastAsia="Calibri" w:hAnsi="Palatino Linotype" w:cs="Tahoma"/>
          <w:bCs/>
          <w:sz w:val="24"/>
          <w:szCs w:val="22"/>
          <w:lang w:eastAsia="en-US"/>
        </w:rPr>
        <w:t xml:space="preserve">Por su parte, el artículo 9° de la Ley de Seguridad del Estado de México, refiere que </w:t>
      </w:r>
      <w:r w:rsidRPr="002C5F2E">
        <w:rPr>
          <w:rFonts w:ascii="Palatino Linotype" w:eastAsia="Calibri" w:hAnsi="Palatino Linotype" w:cs="Tahoma"/>
          <w:b/>
          <w:bCs/>
          <w:sz w:val="24"/>
          <w:szCs w:val="22"/>
          <w:lang w:eastAsia="en-US"/>
        </w:rPr>
        <w:t>los prestadores de servicios de seguridad privada y su personal serán auxiliares de la función de seguridad pública y coadyuvarán con las autoridades y las Instituciones de Seguridad Pública en situaciones de urgencia, desastre o cuando así lo solicite la autoridad competente</w:t>
      </w:r>
      <w:r w:rsidRPr="002C5F2E">
        <w:rPr>
          <w:rFonts w:ascii="Palatino Linotype" w:eastAsia="Calibri" w:hAnsi="Palatino Linotype" w:cs="Tahoma"/>
          <w:bCs/>
          <w:sz w:val="24"/>
          <w:szCs w:val="22"/>
          <w:lang w:eastAsia="en-US"/>
        </w:rPr>
        <w:t>.</w:t>
      </w:r>
    </w:p>
    <w:p w14:paraId="01D84385" w14:textId="77777777" w:rsidR="002D0A20" w:rsidRDefault="002D0A20" w:rsidP="002D0A20">
      <w:pPr>
        <w:pStyle w:val="Prrafodelista"/>
        <w:rPr>
          <w:rFonts w:ascii="Palatino Linotype" w:eastAsia="MS Mincho" w:hAnsi="Palatino Linotype"/>
          <w:sz w:val="24"/>
          <w:lang w:val="es-ES_tradnl"/>
        </w:rPr>
      </w:pPr>
    </w:p>
    <w:p w14:paraId="2D6FE477" w14:textId="77777777" w:rsidR="002D0A20" w:rsidRPr="002C5F2E" w:rsidRDefault="002D0A20" w:rsidP="002D0A20">
      <w:pPr>
        <w:numPr>
          <w:ilvl w:val="0"/>
          <w:numId w:val="2"/>
        </w:numPr>
        <w:spacing w:line="360" w:lineRule="auto"/>
        <w:ind w:left="0" w:right="49" w:firstLine="0"/>
        <w:contextualSpacing/>
        <w:jc w:val="both"/>
        <w:rPr>
          <w:rFonts w:ascii="Palatino Linotype" w:eastAsia="MS Mincho" w:hAnsi="Palatino Linotype"/>
          <w:sz w:val="28"/>
          <w:szCs w:val="24"/>
          <w:lang w:val="es-ES_tradnl"/>
        </w:rPr>
      </w:pPr>
      <w:r w:rsidRPr="002C5F2E">
        <w:rPr>
          <w:rFonts w:ascii="Palatino Linotype" w:eastAsia="Calibri" w:hAnsi="Palatino Linotype" w:cs="Tahoma"/>
          <w:bCs/>
          <w:sz w:val="24"/>
          <w:szCs w:val="22"/>
          <w:lang w:eastAsia="en-US"/>
        </w:rPr>
        <w:t xml:space="preserve">En concatenación, el artículo 103 de la misma Ley de Seguridad del Estado de México, indica que </w:t>
      </w:r>
      <w:r w:rsidRPr="002C5F2E">
        <w:rPr>
          <w:rFonts w:ascii="Palatino Linotype" w:eastAsia="Calibri" w:hAnsi="Palatino Linotype" w:cs="Tahoma"/>
          <w:b/>
          <w:bCs/>
          <w:sz w:val="24"/>
          <w:szCs w:val="22"/>
          <w:lang w:eastAsia="en-US"/>
        </w:rPr>
        <w:t>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w:t>
      </w:r>
      <w:r w:rsidRPr="002C5F2E">
        <w:rPr>
          <w:rFonts w:ascii="Palatino Linotype" w:eastAsia="Calibri" w:hAnsi="Palatino Linotype" w:cs="Tahoma"/>
          <w:bCs/>
          <w:sz w:val="24"/>
          <w:szCs w:val="22"/>
          <w:lang w:eastAsia="en-US"/>
        </w:rPr>
        <w:t>.</w:t>
      </w:r>
    </w:p>
    <w:p w14:paraId="1AFE6D64" w14:textId="77777777" w:rsidR="002D0A20" w:rsidRDefault="002D0A20" w:rsidP="002D0A20">
      <w:pPr>
        <w:pStyle w:val="Prrafodelista"/>
        <w:rPr>
          <w:rFonts w:ascii="Palatino Linotype" w:eastAsia="MS Mincho" w:hAnsi="Palatino Linotype"/>
          <w:sz w:val="24"/>
          <w:lang w:val="es-ES_tradnl"/>
        </w:rPr>
      </w:pPr>
    </w:p>
    <w:p w14:paraId="67F8543A" w14:textId="1ECE69F1" w:rsidR="002D0A20" w:rsidRPr="00E652E4" w:rsidRDefault="002D0A20" w:rsidP="002D0A20">
      <w:pPr>
        <w:numPr>
          <w:ilvl w:val="0"/>
          <w:numId w:val="2"/>
        </w:numPr>
        <w:spacing w:line="360" w:lineRule="auto"/>
        <w:ind w:left="0" w:right="49" w:firstLine="0"/>
        <w:contextualSpacing/>
        <w:jc w:val="both"/>
        <w:rPr>
          <w:rFonts w:ascii="Palatino Linotype" w:eastAsia="MS Mincho" w:hAnsi="Palatino Linotype"/>
          <w:sz w:val="28"/>
          <w:szCs w:val="24"/>
          <w:lang w:val="es-ES_tradnl"/>
        </w:rPr>
      </w:pPr>
      <w:r w:rsidRPr="002C5F2E">
        <w:rPr>
          <w:rFonts w:ascii="Palatino Linotype" w:eastAsia="Calibri" w:hAnsi="Palatino Linotype" w:cs="Tahoma"/>
          <w:bCs/>
          <w:sz w:val="24"/>
          <w:szCs w:val="22"/>
          <w:lang w:eastAsia="en-US"/>
        </w:rPr>
        <w:t>Por su parte, el Reglamento de los Cuerpos de Seguridad Pública del Estado</w:t>
      </w:r>
      <w:r w:rsidR="00E652E4">
        <w:rPr>
          <w:rStyle w:val="Refdenotaalpie"/>
          <w:rFonts w:ascii="Palatino Linotype" w:eastAsia="Calibri" w:hAnsi="Palatino Linotype" w:cs="Tahoma"/>
          <w:bCs/>
          <w:sz w:val="24"/>
          <w:szCs w:val="22"/>
          <w:lang w:eastAsia="en-US"/>
        </w:rPr>
        <w:footnoteReference w:id="14"/>
      </w:r>
      <w:r w:rsidRPr="002C5F2E">
        <w:rPr>
          <w:rFonts w:ascii="Palatino Linotype" w:eastAsia="Calibri" w:hAnsi="Palatino Linotype" w:cs="Tahoma"/>
          <w:bCs/>
          <w:sz w:val="24"/>
          <w:szCs w:val="22"/>
          <w:lang w:eastAsia="en-US"/>
        </w:rPr>
        <w:t xml:space="preserve"> de México, en su artículo primero, señala que los Cuerpos de Seguridad Pública del Estado de México serán los siguientes:</w:t>
      </w:r>
    </w:p>
    <w:p w14:paraId="591F3F5B" w14:textId="77777777" w:rsidR="00E652E4" w:rsidRDefault="00E652E4" w:rsidP="00E652E4">
      <w:pPr>
        <w:pStyle w:val="Prrafodelista"/>
        <w:rPr>
          <w:rFonts w:ascii="Palatino Linotype" w:eastAsia="MS Mincho" w:hAnsi="Palatino Linotype"/>
          <w:sz w:val="28"/>
          <w:lang w:val="es-ES_tradnl"/>
        </w:rPr>
      </w:pPr>
    </w:p>
    <w:p w14:paraId="2F418796" w14:textId="4FD4C18D" w:rsidR="00E652E4" w:rsidRPr="00E652E4" w:rsidRDefault="00E652E4" w:rsidP="00E652E4">
      <w:pPr>
        <w:spacing w:line="360" w:lineRule="auto"/>
        <w:ind w:left="567" w:right="822"/>
        <w:jc w:val="center"/>
        <w:rPr>
          <w:rFonts w:ascii="Palatino Linotype" w:hAnsi="Palatino Linotype"/>
          <w:b/>
          <w:i/>
          <w:sz w:val="22"/>
        </w:rPr>
      </w:pPr>
      <w:r w:rsidRPr="00E652E4">
        <w:rPr>
          <w:rFonts w:ascii="Palatino Linotype" w:hAnsi="Palatino Linotype"/>
          <w:b/>
          <w:i/>
          <w:sz w:val="22"/>
        </w:rPr>
        <w:t>REGLAMENTO DE LOS CUERPOS DE SEGURIDAD PUBLICA DEL ESTADO DE MEXICO.</w:t>
      </w:r>
    </w:p>
    <w:p w14:paraId="660FB962" w14:textId="30120C39" w:rsidR="00E652E4" w:rsidRPr="00E652E4" w:rsidRDefault="00E652E4" w:rsidP="00E652E4">
      <w:pPr>
        <w:spacing w:line="360" w:lineRule="auto"/>
        <w:ind w:left="567" w:right="822"/>
        <w:jc w:val="center"/>
        <w:rPr>
          <w:rFonts w:ascii="Palatino Linotype" w:hAnsi="Palatino Linotype"/>
          <w:b/>
          <w:i/>
          <w:sz w:val="22"/>
        </w:rPr>
      </w:pPr>
      <w:r w:rsidRPr="00E652E4">
        <w:rPr>
          <w:rFonts w:ascii="Palatino Linotype" w:hAnsi="Palatino Linotype"/>
          <w:b/>
          <w:i/>
          <w:sz w:val="22"/>
        </w:rPr>
        <w:t>CAPITULO I</w:t>
      </w:r>
    </w:p>
    <w:p w14:paraId="3CC4161A" w14:textId="0447C171" w:rsidR="002D0A20" w:rsidRPr="00E652E4" w:rsidRDefault="00E652E4" w:rsidP="00E652E4">
      <w:pPr>
        <w:spacing w:line="360" w:lineRule="auto"/>
        <w:ind w:left="567" w:right="822"/>
        <w:jc w:val="center"/>
        <w:rPr>
          <w:rFonts w:ascii="Palatino Linotype" w:eastAsia="Calibri" w:hAnsi="Palatino Linotype" w:cs="Tahoma"/>
          <w:b/>
          <w:bCs/>
          <w:i/>
          <w:sz w:val="28"/>
          <w:szCs w:val="22"/>
          <w:lang w:eastAsia="en-US"/>
        </w:rPr>
      </w:pPr>
      <w:r w:rsidRPr="00E652E4">
        <w:rPr>
          <w:rFonts w:ascii="Palatino Linotype" w:hAnsi="Palatino Linotype"/>
          <w:b/>
          <w:i/>
          <w:sz w:val="22"/>
        </w:rPr>
        <w:t>DE SU 0RGANIZACION</w:t>
      </w:r>
    </w:p>
    <w:p w14:paraId="06540CD6" w14:textId="77777777" w:rsidR="00E652E4" w:rsidRDefault="00E652E4" w:rsidP="00E652E4">
      <w:pPr>
        <w:spacing w:line="360" w:lineRule="auto"/>
        <w:ind w:left="567" w:right="822"/>
        <w:jc w:val="both"/>
        <w:rPr>
          <w:rFonts w:ascii="Palatino Linotype" w:hAnsi="Palatino Linotype"/>
          <w:i/>
          <w:sz w:val="22"/>
        </w:rPr>
      </w:pPr>
      <w:r w:rsidRPr="00E652E4">
        <w:rPr>
          <w:rFonts w:ascii="Palatino Linotype" w:hAnsi="Palatino Linotype"/>
          <w:i/>
          <w:sz w:val="22"/>
        </w:rPr>
        <w:lastRenderedPageBreak/>
        <w:t>Artículo l.- Los Cuerpos de Seguridad Pública del Estado de México serán los siguientes:</w:t>
      </w:r>
    </w:p>
    <w:p w14:paraId="18143728" w14:textId="77777777" w:rsidR="00E652E4" w:rsidRDefault="00E652E4" w:rsidP="00E652E4">
      <w:pPr>
        <w:spacing w:line="360" w:lineRule="auto"/>
        <w:ind w:left="567" w:right="822"/>
        <w:jc w:val="both"/>
        <w:rPr>
          <w:rFonts w:ascii="Palatino Linotype" w:hAnsi="Palatino Linotype"/>
          <w:i/>
          <w:sz w:val="22"/>
        </w:rPr>
      </w:pPr>
    </w:p>
    <w:p w14:paraId="5A94BD57" w14:textId="77777777" w:rsidR="00E652E4" w:rsidRDefault="00E652E4" w:rsidP="00E652E4">
      <w:pPr>
        <w:spacing w:line="360" w:lineRule="auto"/>
        <w:ind w:left="567" w:right="822"/>
        <w:jc w:val="both"/>
        <w:rPr>
          <w:rFonts w:ascii="Palatino Linotype" w:hAnsi="Palatino Linotype"/>
          <w:i/>
          <w:sz w:val="22"/>
        </w:rPr>
      </w:pPr>
      <w:r w:rsidRPr="00E652E4">
        <w:rPr>
          <w:rFonts w:ascii="Palatino Linotype" w:hAnsi="Palatino Linotype"/>
          <w:i/>
          <w:sz w:val="22"/>
        </w:rPr>
        <w:t xml:space="preserve"> I. Cuerpo de Seguridad Pública Estatal, cuyos miembros tendrán la denominación de Policía Estatal y operarán en todo el territorio del Estado. Como auxiliares de este cuerpo existirán los Guardias de Seguridad Industrial, Bancaria y Comercial y los Vigilantes Auxiliares, a los primeros se les denominará Guardias y a los segundos Vigilantes. </w:t>
      </w:r>
    </w:p>
    <w:p w14:paraId="03B8A3BD" w14:textId="77777777" w:rsidR="00E652E4" w:rsidRDefault="00E652E4" w:rsidP="00E652E4">
      <w:pPr>
        <w:spacing w:line="360" w:lineRule="auto"/>
        <w:ind w:left="567" w:right="822"/>
        <w:jc w:val="both"/>
        <w:rPr>
          <w:rFonts w:ascii="Palatino Linotype" w:hAnsi="Palatino Linotype"/>
          <w:i/>
          <w:sz w:val="22"/>
        </w:rPr>
      </w:pPr>
    </w:p>
    <w:p w14:paraId="2450A19E" w14:textId="17309B35" w:rsidR="002D0A20" w:rsidRDefault="00E652E4" w:rsidP="00E652E4">
      <w:pPr>
        <w:spacing w:line="360" w:lineRule="auto"/>
        <w:ind w:left="567" w:right="822"/>
        <w:jc w:val="both"/>
        <w:rPr>
          <w:rFonts w:ascii="Palatino Linotype" w:hAnsi="Palatino Linotype"/>
          <w:i/>
          <w:sz w:val="22"/>
        </w:rPr>
      </w:pPr>
      <w:r w:rsidRPr="00E652E4">
        <w:rPr>
          <w:rFonts w:ascii="Palatino Linotype" w:hAnsi="Palatino Linotype"/>
          <w:i/>
          <w:sz w:val="22"/>
        </w:rPr>
        <w:t>II. Cuerpos de Seguridad Pública Municipal cuyos miembros se denominarán Policías Municipales y operarán en sus correspondientes circunscripciones municipales, estos cuerpos tendrán una sección de bomberos y de rescate y auxilio, cuando su presupuesto así lo permita.</w:t>
      </w:r>
    </w:p>
    <w:p w14:paraId="5D6E2D8D" w14:textId="77777777" w:rsidR="00E652E4" w:rsidRPr="00E652E4" w:rsidRDefault="00E652E4" w:rsidP="00E652E4">
      <w:pPr>
        <w:spacing w:line="360" w:lineRule="auto"/>
        <w:ind w:left="567" w:right="822"/>
        <w:jc w:val="both"/>
        <w:rPr>
          <w:rFonts w:ascii="Palatino Linotype" w:eastAsia="Calibri" w:hAnsi="Palatino Linotype" w:cs="Tahoma"/>
          <w:bCs/>
          <w:i/>
          <w:sz w:val="24"/>
          <w:szCs w:val="22"/>
          <w:lang w:eastAsia="en-US"/>
        </w:rPr>
      </w:pPr>
    </w:p>
    <w:p w14:paraId="148722BA" w14:textId="6F22492B" w:rsidR="002D0A20" w:rsidRPr="002C5F2E" w:rsidRDefault="002D0A20" w:rsidP="002D0A20">
      <w:pPr>
        <w:pStyle w:val="Prrafodelista"/>
        <w:numPr>
          <w:ilvl w:val="0"/>
          <w:numId w:val="2"/>
        </w:numPr>
        <w:spacing w:line="360" w:lineRule="auto"/>
        <w:ind w:left="0" w:firstLine="0"/>
        <w:jc w:val="both"/>
        <w:rPr>
          <w:rFonts w:ascii="Palatino Linotype" w:eastAsia="Calibri" w:hAnsi="Palatino Linotype" w:cs="Tahoma"/>
          <w:bCs/>
          <w:sz w:val="24"/>
          <w:szCs w:val="22"/>
          <w:lang w:eastAsia="en-US"/>
        </w:rPr>
      </w:pPr>
      <w:r w:rsidRPr="002C5F2E">
        <w:rPr>
          <w:rFonts w:ascii="Palatino Linotype" w:eastAsia="Calibri" w:hAnsi="Palatino Linotype" w:cs="Tahoma"/>
          <w:bCs/>
          <w:sz w:val="24"/>
          <w:szCs w:val="22"/>
          <w:lang w:eastAsia="en-US"/>
        </w:rPr>
        <w:t>De lo anterior, se desprende que el Sujeto Obligado, contrario a lo manifestado en su respuesta inicial y posteriorment</w:t>
      </w:r>
      <w:r w:rsidR="00CF2530">
        <w:rPr>
          <w:rFonts w:ascii="Palatino Linotype" w:eastAsia="Calibri" w:hAnsi="Palatino Linotype" w:cs="Tahoma"/>
          <w:bCs/>
          <w:sz w:val="24"/>
          <w:szCs w:val="22"/>
          <w:lang w:eastAsia="en-US"/>
        </w:rPr>
        <w:t>e en su Informe Justificado, cue</w:t>
      </w:r>
      <w:r w:rsidRPr="002C5F2E">
        <w:rPr>
          <w:rFonts w:ascii="Palatino Linotype" w:eastAsia="Calibri" w:hAnsi="Palatino Linotype" w:cs="Tahoma"/>
          <w:bCs/>
          <w:sz w:val="24"/>
          <w:szCs w:val="22"/>
          <w:lang w:eastAsia="en-US"/>
        </w:rPr>
        <w:t xml:space="preserve">nta con atribuciones para atender </w:t>
      </w:r>
      <w:r w:rsidR="002C5F2E">
        <w:rPr>
          <w:rFonts w:ascii="Palatino Linotype" w:eastAsia="Calibri" w:hAnsi="Palatino Linotype" w:cs="Tahoma"/>
          <w:bCs/>
          <w:sz w:val="24"/>
          <w:szCs w:val="22"/>
          <w:lang w:eastAsia="en-US"/>
        </w:rPr>
        <w:t xml:space="preserve">requerimientos del particular, </w:t>
      </w:r>
      <w:r w:rsidRPr="002C5F2E">
        <w:rPr>
          <w:rFonts w:ascii="Palatino Linotype" w:eastAsia="Calibri" w:hAnsi="Palatino Linotype" w:cs="Tahoma"/>
          <w:bCs/>
          <w:sz w:val="24"/>
          <w:szCs w:val="22"/>
          <w:lang w:eastAsia="en-US"/>
        </w:rPr>
        <w:t xml:space="preserve">pues al conocer sobre el control del personal de la Secretaría y de los prestadores de seguridad privada y verificar el cumplimiento de las disposiciones normativas por parte de estos, podría conocer </w:t>
      </w:r>
      <w:r w:rsidR="002C5F2E">
        <w:rPr>
          <w:rFonts w:ascii="Palatino Linotype" w:eastAsia="Calibri" w:hAnsi="Palatino Linotype" w:cs="Tahoma"/>
          <w:bCs/>
          <w:sz w:val="24"/>
          <w:szCs w:val="22"/>
          <w:lang w:eastAsia="en-US"/>
        </w:rPr>
        <w:t xml:space="preserve">los </w:t>
      </w:r>
      <w:r w:rsidRPr="002C5F2E">
        <w:rPr>
          <w:rFonts w:ascii="Palatino Linotype" w:eastAsia="Calibri" w:hAnsi="Palatino Linotype" w:cs="Tahoma"/>
          <w:bCs/>
          <w:sz w:val="24"/>
          <w:szCs w:val="22"/>
          <w:lang w:eastAsia="en-US"/>
        </w:rPr>
        <w:t xml:space="preserve">elementos </w:t>
      </w:r>
      <w:r w:rsidR="002C5F2E">
        <w:rPr>
          <w:rFonts w:ascii="Palatino Linotype" w:eastAsia="Calibri" w:hAnsi="Palatino Linotype" w:cs="Tahoma"/>
          <w:bCs/>
          <w:sz w:val="24"/>
          <w:szCs w:val="22"/>
          <w:lang w:eastAsia="en-US"/>
        </w:rPr>
        <w:t>del CUSAEM, el servicio que prestan y la unidad a la que se encuentran asignados.</w:t>
      </w:r>
    </w:p>
    <w:p w14:paraId="008072B9" w14:textId="77777777" w:rsidR="002D0A20" w:rsidRDefault="002D0A20" w:rsidP="002D0A20">
      <w:pPr>
        <w:pStyle w:val="Prrafodelista"/>
        <w:spacing w:line="360" w:lineRule="auto"/>
        <w:ind w:left="0"/>
        <w:jc w:val="both"/>
        <w:rPr>
          <w:rFonts w:ascii="Palatino Linotype" w:eastAsia="Calibri" w:hAnsi="Palatino Linotype" w:cs="Tahoma"/>
          <w:bCs/>
          <w:szCs w:val="22"/>
          <w:lang w:eastAsia="en-US"/>
        </w:rPr>
      </w:pPr>
    </w:p>
    <w:p w14:paraId="3F9AEDFB" w14:textId="77777777" w:rsidR="002D0A20" w:rsidRPr="002C5F2E" w:rsidRDefault="002D0A20" w:rsidP="002D0A20">
      <w:pPr>
        <w:pStyle w:val="Prrafodelista"/>
        <w:numPr>
          <w:ilvl w:val="0"/>
          <w:numId w:val="2"/>
        </w:numPr>
        <w:spacing w:line="360" w:lineRule="auto"/>
        <w:ind w:left="0" w:firstLine="0"/>
        <w:jc w:val="both"/>
        <w:rPr>
          <w:rFonts w:ascii="Palatino Linotype" w:eastAsia="Calibri" w:hAnsi="Palatino Linotype" w:cs="Tahoma"/>
          <w:bCs/>
          <w:sz w:val="24"/>
          <w:szCs w:val="22"/>
          <w:lang w:eastAsia="en-US"/>
        </w:rPr>
      </w:pPr>
      <w:r w:rsidRPr="002C5F2E">
        <w:rPr>
          <w:rFonts w:ascii="Palatino Linotype" w:eastAsia="Calibri" w:hAnsi="Palatino Linotype" w:cs="Tahoma"/>
          <w:bCs/>
          <w:sz w:val="24"/>
          <w:szCs w:val="22"/>
          <w:lang w:eastAsia="en-US"/>
        </w:rPr>
        <w:t xml:space="preserve">En efecto, la Secretaría de Seguridad Pública tiene atribuciones para supervisar y controlar a prestadores de servicios de seguridad privada, así como realizar el registro, seguimiento y control del personal de seguridad privada tanto del Estado, Municipios, como de seguridad pública, de tal suerte que, es posible que haya </w:t>
      </w:r>
      <w:r w:rsidRPr="002C5F2E">
        <w:rPr>
          <w:rFonts w:ascii="Palatino Linotype" w:eastAsia="Calibri" w:hAnsi="Palatino Linotype" w:cs="Tahoma"/>
          <w:bCs/>
          <w:sz w:val="24"/>
          <w:szCs w:val="22"/>
          <w:lang w:eastAsia="en-US"/>
        </w:rPr>
        <w:lastRenderedPageBreak/>
        <w:t>generado documentos o recibido, de existir coordinación, registro y/o control de personal.</w:t>
      </w:r>
    </w:p>
    <w:p w14:paraId="408881BF" w14:textId="77777777" w:rsidR="002D0A20" w:rsidRPr="002D0A20" w:rsidRDefault="002D0A20" w:rsidP="002D0A20">
      <w:pPr>
        <w:pStyle w:val="Prrafodelista"/>
        <w:rPr>
          <w:rFonts w:ascii="Palatino Linotype" w:eastAsia="Calibri" w:hAnsi="Palatino Linotype" w:cs="Tahoma"/>
          <w:bCs/>
          <w:szCs w:val="22"/>
          <w:lang w:eastAsia="en-US"/>
        </w:rPr>
      </w:pPr>
    </w:p>
    <w:p w14:paraId="1B9C2B08" w14:textId="77777777" w:rsidR="002D0A20" w:rsidRPr="002C5F2E" w:rsidRDefault="002D0A20" w:rsidP="002D0A20">
      <w:pPr>
        <w:pStyle w:val="Prrafodelista"/>
        <w:numPr>
          <w:ilvl w:val="0"/>
          <w:numId w:val="2"/>
        </w:numPr>
        <w:spacing w:line="360" w:lineRule="auto"/>
        <w:ind w:left="0" w:firstLine="0"/>
        <w:jc w:val="both"/>
        <w:rPr>
          <w:rFonts w:ascii="Palatino Linotype" w:eastAsia="Calibri" w:hAnsi="Palatino Linotype" w:cs="Tahoma"/>
          <w:bCs/>
          <w:sz w:val="24"/>
          <w:szCs w:val="22"/>
          <w:lang w:eastAsia="en-US"/>
        </w:rPr>
      </w:pPr>
      <w:r w:rsidRPr="002C5F2E">
        <w:rPr>
          <w:rFonts w:ascii="Palatino Linotype" w:eastAsia="Calibri" w:hAnsi="Palatino Linotype" w:cs="Tahoma"/>
          <w:bCs/>
          <w:sz w:val="24"/>
          <w:szCs w:val="22"/>
          <w:lang w:eastAsia="en-US"/>
        </w:rPr>
        <w:t>Bajo este orden de ideas, no es necesario que el CUSAEM forme parte de la estructura del Sujeto Obligado, ya que al concederle la normatividad competencia para realizar las actividades antes mencionadas en tareas de seguridad pública, es posible que la información exista en sus archivos; además se debe resaltar que el registro y control que la Dependencia realice sobre instituciones o empresas públicas y privadas de seguridad pública, son temas de interés público, dadas las condiciones que imperan en la Entidad.</w:t>
      </w:r>
    </w:p>
    <w:p w14:paraId="26D7AA37" w14:textId="77777777" w:rsidR="002D0A20" w:rsidRPr="002C5F2E" w:rsidRDefault="002D0A20" w:rsidP="002D0A20">
      <w:pPr>
        <w:pStyle w:val="Prrafodelista"/>
        <w:rPr>
          <w:rFonts w:ascii="Palatino Linotype" w:eastAsia="Calibri" w:hAnsi="Palatino Linotype" w:cs="Tahoma"/>
          <w:bCs/>
          <w:sz w:val="24"/>
          <w:szCs w:val="22"/>
          <w:lang w:eastAsia="en-US"/>
        </w:rPr>
      </w:pPr>
    </w:p>
    <w:p w14:paraId="0ED98491" w14:textId="58722B77" w:rsidR="002D0A20" w:rsidRPr="002C5F2E" w:rsidRDefault="002D0A20" w:rsidP="002D0A20">
      <w:pPr>
        <w:pStyle w:val="Prrafodelista"/>
        <w:numPr>
          <w:ilvl w:val="0"/>
          <w:numId w:val="2"/>
        </w:numPr>
        <w:spacing w:line="360" w:lineRule="auto"/>
        <w:ind w:left="0" w:firstLine="0"/>
        <w:jc w:val="both"/>
        <w:rPr>
          <w:rFonts w:ascii="Palatino Linotype" w:eastAsia="Calibri" w:hAnsi="Palatino Linotype" w:cs="Tahoma"/>
          <w:bCs/>
          <w:sz w:val="24"/>
          <w:szCs w:val="22"/>
          <w:lang w:eastAsia="en-US"/>
        </w:rPr>
      </w:pPr>
      <w:r w:rsidRPr="002C5F2E">
        <w:rPr>
          <w:rFonts w:ascii="Palatino Linotype" w:eastAsia="Calibri" w:hAnsi="Palatino Linotype" w:cs="Tahoma"/>
          <w:bCs/>
          <w:sz w:val="24"/>
          <w:szCs w:val="22"/>
          <w:lang w:eastAsia="en-US"/>
        </w:rPr>
        <w:t>Por lo anterior, este Instituto no puede convalidar la incompetencia manifestada por el Sujeto Obligado, pues se ha corroborado que tiene atribuciones para atender, por lo menos, parcialmente la solicitud de acceso a la información. En ese tenor, el agravio manifestado por la Particular resulta fundado y es procedente REVOCAR la respuesta otorgada por la Secretaría de Seguridad a la solicitud de acceso a la información que nos ocupa y ordenar realice una búsqueda exhaustiva y razonable de la in</w:t>
      </w:r>
      <w:r w:rsidR="00AC213F" w:rsidRPr="002C5F2E">
        <w:rPr>
          <w:rFonts w:ascii="Palatino Linotype" w:eastAsia="Calibri" w:hAnsi="Palatino Linotype" w:cs="Tahoma"/>
          <w:bCs/>
          <w:sz w:val="24"/>
          <w:szCs w:val="22"/>
          <w:lang w:eastAsia="en-US"/>
        </w:rPr>
        <w:t>formación, con criterios amplios.</w:t>
      </w:r>
    </w:p>
    <w:p w14:paraId="3F0A1D56" w14:textId="77777777" w:rsidR="002D0A20" w:rsidRPr="002D0A20" w:rsidRDefault="002D0A20" w:rsidP="002D0A20">
      <w:pPr>
        <w:spacing w:line="360" w:lineRule="auto"/>
        <w:ind w:right="49"/>
        <w:contextualSpacing/>
        <w:jc w:val="both"/>
        <w:rPr>
          <w:rFonts w:ascii="Palatino Linotype" w:eastAsia="MS Mincho" w:hAnsi="Palatino Linotype"/>
          <w:sz w:val="24"/>
          <w:szCs w:val="24"/>
          <w:lang w:val="es-ES_tradnl"/>
        </w:rPr>
      </w:pPr>
    </w:p>
    <w:p w14:paraId="0363DE1A" w14:textId="5D1B002F" w:rsidR="00860B59" w:rsidRPr="00132FDD" w:rsidRDefault="001A31A2" w:rsidP="00132FDD">
      <w:pPr>
        <w:pStyle w:val="Ttulo2"/>
        <w:tabs>
          <w:tab w:val="left" w:pos="709"/>
        </w:tabs>
        <w:rPr>
          <w:rFonts w:ascii="Palatino Linotype" w:hAnsi="Palatino Linotype"/>
          <w:b/>
          <w:color w:val="auto"/>
          <w:sz w:val="24"/>
        </w:rPr>
      </w:pPr>
      <w:bookmarkStart w:id="29" w:name="_Toc83901342"/>
      <w:r w:rsidRPr="00132FDD">
        <w:rPr>
          <w:rFonts w:ascii="Palatino Linotype" w:hAnsi="Palatino Linotype"/>
          <w:b/>
          <w:color w:val="auto"/>
          <w:sz w:val="24"/>
        </w:rPr>
        <w:t xml:space="preserve">V. </w:t>
      </w:r>
      <w:r w:rsidR="007E3507" w:rsidRPr="00132FDD">
        <w:rPr>
          <w:rFonts w:ascii="Palatino Linotype" w:hAnsi="Palatino Linotype"/>
          <w:b/>
          <w:color w:val="auto"/>
          <w:sz w:val="24"/>
        </w:rPr>
        <w:t>De la búsqueda exhaustiva y razonable de la información.</w:t>
      </w:r>
      <w:bookmarkEnd w:id="29"/>
    </w:p>
    <w:p w14:paraId="7E6437DA" w14:textId="77777777" w:rsidR="007E3507" w:rsidRPr="007E3507" w:rsidRDefault="007E3507" w:rsidP="007E3507">
      <w:pPr>
        <w:pStyle w:val="Prrafodelista"/>
        <w:rPr>
          <w:rFonts w:ascii="Palatino Linotype" w:eastAsia="Calibri" w:hAnsi="Palatino Linotype" w:cs="Arial"/>
          <w:sz w:val="24"/>
        </w:rPr>
      </w:pPr>
    </w:p>
    <w:p w14:paraId="248D860F" w14:textId="77777777"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sz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C5509C">
        <w:rPr>
          <w:rFonts w:ascii="Palatino Linotype" w:hAnsi="Palatino Linotype"/>
          <w:i/>
        </w:rPr>
        <w:t xml:space="preserve">realizar, con efectividad, los trámites internos necesarios para la atención </w:t>
      </w:r>
      <w:r w:rsidRPr="00C5509C">
        <w:rPr>
          <w:rFonts w:ascii="Palatino Linotype" w:hAnsi="Palatino Linotype"/>
          <w:i/>
        </w:rPr>
        <w:lastRenderedPageBreak/>
        <w:t>de las solicitudes de información</w:t>
      </w:r>
      <w:r w:rsidRPr="00C5509C">
        <w:rPr>
          <w:rStyle w:val="Refdenotaalpie"/>
          <w:rFonts w:ascii="Palatino Linotype" w:hAnsi="Palatino Linotype"/>
        </w:rPr>
        <w:footnoteReference w:id="15"/>
      </w:r>
      <w:r w:rsidRPr="00C5509C">
        <w:rPr>
          <w:rFonts w:ascii="Palatino Linotype" w:hAnsi="Palatino Linotype"/>
        </w:rPr>
        <w:t xml:space="preserve">, </w:t>
      </w:r>
      <w:r w:rsidRPr="00C5509C">
        <w:rPr>
          <w:rFonts w:ascii="Palatino Linotype" w:hAnsi="Palatino Linotype"/>
          <w:sz w:val="24"/>
        </w:rPr>
        <w:t>es decir, deben otorgar respuestas concisas, contundentes y certeras, además de estar en estricto apego a lo que la normatividad en la materia establece.</w:t>
      </w:r>
    </w:p>
    <w:p w14:paraId="645CBB26" w14:textId="77777777" w:rsidR="00806ABD" w:rsidRPr="00C5509C" w:rsidRDefault="00806ABD" w:rsidP="00806ABD">
      <w:pPr>
        <w:pStyle w:val="Prrafodelista"/>
        <w:rPr>
          <w:rFonts w:ascii="Palatino Linotype" w:eastAsia="Calibri" w:hAnsi="Palatino Linotype" w:cs="Arial"/>
          <w:sz w:val="24"/>
        </w:rPr>
      </w:pPr>
    </w:p>
    <w:p w14:paraId="54848881" w14:textId="43EBE20C"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cs="Arial"/>
          <w:sz w:val="24"/>
        </w:rPr>
        <w:t xml:space="preserve">En el presente asunto en particular, el Titular de la Unidad de Transparencia </w:t>
      </w:r>
      <w:r w:rsidR="001A31A2">
        <w:rPr>
          <w:rFonts w:ascii="Palatino Linotype" w:hAnsi="Palatino Linotype" w:cs="Arial"/>
          <w:sz w:val="24"/>
        </w:rPr>
        <w:t xml:space="preserve">no turnó </w:t>
      </w:r>
      <w:r w:rsidRPr="00C5509C">
        <w:rPr>
          <w:rFonts w:ascii="Palatino Linotype" w:hAnsi="Palatino Linotype" w:cs="Arial"/>
          <w:sz w:val="24"/>
        </w:rPr>
        <w:t xml:space="preserve">la solicitud </w:t>
      </w:r>
      <w:r w:rsidR="001A31A2">
        <w:rPr>
          <w:rFonts w:ascii="Palatino Linotype" w:hAnsi="Palatino Linotype" w:cs="Arial"/>
          <w:sz w:val="24"/>
        </w:rPr>
        <w:t>a ninguna de las áreas que integran la estructura orgánica del Sujeto Obligado.</w:t>
      </w:r>
    </w:p>
    <w:p w14:paraId="7B75A5AF" w14:textId="77777777" w:rsidR="00806ABD" w:rsidRPr="00C5509C" w:rsidRDefault="00806ABD" w:rsidP="00806ABD">
      <w:pPr>
        <w:pStyle w:val="Prrafodelista"/>
        <w:rPr>
          <w:rFonts w:ascii="Palatino Linotype" w:hAnsi="Palatino Linotype" w:cs="Arial"/>
          <w:sz w:val="24"/>
        </w:rPr>
      </w:pPr>
    </w:p>
    <w:p w14:paraId="6B622F32"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Con la respuesta emitida, el Sujeto Obligado omitió el contenido de la Ley de Transparencia y Acceso a la Información Pública del Estado de México y Municipios, en el artículo 162, mismo del que se inserta su contenido: </w:t>
      </w:r>
    </w:p>
    <w:p w14:paraId="30B97E7C" w14:textId="77777777" w:rsidR="00806ABD" w:rsidRPr="00C5509C" w:rsidRDefault="00806ABD" w:rsidP="00806ABD">
      <w:pPr>
        <w:pStyle w:val="Prrafodelista"/>
        <w:rPr>
          <w:rFonts w:ascii="Palatino Linotype" w:hAnsi="Palatino Linotype"/>
        </w:rPr>
      </w:pPr>
    </w:p>
    <w:p w14:paraId="5736357C" w14:textId="77777777" w:rsidR="00806ABD" w:rsidRPr="002C5F2E" w:rsidRDefault="00806ABD" w:rsidP="002C5F2E">
      <w:pPr>
        <w:autoSpaceDE w:val="0"/>
        <w:autoSpaceDN w:val="0"/>
        <w:adjustRightInd w:val="0"/>
        <w:ind w:left="567" w:right="567"/>
        <w:jc w:val="both"/>
        <w:rPr>
          <w:rFonts w:ascii="Palatino Linotype" w:hAnsi="Palatino Linotype"/>
          <w:i/>
          <w:sz w:val="32"/>
        </w:rPr>
      </w:pPr>
      <w:r w:rsidRPr="002C5F2E">
        <w:rPr>
          <w:rFonts w:ascii="Palatino Linotype" w:hAnsi="Palatino Linotype" w:cs="Bookman Old Style,Bold"/>
          <w:b/>
          <w:bCs/>
          <w:i/>
          <w:sz w:val="22"/>
        </w:rPr>
        <w:t xml:space="preserve">Artículo 162. </w:t>
      </w:r>
      <w:r w:rsidRPr="002C5F2E">
        <w:rPr>
          <w:rFonts w:ascii="Palatino Linotype" w:hAnsi="Palatino Linotype" w:cs="Bookman Old Style"/>
          <w:i/>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5AEB91A" w14:textId="77777777" w:rsidR="00806ABD" w:rsidRPr="00C5509C" w:rsidRDefault="00806ABD" w:rsidP="00806ABD">
      <w:pPr>
        <w:pStyle w:val="Prrafodelista"/>
        <w:spacing w:line="360" w:lineRule="auto"/>
        <w:ind w:left="0"/>
        <w:jc w:val="both"/>
        <w:rPr>
          <w:rFonts w:ascii="Palatino Linotype" w:hAnsi="Palatino Linotype"/>
        </w:rPr>
      </w:pPr>
      <w:r w:rsidRPr="00C5509C">
        <w:rPr>
          <w:rFonts w:ascii="Palatino Linotype" w:hAnsi="Palatino Linotype"/>
        </w:rPr>
        <w:t xml:space="preserve"> </w:t>
      </w:r>
    </w:p>
    <w:p w14:paraId="2AFFF93B"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14:paraId="39091DA8" w14:textId="77777777" w:rsidR="00806ABD" w:rsidRPr="00C5509C" w:rsidRDefault="00806ABD" w:rsidP="00806ABD">
      <w:pPr>
        <w:pStyle w:val="Prrafodelista"/>
        <w:spacing w:line="360" w:lineRule="auto"/>
        <w:ind w:left="0"/>
        <w:jc w:val="both"/>
        <w:rPr>
          <w:rFonts w:ascii="Palatino Linotype" w:hAnsi="Palatino Linotype"/>
          <w:sz w:val="24"/>
        </w:rPr>
      </w:pPr>
    </w:p>
    <w:p w14:paraId="2DC38BFA" w14:textId="77777777" w:rsidR="00806ABD" w:rsidRPr="00C5509C" w:rsidRDefault="00806ABD" w:rsidP="00AC213F">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La búsqueda exhaustiva y razonable de la información con su debida comprobación, es una herramienta que permite brindar mayor certeza a los particulares sobre las acciones que realizan los sujetos obligados para atender las </w:t>
      </w:r>
      <w:r w:rsidRPr="00C5509C">
        <w:rPr>
          <w:rFonts w:ascii="Palatino Linotype" w:hAnsi="Palatino Linotype"/>
          <w:sz w:val="24"/>
        </w:rPr>
        <w:lastRenderedPageBreak/>
        <w:t xml:space="preserve">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41DDB669" w14:textId="77777777" w:rsidR="00806ABD" w:rsidRPr="00C5509C" w:rsidRDefault="00806ABD" w:rsidP="00AC213F">
      <w:pPr>
        <w:pStyle w:val="Prrafodelista"/>
        <w:spacing w:line="360" w:lineRule="auto"/>
        <w:rPr>
          <w:rFonts w:ascii="Palatino Linotype" w:hAnsi="Palatino Linotype"/>
          <w:sz w:val="24"/>
        </w:rPr>
      </w:pPr>
    </w:p>
    <w:p w14:paraId="71ABA3A5" w14:textId="77777777" w:rsidR="00806ABD" w:rsidRPr="00C5509C" w:rsidRDefault="00806ABD" w:rsidP="00AC213F">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60B1F869" w14:textId="77777777" w:rsidR="00806ABD" w:rsidRPr="00C5509C" w:rsidRDefault="00806ABD" w:rsidP="00806ABD">
      <w:pPr>
        <w:pStyle w:val="Prrafodelista"/>
        <w:rPr>
          <w:rFonts w:ascii="Palatino Linotype" w:hAnsi="Palatino Linotype"/>
          <w:sz w:val="24"/>
        </w:rPr>
      </w:pPr>
    </w:p>
    <w:p w14:paraId="2693BD92" w14:textId="73D83F81"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Por lo anterior, a efecto de brindar la mayor certeza al recurrente, se ORDENA realizar una búsqueda exhaustiva y razonable a efecto de localizar y poner a disposición </w:t>
      </w:r>
      <w:r w:rsidR="00FC4367" w:rsidRPr="00C5509C">
        <w:rPr>
          <w:rFonts w:ascii="Palatino Linotype" w:hAnsi="Palatino Linotype"/>
          <w:sz w:val="24"/>
        </w:rPr>
        <w:t>los documentos en donde conste la</w:t>
      </w:r>
      <w:r w:rsidR="001A31A2">
        <w:rPr>
          <w:rFonts w:ascii="Palatino Linotype" w:hAnsi="Palatino Linotype"/>
          <w:sz w:val="24"/>
        </w:rPr>
        <w:t xml:space="preserve"> información solicitada por el Recurrente y que es relativa a un elemento del CUSAEM.</w:t>
      </w:r>
    </w:p>
    <w:p w14:paraId="0CDC5353" w14:textId="77777777" w:rsidR="00806ABD" w:rsidRPr="00C5509C" w:rsidRDefault="00806ABD" w:rsidP="00806ABD">
      <w:pPr>
        <w:pStyle w:val="Prrafodelista"/>
        <w:rPr>
          <w:rFonts w:ascii="Palatino Linotype" w:hAnsi="Palatino Linotype"/>
          <w:sz w:val="24"/>
        </w:rPr>
      </w:pPr>
    </w:p>
    <w:p w14:paraId="5BB1ABB2"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Ahora bien, de ser caso de que la información que se ordena contenga datos personales susceptibles de clasificarse como confidenciales, el Sujeto Obligado estará a lo dispuesto en el Considerando que a continuación se enuncia.</w:t>
      </w:r>
    </w:p>
    <w:p w14:paraId="010C1820" w14:textId="2207C792" w:rsidR="00CC4C0B" w:rsidRDefault="00DB2180" w:rsidP="00DB2180">
      <w:pPr>
        <w:pStyle w:val="Ttulo1"/>
        <w:rPr>
          <w:rFonts w:ascii="Palatino Linotype" w:eastAsia="Calibri" w:hAnsi="Palatino Linotype"/>
          <w:b/>
          <w:color w:val="auto"/>
          <w:sz w:val="24"/>
          <w:szCs w:val="24"/>
        </w:rPr>
      </w:pPr>
      <w:bookmarkStart w:id="30" w:name="_Toc83901343"/>
      <w:r w:rsidRPr="00624AAD">
        <w:rPr>
          <w:rFonts w:ascii="Palatino Linotype" w:eastAsia="Calibri" w:hAnsi="Palatino Linotype"/>
          <w:b/>
          <w:color w:val="auto"/>
          <w:sz w:val="24"/>
          <w:szCs w:val="24"/>
        </w:rPr>
        <w:t>QUINTO</w:t>
      </w:r>
      <w:r w:rsidR="005000AA" w:rsidRPr="00624AAD">
        <w:rPr>
          <w:rFonts w:ascii="Palatino Linotype" w:eastAsia="Calibri" w:hAnsi="Palatino Linotype"/>
          <w:b/>
          <w:color w:val="auto"/>
          <w:sz w:val="24"/>
          <w:szCs w:val="24"/>
        </w:rPr>
        <w:t xml:space="preserve">. </w:t>
      </w:r>
      <w:r w:rsidR="00CC4C0B">
        <w:rPr>
          <w:rFonts w:ascii="Palatino Linotype" w:eastAsia="Calibri" w:hAnsi="Palatino Linotype"/>
          <w:b/>
          <w:color w:val="auto"/>
          <w:sz w:val="24"/>
          <w:szCs w:val="24"/>
        </w:rPr>
        <w:t>VERSIÓN PÚBLICA.</w:t>
      </w:r>
      <w:bookmarkEnd w:id="30"/>
    </w:p>
    <w:p w14:paraId="5EDB8398" w14:textId="77777777" w:rsidR="00CC4C0B" w:rsidRDefault="00CC4C0B" w:rsidP="00CC4C0B">
      <w:pPr>
        <w:rPr>
          <w:rFonts w:eastAsia="Calibri"/>
        </w:rPr>
      </w:pPr>
    </w:p>
    <w:p w14:paraId="7285DD71" w14:textId="77777777" w:rsidR="00CC4C0B" w:rsidRDefault="00CC4C0B" w:rsidP="00C16D1C">
      <w:pPr>
        <w:pStyle w:val="Prrafodelista"/>
        <w:spacing w:line="360" w:lineRule="auto"/>
        <w:ind w:left="0"/>
        <w:rPr>
          <w:rFonts w:ascii="Palatino Linotype" w:eastAsia="Calibri" w:hAnsi="Palatino Linotype"/>
          <w:sz w:val="24"/>
        </w:rPr>
      </w:pPr>
    </w:p>
    <w:p w14:paraId="370462E1" w14:textId="77777777" w:rsidR="00806ABD" w:rsidRPr="000D77A7" w:rsidRDefault="00806ABD" w:rsidP="00806ABD">
      <w:pPr>
        <w:pStyle w:val="Ttulo1"/>
        <w:numPr>
          <w:ilvl w:val="0"/>
          <w:numId w:val="17"/>
        </w:numPr>
        <w:spacing w:before="0" w:line="360" w:lineRule="auto"/>
        <w:rPr>
          <w:rFonts w:ascii="Palatino Linotype" w:hAnsi="Palatino Linotype"/>
          <w:b/>
          <w:color w:val="000000" w:themeColor="text1"/>
          <w:sz w:val="24"/>
          <w:szCs w:val="24"/>
        </w:rPr>
      </w:pPr>
      <w:bookmarkStart w:id="31" w:name="_Toc48135362"/>
      <w:bookmarkStart w:id="32" w:name="_Toc82017070"/>
      <w:bookmarkStart w:id="33" w:name="_Toc83901344"/>
      <w:r w:rsidRPr="000D77A7">
        <w:rPr>
          <w:rFonts w:ascii="Palatino Linotype" w:hAnsi="Palatino Linotype" w:cs="Times New Roman"/>
          <w:b/>
          <w:color w:val="000000" w:themeColor="text1"/>
          <w:sz w:val="24"/>
          <w:szCs w:val="24"/>
          <w:lang w:eastAsia="es-ES_tradnl"/>
        </w:rPr>
        <w:t>Nociones generales.</w:t>
      </w:r>
      <w:bookmarkEnd w:id="31"/>
      <w:bookmarkEnd w:id="32"/>
      <w:bookmarkEnd w:id="33"/>
      <w:r w:rsidRPr="000D77A7">
        <w:rPr>
          <w:rFonts w:ascii="Palatino Linotype" w:hAnsi="Palatino Linotype" w:cs="Times New Roman"/>
          <w:b/>
          <w:color w:val="000000" w:themeColor="text1"/>
          <w:sz w:val="24"/>
          <w:szCs w:val="24"/>
          <w:lang w:eastAsia="es-ES_tradnl"/>
        </w:rPr>
        <w:t xml:space="preserve"> </w:t>
      </w:r>
    </w:p>
    <w:p w14:paraId="3E522549" w14:textId="77777777" w:rsidR="00806ABD" w:rsidRPr="000D77A7" w:rsidRDefault="00806ABD" w:rsidP="00806ABD">
      <w:pPr>
        <w:pStyle w:val="Prrafodelista"/>
        <w:tabs>
          <w:tab w:val="left" w:pos="426"/>
        </w:tabs>
        <w:spacing w:line="360" w:lineRule="auto"/>
        <w:ind w:left="0"/>
        <w:jc w:val="both"/>
        <w:rPr>
          <w:rFonts w:ascii="Palatino Linotype" w:eastAsia="MS Mincho" w:hAnsi="Palatino Linotype" w:cs="Arial"/>
          <w:color w:val="000000" w:themeColor="text1"/>
          <w:sz w:val="24"/>
        </w:rPr>
      </w:pPr>
    </w:p>
    <w:p w14:paraId="706D294C" w14:textId="77777777" w:rsidR="00806ABD" w:rsidRPr="000D77A7" w:rsidRDefault="00806ABD" w:rsidP="00806ABD">
      <w:pPr>
        <w:pStyle w:val="Prrafodelista"/>
        <w:numPr>
          <w:ilvl w:val="0"/>
          <w:numId w:val="2"/>
        </w:numPr>
        <w:spacing w:line="360" w:lineRule="auto"/>
        <w:ind w:left="0" w:right="49" w:firstLine="0"/>
        <w:jc w:val="both"/>
        <w:rPr>
          <w:rFonts w:ascii="Palatino Linotype" w:hAnsi="Palatino Linotype" w:cs="Arial"/>
          <w:color w:val="000000"/>
          <w:sz w:val="24"/>
        </w:rPr>
      </w:pPr>
      <w:r w:rsidRPr="000D77A7">
        <w:rPr>
          <w:rFonts w:ascii="Palatino Linotype" w:hAnsi="Palatino Linotype" w:cs="Arial"/>
          <w:color w:val="000000"/>
          <w:sz w:val="24"/>
        </w:rPr>
        <w:t>Debe destacarse que, debido a la naturaleza de la información solicitada</w:t>
      </w:r>
      <w:r w:rsidRPr="000D77A7">
        <w:rPr>
          <w:rFonts w:ascii="Palatino Linotype" w:hAnsi="Palatino Linotype" w:cs="Arial"/>
          <w:b/>
          <w:color w:val="000000"/>
          <w:sz w:val="24"/>
        </w:rPr>
        <w:t xml:space="preserve">, </w:t>
      </w:r>
      <w:r w:rsidRPr="000D77A7">
        <w:rPr>
          <w:rFonts w:ascii="Palatino Linotype" w:hAnsi="Palatino Linotype" w:cs="Arial"/>
          <w:color w:val="000000"/>
          <w:sz w:val="24"/>
        </w:rPr>
        <w:t xml:space="preserve">eventualmente pudiera obrar datos personales susceptibles de protegerse, el </w:t>
      </w:r>
      <w:r w:rsidRPr="000D77A7">
        <w:rPr>
          <w:rFonts w:ascii="Palatino Linotype" w:hAnsi="Palatino Linotype" w:cs="Arial"/>
          <w:b/>
          <w:bCs/>
          <w:color w:val="000000"/>
          <w:sz w:val="24"/>
        </w:rPr>
        <w:t xml:space="preserve">Sujeto </w:t>
      </w:r>
      <w:r w:rsidRPr="000D77A7">
        <w:rPr>
          <w:rFonts w:ascii="Palatino Linotype" w:hAnsi="Palatino Linotype" w:cs="Arial"/>
          <w:b/>
          <w:bCs/>
          <w:color w:val="000000"/>
          <w:sz w:val="24"/>
        </w:rPr>
        <w:lastRenderedPageBreak/>
        <w:t xml:space="preserve">Obligado </w:t>
      </w:r>
      <w:r w:rsidRPr="000D77A7">
        <w:rPr>
          <w:rFonts w:ascii="Palatino Linotype" w:hAnsi="Palatino Linotype" w:cs="Arial"/>
          <w:color w:val="000000"/>
          <w:sz w:val="24"/>
        </w:rPr>
        <w:t xml:space="preserve">deberá de hacer la adecuada versión pública, protegiendo los datos que no son susceptibles de ser proporcionados. </w:t>
      </w:r>
    </w:p>
    <w:p w14:paraId="26D64943" w14:textId="77777777" w:rsidR="00806ABD" w:rsidRPr="000D77A7" w:rsidRDefault="00806ABD" w:rsidP="00806ABD">
      <w:pPr>
        <w:pStyle w:val="Prrafodelista"/>
        <w:tabs>
          <w:tab w:val="left" w:pos="0"/>
        </w:tabs>
        <w:spacing w:line="360" w:lineRule="auto"/>
        <w:ind w:left="0" w:right="49"/>
        <w:jc w:val="both"/>
        <w:rPr>
          <w:rFonts w:ascii="Palatino Linotype" w:eastAsia="MS Mincho" w:hAnsi="Palatino Linotype"/>
          <w:sz w:val="24"/>
          <w:highlight w:val="yellow"/>
          <w:lang w:val="es-ES"/>
        </w:rPr>
      </w:pPr>
    </w:p>
    <w:p w14:paraId="05C5648A" w14:textId="77777777" w:rsidR="00806ABD" w:rsidRPr="000D77A7" w:rsidRDefault="00806ABD" w:rsidP="00806ABD">
      <w:pPr>
        <w:numPr>
          <w:ilvl w:val="0"/>
          <w:numId w:val="2"/>
        </w:numPr>
        <w:spacing w:line="360" w:lineRule="auto"/>
        <w:ind w:left="0" w:right="49" w:firstLine="0"/>
        <w:contextualSpacing/>
        <w:jc w:val="both"/>
        <w:rPr>
          <w:rFonts w:ascii="Palatino Linotype" w:hAnsi="Palatino Linotype" w:cs="Arial"/>
          <w:color w:val="000000"/>
          <w:sz w:val="24"/>
          <w:szCs w:val="24"/>
        </w:rPr>
      </w:pPr>
      <w:r w:rsidRPr="000D77A7">
        <w:rPr>
          <w:rFonts w:ascii="Palatino Linotype" w:hAnsi="Palatino Linotype" w:cs="Arial"/>
          <w:color w:val="000000"/>
          <w:sz w:val="24"/>
          <w:szCs w:val="24"/>
        </w:rPr>
        <w:t xml:space="preserve">No pasa desapercibido para este Órgano Garante que los </w:t>
      </w:r>
      <w:r w:rsidRPr="000D77A7">
        <w:rPr>
          <w:rFonts w:ascii="Palatino Linotype" w:hAnsi="Palatino Linotype" w:cs="Arial"/>
          <w:b/>
          <w:bCs/>
          <w:color w:val="000000"/>
          <w:sz w:val="24"/>
          <w:szCs w:val="24"/>
        </w:rPr>
        <w:t xml:space="preserve">Sujetos Obligados </w:t>
      </w:r>
      <w:r w:rsidRPr="000D77A7">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AEA368" w14:textId="77777777" w:rsidR="00806ABD" w:rsidRPr="000D77A7" w:rsidRDefault="00806ABD" w:rsidP="00806ABD">
      <w:pPr>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806ABD" w:rsidRPr="000D77A7" w14:paraId="7E670DF7"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BF72C5"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a) Requisitos previos.</w:t>
            </w:r>
          </w:p>
        </w:tc>
        <w:tc>
          <w:tcPr>
            <w:tcW w:w="6990" w:type="dxa"/>
            <w:hideMark/>
          </w:tcPr>
          <w:p w14:paraId="39A2CCEE"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9C91D7"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Al hacerlo tienen que precisar de qué información se trata, señalando el supuesto de clasificación (confidencialidad o reserva).</w:t>
            </w:r>
          </w:p>
          <w:p w14:paraId="5293B49B"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07846D70" w14:textId="77777777" w:rsidR="00806ABD" w:rsidRPr="008A44D6" w:rsidRDefault="00806ABD" w:rsidP="00920E8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b w:val="0"/>
                <w:bCs w:val="0"/>
                <w:color w:val="000000"/>
                <w:szCs w:val="24"/>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szCs w:val="24"/>
                <w:u w:val="single"/>
              </w:rPr>
              <w:t>no se puede hacer un acuerdo para clasificar de manera general todos los documentos de un expediente o área, sin</w:t>
            </w:r>
            <w:r w:rsidRPr="008A44D6">
              <w:rPr>
                <w:rFonts w:ascii="Palatino Linotype" w:hAnsi="Palatino Linotype" w:cs="Arial"/>
                <w:b w:val="0"/>
                <w:bCs w:val="0"/>
                <w:color w:val="000000"/>
                <w:szCs w:val="24"/>
              </w:rPr>
              <w:t xml:space="preserve"> individualizar su análisis y tampoco se puede hacer un acuerdo por cada dato que se vaya a </w:t>
            </w:r>
            <w:r w:rsidRPr="008A44D6">
              <w:rPr>
                <w:rFonts w:ascii="Palatino Linotype" w:hAnsi="Palatino Linotype" w:cs="Arial"/>
                <w:b w:val="0"/>
                <w:bCs w:val="0"/>
                <w:color w:val="000000"/>
                <w:szCs w:val="24"/>
              </w:rPr>
              <w:lastRenderedPageBreak/>
              <w:t>clasificar dentro de un documento con diez datos, por ejemplo, susceptibles de ser clasificados.</w:t>
            </w:r>
          </w:p>
        </w:tc>
      </w:tr>
      <w:tr w:rsidR="00806ABD" w:rsidRPr="000D77A7" w14:paraId="0326AE0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8FCA58"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lastRenderedPageBreak/>
              <w:t>b) Supuestos de clasificación.</w:t>
            </w:r>
          </w:p>
        </w:tc>
        <w:tc>
          <w:tcPr>
            <w:tcW w:w="6990" w:type="dxa"/>
            <w:hideMark/>
          </w:tcPr>
          <w:p w14:paraId="7152777E"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03BF21B3"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67C8C7E" w14:textId="77777777" w:rsidR="00806ABD" w:rsidRPr="008A44D6" w:rsidRDefault="00806ABD" w:rsidP="00920E8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El </w:t>
            </w:r>
            <w:r w:rsidRPr="008A44D6">
              <w:rPr>
                <w:rFonts w:ascii="Palatino Linotype" w:hAnsi="Palatino Linotype" w:cs="Arial"/>
                <w:b/>
                <w:color w:val="000000"/>
                <w:szCs w:val="24"/>
              </w:rPr>
              <w:t>Sujeto Obligado</w:t>
            </w:r>
            <w:r w:rsidRPr="008A44D6">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06ABD" w:rsidRPr="000D77A7" w14:paraId="454B28B4" w14:textId="77777777" w:rsidTr="00920E85">
        <w:tc>
          <w:tcPr>
            <w:cnfStyle w:val="001000000000" w:firstRow="0" w:lastRow="0" w:firstColumn="1" w:lastColumn="0" w:oddVBand="0" w:evenVBand="0" w:oddHBand="0" w:evenHBand="0" w:firstRowFirstColumn="0" w:firstRowLastColumn="0" w:lastRowFirstColumn="0" w:lastRowLastColumn="0"/>
            <w:tcW w:w="1838" w:type="dxa"/>
            <w:hideMark/>
          </w:tcPr>
          <w:p w14:paraId="7DEEAD09"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c) Formalidades para emitir el acuerdo de clasificación.</w:t>
            </w:r>
          </w:p>
        </w:tc>
        <w:tc>
          <w:tcPr>
            <w:tcW w:w="6990" w:type="dxa"/>
            <w:hideMark/>
          </w:tcPr>
          <w:p w14:paraId="48712D74"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38E99D5F"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Es necesario que </w:t>
            </w:r>
            <w:r w:rsidRPr="008A44D6">
              <w:rPr>
                <w:rFonts w:ascii="Palatino Linotype" w:hAnsi="Palatino Linotype" w:cs="Arial"/>
                <w:b/>
                <w:color w:val="000000"/>
                <w:szCs w:val="24"/>
                <w:u w:val="single"/>
              </w:rPr>
              <w:t>el acto reúna con los requisitos elementales</w:t>
            </w:r>
            <w:r w:rsidRPr="008A44D6">
              <w:rPr>
                <w:rFonts w:ascii="Palatino Linotype" w:hAnsi="Palatino Linotype" w:cs="Arial"/>
                <w:color w:val="000000"/>
                <w:szCs w:val="24"/>
              </w:rPr>
              <w:t>, entre ellos, que la autoridad que va a emitir el acto de autoridad sea la legalmente facultada para ello.</w:t>
            </w:r>
          </w:p>
          <w:p w14:paraId="7547245E" w14:textId="77777777" w:rsidR="00806ABD" w:rsidRPr="008A44D6" w:rsidRDefault="00806ABD" w:rsidP="00920E8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La decisión de aprobar, modificar o revocar la clasificación deberá de asentarse en un documento que registre la determinación a la que se </w:t>
            </w:r>
            <w:r w:rsidRPr="008A44D6">
              <w:rPr>
                <w:rFonts w:ascii="Palatino Linotype" w:hAnsi="Palatino Linotype" w:cs="Arial"/>
                <w:color w:val="000000"/>
                <w:szCs w:val="24"/>
              </w:rPr>
              <w:lastRenderedPageBreak/>
              <w:t>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06ABD" w:rsidRPr="000D77A7" w14:paraId="406A4479"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655349" w14:textId="77777777" w:rsidR="00806ABD" w:rsidRPr="008A44D6" w:rsidRDefault="00806ABD" w:rsidP="00920E85">
            <w:pPr>
              <w:spacing w:line="360" w:lineRule="auto"/>
              <w:rPr>
                <w:rFonts w:ascii="Palatino Linotype" w:hAnsi="Palatino Linotype"/>
                <w:b w:val="0"/>
                <w:szCs w:val="24"/>
              </w:rPr>
            </w:pPr>
          </w:p>
          <w:p w14:paraId="1D3905D1" w14:textId="77777777" w:rsidR="00806ABD" w:rsidRPr="008A44D6" w:rsidRDefault="00806ABD" w:rsidP="00920E85">
            <w:pPr>
              <w:spacing w:line="360" w:lineRule="auto"/>
              <w:jc w:val="both"/>
              <w:rPr>
                <w:rFonts w:ascii="Palatino Linotype" w:hAnsi="Palatino Linotype"/>
                <w:bCs w:val="0"/>
                <w:szCs w:val="24"/>
              </w:rPr>
            </w:pPr>
            <w:r w:rsidRPr="008A44D6">
              <w:rPr>
                <w:rFonts w:ascii="Palatino Linotype" w:hAnsi="Palatino Linotype" w:cs="Arial"/>
                <w:bCs w:val="0"/>
                <w:color w:val="000000"/>
                <w:szCs w:val="24"/>
              </w:rPr>
              <w:t xml:space="preserve">d) Requisitos de fondo del acuerdo de clasificación. </w:t>
            </w:r>
          </w:p>
        </w:tc>
        <w:tc>
          <w:tcPr>
            <w:tcW w:w="6990" w:type="dxa"/>
            <w:hideMark/>
          </w:tcPr>
          <w:p w14:paraId="2FA0E4C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szCs w:val="24"/>
              </w:rPr>
              <w:t>Sujetos Obligados</w:t>
            </w:r>
            <w:r w:rsidRPr="008A44D6">
              <w:rPr>
                <w:rFonts w:ascii="Palatino Linotype" w:hAnsi="Palatino Linotype" w:cs="Arial"/>
                <w:color w:val="000000"/>
                <w:szCs w:val="24"/>
              </w:rPr>
              <w:t xml:space="preserve">, por lo que deberán fundar y motivar debidamente la clasificación. </w:t>
            </w:r>
          </w:p>
          <w:p w14:paraId="4A75E64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De lo anterior, se desprende que para una correcta </w:t>
            </w:r>
            <w:r w:rsidRPr="008A44D6">
              <w:rPr>
                <w:rFonts w:ascii="Palatino Linotype" w:hAnsi="Palatino Linotype" w:cs="Arial"/>
                <w:b/>
                <w:color w:val="000000"/>
                <w:szCs w:val="24"/>
              </w:rPr>
              <w:t>clasificación total o parcial</w:t>
            </w:r>
            <w:r w:rsidRPr="008A44D6">
              <w:rPr>
                <w:rFonts w:ascii="Palatino Linotype" w:hAnsi="Palatino Linotype" w:cs="Arial"/>
                <w:color w:val="00000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0F59C1"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w:t>
            </w:r>
            <w:r w:rsidRPr="008A44D6">
              <w:rPr>
                <w:rFonts w:ascii="Palatino Linotype" w:hAnsi="Palatino Linotype" w:cs="Arial"/>
                <w:color w:val="000000"/>
                <w:szCs w:val="24"/>
              </w:rPr>
              <w:lastRenderedPageBreak/>
              <w:t>afectada pueda impugnar la decisión, permitiéndole una real y auténtica defensa.</w:t>
            </w:r>
          </w:p>
          <w:p w14:paraId="6FF30A8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En ese mismo sentido, el numeral trigésimo tercero fracción V de los Lineamientos Generales, precisa que para motivar la clasificación se deben acreditar las circunstancias de tiempo, modo y lugar.</w:t>
            </w:r>
          </w:p>
          <w:p w14:paraId="59E850A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Ahora bien, </w:t>
            </w:r>
            <w:r w:rsidRPr="008A44D6">
              <w:rPr>
                <w:rFonts w:ascii="Palatino Linotype" w:hAnsi="Palatino Linotype" w:cs="Arial"/>
                <w:b/>
                <w:color w:val="000000"/>
                <w:szCs w:val="24"/>
                <w:u w:val="single"/>
              </w:rPr>
              <w:t>para cada caso además de fundar y motivar</w:t>
            </w:r>
            <w:r w:rsidRPr="008A44D6">
              <w:rPr>
                <w:rFonts w:ascii="Palatino Linotype" w:hAnsi="Palatino Linotype" w:cs="Arial"/>
                <w:color w:val="000000"/>
                <w:szCs w:val="24"/>
              </w:rPr>
              <w:t xml:space="preserve">, se debe identificar con claridad que datos contenidos en las documentales que son susceptibles de suprimirse, por ejemplo; </w:t>
            </w:r>
            <w:r w:rsidRPr="008A44D6">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06ABD" w:rsidRPr="00AF7502" w14:paraId="2E30042B" w14:textId="77777777" w:rsidTr="00920E85">
        <w:tc>
          <w:tcPr>
            <w:cnfStyle w:val="001000000000" w:firstRow="0" w:lastRow="0" w:firstColumn="1" w:lastColumn="0" w:oddVBand="0" w:evenVBand="0" w:oddHBand="0" w:evenHBand="0" w:firstRowFirstColumn="0" w:firstRowLastColumn="0" w:lastRowFirstColumn="0" w:lastRowLastColumn="0"/>
            <w:tcW w:w="1838" w:type="dxa"/>
          </w:tcPr>
          <w:p w14:paraId="47D1A5D5" w14:textId="77777777" w:rsidR="00806ABD" w:rsidRPr="00AF7502" w:rsidRDefault="00806ABD" w:rsidP="00920E85">
            <w:pPr>
              <w:spacing w:line="360" w:lineRule="auto"/>
              <w:ind w:right="49"/>
              <w:jc w:val="both"/>
              <w:rPr>
                <w:rFonts w:ascii="Palatino Linotype" w:hAnsi="Palatino Linotype" w:cs="Arial"/>
                <w:bCs w:val="0"/>
                <w:szCs w:val="24"/>
              </w:rPr>
            </w:pPr>
            <w:r w:rsidRPr="00AF7502">
              <w:rPr>
                <w:rFonts w:ascii="Palatino Linotype" w:eastAsia="MS Gothic" w:hAnsi="Palatino Linotype" w:cs="Times New Roman"/>
                <w:b w:val="0"/>
                <w:szCs w:val="24"/>
              </w:rPr>
              <w:lastRenderedPageBreak/>
              <w:t>e</w:t>
            </w:r>
            <w:r w:rsidRPr="00AF7502">
              <w:rPr>
                <w:rFonts w:ascii="Palatino Linotype" w:eastAsia="MS Gothic" w:hAnsi="Palatino Linotype" w:cs="Times New Roman"/>
                <w:bCs w:val="0"/>
                <w:szCs w:val="24"/>
              </w:rPr>
              <w:t xml:space="preserve">) Condiciones especiales de la clasificación de la información como confidencial. </w:t>
            </w:r>
          </w:p>
        </w:tc>
        <w:tc>
          <w:tcPr>
            <w:tcW w:w="6990" w:type="dxa"/>
            <w:hideMark/>
          </w:tcPr>
          <w:p w14:paraId="50D3A7FB"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62E02C96"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D1B5F9E" w14:textId="77777777" w:rsidR="00806ABD" w:rsidRPr="00AF7502" w:rsidRDefault="00806ABD" w:rsidP="00920E8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F7502">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1CC250" w14:textId="77777777" w:rsidR="00806ABD" w:rsidRPr="00AF7502" w:rsidRDefault="00806ABD" w:rsidP="00806ABD">
      <w:pPr>
        <w:spacing w:line="360" w:lineRule="auto"/>
        <w:ind w:right="49"/>
        <w:contextualSpacing/>
        <w:jc w:val="both"/>
        <w:rPr>
          <w:rFonts w:ascii="Palatino Linotype" w:hAnsi="Palatino Linotype" w:cs="Arial"/>
          <w:color w:val="000000"/>
          <w:sz w:val="24"/>
          <w:szCs w:val="24"/>
        </w:rPr>
      </w:pPr>
    </w:p>
    <w:p w14:paraId="40629D59" w14:textId="37620ACB" w:rsidR="00945DBE" w:rsidRPr="00AF7502" w:rsidRDefault="00945DBE" w:rsidP="00945DBE">
      <w:pPr>
        <w:pStyle w:val="Ttulo2"/>
        <w:numPr>
          <w:ilvl w:val="0"/>
          <w:numId w:val="17"/>
        </w:numPr>
        <w:rPr>
          <w:rFonts w:ascii="Palatino Linotype" w:hAnsi="Palatino Linotype"/>
          <w:b/>
          <w:color w:val="auto"/>
          <w:sz w:val="24"/>
        </w:rPr>
      </w:pPr>
      <w:bookmarkStart w:id="34" w:name="_Toc83901345"/>
      <w:r w:rsidRPr="00AF7502">
        <w:rPr>
          <w:rFonts w:ascii="Palatino Linotype" w:hAnsi="Palatino Linotype"/>
          <w:b/>
          <w:color w:val="auto"/>
          <w:sz w:val="24"/>
        </w:rPr>
        <w:t>De la reserva de la información.</w:t>
      </w:r>
      <w:bookmarkEnd w:id="34"/>
    </w:p>
    <w:p w14:paraId="7C079286" w14:textId="77777777" w:rsidR="00945DBE" w:rsidRPr="00AF7502" w:rsidRDefault="00945DBE" w:rsidP="00945DBE">
      <w:pPr>
        <w:pStyle w:val="Prrafodelista"/>
        <w:shd w:val="clear" w:color="auto" w:fill="FFFFFF"/>
        <w:spacing w:after="200" w:line="360" w:lineRule="auto"/>
        <w:ind w:left="1080"/>
        <w:jc w:val="both"/>
        <w:rPr>
          <w:rFonts w:ascii="Palatino Linotype" w:hAnsi="Palatino Linotype" w:cs="Arial"/>
          <w:sz w:val="24"/>
        </w:rPr>
      </w:pPr>
    </w:p>
    <w:p w14:paraId="739DA01C"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rPr>
      </w:pPr>
      <w:r w:rsidRPr="00AF7502">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011446D7" w14:textId="77777777" w:rsidR="005502D2" w:rsidRPr="00AF7502" w:rsidRDefault="005502D2" w:rsidP="005502D2">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678"/>
        <w:gridCol w:w="3969"/>
      </w:tblGrid>
      <w:tr w:rsidR="005502D2" w:rsidRPr="00AF7502" w14:paraId="136C0DA4"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1EE528B" w14:textId="77777777" w:rsidR="005502D2" w:rsidRPr="00AF7502" w:rsidRDefault="005502D2" w:rsidP="00920E85">
            <w:pPr>
              <w:autoSpaceDE w:val="0"/>
              <w:autoSpaceDN w:val="0"/>
              <w:adjustRightInd w:val="0"/>
              <w:jc w:val="center"/>
              <w:rPr>
                <w:rFonts w:ascii="Palatino Linotype" w:hAnsi="Palatino Linotype"/>
                <w:color w:val="000000" w:themeColor="text1"/>
                <w:sz w:val="16"/>
                <w:szCs w:val="16"/>
              </w:rPr>
            </w:pPr>
            <w:r w:rsidRPr="00AF7502">
              <w:rPr>
                <w:rFonts w:ascii="Palatino Linotype" w:hAnsi="Palatino Linotype" w:cs="Gill Sans,Bold"/>
                <w:color w:val="000000" w:themeColor="text1"/>
                <w:sz w:val="16"/>
                <w:szCs w:val="16"/>
              </w:rPr>
              <w:t>LEY ESTATAL</w:t>
            </w:r>
          </w:p>
        </w:tc>
        <w:tc>
          <w:tcPr>
            <w:tcW w:w="3969" w:type="dxa"/>
          </w:tcPr>
          <w:p w14:paraId="2EE146F6" w14:textId="77777777" w:rsidR="005502D2" w:rsidRPr="00AF7502" w:rsidRDefault="005502D2" w:rsidP="00920E8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AF7502">
              <w:rPr>
                <w:rFonts w:ascii="Palatino Linotype" w:hAnsi="Palatino Linotype"/>
                <w:color w:val="000000" w:themeColor="text1"/>
                <w:sz w:val="16"/>
                <w:szCs w:val="16"/>
              </w:rPr>
              <w:t>LEY GENERAL</w:t>
            </w:r>
          </w:p>
        </w:tc>
      </w:tr>
      <w:tr w:rsidR="005502D2" w:rsidRPr="00AF7502" w14:paraId="1E9A3E3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3541599"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 Comprometa la seguridad pública y cuente con un propósito genuino y un efecto demostrable;</w:t>
            </w:r>
          </w:p>
          <w:p w14:paraId="3BCD5594" w14:textId="77777777" w:rsidR="005502D2" w:rsidRPr="00AF7502" w:rsidRDefault="005502D2" w:rsidP="00920E85">
            <w:pPr>
              <w:jc w:val="both"/>
              <w:rPr>
                <w:rFonts w:ascii="Palatino Linotype" w:hAnsi="Palatino Linotype"/>
                <w:color w:val="000000" w:themeColor="text1"/>
                <w:sz w:val="16"/>
                <w:szCs w:val="16"/>
              </w:rPr>
            </w:pPr>
          </w:p>
        </w:tc>
        <w:tc>
          <w:tcPr>
            <w:tcW w:w="3969" w:type="dxa"/>
          </w:tcPr>
          <w:p w14:paraId="4F58D96E"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w:t>
            </w:r>
            <w:r w:rsidRPr="00AF7502">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5502D2" w:rsidRPr="00AF7502" w14:paraId="19CC5E20"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E514AA7"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II. Pueda menoscabar la conducción de las negociaciones y relaciones internacionales;</w:t>
            </w:r>
          </w:p>
        </w:tc>
        <w:tc>
          <w:tcPr>
            <w:tcW w:w="3969" w:type="dxa"/>
          </w:tcPr>
          <w:p w14:paraId="2FA9A284"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II.</w:t>
            </w:r>
            <w:r w:rsidRPr="00AF7502">
              <w:rPr>
                <w:rFonts w:ascii="Palatino Linotype" w:hAnsi="Palatino Linotype"/>
                <w:color w:val="000000" w:themeColor="text1"/>
                <w:sz w:val="16"/>
                <w:szCs w:val="16"/>
                <w:lang w:val="es-ES"/>
              </w:rPr>
              <w:tab/>
              <w:t>Pueda menoscabar la conducción de las negociaciones y relaciones internacionales;</w:t>
            </w:r>
          </w:p>
        </w:tc>
      </w:tr>
      <w:tr w:rsidR="005502D2" w:rsidRPr="00AF7502" w14:paraId="0A272E46"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0439FA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69" w:type="dxa"/>
          </w:tcPr>
          <w:p w14:paraId="4D4FD18F"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III.</w:t>
            </w:r>
            <w:r w:rsidRPr="00AF7502">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5502D2" w:rsidRPr="00AF7502" w14:paraId="05BDD1E9"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C26E64F"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1B5E24FE"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IV.</w:t>
            </w:r>
            <w:r w:rsidRPr="00AF7502">
              <w:rPr>
                <w:rFonts w:ascii="Palatino Linotype" w:hAnsi="Palatino Linotype"/>
                <w:color w:val="000000" w:themeColor="text1"/>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5502D2" w:rsidRPr="00AF7502" w14:paraId="1570028A"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E2A7C82"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IV. Ponga en riesgo la vida, la seguridad o la salud de una persona física;</w:t>
            </w:r>
          </w:p>
        </w:tc>
        <w:tc>
          <w:tcPr>
            <w:tcW w:w="3969" w:type="dxa"/>
          </w:tcPr>
          <w:p w14:paraId="1EF76F28"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w:t>
            </w:r>
            <w:r w:rsidRPr="00AF7502">
              <w:rPr>
                <w:rFonts w:ascii="Palatino Linotype" w:hAnsi="Palatino Linotype"/>
                <w:color w:val="000000" w:themeColor="text1"/>
                <w:sz w:val="16"/>
                <w:szCs w:val="16"/>
                <w:lang w:val="es-ES"/>
              </w:rPr>
              <w:tab/>
              <w:t>Pueda poner en riesgo la vida, seguridad o salud de una persona física;</w:t>
            </w:r>
          </w:p>
        </w:tc>
      </w:tr>
      <w:tr w:rsidR="005502D2" w:rsidRPr="00AF7502" w14:paraId="3C70DDDF"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051E13AC"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 Aquella cuya divulgación obstruya o pueda causar un serio perjuicio a:</w:t>
            </w:r>
          </w:p>
          <w:p w14:paraId="6DE54F0D"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p w14:paraId="11168DF3"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1. Las actividades de fiscalización, verificación, inspección, comprobación y auditoría sobre el cumplimiento de las Leyes; o</w:t>
            </w:r>
          </w:p>
          <w:p w14:paraId="2950703B"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p w14:paraId="0DEE4FD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2. La recaudación de las contribuciones.</w:t>
            </w:r>
          </w:p>
        </w:tc>
        <w:tc>
          <w:tcPr>
            <w:tcW w:w="3969" w:type="dxa"/>
          </w:tcPr>
          <w:p w14:paraId="0A78CA3D"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VI.</w:t>
            </w:r>
            <w:r w:rsidRPr="00AF7502">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14:paraId="56F33A4F"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14:paraId="4C10D2B9"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1ABA6017"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0FC859C"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w:t>
            </w:r>
            <w:r w:rsidRPr="00AF7502">
              <w:rPr>
                <w:rFonts w:ascii="Palatino Linotype" w:hAnsi="Palatino Linotype" w:cs="Arial"/>
                <w:color w:val="000000" w:themeColor="text1"/>
                <w:sz w:val="16"/>
                <w:szCs w:val="16"/>
              </w:rPr>
              <w:lastRenderedPageBreak/>
              <w:t>administración de justicia o la seguridad de un denunciante, querellante o testigo, así como sus familias, en los términos de las disposiciones jurídicas aplicables;</w:t>
            </w:r>
          </w:p>
        </w:tc>
        <w:tc>
          <w:tcPr>
            <w:tcW w:w="3969" w:type="dxa"/>
          </w:tcPr>
          <w:p w14:paraId="029E8419"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lastRenderedPageBreak/>
              <w:t>VII.</w:t>
            </w:r>
            <w:r w:rsidRPr="00AF7502">
              <w:rPr>
                <w:rFonts w:ascii="Palatino Linotype" w:hAnsi="Palatino Linotype"/>
                <w:color w:val="000000" w:themeColor="text1"/>
                <w:sz w:val="16"/>
                <w:szCs w:val="16"/>
                <w:lang w:val="es-ES"/>
              </w:rPr>
              <w:tab/>
              <w:t>Obstruya la prevención o persecución de los delitos;</w:t>
            </w:r>
          </w:p>
          <w:p w14:paraId="163E5F11"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14:paraId="71D1DA8E"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7935F725"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7B051869"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969" w:type="dxa"/>
          </w:tcPr>
          <w:p w14:paraId="0D866DFB"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VIII.</w:t>
            </w:r>
            <w:r w:rsidRPr="00AF7502">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5502D2" w:rsidRPr="00AF7502" w14:paraId="26BFF824"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65732CA"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7A443C08"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IX.</w:t>
            </w:r>
            <w:r w:rsidRPr="00AF7502">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5502D2" w:rsidRPr="00AF7502" w14:paraId="5522C812"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2D9F5306"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p>
        </w:tc>
        <w:tc>
          <w:tcPr>
            <w:tcW w:w="3969" w:type="dxa"/>
          </w:tcPr>
          <w:p w14:paraId="5440CDC4"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w:t>
            </w:r>
            <w:r w:rsidRPr="00AF7502">
              <w:rPr>
                <w:rFonts w:ascii="Palatino Linotype" w:hAnsi="Palatino Linotype"/>
                <w:color w:val="000000" w:themeColor="text1"/>
                <w:sz w:val="16"/>
                <w:szCs w:val="16"/>
                <w:lang w:val="es-ES"/>
              </w:rPr>
              <w:tab/>
              <w:t>Afecte los derechos del debido proceso;</w:t>
            </w:r>
          </w:p>
        </w:tc>
      </w:tr>
      <w:tr w:rsidR="005502D2" w:rsidRPr="00AF7502" w14:paraId="27A8696E"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2623BA6"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3969" w:type="dxa"/>
          </w:tcPr>
          <w:p w14:paraId="7D97125D"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w:t>
            </w:r>
            <w:r w:rsidRPr="00AF7502">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5502D2" w:rsidRPr="00AF7502" w14:paraId="26F7DC84"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02E16D5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IX. Se encuentre contenida dentro de las investigaciones de hechos que la Ley señale como delitos y se tramiten ante el Ministerio Público;</w:t>
            </w:r>
          </w:p>
        </w:tc>
        <w:tc>
          <w:tcPr>
            <w:tcW w:w="3969" w:type="dxa"/>
          </w:tcPr>
          <w:p w14:paraId="1D2B736D"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XII.</w:t>
            </w:r>
            <w:r w:rsidRPr="00AF7502">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5502D2" w:rsidRPr="00AF7502" w14:paraId="3A0CA8B6"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DD37C1D" w14:textId="77777777" w:rsidR="005502D2" w:rsidRPr="00AF7502" w:rsidRDefault="005502D2" w:rsidP="00920E85">
            <w:pPr>
              <w:autoSpaceDE w:val="0"/>
              <w:autoSpaceDN w:val="0"/>
              <w:adjustRightInd w:val="0"/>
              <w:ind w:left="-108"/>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54D14F1" w14:textId="77777777" w:rsidR="005502D2" w:rsidRPr="00AF7502" w:rsidRDefault="005502D2" w:rsidP="00920E85">
            <w:pPr>
              <w:autoSpaceDE w:val="0"/>
              <w:autoSpaceDN w:val="0"/>
              <w:adjustRightInd w:val="0"/>
              <w:jc w:val="both"/>
              <w:rPr>
                <w:rFonts w:ascii="Palatino Linotype" w:hAnsi="Palatino Linotype" w:cs="Arial"/>
                <w:color w:val="000000" w:themeColor="text1"/>
                <w:sz w:val="16"/>
                <w:szCs w:val="16"/>
              </w:rPr>
            </w:pPr>
            <w:r w:rsidRPr="00AF7502">
              <w:rPr>
                <w:rFonts w:ascii="Palatino Linotype" w:hAnsi="Palatino Linotype" w:cs="Arial"/>
                <w:color w:val="000000" w:themeColor="text1"/>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69" w:type="dxa"/>
          </w:tcPr>
          <w:p w14:paraId="79292210" w14:textId="77777777" w:rsidR="005502D2" w:rsidRPr="00AF7502" w:rsidRDefault="005502D2" w:rsidP="00920E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5502D2" w:rsidRPr="00AF7502" w14:paraId="6006AC9E" w14:textId="77777777" w:rsidTr="00920E85">
        <w:tc>
          <w:tcPr>
            <w:cnfStyle w:val="001000000000" w:firstRow="0" w:lastRow="0" w:firstColumn="1" w:lastColumn="0" w:oddVBand="0" w:evenVBand="0" w:oddHBand="0" w:evenHBand="0" w:firstRowFirstColumn="0" w:firstRowLastColumn="0" w:lastRowFirstColumn="0" w:lastRowLastColumn="0"/>
            <w:tcW w:w="4678" w:type="dxa"/>
          </w:tcPr>
          <w:p w14:paraId="12B13359" w14:textId="77777777" w:rsidR="005502D2" w:rsidRPr="00AF7502" w:rsidRDefault="005502D2" w:rsidP="00920E85">
            <w:pPr>
              <w:jc w:val="both"/>
              <w:rPr>
                <w:rFonts w:ascii="Palatino Linotype" w:hAnsi="Palatino Linotype"/>
                <w:color w:val="000000" w:themeColor="text1"/>
                <w:sz w:val="16"/>
                <w:szCs w:val="16"/>
              </w:rPr>
            </w:pPr>
            <w:r w:rsidRPr="00AF7502">
              <w:rPr>
                <w:rFonts w:ascii="Palatino Linotype" w:hAnsi="Palatino Linotype" w:cs="Arial"/>
                <w:color w:val="000000" w:themeColor="text1"/>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3969" w:type="dxa"/>
          </w:tcPr>
          <w:p w14:paraId="330BA005" w14:textId="77777777" w:rsidR="005502D2" w:rsidRPr="00AF7502" w:rsidRDefault="005502D2" w:rsidP="00920E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AF7502">
              <w:rPr>
                <w:rFonts w:ascii="Palatino Linotype" w:hAnsi="Palatino Linotype"/>
                <w:color w:val="000000" w:themeColor="text1"/>
                <w:sz w:val="16"/>
                <w:szCs w:val="16"/>
                <w:lang w:val="es-ES"/>
              </w:rPr>
              <w:t>XIII.</w:t>
            </w:r>
            <w:r w:rsidRPr="00AF7502">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B190A34" w14:textId="77777777" w:rsidR="005502D2" w:rsidRPr="00AF7502" w:rsidRDefault="005502D2" w:rsidP="005502D2">
      <w:pPr>
        <w:spacing w:line="360" w:lineRule="auto"/>
        <w:jc w:val="both"/>
        <w:rPr>
          <w:rFonts w:ascii="Palatino Linotype" w:hAnsi="Palatino Linotype" w:cs="Arial"/>
          <w:color w:val="000000" w:themeColor="text1"/>
        </w:rPr>
      </w:pPr>
    </w:p>
    <w:p w14:paraId="0AA960CF"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Se debe identificar claramente el tipo de información y hacer un juicio de subsunción o encaje</w:t>
      </w:r>
      <w:r w:rsidRPr="00AF7502">
        <w:rPr>
          <w:rFonts w:ascii="Palatino Linotype" w:hAnsi="Palatino Linotype" w:cs="Arial"/>
          <w:color w:val="000000" w:themeColor="text1"/>
          <w:sz w:val="24"/>
          <w:vertAlign w:val="superscript"/>
        </w:rPr>
        <w:footnoteReference w:id="16"/>
      </w:r>
      <w:r w:rsidRPr="00AF7502">
        <w:rPr>
          <w:rFonts w:ascii="Palatino Linotype" w:hAnsi="Palatino Linotype" w:cs="Arial"/>
          <w:color w:val="000000" w:themeColor="text1"/>
          <w:sz w:val="24"/>
        </w:rPr>
        <w:t xml:space="preserve"> para acreditar que el supuesto de hecho corresponde estrictamente con la hipótesis jurídica. </w:t>
      </w:r>
    </w:p>
    <w:p w14:paraId="3F0AD30B"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605E39BE"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19DA2278" w14:textId="77777777" w:rsidR="00416D4C" w:rsidRPr="00AF7502" w:rsidRDefault="00416D4C" w:rsidP="00416D4C">
      <w:pPr>
        <w:spacing w:after="160" w:line="360" w:lineRule="auto"/>
        <w:contextualSpacing/>
        <w:jc w:val="both"/>
        <w:rPr>
          <w:rFonts w:ascii="Palatino Linotype" w:hAnsi="Palatino Linotype" w:cs="Arial"/>
          <w:color w:val="000000" w:themeColor="text1"/>
          <w:sz w:val="24"/>
        </w:rPr>
      </w:pPr>
    </w:p>
    <w:p w14:paraId="1EF398AD" w14:textId="77777777" w:rsidR="005502D2" w:rsidRPr="00AF7502" w:rsidRDefault="005502D2" w:rsidP="005502D2">
      <w:pPr>
        <w:shd w:val="clear" w:color="auto" w:fill="FFFFFF"/>
        <w:spacing w:line="360" w:lineRule="auto"/>
        <w:contextualSpacing/>
        <w:jc w:val="both"/>
        <w:rPr>
          <w:rFonts w:ascii="Palatino Linotype" w:hAnsi="Palatino Linotype" w:cs="Arial"/>
          <w:color w:val="000000" w:themeColor="text1"/>
          <w:lang w:eastAsia="es-MX"/>
        </w:rPr>
      </w:pPr>
    </w:p>
    <w:p w14:paraId="0234F686" w14:textId="77777777" w:rsidR="005502D2" w:rsidRPr="00AF7502" w:rsidRDefault="005502D2" w:rsidP="005502D2">
      <w:pPr>
        <w:pStyle w:val="Ttulo3"/>
        <w:rPr>
          <w:rFonts w:ascii="Palatino Linotype" w:hAnsi="Palatino Linotype"/>
          <w:b/>
          <w:bCs/>
          <w:color w:val="auto"/>
        </w:rPr>
      </w:pPr>
      <w:bookmarkStart w:id="35" w:name="_Toc485631706"/>
      <w:bookmarkStart w:id="36" w:name="_Toc500756716"/>
      <w:bookmarkStart w:id="37" w:name="_Toc536691784"/>
      <w:bookmarkStart w:id="38" w:name="_Toc2267547"/>
      <w:bookmarkStart w:id="39" w:name="_Toc2856720"/>
      <w:bookmarkStart w:id="40" w:name="_Toc67668073"/>
      <w:bookmarkStart w:id="41" w:name="_Toc70599265"/>
      <w:bookmarkStart w:id="42" w:name="_Toc83901346"/>
      <w:r w:rsidRPr="00AF7502">
        <w:rPr>
          <w:rFonts w:ascii="Palatino Linotype" w:hAnsi="Palatino Linotype"/>
          <w:b/>
          <w:bCs/>
          <w:color w:val="auto"/>
        </w:rPr>
        <w:t>I. Condiciones especiales de la clasificación de la información como reservada</w:t>
      </w:r>
      <w:bookmarkEnd w:id="35"/>
      <w:bookmarkEnd w:id="36"/>
      <w:bookmarkEnd w:id="37"/>
      <w:bookmarkEnd w:id="38"/>
      <w:bookmarkEnd w:id="39"/>
      <w:bookmarkEnd w:id="40"/>
      <w:bookmarkEnd w:id="41"/>
      <w:bookmarkEnd w:id="42"/>
      <w:r w:rsidRPr="00AF7502">
        <w:rPr>
          <w:rFonts w:ascii="Palatino Linotype" w:hAnsi="Palatino Linotype"/>
          <w:b/>
          <w:bCs/>
          <w:color w:val="auto"/>
        </w:rPr>
        <w:t xml:space="preserve"> </w:t>
      </w:r>
    </w:p>
    <w:p w14:paraId="44E225B5" w14:textId="77777777" w:rsidR="005502D2" w:rsidRPr="00AF7502" w:rsidRDefault="005502D2" w:rsidP="005502D2">
      <w:pPr>
        <w:spacing w:line="360" w:lineRule="auto"/>
        <w:contextualSpacing/>
        <w:jc w:val="both"/>
        <w:rPr>
          <w:rFonts w:ascii="Palatino Linotype" w:hAnsi="Palatino Linotype" w:cs="Arial"/>
          <w:b/>
          <w:color w:val="000000" w:themeColor="text1"/>
        </w:rPr>
      </w:pPr>
    </w:p>
    <w:p w14:paraId="32CD5EFC" w14:textId="77777777" w:rsidR="005502D2" w:rsidRPr="00AF7502" w:rsidRDefault="005502D2" w:rsidP="005502D2">
      <w:pPr>
        <w:pStyle w:val="Prrafodelista"/>
        <w:numPr>
          <w:ilvl w:val="3"/>
          <w:numId w:val="2"/>
        </w:numPr>
        <w:ind w:left="851"/>
        <w:rPr>
          <w:rFonts w:ascii="Palatino Linotype" w:eastAsiaTheme="majorEastAsia" w:hAnsi="Palatino Linotype" w:cstheme="majorBidi"/>
          <w:b/>
          <w:color w:val="000000" w:themeColor="text1"/>
        </w:rPr>
      </w:pPr>
      <w:bookmarkStart w:id="43" w:name="_Toc485631707"/>
      <w:bookmarkStart w:id="44" w:name="_Toc500756717"/>
      <w:bookmarkStart w:id="45" w:name="_Toc536691785"/>
      <w:bookmarkStart w:id="46" w:name="_Toc2267548"/>
      <w:bookmarkStart w:id="47" w:name="_Toc2856721"/>
      <w:r w:rsidRPr="00AF7502">
        <w:rPr>
          <w:rFonts w:ascii="Palatino Linotype" w:eastAsiaTheme="majorEastAsia" w:hAnsi="Palatino Linotype" w:cstheme="majorBidi"/>
          <w:b/>
          <w:color w:val="000000" w:themeColor="text1"/>
        </w:rPr>
        <w:t>La fundamentación específica.</w:t>
      </w:r>
      <w:bookmarkEnd w:id="43"/>
      <w:bookmarkEnd w:id="44"/>
      <w:bookmarkEnd w:id="45"/>
      <w:bookmarkEnd w:id="46"/>
      <w:bookmarkEnd w:id="47"/>
    </w:p>
    <w:p w14:paraId="0BC1A5F1" w14:textId="77777777" w:rsidR="005502D2" w:rsidRPr="00AF7502" w:rsidRDefault="005502D2" w:rsidP="005502D2">
      <w:pPr>
        <w:rPr>
          <w:rFonts w:ascii="Palatino Linotype" w:eastAsiaTheme="majorEastAsia" w:hAnsi="Palatino Linotype" w:cstheme="majorBidi"/>
          <w:b/>
          <w:color w:val="000000" w:themeColor="text1"/>
        </w:rPr>
      </w:pPr>
    </w:p>
    <w:p w14:paraId="1F07D177" w14:textId="37CD31E0" w:rsidR="005502D2" w:rsidRPr="00AF7502" w:rsidRDefault="005502D2" w:rsidP="005502D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Los artículos 128 segundo párrafo y 103 segundo párrafo de las leyes estatal y general, respectivamente, señalan que, en el caso de la información reservada, se debe 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w:t>
      </w:r>
      <w:r w:rsidR="00416D4C" w:rsidRPr="00AF7502">
        <w:rPr>
          <w:rFonts w:ascii="Palatino Linotype" w:hAnsi="Palatino Linotype" w:cs="Arial"/>
          <w:color w:val="000000" w:themeColor="text1"/>
          <w:sz w:val="24"/>
        </w:rPr>
        <w:t>.</w:t>
      </w:r>
    </w:p>
    <w:p w14:paraId="09FB7D94" w14:textId="77777777" w:rsidR="005502D2" w:rsidRPr="00AF7502" w:rsidRDefault="005502D2" w:rsidP="005502D2">
      <w:pPr>
        <w:spacing w:line="360" w:lineRule="auto"/>
        <w:contextualSpacing/>
        <w:jc w:val="both"/>
        <w:rPr>
          <w:rFonts w:ascii="Palatino Linotype" w:hAnsi="Palatino Linotype" w:cs="Arial"/>
          <w:b/>
          <w:color w:val="000000" w:themeColor="text1"/>
        </w:rPr>
      </w:pPr>
    </w:p>
    <w:p w14:paraId="100D44DA" w14:textId="77777777" w:rsidR="005502D2" w:rsidRPr="00AF7502" w:rsidRDefault="005502D2" w:rsidP="005502D2">
      <w:pPr>
        <w:ind w:left="709"/>
        <w:rPr>
          <w:rFonts w:ascii="Palatino Linotype" w:eastAsiaTheme="majorEastAsia" w:hAnsi="Palatino Linotype" w:cstheme="majorBidi"/>
          <w:b/>
          <w:color w:val="000000" w:themeColor="text1"/>
        </w:rPr>
      </w:pPr>
      <w:bookmarkStart w:id="48" w:name="_Toc485631708"/>
      <w:bookmarkStart w:id="49" w:name="_Toc500756718"/>
      <w:bookmarkStart w:id="50" w:name="_Toc536691786"/>
      <w:bookmarkStart w:id="51" w:name="_Toc2267549"/>
      <w:bookmarkStart w:id="52" w:name="_Toc2856722"/>
      <w:r w:rsidRPr="00AF7502">
        <w:rPr>
          <w:rFonts w:ascii="Palatino Linotype" w:eastAsiaTheme="majorEastAsia" w:hAnsi="Palatino Linotype" w:cstheme="majorBidi"/>
          <w:b/>
          <w:color w:val="000000" w:themeColor="text1"/>
        </w:rPr>
        <w:t>b) La prueba de daño.</w:t>
      </w:r>
      <w:bookmarkEnd w:id="48"/>
      <w:bookmarkEnd w:id="49"/>
      <w:bookmarkEnd w:id="50"/>
      <w:bookmarkEnd w:id="51"/>
      <w:bookmarkEnd w:id="52"/>
    </w:p>
    <w:p w14:paraId="68170781" w14:textId="77777777" w:rsidR="005502D2" w:rsidRPr="00AF7502" w:rsidRDefault="005502D2" w:rsidP="005502D2">
      <w:pPr>
        <w:spacing w:line="360" w:lineRule="auto"/>
        <w:contextualSpacing/>
        <w:jc w:val="both"/>
        <w:rPr>
          <w:rFonts w:ascii="Palatino Linotype" w:hAnsi="Palatino Linotype"/>
          <w:color w:val="000000" w:themeColor="text1"/>
        </w:rPr>
      </w:pPr>
    </w:p>
    <w:p w14:paraId="5687D56D"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Las mismas disposiciones referidas en el párrafo anterior precisan que, además de señalar las razones, motivos o circunstancias, se deberá aplicar la prueba de daño.  </w:t>
      </w:r>
      <w:r w:rsidRPr="00AF7502">
        <w:rPr>
          <w:rFonts w:ascii="Palatino Linotype" w:hAnsi="Palatino Linotype"/>
          <w:color w:val="000000" w:themeColor="text1"/>
          <w:sz w:val="24"/>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4139037"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6D904ABF"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Para aplicar la prueba de daño, se deberán de precisar las razones objetivas por las que la apertura genera una afectación, acreditando que:</w:t>
      </w:r>
    </w:p>
    <w:p w14:paraId="53906723"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65D19D54"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 </w:t>
      </w:r>
      <w:r w:rsidRPr="00AF7502">
        <w:rPr>
          <w:rFonts w:ascii="Palatino Linotype" w:hAnsi="Palatino Linotype" w:cs="Bookman Old Style"/>
          <w:i/>
          <w:color w:val="000000" w:themeColor="text1"/>
          <w:sz w:val="24"/>
        </w:rPr>
        <w:t xml:space="preserve">La divulgación de la información representa un riesgo real, demostrable e identificable del perjuicio significativo al interés público o a la seguridad pública; </w:t>
      </w:r>
    </w:p>
    <w:p w14:paraId="358D83C5"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 </w:t>
      </w:r>
      <w:r w:rsidRPr="00AF7502">
        <w:rPr>
          <w:rFonts w:ascii="Palatino Linotype" w:hAnsi="Palatino Linotype" w:cs="Bookman Old Style"/>
          <w:i/>
          <w:color w:val="000000" w:themeColor="text1"/>
          <w:sz w:val="24"/>
        </w:rPr>
        <w:t xml:space="preserve">El riesgo de perjuicio que supondría la divulgación supera el interés público general de que se difunda; y </w:t>
      </w:r>
    </w:p>
    <w:p w14:paraId="1104F7C2" w14:textId="77777777" w:rsidR="005502D2" w:rsidRPr="00AF7502" w:rsidRDefault="005502D2" w:rsidP="005502D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III. </w:t>
      </w:r>
      <w:r w:rsidRPr="00AF7502">
        <w:rPr>
          <w:rFonts w:ascii="Palatino Linotype" w:hAnsi="Palatino Linotype" w:cs="Bookman Old Style"/>
          <w:i/>
          <w:color w:val="000000" w:themeColor="text1"/>
          <w:sz w:val="24"/>
        </w:rPr>
        <w:t xml:space="preserve">La limitación se adecua al principio de proporcionalidad y representa el medio menos restrictivo disponible para evitar el perjuicio. </w:t>
      </w:r>
    </w:p>
    <w:p w14:paraId="55FF3F55" w14:textId="272A4E3E" w:rsidR="00416D4C" w:rsidRPr="000D6157" w:rsidRDefault="005502D2" w:rsidP="00416D4C">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olor w:val="000000" w:themeColor="text1"/>
          <w:sz w:val="24"/>
          <w:lang w:eastAsia="es-ES_tradnl"/>
        </w:rPr>
      </w:pPr>
      <w:r w:rsidRPr="00AF7502">
        <w:rPr>
          <w:rFonts w:ascii="Palatino Linotype" w:hAnsi="Palatino Linotype"/>
          <w:color w:val="000000" w:themeColor="text1"/>
          <w:sz w:val="24"/>
          <w:lang w:eastAsia="es-ES_tradnl"/>
        </w:rPr>
        <w:t>Sobre el primer supuesto consideremos que según el diccionario del español jurídico, por riesgo podemos entender “la contingencia o proximidad de un daño”,</w:t>
      </w:r>
      <w:r w:rsidRPr="00AF7502">
        <w:rPr>
          <w:rFonts w:ascii="Palatino Linotype" w:hAnsi="Palatino Linotype"/>
          <w:color w:val="000000" w:themeColor="text1"/>
          <w:sz w:val="24"/>
          <w:vertAlign w:val="superscript"/>
          <w:lang w:eastAsia="es-ES_tradnl"/>
        </w:rPr>
        <w:footnoteReference w:id="17"/>
      </w:r>
      <w:r w:rsidRPr="00AF7502">
        <w:rPr>
          <w:rFonts w:ascii="Palatino Linotype" w:hAnsi="Palatino Linotype"/>
          <w:color w:val="000000" w:themeColor="text1"/>
          <w:sz w:val="24"/>
          <w:lang w:eastAsia="es-ES_tradnl"/>
        </w:rPr>
        <w:t xml:space="preserve"> </w:t>
      </w:r>
      <w:r w:rsidRPr="00AF7502">
        <w:rPr>
          <w:rFonts w:ascii="Palatino Linotype" w:hAnsi="Palatino Linotype"/>
          <w:color w:val="000000" w:themeColor="text1"/>
          <w:sz w:val="24"/>
          <w:lang w:eastAsia="es-ES_tradnl"/>
        </w:rPr>
        <w:lastRenderedPageBreak/>
        <w:t>mientras que el daño es considerado como un “perjuicio o lesión”</w:t>
      </w:r>
      <w:r w:rsidRPr="00AF7502">
        <w:rPr>
          <w:rFonts w:ascii="Palatino Linotype" w:hAnsi="Palatino Linotype"/>
          <w:color w:val="000000" w:themeColor="text1"/>
          <w:sz w:val="24"/>
          <w:vertAlign w:val="superscript"/>
          <w:lang w:eastAsia="es-ES_tradnl"/>
        </w:rPr>
        <w:footnoteReference w:id="18"/>
      </w:r>
      <w:r w:rsidRPr="00AF7502">
        <w:rPr>
          <w:rFonts w:ascii="Palatino Linotype" w:hAnsi="Palatino Linotype"/>
          <w:color w:val="000000" w:themeColor="text1"/>
          <w:sz w:val="24"/>
          <w:lang w:eastAsia="es-ES_tradnl"/>
        </w:rPr>
        <w:t>, mientras que según el Diccionario de la Lengua Española, lo real es</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lo “</w:t>
      </w:r>
      <w:r w:rsidRPr="00AF7502">
        <w:rPr>
          <w:rFonts w:ascii="Palatino Linotype" w:hAnsi="Palatino Linotype"/>
          <w:color w:val="000000" w:themeColor="text1"/>
          <w:sz w:val="24"/>
          <w:lang w:eastAsia="es-ES_tradnl"/>
        </w:rPr>
        <w:t>(que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tiene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existencia</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objetiva”,</w:t>
      </w:r>
      <w:r w:rsidRPr="00AF7502">
        <w:rPr>
          <w:rFonts w:ascii="Palatino Linotype" w:hAnsi="Palatino Linotype"/>
          <w:color w:val="000000" w:themeColor="text1"/>
          <w:sz w:val="24"/>
          <w:vertAlign w:val="superscript"/>
          <w:lang w:eastAsia="es-ES_tradnl"/>
        </w:rPr>
        <w:footnoteReference w:id="19"/>
      </w:r>
      <w:r w:rsidRPr="00AF7502">
        <w:rPr>
          <w:rFonts w:ascii="Palatino Linotype" w:hAnsi="Palatino Linotype"/>
          <w:color w:val="000000" w:themeColor="text1"/>
          <w:sz w:val="24"/>
          <w:lang w:eastAsia="es-ES_tradnl"/>
        </w:rPr>
        <w:t xml:space="preserve"> </w:t>
      </w:r>
      <w:r w:rsidRPr="00AF7502">
        <w:rPr>
          <w:rFonts w:ascii="Palatino Linotype" w:eastAsia="Arial Unicode MS" w:hAnsi="Palatino Linotype" w:cs="Arial Unicode MS"/>
          <w:color w:val="000000" w:themeColor="text1"/>
          <w:spacing w:val="4"/>
          <w:sz w:val="24"/>
          <w:shd w:val="clear" w:color="auto" w:fill="FFFFFF"/>
          <w:lang w:eastAsia="es-ES_tradnl"/>
        </w:rPr>
        <w:t>mientras que lo demostrables es, según la misma fuente, aquello que se puede demostrar,</w:t>
      </w:r>
      <w:r w:rsidRPr="00AF7502">
        <w:rPr>
          <w:rFonts w:ascii="Palatino Linotype" w:eastAsia="Arial Unicode MS" w:hAnsi="Palatino Linotype" w:cs="Arial Unicode MS"/>
          <w:color w:val="000000" w:themeColor="text1"/>
          <w:spacing w:val="4"/>
          <w:sz w:val="24"/>
          <w:shd w:val="clear" w:color="auto" w:fill="FFFFFF"/>
          <w:vertAlign w:val="superscript"/>
          <w:lang w:eastAsia="es-ES_tradnl"/>
        </w:rPr>
        <w:footnoteReference w:id="20"/>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es decir, </w:t>
      </w:r>
      <w:r w:rsidRPr="00AF7502">
        <w:rPr>
          <w:rFonts w:ascii="Palatino Linotype" w:hAnsi="Palatino Linotype"/>
          <w:color w:val="000000" w:themeColor="text1"/>
          <w:sz w:val="24"/>
        </w:rPr>
        <w:t xml:space="preserve">“(manifestar, declarar. Probar, sirviéndose de cualquier género de demostración, </w:t>
      </w:r>
      <w:hyperlink r:id="rId12" w:anchor="6nAyKjE" w:history="1">
        <w:r w:rsidRPr="00AF7502">
          <w:rPr>
            <w:rFonts w:ascii="Palatino Linotype" w:hAnsi="Palatino Linotype"/>
            <w:color w:val="000000" w:themeColor="text1"/>
            <w:sz w:val="24"/>
          </w:rPr>
          <w:t>enseñar</w:t>
        </w:r>
      </w:hyperlink>
      <w:r w:rsidRPr="00AF7502">
        <w:rPr>
          <w:rFonts w:ascii="Palatino Linotype" w:hAnsi="Palatino Linotype"/>
          <w:color w:val="000000" w:themeColor="text1"/>
          <w:sz w:val="24"/>
        </w:rPr>
        <w:t xml:space="preserve"> mostrar o exponer algo)”.</w:t>
      </w:r>
      <w:r w:rsidRPr="00AF7502">
        <w:rPr>
          <w:rFonts w:ascii="Palatino Linotype" w:hAnsi="Palatino Linotype"/>
          <w:color w:val="000000" w:themeColor="text1"/>
          <w:sz w:val="24"/>
          <w:vertAlign w:val="superscript"/>
        </w:rPr>
        <w:footnoteReference w:id="21"/>
      </w:r>
      <w:r w:rsidRPr="00AF7502">
        <w:rPr>
          <w:rFonts w:ascii="Palatino Linotype" w:hAnsi="Palatino Linotype"/>
          <w:color w:val="000000" w:themeColor="text1"/>
          <w:sz w:val="24"/>
        </w:rPr>
        <w:t xml:space="preserve"> Mientras que lo identificable es lo que puede ser identificado,</w:t>
      </w:r>
      <w:r w:rsidRPr="00AF7502">
        <w:rPr>
          <w:rFonts w:ascii="Palatino Linotype" w:hAnsi="Palatino Linotype"/>
          <w:color w:val="000000" w:themeColor="text1"/>
          <w:sz w:val="24"/>
          <w:vertAlign w:val="superscript"/>
        </w:rPr>
        <w:footnoteReference w:id="22"/>
      </w:r>
      <w:r w:rsidRPr="00AF7502">
        <w:rPr>
          <w:rFonts w:ascii="Palatino Linotype" w:hAnsi="Palatino Linotype"/>
          <w:color w:val="000000" w:themeColor="text1"/>
          <w:sz w:val="24"/>
        </w:rPr>
        <w:t xml:space="preserve"> esto es,</w:t>
      </w:r>
      <w:r w:rsidRPr="00AF7502">
        <w:rPr>
          <w:rFonts w:ascii="Palatino Linotype" w:hAnsi="Palatino Linotype"/>
          <w:color w:val="000000" w:themeColor="text1"/>
          <w:sz w:val="24"/>
          <w:lang w:eastAsia="es-ES_tradnl"/>
        </w:rPr>
        <w:t xml:space="preserve"> “(dar los datos necesarios para ser reconocido”.</w:t>
      </w:r>
      <w:r w:rsidRPr="00AF7502">
        <w:rPr>
          <w:rFonts w:ascii="Palatino Linotype" w:hAnsi="Palatino Linotype"/>
          <w:color w:val="000000" w:themeColor="text1"/>
          <w:sz w:val="24"/>
          <w:vertAlign w:val="superscript"/>
          <w:lang w:eastAsia="es-ES_tradnl"/>
        </w:rPr>
        <w:footnoteReference w:id="23"/>
      </w:r>
    </w:p>
    <w:p w14:paraId="3EDCEF4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CD47665"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3DCEE75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Identificado ese riesgo, se debe demostrar que el mismo supera el interés público general porque se difunda dicha información. </w:t>
      </w:r>
    </w:p>
    <w:p w14:paraId="458DEEF7"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711544F5"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Y, por último,  que la limitación es acorde con el principio de proporcionalidad, para ello, se sugiere emplear los tres juicios propuestos por la Corte Constitucional </w:t>
      </w:r>
      <w:r w:rsidRPr="00AF7502">
        <w:rPr>
          <w:rFonts w:ascii="Palatino Linotype" w:hAnsi="Palatino Linotype"/>
          <w:color w:val="000000" w:themeColor="text1"/>
          <w:sz w:val="24"/>
        </w:rPr>
        <w:lastRenderedPageBreak/>
        <w:t>Colombiana</w:t>
      </w:r>
      <w:r w:rsidRPr="00AF7502">
        <w:rPr>
          <w:rFonts w:ascii="Palatino Linotype" w:hAnsi="Palatino Linotype"/>
          <w:color w:val="000000" w:themeColor="text1"/>
          <w:sz w:val="24"/>
          <w:vertAlign w:val="superscript"/>
        </w:rPr>
        <w:footnoteReference w:id="24"/>
      </w:r>
      <w:r w:rsidRPr="00AF7502">
        <w:rPr>
          <w:rFonts w:ascii="Palatino Linotype" w:hAnsi="Palatino Linotype"/>
          <w:color w:val="000000" w:themeColor="text1"/>
          <w:sz w:val="24"/>
        </w:rPr>
        <w:t>, siguiendo el principio de ponderación propuesto por el Tribunal Constitucional Alemán,</w:t>
      </w:r>
      <w:r w:rsidRPr="00AF7502">
        <w:rPr>
          <w:rFonts w:ascii="Palatino Linotype" w:hAnsi="Palatino Linotype"/>
          <w:color w:val="000000" w:themeColor="text1"/>
          <w:sz w:val="24"/>
          <w:vertAlign w:val="superscript"/>
        </w:rPr>
        <w:footnoteReference w:id="25"/>
      </w:r>
      <w:r w:rsidRPr="00AF7502">
        <w:rPr>
          <w:rFonts w:ascii="Palatino Linotype" w:hAnsi="Palatino Linotype"/>
          <w:color w:val="000000" w:themeColor="text1"/>
          <w:sz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2914BE8" w14:textId="0952A518" w:rsidR="005502D2" w:rsidRPr="00AF7502" w:rsidRDefault="005502D2" w:rsidP="005502D2">
      <w:pPr>
        <w:pStyle w:val="Prrafodelista"/>
        <w:keepNext/>
        <w:keepLines/>
        <w:pBdr>
          <w:top w:val="nil"/>
          <w:left w:val="nil"/>
          <w:bottom w:val="nil"/>
          <w:right w:val="nil"/>
          <w:between w:val="nil"/>
          <w:bar w:val="nil"/>
        </w:pBdr>
        <w:spacing w:before="240"/>
        <w:ind w:left="851" w:hanging="567"/>
        <w:rPr>
          <w:rFonts w:ascii="Palatino Linotype" w:eastAsiaTheme="majorEastAsia" w:hAnsi="Palatino Linotype" w:cstheme="majorBidi"/>
          <w:b/>
          <w:color w:val="000000" w:themeColor="text1"/>
        </w:rPr>
      </w:pPr>
      <w:bookmarkStart w:id="53" w:name="_Toc485631709"/>
      <w:bookmarkStart w:id="54" w:name="_Toc500756719"/>
      <w:bookmarkStart w:id="55" w:name="_Toc536691787"/>
      <w:bookmarkStart w:id="56" w:name="_Toc2267550"/>
      <w:bookmarkStart w:id="57" w:name="_Toc2856723"/>
      <w:r w:rsidRPr="00AF7502">
        <w:rPr>
          <w:rFonts w:ascii="Palatino Linotype" w:eastAsiaTheme="majorEastAsia" w:hAnsi="Palatino Linotype" w:cstheme="majorBidi"/>
          <w:b/>
          <w:color w:val="000000" w:themeColor="text1"/>
        </w:rPr>
        <w:t>c) La clasificación de la información reservada debe ser de manera temporal.</w:t>
      </w:r>
      <w:bookmarkEnd w:id="53"/>
      <w:bookmarkEnd w:id="54"/>
      <w:bookmarkEnd w:id="55"/>
      <w:bookmarkEnd w:id="56"/>
      <w:bookmarkEnd w:id="57"/>
    </w:p>
    <w:p w14:paraId="6B19B5C8" w14:textId="77777777" w:rsidR="005502D2" w:rsidRPr="00AF7502" w:rsidRDefault="005502D2" w:rsidP="005502D2">
      <w:pPr>
        <w:spacing w:line="360" w:lineRule="auto"/>
        <w:jc w:val="both"/>
        <w:rPr>
          <w:rFonts w:ascii="Palatino Linotype" w:hAnsi="Palatino Linotype"/>
          <w:b/>
          <w:color w:val="000000" w:themeColor="text1"/>
        </w:rPr>
      </w:pPr>
    </w:p>
    <w:p w14:paraId="545FA3D4"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41CE4B0" w14:textId="77777777" w:rsidR="005502D2" w:rsidRPr="00AF7502" w:rsidRDefault="005502D2" w:rsidP="005502D2">
      <w:pPr>
        <w:spacing w:line="360" w:lineRule="auto"/>
        <w:contextualSpacing/>
        <w:jc w:val="both"/>
        <w:rPr>
          <w:rFonts w:ascii="Palatino Linotype" w:hAnsi="Palatino Linotype"/>
          <w:color w:val="000000" w:themeColor="text1"/>
          <w:sz w:val="24"/>
        </w:rPr>
      </w:pPr>
    </w:p>
    <w:p w14:paraId="137E2AA1"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w:t>
      </w:r>
      <w:r w:rsidRPr="00AF7502">
        <w:rPr>
          <w:rFonts w:ascii="Palatino Linotype" w:hAnsi="Palatino Linotype"/>
          <w:b/>
          <w:color w:val="000000" w:themeColor="text1"/>
          <w:sz w:val="24"/>
        </w:rPr>
        <w:t>hasta por un periodo de cinco años,</w:t>
      </w:r>
      <w:r w:rsidRPr="00AF7502">
        <w:rPr>
          <w:rFonts w:ascii="Palatino Linotype" w:hAnsi="Palatino Linotype"/>
          <w:color w:val="000000" w:themeColor="text1"/>
          <w:sz w:val="24"/>
        </w:rPr>
        <w:t xml:space="preserve"> contados a partir de su clasificación, salvo que antes del cumplimiento del periodo de restricción, dejaran de existir los motivos de su reserva. </w:t>
      </w:r>
    </w:p>
    <w:p w14:paraId="6A360B2C" w14:textId="77777777" w:rsidR="005502D2" w:rsidRPr="00AF7502" w:rsidRDefault="005502D2" w:rsidP="005502D2">
      <w:pPr>
        <w:contextualSpacing/>
        <w:rPr>
          <w:rFonts w:ascii="Palatino Linotype" w:hAnsi="Palatino Linotype"/>
          <w:color w:val="000000" w:themeColor="text1"/>
          <w:sz w:val="24"/>
        </w:rPr>
      </w:pPr>
    </w:p>
    <w:p w14:paraId="36578907"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730968D" w14:textId="77777777" w:rsidR="005502D2" w:rsidRPr="00AF7502" w:rsidRDefault="005502D2" w:rsidP="005502D2">
      <w:pPr>
        <w:contextualSpacing/>
        <w:rPr>
          <w:rFonts w:ascii="Palatino Linotype" w:hAnsi="Palatino Linotype"/>
          <w:b/>
          <w:color w:val="000000" w:themeColor="text1"/>
          <w:sz w:val="24"/>
        </w:rPr>
      </w:pPr>
    </w:p>
    <w:p w14:paraId="7E0C8439"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De</w:t>
      </w:r>
      <w:r w:rsidRPr="00AF7502">
        <w:rPr>
          <w:rFonts w:ascii="Palatino Linotype" w:hAnsi="Palatino Linotype"/>
          <w:b/>
          <w:color w:val="000000" w:themeColor="text1"/>
          <w:sz w:val="24"/>
        </w:rPr>
        <w:t xml:space="preserve"> </w:t>
      </w:r>
      <w:r w:rsidRPr="00AF7502">
        <w:rPr>
          <w:rFonts w:ascii="Palatino Linotype" w:hAnsi="Palatino Linotype"/>
          <w:color w:val="000000" w:themeColor="text1"/>
          <w:sz w:val="24"/>
        </w:rPr>
        <w:t xml:space="preserve">manera excepcional </w:t>
      </w:r>
      <w:r w:rsidRPr="00AF7502">
        <w:rPr>
          <w:rFonts w:ascii="Palatino Linotype" w:hAnsi="Palatino Linotype"/>
          <w:b/>
          <w:color w:val="000000" w:themeColor="text1"/>
          <w:sz w:val="24"/>
        </w:rPr>
        <w:t>los sujetos obligados</w:t>
      </w:r>
      <w:r w:rsidRPr="00AF7502">
        <w:rPr>
          <w:rFonts w:ascii="Palatino Linotype" w:hAnsi="Palatino Linotype"/>
          <w:color w:val="000000" w:themeColor="text1"/>
          <w:sz w:val="24"/>
        </w:rPr>
        <w:t xml:space="preserve"> con la aprobación de su Comité de Transparencia, </w:t>
      </w:r>
      <w:r w:rsidRPr="00AF7502">
        <w:rPr>
          <w:rFonts w:ascii="Palatino Linotype" w:hAnsi="Palatino Linotype"/>
          <w:b/>
          <w:color w:val="000000" w:themeColor="text1"/>
          <w:sz w:val="24"/>
        </w:rPr>
        <w:t>podrán ampliar el periodo de reserva hasta por un plazo de cinco años adicionales y por una sola vez</w:t>
      </w:r>
      <w:r w:rsidRPr="00AF7502">
        <w:rPr>
          <w:rFonts w:ascii="Palatino Linotype" w:hAnsi="Palatino Linotype"/>
          <w:color w:val="000000" w:themeColor="text1"/>
          <w:sz w:val="24"/>
        </w:rPr>
        <w:t xml:space="preserve">, siempre y cuando justifiquen que subsisten las causas que dieron origen a su clasificación, mediante la aplicación de una prueba de daño. </w:t>
      </w:r>
    </w:p>
    <w:p w14:paraId="41397937" w14:textId="77777777" w:rsidR="005502D2" w:rsidRPr="00AF7502" w:rsidRDefault="005502D2" w:rsidP="005502D2">
      <w:pPr>
        <w:contextualSpacing/>
        <w:rPr>
          <w:rFonts w:ascii="Palatino Linotype" w:hAnsi="Palatino Linotype"/>
          <w:color w:val="000000" w:themeColor="text1"/>
          <w:sz w:val="24"/>
        </w:rPr>
      </w:pPr>
    </w:p>
    <w:p w14:paraId="54EC0C38" w14:textId="77777777" w:rsidR="005502D2" w:rsidRPr="00AF7502" w:rsidRDefault="005502D2" w:rsidP="005502D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w:t>
      </w:r>
      <w:r w:rsidRPr="00AF7502">
        <w:rPr>
          <w:rFonts w:ascii="Palatino Linotype" w:hAnsi="Palatino Linotype"/>
          <w:color w:val="000000" w:themeColor="text1"/>
          <w:sz w:val="24"/>
        </w:rPr>
        <w:lastRenderedPageBreak/>
        <w:t>de daño y señalando el plazo de reserva, por lo menos con tres meses de anticipación al vencimiento del periodo.</w:t>
      </w:r>
    </w:p>
    <w:p w14:paraId="7E9DA6FE" w14:textId="77777777" w:rsidR="005502D2" w:rsidRPr="00AF7502" w:rsidRDefault="005502D2" w:rsidP="005502D2">
      <w:pPr>
        <w:shd w:val="clear" w:color="auto" w:fill="FFFFFF"/>
        <w:spacing w:before="240" w:afterAutospacing="1" w:line="360" w:lineRule="auto"/>
        <w:contextualSpacing/>
        <w:jc w:val="both"/>
        <w:textAlignment w:val="baseline"/>
        <w:rPr>
          <w:rFonts w:ascii="Palatino Linotype" w:hAnsi="Palatino Linotype"/>
          <w:color w:val="000000" w:themeColor="text1"/>
          <w:sz w:val="24"/>
        </w:rPr>
      </w:pPr>
    </w:p>
    <w:p w14:paraId="011C58A3" w14:textId="77777777" w:rsidR="005502D2" w:rsidRPr="00AF7502" w:rsidRDefault="005502D2" w:rsidP="005502D2">
      <w:pPr>
        <w:numPr>
          <w:ilvl w:val="0"/>
          <w:numId w:val="2"/>
        </w:numPr>
        <w:shd w:val="clear" w:color="auto" w:fill="FFFFFF"/>
        <w:spacing w:before="240" w:after="160" w:afterAutospacing="1" w:line="360" w:lineRule="auto"/>
        <w:ind w:left="0" w:firstLine="0"/>
        <w:contextualSpacing/>
        <w:jc w:val="both"/>
        <w:textAlignment w:val="baseline"/>
        <w:rPr>
          <w:rFonts w:ascii="Palatino Linotype" w:hAnsi="Palatino Linotype" w:cs="Arial"/>
          <w:color w:val="000000" w:themeColor="text1"/>
          <w:sz w:val="24"/>
          <w:lang w:eastAsia="es-MX"/>
        </w:rPr>
      </w:pPr>
      <w:r w:rsidRPr="00AF7502">
        <w:rPr>
          <w:rFonts w:ascii="Palatino Linotype" w:hAnsi="Palatino Linotype"/>
          <w:color w:val="000000" w:themeColor="text1"/>
          <w:sz w:val="24"/>
        </w:rPr>
        <w:t xml:space="preserve">Los elementos que brevemente se han señalado son todos los que deben de integrar el proceso de clasificación total o parcial de la información para, especialmente, responder a las solicitudes. La falta de cualquiera de ellos puede provocar que el acto que limita o restringe el acceso a la información sea considerada infundado y se proceda a ordenar la desclasificación de la información por el incumplimiento de las formalidades, es decir, por vicios de legalidad o a la reposición del acto.  </w:t>
      </w:r>
    </w:p>
    <w:p w14:paraId="37810A28" w14:textId="77777777" w:rsidR="005502D2" w:rsidRPr="00AF7502" w:rsidRDefault="005502D2" w:rsidP="005502D2">
      <w:pPr>
        <w:shd w:val="clear" w:color="auto" w:fill="FFFFFF"/>
        <w:spacing w:before="240" w:line="360" w:lineRule="auto"/>
        <w:contextualSpacing/>
        <w:jc w:val="both"/>
        <w:rPr>
          <w:rFonts w:ascii="Palatino Linotype" w:hAnsi="Palatino Linotype" w:cs="Arial"/>
          <w:color w:val="000000" w:themeColor="text1"/>
          <w:lang w:eastAsia="es-MX"/>
        </w:rPr>
      </w:pPr>
    </w:p>
    <w:p w14:paraId="6C6F6910" w14:textId="7656FA35" w:rsidR="005502D2" w:rsidRPr="00AF7502" w:rsidRDefault="005502D2" w:rsidP="005502D2">
      <w:pPr>
        <w:pStyle w:val="Ttulo3"/>
        <w:rPr>
          <w:rFonts w:ascii="Palatino Linotype" w:eastAsiaTheme="minorEastAsia" w:hAnsi="Palatino Linotype"/>
          <w:b/>
          <w:bCs/>
          <w:color w:val="auto"/>
        </w:rPr>
      </w:pPr>
      <w:bookmarkStart w:id="58" w:name="_Toc67668074"/>
      <w:bookmarkStart w:id="59" w:name="_Toc70599266"/>
      <w:bookmarkStart w:id="60" w:name="_Toc83901347"/>
      <w:r w:rsidRPr="00AF7502">
        <w:rPr>
          <w:rFonts w:ascii="Palatino Linotype" w:eastAsiaTheme="minorEastAsia" w:hAnsi="Palatino Linotype"/>
          <w:b/>
          <w:bCs/>
          <w:color w:val="auto"/>
        </w:rPr>
        <w:t xml:space="preserve">II. </w:t>
      </w:r>
      <w:r w:rsidR="001F2768" w:rsidRPr="00AF7502">
        <w:rPr>
          <w:rFonts w:ascii="Palatino Linotype" w:eastAsiaTheme="minorEastAsia" w:hAnsi="Palatino Linotype"/>
          <w:b/>
          <w:bCs/>
          <w:color w:val="auto"/>
        </w:rPr>
        <w:t>Lineamientos Generales en materia de Clasificación y desclasificación de la información</w:t>
      </w:r>
      <w:bookmarkEnd w:id="58"/>
      <w:bookmarkEnd w:id="59"/>
      <w:r w:rsidR="001F2768" w:rsidRPr="00AF7502">
        <w:rPr>
          <w:rFonts w:ascii="Palatino Linotype" w:eastAsiaTheme="minorEastAsia" w:hAnsi="Palatino Linotype"/>
          <w:b/>
          <w:bCs/>
          <w:color w:val="auto"/>
        </w:rPr>
        <w:t>, así como para la elaboración de versiones públicas.</w:t>
      </w:r>
      <w:bookmarkEnd w:id="60"/>
    </w:p>
    <w:p w14:paraId="091E6987" w14:textId="77777777" w:rsidR="005502D2" w:rsidRPr="00AF7502" w:rsidRDefault="005502D2" w:rsidP="005502D2">
      <w:pPr>
        <w:pStyle w:val="Prrafodelista"/>
        <w:rPr>
          <w:rFonts w:ascii="Palatino Linotype" w:eastAsia="Calibri" w:hAnsi="Palatino Linotype" w:cs="Arial"/>
        </w:rPr>
      </w:pPr>
    </w:p>
    <w:p w14:paraId="6EC303EE" w14:textId="350009CE" w:rsidR="005502D2" w:rsidRPr="00AF7502" w:rsidRDefault="005502D2" w:rsidP="005502D2">
      <w:pPr>
        <w:pStyle w:val="Prrafodelista"/>
        <w:numPr>
          <w:ilvl w:val="0"/>
          <w:numId w:val="2"/>
        </w:numPr>
        <w:spacing w:line="360" w:lineRule="auto"/>
        <w:ind w:left="0" w:firstLine="0"/>
        <w:jc w:val="both"/>
        <w:rPr>
          <w:rFonts w:ascii="Palatino Linotype" w:hAnsi="Palatino Linotype" w:cs="Arial"/>
          <w:sz w:val="24"/>
        </w:rPr>
      </w:pPr>
      <w:r w:rsidRPr="00AF7502">
        <w:rPr>
          <w:rFonts w:ascii="Palatino Linotype" w:hAnsi="Palatino Linotype"/>
          <w:color w:val="000000" w:themeColor="text1"/>
          <w:sz w:val="24"/>
        </w:rPr>
        <w:t xml:space="preserve">Para aplicar la prueba de daño, es necesario traer a contexto </w:t>
      </w:r>
      <w:r w:rsidRPr="00AF7502">
        <w:rPr>
          <w:rFonts w:ascii="Palatino Linotype" w:hAnsi="Palatino Linotype" w:cs="Arial"/>
          <w:sz w:val="24"/>
        </w:rPr>
        <w:t xml:space="preserve">los </w:t>
      </w:r>
      <w:r w:rsidRPr="00AF7502">
        <w:rPr>
          <w:rFonts w:ascii="Palatino Linotype" w:hAnsi="Palatino Linotype"/>
          <w:sz w:val="24"/>
        </w:rPr>
        <w:t>Lineamientos Generales en materia de clasificación y desclasificación de la información, así como para la elaboración de versiones públicas.</w:t>
      </w:r>
      <w:r w:rsidR="001F2768" w:rsidRPr="00AF7502">
        <w:rPr>
          <w:rStyle w:val="Refdenotaalpie"/>
          <w:rFonts w:ascii="Palatino Linotype" w:hAnsi="Palatino Linotype"/>
          <w:sz w:val="24"/>
        </w:rPr>
        <w:footnoteReference w:id="26"/>
      </w:r>
    </w:p>
    <w:p w14:paraId="4A7AC1E3" w14:textId="77777777" w:rsidR="005502D2" w:rsidRPr="00AF7502" w:rsidRDefault="005502D2" w:rsidP="005502D2">
      <w:pPr>
        <w:pStyle w:val="Prrafodelista"/>
        <w:spacing w:line="360" w:lineRule="auto"/>
        <w:ind w:left="0"/>
        <w:jc w:val="both"/>
        <w:rPr>
          <w:rFonts w:ascii="Palatino Linotype" w:hAnsi="Palatino Linotype" w:cs="Arial"/>
        </w:rPr>
      </w:pPr>
    </w:p>
    <w:p w14:paraId="626D0831"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TÍTULO SEXTO</w:t>
      </w:r>
    </w:p>
    <w:p w14:paraId="0BE01AC4"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INFORMACIÓN CLASIFICADA</w:t>
      </w:r>
    </w:p>
    <w:p w14:paraId="2F6F9850"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Capítulo I</w:t>
      </w:r>
    </w:p>
    <w:p w14:paraId="6732F6FF" w14:textId="77777777" w:rsidR="005502D2" w:rsidRPr="00AF7502" w:rsidRDefault="005502D2" w:rsidP="005502D2">
      <w:pPr>
        <w:spacing w:line="360" w:lineRule="auto"/>
        <w:ind w:left="567" w:right="616"/>
        <w:jc w:val="center"/>
        <w:rPr>
          <w:rFonts w:ascii="Palatino Linotype" w:hAnsi="Palatino Linotype"/>
          <w:b/>
          <w:bCs/>
          <w:i/>
          <w:iCs/>
        </w:rPr>
      </w:pPr>
      <w:r w:rsidRPr="00AF7502">
        <w:rPr>
          <w:rFonts w:ascii="Palatino Linotype" w:hAnsi="Palatino Linotype"/>
          <w:b/>
          <w:bCs/>
          <w:i/>
          <w:iCs/>
        </w:rPr>
        <w:t>De las disposiciones generales de la clasificación y desclasificación de la información</w:t>
      </w:r>
    </w:p>
    <w:p w14:paraId="293A8ED9" w14:textId="77777777" w:rsidR="005502D2" w:rsidRPr="00AF7502" w:rsidRDefault="005502D2" w:rsidP="005502D2">
      <w:pPr>
        <w:spacing w:line="360" w:lineRule="auto"/>
        <w:ind w:left="567" w:right="616"/>
        <w:jc w:val="center"/>
        <w:rPr>
          <w:rFonts w:ascii="Palatino Linotype" w:hAnsi="Palatino Linotype"/>
          <w:i/>
          <w:iCs/>
        </w:rPr>
      </w:pPr>
    </w:p>
    <w:p w14:paraId="3E1E0D6E" w14:textId="0EC5CFCC" w:rsidR="005502D2" w:rsidRPr="00AF7502" w:rsidRDefault="005502D2" w:rsidP="005502D2">
      <w:pPr>
        <w:spacing w:line="360" w:lineRule="auto"/>
        <w:ind w:left="567" w:right="616"/>
        <w:jc w:val="both"/>
        <w:rPr>
          <w:rFonts w:ascii="Palatino Linotype" w:hAnsi="Palatino Linotype"/>
          <w:i/>
          <w:iCs/>
        </w:rPr>
      </w:pPr>
      <w:r w:rsidRPr="00AF7502">
        <w:rPr>
          <w:rFonts w:ascii="Palatino Linotype" w:hAnsi="Palatino Linotype"/>
          <w:i/>
          <w:iCs/>
        </w:rPr>
        <w:t xml:space="preserve">Artículo 104. En la aplicación de la prueba de daño, el sujeto obligado deberá justificar que: I. La divulgación de la información representa un riesgo real, demostrable e identificable de perjuicio </w:t>
      </w:r>
      <w:r w:rsidRPr="00AF7502">
        <w:rPr>
          <w:rFonts w:ascii="Palatino Linotype" w:hAnsi="Palatino Linotype"/>
          <w:i/>
          <w:iCs/>
        </w:rPr>
        <w:lastRenderedPageBreak/>
        <w:t>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21F60B95" w14:textId="77777777" w:rsidR="005502D2" w:rsidRPr="00AF7502" w:rsidRDefault="005502D2" w:rsidP="005502D2">
      <w:pPr>
        <w:shd w:val="clear" w:color="auto" w:fill="FFFFFF"/>
        <w:spacing w:line="360" w:lineRule="auto"/>
        <w:ind w:left="567" w:right="616"/>
        <w:jc w:val="center"/>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CAPÍTULO V</w:t>
      </w:r>
    </w:p>
    <w:p w14:paraId="772705B4" w14:textId="77777777" w:rsidR="005502D2" w:rsidRPr="00AF7502" w:rsidRDefault="005502D2" w:rsidP="005502D2">
      <w:pPr>
        <w:shd w:val="clear" w:color="auto" w:fill="FFFFFF"/>
        <w:spacing w:line="360" w:lineRule="auto"/>
        <w:ind w:left="567" w:right="616"/>
        <w:jc w:val="center"/>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DE LA INFORMACIÓN RESERVADA</w:t>
      </w:r>
    </w:p>
    <w:p w14:paraId="2F12BB89" w14:textId="77777777" w:rsidR="005502D2" w:rsidRPr="00AF7502" w:rsidRDefault="005502D2" w:rsidP="005502D2">
      <w:pPr>
        <w:spacing w:line="360" w:lineRule="auto"/>
        <w:ind w:left="567" w:right="616"/>
        <w:jc w:val="both"/>
        <w:rPr>
          <w:rFonts w:ascii="Palatino Linotype" w:hAnsi="Palatino Linotype"/>
          <w:i/>
          <w:iCs/>
        </w:rPr>
      </w:pPr>
    </w:p>
    <w:p w14:paraId="7CB13508"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Trigésimo tercero. </w:t>
      </w:r>
      <w:r w:rsidRPr="00AF7502">
        <w:rPr>
          <w:rFonts w:ascii="Palatino Linotype" w:hAnsi="Palatino Linotype" w:cs="Helvetica"/>
          <w:i/>
          <w:iCs/>
          <w:color w:val="2F2F2F"/>
          <w:lang w:eastAsia="es-MX"/>
        </w:rPr>
        <w:t>Para la aplicación de la prueba de daño a la que hace referencia el artículo 104 de la Ley General, los sujetos obligados atenderán lo siguiente:</w:t>
      </w:r>
    </w:p>
    <w:p w14:paraId="354C71F0"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50BBCBBE"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4F8423C5"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III.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Se debe de acreditar el vínculo entre la difusión de la información y la afectación del interés jurídico tutelado de que se trate;</w:t>
      </w:r>
    </w:p>
    <w:p w14:paraId="1B5D1E0D"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IV.</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Precisar las razones objetivas por las que la apertura de la información generaría una afectación, a través de los elementos de un riesgo real, demostrable e identificable;</w:t>
      </w:r>
    </w:p>
    <w:p w14:paraId="5E569843" w14:textId="77777777" w:rsidR="005502D2" w:rsidRPr="00AF7502" w:rsidRDefault="005502D2" w:rsidP="005502D2">
      <w:pPr>
        <w:shd w:val="clear" w:color="auto" w:fill="FFFFFF"/>
        <w:spacing w:after="82" w:line="360" w:lineRule="auto"/>
        <w:ind w:left="567" w:right="616"/>
        <w:jc w:val="both"/>
        <w:rPr>
          <w:rFonts w:ascii="Palatino Linotype" w:hAnsi="Palatino Linotype" w:cs="Arial"/>
          <w:i/>
          <w:iCs/>
          <w:color w:val="2F2F2F"/>
          <w:lang w:eastAsia="es-MX"/>
        </w:rPr>
      </w:pPr>
      <w:r w:rsidRPr="00AF7502">
        <w:rPr>
          <w:rFonts w:ascii="Palatino Linotype" w:hAnsi="Palatino Linotype" w:cs="Helvetica"/>
          <w:b/>
          <w:bCs/>
          <w:i/>
          <w:iCs/>
          <w:color w:val="2F2F2F"/>
          <w:lang w:eastAsia="es-MX"/>
        </w:rPr>
        <w:t>V.</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En la motivación de la clasificación, el sujeto obligado deberá acreditar las circunstancias de modo, tiempo y lugar del daño, y</w:t>
      </w:r>
    </w:p>
    <w:p w14:paraId="3B1C1D61" w14:textId="77777777" w:rsidR="005502D2" w:rsidRDefault="005502D2" w:rsidP="005502D2">
      <w:pPr>
        <w:shd w:val="clear" w:color="auto" w:fill="FFFFFF"/>
        <w:spacing w:after="82" w:line="360" w:lineRule="auto"/>
        <w:ind w:left="567" w:right="616"/>
        <w:jc w:val="both"/>
        <w:rPr>
          <w:rFonts w:ascii="Palatino Linotype" w:hAnsi="Palatino Linotype" w:cs="Helvetica"/>
          <w:i/>
          <w:iCs/>
          <w:color w:val="2F2F2F"/>
          <w:lang w:eastAsia="es-MX"/>
        </w:rPr>
      </w:pPr>
      <w:r w:rsidRPr="00AF7502">
        <w:rPr>
          <w:rFonts w:ascii="Palatino Linotype" w:hAnsi="Palatino Linotype" w:cs="Helvetica"/>
          <w:b/>
          <w:bCs/>
          <w:i/>
          <w:iCs/>
          <w:color w:val="2F2F2F"/>
          <w:lang w:eastAsia="es-MX"/>
        </w:rPr>
        <w:t>VI.</w:t>
      </w:r>
      <w:r w:rsidRPr="00AF7502">
        <w:rPr>
          <w:rFonts w:ascii="Palatino Linotype" w:hAnsi="Palatino Linotype" w:cs="Arial"/>
          <w:i/>
          <w:iCs/>
          <w:color w:val="2F2F2F"/>
          <w:lang w:eastAsia="es-MX"/>
        </w:rPr>
        <w:t>      </w:t>
      </w:r>
      <w:r w:rsidRPr="00AF7502">
        <w:rPr>
          <w:rFonts w:ascii="Palatino Linotype" w:hAnsi="Palatino Linotype" w:cs="Helvetica"/>
          <w:i/>
          <w:iCs/>
          <w:color w:val="2F2F2F"/>
          <w:lang w:eastAsia="es-MX"/>
        </w:rPr>
        <w:t>Deberán elegir la opción de excepción al acceso a la información que menos lo restrinja, la cual será adecuada y proporcional para la protección del interés público, y deberá interferir lo menos</w:t>
      </w:r>
      <w:r w:rsidRPr="00AF7502">
        <w:rPr>
          <w:rFonts w:ascii="Palatino Linotype" w:hAnsi="Palatino Linotype" w:cs="Arial"/>
          <w:i/>
          <w:iCs/>
          <w:color w:val="2F2F2F"/>
          <w:lang w:eastAsia="es-MX"/>
        </w:rPr>
        <w:t xml:space="preserve"> </w:t>
      </w:r>
      <w:r w:rsidRPr="00AF7502">
        <w:rPr>
          <w:rFonts w:ascii="Palatino Linotype" w:hAnsi="Palatino Linotype" w:cs="Helvetica"/>
          <w:i/>
          <w:iCs/>
          <w:color w:val="2F2F2F"/>
          <w:lang w:eastAsia="es-MX"/>
        </w:rPr>
        <w:t>posible en el ejercicio efectivo del derecho de acceso a la información.</w:t>
      </w:r>
    </w:p>
    <w:p w14:paraId="4DC5E3B0" w14:textId="77777777" w:rsidR="0080742A" w:rsidRPr="00AF7502" w:rsidRDefault="0080742A" w:rsidP="0080742A">
      <w:pPr>
        <w:shd w:val="clear" w:color="auto" w:fill="FFFFFF"/>
        <w:spacing w:after="82" w:line="360" w:lineRule="auto"/>
        <w:ind w:right="616"/>
        <w:jc w:val="both"/>
        <w:rPr>
          <w:rFonts w:ascii="Palatino Linotype" w:hAnsi="Palatino Linotype" w:cs="Arial"/>
          <w:i/>
          <w:iCs/>
          <w:color w:val="2F2F2F"/>
          <w:lang w:eastAsia="es-MX"/>
        </w:rPr>
      </w:pPr>
    </w:p>
    <w:p w14:paraId="506D413E" w14:textId="53167AD0" w:rsidR="005502D2" w:rsidRPr="00AF7502" w:rsidRDefault="00F24CE9" w:rsidP="005502D2">
      <w:pPr>
        <w:pStyle w:val="Ttulo4"/>
        <w:numPr>
          <w:ilvl w:val="0"/>
          <w:numId w:val="24"/>
        </w:numPr>
        <w:jc w:val="both"/>
        <w:rPr>
          <w:rFonts w:ascii="Palatino Linotype" w:eastAsiaTheme="minorEastAsia" w:hAnsi="Palatino Linotype"/>
          <w:i w:val="0"/>
          <w:iCs w:val="0"/>
          <w:sz w:val="22"/>
          <w:szCs w:val="22"/>
        </w:rPr>
      </w:pPr>
      <w:r w:rsidRPr="00AF7502">
        <w:rPr>
          <w:rFonts w:ascii="Palatino Linotype" w:eastAsia="Times New Roman" w:hAnsi="Palatino Linotype" w:cs="Helvetica"/>
          <w:b/>
          <w:bCs/>
          <w:i w:val="0"/>
          <w:iCs w:val="0"/>
          <w:color w:val="2F2F2F"/>
          <w:sz w:val="22"/>
          <w:szCs w:val="22"/>
          <w:lang w:eastAsia="es-MX"/>
        </w:rPr>
        <w:lastRenderedPageBreak/>
        <w:t>Actualización de la causal de reserva de la información</w:t>
      </w:r>
    </w:p>
    <w:p w14:paraId="0A6CBBBF" w14:textId="77777777" w:rsidR="005502D2" w:rsidRPr="00AF7502" w:rsidRDefault="005502D2" w:rsidP="005502D2">
      <w:pPr>
        <w:pStyle w:val="Prrafodelista"/>
        <w:spacing w:before="240" w:after="240" w:line="360" w:lineRule="auto"/>
        <w:ind w:left="0" w:right="49"/>
        <w:jc w:val="both"/>
        <w:rPr>
          <w:rFonts w:ascii="Palatino Linotype" w:hAnsi="Palatino Linotype" w:cs="Bookman Old Style"/>
        </w:rPr>
      </w:pPr>
    </w:p>
    <w:p w14:paraId="086B4829" w14:textId="77777777" w:rsidR="005502D2" w:rsidRPr="00AF7502" w:rsidRDefault="005502D2" w:rsidP="005502D2">
      <w:pPr>
        <w:pStyle w:val="Prrafodelista"/>
        <w:numPr>
          <w:ilvl w:val="0"/>
          <w:numId w:val="2"/>
        </w:numPr>
        <w:spacing w:before="240" w:after="240" w:line="360" w:lineRule="auto"/>
        <w:ind w:left="0" w:right="49" w:firstLine="0"/>
        <w:jc w:val="both"/>
        <w:rPr>
          <w:rFonts w:ascii="Palatino Linotype" w:hAnsi="Palatino Linotype" w:cs="Bookman Old Style"/>
        </w:rPr>
      </w:pPr>
      <w:r w:rsidRPr="00AF7502">
        <w:rPr>
          <w:rFonts w:ascii="Palatino Linotype" w:eastAsia="Calibri" w:hAnsi="Palatino Linotype" w:cs="Arial"/>
          <w:sz w:val="24"/>
        </w:rPr>
        <w:t xml:space="preserve">El artículo 113, fracción V </w:t>
      </w:r>
      <w:r w:rsidRPr="00AF7502">
        <w:rPr>
          <w:rFonts w:ascii="Palatino Linotype" w:hAnsi="Palatino Linotype"/>
          <w:color w:val="000000" w:themeColor="text1"/>
          <w:sz w:val="24"/>
        </w:rPr>
        <w:t>de la Ley General de Transparencia y Acceso a la Información Pública</w:t>
      </w:r>
      <w:r w:rsidRPr="00AF7502">
        <w:rPr>
          <w:rFonts w:ascii="Palatino Linotype" w:eastAsia="Calibri" w:hAnsi="Palatino Linotype" w:cs="Arial"/>
          <w:sz w:val="24"/>
        </w:rPr>
        <w:t xml:space="preserve">, así como el artículo 140, fracción IV, de la Ley de Transparencia y Acceso a la Información Pública del Estado de México y Municipios, </w:t>
      </w:r>
      <w:r w:rsidRPr="00AF7502">
        <w:rPr>
          <w:rFonts w:ascii="Palatino Linotype" w:hAnsi="Palatino Linotype" w:cs="Arial"/>
          <w:sz w:val="24"/>
        </w:rPr>
        <w:t>Municipios, en relación con el Lineamiento Vigésimo Tercero de los Lineamientos Generales en Materia de Clasificación, Desclasificación de la Información, así como para la Elaboración de Versiones Públicas establecen lo siguiente:</w:t>
      </w:r>
    </w:p>
    <w:p w14:paraId="16BC0219" w14:textId="77777777" w:rsidR="005502D2" w:rsidRPr="00AF7502" w:rsidRDefault="005502D2" w:rsidP="005502D2">
      <w:pPr>
        <w:spacing w:line="360" w:lineRule="auto"/>
        <w:ind w:left="567" w:right="567"/>
        <w:jc w:val="both"/>
        <w:rPr>
          <w:rFonts w:ascii="Palatino Linotype" w:hAnsi="Palatino Linotype"/>
          <w:b/>
          <w:bCs/>
          <w:i/>
          <w:iCs/>
        </w:rPr>
      </w:pPr>
      <w:r w:rsidRPr="00AF7502">
        <w:rPr>
          <w:rFonts w:ascii="Palatino Linotype" w:hAnsi="Palatino Linotype"/>
          <w:b/>
          <w:bCs/>
          <w:i/>
          <w:iCs/>
          <w:color w:val="000000" w:themeColor="text1"/>
          <w:sz w:val="22"/>
          <w:szCs w:val="22"/>
        </w:rPr>
        <w:t>Ley General de Transparencia y Acceso a la Información Pública</w:t>
      </w:r>
      <w:r w:rsidRPr="00AF7502">
        <w:rPr>
          <w:rFonts w:ascii="Palatino Linotype" w:hAnsi="Palatino Linotype"/>
          <w:b/>
          <w:bCs/>
          <w:i/>
          <w:iCs/>
        </w:rPr>
        <w:t xml:space="preserve"> </w:t>
      </w:r>
    </w:p>
    <w:p w14:paraId="45A92B36" w14:textId="77777777" w:rsidR="005502D2" w:rsidRPr="00AF7502" w:rsidRDefault="005502D2" w:rsidP="005502D2">
      <w:pPr>
        <w:spacing w:line="360" w:lineRule="auto"/>
        <w:ind w:left="567" w:right="567"/>
        <w:jc w:val="center"/>
        <w:rPr>
          <w:rFonts w:ascii="Palatino Linotype" w:hAnsi="Palatino Linotype"/>
          <w:i/>
          <w:iCs/>
          <w:sz w:val="22"/>
          <w:szCs w:val="22"/>
        </w:rPr>
      </w:pPr>
      <w:r w:rsidRPr="00AF7502">
        <w:rPr>
          <w:rFonts w:ascii="Palatino Linotype" w:hAnsi="Palatino Linotype"/>
          <w:i/>
          <w:iCs/>
          <w:sz w:val="22"/>
          <w:szCs w:val="22"/>
        </w:rPr>
        <w:t>Capítulo II</w:t>
      </w:r>
    </w:p>
    <w:p w14:paraId="05EB7DF4" w14:textId="77777777" w:rsidR="005502D2" w:rsidRPr="00AF7502" w:rsidRDefault="005502D2" w:rsidP="005502D2">
      <w:pPr>
        <w:spacing w:line="360" w:lineRule="auto"/>
        <w:ind w:left="567" w:right="567"/>
        <w:jc w:val="center"/>
        <w:rPr>
          <w:rFonts w:ascii="Palatino Linotype" w:hAnsi="Palatino Linotype"/>
          <w:i/>
          <w:iCs/>
          <w:sz w:val="22"/>
          <w:szCs w:val="22"/>
        </w:rPr>
      </w:pPr>
      <w:r w:rsidRPr="00AF7502">
        <w:rPr>
          <w:rFonts w:ascii="Palatino Linotype" w:hAnsi="Palatino Linotype"/>
          <w:i/>
          <w:iCs/>
          <w:sz w:val="22"/>
          <w:szCs w:val="22"/>
        </w:rPr>
        <w:t>De la Información Reservada</w:t>
      </w:r>
    </w:p>
    <w:p w14:paraId="364BAA1F" w14:textId="77777777" w:rsidR="005502D2" w:rsidRPr="00AF7502" w:rsidRDefault="005502D2" w:rsidP="005502D2">
      <w:pPr>
        <w:spacing w:line="360" w:lineRule="auto"/>
        <w:ind w:left="567" w:right="567"/>
        <w:jc w:val="both"/>
        <w:rPr>
          <w:rFonts w:ascii="Palatino Linotype" w:hAnsi="Palatino Linotype" w:cs="Arial"/>
          <w:i/>
          <w:iCs/>
          <w:sz w:val="22"/>
          <w:szCs w:val="22"/>
        </w:rPr>
      </w:pPr>
      <w:r w:rsidRPr="00AF7502">
        <w:rPr>
          <w:rFonts w:ascii="Palatino Linotype" w:hAnsi="Palatino Linotype"/>
          <w:i/>
          <w:iCs/>
          <w:sz w:val="22"/>
          <w:szCs w:val="22"/>
        </w:rPr>
        <w:t>Artículo 113. Como información reservada podrá clasificarse aquella cuya publicación:</w:t>
      </w:r>
    </w:p>
    <w:p w14:paraId="0FCA2EBF" w14:textId="77777777" w:rsidR="005502D2" w:rsidRPr="00AF7502" w:rsidRDefault="005502D2" w:rsidP="005502D2">
      <w:pPr>
        <w:spacing w:line="360" w:lineRule="auto"/>
        <w:ind w:left="567" w:right="567"/>
        <w:jc w:val="both"/>
        <w:rPr>
          <w:rFonts w:ascii="Palatino Linotype" w:hAnsi="Palatino Linotype" w:cs="Arial"/>
          <w:i/>
          <w:iCs/>
          <w:sz w:val="22"/>
          <w:szCs w:val="22"/>
        </w:rPr>
      </w:pPr>
      <w:r w:rsidRPr="00AF7502">
        <w:rPr>
          <w:rFonts w:ascii="Palatino Linotype" w:hAnsi="Palatino Linotype" w:cs="Arial"/>
          <w:i/>
          <w:iCs/>
          <w:sz w:val="22"/>
          <w:szCs w:val="22"/>
        </w:rPr>
        <w:t>…</w:t>
      </w:r>
    </w:p>
    <w:p w14:paraId="5A7013CD" w14:textId="77777777" w:rsidR="005502D2" w:rsidRPr="00AF7502" w:rsidRDefault="005502D2" w:rsidP="005502D2">
      <w:pPr>
        <w:spacing w:line="360" w:lineRule="auto"/>
        <w:ind w:left="567" w:right="567"/>
        <w:jc w:val="both"/>
        <w:rPr>
          <w:rFonts w:ascii="Palatino Linotype" w:hAnsi="Palatino Linotype"/>
          <w:i/>
          <w:iCs/>
          <w:sz w:val="22"/>
          <w:szCs w:val="22"/>
        </w:rPr>
      </w:pPr>
      <w:r w:rsidRPr="00AF7502">
        <w:rPr>
          <w:rFonts w:ascii="Palatino Linotype" w:hAnsi="Palatino Linotype"/>
          <w:i/>
          <w:iCs/>
          <w:sz w:val="22"/>
          <w:szCs w:val="22"/>
        </w:rPr>
        <w:t>V. Pueda poner en riesgo la vida, seguridad o salud de una persona física;</w:t>
      </w:r>
    </w:p>
    <w:p w14:paraId="18B48514" w14:textId="77777777" w:rsidR="005502D2" w:rsidRPr="00AF7502" w:rsidRDefault="005502D2" w:rsidP="005502D2">
      <w:pPr>
        <w:spacing w:line="360" w:lineRule="auto"/>
        <w:ind w:left="567" w:right="567"/>
        <w:jc w:val="both"/>
        <w:rPr>
          <w:rFonts w:ascii="Palatino Linotype" w:hAnsi="Palatino Linotype"/>
          <w:i/>
          <w:iCs/>
          <w:sz w:val="22"/>
          <w:szCs w:val="22"/>
        </w:rPr>
      </w:pPr>
      <w:r w:rsidRPr="00AF7502">
        <w:rPr>
          <w:rFonts w:ascii="Palatino Linotype" w:hAnsi="Palatino Linotype"/>
          <w:i/>
          <w:iCs/>
          <w:sz w:val="22"/>
          <w:szCs w:val="22"/>
        </w:rPr>
        <w:t>…</w:t>
      </w:r>
    </w:p>
    <w:p w14:paraId="60620F6E"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center"/>
        <w:rPr>
          <w:rFonts w:ascii="Palatino Linotype" w:hAnsi="Palatino Linotype"/>
          <w:b/>
          <w:i/>
        </w:rPr>
      </w:pPr>
      <w:r w:rsidRPr="00AF7502">
        <w:rPr>
          <w:rFonts w:ascii="Palatino Linotype" w:hAnsi="Palatino Linotype"/>
          <w:b/>
          <w:i/>
        </w:rPr>
        <w:t>LEY DE TRANSPARENCIA Y ACCESO A LA INFORMACIÓN PÚBLICA DEL ESTADO DE MÉXICO Y MUNICIPIOS</w:t>
      </w:r>
    </w:p>
    <w:p w14:paraId="2CF6CD86"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i/>
        </w:rPr>
        <w:t>“</w:t>
      </w:r>
      <w:r w:rsidRPr="00AF7502">
        <w:rPr>
          <w:rFonts w:ascii="Palatino Linotype" w:hAnsi="Palatino Linotype"/>
          <w:b/>
          <w:i/>
        </w:rPr>
        <w:t>Artículo 140.</w:t>
      </w:r>
      <w:r w:rsidRPr="00AF7502">
        <w:rPr>
          <w:rFonts w:ascii="Palatino Linotype" w:hAnsi="Palatino Linotype"/>
          <w:i/>
        </w:rPr>
        <w:t xml:space="preserve"> </w:t>
      </w:r>
      <w:r w:rsidRPr="00AF7502">
        <w:rPr>
          <w:rFonts w:ascii="Palatino Linotype" w:hAnsi="Palatino Linotype"/>
          <w:b/>
          <w:i/>
        </w:rPr>
        <w:t>El acceso a la información pública será restringido</w:t>
      </w:r>
      <w:r w:rsidRPr="00AF7502">
        <w:rPr>
          <w:rFonts w:ascii="Palatino Linotype" w:hAnsi="Palatino Linotype"/>
          <w:i/>
        </w:rPr>
        <w:t xml:space="preserve"> excepcionalmente, </w:t>
      </w:r>
      <w:r w:rsidRPr="00AF7502">
        <w:rPr>
          <w:rFonts w:ascii="Palatino Linotype" w:hAnsi="Palatino Linotype"/>
          <w:b/>
          <w:i/>
        </w:rPr>
        <w:t>cuando</w:t>
      </w:r>
      <w:r w:rsidRPr="00AF7502">
        <w:rPr>
          <w:rFonts w:ascii="Palatino Linotype" w:hAnsi="Palatino Linotype"/>
          <w:i/>
        </w:rPr>
        <w:t xml:space="preserve"> por razones de interés público, </w:t>
      </w:r>
      <w:r w:rsidRPr="00AF7502">
        <w:rPr>
          <w:rFonts w:ascii="Palatino Linotype" w:hAnsi="Palatino Linotype"/>
          <w:b/>
          <w:i/>
        </w:rPr>
        <w:t xml:space="preserve">ésta sea </w:t>
      </w:r>
      <w:r w:rsidRPr="00AF7502">
        <w:rPr>
          <w:rFonts w:ascii="Palatino Linotype" w:hAnsi="Palatino Linotype"/>
          <w:b/>
          <w:i/>
          <w:u w:val="single"/>
        </w:rPr>
        <w:t>clasificada como reservada</w:t>
      </w:r>
      <w:r w:rsidRPr="00AF7502">
        <w:rPr>
          <w:rFonts w:ascii="Palatino Linotype" w:hAnsi="Palatino Linotype"/>
          <w:b/>
          <w:i/>
        </w:rPr>
        <w:t>, conforme a los criterios siguientes</w:t>
      </w:r>
      <w:r w:rsidRPr="00AF7502">
        <w:rPr>
          <w:rFonts w:ascii="Palatino Linotype" w:hAnsi="Palatino Linotype"/>
          <w:i/>
        </w:rPr>
        <w:t>:</w:t>
      </w:r>
    </w:p>
    <w:p w14:paraId="13374A00"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i/>
        </w:rPr>
        <w:t>(…)</w:t>
      </w:r>
    </w:p>
    <w:p w14:paraId="4B1E9DF1"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b/>
          <w:i/>
        </w:rPr>
        <w:t>IV.  Ponga en riesgo la vida, la seguridad o la salud de una persona física;</w:t>
      </w:r>
      <w:r w:rsidRPr="00AF7502">
        <w:rPr>
          <w:rFonts w:ascii="Palatino Linotype" w:hAnsi="Palatino Linotype"/>
          <w:i/>
        </w:rPr>
        <w:t>”</w:t>
      </w:r>
    </w:p>
    <w:p w14:paraId="709E0C60"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i/>
        </w:rPr>
      </w:pPr>
    </w:p>
    <w:p w14:paraId="7A4DB94E"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center"/>
        <w:rPr>
          <w:rFonts w:ascii="Palatino Linotype" w:hAnsi="Palatino Linotype" w:cs="Arial"/>
          <w:b/>
          <w:i/>
        </w:rPr>
      </w:pPr>
      <w:r w:rsidRPr="00AF7502">
        <w:rPr>
          <w:rFonts w:ascii="Palatino Linotype" w:hAnsi="Palatino Linotype" w:cs="Arial"/>
          <w:b/>
          <w:i/>
        </w:rPr>
        <w:t>LINEAMIENTOS GENERALES EN MATERIA DE CLASIFICACIÓN, DESCLASIFICACIÓN DE LA INFORMACIÓN, ASÍ COMO PARA LA ELABORACIÓN DE VERSIONES PÚBLICAS</w:t>
      </w:r>
    </w:p>
    <w:p w14:paraId="12CADE0C"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i/>
        </w:rPr>
      </w:pPr>
      <w:r w:rsidRPr="00AF7502">
        <w:rPr>
          <w:rFonts w:ascii="Palatino Linotype" w:hAnsi="Palatino Linotype" w:cs="Arial"/>
          <w:i/>
        </w:rPr>
        <w:lastRenderedPageBreak/>
        <w:t>“</w:t>
      </w:r>
      <w:r w:rsidRPr="00AF7502">
        <w:rPr>
          <w:rFonts w:ascii="Palatino Linotype" w:hAnsi="Palatino Linotype" w:cs="Arial"/>
          <w:b/>
          <w:i/>
        </w:rPr>
        <w:t xml:space="preserve">Vigésimo tercero. </w:t>
      </w:r>
      <w:r w:rsidRPr="00AF7502">
        <w:rPr>
          <w:rFonts w:ascii="Palatino Linotype" w:hAnsi="Palatino Linotype" w:cs="Arial"/>
          <w:bCs/>
          <w:i/>
        </w:rPr>
        <w:t>Para clasificar la información como reservada, de conformidad con el artículo 113, fracción V de la Ley General, será necesario acreditar un vínculo, entre la persona física y la información que pueda poner en riesgo su vida, seguridad o salud.”</w:t>
      </w:r>
    </w:p>
    <w:p w14:paraId="0BB53DD1"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rPr>
      </w:pPr>
      <w:r w:rsidRPr="00AF7502">
        <w:rPr>
          <w:rFonts w:ascii="Palatino Linotype" w:hAnsi="Palatino Linotype" w:cs="Arial"/>
        </w:rPr>
        <w:t>(Énfasis añadido)</w:t>
      </w:r>
    </w:p>
    <w:p w14:paraId="43112B08" w14:textId="77777777" w:rsidR="005502D2" w:rsidRPr="00AF7502" w:rsidRDefault="005502D2" w:rsidP="005502D2">
      <w:pPr>
        <w:pStyle w:val="Prrafodelista"/>
        <w:widowControl w:val="0"/>
        <w:autoSpaceDE w:val="0"/>
        <w:autoSpaceDN w:val="0"/>
        <w:adjustRightInd w:val="0"/>
        <w:spacing w:before="360" w:after="240" w:line="276" w:lineRule="auto"/>
        <w:ind w:left="567" w:right="567"/>
        <w:jc w:val="both"/>
        <w:rPr>
          <w:rFonts w:ascii="Palatino Linotype" w:hAnsi="Palatino Linotype" w:cs="Arial"/>
        </w:rPr>
      </w:pPr>
    </w:p>
    <w:p w14:paraId="4DC21C90" w14:textId="416953FA" w:rsidR="0080742A" w:rsidRDefault="00EA7E07" w:rsidP="00AF7502">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AF7502">
        <w:rPr>
          <w:rFonts w:ascii="Palatino Linotype" w:hAnsi="Palatino Linotype" w:cs="Bookman Old Style"/>
          <w:sz w:val="24"/>
        </w:rPr>
        <w:t>Es así</w:t>
      </w:r>
      <w:r w:rsidR="0080742A">
        <w:rPr>
          <w:rFonts w:ascii="Palatino Linotype" w:hAnsi="Palatino Linotype" w:cs="Bookman Old Style"/>
          <w:sz w:val="24"/>
        </w:rPr>
        <w:t xml:space="preserve"> que, la información solicitada, sólo en el caso de que la persona señalada en la solicitud de encuentra actualmente en servicio, actua</w:t>
      </w:r>
      <w:r w:rsidRPr="00AF7502">
        <w:rPr>
          <w:rFonts w:ascii="Palatino Linotype" w:hAnsi="Palatino Linotype" w:cs="Bookman Old Style"/>
          <w:sz w:val="24"/>
        </w:rPr>
        <w:t>liza una causal de clasificación como información reservada, en el sentido de que, la publicidad de l</w:t>
      </w:r>
      <w:r w:rsidR="0080742A">
        <w:rPr>
          <w:rFonts w:ascii="Palatino Linotype" w:hAnsi="Palatino Linotype" w:cs="Bookman Old Style"/>
          <w:sz w:val="24"/>
        </w:rPr>
        <w:t>a información revelaría el puesto que tiene, el servicio que presta y la institución a la cual se encuentra asignado. Lo cual deja en estado de indefensión tanto a la persona como a la seguridad de la institución a la cual presta sus servicios.</w:t>
      </w:r>
      <w:r w:rsidR="00935985">
        <w:rPr>
          <w:rFonts w:ascii="Palatino Linotype" w:hAnsi="Palatino Linotype" w:cs="Bookman Old Style"/>
          <w:sz w:val="24"/>
        </w:rPr>
        <w:t xml:space="preserve"> Por tal motivo, la información requerida encuentra un fin justificado para su clasificación como información reservada.</w:t>
      </w:r>
    </w:p>
    <w:p w14:paraId="7D2721B8" w14:textId="77777777" w:rsidR="004B1CC2" w:rsidRPr="00AF7502" w:rsidRDefault="004B1CC2" w:rsidP="004B1CC2">
      <w:pPr>
        <w:pStyle w:val="Prrafodelista"/>
        <w:shd w:val="clear" w:color="auto" w:fill="FFFFFF"/>
        <w:spacing w:after="200" w:line="360" w:lineRule="auto"/>
        <w:ind w:left="0"/>
        <w:jc w:val="both"/>
        <w:rPr>
          <w:rFonts w:ascii="Palatino Linotype" w:hAnsi="Palatino Linotype" w:cs="Arial"/>
          <w:sz w:val="24"/>
        </w:rPr>
      </w:pPr>
    </w:p>
    <w:p w14:paraId="01571EA1" w14:textId="57A808E9" w:rsidR="00806ABD" w:rsidRPr="00AF7502" w:rsidRDefault="00806ABD"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F73DC6" w14:textId="3009E2CD" w:rsidR="005000AA" w:rsidRPr="00624AAD" w:rsidRDefault="00CC4C0B" w:rsidP="00DB2180">
      <w:pPr>
        <w:pStyle w:val="Ttulo1"/>
        <w:rPr>
          <w:rFonts w:ascii="Palatino Linotype" w:eastAsia="Calibri" w:hAnsi="Palatino Linotype"/>
          <w:b/>
          <w:color w:val="auto"/>
          <w:sz w:val="24"/>
          <w:szCs w:val="24"/>
        </w:rPr>
      </w:pPr>
      <w:bookmarkStart w:id="61" w:name="_Toc83901348"/>
      <w:r>
        <w:rPr>
          <w:rFonts w:ascii="Palatino Linotype" w:eastAsia="Calibri" w:hAnsi="Palatino Linotype"/>
          <w:b/>
          <w:color w:val="auto"/>
          <w:sz w:val="24"/>
          <w:szCs w:val="24"/>
        </w:rPr>
        <w:t xml:space="preserve">SEXTO. </w:t>
      </w:r>
      <w:r w:rsidR="005000AA" w:rsidRPr="00624AAD">
        <w:rPr>
          <w:rFonts w:ascii="Palatino Linotype" w:eastAsia="Calibri" w:hAnsi="Palatino Linotype"/>
          <w:b/>
          <w:color w:val="auto"/>
          <w:sz w:val="24"/>
          <w:szCs w:val="24"/>
        </w:rPr>
        <w:t>DECISIÓN.</w:t>
      </w:r>
      <w:bookmarkEnd w:id="61"/>
    </w:p>
    <w:p w14:paraId="24099BD0" w14:textId="77777777" w:rsidR="005000AA" w:rsidRPr="00624AAD" w:rsidRDefault="005000AA" w:rsidP="005000AA">
      <w:pPr>
        <w:pStyle w:val="Prrafodelista"/>
        <w:rPr>
          <w:rFonts w:ascii="Palatino Linotype" w:eastAsia="Calibri" w:hAnsi="Palatino Linotype" w:cs="Arial"/>
          <w:sz w:val="24"/>
        </w:rPr>
      </w:pPr>
    </w:p>
    <w:p w14:paraId="513E5C74" w14:textId="2120D2DF" w:rsidR="00FC4367" w:rsidRDefault="00FC4367"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El Titular de la Unidad de Transparencia no turnó la solicitud a </w:t>
      </w:r>
      <w:r w:rsidR="00B067AE">
        <w:rPr>
          <w:rFonts w:ascii="Palatino Linotype" w:eastAsia="Calibri" w:hAnsi="Palatino Linotype" w:cs="Arial"/>
          <w:sz w:val="24"/>
        </w:rPr>
        <w:t xml:space="preserve">las áreas que </w:t>
      </w:r>
      <w:r>
        <w:rPr>
          <w:rFonts w:ascii="Palatino Linotype" w:eastAsia="Calibri" w:hAnsi="Palatino Linotype" w:cs="Arial"/>
          <w:sz w:val="24"/>
        </w:rPr>
        <w:t>de acuerdo a sus funciones, atribuciones y competencias deban generar, administrar y poseer la información, lo que tiene por consecuencia que no se haya realizado una correcta búsqueda exhaustiva y razonable de la información, causando una afectación al derecho accionado.</w:t>
      </w:r>
    </w:p>
    <w:p w14:paraId="6A2B35D8" w14:textId="77777777" w:rsidR="00FC4367" w:rsidRDefault="00FC4367" w:rsidP="00FC4367">
      <w:pPr>
        <w:pStyle w:val="Prrafodelista"/>
        <w:tabs>
          <w:tab w:val="left" w:pos="567"/>
        </w:tabs>
        <w:spacing w:line="360" w:lineRule="auto"/>
        <w:ind w:left="0"/>
        <w:jc w:val="both"/>
        <w:rPr>
          <w:rFonts w:ascii="Palatino Linotype" w:eastAsia="Calibri" w:hAnsi="Palatino Linotype" w:cs="Arial"/>
          <w:sz w:val="24"/>
        </w:rPr>
      </w:pPr>
    </w:p>
    <w:p w14:paraId="73A7072B" w14:textId="07D35F8C" w:rsidR="00BA10DC"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eastAsia="Calibri" w:hAnsi="Palatino Linotype" w:cs="Arial"/>
          <w:sz w:val="24"/>
        </w:rPr>
        <w:t xml:space="preserve">La respuesta que emitió el Sujeto Obligado </w:t>
      </w:r>
      <w:r w:rsidR="00BA10DC">
        <w:rPr>
          <w:rFonts w:ascii="Palatino Linotype" w:eastAsia="Calibri" w:hAnsi="Palatino Linotype" w:cs="Arial"/>
          <w:sz w:val="24"/>
        </w:rPr>
        <w:t>no es suficiente para satisfacer el requerimien</w:t>
      </w:r>
      <w:r w:rsidR="00B067AE">
        <w:rPr>
          <w:rFonts w:ascii="Palatino Linotype" w:eastAsia="Calibri" w:hAnsi="Palatino Linotype" w:cs="Arial"/>
          <w:sz w:val="24"/>
        </w:rPr>
        <w:t>to del particular, toda vez que, se ha demostrado la fuente obligacional para contar con la información solicitada, en el sentido que, si bien, el CUSAEM no forma parte de la estructura orgánica del Sujeto Obligado, este cuenta con las atribuciones para supervisar y controlar a prestadores de servicios de seguridad privada, así como para realizar el registro, seguimiento y control del personal de seguridad privada tanto del Estado, Municipios y Seguridad Pública.</w:t>
      </w:r>
    </w:p>
    <w:p w14:paraId="2AF320BE" w14:textId="77777777" w:rsidR="00BA10DC" w:rsidRPr="00BA10DC" w:rsidRDefault="00BA10DC" w:rsidP="00BA10DC">
      <w:pPr>
        <w:pStyle w:val="Prrafodelista"/>
        <w:rPr>
          <w:rFonts w:ascii="Palatino Linotype" w:eastAsia="Calibri" w:hAnsi="Palatino Linotype" w:cs="Arial"/>
          <w:sz w:val="24"/>
        </w:rPr>
      </w:pPr>
    </w:p>
    <w:p w14:paraId="5994A267" w14:textId="2DDD21AA" w:rsidR="00BA10DC" w:rsidRPr="00BA10DC" w:rsidRDefault="00E155D8" w:rsidP="00BA10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sz w:val="24"/>
          <w:szCs w:val="22"/>
        </w:rPr>
        <w:t xml:space="preserve">Se </w:t>
      </w:r>
      <w:r w:rsidR="00BA10DC">
        <w:rPr>
          <w:rFonts w:ascii="Palatino Linotype" w:hAnsi="Palatino Linotype"/>
          <w:sz w:val="24"/>
          <w:szCs w:val="22"/>
        </w:rPr>
        <w:t>ordenó realizar una correcta búsqueda exhaustiva y razonable a efecto de localizar y poner a disposición los documentos correspondientes, resultando</w:t>
      </w:r>
      <w:r>
        <w:rPr>
          <w:rFonts w:ascii="Palatino Linotype" w:hAnsi="Palatino Linotype"/>
          <w:sz w:val="24"/>
          <w:szCs w:val="22"/>
        </w:rPr>
        <w:t xml:space="preserve"> así</w:t>
      </w:r>
      <w:r w:rsidR="00BA10DC">
        <w:rPr>
          <w:rFonts w:ascii="Palatino Linotype" w:hAnsi="Palatino Linotype"/>
          <w:sz w:val="24"/>
          <w:szCs w:val="22"/>
        </w:rPr>
        <w:t xml:space="preserve"> fundados los motivos o razones de inconformidad</w:t>
      </w:r>
      <w:r>
        <w:rPr>
          <w:rFonts w:ascii="Palatino Linotype" w:hAnsi="Palatino Linotype"/>
          <w:sz w:val="24"/>
          <w:szCs w:val="22"/>
        </w:rPr>
        <w:t xml:space="preserve"> hechos valer por el Recurrente, lo conducente es </w:t>
      </w:r>
      <w:r w:rsidR="00BA10DC">
        <w:rPr>
          <w:rFonts w:ascii="Palatino Linotype" w:hAnsi="Palatino Linotype"/>
          <w:sz w:val="24"/>
          <w:szCs w:val="22"/>
        </w:rPr>
        <w:t>REVOCA</w:t>
      </w:r>
      <w:r>
        <w:rPr>
          <w:rFonts w:ascii="Palatino Linotype" w:hAnsi="Palatino Linotype"/>
          <w:sz w:val="24"/>
          <w:szCs w:val="22"/>
        </w:rPr>
        <w:t>R</w:t>
      </w:r>
      <w:r w:rsidR="00BA10DC">
        <w:rPr>
          <w:rFonts w:ascii="Palatino Linotype" w:hAnsi="Palatino Linotype"/>
          <w:sz w:val="24"/>
          <w:szCs w:val="22"/>
        </w:rPr>
        <w:t xml:space="preserve"> la respuesta</w:t>
      </w:r>
      <w:r>
        <w:rPr>
          <w:rFonts w:ascii="Palatino Linotype" w:hAnsi="Palatino Linotype"/>
          <w:sz w:val="24"/>
          <w:szCs w:val="22"/>
        </w:rPr>
        <w:t xml:space="preserve"> emitida por el Sujeto Obligado y ORDENAR la entrega de la información.</w:t>
      </w:r>
    </w:p>
    <w:p w14:paraId="20869EA6" w14:textId="77777777" w:rsidR="00BA10DC" w:rsidRPr="00BA10DC" w:rsidRDefault="00BA10DC" w:rsidP="00BA10DC">
      <w:pPr>
        <w:pStyle w:val="Prrafodelista"/>
        <w:rPr>
          <w:rFonts w:ascii="Palatino Linotype" w:eastAsia="Calibri" w:hAnsi="Palatino Linotype" w:cs="Arial"/>
          <w:sz w:val="24"/>
        </w:rPr>
      </w:pPr>
    </w:p>
    <w:bookmarkEnd w:id="20"/>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339C4268" w14:textId="2B2AF30F" w:rsidR="005000AA" w:rsidRPr="00624AAD" w:rsidRDefault="005000AA" w:rsidP="005000AA">
      <w:pPr>
        <w:pStyle w:val="Prrafodelista"/>
        <w:rPr>
          <w:rFonts w:ascii="Palatino Linotype" w:eastAsia="Calibri" w:hAnsi="Palatino Linotype" w:cs="Arial"/>
          <w:sz w:val="24"/>
        </w:rPr>
      </w:pPr>
      <w:r w:rsidRPr="00624AAD">
        <w:rPr>
          <w:rFonts w:ascii="Palatino Linotype" w:eastAsiaTheme="minorEastAsia" w:hAnsi="Palatino Linotype" w:cstheme="minorBidi"/>
          <w:noProof/>
          <w:sz w:val="24"/>
          <w:lang w:eastAsia="es-MX"/>
        </w:rPr>
        <mc:AlternateContent>
          <mc:Choice Requires="wps">
            <w:drawing>
              <wp:anchor distT="0" distB="0" distL="114300" distR="114300" simplePos="0" relativeHeight="251659264" behindDoc="0" locked="0" layoutInCell="1" allowOverlap="1" wp14:anchorId="5CA0E9CD" wp14:editId="365B53DE">
                <wp:simplePos x="0" y="0"/>
                <wp:positionH relativeFrom="column">
                  <wp:posOffset>15202</wp:posOffset>
                </wp:positionH>
                <wp:positionV relativeFrom="paragraph">
                  <wp:posOffset>41843</wp:posOffset>
                </wp:positionV>
                <wp:extent cx="5724525" cy="2333767"/>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24525" cy="2333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BE29F28"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pt,3.3pt" to="451.9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" strokecolor="#4472c4 [3204]" strokeweight=".5pt">
                <v:stroke joinstyle="miter"/>
              </v:line>
            </w:pict>
          </mc:Fallback>
        </mc:AlternateContent>
      </w:r>
    </w:p>
    <w:p w14:paraId="0CAC6906"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4D45CB78"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099B8E98" w14:textId="77777777" w:rsidR="005000AA" w:rsidRPr="00624AAD" w:rsidRDefault="005000AA" w:rsidP="005000AA">
      <w:pPr>
        <w:tabs>
          <w:tab w:val="left" w:pos="567"/>
        </w:tabs>
        <w:spacing w:line="360" w:lineRule="auto"/>
        <w:jc w:val="both"/>
        <w:rPr>
          <w:rFonts w:ascii="Palatino Linotype" w:eastAsia="Calibri" w:hAnsi="Palatino Linotype" w:cs="Arial"/>
          <w:sz w:val="24"/>
          <w:szCs w:val="24"/>
        </w:rPr>
      </w:pPr>
    </w:p>
    <w:p w14:paraId="2FBA0216" w14:textId="77777777" w:rsidR="005000AA" w:rsidRDefault="005000AA" w:rsidP="005000AA">
      <w:pPr>
        <w:tabs>
          <w:tab w:val="left" w:pos="567"/>
        </w:tabs>
        <w:spacing w:line="360" w:lineRule="auto"/>
        <w:jc w:val="both"/>
        <w:rPr>
          <w:rFonts w:ascii="Palatino Linotype" w:eastAsia="Calibri" w:hAnsi="Palatino Linotype" w:cs="Arial"/>
          <w:sz w:val="24"/>
          <w:szCs w:val="24"/>
        </w:rPr>
      </w:pPr>
    </w:p>
    <w:p w14:paraId="5FC12A06" w14:textId="77777777" w:rsidR="001A31A2" w:rsidRDefault="001A31A2" w:rsidP="00DB2180">
      <w:pPr>
        <w:pStyle w:val="Ttulo1"/>
        <w:jc w:val="center"/>
        <w:rPr>
          <w:rFonts w:ascii="Palatino Linotype" w:hAnsi="Palatino Linotype"/>
          <w:b/>
          <w:color w:val="auto"/>
          <w:sz w:val="24"/>
          <w:szCs w:val="24"/>
        </w:rPr>
      </w:pPr>
      <w:bookmarkStart w:id="62" w:name="_Toc4061692"/>
      <w:bookmarkStart w:id="63" w:name="_Toc486525261"/>
      <w:bookmarkStart w:id="64" w:name="_Toc445745148"/>
      <w:bookmarkStart w:id="65" w:name="_Toc447699324"/>
    </w:p>
    <w:p w14:paraId="53053621" w14:textId="77777777" w:rsidR="00B067AE" w:rsidRDefault="00B067AE" w:rsidP="00B067AE"/>
    <w:p w14:paraId="09FA79A4" w14:textId="77777777" w:rsidR="00B067AE" w:rsidRDefault="00B067AE" w:rsidP="00B067AE"/>
    <w:p w14:paraId="69194066" w14:textId="77777777" w:rsidR="00B067AE" w:rsidRDefault="00B067AE" w:rsidP="00B067AE"/>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66" w:name="_Toc83901349"/>
      <w:r w:rsidRPr="00624AAD">
        <w:rPr>
          <w:rFonts w:ascii="Palatino Linotype" w:hAnsi="Palatino Linotype"/>
          <w:b/>
          <w:color w:val="auto"/>
          <w:sz w:val="24"/>
          <w:szCs w:val="24"/>
        </w:rPr>
        <w:lastRenderedPageBreak/>
        <w:t>R E S O L U T I V O S</w:t>
      </w:r>
      <w:bookmarkEnd w:id="62"/>
      <w:bookmarkEnd w:id="63"/>
      <w:bookmarkEnd w:id="64"/>
      <w:bookmarkEnd w:id="65"/>
      <w:bookmarkEnd w:id="66"/>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7164A51F"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Resultan 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00045238" w:rsidRPr="00624AAD">
        <w:rPr>
          <w:rFonts w:ascii="Palatino Linotype" w:hAnsi="Palatino Linotype" w:cs="Arial"/>
          <w:b/>
          <w:bCs/>
          <w:sz w:val="24"/>
          <w:szCs w:val="24"/>
          <w:lang w:eastAsia="es-MX"/>
        </w:rPr>
        <w:t>0</w:t>
      </w:r>
      <w:r w:rsidR="00045238">
        <w:rPr>
          <w:rFonts w:ascii="Palatino Linotype" w:hAnsi="Palatino Linotype" w:cs="Arial"/>
          <w:b/>
          <w:bCs/>
          <w:sz w:val="24"/>
          <w:szCs w:val="24"/>
          <w:lang w:eastAsia="es-MX"/>
        </w:rPr>
        <w:t>4098</w:t>
      </w:r>
      <w:r w:rsidR="00045238" w:rsidRPr="00624AAD">
        <w:rPr>
          <w:rFonts w:ascii="Palatino Linotype" w:hAnsi="Palatino Linotype" w:cs="Arial"/>
          <w:b/>
          <w:bCs/>
          <w:sz w:val="24"/>
          <w:szCs w:val="24"/>
          <w:lang w:eastAsia="es-MX"/>
        </w:rPr>
        <w:t>/INFOEM/IP/RR/2021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 xml:space="preserve">en términos de los considerandos </w:t>
      </w:r>
      <w:r w:rsidRPr="000D77A7">
        <w:rPr>
          <w:rFonts w:ascii="Palatino Linotype" w:hAnsi="Palatino Linotype" w:cs="Arial"/>
          <w:b/>
          <w:bCs/>
          <w:sz w:val="24"/>
          <w:szCs w:val="24"/>
        </w:rPr>
        <w:t>CUARTO</w:t>
      </w:r>
      <w:r w:rsidRPr="000D77A7">
        <w:rPr>
          <w:rFonts w:ascii="Palatino Linotype" w:hAnsi="Palatino Linotype" w:cs="Arial"/>
          <w:bCs/>
          <w:sz w:val="24"/>
          <w:szCs w:val="24"/>
        </w:rPr>
        <w:t xml:space="preserve"> y </w:t>
      </w:r>
      <w:r w:rsidRPr="000D77A7">
        <w:rPr>
          <w:rFonts w:ascii="Palatino Linotype" w:hAnsi="Palatino Linotype" w:cs="Arial"/>
          <w:b/>
          <w:bCs/>
          <w:sz w:val="24"/>
          <w:szCs w:val="24"/>
        </w:rPr>
        <w:t xml:space="preserve">QUINTO </w:t>
      </w:r>
      <w:r w:rsidRPr="000D77A7">
        <w:rPr>
          <w:rFonts w:ascii="Palatino Linotype" w:hAnsi="Palatino Linotype" w:cs="Arial"/>
          <w:bCs/>
          <w:sz w:val="24"/>
          <w:szCs w:val="24"/>
        </w:rPr>
        <w:t>de la presente resolución.</w:t>
      </w:r>
    </w:p>
    <w:p w14:paraId="372A0DBD" w14:textId="171DB301"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Pr="007043ED">
        <w:rPr>
          <w:rFonts w:ascii="Palatino Linotype" w:eastAsia="Calibri" w:hAnsi="Palatino Linotype" w:cs="Arial"/>
          <w:b/>
          <w:sz w:val="24"/>
          <w:szCs w:val="24"/>
          <w:lang w:val="es-ES"/>
        </w:rPr>
        <w:t>REVOCA</w:t>
      </w:r>
      <w:r w:rsidR="00A6768A">
        <w:rPr>
          <w:rFonts w:ascii="Palatino Linotype" w:eastAsia="Calibri" w:hAnsi="Palatino Linotype" w:cs="Arial"/>
          <w:sz w:val="24"/>
          <w:szCs w:val="24"/>
          <w:lang w:val="es-ES"/>
        </w:rPr>
        <w:t xml:space="preserve"> la respuesta emitida por la</w:t>
      </w:r>
      <w:r w:rsidRPr="000D77A7">
        <w:rPr>
          <w:rFonts w:ascii="Palatino Linotype" w:eastAsia="Calibri" w:hAnsi="Palatino Linotype" w:cs="Arial"/>
          <w:sz w:val="24"/>
          <w:szCs w:val="24"/>
          <w:lang w:val="es-ES"/>
        </w:rPr>
        <w:t xml:space="preserve"> </w:t>
      </w:r>
      <w:r w:rsidR="00A6768A">
        <w:rPr>
          <w:rFonts w:ascii="Palatino Linotype" w:eastAsia="Calibri" w:hAnsi="Palatino Linotype" w:cs="Tahoma"/>
          <w:b/>
          <w:sz w:val="24"/>
          <w:szCs w:val="22"/>
          <w:lang w:eastAsia="en-US"/>
        </w:rPr>
        <w:t>Secretaría de Seguridad</w:t>
      </w:r>
      <w:r w:rsidRPr="00806ABD">
        <w:rPr>
          <w:rFonts w:ascii="Palatino Linotype" w:eastAsia="Calibri" w:hAnsi="Palatino Linotype" w:cs="Arial"/>
          <w:b/>
          <w:sz w:val="24"/>
          <w:szCs w:val="24"/>
          <w:lang w:val="es-ES"/>
        </w:rPr>
        <w:t xml:space="preserve">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Pr="000D77A7">
        <w:rPr>
          <w:rFonts w:ascii="Palatino Linotype" w:hAnsi="Palatino Linotype" w:cs="Arial"/>
          <w:sz w:val="24"/>
          <w:szCs w:val="24"/>
          <w:lang w:val="es-ES"/>
        </w:rPr>
        <w:t xml:space="preserve">, </w:t>
      </w:r>
      <w:r>
        <w:rPr>
          <w:rFonts w:ascii="Palatino Linotype" w:hAnsi="Palatino Linotype" w:cs="Arial"/>
          <w:sz w:val="24"/>
          <w:szCs w:val="24"/>
          <w:lang w:val="es-ES"/>
        </w:rPr>
        <w:t xml:space="preserve">previa búsqueda exhaustiva y razonable, </w:t>
      </w:r>
      <w:r w:rsidRPr="000D77A7">
        <w:rPr>
          <w:rFonts w:ascii="Palatino Linotype" w:hAnsi="Palatino Linotype" w:cs="Arial"/>
          <w:sz w:val="24"/>
          <w:szCs w:val="24"/>
          <w:lang w:val="es-ES"/>
        </w:rPr>
        <w:t xml:space="preserve">de ser el caso en versión pública, </w:t>
      </w:r>
      <w:r w:rsidR="001A31A2">
        <w:rPr>
          <w:rFonts w:ascii="Palatino Linotype" w:hAnsi="Palatino Linotype" w:cs="Arial"/>
          <w:sz w:val="24"/>
          <w:szCs w:val="24"/>
          <w:lang w:val="es-ES"/>
        </w:rPr>
        <w:t xml:space="preserve">de la persona señalada en la solicitud </w:t>
      </w:r>
      <w:r w:rsidR="001A31A2" w:rsidRPr="00624AAD">
        <w:rPr>
          <w:rFonts w:ascii="Palatino Linotype" w:eastAsia="Calibri" w:hAnsi="Palatino Linotype" w:cs="Arial"/>
          <w:b/>
          <w:sz w:val="24"/>
          <w:lang w:val="es-ES"/>
        </w:rPr>
        <w:t>00</w:t>
      </w:r>
      <w:r w:rsidR="001A31A2">
        <w:rPr>
          <w:rFonts w:ascii="Palatino Linotype" w:eastAsia="Calibri" w:hAnsi="Palatino Linotype" w:cs="Arial"/>
          <w:b/>
          <w:sz w:val="24"/>
          <w:lang w:val="es-ES"/>
        </w:rPr>
        <w:t>353</w:t>
      </w:r>
      <w:r w:rsidR="001A31A2" w:rsidRPr="00624AAD">
        <w:rPr>
          <w:rFonts w:ascii="Palatino Linotype" w:eastAsia="Calibri" w:hAnsi="Palatino Linotype" w:cs="Arial"/>
          <w:b/>
          <w:sz w:val="24"/>
          <w:lang w:val="es-ES"/>
        </w:rPr>
        <w:t>/</w:t>
      </w:r>
      <w:r w:rsidR="001A31A2">
        <w:rPr>
          <w:rFonts w:ascii="Palatino Linotype" w:eastAsia="Calibri" w:hAnsi="Palatino Linotype" w:cs="Arial"/>
          <w:b/>
          <w:sz w:val="24"/>
          <w:lang w:val="es-ES"/>
        </w:rPr>
        <w:t>SSEM</w:t>
      </w:r>
      <w:r w:rsidR="001A31A2" w:rsidRPr="00624AAD">
        <w:rPr>
          <w:rFonts w:ascii="Palatino Linotype" w:eastAsia="Calibri" w:hAnsi="Palatino Linotype" w:cs="Arial"/>
          <w:b/>
          <w:sz w:val="24"/>
          <w:lang w:val="es-ES"/>
        </w:rPr>
        <w:t>/IP/2021</w:t>
      </w:r>
      <w:r w:rsidR="001A31A2">
        <w:rPr>
          <w:rFonts w:ascii="Palatino Linotype" w:eastAsia="Calibri" w:hAnsi="Palatino Linotype" w:cs="Arial"/>
          <w:b/>
          <w:sz w:val="24"/>
          <w:lang w:val="es-ES"/>
        </w:rPr>
        <w:t>,</w:t>
      </w:r>
      <w:r w:rsidR="001A31A2">
        <w:rPr>
          <w:rFonts w:ascii="Palatino Linotype" w:hAnsi="Palatino Linotype" w:cs="Arial"/>
          <w:sz w:val="24"/>
          <w:szCs w:val="24"/>
          <w:lang w:val="es-ES"/>
        </w:rPr>
        <w:t xml:space="preserve"> </w:t>
      </w:r>
      <w:r w:rsidRPr="000D77A7">
        <w:rPr>
          <w:rFonts w:ascii="Palatino Linotype" w:hAnsi="Palatino Linotype" w:cs="Arial"/>
          <w:sz w:val="24"/>
          <w:szCs w:val="24"/>
          <w:lang w:val="es-ES"/>
        </w:rPr>
        <w:t>l</w:t>
      </w:r>
      <w:r>
        <w:rPr>
          <w:rFonts w:ascii="Palatino Linotype" w:hAnsi="Palatino Linotype" w:cs="Arial"/>
          <w:sz w:val="24"/>
          <w:szCs w:val="24"/>
          <w:lang w:val="es-ES"/>
        </w:rPr>
        <w:t>a</w:t>
      </w:r>
      <w:r w:rsidRPr="000D77A7">
        <w:rPr>
          <w:rFonts w:ascii="Palatino Linotype" w:hAnsi="Palatino Linotype" w:cs="Arial"/>
          <w:sz w:val="24"/>
          <w:szCs w:val="24"/>
          <w:lang w:val="es-ES"/>
        </w:rPr>
        <w:t xml:space="preserve"> siguiente</w:t>
      </w:r>
      <w:r>
        <w:rPr>
          <w:rFonts w:ascii="Palatino Linotype" w:hAnsi="Palatino Linotype" w:cs="Arial"/>
          <w:sz w:val="24"/>
          <w:szCs w:val="24"/>
          <w:lang w:val="es-ES"/>
        </w:rPr>
        <w:t xml:space="preserve"> información</w:t>
      </w:r>
      <w:r w:rsidRPr="000D77A7">
        <w:rPr>
          <w:rFonts w:ascii="Palatino Linotype" w:hAnsi="Palatino Linotype" w:cs="Arial"/>
          <w:sz w:val="24"/>
          <w:szCs w:val="24"/>
          <w:lang w:val="es-ES"/>
        </w:rPr>
        <w:t>:</w:t>
      </w:r>
    </w:p>
    <w:p w14:paraId="7B439EB5" w14:textId="372C064F" w:rsidR="001A31A2" w:rsidRPr="001A31A2" w:rsidRDefault="001A31A2"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Pr>
          <w:rFonts w:ascii="Palatino Linotype" w:hAnsi="Palatino Linotype" w:cs="Arial"/>
          <w:b/>
          <w:sz w:val="24"/>
        </w:rPr>
        <w:t>Fecha en que causó baja; y</w:t>
      </w:r>
    </w:p>
    <w:p w14:paraId="7DE710C5" w14:textId="0EF23BE8" w:rsidR="001A31A2" w:rsidRPr="001A31A2" w:rsidRDefault="001A31A2"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Pr>
          <w:rFonts w:ascii="Palatino Linotype" w:hAnsi="Palatino Linotype" w:cs="Arial"/>
          <w:b/>
          <w:sz w:val="24"/>
        </w:rPr>
        <w:t>Puesto, servicio y asignación previa a su baja.</w:t>
      </w:r>
    </w:p>
    <w:p w14:paraId="204C1E70" w14:textId="77777777" w:rsidR="00806ABD" w:rsidRDefault="00806ABD" w:rsidP="00806ABD">
      <w:pPr>
        <w:spacing w:line="360" w:lineRule="auto"/>
        <w:jc w:val="both"/>
        <w:rPr>
          <w:rFonts w:ascii="Palatino Linotype" w:eastAsia="Calibri" w:hAnsi="Palatino Linotype" w:cs="Arial"/>
          <w:sz w:val="24"/>
          <w:szCs w:val="24"/>
        </w:rPr>
      </w:pPr>
      <w:r w:rsidRPr="000D77A7">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7FD2751A" w14:textId="0AD24642" w:rsidR="001A31A2" w:rsidRPr="000D6157" w:rsidRDefault="001A31A2" w:rsidP="000D6157">
      <w:pPr>
        <w:spacing w:before="240" w:after="240" w:line="360" w:lineRule="auto"/>
        <w:ind w:right="49"/>
        <w:jc w:val="both"/>
        <w:rPr>
          <w:rFonts w:ascii="Palatino Linotype" w:hAnsi="Palatino Linotype" w:cs="Arial"/>
          <w:bCs/>
          <w:sz w:val="24"/>
        </w:rPr>
      </w:pPr>
      <w:r w:rsidRPr="000D6157">
        <w:rPr>
          <w:rFonts w:ascii="Palatino Linotype" w:hAnsi="Palatino Linotype" w:cs="Arial"/>
          <w:sz w:val="24"/>
        </w:rPr>
        <w:t>De ser el caso</w:t>
      </w:r>
      <w:r w:rsidR="00B067AE">
        <w:rPr>
          <w:rFonts w:ascii="Palatino Linotype" w:hAnsi="Palatino Linotype" w:cs="Arial"/>
          <w:sz w:val="24"/>
        </w:rPr>
        <w:t>,</w:t>
      </w:r>
      <w:r w:rsidRPr="000D6157">
        <w:rPr>
          <w:rFonts w:ascii="Palatino Linotype" w:hAnsi="Palatino Linotype" w:cs="Arial"/>
          <w:sz w:val="24"/>
        </w:rPr>
        <w:t xml:space="preserve"> que la persona señalada en la solicitud se encuentre actualmente activo en el CUSAEM, el Sujeto Obligado deberá emitir el Comité de Transparencia mediante el cual se clasifique como reservada la información correspondiente </w:t>
      </w:r>
      <w:r w:rsidR="000D6157" w:rsidRPr="000D6157">
        <w:rPr>
          <w:rFonts w:ascii="Palatino Linotype" w:hAnsi="Palatino Linotype" w:cs="Arial"/>
          <w:sz w:val="24"/>
        </w:rPr>
        <w:t xml:space="preserve">a situación laboral, puesto, servicio y asignación. </w:t>
      </w:r>
    </w:p>
    <w:p w14:paraId="02833D47" w14:textId="77777777" w:rsidR="001A31A2" w:rsidRDefault="001A31A2" w:rsidP="00806ABD">
      <w:pPr>
        <w:spacing w:line="360" w:lineRule="auto"/>
        <w:jc w:val="both"/>
        <w:rPr>
          <w:rFonts w:ascii="Palatino Linotype" w:eastAsia="Calibri" w:hAnsi="Palatino Linotype" w:cs="Arial"/>
          <w:sz w:val="24"/>
          <w:szCs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lastRenderedPageBreak/>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70A24740"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 </w:t>
      </w:r>
      <w:r w:rsidR="00E772BC" w:rsidRPr="00E772BC">
        <w:rPr>
          <w:rFonts w:ascii="Palatino Linotype" w:eastAsia="Calibri" w:hAnsi="Palatino Linotype" w:cs="Tahoma"/>
          <w:b/>
          <w:sz w:val="22"/>
          <w:szCs w:val="22"/>
          <w:lang w:eastAsia="en-US"/>
        </w:rPr>
        <w:t>XXXXXXXXXXXXXXXXXXX</w:t>
      </w:r>
      <w:r w:rsidRPr="000D77A7">
        <w:rPr>
          <w:rFonts w:ascii="Palatino Linotype" w:hAnsi="Palatino Linotype"/>
          <w:sz w:val="24"/>
          <w:szCs w:val="24"/>
        </w:rPr>
        <w:t xml:space="preserve"> la presente resolución.</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0377EF21"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 </w:t>
      </w:r>
      <w:r w:rsidR="00E772BC" w:rsidRPr="00E772BC">
        <w:rPr>
          <w:rFonts w:ascii="Palatino Linotype" w:eastAsia="Calibri" w:hAnsi="Palatino Linotype" w:cs="Tahoma"/>
          <w:b/>
          <w:sz w:val="22"/>
          <w:szCs w:val="22"/>
          <w:lang w:eastAsia="en-US"/>
        </w:rPr>
        <w:t>XXXXXXXXXXXXXXXXXXX</w:t>
      </w:r>
      <w:bookmarkStart w:id="67" w:name="_GoBack"/>
      <w:bookmarkEnd w:id="67"/>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 </w:t>
      </w:r>
      <w:r w:rsidR="002A5191" w:rsidRPr="00FC1EEB">
        <w:rPr>
          <w:rFonts w:ascii="Palatino Linotype" w:eastAsia="MS Mincho" w:hAnsi="Palatino Linotype"/>
          <w:sz w:val="24"/>
          <w:szCs w:val="24"/>
          <w:lang w:val="es-ES"/>
        </w:rPr>
        <w:t xml:space="preserve">y </w:t>
      </w:r>
      <w:r w:rsidR="002A5191" w:rsidRPr="00FC1EEB">
        <w:rPr>
          <w:rFonts w:ascii="Palatino Linotype" w:hAnsi="Palatino Linotype"/>
          <w:color w:val="000000"/>
          <w:sz w:val="24"/>
          <w:szCs w:val="24"/>
          <w:shd w:val="clear" w:color="auto" w:fill="FFFFFF"/>
        </w:rPr>
        <w:t>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2A5191" w:rsidRPr="00FC1EEB">
        <w:rPr>
          <w:rFonts w:ascii="Palatino Linotype" w:hAnsi="Palatino Linotype"/>
          <w:color w:val="222222"/>
          <w:sz w:val="24"/>
          <w:szCs w:val="24"/>
          <w:shd w:val="clear" w:color="auto" w:fill="FFFFFF"/>
          <w:lang w:val="es-ES"/>
        </w:rPr>
        <w:t>, o bien, vía juicio de amparo en los términos de las leyes aplicables.</w:t>
      </w:r>
    </w:p>
    <w:p w14:paraId="335C0AA3" w14:textId="5EE96B0D"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8E0B6A" w:rsidRPr="00624AAD">
        <w:rPr>
          <w:rFonts w:ascii="Palatino Linotype" w:hAnsi="Palatino Linotype"/>
          <w:sz w:val="24"/>
          <w:szCs w:val="24"/>
        </w:rPr>
        <w:t>NORIEGA</w:t>
      </w:r>
      <w:r w:rsidR="008E0B6A">
        <w:rPr>
          <w:rFonts w:ascii="Palatino Linotype" w:hAnsi="Palatino Linotype"/>
          <w:sz w:val="24"/>
          <w:szCs w:val="24"/>
        </w:rPr>
        <w:t xml:space="preserve"> EMITIENDO VOTO PARTICULAR</w:t>
      </w:r>
      <w:r w:rsidR="008E0B6A" w:rsidRPr="00624AAD">
        <w:rPr>
          <w:rFonts w:ascii="Palatino Linotype" w:hAnsi="Palatino Linotype"/>
          <w:sz w:val="24"/>
          <w:szCs w:val="24"/>
        </w:rPr>
        <w:t xml:space="preserve">; </w:t>
      </w:r>
      <w:r w:rsidRPr="00624AAD">
        <w:rPr>
          <w:rFonts w:ascii="Palatino Linotype" w:hAnsi="Palatino Linotype"/>
          <w:sz w:val="24"/>
          <w:szCs w:val="24"/>
        </w:rPr>
        <w:t xml:space="preserve">Y GUADALUPE RAMÍREZ PEÑA EN LA </w:t>
      </w:r>
      <w:r w:rsidR="00DF54E4">
        <w:rPr>
          <w:rFonts w:ascii="Palatino Linotype" w:hAnsi="Palatino Linotype"/>
          <w:sz w:val="24"/>
          <w:szCs w:val="24"/>
        </w:rPr>
        <w:t xml:space="preserve">TRIGÉSIMA </w:t>
      </w:r>
      <w:r w:rsidR="00132FDD">
        <w:rPr>
          <w:rFonts w:ascii="Palatino Linotype" w:hAnsi="Palatino Linotype"/>
          <w:sz w:val="24"/>
          <w:szCs w:val="24"/>
        </w:rPr>
        <w:t>QUINTA</w:t>
      </w:r>
      <w:r w:rsidR="00DF54E4">
        <w:rPr>
          <w:rFonts w:ascii="Palatino Linotype" w:hAnsi="Palatino Linotype"/>
          <w:sz w:val="24"/>
          <w:szCs w:val="24"/>
        </w:rPr>
        <w:t xml:space="preserve"> </w:t>
      </w:r>
      <w:r w:rsidRPr="00624AAD">
        <w:rPr>
          <w:rFonts w:ascii="Palatino Linotype" w:hAnsi="Palatino Linotype"/>
          <w:sz w:val="24"/>
          <w:szCs w:val="24"/>
        </w:rPr>
        <w:t xml:space="preserve">SESIÓN ORDINARIA CELEBRADA EL </w:t>
      </w:r>
      <w:r w:rsidR="00132FDD">
        <w:rPr>
          <w:rFonts w:ascii="Palatino Linotype" w:hAnsi="Palatino Linotype"/>
          <w:sz w:val="24"/>
          <w:szCs w:val="24"/>
        </w:rPr>
        <w:t>SEIS</w:t>
      </w:r>
      <w:r w:rsidRPr="00624AAD">
        <w:rPr>
          <w:rFonts w:ascii="Palatino Linotype" w:hAnsi="Palatino Linotype"/>
          <w:sz w:val="24"/>
          <w:szCs w:val="24"/>
        </w:rPr>
        <w:t xml:space="preserve"> DE </w:t>
      </w:r>
      <w:r w:rsidR="00132FDD">
        <w:rPr>
          <w:rFonts w:ascii="Palatino Linotype" w:hAnsi="Palatino Linotype"/>
          <w:sz w:val="24"/>
          <w:szCs w:val="24"/>
        </w:rPr>
        <w:t>OCTUBRE</w:t>
      </w:r>
      <w:r w:rsidRPr="00624AAD">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A6011" w14:textId="77777777" w:rsidR="00BA7865" w:rsidRDefault="00BA7865">
      <w:r>
        <w:separator/>
      </w:r>
    </w:p>
  </w:endnote>
  <w:endnote w:type="continuationSeparator" w:id="0">
    <w:p w14:paraId="43C0CC8A" w14:textId="77777777" w:rsidR="00BA7865" w:rsidRDefault="00BA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2372C3" w:rsidRDefault="002372C3">
            <w:pPr>
              <w:pStyle w:val="Piedepgina"/>
              <w:jc w:val="right"/>
            </w:pPr>
          </w:p>
          <w:p w14:paraId="1F7A191C" w14:textId="2A69F491" w:rsidR="002372C3" w:rsidRDefault="002372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BA9">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BA9">
              <w:rPr>
                <w:b/>
                <w:bCs/>
                <w:noProof/>
              </w:rPr>
              <w:t>58</w:t>
            </w:r>
            <w:r>
              <w:rPr>
                <w:b/>
                <w:bCs/>
                <w:sz w:val="24"/>
                <w:szCs w:val="24"/>
              </w:rPr>
              <w:fldChar w:fldCharType="end"/>
            </w:r>
          </w:p>
        </w:sdtContent>
      </w:sdt>
    </w:sdtContent>
  </w:sdt>
  <w:p w14:paraId="2A221972" w14:textId="77777777" w:rsidR="002372C3" w:rsidRDefault="002372C3">
    <w:pPr>
      <w:pStyle w:val="Piedepgina"/>
    </w:pPr>
  </w:p>
  <w:p w14:paraId="1D6FF208" w14:textId="77777777" w:rsidR="002372C3" w:rsidRDefault="002372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2372C3" w:rsidRDefault="002372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72B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72BC">
              <w:rPr>
                <w:b/>
                <w:bCs/>
                <w:noProof/>
              </w:rPr>
              <w:t>58</w:t>
            </w:r>
            <w:r>
              <w:rPr>
                <w:b/>
                <w:bCs/>
                <w:sz w:val="24"/>
                <w:szCs w:val="24"/>
              </w:rPr>
              <w:fldChar w:fldCharType="end"/>
            </w:r>
          </w:p>
        </w:sdtContent>
      </w:sdt>
    </w:sdtContent>
  </w:sdt>
  <w:p w14:paraId="2D12AEB2" w14:textId="77777777" w:rsidR="002372C3" w:rsidRDefault="002372C3">
    <w:pPr>
      <w:pStyle w:val="Piedepgina"/>
    </w:pPr>
  </w:p>
  <w:p w14:paraId="54227169" w14:textId="77777777" w:rsidR="002372C3" w:rsidRDefault="002372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3DA3E" w14:textId="77777777" w:rsidR="00BA7865" w:rsidRDefault="00BA7865">
      <w:r>
        <w:separator/>
      </w:r>
    </w:p>
  </w:footnote>
  <w:footnote w:type="continuationSeparator" w:id="0">
    <w:p w14:paraId="749548E9" w14:textId="77777777" w:rsidR="00BA7865" w:rsidRDefault="00BA7865">
      <w:r>
        <w:continuationSeparator/>
      </w:r>
    </w:p>
  </w:footnote>
  <w:footnote w:id="1">
    <w:p w14:paraId="4F7957BC" w14:textId="77777777" w:rsidR="002372C3" w:rsidRDefault="002372C3" w:rsidP="00AD5DA3">
      <w:pPr>
        <w:pStyle w:val="Textonotapie"/>
      </w:pPr>
      <w:r>
        <w:rPr>
          <w:rStyle w:val="Refdenotaalpie"/>
        </w:rPr>
        <w:footnoteRef/>
      </w:r>
      <w:r>
        <w:t xml:space="preserve"> Convención Americana sobre Derechos Humanos. Artículo 13.</w:t>
      </w:r>
    </w:p>
  </w:footnote>
  <w:footnote w:id="2">
    <w:p w14:paraId="7D27B55D" w14:textId="77777777" w:rsidR="002372C3" w:rsidRDefault="002372C3"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2372C3" w:rsidRDefault="002372C3"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2372C3" w:rsidRDefault="002372C3" w:rsidP="00AD5DA3">
      <w:pPr>
        <w:pStyle w:val="Textonotapie"/>
      </w:pPr>
      <w:r>
        <w:rPr>
          <w:rStyle w:val="Refdenotaalpie"/>
        </w:rPr>
        <w:footnoteRef/>
      </w:r>
      <w:r>
        <w:t xml:space="preserve"> Ibídem. Parr. 87.</w:t>
      </w:r>
    </w:p>
  </w:footnote>
  <w:footnote w:id="5">
    <w:p w14:paraId="2C2C501B" w14:textId="77777777" w:rsidR="002372C3" w:rsidRDefault="002372C3"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2372C3" w:rsidRDefault="002372C3" w:rsidP="00AD5DA3">
      <w:pPr>
        <w:pStyle w:val="Textonotapie"/>
      </w:pPr>
      <w:r>
        <w:t>II. Eficacia: Obligación del Instituto para tutelar, de manera efectiva, el derecho de acceso a la información;</w:t>
      </w:r>
    </w:p>
    <w:p w14:paraId="084CD10A" w14:textId="77777777" w:rsidR="002372C3" w:rsidRDefault="002372C3" w:rsidP="00AD5DA3">
      <w:pPr>
        <w:pStyle w:val="Textonotapie"/>
      </w:pPr>
      <w:r>
        <w:t xml:space="preserve">… </w:t>
      </w:r>
    </w:p>
  </w:footnote>
  <w:footnote w:id="6">
    <w:p w14:paraId="582ABF49" w14:textId="77777777" w:rsidR="002372C3" w:rsidRDefault="002372C3" w:rsidP="00AD5DA3">
      <w:pPr>
        <w:pStyle w:val="Textonotapie"/>
        <w:jc w:val="both"/>
      </w:pPr>
      <w:r>
        <w:rPr>
          <w:rStyle w:val="Refdenotaalpie"/>
        </w:rPr>
        <w:footnoteRef/>
      </w:r>
      <w:r>
        <w:t xml:space="preserve"> GONZÁLEZ FERNÁNDEZ, José Antonio. “La Seguridad Pública en México” en PEÑALOZA, Pedro José y GARZA SALINAS, Mario A., coords. </w:t>
      </w:r>
      <w:r w:rsidRPr="00D128AC">
        <w:t>L</w:t>
      </w:r>
      <w:r>
        <w:t xml:space="preserve">os Desafíos de la Seguridad Pública en México”. México, Ed. Procuraduría General de la República e Instituto de Investigaciones Jurídicas, UNAM. 2002. Pág. 126. Diponible en: </w:t>
      </w:r>
      <w:hyperlink r:id="rId1" w:history="1">
        <w:r w:rsidRPr="00B46364">
          <w:rPr>
            <w:rStyle w:val="Hipervnculo"/>
          </w:rPr>
          <w:t>http://biblio.juridicas.unam.mx/libros/1/419/12.pdf</w:t>
        </w:r>
      </w:hyperlink>
      <w:r>
        <w:t xml:space="preserve"> </w:t>
      </w:r>
    </w:p>
  </w:footnote>
  <w:footnote w:id="7">
    <w:p w14:paraId="7AF9428F" w14:textId="77777777" w:rsidR="002372C3" w:rsidRDefault="002372C3" w:rsidP="00AD5DA3">
      <w:pPr>
        <w:pStyle w:val="Textonotapie"/>
      </w:pPr>
      <w:r>
        <w:rPr>
          <w:rStyle w:val="Refdenotaalpie"/>
        </w:rPr>
        <w:footnoteRef/>
      </w:r>
      <w:r>
        <w:t xml:space="preserve"> </w:t>
      </w:r>
      <w:r w:rsidRPr="00D128AC">
        <w:rPr>
          <w:i/>
        </w:rPr>
        <w:t>Ibídem</w:t>
      </w:r>
      <w:r>
        <w:t>. Pág. 128.</w:t>
      </w:r>
    </w:p>
  </w:footnote>
  <w:footnote w:id="8">
    <w:p w14:paraId="477B6F7F" w14:textId="77777777" w:rsidR="002372C3" w:rsidRPr="00EF6843" w:rsidRDefault="002372C3" w:rsidP="00AD5DA3">
      <w:pPr>
        <w:pStyle w:val="Textonotapie"/>
        <w:rPr>
          <w:lang w:val="es-ES"/>
        </w:rPr>
      </w:pPr>
      <w:r>
        <w:rPr>
          <w:rStyle w:val="Refdenotaalpie"/>
        </w:rPr>
        <w:footnoteRef/>
      </w:r>
      <w:r>
        <w:t xml:space="preserve"> </w:t>
      </w:r>
      <w:r w:rsidRPr="00F0080B">
        <w:rPr>
          <w:lang w:val="es-ES"/>
        </w:rPr>
        <w:t xml:space="preserve">Recurso de revisión </w:t>
      </w:r>
      <w:r w:rsidRPr="00F0080B">
        <w:rPr>
          <w:b/>
          <w:bCs/>
        </w:rPr>
        <w:t>01129/INFOEM/IP/RR/2015</w:t>
      </w:r>
      <w:r>
        <w:rPr>
          <w:b/>
          <w:bCs/>
        </w:rPr>
        <w:t xml:space="preserve"> y </w:t>
      </w:r>
      <w:r w:rsidRPr="00F0080B">
        <w:rPr>
          <w:b/>
          <w:bCs/>
        </w:rPr>
        <w:t>011</w:t>
      </w:r>
      <w:r>
        <w:rPr>
          <w:b/>
          <w:bCs/>
        </w:rPr>
        <w:t>30</w:t>
      </w:r>
      <w:r w:rsidRPr="00F0080B">
        <w:rPr>
          <w:b/>
          <w:bCs/>
        </w:rPr>
        <w:t>/INFOEM/IP/RR/2015</w:t>
      </w:r>
      <w:r>
        <w:rPr>
          <w:b/>
          <w:bCs/>
        </w:rPr>
        <w:t xml:space="preserve"> acumulados. </w:t>
      </w:r>
    </w:p>
  </w:footnote>
  <w:footnote w:id="9">
    <w:p w14:paraId="6571253D" w14:textId="77777777" w:rsidR="002372C3" w:rsidRPr="00EF6843" w:rsidRDefault="002372C3" w:rsidP="00AD5DA3">
      <w:pPr>
        <w:pStyle w:val="Textonotapie"/>
        <w:rPr>
          <w:lang w:val="es-ES"/>
        </w:rPr>
      </w:pPr>
      <w:r>
        <w:rPr>
          <w:rStyle w:val="Refdenotaalpie"/>
        </w:rPr>
        <w:footnoteRef/>
      </w:r>
      <w:r>
        <w:t xml:space="preserve"> </w:t>
      </w:r>
      <w:r>
        <w:rPr>
          <w:lang w:val="es-ES"/>
        </w:rPr>
        <w:t xml:space="preserve">Recurso de revisión </w:t>
      </w:r>
      <w:r w:rsidRPr="00F0080B">
        <w:rPr>
          <w:b/>
          <w:bCs/>
        </w:rPr>
        <w:t>01522/INFOEM/IP/RR/2016</w:t>
      </w:r>
      <w:r>
        <w:rPr>
          <w:b/>
          <w:bCs/>
        </w:rPr>
        <w:t xml:space="preserve">. </w:t>
      </w:r>
    </w:p>
  </w:footnote>
  <w:footnote w:id="10">
    <w:p w14:paraId="40AE87A7" w14:textId="77777777" w:rsidR="002372C3" w:rsidRPr="00F0080B" w:rsidRDefault="002372C3" w:rsidP="00AD5DA3">
      <w:pPr>
        <w:pStyle w:val="Textonotapie"/>
        <w:jc w:val="both"/>
        <w:rPr>
          <w:lang w:val="es-ES"/>
        </w:rPr>
      </w:pPr>
      <w:r>
        <w:rPr>
          <w:rStyle w:val="Refdenotaalpie"/>
        </w:rPr>
        <w:footnoteRef/>
      </w:r>
      <w:r>
        <w:t xml:space="preserve"> Recursos de revisión </w:t>
      </w:r>
      <w:r w:rsidRPr="00563FE4">
        <w:rPr>
          <w:b/>
        </w:rPr>
        <w:t>03423</w:t>
      </w:r>
      <w:r w:rsidRPr="00563FE4">
        <w:rPr>
          <w:b/>
          <w:bCs/>
        </w:rPr>
        <w:t>/INFOEM/IP/RR/2018</w:t>
      </w:r>
      <w:r>
        <w:rPr>
          <w:b/>
          <w:bCs/>
        </w:rPr>
        <w:t xml:space="preserve">, </w:t>
      </w:r>
      <w:r w:rsidRPr="00563FE4">
        <w:rPr>
          <w:b/>
          <w:bCs/>
        </w:rPr>
        <w:t xml:space="preserve">03424/INFOEM/IP/RR/2018 y </w:t>
      </w:r>
      <w:r w:rsidRPr="00F0080B">
        <w:rPr>
          <w:b/>
          <w:bCs/>
        </w:rPr>
        <w:t>3425/INFOEM/IP/RR/2018</w:t>
      </w:r>
      <w:r>
        <w:rPr>
          <w:b/>
          <w:bCs/>
        </w:rPr>
        <w:t xml:space="preserve"> acumulados. </w:t>
      </w:r>
    </w:p>
  </w:footnote>
  <w:footnote w:id="11">
    <w:p w14:paraId="0296DA21" w14:textId="77777777" w:rsidR="002372C3" w:rsidRPr="00EF6843" w:rsidRDefault="002372C3" w:rsidP="00AD5DA3">
      <w:pPr>
        <w:pStyle w:val="Textonotapie"/>
        <w:rPr>
          <w:lang w:val="es-ES"/>
        </w:rPr>
      </w:pPr>
      <w:r w:rsidRPr="00F0080B">
        <w:rPr>
          <w:rStyle w:val="Refdenotaalpie"/>
        </w:rPr>
        <w:footnoteRef/>
      </w:r>
      <w:r w:rsidRPr="00F0080B">
        <w:t xml:space="preserve"> </w:t>
      </w:r>
      <w:r>
        <w:t xml:space="preserve">Recurso de revisión </w:t>
      </w:r>
      <w:r w:rsidRPr="00F0080B">
        <w:rPr>
          <w:b/>
          <w:bCs/>
        </w:rPr>
        <w:t>00005/INFOEM/IP/RR/2019</w:t>
      </w:r>
    </w:p>
  </w:footnote>
  <w:footnote w:id="12">
    <w:p w14:paraId="1A607951" w14:textId="77777777" w:rsidR="002372C3" w:rsidRDefault="002372C3" w:rsidP="00AD5DA3">
      <w:pPr>
        <w:pStyle w:val="Textonotapie"/>
      </w:pPr>
      <w:r>
        <w:rPr>
          <w:rStyle w:val="Refdenotaalpie"/>
        </w:rPr>
        <w:footnoteRef/>
      </w:r>
      <w:r>
        <w:t xml:space="preserve"> Consultable en; </w:t>
      </w:r>
      <w:hyperlink r:id="rId2" w:history="1">
        <w:r>
          <w:rPr>
            <w:rStyle w:val="Hipervnculo"/>
          </w:rPr>
          <w:t>http://www.cptm.com.mx/sites/default/files/c_31-2016_cusaem.pdf</w:t>
        </w:r>
      </w:hyperlink>
    </w:p>
  </w:footnote>
  <w:footnote w:id="13">
    <w:p w14:paraId="021ACD1B" w14:textId="77777777" w:rsidR="002372C3" w:rsidRDefault="002372C3" w:rsidP="00AD5DA3">
      <w:pPr>
        <w:pStyle w:val="Textonotapie"/>
      </w:pPr>
      <w:r>
        <w:rPr>
          <w:rStyle w:val="Refdenotaalpie"/>
        </w:rPr>
        <w:footnoteRef/>
      </w:r>
      <w:r>
        <w:t xml:space="preserve"> Consultable en; </w:t>
      </w:r>
      <w:hyperlink r:id="rId3" w:history="1">
        <w:r>
          <w:rPr>
            <w:rStyle w:val="Hipervnculo"/>
          </w:rPr>
          <w:t>https://www.telecomm.gob.mx/sipot/DAF_2019/28b_Resultados_adj_invita_licita_Procedimientos_adjudicacion_directa/Ciudad_de_Mexico/contrato_anexos/Contrato%20CUSAEM_2018.pdf</w:t>
        </w:r>
      </w:hyperlink>
    </w:p>
  </w:footnote>
  <w:footnote w:id="14">
    <w:p w14:paraId="28BBAFE4" w14:textId="1CACE107" w:rsidR="002372C3" w:rsidRDefault="002372C3">
      <w:pPr>
        <w:pStyle w:val="Textonotapie"/>
      </w:pPr>
      <w:r>
        <w:rPr>
          <w:rStyle w:val="Refdenotaalpie"/>
        </w:rPr>
        <w:footnoteRef/>
      </w:r>
      <w:r>
        <w:t xml:space="preserve"> Disponible para su consulta en </w:t>
      </w:r>
      <w:hyperlink r:id="rId4" w:history="1">
        <w:r w:rsidRPr="00117025">
          <w:rPr>
            <w:rStyle w:val="Hipervnculo"/>
          </w:rPr>
          <w:t>https://legislacion.edomex.gob.mx/sites/legislacion.edomex.gob.mx/files/files/pdf/rgl/vig/rlgvig059.pdf</w:t>
        </w:r>
      </w:hyperlink>
    </w:p>
  </w:footnote>
  <w:footnote w:id="15">
    <w:p w14:paraId="4A14BA2F" w14:textId="77777777" w:rsidR="002372C3" w:rsidRDefault="002372C3" w:rsidP="00806ABD">
      <w:pPr>
        <w:pStyle w:val="Textonotapie"/>
      </w:pPr>
      <w:r>
        <w:rPr>
          <w:rStyle w:val="Refdenotaalpie"/>
        </w:rPr>
        <w:footnoteRef/>
      </w:r>
      <w:r>
        <w:t xml:space="preserve"> Fracción IV. Artículo 53. Ibídem.</w:t>
      </w:r>
    </w:p>
  </w:footnote>
  <w:footnote w:id="16">
    <w:p w14:paraId="5073036C" w14:textId="77777777" w:rsidR="002372C3" w:rsidRDefault="002372C3" w:rsidP="005502D2">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757259E" w14:textId="77777777" w:rsidR="002372C3" w:rsidRDefault="002372C3" w:rsidP="005502D2">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4B0102" w14:textId="77777777" w:rsidR="002372C3" w:rsidRPr="001E1F95" w:rsidRDefault="002372C3" w:rsidP="005502D2">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7">
    <w:p w14:paraId="79725EB3" w14:textId="77777777" w:rsidR="002372C3" w:rsidRPr="00ED2A04" w:rsidRDefault="002372C3" w:rsidP="005502D2">
      <w:pPr>
        <w:pStyle w:val="Textonotapie"/>
        <w:jc w:val="both"/>
        <w:rPr>
          <w:lang w:val="es-ES"/>
        </w:rPr>
      </w:pPr>
      <w:r>
        <w:rPr>
          <w:rStyle w:val="Refdenotaalpie"/>
        </w:rPr>
        <w:footnoteRef/>
      </w:r>
      <w:r>
        <w:t xml:space="preserve"> </w:t>
      </w:r>
      <w:hyperlink r:id="rId5" w:anchor="/entry-id/E216930" w:history="1">
        <w:r w:rsidRPr="00AA2458">
          <w:rPr>
            <w:rStyle w:val="Hipervnculo"/>
          </w:rPr>
          <w:t>http://dej.rae.es/#/entry-id/E216930</w:t>
        </w:r>
      </w:hyperlink>
      <w:r>
        <w:t xml:space="preserve"> </w:t>
      </w:r>
    </w:p>
  </w:footnote>
  <w:footnote w:id="18">
    <w:p w14:paraId="33A7E2FA" w14:textId="77777777" w:rsidR="002372C3" w:rsidRPr="00ED2A04" w:rsidRDefault="002372C3" w:rsidP="005502D2">
      <w:pPr>
        <w:pStyle w:val="Textonotapie"/>
        <w:jc w:val="both"/>
        <w:rPr>
          <w:lang w:val="es-ES"/>
        </w:rPr>
      </w:pPr>
      <w:r>
        <w:rPr>
          <w:rStyle w:val="Refdenotaalpie"/>
        </w:rPr>
        <w:footnoteRef/>
      </w:r>
      <w:r>
        <w:t xml:space="preserve"> </w:t>
      </w:r>
      <w:hyperlink r:id="rId6" w:anchor="/entry-id/E87450" w:history="1">
        <w:r w:rsidRPr="00AA2458">
          <w:rPr>
            <w:rStyle w:val="Hipervnculo"/>
          </w:rPr>
          <w:t>http://dej.rae.es/#/entry-id/E87450</w:t>
        </w:r>
      </w:hyperlink>
      <w:r>
        <w:t xml:space="preserve"> </w:t>
      </w:r>
    </w:p>
  </w:footnote>
  <w:footnote w:id="19">
    <w:p w14:paraId="4ABB64AA" w14:textId="77777777" w:rsidR="002372C3" w:rsidRPr="000406A4" w:rsidRDefault="002372C3" w:rsidP="005502D2">
      <w:pPr>
        <w:pStyle w:val="Textonotapie"/>
        <w:jc w:val="both"/>
        <w:rPr>
          <w:lang w:val="es-ES"/>
        </w:rPr>
      </w:pPr>
      <w:r>
        <w:rPr>
          <w:rStyle w:val="Refdenotaalpie"/>
        </w:rPr>
        <w:footnoteRef/>
      </w:r>
      <w:r>
        <w:t xml:space="preserve"> </w:t>
      </w:r>
      <w:hyperlink r:id="rId7" w:history="1">
        <w:r w:rsidRPr="00AA2458">
          <w:rPr>
            <w:rStyle w:val="Hipervnculo"/>
          </w:rPr>
          <w:t>http://dle.rae.es/?id=VGqyuLj|VGtxgAo|VGuc9Wg</w:t>
        </w:r>
      </w:hyperlink>
      <w:r>
        <w:t xml:space="preserve"> </w:t>
      </w:r>
    </w:p>
  </w:footnote>
  <w:footnote w:id="20">
    <w:p w14:paraId="1211B16A" w14:textId="77777777" w:rsidR="002372C3" w:rsidRPr="000406A4" w:rsidRDefault="002372C3" w:rsidP="005502D2">
      <w:pPr>
        <w:pStyle w:val="Textonotapie"/>
        <w:jc w:val="both"/>
        <w:rPr>
          <w:lang w:val="es-ES"/>
        </w:rPr>
      </w:pPr>
      <w:r>
        <w:rPr>
          <w:rStyle w:val="Refdenotaalpie"/>
        </w:rPr>
        <w:footnoteRef/>
      </w:r>
      <w:r>
        <w:t xml:space="preserve"> </w:t>
      </w:r>
      <w:hyperlink r:id="rId8" w:history="1">
        <w:r w:rsidRPr="00AA2458">
          <w:rPr>
            <w:rStyle w:val="Hipervnculo"/>
          </w:rPr>
          <w:t>http://dle.rae.es/?id=CAjNzMR</w:t>
        </w:r>
      </w:hyperlink>
      <w:r>
        <w:t xml:space="preserve"> </w:t>
      </w:r>
    </w:p>
  </w:footnote>
  <w:footnote w:id="21">
    <w:p w14:paraId="4BCFF950" w14:textId="77777777" w:rsidR="002372C3" w:rsidRPr="000406A4" w:rsidRDefault="002372C3" w:rsidP="005502D2">
      <w:pPr>
        <w:pStyle w:val="Textonotapie"/>
        <w:jc w:val="both"/>
        <w:rPr>
          <w:lang w:val="es-ES"/>
        </w:rPr>
      </w:pPr>
      <w:r>
        <w:rPr>
          <w:rStyle w:val="Refdenotaalpie"/>
        </w:rPr>
        <w:footnoteRef/>
      </w:r>
      <w:r>
        <w:t xml:space="preserve"> </w:t>
      </w:r>
      <w:hyperlink r:id="rId9" w:history="1">
        <w:r w:rsidRPr="00AA2458">
          <w:rPr>
            <w:rStyle w:val="Hipervnculo"/>
          </w:rPr>
          <w:t>http://dle.rae.es/?id=CAqWkEB</w:t>
        </w:r>
      </w:hyperlink>
      <w:r>
        <w:t xml:space="preserve"> </w:t>
      </w:r>
    </w:p>
  </w:footnote>
  <w:footnote w:id="22">
    <w:p w14:paraId="049C48AF" w14:textId="77777777" w:rsidR="002372C3" w:rsidRPr="000406A4" w:rsidRDefault="002372C3" w:rsidP="005502D2">
      <w:pPr>
        <w:pStyle w:val="Textonotapie"/>
        <w:jc w:val="both"/>
        <w:rPr>
          <w:lang w:val="es-ES"/>
        </w:rPr>
      </w:pPr>
      <w:r>
        <w:rPr>
          <w:rStyle w:val="Refdenotaalpie"/>
        </w:rPr>
        <w:footnoteRef/>
      </w:r>
      <w:r>
        <w:t xml:space="preserve"> </w:t>
      </w:r>
      <w:hyperlink r:id="rId10" w:history="1">
        <w:r w:rsidRPr="00AA2458">
          <w:rPr>
            <w:rStyle w:val="Hipervnculo"/>
          </w:rPr>
          <w:t>http://dle.rae.es/?id=KtnHLLd</w:t>
        </w:r>
      </w:hyperlink>
      <w:r>
        <w:t xml:space="preserve"> </w:t>
      </w:r>
    </w:p>
  </w:footnote>
  <w:footnote w:id="23">
    <w:p w14:paraId="7A9D1426" w14:textId="77777777" w:rsidR="002372C3" w:rsidRPr="000406A4" w:rsidRDefault="002372C3" w:rsidP="005502D2">
      <w:pPr>
        <w:pStyle w:val="Textonotapie"/>
        <w:jc w:val="both"/>
        <w:rPr>
          <w:lang w:val="es-ES"/>
        </w:rPr>
      </w:pPr>
      <w:r>
        <w:rPr>
          <w:rStyle w:val="Refdenotaalpie"/>
        </w:rPr>
        <w:footnoteRef/>
      </w:r>
      <w:r>
        <w:t xml:space="preserve"> </w:t>
      </w:r>
      <w:hyperlink r:id="rId11" w:history="1">
        <w:r w:rsidRPr="00AA2458">
          <w:rPr>
            <w:rStyle w:val="Hipervnculo"/>
          </w:rPr>
          <w:t>http://dle.rae.es/?id=KtpfgjV</w:t>
        </w:r>
      </w:hyperlink>
      <w:r>
        <w:t xml:space="preserve"> </w:t>
      </w:r>
    </w:p>
  </w:footnote>
  <w:footnote w:id="24">
    <w:p w14:paraId="771AE6F2" w14:textId="77777777" w:rsidR="002372C3" w:rsidRPr="00042E67" w:rsidRDefault="002372C3" w:rsidP="005502D2">
      <w:pPr>
        <w:jc w:val="both"/>
        <w:rPr>
          <w:color w:val="000000" w:themeColor="text1"/>
          <w:lang w:eastAsia="es-ES_tradnl"/>
        </w:rPr>
      </w:pPr>
      <w:r>
        <w:rPr>
          <w:rStyle w:val="Refdenotaalpie"/>
        </w:rPr>
        <w:footnoteRef/>
      </w:r>
      <w:r>
        <w:t xml:space="preserve"> </w:t>
      </w:r>
      <w:r>
        <w:rPr>
          <w:lang w:val="es-ES"/>
        </w:rPr>
        <w:t>“</w:t>
      </w:r>
      <w:r w:rsidRPr="00042E67">
        <w:rPr>
          <w:color w:val="000000" w:themeColor="text1"/>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color w:val="000000" w:themeColor="text1"/>
          <w:lang w:eastAsia="es-ES_tradnl"/>
        </w:rPr>
        <w:t>Caso</w:t>
      </w:r>
      <w:r w:rsidRPr="00042E67">
        <w:rPr>
          <w:color w:val="000000" w:themeColor="text1"/>
          <w:lang w:eastAsia="es-ES_tradnl"/>
        </w:rPr>
        <w:t xml:space="preserve"> Gonzales Lluy y otros contra Ecuador. Excepciones preliminares, fondo, reparaciones y costas. Sentencia del 01 de septiembre de 2015. Párr. 256. </w:t>
      </w:r>
    </w:p>
  </w:footnote>
  <w:footnote w:id="25">
    <w:p w14:paraId="5E1AB68B" w14:textId="77777777" w:rsidR="002372C3" w:rsidRPr="00A4142C" w:rsidRDefault="002372C3" w:rsidP="005502D2">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26">
    <w:p w14:paraId="63AE17E6" w14:textId="041CF316" w:rsidR="002372C3" w:rsidRDefault="002372C3">
      <w:pPr>
        <w:pStyle w:val="Textonotapie"/>
      </w:pPr>
      <w:r>
        <w:rPr>
          <w:rStyle w:val="Refdenotaalpie"/>
        </w:rPr>
        <w:footnoteRef/>
      </w:r>
      <w:r>
        <w:t xml:space="preserve"> </w:t>
      </w:r>
      <w:hyperlink r:id="rId12" w:history="1">
        <w:r w:rsidRPr="00495724">
          <w:rPr>
            <w:rStyle w:val="Hipervnculo"/>
          </w:rPr>
          <w:t>https://www.dof.gob.mx/nota_detalle.php?codigo=5433280&amp;fecha=15/04/2016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2372C3" w:rsidRDefault="00BA7865">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2372C3" w:rsidRDefault="002372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2372C3" w14:paraId="6255E3A4" w14:textId="77777777" w:rsidTr="00814079">
      <w:trPr>
        <w:trHeight w:val="1435"/>
      </w:trPr>
      <w:tc>
        <w:tcPr>
          <w:tcW w:w="1843" w:type="dxa"/>
          <w:shd w:val="clear" w:color="auto" w:fill="auto"/>
        </w:tcPr>
        <w:p w14:paraId="3E05202F" w14:textId="4A7C9DF8" w:rsidR="002372C3" w:rsidRDefault="002372C3">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2372C3" w:rsidRDefault="002372C3"/>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2372C3" w14:paraId="727F90BF" w14:textId="77777777" w:rsidTr="00483482">
            <w:trPr>
              <w:trHeight w:val="338"/>
            </w:trPr>
            <w:tc>
              <w:tcPr>
                <w:tcW w:w="2551" w:type="dxa"/>
              </w:tcPr>
              <w:p w14:paraId="23087CD5" w14:textId="77777777" w:rsidR="002372C3" w:rsidRDefault="002372C3">
                <w:pPr>
                  <w:tabs>
                    <w:tab w:val="right" w:pos="8838"/>
                  </w:tabs>
                  <w:ind w:right="-105"/>
                  <w:rPr>
                    <w:rFonts w:ascii="Palatino Linotype" w:eastAsia="Calibri" w:hAnsi="Palatino Linotype" w:cs="Tahoma"/>
                    <w:b/>
                    <w:sz w:val="22"/>
                    <w:szCs w:val="22"/>
                    <w:lang w:eastAsia="en-US"/>
                  </w:rPr>
                </w:pPr>
              </w:p>
              <w:p w14:paraId="410A3741" w14:textId="535C9D39" w:rsidR="002372C3" w:rsidRDefault="002372C3">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2372C3" w:rsidRDefault="002372C3" w:rsidP="00427B6E">
                <w:pPr>
                  <w:tabs>
                    <w:tab w:val="right" w:pos="8838"/>
                  </w:tabs>
                  <w:ind w:right="-105" w:hanging="101"/>
                  <w:jc w:val="both"/>
                  <w:rPr>
                    <w:rFonts w:ascii="Palatino Linotype" w:eastAsia="Calibri" w:hAnsi="Palatino Linotype" w:cs="Tahoma"/>
                    <w:bCs/>
                    <w:sz w:val="22"/>
                    <w:szCs w:val="22"/>
                    <w:lang w:eastAsia="en-US"/>
                  </w:rPr>
                </w:pPr>
              </w:p>
              <w:p w14:paraId="3FF69A05" w14:textId="22E7ED56" w:rsidR="002372C3" w:rsidRPr="00045238" w:rsidRDefault="002372C3" w:rsidP="008E6432">
                <w:pPr>
                  <w:tabs>
                    <w:tab w:val="right" w:pos="8838"/>
                  </w:tabs>
                  <w:ind w:right="-105" w:hanging="101"/>
                  <w:jc w:val="both"/>
                  <w:rPr>
                    <w:rFonts w:ascii="Palatino Linotype" w:eastAsia="Calibri" w:hAnsi="Palatino Linotype" w:cs="Tahoma"/>
                    <w:bCs/>
                    <w:sz w:val="22"/>
                    <w:szCs w:val="22"/>
                    <w:lang w:eastAsia="en-US"/>
                  </w:rPr>
                </w:pPr>
                <w:r w:rsidRPr="00045238">
                  <w:rPr>
                    <w:rFonts w:ascii="Palatino Linotype" w:hAnsi="Palatino Linotype" w:cs="Arial"/>
                    <w:bCs/>
                    <w:sz w:val="22"/>
                    <w:szCs w:val="24"/>
                    <w:lang w:eastAsia="es-MX"/>
                  </w:rPr>
                  <w:t>04098/INFOEM/IP/RR/2021</w:t>
                </w:r>
                <w:r w:rsidRPr="00045238">
                  <w:rPr>
                    <w:rFonts w:ascii="Palatino Linotype" w:eastAsia="Calibri" w:hAnsi="Palatino Linotype" w:cs="Tahoma"/>
                    <w:bCs/>
                    <w:szCs w:val="22"/>
                    <w:lang w:eastAsia="en-US"/>
                  </w:rPr>
                  <w:t xml:space="preserve"> </w:t>
                </w:r>
              </w:p>
            </w:tc>
          </w:tr>
          <w:tr w:rsidR="002372C3" w14:paraId="1389436A" w14:textId="4EB800AC" w:rsidTr="00483482">
            <w:trPr>
              <w:trHeight w:val="283"/>
            </w:trPr>
            <w:tc>
              <w:tcPr>
                <w:tcW w:w="2551" w:type="dxa"/>
              </w:tcPr>
              <w:p w14:paraId="22E0F4E9" w14:textId="77777777" w:rsidR="002372C3" w:rsidRDefault="002372C3">
                <w:pPr>
                  <w:tabs>
                    <w:tab w:val="right" w:pos="8838"/>
                  </w:tabs>
                  <w:ind w:right="-105"/>
                  <w:rPr>
                    <w:rFonts w:ascii="Palatino Linotype" w:eastAsia="Calibri" w:hAnsi="Palatino Linotype" w:cs="Tahoma"/>
                    <w:b/>
                    <w:sz w:val="22"/>
                    <w:szCs w:val="22"/>
                    <w:lang w:eastAsia="en-US"/>
                  </w:rPr>
                </w:pPr>
                <w:bookmarkStart w:id="68" w:name="_Hlk33010189"/>
                <w:r>
                  <w:rPr>
                    <w:rFonts w:ascii="Palatino Linotype" w:eastAsia="Calibri" w:hAnsi="Palatino Linotype" w:cs="Tahoma"/>
                    <w:b/>
                    <w:sz w:val="22"/>
                    <w:szCs w:val="22"/>
                    <w:lang w:eastAsia="en-US"/>
                  </w:rPr>
                  <w:t>Sujeto Obligado:</w:t>
                </w:r>
              </w:p>
            </w:tc>
            <w:tc>
              <w:tcPr>
                <w:tcW w:w="4544" w:type="dxa"/>
              </w:tcPr>
              <w:p w14:paraId="2B205C7F" w14:textId="099B2C93" w:rsidR="002372C3" w:rsidRPr="00A8015B" w:rsidRDefault="002372C3" w:rsidP="00806ABD">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Secretaría de Seguridad</w:t>
                </w:r>
              </w:p>
            </w:tc>
          </w:tr>
          <w:bookmarkEnd w:id="68"/>
          <w:tr w:rsidR="002372C3" w14:paraId="28CCE4E5" w14:textId="77777777" w:rsidTr="00483482">
            <w:trPr>
              <w:trHeight w:val="283"/>
            </w:trPr>
            <w:tc>
              <w:tcPr>
                <w:tcW w:w="2551" w:type="dxa"/>
              </w:tcPr>
              <w:p w14:paraId="13EBF3BB" w14:textId="77777777" w:rsidR="002372C3" w:rsidRDefault="002372C3">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2372C3" w:rsidRDefault="002372C3"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2372C3" w:rsidRDefault="002372C3">
          <w:pPr>
            <w:tabs>
              <w:tab w:val="right" w:pos="8838"/>
            </w:tabs>
            <w:ind w:left="-28"/>
            <w:jc w:val="both"/>
            <w:rPr>
              <w:rFonts w:ascii="Arial" w:eastAsia="Calibri" w:hAnsi="Arial" w:cs="Arial"/>
              <w:b/>
              <w:sz w:val="22"/>
              <w:szCs w:val="22"/>
              <w:lang w:eastAsia="en-US"/>
            </w:rPr>
          </w:pPr>
        </w:p>
      </w:tc>
    </w:tr>
  </w:tbl>
  <w:p w14:paraId="07EF2D29" w14:textId="1620A8B4" w:rsidR="002372C3" w:rsidRDefault="00BA7865"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2372C3" w:rsidRDefault="002372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2372C3" w14:paraId="61517A1D" w14:textId="77777777" w:rsidTr="003A6126">
      <w:trPr>
        <w:trHeight w:val="1435"/>
      </w:trPr>
      <w:tc>
        <w:tcPr>
          <w:tcW w:w="1560" w:type="dxa"/>
          <w:shd w:val="clear" w:color="auto" w:fill="auto"/>
        </w:tcPr>
        <w:p w14:paraId="4B74E846" w14:textId="1E0D62B9" w:rsidR="002372C3" w:rsidRDefault="002372C3">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2372C3" w14:paraId="7F59E1EF" w14:textId="77777777" w:rsidTr="00483482">
            <w:trPr>
              <w:trHeight w:val="144"/>
            </w:trPr>
            <w:tc>
              <w:tcPr>
                <w:tcW w:w="2444" w:type="dxa"/>
              </w:tcPr>
              <w:p w14:paraId="5EFF942E" w14:textId="77777777" w:rsidR="002372C3" w:rsidRDefault="002372C3" w:rsidP="000D485D">
                <w:pPr>
                  <w:tabs>
                    <w:tab w:val="right" w:pos="8838"/>
                  </w:tabs>
                  <w:ind w:left="-74" w:right="-105"/>
                  <w:rPr>
                    <w:rFonts w:ascii="Palatino Linotype" w:eastAsia="Calibri" w:hAnsi="Palatino Linotype" w:cs="Tahoma"/>
                    <w:b/>
                    <w:sz w:val="22"/>
                    <w:szCs w:val="22"/>
                    <w:lang w:eastAsia="en-US"/>
                  </w:rPr>
                </w:pPr>
                <w:bookmarkStart w:id="69" w:name="_Hlk12526980"/>
                <w:r>
                  <w:rPr>
                    <w:rFonts w:ascii="Palatino Linotype" w:eastAsia="Calibri" w:hAnsi="Palatino Linotype" w:cs="Tahoma"/>
                    <w:b/>
                    <w:sz w:val="22"/>
                    <w:szCs w:val="22"/>
                    <w:lang w:eastAsia="en-US"/>
                  </w:rPr>
                  <w:t>Recurso de Revisión:</w:t>
                </w:r>
              </w:p>
            </w:tc>
            <w:tc>
              <w:tcPr>
                <w:tcW w:w="4646" w:type="dxa"/>
              </w:tcPr>
              <w:p w14:paraId="0DE47EE2" w14:textId="251230C7" w:rsidR="002372C3" w:rsidRDefault="002372C3" w:rsidP="00DB2180">
                <w:pPr>
                  <w:tabs>
                    <w:tab w:val="right" w:pos="8838"/>
                  </w:tabs>
                  <w:ind w:left="-3" w:right="-105"/>
                  <w:jc w:val="both"/>
                  <w:rPr>
                    <w:rFonts w:ascii="Palatino Linotype" w:eastAsia="Calibri" w:hAnsi="Palatino Linotype" w:cs="Tahoma"/>
                    <w:bCs/>
                    <w:sz w:val="22"/>
                    <w:szCs w:val="22"/>
                    <w:lang w:eastAsia="en-US"/>
                  </w:rPr>
                </w:pPr>
                <w:r w:rsidRPr="00045238">
                  <w:rPr>
                    <w:rFonts w:ascii="Palatino Linotype" w:hAnsi="Palatino Linotype" w:cs="Arial"/>
                    <w:bCs/>
                    <w:sz w:val="22"/>
                    <w:szCs w:val="24"/>
                    <w:lang w:eastAsia="es-MX"/>
                  </w:rPr>
                  <w:t>04098/INFOEM/IP/RR/2021</w:t>
                </w:r>
              </w:p>
            </w:tc>
            <w:tc>
              <w:tcPr>
                <w:tcW w:w="3402" w:type="dxa"/>
              </w:tcPr>
              <w:p w14:paraId="11E4533C" w14:textId="3B21362A" w:rsidR="002372C3" w:rsidRDefault="002372C3">
                <w:pPr>
                  <w:tabs>
                    <w:tab w:val="right" w:pos="8838"/>
                  </w:tabs>
                  <w:ind w:left="-74" w:right="-105"/>
                  <w:jc w:val="both"/>
                  <w:rPr>
                    <w:rFonts w:ascii="Palatino Linotype" w:eastAsia="Calibri" w:hAnsi="Palatino Linotype" w:cs="Tahoma"/>
                    <w:bCs/>
                    <w:sz w:val="22"/>
                    <w:szCs w:val="22"/>
                    <w:lang w:eastAsia="en-US"/>
                  </w:rPr>
                </w:pPr>
              </w:p>
            </w:tc>
          </w:tr>
          <w:tr w:rsidR="002372C3" w14:paraId="3FC4FA7D" w14:textId="77777777" w:rsidTr="00483482">
            <w:trPr>
              <w:trHeight w:val="144"/>
            </w:trPr>
            <w:tc>
              <w:tcPr>
                <w:tcW w:w="2444" w:type="dxa"/>
              </w:tcPr>
              <w:p w14:paraId="363D966B" w14:textId="77777777" w:rsidR="002372C3" w:rsidRDefault="002372C3" w:rsidP="000D485D">
                <w:pPr>
                  <w:tabs>
                    <w:tab w:val="right" w:pos="8838"/>
                  </w:tabs>
                  <w:ind w:left="-74" w:right="-105"/>
                  <w:rPr>
                    <w:rFonts w:ascii="Palatino Linotype" w:eastAsia="Calibri" w:hAnsi="Palatino Linotype" w:cs="Tahoma"/>
                    <w:b/>
                    <w:sz w:val="22"/>
                    <w:szCs w:val="22"/>
                    <w:lang w:eastAsia="en-US"/>
                  </w:rPr>
                </w:pPr>
                <w:bookmarkStart w:id="70" w:name="_Hlk10641523"/>
                <w:bookmarkEnd w:id="69"/>
                <w:r>
                  <w:rPr>
                    <w:rFonts w:ascii="Palatino Linotype" w:eastAsia="Calibri" w:hAnsi="Palatino Linotype" w:cs="Tahoma"/>
                    <w:b/>
                    <w:sz w:val="22"/>
                    <w:szCs w:val="22"/>
                    <w:lang w:eastAsia="en-US"/>
                  </w:rPr>
                  <w:t>Recurrente:</w:t>
                </w:r>
              </w:p>
            </w:tc>
            <w:tc>
              <w:tcPr>
                <w:tcW w:w="4646" w:type="dxa"/>
              </w:tcPr>
              <w:p w14:paraId="73C065CD" w14:textId="1ABA696F" w:rsidR="002372C3" w:rsidRPr="000A7E5D" w:rsidRDefault="00E772BC" w:rsidP="00A36BE2">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XXXXXXXXXXXXXXXXXXX</w:t>
                </w:r>
              </w:p>
            </w:tc>
            <w:tc>
              <w:tcPr>
                <w:tcW w:w="3402" w:type="dxa"/>
              </w:tcPr>
              <w:p w14:paraId="370E6EFF" w14:textId="3B7EABB6" w:rsidR="002372C3" w:rsidRDefault="002372C3" w:rsidP="003037E1">
                <w:pPr>
                  <w:tabs>
                    <w:tab w:val="left" w:pos="3122"/>
                    <w:tab w:val="right" w:pos="8838"/>
                  </w:tabs>
                  <w:ind w:right="-105"/>
                  <w:jc w:val="both"/>
                  <w:rPr>
                    <w:rFonts w:ascii="Palatino Linotype" w:eastAsia="Calibri" w:hAnsi="Palatino Linotype" w:cs="Tahoma"/>
                    <w:sz w:val="22"/>
                    <w:szCs w:val="22"/>
                    <w:lang w:eastAsia="en-US"/>
                  </w:rPr>
                </w:pPr>
              </w:p>
            </w:tc>
          </w:tr>
          <w:bookmarkEnd w:id="70"/>
          <w:tr w:rsidR="002372C3" w14:paraId="4D832A43" w14:textId="77777777" w:rsidTr="00483482">
            <w:trPr>
              <w:trHeight w:val="283"/>
            </w:trPr>
            <w:tc>
              <w:tcPr>
                <w:tcW w:w="2444" w:type="dxa"/>
              </w:tcPr>
              <w:p w14:paraId="02CA5CB0" w14:textId="77777777" w:rsidR="002372C3" w:rsidRDefault="002372C3"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3BD55A83" w:rsidR="002372C3" w:rsidRDefault="002372C3" w:rsidP="00DB2180">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Secretaría de Seguridad</w:t>
                </w:r>
              </w:p>
            </w:tc>
            <w:tc>
              <w:tcPr>
                <w:tcW w:w="3402" w:type="dxa"/>
              </w:tcPr>
              <w:p w14:paraId="00F18B8C" w14:textId="77777777" w:rsidR="002372C3" w:rsidRDefault="002372C3">
                <w:pPr>
                  <w:tabs>
                    <w:tab w:val="left" w:pos="2834"/>
                    <w:tab w:val="right" w:pos="8838"/>
                  </w:tabs>
                  <w:ind w:left="-74" w:right="-105"/>
                  <w:jc w:val="both"/>
                  <w:rPr>
                    <w:rFonts w:ascii="Palatino Linotype" w:eastAsia="Calibri" w:hAnsi="Palatino Linotype" w:cs="Tahoma"/>
                    <w:sz w:val="22"/>
                    <w:szCs w:val="22"/>
                    <w:lang w:eastAsia="en-US"/>
                  </w:rPr>
                </w:pPr>
              </w:p>
            </w:tc>
          </w:tr>
          <w:tr w:rsidR="002372C3" w14:paraId="7BC74D7A" w14:textId="77777777" w:rsidTr="00483482">
            <w:trPr>
              <w:trHeight w:val="283"/>
            </w:trPr>
            <w:tc>
              <w:tcPr>
                <w:tcW w:w="2444" w:type="dxa"/>
              </w:tcPr>
              <w:p w14:paraId="3BF93338" w14:textId="77777777" w:rsidR="002372C3" w:rsidRDefault="002372C3"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2372C3" w:rsidRPr="003037E1" w:rsidRDefault="002372C3"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2372C3" w:rsidRDefault="002372C3">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2372C3" w:rsidRDefault="002372C3">
          <w:pPr>
            <w:tabs>
              <w:tab w:val="right" w:pos="8838"/>
            </w:tabs>
            <w:ind w:left="-28"/>
            <w:jc w:val="both"/>
            <w:rPr>
              <w:rFonts w:ascii="Arial" w:eastAsia="Calibri" w:hAnsi="Arial" w:cs="Arial"/>
              <w:b/>
              <w:sz w:val="22"/>
              <w:szCs w:val="22"/>
              <w:lang w:eastAsia="en-US"/>
            </w:rPr>
          </w:pPr>
        </w:p>
      </w:tc>
    </w:tr>
  </w:tbl>
  <w:p w14:paraId="5F654A99" w14:textId="6CB7D4AE" w:rsidR="002372C3" w:rsidRDefault="00BA7865"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3E53D4"/>
    <w:multiLevelType w:val="hybridMultilevel"/>
    <w:tmpl w:val="5D9816A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6532BE"/>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B041BB"/>
    <w:multiLevelType w:val="hybridMultilevel"/>
    <w:tmpl w:val="DB04E800"/>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06491C"/>
    <w:multiLevelType w:val="hybridMultilevel"/>
    <w:tmpl w:val="F3F6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7"/>
  </w:num>
  <w:num w:numId="7">
    <w:abstractNumId w:val="1"/>
  </w:num>
  <w:num w:numId="8">
    <w:abstractNumId w:val="8"/>
  </w:num>
  <w:num w:numId="9">
    <w:abstractNumId w:val="17"/>
  </w:num>
  <w:num w:numId="10">
    <w:abstractNumId w:val="26"/>
  </w:num>
  <w:num w:numId="11">
    <w:abstractNumId w:val="24"/>
  </w:num>
  <w:num w:numId="12">
    <w:abstractNumId w:val="19"/>
  </w:num>
  <w:num w:numId="13">
    <w:abstractNumId w:val="9"/>
  </w:num>
  <w:num w:numId="14">
    <w:abstractNumId w:val="4"/>
  </w:num>
  <w:num w:numId="15">
    <w:abstractNumId w:val="16"/>
  </w:num>
  <w:num w:numId="16">
    <w:abstractNumId w:val="15"/>
  </w:num>
  <w:num w:numId="17">
    <w:abstractNumId w:val="5"/>
  </w:num>
  <w:num w:numId="18">
    <w:abstractNumId w:val="14"/>
  </w:num>
  <w:num w:numId="19">
    <w:abstractNumId w:val="1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num>
  <w:num w:numId="23">
    <w:abstractNumId w:val="25"/>
  </w:num>
  <w:num w:numId="24">
    <w:abstractNumId w:val="13"/>
  </w:num>
  <w:num w:numId="25">
    <w:abstractNumId w:val="6"/>
  </w:num>
  <w:num w:numId="26">
    <w:abstractNumId w:val="2"/>
  </w:num>
  <w:num w:numId="27">
    <w:abstractNumId w:val="21"/>
  </w:num>
  <w:num w:numId="28">
    <w:abstractNumId w:val="23"/>
  </w:num>
  <w:num w:numId="2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6BA9"/>
    <w:rsid w:val="000677C5"/>
    <w:rsid w:val="00071A4A"/>
    <w:rsid w:val="00071F02"/>
    <w:rsid w:val="00072BFF"/>
    <w:rsid w:val="000741E2"/>
    <w:rsid w:val="000758B2"/>
    <w:rsid w:val="0008033A"/>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157"/>
    <w:rsid w:val="000D62EF"/>
    <w:rsid w:val="000D686E"/>
    <w:rsid w:val="000D68C7"/>
    <w:rsid w:val="000D6CF8"/>
    <w:rsid w:val="000D77A7"/>
    <w:rsid w:val="000E008A"/>
    <w:rsid w:val="000E0BEA"/>
    <w:rsid w:val="000E36AB"/>
    <w:rsid w:val="000E5550"/>
    <w:rsid w:val="000F0A30"/>
    <w:rsid w:val="000F0C82"/>
    <w:rsid w:val="000F178F"/>
    <w:rsid w:val="000F2241"/>
    <w:rsid w:val="000F24C8"/>
    <w:rsid w:val="000F2580"/>
    <w:rsid w:val="000F2EBF"/>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3C5B"/>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2C3"/>
    <w:rsid w:val="00237C1F"/>
    <w:rsid w:val="00237D0D"/>
    <w:rsid w:val="00241116"/>
    <w:rsid w:val="002417D7"/>
    <w:rsid w:val="00242711"/>
    <w:rsid w:val="002432D8"/>
    <w:rsid w:val="002433A4"/>
    <w:rsid w:val="002435DC"/>
    <w:rsid w:val="0024366B"/>
    <w:rsid w:val="00243EAA"/>
    <w:rsid w:val="00246501"/>
    <w:rsid w:val="00247B17"/>
    <w:rsid w:val="00250389"/>
    <w:rsid w:val="00251FF7"/>
    <w:rsid w:val="00252669"/>
    <w:rsid w:val="00254209"/>
    <w:rsid w:val="00254288"/>
    <w:rsid w:val="0025469C"/>
    <w:rsid w:val="0025667F"/>
    <w:rsid w:val="002579CE"/>
    <w:rsid w:val="00260FEC"/>
    <w:rsid w:val="002613A0"/>
    <w:rsid w:val="00261DD6"/>
    <w:rsid w:val="002657E2"/>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B09"/>
    <w:rsid w:val="00303CAD"/>
    <w:rsid w:val="00303CD6"/>
    <w:rsid w:val="00303E71"/>
    <w:rsid w:val="00304E7C"/>
    <w:rsid w:val="00306418"/>
    <w:rsid w:val="003074B3"/>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589F"/>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7DB7"/>
    <w:rsid w:val="004F1A6A"/>
    <w:rsid w:val="004F2D88"/>
    <w:rsid w:val="004F3D21"/>
    <w:rsid w:val="004F583D"/>
    <w:rsid w:val="004F60EF"/>
    <w:rsid w:val="004F66B6"/>
    <w:rsid w:val="004F7B6E"/>
    <w:rsid w:val="005000AA"/>
    <w:rsid w:val="00502B02"/>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A8D"/>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42A"/>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103"/>
    <w:rsid w:val="008D7C6E"/>
    <w:rsid w:val="008D7E0D"/>
    <w:rsid w:val="008D7EDB"/>
    <w:rsid w:val="008E019E"/>
    <w:rsid w:val="008E0927"/>
    <w:rsid w:val="008E0B6A"/>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F87"/>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13F"/>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0E2"/>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A7865"/>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763"/>
    <w:rsid w:val="00CE76FF"/>
    <w:rsid w:val="00CF0BBF"/>
    <w:rsid w:val="00CF1CF7"/>
    <w:rsid w:val="00CF2530"/>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4BD9"/>
    <w:rsid w:val="00E6519C"/>
    <w:rsid w:val="00E652E4"/>
    <w:rsid w:val="00E660AA"/>
    <w:rsid w:val="00E661F3"/>
    <w:rsid w:val="00E67E50"/>
    <w:rsid w:val="00E705B4"/>
    <w:rsid w:val="00E71C8B"/>
    <w:rsid w:val="00E7233D"/>
    <w:rsid w:val="00E72967"/>
    <w:rsid w:val="00E75472"/>
    <w:rsid w:val="00E772BC"/>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dle.rae.es/?id=FdI00O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CAjNzMR" TargetMode="External"/><Relationship Id="rId3" Type="http://schemas.openxmlformats.org/officeDocument/2006/relationships/hyperlink" Target="https://www.telecomm.gob.mx/sipot/DAF_2019/28b_Resultados_adj_invita_licita_Procedimientos_adjudicacion_directa/Ciudad_de_Mexico/contrato_anexos/Contrato%20CUSAEM_2018.pdf" TargetMode="External"/><Relationship Id="rId7" Type="http://schemas.openxmlformats.org/officeDocument/2006/relationships/hyperlink" Target="http://dle.rae.es/?id=VGqyuLj|VGtxgAo|VGuc9Wg" TargetMode="External"/><Relationship Id="rId12" Type="http://schemas.openxmlformats.org/officeDocument/2006/relationships/hyperlink" Target="https://www.dof.gob.mx/nota_detalle.php?codigo=5433280&amp;fecha=15/04/2016" TargetMode="External"/><Relationship Id="rId2" Type="http://schemas.openxmlformats.org/officeDocument/2006/relationships/hyperlink" Target="http://www.cptm.com.mx/sites/default/files/c_31-2016_cusaem.pdf" TargetMode="External"/><Relationship Id="rId1" Type="http://schemas.openxmlformats.org/officeDocument/2006/relationships/hyperlink" Target="http://biblio.juridicas.unam.mx/libros/1/419/12.pdf" TargetMode="External"/><Relationship Id="rId6" Type="http://schemas.openxmlformats.org/officeDocument/2006/relationships/hyperlink" Target="http://dej.rae.es/" TargetMode="External"/><Relationship Id="rId11" Type="http://schemas.openxmlformats.org/officeDocument/2006/relationships/hyperlink" Target="http://dle.rae.es/?id=KtpfgjV" TargetMode="External"/><Relationship Id="rId5" Type="http://schemas.openxmlformats.org/officeDocument/2006/relationships/hyperlink" Target="http://dej.rae.es/" TargetMode="External"/><Relationship Id="rId10" Type="http://schemas.openxmlformats.org/officeDocument/2006/relationships/hyperlink" Target="http://dle.rae.es/?id=KtnHLLd" TargetMode="External"/><Relationship Id="rId4" Type="http://schemas.openxmlformats.org/officeDocument/2006/relationships/hyperlink" Target="https://legislacion.edomex.gob.mx/sites/legislacion.edomex.gob.mx/files/files/pdf/rgl/vig/rlgvig059.pdf" TargetMode="External"/><Relationship Id="rId9" Type="http://schemas.openxmlformats.org/officeDocument/2006/relationships/hyperlink" Target="http://dle.rae.es/?id=CAqWk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B51AC-4C4C-405B-A07E-3C5E4E67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13167</Words>
  <Characters>72421</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2021-10-29T18:34:00Z</dcterms:created>
  <dcterms:modified xsi:type="dcterms:W3CDTF">2021-10-29T18:34:00Z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